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E642A1">
        <w:trPr>
          <w:cantSplit/>
          <w:trHeight w:hRule="exact" w:val="851"/>
        </w:trPr>
        <w:tc>
          <w:tcPr>
            <w:tcW w:w="1276" w:type="dxa"/>
            <w:tcBorders>
              <w:bottom w:val="single" w:sz="4" w:space="0" w:color="auto"/>
            </w:tcBorders>
            <w:vAlign w:val="bottom"/>
          </w:tcPr>
          <w:p w:rsidR="00E642A1" w:rsidRDefault="00E642A1">
            <w:pPr>
              <w:spacing w:after="80"/>
            </w:pPr>
          </w:p>
        </w:tc>
        <w:tc>
          <w:tcPr>
            <w:tcW w:w="2268" w:type="dxa"/>
            <w:tcBorders>
              <w:bottom w:val="single" w:sz="4" w:space="0" w:color="auto"/>
            </w:tcBorders>
            <w:vAlign w:val="bottom"/>
          </w:tcPr>
          <w:p w:rsidR="00E642A1" w:rsidRDefault="003C1454">
            <w:pPr>
              <w:spacing w:after="80" w:line="300" w:lineRule="exact"/>
              <w:rPr>
                <w:b/>
                <w:sz w:val="24"/>
                <w:szCs w:val="24"/>
              </w:rPr>
            </w:pPr>
            <w:r>
              <w:rPr>
                <w:sz w:val="28"/>
              </w:rPr>
              <w:t>Nations Unies</w:t>
            </w:r>
          </w:p>
        </w:tc>
        <w:tc>
          <w:tcPr>
            <w:tcW w:w="6095" w:type="dxa"/>
            <w:gridSpan w:val="2"/>
            <w:tcBorders>
              <w:bottom w:val="single" w:sz="4" w:space="0" w:color="auto"/>
            </w:tcBorders>
            <w:vAlign w:val="bottom"/>
          </w:tcPr>
          <w:p w:rsidR="00E642A1" w:rsidRDefault="003C1454">
            <w:pPr>
              <w:suppressAutoHyphens w:val="0"/>
              <w:spacing w:after="20"/>
              <w:jc w:val="right"/>
            </w:pPr>
            <w:r>
              <w:rPr>
                <w:sz w:val="40"/>
              </w:rPr>
              <w:t>E</w:t>
            </w:r>
            <w:r>
              <w:t>/</w:t>
            </w:r>
            <w:r w:rsidR="003B2444">
              <w:fldChar w:fldCharType="begin"/>
            </w:r>
            <w:r w:rsidR="003B2444">
              <w:instrText xml:space="preserve"> DOCPROPERTY  sym1  \* MERGEFORMAT </w:instrText>
            </w:r>
            <w:r w:rsidR="003B2444">
              <w:fldChar w:fldCharType="separate"/>
            </w:r>
            <w:r w:rsidR="003B2444">
              <w:t>C.12/BEN/3</w:t>
            </w:r>
            <w:r w:rsidR="003B2444">
              <w:fldChar w:fldCharType="end"/>
            </w:r>
          </w:p>
        </w:tc>
      </w:tr>
      <w:tr w:rsidR="00E642A1">
        <w:trPr>
          <w:cantSplit/>
          <w:trHeight w:hRule="exact" w:val="2835"/>
        </w:trPr>
        <w:tc>
          <w:tcPr>
            <w:tcW w:w="1276" w:type="dxa"/>
            <w:tcBorders>
              <w:top w:val="single" w:sz="4" w:space="0" w:color="auto"/>
              <w:bottom w:val="single" w:sz="12" w:space="0" w:color="auto"/>
            </w:tcBorders>
          </w:tcPr>
          <w:p w:rsidR="00E642A1" w:rsidRDefault="003C1454">
            <w:pPr>
              <w:spacing w:before="120"/>
              <w:jc w:val="center"/>
            </w:pPr>
            <w:r>
              <w:rPr>
                <w:noProof/>
                <w:lang w:eastAsia="fr-CH"/>
              </w:rPr>
              <w:drawing>
                <wp:inline distT="0" distB="0" distL="0" distR="0">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E642A1" w:rsidRDefault="003C1454">
            <w:pPr>
              <w:spacing w:before="120" w:line="420" w:lineRule="exact"/>
            </w:pPr>
            <w:r>
              <w:rPr>
                <w:b/>
                <w:sz w:val="40"/>
                <w:szCs w:val="40"/>
              </w:rPr>
              <w:t>Conseil économique et social</w:t>
            </w:r>
          </w:p>
        </w:tc>
        <w:tc>
          <w:tcPr>
            <w:tcW w:w="2835" w:type="dxa"/>
            <w:tcBorders>
              <w:top w:val="single" w:sz="4" w:space="0" w:color="auto"/>
              <w:bottom w:val="single" w:sz="12" w:space="0" w:color="auto"/>
            </w:tcBorders>
          </w:tcPr>
          <w:p w:rsidR="00E642A1" w:rsidRDefault="003C1454">
            <w:pPr>
              <w:suppressAutoHyphens w:val="0"/>
              <w:spacing w:before="240" w:line="240" w:lineRule="exact"/>
            </w:pPr>
            <w:r>
              <w:t xml:space="preserve">Distr. </w:t>
            </w:r>
            <w:r w:rsidR="003B2444">
              <w:fldChar w:fldCharType="begin"/>
            </w:r>
            <w:r w:rsidR="003B2444">
              <w:instrText xml:space="preserve"> DOCPROPERTY  dist  \* MERGEFORMAT </w:instrText>
            </w:r>
            <w:r w:rsidR="003B2444">
              <w:fldChar w:fldCharType="separate"/>
            </w:r>
            <w:r w:rsidR="003B2444">
              <w:t>générale</w:t>
            </w:r>
            <w:r w:rsidR="003B2444">
              <w:fldChar w:fldCharType="end"/>
            </w:r>
          </w:p>
          <w:p w:rsidR="00E642A1" w:rsidRDefault="003B2444">
            <w:pPr>
              <w:suppressAutoHyphens w:val="0"/>
            </w:pPr>
            <w:r>
              <w:fldChar w:fldCharType="begin"/>
            </w:r>
            <w:r>
              <w:instrText xml:space="preserve"> DOCPROPERTY  date  \* MERGEFORMAT </w:instrText>
            </w:r>
            <w:r>
              <w:fldChar w:fldCharType="separate"/>
            </w:r>
            <w:r>
              <w:t>21 novembre 2018</w:t>
            </w:r>
            <w:r>
              <w:fldChar w:fldCharType="end"/>
            </w:r>
          </w:p>
          <w:p w:rsidR="00E642A1" w:rsidRDefault="003F6885">
            <w:pPr>
              <w:suppressAutoHyphens w:val="0"/>
            </w:pPr>
            <w:r>
              <w:fldChar w:fldCharType="begin"/>
            </w:r>
            <w:r>
              <w:instrText xml:space="preserve"> DOCPROPERTY  tlang  \* MERGEFORMAT </w:instrText>
            </w:r>
            <w:r>
              <w:fldChar w:fldCharType="end"/>
            </w:r>
          </w:p>
          <w:p w:rsidR="00E642A1" w:rsidRDefault="00F74759">
            <w:pPr>
              <w:suppressAutoHyphens w:val="0"/>
            </w:pPr>
            <w:r>
              <w:t>Original </w:t>
            </w:r>
            <w:r w:rsidR="007B4F1A">
              <w:t>:</w:t>
            </w:r>
            <w:r w:rsidR="003C1454">
              <w:t xml:space="preserve"> </w:t>
            </w:r>
            <w:r w:rsidR="003B2444">
              <w:fldChar w:fldCharType="begin"/>
            </w:r>
            <w:r w:rsidR="003B2444">
              <w:instrText xml:space="preserve"> DOCPROPERTY  olang  \* MERGEFORMAT </w:instrText>
            </w:r>
            <w:r w:rsidR="003B2444">
              <w:fldChar w:fldCharType="separate"/>
            </w:r>
            <w:r w:rsidR="003B2444">
              <w:t>français</w:t>
            </w:r>
            <w:r w:rsidR="003B2444">
              <w:fldChar w:fldCharType="end"/>
            </w:r>
          </w:p>
          <w:p w:rsidR="00E642A1" w:rsidRDefault="00E642A1">
            <w:pPr>
              <w:suppressAutoHyphens w:val="0"/>
            </w:pPr>
          </w:p>
        </w:tc>
      </w:tr>
    </w:tbl>
    <w:p w:rsidR="00E642A1" w:rsidRDefault="003C1454">
      <w:pPr>
        <w:spacing w:before="120"/>
        <w:rPr>
          <w:rFonts w:ascii="Times New Roman Bold" w:hAnsi="Times New Roman Bold" w:cs="Times New Roman Bold"/>
          <w:b/>
          <w:sz w:val="24"/>
          <w:szCs w:val="24"/>
        </w:rPr>
      </w:pPr>
      <w:r>
        <w:rPr>
          <w:b/>
          <w:sz w:val="24"/>
          <w:szCs w:val="24"/>
        </w:rPr>
        <w:t>Comité des droits économiques, sociaux et culturels</w:t>
      </w:r>
    </w:p>
    <w:p w:rsidR="00E642A1" w:rsidRPr="00F74759" w:rsidRDefault="003C1454">
      <w:pPr>
        <w:pStyle w:val="HMG"/>
      </w:pPr>
      <w:r>
        <w:tab/>
      </w:r>
      <w:r>
        <w:tab/>
      </w:r>
      <w:r w:rsidR="003B2444">
        <w:fldChar w:fldCharType="begin"/>
      </w:r>
      <w:r w:rsidR="003B2444">
        <w:instrText xml:space="preserve"> DOCPROPERTY  prepwc  \* MERGEFORMAT </w:instrText>
      </w:r>
      <w:r w:rsidR="003B2444">
        <w:fldChar w:fldCharType="separate"/>
      </w:r>
      <w:r w:rsidR="003B2444">
        <w:t xml:space="preserve">Troisième rapport périodique </w:t>
      </w:r>
      <w:r w:rsidR="003B2444">
        <w:fldChar w:fldCharType="end"/>
      </w:r>
      <w:r>
        <w:t xml:space="preserve">soumis par </w:t>
      </w:r>
      <w:r w:rsidR="003B2444">
        <w:fldChar w:fldCharType="begin"/>
      </w:r>
      <w:r w:rsidR="003B2444">
        <w:instrText xml:space="preserve"> DOCPROPERTY  countwd  \* MERGEFORMAT </w:instrText>
      </w:r>
      <w:r w:rsidR="003B2444">
        <w:fldChar w:fldCharType="separate"/>
      </w:r>
      <w:r w:rsidR="003B2444">
        <w:t xml:space="preserve">le Bénin </w:t>
      </w:r>
      <w:r w:rsidR="003B2444">
        <w:fldChar w:fldCharType="end"/>
      </w:r>
      <w:r>
        <w:t xml:space="preserve">en application des articles 16 et 17 du Pacte, attendu en </w:t>
      </w:r>
      <w:r w:rsidR="00163E98">
        <w:t>2010</w:t>
      </w:r>
      <w:r>
        <w:rPr>
          <w:rStyle w:val="Appelnotedebasdep"/>
          <w:b w:val="0"/>
          <w:sz w:val="20"/>
          <w:vertAlign w:val="baseline"/>
        </w:rPr>
        <w:footnoteReference w:customMarkFollows="1" w:id="2"/>
        <w:t>*</w:t>
      </w:r>
    </w:p>
    <w:p w:rsidR="00E642A1" w:rsidRDefault="003C1454">
      <w:pPr>
        <w:pStyle w:val="SingleTxtG"/>
        <w:jc w:val="right"/>
      </w:pPr>
      <w:r>
        <w:t>[Date de réception </w:t>
      </w:r>
      <w:r w:rsidRPr="007A5B16">
        <w:t xml:space="preserve">: </w:t>
      </w:r>
      <w:r w:rsidR="001E27CA">
        <w:t>1</w:t>
      </w:r>
      <w:r w:rsidR="00163E98" w:rsidRPr="007A5B16">
        <w:t>5</w:t>
      </w:r>
      <w:r w:rsidRPr="00163E98">
        <w:t xml:space="preserve"> </w:t>
      </w:r>
      <w:r w:rsidR="00163E98" w:rsidRPr="00163E98">
        <w:t>novembre</w:t>
      </w:r>
      <w:r w:rsidRPr="00163E98">
        <w:t xml:space="preserve"> </w:t>
      </w:r>
      <w:r w:rsidR="00163E98" w:rsidRPr="00163E98">
        <w:t>2018</w:t>
      </w:r>
      <w:r>
        <w:t>]</w:t>
      </w:r>
    </w:p>
    <w:p w:rsidR="00C50F89" w:rsidRDefault="00F74759" w:rsidP="00C50F89">
      <w:pPr>
        <w:pStyle w:val="HChG"/>
      </w:pPr>
      <w:r>
        <w:br w:type="page"/>
      </w:r>
      <w:r w:rsidR="008D6145">
        <w:lastRenderedPageBreak/>
        <w:tab/>
      </w:r>
      <w:r w:rsidR="008D6145">
        <w:tab/>
      </w:r>
      <w:r w:rsidR="00C50F89">
        <w:t>Sigles et abré</w:t>
      </w:r>
      <w:r w:rsidR="00C50F89" w:rsidRPr="00FA0582">
        <w:t>viations</w:t>
      </w:r>
    </w:p>
    <w:p w:rsidR="00C50F89" w:rsidRDefault="00C50F89" w:rsidP="00821D2B">
      <w:pPr>
        <w:pStyle w:val="SingleTxtG"/>
        <w:spacing w:after="40" w:line="168" w:lineRule="auto"/>
        <w:ind w:left="2268" w:hanging="1134"/>
      </w:pPr>
      <w:r>
        <w:t>ANPE</w:t>
      </w:r>
      <w:r>
        <w:tab/>
        <w:t>Agence Nationale Pour l’Emploi</w:t>
      </w:r>
    </w:p>
    <w:p w:rsidR="00C50F89" w:rsidRDefault="00C50F89" w:rsidP="00821D2B">
      <w:pPr>
        <w:pStyle w:val="SingleTxtG"/>
        <w:spacing w:after="40" w:line="168" w:lineRule="auto"/>
        <w:ind w:left="2268" w:hanging="1134"/>
      </w:pPr>
      <w:r>
        <w:t>ARCEP</w:t>
      </w:r>
      <w:r>
        <w:tab/>
        <w:t>Autorité de Régulation des Communications Electroniques et de la Poste</w:t>
      </w:r>
    </w:p>
    <w:p w:rsidR="00C50F89" w:rsidRDefault="00C50F89" w:rsidP="00821D2B">
      <w:pPr>
        <w:pStyle w:val="SingleTxtG"/>
        <w:spacing w:after="40" w:line="168" w:lineRule="auto"/>
        <w:ind w:left="2268" w:hanging="1134"/>
      </w:pPr>
      <w:r>
        <w:t>CA</w:t>
      </w:r>
      <w:r>
        <w:tab/>
        <w:t>Cour d’Appel</w:t>
      </w:r>
    </w:p>
    <w:p w:rsidR="00C50F89" w:rsidRDefault="00C50F89" w:rsidP="00821D2B">
      <w:pPr>
        <w:pStyle w:val="SingleTxtG"/>
        <w:spacing w:after="40" w:line="168" w:lineRule="auto"/>
        <w:ind w:left="2268" w:hanging="1134"/>
      </w:pPr>
      <w:r>
        <w:t>CEDEAO</w:t>
      </w:r>
      <w:r>
        <w:tab/>
        <w:t>Communauté Economique des États de l’Afrique de l’Ouest</w:t>
      </w:r>
    </w:p>
    <w:p w:rsidR="00C50F89" w:rsidRDefault="00C50F89" w:rsidP="00821D2B">
      <w:pPr>
        <w:pStyle w:val="SingleTxtG"/>
        <w:spacing w:after="40" w:line="168" w:lineRule="auto"/>
        <w:ind w:left="2268" w:hanging="1134"/>
      </w:pPr>
      <w:r>
        <w:t>CNDLP</w:t>
      </w:r>
      <w:r>
        <w:tab/>
        <w:t>Commission Nationale pour le Développement et la Lutte contre la Pauvreté</w:t>
      </w:r>
    </w:p>
    <w:p w:rsidR="00C50F89" w:rsidRDefault="00C50F89" w:rsidP="00821D2B">
      <w:pPr>
        <w:pStyle w:val="SingleTxtG"/>
        <w:spacing w:after="40" w:line="168" w:lineRule="auto"/>
        <w:ind w:left="2268" w:hanging="1134"/>
      </w:pPr>
      <w:r>
        <w:t>CNHU</w:t>
      </w:r>
      <w:r>
        <w:tab/>
      </w:r>
      <w:r>
        <w:tab/>
        <w:t>Centre National Hospitalier et Universitaire</w:t>
      </w:r>
    </w:p>
    <w:p w:rsidR="00C50F89" w:rsidRDefault="00C50F89" w:rsidP="00821D2B">
      <w:pPr>
        <w:pStyle w:val="SingleTxtG"/>
        <w:spacing w:after="40" w:line="168" w:lineRule="auto"/>
        <w:ind w:left="2268" w:hanging="1134"/>
      </w:pPr>
      <w:r>
        <w:t>CNPF</w:t>
      </w:r>
      <w:r>
        <w:tab/>
        <w:t>Commission Nationale de Promotion de la Femme</w:t>
      </w:r>
    </w:p>
    <w:p w:rsidR="00C50F89" w:rsidRDefault="00C50F89" w:rsidP="00821D2B">
      <w:pPr>
        <w:pStyle w:val="SingleTxtG"/>
        <w:spacing w:after="40" w:line="168" w:lineRule="auto"/>
        <w:ind w:left="2268" w:hanging="1134"/>
      </w:pPr>
      <w:r>
        <w:t>DGE</w:t>
      </w:r>
      <w:r>
        <w:tab/>
        <w:t>Direction Générale de l’Environnement</w:t>
      </w:r>
    </w:p>
    <w:p w:rsidR="00C50F89" w:rsidRDefault="00C50F89" w:rsidP="00821D2B">
      <w:pPr>
        <w:pStyle w:val="SingleTxtG"/>
        <w:spacing w:after="40" w:line="168" w:lineRule="auto"/>
        <w:ind w:left="2268" w:hanging="1134"/>
      </w:pPr>
      <w:r>
        <w:t>DG-Eau</w:t>
      </w:r>
      <w:r>
        <w:tab/>
        <w:t>Direction Générale de l’Eau</w:t>
      </w:r>
    </w:p>
    <w:p w:rsidR="00C50F89" w:rsidRDefault="00C50F89" w:rsidP="00821D2B">
      <w:pPr>
        <w:pStyle w:val="SingleTxtG"/>
        <w:spacing w:after="40" w:line="168" w:lineRule="auto"/>
        <w:ind w:left="2268" w:hanging="1134"/>
      </w:pPr>
      <w:r>
        <w:t>DSRP</w:t>
      </w:r>
      <w:r>
        <w:tab/>
        <w:t>Document de Stratégie de Réduction de la Pauvreté</w:t>
      </w:r>
    </w:p>
    <w:p w:rsidR="00C50F89" w:rsidRDefault="00C50F89" w:rsidP="00821D2B">
      <w:pPr>
        <w:pStyle w:val="SingleTxtG"/>
        <w:spacing w:after="40" w:line="168" w:lineRule="auto"/>
        <w:ind w:left="2268" w:hanging="1134"/>
      </w:pPr>
      <w:r>
        <w:t>DSS</w:t>
      </w:r>
      <w:r>
        <w:tab/>
        <w:t>Direction des Statistiques Sociales</w:t>
      </w:r>
    </w:p>
    <w:p w:rsidR="00C50F89" w:rsidRDefault="00C50F89" w:rsidP="00821D2B">
      <w:pPr>
        <w:pStyle w:val="SingleTxtG"/>
        <w:spacing w:after="40" w:line="168" w:lineRule="auto"/>
        <w:ind w:left="2268" w:hanging="1134"/>
      </w:pPr>
      <w:r>
        <w:t>ECVR</w:t>
      </w:r>
      <w:r>
        <w:tab/>
        <w:t>Enquête sur les Conditions de Vie en milieu Rural</w:t>
      </w:r>
    </w:p>
    <w:p w:rsidR="00C50F89" w:rsidRDefault="00C50F89" w:rsidP="00821D2B">
      <w:pPr>
        <w:pStyle w:val="SingleTxtG"/>
        <w:spacing w:after="40" w:line="168" w:lineRule="auto"/>
        <w:ind w:left="2268" w:hanging="1134"/>
      </w:pPr>
      <w:r>
        <w:t>EDS</w:t>
      </w:r>
      <w:r>
        <w:tab/>
        <w:t xml:space="preserve">Enquête Démographique et de Santé </w:t>
      </w:r>
    </w:p>
    <w:p w:rsidR="00C50F89" w:rsidRDefault="00C50F89" w:rsidP="00821D2B">
      <w:pPr>
        <w:pStyle w:val="SingleTxtG"/>
        <w:spacing w:after="40" w:line="168" w:lineRule="auto"/>
        <w:ind w:left="2268" w:hanging="1134"/>
      </w:pPr>
      <w:r>
        <w:t>EDSB</w:t>
      </w:r>
      <w:r>
        <w:tab/>
        <w:t>Enquête Démographique et de Santé du Bénin</w:t>
      </w:r>
    </w:p>
    <w:p w:rsidR="00C50F89" w:rsidRDefault="00C50F89" w:rsidP="00821D2B">
      <w:pPr>
        <w:pStyle w:val="SingleTxtG"/>
        <w:spacing w:after="40" w:line="168" w:lineRule="auto"/>
        <w:ind w:left="2268" w:hanging="1134"/>
      </w:pPr>
      <w:r>
        <w:t>ELAM</w:t>
      </w:r>
      <w:r>
        <w:tab/>
        <w:t>Enquête Légère Auprès des Ménages</w:t>
      </w:r>
    </w:p>
    <w:p w:rsidR="00C50F89" w:rsidRDefault="00C50F89" w:rsidP="00821D2B">
      <w:pPr>
        <w:pStyle w:val="SingleTxtG"/>
        <w:spacing w:after="40" w:line="168" w:lineRule="auto"/>
        <w:ind w:left="2268" w:hanging="1134"/>
      </w:pPr>
      <w:r>
        <w:t>EMICoV</w:t>
      </w:r>
      <w:r>
        <w:tab/>
        <w:t>Enquête Modulaire Intégrée sur les Conditions de Vie des ménages</w:t>
      </w:r>
    </w:p>
    <w:p w:rsidR="00C50F89" w:rsidRDefault="00C50F89" w:rsidP="00821D2B">
      <w:pPr>
        <w:pStyle w:val="SingleTxtG"/>
        <w:spacing w:after="40" w:line="168" w:lineRule="auto"/>
        <w:ind w:left="2268" w:hanging="1134"/>
      </w:pPr>
      <w:r>
        <w:t>FASN</w:t>
      </w:r>
      <w:r>
        <w:tab/>
        <w:t>Fonds d’Appui à la Solidarité Nationale</w:t>
      </w:r>
    </w:p>
    <w:p w:rsidR="00C50F89" w:rsidRDefault="00C50F89" w:rsidP="00821D2B">
      <w:pPr>
        <w:pStyle w:val="SingleTxtG"/>
        <w:spacing w:after="40" w:line="168" w:lineRule="auto"/>
        <w:ind w:left="2268" w:hanging="1134"/>
      </w:pPr>
      <w:r>
        <w:t>IMF</w:t>
      </w:r>
      <w:r>
        <w:tab/>
        <w:t>Institution de Micro Finance</w:t>
      </w:r>
    </w:p>
    <w:p w:rsidR="00C50F89" w:rsidRDefault="00C50F89" w:rsidP="00821D2B">
      <w:pPr>
        <w:pStyle w:val="SingleTxtG"/>
        <w:spacing w:after="40" w:line="168" w:lineRule="auto"/>
        <w:ind w:left="2268" w:hanging="1134"/>
      </w:pPr>
      <w:r>
        <w:t>INSAE</w:t>
      </w:r>
      <w:r>
        <w:tab/>
        <w:t>Institut National de la Statistique et de l’Analyse Economique</w:t>
      </w:r>
    </w:p>
    <w:p w:rsidR="00C50F89" w:rsidRDefault="00C50F89" w:rsidP="00821D2B">
      <w:pPr>
        <w:pStyle w:val="SingleTxtG"/>
        <w:spacing w:after="40" w:line="168" w:lineRule="auto"/>
        <w:ind w:left="2268" w:hanging="1134"/>
      </w:pPr>
      <w:r>
        <w:t>IPF</w:t>
      </w:r>
      <w:r>
        <w:tab/>
        <w:t>Indice de Participation de la Femme</w:t>
      </w:r>
    </w:p>
    <w:p w:rsidR="00C50F89" w:rsidRDefault="00C50F89" w:rsidP="00821D2B">
      <w:pPr>
        <w:pStyle w:val="SingleTxtG"/>
        <w:spacing w:after="40" w:line="168" w:lineRule="auto"/>
        <w:ind w:left="2268" w:hanging="1134"/>
      </w:pPr>
      <w:r>
        <w:t>IPH</w:t>
      </w:r>
      <w:r>
        <w:tab/>
        <w:t>Indicateur de Pauvreté Humaine</w:t>
      </w:r>
    </w:p>
    <w:p w:rsidR="00C50F89" w:rsidRDefault="00C50F89" w:rsidP="00821D2B">
      <w:pPr>
        <w:pStyle w:val="SingleTxtG"/>
        <w:spacing w:after="40" w:line="168" w:lineRule="auto"/>
        <w:ind w:left="2268" w:hanging="1134"/>
      </w:pPr>
      <w:r>
        <w:t>IRA</w:t>
      </w:r>
      <w:r>
        <w:tab/>
        <w:t>Infection Respiratoire Aiguëe</w:t>
      </w:r>
    </w:p>
    <w:p w:rsidR="00C50F89" w:rsidRDefault="00C50F89" w:rsidP="00821D2B">
      <w:pPr>
        <w:pStyle w:val="SingleTxtG"/>
        <w:spacing w:after="40" w:line="168" w:lineRule="auto"/>
        <w:ind w:left="2268" w:hanging="1134"/>
      </w:pPr>
      <w:r>
        <w:t>LAPA</w:t>
      </w:r>
      <w:r>
        <w:tab/>
        <w:t>Lutte Antipaludique Accélérée</w:t>
      </w:r>
    </w:p>
    <w:p w:rsidR="00C50F89" w:rsidRDefault="00C50F89" w:rsidP="00821D2B">
      <w:pPr>
        <w:pStyle w:val="SingleTxtG"/>
        <w:spacing w:after="40" w:line="168" w:lineRule="auto"/>
        <w:ind w:left="2268" w:hanging="1134"/>
      </w:pPr>
      <w:r>
        <w:t>MEF</w:t>
      </w:r>
      <w:r>
        <w:tab/>
        <w:t>Ministère de l’Economie et des Finances</w:t>
      </w:r>
    </w:p>
    <w:p w:rsidR="00C50F89" w:rsidRDefault="00C50F89" w:rsidP="00821D2B">
      <w:pPr>
        <w:pStyle w:val="SingleTxtG"/>
        <w:spacing w:after="40" w:line="168" w:lineRule="auto"/>
        <w:ind w:left="2268" w:hanging="1134"/>
      </w:pPr>
      <w:r>
        <w:t>MEPN</w:t>
      </w:r>
      <w:r>
        <w:tab/>
        <w:t>Ministère de l’Environnement et de la Protection de la Nature</w:t>
      </w:r>
    </w:p>
    <w:p w:rsidR="00C50F89" w:rsidRDefault="00C50F89" w:rsidP="00821D2B">
      <w:pPr>
        <w:pStyle w:val="SingleTxtG"/>
        <w:spacing w:after="40" w:line="168" w:lineRule="auto"/>
        <w:ind w:left="2268" w:hanging="1134"/>
      </w:pPr>
      <w:r>
        <w:t>MEMP</w:t>
      </w:r>
      <w:r>
        <w:tab/>
        <w:t>Ministère des Enseignements Maternel et primaire</w:t>
      </w:r>
    </w:p>
    <w:p w:rsidR="00C50F89" w:rsidRDefault="00C50F89" w:rsidP="00821D2B">
      <w:pPr>
        <w:pStyle w:val="SingleTxtG"/>
        <w:spacing w:after="40" w:line="168" w:lineRule="auto"/>
        <w:ind w:left="2268" w:hanging="1134"/>
      </w:pPr>
      <w:r>
        <w:t>MEPS</w:t>
      </w:r>
      <w:r>
        <w:tab/>
        <w:t>Ministère des Enseignements Primaire et Secondaire</w:t>
      </w:r>
    </w:p>
    <w:p w:rsidR="00C50F89" w:rsidRDefault="00C50F89" w:rsidP="00821D2B">
      <w:pPr>
        <w:pStyle w:val="SingleTxtG"/>
        <w:spacing w:after="40" w:line="168" w:lineRule="auto"/>
        <w:ind w:left="2268" w:hanging="1134"/>
      </w:pPr>
      <w:r>
        <w:t>MESRS</w:t>
      </w:r>
      <w:r>
        <w:tab/>
        <w:t>Ministère de l’Enseignement Supérieur et de la Recherche Scientifique</w:t>
      </w:r>
    </w:p>
    <w:p w:rsidR="00C50F89" w:rsidRDefault="00C50F89" w:rsidP="00821D2B">
      <w:pPr>
        <w:pStyle w:val="SingleTxtG"/>
        <w:spacing w:after="40" w:line="168" w:lineRule="auto"/>
        <w:ind w:left="2268" w:hanging="1134"/>
      </w:pPr>
      <w:r>
        <w:t>METFP</w:t>
      </w:r>
      <w:r>
        <w:tab/>
        <w:t>Ministère de l’Enseignement Technique et de la Formation Professionnelle</w:t>
      </w:r>
    </w:p>
    <w:p w:rsidR="00C50F89" w:rsidRDefault="00C50F89" w:rsidP="00821D2B">
      <w:pPr>
        <w:pStyle w:val="SingleTxtG"/>
        <w:spacing w:after="40" w:line="168" w:lineRule="auto"/>
        <w:ind w:left="2268" w:hanging="1134"/>
      </w:pPr>
      <w:r>
        <w:t>MFSN</w:t>
      </w:r>
      <w:r>
        <w:tab/>
        <w:t>Ministère de la Famille et de la Solidarité Nationale</w:t>
      </w:r>
    </w:p>
    <w:p w:rsidR="00C50F89" w:rsidRDefault="00C50F89" w:rsidP="00821D2B">
      <w:pPr>
        <w:pStyle w:val="SingleTxtG"/>
        <w:spacing w:after="40" w:line="168" w:lineRule="auto"/>
        <w:ind w:left="2268" w:hanging="1134"/>
      </w:pPr>
      <w:r>
        <w:t>MJLDH</w:t>
      </w:r>
      <w:r>
        <w:tab/>
        <w:t>Ministère de la Justice, de la Législation et des Droits de l’Homme</w:t>
      </w:r>
    </w:p>
    <w:p w:rsidR="00C50F89" w:rsidRDefault="00C50F89" w:rsidP="00821D2B">
      <w:pPr>
        <w:pStyle w:val="SingleTxtG"/>
        <w:spacing w:after="40" w:line="168" w:lineRule="auto"/>
        <w:ind w:left="2268" w:hanging="1134"/>
      </w:pPr>
      <w:r>
        <w:t>MS</w:t>
      </w:r>
      <w:r>
        <w:tab/>
        <w:t xml:space="preserve">Ministère de la Santé </w:t>
      </w:r>
    </w:p>
    <w:p w:rsidR="00C50F89" w:rsidRDefault="00C50F89" w:rsidP="00821D2B">
      <w:pPr>
        <w:pStyle w:val="SingleTxtG"/>
        <w:spacing w:after="40" w:line="168" w:lineRule="auto"/>
        <w:ind w:left="2268" w:hanging="1134"/>
      </w:pPr>
      <w:r>
        <w:t>NTIC</w:t>
      </w:r>
      <w:r>
        <w:tab/>
        <w:t>Nouvelles Technologies de l’Information et de la Communication</w:t>
      </w:r>
    </w:p>
    <w:p w:rsidR="00C50F89" w:rsidRDefault="00C50F89" w:rsidP="00821D2B">
      <w:pPr>
        <w:pStyle w:val="SingleTxtG"/>
        <w:spacing w:after="40" w:line="168" w:lineRule="auto"/>
        <w:ind w:left="2268" w:hanging="1134"/>
      </w:pPr>
      <w:r>
        <w:t>OCS</w:t>
      </w:r>
      <w:r>
        <w:tab/>
        <w:t>Observatoire du Changement Social</w:t>
      </w:r>
    </w:p>
    <w:p w:rsidR="00C50F89" w:rsidRDefault="00C50F89" w:rsidP="00821D2B">
      <w:pPr>
        <w:pStyle w:val="SingleTxtG"/>
        <w:spacing w:after="40" w:line="168" w:lineRule="auto"/>
        <w:ind w:left="2268" w:hanging="1134"/>
      </w:pPr>
      <w:r>
        <w:t>OEF</w:t>
      </w:r>
      <w:r>
        <w:tab/>
        <w:t>Observatoire de l’Emploi et de la Formation</w:t>
      </w:r>
    </w:p>
    <w:p w:rsidR="00C50F89" w:rsidRDefault="00C50F89" w:rsidP="00821D2B">
      <w:pPr>
        <w:pStyle w:val="SingleTxtG"/>
        <w:spacing w:after="40" w:line="168" w:lineRule="auto"/>
        <w:ind w:left="2268" w:hanging="1134"/>
      </w:pPr>
      <w:r>
        <w:t>OIT</w:t>
      </w:r>
      <w:r>
        <w:tab/>
        <w:t>Organisation Internationale du Travail</w:t>
      </w:r>
    </w:p>
    <w:p w:rsidR="00C50F89" w:rsidRDefault="00C50F89" w:rsidP="00821D2B">
      <w:pPr>
        <w:pStyle w:val="SingleTxtG"/>
        <w:spacing w:after="40" w:line="168" w:lineRule="auto"/>
        <w:ind w:left="2268" w:hanging="1134"/>
      </w:pPr>
      <w:r>
        <w:t>OMD</w:t>
      </w:r>
      <w:r>
        <w:tab/>
        <w:t>Objectifs du Millénaire pour le Développement</w:t>
      </w:r>
    </w:p>
    <w:p w:rsidR="00C50F89" w:rsidRDefault="00C50F89" w:rsidP="00821D2B">
      <w:pPr>
        <w:pStyle w:val="SingleTxtG"/>
        <w:spacing w:after="40" w:line="168" w:lineRule="auto"/>
        <w:ind w:left="2268" w:hanging="1134"/>
      </w:pPr>
      <w:r>
        <w:t>ONG</w:t>
      </w:r>
      <w:r>
        <w:tab/>
        <w:t>Organisation Non Gouvernementale</w:t>
      </w:r>
    </w:p>
    <w:p w:rsidR="00C50F89" w:rsidRDefault="00C50F89" w:rsidP="00821D2B">
      <w:pPr>
        <w:pStyle w:val="SingleTxtG"/>
        <w:spacing w:after="40" w:line="168" w:lineRule="auto"/>
        <w:ind w:left="2268" w:hanging="1134"/>
      </w:pPr>
      <w:r>
        <w:t>OPT</w:t>
      </w:r>
      <w:r>
        <w:tab/>
        <w:t>Office des Postes et Télécommunication</w:t>
      </w:r>
    </w:p>
    <w:p w:rsidR="00C50F89" w:rsidRDefault="00C50F89" w:rsidP="00821D2B">
      <w:pPr>
        <w:pStyle w:val="SingleTxtG"/>
        <w:spacing w:after="40" w:line="168" w:lineRule="auto"/>
        <w:ind w:left="2268" w:hanging="1134"/>
      </w:pPr>
      <w:r>
        <w:t>PDC</w:t>
      </w:r>
      <w:r>
        <w:tab/>
        <w:t>Plan de Développement Communautaire</w:t>
      </w:r>
    </w:p>
    <w:p w:rsidR="00C50F89" w:rsidRDefault="00C50F89" w:rsidP="00821D2B">
      <w:pPr>
        <w:pStyle w:val="SingleTxtG"/>
        <w:spacing w:after="40" w:line="168" w:lineRule="auto"/>
        <w:ind w:left="2268" w:hanging="1134"/>
      </w:pPr>
      <w:r>
        <w:t>PEV</w:t>
      </w:r>
      <w:r>
        <w:tab/>
        <w:t>Programme Elargi de Vaccination</w:t>
      </w:r>
    </w:p>
    <w:p w:rsidR="00C50F89" w:rsidRDefault="00C50F89" w:rsidP="00821D2B">
      <w:pPr>
        <w:pStyle w:val="SingleTxtG"/>
        <w:spacing w:after="40" w:line="168" w:lineRule="auto"/>
        <w:ind w:left="2268" w:hanging="1134"/>
      </w:pPr>
      <w:r>
        <w:t>PIB</w:t>
      </w:r>
      <w:r>
        <w:tab/>
        <w:t>Produit Intérieur Brut</w:t>
      </w:r>
    </w:p>
    <w:p w:rsidR="00C50F89" w:rsidRDefault="00C50F89" w:rsidP="00821D2B">
      <w:pPr>
        <w:pStyle w:val="SingleTxtG"/>
        <w:spacing w:after="40" w:line="168" w:lineRule="auto"/>
        <w:ind w:left="2268" w:hanging="1134"/>
      </w:pPr>
      <w:r>
        <w:t>PIP</w:t>
      </w:r>
      <w:r>
        <w:tab/>
        <w:t>Programme d’Investissements Publics</w:t>
      </w:r>
    </w:p>
    <w:p w:rsidR="00C50F89" w:rsidRDefault="00C50F89" w:rsidP="00821D2B">
      <w:pPr>
        <w:pStyle w:val="SingleTxtG"/>
        <w:spacing w:after="40" w:line="168" w:lineRule="auto"/>
        <w:ind w:left="2268" w:hanging="1134"/>
      </w:pPr>
      <w:r>
        <w:t>PNPF</w:t>
      </w:r>
      <w:r>
        <w:tab/>
        <w:t>Politique Nationale de Promotion de la Femme</w:t>
      </w:r>
    </w:p>
    <w:p w:rsidR="00C50F89" w:rsidRDefault="00C50F89" w:rsidP="00821D2B">
      <w:pPr>
        <w:pStyle w:val="SingleTxtG"/>
        <w:spacing w:after="40" w:line="168" w:lineRule="auto"/>
        <w:ind w:left="2268" w:hanging="1134"/>
      </w:pPr>
      <w:r>
        <w:t>PNUD</w:t>
      </w:r>
      <w:r>
        <w:tab/>
        <w:t>Programme des Nations Unies pour le Développement</w:t>
      </w:r>
    </w:p>
    <w:p w:rsidR="00C50F89" w:rsidRDefault="00C50F89" w:rsidP="00821D2B">
      <w:pPr>
        <w:pStyle w:val="SingleTxtG"/>
        <w:spacing w:after="40" w:line="168" w:lineRule="auto"/>
        <w:ind w:left="2268" w:hanging="1134"/>
      </w:pPr>
      <w:r>
        <w:t>PPTE</w:t>
      </w:r>
      <w:r>
        <w:tab/>
        <w:t>Pays Pauvres Très Endettés</w:t>
      </w:r>
    </w:p>
    <w:p w:rsidR="00C50F89" w:rsidRDefault="00C50F89" w:rsidP="00821D2B">
      <w:pPr>
        <w:pStyle w:val="SingleTxtG"/>
        <w:spacing w:after="40" w:line="168" w:lineRule="auto"/>
        <w:ind w:left="2268" w:hanging="1134"/>
      </w:pPr>
      <w:r>
        <w:t>RGPH</w:t>
      </w:r>
      <w:r>
        <w:tab/>
        <w:t>Recensement Général de la Population et de l’Habitation</w:t>
      </w:r>
    </w:p>
    <w:p w:rsidR="00C50F89" w:rsidRDefault="00C50F89" w:rsidP="00821D2B">
      <w:pPr>
        <w:pStyle w:val="SingleTxtG"/>
        <w:spacing w:after="40" w:line="168" w:lineRule="auto"/>
        <w:ind w:left="2268" w:hanging="1134"/>
      </w:pPr>
      <w:r>
        <w:t xml:space="preserve">RNDH </w:t>
      </w:r>
      <w:r>
        <w:tab/>
        <w:t>Rapport National pour le Développement Humain</w:t>
      </w:r>
    </w:p>
    <w:p w:rsidR="00C50F89" w:rsidRDefault="00C50F89" w:rsidP="00821D2B">
      <w:pPr>
        <w:pStyle w:val="SingleTxtG"/>
        <w:spacing w:after="40" w:line="168" w:lineRule="auto"/>
        <w:ind w:left="2268" w:hanging="1134"/>
      </w:pPr>
      <w:r>
        <w:t>SBEE</w:t>
      </w:r>
      <w:r>
        <w:tab/>
        <w:t>Société Béninoise d’Energie Electrique</w:t>
      </w:r>
    </w:p>
    <w:p w:rsidR="00C50F89" w:rsidRDefault="00C50F89" w:rsidP="00821D2B">
      <w:pPr>
        <w:pStyle w:val="SingleTxtG"/>
        <w:spacing w:after="40" w:line="168" w:lineRule="auto"/>
        <w:ind w:left="2268" w:hanging="1134"/>
      </w:pPr>
      <w:r>
        <w:t>SCAIA</w:t>
      </w:r>
      <w:r>
        <w:tab/>
        <w:t>Système de Collecte et d’Analyse des Indicateurs Agrégés</w:t>
      </w:r>
    </w:p>
    <w:p w:rsidR="00C50F89" w:rsidRDefault="00C50F89" w:rsidP="00821D2B">
      <w:pPr>
        <w:pStyle w:val="SingleTxtG"/>
        <w:spacing w:after="40" w:line="168" w:lineRule="auto"/>
        <w:ind w:left="2268" w:hanging="1134"/>
      </w:pPr>
      <w:r>
        <w:t>SCRP</w:t>
      </w:r>
      <w:r>
        <w:tab/>
        <w:t>Stratégie de Croissance pour la Réduction de la Pauvreté</w:t>
      </w:r>
    </w:p>
    <w:p w:rsidR="00C50F89" w:rsidRDefault="00C50F89" w:rsidP="00821D2B">
      <w:pPr>
        <w:pStyle w:val="SingleTxtG"/>
        <w:spacing w:after="40" w:line="168" w:lineRule="auto"/>
        <w:ind w:left="2268" w:hanging="1134"/>
      </w:pPr>
      <w:r>
        <w:t>SFD</w:t>
      </w:r>
      <w:r>
        <w:tab/>
        <w:t>Services Financiers Décentralisés</w:t>
      </w:r>
    </w:p>
    <w:p w:rsidR="00C50F89" w:rsidRDefault="00C50F89" w:rsidP="00821D2B">
      <w:pPr>
        <w:pStyle w:val="SingleTxtG"/>
        <w:spacing w:after="40" w:line="168" w:lineRule="auto"/>
        <w:ind w:left="2268" w:hanging="1134"/>
      </w:pPr>
      <w:r>
        <w:t>SIGFiP</w:t>
      </w:r>
      <w:r>
        <w:tab/>
        <w:t>Système Intégré de Gestion des Finances Publiques</w:t>
      </w:r>
    </w:p>
    <w:p w:rsidR="00C50F89" w:rsidRDefault="00C50F89" w:rsidP="00821D2B">
      <w:pPr>
        <w:pStyle w:val="SingleTxtG"/>
        <w:spacing w:after="40" w:line="168" w:lineRule="auto"/>
        <w:ind w:left="2268" w:hanging="1134"/>
      </w:pPr>
      <w:r>
        <w:t>SONAPRA</w:t>
      </w:r>
      <w:r>
        <w:tab/>
        <w:t>Société Nationale pour la Promotion Agricole</w:t>
      </w:r>
    </w:p>
    <w:p w:rsidR="00C50F89" w:rsidRDefault="00C50F89" w:rsidP="00821D2B">
      <w:pPr>
        <w:pStyle w:val="SingleTxtG"/>
        <w:spacing w:after="40" w:line="168" w:lineRule="auto"/>
        <w:ind w:left="2268" w:hanging="1134"/>
      </w:pPr>
      <w:r>
        <w:t>SONEB</w:t>
      </w:r>
      <w:r>
        <w:tab/>
        <w:t>Société Nationale des Eaux du Bénin</w:t>
      </w:r>
    </w:p>
    <w:p w:rsidR="00C50F89" w:rsidRDefault="00C50F89" w:rsidP="00821D2B">
      <w:pPr>
        <w:pStyle w:val="SingleTxtG"/>
        <w:spacing w:after="40" w:line="168" w:lineRule="auto"/>
        <w:ind w:left="2268" w:hanging="1134"/>
      </w:pPr>
      <w:r>
        <w:t>TAP</w:t>
      </w:r>
      <w:r>
        <w:tab/>
        <w:t>Taux d’Achèvement du Primaire</w:t>
      </w:r>
    </w:p>
    <w:p w:rsidR="00C50F89" w:rsidRDefault="00C50F89" w:rsidP="00821D2B">
      <w:pPr>
        <w:pStyle w:val="SingleTxtG"/>
        <w:spacing w:after="40" w:line="168" w:lineRule="auto"/>
        <w:ind w:left="2268" w:hanging="1134"/>
      </w:pPr>
      <w:r>
        <w:t>TBA</w:t>
      </w:r>
      <w:r>
        <w:tab/>
        <w:t xml:space="preserve">Taux Brut d’Admission </w:t>
      </w:r>
    </w:p>
    <w:p w:rsidR="00C50F89" w:rsidRDefault="00C50F89" w:rsidP="00821D2B">
      <w:pPr>
        <w:pStyle w:val="SingleTxtG"/>
        <w:spacing w:after="40" w:line="168" w:lineRule="auto"/>
        <w:ind w:left="2268" w:hanging="1134"/>
      </w:pPr>
      <w:r>
        <w:t>TBS</w:t>
      </w:r>
      <w:r>
        <w:tab/>
        <w:t>Tableau de Bord Social</w:t>
      </w:r>
    </w:p>
    <w:p w:rsidR="00C50F89" w:rsidRDefault="00C50F89" w:rsidP="00821D2B">
      <w:pPr>
        <w:pStyle w:val="SingleTxtG"/>
        <w:spacing w:after="40" w:line="168" w:lineRule="auto"/>
        <w:ind w:left="2268" w:hanging="1134"/>
      </w:pPr>
      <w:r>
        <w:t>TEC</w:t>
      </w:r>
      <w:r>
        <w:tab/>
        <w:t>Tarif Extérieur Commun</w:t>
      </w:r>
    </w:p>
    <w:p w:rsidR="00C50F89" w:rsidRDefault="00C50F89" w:rsidP="00821D2B">
      <w:pPr>
        <w:pStyle w:val="SingleTxtG"/>
        <w:spacing w:after="40" w:line="168" w:lineRule="auto"/>
        <w:ind w:left="2268" w:hanging="1134"/>
      </w:pPr>
      <w:r>
        <w:t>TMI</w:t>
      </w:r>
      <w:r>
        <w:tab/>
        <w:t>Taux de Mortalité Infantile</w:t>
      </w:r>
    </w:p>
    <w:p w:rsidR="00C50F89" w:rsidRDefault="00C50F89" w:rsidP="00821D2B">
      <w:pPr>
        <w:pStyle w:val="SingleTxtG"/>
        <w:spacing w:after="40" w:line="168" w:lineRule="auto"/>
        <w:ind w:left="2268" w:hanging="1134"/>
      </w:pPr>
      <w:r>
        <w:t>TPI</w:t>
      </w:r>
      <w:r>
        <w:tab/>
        <w:t>Tribunal de Première Instance</w:t>
      </w:r>
    </w:p>
    <w:p w:rsidR="00C50F89" w:rsidRDefault="00C50F89" w:rsidP="00821D2B">
      <w:pPr>
        <w:pStyle w:val="SingleTxtG"/>
        <w:spacing w:after="40" w:line="168" w:lineRule="auto"/>
        <w:ind w:left="2268" w:hanging="1134"/>
      </w:pPr>
      <w:r>
        <w:t>UAC</w:t>
      </w:r>
      <w:r>
        <w:tab/>
        <w:t>Université d’Abomey-Calavi</w:t>
      </w:r>
    </w:p>
    <w:p w:rsidR="00C50F89" w:rsidRDefault="00C50F89" w:rsidP="00821D2B">
      <w:pPr>
        <w:pStyle w:val="SingleTxtG"/>
        <w:spacing w:after="40" w:line="168" w:lineRule="auto"/>
        <w:ind w:left="2268" w:hanging="1134"/>
      </w:pPr>
      <w:r>
        <w:t>UEMOA</w:t>
      </w:r>
      <w:r>
        <w:tab/>
        <w:t>Union Economique et Monétaire Ouest Africaine</w:t>
      </w:r>
    </w:p>
    <w:p w:rsidR="00C50F89" w:rsidRDefault="00C50F89" w:rsidP="00821D2B">
      <w:pPr>
        <w:pStyle w:val="SingleTxtG"/>
        <w:spacing w:after="40" w:line="168" w:lineRule="auto"/>
        <w:ind w:left="2268" w:hanging="1134"/>
      </w:pPr>
      <w:r>
        <w:t>UNICEF</w:t>
      </w:r>
      <w:r>
        <w:tab/>
        <w:t>Fonds des Nations Unies pour l’Enfance</w:t>
      </w:r>
    </w:p>
    <w:p w:rsidR="00C50F89" w:rsidRDefault="00C50F89" w:rsidP="00821D2B">
      <w:pPr>
        <w:pStyle w:val="SingleTxtG"/>
        <w:spacing w:after="40" w:line="168" w:lineRule="auto"/>
        <w:ind w:left="2268" w:hanging="1134"/>
      </w:pPr>
      <w:r>
        <w:t>UP</w:t>
      </w:r>
      <w:r>
        <w:tab/>
        <w:t>Université de Parakou</w:t>
      </w:r>
    </w:p>
    <w:p w:rsidR="00C50F89" w:rsidRDefault="00C50F89" w:rsidP="00821D2B">
      <w:pPr>
        <w:pStyle w:val="SingleTxtG"/>
        <w:spacing w:after="40" w:line="168" w:lineRule="auto"/>
        <w:ind w:left="2268" w:hanging="1134"/>
      </w:pPr>
      <w:r>
        <w:t>VAR</w:t>
      </w:r>
      <w:r>
        <w:tab/>
        <w:t>Vaccin Anti Rougeoleux</w:t>
      </w:r>
    </w:p>
    <w:p w:rsidR="00C50F89" w:rsidRDefault="00C50F89" w:rsidP="00821D2B">
      <w:pPr>
        <w:pStyle w:val="SingleTxtG"/>
        <w:spacing w:after="40" w:line="168" w:lineRule="auto"/>
        <w:ind w:left="2268" w:hanging="1134"/>
      </w:pPr>
      <w:r>
        <w:t>VIH/</w:t>
      </w:r>
      <w:r w:rsidR="000B490E">
        <w:t>sida</w:t>
      </w:r>
      <w:r>
        <w:tab/>
        <w:t>Virus Immunodéficience Humaine/Syndrome d’Immunodéficience Acquise</w:t>
      </w:r>
    </w:p>
    <w:p w:rsidR="00C50F89" w:rsidRPr="00821D2B" w:rsidRDefault="00C50F89" w:rsidP="00821D2B">
      <w:pPr>
        <w:pStyle w:val="SingleTxtG"/>
        <w:spacing w:after="40" w:line="168" w:lineRule="auto"/>
        <w:ind w:left="2268" w:hanging="1134"/>
        <w:rPr>
          <w:sz w:val="28"/>
        </w:rPr>
      </w:pPr>
      <w:r>
        <w:t>ZS</w:t>
      </w:r>
      <w:r>
        <w:tab/>
        <w:t>Zone Sanitaire</w:t>
      </w:r>
      <w:r w:rsidR="002D4152">
        <w:t xml:space="preserve"> </w:t>
      </w:r>
      <w:r>
        <w:br w:type="page"/>
      </w:r>
    </w:p>
    <w:p w:rsidR="008D6145" w:rsidRPr="008D6145" w:rsidRDefault="00C50F89" w:rsidP="00C50F89">
      <w:pPr>
        <w:pStyle w:val="HChG"/>
      </w:pPr>
      <w:r>
        <w:lastRenderedPageBreak/>
        <w:tab/>
      </w:r>
      <w:r>
        <w:tab/>
      </w:r>
      <w:r w:rsidR="008D6145" w:rsidRPr="00C50F89">
        <w:t>Introduction</w:t>
      </w:r>
    </w:p>
    <w:p w:rsidR="008D6145" w:rsidRPr="008D6145" w:rsidRDefault="00821D2B" w:rsidP="00821D2B">
      <w:pPr>
        <w:pStyle w:val="SingleTxtG"/>
        <w:kinsoku/>
        <w:overflowPunct/>
        <w:autoSpaceDE/>
        <w:autoSpaceDN/>
        <w:adjustRightInd/>
        <w:snapToGrid/>
        <w:rPr>
          <w:rFonts w:eastAsia="Times New Roman"/>
        </w:rPr>
      </w:pPr>
      <w:r w:rsidRPr="008D6145">
        <w:rPr>
          <w:rFonts w:eastAsia="Times New Roman"/>
        </w:rPr>
        <w:t>1.</w:t>
      </w:r>
      <w:r w:rsidRPr="008D6145">
        <w:rPr>
          <w:rFonts w:eastAsia="Times New Roman"/>
        </w:rPr>
        <w:tab/>
      </w:r>
      <w:r w:rsidR="008D6145" w:rsidRPr="00040041">
        <w:rPr>
          <w:rFonts w:eastAsia="Times New Roman"/>
          <w:lang w:val="fr-FR"/>
        </w:rPr>
        <w:t>Le</w:t>
      </w:r>
      <w:r w:rsidR="008D6145" w:rsidRPr="008D6145">
        <w:rPr>
          <w:rFonts w:eastAsia="Times New Roman"/>
        </w:rPr>
        <w:t xml:space="preserve"> Gouvernement de la République du Bénin, fidèle à sa tradition de promotion des droits humains, ne ménage aucun effort pour se conformer à ses engagements internationaux. Après le premier rapport initial et le deuxième rapport périodique présentés respectivement en 2002 et 2008, le Bénin soumet au Comité des Droits Economiques, Sociaux et Culturels, le troisième rapport consolidé sur l</w:t>
      </w:r>
      <w:r w:rsidR="00A033A7">
        <w:rPr>
          <w:rFonts w:eastAsia="Times New Roman"/>
        </w:rPr>
        <w:t>’</w:t>
      </w:r>
      <w:r w:rsidR="008D6145" w:rsidRPr="008D6145">
        <w:rPr>
          <w:rFonts w:eastAsia="Times New Roman"/>
        </w:rPr>
        <w:t>application du Pacte International relatif aux Droits Economiques, Sociaux et Culturels (PIDESC) qu</w:t>
      </w:r>
      <w:r w:rsidR="00A033A7">
        <w:rPr>
          <w:rFonts w:eastAsia="Times New Roman"/>
        </w:rPr>
        <w:t>’</w:t>
      </w:r>
      <w:r w:rsidR="008D6145" w:rsidRPr="008D6145">
        <w:rPr>
          <w:rFonts w:eastAsia="Times New Roman"/>
        </w:rPr>
        <w:t xml:space="preserve">il a ratifié en mars 1992. </w:t>
      </w:r>
    </w:p>
    <w:p w:rsidR="008D6145" w:rsidRPr="008D6145" w:rsidRDefault="00821D2B" w:rsidP="00821D2B">
      <w:pPr>
        <w:pStyle w:val="SingleTxtG"/>
        <w:kinsoku/>
        <w:overflowPunct/>
        <w:autoSpaceDE/>
        <w:autoSpaceDN/>
        <w:adjustRightInd/>
        <w:snapToGrid/>
        <w:rPr>
          <w:rFonts w:eastAsia="Times New Roman"/>
        </w:rPr>
      </w:pPr>
      <w:r w:rsidRPr="008D6145">
        <w:rPr>
          <w:rFonts w:eastAsia="Times New Roman"/>
        </w:rPr>
        <w:t>2.</w:t>
      </w:r>
      <w:r w:rsidRPr="008D6145">
        <w:rPr>
          <w:rFonts w:eastAsia="Times New Roman"/>
        </w:rPr>
        <w:tab/>
      </w:r>
      <w:r w:rsidR="008D6145" w:rsidRPr="008D6145">
        <w:rPr>
          <w:rFonts w:eastAsia="Times New Roman"/>
        </w:rPr>
        <w:t>Ce rapport couvre la période, allant de 2008 à 2017. Il est établi conformément aux dispositions des articles 1</w:t>
      </w:r>
      <w:r w:rsidR="00F97ACE">
        <w:rPr>
          <w:rFonts w:eastAsia="Times New Roman"/>
        </w:rPr>
        <w:t>6 point 1</w:t>
      </w:r>
      <w:r w:rsidR="00902DBD">
        <w:rPr>
          <w:rFonts w:eastAsia="Times New Roman"/>
        </w:rPr>
        <w:t xml:space="preserve"> </w:t>
      </w:r>
      <w:r w:rsidR="00F97ACE">
        <w:rPr>
          <w:rFonts w:eastAsia="Times New Roman"/>
        </w:rPr>
        <w:t>et 17 points 1-2-3 du P</w:t>
      </w:r>
      <w:r w:rsidR="008D6145" w:rsidRPr="008D6145">
        <w:rPr>
          <w:rFonts w:eastAsia="Times New Roman"/>
        </w:rPr>
        <w:t>acte et suivant les directives harmonisées HRI/GEN/2/Rev.6 du 3 juin 2009 concernant l</w:t>
      </w:r>
      <w:r w:rsidR="00A033A7">
        <w:rPr>
          <w:rFonts w:eastAsia="Times New Roman"/>
        </w:rPr>
        <w:t>’</w:t>
      </w:r>
      <w:r w:rsidR="008D6145" w:rsidRPr="008D6145">
        <w:rPr>
          <w:rFonts w:eastAsia="Times New Roman"/>
        </w:rPr>
        <w:t>élaboration des rapports destinés aux organes de traités.</w:t>
      </w:r>
    </w:p>
    <w:p w:rsidR="008D6145" w:rsidRPr="008D6145" w:rsidRDefault="00821D2B" w:rsidP="00821D2B">
      <w:pPr>
        <w:pStyle w:val="SingleTxtG"/>
        <w:kinsoku/>
        <w:overflowPunct/>
        <w:autoSpaceDE/>
        <w:autoSpaceDN/>
        <w:adjustRightInd/>
        <w:snapToGrid/>
        <w:rPr>
          <w:rFonts w:eastAsia="Calibri"/>
          <w:color w:val="000000"/>
        </w:rPr>
      </w:pPr>
      <w:r w:rsidRPr="008D6145">
        <w:rPr>
          <w:rFonts w:eastAsia="Calibri"/>
          <w:color w:val="000000"/>
        </w:rPr>
        <w:t>3.</w:t>
      </w:r>
      <w:r w:rsidRPr="008D6145">
        <w:rPr>
          <w:rFonts w:eastAsia="Calibri"/>
          <w:color w:val="000000"/>
        </w:rPr>
        <w:tab/>
      </w:r>
      <w:r w:rsidR="008D6145" w:rsidRPr="008D6145">
        <w:rPr>
          <w:rFonts w:eastAsia="Calibri"/>
          <w:color w:val="000000"/>
          <w:spacing w:val="-2"/>
        </w:rPr>
        <w:t>L</w:t>
      </w:r>
      <w:r w:rsidR="00A033A7">
        <w:rPr>
          <w:rFonts w:eastAsia="Calibri"/>
          <w:color w:val="000000"/>
          <w:spacing w:val="-2"/>
        </w:rPr>
        <w:t>’</w:t>
      </w:r>
      <w:r w:rsidR="008D6145" w:rsidRPr="008D6145">
        <w:rPr>
          <w:rFonts w:eastAsia="Calibri"/>
          <w:color w:val="000000"/>
          <w:spacing w:val="-2"/>
        </w:rPr>
        <w:t>élaboration de ce rapport est le résultat d</w:t>
      </w:r>
      <w:r w:rsidR="00A033A7">
        <w:rPr>
          <w:rFonts w:eastAsia="Calibri"/>
          <w:color w:val="000000"/>
          <w:spacing w:val="-2"/>
        </w:rPr>
        <w:t>’</w:t>
      </w:r>
      <w:r w:rsidR="008D6145" w:rsidRPr="008D6145">
        <w:rPr>
          <w:rFonts w:eastAsia="Calibri"/>
          <w:color w:val="000000"/>
          <w:spacing w:val="-2"/>
        </w:rPr>
        <w:t>un processus inclusif de consultation nationale où, structures étatiques et acteurs de la société civile, appuyés par le Programme des Nations Unies pour le Développement, ont contribué à la collecte des informations sous la coordination du Ministère en charge des droits de l</w:t>
      </w:r>
      <w:r w:rsidR="00A033A7">
        <w:rPr>
          <w:rFonts w:eastAsia="Calibri"/>
          <w:color w:val="000000"/>
          <w:spacing w:val="-2"/>
        </w:rPr>
        <w:t>’</w:t>
      </w:r>
      <w:r w:rsidR="008D6145" w:rsidRPr="008D6145">
        <w:rPr>
          <w:rFonts w:eastAsia="Calibri"/>
          <w:color w:val="000000"/>
          <w:spacing w:val="-2"/>
        </w:rPr>
        <w:t>Homme. Cette procédure a consisté à</w:t>
      </w:r>
      <w:r w:rsidR="008A7736">
        <w:rPr>
          <w:rFonts w:eastAsia="Calibri"/>
          <w:color w:val="000000"/>
          <w:spacing w:val="-2"/>
        </w:rPr>
        <w:t> </w:t>
      </w:r>
      <w:r w:rsidR="008D6145" w:rsidRPr="008D6145">
        <w:rPr>
          <w:rFonts w:eastAsia="Calibri"/>
          <w:color w:val="000000"/>
          <w:spacing w:val="-2"/>
        </w:rPr>
        <w:t>:</w:t>
      </w:r>
    </w:p>
    <w:p w:rsidR="008D6145" w:rsidRPr="008D6145" w:rsidRDefault="00821D2B" w:rsidP="00821D2B">
      <w:pPr>
        <w:pStyle w:val="Bullet1G"/>
        <w:numPr>
          <w:ilvl w:val="0"/>
          <w:numId w:val="0"/>
        </w:numPr>
        <w:tabs>
          <w:tab w:val="left" w:pos="1701"/>
        </w:tabs>
        <w:ind w:left="1701" w:hanging="170"/>
      </w:pPr>
      <w:r w:rsidRPr="008D6145">
        <w:t>•</w:t>
      </w:r>
      <w:r w:rsidRPr="008D6145">
        <w:tab/>
      </w:r>
      <w:r w:rsidR="008D6145" w:rsidRPr="008D6145">
        <w:t>Évaluer la mise en œuvre des recommandations de l</w:t>
      </w:r>
      <w:r w:rsidR="00A033A7">
        <w:t>’</w:t>
      </w:r>
      <w:r w:rsidR="008D6145" w:rsidRPr="008D6145">
        <w:t>examen précédent; procéder à des consultations sectorielles au niveau des ministères pour recenser les faits nouveaux</w:t>
      </w:r>
      <w:r w:rsidR="008A7736">
        <w:t> </w:t>
      </w:r>
      <w:r w:rsidR="008D6145" w:rsidRPr="008D6145">
        <w:t>;</w:t>
      </w:r>
    </w:p>
    <w:p w:rsidR="008D6145" w:rsidRPr="008D6145" w:rsidRDefault="00821D2B" w:rsidP="00821D2B">
      <w:pPr>
        <w:pStyle w:val="Bullet1G"/>
        <w:numPr>
          <w:ilvl w:val="0"/>
          <w:numId w:val="0"/>
        </w:numPr>
        <w:tabs>
          <w:tab w:val="left" w:pos="1701"/>
        </w:tabs>
        <w:ind w:left="1701" w:hanging="170"/>
      </w:pPr>
      <w:r w:rsidRPr="008D6145">
        <w:t>•</w:t>
      </w:r>
      <w:r w:rsidRPr="008D6145">
        <w:tab/>
      </w:r>
      <w:r w:rsidR="008D6145" w:rsidRPr="008D6145">
        <w:t>Recruter un consultant pour la collecte de données et la rédaction d</w:t>
      </w:r>
      <w:r w:rsidR="00A033A7">
        <w:t>’</w:t>
      </w:r>
      <w:r w:rsidR="008D6145" w:rsidRPr="008D6145">
        <w:t>un avant-projet de rapport.</w:t>
      </w:r>
    </w:p>
    <w:p w:rsidR="008D6145" w:rsidRPr="008D6145" w:rsidRDefault="00821D2B" w:rsidP="00821D2B">
      <w:pPr>
        <w:pStyle w:val="SingleTxtG"/>
        <w:kinsoku/>
        <w:overflowPunct/>
        <w:autoSpaceDE/>
        <w:autoSpaceDN/>
        <w:adjustRightInd/>
        <w:snapToGrid/>
        <w:rPr>
          <w:rFonts w:eastAsia="Calibri"/>
          <w:color w:val="000000"/>
        </w:rPr>
      </w:pPr>
      <w:r w:rsidRPr="008D6145">
        <w:rPr>
          <w:rFonts w:eastAsia="Calibri"/>
          <w:color w:val="000000"/>
        </w:rPr>
        <w:t>4.</w:t>
      </w:r>
      <w:r w:rsidRPr="008D6145">
        <w:rPr>
          <w:rFonts w:eastAsia="Calibri"/>
          <w:color w:val="000000"/>
        </w:rPr>
        <w:tab/>
      </w:r>
      <w:r w:rsidR="008D6145" w:rsidRPr="008D6145">
        <w:rPr>
          <w:rFonts w:eastAsia="Calibri"/>
          <w:color w:val="000000"/>
        </w:rPr>
        <w:t>Le document a été examiné par un Comité d</w:t>
      </w:r>
      <w:r w:rsidR="00A033A7">
        <w:rPr>
          <w:rFonts w:eastAsia="Calibri"/>
          <w:color w:val="000000"/>
        </w:rPr>
        <w:t>’</w:t>
      </w:r>
      <w:r w:rsidR="008D6145" w:rsidRPr="008D6145">
        <w:rPr>
          <w:rFonts w:eastAsia="Calibri"/>
          <w:color w:val="000000"/>
        </w:rPr>
        <w:t>experts avant sa validation par le Comité National d</w:t>
      </w:r>
      <w:r w:rsidR="00A033A7">
        <w:rPr>
          <w:rFonts w:eastAsia="Calibri"/>
          <w:color w:val="000000"/>
        </w:rPr>
        <w:t>’</w:t>
      </w:r>
      <w:r w:rsidR="008D6145" w:rsidRPr="008D6145">
        <w:rPr>
          <w:rFonts w:eastAsia="Calibri"/>
          <w:color w:val="000000"/>
        </w:rPr>
        <w:t>application des instruments internationaux élargi aux membres du Conseil National Consultatif des Droits de l</w:t>
      </w:r>
      <w:r w:rsidR="00A033A7">
        <w:rPr>
          <w:rFonts w:eastAsia="Calibri"/>
          <w:color w:val="000000"/>
        </w:rPr>
        <w:t>’</w:t>
      </w:r>
      <w:r w:rsidR="008D6145" w:rsidRPr="008D6145">
        <w:rPr>
          <w:rFonts w:eastAsia="Calibri"/>
          <w:color w:val="000000"/>
        </w:rPr>
        <w:t>Homme.</w:t>
      </w:r>
    </w:p>
    <w:p w:rsidR="008D6145" w:rsidRPr="008D6145" w:rsidRDefault="00821D2B" w:rsidP="00821D2B">
      <w:pPr>
        <w:pStyle w:val="SingleTxtG"/>
        <w:kinsoku/>
        <w:overflowPunct/>
        <w:autoSpaceDE/>
        <w:autoSpaceDN/>
        <w:adjustRightInd/>
        <w:snapToGrid/>
        <w:rPr>
          <w:rFonts w:eastAsia="Times New Roman"/>
        </w:rPr>
      </w:pPr>
      <w:r w:rsidRPr="008D6145">
        <w:rPr>
          <w:rFonts w:eastAsia="Times New Roman"/>
        </w:rPr>
        <w:t>5.</w:t>
      </w:r>
      <w:r w:rsidRPr="008D6145">
        <w:rPr>
          <w:rFonts w:eastAsia="Times New Roman"/>
        </w:rPr>
        <w:tab/>
      </w:r>
      <w:r w:rsidR="008D6145" w:rsidRPr="008D6145">
        <w:rPr>
          <w:rFonts w:eastAsia="Calibri"/>
          <w:color w:val="000000"/>
        </w:rPr>
        <w:t>La substance du rapport fait le point des faits nouveaux intervenus au niveau du cadre normatif et institutionnel, de la promotion et de la protection des droits de l</w:t>
      </w:r>
      <w:r w:rsidR="00A033A7">
        <w:rPr>
          <w:rFonts w:eastAsia="Calibri"/>
          <w:color w:val="000000"/>
        </w:rPr>
        <w:t>’</w:t>
      </w:r>
      <w:r w:rsidR="008D6145" w:rsidRPr="008D6145">
        <w:rPr>
          <w:rFonts w:eastAsia="Calibri"/>
          <w:color w:val="000000"/>
        </w:rPr>
        <w:t>Homme, et rend compte des progrès, des meilleures pratiques, des défis et initiatives susceptibles d</w:t>
      </w:r>
      <w:r w:rsidR="00A033A7">
        <w:rPr>
          <w:rFonts w:eastAsia="Calibri"/>
          <w:color w:val="000000"/>
        </w:rPr>
        <w:t>’</w:t>
      </w:r>
      <w:r w:rsidR="008D6145" w:rsidRPr="008D6145">
        <w:rPr>
          <w:rFonts w:eastAsia="Calibri"/>
          <w:color w:val="000000"/>
        </w:rPr>
        <w:t>améliorer la situation des droits de l</w:t>
      </w:r>
      <w:r w:rsidR="00A033A7">
        <w:rPr>
          <w:rFonts w:eastAsia="Calibri"/>
          <w:color w:val="000000"/>
        </w:rPr>
        <w:t>’</w:t>
      </w:r>
      <w:r w:rsidR="008D6145" w:rsidRPr="008D6145">
        <w:rPr>
          <w:rFonts w:eastAsia="Calibri"/>
          <w:color w:val="000000"/>
        </w:rPr>
        <w:t>Homme sur le terrain</w:t>
      </w:r>
      <w:r w:rsidR="006533A3">
        <w:rPr>
          <w:rFonts w:eastAsia="Calibri"/>
          <w:color w:val="000000"/>
        </w:rPr>
        <w:t>.</w:t>
      </w:r>
    </w:p>
    <w:p w:rsidR="008D6145" w:rsidRPr="008D6145" w:rsidRDefault="008D6145" w:rsidP="00821D2B">
      <w:pPr>
        <w:pStyle w:val="HChG"/>
        <w:rPr>
          <w:lang w:val="fr-FR"/>
        </w:rPr>
      </w:pPr>
      <w:r w:rsidRPr="008D6145">
        <w:rPr>
          <w:lang w:val="fr-FR"/>
        </w:rPr>
        <w:tab/>
      </w:r>
      <w:r w:rsidRPr="008D6145">
        <w:rPr>
          <w:lang w:val="fr-FR"/>
        </w:rPr>
        <w:tab/>
        <w:t xml:space="preserve">Première </w:t>
      </w:r>
      <w:r w:rsidR="000B490E">
        <w:rPr>
          <w:lang w:val="fr-FR"/>
        </w:rPr>
        <w:t>p</w:t>
      </w:r>
      <w:r w:rsidRPr="008D6145">
        <w:rPr>
          <w:lang w:val="fr-FR"/>
        </w:rPr>
        <w:t>artie</w:t>
      </w:r>
      <w:r w:rsidR="008A7736">
        <w:rPr>
          <w:lang w:val="fr-FR"/>
        </w:rPr>
        <w:t xml:space="preserve"> – </w:t>
      </w:r>
      <w:r w:rsidR="008A7736" w:rsidRPr="008D6145">
        <w:rPr>
          <w:lang w:val="fr-FR"/>
        </w:rPr>
        <w:t>Renseignements d</w:t>
      </w:r>
      <w:r w:rsidR="008A7736">
        <w:rPr>
          <w:lang w:val="fr-FR"/>
        </w:rPr>
        <w:t>’</w:t>
      </w:r>
      <w:r w:rsidR="008A7736" w:rsidRPr="008D6145">
        <w:rPr>
          <w:lang w:val="fr-FR"/>
        </w:rPr>
        <w:t>ordre général</w:t>
      </w:r>
    </w:p>
    <w:p w:rsidR="008D6145" w:rsidRPr="008D6145" w:rsidRDefault="00821D2B" w:rsidP="00821D2B">
      <w:pPr>
        <w:pStyle w:val="SingleTxtG"/>
        <w:kinsoku/>
        <w:overflowPunct/>
        <w:autoSpaceDE/>
        <w:autoSpaceDN/>
        <w:adjustRightInd/>
        <w:snapToGrid/>
        <w:rPr>
          <w:rFonts w:eastAsia="Times New Roman"/>
          <w:lang w:val="fr-FR"/>
        </w:rPr>
      </w:pPr>
      <w:r w:rsidRPr="008D6145">
        <w:rPr>
          <w:rFonts w:eastAsia="Times New Roman"/>
          <w:lang w:val="fr-FR"/>
        </w:rPr>
        <w:t>6.</w:t>
      </w:r>
      <w:r w:rsidRPr="008D6145">
        <w:rPr>
          <w:rFonts w:eastAsia="Times New Roman"/>
          <w:lang w:val="fr-FR"/>
        </w:rPr>
        <w:tab/>
      </w:r>
      <w:r w:rsidR="008D6145" w:rsidRPr="008D6145">
        <w:rPr>
          <w:rFonts w:eastAsia="Times New Roman"/>
          <w:lang w:val="fr-FR"/>
        </w:rPr>
        <w:t>Dans la période de référence du rapport, plusieurs mesures législatives et pratiques ont été adoptées et des progrès accomplis en vue d</w:t>
      </w:r>
      <w:r w:rsidR="00A033A7">
        <w:rPr>
          <w:rFonts w:eastAsia="Times New Roman"/>
          <w:lang w:val="fr-FR"/>
        </w:rPr>
        <w:t>’</w:t>
      </w:r>
      <w:r w:rsidR="008D6145" w:rsidRPr="008D6145">
        <w:rPr>
          <w:rFonts w:eastAsia="Times New Roman"/>
          <w:lang w:val="fr-FR"/>
        </w:rPr>
        <w:t xml:space="preserve">assurer le respect des droits reconnus dans le </w:t>
      </w:r>
      <w:r w:rsidR="00DF50FE" w:rsidRPr="008D6145">
        <w:rPr>
          <w:rFonts w:eastAsia="Times New Roman"/>
          <w:lang w:val="fr-FR"/>
        </w:rPr>
        <w:t>Pacte</w:t>
      </w:r>
      <w:r w:rsidR="008D6145" w:rsidRPr="008D6145">
        <w:rPr>
          <w:rFonts w:eastAsia="Times New Roman"/>
          <w:lang w:val="fr-FR"/>
        </w:rPr>
        <w:t xml:space="preserve">. </w:t>
      </w:r>
    </w:p>
    <w:p w:rsidR="008D6145" w:rsidRPr="008D6145" w:rsidRDefault="008D6145" w:rsidP="00821D2B">
      <w:pPr>
        <w:pStyle w:val="H1G"/>
        <w:rPr>
          <w:lang w:val="fr-FR"/>
        </w:rPr>
      </w:pPr>
      <w:r w:rsidRPr="008D6145">
        <w:rPr>
          <w:lang w:val="fr-FR"/>
        </w:rPr>
        <w:tab/>
      </w:r>
      <w:r w:rsidRPr="008D6145">
        <w:rPr>
          <w:lang w:val="fr-FR"/>
        </w:rPr>
        <w:tab/>
        <w:t>Mesures législatives</w:t>
      </w:r>
    </w:p>
    <w:p w:rsidR="008D6145" w:rsidRPr="008D6145" w:rsidRDefault="00821D2B" w:rsidP="00821D2B">
      <w:pPr>
        <w:pStyle w:val="Bullet1G"/>
        <w:numPr>
          <w:ilvl w:val="0"/>
          <w:numId w:val="0"/>
        </w:numPr>
        <w:tabs>
          <w:tab w:val="left" w:pos="1701"/>
        </w:tabs>
        <w:ind w:left="1701" w:hanging="170"/>
        <w:rPr>
          <w:lang w:val="fr-FR"/>
        </w:rPr>
      </w:pPr>
      <w:r w:rsidRPr="008D6145">
        <w:rPr>
          <w:lang w:val="fr-FR"/>
        </w:rPr>
        <w:t>•</w:t>
      </w:r>
      <w:r w:rsidRPr="008D6145">
        <w:rPr>
          <w:lang w:val="fr-FR"/>
        </w:rPr>
        <w:tab/>
      </w:r>
      <w:r w:rsidR="00A033A7">
        <w:rPr>
          <w:lang w:val="fr-FR"/>
        </w:rPr>
        <w:t>L’</w:t>
      </w:r>
      <w:r w:rsidR="008D6145" w:rsidRPr="008D6145">
        <w:rPr>
          <w:lang w:val="fr-FR"/>
        </w:rPr>
        <w:t>introduction à l</w:t>
      </w:r>
      <w:r w:rsidR="00A033A7">
        <w:rPr>
          <w:lang w:val="fr-FR"/>
        </w:rPr>
        <w:t>’</w:t>
      </w:r>
      <w:r w:rsidR="008D6145" w:rsidRPr="008D6145">
        <w:rPr>
          <w:lang w:val="fr-FR"/>
        </w:rPr>
        <w:t>Assemblée Nationale en mars 2017 d</w:t>
      </w:r>
      <w:r w:rsidR="00A033A7">
        <w:rPr>
          <w:lang w:val="fr-FR"/>
        </w:rPr>
        <w:t>’</w:t>
      </w:r>
      <w:r w:rsidR="008D6145" w:rsidRPr="008D6145">
        <w:rPr>
          <w:lang w:val="fr-FR"/>
        </w:rPr>
        <w:t xml:space="preserve">un projet de loi portant révision de la constitution du 11 décembre 1990 ; </w:t>
      </w:r>
    </w:p>
    <w:p w:rsidR="008D6145" w:rsidRPr="008D6145" w:rsidRDefault="00821D2B" w:rsidP="00821D2B">
      <w:pPr>
        <w:pStyle w:val="Bullet1G"/>
        <w:numPr>
          <w:ilvl w:val="0"/>
          <w:numId w:val="0"/>
        </w:numPr>
        <w:tabs>
          <w:tab w:val="left" w:pos="1701"/>
        </w:tabs>
        <w:ind w:left="1701" w:hanging="170"/>
        <w:rPr>
          <w:rFonts w:eastAsia="Times New Roman"/>
          <w:lang w:val="fr-FR"/>
        </w:rPr>
      </w:pPr>
      <w:r w:rsidRPr="008D6145">
        <w:rPr>
          <w:rFonts w:eastAsia="Times New Roman"/>
          <w:lang w:val="fr-FR"/>
        </w:rPr>
        <w:t>•</w:t>
      </w:r>
      <w:r w:rsidRPr="008D6145">
        <w:rPr>
          <w:rFonts w:eastAsia="Times New Roman"/>
          <w:lang w:val="fr-FR"/>
        </w:rPr>
        <w:tab/>
      </w:r>
      <w:r w:rsidR="008D6145" w:rsidRPr="008D6145">
        <w:rPr>
          <w:rFonts w:eastAsia="Times New Roman"/>
          <w:lang w:val="fr-FR"/>
        </w:rPr>
        <w:t>La loi n</w:t>
      </w:r>
      <w:r w:rsidR="002D4152" w:rsidRPr="00821D2B">
        <w:rPr>
          <w:rFonts w:eastAsia="Times New Roman"/>
          <w:vertAlign w:val="superscript"/>
          <w:lang w:val="fr-FR"/>
        </w:rPr>
        <w:t>o</w:t>
      </w:r>
      <w:r w:rsidR="002D4152">
        <w:rPr>
          <w:rFonts w:eastAsia="Times New Roman"/>
          <w:lang w:val="fr-FR"/>
        </w:rPr>
        <w:t> </w:t>
      </w:r>
      <w:r w:rsidR="008D6145" w:rsidRPr="008D6145">
        <w:rPr>
          <w:rFonts w:eastAsia="Times New Roman"/>
          <w:lang w:val="fr-FR"/>
        </w:rPr>
        <w:t xml:space="preserve">2016-16 du 4 octobre 2016 modifiant et complétant la loi </w:t>
      </w:r>
      <w:r w:rsidR="002D4152" w:rsidRPr="008D6145">
        <w:rPr>
          <w:rFonts w:eastAsia="Times New Roman"/>
          <w:lang w:val="fr-FR"/>
        </w:rPr>
        <w:t>n</w:t>
      </w:r>
      <w:r w:rsidR="002D4152" w:rsidRPr="006C0894">
        <w:rPr>
          <w:rFonts w:eastAsia="Times New Roman"/>
          <w:vertAlign w:val="superscript"/>
          <w:lang w:val="fr-FR"/>
        </w:rPr>
        <w:t>o</w:t>
      </w:r>
      <w:r w:rsidR="002D4152">
        <w:rPr>
          <w:rFonts w:eastAsia="Times New Roman"/>
          <w:lang w:val="fr-FR"/>
        </w:rPr>
        <w:t> </w:t>
      </w:r>
      <w:r w:rsidR="008D6145" w:rsidRPr="008D6145">
        <w:rPr>
          <w:rFonts w:eastAsia="Times New Roman"/>
          <w:bCs/>
          <w:lang w:val="fr-FR"/>
        </w:rPr>
        <w:t>2008-07 du 28</w:t>
      </w:r>
      <w:r w:rsidR="008A7736">
        <w:rPr>
          <w:rFonts w:eastAsia="Times New Roman"/>
          <w:bCs/>
          <w:lang w:val="fr-FR"/>
        </w:rPr>
        <w:t> </w:t>
      </w:r>
      <w:r w:rsidR="008D6145" w:rsidRPr="008D6145">
        <w:rPr>
          <w:rFonts w:eastAsia="Times New Roman"/>
          <w:bCs/>
          <w:lang w:val="fr-FR"/>
        </w:rPr>
        <w:t xml:space="preserve">février 2011 </w:t>
      </w:r>
      <w:r w:rsidR="008D6145" w:rsidRPr="008D6145">
        <w:rPr>
          <w:lang w:val="fr-FR"/>
        </w:rPr>
        <w:t>portant</w:t>
      </w:r>
      <w:r w:rsidR="008D6145" w:rsidRPr="008D6145">
        <w:rPr>
          <w:rFonts w:eastAsia="Times New Roman"/>
          <w:bCs/>
          <w:lang w:val="fr-FR"/>
        </w:rPr>
        <w:t xml:space="preserve"> </w:t>
      </w:r>
      <w:r w:rsidR="008D6145" w:rsidRPr="008D6145">
        <w:rPr>
          <w:rFonts w:eastAsia="Times New Roman"/>
          <w:lang w:val="fr-FR"/>
        </w:rPr>
        <w:t>code de procédure civile, commerciale, sociale, administrative et des comptes en République du Bénin ;</w:t>
      </w:r>
    </w:p>
    <w:p w:rsidR="008D6145" w:rsidRPr="008D6145" w:rsidRDefault="00821D2B" w:rsidP="00821D2B">
      <w:pPr>
        <w:pStyle w:val="Bullet1G"/>
        <w:numPr>
          <w:ilvl w:val="0"/>
          <w:numId w:val="0"/>
        </w:numPr>
        <w:tabs>
          <w:tab w:val="left" w:pos="1701"/>
        </w:tabs>
        <w:ind w:left="1701" w:hanging="170"/>
        <w:rPr>
          <w:rFonts w:eastAsia="Times New Roman"/>
          <w:lang w:val="fr-FR"/>
        </w:rPr>
      </w:pPr>
      <w:r w:rsidRPr="008D6145">
        <w:rPr>
          <w:rFonts w:eastAsia="Times New Roman"/>
          <w:lang w:val="fr-FR"/>
        </w:rPr>
        <w:t>•</w:t>
      </w:r>
      <w:r w:rsidRPr="008D6145">
        <w:rPr>
          <w:rFonts w:eastAsia="Times New Roman"/>
          <w:lang w:val="fr-FR"/>
        </w:rPr>
        <w:tab/>
      </w:r>
      <w:r w:rsidR="008D6145" w:rsidRPr="008D6145">
        <w:rPr>
          <w:rFonts w:eastAsia="Times New Roman"/>
          <w:lang w:val="fr-FR"/>
        </w:rPr>
        <w:t xml:space="preserve">La loi </w:t>
      </w:r>
      <w:r w:rsidR="002D4152" w:rsidRPr="008D6145">
        <w:rPr>
          <w:rFonts w:eastAsia="Times New Roman"/>
          <w:lang w:val="fr-FR"/>
        </w:rPr>
        <w:t>n</w:t>
      </w:r>
      <w:r w:rsidR="002D4152" w:rsidRPr="006C0894">
        <w:rPr>
          <w:rFonts w:eastAsia="Times New Roman"/>
          <w:vertAlign w:val="superscript"/>
          <w:lang w:val="fr-FR"/>
        </w:rPr>
        <w:t>o</w:t>
      </w:r>
      <w:r w:rsidR="002D4152">
        <w:rPr>
          <w:rFonts w:eastAsia="Times New Roman"/>
          <w:lang w:val="fr-FR"/>
        </w:rPr>
        <w:t> </w:t>
      </w:r>
      <w:r w:rsidR="008D6145" w:rsidRPr="008D6145">
        <w:rPr>
          <w:rFonts w:eastAsia="Times New Roman"/>
          <w:lang w:val="fr-FR"/>
        </w:rPr>
        <w:t>2016-15 du</w:t>
      </w:r>
      <w:r w:rsidR="008A7736">
        <w:rPr>
          <w:rFonts w:eastAsia="Times New Roman"/>
          <w:lang w:val="fr-FR"/>
        </w:rPr>
        <w:t xml:space="preserve"> </w:t>
      </w:r>
      <w:r w:rsidR="008D6145" w:rsidRPr="008D6145">
        <w:rPr>
          <w:rFonts w:eastAsia="Times New Roman"/>
          <w:lang w:val="fr-FR"/>
        </w:rPr>
        <w:t xml:space="preserve">4 octobre 2016 modifiant et complétant la loi </w:t>
      </w:r>
      <w:r w:rsidR="002D4152" w:rsidRPr="008D6145">
        <w:rPr>
          <w:rFonts w:eastAsia="Times New Roman"/>
          <w:lang w:val="fr-FR"/>
        </w:rPr>
        <w:t>n</w:t>
      </w:r>
      <w:r w:rsidR="002D4152" w:rsidRPr="006C0894">
        <w:rPr>
          <w:rFonts w:eastAsia="Times New Roman"/>
          <w:vertAlign w:val="superscript"/>
          <w:lang w:val="fr-FR"/>
        </w:rPr>
        <w:t>o</w:t>
      </w:r>
      <w:r w:rsidR="002D4152">
        <w:rPr>
          <w:rFonts w:eastAsia="Times New Roman"/>
          <w:lang w:val="fr-FR"/>
        </w:rPr>
        <w:t> </w:t>
      </w:r>
      <w:r w:rsidR="008D6145" w:rsidRPr="008D6145">
        <w:rPr>
          <w:rFonts w:eastAsia="Times New Roman"/>
          <w:lang w:val="fr-FR"/>
        </w:rPr>
        <w:t>2001-37 du 10</w:t>
      </w:r>
      <w:r w:rsidR="008A7736">
        <w:rPr>
          <w:rFonts w:eastAsia="Times New Roman"/>
          <w:lang w:val="fr-FR"/>
        </w:rPr>
        <w:t> </w:t>
      </w:r>
      <w:r w:rsidR="008D6145" w:rsidRPr="008D6145">
        <w:rPr>
          <w:rFonts w:eastAsia="Times New Roman"/>
          <w:lang w:val="fr-FR"/>
        </w:rPr>
        <w:t xml:space="preserve">juin 2002 </w:t>
      </w:r>
      <w:r w:rsidR="008D6145" w:rsidRPr="008D6145">
        <w:rPr>
          <w:rFonts w:eastAsia="Times New Roman"/>
          <w:bCs/>
          <w:lang w:val="fr-FR"/>
        </w:rPr>
        <w:t xml:space="preserve">portant </w:t>
      </w:r>
      <w:r w:rsidR="008D6145" w:rsidRPr="008D6145">
        <w:rPr>
          <w:rFonts w:eastAsia="Times New Roman"/>
          <w:lang w:val="fr-FR"/>
        </w:rPr>
        <w:t>organisation judiciaire en République du Bénin ;</w:t>
      </w:r>
    </w:p>
    <w:p w:rsidR="008D6145" w:rsidRPr="008D6145" w:rsidRDefault="00821D2B" w:rsidP="00821D2B">
      <w:pPr>
        <w:pStyle w:val="Bullet1G"/>
        <w:numPr>
          <w:ilvl w:val="0"/>
          <w:numId w:val="0"/>
        </w:numPr>
        <w:tabs>
          <w:tab w:val="left" w:pos="1701"/>
        </w:tabs>
        <w:ind w:left="1701" w:hanging="170"/>
        <w:rPr>
          <w:rFonts w:eastAsia="Times New Roman"/>
          <w:lang w:val="fr-FR"/>
        </w:rPr>
      </w:pPr>
      <w:r w:rsidRPr="008D6145">
        <w:rPr>
          <w:rFonts w:eastAsia="Times New Roman"/>
          <w:lang w:val="fr-FR"/>
        </w:rPr>
        <w:t>•</w:t>
      </w:r>
      <w:r w:rsidRPr="008D6145">
        <w:rPr>
          <w:rFonts w:eastAsia="Times New Roman"/>
          <w:lang w:val="fr-FR"/>
        </w:rPr>
        <w:tab/>
      </w:r>
      <w:r w:rsidR="008D6145" w:rsidRPr="008D6145">
        <w:rPr>
          <w:rFonts w:eastAsia="Times New Roman"/>
          <w:lang w:val="fr-FR"/>
        </w:rPr>
        <w:t xml:space="preserve">La loi </w:t>
      </w:r>
      <w:r w:rsidR="002D4152" w:rsidRPr="008D6145">
        <w:rPr>
          <w:rFonts w:eastAsia="Times New Roman"/>
          <w:lang w:val="fr-FR"/>
        </w:rPr>
        <w:t>n</w:t>
      </w:r>
      <w:r w:rsidR="002D4152" w:rsidRPr="006C0894">
        <w:rPr>
          <w:rFonts w:eastAsia="Times New Roman"/>
          <w:vertAlign w:val="superscript"/>
          <w:lang w:val="fr-FR"/>
        </w:rPr>
        <w:t>o</w:t>
      </w:r>
      <w:r w:rsidR="002D4152">
        <w:rPr>
          <w:rFonts w:eastAsia="Times New Roman"/>
          <w:lang w:val="fr-FR"/>
        </w:rPr>
        <w:t> </w:t>
      </w:r>
      <w:r w:rsidR="008D6145" w:rsidRPr="008D6145">
        <w:rPr>
          <w:rFonts w:eastAsia="Times New Roman"/>
          <w:lang w:val="fr-FR"/>
        </w:rPr>
        <w:t>2015-08 du 8 décembre 2015 portant Code de l</w:t>
      </w:r>
      <w:r w:rsidR="00A033A7">
        <w:rPr>
          <w:rFonts w:eastAsia="Times New Roman"/>
          <w:lang w:val="fr-FR"/>
        </w:rPr>
        <w:t>’</w:t>
      </w:r>
      <w:r w:rsidR="008D6145" w:rsidRPr="008D6145">
        <w:rPr>
          <w:rFonts w:eastAsia="Times New Roman"/>
          <w:lang w:val="fr-FR"/>
        </w:rPr>
        <w:t>enfant en République du Bénin ;</w:t>
      </w:r>
    </w:p>
    <w:p w:rsidR="008D6145" w:rsidRPr="008D6145" w:rsidRDefault="00821D2B" w:rsidP="00821D2B">
      <w:pPr>
        <w:pStyle w:val="Bullet1G"/>
        <w:numPr>
          <w:ilvl w:val="0"/>
          <w:numId w:val="0"/>
        </w:numPr>
        <w:tabs>
          <w:tab w:val="left" w:pos="1701"/>
        </w:tabs>
        <w:ind w:left="1701" w:hanging="170"/>
        <w:rPr>
          <w:rFonts w:eastAsia="Times New Roman"/>
          <w:lang w:val="fr-FR"/>
        </w:rPr>
      </w:pPr>
      <w:r w:rsidRPr="008D6145">
        <w:rPr>
          <w:rFonts w:eastAsia="Times New Roman"/>
          <w:lang w:val="fr-FR"/>
        </w:rPr>
        <w:t>•</w:t>
      </w:r>
      <w:r w:rsidRPr="008D6145">
        <w:rPr>
          <w:rFonts w:eastAsia="Times New Roman"/>
          <w:lang w:val="fr-FR"/>
        </w:rPr>
        <w:tab/>
      </w:r>
      <w:r w:rsidR="008D6145" w:rsidRPr="008D6145">
        <w:rPr>
          <w:rFonts w:eastAsia="Times New Roman"/>
          <w:lang w:val="fr-FR"/>
        </w:rPr>
        <w:t xml:space="preserve">La loi </w:t>
      </w:r>
      <w:r w:rsidR="002D4152" w:rsidRPr="008D6145">
        <w:rPr>
          <w:rFonts w:eastAsia="Times New Roman"/>
          <w:lang w:val="fr-FR"/>
        </w:rPr>
        <w:t>n</w:t>
      </w:r>
      <w:r w:rsidR="002D4152" w:rsidRPr="006C0894">
        <w:rPr>
          <w:rFonts w:eastAsia="Times New Roman"/>
          <w:vertAlign w:val="superscript"/>
          <w:lang w:val="fr-FR"/>
        </w:rPr>
        <w:t>o</w:t>
      </w:r>
      <w:r w:rsidR="002D4152">
        <w:rPr>
          <w:rFonts w:eastAsia="Times New Roman"/>
          <w:lang w:val="fr-FR"/>
        </w:rPr>
        <w:t> </w:t>
      </w:r>
      <w:r w:rsidR="008D6145" w:rsidRPr="008D6145">
        <w:rPr>
          <w:rFonts w:eastAsia="Times New Roman"/>
          <w:lang w:val="fr-FR"/>
        </w:rPr>
        <w:t xml:space="preserve">2014-14 du 9 juillet 2014 relative aux communications électroniques et à la poste en </w:t>
      </w:r>
      <w:r w:rsidR="008D6145" w:rsidRPr="008D6145">
        <w:rPr>
          <w:lang w:val="fr-FR"/>
        </w:rPr>
        <w:t>République</w:t>
      </w:r>
      <w:r w:rsidR="008D6145" w:rsidRPr="008D6145">
        <w:rPr>
          <w:rFonts w:eastAsia="Times New Roman"/>
          <w:lang w:val="fr-FR"/>
        </w:rPr>
        <w:t xml:space="preserve"> du Bénin ;</w:t>
      </w:r>
    </w:p>
    <w:p w:rsidR="008D6145" w:rsidRPr="008D6145" w:rsidRDefault="00821D2B" w:rsidP="00821D2B">
      <w:pPr>
        <w:pStyle w:val="Bullet1G"/>
        <w:numPr>
          <w:ilvl w:val="0"/>
          <w:numId w:val="0"/>
        </w:numPr>
        <w:tabs>
          <w:tab w:val="left" w:pos="1701"/>
        </w:tabs>
        <w:ind w:left="1701" w:hanging="170"/>
        <w:rPr>
          <w:rFonts w:eastAsia="Times New Roman"/>
          <w:lang w:val="fr-FR"/>
        </w:rPr>
      </w:pPr>
      <w:r w:rsidRPr="008D6145">
        <w:rPr>
          <w:rFonts w:eastAsia="Times New Roman"/>
          <w:lang w:val="fr-FR"/>
        </w:rPr>
        <w:t>•</w:t>
      </w:r>
      <w:r w:rsidRPr="008D6145">
        <w:rPr>
          <w:rFonts w:eastAsia="Times New Roman"/>
          <w:lang w:val="fr-FR"/>
        </w:rPr>
        <w:tab/>
      </w:r>
      <w:r w:rsidR="008D6145" w:rsidRPr="008D6145">
        <w:rPr>
          <w:rFonts w:eastAsia="Times New Roman"/>
          <w:lang w:val="fr-FR"/>
        </w:rPr>
        <w:t xml:space="preserve">La loi </w:t>
      </w:r>
      <w:r w:rsidR="002D4152" w:rsidRPr="008D6145">
        <w:rPr>
          <w:rFonts w:eastAsia="Times New Roman"/>
          <w:lang w:val="fr-FR"/>
        </w:rPr>
        <w:t>n</w:t>
      </w:r>
      <w:r w:rsidR="002D4152" w:rsidRPr="006C0894">
        <w:rPr>
          <w:rFonts w:eastAsia="Times New Roman"/>
          <w:vertAlign w:val="superscript"/>
          <w:lang w:val="fr-FR"/>
        </w:rPr>
        <w:t>o</w:t>
      </w:r>
      <w:r w:rsidR="002D4152">
        <w:rPr>
          <w:rFonts w:eastAsia="Times New Roman"/>
          <w:lang w:val="fr-FR"/>
        </w:rPr>
        <w:t> </w:t>
      </w:r>
      <w:r w:rsidR="008D6145" w:rsidRPr="008D6145">
        <w:rPr>
          <w:rFonts w:eastAsia="Times New Roman"/>
          <w:lang w:val="fr-FR"/>
        </w:rPr>
        <w:t xml:space="preserve">2014-22 du 30 septembre 2014 relative à la radiodiffusion numérique en République du Bénin ; </w:t>
      </w:r>
    </w:p>
    <w:p w:rsidR="008D6145" w:rsidRPr="008D6145" w:rsidRDefault="00821D2B" w:rsidP="00821D2B">
      <w:pPr>
        <w:pStyle w:val="Bullet1G"/>
        <w:numPr>
          <w:ilvl w:val="0"/>
          <w:numId w:val="0"/>
        </w:numPr>
        <w:tabs>
          <w:tab w:val="left" w:pos="1701"/>
        </w:tabs>
        <w:ind w:left="1701" w:hanging="170"/>
        <w:rPr>
          <w:rFonts w:eastAsia="Times New Roman"/>
          <w:lang w:val="fr-FR"/>
        </w:rPr>
      </w:pPr>
      <w:r w:rsidRPr="008D6145">
        <w:rPr>
          <w:rFonts w:eastAsia="Times New Roman"/>
          <w:lang w:val="fr-FR"/>
        </w:rPr>
        <w:lastRenderedPageBreak/>
        <w:t>•</w:t>
      </w:r>
      <w:r w:rsidRPr="008D6145">
        <w:rPr>
          <w:rFonts w:eastAsia="Times New Roman"/>
          <w:lang w:val="fr-FR"/>
        </w:rPr>
        <w:tab/>
      </w:r>
      <w:r w:rsidR="008D6145" w:rsidRPr="008D6145">
        <w:rPr>
          <w:rFonts w:eastAsia="Times New Roman"/>
          <w:lang w:val="fr-FR"/>
        </w:rPr>
        <w:t xml:space="preserve">La loi </w:t>
      </w:r>
      <w:r w:rsidR="002D4152" w:rsidRPr="008D6145">
        <w:rPr>
          <w:rFonts w:eastAsia="Times New Roman"/>
          <w:lang w:val="fr-FR"/>
        </w:rPr>
        <w:t>n</w:t>
      </w:r>
      <w:r w:rsidR="002D4152" w:rsidRPr="006C0894">
        <w:rPr>
          <w:rFonts w:eastAsia="Times New Roman"/>
          <w:vertAlign w:val="superscript"/>
          <w:lang w:val="fr-FR"/>
        </w:rPr>
        <w:t>o</w:t>
      </w:r>
      <w:r w:rsidR="002D4152">
        <w:rPr>
          <w:rFonts w:eastAsia="Times New Roman"/>
          <w:lang w:val="fr-FR"/>
        </w:rPr>
        <w:t> </w:t>
      </w:r>
      <w:r w:rsidR="008D6145" w:rsidRPr="008D6145">
        <w:rPr>
          <w:rFonts w:eastAsia="Times New Roman"/>
          <w:lang w:val="fr-FR"/>
        </w:rPr>
        <w:t xml:space="preserve">2013-01 du 14 août </w:t>
      </w:r>
      <w:r w:rsidR="008D6145" w:rsidRPr="008D6145">
        <w:rPr>
          <w:lang w:val="fr-FR"/>
        </w:rPr>
        <w:t>2013</w:t>
      </w:r>
      <w:r w:rsidR="008D6145" w:rsidRPr="008D6145">
        <w:rPr>
          <w:rFonts w:eastAsia="Times New Roman"/>
          <w:lang w:val="fr-FR"/>
        </w:rPr>
        <w:t xml:space="preserve"> portant Code foncier et domanial en République du Bénin ;</w:t>
      </w:r>
    </w:p>
    <w:p w:rsidR="008D6145" w:rsidRPr="008D6145" w:rsidRDefault="00821D2B" w:rsidP="00821D2B">
      <w:pPr>
        <w:pStyle w:val="Bullet1G"/>
        <w:numPr>
          <w:ilvl w:val="0"/>
          <w:numId w:val="0"/>
        </w:numPr>
        <w:tabs>
          <w:tab w:val="left" w:pos="1701"/>
        </w:tabs>
        <w:ind w:left="1701" w:hanging="170"/>
        <w:rPr>
          <w:rFonts w:eastAsia="Times New Roman"/>
          <w:lang w:val="fr-FR"/>
        </w:rPr>
      </w:pPr>
      <w:r w:rsidRPr="008D6145">
        <w:rPr>
          <w:rFonts w:eastAsia="Times New Roman"/>
          <w:lang w:val="fr-FR"/>
        </w:rPr>
        <w:t>•</w:t>
      </w:r>
      <w:r w:rsidRPr="008D6145">
        <w:rPr>
          <w:rFonts w:eastAsia="Times New Roman"/>
          <w:lang w:val="fr-FR"/>
        </w:rPr>
        <w:tab/>
      </w:r>
      <w:r w:rsidR="008D6145" w:rsidRPr="008D6145">
        <w:rPr>
          <w:rFonts w:eastAsia="Times New Roman"/>
          <w:lang w:val="fr-FR"/>
        </w:rPr>
        <w:t xml:space="preserve">La loi </w:t>
      </w:r>
      <w:r w:rsidR="002D4152" w:rsidRPr="008D6145">
        <w:rPr>
          <w:rFonts w:eastAsia="Times New Roman"/>
          <w:lang w:val="fr-FR"/>
        </w:rPr>
        <w:t>n</w:t>
      </w:r>
      <w:r w:rsidR="002D4152" w:rsidRPr="006C0894">
        <w:rPr>
          <w:rFonts w:eastAsia="Times New Roman"/>
          <w:vertAlign w:val="superscript"/>
          <w:lang w:val="fr-FR"/>
        </w:rPr>
        <w:t>o</w:t>
      </w:r>
      <w:r w:rsidR="002D4152">
        <w:rPr>
          <w:rFonts w:eastAsia="Times New Roman"/>
          <w:lang w:val="fr-FR"/>
        </w:rPr>
        <w:t> </w:t>
      </w:r>
      <w:r w:rsidR="008D6145" w:rsidRPr="008D6145">
        <w:rPr>
          <w:rFonts w:eastAsia="Times New Roman"/>
          <w:lang w:val="fr-FR"/>
        </w:rPr>
        <w:t xml:space="preserve">2012-15 du 18 </w:t>
      </w:r>
      <w:r w:rsidR="008D6145" w:rsidRPr="008D6145">
        <w:rPr>
          <w:lang w:val="fr-FR"/>
        </w:rPr>
        <w:t>mars</w:t>
      </w:r>
      <w:r w:rsidR="008D6145" w:rsidRPr="008D6145">
        <w:rPr>
          <w:rFonts w:eastAsia="Times New Roman"/>
          <w:lang w:val="fr-FR"/>
        </w:rPr>
        <w:t xml:space="preserve"> 2013 portant Code de procédure pénale ;</w:t>
      </w:r>
    </w:p>
    <w:p w:rsidR="008D6145" w:rsidRPr="008D6145" w:rsidRDefault="00821D2B" w:rsidP="00821D2B">
      <w:pPr>
        <w:pStyle w:val="Bullet1G"/>
        <w:numPr>
          <w:ilvl w:val="0"/>
          <w:numId w:val="0"/>
        </w:numPr>
        <w:tabs>
          <w:tab w:val="left" w:pos="1701"/>
        </w:tabs>
        <w:ind w:left="1701" w:hanging="170"/>
        <w:rPr>
          <w:rFonts w:eastAsia="Times New Roman"/>
          <w:lang w:val="fr-FR"/>
        </w:rPr>
      </w:pPr>
      <w:r w:rsidRPr="008D6145">
        <w:rPr>
          <w:rFonts w:eastAsia="Times New Roman"/>
          <w:lang w:val="fr-FR"/>
        </w:rPr>
        <w:t>•</w:t>
      </w:r>
      <w:r w:rsidRPr="008D6145">
        <w:rPr>
          <w:rFonts w:eastAsia="Times New Roman"/>
          <w:lang w:val="fr-FR"/>
        </w:rPr>
        <w:tab/>
      </w:r>
      <w:r w:rsidR="008D6145" w:rsidRPr="008D6145">
        <w:rPr>
          <w:rFonts w:eastAsia="Times New Roman"/>
          <w:lang w:val="fr-FR"/>
        </w:rPr>
        <w:t xml:space="preserve">La loi </w:t>
      </w:r>
      <w:r w:rsidR="002D4152" w:rsidRPr="008D6145">
        <w:rPr>
          <w:rFonts w:eastAsia="Times New Roman"/>
          <w:lang w:val="fr-FR"/>
        </w:rPr>
        <w:t>n</w:t>
      </w:r>
      <w:r w:rsidR="002D4152" w:rsidRPr="006C0894">
        <w:rPr>
          <w:rFonts w:eastAsia="Times New Roman"/>
          <w:vertAlign w:val="superscript"/>
          <w:lang w:val="fr-FR"/>
        </w:rPr>
        <w:t>o</w:t>
      </w:r>
      <w:r w:rsidR="002D4152">
        <w:rPr>
          <w:rFonts w:eastAsia="Times New Roman"/>
          <w:lang w:val="fr-FR"/>
        </w:rPr>
        <w:t> </w:t>
      </w:r>
      <w:r w:rsidR="008D6145" w:rsidRPr="008D6145">
        <w:rPr>
          <w:rFonts w:eastAsia="Times New Roman"/>
          <w:lang w:val="fr-FR"/>
        </w:rPr>
        <w:t xml:space="preserve">2011-26 du 9 </w:t>
      </w:r>
      <w:r w:rsidR="008D6145" w:rsidRPr="008D6145">
        <w:rPr>
          <w:lang w:val="fr-FR"/>
        </w:rPr>
        <w:t>janvier</w:t>
      </w:r>
      <w:r w:rsidR="008D6145" w:rsidRPr="008D6145">
        <w:rPr>
          <w:rFonts w:eastAsia="Times New Roman"/>
          <w:lang w:val="fr-FR"/>
        </w:rPr>
        <w:t xml:space="preserve"> 2012 portant prévention et répression des violences faites aux femmes en République du Bénin ;</w:t>
      </w:r>
    </w:p>
    <w:p w:rsidR="008D6145" w:rsidRPr="008D6145" w:rsidRDefault="00821D2B" w:rsidP="00821D2B">
      <w:pPr>
        <w:pStyle w:val="Bullet1G"/>
        <w:numPr>
          <w:ilvl w:val="0"/>
          <w:numId w:val="0"/>
        </w:numPr>
        <w:tabs>
          <w:tab w:val="left" w:pos="1701"/>
        </w:tabs>
        <w:ind w:left="1701" w:hanging="170"/>
        <w:rPr>
          <w:rFonts w:eastAsia="Times New Roman"/>
          <w:lang w:val="fr-FR"/>
        </w:rPr>
      </w:pPr>
      <w:r w:rsidRPr="008D6145">
        <w:rPr>
          <w:rFonts w:eastAsia="Times New Roman"/>
          <w:lang w:val="fr-FR"/>
        </w:rPr>
        <w:t>•</w:t>
      </w:r>
      <w:r w:rsidRPr="008D6145">
        <w:rPr>
          <w:rFonts w:eastAsia="Times New Roman"/>
          <w:lang w:val="fr-FR"/>
        </w:rPr>
        <w:tab/>
      </w:r>
      <w:r w:rsidR="008D6145" w:rsidRPr="008D6145">
        <w:rPr>
          <w:rFonts w:eastAsia="Times New Roman"/>
          <w:lang w:val="fr-FR"/>
        </w:rPr>
        <w:t xml:space="preserve">La loi </w:t>
      </w:r>
      <w:r w:rsidR="002D4152" w:rsidRPr="008D6145">
        <w:rPr>
          <w:rFonts w:eastAsia="Times New Roman"/>
          <w:lang w:val="fr-FR"/>
        </w:rPr>
        <w:t>n</w:t>
      </w:r>
      <w:r w:rsidR="002D4152" w:rsidRPr="006C0894">
        <w:rPr>
          <w:rFonts w:eastAsia="Times New Roman"/>
          <w:vertAlign w:val="superscript"/>
          <w:lang w:val="fr-FR"/>
        </w:rPr>
        <w:t>o</w:t>
      </w:r>
      <w:r w:rsidR="002D4152">
        <w:rPr>
          <w:rFonts w:eastAsia="Times New Roman"/>
          <w:lang w:val="fr-FR"/>
        </w:rPr>
        <w:t> </w:t>
      </w:r>
      <w:r w:rsidR="008D6145" w:rsidRPr="008D6145">
        <w:rPr>
          <w:rFonts w:eastAsia="Times New Roman"/>
          <w:lang w:val="fr-FR"/>
        </w:rPr>
        <w:t>2011-20 du 12 octobre 2011 portant lutte contre la corruption et autres infractions connexes en République du Bénin ;</w:t>
      </w:r>
    </w:p>
    <w:p w:rsidR="008D6145" w:rsidRPr="008D6145" w:rsidRDefault="00821D2B" w:rsidP="00821D2B">
      <w:pPr>
        <w:pStyle w:val="Bullet1G"/>
        <w:numPr>
          <w:ilvl w:val="0"/>
          <w:numId w:val="0"/>
        </w:numPr>
        <w:tabs>
          <w:tab w:val="left" w:pos="1701"/>
        </w:tabs>
        <w:ind w:left="1701" w:hanging="170"/>
        <w:rPr>
          <w:rFonts w:eastAsia="Times New Roman"/>
          <w:iCs/>
          <w:lang w:val="fr-FR"/>
        </w:rPr>
      </w:pPr>
      <w:r w:rsidRPr="008D6145">
        <w:rPr>
          <w:rFonts w:eastAsia="Times New Roman"/>
          <w:iCs/>
          <w:lang w:val="fr-FR"/>
        </w:rPr>
        <w:t>•</w:t>
      </w:r>
      <w:r w:rsidRPr="008D6145">
        <w:rPr>
          <w:rFonts w:eastAsia="Times New Roman"/>
          <w:iCs/>
          <w:lang w:val="fr-FR"/>
        </w:rPr>
        <w:tab/>
      </w:r>
      <w:r w:rsidR="008D6145" w:rsidRPr="008D6145">
        <w:rPr>
          <w:rFonts w:eastAsia="Times New Roman"/>
          <w:iCs/>
          <w:lang w:val="fr-FR"/>
        </w:rPr>
        <w:t xml:space="preserve">La loi </w:t>
      </w:r>
      <w:r w:rsidR="002D4152" w:rsidRPr="008D6145">
        <w:rPr>
          <w:rFonts w:eastAsia="Times New Roman"/>
          <w:lang w:val="fr-FR"/>
        </w:rPr>
        <w:t>n</w:t>
      </w:r>
      <w:r w:rsidR="002D4152" w:rsidRPr="006C0894">
        <w:rPr>
          <w:rFonts w:eastAsia="Times New Roman"/>
          <w:vertAlign w:val="superscript"/>
          <w:lang w:val="fr-FR"/>
        </w:rPr>
        <w:t>o</w:t>
      </w:r>
      <w:r w:rsidR="002D4152">
        <w:rPr>
          <w:rFonts w:eastAsia="Times New Roman"/>
          <w:lang w:val="fr-FR"/>
        </w:rPr>
        <w:t> </w:t>
      </w:r>
      <w:r w:rsidR="008D6145" w:rsidRPr="008D6145">
        <w:rPr>
          <w:rFonts w:eastAsia="Times New Roman"/>
          <w:iCs/>
          <w:lang w:val="fr-FR"/>
        </w:rPr>
        <w:t>2010-44 du 24 novembre 2010 portant gestion de l</w:t>
      </w:r>
      <w:r w:rsidR="00A033A7">
        <w:rPr>
          <w:rFonts w:eastAsia="Times New Roman"/>
          <w:iCs/>
          <w:lang w:val="fr-FR"/>
        </w:rPr>
        <w:t>’</w:t>
      </w:r>
      <w:r w:rsidR="008D6145" w:rsidRPr="008D6145">
        <w:rPr>
          <w:rFonts w:eastAsia="Times New Roman"/>
          <w:iCs/>
          <w:lang w:val="fr-FR"/>
        </w:rPr>
        <w:t>eau en République du Bénin ;</w:t>
      </w:r>
    </w:p>
    <w:p w:rsidR="008D6145" w:rsidRPr="008D6145" w:rsidRDefault="00821D2B" w:rsidP="00821D2B">
      <w:pPr>
        <w:pStyle w:val="Bullet1G"/>
        <w:numPr>
          <w:ilvl w:val="0"/>
          <w:numId w:val="0"/>
        </w:numPr>
        <w:tabs>
          <w:tab w:val="left" w:pos="1701"/>
        </w:tabs>
        <w:ind w:left="1701" w:hanging="170"/>
        <w:rPr>
          <w:rFonts w:eastAsia="Times New Roman"/>
          <w:lang w:val="fr-FR"/>
        </w:rPr>
      </w:pPr>
      <w:r w:rsidRPr="008D6145">
        <w:rPr>
          <w:rFonts w:eastAsia="Times New Roman"/>
          <w:lang w:val="fr-FR"/>
        </w:rPr>
        <w:t>•</w:t>
      </w:r>
      <w:r w:rsidRPr="008D6145">
        <w:rPr>
          <w:rFonts w:eastAsia="Times New Roman"/>
          <w:lang w:val="fr-FR"/>
        </w:rPr>
        <w:tab/>
      </w:r>
      <w:r w:rsidR="008D6145" w:rsidRPr="008D6145">
        <w:rPr>
          <w:rFonts w:eastAsia="Times New Roman"/>
          <w:lang w:val="fr-FR"/>
        </w:rPr>
        <w:t xml:space="preserve">La loi </w:t>
      </w:r>
      <w:r w:rsidR="002D4152" w:rsidRPr="008D6145">
        <w:rPr>
          <w:rFonts w:eastAsia="Times New Roman"/>
          <w:lang w:val="fr-FR"/>
        </w:rPr>
        <w:t>n</w:t>
      </w:r>
      <w:r w:rsidR="002D4152" w:rsidRPr="006C0894">
        <w:rPr>
          <w:rFonts w:eastAsia="Times New Roman"/>
          <w:vertAlign w:val="superscript"/>
          <w:lang w:val="fr-FR"/>
        </w:rPr>
        <w:t>o</w:t>
      </w:r>
      <w:r w:rsidR="002D4152">
        <w:rPr>
          <w:rFonts w:eastAsia="Times New Roman"/>
          <w:lang w:val="fr-FR"/>
        </w:rPr>
        <w:t> </w:t>
      </w:r>
      <w:r w:rsidR="008D6145" w:rsidRPr="008D6145">
        <w:rPr>
          <w:rFonts w:eastAsia="Times New Roman"/>
          <w:lang w:val="fr-FR"/>
        </w:rPr>
        <w:t xml:space="preserve">2010-10 du 22 mars 2010 modifiant et complétant les dispositions des articles 93 et 146 de la </w:t>
      </w:r>
      <w:r w:rsidR="002D4152">
        <w:rPr>
          <w:lang w:val="fr-FR"/>
        </w:rPr>
        <w:t>l</w:t>
      </w:r>
      <w:r w:rsidR="008D6145" w:rsidRPr="008D6145">
        <w:rPr>
          <w:lang w:val="fr-FR"/>
        </w:rPr>
        <w:t>oi</w:t>
      </w:r>
      <w:r w:rsidR="008D6145" w:rsidRPr="008D6145">
        <w:rPr>
          <w:rFonts w:eastAsia="Times New Roman"/>
          <w:lang w:val="fr-FR"/>
        </w:rPr>
        <w:t xml:space="preserve"> </w:t>
      </w:r>
      <w:r w:rsidR="002D4152" w:rsidRPr="008D6145">
        <w:rPr>
          <w:rFonts w:eastAsia="Times New Roman"/>
          <w:lang w:val="fr-FR"/>
        </w:rPr>
        <w:t>n</w:t>
      </w:r>
      <w:r w:rsidR="002D4152" w:rsidRPr="006C0894">
        <w:rPr>
          <w:rFonts w:eastAsia="Times New Roman"/>
          <w:vertAlign w:val="superscript"/>
          <w:lang w:val="fr-FR"/>
        </w:rPr>
        <w:t>o</w:t>
      </w:r>
      <w:r w:rsidR="002D4152">
        <w:rPr>
          <w:rFonts w:eastAsia="Times New Roman"/>
          <w:lang w:val="fr-FR"/>
        </w:rPr>
        <w:t> </w:t>
      </w:r>
      <w:r w:rsidR="008D6145" w:rsidRPr="008D6145">
        <w:rPr>
          <w:rFonts w:eastAsia="Times New Roman"/>
          <w:lang w:val="fr-FR"/>
        </w:rPr>
        <w:t>98-019 d</w:t>
      </w:r>
      <w:r w:rsidR="00B11B3D">
        <w:rPr>
          <w:rFonts w:eastAsia="Times New Roman"/>
          <w:lang w:val="fr-FR"/>
        </w:rPr>
        <w:t>u 21 mars 2003 portant Code de sécurité s</w:t>
      </w:r>
      <w:r w:rsidR="008D6145" w:rsidRPr="008D6145">
        <w:rPr>
          <w:rFonts w:eastAsia="Times New Roman"/>
          <w:lang w:val="fr-FR"/>
        </w:rPr>
        <w:t>ociale ;</w:t>
      </w:r>
    </w:p>
    <w:p w:rsidR="008D6145" w:rsidRPr="008D6145" w:rsidRDefault="00821D2B" w:rsidP="00821D2B">
      <w:pPr>
        <w:pStyle w:val="Bullet1G"/>
        <w:numPr>
          <w:ilvl w:val="0"/>
          <w:numId w:val="0"/>
        </w:numPr>
        <w:tabs>
          <w:tab w:val="left" w:pos="1701"/>
        </w:tabs>
        <w:ind w:left="1701" w:hanging="170"/>
        <w:rPr>
          <w:rFonts w:eastAsia="Times New Roman"/>
          <w:lang w:val="fr-FR"/>
        </w:rPr>
      </w:pPr>
      <w:r w:rsidRPr="008D6145">
        <w:rPr>
          <w:rFonts w:eastAsia="Times New Roman"/>
          <w:lang w:val="fr-FR"/>
        </w:rPr>
        <w:t>•</w:t>
      </w:r>
      <w:r w:rsidRPr="008D6145">
        <w:rPr>
          <w:rFonts w:eastAsia="Times New Roman"/>
          <w:lang w:val="fr-FR"/>
        </w:rPr>
        <w:tab/>
      </w:r>
      <w:r w:rsidR="008D6145" w:rsidRPr="008D6145">
        <w:rPr>
          <w:rFonts w:eastAsia="Times New Roman"/>
          <w:lang w:val="fr-FR"/>
        </w:rPr>
        <w:t xml:space="preserve">La loi </w:t>
      </w:r>
      <w:r w:rsidR="002D4152" w:rsidRPr="008D6145">
        <w:rPr>
          <w:rFonts w:eastAsia="Times New Roman"/>
          <w:lang w:val="fr-FR"/>
        </w:rPr>
        <w:t>n</w:t>
      </w:r>
      <w:r w:rsidR="002D4152" w:rsidRPr="006C0894">
        <w:rPr>
          <w:rFonts w:eastAsia="Times New Roman"/>
          <w:vertAlign w:val="superscript"/>
          <w:lang w:val="fr-FR"/>
        </w:rPr>
        <w:t>o</w:t>
      </w:r>
      <w:r w:rsidR="002D4152">
        <w:rPr>
          <w:rFonts w:eastAsia="Times New Roman"/>
          <w:lang w:val="fr-FR"/>
        </w:rPr>
        <w:t> </w:t>
      </w:r>
      <w:r w:rsidR="008D6145" w:rsidRPr="008D6145">
        <w:rPr>
          <w:rFonts w:eastAsia="Times New Roman"/>
          <w:lang w:val="fr-FR"/>
        </w:rPr>
        <w:t xml:space="preserve">2009-09 du 22 mai 2009 portant protection des données à caractère personnel en République </w:t>
      </w:r>
      <w:r w:rsidR="008D6145" w:rsidRPr="008D6145">
        <w:rPr>
          <w:lang w:val="fr-FR"/>
        </w:rPr>
        <w:t>du</w:t>
      </w:r>
      <w:r w:rsidR="008D6145" w:rsidRPr="008D6145">
        <w:rPr>
          <w:rFonts w:eastAsia="Times New Roman"/>
          <w:lang w:val="fr-FR"/>
        </w:rPr>
        <w:t xml:space="preserve"> Bénin ;</w:t>
      </w:r>
    </w:p>
    <w:p w:rsidR="008D6145" w:rsidRPr="008D6145" w:rsidRDefault="00821D2B" w:rsidP="00821D2B">
      <w:pPr>
        <w:pStyle w:val="Bullet1G"/>
        <w:numPr>
          <w:ilvl w:val="0"/>
          <w:numId w:val="0"/>
        </w:numPr>
        <w:tabs>
          <w:tab w:val="left" w:pos="1701"/>
        </w:tabs>
        <w:ind w:left="1701" w:hanging="170"/>
        <w:rPr>
          <w:rFonts w:eastAsia="Times New Roman"/>
          <w:lang w:val="fr-FR"/>
        </w:rPr>
      </w:pPr>
      <w:r w:rsidRPr="008D6145">
        <w:rPr>
          <w:rFonts w:eastAsia="Times New Roman"/>
          <w:lang w:val="fr-FR"/>
        </w:rPr>
        <w:t>•</w:t>
      </w:r>
      <w:r w:rsidRPr="008D6145">
        <w:rPr>
          <w:rFonts w:eastAsia="Times New Roman"/>
          <w:lang w:val="fr-FR"/>
        </w:rPr>
        <w:tab/>
      </w:r>
      <w:r w:rsidR="008D6145" w:rsidRPr="008D6145">
        <w:rPr>
          <w:rFonts w:eastAsia="Times New Roman"/>
          <w:lang w:val="fr-FR"/>
        </w:rPr>
        <w:t xml:space="preserve">La loi </w:t>
      </w:r>
      <w:r w:rsidR="002D4152" w:rsidRPr="008D6145">
        <w:rPr>
          <w:rFonts w:eastAsia="Times New Roman"/>
          <w:lang w:val="fr-FR"/>
        </w:rPr>
        <w:t>n</w:t>
      </w:r>
      <w:r w:rsidR="002D4152" w:rsidRPr="006C0894">
        <w:rPr>
          <w:rFonts w:eastAsia="Times New Roman"/>
          <w:vertAlign w:val="superscript"/>
          <w:lang w:val="fr-FR"/>
        </w:rPr>
        <w:t>o</w:t>
      </w:r>
      <w:r w:rsidR="002D4152">
        <w:rPr>
          <w:rFonts w:eastAsia="Times New Roman"/>
          <w:lang w:val="fr-FR"/>
        </w:rPr>
        <w:t> </w:t>
      </w:r>
      <w:r w:rsidR="008D6145" w:rsidRPr="008D6145">
        <w:rPr>
          <w:rFonts w:eastAsia="Times New Roman"/>
          <w:lang w:val="fr-FR"/>
        </w:rPr>
        <w:t>2008-07 du 28 février 2011 portant Code de procédure civile, commerciale, sociale, administrative et des comptes ;</w:t>
      </w:r>
    </w:p>
    <w:p w:rsidR="008D6145" w:rsidRPr="008D6145" w:rsidRDefault="00821D2B" w:rsidP="00821D2B">
      <w:pPr>
        <w:pStyle w:val="Bullet1G"/>
        <w:numPr>
          <w:ilvl w:val="0"/>
          <w:numId w:val="0"/>
        </w:numPr>
        <w:tabs>
          <w:tab w:val="left" w:pos="1701"/>
        </w:tabs>
        <w:ind w:left="1701" w:hanging="170"/>
        <w:rPr>
          <w:rFonts w:eastAsia="Times New Roman"/>
          <w:i/>
          <w:lang w:val="fr-FR"/>
        </w:rPr>
      </w:pPr>
      <w:r w:rsidRPr="008D6145">
        <w:rPr>
          <w:rFonts w:eastAsia="Times New Roman"/>
          <w:lang w:val="fr-FR"/>
        </w:rPr>
        <w:t>•</w:t>
      </w:r>
      <w:r w:rsidRPr="008D6145">
        <w:rPr>
          <w:rFonts w:eastAsia="Times New Roman"/>
          <w:lang w:val="fr-FR"/>
        </w:rPr>
        <w:tab/>
      </w:r>
      <w:r w:rsidR="008D6145" w:rsidRPr="008D6145">
        <w:rPr>
          <w:rFonts w:eastAsia="Times New Roman"/>
          <w:lang w:val="fr-FR"/>
        </w:rPr>
        <w:t xml:space="preserve">La loi </w:t>
      </w:r>
      <w:r w:rsidR="002D4152" w:rsidRPr="008D6145">
        <w:rPr>
          <w:rFonts w:eastAsia="Times New Roman"/>
          <w:lang w:val="fr-FR"/>
        </w:rPr>
        <w:t>n</w:t>
      </w:r>
      <w:r w:rsidR="002D4152" w:rsidRPr="006C0894">
        <w:rPr>
          <w:rFonts w:eastAsia="Times New Roman"/>
          <w:vertAlign w:val="superscript"/>
          <w:lang w:val="fr-FR"/>
        </w:rPr>
        <w:t>o</w:t>
      </w:r>
      <w:r w:rsidR="002D4152">
        <w:rPr>
          <w:rFonts w:eastAsia="Times New Roman"/>
          <w:lang w:val="fr-FR"/>
        </w:rPr>
        <w:t> </w:t>
      </w:r>
      <w:r w:rsidR="008D6145" w:rsidRPr="008D6145">
        <w:rPr>
          <w:rFonts w:eastAsia="Times New Roman"/>
          <w:lang w:val="fr-FR"/>
        </w:rPr>
        <w:t>2007-21 du 16 octobre 2007 portant protection du consommateur en République du Bénin ;</w:t>
      </w:r>
    </w:p>
    <w:p w:rsidR="008D6145" w:rsidRPr="008D6145" w:rsidRDefault="00821D2B" w:rsidP="00821D2B">
      <w:pPr>
        <w:pStyle w:val="Bullet1G"/>
        <w:numPr>
          <w:ilvl w:val="0"/>
          <w:numId w:val="0"/>
        </w:numPr>
        <w:tabs>
          <w:tab w:val="left" w:pos="1701"/>
        </w:tabs>
        <w:ind w:left="1701" w:hanging="170"/>
        <w:rPr>
          <w:rFonts w:eastAsia="Times New Roman"/>
          <w:lang w:val="fr-FR"/>
        </w:rPr>
      </w:pPr>
      <w:r w:rsidRPr="008D6145">
        <w:rPr>
          <w:rFonts w:eastAsia="Times New Roman"/>
          <w:lang w:val="fr-FR"/>
        </w:rPr>
        <w:t>•</w:t>
      </w:r>
      <w:r w:rsidRPr="008D6145">
        <w:rPr>
          <w:rFonts w:eastAsia="Times New Roman"/>
          <w:lang w:val="fr-FR"/>
        </w:rPr>
        <w:tab/>
      </w:r>
      <w:r w:rsidR="008D6145" w:rsidRPr="008D6145">
        <w:rPr>
          <w:rFonts w:eastAsia="Times New Roman"/>
          <w:lang w:val="fr-FR"/>
        </w:rPr>
        <w:t>La ratification de la Convention relative aux droits des personnes handicapées, le 5</w:t>
      </w:r>
      <w:r w:rsidR="008A7736">
        <w:rPr>
          <w:rFonts w:eastAsia="Times New Roman"/>
          <w:lang w:val="fr-FR"/>
        </w:rPr>
        <w:t> </w:t>
      </w:r>
      <w:r w:rsidR="008D6145" w:rsidRPr="008D6145">
        <w:rPr>
          <w:rFonts w:eastAsia="Times New Roman"/>
          <w:lang w:val="fr-FR"/>
        </w:rPr>
        <w:t xml:space="preserve">juillet 2012 ; </w:t>
      </w:r>
    </w:p>
    <w:p w:rsidR="008D6145" w:rsidRPr="008D6145" w:rsidRDefault="00821D2B" w:rsidP="00821D2B">
      <w:pPr>
        <w:pStyle w:val="Bullet1G"/>
        <w:numPr>
          <w:ilvl w:val="0"/>
          <w:numId w:val="0"/>
        </w:numPr>
        <w:tabs>
          <w:tab w:val="left" w:pos="1701"/>
        </w:tabs>
        <w:ind w:left="1701" w:hanging="170"/>
        <w:rPr>
          <w:rFonts w:eastAsia="Times New Roman"/>
          <w:lang w:val="fr-FR"/>
        </w:rPr>
      </w:pPr>
      <w:r w:rsidRPr="008D6145">
        <w:rPr>
          <w:rFonts w:eastAsia="Times New Roman"/>
          <w:lang w:val="fr-FR"/>
        </w:rPr>
        <w:t>•</w:t>
      </w:r>
      <w:r w:rsidRPr="008D6145">
        <w:rPr>
          <w:rFonts w:eastAsia="Times New Roman"/>
          <w:lang w:val="fr-FR"/>
        </w:rPr>
        <w:tab/>
      </w:r>
      <w:r w:rsidR="008D6145" w:rsidRPr="008D6145">
        <w:rPr>
          <w:rFonts w:eastAsia="Times New Roman"/>
          <w:lang w:val="fr-FR"/>
        </w:rPr>
        <w:t xml:space="preserve">La ratification du Protocole facultatif se rapportant à la Convention relative aux droits des </w:t>
      </w:r>
      <w:r w:rsidR="008D6145" w:rsidRPr="008D6145">
        <w:rPr>
          <w:lang w:val="fr-FR"/>
        </w:rPr>
        <w:t>personnes</w:t>
      </w:r>
      <w:r w:rsidR="008D6145" w:rsidRPr="008D6145">
        <w:rPr>
          <w:rFonts w:eastAsia="Times New Roman"/>
          <w:lang w:val="fr-FR"/>
        </w:rPr>
        <w:t xml:space="preserve"> handicapées, le 5 juillet 2012 ; </w:t>
      </w:r>
    </w:p>
    <w:p w:rsidR="008D6145" w:rsidRPr="008D6145" w:rsidRDefault="00821D2B" w:rsidP="00821D2B">
      <w:pPr>
        <w:pStyle w:val="Bullet1G"/>
        <w:numPr>
          <w:ilvl w:val="0"/>
          <w:numId w:val="0"/>
        </w:numPr>
        <w:tabs>
          <w:tab w:val="left" w:pos="1701"/>
        </w:tabs>
        <w:ind w:left="1701" w:hanging="170"/>
        <w:rPr>
          <w:rFonts w:eastAsia="Times New Roman"/>
          <w:lang w:val="fr-FR"/>
        </w:rPr>
      </w:pPr>
      <w:r w:rsidRPr="008D6145">
        <w:rPr>
          <w:rFonts w:eastAsia="Times New Roman"/>
          <w:lang w:val="fr-FR"/>
        </w:rPr>
        <w:t>•</w:t>
      </w:r>
      <w:r w:rsidRPr="008D6145">
        <w:rPr>
          <w:rFonts w:eastAsia="Times New Roman"/>
          <w:lang w:val="fr-FR"/>
        </w:rPr>
        <w:tab/>
      </w:r>
      <w:r w:rsidR="008D6145" w:rsidRPr="008D6145">
        <w:rPr>
          <w:rFonts w:eastAsia="Times New Roman"/>
          <w:lang w:val="fr-FR"/>
        </w:rPr>
        <w:t xml:space="preserve">La loi </w:t>
      </w:r>
      <w:r w:rsidR="002D4152" w:rsidRPr="008D6145">
        <w:rPr>
          <w:rFonts w:eastAsia="Times New Roman"/>
          <w:lang w:val="fr-FR"/>
        </w:rPr>
        <w:t>n</w:t>
      </w:r>
      <w:r w:rsidR="002D4152" w:rsidRPr="006C0894">
        <w:rPr>
          <w:rFonts w:eastAsia="Times New Roman"/>
          <w:vertAlign w:val="superscript"/>
          <w:lang w:val="fr-FR"/>
        </w:rPr>
        <w:t>o</w:t>
      </w:r>
      <w:r w:rsidR="002D4152">
        <w:rPr>
          <w:rFonts w:eastAsia="Times New Roman"/>
          <w:lang w:val="fr-FR"/>
        </w:rPr>
        <w:t> </w:t>
      </w:r>
      <w:r w:rsidR="008D6145" w:rsidRPr="008D6145">
        <w:rPr>
          <w:rFonts w:eastAsia="Times New Roman"/>
          <w:lang w:val="fr-FR"/>
        </w:rPr>
        <w:t xml:space="preserve">2016-24 du 11 octobre 2016 portant cadre juridique du partenariat public privé en </w:t>
      </w:r>
      <w:r w:rsidR="008D6145" w:rsidRPr="008D6145">
        <w:rPr>
          <w:lang w:val="fr-FR"/>
        </w:rPr>
        <w:t>République</w:t>
      </w:r>
      <w:r w:rsidR="008D6145" w:rsidRPr="008D6145">
        <w:rPr>
          <w:rFonts w:eastAsia="Times New Roman"/>
          <w:lang w:val="fr-FR"/>
        </w:rPr>
        <w:t xml:space="preserve"> du Bénin.</w:t>
      </w:r>
    </w:p>
    <w:p w:rsidR="008D6145" w:rsidRPr="008D6145" w:rsidRDefault="008D6145" w:rsidP="00821D2B">
      <w:pPr>
        <w:pStyle w:val="H1G"/>
        <w:rPr>
          <w:lang w:val="fr-FR"/>
        </w:rPr>
      </w:pPr>
      <w:r w:rsidRPr="008D6145">
        <w:rPr>
          <w:lang w:val="fr-FR"/>
        </w:rPr>
        <w:tab/>
      </w:r>
      <w:r w:rsidRPr="008D6145">
        <w:rPr>
          <w:lang w:val="fr-FR"/>
        </w:rPr>
        <w:tab/>
        <w:t>Autres mesures</w:t>
      </w:r>
    </w:p>
    <w:p w:rsidR="008D6145" w:rsidRPr="008D6145" w:rsidRDefault="00821D2B" w:rsidP="00821D2B">
      <w:pPr>
        <w:pStyle w:val="Bullet1G"/>
        <w:numPr>
          <w:ilvl w:val="0"/>
          <w:numId w:val="0"/>
        </w:numPr>
        <w:tabs>
          <w:tab w:val="left" w:pos="1701"/>
        </w:tabs>
        <w:ind w:left="1701" w:hanging="170"/>
        <w:rPr>
          <w:lang w:val="fr-FR"/>
        </w:rPr>
      </w:pPr>
      <w:r w:rsidRPr="008D6145">
        <w:rPr>
          <w:lang w:val="fr-FR"/>
        </w:rPr>
        <w:t>•</w:t>
      </w:r>
      <w:r w:rsidRPr="008D6145">
        <w:rPr>
          <w:lang w:val="fr-FR"/>
        </w:rPr>
        <w:tab/>
      </w:r>
      <w:r w:rsidR="008D6145" w:rsidRPr="008D6145">
        <w:rPr>
          <w:lang w:val="fr-FR"/>
        </w:rPr>
        <w:t>Le renforcement de la gouvernance, de la démocratie et de l</w:t>
      </w:r>
      <w:r w:rsidR="00A033A7">
        <w:rPr>
          <w:lang w:val="fr-FR"/>
        </w:rPr>
        <w:t xml:space="preserve">’État </w:t>
      </w:r>
      <w:r w:rsidR="008D6145" w:rsidRPr="008D6145">
        <w:rPr>
          <w:lang w:val="fr-FR"/>
        </w:rPr>
        <w:t>de droit à travers l</w:t>
      </w:r>
      <w:r w:rsidR="00A033A7">
        <w:rPr>
          <w:lang w:val="fr-FR"/>
        </w:rPr>
        <w:t>’</w:t>
      </w:r>
      <w:r w:rsidR="008D6145" w:rsidRPr="008D6145">
        <w:rPr>
          <w:lang w:val="fr-FR"/>
        </w:rPr>
        <w:t>organisation en mars 2016 des élections présidentielles consacrant l</w:t>
      </w:r>
      <w:r w:rsidR="00A033A7">
        <w:rPr>
          <w:lang w:val="fr-FR"/>
        </w:rPr>
        <w:t>’</w:t>
      </w:r>
      <w:r w:rsidR="008D6145" w:rsidRPr="008D6145">
        <w:rPr>
          <w:lang w:val="fr-FR"/>
        </w:rPr>
        <w:t>alternance au pouvoir.</w:t>
      </w:r>
    </w:p>
    <w:p w:rsidR="008D6145" w:rsidRPr="00821D2B" w:rsidRDefault="00821D2B" w:rsidP="00821D2B">
      <w:pPr>
        <w:pStyle w:val="Bullet1G"/>
        <w:numPr>
          <w:ilvl w:val="0"/>
          <w:numId w:val="0"/>
        </w:numPr>
        <w:tabs>
          <w:tab w:val="left" w:pos="1701"/>
        </w:tabs>
        <w:ind w:left="1701" w:hanging="170"/>
        <w:rPr>
          <w:bCs/>
          <w:lang w:val="fr-FR"/>
        </w:rPr>
      </w:pPr>
      <w:r w:rsidRPr="00821D2B">
        <w:rPr>
          <w:bCs/>
          <w:lang w:val="fr-FR"/>
        </w:rPr>
        <w:t>•</w:t>
      </w:r>
      <w:r w:rsidRPr="00821D2B">
        <w:rPr>
          <w:bCs/>
          <w:lang w:val="fr-FR"/>
        </w:rPr>
        <w:tab/>
      </w:r>
      <w:r w:rsidR="008D6145" w:rsidRPr="00821D2B">
        <w:rPr>
          <w:bCs/>
          <w:lang w:val="fr-FR"/>
        </w:rPr>
        <w:t xml:space="preserve">Création en 2013 par le truchement de la loi </w:t>
      </w:r>
      <w:r w:rsidR="002D4152" w:rsidRPr="008D6145">
        <w:rPr>
          <w:rFonts w:eastAsia="Times New Roman"/>
          <w:lang w:val="fr-FR"/>
        </w:rPr>
        <w:t>n</w:t>
      </w:r>
      <w:r w:rsidR="002D4152" w:rsidRPr="006C0894">
        <w:rPr>
          <w:rFonts w:eastAsia="Times New Roman"/>
          <w:vertAlign w:val="superscript"/>
          <w:lang w:val="fr-FR"/>
        </w:rPr>
        <w:t>o</w:t>
      </w:r>
      <w:r w:rsidR="002D4152">
        <w:rPr>
          <w:rFonts w:eastAsia="Times New Roman"/>
          <w:lang w:val="fr-FR"/>
        </w:rPr>
        <w:t> </w:t>
      </w:r>
      <w:r w:rsidR="008D6145" w:rsidRPr="00821D2B">
        <w:rPr>
          <w:bCs/>
          <w:lang w:val="fr-FR"/>
        </w:rPr>
        <w:t>2011-20 du 12 octobre 2011 portant lutte contre la corruption et autres infractions connexes en République du Bénin, d</w:t>
      </w:r>
      <w:r w:rsidR="00A033A7" w:rsidRPr="00821D2B">
        <w:rPr>
          <w:bCs/>
          <w:lang w:val="fr-FR"/>
        </w:rPr>
        <w:t>’</w:t>
      </w:r>
      <w:r w:rsidR="008D6145" w:rsidRPr="00821D2B">
        <w:rPr>
          <w:bCs/>
          <w:lang w:val="fr-FR"/>
        </w:rPr>
        <w:t>une institution légale dénommée « Autorité Nationale de Lutte contre la Corruption » (ANLC).</w:t>
      </w:r>
    </w:p>
    <w:p w:rsidR="008D6145" w:rsidRPr="00821D2B" w:rsidRDefault="00821D2B" w:rsidP="00821D2B">
      <w:pPr>
        <w:pStyle w:val="Bullet1G"/>
        <w:numPr>
          <w:ilvl w:val="0"/>
          <w:numId w:val="0"/>
        </w:numPr>
        <w:tabs>
          <w:tab w:val="left" w:pos="1701"/>
        </w:tabs>
        <w:ind w:left="1701" w:hanging="170"/>
        <w:rPr>
          <w:bCs/>
          <w:lang w:val="fr-FR"/>
        </w:rPr>
      </w:pPr>
      <w:r w:rsidRPr="00821D2B">
        <w:rPr>
          <w:bCs/>
          <w:lang w:val="fr-FR"/>
        </w:rPr>
        <w:t>•</w:t>
      </w:r>
      <w:r w:rsidRPr="00821D2B">
        <w:rPr>
          <w:bCs/>
          <w:lang w:val="fr-FR"/>
        </w:rPr>
        <w:tab/>
      </w:r>
      <w:r w:rsidR="008D6145" w:rsidRPr="00821D2B">
        <w:rPr>
          <w:bCs/>
          <w:lang w:val="fr-FR"/>
        </w:rPr>
        <w:t>La mise en place d</w:t>
      </w:r>
      <w:r w:rsidR="00A033A7" w:rsidRPr="00821D2B">
        <w:rPr>
          <w:bCs/>
          <w:lang w:val="fr-FR"/>
        </w:rPr>
        <w:t>’</w:t>
      </w:r>
      <w:r w:rsidR="008D6145" w:rsidRPr="00821D2B">
        <w:rPr>
          <w:bCs/>
          <w:lang w:val="fr-FR"/>
        </w:rPr>
        <w:t>un dispositif permanent de collecte des données auprès</w:t>
      </w:r>
      <w:r w:rsidR="00A033A7" w:rsidRPr="00821D2B">
        <w:rPr>
          <w:bCs/>
          <w:lang w:val="fr-FR"/>
        </w:rPr>
        <w:t xml:space="preserve"> </w:t>
      </w:r>
      <w:r w:rsidR="008D6145" w:rsidRPr="00821D2B">
        <w:rPr>
          <w:bCs/>
          <w:lang w:val="fr-FR"/>
        </w:rPr>
        <w:t>des ménages à travers l</w:t>
      </w:r>
      <w:r w:rsidR="00A033A7" w:rsidRPr="00821D2B">
        <w:rPr>
          <w:bCs/>
          <w:lang w:val="fr-FR"/>
        </w:rPr>
        <w:t>’</w:t>
      </w:r>
      <w:r w:rsidR="008D6145" w:rsidRPr="00821D2B">
        <w:rPr>
          <w:bCs/>
          <w:lang w:val="fr-FR"/>
        </w:rPr>
        <w:t xml:space="preserve">Enquête Modulaire Intégrée sur les Conditions de Vie des ménages (EMICoV). </w:t>
      </w:r>
      <w:r w:rsidR="00850D01">
        <w:rPr>
          <w:bCs/>
          <w:lang w:val="fr-FR"/>
        </w:rPr>
        <w:t>À</w:t>
      </w:r>
      <w:r w:rsidR="008D6145" w:rsidRPr="00821D2B">
        <w:rPr>
          <w:bCs/>
          <w:lang w:val="fr-FR"/>
        </w:rPr>
        <w:t xml:space="preserve"> travers les enquêtes de base et de suivi de l</w:t>
      </w:r>
      <w:r w:rsidR="00A033A7" w:rsidRPr="00821D2B">
        <w:rPr>
          <w:bCs/>
          <w:lang w:val="fr-FR"/>
        </w:rPr>
        <w:t>’</w:t>
      </w:r>
      <w:r w:rsidR="008D6145" w:rsidRPr="00821D2B">
        <w:rPr>
          <w:bCs/>
          <w:lang w:val="fr-FR"/>
        </w:rPr>
        <w:t>EMICoV, il est possible, de disposer sur une période annuelle des indicateurs sur les différentes formes de pauvreté au Bénin et de suivre la mobilité des ménages dans la pauvreté. Ces indicateurs peuvent être disponibles au niveau national, départemental, et communal</w:t>
      </w:r>
      <w:r w:rsidR="00902DBD">
        <w:rPr>
          <w:bCs/>
          <w:lang w:val="fr-FR"/>
        </w:rPr>
        <w:t>.</w:t>
      </w:r>
    </w:p>
    <w:p w:rsidR="008D6145" w:rsidRPr="00821D2B" w:rsidRDefault="00821D2B" w:rsidP="00821D2B">
      <w:pPr>
        <w:pStyle w:val="Bullet1G"/>
        <w:numPr>
          <w:ilvl w:val="0"/>
          <w:numId w:val="0"/>
        </w:numPr>
        <w:tabs>
          <w:tab w:val="left" w:pos="1701"/>
        </w:tabs>
        <w:ind w:left="1701" w:hanging="170"/>
        <w:rPr>
          <w:bCs/>
          <w:lang w:val="fr-FR"/>
        </w:rPr>
      </w:pPr>
      <w:r w:rsidRPr="00821D2B">
        <w:rPr>
          <w:bCs/>
          <w:lang w:val="fr-FR"/>
        </w:rPr>
        <w:t>•</w:t>
      </w:r>
      <w:r w:rsidRPr="00821D2B">
        <w:rPr>
          <w:bCs/>
          <w:lang w:val="fr-FR"/>
        </w:rPr>
        <w:tab/>
      </w:r>
      <w:r w:rsidR="008D6145" w:rsidRPr="00821D2B">
        <w:rPr>
          <w:bCs/>
          <w:lang w:val="fr-FR"/>
        </w:rPr>
        <w:t>L</w:t>
      </w:r>
      <w:r w:rsidR="00A033A7" w:rsidRPr="00821D2B">
        <w:rPr>
          <w:bCs/>
          <w:lang w:val="fr-FR"/>
        </w:rPr>
        <w:t>’</w:t>
      </w:r>
      <w:r w:rsidR="008D6145" w:rsidRPr="00821D2B">
        <w:rPr>
          <w:bCs/>
          <w:lang w:val="fr-FR"/>
        </w:rPr>
        <w:t>élaboration du Tableau de Bord Social (TBS)</w:t>
      </w:r>
      <w:r w:rsidR="00902DBD">
        <w:rPr>
          <w:bCs/>
          <w:lang w:val="fr-FR"/>
        </w:rPr>
        <w:t>.</w:t>
      </w:r>
    </w:p>
    <w:p w:rsidR="008D6145" w:rsidRPr="00821D2B" w:rsidRDefault="00821D2B" w:rsidP="00821D2B">
      <w:pPr>
        <w:pStyle w:val="Bullet1G"/>
        <w:numPr>
          <w:ilvl w:val="0"/>
          <w:numId w:val="0"/>
        </w:numPr>
        <w:tabs>
          <w:tab w:val="left" w:pos="1701"/>
        </w:tabs>
        <w:ind w:left="1701" w:hanging="170"/>
        <w:rPr>
          <w:bCs/>
          <w:lang w:val="fr-FR"/>
        </w:rPr>
      </w:pPr>
      <w:r w:rsidRPr="00821D2B">
        <w:rPr>
          <w:bCs/>
          <w:lang w:val="fr-FR"/>
        </w:rPr>
        <w:t>•</w:t>
      </w:r>
      <w:r w:rsidRPr="00821D2B">
        <w:rPr>
          <w:bCs/>
          <w:lang w:val="fr-FR"/>
        </w:rPr>
        <w:tab/>
      </w:r>
      <w:r w:rsidR="008D6145" w:rsidRPr="00821D2B">
        <w:rPr>
          <w:bCs/>
          <w:lang w:val="fr-FR"/>
        </w:rPr>
        <w:t>L</w:t>
      </w:r>
      <w:r w:rsidR="00A033A7" w:rsidRPr="00821D2B">
        <w:rPr>
          <w:bCs/>
          <w:lang w:val="fr-FR"/>
        </w:rPr>
        <w:t>’</w:t>
      </w:r>
      <w:r w:rsidR="008D6145" w:rsidRPr="00821D2B">
        <w:rPr>
          <w:bCs/>
          <w:lang w:val="fr-FR"/>
        </w:rPr>
        <w:t>organisation de façon permanente des journées béninoises d</w:t>
      </w:r>
      <w:r w:rsidR="00A033A7" w:rsidRPr="00821D2B">
        <w:rPr>
          <w:bCs/>
          <w:lang w:val="fr-FR"/>
        </w:rPr>
        <w:t>’</w:t>
      </w:r>
      <w:r w:rsidR="008D6145" w:rsidRPr="00821D2B">
        <w:rPr>
          <w:bCs/>
          <w:lang w:val="fr-FR"/>
        </w:rPr>
        <w:t>évaluation. Instituées depuis 2010, ces journées biennales ont pour finalité de permettre à tous ceux qui interviennent dans la gouvernance publique de s</w:t>
      </w:r>
      <w:r w:rsidR="00A033A7" w:rsidRPr="00821D2B">
        <w:rPr>
          <w:bCs/>
          <w:lang w:val="fr-FR"/>
        </w:rPr>
        <w:t>’</w:t>
      </w:r>
      <w:r w:rsidR="008D6145" w:rsidRPr="00821D2B">
        <w:rPr>
          <w:bCs/>
          <w:lang w:val="fr-FR"/>
        </w:rPr>
        <w:t>auto-évaluer. La quatrième édition de ces journées, tenue le 5 septembre 2016, a porté sur le thème : « Utilisation des résultats des évaluations pour changer les conditions de vie des populations »</w:t>
      </w:r>
      <w:r w:rsidR="00902DBD">
        <w:rPr>
          <w:bCs/>
          <w:lang w:val="fr-FR"/>
        </w:rPr>
        <w:t>.</w:t>
      </w:r>
    </w:p>
    <w:p w:rsidR="008D6145" w:rsidRPr="008D6145" w:rsidRDefault="00821D2B" w:rsidP="00821D2B">
      <w:pPr>
        <w:pStyle w:val="Bullet1G"/>
        <w:numPr>
          <w:ilvl w:val="0"/>
          <w:numId w:val="0"/>
        </w:numPr>
        <w:tabs>
          <w:tab w:val="left" w:pos="1701"/>
        </w:tabs>
        <w:ind w:left="1701" w:hanging="170"/>
        <w:rPr>
          <w:b/>
          <w:lang w:val="fr-FR"/>
        </w:rPr>
      </w:pPr>
      <w:r w:rsidRPr="008D6145">
        <w:rPr>
          <w:lang w:val="fr-FR"/>
        </w:rPr>
        <w:t>•</w:t>
      </w:r>
      <w:r w:rsidRPr="008D6145">
        <w:rPr>
          <w:lang w:val="fr-FR"/>
        </w:rPr>
        <w:tab/>
      </w:r>
      <w:r w:rsidR="008D6145" w:rsidRPr="00821D2B">
        <w:rPr>
          <w:bCs/>
          <w:lang w:val="fr-FR"/>
        </w:rPr>
        <w:t>L</w:t>
      </w:r>
      <w:r w:rsidR="00A033A7" w:rsidRPr="00821D2B">
        <w:rPr>
          <w:bCs/>
          <w:lang w:val="fr-FR"/>
        </w:rPr>
        <w:t>’</w:t>
      </w:r>
      <w:r w:rsidR="008D6145" w:rsidRPr="00821D2B">
        <w:rPr>
          <w:bCs/>
          <w:lang w:val="fr-FR"/>
        </w:rPr>
        <w:t>organisation en 2013 du quatrième Recensement Général de la Population et de l</w:t>
      </w:r>
      <w:r w:rsidR="00A033A7" w:rsidRPr="00821D2B">
        <w:rPr>
          <w:bCs/>
          <w:lang w:val="fr-FR"/>
        </w:rPr>
        <w:t>’</w:t>
      </w:r>
      <w:r w:rsidR="008D6145" w:rsidRPr="00821D2B">
        <w:rPr>
          <w:bCs/>
          <w:lang w:val="fr-FR"/>
        </w:rPr>
        <w:t>Habitation (RGPH4) a permis de dénombrer 10</w:t>
      </w:r>
      <w:r w:rsidR="002D4152">
        <w:rPr>
          <w:bCs/>
          <w:lang w:val="fr-FR"/>
        </w:rPr>
        <w:t> </w:t>
      </w:r>
      <w:r w:rsidR="008D6145" w:rsidRPr="00821D2B">
        <w:rPr>
          <w:bCs/>
          <w:lang w:val="fr-FR"/>
        </w:rPr>
        <w:t>008</w:t>
      </w:r>
      <w:r w:rsidR="002D4152">
        <w:rPr>
          <w:bCs/>
          <w:lang w:val="fr-FR"/>
        </w:rPr>
        <w:t> </w:t>
      </w:r>
      <w:r w:rsidR="008D6145" w:rsidRPr="00821D2B">
        <w:rPr>
          <w:bCs/>
          <w:lang w:val="fr-FR"/>
        </w:rPr>
        <w:t>749 habitants résidents des deux sexes dont 5 120 929 personnes de sexe féminin, soit 51,2</w:t>
      </w:r>
      <w:r w:rsidR="002D4152">
        <w:rPr>
          <w:bCs/>
          <w:lang w:val="fr-FR"/>
        </w:rPr>
        <w:t> </w:t>
      </w:r>
      <w:r w:rsidR="008D6145" w:rsidRPr="00821D2B">
        <w:rPr>
          <w:bCs/>
          <w:lang w:val="fr-FR"/>
        </w:rPr>
        <w:t>% de la population totale.</w:t>
      </w:r>
      <w:r w:rsidR="00A033A7" w:rsidRPr="00821D2B">
        <w:rPr>
          <w:bCs/>
          <w:lang w:val="fr-FR"/>
        </w:rPr>
        <w:t xml:space="preserve"> </w:t>
      </w:r>
      <w:r w:rsidR="008D6145" w:rsidRPr="00821D2B">
        <w:rPr>
          <w:bCs/>
          <w:lang w:val="fr-FR"/>
        </w:rPr>
        <w:t>Le Bénin est caractérisé par une population</w:t>
      </w:r>
      <w:r w:rsidR="008D6145" w:rsidRPr="008D6145">
        <w:rPr>
          <w:lang w:val="fr-FR"/>
        </w:rPr>
        <w:t xml:space="preserve"> jeune. En effet, la part de la population </w:t>
      </w:r>
      <w:r w:rsidR="008D6145" w:rsidRPr="008D6145">
        <w:rPr>
          <w:lang w:val="fr-FR"/>
        </w:rPr>
        <w:lastRenderedPageBreak/>
        <w:t>ayant moins de 20 ans est estimée à 56,6</w:t>
      </w:r>
      <w:r w:rsidR="002D4152">
        <w:rPr>
          <w:lang w:val="fr-FR"/>
        </w:rPr>
        <w:t> </w:t>
      </w:r>
      <w:r w:rsidR="008D6145" w:rsidRPr="008D6145">
        <w:rPr>
          <w:lang w:val="fr-FR"/>
        </w:rPr>
        <w:t>%. L</w:t>
      </w:r>
      <w:r w:rsidR="00A033A7">
        <w:rPr>
          <w:lang w:val="fr-FR"/>
        </w:rPr>
        <w:t>’</w:t>
      </w:r>
      <w:r w:rsidR="008D6145" w:rsidRPr="008D6145">
        <w:rPr>
          <w:lang w:val="fr-FR"/>
        </w:rPr>
        <w:t>espérance de vie à la naissance est de 62,6</w:t>
      </w:r>
      <w:r w:rsidR="002D4152">
        <w:rPr>
          <w:lang w:val="fr-FR"/>
        </w:rPr>
        <w:t> </w:t>
      </w:r>
      <w:r w:rsidR="008D6145" w:rsidRPr="008D6145">
        <w:rPr>
          <w:lang w:val="fr-FR"/>
        </w:rPr>
        <w:t>ans pour l</w:t>
      </w:r>
      <w:r w:rsidR="00A033A7">
        <w:rPr>
          <w:lang w:val="fr-FR"/>
        </w:rPr>
        <w:t>’</w:t>
      </w:r>
      <w:r w:rsidR="008D6145" w:rsidRPr="008D6145">
        <w:rPr>
          <w:lang w:val="fr-FR"/>
        </w:rPr>
        <w:t>ensemble de la population. Celle des femmes (64,9</w:t>
      </w:r>
      <w:r w:rsidR="002D4152">
        <w:rPr>
          <w:lang w:val="fr-FR"/>
        </w:rPr>
        <w:t> </w:t>
      </w:r>
      <w:r w:rsidR="008D6145" w:rsidRPr="008D6145">
        <w:rPr>
          <w:lang w:val="fr-FR"/>
        </w:rPr>
        <w:t>ans) est plus élevée que celle des hommes (60,2</w:t>
      </w:r>
      <w:r w:rsidR="002D4152">
        <w:rPr>
          <w:lang w:val="fr-FR"/>
        </w:rPr>
        <w:t> </w:t>
      </w:r>
      <w:r w:rsidR="008D6145" w:rsidRPr="008D6145">
        <w:rPr>
          <w:lang w:val="fr-FR"/>
        </w:rPr>
        <w:t>ans). La population potentiellement active (15-64</w:t>
      </w:r>
      <w:r w:rsidR="002D4152">
        <w:rPr>
          <w:lang w:val="fr-FR"/>
        </w:rPr>
        <w:t> </w:t>
      </w:r>
      <w:r w:rsidR="008D6145" w:rsidRPr="008D6145">
        <w:rPr>
          <w:lang w:val="fr-FR"/>
        </w:rPr>
        <w:t>ans) représente 50,9</w:t>
      </w:r>
      <w:r w:rsidR="002D4152">
        <w:rPr>
          <w:lang w:val="fr-FR"/>
        </w:rPr>
        <w:t> </w:t>
      </w:r>
      <w:r w:rsidR="008D6145" w:rsidRPr="008D6145">
        <w:rPr>
          <w:lang w:val="fr-FR"/>
        </w:rPr>
        <w:t>% de la population. En 2014, la part de la population vivant en milieu urbain est estimée à 46,57</w:t>
      </w:r>
      <w:r w:rsidR="002D4152">
        <w:rPr>
          <w:lang w:val="fr-FR"/>
        </w:rPr>
        <w:t> </w:t>
      </w:r>
      <w:r w:rsidR="008D6145" w:rsidRPr="008D6145">
        <w:rPr>
          <w:lang w:val="fr-FR"/>
        </w:rPr>
        <w:t>%</w:t>
      </w:r>
      <w:r w:rsidR="00902DBD">
        <w:rPr>
          <w:lang w:val="fr-FR"/>
        </w:rPr>
        <w:t>.</w:t>
      </w:r>
    </w:p>
    <w:p w:rsidR="008D6145" w:rsidRPr="00821D2B" w:rsidRDefault="00821D2B" w:rsidP="00821D2B">
      <w:pPr>
        <w:pStyle w:val="Bullet1G"/>
        <w:numPr>
          <w:ilvl w:val="0"/>
          <w:numId w:val="0"/>
        </w:numPr>
        <w:tabs>
          <w:tab w:val="left" w:pos="1701"/>
        </w:tabs>
        <w:ind w:left="1701" w:hanging="170"/>
        <w:rPr>
          <w:bCs/>
          <w:lang w:val="fr-FR"/>
        </w:rPr>
      </w:pPr>
      <w:r w:rsidRPr="00821D2B">
        <w:rPr>
          <w:bCs/>
          <w:lang w:val="fr-FR"/>
        </w:rPr>
        <w:t>•</w:t>
      </w:r>
      <w:r w:rsidRPr="00821D2B">
        <w:rPr>
          <w:bCs/>
          <w:lang w:val="fr-FR"/>
        </w:rPr>
        <w:tab/>
      </w:r>
      <w:r w:rsidR="008D6145" w:rsidRPr="00821D2B">
        <w:rPr>
          <w:bCs/>
          <w:lang w:val="fr-FR"/>
        </w:rPr>
        <w:t>La désignation en 2016 des chefs-lieux des nouveaux départements ainsi que la nomination des Préfets sur la base des critères énumérés par l</w:t>
      </w:r>
      <w:r w:rsidR="00A033A7" w:rsidRPr="00821D2B">
        <w:rPr>
          <w:bCs/>
          <w:lang w:val="fr-FR"/>
        </w:rPr>
        <w:t>’</w:t>
      </w:r>
      <w:r w:rsidR="008D6145" w:rsidRPr="00821D2B">
        <w:rPr>
          <w:bCs/>
          <w:lang w:val="fr-FR"/>
        </w:rPr>
        <w:t xml:space="preserve">article 8 de la loi </w:t>
      </w:r>
      <w:r w:rsidR="002D4152" w:rsidRPr="008D6145">
        <w:rPr>
          <w:rFonts w:eastAsia="Times New Roman"/>
          <w:lang w:val="fr-FR"/>
        </w:rPr>
        <w:t>n</w:t>
      </w:r>
      <w:r w:rsidR="002D4152" w:rsidRPr="006C0894">
        <w:rPr>
          <w:rFonts w:eastAsia="Times New Roman"/>
          <w:vertAlign w:val="superscript"/>
          <w:lang w:val="fr-FR"/>
        </w:rPr>
        <w:t>o</w:t>
      </w:r>
      <w:r w:rsidR="002D4152">
        <w:rPr>
          <w:rFonts w:eastAsia="Times New Roman"/>
          <w:lang w:val="fr-FR"/>
        </w:rPr>
        <w:t> </w:t>
      </w:r>
      <w:r w:rsidR="008D6145" w:rsidRPr="00821D2B">
        <w:rPr>
          <w:bCs/>
          <w:lang w:val="fr-FR"/>
        </w:rPr>
        <w:t>97-028 du 15</w:t>
      </w:r>
      <w:r w:rsidR="002D4152">
        <w:rPr>
          <w:bCs/>
          <w:lang w:val="fr-FR"/>
        </w:rPr>
        <w:t> </w:t>
      </w:r>
      <w:r w:rsidR="008D6145" w:rsidRPr="00821D2B">
        <w:rPr>
          <w:bCs/>
          <w:lang w:val="fr-FR"/>
        </w:rPr>
        <w:t>janvier 1999 portant Organisation de l</w:t>
      </w:r>
      <w:r w:rsidR="00A033A7" w:rsidRPr="00821D2B">
        <w:rPr>
          <w:bCs/>
          <w:lang w:val="fr-FR"/>
        </w:rPr>
        <w:t>’</w:t>
      </w:r>
      <w:r w:rsidR="008D6145" w:rsidRPr="00821D2B">
        <w:rPr>
          <w:bCs/>
          <w:lang w:val="fr-FR"/>
        </w:rPr>
        <w:t>administration territoriale de la République du Bénin.</w:t>
      </w:r>
    </w:p>
    <w:p w:rsidR="008D6145" w:rsidRPr="00821D2B" w:rsidRDefault="00821D2B" w:rsidP="00821D2B">
      <w:pPr>
        <w:pStyle w:val="Bullet1G"/>
        <w:numPr>
          <w:ilvl w:val="0"/>
          <w:numId w:val="0"/>
        </w:numPr>
        <w:tabs>
          <w:tab w:val="left" w:pos="1701"/>
        </w:tabs>
        <w:ind w:left="1701" w:hanging="170"/>
        <w:rPr>
          <w:bCs/>
          <w:lang w:val="fr-FR"/>
        </w:rPr>
      </w:pPr>
      <w:r w:rsidRPr="00821D2B">
        <w:rPr>
          <w:bCs/>
          <w:lang w:val="fr-FR"/>
        </w:rPr>
        <w:t>•</w:t>
      </w:r>
      <w:r w:rsidRPr="00821D2B">
        <w:rPr>
          <w:bCs/>
          <w:lang w:val="fr-FR"/>
        </w:rPr>
        <w:tab/>
      </w:r>
      <w:r w:rsidR="008D6145" w:rsidRPr="00821D2B">
        <w:rPr>
          <w:bCs/>
          <w:lang w:val="fr-FR"/>
        </w:rPr>
        <w:t>La réalisation dans la période de référence de plusieurs études notamment sur : les tendances de la pauvreté au Bénin sur la période 2007-2015 ; les inégalités et polarisations des revenus des ménages ; les secteurs clés de l</w:t>
      </w:r>
      <w:r w:rsidR="00A033A7" w:rsidRPr="00821D2B">
        <w:rPr>
          <w:bCs/>
          <w:lang w:val="fr-FR"/>
        </w:rPr>
        <w:t>’</w:t>
      </w:r>
      <w:r w:rsidR="008D6145" w:rsidRPr="00821D2B">
        <w:rPr>
          <w:bCs/>
          <w:lang w:val="fr-FR"/>
        </w:rPr>
        <w:t xml:space="preserve">économie béninoises. </w:t>
      </w:r>
    </w:p>
    <w:p w:rsidR="008D6145" w:rsidRPr="008D6145" w:rsidRDefault="00821D2B" w:rsidP="00821D2B">
      <w:pPr>
        <w:pStyle w:val="Bullet1G"/>
        <w:numPr>
          <w:ilvl w:val="0"/>
          <w:numId w:val="0"/>
        </w:numPr>
        <w:tabs>
          <w:tab w:val="left" w:pos="1701"/>
        </w:tabs>
        <w:ind w:left="1701" w:hanging="170"/>
        <w:rPr>
          <w:lang w:val="fr-FR"/>
        </w:rPr>
      </w:pPr>
      <w:r w:rsidRPr="008D6145">
        <w:rPr>
          <w:lang w:val="fr-FR"/>
        </w:rPr>
        <w:t>•</w:t>
      </w:r>
      <w:r w:rsidRPr="008D6145">
        <w:rPr>
          <w:lang w:val="fr-FR"/>
        </w:rPr>
        <w:tab/>
      </w:r>
      <w:r w:rsidR="008D6145" w:rsidRPr="00821D2B">
        <w:rPr>
          <w:bCs/>
          <w:lang w:val="fr-FR"/>
        </w:rPr>
        <w:t>L</w:t>
      </w:r>
      <w:r w:rsidR="00A033A7" w:rsidRPr="00821D2B">
        <w:rPr>
          <w:bCs/>
          <w:lang w:val="fr-FR"/>
        </w:rPr>
        <w:t>’</w:t>
      </w:r>
      <w:r w:rsidR="008D6145" w:rsidRPr="00821D2B">
        <w:rPr>
          <w:bCs/>
          <w:lang w:val="fr-FR"/>
        </w:rPr>
        <w:t>adoption en janvier 2016 d</w:t>
      </w:r>
      <w:r w:rsidR="00A033A7" w:rsidRPr="00821D2B">
        <w:rPr>
          <w:bCs/>
          <w:lang w:val="fr-FR"/>
        </w:rPr>
        <w:t>’</w:t>
      </w:r>
      <w:r w:rsidR="008D6145" w:rsidRPr="00821D2B">
        <w:rPr>
          <w:bCs/>
          <w:lang w:val="fr-FR"/>
        </w:rPr>
        <w:t>un Programme d</w:t>
      </w:r>
      <w:r w:rsidR="00A033A7" w:rsidRPr="00821D2B">
        <w:rPr>
          <w:bCs/>
          <w:lang w:val="fr-FR"/>
        </w:rPr>
        <w:t>’</w:t>
      </w:r>
      <w:r w:rsidR="008D6145" w:rsidRPr="00821D2B">
        <w:rPr>
          <w:bCs/>
          <w:lang w:val="fr-FR"/>
        </w:rPr>
        <w:t>Actions du Gouvernement (PAG) pour la période 2016-2021 composé de 45 projets phares et de</w:t>
      </w:r>
      <w:r w:rsidR="00B11B3D">
        <w:rPr>
          <w:bCs/>
          <w:lang w:val="fr-FR"/>
        </w:rPr>
        <w:t xml:space="preserve"> 95 projets sectoriels et de 19 </w:t>
      </w:r>
      <w:r w:rsidR="008D6145" w:rsidRPr="00821D2B">
        <w:rPr>
          <w:bCs/>
          <w:lang w:val="fr-FR"/>
        </w:rPr>
        <w:t>réformes institutionnelles. Le PAG vise</w:t>
      </w:r>
      <w:r w:rsidR="008D6145" w:rsidRPr="008D6145">
        <w:rPr>
          <w:lang w:val="fr-FR"/>
        </w:rPr>
        <w:t xml:space="preserve"> non seulement la transformation économique et sociale du Bénin mais également la mise en œuvre d</w:t>
      </w:r>
      <w:r w:rsidR="00A033A7">
        <w:rPr>
          <w:lang w:val="fr-FR"/>
        </w:rPr>
        <w:t>’</w:t>
      </w:r>
      <w:r w:rsidR="008D6145" w:rsidRPr="008D6145">
        <w:rPr>
          <w:lang w:val="fr-FR"/>
        </w:rPr>
        <w:t>un cadre démocratique plus équilibrée et une gouvernance renforcée.</w:t>
      </w:r>
    </w:p>
    <w:p w:rsidR="008D6145" w:rsidRPr="008D6145" w:rsidRDefault="00821D2B" w:rsidP="00821D2B">
      <w:pPr>
        <w:pStyle w:val="SingleTxtG"/>
        <w:kinsoku/>
        <w:overflowPunct/>
        <w:autoSpaceDE/>
        <w:autoSpaceDN/>
        <w:adjustRightInd/>
        <w:snapToGrid/>
        <w:rPr>
          <w:rFonts w:eastAsia="Times New Roman"/>
          <w:lang w:val="fr-FR"/>
        </w:rPr>
      </w:pPr>
      <w:r w:rsidRPr="008D6145">
        <w:rPr>
          <w:rFonts w:eastAsia="Times New Roman"/>
          <w:lang w:val="fr-FR"/>
        </w:rPr>
        <w:t>7.</w:t>
      </w:r>
      <w:r w:rsidRPr="008D6145">
        <w:rPr>
          <w:rFonts w:eastAsia="Times New Roman"/>
          <w:lang w:val="fr-FR"/>
        </w:rPr>
        <w:tab/>
      </w:r>
      <w:r w:rsidR="008D6145" w:rsidRPr="008D6145">
        <w:rPr>
          <w:rFonts w:eastAsia="Times New Roman"/>
          <w:lang w:val="fr-FR"/>
        </w:rPr>
        <w:t>Ces études dont les résultats ont été rendus publics le 30 août 2016 révèlent que la pauvreté s</w:t>
      </w:r>
      <w:r w:rsidR="00A033A7">
        <w:rPr>
          <w:rFonts w:eastAsia="Times New Roman"/>
          <w:lang w:val="fr-FR"/>
        </w:rPr>
        <w:t>’</w:t>
      </w:r>
      <w:r w:rsidR="008D6145" w:rsidRPr="008D6145">
        <w:rPr>
          <w:rFonts w:eastAsia="Times New Roman"/>
          <w:lang w:val="fr-FR"/>
        </w:rPr>
        <w:t>est accentuée au niveau national, passant de 33,3</w:t>
      </w:r>
      <w:r w:rsidR="002D4152">
        <w:rPr>
          <w:rFonts w:eastAsia="Times New Roman"/>
          <w:lang w:val="fr-FR"/>
        </w:rPr>
        <w:t> </w:t>
      </w:r>
      <w:r w:rsidR="008D6145" w:rsidRPr="008D6145">
        <w:rPr>
          <w:rFonts w:eastAsia="Times New Roman"/>
          <w:lang w:val="fr-FR"/>
        </w:rPr>
        <w:t>% en 2007 à 40,1</w:t>
      </w:r>
      <w:r w:rsidR="002D4152">
        <w:rPr>
          <w:rFonts w:eastAsia="Times New Roman"/>
          <w:lang w:val="fr-FR"/>
        </w:rPr>
        <w:t> </w:t>
      </w:r>
      <w:r w:rsidR="008D6145" w:rsidRPr="008D6145">
        <w:rPr>
          <w:rFonts w:eastAsia="Times New Roman"/>
          <w:lang w:val="fr-FR"/>
        </w:rPr>
        <w:t>% en 2015.</w:t>
      </w:r>
    </w:p>
    <w:p w:rsidR="008D6145" w:rsidRPr="008D6145" w:rsidRDefault="008D6145" w:rsidP="008A7736">
      <w:pPr>
        <w:keepNext/>
        <w:keepLines/>
        <w:tabs>
          <w:tab w:val="right" w:pos="851"/>
        </w:tabs>
        <w:kinsoku/>
        <w:overflowPunct/>
        <w:autoSpaceDE/>
        <w:autoSpaceDN/>
        <w:adjustRightInd/>
        <w:snapToGrid/>
        <w:spacing w:before="360" w:after="240" w:line="300" w:lineRule="exact"/>
        <w:ind w:left="1134" w:right="1134" w:hanging="1134"/>
        <w:rPr>
          <w:rFonts w:eastAsia="Times New Roman"/>
          <w:b/>
          <w:sz w:val="28"/>
          <w:lang w:val="fr-FR"/>
        </w:rPr>
      </w:pPr>
      <w:r w:rsidRPr="008D6145">
        <w:rPr>
          <w:rFonts w:eastAsia="Times New Roman"/>
          <w:b/>
          <w:sz w:val="28"/>
          <w:lang w:val="fr-FR"/>
        </w:rPr>
        <w:tab/>
      </w:r>
      <w:r w:rsidRPr="008D6145">
        <w:rPr>
          <w:rFonts w:eastAsia="Times New Roman"/>
          <w:b/>
          <w:sz w:val="28"/>
          <w:lang w:val="fr-FR"/>
        </w:rPr>
        <w:tab/>
        <w:t>Deuxième partie</w:t>
      </w:r>
      <w:r w:rsidR="008A7736">
        <w:rPr>
          <w:rFonts w:eastAsia="Times New Roman"/>
          <w:b/>
          <w:sz w:val="28"/>
          <w:lang w:val="fr-FR"/>
        </w:rPr>
        <w:t xml:space="preserve"> – </w:t>
      </w:r>
      <w:r w:rsidR="008A7736" w:rsidRPr="008A7736">
        <w:rPr>
          <w:rFonts w:eastAsia="Times New Roman"/>
          <w:b/>
          <w:sz w:val="28"/>
          <w:lang w:val="fr-FR"/>
        </w:rPr>
        <w:t xml:space="preserve">Points relatifs aux dispositions générales du </w:t>
      </w:r>
      <w:r w:rsidR="00DF50FE" w:rsidRPr="008A7736">
        <w:rPr>
          <w:rFonts w:eastAsia="Times New Roman"/>
          <w:b/>
          <w:sz w:val="28"/>
          <w:lang w:val="fr-FR"/>
        </w:rPr>
        <w:t xml:space="preserve">Pacte </w:t>
      </w:r>
      <w:r w:rsidR="008A7736" w:rsidRPr="008A7736">
        <w:rPr>
          <w:rFonts w:eastAsia="Times New Roman"/>
          <w:b/>
          <w:sz w:val="28"/>
          <w:lang w:val="fr-FR"/>
        </w:rPr>
        <w:t>(art. 1 à 5)</w:t>
      </w:r>
    </w:p>
    <w:p w:rsidR="008D6145" w:rsidRPr="008D6145" w:rsidRDefault="008D6145" w:rsidP="00821D2B">
      <w:pPr>
        <w:pStyle w:val="H1G"/>
        <w:rPr>
          <w:lang w:val="fr-FR"/>
        </w:rPr>
      </w:pPr>
      <w:r w:rsidRPr="008D6145">
        <w:rPr>
          <w:lang w:val="fr-FR"/>
        </w:rPr>
        <w:tab/>
        <w:t>A.</w:t>
      </w:r>
      <w:r w:rsidRPr="008D6145">
        <w:rPr>
          <w:lang w:val="fr-FR"/>
        </w:rPr>
        <w:tab/>
        <w:t>Article premier </w:t>
      </w:r>
      <w:r w:rsidR="001430A5">
        <w:rPr>
          <w:lang w:val="fr-FR"/>
        </w:rPr>
        <w:t>–</w:t>
      </w:r>
      <w:r w:rsidRPr="008D6145">
        <w:rPr>
          <w:lang w:val="fr-FR"/>
        </w:rPr>
        <w:t xml:space="preserve"> Droit des peuples à disposer d</w:t>
      </w:r>
      <w:r w:rsidR="00A033A7">
        <w:rPr>
          <w:lang w:val="fr-FR"/>
        </w:rPr>
        <w:t>’</w:t>
      </w:r>
      <w:r w:rsidRPr="008D6145">
        <w:rPr>
          <w:lang w:val="fr-FR"/>
        </w:rPr>
        <w:t>eux-mêmes</w:t>
      </w:r>
      <w:r w:rsidR="008A7736">
        <w:rPr>
          <w:lang w:val="fr-FR"/>
        </w:rPr>
        <w:t xml:space="preserve">, </w:t>
      </w:r>
      <w:r w:rsidRPr="008D6145">
        <w:rPr>
          <w:lang w:val="fr-FR"/>
        </w:rPr>
        <w:t>à disposer librement de leurs richesses et de leurs ressources naturelles</w:t>
      </w:r>
    </w:p>
    <w:p w:rsidR="008D6145" w:rsidRPr="008D6145" w:rsidRDefault="00821D2B" w:rsidP="00821D2B">
      <w:pPr>
        <w:pStyle w:val="SingleTxtG"/>
        <w:kinsoku/>
        <w:overflowPunct/>
        <w:autoSpaceDE/>
        <w:autoSpaceDN/>
        <w:adjustRightInd/>
        <w:snapToGrid/>
        <w:rPr>
          <w:rFonts w:eastAsia="Times New Roman"/>
          <w:lang w:val="fr-FR"/>
        </w:rPr>
      </w:pPr>
      <w:r w:rsidRPr="008D6145">
        <w:rPr>
          <w:rFonts w:eastAsia="Times New Roman"/>
          <w:lang w:val="fr-FR"/>
        </w:rPr>
        <w:t>8.</w:t>
      </w:r>
      <w:r w:rsidRPr="008D6145">
        <w:rPr>
          <w:rFonts w:eastAsia="Times New Roman"/>
          <w:lang w:val="fr-FR"/>
        </w:rPr>
        <w:tab/>
      </w:r>
      <w:r w:rsidR="008D6145" w:rsidRPr="008D6145">
        <w:rPr>
          <w:rFonts w:eastAsia="Times New Roman"/>
          <w:lang w:val="fr-FR"/>
        </w:rPr>
        <w:t>Le processus de décentralisation amorcé depuis l</w:t>
      </w:r>
      <w:r w:rsidR="00A033A7">
        <w:rPr>
          <w:rFonts w:eastAsia="Times New Roman"/>
          <w:lang w:val="fr-FR"/>
        </w:rPr>
        <w:t>’</w:t>
      </w:r>
      <w:r w:rsidR="008D6145" w:rsidRPr="008D6145">
        <w:rPr>
          <w:rFonts w:eastAsia="Times New Roman"/>
          <w:lang w:val="fr-FR"/>
        </w:rPr>
        <w:t>organisation des élections communales et municipales de décembre 2002 et de janvier 2003 suit son cours avec le renouvellement des conseils communaux et municipaux en 2008 et 2015.</w:t>
      </w:r>
    </w:p>
    <w:p w:rsidR="008D6145" w:rsidRPr="008D6145" w:rsidRDefault="00821D2B" w:rsidP="00821D2B">
      <w:pPr>
        <w:pStyle w:val="SingleTxtG"/>
        <w:kinsoku/>
        <w:overflowPunct/>
        <w:autoSpaceDE/>
        <w:autoSpaceDN/>
        <w:adjustRightInd/>
        <w:snapToGrid/>
        <w:rPr>
          <w:rFonts w:eastAsia="Times New Roman"/>
          <w:lang w:val="fr-FR"/>
        </w:rPr>
      </w:pPr>
      <w:r w:rsidRPr="008D6145">
        <w:rPr>
          <w:rFonts w:eastAsia="Times New Roman"/>
          <w:lang w:val="fr-FR"/>
        </w:rPr>
        <w:t>9.</w:t>
      </w:r>
      <w:r w:rsidRPr="008D6145">
        <w:rPr>
          <w:rFonts w:eastAsia="Times New Roman"/>
          <w:lang w:val="fr-FR"/>
        </w:rPr>
        <w:tab/>
      </w:r>
      <w:r w:rsidR="008D6145" w:rsidRPr="008D6145">
        <w:rPr>
          <w:rFonts w:eastAsia="Times New Roman"/>
          <w:lang w:val="fr-FR"/>
        </w:rPr>
        <w:t>L</w:t>
      </w:r>
      <w:r w:rsidR="00A033A7">
        <w:rPr>
          <w:rFonts w:eastAsia="Times New Roman"/>
          <w:lang w:val="fr-FR"/>
        </w:rPr>
        <w:t xml:space="preserve">’État </w:t>
      </w:r>
      <w:r w:rsidR="008D6145" w:rsidRPr="008D6145">
        <w:rPr>
          <w:rFonts w:eastAsia="Times New Roman"/>
          <w:lang w:val="fr-FR"/>
        </w:rPr>
        <w:t>a mis en place le Fonds d</w:t>
      </w:r>
      <w:r w:rsidR="00A033A7">
        <w:rPr>
          <w:rFonts w:eastAsia="Times New Roman"/>
          <w:lang w:val="fr-FR"/>
        </w:rPr>
        <w:t>’</w:t>
      </w:r>
      <w:r w:rsidR="008D6145" w:rsidRPr="008D6145">
        <w:rPr>
          <w:rFonts w:eastAsia="Times New Roman"/>
          <w:lang w:val="fr-FR"/>
        </w:rPr>
        <w:t>Appui au Développement des Communes (</w:t>
      </w:r>
      <w:r w:rsidR="008D6145" w:rsidRPr="00821D2B">
        <w:rPr>
          <w:rFonts w:eastAsia="Times New Roman"/>
          <w:bCs/>
          <w:lang w:val="fr-FR"/>
        </w:rPr>
        <w:t>FADeC). C</w:t>
      </w:r>
      <w:r w:rsidR="00A033A7" w:rsidRPr="00821D2B">
        <w:rPr>
          <w:rFonts w:eastAsia="Times New Roman"/>
          <w:bCs/>
          <w:lang w:val="fr-FR"/>
        </w:rPr>
        <w:t>’</w:t>
      </w:r>
      <w:r w:rsidR="008D6145" w:rsidRPr="00821D2B">
        <w:rPr>
          <w:rFonts w:eastAsia="Times New Roman"/>
          <w:bCs/>
          <w:lang w:val="fr-FR"/>
        </w:rPr>
        <w:t>est un mécanisme de financement national et de transferts de ressources aux communes mis en place en mai 2008. Il est administré par la Commission Nationale des Finances Locales (CONAFIL), organe paritaire comprenant l</w:t>
      </w:r>
      <w:r w:rsidR="00A033A7" w:rsidRPr="00821D2B">
        <w:rPr>
          <w:rFonts w:eastAsia="Times New Roman"/>
          <w:bCs/>
          <w:lang w:val="fr-FR"/>
        </w:rPr>
        <w:t xml:space="preserve">’État </w:t>
      </w:r>
      <w:r w:rsidR="008D6145" w:rsidRPr="00821D2B">
        <w:rPr>
          <w:rFonts w:eastAsia="Times New Roman"/>
          <w:bCs/>
          <w:lang w:val="fr-FR"/>
        </w:rPr>
        <w:t>et les Communes. Le Fonds est abondé par des ressources provenant aussi bien du budget national que des partenaires au développement. Le FADeC est composé de deux types de dotations : une dotation pour le fonctionnement et une dotation pour l</w:t>
      </w:r>
      <w:r w:rsidR="00A033A7" w:rsidRPr="00821D2B">
        <w:rPr>
          <w:rFonts w:eastAsia="Times New Roman"/>
          <w:bCs/>
          <w:lang w:val="fr-FR"/>
        </w:rPr>
        <w:t>’</w:t>
      </w:r>
      <w:r w:rsidR="008D6145" w:rsidRPr="00821D2B">
        <w:rPr>
          <w:rFonts w:eastAsia="Times New Roman"/>
          <w:bCs/>
          <w:lang w:val="fr-FR"/>
        </w:rPr>
        <w:t>investissement. Avec la mise en place du FADeC, l</w:t>
      </w:r>
      <w:r w:rsidR="00A033A7" w:rsidRPr="00821D2B">
        <w:rPr>
          <w:rFonts w:eastAsia="Times New Roman"/>
          <w:bCs/>
          <w:lang w:val="fr-FR"/>
        </w:rPr>
        <w:t>’</w:t>
      </w:r>
      <w:r w:rsidR="008D6145" w:rsidRPr="00821D2B">
        <w:rPr>
          <w:rFonts w:eastAsia="Times New Roman"/>
          <w:bCs/>
          <w:lang w:val="fr-FR"/>
        </w:rPr>
        <w:t>appui financier de l</w:t>
      </w:r>
      <w:r w:rsidR="00A033A7" w:rsidRPr="00821D2B">
        <w:rPr>
          <w:rFonts w:eastAsia="Times New Roman"/>
          <w:bCs/>
          <w:lang w:val="fr-FR"/>
        </w:rPr>
        <w:t>’État</w:t>
      </w:r>
      <w:r w:rsidR="008D6145" w:rsidRPr="00821D2B">
        <w:rPr>
          <w:rFonts w:eastAsia="Times New Roman"/>
          <w:bCs/>
          <w:lang w:val="fr-FR"/>
        </w:rPr>
        <w:t xml:space="preserve"> à l</w:t>
      </w:r>
      <w:r w:rsidR="00A033A7" w:rsidRPr="00821D2B">
        <w:rPr>
          <w:rFonts w:eastAsia="Times New Roman"/>
          <w:bCs/>
          <w:lang w:val="fr-FR"/>
        </w:rPr>
        <w:t>’</w:t>
      </w:r>
      <w:r w:rsidR="008D6145" w:rsidRPr="00821D2B">
        <w:rPr>
          <w:rFonts w:eastAsia="Times New Roman"/>
          <w:bCs/>
          <w:lang w:val="fr-FR"/>
        </w:rPr>
        <w:t>effort de développement local s</w:t>
      </w:r>
      <w:r w:rsidR="00A033A7" w:rsidRPr="00821D2B">
        <w:rPr>
          <w:rFonts w:eastAsia="Times New Roman"/>
          <w:bCs/>
          <w:lang w:val="fr-FR"/>
        </w:rPr>
        <w:t>’</w:t>
      </w:r>
      <w:r w:rsidR="008D6145" w:rsidRPr="00821D2B">
        <w:rPr>
          <w:rFonts w:eastAsia="Times New Roman"/>
          <w:bCs/>
          <w:lang w:val="fr-FR"/>
        </w:rPr>
        <w:t>est renforcé. En effet, jusqu</w:t>
      </w:r>
      <w:r w:rsidR="00A033A7" w:rsidRPr="00821D2B">
        <w:rPr>
          <w:rFonts w:eastAsia="Times New Roman"/>
          <w:bCs/>
          <w:lang w:val="fr-FR"/>
        </w:rPr>
        <w:t>’</w:t>
      </w:r>
      <w:r w:rsidR="008D6145" w:rsidRPr="00821D2B">
        <w:rPr>
          <w:rFonts w:eastAsia="Times New Roman"/>
          <w:bCs/>
          <w:lang w:val="fr-FR"/>
        </w:rPr>
        <w:t>en 2005, la part de dotations de l</w:t>
      </w:r>
      <w:r w:rsidR="00A033A7" w:rsidRPr="00821D2B">
        <w:rPr>
          <w:rFonts w:eastAsia="Times New Roman"/>
          <w:bCs/>
          <w:lang w:val="fr-FR"/>
        </w:rPr>
        <w:t>’État</w:t>
      </w:r>
      <w:r w:rsidR="008D6145" w:rsidRPr="00821D2B">
        <w:rPr>
          <w:rFonts w:eastAsia="Times New Roman"/>
          <w:bCs/>
          <w:lang w:val="fr-FR"/>
        </w:rPr>
        <w:t xml:space="preserve"> dans les budgets communaux est restée faible, atteignant à peine 10 %. L</w:t>
      </w:r>
      <w:r w:rsidR="00A033A7" w:rsidRPr="00821D2B">
        <w:rPr>
          <w:rFonts w:eastAsia="Times New Roman"/>
          <w:bCs/>
          <w:lang w:val="fr-FR"/>
        </w:rPr>
        <w:t>’</w:t>
      </w:r>
      <w:r w:rsidR="008D6145" w:rsidRPr="00821D2B">
        <w:rPr>
          <w:rFonts w:eastAsia="Times New Roman"/>
          <w:bCs/>
          <w:lang w:val="fr-FR"/>
        </w:rPr>
        <w:t>avènement du FADeC a permis une augmentation de ce taux atteignant</w:t>
      </w:r>
      <w:r w:rsidR="008D6145" w:rsidRPr="008D6145">
        <w:rPr>
          <w:rFonts w:eastAsia="Times New Roman"/>
          <w:lang w:val="fr-FR"/>
        </w:rPr>
        <w:t xml:space="preserve"> 51,4 % du montant total des recettes des communes.</w:t>
      </w:r>
    </w:p>
    <w:p w:rsidR="008D6145" w:rsidRPr="008D6145" w:rsidRDefault="00821D2B" w:rsidP="00821D2B">
      <w:pPr>
        <w:pStyle w:val="SingleTxtG"/>
        <w:kinsoku/>
        <w:overflowPunct/>
        <w:autoSpaceDE/>
        <w:autoSpaceDN/>
        <w:adjustRightInd/>
        <w:snapToGrid/>
        <w:rPr>
          <w:rFonts w:eastAsia="Times New Roman"/>
          <w:lang w:val="fr-FR"/>
        </w:rPr>
      </w:pPr>
      <w:r w:rsidRPr="008D6145">
        <w:rPr>
          <w:rFonts w:eastAsia="Times New Roman"/>
          <w:lang w:val="fr-FR"/>
        </w:rPr>
        <w:t>10.</w:t>
      </w:r>
      <w:r w:rsidRPr="008D6145">
        <w:rPr>
          <w:rFonts w:eastAsia="Times New Roman"/>
          <w:lang w:val="fr-FR"/>
        </w:rPr>
        <w:tab/>
      </w:r>
      <w:r w:rsidR="008D6145" w:rsidRPr="008D6145">
        <w:rPr>
          <w:rFonts w:eastAsia="Times New Roman"/>
          <w:lang w:val="fr-FR"/>
        </w:rPr>
        <w:t>La part des communes et structures déconcentrées dans les dépenses publiques totales est très faible. L</w:t>
      </w:r>
      <w:r w:rsidR="00A033A7">
        <w:rPr>
          <w:rFonts w:eastAsia="Times New Roman"/>
          <w:lang w:val="fr-FR"/>
        </w:rPr>
        <w:t>’</w:t>
      </w:r>
      <w:r w:rsidR="008D6145" w:rsidRPr="008D6145">
        <w:rPr>
          <w:rFonts w:eastAsia="Times New Roman"/>
          <w:lang w:val="fr-FR"/>
        </w:rPr>
        <w:t>Administration centrale continue d</w:t>
      </w:r>
      <w:r w:rsidR="00A033A7">
        <w:rPr>
          <w:rFonts w:eastAsia="Times New Roman"/>
          <w:lang w:val="fr-FR"/>
        </w:rPr>
        <w:t>’</w:t>
      </w:r>
      <w:r w:rsidR="008D6145" w:rsidRPr="008D6145">
        <w:rPr>
          <w:rFonts w:eastAsia="Times New Roman"/>
          <w:lang w:val="fr-FR"/>
        </w:rPr>
        <w:t>exécuter près de 94</w:t>
      </w:r>
      <w:r w:rsidR="00554A12">
        <w:rPr>
          <w:rFonts w:eastAsia="Times New Roman"/>
          <w:lang w:val="fr-FR"/>
        </w:rPr>
        <w:t> </w:t>
      </w:r>
      <w:r w:rsidR="008D6145" w:rsidRPr="008D6145">
        <w:rPr>
          <w:rFonts w:eastAsia="Times New Roman"/>
          <w:lang w:val="fr-FR"/>
        </w:rPr>
        <w:t>% des dépenses totales de l</w:t>
      </w:r>
      <w:r w:rsidR="00A033A7">
        <w:rPr>
          <w:rFonts w:eastAsia="Times New Roman"/>
          <w:lang w:val="fr-FR"/>
        </w:rPr>
        <w:t>’État</w:t>
      </w:r>
      <w:r w:rsidR="008D6145" w:rsidRPr="008D6145">
        <w:rPr>
          <w:rFonts w:eastAsia="Times New Roman"/>
          <w:lang w:val="fr-FR"/>
        </w:rPr>
        <w:t>. Les dépenses exécutées par les services déconcentrés des ministères sectoriels (crédits délégués) ne représentent que 1,7 %. Même si les dépenses réalisées par les communes ont augmenté d</w:t>
      </w:r>
      <w:r w:rsidR="00A033A7">
        <w:rPr>
          <w:rFonts w:eastAsia="Times New Roman"/>
          <w:lang w:val="fr-FR"/>
        </w:rPr>
        <w:t>’</w:t>
      </w:r>
      <w:r w:rsidR="008D6145" w:rsidRPr="008D6145">
        <w:rPr>
          <w:rFonts w:eastAsia="Times New Roman"/>
          <w:lang w:val="fr-FR"/>
        </w:rPr>
        <w:t>environ 47 % entre 2004 et 2009, elles dépassent à peine 5 % des dépenses totales de l</w:t>
      </w:r>
      <w:r w:rsidR="00A033A7">
        <w:rPr>
          <w:rFonts w:eastAsia="Times New Roman"/>
          <w:lang w:val="fr-FR"/>
        </w:rPr>
        <w:t>’État</w:t>
      </w:r>
      <w:r w:rsidR="008D6145" w:rsidRPr="008D6145">
        <w:rPr>
          <w:rFonts w:eastAsia="Times New Roman"/>
          <w:lang w:val="fr-FR"/>
        </w:rPr>
        <w:t>, dont 2,6 % sont financées par des transferts et subventions de l</w:t>
      </w:r>
      <w:r w:rsidR="00A033A7">
        <w:rPr>
          <w:rFonts w:eastAsia="Times New Roman"/>
          <w:lang w:val="fr-FR"/>
        </w:rPr>
        <w:t xml:space="preserve">’État </w:t>
      </w:r>
      <w:r w:rsidR="008D6145" w:rsidRPr="008D6145">
        <w:rPr>
          <w:rFonts w:eastAsia="Times New Roman"/>
          <w:lang w:val="fr-FR"/>
        </w:rPr>
        <w:t>central. Les dépenses de fonctionnement représentent l</w:t>
      </w:r>
      <w:r w:rsidR="00A033A7">
        <w:rPr>
          <w:rFonts w:eastAsia="Times New Roman"/>
          <w:lang w:val="fr-FR"/>
        </w:rPr>
        <w:t>’</w:t>
      </w:r>
      <w:r w:rsidR="008D6145" w:rsidRPr="008D6145">
        <w:rPr>
          <w:rFonts w:eastAsia="Times New Roman"/>
          <w:lang w:val="fr-FR"/>
        </w:rPr>
        <w:t>essentiel des dépenses communales, laissant peu de ressources pour les dépenses d</w:t>
      </w:r>
      <w:r w:rsidR="00A033A7">
        <w:rPr>
          <w:rFonts w:eastAsia="Times New Roman"/>
          <w:lang w:val="fr-FR"/>
        </w:rPr>
        <w:t>’</w:t>
      </w:r>
      <w:r w:rsidR="008D6145" w:rsidRPr="008D6145">
        <w:rPr>
          <w:rFonts w:eastAsia="Times New Roman"/>
          <w:lang w:val="fr-FR"/>
        </w:rPr>
        <w:t>investissement.</w:t>
      </w:r>
    </w:p>
    <w:p w:rsidR="008D6145" w:rsidRPr="008D6145" w:rsidRDefault="00821D2B" w:rsidP="00821D2B">
      <w:pPr>
        <w:pStyle w:val="SingleTxtG"/>
        <w:kinsoku/>
        <w:overflowPunct/>
        <w:autoSpaceDE/>
        <w:autoSpaceDN/>
        <w:adjustRightInd/>
        <w:snapToGrid/>
        <w:rPr>
          <w:rFonts w:eastAsia="Times New Roman"/>
          <w:lang w:val="fr-FR"/>
        </w:rPr>
      </w:pPr>
      <w:r w:rsidRPr="008D6145">
        <w:rPr>
          <w:rFonts w:eastAsia="Times New Roman"/>
          <w:lang w:val="fr-FR"/>
        </w:rPr>
        <w:t>11.</w:t>
      </w:r>
      <w:r w:rsidRPr="008D6145">
        <w:rPr>
          <w:rFonts w:eastAsia="Times New Roman"/>
          <w:lang w:val="fr-FR"/>
        </w:rPr>
        <w:tab/>
      </w:r>
      <w:r w:rsidR="008D6145" w:rsidRPr="008D6145">
        <w:rPr>
          <w:rFonts w:eastAsia="Times New Roman"/>
          <w:lang w:val="fr-FR"/>
        </w:rPr>
        <w:t>Pour accompagner la décentralisation, le gouvernement a également entrepris une politique de déconcentration à travers laquelle, un certain nombre de ministères sectoriels ont créé des services au niveau départemental afin d</w:t>
      </w:r>
      <w:r w:rsidR="00A033A7">
        <w:rPr>
          <w:rFonts w:eastAsia="Times New Roman"/>
          <w:lang w:val="fr-FR"/>
        </w:rPr>
        <w:t>’</w:t>
      </w:r>
      <w:r w:rsidR="008D6145" w:rsidRPr="008D6145">
        <w:rPr>
          <w:rFonts w:eastAsia="Times New Roman"/>
          <w:lang w:val="fr-FR"/>
        </w:rPr>
        <w:t xml:space="preserve">apporter une assistance-conseil aux communes. </w:t>
      </w:r>
    </w:p>
    <w:p w:rsidR="008D6145" w:rsidRPr="008D6145" w:rsidRDefault="008D6145" w:rsidP="00821D2B">
      <w:pPr>
        <w:pStyle w:val="H1G"/>
        <w:rPr>
          <w:lang w:val="fr-FR"/>
        </w:rPr>
      </w:pPr>
      <w:r w:rsidRPr="008D6145">
        <w:rPr>
          <w:lang w:val="fr-FR"/>
        </w:rPr>
        <w:lastRenderedPageBreak/>
        <w:tab/>
        <w:t>B.</w:t>
      </w:r>
      <w:r w:rsidRPr="008D6145">
        <w:rPr>
          <w:lang w:val="fr-FR"/>
        </w:rPr>
        <w:tab/>
        <w:t>Article 2 et article 3 </w:t>
      </w:r>
      <w:r w:rsidR="005C39D0">
        <w:rPr>
          <w:lang w:val="fr-FR"/>
        </w:rPr>
        <w:t>–</w:t>
      </w:r>
      <w:r w:rsidRPr="008D6145">
        <w:rPr>
          <w:lang w:val="fr-FR"/>
        </w:rPr>
        <w:t xml:space="preserve"> Non-discriminat</w:t>
      </w:r>
      <w:r w:rsidR="00821D2B">
        <w:rPr>
          <w:lang w:val="fr-FR"/>
        </w:rPr>
        <w:t>ion et égalité des droits entre </w:t>
      </w:r>
      <w:r w:rsidRPr="008D6145">
        <w:rPr>
          <w:lang w:val="fr-FR"/>
        </w:rPr>
        <w:t>hommes et femmes</w:t>
      </w:r>
    </w:p>
    <w:p w:rsidR="008D6145" w:rsidRPr="008D6145" w:rsidRDefault="00821D2B" w:rsidP="00821D2B">
      <w:pPr>
        <w:pStyle w:val="SingleTxtG"/>
        <w:kinsoku/>
        <w:overflowPunct/>
        <w:autoSpaceDE/>
        <w:autoSpaceDN/>
        <w:adjustRightInd/>
        <w:snapToGrid/>
        <w:rPr>
          <w:rFonts w:eastAsia="Times New Roman"/>
          <w:lang w:val="fr-FR"/>
        </w:rPr>
      </w:pPr>
      <w:r w:rsidRPr="008D6145">
        <w:rPr>
          <w:rFonts w:eastAsia="Times New Roman"/>
          <w:lang w:val="fr-FR"/>
        </w:rPr>
        <w:t>12.</w:t>
      </w:r>
      <w:r w:rsidRPr="008D6145">
        <w:rPr>
          <w:rFonts w:eastAsia="Times New Roman"/>
          <w:lang w:val="fr-FR"/>
        </w:rPr>
        <w:tab/>
      </w:r>
      <w:r w:rsidR="008D6145" w:rsidRPr="008D6145">
        <w:rPr>
          <w:rFonts w:eastAsia="Times New Roman"/>
          <w:lang w:val="fr-FR"/>
        </w:rPr>
        <w:t>La Cour Constitutionnelle a été saisie pour apprécier la constitutionnalité de dispositions discriminatoires de deux lois, à savoir :</w:t>
      </w:r>
    </w:p>
    <w:p w:rsidR="008D6145" w:rsidRPr="00821D2B" w:rsidRDefault="00821D2B" w:rsidP="00821D2B">
      <w:pPr>
        <w:pStyle w:val="Bullet1G"/>
        <w:numPr>
          <w:ilvl w:val="0"/>
          <w:numId w:val="0"/>
        </w:numPr>
        <w:tabs>
          <w:tab w:val="left" w:pos="1701"/>
        </w:tabs>
        <w:ind w:left="1701" w:hanging="170"/>
        <w:rPr>
          <w:bCs/>
          <w:lang w:val="fr-FR"/>
        </w:rPr>
      </w:pPr>
      <w:r w:rsidRPr="00821D2B">
        <w:rPr>
          <w:bCs/>
          <w:lang w:val="fr-FR"/>
        </w:rPr>
        <w:t>•</w:t>
      </w:r>
      <w:r w:rsidRPr="00821D2B">
        <w:rPr>
          <w:bCs/>
          <w:lang w:val="fr-FR"/>
        </w:rPr>
        <w:tab/>
      </w:r>
      <w:r w:rsidR="008D6145" w:rsidRPr="008D6145">
        <w:rPr>
          <w:lang w:val="fr-FR"/>
        </w:rPr>
        <w:t xml:space="preserve">La loi </w:t>
      </w:r>
      <w:r w:rsidR="002D4152" w:rsidRPr="008D6145">
        <w:rPr>
          <w:rFonts w:eastAsia="Times New Roman"/>
          <w:lang w:val="fr-FR"/>
        </w:rPr>
        <w:t>n</w:t>
      </w:r>
      <w:r w:rsidR="002D4152" w:rsidRPr="006C0894">
        <w:rPr>
          <w:rFonts w:eastAsia="Times New Roman"/>
          <w:vertAlign w:val="superscript"/>
          <w:lang w:val="fr-FR"/>
        </w:rPr>
        <w:t>o</w:t>
      </w:r>
      <w:r w:rsidR="002D4152">
        <w:rPr>
          <w:rFonts w:eastAsia="Times New Roman"/>
          <w:lang w:val="fr-FR"/>
        </w:rPr>
        <w:t> </w:t>
      </w:r>
      <w:r w:rsidR="008D6145" w:rsidRPr="008D6145">
        <w:rPr>
          <w:lang w:val="fr-FR"/>
        </w:rPr>
        <w:t>65-17 du 23 juin 1965 portant Code de la nationalité en République du Bénin, en ses articles 8, 12-2, 13 et 18 qui portent atteinte au principe de l</w:t>
      </w:r>
      <w:r w:rsidR="00A033A7">
        <w:rPr>
          <w:lang w:val="fr-FR"/>
        </w:rPr>
        <w:t>’</w:t>
      </w:r>
      <w:r w:rsidR="008D6145" w:rsidRPr="008D6145">
        <w:rPr>
          <w:lang w:val="fr-FR"/>
        </w:rPr>
        <w:t>égalité entre l</w:t>
      </w:r>
      <w:r w:rsidR="00A033A7">
        <w:rPr>
          <w:lang w:val="fr-FR"/>
        </w:rPr>
        <w:t>’</w:t>
      </w:r>
      <w:r w:rsidR="008D6145" w:rsidRPr="008D6145">
        <w:rPr>
          <w:lang w:val="fr-FR"/>
        </w:rPr>
        <w:t xml:space="preserve">homme et la femme. Selon la Haute juridiction, ces </w:t>
      </w:r>
      <w:r w:rsidR="008D6145" w:rsidRPr="002D4152">
        <w:rPr>
          <w:lang w:val="fr-FR"/>
        </w:rPr>
        <w:t>articles « </w:t>
      </w:r>
      <w:r w:rsidR="008D6145" w:rsidRPr="00821D2B">
        <w:rPr>
          <w:lang w:val="fr-FR"/>
        </w:rPr>
        <w:t>introduisent sans les justifier des distinctions dans l</w:t>
      </w:r>
      <w:r w:rsidR="00A033A7" w:rsidRPr="00821D2B">
        <w:rPr>
          <w:lang w:val="fr-FR"/>
        </w:rPr>
        <w:t>’</w:t>
      </w:r>
      <w:r w:rsidR="008D6145" w:rsidRPr="00821D2B">
        <w:rPr>
          <w:lang w:val="fr-FR"/>
        </w:rPr>
        <w:t>attribution ou l</w:t>
      </w:r>
      <w:r w:rsidR="00A033A7" w:rsidRPr="00821D2B">
        <w:rPr>
          <w:lang w:val="fr-FR"/>
        </w:rPr>
        <w:t>’</w:t>
      </w:r>
      <w:r w:rsidR="008D6145" w:rsidRPr="00821D2B">
        <w:rPr>
          <w:lang w:val="fr-FR"/>
        </w:rPr>
        <w:t>acquisition de la nationalité béninoise en raison soit de la naissance au Bénin, soit de la filiation ou du mariage</w:t>
      </w:r>
      <w:r w:rsidR="008D6145" w:rsidRPr="002D4152">
        <w:rPr>
          <w:lang w:val="fr-FR"/>
        </w:rPr>
        <w:t> ».</w:t>
      </w:r>
      <w:r w:rsidR="008D6145" w:rsidRPr="008D6145">
        <w:rPr>
          <w:lang w:val="fr-FR"/>
        </w:rPr>
        <w:t xml:space="preserve"> Par conséquent, ils sont discriminatoires </w:t>
      </w:r>
      <w:r w:rsidR="008D6145" w:rsidRPr="00821D2B">
        <w:rPr>
          <w:bCs/>
          <w:lang w:val="fr-FR"/>
        </w:rPr>
        <w:t>(DCC 14-172 du 16 septembre 2014) ;</w:t>
      </w:r>
    </w:p>
    <w:p w:rsidR="008D6145" w:rsidRPr="00821D2B" w:rsidRDefault="00821D2B" w:rsidP="00821D2B">
      <w:pPr>
        <w:pStyle w:val="Bullet1G"/>
        <w:numPr>
          <w:ilvl w:val="0"/>
          <w:numId w:val="0"/>
        </w:numPr>
        <w:tabs>
          <w:tab w:val="left" w:pos="1701"/>
        </w:tabs>
        <w:ind w:left="1701" w:hanging="170"/>
        <w:rPr>
          <w:bCs/>
          <w:lang w:val="fr-FR"/>
        </w:rPr>
      </w:pPr>
      <w:r w:rsidRPr="00821D2B">
        <w:rPr>
          <w:bCs/>
          <w:lang w:val="fr-FR"/>
        </w:rPr>
        <w:t>•</w:t>
      </w:r>
      <w:r w:rsidRPr="00821D2B">
        <w:rPr>
          <w:bCs/>
          <w:lang w:val="fr-FR"/>
        </w:rPr>
        <w:tab/>
      </w:r>
      <w:r w:rsidR="008D6145" w:rsidRPr="00821D2B">
        <w:rPr>
          <w:bCs/>
          <w:lang w:val="fr-FR"/>
        </w:rPr>
        <w:t>Le code pénal dont les articles 336 à 339 créent des conditions plus favorables à l</w:t>
      </w:r>
      <w:r w:rsidR="00A033A7" w:rsidRPr="00821D2B">
        <w:rPr>
          <w:bCs/>
          <w:lang w:val="fr-FR"/>
        </w:rPr>
        <w:t>’</w:t>
      </w:r>
      <w:r w:rsidR="008D6145" w:rsidRPr="00821D2B">
        <w:rPr>
          <w:bCs/>
          <w:lang w:val="fr-FR"/>
        </w:rPr>
        <w:t>homme qu</w:t>
      </w:r>
      <w:r w:rsidR="00A033A7" w:rsidRPr="00821D2B">
        <w:rPr>
          <w:bCs/>
          <w:lang w:val="fr-FR"/>
        </w:rPr>
        <w:t>’</w:t>
      </w:r>
      <w:r w:rsidR="008D6145" w:rsidRPr="00821D2B">
        <w:rPr>
          <w:bCs/>
          <w:lang w:val="fr-FR"/>
        </w:rPr>
        <w:t>à la femme au triple point de vue de la constitution, de la poursuite et de la peine encourue en matière de délit d</w:t>
      </w:r>
      <w:r w:rsidR="00A033A7" w:rsidRPr="00821D2B">
        <w:rPr>
          <w:bCs/>
          <w:lang w:val="fr-FR"/>
        </w:rPr>
        <w:t>’</w:t>
      </w:r>
      <w:r w:rsidR="008D6145" w:rsidRPr="00821D2B">
        <w:rPr>
          <w:bCs/>
          <w:lang w:val="fr-FR"/>
        </w:rPr>
        <w:t>adultère. La Cour constitutionnelle a déclaré ces articles contraires aux articles 26 de la Constitution, 2 et 3 de la Charte africaine des Droits de l</w:t>
      </w:r>
      <w:r w:rsidR="00A033A7" w:rsidRPr="00821D2B">
        <w:rPr>
          <w:bCs/>
          <w:lang w:val="fr-FR"/>
        </w:rPr>
        <w:t>’</w:t>
      </w:r>
      <w:r w:rsidR="008D6145" w:rsidRPr="00821D2B">
        <w:rPr>
          <w:bCs/>
          <w:lang w:val="fr-FR"/>
        </w:rPr>
        <w:t>Homme et des Peuples (DCC 09-081 du 30 juillet 2009).</w:t>
      </w:r>
    </w:p>
    <w:p w:rsidR="008D6145" w:rsidRPr="008D6145" w:rsidRDefault="008D6145" w:rsidP="00821D2B">
      <w:pPr>
        <w:pStyle w:val="H1G"/>
        <w:rPr>
          <w:lang w:val="fr-FR"/>
        </w:rPr>
      </w:pPr>
      <w:r w:rsidRPr="008D6145">
        <w:rPr>
          <w:lang w:val="fr-FR"/>
        </w:rPr>
        <w:tab/>
        <w:t>C.</w:t>
      </w:r>
      <w:r w:rsidRPr="008D6145">
        <w:rPr>
          <w:lang w:val="fr-FR"/>
        </w:rPr>
        <w:tab/>
        <w:t>Article 4</w:t>
      </w:r>
    </w:p>
    <w:p w:rsidR="008D6145" w:rsidRPr="008D6145" w:rsidRDefault="00821D2B" w:rsidP="00821D2B">
      <w:pPr>
        <w:pStyle w:val="SingleTxtG"/>
        <w:kinsoku/>
        <w:overflowPunct/>
        <w:autoSpaceDE/>
        <w:autoSpaceDN/>
        <w:adjustRightInd/>
        <w:snapToGrid/>
        <w:rPr>
          <w:rFonts w:eastAsia="Times New Roman"/>
          <w:b/>
          <w:lang w:val="fr-FR"/>
        </w:rPr>
      </w:pPr>
      <w:r w:rsidRPr="008D6145">
        <w:rPr>
          <w:rFonts w:eastAsia="Times New Roman"/>
          <w:lang w:val="fr-FR"/>
        </w:rPr>
        <w:t>13.</w:t>
      </w:r>
      <w:r w:rsidRPr="008D6145">
        <w:rPr>
          <w:rFonts w:eastAsia="Times New Roman"/>
          <w:lang w:val="fr-FR"/>
        </w:rPr>
        <w:tab/>
      </w:r>
      <w:r w:rsidR="008D6145" w:rsidRPr="008D6145">
        <w:rPr>
          <w:rFonts w:eastAsia="Times New Roman"/>
          <w:lang w:val="fr-FR"/>
        </w:rPr>
        <w:t>Rien de nouveau à signaler.</w:t>
      </w:r>
    </w:p>
    <w:p w:rsidR="008D6145" w:rsidRPr="008D6145" w:rsidRDefault="008D6145" w:rsidP="00821D2B">
      <w:pPr>
        <w:pStyle w:val="H1G"/>
        <w:rPr>
          <w:lang w:val="fr-FR"/>
        </w:rPr>
      </w:pPr>
      <w:r w:rsidRPr="008D6145">
        <w:rPr>
          <w:lang w:val="fr-FR"/>
        </w:rPr>
        <w:tab/>
        <w:t>D.</w:t>
      </w:r>
      <w:r w:rsidRPr="008D6145">
        <w:rPr>
          <w:lang w:val="fr-FR"/>
        </w:rPr>
        <w:tab/>
      </w:r>
      <w:r w:rsidRPr="008D6145">
        <w:rPr>
          <w:lang w:val="fr-FR"/>
        </w:rPr>
        <w:tab/>
        <w:t>Article 5</w:t>
      </w:r>
    </w:p>
    <w:p w:rsidR="008D6145" w:rsidRPr="008D6145" w:rsidRDefault="00821D2B" w:rsidP="00821D2B">
      <w:pPr>
        <w:pStyle w:val="SingleTxtG"/>
        <w:kinsoku/>
        <w:overflowPunct/>
        <w:autoSpaceDE/>
        <w:autoSpaceDN/>
        <w:adjustRightInd/>
        <w:snapToGrid/>
        <w:rPr>
          <w:rFonts w:eastAsia="Times New Roman"/>
          <w:lang w:val="fr-FR"/>
        </w:rPr>
      </w:pPr>
      <w:r w:rsidRPr="008D6145">
        <w:rPr>
          <w:rFonts w:eastAsia="Times New Roman"/>
          <w:lang w:val="fr-FR"/>
        </w:rPr>
        <w:t>14.</w:t>
      </w:r>
      <w:r w:rsidRPr="008D6145">
        <w:rPr>
          <w:rFonts w:eastAsia="Times New Roman"/>
          <w:lang w:val="fr-FR"/>
        </w:rPr>
        <w:tab/>
      </w:r>
      <w:r w:rsidR="008D6145" w:rsidRPr="008D6145">
        <w:rPr>
          <w:rFonts w:eastAsia="Times New Roman"/>
          <w:lang w:val="fr-FR"/>
        </w:rPr>
        <w:t>Rien de nouveau à signaler.</w:t>
      </w:r>
    </w:p>
    <w:p w:rsidR="008D6145" w:rsidRPr="008D6145" w:rsidRDefault="008D6145">
      <w:pPr>
        <w:keepNext/>
        <w:keepLines/>
        <w:tabs>
          <w:tab w:val="right" w:pos="851"/>
          <w:tab w:val="left" w:pos="3402"/>
        </w:tabs>
        <w:kinsoku/>
        <w:overflowPunct/>
        <w:autoSpaceDE/>
        <w:autoSpaceDN/>
        <w:adjustRightInd/>
        <w:snapToGrid/>
        <w:spacing w:before="360" w:after="240" w:line="300" w:lineRule="exact"/>
        <w:ind w:left="1134" w:right="1134" w:hanging="1134"/>
        <w:rPr>
          <w:rFonts w:eastAsia="Times New Roman"/>
          <w:b/>
          <w:sz w:val="28"/>
          <w:lang w:val="fr-FR"/>
        </w:rPr>
      </w:pPr>
      <w:r w:rsidRPr="008D6145">
        <w:rPr>
          <w:rFonts w:eastAsia="Times New Roman"/>
          <w:b/>
          <w:sz w:val="28"/>
          <w:lang w:val="fr-FR"/>
        </w:rPr>
        <w:tab/>
      </w:r>
      <w:r w:rsidRPr="008D6145">
        <w:rPr>
          <w:rFonts w:eastAsia="Times New Roman"/>
          <w:b/>
          <w:sz w:val="28"/>
          <w:lang w:val="fr-FR"/>
        </w:rPr>
        <w:tab/>
        <w:t>Troisième partie</w:t>
      </w:r>
      <w:r w:rsidR="00A11111">
        <w:rPr>
          <w:rFonts w:eastAsia="Times New Roman"/>
          <w:b/>
          <w:sz w:val="28"/>
          <w:lang w:val="fr-FR"/>
        </w:rPr>
        <w:t xml:space="preserve"> – </w:t>
      </w:r>
      <w:r w:rsidR="00A11111" w:rsidRPr="00A11111">
        <w:rPr>
          <w:rFonts w:eastAsia="Times New Roman"/>
          <w:b/>
          <w:sz w:val="28"/>
          <w:lang w:val="fr-FR"/>
        </w:rPr>
        <w:t xml:space="preserve">Points se rapportant à des droits spécifiques </w:t>
      </w:r>
      <w:r w:rsidR="00A11111">
        <w:rPr>
          <w:rFonts w:eastAsia="Times New Roman"/>
          <w:b/>
          <w:sz w:val="28"/>
          <w:lang w:val="fr-FR"/>
        </w:rPr>
        <w:t xml:space="preserve">reconnus dans le </w:t>
      </w:r>
      <w:r w:rsidR="00DF50FE">
        <w:rPr>
          <w:rFonts w:eastAsia="Times New Roman"/>
          <w:b/>
          <w:sz w:val="28"/>
          <w:lang w:val="fr-FR"/>
        </w:rPr>
        <w:t xml:space="preserve">Pacte </w:t>
      </w:r>
      <w:r w:rsidR="00A11111">
        <w:rPr>
          <w:rFonts w:eastAsia="Times New Roman"/>
          <w:b/>
          <w:sz w:val="28"/>
          <w:lang w:val="fr-FR"/>
        </w:rPr>
        <w:t>(art. </w:t>
      </w:r>
      <w:r w:rsidR="00A11111" w:rsidRPr="00A11111">
        <w:rPr>
          <w:rFonts w:eastAsia="Times New Roman"/>
          <w:b/>
          <w:sz w:val="28"/>
          <w:lang w:val="fr-FR"/>
        </w:rPr>
        <w:t>6 et 7)</w:t>
      </w:r>
    </w:p>
    <w:p w:rsidR="008D6145" w:rsidRPr="008D6145" w:rsidRDefault="008D6145" w:rsidP="00821D2B">
      <w:pPr>
        <w:pStyle w:val="H1G"/>
        <w:rPr>
          <w:lang w:val="fr-FR"/>
        </w:rPr>
      </w:pPr>
      <w:r w:rsidRPr="008D6145">
        <w:rPr>
          <w:lang w:val="fr-FR"/>
        </w:rPr>
        <w:tab/>
        <w:t>A.</w:t>
      </w:r>
      <w:r w:rsidRPr="008D6145">
        <w:rPr>
          <w:lang w:val="fr-FR"/>
        </w:rPr>
        <w:tab/>
        <w:t>Article 6</w:t>
      </w:r>
      <w:r w:rsidR="00562DEC">
        <w:rPr>
          <w:lang w:val="fr-FR"/>
        </w:rPr>
        <w:t xml:space="preserve"> –</w:t>
      </w:r>
      <w:r w:rsidRPr="008D6145">
        <w:rPr>
          <w:lang w:val="fr-FR"/>
        </w:rPr>
        <w:t xml:space="preserve"> Droit au travail</w:t>
      </w:r>
    </w:p>
    <w:p w:rsidR="008D6145" w:rsidRPr="008D6145" w:rsidRDefault="008D6145" w:rsidP="00821D2B">
      <w:pPr>
        <w:pStyle w:val="H23G"/>
        <w:rPr>
          <w:lang w:val="fr-FR"/>
        </w:rPr>
      </w:pPr>
      <w:r w:rsidRPr="008D6145">
        <w:rPr>
          <w:lang w:val="fr-FR"/>
        </w:rPr>
        <w:tab/>
      </w:r>
      <w:r w:rsidRPr="008D6145">
        <w:rPr>
          <w:lang w:val="fr-FR"/>
        </w:rPr>
        <w:tab/>
      </w:r>
      <w:r w:rsidRPr="008D6145">
        <w:rPr>
          <w:lang w:val="fr-FR"/>
        </w:rPr>
        <w:tab/>
        <w:t>Situation générale de l</w:t>
      </w:r>
      <w:r w:rsidR="00A033A7">
        <w:rPr>
          <w:lang w:val="fr-FR"/>
        </w:rPr>
        <w:t>’</w:t>
      </w:r>
      <w:r w:rsidRPr="008D6145">
        <w:rPr>
          <w:lang w:val="fr-FR"/>
        </w:rPr>
        <w:t>emploi</w:t>
      </w:r>
    </w:p>
    <w:p w:rsidR="008D6145" w:rsidRPr="008D6145" w:rsidRDefault="00821D2B" w:rsidP="00821D2B">
      <w:pPr>
        <w:pStyle w:val="SingleTxtG"/>
        <w:kinsoku/>
        <w:overflowPunct/>
        <w:autoSpaceDE/>
        <w:autoSpaceDN/>
        <w:adjustRightInd/>
        <w:snapToGrid/>
        <w:rPr>
          <w:rFonts w:eastAsia="Times New Roman"/>
          <w:lang w:val="fr-FR"/>
        </w:rPr>
      </w:pPr>
      <w:r w:rsidRPr="008D6145">
        <w:rPr>
          <w:rFonts w:eastAsia="Times New Roman"/>
          <w:lang w:val="fr-FR"/>
        </w:rPr>
        <w:t>15.</w:t>
      </w:r>
      <w:r w:rsidRPr="008D6145">
        <w:rPr>
          <w:rFonts w:eastAsia="Times New Roman"/>
          <w:lang w:val="fr-FR"/>
        </w:rPr>
        <w:tab/>
      </w:r>
      <w:r w:rsidR="008D6145" w:rsidRPr="008D6145">
        <w:rPr>
          <w:rFonts w:eastAsia="Times New Roman"/>
          <w:lang w:val="fr-FR"/>
        </w:rPr>
        <w:t>Le Bénin est caractérisé par une prépondérance du secteur informel qui domine tant en milieu urbain qu</w:t>
      </w:r>
      <w:r w:rsidR="00A033A7">
        <w:rPr>
          <w:rFonts w:eastAsia="Times New Roman"/>
          <w:lang w:val="fr-FR"/>
        </w:rPr>
        <w:t>’</w:t>
      </w:r>
      <w:r w:rsidR="008D6145" w:rsidRPr="008D6145">
        <w:rPr>
          <w:rFonts w:eastAsia="Times New Roman"/>
          <w:lang w:val="fr-FR"/>
        </w:rPr>
        <w:t>en milieu rural. Dans ce contexte, la plupart des actifs, s</w:t>
      </w:r>
      <w:r w:rsidR="00A033A7">
        <w:rPr>
          <w:rFonts w:eastAsia="Times New Roman"/>
          <w:lang w:val="fr-FR"/>
        </w:rPr>
        <w:t>’</w:t>
      </w:r>
      <w:r w:rsidR="008D6145" w:rsidRPr="008D6145">
        <w:rPr>
          <w:rFonts w:eastAsia="Times New Roman"/>
          <w:lang w:val="fr-FR"/>
        </w:rPr>
        <w:t xml:space="preserve">ils ne sont pas dans le secteur informel en milieu urbain, se retrouvent dans les activités agricoles en milieu rural. Le tableau </w:t>
      </w:r>
      <w:r w:rsidR="001D58DC" w:rsidRPr="006C0894">
        <w:rPr>
          <w:rFonts w:eastAsia="Times New Roman"/>
          <w:bCs/>
          <w:lang w:val="fr-FR"/>
        </w:rPr>
        <w:t>n</w:t>
      </w:r>
      <w:r w:rsidR="001D58DC" w:rsidRPr="006C0894">
        <w:rPr>
          <w:rFonts w:eastAsia="Times New Roman"/>
          <w:bCs/>
          <w:vertAlign w:val="superscript"/>
          <w:lang w:val="fr-FR"/>
        </w:rPr>
        <w:t>o</w:t>
      </w:r>
      <w:r w:rsidR="001D58DC" w:rsidRPr="006C0894">
        <w:rPr>
          <w:rFonts w:eastAsia="Times New Roman"/>
          <w:bCs/>
          <w:lang w:val="fr-FR"/>
        </w:rPr>
        <w:t> </w:t>
      </w:r>
      <w:r w:rsidR="008D6145" w:rsidRPr="008D6145">
        <w:rPr>
          <w:rFonts w:eastAsia="Times New Roman"/>
          <w:lang w:val="fr-FR"/>
        </w:rPr>
        <w:t>1 donne la répartition de la population active selon la catégorie socioprofessionnelle, le milieu de résidence et le sexe. Que ce soit en milieu urbain ou en milieu rural et indépendamment du sexe, les actifs occupés sont pour la plupart des travailleurs à leur propre compte : 80</w:t>
      </w:r>
      <w:r w:rsidR="002D4152">
        <w:rPr>
          <w:rFonts w:eastAsia="Times New Roman"/>
          <w:lang w:val="fr-FR"/>
        </w:rPr>
        <w:t> </w:t>
      </w:r>
      <w:r w:rsidR="008D6145" w:rsidRPr="008D6145">
        <w:rPr>
          <w:rFonts w:eastAsia="Times New Roman"/>
          <w:lang w:val="fr-FR"/>
        </w:rPr>
        <w:t>% et 60,5</w:t>
      </w:r>
      <w:r w:rsidR="002D4152">
        <w:rPr>
          <w:rFonts w:eastAsia="Times New Roman"/>
          <w:lang w:val="fr-FR"/>
        </w:rPr>
        <w:t> </w:t>
      </w:r>
      <w:r w:rsidR="008D6145" w:rsidRPr="008D6145">
        <w:rPr>
          <w:rFonts w:eastAsia="Times New Roman"/>
          <w:lang w:val="fr-FR"/>
        </w:rPr>
        <w:t>% des hommes contre 70,8</w:t>
      </w:r>
      <w:r w:rsidR="002D4152">
        <w:rPr>
          <w:rFonts w:eastAsia="Times New Roman"/>
          <w:lang w:val="fr-FR"/>
        </w:rPr>
        <w:t> </w:t>
      </w:r>
      <w:r w:rsidR="008D6145" w:rsidRPr="008D6145">
        <w:rPr>
          <w:rFonts w:eastAsia="Times New Roman"/>
          <w:lang w:val="fr-FR"/>
        </w:rPr>
        <w:t>% et 73,3</w:t>
      </w:r>
      <w:r w:rsidR="002D4152">
        <w:rPr>
          <w:rFonts w:eastAsia="Times New Roman"/>
          <w:lang w:val="fr-FR"/>
        </w:rPr>
        <w:t> </w:t>
      </w:r>
      <w:r w:rsidR="008D6145" w:rsidRPr="008D6145">
        <w:rPr>
          <w:rFonts w:eastAsia="Times New Roman"/>
          <w:lang w:val="fr-FR"/>
        </w:rPr>
        <w:t>% des femmes, respectivement en milieu rural et en milieu urbain.</w:t>
      </w:r>
    </w:p>
    <w:p w:rsidR="008D6145" w:rsidRPr="008D6145" w:rsidRDefault="00821D2B" w:rsidP="00821D2B">
      <w:pPr>
        <w:pStyle w:val="SingleTxtG"/>
        <w:kinsoku/>
        <w:overflowPunct/>
        <w:autoSpaceDE/>
        <w:autoSpaceDN/>
        <w:adjustRightInd/>
        <w:snapToGrid/>
        <w:rPr>
          <w:rFonts w:eastAsia="Times New Roman"/>
          <w:lang w:val="fr-FR"/>
        </w:rPr>
      </w:pPr>
      <w:r w:rsidRPr="008D6145">
        <w:rPr>
          <w:rFonts w:eastAsia="Times New Roman"/>
          <w:lang w:val="fr-FR"/>
        </w:rPr>
        <w:t>16.</w:t>
      </w:r>
      <w:r w:rsidRPr="008D6145">
        <w:rPr>
          <w:rFonts w:eastAsia="Times New Roman"/>
          <w:lang w:val="fr-FR"/>
        </w:rPr>
        <w:tab/>
      </w:r>
      <w:r w:rsidR="008D6145" w:rsidRPr="008D6145">
        <w:rPr>
          <w:rFonts w:eastAsia="Times New Roman"/>
          <w:lang w:val="fr-FR"/>
        </w:rPr>
        <w:t>Ces chiffres montrent aussi que la proportion de femmes travaillant à leur propre compte est plus élevée que celle des hommes en milieu urbain alors qu</w:t>
      </w:r>
      <w:r w:rsidR="00A033A7">
        <w:rPr>
          <w:rFonts w:eastAsia="Times New Roman"/>
          <w:lang w:val="fr-FR"/>
        </w:rPr>
        <w:t>’</w:t>
      </w:r>
      <w:r w:rsidR="008D6145" w:rsidRPr="008D6145">
        <w:rPr>
          <w:rFonts w:eastAsia="Times New Roman"/>
          <w:lang w:val="fr-FR"/>
        </w:rPr>
        <w:t>en milieu rural, c</w:t>
      </w:r>
      <w:r w:rsidR="00A033A7">
        <w:rPr>
          <w:rFonts w:eastAsia="Times New Roman"/>
          <w:lang w:val="fr-FR"/>
        </w:rPr>
        <w:t>’</w:t>
      </w:r>
      <w:r w:rsidR="008D6145" w:rsidRPr="008D6145">
        <w:rPr>
          <w:rFonts w:eastAsia="Times New Roman"/>
          <w:lang w:val="fr-FR"/>
        </w:rPr>
        <w:t>est l</w:t>
      </w:r>
      <w:r w:rsidR="00A033A7">
        <w:rPr>
          <w:rFonts w:eastAsia="Times New Roman"/>
          <w:lang w:val="fr-FR"/>
        </w:rPr>
        <w:t>’</w:t>
      </w:r>
      <w:r w:rsidR="008D6145" w:rsidRPr="008D6145">
        <w:rPr>
          <w:rFonts w:eastAsia="Times New Roman"/>
          <w:lang w:val="fr-FR"/>
        </w:rPr>
        <w:t>inverse. Cet inversement de la part des travailleurs à leur propre compte parmi les actifs occupés, selon le sexe, reflète une caractéristique principale de l</w:t>
      </w:r>
      <w:r w:rsidR="00A033A7">
        <w:rPr>
          <w:rFonts w:eastAsia="Times New Roman"/>
          <w:lang w:val="fr-FR"/>
        </w:rPr>
        <w:t>’</w:t>
      </w:r>
      <w:r w:rsidR="008D6145" w:rsidRPr="008D6145">
        <w:rPr>
          <w:rFonts w:eastAsia="Times New Roman"/>
          <w:lang w:val="fr-FR"/>
        </w:rPr>
        <w:t>économie béninoise : le milieu rural est dominé par les activités agricoles qui mobilisent généralement plus les hommes que les femmes tandis que le milieu urbain est dominé par les activités commerciales et les services qui mobilisent généralement plus les femmes.</w:t>
      </w:r>
    </w:p>
    <w:p w:rsidR="008D6145" w:rsidRPr="008D6145" w:rsidRDefault="00821D2B" w:rsidP="00821D2B">
      <w:pPr>
        <w:pStyle w:val="SingleTxtG"/>
        <w:kinsoku/>
        <w:overflowPunct/>
        <w:autoSpaceDE/>
        <w:autoSpaceDN/>
        <w:adjustRightInd/>
        <w:snapToGrid/>
        <w:rPr>
          <w:rFonts w:eastAsia="Times New Roman"/>
          <w:lang w:val="fr-FR"/>
        </w:rPr>
      </w:pPr>
      <w:r w:rsidRPr="008D6145">
        <w:rPr>
          <w:rFonts w:eastAsia="Times New Roman"/>
          <w:lang w:val="fr-FR"/>
        </w:rPr>
        <w:t>17.</w:t>
      </w:r>
      <w:r w:rsidRPr="008D6145">
        <w:rPr>
          <w:rFonts w:eastAsia="Times New Roman"/>
          <w:lang w:val="fr-FR"/>
        </w:rPr>
        <w:tab/>
      </w:r>
      <w:r w:rsidR="008D6145" w:rsidRPr="008D6145">
        <w:rPr>
          <w:rFonts w:eastAsia="Times New Roman"/>
          <w:lang w:val="fr-FR"/>
        </w:rPr>
        <w:t xml:space="preserve">Le tableau </w:t>
      </w:r>
      <w:r w:rsidR="001D58DC" w:rsidRPr="006C0894">
        <w:rPr>
          <w:rFonts w:eastAsia="Times New Roman"/>
          <w:bCs/>
          <w:lang w:val="fr-FR"/>
        </w:rPr>
        <w:t>n</w:t>
      </w:r>
      <w:r w:rsidR="001D58DC" w:rsidRPr="006C0894">
        <w:rPr>
          <w:rFonts w:eastAsia="Times New Roman"/>
          <w:bCs/>
          <w:vertAlign w:val="superscript"/>
          <w:lang w:val="fr-FR"/>
        </w:rPr>
        <w:t>o</w:t>
      </w:r>
      <w:r w:rsidR="001D58DC" w:rsidRPr="006C0894">
        <w:rPr>
          <w:rFonts w:eastAsia="Times New Roman"/>
          <w:bCs/>
          <w:lang w:val="fr-FR"/>
        </w:rPr>
        <w:t> </w:t>
      </w:r>
      <w:r w:rsidR="008D6145" w:rsidRPr="008D6145">
        <w:rPr>
          <w:rFonts w:eastAsia="Times New Roman"/>
          <w:lang w:val="fr-FR"/>
        </w:rPr>
        <w:t>1 montre qu</w:t>
      </w:r>
      <w:r w:rsidR="00A033A7">
        <w:rPr>
          <w:rFonts w:eastAsia="Times New Roman"/>
          <w:lang w:val="fr-FR"/>
        </w:rPr>
        <w:t>’</w:t>
      </w:r>
      <w:r w:rsidR="008D6145" w:rsidRPr="008D6145">
        <w:rPr>
          <w:rFonts w:eastAsia="Times New Roman"/>
          <w:lang w:val="fr-FR"/>
        </w:rPr>
        <w:t>il existe, plus de salariés en milieu urbain qu</w:t>
      </w:r>
      <w:r w:rsidR="00A033A7">
        <w:rPr>
          <w:rFonts w:eastAsia="Times New Roman"/>
          <w:lang w:val="fr-FR"/>
        </w:rPr>
        <w:t>’</w:t>
      </w:r>
      <w:r w:rsidR="008D6145" w:rsidRPr="008D6145">
        <w:rPr>
          <w:rFonts w:eastAsia="Times New Roman"/>
          <w:lang w:val="fr-FR"/>
        </w:rPr>
        <w:t>en milieu rural et plus de salariés parmi les hommes actifs que les femmes. 24,3</w:t>
      </w:r>
      <w:r w:rsidR="002D4152">
        <w:rPr>
          <w:rFonts w:eastAsia="Times New Roman"/>
          <w:lang w:val="fr-FR"/>
        </w:rPr>
        <w:t> </w:t>
      </w:r>
      <w:r w:rsidR="008D6145" w:rsidRPr="008D6145">
        <w:rPr>
          <w:rFonts w:eastAsia="Times New Roman"/>
          <w:lang w:val="fr-FR"/>
        </w:rPr>
        <w:t>% des hommes travaillant en milieu urbain sont salariés, contre 8,7</w:t>
      </w:r>
      <w:r w:rsidR="002D4152">
        <w:rPr>
          <w:rFonts w:eastAsia="Times New Roman"/>
          <w:lang w:val="fr-FR"/>
        </w:rPr>
        <w:t> </w:t>
      </w:r>
      <w:r w:rsidR="008D6145" w:rsidRPr="008D6145">
        <w:rPr>
          <w:rFonts w:eastAsia="Times New Roman"/>
          <w:lang w:val="fr-FR"/>
        </w:rPr>
        <w:t>% des femmes (respectivement 5,1</w:t>
      </w:r>
      <w:r w:rsidR="002D4152">
        <w:rPr>
          <w:rFonts w:eastAsia="Times New Roman"/>
          <w:lang w:val="fr-FR"/>
        </w:rPr>
        <w:t> </w:t>
      </w:r>
      <w:r w:rsidR="008D6145" w:rsidRPr="008D6145">
        <w:rPr>
          <w:rFonts w:eastAsia="Times New Roman"/>
          <w:lang w:val="fr-FR"/>
        </w:rPr>
        <w:t>% contre 1,3</w:t>
      </w:r>
      <w:r w:rsidR="002D4152">
        <w:rPr>
          <w:rFonts w:eastAsia="Times New Roman"/>
          <w:lang w:val="fr-FR"/>
        </w:rPr>
        <w:t> </w:t>
      </w:r>
      <w:r w:rsidR="008D6145" w:rsidRPr="008D6145">
        <w:rPr>
          <w:rFonts w:eastAsia="Times New Roman"/>
          <w:lang w:val="fr-FR"/>
        </w:rPr>
        <w:t>% en milieu rural).</w:t>
      </w:r>
    </w:p>
    <w:p w:rsidR="008D6145" w:rsidRPr="008D6145" w:rsidRDefault="003C1301" w:rsidP="00821D2B">
      <w:pPr>
        <w:pStyle w:val="H23G"/>
        <w:rPr>
          <w:lang w:val="fr-FR"/>
        </w:rPr>
      </w:pPr>
      <w:r w:rsidRPr="00821D2B">
        <w:rPr>
          <w:b w:val="0"/>
          <w:bCs/>
        </w:rPr>
        <w:lastRenderedPageBreak/>
        <w:tab/>
      </w:r>
      <w:r w:rsidRPr="00821D2B">
        <w:rPr>
          <w:b w:val="0"/>
          <w:bCs/>
        </w:rPr>
        <w:tab/>
      </w:r>
      <w:r w:rsidR="008D6145" w:rsidRPr="00821D2B">
        <w:rPr>
          <w:b w:val="0"/>
          <w:bCs/>
        </w:rPr>
        <w:t xml:space="preserve">Tableau </w:t>
      </w:r>
      <w:r w:rsidRPr="00821D2B">
        <w:rPr>
          <w:rFonts w:eastAsia="Times New Roman"/>
          <w:b w:val="0"/>
          <w:bCs/>
          <w:lang w:val="fr-FR"/>
        </w:rPr>
        <w:t>n</w:t>
      </w:r>
      <w:r w:rsidRPr="00821D2B">
        <w:rPr>
          <w:rFonts w:eastAsia="Times New Roman"/>
          <w:b w:val="0"/>
          <w:bCs/>
          <w:vertAlign w:val="superscript"/>
          <w:lang w:val="fr-FR"/>
        </w:rPr>
        <w:t>o</w:t>
      </w:r>
      <w:r w:rsidRPr="00821D2B">
        <w:rPr>
          <w:rFonts w:eastAsia="Times New Roman"/>
          <w:b w:val="0"/>
          <w:bCs/>
          <w:lang w:val="fr-FR"/>
        </w:rPr>
        <w:t> </w:t>
      </w:r>
      <w:r w:rsidR="008D6145" w:rsidRPr="00821D2B">
        <w:rPr>
          <w:b w:val="0"/>
          <w:bCs/>
        </w:rPr>
        <w:t>1 </w:t>
      </w:r>
      <w:r w:rsidR="008D6145" w:rsidRPr="00821D2B">
        <w:br/>
      </w:r>
      <w:r w:rsidR="008D6145" w:rsidRPr="008D6145">
        <w:t>Répartition des actifs occupés selon la catégorie socio-</w:t>
      </w:r>
      <w:r w:rsidR="008D6145" w:rsidRPr="008D6145">
        <w:rPr>
          <w:lang w:val="fr-FR"/>
        </w:rPr>
        <w:t xml:space="preserve">professionnelle selon le milieu </w:t>
      </w:r>
      <w:r w:rsidR="008D6145" w:rsidRPr="008D6145">
        <w:rPr>
          <w:lang w:val="fr-FR"/>
        </w:rPr>
        <w:br/>
        <w:t>de résidence et le sexe en 2010</w:t>
      </w:r>
    </w:p>
    <w:tbl>
      <w:tblPr>
        <w:tblStyle w:val="TableGrid1"/>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1134"/>
        <w:gridCol w:w="1134"/>
        <w:gridCol w:w="1134"/>
        <w:gridCol w:w="1134"/>
      </w:tblGrid>
      <w:tr w:rsidR="003C1301" w:rsidRPr="003C1301" w:rsidTr="00821D2B">
        <w:trPr>
          <w:tblHeader/>
        </w:trPr>
        <w:tc>
          <w:tcPr>
            <w:tcW w:w="2835" w:type="dxa"/>
            <w:vMerge w:val="restart"/>
            <w:tcBorders>
              <w:top w:val="single" w:sz="4" w:space="0" w:color="auto"/>
            </w:tcBorders>
            <w:shd w:val="clear" w:color="auto" w:fill="auto"/>
            <w:vAlign w:val="bottom"/>
          </w:tcPr>
          <w:p w:rsidR="003C1301" w:rsidRPr="00821D2B" w:rsidRDefault="003C1301">
            <w:pPr>
              <w:suppressAutoHyphens w:val="0"/>
              <w:kinsoku/>
              <w:overflowPunct/>
              <w:autoSpaceDE/>
              <w:autoSpaceDN/>
              <w:adjustRightInd/>
              <w:snapToGrid/>
              <w:spacing w:before="80" w:after="80" w:line="200" w:lineRule="exact"/>
              <w:rPr>
                <w:i/>
                <w:spacing w:val="4"/>
                <w:w w:val="103"/>
                <w:kern w:val="14"/>
                <w:sz w:val="16"/>
                <w:szCs w:val="16"/>
              </w:rPr>
            </w:pPr>
            <w:r w:rsidRPr="00821D2B">
              <w:rPr>
                <w:i/>
                <w:spacing w:val="4"/>
                <w:w w:val="103"/>
                <w:kern w:val="14"/>
                <w:sz w:val="16"/>
                <w:szCs w:val="16"/>
              </w:rPr>
              <w:t>Catégories</w:t>
            </w:r>
          </w:p>
        </w:tc>
        <w:tc>
          <w:tcPr>
            <w:tcW w:w="1134" w:type="dxa"/>
            <w:gridSpan w:val="2"/>
            <w:tcBorders>
              <w:top w:val="single" w:sz="4" w:space="0" w:color="auto"/>
              <w:bottom w:val="single" w:sz="4" w:space="0" w:color="auto"/>
              <w:right w:val="single" w:sz="24" w:space="0" w:color="FFFFFF" w:themeColor="background1"/>
            </w:tcBorders>
            <w:shd w:val="clear" w:color="auto" w:fill="auto"/>
            <w:vAlign w:val="bottom"/>
          </w:tcPr>
          <w:p w:rsidR="003C1301" w:rsidRPr="00821D2B" w:rsidRDefault="003C1301" w:rsidP="00821D2B">
            <w:pPr>
              <w:suppressAutoHyphens w:val="0"/>
              <w:kinsoku/>
              <w:overflowPunct/>
              <w:autoSpaceDE/>
              <w:autoSpaceDN/>
              <w:adjustRightInd/>
              <w:snapToGrid/>
              <w:spacing w:before="80" w:after="80" w:line="200" w:lineRule="exact"/>
              <w:jc w:val="center"/>
              <w:rPr>
                <w:i/>
                <w:spacing w:val="4"/>
                <w:w w:val="103"/>
                <w:kern w:val="14"/>
                <w:sz w:val="16"/>
                <w:szCs w:val="16"/>
              </w:rPr>
            </w:pPr>
            <w:r w:rsidRPr="00821D2B">
              <w:rPr>
                <w:i/>
                <w:spacing w:val="4"/>
                <w:w w:val="103"/>
                <w:kern w:val="14"/>
                <w:sz w:val="16"/>
                <w:szCs w:val="16"/>
              </w:rPr>
              <w:t>Rural</w:t>
            </w:r>
          </w:p>
        </w:tc>
        <w:tc>
          <w:tcPr>
            <w:tcW w:w="1134" w:type="dxa"/>
            <w:gridSpan w:val="2"/>
            <w:tcBorders>
              <w:top w:val="single" w:sz="4" w:space="0" w:color="auto"/>
              <w:left w:val="single" w:sz="24" w:space="0" w:color="FFFFFF" w:themeColor="background1"/>
              <w:bottom w:val="single" w:sz="4" w:space="0" w:color="auto"/>
            </w:tcBorders>
            <w:shd w:val="clear" w:color="auto" w:fill="auto"/>
            <w:vAlign w:val="bottom"/>
          </w:tcPr>
          <w:p w:rsidR="003C1301" w:rsidRPr="00821D2B" w:rsidRDefault="003C1301" w:rsidP="00821D2B">
            <w:pPr>
              <w:suppressAutoHyphens w:val="0"/>
              <w:kinsoku/>
              <w:overflowPunct/>
              <w:autoSpaceDE/>
              <w:autoSpaceDN/>
              <w:adjustRightInd/>
              <w:snapToGrid/>
              <w:spacing w:before="80" w:after="80" w:line="200" w:lineRule="exact"/>
              <w:jc w:val="center"/>
              <w:rPr>
                <w:i/>
                <w:spacing w:val="4"/>
                <w:w w:val="103"/>
                <w:kern w:val="14"/>
                <w:sz w:val="16"/>
                <w:szCs w:val="16"/>
              </w:rPr>
            </w:pPr>
            <w:r w:rsidRPr="00821D2B">
              <w:rPr>
                <w:i/>
                <w:spacing w:val="4"/>
                <w:w w:val="103"/>
                <w:kern w:val="14"/>
                <w:sz w:val="16"/>
                <w:szCs w:val="16"/>
              </w:rPr>
              <w:t>Urbain</w:t>
            </w:r>
          </w:p>
        </w:tc>
      </w:tr>
      <w:tr w:rsidR="003C1301" w:rsidRPr="003C1301" w:rsidTr="00821D2B">
        <w:tc>
          <w:tcPr>
            <w:tcW w:w="2835" w:type="dxa"/>
            <w:vMerge/>
            <w:tcBorders>
              <w:bottom w:val="single" w:sz="12" w:space="0" w:color="auto"/>
            </w:tcBorders>
            <w:shd w:val="clear" w:color="auto" w:fill="auto"/>
          </w:tcPr>
          <w:p w:rsidR="003C1301" w:rsidRPr="00821D2B" w:rsidRDefault="003C1301" w:rsidP="00821D2B">
            <w:pPr>
              <w:suppressAutoHyphens w:val="0"/>
              <w:kinsoku/>
              <w:overflowPunct/>
              <w:autoSpaceDE/>
              <w:autoSpaceDN/>
              <w:adjustRightInd/>
              <w:snapToGrid/>
              <w:spacing w:before="80" w:after="80" w:line="200" w:lineRule="exact"/>
              <w:rPr>
                <w:i/>
                <w:sz w:val="16"/>
                <w:szCs w:val="16"/>
              </w:rPr>
            </w:pPr>
          </w:p>
        </w:tc>
        <w:tc>
          <w:tcPr>
            <w:tcW w:w="1134" w:type="dxa"/>
            <w:tcBorders>
              <w:top w:val="single" w:sz="4" w:space="0" w:color="auto"/>
              <w:bottom w:val="single" w:sz="12" w:space="0" w:color="auto"/>
            </w:tcBorders>
            <w:shd w:val="clear" w:color="auto" w:fill="auto"/>
            <w:vAlign w:val="bottom"/>
          </w:tcPr>
          <w:p w:rsidR="003C1301" w:rsidRPr="00821D2B" w:rsidRDefault="003C1301" w:rsidP="00821D2B">
            <w:pPr>
              <w:suppressAutoHyphens w:val="0"/>
              <w:kinsoku/>
              <w:overflowPunct/>
              <w:autoSpaceDE/>
              <w:autoSpaceDN/>
              <w:adjustRightInd/>
              <w:snapToGrid/>
              <w:spacing w:before="80" w:after="80" w:line="200" w:lineRule="exact"/>
              <w:jc w:val="right"/>
              <w:rPr>
                <w:i/>
                <w:sz w:val="16"/>
                <w:szCs w:val="16"/>
              </w:rPr>
            </w:pPr>
            <w:r w:rsidRPr="00821D2B">
              <w:rPr>
                <w:i/>
                <w:sz w:val="16"/>
                <w:szCs w:val="16"/>
              </w:rPr>
              <w:t>Masculin</w:t>
            </w:r>
          </w:p>
        </w:tc>
        <w:tc>
          <w:tcPr>
            <w:tcW w:w="1134" w:type="dxa"/>
            <w:tcBorders>
              <w:top w:val="single" w:sz="4" w:space="0" w:color="auto"/>
              <w:bottom w:val="single" w:sz="12" w:space="0" w:color="auto"/>
              <w:right w:val="single" w:sz="24" w:space="0" w:color="FFFFFF" w:themeColor="background1"/>
            </w:tcBorders>
            <w:shd w:val="clear" w:color="auto" w:fill="auto"/>
            <w:vAlign w:val="bottom"/>
          </w:tcPr>
          <w:p w:rsidR="003C1301" w:rsidRPr="00821D2B" w:rsidRDefault="003C1301" w:rsidP="00821D2B">
            <w:pPr>
              <w:suppressAutoHyphens w:val="0"/>
              <w:kinsoku/>
              <w:overflowPunct/>
              <w:autoSpaceDE/>
              <w:autoSpaceDN/>
              <w:adjustRightInd/>
              <w:snapToGrid/>
              <w:spacing w:before="80" w:after="80" w:line="200" w:lineRule="exact"/>
              <w:jc w:val="right"/>
              <w:rPr>
                <w:i/>
                <w:sz w:val="16"/>
                <w:szCs w:val="16"/>
              </w:rPr>
            </w:pPr>
            <w:r w:rsidRPr="00821D2B">
              <w:rPr>
                <w:i/>
                <w:sz w:val="16"/>
                <w:szCs w:val="16"/>
              </w:rPr>
              <w:t>Féminin</w:t>
            </w:r>
          </w:p>
        </w:tc>
        <w:tc>
          <w:tcPr>
            <w:tcW w:w="1134" w:type="dxa"/>
            <w:tcBorders>
              <w:top w:val="single" w:sz="4" w:space="0" w:color="auto"/>
              <w:left w:val="single" w:sz="24" w:space="0" w:color="FFFFFF" w:themeColor="background1"/>
              <w:bottom w:val="single" w:sz="12" w:space="0" w:color="auto"/>
            </w:tcBorders>
            <w:shd w:val="clear" w:color="auto" w:fill="auto"/>
            <w:vAlign w:val="bottom"/>
          </w:tcPr>
          <w:p w:rsidR="003C1301" w:rsidRPr="00821D2B" w:rsidRDefault="003C1301" w:rsidP="00821D2B">
            <w:pPr>
              <w:suppressAutoHyphens w:val="0"/>
              <w:kinsoku/>
              <w:overflowPunct/>
              <w:autoSpaceDE/>
              <w:autoSpaceDN/>
              <w:adjustRightInd/>
              <w:snapToGrid/>
              <w:spacing w:before="80" w:after="80" w:line="200" w:lineRule="exact"/>
              <w:jc w:val="right"/>
              <w:rPr>
                <w:i/>
                <w:sz w:val="16"/>
                <w:szCs w:val="16"/>
              </w:rPr>
            </w:pPr>
            <w:r w:rsidRPr="00821D2B">
              <w:rPr>
                <w:i/>
                <w:sz w:val="16"/>
                <w:szCs w:val="16"/>
              </w:rPr>
              <w:t>Masculin</w:t>
            </w:r>
          </w:p>
        </w:tc>
        <w:tc>
          <w:tcPr>
            <w:tcW w:w="1134" w:type="dxa"/>
            <w:tcBorders>
              <w:top w:val="single" w:sz="4" w:space="0" w:color="auto"/>
              <w:bottom w:val="single" w:sz="12" w:space="0" w:color="auto"/>
            </w:tcBorders>
            <w:shd w:val="clear" w:color="auto" w:fill="auto"/>
            <w:vAlign w:val="bottom"/>
          </w:tcPr>
          <w:p w:rsidR="003C1301" w:rsidRPr="00821D2B" w:rsidRDefault="003C1301" w:rsidP="00821D2B">
            <w:pPr>
              <w:suppressAutoHyphens w:val="0"/>
              <w:kinsoku/>
              <w:overflowPunct/>
              <w:autoSpaceDE/>
              <w:autoSpaceDN/>
              <w:adjustRightInd/>
              <w:snapToGrid/>
              <w:spacing w:before="80" w:after="80" w:line="200" w:lineRule="exact"/>
              <w:jc w:val="right"/>
              <w:rPr>
                <w:i/>
                <w:sz w:val="16"/>
                <w:szCs w:val="16"/>
              </w:rPr>
            </w:pPr>
            <w:r w:rsidRPr="00821D2B">
              <w:rPr>
                <w:i/>
                <w:sz w:val="16"/>
                <w:szCs w:val="16"/>
              </w:rPr>
              <w:t>Féminin</w:t>
            </w:r>
          </w:p>
        </w:tc>
      </w:tr>
      <w:tr w:rsidR="008D6145" w:rsidRPr="008D6145" w:rsidTr="00821D2B">
        <w:tc>
          <w:tcPr>
            <w:tcW w:w="2835" w:type="dxa"/>
            <w:tcBorders>
              <w:top w:val="single" w:sz="12" w:space="0" w:color="auto"/>
            </w:tcBorders>
            <w:shd w:val="clear" w:color="auto" w:fill="auto"/>
          </w:tcPr>
          <w:p w:rsidR="008D6145" w:rsidRPr="008D6145" w:rsidRDefault="008D6145" w:rsidP="008D6145">
            <w:pPr>
              <w:suppressAutoHyphens w:val="0"/>
              <w:kinsoku/>
              <w:overflowPunct/>
              <w:autoSpaceDE/>
              <w:autoSpaceDN/>
              <w:adjustRightInd/>
              <w:snapToGrid/>
              <w:spacing w:before="40" w:after="40" w:line="220" w:lineRule="exact"/>
              <w:rPr>
                <w:sz w:val="18"/>
              </w:rPr>
            </w:pPr>
            <w:r w:rsidRPr="008D6145">
              <w:rPr>
                <w:sz w:val="18"/>
              </w:rPr>
              <w:t>Salariés</w:t>
            </w:r>
          </w:p>
        </w:tc>
        <w:tc>
          <w:tcPr>
            <w:tcW w:w="1134" w:type="dxa"/>
            <w:tcBorders>
              <w:top w:val="single" w:sz="12" w:space="0" w:color="auto"/>
            </w:tcBorders>
            <w:shd w:val="clear" w:color="auto" w:fill="auto"/>
            <w:vAlign w:val="bottom"/>
          </w:tcPr>
          <w:p w:rsidR="008D6145" w:rsidRPr="008D6145" w:rsidRDefault="008D6145">
            <w:pPr>
              <w:suppressAutoHyphens w:val="0"/>
              <w:kinsoku/>
              <w:overflowPunct/>
              <w:autoSpaceDE/>
              <w:autoSpaceDN/>
              <w:adjustRightInd/>
              <w:snapToGrid/>
              <w:spacing w:before="40" w:after="40" w:line="220" w:lineRule="exact"/>
              <w:jc w:val="right"/>
              <w:rPr>
                <w:sz w:val="18"/>
              </w:rPr>
            </w:pPr>
            <w:r w:rsidRPr="008D6145">
              <w:rPr>
                <w:sz w:val="18"/>
              </w:rPr>
              <w:t>5,1</w:t>
            </w:r>
          </w:p>
        </w:tc>
        <w:tc>
          <w:tcPr>
            <w:tcW w:w="1134" w:type="dxa"/>
            <w:tcBorders>
              <w:top w:val="single" w:sz="12" w:space="0" w:color="auto"/>
            </w:tcBorders>
            <w:shd w:val="clear" w:color="auto" w:fill="auto"/>
            <w:vAlign w:val="bottom"/>
          </w:tcPr>
          <w:p w:rsidR="008D6145" w:rsidRPr="008D6145" w:rsidRDefault="008D6145">
            <w:pPr>
              <w:suppressAutoHyphens w:val="0"/>
              <w:kinsoku/>
              <w:overflowPunct/>
              <w:autoSpaceDE/>
              <w:autoSpaceDN/>
              <w:adjustRightInd/>
              <w:snapToGrid/>
              <w:spacing w:before="40" w:after="40" w:line="220" w:lineRule="exact"/>
              <w:jc w:val="right"/>
              <w:rPr>
                <w:sz w:val="18"/>
              </w:rPr>
            </w:pPr>
            <w:r w:rsidRPr="008D6145">
              <w:rPr>
                <w:sz w:val="18"/>
              </w:rPr>
              <w:t>1,3</w:t>
            </w:r>
          </w:p>
        </w:tc>
        <w:tc>
          <w:tcPr>
            <w:tcW w:w="1134" w:type="dxa"/>
            <w:tcBorders>
              <w:top w:val="single" w:sz="12" w:space="0" w:color="auto"/>
            </w:tcBorders>
            <w:shd w:val="clear" w:color="auto" w:fill="auto"/>
            <w:vAlign w:val="bottom"/>
          </w:tcPr>
          <w:p w:rsidR="008D6145" w:rsidRPr="008D6145" w:rsidRDefault="008D6145">
            <w:pPr>
              <w:suppressAutoHyphens w:val="0"/>
              <w:kinsoku/>
              <w:overflowPunct/>
              <w:autoSpaceDE/>
              <w:autoSpaceDN/>
              <w:adjustRightInd/>
              <w:snapToGrid/>
              <w:spacing w:before="40" w:after="40" w:line="220" w:lineRule="exact"/>
              <w:jc w:val="right"/>
              <w:rPr>
                <w:sz w:val="18"/>
              </w:rPr>
            </w:pPr>
            <w:r w:rsidRPr="008D6145">
              <w:rPr>
                <w:sz w:val="18"/>
              </w:rPr>
              <w:t>24,3</w:t>
            </w:r>
          </w:p>
        </w:tc>
        <w:tc>
          <w:tcPr>
            <w:tcW w:w="1134" w:type="dxa"/>
            <w:tcBorders>
              <w:top w:val="single" w:sz="12" w:space="0" w:color="auto"/>
            </w:tcBorders>
            <w:shd w:val="clear" w:color="auto" w:fill="auto"/>
            <w:vAlign w:val="bottom"/>
          </w:tcPr>
          <w:p w:rsidR="008D6145" w:rsidRPr="008D6145" w:rsidRDefault="008D6145">
            <w:pPr>
              <w:suppressAutoHyphens w:val="0"/>
              <w:kinsoku/>
              <w:overflowPunct/>
              <w:autoSpaceDE/>
              <w:autoSpaceDN/>
              <w:adjustRightInd/>
              <w:snapToGrid/>
              <w:spacing w:before="40" w:after="40" w:line="220" w:lineRule="exact"/>
              <w:jc w:val="right"/>
              <w:rPr>
                <w:sz w:val="18"/>
              </w:rPr>
            </w:pPr>
            <w:r w:rsidRPr="008D6145">
              <w:rPr>
                <w:sz w:val="18"/>
              </w:rPr>
              <w:t>8,7</w:t>
            </w:r>
          </w:p>
        </w:tc>
      </w:tr>
      <w:tr w:rsidR="008D6145" w:rsidRPr="008D6145" w:rsidTr="00821D2B">
        <w:tc>
          <w:tcPr>
            <w:tcW w:w="2835" w:type="dxa"/>
            <w:shd w:val="clear" w:color="auto" w:fill="auto"/>
          </w:tcPr>
          <w:p w:rsidR="008D6145" w:rsidRPr="008D6145" w:rsidRDefault="008D6145" w:rsidP="008D6145">
            <w:pPr>
              <w:suppressAutoHyphens w:val="0"/>
              <w:kinsoku/>
              <w:overflowPunct/>
              <w:autoSpaceDE/>
              <w:autoSpaceDN/>
              <w:adjustRightInd/>
              <w:snapToGrid/>
              <w:spacing w:before="40" w:after="40" w:line="220" w:lineRule="exact"/>
              <w:rPr>
                <w:sz w:val="18"/>
              </w:rPr>
            </w:pPr>
            <w:r w:rsidRPr="008D6145">
              <w:rPr>
                <w:sz w:val="18"/>
              </w:rPr>
              <w:t>Employeurs</w:t>
            </w:r>
          </w:p>
        </w:tc>
        <w:tc>
          <w:tcPr>
            <w:tcW w:w="1134" w:type="dxa"/>
            <w:shd w:val="clear" w:color="auto" w:fill="auto"/>
            <w:vAlign w:val="bottom"/>
          </w:tcPr>
          <w:p w:rsidR="008D6145" w:rsidRPr="008D6145" w:rsidRDefault="008D6145">
            <w:pPr>
              <w:suppressAutoHyphens w:val="0"/>
              <w:kinsoku/>
              <w:overflowPunct/>
              <w:autoSpaceDE/>
              <w:autoSpaceDN/>
              <w:adjustRightInd/>
              <w:snapToGrid/>
              <w:spacing w:before="40" w:after="40" w:line="220" w:lineRule="exact"/>
              <w:jc w:val="right"/>
              <w:rPr>
                <w:sz w:val="18"/>
              </w:rPr>
            </w:pPr>
            <w:r w:rsidRPr="008D6145">
              <w:rPr>
                <w:sz w:val="18"/>
              </w:rPr>
              <w:t>0,8</w:t>
            </w:r>
          </w:p>
        </w:tc>
        <w:tc>
          <w:tcPr>
            <w:tcW w:w="1134" w:type="dxa"/>
            <w:shd w:val="clear" w:color="auto" w:fill="auto"/>
            <w:vAlign w:val="bottom"/>
          </w:tcPr>
          <w:p w:rsidR="008D6145" w:rsidRPr="008D6145" w:rsidRDefault="008D6145">
            <w:pPr>
              <w:suppressAutoHyphens w:val="0"/>
              <w:kinsoku/>
              <w:overflowPunct/>
              <w:autoSpaceDE/>
              <w:autoSpaceDN/>
              <w:adjustRightInd/>
              <w:snapToGrid/>
              <w:spacing w:before="40" w:after="40" w:line="220" w:lineRule="exact"/>
              <w:jc w:val="right"/>
              <w:rPr>
                <w:sz w:val="18"/>
              </w:rPr>
            </w:pPr>
            <w:r w:rsidRPr="008D6145">
              <w:rPr>
                <w:sz w:val="18"/>
              </w:rPr>
              <w:t>0,1</w:t>
            </w:r>
          </w:p>
        </w:tc>
        <w:tc>
          <w:tcPr>
            <w:tcW w:w="1134" w:type="dxa"/>
            <w:shd w:val="clear" w:color="auto" w:fill="auto"/>
            <w:vAlign w:val="bottom"/>
          </w:tcPr>
          <w:p w:rsidR="008D6145" w:rsidRPr="008D6145" w:rsidRDefault="008D6145">
            <w:pPr>
              <w:suppressAutoHyphens w:val="0"/>
              <w:kinsoku/>
              <w:overflowPunct/>
              <w:autoSpaceDE/>
              <w:autoSpaceDN/>
              <w:adjustRightInd/>
              <w:snapToGrid/>
              <w:spacing w:before="40" w:after="40" w:line="220" w:lineRule="exact"/>
              <w:jc w:val="right"/>
              <w:rPr>
                <w:sz w:val="18"/>
              </w:rPr>
            </w:pPr>
            <w:r w:rsidRPr="008D6145">
              <w:rPr>
                <w:sz w:val="18"/>
              </w:rPr>
              <w:t>3,6</w:t>
            </w:r>
          </w:p>
        </w:tc>
        <w:tc>
          <w:tcPr>
            <w:tcW w:w="1134" w:type="dxa"/>
            <w:shd w:val="clear" w:color="auto" w:fill="auto"/>
            <w:vAlign w:val="bottom"/>
          </w:tcPr>
          <w:p w:rsidR="008D6145" w:rsidRPr="008D6145" w:rsidRDefault="008D6145">
            <w:pPr>
              <w:suppressAutoHyphens w:val="0"/>
              <w:kinsoku/>
              <w:overflowPunct/>
              <w:autoSpaceDE/>
              <w:autoSpaceDN/>
              <w:adjustRightInd/>
              <w:snapToGrid/>
              <w:spacing w:before="40" w:after="40" w:line="220" w:lineRule="exact"/>
              <w:jc w:val="right"/>
              <w:rPr>
                <w:sz w:val="18"/>
              </w:rPr>
            </w:pPr>
            <w:r w:rsidRPr="008D6145">
              <w:rPr>
                <w:sz w:val="18"/>
              </w:rPr>
              <w:t>1,1</w:t>
            </w:r>
          </w:p>
        </w:tc>
      </w:tr>
      <w:tr w:rsidR="008D6145" w:rsidRPr="008D6145" w:rsidTr="00821D2B">
        <w:tc>
          <w:tcPr>
            <w:tcW w:w="2835" w:type="dxa"/>
            <w:shd w:val="clear" w:color="auto" w:fill="auto"/>
          </w:tcPr>
          <w:p w:rsidR="008D6145" w:rsidRPr="008D6145" w:rsidRDefault="008D6145" w:rsidP="008D6145">
            <w:pPr>
              <w:suppressAutoHyphens w:val="0"/>
              <w:kinsoku/>
              <w:overflowPunct/>
              <w:autoSpaceDE/>
              <w:autoSpaceDN/>
              <w:adjustRightInd/>
              <w:snapToGrid/>
              <w:spacing w:before="40" w:after="40" w:line="220" w:lineRule="exact"/>
              <w:rPr>
                <w:sz w:val="18"/>
              </w:rPr>
            </w:pPr>
            <w:r w:rsidRPr="008D6145">
              <w:rPr>
                <w:sz w:val="18"/>
              </w:rPr>
              <w:t>Travailleurs indépendants</w:t>
            </w:r>
          </w:p>
        </w:tc>
        <w:tc>
          <w:tcPr>
            <w:tcW w:w="1134" w:type="dxa"/>
            <w:shd w:val="clear" w:color="auto" w:fill="auto"/>
            <w:vAlign w:val="bottom"/>
          </w:tcPr>
          <w:p w:rsidR="008D6145" w:rsidRPr="008D6145" w:rsidRDefault="008D6145">
            <w:pPr>
              <w:suppressAutoHyphens w:val="0"/>
              <w:kinsoku/>
              <w:overflowPunct/>
              <w:autoSpaceDE/>
              <w:autoSpaceDN/>
              <w:adjustRightInd/>
              <w:snapToGrid/>
              <w:spacing w:before="40" w:after="40" w:line="220" w:lineRule="exact"/>
              <w:jc w:val="right"/>
              <w:rPr>
                <w:sz w:val="18"/>
              </w:rPr>
            </w:pPr>
            <w:r w:rsidRPr="008D6145">
              <w:rPr>
                <w:sz w:val="18"/>
              </w:rPr>
              <w:t>80,1</w:t>
            </w:r>
          </w:p>
        </w:tc>
        <w:tc>
          <w:tcPr>
            <w:tcW w:w="1134" w:type="dxa"/>
            <w:shd w:val="clear" w:color="auto" w:fill="auto"/>
            <w:vAlign w:val="bottom"/>
          </w:tcPr>
          <w:p w:rsidR="008D6145" w:rsidRPr="008D6145" w:rsidRDefault="008D6145">
            <w:pPr>
              <w:suppressAutoHyphens w:val="0"/>
              <w:kinsoku/>
              <w:overflowPunct/>
              <w:autoSpaceDE/>
              <w:autoSpaceDN/>
              <w:adjustRightInd/>
              <w:snapToGrid/>
              <w:spacing w:before="40" w:after="40" w:line="220" w:lineRule="exact"/>
              <w:jc w:val="right"/>
              <w:rPr>
                <w:sz w:val="18"/>
              </w:rPr>
            </w:pPr>
            <w:r w:rsidRPr="008D6145">
              <w:rPr>
                <w:sz w:val="18"/>
              </w:rPr>
              <w:t>70,8</w:t>
            </w:r>
          </w:p>
        </w:tc>
        <w:tc>
          <w:tcPr>
            <w:tcW w:w="1134" w:type="dxa"/>
            <w:shd w:val="clear" w:color="auto" w:fill="auto"/>
            <w:vAlign w:val="bottom"/>
          </w:tcPr>
          <w:p w:rsidR="008D6145" w:rsidRPr="008D6145" w:rsidRDefault="008D6145">
            <w:pPr>
              <w:suppressAutoHyphens w:val="0"/>
              <w:kinsoku/>
              <w:overflowPunct/>
              <w:autoSpaceDE/>
              <w:autoSpaceDN/>
              <w:adjustRightInd/>
              <w:snapToGrid/>
              <w:spacing w:before="40" w:after="40" w:line="220" w:lineRule="exact"/>
              <w:jc w:val="right"/>
              <w:rPr>
                <w:sz w:val="18"/>
              </w:rPr>
            </w:pPr>
            <w:r w:rsidRPr="008D6145">
              <w:rPr>
                <w:sz w:val="18"/>
              </w:rPr>
              <w:t>60,5</w:t>
            </w:r>
          </w:p>
        </w:tc>
        <w:tc>
          <w:tcPr>
            <w:tcW w:w="1134" w:type="dxa"/>
            <w:shd w:val="clear" w:color="auto" w:fill="auto"/>
            <w:vAlign w:val="bottom"/>
          </w:tcPr>
          <w:p w:rsidR="008D6145" w:rsidRPr="008D6145" w:rsidRDefault="008D6145">
            <w:pPr>
              <w:suppressAutoHyphens w:val="0"/>
              <w:kinsoku/>
              <w:overflowPunct/>
              <w:autoSpaceDE/>
              <w:autoSpaceDN/>
              <w:adjustRightInd/>
              <w:snapToGrid/>
              <w:spacing w:before="40" w:after="40" w:line="220" w:lineRule="exact"/>
              <w:jc w:val="right"/>
              <w:rPr>
                <w:sz w:val="18"/>
              </w:rPr>
            </w:pPr>
            <w:r w:rsidRPr="008D6145">
              <w:rPr>
                <w:sz w:val="18"/>
              </w:rPr>
              <w:t>73,3</w:t>
            </w:r>
          </w:p>
        </w:tc>
      </w:tr>
      <w:tr w:rsidR="008D6145" w:rsidRPr="008D6145" w:rsidTr="00821D2B">
        <w:tc>
          <w:tcPr>
            <w:tcW w:w="2835" w:type="dxa"/>
            <w:tcBorders>
              <w:bottom w:val="single" w:sz="4" w:space="0" w:color="auto"/>
            </w:tcBorders>
            <w:shd w:val="clear" w:color="auto" w:fill="auto"/>
          </w:tcPr>
          <w:p w:rsidR="008D6145" w:rsidRPr="008D6145" w:rsidRDefault="008D6145" w:rsidP="008D6145">
            <w:pPr>
              <w:suppressAutoHyphens w:val="0"/>
              <w:kinsoku/>
              <w:overflowPunct/>
              <w:autoSpaceDE/>
              <w:autoSpaceDN/>
              <w:adjustRightInd/>
              <w:snapToGrid/>
              <w:spacing w:before="40" w:after="40" w:line="220" w:lineRule="exact"/>
              <w:rPr>
                <w:sz w:val="18"/>
              </w:rPr>
            </w:pPr>
            <w:r w:rsidRPr="008D6145">
              <w:rPr>
                <w:sz w:val="18"/>
              </w:rPr>
              <w:t>Apprentis/Aides familiaux</w:t>
            </w:r>
          </w:p>
        </w:tc>
        <w:tc>
          <w:tcPr>
            <w:tcW w:w="1134" w:type="dxa"/>
            <w:tcBorders>
              <w:bottom w:val="single" w:sz="4" w:space="0" w:color="auto"/>
            </w:tcBorders>
            <w:shd w:val="clear" w:color="auto" w:fill="auto"/>
            <w:vAlign w:val="bottom"/>
          </w:tcPr>
          <w:p w:rsidR="008D6145" w:rsidRPr="008D6145" w:rsidRDefault="008D6145">
            <w:pPr>
              <w:suppressAutoHyphens w:val="0"/>
              <w:kinsoku/>
              <w:overflowPunct/>
              <w:autoSpaceDE/>
              <w:autoSpaceDN/>
              <w:adjustRightInd/>
              <w:snapToGrid/>
              <w:spacing w:before="40" w:after="40" w:line="220" w:lineRule="exact"/>
              <w:jc w:val="right"/>
              <w:rPr>
                <w:sz w:val="18"/>
              </w:rPr>
            </w:pPr>
            <w:r w:rsidRPr="008D6145">
              <w:rPr>
                <w:sz w:val="18"/>
              </w:rPr>
              <w:t>14,0</w:t>
            </w:r>
          </w:p>
        </w:tc>
        <w:tc>
          <w:tcPr>
            <w:tcW w:w="1134" w:type="dxa"/>
            <w:tcBorders>
              <w:bottom w:val="single" w:sz="4" w:space="0" w:color="auto"/>
            </w:tcBorders>
            <w:shd w:val="clear" w:color="auto" w:fill="auto"/>
            <w:vAlign w:val="bottom"/>
          </w:tcPr>
          <w:p w:rsidR="008D6145" w:rsidRPr="008D6145" w:rsidRDefault="008D6145">
            <w:pPr>
              <w:suppressAutoHyphens w:val="0"/>
              <w:kinsoku/>
              <w:overflowPunct/>
              <w:autoSpaceDE/>
              <w:autoSpaceDN/>
              <w:adjustRightInd/>
              <w:snapToGrid/>
              <w:spacing w:before="40" w:after="40" w:line="220" w:lineRule="exact"/>
              <w:jc w:val="right"/>
              <w:rPr>
                <w:sz w:val="18"/>
              </w:rPr>
            </w:pPr>
            <w:r w:rsidRPr="008D6145">
              <w:rPr>
                <w:sz w:val="18"/>
              </w:rPr>
              <w:t>27,7</w:t>
            </w:r>
          </w:p>
        </w:tc>
        <w:tc>
          <w:tcPr>
            <w:tcW w:w="1134" w:type="dxa"/>
            <w:tcBorders>
              <w:bottom w:val="single" w:sz="4" w:space="0" w:color="auto"/>
            </w:tcBorders>
            <w:shd w:val="clear" w:color="auto" w:fill="auto"/>
            <w:vAlign w:val="bottom"/>
          </w:tcPr>
          <w:p w:rsidR="008D6145" w:rsidRPr="008D6145" w:rsidRDefault="008D6145">
            <w:pPr>
              <w:suppressAutoHyphens w:val="0"/>
              <w:kinsoku/>
              <w:overflowPunct/>
              <w:autoSpaceDE/>
              <w:autoSpaceDN/>
              <w:adjustRightInd/>
              <w:snapToGrid/>
              <w:spacing w:before="40" w:after="40" w:line="220" w:lineRule="exact"/>
              <w:jc w:val="right"/>
              <w:rPr>
                <w:sz w:val="18"/>
              </w:rPr>
            </w:pPr>
            <w:r w:rsidRPr="008D6145">
              <w:rPr>
                <w:sz w:val="18"/>
              </w:rPr>
              <w:t>11,6</w:t>
            </w:r>
          </w:p>
        </w:tc>
        <w:tc>
          <w:tcPr>
            <w:tcW w:w="1134" w:type="dxa"/>
            <w:tcBorders>
              <w:bottom w:val="single" w:sz="4" w:space="0" w:color="auto"/>
            </w:tcBorders>
            <w:shd w:val="clear" w:color="auto" w:fill="auto"/>
            <w:vAlign w:val="bottom"/>
          </w:tcPr>
          <w:p w:rsidR="008D6145" w:rsidRPr="008D6145" w:rsidRDefault="008D6145">
            <w:pPr>
              <w:suppressAutoHyphens w:val="0"/>
              <w:kinsoku/>
              <w:overflowPunct/>
              <w:autoSpaceDE/>
              <w:autoSpaceDN/>
              <w:adjustRightInd/>
              <w:snapToGrid/>
              <w:spacing w:before="40" w:after="40" w:line="220" w:lineRule="exact"/>
              <w:jc w:val="right"/>
              <w:rPr>
                <w:sz w:val="18"/>
              </w:rPr>
            </w:pPr>
            <w:r w:rsidRPr="008D6145">
              <w:rPr>
                <w:sz w:val="18"/>
              </w:rPr>
              <w:t>16,9</w:t>
            </w:r>
          </w:p>
        </w:tc>
      </w:tr>
      <w:tr w:rsidR="008D6145" w:rsidRPr="008D6145" w:rsidTr="00821D2B">
        <w:tc>
          <w:tcPr>
            <w:tcW w:w="2835" w:type="dxa"/>
            <w:tcBorders>
              <w:top w:val="single" w:sz="4" w:space="0" w:color="auto"/>
              <w:bottom w:val="single" w:sz="12" w:space="0" w:color="auto"/>
            </w:tcBorders>
            <w:shd w:val="clear" w:color="auto" w:fill="auto"/>
          </w:tcPr>
          <w:p w:rsidR="008D6145" w:rsidRPr="008D6145" w:rsidRDefault="008D6145" w:rsidP="008D6145">
            <w:pPr>
              <w:suppressAutoHyphens w:val="0"/>
              <w:kinsoku/>
              <w:overflowPunct/>
              <w:autoSpaceDE/>
              <w:autoSpaceDN/>
              <w:adjustRightInd/>
              <w:snapToGrid/>
              <w:spacing w:before="80" w:after="80" w:line="220" w:lineRule="exact"/>
              <w:ind w:left="283"/>
              <w:rPr>
                <w:b/>
                <w:sz w:val="18"/>
              </w:rPr>
            </w:pPr>
            <w:r w:rsidRPr="008D6145">
              <w:rPr>
                <w:b/>
                <w:sz w:val="18"/>
              </w:rPr>
              <w:t>Total</w:t>
            </w:r>
          </w:p>
        </w:tc>
        <w:tc>
          <w:tcPr>
            <w:tcW w:w="1134" w:type="dxa"/>
            <w:tcBorders>
              <w:top w:val="single" w:sz="4" w:space="0" w:color="auto"/>
              <w:bottom w:val="single" w:sz="12" w:space="0" w:color="auto"/>
            </w:tcBorders>
            <w:shd w:val="clear" w:color="auto" w:fill="auto"/>
            <w:vAlign w:val="bottom"/>
          </w:tcPr>
          <w:p w:rsidR="008D6145" w:rsidRPr="008D6145" w:rsidRDefault="008D6145">
            <w:pPr>
              <w:suppressAutoHyphens w:val="0"/>
              <w:kinsoku/>
              <w:overflowPunct/>
              <w:autoSpaceDE/>
              <w:autoSpaceDN/>
              <w:adjustRightInd/>
              <w:snapToGrid/>
              <w:spacing w:before="80" w:after="80" w:line="220" w:lineRule="exact"/>
              <w:jc w:val="right"/>
              <w:rPr>
                <w:b/>
                <w:sz w:val="18"/>
              </w:rPr>
            </w:pPr>
            <w:r w:rsidRPr="008D6145">
              <w:rPr>
                <w:b/>
                <w:sz w:val="18"/>
              </w:rPr>
              <w:t>100,0</w:t>
            </w:r>
          </w:p>
        </w:tc>
        <w:tc>
          <w:tcPr>
            <w:tcW w:w="1134" w:type="dxa"/>
            <w:tcBorders>
              <w:top w:val="single" w:sz="4" w:space="0" w:color="auto"/>
              <w:bottom w:val="single" w:sz="12" w:space="0" w:color="auto"/>
            </w:tcBorders>
            <w:shd w:val="clear" w:color="auto" w:fill="auto"/>
            <w:vAlign w:val="bottom"/>
          </w:tcPr>
          <w:p w:rsidR="008D6145" w:rsidRPr="008D6145" w:rsidRDefault="008D6145">
            <w:pPr>
              <w:suppressAutoHyphens w:val="0"/>
              <w:kinsoku/>
              <w:overflowPunct/>
              <w:autoSpaceDE/>
              <w:autoSpaceDN/>
              <w:adjustRightInd/>
              <w:snapToGrid/>
              <w:spacing w:before="80" w:after="80" w:line="220" w:lineRule="exact"/>
              <w:jc w:val="right"/>
              <w:rPr>
                <w:b/>
                <w:sz w:val="18"/>
              </w:rPr>
            </w:pPr>
            <w:r w:rsidRPr="008D6145">
              <w:rPr>
                <w:b/>
                <w:sz w:val="18"/>
              </w:rPr>
              <w:t>100,0</w:t>
            </w:r>
          </w:p>
        </w:tc>
        <w:tc>
          <w:tcPr>
            <w:tcW w:w="1134" w:type="dxa"/>
            <w:tcBorders>
              <w:top w:val="single" w:sz="4" w:space="0" w:color="auto"/>
              <w:bottom w:val="single" w:sz="12" w:space="0" w:color="auto"/>
            </w:tcBorders>
            <w:shd w:val="clear" w:color="auto" w:fill="auto"/>
            <w:vAlign w:val="bottom"/>
          </w:tcPr>
          <w:p w:rsidR="008D6145" w:rsidRPr="008D6145" w:rsidRDefault="008D6145">
            <w:pPr>
              <w:suppressAutoHyphens w:val="0"/>
              <w:kinsoku/>
              <w:overflowPunct/>
              <w:autoSpaceDE/>
              <w:autoSpaceDN/>
              <w:adjustRightInd/>
              <w:snapToGrid/>
              <w:spacing w:before="80" w:after="80" w:line="220" w:lineRule="exact"/>
              <w:jc w:val="right"/>
              <w:rPr>
                <w:b/>
                <w:sz w:val="18"/>
              </w:rPr>
            </w:pPr>
            <w:r w:rsidRPr="008D6145">
              <w:rPr>
                <w:b/>
                <w:sz w:val="18"/>
              </w:rPr>
              <w:t>100,0</w:t>
            </w:r>
          </w:p>
        </w:tc>
        <w:tc>
          <w:tcPr>
            <w:tcW w:w="1134" w:type="dxa"/>
            <w:tcBorders>
              <w:top w:val="single" w:sz="4" w:space="0" w:color="auto"/>
              <w:bottom w:val="single" w:sz="12" w:space="0" w:color="auto"/>
            </w:tcBorders>
            <w:shd w:val="clear" w:color="auto" w:fill="auto"/>
            <w:vAlign w:val="bottom"/>
          </w:tcPr>
          <w:p w:rsidR="008D6145" w:rsidRPr="008D6145" w:rsidRDefault="008D6145">
            <w:pPr>
              <w:suppressAutoHyphens w:val="0"/>
              <w:kinsoku/>
              <w:overflowPunct/>
              <w:autoSpaceDE/>
              <w:autoSpaceDN/>
              <w:adjustRightInd/>
              <w:snapToGrid/>
              <w:spacing w:before="80" w:after="80" w:line="220" w:lineRule="exact"/>
              <w:jc w:val="right"/>
              <w:rPr>
                <w:b/>
                <w:sz w:val="18"/>
              </w:rPr>
            </w:pPr>
            <w:r w:rsidRPr="008D6145">
              <w:rPr>
                <w:b/>
                <w:sz w:val="18"/>
              </w:rPr>
              <w:t>100,0</w:t>
            </w:r>
          </w:p>
        </w:tc>
      </w:tr>
    </w:tbl>
    <w:p w:rsidR="008D6145" w:rsidRPr="008D6145" w:rsidRDefault="008D6145" w:rsidP="00821D2B">
      <w:pPr>
        <w:kinsoku/>
        <w:overflowPunct/>
        <w:autoSpaceDE/>
        <w:autoSpaceDN/>
        <w:adjustRightInd/>
        <w:snapToGrid/>
        <w:spacing w:before="120" w:after="240"/>
        <w:ind w:left="1134" w:right="1134" w:firstLine="170"/>
        <w:rPr>
          <w:rFonts w:eastAsia="Times New Roman"/>
          <w:sz w:val="18"/>
          <w:szCs w:val="18"/>
        </w:rPr>
      </w:pPr>
      <w:r w:rsidRPr="008D6145">
        <w:rPr>
          <w:rFonts w:eastAsia="Times New Roman"/>
          <w:i/>
          <w:sz w:val="18"/>
          <w:szCs w:val="18"/>
        </w:rPr>
        <w:t>Source</w:t>
      </w:r>
      <w:r w:rsidRPr="008D6145">
        <w:rPr>
          <w:rFonts w:eastAsia="Times New Roman"/>
          <w:sz w:val="18"/>
          <w:szCs w:val="18"/>
        </w:rPr>
        <w:t> : INSAE, EMICoV 2010.</w:t>
      </w:r>
    </w:p>
    <w:p w:rsidR="008D6145" w:rsidRPr="008D6145" w:rsidRDefault="00821D2B" w:rsidP="00821D2B">
      <w:pPr>
        <w:pStyle w:val="SingleTxtG"/>
        <w:kinsoku/>
        <w:overflowPunct/>
        <w:autoSpaceDE/>
        <w:autoSpaceDN/>
        <w:adjustRightInd/>
        <w:snapToGrid/>
        <w:rPr>
          <w:rFonts w:eastAsia="Times New Roman"/>
          <w:lang w:val="fr-FR"/>
        </w:rPr>
      </w:pPr>
      <w:r w:rsidRPr="008D6145">
        <w:rPr>
          <w:rFonts w:eastAsia="Times New Roman"/>
          <w:lang w:val="fr-FR"/>
        </w:rPr>
        <w:t>18.</w:t>
      </w:r>
      <w:r w:rsidRPr="008D6145">
        <w:rPr>
          <w:rFonts w:eastAsia="Times New Roman"/>
          <w:lang w:val="fr-FR"/>
        </w:rPr>
        <w:tab/>
      </w:r>
      <w:r w:rsidR="008D6145" w:rsidRPr="008D6145">
        <w:rPr>
          <w:rFonts w:eastAsia="Times New Roman"/>
          <w:lang w:val="fr-FR"/>
        </w:rPr>
        <w:t xml:space="preserve">Le tableau </w:t>
      </w:r>
      <w:r w:rsidR="00B371E9" w:rsidRPr="008D6145">
        <w:rPr>
          <w:rFonts w:eastAsia="Times New Roman"/>
          <w:lang w:val="fr-FR"/>
        </w:rPr>
        <w:t>n</w:t>
      </w:r>
      <w:r w:rsidR="00B371E9" w:rsidRPr="006C0894">
        <w:rPr>
          <w:rFonts w:eastAsia="Times New Roman"/>
          <w:vertAlign w:val="superscript"/>
          <w:lang w:val="fr-FR"/>
        </w:rPr>
        <w:t>o</w:t>
      </w:r>
      <w:r w:rsidR="00B371E9">
        <w:rPr>
          <w:rFonts w:eastAsia="Times New Roman"/>
          <w:lang w:val="fr-FR"/>
        </w:rPr>
        <w:t> </w:t>
      </w:r>
      <w:r w:rsidR="008D6145" w:rsidRPr="008D6145">
        <w:rPr>
          <w:rFonts w:eastAsia="Times New Roman"/>
          <w:lang w:val="fr-FR"/>
        </w:rPr>
        <w:t>2 présente la répartition des actifs occupés selon l</w:t>
      </w:r>
      <w:r w:rsidR="00A033A7">
        <w:rPr>
          <w:rFonts w:eastAsia="Times New Roman"/>
          <w:lang w:val="fr-FR"/>
        </w:rPr>
        <w:t>’</w:t>
      </w:r>
      <w:r w:rsidR="008D6145" w:rsidRPr="008D6145">
        <w:rPr>
          <w:rFonts w:eastAsia="Times New Roman"/>
          <w:lang w:val="fr-FR"/>
        </w:rPr>
        <w:t>âge et la catégorie socioprofessionnelle. Il montre que les jeunes de 15-24</w:t>
      </w:r>
      <w:r w:rsidR="00B371E9">
        <w:t> </w:t>
      </w:r>
      <w:r w:rsidR="008D6145" w:rsidRPr="008D6145">
        <w:rPr>
          <w:rFonts w:eastAsia="Times New Roman"/>
          <w:lang w:val="fr-FR"/>
        </w:rPr>
        <w:t>ans sont majoritairement des apprentis ou des aides familiales (85,5</w:t>
      </w:r>
      <w:r w:rsidR="00B371E9">
        <w:rPr>
          <w:rFonts w:eastAsia="Times New Roman"/>
          <w:lang w:val="fr-FR"/>
        </w:rPr>
        <w:t> </w:t>
      </w:r>
      <w:r w:rsidR="008D6145" w:rsidRPr="008D6145">
        <w:rPr>
          <w:rFonts w:eastAsia="Times New Roman"/>
          <w:lang w:val="fr-FR"/>
        </w:rPr>
        <w:t>%) tandis que les adultes (25-64</w:t>
      </w:r>
      <w:r w:rsidR="00B371E9">
        <w:rPr>
          <w:rFonts w:eastAsia="Times New Roman"/>
          <w:lang w:val="fr-FR"/>
        </w:rPr>
        <w:t> </w:t>
      </w:r>
      <w:r w:rsidR="008D6145" w:rsidRPr="008D6145">
        <w:rPr>
          <w:rFonts w:eastAsia="Times New Roman"/>
          <w:lang w:val="fr-FR"/>
        </w:rPr>
        <w:t>ans) sont pour la plupart travailleurs à leur propre compte (67,5</w:t>
      </w:r>
      <w:r w:rsidR="00B371E9">
        <w:rPr>
          <w:rFonts w:eastAsia="Times New Roman"/>
          <w:lang w:val="fr-FR"/>
        </w:rPr>
        <w:t> </w:t>
      </w:r>
      <w:r w:rsidR="008D6145" w:rsidRPr="008D6145">
        <w:rPr>
          <w:rFonts w:eastAsia="Times New Roman"/>
          <w:lang w:val="fr-FR"/>
        </w:rPr>
        <w:t>%).</w:t>
      </w:r>
    </w:p>
    <w:p w:rsidR="008D6145" w:rsidRPr="008D6145" w:rsidRDefault="00B371E9" w:rsidP="00821D2B">
      <w:pPr>
        <w:pStyle w:val="H23G"/>
      </w:pPr>
      <w:r>
        <w:tab/>
      </w:r>
      <w:r>
        <w:tab/>
      </w:r>
      <w:r w:rsidR="008D6145" w:rsidRPr="00821D2B">
        <w:rPr>
          <w:b w:val="0"/>
          <w:bCs/>
        </w:rPr>
        <w:t xml:space="preserve">Tableau </w:t>
      </w:r>
      <w:r w:rsidRPr="00821D2B">
        <w:rPr>
          <w:rFonts w:eastAsia="Times New Roman"/>
          <w:b w:val="0"/>
          <w:bCs/>
          <w:lang w:val="fr-FR"/>
        </w:rPr>
        <w:t>n</w:t>
      </w:r>
      <w:r w:rsidRPr="00821D2B">
        <w:rPr>
          <w:rFonts w:eastAsia="Times New Roman"/>
          <w:b w:val="0"/>
          <w:bCs/>
          <w:vertAlign w:val="superscript"/>
          <w:lang w:val="fr-FR"/>
        </w:rPr>
        <w:t>o</w:t>
      </w:r>
      <w:r w:rsidRPr="00821D2B">
        <w:rPr>
          <w:rFonts w:eastAsia="Times New Roman"/>
          <w:b w:val="0"/>
          <w:bCs/>
          <w:lang w:val="fr-FR"/>
        </w:rPr>
        <w:t> </w:t>
      </w:r>
      <w:r w:rsidR="008D6145" w:rsidRPr="00821D2B">
        <w:rPr>
          <w:b w:val="0"/>
          <w:bCs/>
        </w:rPr>
        <w:t>2 </w:t>
      </w:r>
      <w:r w:rsidR="008D6145" w:rsidRPr="008D6145">
        <w:br/>
        <w:t>Répartition des actifs occupés selon l</w:t>
      </w:r>
      <w:r w:rsidR="00A033A7">
        <w:t>’</w:t>
      </w:r>
      <w:r w:rsidR="008D6145" w:rsidRPr="008D6145">
        <w:t xml:space="preserve">âge et la catégorie socioprofessionnelle </w:t>
      </w:r>
      <w:r w:rsidR="008D6145" w:rsidRPr="008D6145">
        <w:br/>
        <w:t>au Bénin en 2010</w:t>
      </w:r>
    </w:p>
    <w:tbl>
      <w:tblPr>
        <w:tblStyle w:val="TableGrid1"/>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985"/>
        <w:gridCol w:w="1985"/>
      </w:tblGrid>
      <w:tr w:rsidR="008D6145" w:rsidRPr="008D6145" w:rsidTr="00821D2B">
        <w:trPr>
          <w:tblHeader/>
        </w:trPr>
        <w:tc>
          <w:tcPr>
            <w:tcW w:w="3402" w:type="dxa"/>
            <w:tcBorders>
              <w:top w:val="single" w:sz="4" w:space="0" w:color="auto"/>
              <w:bottom w:val="single" w:sz="12" w:space="0" w:color="auto"/>
            </w:tcBorders>
            <w:shd w:val="clear" w:color="auto" w:fill="auto"/>
            <w:vAlign w:val="bottom"/>
          </w:tcPr>
          <w:p w:rsidR="008D6145" w:rsidRPr="008D6145" w:rsidRDefault="008D6145" w:rsidP="008D6145">
            <w:pPr>
              <w:suppressAutoHyphens w:val="0"/>
              <w:kinsoku/>
              <w:overflowPunct/>
              <w:autoSpaceDE/>
              <w:autoSpaceDN/>
              <w:adjustRightInd/>
              <w:snapToGrid/>
              <w:spacing w:before="80" w:after="80" w:line="200" w:lineRule="exact"/>
              <w:rPr>
                <w:i/>
                <w:spacing w:val="4"/>
                <w:w w:val="103"/>
                <w:kern w:val="14"/>
                <w:sz w:val="16"/>
              </w:rPr>
            </w:pPr>
            <w:r w:rsidRPr="008D6145">
              <w:rPr>
                <w:i/>
                <w:spacing w:val="4"/>
                <w:w w:val="103"/>
                <w:kern w:val="14"/>
                <w:sz w:val="16"/>
              </w:rPr>
              <w:t>Tranches d</w:t>
            </w:r>
            <w:r w:rsidR="00A033A7">
              <w:rPr>
                <w:i/>
                <w:spacing w:val="4"/>
                <w:w w:val="103"/>
                <w:kern w:val="14"/>
                <w:sz w:val="16"/>
              </w:rPr>
              <w:t>’</w:t>
            </w:r>
            <w:r w:rsidRPr="008D6145">
              <w:rPr>
                <w:i/>
                <w:spacing w:val="4"/>
                <w:w w:val="103"/>
                <w:kern w:val="14"/>
                <w:sz w:val="16"/>
              </w:rPr>
              <w:t>âge</w:t>
            </w:r>
          </w:p>
        </w:tc>
        <w:tc>
          <w:tcPr>
            <w:tcW w:w="1985" w:type="dxa"/>
            <w:tcBorders>
              <w:top w:val="single" w:sz="4" w:space="0" w:color="auto"/>
              <w:bottom w:val="single" w:sz="12" w:space="0" w:color="auto"/>
            </w:tcBorders>
            <w:shd w:val="clear" w:color="auto" w:fill="auto"/>
            <w:vAlign w:val="bottom"/>
          </w:tcPr>
          <w:p w:rsidR="008D6145" w:rsidRPr="008D6145" w:rsidRDefault="008D6145" w:rsidP="00821D2B">
            <w:pPr>
              <w:suppressAutoHyphens w:val="0"/>
              <w:kinsoku/>
              <w:overflowPunct/>
              <w:autoSpaceDE/>
              <w:autoSpaceDN/>
              <w:adjustRightInd/>
              <w:snapToGrid/>
              <w:spacing w:before="80" w:after="80" w:line="200" w:lineRule="exact"/>
              <w:jc w:val="right"/>
              <w:rPr>
                <w:i/>
                <w:spacing w:val="4"/>
                <w:w w:val="103"/>
                <w:kern w:val="14"/>
                <w:sz w:val="16"/>
              </w:rPr>
            </w:pPr>
            <w:r w:rsidRPr="008D6145">
              <w:rPr>
                <w:i/>
                <w:spacing w:val="4"/>
                <w:w w:val="103"/>
                <w:kern w:val="14"/>
                <w:sz w:val="16"/>
              </w:rPr>
              <w:t>15-24 ans</w:t>
            </w:r>
          </w:p>
        </w:tc>
        <w:tc>
          <w:tcPr>
            <w:tcW w:w="1985" w:type="dxa"/>
            <w:tcBorders>
              <w:top w:val="single" w:sz="4" w:space="0" w:color="auto"/>
              <w:bottom w:val="single" w:sz="12" w:space="0" w:color="auto"/>
            </w:tcBorders>
            <w:shd w:val="clear" w:color="auto" w:fill="auto"/>
            <w:vAlign w:val="bottom"/>
          </w:tcPr>
          <w:p w:rsidR="008D6145" w:rsidRPr="008D6145" w:rsidRDefault="008D6145" w:rsidP="00821D2B">
            <w:pPr>
              <w:suppressAutoHyphens w:val="0"/>
              <w:kinsoku/>
              <w:overflowPunct/>
              <w:autoSpaceDE/>
              <w:autoSpaceDN/>
              <w:adjustRightInd/>
              <w:snapToGrid/>
              <w:spacing w:before="80" w:after="80" w:line="200" w:lineRule="exact"/>
              <w:jc w:val="right"/>
              <w:rPr>
                <w:i/>
                <w:spacing w:val="4"/>
                <w:w w:val="103"/>
                <w:kern w:val="14"/>
                <w:sz w:val="16"/>
              </w:rPr>
            </w:pPr>
            <w:r w:rsidRPr="008D6145">
              <w:rPr>
                <w:i/>
                <w:spacing w:val="4"/>
                <w:w w:val="103"/>
                <w:kern w:val="14"/>
                <w:sz w:val="16"/>
              </w:rPr>
              <w:t>25-64 ans</w:t>
            </w:r>
          </w:p>
        </w:tc>
      </w:tr>
      <w:tr w:rsidR="008D6145" w:rsidRPr="008D6145" w:rsidTr="00821D2B">
        <w:tc>
          <w:tcPr>
            <w:tcW w:w="3402" w:type="dxa"/>
            <w:tcBorders>
              <w:top w:val="single" w:sz="12" w:space="0" w:color="auto"/>
            </w:tcBorders>
            <w:shd w:val="clear" w:color="auto" w:fill="auto"/>
          </w:tcPr>
          <w:p w:rsidR="008D6145" w:rsidRPr="008D6145" w:rsidRDefault="008D6145" w:rsidP="008D6145">
            <w:pPr>
              <w:suppressAutoHyphens w:val="0"/>
              <w:kinsoku/>
              <w:overflowPunct/>
              <w:autoSpaceDE/>
              <w:autoSpaceDN/>
              <w:adjustRightInd/>
              <w:snapToGrid/>
              <w:spacing w:before="40" w:after="40" w:line="220" w:lineRule="exact"/>
              <w:rPr>
                <w:sz w:val="18"/>
              </w:rPr>
            </w:pPr>
            <w:r w:rsidRPr="008D6145">
              <w:rPr>
                <w:sz w:val="18"/>
              </w:rPr>
              <w:t>Salariés</w:t>
            </w:r>
          </w:p>
        </w:tc>
        <w:tc>
          <w:tcPr>
            <w:tcW w:w="1985" w:type="dxa"/>
            <w:tcBorders>
              <w:top w:val="single" w:sz="12" w:space="0" w:color="auto"/>
            </w:tcBorders>
            <w:shd w:val="clear" w:color="auto" w:fill="auto"/>
            <w:vAlign w:val="bottom"/>
          </w:tcPr>
          <w:p w:rsidR="008D6145" w:rsidRPr="008D6145" w:rsidRDefault="008D6145">
            <w:pPr>
              <w:suppressAutoHyphens w:val="0"/>
              <w:kinsoku/>
              <w:overflowPunct/>
              <w:autoSpaceDE/>
              <w:autoSpaceDN/>
              <w:adjustRightInd/>
              <w:snapToGrid/>
              <w:spacing w:before="40" w:after="40" w:line="220" w:lineRule="exact"/>
              <w:jc w:val="right"/>
              <w:rPr>
                <w:sz w:val="18"/>
              </w:rPr>
            </w:pPr>
            <w:r w:rsidRPr="008D6145">
              <w:rPr>
                <w:sz w:val="18"/>
              </w:rPr>
              <w:t>3,1</w:t>
            </w:r>
          </w:p>
        </w:tc>
        <w:tc>
          <w:tcPr>
            <w:tcW w:w="1985" w:type="dxa"/>
            <w:tcBorders>
              <w:top w:val="single" w:sz="12" w:space="0" w:color="auto"/>
            </w:tcBorders>
            <w:shd w:val="clear" w:color="auto" w:fill="auto"/>
            <w:vAlign w:val="bottom"/>
          </w:tcPr>
          <w:p w:rsidR="008D6145" w:rsidRPr="008D6145" w:rsidRDefault="008D6145">
            <w:pPr>
              <w:suppressAutoHyphens w:val="0"/>
              <w:kinsoku/>
              <w:overflowPunct/>
              <w:autoSpaceDE/>
              <w:autoSpaceDN/>
              <w:adjustRightInd/>
              <w:snapToGrid/>
              <w:spacing w:before="40" w:after="40" w:line="220" w:lineRule="exact"/>
              <w:jc w:val="right"/>
              <w:rPr>
                <w:sz w:val="18"/>
              </w:rPr>
            </w:pPr>
            <w:r w:rsidRPr="008D6145">
              <w:rPr>
                <w:sz w:val="18"/>
              </w:rPr>
              <w:t>7,3</w:t>
            </w:r>
          </w:p>
        </w:tc>
      </w:tr>
      <w:tr w:rsidR="008D6145" w:rsidRPr="008D6145" w:rsidTr="00821D2B">
        <w:tc>
          <w:tcPr>
            <w:tcW w:w="3402" w:type="dxa"/>
            <w:shd w:val="clear" w:color="auto" w:fill="auto"/>
          </w:tcPr>
          <w:p w:rsidR="008D6145" w:rsidRPr="008D6145" w:rsidRDefault="008D6145" w:rsidP="008D6145">
            <w:pPr>
              <w:suppressAutoHyphens w:val="0"/>
              <w:kinsoku/>
              <w:overflowPunct/>
              <w:autoSpaceDE/>
              <w:autoSpaceDN/>
              <w:adjustRightInd/>
              <w:snapToGrid/>
              <w:spacing w:before="40" w:after="40" w:line="220" w:lineRule="exact"/>
              <w:rPr>
                <w:sz w:val="18"/>
              </w:rPr>
            </w:pPr>
            <w:r w:rsidRPr="008D6145">
              <w:rPr>
                <w:sz w:val="18"/>
              </w:rPr>
              <w:t>Employeurs</w:t>
            </w:r>
          </w:p>
        </w:tc>
        <w:tc>
          <w:tcPr>
            <w:tcW w:w="1985" w:type="dxa"/>
            <w:shd w:val="clear" w:color="auto" w:fill="auto"/>
            <w:vAlign w:val="bottom"/>
          </w:tcPr>
          <w:p w:rsidR="008D6145" w:rsidRPr="008D6145" w:rsidRDefault="008D6145">
            <w:pPr>
              <w:suppressAutoHyphens w:val="0"/>
              <w:kinsoku/>
              <w:overflowPunct/>
              <w:autoSpaceDE/>
              <w:autoSpaceDN/>
              <w:adjustRightInd/>
              <w:snapToGrid/>
              <w:spacing w:before="40" w:after="40" w:line="220" w:lineRule="exact"/>
              <w:jc w:val="right"/>
              <w:rPr>
                <w:sz w:val="18"/>
              </w:rPr>
            </w:pPr>
            <w:r w:rsidRPr="008D6145">
              <w:rPr>
                <w:sz w:val="18"/>
              </w:rPr>
              <w:t>0,0</w:t>
            </w:r>
          </w:p>
        </w:tc>
        <w:tc>
          <w:tcPr>
            <w:tcW w:w="1985" w:type="dxa"/>
            <w:shd w:val="clear" w:color="auto" w:fill="auto"/>
            <w:vAlign w:val="bottom"/>
          </w:tcPr>
          <w:p w:rsidR="008D6145" w:rsidRPr="008D6145" w:rsidRDefault="008D6145">
            <w:pPr>
              <w:suppressAutoHyphens w:val="0"/>
              <w:kinsoku/>
              <w:overflowPunct/>
              <w:autoSpaceDE/>
              <w:autoSpaceDN/>
              <w:adjustRightInd/>
              <w:snapToGrid/>
              <w:spacing w:before="40" w:after="40" w:line="220" w:lineRule="exact"/>
              <w:jc w:val="right"/>
              <w:rPr>
                <w:sz w:val="18"/>
              </w:rPr>
            </w:pPr>
            <w:r w:rsidRPr="008D6145">
              <w:rPr>
                <w:sz w:val="18"/>
              </w:rPr>
              <w:t>0,8</w:t>
            </w:r>
          </w:p>
        </w:tc>
      </w:tr>
      <w:tr w:rsidR="008D6145" w:rsidRPr="008D6145" w:rsidTr="00821D2B">
        <w:tc>
          <w:tcPr>
            <w:tcW w:w="3402" w:type="dxa"/>
            <w:shd w:val="clear" w:color="auto" w:fill="auto"/>
          </w:tcPr>
          <w:p w:rsidR="008D6145" w:rsidRPr="008D6145" w:rsidRDefault="008D6145" w:rsidP="008D6145">
            <w:pPr>
              <w:suppressAutoHyphens w:val="0"/>
              <w:kinsoku/>
              <w:overflowPunct/>
              <w:autoSpaceDE/>
              <w:autoSpaceDN/>
              <w:adjustRightInd/>
              <w:snapToGrid/>
              <w:spacing w:before="40" w:after="40" w:line="220" w:lineRule="exact"/>
              <w:rPr>
                <w:sz w:val="18"/>
              </w:rPr>
            </w:pPr>
            <w:r w:rsidRPr="008D6145">
              <w:rPr>
                <w:sz w:val="18"/>
              </w:rPr>
              <w:t>Travailleurs à leur propre compte</w:t>
            </w:r>
          </w:p>
        </w:tc>
        <w:tc>
          <w:tcPr>
            <w:tcW w:w="1985" w:type="dxa"/>
            <w:shd w:val="clear" w:color="auto" w:fill="auto"/>
            <w:vAlign w:val="bottom"/>
          </w:tcPr>
          <w:p w:rsidR="008D6145" w:rsidRPr="008D6145" w:rsidRDefault="008D6145">
            <w:pPr>
              <w:suppressAutoHyphens w:val="0"/>
              <w:kinsoku/>
              <w:overflowPunct/>
              <w:autoSpaceDE/>
              <w:autoSpaceDN/>
              <w:adjustRightInd/>
              <w:snapToGrid/>
              <w:spacing w:before="40" w:after="40" w:line="220" w:lineRule="exact"/>
              <w:jc w:val="right"/>
              <w:rPr>
                <w:sz w:val="18"/>
              </w:rPr>
            </w:pPr>
            <w:r w:rsidRPr="008D6145">
              <w:rPr>
                <w:sz w:val="18"/>
              </w:rPr>
              <w:t>11,5</w:t>
            </w:r>
          </w:p>
        </w:tc>
        <w:tc>
          <w:tcPr>
            <w:tcW w:w="1985" w:type="dxa"/>
            <w:shd w:val="clear" w:color="auto" w:fill="auto"/>
            <w:vAlign w:val="bottom"/>
          </w:tcPr>
          <w:p w:rsidR="008D6145" w:rsidRPr="008D6145" w:rsidRDefault="008D6145">
            <w:pPr>
              <w:suppressAutoHyphens w:val="0"/>
              <w:kinsoku/>
              <w:overflowPunct/>
              <w:autoSpaceDE/>
              <w:autoSpaceDN/>
              <w:adjustRightInd/>
              <w:snapToGrid/>
              <w:spacing w:before="40" w:after="40" w:line="220" w:lineRule="exact"/>
              <w:jc w:val="right"/>
              <w:rPr>
                <w:sz w:val="18"/>
              </w:rPr>
            </w:pPr>
            <w:r w:rsidRPr="008D6145">
              <w:rPr>
                <w:sz w:val="18"/>
              </w:rPr>
              <w:t>67,5</w:t>
            </w:r>
          </w:p>
        </w:tc>
      </w:tr>
      <w:tr w:rsidR="008D6145" w:rsidRPr="008D6145" w:rsidTr="00821D2B">
        <w:tc>
          <w:tcPr>
            <w:tcW w:w="3402" w:type="dxa"/>
            <w:tcBorders>
              <w:bottom w:val="single" w:sz="4" w:space="0" w:color="auto"/>
            </w:tcBorders>
            <w:shd w:val="clear" w:color="auto" w:fill="auto"/>
          </w:tcPr>
          <w:p w:rsidR="008D6145" w:rsidRPr="008D6145" w:rsidRDefault="00B11B3D" w:rsidP="008D6145">
            <w:pPr>
              <w:suppressAutoHyphens w:val="0"/>
              <w:kinsoku/>
              <w:overflowPunct/>
              <w:autoSpaceDE/>
              <w:autoSpaceDN/>
              <w:adjustRightInd/>
              <w:snapToGrid/>
              <w:spacing w:before="40" w:after="40" w:line="220" w:lineRule="exact"/>
              <w:rPr>
                <w:sz w:val="18"/>
              </w:rPr>
            </w:pPr>
            <w:r>
              <w:rPr>
                <w:sz w:val="18"/>
              </w:rPr>
              <w:t>Apprentis/</w:t>
            </w:r>
            <w:r w:rsidR="008D6145" w:rsidRPr="008D6145">
              <w:rPr>
                <w:sz w:val="18"/>
              </w:rPr>
              <w:t>Aides familiaux</w:t>
            </w:r>
          </w:p>
        </w:tc>
        <w:tc>
          <w:tcPr>
            <w:tcW w:w="1985" w:type="dxa"/>
            <w:tcBorders>
              <w:bottom w:val="single" w:sz="4" w:space="0" w:color="auto"/>
            </w:tcBorders>
            <w:shd w:val="clear" w:color="auto" w:fill="auto"/>
            <w:vAlign w:val="bottom"/>
          </w:tcPr>
          <w:p w:rsidR="008D6145" w:rsidRPr="008D6145" w:rsidRDefault="008D6145">
            <w:pPr>
              <w:suppressAutoHyphens w:val="0"/>
              <w:kinsoku/>
              <w:overflowPunct/>
              <w:autoSpaceDE/>
              <w:autoSpaceDN/>
              <w:adjustRightInd/>
              <w:snapToGrid/>
              <w:spacing w:before="40" w:after="40" w:line="220" w:lineRule="exact"/>
              <w:jc w:val="right"/>
              <w:rPr>
                <w:sz w:val="18"/>
              </w:rPr>
            </w:pPr>
            <w:r w:rsidRPr="008D6145">
              <w:rPr>
                <w:sz w:val="18"/>
              </w:rPr>
              <w:t>85,5</w:t>
            </w:r>
          </w:p>
        </w:tc>
        <w:tc>
          <w:tcPr>
            <w:tcW w:w="1985" w:type="dxa"/>
            <w:tcBorders>
              <w:bottom w:val="single" w:sz="4" w:space="0" w:color="auto"/>
            </w:tcBorders>
            <w:shd w:val="clear" w:color="auto" w:fill="auto"/>
            <w:vAlign w:val="bottom"/>
          </w:tcPr>
          <w:p w:rsidR="008D6145" w:rsidRPr="008D6145" w:rsidRDefault="008D6145">
            <w:pPr>
              <w:suppressAutoHyphens w:val="0"/>
              <w:kinsoku/>
              <w:overflowPunct/>
              <w:autoSpaceDE/>
              <w:autoSpaceDN/>
              <w:adjustRightInd/>
              <w:snapToGrid/>
              <w:spacing w:before="40" w:after="40" w:line="220" w:lineRule="exact"/>
              <w:jc w:val="right"/>
              <w:rPr>
                <w:sz w:val="18"/>
              </w:rPr>
            </w:pPr>
            <w:r w:rsidRPr="008D6145">
              <w:rPr>
                <w:sz w:val="18"/>
              </w:rPr>
              <w:t>24,3</w:t>
            </w:r>
          </w:p>
        </w:tc>
      </w:tr>
      <w:tr w:rsidR="008D6145" w:rsidRPr="008D6145" w:rsidTr="00821D2B">
        <w:tc>
          <w:tcPr>
            <w:tcW w:w="3402" w:type="dxa"/>
            <w:tcBorders>
              <w:top w:val="single" w:sz="4" w:space="0" w:color="auto"/>
              <w:bottom w:val="single" w:sz="12" w:space="0" w:color="auto"/>
            </w:tcBorders>
            <w:shd w:val="clear" w:color="auto" w:fill="auto"/>
          </w:tcPr>
          <w:p w:rsidR="008D6145" w:rsidRPr="008D6145" w:rsidRDefault="008D6145" w:rsidP="008D6145">
            <w:pPr>
              <w:suppressAutoHyphens w:val="0"/>
              <w:kinsoku/>
              <w:overflowPunct/>
              <w:autoSpaceDE/>
              <w:autoSpaceDN/>
              <w:adjustRightInd/>
              <w:snapToGrid/>
              <w:spacing w:before="80" w:after="80" w:line="220" w:lineRule="exact"/>
              <w:ind w:left="283"/>
              <w:rPr>
                <w:b/>
                <w:sz w:val="18"/>
              </w:rPr>
            </w:pPr>
            <w:r w:rsidRPr="008D6145">
              <w:rPr>
                <w:b/>
                <w:sz w:val="18"/>
              </w:rPr>
              <w:t>Total</w:t>
            </w:r>
          </w:p>
        </w:tc>
        <w:tc>
          <w:tcPr>
            <w:tcW w:w="1985" w:type="dxa"/>
            <w:tcBorders>
              <w:top w:val="single" w:sz="4" w:space="0" w:color="auto"/>
              <w:bottom w:val="single" w:sz="12" w:space="0" w:color="auto"/>
            </w:tcBorders>
            <w:shd w:val="clear" w:color="auto" w:fill="auto"/>
            <w:vAlign w:val="bottom"/>
          </w:tcPr>
          <w:p w:rsidR="008D6145" w:rsidRPr="008D6145" w:rsidRDefault="008D6145">
            <w:pPr>
              <w:suppressAutoHyphens w:val="0"/>
              <w:kinsoku/>
              <w:overflowPunct/>
              <w:autoSpaceDE/>
              <w:autoSpaceDN/>
              <w:adjustRightInd/>
              <w:snapToGrid/>
              <w:spacing w:before="80" w:after="80" w:line="220" w:lineRule="exact"/>
              <w:jc w:val="right"/>
              <w:rPr>
                <w:b/>
                <w:sz w:val="18"/>
              </w:rPr>
            </w:pPr>
            <w:r w:rsidRPr="008D6145">
              <w:rPr>
                <w:b/>
                <w:sz w:val="18"/>
              </w:rPr>
              <w:t>100,0</w:t>
            </w:r>
          </w:p>
        </w:tc>
        <w:tc>
          <w:tcPr>
            <w:tcW w:w="1985" w:type="dxa"/>
            <w:tcBorders>
              <w:top w:val="single" w:sz="4" w:space="0" w:color="auto"/>
              <w:bottom w:val="single" w:sz="12" w:space="0" w:color="auto"/>
            </w:tcBorders>
            <w:shd w:val="clear" w:color="auto" w:fill="auto"/>
            <w:vAlign w:val="bottom"/>
          </w:tcPr>
          <w:p w:rsidR="008D6145" w:rsidRPr="008D6145" w:rsidRDefault="008D6145">
            <w:pPr>
              <w:suppressAutoHyphens w:val="0"/>
              <w:kinsoku/>
              <w:overflowPunct/>
              <w:autoSpaceDE/>
              <w:autoSpaceDN/>
              <w:adjustRightInd/>
              <w:snapToGrid/>
              <w:spacing w:before="80" w:after="80" w:line="220" w:lineRule="exact"/>
              <w:jc w:val="right"/>
              <w:rPr>
                <w:b/>
                <w:sz w:val="18"/>
              </w:rPr>
            </w:pPr>
            <w:r w:rsidRPr="008D6145">
              <w:rPr>
                <w:b/>
                <w:sz w:val="18"/>
              </w:rPr>
              <w:t>100,0</w:t>
            </w:r>
          </w:p>
        </w:tc>
      </w:tr>
    </w:tbl>
    <w:p w:rsidR="008D6145" w:rsidRPr="008D6145" w:rsidRDefault="008D6145" w:rsidP="00821D2B">
      <w:pPr>
        <w:kinsoku/>
        <w:overflowPunct/>
        <w:autoSpaceDE/>
        <w:autoSpaceDN/>
        <w:adjustRightInd/>
        <w:snapToGrid/>
        <w:spacing w:before="120" w:after="240"/>
        <w:ind w:left="1134" w:right="1134" w:firstLine="170"/>
        <w:rPr>
          <w:rFonts w:eastAsia="Times New Roman"/>
          <w:sz w:val="18"/>
          <w:szCs w:val="18"/>
        </w:rPr>
      </w:pPr>
      <w:r w:rsidRPr="008D6145">
        <w:rPr>
          <w:rFonts w:eastAsia="Times New Roman"/>
          <w:i/>
          <w:sz w:val="18"/>
          <w:szCs w:val="18"/>
        </w:rPr>
        <w:t>Source </w:t>
      </w:r>
      <w:r w:rsidRPr="00821D2B">
        <w:rPr>
          <w:rFonts w:eastAsia="Times New Roman"/>
          <w:iCs/>
          <w:sz w:val="18"/>
          <w:szCs w:val="18"/>
        </w:rPr>
        <w:t xml:space="preserve">: </w:t>
      </w:r>
      <w:r w:rsidRPr="008D6145">
        <w:rPr>
          <w:rFonts w:eastAsia="Times New Roman"/>
          <w:sz w:val="18"/>
          <w:szCs w:val="18"/>
        </w:rPr>
        <w:t>INSAE, EMICoV 2010.</w:t>
      </w:r>
    </w:p>
    <w:p w:rsidR="008D6145" w:rsidRPr="008D6145" w:rsidRDefault="006E0543" w:rsidP="00821D2B">
      <w:pPr>
        <w:pStyle w:val="H23G"/>
        <w:rPr>
          <w:lang w:val="fr-FR"/>
        </w:rPr>
      </w:pPr>
      <w:r>
        <w:rPr>
          <w:lang w:val="fr-FR"/>
        </w:rPr>
        <w:tab/>
      </w:r>
      <w:r>
        <w:rPr>
          <w:lang w:val="fr-FR"/>
        </w:rPr>
        <w:tab/>
      </w:r>
      <w:r w:rsidR="008D6145" w:rsidRPr="00821D2B">
        <w:rPr>
          <w:b w:val="0"/>
          <w:bCs/>
          <w:lang w:val="fr-FR"/>
        </w:rPr>
        <w:t xml:space="preserve">Tableau </w:t>
      </w:r>
      <w:r w:rsidR="00AE3C48" w:rsidRPr="006E0543">
        <w:rPr>
          <w:b w:val="0"/>
          <w:bCs/>
          <w:lang w:val="fr-FR"/>
        </w:rPr>
        <w:t>n</w:t>
      </w:r>
      <w:r w:rsidR="00AE3C48" w:rsidRPr="006E0543">
        <w:rPr>
          <w:b w:val="0"/>
          <w:bCs/>
          <w:vertAlign w:val="superscript"/>
          <w:lang w:val="fr-FR"/>
        </w:rPr>
        <w:t>o</w:t>
      </w:r>
      <w:r w:rsidR="00AE3C48" w:rsidRPr="006E0543">
        <w:rPr>
          <w:b w:val="0"/>
          <w:bCs/>
          <w:lang w:val="fr-FR"/>
        </w:rPr>
        <w:t> </w:t>
      </w:r>
      <w:r w:rsidR="008D6145" w:rsidRPr="00821D2B">
        <w:rPr>
          <w:b w:val="0"/>
          <w:bCs/>
          <w:lang w:val="fr-FR"/>
        </w:rPr>
        <w:t>3</w:t>
      </w:r>
      <w:r w:rsidR="008D6145" w:rsidRPr="008D6145">
        <w:rPr>
          <w:lang w:val="fr-FR"/>
        </w:rPr>
        <w:t> </w:t>
      </w:r>
      <w:r w:rsidR="008D6145" w:rsidRPr="008D6145">
        <w:rPr>
          <w:lang w:val="fr-FR"/>
        </w:rPr>
        <w:br/>
        <w:t>Répartition des actifs occupés selon les pôles de croissance et le sexe en 2010</w:t>
      </w:r>
    </w:p>
    <w:tbl>
      <w:tblPr>
        <w:tblStyle w:val="TableGrid1"/>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851"/>
        <w:gridCol w:w="851"/>
        <w:gridCol w:w="851"/>
        <w:gridCol w:w="851"/>
        <w:gridCol w:w="851"/>
        <w:gridCol w:w="851"/>
      </w:tblGrid>
      <w:tr w:rsidR="00AE3C48" w:rsidRPr="00AE3C48" w:rsidTr="00821D2B">
        <w:trPr>
          <w:tblHeader/>
        </w:trPr>
        <w:tc>
          <w:tcPr>
            <w:tcW w:w="2268" w:type="dxa"/>
            <w:vMerge w:val="restart"/>
            <w:tcBorders>
              <w:top w:val="single" w:sz="4" w:space="0" w:color="auto"/>
              <w:bottom w:val="single" w:sz="12" w:space="0" w:color="auto"/>
            </w:tcBorders>
            <w:shd w:val="clear" w:color="auto" w:fill="auto"/>
            <w:vAlign w:val="bottom"/>
          </w:tcPr>
          <w:p w:rsidR="00AE3C48" w:rsidRPr="00821D2B" w:rsidRDefault="00AE3C48" w:rsidP="00821D2B">
            <w:pPr>
              <w:suppressAutoHyphens w:val="0"/>
              <w:kinsoku/>
              <w:overflowPunct/>
              <w:autoSpaceDE/>
              <w:autoSpaceDN/>
              <w:adjustRightInd/>
              <w:snapToGrid/>
              <w:spacing w:before="80" w:after="80" w:line="200" w:lineRule="exact"/>
              <w:rPr>
                <w:i/>
                <w:sz w:val="16"/>
                <w:szCs w:val="16"/>
              </w:rPr>
            </w:pPr>
            <w:r w:rsidRPr="00821D2B">
              <w:rPr>
                <w:i/>
                <w:sz w:val="16"/>
                <w:szCs w:val="16"/>
              </w:rPr>
              <w:t>Activités</w:t>
            </w:r>
          </w:p>
        </w:tc>
        <w:tc>
          <w:tcPr>
            <w:tcW w:w="851" w:type="dxa"/>
            <w:gridSpan w:val="2"/>
            <w:tcBorders>
              <w:top w:val="single" w:sz="4" w:space="0" w:color="auto"/>
              <w:bottom w:val="single" w:sz="4" w:space="0" w:color="auto"/>
              <w:right w:val="single" w:sz="24" w:space="0" w:color="FFFFFF" w:themeColor="background1"/>
            </w:tcBorders>
            <w:shd w:val="clear" w:color="auto" w:fill="auto"/>
            <w:vAlign w:val="bottom"/>
          </w:tcPr>
          <w:p w:rsidR="00AE3C48" w:rsidRPr="00821D2B" w:rsidRDefault="00AE3C48" w:rsidP="00821D2B">
            <w:pPr>
              <w:suppressAutoHyphens w:val="0"/>
              <w:kinsoku/>
              <w:overflowPunct/>
              <w:autoSpaceDE/>
              <w:autoSpaceDN/>
              <w:adjustRightInd/>
              <w:snapToGrid/>
              <w:spacing w:before="80" w:after="80" w:line="200" w:lineRule="exact"/>
              <w:jc w:val="center"/>
              <w:rPr>
                <w:i/>
                <w:sz w:val="16"/>
                <w:szCs w:val="16"/>
              </w:rPr>
            </w:pPr>
            <w:r w:rsidRPr="00821D2B">
              <w:rPr>
                <w:i/>
                <w:sz w:val="16"/>
                <w:szCs w:val="16"/>
              </w:rPr>
              <w:t>Masculin</w:t>
            </w:r>
          </w:p>
        </w:tc>
        <w:tc>
          <w:tcPr>
            <w:tcW w:w="851"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AE3C48" w:rsidRPr="00821D2B" w:rsidRDefault="00AE3C48" w:rsidP="00821D2B">
            <w:pPr>
              <w:suppressAutoHyphens w:val="0"/>
              <w:kinsoku/>
              <w:overflowPunct/>
              <w:autoSpaceDE/>
              <w:autoSpaceDN/>
              <w:adjustRightInd/>
              <w:snapToGrid/>
              <w:spacing w:before="80" w:after="80" w:line="200" w:lineRule="exact"/>
              <w:jc w:val="center"/>
              <w:rPr>
                <w:i/>
                <w:sz w:val="16"/>
                <w:szCs w:val="16"/>
              </w:rPr>
            </w:pPr>
            <w:r w:rsidRPr="00821D2B">
              <w:rPr>
                <w:i/>
                <w:sz w:val="16"/>
                <w:szCs w:val="16"/>
              </w:rPr>
              <w:t>Féminin</w:t>
            </w:r>
          </w:p>
        </w:tc>
        <w:tc>
          <w:tcPr>
            <w:tcW w:w="851" w:type="dxa"/>
            <w:gridSpan w:val="2"/>
            <w:tcBorders>
              <w:top w:val="single" w:sz="4" w:space="0" w:color="auto"/>
              <w:left w:val="single" w:sz="24" w:space="0" w:color="FFFFFF" w:themeColor="background1"/>
              <w:bottom w:val="single" w:sz="4" w:space="0" w:color="auto"/>
            </w:tcBorders>
            <w:shd w:val="clear" w:color="auto" w:fill="auto"/>
            <w:vAlign w:val="bottom"/>
          </w:tcPr>
          <w:p w:rsidR="00AE3C48" w:rsidRPr="00B11B3D" w:rsidRDefault="00AE3C48" w:rsidP="00821D2B">
            <w:pPr>
              <w:suppressAutoHyphens w:val="0"/>
              <w:kinsoku/>
              <w:overflowPunct/>
              <w:autoSpaceDE/>
              <w:autoSpaceDN/>
              <w:adjustRightInd/>
              <w:snapToGrid/>
              <w:spacing w:before="80" w:after="80" w:line="200" w:lineRule="exact"/>
              <w:jc w:val="center"/>
              <w:rPr>
                <w:b/>
                <w:bCs/>
                <w:i/>
                <w:sz w:val="16"/>
                <w:szCs w:val="16"/>
              </w:rPr>
            </w:pPr>
            <w:r w:rsidRPr="00B11B3D">
              <w:rPr>
                <w:b/>
                <w:bCs/>
                <w:i/>
                <w:sz w:val="16"/>
                <w:szCs w:val="16"/>
              </w:rPr>
              <w:t>Total</w:t>
            </w:r>
          </w:p>
        </w:tc>
      </w:tr>
      <w:tr w:rsidR="007248AA" w:rsidRPr="00AE3C48" w:rsidTr="007248AA">
        <w:trPr>
          <w:tblHeader/>
        </w:trPr>
        <w:tc>
          <w:tcPr>
            <w:tcW w:w="2268" w:type="dxa"/>
            <w:vMerge/>
            <w:tcBorders>
              <w:bottom w:val="single" w:sz="12" w:space="0" w:color="auto"/>
            </w:tcBorders>
            <w:shd w:val="clear" w:color="auto" w:fill="auto"/>
            <w:vAlign w:val="bottom"/>
          </w:tcPr>
          <w:p w:rsidR="008D6145" w:rsidRPr="00821D2B" w:rsidRDefault="008D6145" w:rsidP="00821D2B">
            <w:pPr>
              <w:suppressAutoHyphens w:val="0"/>
              <w:kinsoku/>
              <w:overflowPunct/>
              <w:autoSpaceDE/>
              <w:autoSpaceDN/>
              <w:adjustRightInd/>
              <w:snapToGrid/>
              <w:spacing w:before="80" w:after="80" w:line="200" w:lineRule="exact"/>
              <w:rPr>
                <w:i/>
                <w:sz w:val="16"/>
                <w:szCs w:val="16"/>
              </w:rPr>
            </w:pPr>
          </w:p>
        </w:tc>
        <w:tc>
          <w:tcPr>
            <w:tcW w:w="851" w:type="dxa"/>
            <w:tcBorders>
              <w:top w:val="single" w:sz="4" w:space="0" w:color="auto"/>
              <w:bottom w:val="single" w:sz="12" w:space="0" w:color="auto"/>
            </w:tcBorders>
            <w:shd w:val="clear" w:color="auto" w:fill="auto"/>
            <w:vAlign w:val="bottom"/>
          </w:tcPr>
          <w:p w:rsidR="008D6145" w:rsidRPr="00821D2B" w:rsidRDefault="008D6145" w:rsidP="00821D2B">
            <w:pPr>
              <w:suppressAutoHyphens w:val="0"/>
              <w:kinsoku/>
              <w:overflowPunct/>
              <w:autoSpaceDE/>
              <w:autoSpaceDN/>
              <w:adjustRightInd/>
              <w:snapToGrid/>
              <w:spacing w:before="80" w:after="80" w:line="200" w:lineRule="exact"/>
              <w:jc w:val="right"/>
              <w:rPr>
                <w:i/>
                <w:sz w:val="16"/>
                <w:szCs w:val="16"/>
              </w:rPr>
            </w:pPr>
            <w:r w:rsidRPr="00821D2B">
              <w:rPr>
                <w:i/>
                <w:sz w:val="16"/>
                <w:szCs w:val="16"/>
              </w:rPr>
              <w:t>Effectif</w:t>
            </w:r>
          </w:p>
        </w:tc>
        <w:tc>
          <w:tcPr>
            <w:tcW w:w="851" w:type="dxa"/>
            <w:tcBorders>
              <w:top w:val="single" w:sz="4" w:space="0" w:color="auto"/>
              <w:bottom w:val="single" w:sz="12" w:space="0" w:color="auto"/>
              <w:right w:val="single" w:sz="24" w:space="0" w:color="FFFFFF" w:themeColor="background1"/>
            </w:tcBorders>
            <w:shd w:val="clear" w:color="auto" w:fill="auto"/>
            <w:vAlign w:val="bottom"/>
          </w:tcPr>
          <w:p w:rsidR="008D6145" w:rsidRPr="00821D2B" w:rsidRDefault="008D6145" w:rsidP="00821D2B">
            <w:pPr>
              <w:suppressAutoHyphens w:val="0"/>
              <w:kinsoku/>
              <w:overflowPunct/>
              <w:autoSpaceDE/>
              <w:autoSpaceDN/>
              <w:adjustRightInd/>
              <w:snapToGrid/>
              <w:spacing w:before="80" w:after="80" w:line="200" w:lineRule="exact"/>
              <w:jc w:val="right"/>
              <w:rPr>
                <w:i/>
                <w:sz w:val="16"/>
                <w:szCs w:val="16"/>
              </w:rPr>
            </w:pPr>
            <w:r w:rsidRPr="00821D2B">
              <w:rPr>
                <w:i/>
                <w:sz w:val="16"/>
                <w:szCs w:val="16"/>
              </w:rPr>
              <w:t>%</w:t>
            </w:r>
          </w:p>
        </w:tc>
        <w:tc>
          <w:tcPr>
            <w:tcW w:w="851" w:type="dxa"/>
            <w:tcBorders>
              <w:top w:val="single" w:sz="4" w:space="0" w:color="auto"/>
              <w:left w:val="single" w:sz="24" w:space="0" w:color="FFFFFF" w:themeColor="background1"/>
              <w:bottom w:val="single" w:sz="12" w:space="0" w:color="auto"/>
            </w:tcBorders>
            <w:shd w:val="clear" w:color="auto" w:fill="auto"/>
            <w:vAlign w:val="bottom"/>
          </w:tcPr>
          <w:p w:rsidR="008D6145" w:rsidRPr="00821D2B" w:rsidRDefault="008D6145" w:rsidP="00821D2B">
            <w:pPr>
              <w:suppressAutoHyphens w:val="0"/>
              <w:kinsoku/>
              <w:overflowPunct/>
              <w:autoSpaceDE/>
              <w:autoSpaceDN/>
              <w:adjustRightInd/>
              <w:snapToGrid/>
              <w:spacing w:before="80" w:after="80" w:line="200" w:lineRule="exact"/>
              <w:jc w:val="right"/>
              <w:rPr>
                <w:i/>
                <w:sz w:val="16"/>
                <w:szCs w:val="16"/>
              </w:rPr>
            </w:pPr>
            <w:r w:rsidRPr="00821D2B">
              <w:rPr>
                <w:i/>
                <w:sz w:val="16"/>
                <w:szCs w:val="16"/>
              </w:rPr>
              <w:t>Effectif</w:t>
            </w:r>
          </w:p>
        </w:tc>
        <w:tc>
          <w:tcPr>
            <w:tcW w:w="851" w:type="dxa"/>
            <w:tcBorders>
              <w:top w:val="single" w:sz="4" w:space="0" w:color="auto"/>
              <w:bottom w:val="single" w:sz="12" w:space="0" w:color="auto"/>
              <w:right w:val="single" w:sz="24" w:space="0" w:color="FFFFFF" w:themeColor="background1"/>
            </w:tcBorders>
            <w:shd w:val="clear" w:color="auto" w:fill="auto"/>
            <w:vAlign w:val="bottom"/>
          </w:tcPr>
          <w:p w:rsidR="008D6145" w:rsidRPr="00821D2B" w:rsidRDefault="008D6145" w:rsidP="00821D2B">
            <w:pPr>
              <w:suppressAutoHyphens w:val="0"/>
              <w:kinsoku/>
              <w:overflowPunct/>
              <w:autoSpaceDE/>
              <w:autoSpaceDN/>
              <w:adjustRightInd/>
              <w:snapToGrid/>
              <w:spacing w:before="80" w:after="80" w:line="200" w:lineRule="exact"/>
              <w:jc w:val="right"/>
              <w:rPr>
                <w:i/>
                <w:sz w:val="16"/>
                <w:szCs w:val="16"/>
              </w:rPr>
            </w:pPr>
            <w:r w:rsidRPr="00821D2B">
              <w:rPr>
                <w:i/>
                <w:sz w:val="16"/>
                <w:szCs w:val="16"/>
              </w:rPr>
              <w:t>%</w:t>
            </w:r>
          </w:p>
        </w:tc>
        <w:tc>
          <w:tcPr>
            <w:tcW w:w="851" w:type="dxa"/>
            <w:tcBorders>
              <w:top w:val="single" w:sz="4" w:space="0" w:color="auto"/>
              <w:left w:val="single" w:sz="24" w:space="0" w:color="FFFFFF" w:themeColor="background1"/>
              <w:bottom w:val="single" w:sz="12" w:space="0" w:color="auto"/>
            </w:tcBorders>
            <w:shd w:val="clear" w:color="auto" w:fill="auto"/>
            <w:vAlign w:val="bottom"/>
          </w:tcPr>
          <w:p w:rsidR="008D6145" w:rsidRPr="00B11B3D" w:rsidRDefault="008D6145" w:rsidP="00821D2B">
            <w:pPr>
              <w:suppressAutoHyphens w:val="0"/>
              <w:kinsoku/>
              <w:overflowPunct/>
              <w:autoSpaceDE/>
              <w:autoSpaceDN/>
              <w:adjustRightInd/>
              <w:snapToGrid/>
              <w:spacing w:before="80" w:after="80" w:line="200" w:lineRule="exact"/>
              <w:jc w:val="right"/>
              <w:rPr>
                <w:b/>
                <w:bCs/>
                <w:i/>
                <w:sz w:val="16"/>
                <w:szCs w:val="16"/>
              </w:rPr>
            </w:pPr>
            <w:r w:rsidRPr="00B11B3D">
              <w:rPr>
                <w:b/>
                <w:bCs/>
                <w:i/>
                <w:sz w:val="16"/>
                <w:szCs w:val="16"/>
              </w:rPr>
              <w:t>Effectif</w:t>
            </w:r>
          </w:p>
        </w:tc>
        <w:tc>
          <w:tcPr>
            <w:tcW w:w="851" w:type="dxa"/>
            <w:tcBorders>
              <w:top w:val="single" w:sz="4" w:space="0" w:color="auto"/>
              <w:bottom w:val="single" w:sz="12" w:space="0" w:color="auto"/>
            </w:tcBorders>
            <w:shd w:val="clear" w:color="auto" w:fill="auto"/>
            <w:vAlign w:val="bottom"/>
          </w:tcPr>
          <w:p w:rsidR="008D6145" w:rsidRPr="00B11B3D" w:rsidRDefault="008D6145" w:rsidP="00821D2B">
            <w:pPr>
              <w:suppressAutoHyphens w:val="0"/>
              <w:kinsoku/>
              <w:overflowPunct/>
              <w:autoSpaceDE/>
              <w:autoSpaceDN/>
              <w:adjustRightInd/>
              <w:snapToGrid/>
              <w:spacing w:before="80" w:after="80" w:line="200" w:lineRule="exact"/>
              <w:jc w:val="right"/>
              <w:rPr>
                <w:b/>
                <w:bCs/>
                <w:i/>
                <w:sz w:val="16"/>
                <w:szCs w:val="16"/>
              </w:rPr>
            </w:pPr>
            <w:r w:rsidRPr="00B11B3D">
              <w:rPr>
                <w:b/>
                <w:bCs/>
                <w:i/>
                <w:sz w:val="16"/>
                <w:szCs w:val="16"/>
              </w:rPr>
              <w:t>%</w:t>
            </w:r>
          </w:p>
        </w:tc>
      </w:tr>
      <w:tr w:rsidR="001C5784" w:rsidRPr="001C5784" w:rsidTr="00821D2B">
        <w:tc>
          <w:tcPr>
            <w:tcW w:w="2268" w:type="dxa"/>
            <w:tcBorders>
              <w:top w:val="single" w:sz="12" w:space="0" w:color="auto"/>
            </w:tcBorders>
            <w:shd w:val="clear" w:color="auto" w:fill="auto"/>
          </w:tcPr>
          <w:p w:rsidR="008D6145" w:rsidRPr="00821D2B" w:rsidRDefault="008D6145" w:rsidP="00821D2B">
            <w:pPr>
              <w:suppressAutoHyphens w:val="0"/>
              <w:kinsoku/>
              <w:overflowPunct/>
              <w:autoSpaceDE/>
              <w:autoSpaceDN/>
              <w:adjustRightInd/>
              <w:snapToGrid/>
              <w:spacing w:before="40" w:after="40" w:line="220" w:lineRule="exact"/>
              <w:rPr>
                <w:sz w:val="18"/>
              </w:rPr>
            </w:pPr>
            <w:r w:rsidRPr="00821D2B">
              <w:rPr>
                <w:sz w:val="18"/>
              </w:rPr>
              <w:t>Agriculture</w:t>
            </w:r>
          </w:p>
        </w:tc>
        <w:tc>
          <w:tcPr>
            <w:tcW w:w="851" w:type="dxa"/>
            <w:tcBorders>
              <w:top w:val="single" w:sz="12" w:space="0" w:color="auto"/>
            </w:tcBorders>
            <w:shd w:val="clear" w:color="auto" w:fill="auto"/>
            <w:vAlign w:val="bottom"/>
          </w:tcPr>
          <w:p w:rsidR="008D6145" w:rsidRPr="00821D2B" w:rsidRDefault="008D6145" w:rsidP="00821D2B">
            <w:pPr>
              <w:suppressAutoHyphens w:val="0"/>
              <w:kinsoku/>
              <w:overflowPunct/>
              <w:autoSpaceDE/>
              <w:autoSpaceDN/>
              <w:adjustRightInd/>
              <w:snapToGrid/>
              <w:spacing w:before="40" w:after="40" w:line="220" w:lineRule="exact"/>
              <w:jc w:val="right"/>
              <w:rPr>
                <w:sz w:val="18"/>
              </w:rPr>
            </w:pPr>
            <w:r w:rsidRPr="00821D2B">
              <w:rPr>
                <w:sz w:val="18"/>
              </w:rPr>
              <w:t>682 150</w:t>
            </w:r>
          </w:p>
        </w:tc>
        <w:tc>
          <w:tcPr>
            <w:tcW w:w="851" w:type="dxa"/>
            <w:tcBorders>
              <w:top w:val="single" w:sz="12" w:space="0" w:color="auto"/>
            </w:tcBorders>
            <w:shd w:val="clear" w:color="auto" w:fill="auto"/>
            <w:vAlign w:val="bottom"/>
          </w:tcPr>
          <w:p w:rsidR="008D6145" w:rsidRPr="00821D2B" w:rsidRDefault="008D6145" w:rsidP="00821D2B">
            <w:pPr>
              <w:suppressAutoHyphens w:val="0"/>
              <w:kinsoku/>
              <w:overflowPunct/>
              <w:autoSpaceDE/>
              <w:autoSpaceDN/>
              <w:adjustRightInd/>
              <w:snapToGrid/>
              <w:spacing w:before="40" w:after="40" w:line="220" w:lineRule="exact"/>
              <w:jc w:val="right"/>
              <w:rPr>
                <w:sz w:val="18"/>
              </w:rPr>
            </w:pPr>
            <w:r w:rsidRPr="00821D2B">
              <w:rPr>
                <w:sz w:val="18"/>
              </w:rPr>
              <w:t>51,7</w:t>
            </w:r>
          </w:p>
        </w:tc>
        <w:tc>
          <w:tcPr>
            <w:tcW w:w="851" w:type="dxa"/>
            <w:tcBorders>
              <w:top w:val="single" w:sz="12" w:space="0" w:color="auto"/>
            </w:tcBorders>
            <w:shd w:val="clear" w:color="auto" w:fill="auto"/>
            <w:vAlign w:val="bottom"/>
          </w:tcPr>
          <w:p w:rsidR="008D6145" w:rsidRPr="00821D2B" w:rsidRDefault="008D6145" w:rsidP="00821D2B">
            <w:pPr>
              <w:suppressAutoHyphens w:val="0"/>
              <w:kinsoku/>
              <w:overflowPunct/>
              <w:autoSpaceDE/>
              <w:autoSpaceDN/>
              <w:adjustRightInd/>
              <w:snapToGrid/>
              <w:spacing w:before="40" w:after="40" w:line="220" w:lineRule="exact"/>
              <w:jc w:val="right"/>
              <w:rPr>
                <w:sz w:val="18"/>
              </w:rPr>
            </w:pPr>
            <w:r w:rsidRPr="00821D2B">
              <w:rPr>
                <w:sz w:val="18"/>
              </w:rPr>
              <w:t>550 179</w:t>
            </w:r>
          </w:p>
        </w:tc>
        <w:tc>
          <w:tcPr>
            <w:tcW w:w="851" w:type="dxa"/>
            <w:tcBorders>
              <w:top w:val="single" w:sz="12" w:space="0" w:color="auto"/>
            </w:tcBorders>
            <w:shd w:val="clear" w:color="auto" w:fill="auto"/>
            <w:vAlign w:val="bottom"/>
          </w:tcPr>
          <w:p w:rsidR="008D6145" w:rsidRPr="00821D2B" w:rsidRDefault="008D6145" w:rsidP="00821D2B">
            <w:pPr>
              <w:suppressAutoHyphens w:val="0"/>
              <w:kinsoku/>
              <w:overflowPunct/>
              <w:autoSpaceDE/>
              <w:autoSpaceDN/>
              <w:adjustRightInd/>
              <w:snapToGrid/>
              <w:spacing w:before="40" w:after="40" w:line="220" w:lineRule="exact"/>
              <w:jc w:val="right"/>
              <w:rPr>
                <w:sz w:val="18"/>
              </w:rPr>
            </w:pPr>
            <w:r w:rsidRPr="00821D2B">
              <w:rPr>
                <w:sz w:val="18"/>
              </w:rPr>
              <w:t>37,5</w:t>
            </w:r>
          </w:p>
        </w:tc>
        <w:tc>
          <w:tcPr>
            <w:tcW w:w="851" w:type="dxa"/>
            <w:tcBorders>
              <w:top w:val="single" w:sz="12" w:space="0" w:color="auto"/>
            </w:tcBorders>
            <w:shd w:val="clear" w:color="auto" w:fill="auto"/>
            <w:vAlign w:val="bottom"/>
          </w:tcPr>
          <w:p w:rsidR="008D6145" w:rsidRPr="00B11B3D" w:rsidRDefault="008D6145" w:rsidP="00821D2B">
            <w:pPr>
              <w:suppressAutoHyphens w:val="0"/>
              <w:kinsoku/>
              <w:overflowPunct/>
              <w:autoSpaceDE/>
              <w:autoSpaceDN/>
              <w:adjustRightInd/>
              <w:snapToGrid/>
              <w:spacing w:before="40" w:after="40" w:line="220" w:lineRule="exact"/>
              <w:jc w:val="right"/>
              <w:rPr>
                <w:b/>
                <w:bCs/>
                <w:sz w:val="18"/>
              </w:rPr>
            </w:pPr>
            <w:r w:rsidRPr="00B11B3D">
              <w:rPr>
                <w:b/>
                <w:bCs/>
                <w:sz w:val="18"/>
              </w:rPr>
              <w:t>1 232 329</w:t>
            </w:r>
          </w:p>
        </w:tc>
        <w:tc>
          <w:tcPr>
            <w:tcW w:w="851" w:type="dxa"/>
            <w:tcBorders>
              <w:top w:val="single" w:sz="12" w:space="0" w:color="auto"/>
            </w:tcBorders>
            <w:shd w:val="clear" w:color="auto" w:fill="auto"/>
            <w:vAlign w:val="bottom"/>
          </w:tcPr>
          <w:p w:rsidR="008D6145" w:rsidRPr="00B11B3D" w:rsidRDefault="008D6145" w:rsidP="00821D2B">
            <w:pPr>
              <w:suppressAutoHyphens w:val="0"/>
              <w:kinsoku/>
              <w:overflowPunct/>
              <w:autoSpaceDE/>
              <w:autoSpaceDN/>
              <w:adjustRightInd/>
              <w:snapToGrid/>
              <w:spacing w:before="40" w:after="40" w:line="220" w:lineRule="exact"/>
              <w:jc w:val="right"/>
              <w:rPr>
                <w:b/>
                <w:bCs/>
                <w:sz w:val="18"/>
              </w:rPr>
            </w:pPr>
            <w:r w:rsidRPr="00B11B3D">
              <w:rPr>
                <w:b/>
                <w:bCs/>
                <w:sz w:val="18"/>
              </w:rPr>
              <w:t>44,3</w:t>
            </w:r>
          </w:p>
        </w:tc>
      </w:tr>
      <w:tr w:rsidR="001C5784" w:rsidRPr="001C5784" w:rsidTr="00821D2B">
        <w:tc>
          <w:tcPr>
            <w:tcW w:w="2268" w:type="dxa"/>
            <w:shd w:val="clear" w:color="auto" w:fill="auto"/>
          </w:tcPr>
          <w:p w:rsidR="008D6145" w:rsidRPr="00821D2B" w:rsidRDefault="008D6145" w:rsidP="00821D2B">
            <w:pPr>
              <w:suppressAutoHyphens w:val="0"/>
              <w:kinsoku/>
              <w:overflowPunct/>
              <w:autoSpaceDE/>
              <w:autoSpaceDN/>
              <w:adjustRightInd/>
              <w:snapToGrid/>
              <w:spacing w:before="40" w:after="40" w:line="220" w:lineRule="exact"/>
              <w:rPr>
                <w:sz w:val="18"/>
              </w:rPr>
            </w:pPr>
            <w:r w:rsidRPr="00821D2B">
              <w:rPr>
                <w:sz w:val="18"/>
              </w:rPr>
              <w:t>Coton-Textile</w:t>
            </w:r>
          </w:p>
        </w:tc>
        <w:tc>
          <w:tcPr>
            <w:tcW w:w="851" w:type="dxa"/>
            <w:shd w:val="clear" w:color="auto" w:fill="auto"/>
            <w:vAlign w:val="bottom"/>
          </w:tcPr>
          <w:p w:rsidR="008D6145" w:rsidRPr="00821D2B" w:rsidRDefault="008D6145" w:rsidP="00821D2B">
            <w:pPr>
              <w:suppressAutoHyphens w:val="0"/>
              <w:kinsoku/>
              <w:overflowPunct/>
              <w:autoSpaceDE/>
              <w:autoSpaceDN/>
              <w:adjustRightInd/>
              <w:snapToGrid/>
              <w:spacing w:before="40" w:after="40" w:line="220" w:lineRule="exact"/>
              <w:jc w:val="right"/>
              <w:rPr>
                <w:sz w:val="18"/>
              </w:rPr>
            </w:pPr>
            <w:r w:rsidRPr="00821D2B">
              <w:rPr>
                <w:sz w:val="18"/>
              </w:rPr>
              <w:t>58 120</w:t>
            </w:r>
          </w:p>
        </w:tc>
        <w:tc>
          <w:tcPr>
            <w:tcW w:w="851" w:type="dxa"/>
            <w:shd w:val="clear" w:color="auto" w:fill="auto"/>
            <w:vAlign w:val="bottom"/>
          </w:tcPr>
          <w:p w:rsidR="008D6145" w:rsidRPr="00821D2B" w:rsidRDefault="008D6145" w:rsidP="00821D2B">
            <w:pPr>
              <w:suppressAutoHyphens w:val="0"/>
              <w:kinsoku/>
              <w:overflowPunct/>
              <w:autoSpaceDE/>
              <w:autoSpaceDN/>
              <w:adjustRightInd/>
              <w:snapToGrid/>
              <w:spacing w:before="40" w:after="40" w:line="220" w:lineRule="exact"/>
              <w:jc w:val="right"/>
              <w:rPr>
                <w:sz w:val="18"/>
              </w:rPr>
            </w:pPr>
            <w:r w:rsidRPr="00821D2B">
              <w:rPr>
                <w:sz w:val="18"/>
              </w:rPr>
              <w:t>4,4</w:t>
            </w:r>
          </w:p>
        </w:tc>
        <w:tc>
          <w:tcPr>
            <w:tcW w:w="851" w:type="dxa"/>
            <w:shd w:val="clear" w:color="auto" w:fill="auto"/>
            <w:vAlign w:val="bottom"/>
          </w:tcPr>
          <w:p w:rsidR="008D6145" w:rsidRPr="00821D2B" w:rsidRDefault="008D6145" w:rsidP="00821D2B">
            <w:pPr>
              <w:suppressAutoHyphens w:val="0"/>
              <w:kinsoku/>
              <w:overflowPunct/>
              <w:autoSpaceDE/>
              <w:autoSpaceDN/>
              <w:adjustRightInd/>
              <w:snapToGrid/>
              <w:spacing w:before="40" w:after="40" w:line="220" w:lineRule="exact"/>
              <w:jc w:val="right"/>
              <w:rPr>
                <w:sz w:val="18"/>
              </w:rPr>
            </w:pPr>
            <w:r w:rsidRPr="00821D2B">
              <w:rPr>
                <w:sz w:val="18"/>
              </w:rPr>
              <w:t>68 786</w:t>
            </w:r>
          </w:p>
        </w:tc>
        <w:tc>
          <w:tcPr>
            <w:tcW w:w="851" w:type="dxa"/>
            <w:shd w:val="clear" w:color="auto" w:fill="auto"/>
            <w:vAlign w:val="bottom"/>
          </w:tcPr>
          <w:p w:rsidR="008D6145" w:rsidRPr="00821D2B" w:rsidRDefault="008D6145" w:rsidP="00821D2B">
            <w:pPr>
              <w:suppressAutoHyphens w:val="0"/>
              <w:kinsoku/>
              <w:overflowPunct/>
              <w:autoSpaceDE/>
              <w:autoSpaceDN/>
              <w:adjustRightInd/>
              <w:snapToGrid/>
              <w:spacing w:before="40" w:after="40" w:line="220" w:lineRule="exact"/>
              <w:jc w:val="right"/>
              <w:rPr>
                <w:sz w:val="18"/>
              </w:rPr>
            </w:pPr>
            <w:r w:rsidRPr="00821D2B">
              <w:rPr>
                <w:sz w:val="18"/>
              </w:rPr>
              <w:t>4,7</w:t>
            </w:r>
          </w:p>
        </w:tc>
        <w:tc>
          <w:tcPr>
            <w:tcW w:w="851" w:type="dxa"/>
            <w:shd w:val="clear" w:color="auto" w:fill="auto"/>
            <w:vAlign w:val="bottom"/>
          </w:tcPr>
          <w:p w:rsidR="008D6145" w:rsidRPr="00B11B3D" w:rsidRDefault="008D6145" w:rsidP="00821D2B">
            <w:pPr>
              <w:suppressAutoHyphens w:val="0"/>
              <w:kinsoku/>
              <w:overflowPunct/>
              <w:autoSpaceDE/>
              <w:autoSpaceDN/>
              <w:adjustRightInd/>
              <w:snapToGrid/>
              <w:spacing w:before="40" w:after="40" w:line="220" w:lineRule="exact"/>
              <w:jc w:val="right"/>
              <w:rPr>
                <w:b/>
                <w:bCs/>
                <w:sz w:val="18"/>
              </w:rPr>
            </w:pPr>
            <w:r w:rsidRPr="00B11B3D">
              <w:rPr>
                <w:b/>
                <w:bCs/>
                <w:sz w:val="18"/>
              </w:rPr>
              <w:t>126 906</w:t>
            </w:r>
          </w:p>
        </w:tc>
        <w:tc>
          <w:tcPr>
            <w:tcW w:w="851" w:type="dxa"/>
            <w:shd w:val="clear" w:color="auto" w:fill="auto"/>
            <w:vAlign w:val="bottom"/>
          </w:tcPr>
          <w:p w:rsidR="008D6145" w:rsidRPr="00B11B3D" w:rsidRDefault="008D6145" w:rsidP="00821D2B">
            <w:pPr>
              <w:suppressAutoHyphens w:val="0"/>
              <w:kinsoku/>
              <w:overflowPunct/>
              <w:autoSpaceDE/>
              <w:autoSpaceDN/>
              <w:adjustRightInd/>
              <w:snapToGrid/>
              <w:spacing w:before="40" w:after="40" w:line="220" w:lineRule="exact"/>
              <w:jc w:val="right"/>
              <w:rPr>
                <w:b/>
                <w:bCs/>
                <w:sz w:val="18"/>
              </w:rPr>
            </w:pPr>
            <w:r w:rsidRPr="00B11B3D">
              <w:rPr>
                <w:b/>
                <w:bCs/>
                <w:sz w:val="18"/>
              </w:rPr>
              <w:t>4,6</w:t>
            </w:r>
          </w:p>
        </w:tc>
      </w:tr>
      <w:tr w:rsidR="001C5784" w:rsidRPr="001C5784" w:rsidTr="00821D2B">
        <w:tc>
          <w:tcPr>
            <w:tcW w:w="2268" w:type="dxa"/>
            <w:shd w:val="clear" w:color="auto" w:fill="auto"/>
          </w:tcPr>
          <w:p w:rsidR="008D6145" w:rsidRPr="00821D2B" w:rsidRDefault="008D6145" w:rsidP="00821D2B">
            <w:pPr>
              <w:suppressAutoHyphens w:val="0"/>
              <w:kinsoku/>
              <w:overflowPunct/>
              <w:autoSpaceDE/>
              <w:autoSpaceDN/>
              <w:adjustRightInd/>
              <w:snapToGrid/>
              <w:spacing w:before="40" w:after="40" w:line="220" w:lineRule="exact"/>
              <w:rPr>
                <w:sz w:val="18"/>
              </w:rPr>
            </w:pPr>
            <w:r w:rsidRPr="00821D2B">
              <w:rPr>
                <w:sz w:val="18"/>
              </w:rPr>
              <w:t>commerce-logistique</w:t>
            </w:r>
          </w:p>
        </w:tc>
        <w:tc>
          <w:tcPr>
            <w:tcW w:w="851" w:type="dxa"/>
            <w:shd w:val="clear" w:color="auto" w:fill="auto"/>
            <w:vAlign w:val="bottom"/>
          </w:tcPr>
          <w:p w:rsidR="008D6145" w:rsidRPr="00821D2B" w:rsidRDefault="008D6145" w:rsidP="00821D2B">
            <w:pPr>
              <w:suppressAutoHyphens w:val="0"/>
              <w:kinsoku/>
              <w:overflowPunct/>
              <w:autoSpaceDE/>
              <w:autoSpaceDN/>
              <w:adjustRightInd/>
              <w:snapToGrid/>
              <w:spacing w:before="40" w:after="40" w:line="220" w:lineRule="exact"/>
              <w:jc w:val="right"/>
              <w:rPr>
                <w:sz w:val="18"/>
              </w:rPr>
            </w:pPr>
            <w:r w:rsidRPr="00821D2B">
              <w:rPr>
                <w:sz w:val="18"/>
              </w:rPr>
              <w:t>234 635</w:t>
            </w:r>
          </w:p>
        </w:tc>
        <w:tc>
          <w:tcPr>
            <w:tcW w:w="851" w:type="dxa"/>
            <w:shd w:val="clear" w:color="auto" w:fill="auto"/>
            <w:vAlign w:val="bottom"/>
          </w:tcPr>
          <w:p w:rsidR="008D6145" w:rsidRPr="00821D2B" w:rsidRDefault="008D6145" w:rsidP="00821D2B">
            <w:pPr>
              <w:suppressAutoHyphens w:val="0"/>
              <w:kinsoku/>
              <w:overflowPunct/>
              <w:autoSpaceDE/>
              <w:autoSpaceDN/>
              <w:adjustRightInd/>
              <w:snapToGrid/>
              <w:spacing w:before="40" w:after="40" w:line="220" w:lineRule="exact"/>
              <w:jc w:val="right"/>
              <w:rPr>
                <w:sz w:val="18"/>
              </w:rPr>
            </w:pPr>
            <w:r w:rsidRPr="00821D2B">
              <w:rPr>
                <w:sz w:val="18"/>
              </w:rPr>
              <w:t>17,8</w:t>
            </w:r>
          </w:p>
        </w:tc>
        <w:tc>
          <w:tcPr>
            <w:tcW w:w="851" w:type="dxa"/>
            <w:shd w:val="clear" w:color="auto" w:fill="auto"/>
            <w:vAlign w:val="bottom"/>
          </w:tcPr>
          <w:p w:rsidR="008D6145" w:rsidRPr="00821D2B" w:rsidRDefault="008D6145" w:rsidP="00821D2B">
            <w:pPr>
              <w:suppressAutoHyphens w:val="0"/>
              <w:kinsoku/>
              <w:overflowPunct/>
              <w:autoSpaceDE/>
              <w:autoSpaceDN/>
              <w:adjustRightInd/>
              <w:snapToGrid/>
              <w:spacing w:before="40" w:after="40" w:line="220" w:lineRule="exact"/>
              <w:jc w:val="right"/>
              <w:rPr>
                <w:sz w:val="18"/>
              </w:rPr>
            </w:pPr>
            <w:r w:rsidRPr="00821D2B">
              <w:rPr>
                <w:sz w:val="18"/>
              </w:rPr>
              <w:t>533 879</w:t>
            </w:r>
          </w:p>
        </w:tc>
        <w:tc>
          <w:tcPr>
            <w:tcW w:w="851" w:type="dxa"/>
            <w:shd w:val="clear" w:color="auto" w:fill="auto"/>
            <w:vAlign w:val="bottom"/>
          </w:tcPr>
          <w:p w:rsidR="008D6145" w:rsidRPr="00821D2B" w:rsidRDefault="008D6145" w:rsidP="00821D2B">
            <w:pPr>
              <w:suppressAutoHyphens w:val="0"/>
              <w:kinsoku/>
              <w:overflowPunct/>
              <w:autoSpaceDE/>
              <w:autoSpaceDN/>
              <w:adjustRightInd/>
              <w:snapToGrid/>
              <w:spacing w:before="40" w:after="40" w:line="220" w:lineRule="exact"/>
              <w:jc w:val="right"/>
              <w:rPr>
                <w:sz w:val="18"/>
              </w:rPr>
            </w:pPr>
            <w:r w:rsidRPr="00821D2B">
              <w:rPr>
                <w:sz w:val="18"/>
              </w:rPr>
              <w:t>36,4</w:t>
            </w:r>
          </w:p>
        </w:tc>
        <w:tc>
          <w:tcPr>
            <w:tcW w:w="851" w:type="dxa"/>
            <w:shd w:val="clear" w:color="auto" w:fill="auto"/>
            <w:vAlign w:val="bottom"/>
          </w:tcPr>
          <w:p w:rsidR="008D6145" w:rsidRPr="00B11B3D" w:rsidRDefault="008D6145" w:rsidP="00821D2B">
            <w:pPr>
              <w:suppressAutoHyphens w:val="0"/>
              <w:kinsoku/>
              <w:overflowPunct/>
              <w:autoSpaceDE/>
              <w:autoSpaceDN/>
              <w:adjustRightInd/>
              <w:snapToGrid/>
              <w:spacing w:before="40" w:after="40" w:line="220" w:lineRule="exact"/>
              <w:jc w:val="right"/>
              <w:rPr>
                <w:b/>
                <w:bCs/>
                <w:sz w:val="18"/>
              </w:rPr>
            </w:pPr>
            <w:r w:rsidRPr="00B11B3D">
              <w:rPr>
                <w:b/>
                <w:bCs/>
                <w:sz w:val="18"/>
              </w:rPr>
              <w:t>768 513</w:t>
            </w:r>
          </w:p>
        </w:tc>
        <w:tc>
          <w:tcPr>
            <w:tcW w:w="851" w:type="dxa"/>
            <w:shd w:val="clear" w:color="auto" w:fill="auto"/>
            <w:vAlign w:val="bottom"/>
          </w:tcPr>
          <w:p w:rsidR="008D6145" w:rsidRPr="00B11B3D" w:rsidRDefault="008D6145" w:rsidP="00821D2B">
            <w:pPr>
              <w:suppressAutoHyphens w:val="0"/>
              <w:kinsoku/>
              <w:overflowPunct/>
              <w:autoSpaceDE/>
              <w:autoSpaceDN/>
              <w:adjustRightInd/>
              <w:snapToGrid/>
              <w:spacing w:before="40" w:after="40" w:line="220" w:lineRule="exact"/>
              <w:jc w:val="right"/>
              <w:rPr>
                <w:b/>
                <w:bCs/>
                <w:sz w:val="18"/>
              </w:rPr>
            </w:pPr>
            <w:r w:rsidRPr="00B11B3D">
              <w:rPr>
                <w:b/>
                <w:bCs/>
                <w:sz w:val="18"/>
              </w:rPr>
              <w:t>27,6</w:t>
            </w:r>
          </w:p>
        </w:tc>
      </w:tr>
      <w:tr w:rsidR="001C5784" w:rsidRPr="001C5784" w:rsidTr="00821D2B">
        <w:tc>
          <w:tcPr>
            <w:tcW w:w="2268" w:type="dxa"/>
            <w:shd w:val="clear" w:color="auto" w:fill="auto"/>
          </w:tcPr>
          <w:p w:rsidR="008D6145" w:rsidRPr="00821D2B" w:rsidRDefault="008D6145" w:rsidP="00821D2B">
            <w:pPr>
              <w:suppressAutoHyphens w:val="0"/>
              <w:kinsoku/>
              <w:overflowPunct/>
              <w:autoSpaceDE/>
              <w:autoSpaceDN/>
              <w:adjustRightInd/>
              <w:snapToGrid/>
              <w:spacing w:before="40" w:after="40" w:line="220" w:lineRule="exact"/>
              <w:rPr>
                <w:sz w:val="18"/>
              </w:rPr>
            </w:pPr>
            <w:r w:rsidRPr="00821D2B">
              <w:rPr>
                <w:sz w:val="18"/>
              </w:rPr>
              <w:t>Agroalimentaire</w:t>
            </w:r>
          </w:p>
        </w:tc>
        <w:tc>
          <w:tcPr>
            <w:tcW w:w="851" w:type="dxa"/>
            <w:shd w:val="clear" w:color="auto" w:fill="auto"/>
            <w:vAlign w:val="bottom"/>
          </w:tcPr>
          <w:p w:rsidR="008D6145" w:rsidRPr="00821D2B" w:rsidRDefault="008D6145" w:rsidP="00821D2B">
            <w:pPr>
              <w:suppressAutoHyphens w:val="0"/>
              <w:kinsoku/>
              <w:overflowPunct/>
              <w:autoSpaceDE/>
              <w:autoSpaceDN/>
              <w:adjustRightInd/>
              <w:snapToGrid/>
              <w:spacing w:before="40" w:after="40" w:line="220" w:lineRule="exact"/>
              <w:jc w:val="right"/>
              <w:rPr>
                <w:sz w:val="18"/>
              </w:rPr>
            </w:pPr>
            <w:r w:rsidRPr="00821D2B">
              <w:rPr>
                <w:sz w:val="18"/>
              </w:rPr>
              <w:t>9 416</w:t>
            </w:r>
          </w:p>
        </w:tc>
        <w:tc>
          <w:tcPr>
            <w:tcW w:w="851" w:type="dxa"/>
            <w:shd w:val="clear" w:color="auto" w:fill="auto"/>
            <w:vAlign w:val="bottom"/>
          </w:tcPr>
          <w:p w:rsidR="008D6145" w:rsidRPr="00821D2B" w:rsidRDefault="008D6145" w:rsidP="00821D2B">
            <w:pPr>
              <w:suppressAutoHyphens w:val="0"/>
              <w:kinsoku/>
              <w:overflowPunct/>
              <w:autoSpaceDE/>
              <w:autoSpaceDN/>
              <w:adjustRightInd/>
              <w:snapToGrid/>
              <w:spacing w:before="40" w:after="40" w:line="220" w:lineRule="exact"/>
              <w:jc w:val="right"/>
              <w:rPr>
                <w:sz w:val="18"/>
              </w:rPr>
            </w:pPr>
            <w:r w:rsidRPr="00821D2B">
              <w:rPr>
                <w:sz w:val="18"/>
              </w:rPr>
              <w:t>0,7</w:t>
            </w:r>
          </w:p>
        </w:tc>
        <w:tc>
          <w:tcPr>
            <w:tcW w:w="851" w:type="dxa"/>
            <w:shd w:val="clear" w:color="auto" w:fill="auto"/>
            <w:vAlign w:val="bottom"/>
          </w:tcPr>
          <w:p w:rsidR="008D6145" w:rsidRPr="00821D2B" w:rsidRDefault="008D6145" w:rsidP="00821D2B">
            <w:pPr>
              <w:suppressAutoHyphens w:val="0"/>
              <w:kinsoku/>
              <w:overflowPunct/>
              <w:autoSpaceDE/>
              <w:autoSpaceDN/>
              <w:adjustRightInd/>
              <w:snapToGrid/>
              <w:spacing w:before="40" w:after="40" w:line="220" w:lineRule="exact"/>
              <w:jc w:val="right"/>
              <w:rPr>
                <w:sz w:val="18"/>
              </w:rPr>
            </w:pPr>
            <w:r w:rsidRPr="00821D2B">
              <w:rPr>
                <w:sz w:val="18"/>
              </w:rPr>
              <w:t>39 590</w:t>
            </w:r>
          </w:p>
        </w:tc>
        <w:tc>
          <w:tcPr>
            <w:tcW w:w="851" w:type="dxa"/>
            <w:shd w:val="clear" w:color="auto" w:fill="auto"/>
            <w:vAlign w:val="bottom"/>
          </w:tcPr>
          <w:p w:rsidR="008D6145" w:rsidRPr="00821D2B" w:rsidRDefault="008D6145" w:rsidP="00821D2B">
            <w:pPr>
              <w:suppressAutoHyphens w:val="0"/>
              <w:kinsoku/>
              <w:overflowPunct/>
              <w:autoSpaceDE/>
              <w:autoSpaceDN/>
              <w:adjustRightInd/>
              <w:snapToGrid/>
              <w:spacing w:before="40" w:after="40" w:line="220" w:lineRule="exact"/>
              <w:jc w:val="right"/>
              <w:rPr>
                <w:sz w:val="18"/>
              </w:rPr>
            </w:pPr>
            <w:r w:rsidRPr="00821D2B">
              <w:rPr>
                <w:sz w:val="18"/>
              </w:rPr>
              <w:t>2,7</w:t>
            </w:r>
          </w:p>
        </w:tc>
        <w:tc>
          <w:tcPr>
            <w:tcW w:w="851" w:type="dxa"/>
            <w:shd w:val="clear" w:color="auto" w:fill="auto"/>
            <w:vAlign w:val="bottom"/>
          </w:tcPr>
          <w:p w:rsidR="008D6145" w:rsidRPr="00B11B3D" w:rsidRDefault="008D6145" w:rsidP="00821D2B">
            <w:pPr>
              <w:suppressAutoHyphens w:val="0"/>
              <w:kinsoku/>
              <w:overflowPunct/>
              <w:autoSpaceDE/>
              <w:autoSpaceDN/>
              <w:adjustRightInd/>
              <w:snapToGrid/>
              <w:spacing w:before="40" w:after="40" w:line="220" w:lineRule="exact"/>
              <w:jc w:val="right"/>
              <w:rPr>
                <w:b/>
                <w:bCs/>
                <w:sz w:val="18"/>
              </w:rPr>
            </w:pPr>
            <w:r w:rsidRPr="00B11B3D">
              <w:rPr>
                <w:b/>
                <w:bCs/>
                <w:sz w:val="18"/>
              </w:rPr>
              <w:t>49 006</w:t>
            </w:r>
          </w:p>
        </w:tc>
        <w:tc>
          <w:tcPr>
            <w:tcW w:w="851" w:type="dxa"/>
            <w:shd w:val="clear" w:color="auto" w:fill="auto"/>
            <w:vAlign w:val="bottom"/>
          </w:tcPr>
          <w:p w:rsidR="008D6145" w:rsidRPr="00B11B3D" w:rsidRDefault="008D6145" w:rsidP="00821D2B">
            <w:pPr>
              <w:suppressAutoHyphens w:val="0"/>
              <w:kinsoku/>
              <w:overflowPunct/>
              <w:autoSpaceDE/>
              <w:autoSpaceDN/>
              <w:adjustRightInd/>
              <w:snapToGrid/>
              <w:spacing w:before="40" w:after="40" w:line="220" w:lineRule="exact"/>
              <w:jc w:val="right"/>
              <w:rPr>
                <w:b/>
                <w:bCs/>
                <w:sz w:val="18"/>
              </w:rPr>
            </w:pPr>
            <w:r w:rsidRPr="00B11B3D">
              <w:rPr>
                <w:b/>
                <w:bCs/>
                <w:sz w:val="18"/>
              </w:rPr>
              <w:t>1,8</w:t>
            </w:r>
          </w:p>
        </w:tc>
      </w:tr>
      <w:tr w:rsidR="001C5784" w:rsidRPr="001C5784" w:rsidTr="00821D2B">
        <w:tc>
          <w:tcPr>
            <w:tcW w:w="2268" w:type="dxa"/>
            <w:shd w:val="clear" w:color="auto" w:fill="auto"/>
          </w:tcPr>
          <w:p w:rsidR="008D6145" w:rsidRPr="00821D2B" w:rsidRDefault="008D6145" w:rsidP="00821D2B">
            <w:pPr>
              <w:suppressAutoHyphens w:val="0"/>
              <w:kinsoku/>
              <w:overflowPunct/>
              <w:autoSpaceDE/>
              <w:autoSpaceDN/>
              <w:adjustRightInd/>
              <w:snapToGrid/>
              <w:spacing w:before="40" w:after="40" w:line="220" w:lineRule="exact"/>
              <w:rPr>
                <w:sz w:val="18"/>
              </w:rPr>
            </w:pPr>
            <w:r w:rsidRPr="00821D2B">
              <w:rPr>
                <w:sz w:val="18"/>
              </w:rPr>
              <w:t>BTP-matériaux de construction</w:t>
            </w:r>
          </w:p>
        </w:tc>
        <w:tc>
          <w:tcPr>
            <w:tcW w:w="851" w:type="dxa"/>
            <w:shd w:val="clear" w:color="auto" w:fill="auto"/>
            <w:vAlign w:val="bottom"/>
          </w:tcPr>
          <w:p w:rsidR="008D6145" w:rsidRPr="00821D2B" w:rsidRDefault="008D6145" w:rsidP="00821D2B">
            <w:pPr>
              <w:suppressAutoHyphens w:val="0"/>
              <w:kinsoku/>
              <w:overflowPunct/>
              <w:autoSpaceDE/>
              <w:autoSpaceDN/>
              <w:adjustRightInd/>
              <w:snapToGrid/>
              <w:spacing w:before="40" w:after="40" w:line="220" w:lineRule="exact"/>
              <w:jc w:val="right"/>
              <w:rPr>
                <w:sz w:val="18"/>
              </w:rPr>
            </w:pPr>
            <w:r w:rsidRPr="00821D2B">
              <w:rPr>
                <w:sz w:val="18"/>
              </w:rPr>
              <w:t>74 153</w:t>
            </w:r>
          </w:p>
        </w:tc>
        <w:tc>
          <w:tcPr>
            <w:tcW w:w="851" w:type="dxa"/>
            <w:shd w:val="clear" w:color="auto" w:fill="auto"/>
            <w:vAlign w:val="bottom"/>
          </w:tcPr>
          <w:p w:rsidR="008D6145" w:rsidRPr="00821D2B" w:rsidRDefault="008D6145" w:rsidP="00821D2B">
            <w:pPr>
              <w:suppressAutoHyphens w:val="0"/>
              <w:kinsoku/>
              <w:overflowPunct/>
              <w:autoSpaceDE/>
              <w:autoSpaceDN/>
              <w:adjustRightInd/>
              <w:snapToGrid/>
              <w:spacing w:before="40" w:after="40" w:line="220" w:lineRule="exact"/>
              <w:jc w:val="right"/>
              <w:rPr>
                <w:sz w:val="18"/>
              </w:rPr>
            </w:pPr>
            <w:r w:rsidRPr="00821D2B">
              <w:rPr>
                <w:sz w:val="18"/>
              </w:rPr>
              <w:t>5,6</w:t>
            </w:r>
          </w:p>
        </w:tc>
        <w:tc>
          <w:tcPr>
            <w:tcW w:w="851" w:type="dxa"/>
            <w:shd w:val="clear" w:color="auto" w:fill="auto"/>
            <w:vAlign w:val="bottom"/>
          </w:tcPr>
          <w:p w:rsidR="008D6145" w:rsidRPr="00821D2B" w:rsidRDefault="008D6145" w:rsidP="00821D2B">
            <w:pPr>
              <w:suppressAutoHyphens w:val="0"/>
              <w:kinsoku/>
              <w:overflowPunct/>
              <w:autoSpaceDE/>
              <w:autoSpaceDN/>
              <w:adjustRightInd/>
              <w:snapToGrid/>
              <w:spacing w:before="40" w:after="40" w:line="220" w:lineRule="exact"/>
              <w:jc w:val="right"/>
              <w:rPr>
                <w:sz w:val="18"/>
              </w:rPr>
            </w:pPr>
            <w:r w:rsidRPr="00821D2B">
              <w:rPr>
                <w:sz w:val="18"/>
              </w:rPr>
              <w:t>4 456</w:t>
            </w:r>
          </w:p>
        </w:tc>
        <w:tc>
          <w:tcPr>
            <w:tcW w:w="851" w:type="dxa"/>
            <w:shd w:val="clear" w:color="auto" w:fill="auto"/>
            <w:vAlign w:val="bottom"/>
          </w:tcPr>
          <w:p w:rsidR="008D6145" w:rsidRPr="00821D2B" w:rsidRDefault="008D6145" w:rsidP="00821D2B">
            <w:pPr>
              <w:suppressAutoHyphens w:val="0"/>
              <w:kinsoku/>
              <w:overflowPunct/>
              <w:autoSpaceDE/>
              <w:autoSpaceDN/>
              <w:adjustRightInd/>
              <w:snapToGrid/>
              <w:spacing w:before="40" w:after="40" w:line="220" w:lineRule="exact"/>
              <w:jc w:val="right"/>
              <w:rPr>
                <w:sz w:val="18"/>
              </w:rPr>
            </w:pPr>
            <w:r w:rsidRPr="00821D2B">
              <w:rPr>
                <w:sz w:val="18"/>
              </w:rPr>
              <w:t>0,3</w:t>
            </w:r>
          </w:p>
        </w:tc>
        <w:tc>
          <w:tcPr>
            <w:tcW w:w="851" w:type="dxa"/>
            <w:shd w:val="clear" w:color="auto" w:fill="auto"/>
            <w:vAlign w:val="bottom"/>
          </w:tcPr>
          <w:p w:rsidR="008D6145" w:rsidRPr="00B11B3D" w:rsidRDefault="008D6145" w:rsidP="00821D2B">
            <w:pPr>
              <w:suppressAutoHyphens w:val="0"/>
              <w:kinsoku/>
              <w:overflowPunct/>
              <w:autoSpaceDE/>
              <w:autoSpaceDN/>
              <w:adjustRightInd/>
              <w:snapToGrid/>
              <w:spacing w:before="40" w:after="40" w:line="220" w:lineRule="exact"/>
              <w:jc w:val="right"/>
              <w:rPr>
                <w:b/>
                <w:bCs/>
                <w:sz w:val="18"/>
              </w:rPr>
            </w:pPr>
            <w:r w:rsidRPr="00B11B3D">
              <w:rPr>
                <w:b/>
                <w:bCs/>
                <w:sz w:val="18"/>
              </w:rPr>
              <w:t>78 609</w:t>
            </w:r>
          </w:p>
        </w:tc>
        <w:tc>
          <w:tcPr>
            <w:tcW w:w="851" w:type="dxa"/>
            <w:shd w:val="clear" w:color="auto" w:fill="auto"/>
            <w:vAlign w:val="bottom"/>
          </w:tcPr>
          <w:p w:rsidR="008D6145" w:rsidRPr="00B11B3D" w:rsidRDefault="008D6145" w:rsidP="00821D2B">
            <w:pPr>
              <w:suppressAutoHyphens w:val="0"/>
              <w:kinsoku/>
              <w:overflowPunct/>
              <w:autoSpaceDE/>
              <w:autoSpaceDN/>
              <w:adjustRightInd/>
              <w:snapToGrid/>
              <w:spacing w:before="40" w:after="40" w:line="220" w:lineRule="exact"/>
              <w:jc w:val="right"/>
              <w:rPr>
                <w:b/>
                <w:bCs/>
                <w:sz w:val="18"/>
              </w:rPr>
            </w:pPr>
            <w:r w:rsidRPr="00B11B3D">
              <w:rPr>
                <w:b/>
                <w:bCs/>
                <w:sz w:val="18"/>
              </w:rPr>
              <w:t>2,8</w:t>
            </w:r>
          </w:p>
        </w:tc>
      </w:tr>
      <w:tr w:rsidR="001C5784" w:rsidRPr="001C5784" w:rsidTr="00821D2B">
        <w:tc>
          <w:tcPr>
            <w:tcW w:w="2268" w:type="dxa"/>
            <w:shd w:val="clear" w:color="auto" w:fill="auto"/>
          </w:tcPr>
          <w:p w:rsidR="008D6145" w:rsidRPr="00821D2B" w:rsidRDefault="008D6145" w:rsidP="00821D2B">
            <w:pPr>
              <w:suppressAutoHyphens w:val="0"/>
              <w:kinsoku/>
              <w:overflowPunct/>
              <w:autoSpaceDE/>
              <w:autoSpaceDN/>
              <w:adjustRightInd/>
              <w:snapToGrid/>
              <w:spacing w:before="40" w:after="40" w:line="220" w:lineRule="exact"/>
              <w:rPr>
                <w:sz w:val="18"/>
              </w:rPr>
            </w:pPr>
            <w:r w:rsidRPr="00821D2B">
              <w:rPr>
                <w:sz w:val="18"/>
              </w:rPr>
              <w:t>Culture et tourisme</w:t>
            </w:r>
          </w:p>
        </w:tc>
        <w:tc>
          <w:tcPr>
            <w:tcW w:w="851" w:type="dxa"/>
            <w:shd w:val="clear" w:color="auto" w:fill="auto"/>
            <w:vAlign w:val="bottom"/>
          </w:tcPr>
          <w:p w:rsidR="008D6145" w:rsidRPr="00821D2B" w:rsidRDefault="008D6145" w:rsidP="00821D2B">
            <w:pPr>
              <w:suppressAutoHyphens w:val="0"/>
              <w:kinsoku/>
              <w:overflowPunct/>
              <w:autoSpaceDE/>
              <w:autoSpaceDN/>
              <w:adjustRightInd/>
              <w:snapToGrid/>
              <w:spacing w:before="40" w:after="40" w:line="220" w:lineRule="exact"/>
              <w:jc w:val="right"/>
              <w:rPr>
                <w:sz w:val="18"/>
              </w:rPr>
            </w:pPr>
            <w:r w:rsidRPr="00821D2B">
              <w:rPr>
                <w:sz w:val="18"/>
              </w:rPr>
              <w:t>39 011</w:t>
            </w:r>
          </w:p>
        </w:tc>
        <w:tc>
          <w:tcPr>
            <w:tcW w:w="851" w:type="dxa"/>
            <w:shd w:val="clear" w:color="auto" w:fill="auto"/>
            <w:vAlign w:val="bottom"/>
          </w:tcPr>
          <w:p w:rsidR="008D6145" w:rsidRPr="00821D2B" w:rsidRDefault="008D6145" w:rsidP="00821D2B">
            <w:pPr>
              <w:suppressAutoHyphens w:val="0"/>
              <w:kinsoku/>
              <w:overflowPunct/>
              <w:autoSpaceDE/>
              <w:autoSpaceDN/>
              <w:adjustRightInd/>
              <w:snapToGrid/>
              <w:spacing w:before="40" w:after="40" w:line="220" w:lineRule="exact"/>
              <w:jc w:val="right"/>
              <w:rPr>
                <w:sz w:val="18"/>
              </w:rPr>
            </w:pPr>
            <w:r w:rsidRPr="00821D2B">
              <w:rPr>
                <w:sz w:val="18"/>
              </w:rPr>
              <w:t>3,0</w:t>
            </w:r>
          </w:p>
        </w:tc>
        <w:tc>
          <w:tcPr>
            <w:tcW w:w="851" w:type="dxa"/>
            <w:shd w:val="clear" w:color="auto" w:fill="auto"/>
            <w:vAlign w:val="bottom"/>
          </w:tcPr>
          <w:p w:rsidR="008D6145" w:rsidRPr="00821D2B" w:rsidRDefault="008D6145" w:rsidP="00821D2B">
            <w:pPr>
              <w:suppressAutoHyphens w:val="0"/>
              <w:kinsoku/>
              <w:overflowPunct/>
              <w:autoSpaceDE/>
              <w:autoSpaceDN/>
              <w:adjustRightInd/>
              <w:snapToGrid/>
              <w:spacing w:before="40" w:after="40" w:line="220" w:lineRule="exact"/>
              <w:jc w:val="right"/>
              <w:rPr>
                <w:sz w:val="18"/>
              </w:rPr>
            </w:pPr>
            <w:r w:rsidRPr="00821D2B">
              <w:rPr>
                <w:sz w:val="18"/>
              </w:rPr>
              <w:t>176 518</w:t>
            </w:r>
          </w:p>
        </w:tc>
        <w:tc>
          <w:tcPr>
            <w:tcW w:w="851" w:type="dxa"/>
            <w:shd w:val="clear" w:color="auto" w:fill="auto"/>
            <w:vAlign w:val="bottom"/>
          </w:tcPr>
          <w:p w:rsidR="008D6145" w:rsidRPr="00821D2B" w:rsidRDefault="008D6145" w:rsidP="00821D2B">
            <w:pPr>
              <w:suppressAutoHyphens w:val="0"/>
              <w:kinsoku/>
              <w:overflowPunct/>
              <w:autoSpaceDE/>
              <w:autoSpaceDN/>
              <w:adjustRightInd/>
              <w:snapToGrid/>
              <w:spacing w:before="40" w:after="40" w:line="220" w:lineRule="exact"/>
              <w:jc w:val="right"/>
              <w:rPr>
                <w:sz w:val="18"/>
              </w:rPr>
            </w:pPr>
            <w:r w:rsidRPr="00821D2B">
              <w:rPr>
                <w:sz w:val="18"/>
              </w:rPr>
              <w:t>12,0</w:t>
            </w:r>
          </w:p>
        </w:tc>
        <w:tc>
          <w:tcPr>
            <w:tcW w:w="851" w:type="dxa"/>
            <w:shd w:val="clear" w:color="auto" w:fill="auto"/>
            <w:vAlign w:val="bottom"/>
          </w:tcPr>
          <w:p w:rsidR="008D6145" w:rsidRPr="00B11B3D" w:rsidRDefault="008D6145" w:rsidP="00821D2B">
            <w:pPr>
              <w:suppressAutoHyphens w:val="0"/>
              <w:kinsoku/>
              <w:overflowPunct/>
              <w:autoSpaceDE/>
              <w:autoSpaceDN/>
              <w:adjustRightInd/>
              <w:snapToGrid/>
              <w:spacing w:before="40" w:after="40" w:line="220" w:lineRule="exact"/>
              <w:jc w:val="right"/>
              <w:rPr>
                <w:b/>
                <w:bCs/>
                <w:sz w:val="18"/>
              </w:rPr>
            </w:pPr>
            <w:r w:rsidRPr="00B11B3D">
              <w:rPr>
                <w:b/>
                <w:bCs/>
                <w:sz w:val="18"/>
              </w:rPr>
              <w:t>215 529</w:t>
            </w:r>
          </w:p>
        </w:tc>
        <w:tc>
          <w:tcPr>
            <w:tcW w:w="851" w:type="dxa"/>
            <w:shd w:val="clear" w:color="auto" w:fill="auto"/>
            <w:vAlign w:val="bottom"/>
          </w:tcPr>
          <w:p w:rsidR="008D6145" w:rsidRPr="00B11B3D" w:rsidRDefault="008D6145" w:rsidP="00821D2B">
            <w:pPr>
              <w:suppressAutoHyphens w:val="0"/>
              <w:kinsoku/>
              <w:overflowPunct/>
              <w:autoSpaceDE/>
              <w:autoSpaceDN/>
              <w:adjustRightInd/>
              <w:snapToGrid/>
              <w:spacing w:before="40" w:after="40" w:line="220" w:lineRule="exact"/>
              <w:jc w:val="right"/>
              <w:rPr>
                <w:b/>
                <w:bCs/>
                <w:sz w:val="18"/>
              </w:rPr>
            </w:pPr>
            <w:r w:rsidRPr="00B11B3D">
              <w:rPr>
                <w:b/>
                <w:bCs/>
                <w:sz w:val="18"/>
              </w:rPr>
              <w:t>7,7</w:t>
            </w:r>
          </w:p>
        </w:tc>
      </w:tr>
      <w:tr w:rsidR="001C5784" w:rsidRPr="001C5784" w:rsidTr="00821D2B">
        <w:tc>
          <w:tcPr>
            <w:tcW w:w="2268" w:type="dxa"/>
            <w:shd w:val="clear" w:color="auto" w:fill="auto"/>
          </w:tcPr>
          <w:p w:rsidR="008D6145" w:rsidRPr="00821D2B" w:rsidRDefault="008D6145" w:rsidP="00821D2B">
            <w:pPr>
              <w:suppressAutoHyphens w:val="0"/>
              <w:kinsoku/>
              <w:overflowPunct/>
              <w:autoSpaceDE/>
              <w:autoSpaceDN/>
              <w:adjustRightInd/>
              <w:snapToGrid/>
              <w:spacing w:before="40" w:after="40" w:line="220" w:lineRule="exact"/>
              <w:rPr>
                <w:sz w:val="18"/>
              </w:rPr>
            </w:pPr>
            <w:r w:rsidRPr="00821D2B">
              <w:rPr>
                <w:sz w:val="18"/>
              </w:rPr>
              <w:t>Autres activités industrielles et</w:t>
            </w:r>
            <w:r w:rsidR="00AE3C48">
              <w:rPr>
                <w:sz w:val="18"/>
              </w:rPr>
              <w:t> </w:t>
            </w:r>
            <w:r w:rsidRPr="00821D2B">
              <w:rPr>
                <w:sz w:val="18"/>
              </w:rPr>
              <w:t>artisanales</w:t>
            </w:r>
          </w:p>
        </w:tc>
        <w:tc>
          <w:tcPr>
            <w:tcW w:w="851" w:type="dxa"/>
            <w:shd w:val="clear" w:color="auto" w:fill="auto"/>
            <w:vAlign w:val="bottom"/>
          </w:tcPr>
          <w:p w:rsidR="008D6145" w:rsidRPr="00821D2B" w:rsidRDefault="008D6145" w:rsidP="00821D2B">
            <w:pPr>
              <w:suppressAutoHyphens w:val="0"/>
              <w:kinsoku/>
              <w:overflowPunct/>
              <w:autoSpaceDE/>
              <w:autoSpaceDN/>
              <w:adjustRightInd/>
              <w:snapToGrid/>
              <w:spacing w:before="40" w:after="40" w:line="220" w:lineRule="exact"/>
              <w:jc w:val="right"/>
              <w:rPr>
                <w:sz w:val="18"/>
              </w:rPr>
            </w:pPr>
            <w:r w:rsidRPr="00821D2B">
              <w:rPr>
                <w:sz w:val="18"/>
              </w:rPr>
              <w:t>66 629</w:t>
            </w:r>
          </w:p>
        </w:tc>
        <w:tc>
          <w:tcPr>
            <w:tcW w:w="851" w:type="dxa"/>
            <w:shd w:val="clear" w:color="auto" w:fill="auto"/>
            <w:vAlign w:val="bottom"/>
          </w:tcPr>
          <w:p w:rsidR="008D6145" w:rsidRPr="00821D2B" w:rsidRDefault="008D6145" w:rsidP="00821D2B">
            <w:pPr>
              <w:suppressAutoHyphens w:val="0"/>
              <w:kinsoku/>
              <w:overflowPunct/>
              <w:autoSpaceDE/>
              <w:autoSpaceDN/>
              <w:adjustRightInd/>
              <w:snapToGrid/>
              <w:spacing w:before="40" w:after="40" w:line="220" w:lineRule="exact"/>
              <w:jc w:val="right"/>
              <w:rPr>
                <w:sz w:val="18"/>
              </w:rPr>
            </w:pPr>
            <w:r w:rsidRPr="00821D2B">
              <w:rPr>
                <w:sz w:val="18"/>
              </w:rPr>
              <w:t>5,1</w:t>
            </w:r>
          </w:p>
        </w:tc>
        <w:tc>
          <w:tcPr>
            <w:tcW w:w="851" w:type="dxa"/>
            <w:shd w:val="clear" w:color="auto" w:fill="auto"/>
            <w:vAlign w:val="bottom"/>
          </w:tcPr>
          <w:p w:rsidR="008D6145" w:rsidRPr="00821D2B" w:rsidRDefault="008D6145" w:rsidP="00821D2B">
            <w:pPr>
              <w:suppressAutoHyphens w:val="0"/>
              <w:kinsoku/>
              <w:overflowPunct/>
              <w:autoSpaceDE/>
              <w:autoSpaceDN/>
              <w:adjustRightInd/>
              <w:snapToGrid/>
              <w:spacing w:before="40" w:after="40" w:line="220" w:lineRule="exact"/>
              <w:jc w:val="right"/>
              <w:rPr>
                <w:sz w:val="18"/>
              </w:rPr>
            </w:pPr>
            <w:r w:rsidRPr="00821D2B">
              <w:rPr>
                <w:sz w:val="18"/>
              </w:rPr>
              <w:t>7 676</w:t>
            </w:r>
          </w:p>
        </w:tc>
        <w:tc>
          <w:tcPr>
            <w:tcW w:w="851" w:type="dxa"/>
            <w:shd w:val="clear" w:color="auto" w:fill="auto"/>
            <w:vAlign w:val="bottom"/>
          </w:tcPr>
          <w:p w:rsidR="008D6145" w:rsidRPr="00821D2B" w:rsidRDefault="008D6145" w:rsidP="00821D2B">
            <w:pPr>
              <w:suppressAutoHyphens w:val="0"/>
              <w:kinsoku/>
              <w:overflowPunct/>
              <w:autoSpaceDE/>
              <w:autoSpaceDN/>
              <w:adjustRightInd/>
              <w:snapToGrid/>
              <w:spacing w:before="40" w:after="40" w:line="220" w:lineRule="exact"/>
              <w:jc w:val="right"/>
              <w:rPr>
                <w:sz w:val="18"/>
              </w:rPr>
            </w:pPr>
            <w:r w:rsidRPr="00821D2B">
              <w:rPr>
                <w:sz w:val="18"/>
              </w:rPr>
              <w:t>0,5</w:t>
            </w:r>
          </w:p>
        </w:tc>
        <w:tc>
          <w:tcPr>
            <w:tcW w:w="851" w:type="dxa"/>
            <w:shd w:val="clear" w:color="auto" w:fill="auto"/>
            <w:vAlign w:val="bottom"/>
          </w:tcPr>
          <w:p w:rsidR="008D6145" w:rsidRPr="00B11B3D" w:rsidRDefault="008D6145" w:rsidP="00821D2B">
            <w:pPr>
              <w:suppressAutoHyphens w:val="0"/>
              <w:kinsoku/>
              <w:overflowPunct/>
              <w:autoSpaceDE/>
              <w:autoSpaceDN/>
              <w:adjustRightInd/>
              <w:snapToGrid/>
              <w:spacing w:before="40" w:after="40" w:line="220" w:lineRule="exact"/>
              <w:jc w:val="right"/>
              <w:rPr>
                <w:b/>
                <w:bCs/>
                <w:sz w:val="18"/>
              </w:rPr>
            </w:pPr>
            <w:r w:rsidRPr="00B11B3D">
              <w:rPr>
                <w:b/>
                <w:bCs/>
                <w:sz w:val="18"/>
              </w:rPr>
              <w:t>74 305</w:t>
            </w:r>
          </w:p>
        </w:tc>
        <w:tc>
          <w:tcPr>
            <w:tcW w:w="851" w:type="dxa"/>
            <w:shd w:val="clear" w:color="auto" w:fill="auto"/>
            <w:vAlign w:val="bottom"/>
          </w:tcPr>
          <w:p w:rsidR="008D6145" w:rsidRPr="00B11B3D" w:rsidRDefault="008D6145" w:rsidP="00821D2B">
            <w:pPr>
              <w:suppressAutoHyphens w:val="0"/>
              <w:kinsoku/>
              <w:overflowPunct/>
              <w:autoSpaceDE/>
              <w:autoSpaceDN/>
              <w:adjustRightInd/>
              <w:snapToGrid/>
              <w:spacing w:before="40" w:after="40" w:line="220" w:lineRule="exact"/>
              <w:jc w:val="right"/>
              <w:rPr>
                <w:b/>
                <w:bCs/>
                <w:sz w:val="18"/>
              </w:rPr>
            </w:pPr>
            <w:r w:rsidRPr="00B11B3D">
              <w:rPr>
                <w:b/>
                <w:bCs/>
                <w:sz w:val="18"/>
              </w:rPr>
              <w:t>2,7</w:t>
            </w:r>
          </w:p>
        </w:tc>
      </w:tr>
      <w:tr w:rsidR="001C5784" w:rsidRPr="001C5784" w:rsidTr="00821D2B">
        <w:tc>
          <w:tcPr>
            <w:tcW w:w="2268" w:type="dxa"/>
            <w:shd w:val="clear" w:color="auto" w:fill="auto"/>
          </w:tcPr>
          <w:p w:rsidR="008D6145" w:rsidRPr="00821D2B" w:rsidRDefault="008D6145" w:rsidP="00821D2B">
            <w:pPr>
              <w:suppressAutoHyphens w:val="0"/>
              <w:kinsoku/>
              <w:overflowPunct/>
              <w:autoSpaceDE/>
              <w:autoSpaceDN/>
              <w:adjustRightInd/>
              <w:snapToGrid/>
              <w:spacing w:before="40" w:after="40" w:line="220" w:lineRule="exact"/>
              <w:rPr>
                <w:sz w:val="18"/>
              </w:rPr>
            </w:pPr>
            <w:r w:rsidRPr="00821D2B">
              <w:rPr>
                <w:sz w:val="18"/>
              </w:rPr>
              <w:t>Autres services</w:t>
            </w:r>
          </w:p>
        </w:tc>
        <w:tc>
          <w:tcPr>
            <w:tcW w:w="851" w:type="dxa"/>
            <w:shd w:val="clear" w:color="auto" w:fill="auto"/>
            <w:vAlign w:val="bottom"/>
          </w:tcPr>
          <w:p w:rsidR="008D6145" w:rsidRPr="00821D2B" w:rsidRDefault="008D6145" w:rsidP="00821D2B">
            <w:pPr>
              <w:suppressAutoHyphens w:val="0"/>
              <w:kinsoku/>
              <w:overflowPunct/>
              <w:autoSpaceDE/>
              <w:autoSpaceDN/>
              <w:adjustRightInd/>
              <w:snapToGrid/>
              <w:spacing w:before="40" w:after="40" w:line="220" w:lineRule="exact"/>
              <w:jc w:val="right"/>
              <w:rPr>
                <w:sz w:val="18"/>
              </w:rPr>
            </w:pPr>
            <w:r w:rsidRPr="00821D2B">
              <w:rPr>
                <w:sz w:val="18"/>
              </w:rPr>
              <w:t>137 580</w:t>
            </w:r>
          </w:p>
        </w:tc>
        <w:tc>
          <w:tcPr>
            <w:tcW w:w="851" w:type="dxa"/>
            <w:shd w:val="clear" w:color="auto" w:fill="auto"/>
            <w:vAlign w:val="bottom"/>
          </w:tcPr>
          <w:p w:rsidR="008D6145" w:rsidRPr="00821D2B" w:rsidRDefault="008D6145" w:rsidP="00821D2B">
            <w:pPr>
              <w:suppressAutoHyphens w:val="0"/>
              <w:kinsoku/>
              <w:overflowPunct/>
              <w:autoSpaceDE/>
              <w:autoSpaceDN/>
              <w:adjustRightInd/>
              <w:snapToGrid/>
              <w:spacing w:before="40" w:after="40" w:line="220" w:lineRule="exact"/>
              <w:jc w:val="right"/>
              <w:rPr>
                <w:sz w:val="18"/>
              </w:rPr>
            </w:pPr>
            <w:r w:rsidRPr="00821D2B">
              <w:rPr>
                <w:sz w:val="18"/>
              </w:rPr>
              <w:t>10,4</w:t>
            </w:r>
          </w:p>
        </w:tc>
        <w:tc>
          <w:tcPr>
            <w:tcW w:w="851" w:type="dxa"/>
            <w:shd w:val="clear" w:color="auto" w:fill="auto"/>
            <w:vAlign w:val="bottom"/>
          </w:tcPr>
          <w:p w:rsidR="008D6145" w:rsidRPr="00821D2B" w:rsidRDefault="008D6145" w:rsidP="00821D2B">
            <w:pPr>
              <w:suppressAutoHyphens w:val="0"/>
              <w:kinsoku/>
              <w:overflowPunct/>
              <w:autoSpaceDE/>
              <w:autoSpaceDN/>
              <w:adjustRightInd/>
              <w:snapToGrid/>
              <w:spacing w:before="40" w:after="40" w:line="220" w:lineRule="exact"/>
              <w:jc w:val="right"/>
              <w:rPr>
                <w:sz w:val="18"/>
              </w:rPr>
            </w:pPr>
            <w:r w:rsidRPr="00821D2B">
              <w:rPr>
                <w:sz w:val="18"/>
              </w:rPr>
              <w:t>71 955</w:t>
            </w:r>
          </w:p>
        </w:tc>
        <w:tc>
          <w:tcPr>
            <w:tcW w:w="851" w:type="dxa"/>
            <w:shd w:val="clear" w:color="auto" w:fill="auto"/>
            <w:vAlign w:val="bottom"/>
          </w:tcPr>
          <w:p w:rsidR="008D6145" w:rsidRPr="00821D2B" w:rsidRDefault="008D6145" w:rsidP="00821D2B">
            <w:pPr>
              <w:suppressAutoHyphens w:val="0"/>
              <w:kinsoku/>
              <w:overflowPunct/>
              <w:autoSpaceDE/>
              <w:autoSpaceDN/>
              <w:adjustRightInd/>
              <w:snapToGrid/>
              <w:spacing w:before="40" w:after="40" w:line="220" w:lineRule="exact"/>
              <w:jc w:val="right"/>
              <w:rPr>
                <w:sz w:val="18"/>
              </w:rPr>
            </w:pPr>
            <w:r w:rsidRPr="00821D2B">
              <w:rPr>
                <w:sz w:val="18"/>
              </w:rPr>
              <w:t>4,9</w:t>
            </w:r>
          </w:p>
        </w:tc>
        <w:tc>
          <w:tcPr>
            <w:tcW w:w="851" w:type="dxa"/>
            <w:shd w:val="clear" w:color="auto" w:fill="auto"/>
            <w:vAlign w:val="bottom"/>
          </w:tcPr>
          <w:p w:rsidR="008D6145" w:rsidRPr="00B11B3D" w:rsidRDefault="008D6145" w:rsidP="00821D2B">
            <w:pPr>
              <w:suppressAutoHyphens w:val="0"/>
              <w:kinsoku/>
              <w:overflowPunct/>
              <w:autoSpaceDE/>
              <w:autoSpaceDN/>
              <w:adjustRightInd/>
              <w:snapToGrid/>
              <w:spacing w:before="40" w:after="40" w:line="220" w:lineRule="exact"/>
              <w:jc w:val="right"/>
              <w:rPr>
                <w:b/>
                <w:bCs/>
                <w:sz w:val="18"/>
              </w:rPr>
            </w:pPr>
            <w:r w:rsidRPr="00B11B3D">
              <w:rPr>
                <w:b/>
                <w:bCs/>
                <w:sz w:val="18"/>
              </w:rPr>
              <w:t>209 536</w:t>
            </w:r>
          </w:p>
        </w:tc>
        <w:tc>
          <w:tcPr>
            <w:tcW w:w="851" w:type="dxa"/>
            <w:shd w:val="clear" w:color="auto" w:fill="auto"/>
            <w:vAlign w:val="bottom"/>
          </w:tcPr>
          <w:p w:rsidR="008D6145" w:rsidRPr="00B11B3D" w:rsidRDefault="008D6145" w:rsidP="00821D2B">
            <w:pPr>
              <w:suppressAutoHyphens w:val="0"/>
              <w:kinsoku/>
              <w:overflowPunct/>
              <w:autoSpaceDE/>
              <w:autoSpaceDN/>
              <w:adjustRightInd/>
              <w:snapToGrid/>
              <w:spacing w:before="40" w:after="40" w:line="220" w:lineRule="exact"/>
              <w:jc w:val="right"/>
              <w:rPr>
                <w:b/>
                <w:bCs/>
                <w:sz w:val="18"/>
              </w:rPr>
            </w:pPr>
            <w:r w:rsidRPr="00B11B3D">
              <w:rPr>
                <w:b/>
                <w:bCs/>
                <w:sz w:val="18"/>
              </w:rPr>
              <w:t>7,5</w:t>
            </w:r>
          </w:p>
        </w:tc>
      </w:tr>
      <w:tr w:rsidR="001C5784" w:rsidRPr="001C5784" w:rsidTr="00821D2B">
        <w:tc>
          <w:tcPr>
            <w:tcW w:w="2268" w:type="dxa"/>
            <w:tcBorders>
              <w:bottom w:val="single" w:sz="4" w:space="0" w:color="auto"/>
            </w:tcBorders>
            <w:shd w:val="clear" w:color="auto" w:fill="auto"/>
          </w:tcPr>
          <w:p w:rsidR="008D6145" w:rsidRPr="00821D2B" w:rsidRDefault="008D6145" w:rsidP="00821D2B">
            <w:pPr>
              <w:suppressAutoHyphens w:val="0"/>
              <w:kinsoku/>
              <w:overflowPunct/>
              <w:autoSpaceDE/>
              <w:autoSpaceDN/>
              <w:adjustRightInd/>
              <w:snapToGrid/>
              <w:spacing w:before="40" w:after="40" w:line="220" w:lineRule="exact"/>
              <w:rPr>
                <w:sz w:val="18"/>
              </w:rPr>
            </w:pPr>
            <w:r w:rsidRPr="00821D2B">
              <w:rPr>
                <w:sz w:val="18"/>
              </w:rPr>
              <w:t>Non déclaré</w:t>
            </w:r>
          </w:p>
        </w:tc>
        <w:tc>
          <w:tcPr>
            <w:tcW w:w="851" w:type="dxa"/>
            <w:tcBorders>
              <w:bottom w:val="single" w:sz="4" w:space="0" w:color="auto"/>
            </w:tcBorders>
            <w:shd w:val="clear" w:color="auto" w:fill="auto"/>
            <w:vAlign w:val="bottom"/>
          </w:tcPr>
          <w:p w:rsidR="008D6145" w:rsidRPr="00821D2B" w:rsidRDefault="008D6145" w:rsidP="00821D2B">
            <w:pPr>
              <w:suppressAutoHyphens w:val="0"/>
              <w:kinsoku/>
              <w:overflowPunct/>
              <w:autoSpaceDE/>
              <w:autoSpaceDN/>
              <w:adjustRightInd/>
              <w:snapToGrid/>
              <w:spacing w:before="40" w:after="40" w:line="220" w:lineRule="exact"/>
              <w:jc w:val="right"/>
              <w:rPr>
                <w:sz w:val="18"/>
              </w:rPr>
            </w:pPr>
            <w:r w:rsidRPr="00821D2B">
              <w:rPr>
                <w:sz w:val="18"/>
              </w:rPr>
              <w:t>16 698</w:t>
            </w:r>
          </w:p>
        </w:tc>
        <w:tc>
          <w:tcPr>
            <w:tcW w:w="851" w:type="dxa"/>
            <w:tcBorders>
              <w:bottom w:val="single" w:sz="4" w:space="0" w:color="auto"/>
            </w:tcBorders>
            <w:shd w:val="clear" w:color="auto" w:fill="auto"/>
            <w:vAlign w:val="bottom"/>
          </w:tcPr>
          <w:p w:rsidR="008D6145" w:rsidRPr="00821D2B" w:rsidRDefault="008D6145" w:rsidP="00821D2B">
            <w:pPr>
              <w:suppressAutoHyphens w:val="0"/>
              <w:kinsoku/>
              <w:overflowPunct/>
              <w:autoSpaceDE/>
              <w:autoSpaceDN/>
              <w:adjustRightInd/>
              <w:snapToGrid/>
              <w:spacing w:before="40" w:after="40" w:line="220" w:lineRule="exact"/>
              <w:jc w:val="right"/>
              <w:rPr>
                <w:sz w:val="18"/>
              </w:rPr>
            </w:pPr>
            <w:r w:rsidRPr="00821D2B">
              <w:rPr>
                <w:sz w:val="18"/>
              </w:rPr>
              <w:t>1,3</w:t>
            </w:r>
          </w:p>
        </w:tc>
        <w:tc>
          <w:tcPr>
            <w:tcW w:w="851" w:type="dxa"/>
            <w:tcBorders>
              <w:bottom w:val="single" w:sz="4" w:space="0" w:color="auto"/>
            </w:tcBorders>
            <w:shd w:val="clear" w:color="auto" w:fill="auto"/>
            <w:vAlign w:val="bottom"/>
          </w:tcPr>
          <w:p w:rsidR="008D6145" w:rsidRPr="00821D2B" w:rsidRDefault="008D6145" w:rsidP="00821D2B">
            <w:pPr>
              <w:suppressAutoHyphens w:val="0"/>
              <w:kinsoku/>
              <w:overflowPunct/>
              <w:autoSpaceDE/>
              <w:autoSpaceDN/>
              <w:adjustRightInd/>
              <w:snapToGrid/>
              <w:spacing w:before="40" w:after="40" w:line="220" w:lineRule="exact"/>
              <w:jc w:val="right"/>
              <w:rPr>
                <w:sz w:val="18"/>
              </w:rPr>
            </w:pPr>
            <w:r w:rsidRPr="00821D2B">
              <w:rPr>
                <w:sz w:val="18"/>
              </w:rPr>
              <w:t>12 735</w:t>
            </w:r>
          </w:p>
        </w:tc>
        <w:tc>
          <w:tcPr>
            <w:tcW w:w="851" w:type="dxa"/>
            <w:tcBorders>
              <w:bottom w:val="single" w:sz="4" w:space="0" w:color="auto"/>
            </w:tcBorders>
            <w:shd w:val="clear" w:color="auto" w:fill="auto"/>
            <w:vAlign w:val="bottom"/>
          </w:tcPr>
          <w:p w:rsidR="008D6145" w:rsidRPr="00821D2B" w:rsidRDefault="008D6145" w:rsidP="00821D2B">
            <w:pPr>
              <w:suppressAutoHyphens w:val="0"/>
              <w:kinsoku/>
              <w:overflowPunct/>
              <w:autoSpaceDE/>
              <w:autoSpaceDN/>
              <w:adjustRightInd/>
              <w:snapToGrid/>
              <w:spacing w:before="40" w:after="40" w:line="220" w:lineRule="exact"/>
              <w:jc w:val="right"/>
              <w:rPr>
                <w:sz w:val="18"/>
              </w:rPr>
            </w:pPr>
            <w:r w:rsidRPr="00821D2B">
              <w:rPr>
                <w:sz w:val="18"/>
              </w:rPr>
              <w:t>0,9</w:t>
            </w:r>
          </w:p>
        </w:tc>
        <w:tc>
          <w:tcPr>
            <w:tcW w:w="851" w:type="dxa"/>
            <w:tcBorders>
              <w:bottom w:val="single" w:sz="4" w:space="0" w:color="auto"/>
            </w:tcBorders>
            <w:shd w:val="clear" w:color="auto" w:fill="auto"/>
            <w:vAlign w:val="bottom"/>
          </w:tcPr>
          <w:p w:rsidR="008D6145" w:rsidRPr="00B11B3D" w:rsidRDefault="008D6145" w:rsidP="00821D2B">
            <w:pPr>
              <w:suppressAutoHyphens w:val="0"/>
              <w:kinsoku/>
              <w:overflowPunct/>
              <w:autoSpaceDE/>
              <w:autoSpaceDN/>
              <w:adjustRightInd/>
              <w:snapToGrid/>
              <w:spacing w:before="40" w:after="40" w:line="220" w:lineRule="exact"/>
              <w:jc w:val="right"/>
              <w:rPr>
                <w:b/>
                <w:bCs/>
                <w:sz w:val="18"/>
              </w:rPr>
            </w:pPr>
            <w:r w:rsidRPr="00B11B3D">
              <w:rPr>
                <w:b/>
                <w:bCs/>
                <w:sz w:val="18"/>
              </w:rPr>
              <w:t>29 433</w:t>
            </w:r>
          </w:p>
        </w:tc>
        <w:tc>
          <w:tcPr>
            <w:tcW w:w="851" w:type="dxa"/>
            <w:tcBorders>
              <w:bottom w:val="single" w:sz="4" w:space="0" w:color="auto"/>
            </w:tcBorders>
            <w:shd w:val="clear" w:color="auto" w:fill="auto"/>
            <w:vAlign w:val="bottom"/>
          </w:tcPr>
          <w:p w:rsidR="008D6145" w:rsidRPr="00B11B3D" w:rsidRDefault="008D6145" w:rsidP="00821D2B">
            <w:pPr>
              <w:suppressAutoHyphens w:val="0"/>
              <w:kinsoku/>
              <w:overflowPunct/>
              <w:autoSpaceDE/>
              <w:autoSpaceDN/>
              <w:adjustRightInd/>
              <w:snapToGrid/>
              <w:spacing w:before="40" w:after="40" w:line="220" w:lineRule="exact"/>
              <w:jc w:val="right"/>
              <w:rPr>
                <w:b/>
                <w:bCs/>
                <w:sz w:val="18"/>
              </w:rPr>
            </w:pPr>
            <w:r w:rsidRPr="00B11B3D">
              <w:rPr>
                <w:b/>
                <w:bCs/>
                <w:sz w:val="18"/>
              </w:rPr>
              <w:t>1,1</w:t>
            </w:r>
          </w:p>
        </w:tc>
      </w:tr>
      <w:tr w:rsidR="001C5784" w:rsidRPr="001C5784" w:rsidTr="00821D2B">
        <w:tc>
          <w:tcPr>
            <w:tcW w:w="2268" w:type="dxa"/>
            <w:tcBorders>
              <w:top w:val="single" w:sz="4" w:space="0" w:color="auto"/>
              <w:bottom w:val="single" w:sz="12" w:space="0" w:color="auto"/>
            </w:tcBorders>
            <w:shd w:val="clear" w:color="auto" w:fill="auto"/>
          </w:tcPr>
          <w:p w:rsidR="008D6145" w:rsidRPr="00821D2B" w:rsidRDefault="008D6145" w:rsidP="00821D2B">
            <w:pPr>
              <w:suppressAutoHyphens w:val="0"/>
              <w:kinsoku/>
              <w:overflowPunct/>
              <w:autoSpaceDE/>
              <w:autoSpaceDN/>
              <w:adjustRightInd/>
              <w:snapToGrid/>
              <w:spacing w:before="80" w:after="80" w:line="220" w:lineRule="exact"/>
              <w:ind w:left="283"/>
              <w:rPr>
                <w:b/>
                <w:sz w:val="18"/>
              </w:rPr>
            </w:pPr>
            <w:r w:rsidRPr="00821D2B">
              <w:rPr>
                <w:b/>
                <w:sz w:val="18"/>
              </w:rPr>
              <w:t>Total</w:t>
            </w:r>
          </w:p>
        </w:tc>
        <w:tc>
          <w:tcPr>
            <w:tcW w:w="851" w:type="dxa"/>
            <w:tcBorders>
              <w:top w:val="single" w:sz="4" w:space="0" w:color="auto"/>
              <w:bottom w:val="single" w:sz="12" w:space="0" w:color="auto"/>
            </w:tcBorders>
            <w:shd w:val="clear" w:color="auto" w:fill="auto"/>
            <w:vAlign w:val="bottom"/>
          </w:tcPr>
          <w:p w:rsidR="008D6145" w:rsidRPr="00821D2B" w:rsidRDefault="008D6145" w:rsidP="00821D2B">
            <w:pPr>
              <w:suppressAutoHyphens w:val="0"/>
              <w:kinsoku/>
              <w:overflowPunct/>
              <w:autoSpaceDE/>
              <w:autoSpaceDN/>
              <w:adjustRightInd/>
              <w:snapToGrid/>
              <w:spacing w:before="80" w:after="80" w:line="220" w:lineRule="exact"/>
              <w:jc w:val="right"/>
              <w:rPr>
                <w:b/>
                <w:sz w:val="18"/>
              </w:rPr>
            </w:pPr>
            <w:r w:rsidRPr="00821D2B">
              <w:rPr>
                <w:b/>
                <w:sz w:val="18"/>
              </w:rPr>
              <w:t>1 318 390</w:t>
            </w:r>
          </w:p>
        </w:tc>
        <w:tc>
          <w:tcPr>
            <w:tcW w:w="851" w:type="dxa"/>
            <w:tcBorders>
              <w:top w:val="single" w:sz="4" w:space="0" w:color="auto"/>
              <w:bottom w:val="single" w:sz="12" w:space="0" w:color="auto"/>
            </w:tcBorders>
            <w:shd w:val="clear" w:color="auto" w:fill="auto"/>
            <w:vAlign w:val="bottom"/>
          </w:tcPr>
          <w:p w:rsidR="008D6145" w:rsidRPr="00821D2B" w:rsidRDefault="008D6145" w:rsidP="00821D2B">
            <w:pPr>
              <w:suppressAutoHyphens w:val="0"/>
              <w:kinsoku/>
              <w:overflowPunct/>
              <w:autoSpaceDE/>
              <w:autoSpaceDN/>
              <w:adjustRightInd/>
              <w:snapToGrid/>
              <w:spacing w:before="80" w:after="80" w:line="220" w:lineRule="exact"/>
              <w:jc w:val="right"/>
              <w:rPr>
                <w:b/>
                <w:sz w:val="18"/>
              </w:rPr>
            </w:pPr>
            <w:r w:rsidRPr="00821D2B">
              <w:rPr>
                <w:b/>
                <w:sz w:val="18"/>
              </w:rPr>
              <w:t>100,0</w:t>
            </w:r>
          </w:p>
        </w:tc>
        <w:tc>
          <w:tcPr>
            <w:tcW w:w="851" w:type="dxa"/>
            <w:tcBorders>
              <w:top w:val="single" w:sz="4" w:space="0" w:color="auto"/>
              <w:bottom w:val="single" w:sz="12" w:space="0" w:color="auto"/>
            </w:tcBorders>
            <w:shd w:val="clear" w:color="auto" w:fill="auto"/>
            <w:vAlign w:val="bottom"/>
          </w:tcPr>
          <w:p w:rsidR="008D6145" w:rsidRPr="00821D2B" w:rsidRDefault="008D6145" w:rsidP="00821D2B">
            <w:pPr>
              <w:suppressAutoHyphens w:val="0"/>
              <w:kinsoku/>
              <w:overflowPunct/>
              <w:autoSpaceDE/>
              <w:autoSpaceDN/>
              <w:adjustRightInd/>
              <w:snapToGrid/>
              <w:spacing w:before="80" w:after="80" w:line="220" w:lineRule="exact"/>
              <w:jc w:val="right"/>
              <w:rPr>
                <w:b/>
                <w:sz w:val="18"/>
              </w:rPr>
            </w:pPr>
            <w:r w:rsidRPr="00821D2B">
              <w:rPr>
                <w:b/>
                <w:sz w:val="18"/>
              </w:rPr>
              <w:t>1 465 775</w:t>
            </w:r>
          </w:p>
        </w:tc>
        <w:tc>
          <w:tcPr>
            <w:tcW w:w="851" w:type="dxa"/>
            <w:tcBorders>
              <w:top w:val="single" w:sz="4" w:space="0" w:color="auto"/>
              <w:bottom w:val="single" w:sz="12" w:space="0" w:color="auto"/>
            </w:tcBorders>
            <w:shd w:val="clear" w:color="auto" w:fill="auto"/>
            <w:vAlign w:val="bottom"/>
          </w:tcPr>
          <w:p w:rsidR="008D6145" w:rsidRPr="00821D2B" w:rsidRDefault="008D6145" w:rsidP="00821D2B">
            <w:pPr>
              <w:suppressAutoHyphens w:val="0"/>
              <w:kinsoku/>
              <w:overflowPunct/>
              <w:autoSpaceDE/>
              <w:autoSpaceDN/>
              <w:adjustRightInd/>
              <w:snapToGrid/>
              <w:spacing w:before="80" w:after="80" w:line="220" w:lineRule="exact"/>
              <w:jc w:val="right"/>
              <w:rPr>
                <w:b/>
                <w:sz w:val="18"/>
              </w:rPr>
            </w:pPr>
            <w:r w:rsidRPr="00821D2B">
              <w:rPr>
                <w:b/>
                <w:sz w:val="18"/>
              </w:rPr>
              <w:t>100,0</w:t>
            </w:r>
          </w:p>
        </w:tc>
        <w:tc>
          <w:tcPr>
            <w:tcW w:w="851" w:type="dxa"/>
            <w:tcBorders>
              <w:top w:val="single" w:sz="4" w:space="0" w:color="auto"/>
              <w:bottom w:val="single" w:sz="12" w:space="0" w:color="auto"/>
            </w:tcBorders>
            <w:shd w:val="clear" w:color="auto" w:fill="auto"/>
            <w:vAlign w:val="bottom"/>
          </w:tcPr>
          <w:p w:rsidR="008D6145" w:rsidRPr="00821D2B" w:rsidRDefault="008D6145" w:rsidP="00821D2B">
            <w:pPr>
              <w:suppressAutoHyphens w:val="0"/>
              <w:kinsoku/>
              <w:overflowPunct/>
              <w:autoSpaceDE/>
              <w:autoSpaceDN/>
              <w:adjustRightInd/>
              <w:snapToGrid/>
              <w:spacing w:before="80" w:after="80" w:line="220" w:lineRule="exact"/>
              <w:jc w:val="right"/>
              <w:rPr>
                <w:b/>
                <w:sz w:val="18"/>
              </w:rPr>
            </w:pPr>
            <w:r w:rsidRPr="00821D2B">
              <w:rPr>
                <w:b/>
                <w:sz w:val="18"/>
              </w:rPr>
              <w:t>2 784 165</w:t>
            </w:r>
          </w:p>
        </w:tc>
        <w:tc>
          <w:tcPr>
            <w:tcW w:w="851" w:type="dxa"/>
            <w:tcBorders>
              <w:top w:val="single" w:sz="4" w:space="0" w:color="auto"/>
              <w:bottom w:val="single" w:sz="12" w:space="0" w:color="auto"/>
            </w:tcBorders>
            <w:shd w:val="clear" w:color="auto" w:fill="auto"/>
            <w:vAlign w:val="bottom"/>
          </w:tcPr>
          <w:p w:rsidR="008D6145" w:rsidRPr="00821D2B" w:rsidRDefault="008D6145" w:rsidP="00821D2B">
            <w:pPr>
              <w:suppressAutoHyphens w:val="0"/>
              <w:kinsoku/>
              <w:overflowPunct/>
              <w:autoSpaceDE/>
              <w:autoSpaceDN/>
              <w:adjustRightInd/>
              <w:snapToGrid/>
              <w:spacing w:before="80" w:after="80" w:line="220" w:lineRule="exact"/>
              <w:jc w:val="right"/>
              <w:rPr>
                <w:b/>
                <w:sz w:val="18"/>
              </w:rPr>
            </w:pPr>
            <w:r w:rsidRPr="00821D2B">
              <w:rPr>
                <w:b/>
                <w:sz w:val="18"/>
              </w:rPr>
              <w:t>100,0</w:t>
            </w:r>
          </w:p>
        </w:tc>
      </w:tr>
    </w:tbl>
    <w:p w:rsidR="008D6145" w:rsidRPr="008D6145" w:rsidRDefault="008D6145" w:rsidP="00821D2B">
      <w:pPr>
        <w:kinsoku/>
        <w:overflowPunct/>
        <w:autoSpaceDE/>
        <w:autoSpaceDN/>
        <w:adjustRightInd/>
        <w:snapToGrid/>
        <w:spacing w:before="120" w:after="240"/>
        <w:ind w:left="1134" w:right="1134" w:firstLine="170"/>
        <w:rPr>
          <w:rFonts w:eastAsia="Times New Roman"/>
          <w:sz w:val="18"/>
          <w:szCs w:val="18"/>
        </w:rPr>
      </w:pPr>
      <w:r w:rsidRPr="008D6145">
        <w:rPr>
          <w:rFonts w:eastAsia="Times New Roman"/>
          <w:i/>
          <w:sz w:val="18"/>
          <w:szCs w:val="18"/>
        </w:rPr>
        <w:t>Source</w:t>
      </w:r>
      <w:r w:rsidRPr="008D6145">
        <w:rPr>
          <w:rFonts w:eastAsia="Times New Roman"/>
          <w:sz w:val="18"/>
          <w:szCs w:val="18"/>
        </w:rPr>
        <w:t> </w:t>
      </w:r>
      <w:r w:rsidRPr="006E0543">
        <w:rPr>
          <w:rFonts w:eastAsia="Times New Roman"/>
          <w:sz w:val="18"/>
          <w:szCs w:val="18"/>
        </w:rPr>
        <w:t xml:space="preserve">: </w:t>
      </w:r>
      <w:r w:rsidRPr="00821D2B">
        <w:rPr>
          <w:rFonts w:eastAsia="Times New Roman"/>
          <w:sz w:val="18"/>
          <w:szCs w:val="18"/>
        </w:rPr>
        <w:t>INSAE</w:t>
      </w:r>
      <w:r w:rsidRPr="008D6145">
        <w:rPr>
          <w:rFonts w:eastAsia="Times New Roman"/>
          <w:sz w:val="18"/>
          <w:szCs w:val="18"/>
        </w:rPr>
        <w:t>, EMICoV 2010.</w:t>
      </w:r>
    </w:p>
    <w:p w:rsidR="008D6145" w:rsidRPr="00040041" w:rsidRDefault="00821D2B" w:rsidP="00821D2B">
      <w:pPr>
        <w:pStyle w:val="SingleTxtG"/>
        <w:kinsoku/>
        <w:overflowPunct/>
        <w:autoSpaceDE/>
        <w:autoSpaceDN/>
        <w:adjustRightInd/>
        <w:snapToGrid/>
        <w:rPr>
          <w:rFonts w:eastAsia="Times New Roman"/>
          <w:lang w:val="fr-FR"/>
        </w:rPr>
      </w:pPr>
      <w:r w:rsidRPr="00040041">
        <w:rPr>
          <w:rFonts w:eastAsia="Times New Roman"/>
          <w:lang w:val="fr-FR"/>
        </w:rPr>
        <w:lastRenderedPageBreak/>
        <w:t>19.</w:t>
      </w:r>
      <w:r w:rsidRPr="00040041">
        <w:rPr>
          <w:rFonts w:eastAsia="Times New Roman"/>
          <w:lang w:val="fr-FR"/>
        </w:rPr>
        <w:tab/>
      </w:r>
      <w:r w:rsidR="008D6145" w:rsidRPr="00040041">
        <w:rPr>
          <w:rFonts w:eastAsia="Times New Roman"/>
          <w:lang w:val="fr-FR"/>
        </w:rPr>
        <w:t>Ce tableau montre que sur 2 784 165 actifs occupés, 1 232 329, soit 44,3</w:t>
      </w:r>
      <w:r w:rsidR="00371E38">
        <w:rPr>
          <w:rFonts w:eastAsia="Times New Roman"/>
          <w:lang w:val="fr-FR"/>
        </w:rPr>
        <w:t> </w:t>
      </w:r>
      <w:r w:rsidR="008D6145" w:rsidRPr="00040041">
        <w:rPr>
          <w:rFonts w:eastAsia="Times New Roman"/>
          <w:lang w:val="fr-FR"/>
        </w:rPr>
        <w:t>% sont dans l</w:t>
      </w:r>
      <w:r w:rsidR="00A033A7" w:rsidRPr="00040041">
        <w:rPr>
          <w:rFonts w:eastAsia="Times New Roman"/>
          <w:lang w:val="fr-FR"/>
        </w:rPr>
        <w:t>’</w:t>
      </w:r>
      <w:r w:rsidR="00142355">
        <w:rPr>
          <w:rFonts w:eastAsia="Times New Roman"/>
          <w:lang w:val="fr-FR"/>
        </w:rPr>
        <w:t>agriculture. 126 </w:t>
      </w:r>
      <w:r w:rsidR="008D6145" w:rsidRPr="00040041">
        <w:rPr>
          <w:rFonts w:eastAsia="Times New Roman"/>
          <w:lang w:val="fr-FR"/>
        </w:rPr>
        <w:t>906 so</w:t>
      </w:r>
      <w:r w:rsidR="00142355">
        <w:rPr>
          <w:rFonts w:eastAsia="Times New Roman"/>
          <w:lang w:val="fr-FR"/>
        </w:rPr>
        <w:t>nt dans le coton-textile et 768 </w:t>
      </w:r>
      <w:r w:rsidR="008D6145" w:rsidRPr="00040041">
        <w:rPr>
          <w:rFonts w:eastAsia="Times New Roman"/>
          <w:lang w:val="fr-FR"/>
        </w:rPr>
        <w:t>513, soit 27,6</w:t>
      </w:r>
      <w:r w:rsidR="00371E38">
        <w:rPr>
          <w:rFonts w:eastAsia="Times New Roman"/>
          <w:lang w:val="fr-FR"/>
        </w:rPr>
        <w:t> </w:t>
      </w:r>
      <w:r w:rsidR="008D6145" w:rsidRPr="00040041">
        <w:rPr>
          <w:rFonts w:eastAsia="Times New Roman"/>
          <w:lang w:val="fr-FR"/>
        </w:rPr>
        <w:t>% sont dans le commerce et la logistique. Les activités culturelles</w:t>
      </w:r>
      <w:r w:rsidR="00142355">
        <w:rPr>
          <w:rFonts w:eastAsia="Times New Roman"/>
          <w:lang w:val="fr-FR"/>
        </w:rPr>
        <w:t xml:space="preserve"> et touristiques mobilisent 215 </w:t>
      </w:r>
      <w:r w:rsidR="008D6145" w:rsidRPr="00040041">
        <w:rPr>
          <w:rFonts w:eastAsia="Times New Roman"/>
          <w:lang w:val="fr-FR"/>
        </w:rPr>
        <w:t>529 actifs, soit 7,7</w:t>
      </w:r>
      <w:r w:rsidR="00371E38">
        <w:rPr>
          <w:rFonts w:eastAsia="Times New Roman"/>
          <w:lang w:val="fr-FR"/>
        </w:rPr>
        <w:t> </w:t>
      </w:r>
      <w:r w:rsidR="008D6145" w:rsidRPr="00040041">
        <w:rPr>
          <w:rFonts w:eastAsia="Times New Roman"/>
          <w:lang w:val="fr-FR"/>
        </w:rPr>
        <w:t>% des actifs occupés.</w:t>
      </w:r>
    </w:p>
    <w:p w:rsidR="008D6145" w:rsidRPr="00821D2B" w:rsidRDefault="00821D2B" w:rsidP="00821D2B">
      <w:pPr>
        <w:pStyle w:val="SingleTxtG"/>
        <w:kinsoku/>
        <w:overflowPunct/>
        <w:autoSpaceDE/>
        <w:autoSpaceDN/>
        <w:adjustRightInd/>
        <w:snapToGrid/>
      </w:pPr>
      <w:r w:rsidRPr="00821D2B">
        <w:t>20.</w:t>
      </w:r>
      <w:r w:rsidRPr="00821D2B">
        <w:tab/>
      </w:r>
      <w:r w:rsidR="008D6145" w:rsidRPr="00040041">
        <w:rPr>
          <w:rFonts w:eastAsia="Times New Roman"/>
          <w:lang w:val="fr-FR"/>
        </w:rPr>
        <w:t>L</w:t>
      </w:r>
      <w:r w:rsidR="00A033A7" w:rsidRPr="00040041">
        <w:rPr>
          <w:rFonts w:eastAsia="Times New Roman"/>
          <w:lang w:val="fr-FR"/>
        </w:rPr>
        <w:t>’</w:t>
      </w:r>
      <w:r w:rsidR="008D6145" w:rsidRPr="00040041">
        <w:rPr>
          <w:rFonts w:eastAsia="Times New Roman"/>
          <w:lang w:val="fr-FR"/>
        </w:rPr>
        <w:t xml:space="preserve">analyse du tableau </w:t>
      </w:r>
      <w:r w:rsidR="00371E38" w:rsidRPr="006C0894">
        <w:rPr>
          <w:rFonts w:eastAsia="Times New Roman"/>
          <w:bCs/>
          <w:lang w:val="fr-FR"/>
        </w:rPr>
        <w:t>n</w:t>
      </w:r>
      <w:r w:rsidR="00371E38" w:rsidRPr="006C0894">
        <w:rPr>
          <w:rFonts w:eastAsia="Times New Roman"/>
          <w:bCs/>
          <w:vertAlign w:val="superscript"/>
          <w:lang w:val="fr-FR"/>
        </w:rPr>
        <w:t>o</w:t>
      </w:r>
      <w:r w:rsidR="00371E38" w:rsidRPr="006C0894">
        <w:rPr>
          <w:rFonts w:eastAsia="Times New Roman"/>
          <w:bCs/>
          <w:lang w:val="fr-FR"/>
        </w:rPr>
        <w:t> </w:t>
      </w:r>
      <w:r w:rsidR="008D6145" w:rsidRPr="00040041">
        <w:rPr>
          <w:rFonts w:eastAsia="Times New Roman"/>
          <w:lang w:val="fr-FR"/>
        </w:rPr>
        <w:t>3 selon le sexe, révèle que l</w:t>
      </w:r>
      <w:r w:rsidR="00A033A7" w:rsidRPr="00040041">
        <w:rPr>
          <w:rFonts w:eastAsia="Times New Roman"/>
          <w:lang w:val="fr-FR"/>
        </w:rPr>
        <w:t>’</w:t>
      </w:r>
      <w:r w:rsidR="008D6145" w:rsidRPr="00040041">
        <w:rPr>
          <w:rFonts w:eastAsia="Times New Roman"/>
          <w:lang w:val="fr-FR"/>
        </w:rPr>
        <w:t xml:space="preserve">agriculture et le commerce/logistique mobilisent à eux seuls plus de 2/3 des actifs occupés, que ce soit chez les hommes ou chez les femmes. </w:t>
      </w:r>
      <w:r w:rsidR="008D6145" w:rsidRPr="00821D2B">
        <w:t>En effet, les actifs sont 51,7</w:t>
      </w:r>
      <w:r w:rsidR="00371E38" w:rsidRPr="00821D2B">
        <w:t> </w:t>
      </w:r>
      <w:r w:rsidR="008D6145" w:rsidRPr="00821D2B">
        <w:t>% à travailler dans l</w:t>
      </w:r>
      <w:r w:rsidR="00A033A7" w:rsidRPr="00821D2B">
        <w:t>’</w:t>
      </w:r>
      <w:r w:rsidR="008D6145" w:rsidRPr="00821D2B">
        <w:t>agriculture et 17,8</w:t>
      </w:r>
      <w:r w:rsidR="00554A12" w:rsidRPr="00821D2B">
        <w:t> </w:t>
      </w:r>
      <w:r w:rsidR="008D6145" w:rsidRPr="00821D2B">
        <w:t>% dans le commerce/logistique contre respectivement 37,5</w:t>
      </w:r>
      <w:r w:rsidR="00371E38" w:rsidRPr="00821D2B">
        <w:t> </w:t>
      </w:r>
      <w:r w:rsidR="008D6145" w:rsidRPr="00821D2B">
        <w:t>% et 36,4</w:t>
      </w:r>
      <w:r w:rsidR="00371E38" w:rsidRPr="00821D2B">
        <w:t> </w:t>
      </w:r>
      <w:r w:rsidR="008D6145" w:rsidRPr="00821D2B">
        <w:t>% pour les femmes. En dehors des activités agricoles, les hommes se retrouvent dans les travaux de BTP et la fabrication de matériaux de construction, de même que dans l</w:t>
      </w:r>
      <w:r w:rsidR="00A033A7" w:rsidRPr="00821D2B">
        <w:t>’</w:t>
      </w:r>
      <w:r w:rsidR="008D6145" w:rsidRPr="00821D2B">
        <w:t>artisanal industriel représentant respectivement 5,6</w:t>
      </w:r>
      <w:r w:rsidR="00371E38" w:rsidRPr="00821D2B">
        <w:t> </w:t>
      </w:r>
      <w:r w:rsidR="008D6145" w:rsidRPr="00821D2B">
        <w:t>% et 5,1</w:t>
      </w:r>
      <w:r w:rsidR="00371E38" w:rsidRPr="00821D2B">
        <w:t> </w:t>
      </w:r>
      <w:r w:rsidR="008D6145" w:rsidRPr="00821D2B">
        <w:t>% des actifs. Les femmes, quant à elles, sont dans les activités culturelles et touristiques avec 12,0</w:t>
      </w:r>
      <w:r w:rsidR="00371E38" w:rsidRPr="00821D2B">
        <w:t> </w:t>
      </w:r>
      <w:r w:rsidR="008D6145" w:rsidRPr="00821D2B">
        <w:t>% des femmes actives.</w:t>
      </w:r>
    </w:p>
    <w:p w:rsidR="008D6145" w:rsidRPr="008D6145" w:rsidRDefault="008D6145" w:rsidP="00821D2B">
      <w:pPr>
        <w:pStyle w:val="H23G"/>
      </w:pPr>
      <w:r w:rsidRPr="008D6145">
        <w:tab/>
      </w:r>
      <w:r w:rsidRPr="008D6145">
        <w:tab/>
        <w:t>L</w:t>
      </w:r>
      <w:r w:rsidR="00A033A7">
        <w:t>’</w:t>
      </w:r>
      <w:r w:rsidRPr="008D6145">
        <w:t>emploi public</w:t>
      </w:r>
    </w:p>
    <w:p w:rsidR="008D6145" w:rsidRPr="008D6145" w:rsidRDefault="00821D2B" w:rsidP="00821D2B">
      <w:pPr>
        <w:pStyle w:val="SingleTxtG"/>
        <w:kinsoku/>
        <w:overflowPunct/>
        <w:autoSpaceDE/>
        <w:autoSpaceDN/>
        <w:adjustRightInd/>
        <w:snapToGrid/>
        <w:rPr>
          <w:rFonts w:eastAsia="Times New Roman"/>
        </w:rPr>
      </w:pPr>
      <w:r w:rsidRPr="008D6145">
        <w:rPr>
          <w:rFonts w:eastAsia="Times New Roman"/>
        </w:rPr>
        <w:t>21.</w:t>
      </w:r>
      <w:r w:rsidRPr="008D6145">
        <w:rPr>
          <w:rFonts w:eastAsia="Times New Roman"/>
        </w:rPr>
        <w:tab/>
      </w:r>
      <w:r w:rsidR="008D6145" w:rsidRPr="008D6145">
        <w:rPr>
          <w:rFonts w:eastAsia="Times New Roman"/>
        </w:rPr>
        <w:t>L</w:t>
      </w:r>
      <w:r w:rsidR="00A033A7">
        <w:rPr>
          <w:rFonts w:eastAsia="Times New Roman"/>
        </w:rPr>
        <w:t>’</w:t>
      </w:r>
      <w:r w:rsidR="008D6145" w:rsidRPr="008D6145">
        <w:rPr>
          <w:rFonts w:eastAsia="Times New Roman"/>
        </w:rPr>
        <w:t>État reste le principal employeur au Bénin. La Fonction publique est composée de deux catégories d</w:t>
      </w:r>
      <w:r w:rsidR="00A033A7">
        <w:rPr>
          <w:rFonts w:eastAsia="Times New Roman"/>
        </w:rPr>
        <w:t>’</w:t>
      </w:r>
      <w:r w:rsidR="008D6145" w:rsidRPr="008D6145">
        <w:rPr>
          <w:rFonts w:eastAsia="Times New Roman"/>
        </w:rPr>
        <w:t>agents : les Agents Permanents de l</w:t>
      </w:r>
      <w:r w:rsidR="00A033A7">
        <w:rPr>
          <w:rFonts w:eastAsia="Times New Roman"/>
        </w:rPr>
        <w:t xml:space="preserve">’État </w:t>
      </w:r>
      <w:r w:rsidR="008D6145" w:rsidRPr="008D6145">
        <w:rPr>
          <w:rFonts w:eastAsia="Times New Roman"/>
        </w:rPr>
        <w:t>(APE) et les Agents Contractuels de l</w:t>
      </w:r>
      <w:r w:rsidR="00A033A7">
        <w:rPr>
          <w:rFonts w:eastAsia="Times New Roman"/>
        </w:rPr>
        <w:t>’</w:t>
      </w:r>
      <w:r w:rsidR="008D6145" w:rsidRPr="008D6145">
        <w:rPr>
          <w:rFonts w:eastAsia="Times New Roman"/>
        </w:rPr>
        <w:t>État (ACE). L</w:t>
      </w:r>
      <w:r w:rsidR="00A033A7">
        <w:rPr>
          <w:rFonts w:eastAsia="Times New Roman"/>
        </w:rPr>
        <w:t>’</w:t>
      </w:r>
      <w:r w:rsidR="008D6145" w:rsidRPr="008D6145">
        <w:rPr>
          <w:rFonts w:eastAsia="Times New Roman"/>
        </w:rPr>
        <w:t>évolution de l</w:t>
      </w:r>
      <w:r w:rsidR="00A033A7">
        <w:rPr>
          <w:rFonts w:eastAsia="Times New Roman"/>
        </w:rPr>
        <w:t>’</w:t>
      </w:r>
      <w:r w:rsidR="008D6145" w:rsidRPr="008D6145">
        <w:rPr>
          <w:rFonts w:eastAsia="Times New Roman"/>
        </w:rPr>
        <w:t>effectif de ces agents se présente, comme suit :</w:t>
      </w:r>
    </w:p>
    <w:p w:rsidR="008D6145" w:rsidRPr="008D6145" w:rsidRDefault="006E0543" w:rsidP="00821D2B">
      <w:pPr>
        <w:pStyle w:val="H23G"/>
      </w:pPr>
      <w:r>
        <w:tab/>
      </w:r>
      <w:r>
        <w:tab/>
      </w:r>
      <w:r w:rsidR="008D6145" w:rsidRPr="00821D2B">
        <w:rPr>
          <w:b w:val="0"/>
          <w:bCs/>
        </w:rPr>
        <w:t xml:space="preserve">Tableau </w:t>
      </w:r>
      <w:r w:rsidRPr="006E0543">
        <w:rPr>
          <w:b w:val="0"/>
          <w:bCs/>
          <w:lang w:val="fr-FR"/>
        </w:rPr>
        <w:t>n</w:t>
      </w:r>
      <w:r w:rsidRPr="006E0543">
        <w:rPr>
          <w:b w:val="0"/>
          <w:bCs/>
          <w:vertAlign w:val="superscript"/>
          <w:lang w:val="fr-FR"/>
        </w:rPr>
        <w:t>o</w:t>
      </w:r>
      <w:r w:rsidRPr="006E0543">
        <w:rPr>
          <w:b w:val="0"/>
          <w:bCs/>
          <w:lang w:val="fr-FR"/>
        </w:rPr>
        <w:t> </w:t>
      </w:r>
      <w:r w:rsidR="008D6145" w:rsidRPr="00821D2B">
        <w:rPr>
          <w:b w:val="0"/>
          <w:bCs/>
        </w:rPr>
        <w:t>4</w:t>
      </w:r>
      <w:r w:rsidR="008D6145" w:rsidRPr="008D6145">
        <w:t> </w:t>
      </w:r>
      <w:r w:rsidR="008D6145" w:rsidRPr="008D6145">
        <w:br/>
        <w:t>Évolution de l</w:t>
      </w:r>
      <w:r w:rsidR="00A033A7">
        <w:t>’</w:t>
      </w:r>
      <w:r w:rsidR="008D6145" w:rsidRPr="008D6145">
        <w:t>effectif des agents de l</w:t>
      </w:r>
      <w:r w:rsidR="00A033A7">
        <w:t xml:space="preserve">’État </w:t>
      </w:r>
      <w:r w:rsidR="008D6145" w:rsidRPr="008D6145">
        <w:t>par statut</w:t>
      </w:r>
    </w:p>
    <w:tbl>
      <w:tblPr>
        <w:tblW w:w="0" w:type="auto"/>
        <w:tblInd w:w="1134" w:type="dxa"/>
        <w:tblLayout w:type="fixed"/>
        <w:tblCellMar>
          <w:left w:w="0" w:type="dxa"/>
          <w:right w:w="0" w:type="dxa"/>
        </w:tblCellMar>
        <w:tblLook w:val="04A0" w:firstRow="1" w:lastRow="0" w:firstColumn="1" w:lastColumn="0" w:noHBand="0" w:noVBand="1"/>
      </w:tblPr>
      <w:tblGrid>
        <w:gridCol w:w="2268"/>
        <w:gridCol w:w="1701"/>
        <w:gridCol w:w="1701"/>
        <w:gridCol w:w="1701"/>
      </w:tblGrid>
      <w:tr w:rsidR="008D6145" w:rsidRPr="00180584" w:rsidTr="00821D2B">
        <w:trPr>
          <w:tblHeader/>
        </w:trPr>
        <w:tc>
          <w:tcPr>
            <w:tcW w:w="2268" w:type="dxa"/>
            <w:vMerge w:val="restart"/>
            <w:tcBorders>
              <w:top w:val="single" w:sz="4" w:space="0" w:color="auto"/>
              <w:bottom w:val="single" w:sz="12" w:space="0" w:color="auto"/>
            </w:tcBorders>
            <w:shd w:val="clear" w:color="auto" w:fill="auto"/>
            <w:noWrap/>
            <w:vAlign w:val="bottom"/>
            <w:hideMark/>
          </w:tcPr>
          <w:p w:rsidR="008D6145" w:rsidRPr="00821D2B" w:rsidRDefault="008D6145">
            <w:pPr>
              <w:suppressAutoHyphens w:val="0"/>
              <w:kinsoku/>
              <w:overflowPunct/>
              <w:autoSpaceDE/>
              <w:autoSpaceDN/>
              <w:adjustRightInd/>
              <w:snapToGrid/>
              <w:spacing w:before="80" w:after="80" w:line="200" w:lineRule="exact"/>
              <w:rPr>
                <w:rFonts w:eastAsia="Times New Roman"/>
                <w:i/>
                <w:sz w:val="16"/>
                <w:szCs w:val="16"/>
              </w:rPr>
            </w:pPr>
            <w:r w:rsidRPr="00821D2B">
              <w:rPr>
                <w:rFonts w:eastAsia="Times New Roman"/>
                <w:i/>
                <w:sz w:val="16"/>
                <w:szCs w:val="16"/>
              </w:rPr>
              <w:t>Année</w:t>
            </w:r>
          </w:p>
        </w:tc>
        <w:tc>
          <w:tcPr>
            <w:tcW w:w="1701" w:type="dxa"/>
            <w:gridSpan w:val="3"/>
            <w:tcBorders>
              <w:top w:val="single" w:sz="4" w:space="0" w:color="auto"/>
              <w:bottom w:val="single" w:sz="4" w:space="0" w:color="auto"/>
            </w:tcBorders>
            <w:shd w:val="clear" w:color="auto" w:fill="auto"/>
            <w:noWrap/>
            <w:vAlign w:val="bottom"/>
            <w:hideMark/>
          </w:tcPr>
          <w:p w:rsidR="008D6145" w:rsidRPr="00821D2B" w:rsidRDefault="008D6145" w:rsidP="00821D2B">
            <w:pPr>
              <w:suppressAutoHyphens w:val="0"/>
              <w:kinsoku/>
              <w:overflowPunct/>
              <w:autoSpaceDE/>
              <w:autoSpaceDN/>
              <w:adjustRightInd/>
              <w:snapToGrid/>
              <w:spacing w:before="80" w:after="80" w:line="200" w:lineRule="exact"/>
              <w:jc w:val="center"/>
              <w:rPr>
                <w:rFonts w:eastAsia="Times New Roman"/>
                <w:i/>
                <w:sz w:val="16"/>
                <w:szCs w:val="16"/>
              </w:rPr>
            </w:pPr>
            <w:r w:rsidRPr="00821D2B">
              <w:rPr>
                <w:rFonts w:eastAsia="Times New Roman"/>
                <w:i/>
                <w:sz w:val="16"/>
                <w:szCs w:val="16"/>
              </w:rPr>
              <w:t>Effectif</w:t>
            </w:r>
          </w:p>
        </w:tc>
      </w:tr>
      <w:tr w:rsidR="008D6145" w:rsidRPr="00180584" w:rsidTr="00821D2B">
        <w:trPr>
          <w:tblHeader/>
        </w:trPr>
        <w:tc>
          <w:tcPr>
            <w:tcW w:w="2268" w:type="dxa"/>
            <w:vMerge/>
            <w:tcBorders>
              <w:bottom w:val="single" w:sz="12" w:space="0" w:color="auto"/>
            </w:tcBorders>
            <w:shd w:val="clear" w:color="auto" w:fill="auto"/>
            <w:vAlign w:val="bottom"/>
            <w:hideMark/>
          </w:tcPr>
          <w:p w:rsidR="008D6145" w:rsidRPr="00821D2B" w:rsidRDefault="008D6145" w:rsidP="00821D2B">
            <w:pPr>
              <w:suppressAutoHyphens w:val="0"/>
              <w:kinsoku/>
              <w:overflowPunct/>
              <w:autoSpaceDE/>
              <w:autoSpaceDN/>
              <w:adjustRightInd/>
              <w:snapToGrid/>
              <w:spacing w:before="80" w:after="80" w:line="200" w:lineRule="exact"/>
              <w:rPr>
                <w:rFonts w:eastAsia="Times New Roman"/>
                <w:i/>
                <w:sz w:val="16"/>
                <w:szCs w:val="16"/>
              </w:rPr>
            </w:pPr>
          </w:p>
        </w:tc>
        <w:tc>
          <w:tcPr>
            <w:tcW w:w="1701" w:type="dxa"/>
            <w:tcBorders>
              <w:top w:val="single" w:sz="4" w:space="0" w:color="auto"/>
              <w:bottom w:val="single" w:sz="12" w:space="0" w:color="auto"/>
            </w:tcBorders>
            <w:shd w:val="clear" w:color="auto" w:fill="auto"/>
            <w:noWrap/>
            <w:vAlign w:val="bottom"/>
            <w:hideMark/>
          </w:tcPr>
          <w:p w:rsidR="008D6145" w:rsidRPr="00821D2B" w:rsidRDefault="008D6145" w:rsidP="00821D2B">
            <w:pPr>
              <w:suppressAutoHyphens w:val="0"/>
              <w:kinsoku/>
              <w:overflowPunct/>
              <w:autoSpaceDE/>
              <w:autoSpaceDN/>
              <w:adjustRightInd/>
              <w:snapToGrid/>
              <w:spacing w:before="80" w:after="80" w:line="200" w:lineRule="exact"/>
              <w:jc w:val="right"/>
              <w:rPr>
                <w:rFonts w:eastAsia="Times New Roman"/>
                <w:i/>
                <w:sz w:val="16"/>
                <w:szCs w:val="16"/>
              </w:rPr>
            </w:pPr>
            <w:r w:rsidRPr="00821D2B">
              <w:rPr>
                <w:rFonts w:eastAsia="Times New Roman"/>
                <w:i/>
                <w:sz w:val="16"/>
                <w:szCs w:val="16"/>
              </w:rPr>
              <w:t>APE</w:t>
            </w:r>
          </w:p>
        </w:tc>
        <w:tc>
          <w:tcPr>
            <w:tcW w:w="1701" w:type="dxa"/>
            <w:tcBorders>
              <w:top w:val="single" w:sz="4" w:space="0" w:color="auto"/>
              <w:bottom w:val="single" w:sz="12" w:space="0" w:color="auto"/>
            </w:tcBorders>
            <w:shd w:val="clear" w:color="auto" w:fill="auto"/>
            <w:noWrap/>
            <w:vAlign w:val="bottom"/>
            <w:hideMark/>
          </w:tcPr>
          <w:p w:rsidR="008D6145" w:rsidRPr="00821D2B" w:rsidRDefault="008D6145" w:rsidP="00821D2B">
            <w:pPr>
              <w:suppressAutoHyphens w:val="0"/>
              <w:kinsoku/>
              <w:overflowPunct/>
              <w:autoSpaceDE/>
              <w:autoSpaceDN/>
              <w:adjustRightInd/>
              <w:snapToGrid/>
              <w:spacing w:before="80" w:after="80" w:line="200" w:lineRule="exact"/>
              <w:jc w:val="right"/>
              <w:rPr>
                <w:rFonts w:eastAsia="Times New Roman"/>
                <w:i/>
                <w:sz w:val="16"/>
                <w:szCs w:val="16"/>
              </w:rPr>
            </w:pPr>
            <w:r w:rsidRPr="00821D2B">
              <w:rPr>
                <w:rFonts w:eastAsia="Times New Roman"/>
                <w:i/>
                <w:sz w:val="16"/>
                <w:szCs w:val="16"/>
              </w:rPr>
              <w:t>ACE</w:t>
            </w:r>
          </w:p>
        </w:tc>
        <w:tc>
          <w:tcPr>
            <w:tcW w:w="1701" w:type="dxa"/>
            <w:tcBorders>
              <w:top w:val="single" w:sz="4" w:space="0" w:color="auto"/>
              <w:bottom w:val="single" w:sz="12" w:space="0" w:color="auto"/>
            </w:tcBorders>
            <w:shd w:val="clear" w:color="auto" w:fill="auto"/>
            <w:noWrap/>
            <w:vAlign w:val="bottom"/>
            <w:hideMark/>
          </w:tcPr>
          <w:p w:rsidR="008D6145" w:rsidRPr="00821D2B" w:rsidRDefault="006E0543" w:rsidP="00821D2B">
            <w:pPr>
              <w:suppressAutoHyphens w:val="0"/>
              <w:kinsoku/>
              <w:overflowPunct/>
              <w:autoSpaceDE/>
              <w:autoSpaceDN/>
              <w:adjustRightInd/>
              <w:snapToGrid/>
              <w:spacing w:before="80" w:after="80" w:line="200" w:lineRule="exact"/>
              <w:jc w:val="right"/>
              <w:rPr>
                <w:rFonts w:eastAsia="Times New Roman"/>
                <w:b/>
                <w:bCs/>
                <w:i/>
                <w:sz w:val="16"/>
                <w:szCs w:val="16"/>
              </w:rPr>
            </w:pPr>
            <w:r w:rsidRPr="00821D2B">
              <w:rPr>
                <w:rFonts w:eastAsia="Times New Roman"/>
                <w:b/>
                <w:bCs/>
                <w:i/>
                <w:sz w:val="16"/>
                <w:szCs w:val="16"/>
              </w:rPr>
              <w:t>Total</w:t>
            </w:r>
          </w:p>
        </w:tc>
      </w:tr>
      <w:tr w:rsidR="008D6145" w:rsidRPr="008D6145" w:rsidTr="00821D2B">
        <w:tc>
          <w:tcPr>
            <w:tcW w:w="2268" w:type="dxa"/>
            <w:tcBorders>
              <w:top w:val="single" w:sz="12" w:space="0" w:color="auto"/>
            </w:tcBorders>
            <w:shd w:val="clear" w:color="auto" w:fill="auto"/>
            <w:noWrap/>
            <w:hideMark/>
          </w:tcPr>
          <w:p w:rsidR="008D6145" w:rsidRPr="008D6145" w:rsidRDefault="008D6145" w:rsidP="008D6145">
            <w:pPr>
              <w:suppressAutoHyphens w:val="0"/>
              <w:kinsoku/>
              <w:overflowPunct/>
              <w:autoSpaceDE/>
              <w:autoSpaceDN/>
              <w:adjustRightInd/>
              <w:snapToGrid/>
              <w:spacing w:before="40" w:after="40" w:line="220" w:lineRule="exact"/>
              <w:rPr>
                <w:rFonts w:eastAsia="Times New Roman"/>
                <w:sz w:val="18"/>
              </w:rPr>
            </w:pPr>
            <w:r w:rsidRPr="008D6145">
              <w:rPr>
                <w:rFonts w:eastAsia="Times New Roman"/>
                <w:sz w:val="18"/>
              </w:rPr>
              <w:t>2008</w:t>
            </w:r>
          </w:p>
        </w:tc>
        <w:tc>
          <w:tcPr>
            <w:tcW w:w="1701" w:type="dxa"/>
            <w:tcBorders>
              <w:top w:val="single" w:sz="12" w:space="0" w:color="auto"/>
            </w:tcBorders>
            <w:shd w:val="clear" w:color="auto" w:fill="auto"/>
            <w:noWrap/>
            <w:vAlign w:val="bottom"/>
            <w:hideMark/>
          </w:tcPr>
          <w:p w:rsidR="008D6145" w:rsidRPr="008D6145" w:rsidRDefault="008D6145">
            <w:pPr>
              <w:suppressAutoHyphens w:val="0"/>
              <w:kinsoku/>
              <w:overflowPunct/>
              <w:autoSpaceDE/>
              <w:autoSpaceDN/>
              <w:adjustRightInd/>
              <w:snapToGrid/>
              <w:spacing w:before="40" w:after="40" w:line="220" w:lineRule="exact"/>
              <w:jc w:val="right"/>
              <w:rPr>
                <w:rFonts w:eastAsia="Times New Roman"/>
                <w:sz w:val="18"/>
              </w:rPr>
            </w:pPr>
            <w:r w:rsidRPr="008D6145">
              <w:rPr>
                <w:rFonts w:eastAsia="Times New Roman"/>
                <w:sz w:val="18"/>
              </w:rPr>
              <w:t>35 022</w:t>
            </w:r>
          </w:p>
        </w:tc>
        <w:tc>
          <w:tcPr>
            <w:tcW w:w="1701" w:type="dxa"/>
            <w:tcBorders>
              <w:top w:val="single" w:sz="12" w:space="0" w:color="auto"/>
            </w:tcBorders>
            <w:shd w:val="clear" w:color="auto" w:fill="auto"/>
            <w:noWrap/>
            <w:vAlign w:val="bottom"/>
            <w:hideMark/>
          </w:tcPr>
          <w:p w:rsidR="008D6145" w:rsidRPr="008D6145" w:rsidRDefault="008D6145" w:rsidP="008D6145">
            <w:pPr>
              <w:suppressAutoHyphens w:val="0"/>
              <w:kinsoku/>
              <w:overflowPunct/>
              <w:autoSpaceDE/>
              <w:autoSpaceDN/>
              <w:adjustRightInd/>
              <w:snapToGrid/>
              <w:spacing w:before="40" w:after="40" w:line="220" w:lineRule="exact"/>
              <w:jc w:val="right"/>
              <w:rPr>
                <w:rFonts w:eastAsia="Times New Roman"/>
                <w:sz w:val="18"/>
              </w:rPr>
            </w:pPr>
            <w:r w:rsidRPr="008D6145">
              <w:rPr>
                <w:rFonts w:eastAsia="Times New Roman"/>
                <w:sz w:val="18"/>
              </w:rPr>
              <w:t>12 153</w:t>
            </w:r>
          </w:p>
        </w:tc>
        <w:tc>
          <w:tcPr>
            <w:tcW w:w="1701" w:type="dxa"/>
            <w:tcBorders>
              <w:top w:val="single" w:sz="12" w:space="0" w:color="auto"/>
            </w:tcBorders>
            <w:shd w:val="clear" w:color="auto" w:fill="auto"/>
            <w:noWrap/>
            <w:vAlign w:val="bottom"/>
            <w:hideMark/>
          </w:tcPr>
          <w:p w:rsidR="008D6145" w:rsidRPr="00821D2B" w:rsidRDefault="008D6145" w:rsidP="008D6145">
            <w:pPr>
              <w:suppressAutoHyphens w:val="0"/>
              <w:kinsoku/>
              <w:overflowPunct/>
              <w:autoSpaceDE/>
              <w:autoSpaceDN/>
              <w:adjustRightInd/>
              <w:snapToGrid/>
              <w:spacing w:before="40" w:after="40" w:line="220" w:lineRule="exact"/>
              <w:jc w:val="right"/>
              <w:rPr>
                <w:rFonts w:eastAsia="Times New Roman"/>
                <w:b/>
                <w:bCs/>
                <w:sz w:val="18"/>
              </w:rPr>
            </w:pPr>
            <w:r w:rsidRPr="00821D2B">
              <w:rPr>
                <w:rFonts w:eastAsia="Times New Roman"/>
                <w:b/>
                <w:bCs/>
                <w:sz w:val="18"/>
              </w:rPr>
              <w:t>47 175</w:t>
            </w:r>
          </w:p>
        </w:tc>
      </w:tr>
      <w:tr w:rsidR="008D6145" w:rsidRPr="008D6145" w:rsidTr="00821D2B">
        <w:tc>
          <w:tcPr>
            <w:tcW w:w="2268" w:type="dxa"/>
            <w:shd w:val="clear" w:color="auto" w:fill="auto"/>
            <w:noWrap/>
            <w:hideMark/>
          </w:tcPr>
          <w:p w:rsidR="008D6145" w:rsidRPr="008D6145" w:rsidRDefault="008D6145" w:rsidP="008D6145">
            <w:pPr>
              <w:suppressAutoHyphens w:val="0"/>
              <w:kinsoku/>
              <w:overflowPunct/>
              <w:autoSpaceDE/>
              <w:autoSpaceDN/>
              <w:adjustRightInd/>
              <w:snapToGrid/>
              <w:spacing w:before="40" w:after="40" w:line="220" w:lineRule="exact"/>
              <w:rPr>
                <w:rFonts w:eastAsia="Times New Roman"/>
                <w:sz w:val="18"/>
              </w:rPr>
            </w:pPr>
            <w:r w:rsidRPr="008D6145">
              <w:rPr>
                <w:rFonts w:eastAsia="Times New Roman"/>
                <w:sz w:val="18"/>
              </w:rPr>
              <w:t>2009</w:t>
            </w:r>
          </w:p>
        </w:tc>
        <w:tc>
          <w:tcPr>
            <w:tcW w:w="1701" w:type="dxa"/>
            <w:shd w:val="clear" w:color="auto" w:fill="auto"/>
            <w:noWrap/>
            <w:vAlign w:val="bottom"/>
            <w:hideMark/>
          </w:tcPr>
          <w:p w:rsidR="008D6145" w:rsidRPr="008D6145" w:rsidRDefault="008D6145" w:rsidP="008D6145">
            <w:pPr>
              <w:suppressAutoHyphens w:val="0"/>
              <w:kinsoku/>
              <w:overflowPunct/>
              <w:autoSpaceDE/>
              <w:autoSpaceDN/>
              <w:adjustRightInd/>
              <w:snapToGrid/>
              <w:spacing w:before="40" w:after="40" w:line="220" w:lineRule="exact"/>
              <w:jc w:val="right"/>
              <w:rPr>
                <w:rFonts w:eastAsia="Times New Roman"/>
                <w:sz w:val="18"/>
              </w:rPr>
            </w:pPr>
            <w:r w:rsidRPr="008D6145">
              <w:rPr>
                <w:rFonts w:eastAsia="Times New Roman"/>
                <w:sz w:val="18"/>
              </w:rPr>
              <w:t>35 247</w:t>
            </w:r>
          </w:p>
        </w:tc>
        <w:tc>
          <w:tcPr>
            <w:tcW w:w="1701" w:type="dxa"/>
            <w:shd w:val="clear" w:color="auto" w:fill="auto"/>
            <w:noWrap/>
            <w:vAlign w:val="bottom"/>
            <w:hideMark/>
          </w:tcPr>
          <w:p w:rsidR="008D6145" w:rsidRPr="008D6145" w:rsidRDefault="008D6145" w:rsidP="008D6145">
            <w:pPr>
              <w:suppressAutoHyphens w:val="0"/>
              <w:kinsoku/>
              <w:overflowPunct/>
              <w:autoSpaceDE/>
              <w:autoSpaceDN/>
              <w:adjustRightInd/>
              <w:snapToGrid/>
              <w:spacing w:before="40" w:after="40" w:line="220" w:lineRule="exact"/>
              <w:jc w:val="right"/>
              <w:rPr>
                <w:rFonts w:eastAsia="Times New Roman"/>
                <w:sz w:val="18"/>
              </w:rPr>
            </w:pPr>
            <w:r w:rsidRPr="008D6145">
              <w:rPr>
                <w:rFonts w:eastAsia="Times New Roman"/>
                <w:sz w:val="18"/>
              </w:rPr>
              <w:t>12 388</w:t>
            </w:r>
          </w:p>
        </w:tc>
        <w:tc>
          <w:tcPr>
            <w:tcW w:w="1701" w:type="dxa"/>
            <w:shd w:val="clear" w:color="auto" w:fill="auto"/>
            <w:noWrap/>
            <w:vAlign w:val="bottom"/>
            <w:hideMark/>
          </w:tcPr>
          <w:p w:rsidR="008D6145" w:rsidRPr="00821D2B" w:rsidRDefault="008D6145" w:rsidP="008D6145">
            <w:pPr>
              <w:suppressAutoHyphens w:val="0"/>
              <w:kinsoku/>
              <w:overflowPunct/>
              <w:autoSpaceDE/>
              <w:autoSpaceDN/>
              <w:adjustRightInd/>
              <w:snapToGrid/>
              <w:spacing w:before="40" w:after="40" w:line="220" w:lineRule="exact"/>
              <w:jc w:val="right"/>
              <w:rPr>
                <w:rFonts w:eastAsia="Times New Roman"/>
                <w:b/>
                <w:bCs/>
                <w:sz w:val="18"/>
              </w:rPr>
            </w:pPr>
            <w:r w:rsidRPr="00821D2B">
              <w:rPr>
                <w:rFonts w:eastAsia="Times New Roman"/>
                <w:b/>
                <w:bCs/>
                <w:sz w:val="18"/>
              </w:rPr>
              <w:t>47 635</w:t>
            </w:r>
          </w:p>
        </w:tc>
      </w:tr>
      <w:tr w:rsidR="008D6145" w:rsidRPr="008D6145" w:rsidTr="00821D2B">
        <w:tc>
          <w:tcPr>
            <w:tcW w:w="2268" w:type="dxa"/>
            <w:shd w:val="clear" w:color="auto" w:fill="auto"/>
            <w:noWrap/>
            <w:hideMark/>
          </w:tcPr>
          <w:p w:rsidR="008D6145" w:rsidRPr="008D6145" w:rsidRDefault="008D6145" w:rsidP="008D6145">
            <w:pPr>
              <w:suppressAutoHyphens w:val="0"/>
              <w:kinsoku/>
              <w:overflowPunct/>
              <w:autoSpaceDE/>
              <w:autoSpaceDN/>
              <w:adjustRightInd/>
              <w:snapToGrid/>
              <w:spacing w:before="40" w:after="40" w:line="220" w:lineRule="exact"/>
              <w:rPr>
                <w:rFonts w:eastAsia="Times New Roman"/>
                <w:sz w:val="18"/>
              </w:rPr>
            </w:pPr>
            <w:r w:rsidRPr="008D6145">
              <w:rPr>
                <w:rFonts w:eastAsia="Times New Roman"/>
                <w:sz w:val="18"/>
              </w:rPr>
              <w:t>2010</w:t>
            </w:r>
          </w:p>
        </w:tc>
        <w:tc>
          <w:tcPr>
            <w:tcW w:w="1701" w:type="dxa"/>
            <w:shd w:val="clear" w:color="auto" w:fill="auto"/>
            <w:noWrap/>
            <w:vAlign w:val="bottom"/>
            <w:hideMark/>
          </w:tcPr>
          <w:p w:rsidR="008D6145" w:rsidRPr="008D6145" w:rsidRDefault="008D6145" w:rsidP="008D6145">
            <w:pPr>
              <w:suppressAutoHyphens w:val="0"/>
              <w:kinsoku/>
              <w:overflowPunct/>
              <w:autoSpaceDE/>
              <w:autoSpaceDN/>
              <w:adjustRightInd/>
              <w:snapToGrid/>
              <w:spacing w:before="40" w:after="40" w:line="220" w:lineRule="exact"/>
              <w:jc w:val="right"/>
              <w:rPr>
                <w:rFonts w:eastAsia="Times New Roman"/>
                <w:sz w:val="18"/>
              </w:rPr>
            </w:pPr>
            <w:r w:rsidRPr="008D6145">
              <w:rPr>
                <w:rFonts w:eastAsia="Times New Roman"/>
                <w:sz w:val="18"/>
              </w:rPr>
              <w:t>35 434</w:t>
            </w:r>
          </w:p>
        </w:tc>
        <w:tc>
          <w:tcPr>
            <w:tcW w:w="1701" w:type="dxa"/>
            <w:shd w:val="clear" w:color="auto" w:fill="auto"/>
            <w:noWrap/>
            <w:vAlign w:val="bottom"/>
            <w:hideMark/>
          </w:tcPr>
          <w:p w:rsidR="008D6145" w:rsidRPr="008D6145" w:rsidRDefault="008D6145" w:rsidP="008D6145">
            <w:pPr>
              <w:suppressAutoHyphens w:val="0"/>
              <w:kinsoku/>
              <w:overflowPunct/>
              <w:autoSpaceDE/>
              <w:autoSpaceDN/>
              <w:adjustRightInd/>
              <w:snapToGrid/>
              <w:spacing w:before="40" w:after="40" w:line="220" w:lineRule="exact"/>
              <w:jc w:val="right"/>
              <w:rPr>
                <w:rFonts w:eastAsia="Times New Roman"/>
                <w:sz w:val="18"/>
              </w:rPr>
            </w:pPr>
            <w:r w:rsidRPr="008D6145">
              <w:rPr>
                <w:rFonts w:eastAsia="Times New Roman"/>
                <w:sz w:val="18"/>
              </w:rPr>
              <w:t>15 670</w:t>
            </w:r>
          </w:p>
        </w:tc>
        <w:tc>
          <w:tcPr>
            <w:tcW w:w="1701" w:type="dxa"/>
            <w:shd w:val="clear" w:color="auto" w:fill="auto"/>
            <w:noWrap/>
            <w:vAlign w:val="bottom"/>
            <w:hideMark/>
          </w:tcPr>
          <w:p w:rsidR="008D6145" w:rsidRPr="00821D2B" w:rsidRDefault="008D6145" w:rsidP="008D6145">
            <w:pPr>
              <w:suppressAutoHyphens w:val="0"/>
              <w:kinsoku/>
              <w:overflowPunct/>
              <w:autoSpaceDE/>
              <w:autoSpaceDN/>
              <w:adjustRightInd/>
              <w:snapToGrid/>
              <w:spacing w:before="40" w:after="40" w:line="220" w:lineRule="exact"/>
              <w:jc w:val="right"/>
              <w:rPr>
                <w:rFonts w:eastAsia="Times New Roman"/>
                <w:b/>
                <w:bCs/>
                <w:sz w:val="18"/>
              </w:rPr>
            </w:pPr>
            <w:r w:rsidRPr="00821D2B">
              <w:rPr>
                <w:rFonts w:eastAsia="Times New Roman"/>
                <w:b/>
                <w:bCs/>
                <w:sz w:val="18"/>
              </w:rPr>
              <w:t>51 104</w:t>
            </w:r>
          </w:p>
        </w:tc>
      </w:tr>
      <w:tr w:rsidR="008D6145" w:rsidRPr="008D6145" w:rsidTr="00821D2B">
        <w:tc>
          <w:tcPr>
            <w:tcW w:w="2268" w:type="dxa"/>
            <w:shd w:val="clear" w:color="auto" w:fill="auto"/>
            <w:noWrap/>
            <w:hideMark/>
          </w:tcPr>
          <w:p w:rsidR="008D6145" w:rsidRPr="008D6145" w:rsidRDefault="008D6145" w:rsidP="008D6145">
            <w:pPr>
              <w:suppressAutoHyphens w:val="0"/>
              <w:kinsoku/>
              <w:overflowPunct/>
              <w:autoSpaceDE/>
              <w:autoSpaceDN/>
              <w:adjustRightInd/>
              <w:snapToGrid/>
              <w:spacing w:before="40" w:after="40" w:line="220" w:lineRule="exact"/>
              <w:rPr>
                <w:rFonts w:eastAsia="Times New Roman"/>
                <w:sz w:val="18"/>
              </w:rPr>
            </w:pPr>
            <w:r w:rsidRPr="008D6145">
              <w:rPr>
                <w:rFonts w:eastAsia="Times New Roman"/>
                <w:sz w:val="18"/>
              </w:rPr>
              <w:t>2011</w:t>
            </w:r>
          </w:p>
        </w:tc>
        <w:tc>
          <w:tcPr>
            <w:tcW w:w="1701" w:type="dxa"/>
            <w:shd w:val="clear" w:color="auto" w:fill="auto"/>
            <w:noWrap/>
            <w:vAlign w:val="bottom"/>
            <w:hideMark/>
          </w:tcPr>
          <w:p w:rsidR="008D6145" w:rsidRPr="008D6145" w:rsidRDefault="008D6145" w:rsidP="008D6145">
            <w:pPr>
              <w:suppressAutoHyphens w:val="0"/>
              <w:kinsoku/>
              <w:overflowPunct/>
              <w:autoSpaceDE/>
              <w:autoSpaceDN/>
              <w:adjustRightInd/>
              <w:snapToGrid/>
              <w:spacing w:before="40" w:after="40" w:line="220" w:lineRule="exact"/>
              <w:jc w:val="right"/>
              <w:rPr>
                <w:rFonts w:eastAsia="Times New Roman"/>
                <w:sz w:val="18"/>
              </w:rPr>
            </w:pPr>
            <w:r w:rsidRPr="008D6145">
              <w:rPr>
                <w:rFonts w:eastAsia="Times New Roman"/>
                <w:sz w:val="18"/>
              </w:rPr>
              <w:t>31 247</w:t>
            </w:r>
          </w:p>
        </w:tc>
        <w:tc>
          <w:tcPr>
            <w:tcW w:w="1701" w:type="dxa"/>
            <w:shd w:val="clear" w:color="auto" w:fill="auto"/>
            <w:noWrap/>
            <w:vAlign w:val="bottom"/>
            <w:hideMark/>
          </w:tcPr>
          <w:p w:rsidR="008D6145" w:rsidRPr="008D6145" w:rsidRDefault="008D6145" w:rsidP="008D6145">
            <w:pPr>
              <w:suppressAutoHyphens w:val="0"/>
              <w:kinsoku/>
              <w:overflowPunct/>
              <w:autoSpaceDE/>
              <w:autoSpaceDN/>
              <w:adjustRightInd/>
              <w:snapToGrid/>
              <w:spacing w:before="40" w:after="40" w:line="220" w:lineRule="exact"/>
              <w:jc w:val="right"/>
              <w:rPr>
                <w:rFonts w:eastAsia="Times New Roman"/>
                <w:sz w:val="18"/>
              </w:rPr>
            </w:pPr>
            <w:r w:rsidRPr="008D6145">
              <w:rPr>
                <w:rFonts w:eastAsia="Times New Roman"/>
                <w:sz w:val="18"/>
              </w:rPr>
              <w:t>34 897</w:t>
            </w:r>
          </w:p>
        </w:tc>
        <w:tc>
          <w:tcPr>
            <w:tcW w:w="1701" w:type="dxa"/>
            <w:shd w:val="clear" w:color="auto" w:fill="auto"/>
            <w:noWrap/>
            <w:vAlign w:val="bottom"/>
            <w:hideMark/>
          </w:tcPr>
          <w:p w:rsidR="008D6145" w:rsidRPr="00821D2B" w:rsidRDefault="008D6145" w:rsidP="008D6145">
            <w:pPr>
              <w:suppressAutoHyphens w:val="0"/>
              <w:kinsoku/>
              <w:overflowPunct/>
              <w:autoSpaceDE/>
              <w:autoSpaceDN/>
              <w:adjustRightInd/>
              <w:snapToGrid/>
              <w:spacing w:before="40" w:after="40" w:line="220" w:lineRule="exact"/>
              <w:jc w:val="right"/>
              <w:rPr>
                <w:rFonts w:eastAsia="Times New Roman"/>
                <w:b/>
                <w:bCs/>
                <w:sz w:val="18"/>
              </w:rPr>
            </w:pPr>
            <w:r w:rsidRPr="00821D2B">
              <w:rPr>
                <w:rFonts w:eastAsia="Times New Roman"/>
                <w:b/>
                <w:bCs/>
                <w:sz w:val="18"/>
              </w:rPr>
              <w:t>66 144</w:t>
            </w:r>
          </w:p>
        </w:tc>
      </w:tr>
      <w:tr w:rsidR="008D6145" w:rsidRPr="008D6145" w:rsidTr="00821D2B">
        <w:tc>
          <w:tcPr>
            <w:tcW w:w="2268" w:type="dxa"/>
            <w:shd w:val="clear" w:color="auto" w:fill="auto"/>
            <w:noWrap/>
            <w:hideMark/>
          </w:tcPr>
          <w:p w:rsidR="008D6145" w:rsidRPr="008D6145" w:rsidRDefault="008D6145" w:rsidP="008D6145">
            <w:pPr>
              <w:suppressAutoHyphens w:val="0"/>
              <w:kinsoku/>
              <w:overflowPunct/>
              <w:autoSpaceDE/>
              <w:autoSpaceDN/>
              <w:adjustRightInd/>
              <w:snapToGrid/>
              <w:spacing w:before="40" w:after="40" w:line="220" w:lineRule="exact"/>
              <w:rPr>
                <w:rFonts w:eastAsia="Times New Roman"/>
                <w:sz w:val="18"/>
              </w:rPr>
            </w:pPr>
            <w:r w:rsidRPr="008D6145">
              <w:rPr>
                <w:rFonts w:eastAsia="Times New Roman"/>
                <w:sz w:val="18"/>
              </w:rPr>
              <w:t>2012</w:t>
            </w:r>
          </w:p>
        </w:tc>
        <w:tc>
          <w:tcPr>
            <w:tcW w:w="1701" w:type="dxa"/>
            <w:shd w:val="clear" w:color="auto" w:fill="auto"/>
            <w:noWrap/>
            <w:vAlign w:val="bottom"/>
            <w:hideMark/>
          </w:tcPr>
          <w:p w:rsidR="008D6145" w:rsidRPr="008D6145" w:rsidRDefault="008D6145" w:rsidP="008D6145">
            <w:pPr>
              <w:suppressAutoHyphens w:val="0"/>
              <w:kinsoku/>
              <w:overflowPunct/>
              <w:autoSpaceDE/>
              <w:autoSpaceDN/>
              <w:adjustRightInd/>
              <w:snapToGrid/>
              <w:spacing w:before="40" w:after="40" w:line="220" w:lineRule="exact"/>
              <w:jc w:val="right"/>
              <w:rPr>
                <w:rFonts w:eastAsia="Times New Roman"/>
                <w:sz w:val="18"/>
              </w:rPr>
            </w:pPr>
            <w:r w:rsidRPr="008D6145">
              <w:rPr>
                <w:rFonts w:eastAsia="Times New Roman"/>
                <w:sz w:val="18"/>
              </w:rPr>
              <w:t>29 274</w:t>
            </w:r>
          </w:p>
        </w:tc>
        <w:tc>
          <w:tcPr>
            <w:tcW w:w="1701" w:type="dxa"/>
            <w:shd w:val="clear" w:color="auto" w:fill="auto"/>
            <w:noWrap/>
            <w:vAlign w:val="bottom"/>
            <w:hideMark/>
          </w:tcPr>
          <w:p w:rsidR="008D6145" w:rsidRPr="008D6145" w:rsidRDefault="008D6145" w:rsidP="008D6145">
            <w:pPr>
              <w:suppressAutoHyphens w:val="0"/>
              <w:kinsoku/>
              <w:overflowPunct/>
              <w:autoSpaceDE/>
              <w:autoSpaceDN/>
              <w:adjustRightInd/>
              <w:snapToGrid/>
              <w:spacing w:before="40" w:after="40" w:line="220" w:lineRule="exact"/>
              <w:jc w:val="right"/>
              <w:rPr>
                <w:rFonts w:eastAsia="Times New Roman"/>
                <w:sz w:val="18"/>
              </w:rPr>
            </w:pPr>
            <w:r w:rsidRPr="008D6145">
              <w:rPr>
                <w:rFonts w:eastAsia="Times New Roman"/>
                <w:sz w:val="18"/>
              </w:rPr>
              <w:t>41 201</w:t>
            </w:r>
          </w:p>
        </w:tc>
        <w:tc>
          <w:tcPr>
            <w:tcW w:w="1701" w:type="dxa"/>
            <w:shd w:val="clear" w:color="auto" w:fill="auto"/>
            <w:noWrap/>
            <w:vAlign w:val="bottom"/>
            <w:hideMark/>
          </w:tcPr>
          <w:p w:rsidR="008D6145" w:rsidRPr="00821D2B" w:rsidRDefault="008D6145" w:rsidP="008D6145">
            <w:pPr>
              <w:suppressAutoHyphens w:val="0"/>
              <w:kinsoku/>
              <w:overflowPunct/>
              <w:autoSpaceDE/>
              <w:autoSpaceDN/>
              <w:adjustRightInd/>
              <w:snapToGrid/>
              <w:spacing w:before="40" w:after="40" w:line="220" w:lineRule="exact"/>
              <w:jc w:val="right"/>
              <w:rPr>
                <w:rFonts w:eastAsia="Times New Roman"/>
                <w:b/>
                <w:bCs/>
                <w:sz w:val="18"/>
              </w:rPr>
            </w:pPr>
            <w:r w:rsidRPr="00821D2B">
              <w:rPr>
                <w:rFonts w:eastAsia="Times New Roman"/>
                <w:b/>
                <w:bCs/>
                <w:sz w:val="18"/>
              </w:rPr>
              <w:t>70 475</w:t>
            </w:r>
          </w:p>
        </w:tc>
      </w:tr>
      <w:tr w:rsidR="008D6145" w:rsidRPr="008D6145" w:rsidTr="00821D2B">
        <w:tc>
          <w:tcPr>
            <w:tcW w:w="2268" w:type="dxa"/>
            <w:shd w:val="clear" w:color="auto" w:fill="auto"/>
            <w:noWrap/>
            <w:hideMark/>
          </w:tcPr>
          <w:p w:rsidR="008D6145" w:rsidRPr="008D6145" w:rsidRDefault="008D6145" w:rsidP="008D6145">
            <w:pPr>
              <w:suppressAutoHyphens w:val="0"/>
              <w:kinsoku/>
              <w:overflowPunct/>
              <w:autoSpaceDE/>
              <w:autoSpaceDN/>
              <w:adjustRightInd/>
              <w:snapToGrid/>
              <w:spacing w:before="40" w:after="40" w:line="220" w:lineRule="exact"/>
              <w:rPr>
                <w:rFonts w:eastAsia="Times New Roman"/>
                <w:sz w:val="18"/>
              </w:rPr>
            </w:pPr>
            <w:r w:rsidRPr="008D6145">
              <w:rPr>
                <w:rFonts w:eastAsia="Times New Roman"/>
                <w:sz w:val="18"/>
              </w:rPr>
              <w:t>2013</w:t>
            </w:r>
          </w:p>
        </w:tc>
        <w:tc>
          <w:tcPr>
            <w:tcW w:w="1701" w:type="dxa"/>
            <w:shd w:val="clear" w:color="auto" w:fill="auto"/>
            <w:noWrap/>
            <w:vAlign w:val="bottom"/>
            <w:hideMark/>
          </w:tcPr>
          <w:p w:rsidR="008D6145" w:rsidRPr="008D6145" w:rsidRDefault="008D6145" w:rsidP="008D6145">
            <w:pPr>
              <w:suppressAutoHyphens w:val="0"/>
              <w:kinsoku/>
              <w:overflowPunct/>
              <w:autoSpaceDE/>
              <w:autoSpaceDN/>
              <w:adjustRightInd/>
              <w:snapToGrid/>
              <w:spacing w:before="40" w:after="40" w:line="220" w:lineRule="exact"/>
              <w:jc w:val="right"/>
              <w:rPr>
                <w:rFonts w:eastAsia="Times New Roman"/>
                <w:sz w:val="18"/>
              </w:rPr>
            </w:pPr>
            <w:r w:rsidRPr="008D6145">
              <w:rPr>
                <w:rFonts w:eastAsia="Times New Roman"/>
                <w:sz w:val="18"/>
              </w:rPr>
              <w:t>25 492</w:t>
            </w:r>
          </w:p>
        </w:tc>
        <w:tc>
          <w:tcPr>
            <w:tcW w:w="1701" w:type="dxa"/>
            <w:shd w:val="clear" w:color="auto" w:fill="auto"/>
            <w:noWrap/>
            <w:vAlign w:val="bottom"/>
            <w:hideMark/>
          </w:tcPr>
          <w:p w:rsidR="008D6145" w:rsidRPr="008D6145" w:rsidRDefault="008D6145" w:rsidP="008D6145">
            <w:pPr>
              <w:suppressAutoHyphens w:val="0"/>
              <w:kinsoku/>
              <w:overflowPunct/>
              <w:autoSpaceDE/>
              <w:autoSpaceDN/>
              <w:adjustRightInd/>
              <w:snapToGrid/>
              <w:spacing w:before="40" w:after="40" w:line="220" w:lineRule="exact"/>
              <w:jc w:val="right"/>
              <w:rPr>
                <w:rFonts w:eastAsia="Times New Roman"/>
                <w:sz w:val="18"/>
              </w:rPr>
            </w:pPr>
            <w:r w:rsidRPr="008D6145">
              <w:rPr>
                <w:rFonts w:eastAsia="Times New Roman"/>
                <w:sz w:val="18"/>
              </w:rPr>
              <w:t>44 835</w:t>
            </w:r>
          </w:p>
        </w:tc>
        <w:tc>
          <w:tcPr>
            <w:tcW w:w="1701" w:type="dxa"/>
            <w:shd w:val="clear" w:color="auto" w:fill="auto"/>
            <w:noWrap/>
            <w:vAlign w:val="bottom"/>
            <w:hideMark/>
          </w:tcPr>
          <w:p w:rsidR="008D6145" w:rsidRPr="00821D2B" w:rsidRDefault="008D6145" w:rsidP="008D6145">
            <w:pPr>
              <w:suppressAutoHyphens w:val="0"/>
              <w:kinsoku/>
              <w:overflowPunct/>
              <w:autoSpaceDE/>
              <w:autoSpaceDN/>
              <w:adjustRightInd/>
              <w:snapToGrid/>
              <w:spacing w:before="40" w:after="40" w:line="220" w:lineRule="exact"/>
              <w:jc w:val="right"/>
              <w:rPr>
                <w:rFonts w:eastAsia="Times New Roman"/>
                <w:b/>
                <w:bCs/>
                <w:sz w:val="18"/>
              </w:rPr>
            </w:pPr>
            <w:r w:rsidRPr="00821D2B">
              <w:rPr>
                <w:rFonts w:eastAsia="Times New Roman"/>
                <w:b/>
                <w:bCs/>
                <w:sz w:val="18"/>
              </w:rPr>
              <w:t>70 327</w:t>
            </w:r>
          </w:p>
        </w:tc>
      </w:tr>
      <w:tr w:rsidR="008D6145" w:rsidRPr="008D6145" w:rsidTr="00821D2B">
        <w:tc>
          <w:tcPr>
            <w:tcW w:w="2268" w:type="dxa"/>
            <w:shd w:val="clear" w:color="auto" w:fill="auto"/>
            <w:noWrap/>
            <w:hideMark/>
          </w:tcPr>
          <w:p w:rsidR="008D6145" w:rsidRPr="008D6145" w:rsidRDefault="008D6145" w:rsidP="008D6145">
            <w:pPr>
              <w:suppressAutoHyphens w:val="0"/>
              <w:kinsoku/>
              <w:overflowPunct/>
              <w:autoSpaceDE/>
              <w:autoSpaceDN/>
              <w:adjustRightInd/>
              <w:snapToGrid/>
              <w:spacing w:before="40" w:after="40" w:line="220" w:lineRule="exact"/>
              <w:rPr>
                <w:rFonts w:eastAsia="Times New Roman"/>
                <w:sz w:val="18"/>
              </w:rPr>
            </w:pPr>
            <w:r w:rsidRPr="008D6145">
              <w:rPr>
                <w:rFonts w:eastAsia="Times New Roman"/>
                <w:sz w:val="18"/>
              </w:rPr>
              <w:t>2014</w:t>
            </w:r>
          </w:p>
        </w:tc>
        <w:tc>
          <w:tcPr>
            <w:tcW w:w="1701" w:type="dxa"/>
            <w:shd w:val="clear" w:color="auto" w:fill="auto"/>
            <w:noWrap/>
            <w:vAlign w:val="bottom"/>
            <w:hideMark/>
          </w:tcPr>
          <w:p w:rsidR="008D6145" w:rsidRPr="008D6145" w:rsidRDefault="008D6145" w:rsidP="008D6145">
            <w:pPr>
              <w:suppressAutoHyphens w:val="0"/>
              <w:kinsoku/>
              <w:overflowPunct/>
              <w:autoSpaceDE/>
              <w:autoSpaceDN/>
              <w:adjustRightInd/>
              <w:snapToGrid/>
              <w:spacing w:before="40" w:after="40" w:line="220" w:lineRule="exact"/>
              <w:jc w:val="right"/>
              <w:rPr>
                <w:rFonts w:eastAsia="Times New Roman"/>
                <w:sz w:val="18"/>
              </w:rPr>
            </w:pPr>
            <w:r w:rsidRPr="008D6145">
              <w:rPr>
                <w:rFonts w:eastAsia="Times New Roman"/>
                <w:sz w:val="18"/>
              </w:rPr>
              <w:t>24 076</w:t>
            </w:r>
          </w:p>
        </w:tc>
        <w:tc>
          <w:tcPr>
            <w:tcW w:w="1701" w:type="dxa"/>
            <w:shd w:val="clear" w:color="auto" w:fill="auto"/>
            <w:noWrap/>
            <w:vAlign w:val="bottom"/>
            <w:hideMark/>
          </w:tcPr>
          <w:p w:rsidR="008D6145" w:rsidRPr="008D6145" w:rsidRDefault="008D6145" w:rsidP="008D6145">
            <w:pPr>
              <w:suppressAutoHyphens w:val="0"/>
              <w:kinsoku/>
              <w:overflowPunct/>
              <w:autoSpaceDE/>
              <w:autoSpaceDN/>
              <w:adjustRightInd/>
              <w:snapToGrid/>
              <w:spacing w:before="40" w:after="40" w:line="220" w:lineRule="exact"/>
              <w:jc w:val="right"/>
              <w:rPr>
                <w:rFonts w:eastAsia="Times New Roman"/>
                <w:sz w:val="18"/>
              </w:rPr>
            </w:pPr>
            <w:r w:rsidRPr="008D6145">
              <w:rPr>
                <w:rFonts w:eastAsia="Times New Roman"/>
                <w:sz w:val="18"/>
              </w:rPr>
              <w:t>44 965</w:t>
            </w:r>
          </w:p>
        </w:tc>
        <w:tc>
          <w:tcPr>
            <w:tcW w:w="1701" w:type="dxa"/>
            <w:shd w:val="clear" w:color="auto" w:fill="auto"/>
            <w:noWrap/>
            <w:vAlign w:val="bottom"/>
            <w:hideMark/>
          </w:tcPr>
          <w:p w:rsidR="008D6145" w:rsidRPr="00821D2B" w:rsidRDefault="008D6145" w:rsidP="008D6145">
            <w:pPr>
              <w:suppressAutoHyphens w:val="0"/>
              <w:kinsoku/>
              <w:overflowPunct/>
              <w:autoSpaceDE/>
              <w:autoSpaceDN/>
              <w:adjustRightInd/>
              <w:snapToGrid/>
              <w:spacing w:before="40" w:after="40" w:line="220" w:lineRule="exact"/>
              <w:jc w:val="right"/>
              <w:rPr>
                <w:rFonts w:eastAsia="Times New Roman"/>
                <w:b/>
                <w:bCs/>
                <w:sz w:val="18"/>
              </w:rPr>
            </w:pPr>
            <w:r w:rsidRPr="00821D2B">
              <w:rPr>
                <w:rFonts w:eastAsia="Times New Roman"/>
                <w:b/>
                <w:bCs/>
                <w:sz w:val="18"/>
              </w:rPr>
              <w:t>69 041</w:t>
            </w:r>
          </w:p>
        </w:tc>
      </w:tr>
      <w:tr w:rsidR="008D6145" w:rsidRPr="008D6145" w:rsidTr="00821D2B">
        <w:tc>
          <w:tcPr>
            <w:tcW w:w="2268" w:type="dxa"/>
            <w:tcBorders>
              <w:bottom w:val="single" w:sz="12" w:space="0" w:color="auto"/>
            </w:tcBorders>
            <w:shd w:val="clear" w:color="auto" w:fill="auto"/>
            <w:noWrap/>
            <w:hideMark/>
          </w:tcPr>
          <w:p w:rsidR="008D6145" w:rsidRPr="008D6145" w:rsidRDefault="008D6145" w:rsidP="008D6145">
            <w:pPr>
              <w:suppressAutoHyphens w:val="0"/>
              <w:kinsoku/>
              <w:overflowPunct/>
              <w:autoSpaceDE/>
              <w:autoSpaceDN/>
              <w:adjustRightInd/>
              <w:snapToGrid/>
              <w:spacing w:before="40" w:after="40" w:line="220" w:lineRule="exact"/>
              <w:rPr>
                <w:rFonts w:eastAsia="Times New Roman"/>
                <w:sz w:val="18"/>
              </w:rPr>
            </w:pPr>
            <w:r w:rsidRPr="008D6145">
              <w:rPr>
                <w:rFonts w:eastAsia="Times New Roman"/>
                <w:sz w:val="18"/>
              </w:rPr>
              <w:t>2015</w:t>
            </w:r>
          </w:p>
        </w:tc>
        <w:tc>
          <w:tcPr>
            <w:tcW w:w="1701" w:type="dxa"/>
            <w:tcBorders>
              <w:bottom w:val="single" w:sz="12" w:space="0" w:color="auto"/>
            </w:tcBorders>
            <w:shd w:val="clear" w:color="auto" w:fill="auto"/>
            <w:noWrap/>
            <w:vAlign w:val="bottom"/>
            <w:hideMark/>
          </w:tcPr>
          <w:p w:rsidR="008D6145" w:rsidRPr="008D6145" w:rsidRDefault="008D6145" w:rsidP="008D6145">
            <w:pPr>
              <w:suppressAutoHyphens w:val="0"/>
              <w:kinsoku/>
              <w:overflowPunct/>
              <w:autoSpaceDE/>
              <w:autoSpaceDN/>
              <w:adjustRightInd/>
              <w:snapToGrid/>
              <w:spacing w:before="40" w:after="40" w:line="220" w:lineRule="exact"/>
              <w:jc w:val="right"/>
              <w:rPr>
                <w:rFonts w:eastAsia="Times New Roman"/>
                <w:sz w:val="18"/>
              </w:rPr>
            </w:pPr>
            <w:r w:rsidRPr="008D6145">
              <w:rPr>
                <w:rFonts w:eastAsia="Times New Roman"/>
                <w:sz w:val="18"/>
              </w:rPr>
              <w:t>23 247</w:t>
            </w:r>
          </w:p>
        </w:tc>
        <w:tc>
          <w:tcPr>
            <w:tcW w:w="1701" w:type="dxa"/>
            <w:tcBorders>
              <w:bottom w:val="single" w:sz="12" w:space="0" w:color="auto"/>
            </w:tcBorders>
            <w:shd w:val="clear" w:color="auto" w:fill="auto"/>
            <w:noWrap/>
            <w:vAlign w:val="bottom"/>
            <w:hideMark/>
          </w:tcPr>
          <w:p w:rsidR="008D6145" w:rsidRPr="008D6145" w:rsidRDefault="008D6145" w:rsidP="008D6145">
            <w:pPr>
              <w:suppressAutoHyphens w:val="0"/>
              <w:kinsoku/>
              <w:overflowPunct/>
              <w:autoSpaceDE/>
              <w:autoSpaceDN/>
              <w:adjustRightInd/>
              <w:snapToGrid/>
              <w:spacing w:before="40" w:after="40" w:line="220" w:lineRule="exact"/>
              <w:jc w:val="right"/>
              <w:rPr>
                <w:rFonts w:eastAsia="Times New Roman"/>
                <w:sz w:val="18"/>
              </w:rPr>
            </w:pPr>
            <w:r w:rsidRPr="008D6145">
              <w:rPr>
                <w:rFonts w:eastAsia="Times New Roman"/>
                <w:sz w:val="18"/>
              </w:rPr>
              <w:t>49 843</w:t>
            </w:r>
          </w:p>
        </w:tc>
        <w:tc>
          <w:tcPr>
            <w:tcW w:w="1701" w:type="dxa"/>
            <w:tcBorders>
              <w:bottom w:val="single" w:sz="12" w:space="0" w:color="auto"/>
            </w:tcBorders>
            <w:shd w:val="clear" w:color="auto" w:fill="auto"/>
            <w:noWrap/>
            <w:vAlign w:val="bottom"/>
            <w:hideMark/>
          </w:tcPr>
          <w:p w:rsidR="008D6145" w:rsidRPr="00821D2B" w:rsidRDefault="008D6145" w:rsidP="008D6145">
            <w:pPr>
              <w:suppressAutoHyphens w:val="0"/>
              <w:kinsoku/>
              <w:overflowPunct/>
              <w:autoSpaceDE/>
              <w:autoSpaceDN/>
              <w:adjustRightInd/>
              <w:snapToGrid/>
              <w:spacing w:before="40" w:after="40" w:line="220" w:lineRule="exact"/>
              <w:jc w:val="right"/>
              <w:rPr>
                <w:rFonts w:eastAsia="Times New Roman"/>
                <w:b/>
                <w:bCs/>
                <w:sz w:val="18"/>
              </w:rPr>
            </w:pPr>
            <w:r w:rsidRPr="00821D2B">
              <w:rPr>
                <w:rFonts w:eastAsia="Times New Roman"/>
                <w:b/>
                <w:bCs/>
                <w:sz w:val="18"/>
              </w:rPr>
              <w:t>73 090</w:t>
            </w:r>
          </w:p>
        </w:tc>
      </w:tr>
    </w:tbl>
    <w:p w:rsidR="008D6145" w:rsidRPr="008D6145" w:rsidRDefault="008D6145" w:rsidP="00821D2B">
      <w:pPr>
        <w:kinsoku/>
        <w:overflowPunct/>
        <w:autoSpaceDE/>
        <w:autoSpaceDN/>
        <w:adjustRightInd/>
        <w:snapToGrid/>
        <w:spacing w:before="120" w:after="240"/>
        <w:ind w:left="1134" w:right="1134" w:firstLine="170"/>
        <w:rPr>
          <w:rFonts w:eastAsia="Times New Roman"/>
          <w:sz w:val="18"/>
          <w:szCs w:val="18"/>
        </w:rPr>
      </w:pPr>
      <w:r w:rsidRPr="008D6145">
        <w:rPr>
          <w:rFonts w:eastAsia="Times New Roman"/>
          <w:i/>
          <w:sz w:val="18"/>
          <w:szCs w:val="18"/>
        </w:rPr>
        <w:t>Source</w:t>
      </w:r>
      <w:r w:rsidRPr="008D6145">
        <w:rPr>
          <w:rFonts w:eastAsia="Times New Roman"/>
          <w:b/>
          <w:sz w:val="18"/>
          <w:szCs w:val="18"/>
        </w:rPr>
        <w:t> </w:t>
      </w:r>
      <w:r w:rsidRPr="00821D2B">
        <w:rPr>
          <w:rFonts w:eastAsia="Times New Roman"/>
          <w:bCs/>
          <w:sz w:val="18"/>
          <w:szCs w:val="18"/>
        </w:rPr>
        <w:t xml:space="preserve">: </w:t>
      </w:r>
      <w:r w:rsidRPr="008D6145">
        <w:rPr>
          <w:rFonts w:eastAsia="Times New Roman"/>
          <w:sz w:val="18"/>
          <w:szCs w:val="18"/>
        </w:rPr>
        <w:t>FUR, 2015.</w:t>
      </w:r>
    </w:p>
    <w:p w:rsidR="008D6145" w:rsidRPr="008D6145" w:rsidRDefault="00821D2B" w:rsidP="00821D2B">
      <w:pPr>
        <w:pStyle w:val="SingleTxtG"/>
        <w:kinsoku/>
        <w:overflowPunct/>
        <w:autoSpaceDE/>
        <w:autoSpaceDN/>
        <w:adjustRightInd/>
        <w:snapToGrid/>
        <w:rPr>
          <w:rFonts w:eastAsia="Times New Roman"/>
        </w:rPr>
      </w:pPr>
      <w:r w:rsidRPr="008D6145">
        <w:rPr>
          <w:rFonts w:eastAsia="Times New Roman"/>
        </w:rPr>
        <w:t>22.</w:t>
      </w:r>
      <w:r w:rsidRPr="008D6145">
        <w:rPr>
          <w:rFonts w:eastAsia="Times New Roman"/>
        </w:rPr>
        <w:tab/>
      </w:r>
      <w:r w:rsidR="008D6145" w:rsidRPr="008D6145">
        <w:rPr>
          <w:rFonts w:eastAsia="Times New Roman"/>
        </w:rPr>
        <w:t>Ce tableau révèle un accroissement régulier de l</w:t>
      </w:r>
      <w:r w:rsidR="00A033A7">
        <w:rPr>
          <w:rFonts w:eastAsia="Times New Roman"/>
        </w:rPr>
        <w:t>’</w:t>
      </w:r>
      <w:r w:rsidR="008D6145" w:rsidRPr="008D6145">
        <w:rPr>
          <w:rFonts w:eastAsia="Times New Roman"/>
        </w:rPr>
        <w:t>effectif de la fonction publique béninoise. En dépit de cet effectif, l</w:t>
      </w:r>
      <w:r w:rsidR="00A033A7">
        <w:rPr>
          <w:rFonts w:eastAsia="Times New Roman"/>
        </w:rPr>
        <w:t>’</w:t>
      </w:r>
      <w:r w:rsidR="008D6145" w:rsidRPr="008D6145">
        <w:rPr>
          <w:rFonts w:eastAsia="Times New Roman"/>
        </w:rPr>
        <w:t>administration béninoise enregistre un déficit en personnel de toutes catégories. Les raisons sont de plusieurs ordres, le gel des recrutements pour plusieurs années, les départs massifs à la retraite. Le tableau ci-dessus fait état des départs à la retraite sur la période allant de 2016 à 2020.</w:t>
      </w:r>
    </w:p>
    <w:p w:rsidR="008D6145" w:rsidRPr="008D6145" w:rsidRDefault="00AB4A33" w:rsidP="00821D2B">
      <w:pPr>
        <w:pStyle w:val="H23G"/>
      </w:pPr>
      <w:r>
        <w:tab/>
      </w:r>
      <w:r>
        <w:tab/>
      </w:r>
      <w:r w:rsidR="008D6145" w:rsidRPr="00821D2B">
        <w:rPr>
          <w:b w:val="0"/>
          <w:bCs/>
        </w:rPr>
        <w:t xml:space="preserve">Tableau </w:t>
      </w:r>
      <w:r w:rsidRPr="00AB4A33">
        <w:rPr>
          <w:b w:val="0"/>
          <w:bCs/>
          <w:lang w:val="fr-FR"/>
        </w:rPr>
        <w:t>n</w:t>
      </w:r>
      <w:r w:rsidRPr="00AB4A33">
        <w:rPr>
          <w:b w:val="0"/>
          <w:bCs/>
          <w:vertAlign w:val="superscript"/>
          <w:lang w:val="fr-FR"/>
        </w:rPr>
        <w:t>o</w:t>
      </w:r>
      <w:r w:rsidRPr="00AB4A33">
        <w:rPr>
          <w:b w:val="0"/>
          <w:bCs/>
          <w:lang w:val="fr-FR"/>
        </w:rPr>
        <w:t> </w:t>
      </w:r>
      <w:r w:rsidR="008D6145" w:rsidRPr="00821D2B">
        <w:rPr>
          <w:b w:val="0"/>
          <w:bCs/>
        </w:rPr>
        <w:t>5</w:t>
      </w:r>
      <w:r w:rsidR="008D6145" w:rsidRPr="008D6145">
        <w:br/>
        <w:t>Évaluation des départs à la retraite sur la période de 2016 à 2020</w:t>
      </w:r>
    </w:p>
    <w:tbl>
      <w:tblPr>
        <w:tblStyle w:val="TableGrid1"/>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1701"/>
        <w:gridCol w:w="1701"/>
        <w:gridCol w:w="1701"/>
      </w:tblGrid>
      <w:tr w:rsidR="008D6145" w:rsidRPr="008D6145" w:rsidTr="00821D2B">
        <w:trPr>
          <w:tblHeader/>
        </w:trPr>
        <w:tc>
          <w:tcPr>
            <w:tcW w:w="2268" w:type="dxa"/>
            <w:tcBorders>
              <w:top w:val="single" w:sz="4" w:space="0" w:color="auto"/>
              <w:bottom w:val="single" w:sz="12" w:space="0" w:color="auto"/>
            </w:tcBorders>
            <w:shd w:val="clear" w:color="auto" w:fill="auto"/>
            <w:vAlign w:val="bottom"/>
          </w:tcPr>
          <w:p w:rsidR="008D6145" w:rsidRPr="008D6145" w:rsidRDefault="008D6145" w:rsidP="008D6145">
            <w:pPr>
              <w:suppressAutoHyphens w:val="0"/>
              <w:kinsoku/>
              <w:overflowPunct/>
              <w:autoSpaceDE/>
              <w:autoSpaceDN/>
              <w:adjustRightInd/>
              <w:snapToGrid/>
              <w:spacing w:before="80" w:after="80" w:line="200" w:lineRule="exact"/>
              <w:rPr>
                <w:i/>
                <w:spacing w:val="4"/>
                <w:w w:val="103"/>
                <w:kern w:val="14"/>
                <w:sz w:val="16"/>
                <w:szCs w:val="28"/>
              </w:rPr>
            </w:pPr>
            <w:r w:rsidRPr="008D6145">
              <w:rPr>
                <w:i/>
                <w:spacing w:val="4"/>
                <w:w w:val="103"/>
                <w:kern w:val="14"/>
                <w:sz w:val="16"/>
                <w:szCs w:val="28"/>
              </w:rPr>
              <w:t>Année</w:t>
            </w:r>
          </w:p>
        </w:tc>
        <w:tc>
          <w:tcPr>
            <w:tcW w:w="1701" w:type="dxa"/>
            <w:tcBorders>
              <w:top w:val="single" w:sz="4" w:space="0" w:color="auto"/>
              <w:bottom w:val="single" w:sz="12" w:space="0" w:color="auto"/>
            </w:tcBorders>
            <w:shd w:val="clear" w:color="auto" w:fill="auto"/>
            <w:vAlign w:val="bottom"/>
          </w:tcPr>
          <w:p w:rsidR="008D6145" w:rsidRPr="008D6145" w:rsidRDefault="008D6145" w:rsidP="00821D2B">
            <w:pPr>
              <w:suppressAutoHyphens w:val="0"/>
              <w:kinsoku/>
              <w:overflowPunct/>
              <w:autoSpaceDE/>
              <w:autoSpaceDN/>
              <w:adjustRightInd/>
              <w:snapToGrid/>
              <w:spacing w:before="80" w:after="80" w:line="200" w:lineRule="exact"/>
              <w:jc w:val="right"/>
              <w:rPr>
                <w:i/>
                <w:spacing w:val="4"/>
                <w:w w:val="103"/>
                <w:kern w:val="14"/>
                <w:sz w:val="16"/>
                <w:szCs w:val="28"/>
              </w:rPr>
            </w:pPr>
            <w:r w:rsidRPr="008D6145">
              <w:rPr>
                <w:i/>
                <w:spacing w:val="4"/>
                <w:w w:val="103"/>
                <w:kern w:val="14"/>
                <w:sz w:val="16"/>
                <w:szCs w:val="28"/>
              </w:rPr>
              <w:t>APE</w:t>
            </w:r>
          </w:p>
        </w:tc>
        <w:tc>
          <w:tcPr>
            <w:tcW w:w="1701" w:type="dxa"/>
            <w:tcBorders>
              <w:top w:val="single" w:sz="4" w:space="0" w:color="auto"/>
              <w:bottom w:val="single" w:sz="12" w:space="0" w:color="auto"/>
            </w:tcBorders>
            <w:shd w:val="clear" w:color="auto" w:fill="auto"/>
            <w:vAlign w:val="bottom"/>
          </w:tcPr>
          <w:p w:rsidR="008D6145" w:rsidRPr="008D6145" w:rsidRDefault="008D6145" w:rsidP="00821D2B">
            <w:pPr>
              <w:suppressAutoHyphens w:val="0"/>
              <w:kinsoku/>
              <w:overflowPunct/>
              <w:autoSpaceDE/>
              <w:autoSpaceDN/>
              <w:adjustRightInd/>
              <w:snapToGrid/>
              <w:spacing w:before="80" w:after="80" w:line="200" w:lineRule="exact"/>
              <w:jc w:val="right"/>
              <w:rPr>
                <w:i/>
                <w:spacing w:val="4"/>
                <w:w w:val="103"/>
                <w:kern w:val="14"/>
                <w:sz w:val="16"/>
                <w:szCs w:val="28"/>
              </w:rPr>
            </w:pPr>
            <w:r w:rsidRPr="008D6145">
              <w:rPr>
                <w:i/>
                <w:spacing w:val="4"/>
                <w:w w:val="103"/>
                <w:kern w:val="14"/>
                <w:sz w:val="16"/>
                <w:szCs w:val="28"/>
              </w:rPr>
              <w:t>ACE</w:t>
            </w:r>
          </w:p>
        </w:tc>
        <w:tc>
          <w:tcPr>
            <w:tcW w:w="1701" w:type="dxa"/>
            <w:tcBorders>
              <w:top w:val="single" w:sz="4" w:space="0" w:color="auto"/>
              <w:bottom w:val="single" w:sz="12" w:space="0" w:color="auto"/>
            </w:tcBorders>
            <w:shd w:val="clear" w:color="auto" w:fill="auto"/>
            <w:vAlign w:val="bottom"/>
          </w:tcPr>
          <w:p w:rsidR="008D6145" w:rsidRPr="00821D2B" w:rsidRDefault="00AB4A33" w:rsidP="00821D2B">
            <w:pPr>
              <w:suppressAutoHyphens w:val="0"/>
              <w:kinsoku/>
              <w:overflowPunct/>
              <w:autoSpaceDE/>
              <w:autoSpaceDN/>
              <w:adjustRightInd/>
              <w:snapToGrid/>
              <w:spacing w:before="80" w:after="80" w:line="200" w:lineRule="exact"/>
              <w:jc w:val="right"/>
              <w:rPr>
                <w:b/>
                <w:bCs/>
                <w:i/>
                <w:spacing w:val="4"/>
                <w:w w:val="103"/>
                <w:kern w:val="14"/>
                <w:sz w:val="16"/>
                <w:szCs w:val="28"/>
              </w:rPr>
            </w:pPr>
            <w:r w:rsidRPr="00821D2B">
              <w:rPr>
                <w:b/>
                <w:bCs/>
                <w:i/>
                <w:spacing w:val="4"/>
                <w:w w:val="103"/>
                <w:kern w:val="14"/>
                <w:sz w:val="16"/>
                <w:szCs w:val="28"/>
              </w:rPr>
              <w:t>Total</w:t>
            </w:r>
          </w:p>
        </w:tc>
      </w:tr>
      <w:tr w:rsidR="008D6145" w:rsidRPr="008D6145" w:rsidTr="00821D2B">
        <w:tc>
          <w:tcPr>
            <w:tcW w:w="2268" w:type="dxa"/>
            <w:tcBorders>
              <w:top w:val="single" w:sz="12" w:space="0" w:color="auto"/>
            </w:tcBorders>
            <w:shd w:val="clear" w:color="auto" w:fill="auto"/>
          </w:tcPr>
          <w:p w:rsidR="008D6145" w:rsidRPr="008D6145" w:rsidRDefault="008D6145" w:rsidP="008D6145">
            <w:pPr>
              <w:suppressAutoHyphens w:val="0"/>
              <w:kinsoku/>
              <w:overflowPunct/>
              <w:autoSpaceDE/>
              <w:autoSpaceDN/>
              <w:adjustRightInd/>
              <w:snapToGrid/>
              <w:spacing w:before="40" w:after="40" w:line="220" w:lineRule="exact"/>
              <w:rPr>
                <w:sz w:val="18"/>
                <w:szCs w:val="28"/>
              </w:rPr>
            </w:pPr>
            <w:r w:rsidRPr="008D6145">
              <w:rPr>
                <w:sz w:val="18"/>
                <w:szCs w:val="28"/>
              </w:rPr>
              <w:t>2016</w:t>
            </w:r>
          </w:p>
        </w:tc>
        <w:tc>
          <w:tcPr>
            <w:tcW w:w="1701" w:type="dxa"/>
            <w:tcBorders>
              <w:top w:val="single" w:sz="12" w:space="0" w:color="auto"/>
            </w:tcBorders>
            <w:shd w:val="clear" w:color="auto" w:fill="auto"/>
            <w:vAlign w:val="bottom"/>
          </w:tcPr>
          <w:p w:rsidR="008D6145" w:rsidRPr="008D6145" w:rsidRDefault="008D6145">
            <w:pPr>
              <w:suppressAutoHyphens w:val="0"/>
              <w:kinsoku/>
              <w:overflowPunct/>
              <w:autoSpaceDE/>
              <w:autoSpaceDN/>
              <w:adjustRightInd/>
              <w:snapToGrid/>
              <w:spacing w:before="40" w:after="40" w:line="220" w:lineRule="exact"/>
              <w:jc w:val="right"/>
              <w:rPr>
                <w:sz w:val="18"/>
                <w:szCs w:val="28"/>
              </w:rPr>
            </w:pPr>
            <w:r w:rsidRPr="008D6145">
              <w:rPr>
                <w:sz w:val="18"/>
                <w:szCs w:val="28"/>
              </w:rPr>
              <w:t>3 351</w:t>
            </w:r>
          </w:p>
        </w:tc>
        <w:tc>
          <w:tcPr>
            <w:tcW w:w="1701" w:type="dxa"/>
            <w:tcBorders>
              <w:top w:val="single" w:sz="12" w:space="0" w:color="auto"/>
            </w:tcBorders>
            <w:shd w:val="clear" w:color="auto" w:fill="auto"/>
            <w:vAlign w:val="bottom"/>
          </w:tcPr>
          <w:p w:rsidR="008D6145" w:rsidRPr="008D6145" w:rsidRDefault="008D6145" w:rsidP="008D6145">
            <w:pPr>
              <w:suppressAutoHyphens w:val="0"/>
              <w:kinsoku/>
              <w:overflowPunct/>
              <w:autoSpaceDE/>
              <w:autoSpaceDN/>
              <w:adjustRightInd/>
              <w:snapToGrid/>
              <w:spacing w:before="40" w:after="40" w:line="220" w:lineRule="exact"/>
              <w:jc w:val="right"/>
              <w:rPr>
                <w:sz w:val="18"/>
                <w:szCs w:val="28"/>
              </w:rPr>
            </w:pPr>
            <w:r w:rsidRPr="008D6145">
              <w:rPr>
                <w:sz w:val="18"/>
                <w:szCs w:val="28"/>
              </w:rPr>
              <w:t>79</w:t>
            </w:r>
          </w:p>
        </w:tc>
        <w:tc>
          <w:tcPr>
            <w:tcW w:w="1701" w:type="dxa"/>
            <w:tcBorders>
              <w:top w:val="single" w:sz="12" w:space="0" w:color="auto"/>
            </w:tcBorders>
            <w:shd w:val="clear" w:color="auto" w:fill="auto"/>
            <w:vAlign w:val="bottom"/>
          </w:tcPr>
          <w:p w:rsidR="008D6145" w:rsidRPr="00821D2B" w:rsidRDefault="008D6145" w:rsidP="008D6145">
            <w:pPr>
              <w:suppressAutoHyphens w:val="0"/>
              <w:kinsoku/>
              <w:overflowPunct/>
              <w:autoSpaceDE/>
              <w:autoSpaceDN/>
              <w:adjustRightInd/>
              <w:snapToGrid/>
              <w:spacing w:before="40" w:after="40" w:line="220" w:lineRule="exact"/>
              <w:jc w:val="right"/>
              <w:rPr>
                <w:b/>
                <w:bCs/>
                <w:sz w:val="18"/>
                <w:szCs w:val="28"/>
              </w:rPr>
            </w:pPr>
            <w:r w:rsidRPr="00821D2B">
              <w:rPr>
                <w:b/>
                <w:bCs/>
                <w:sz w:val="18"/>
                <w:szCs w:val="28"/>
              </w:rPr>
              <w:fldChar w:fldCharType="begin"/>
            </w:r>
            <w:r w:rsidRPr="00821D2B">
              <w:rPr>
                <w:b/>
                <w:bCs/>
                <w:sz w:val="18"/>
                <w:szCs w:val="28"/>
              </w:rPr>
              <w:instrText xml:space="preserve"> =SUM(LEFT) </w:instrText>
            </w:r>
            <w:r w:rsidRPr="00821D2B">
              <w:rPr>
                <w:b/>
                <w:bCs/>
                <w:sz w:val="18"/>
                <w:szCs w:val="28"/>
              </w:rPr>
              <w:fldChar w:fldCharType="separate"/>
            </w:r>
            <w:r w:rsidR="003B2444">
              <w:rPr>
                <w:b/>
                <w:bCs/>
                <w:noProof/>
                <w:sz w:val="18"/>
                <w:szCs w:val="28"/>
              </w:rPr>
              <w:t>5 446</w:t>
            </w:r>
            <w:r w:rsidRPr="00821D2B">
              <w:rPr>
                <w:b/>
                <w:bCs/>
                <w:sz w:val="18"/>
                <w:szCs w:val="28"/>
              </w:rPr>
              <w:fldChar w:fldCharType="end"/>
            </w:r>
          </w:p>
        </w:tc>
      </w:tr>
      <w:tr w:rsidR="008D6145" w:rsidRPr="008D6145" w:rsidTr="00821D2B">
        <w:tc>
          <w:tcPr>
            <w:tcW w:w="2268" w:type="dxa"/>
            <w:shd w:val="clear" w:color="auto" w:fill="auto"/>
          </w:tcPr>
          <w:p w:rsidR="008D6145" w:rsidRPr="008D6145" w:rsidRDefault="008D6145" w:rsidP="008D6145">
            <w:pPr>
              <w:suppressAutoHyphens w:val="0"/>
              <w:kinsoku/>
              <w:overflowPunct/>
              <w:autoSpaceDE/>
              <w:autoSpaceDN/>
              <w:adjustRightInd/>
              <w:snapToGrid/>
              <w:spacing w:before="40" w:after="40" w:line="220" w:lineRule="exact"/>
              <w:rPr>
                <w:sz w:val="18"/>
                <w:szCs w:val="28"/>
              </w:rPr>
            </w:pPr>
            <w:r w:rsidRPr="008D6145">
              <w:rPr>
                <w:sz w:val="18"/>
                <w:szCs w:val="28"/>
              </w:rPr>
              <w:t>2017</w:t>
            </w:r>
          </w:p>
        </w:tc>
        <w:tc>
          <w:tcPr>
            <w:tcW w:w="1701" w:type="dxa"/>
            <w:shd w:val="clear" w:color="auto" w:fill="auto"/>
            <w:vAlign w:val="bottom"/>
          </w:tcPr>
          <w:p w:rsidR="008D6145" w:rsidRPr="008D6145" w:rsidRDefault="008D6145" w:rsidP="008D6145">
            <w:pPr>
              <w:suppressAutoHyphens w:val="0"/>
              <w:kinsoku/>
              <w:overflowPunct/>
              <w:autoSpaceDE/>
              <w:autoSpaceDN/>
              <w:adjustRightInd/>
              <w:snapToGrid/>
              <w:spacing w:before="40" w:after="40" w:line="220" w:lineRule="exact"/>
              <w:jc w:val="right"/>
              <w:rPr>
                <w:sz w:val="18"/>
                <w:szCs w:val="28"/>
              </w:rPr>
            </w:pPr>
            <w:r w:rsidRPr="008D6145">
              <w:rPr>
                <w:sz w:val="18"/>
                <w:szCs w:val="28"/>
              </w:rPr>
              <w:t>2 703</w:t>
            </w:r>
          </w:p>
        </w:tc>
        <w:tc>
          <w:tcPr>
            <w:tcW w:w="1701" w:type="dxa"/>
            <w:shd w:val="clear" w:color="auto" w:fill="auto"/>
            <w:vAlign w:val="bottom"/>
          </w:tcPr>
          <w:p w:rsidR="008D6145" w:rsidRPr="008D6145" w:rsidRDefault="008D6145" w:rsidP="008D6145">
            <w:pPr>
              <w:suppressAutoHyphens w:val="0"/>
              <w:kinsoku/>
              <w:overflowPunct/>
              <w:autoSpaceDE/>
              <w:autoSpaceDN/>
              <w:adjustRightInd/>
              <w:snapToGrid/>
              <w:spacing w:before="40" w:after="40" w:line="220" w:lineRule="exact"/>
              <w:jc w:val="right"/>
              <w:rPr>
                <w:sz w:val="18"/>
                <w:szCs w:val="28"/>
              </w:rPr>
            </w:pPr>
            <w:r w:rsidRPr="008D6145">
              <w:rPr>
                <w:sz w:val="18"/>
                <w:szCs w:val="28"/>
              </w:rPr>
              <w:t>105</w:t>
            </w:r>
          </w:p>
        </w:tc>
        <w:tc>
          <w:tcPr>
            <w:tcW w:w="1701" w:type="dxa"/>
            <w:shd w:val="clear" w:color="auto" w:fill="auto"/>
            <w:vAlign w:val="bottom"/>
          </w:tcPr>
          <w:p w:rsidR="008D6145" w:rsidRPr="00821D2B" w:rsidRDefault="008D6145" w:rsidP="008D6145">
            <w:pPr>
              <w:suppressAutoHyphens w:val="0"/>
              <w:kinsoku/>
              <w:overflowPunct/>
              <w:autoSpaceDE/>
              <w:autoSpaceDN/>
              <w:adjustRightInd/>
              <w:snapToGrid/>
              <w:spacing w:before="40" w:after="40" w:line="220" w:lineRule="exact"/>
              <w:jc w:val="right"/>
              <w:rPr>
                <w:b/>
                <w:bCs/>
                <w:sz w:val="18"/>
                <w:szCs w:val="28"/>
              </w:rPr>
            </w:pPr>
            <w:r w:rsidRPr="00821D2B">
              <w:rPr>
                <w:b/>
                <w:bCs/>
                <w:sz w:val="18"/>
                <w:szCs w:val="28"/>
              </w:rPr>
              <w:fldChar w:fldCharType="begin"/>
            </w:r>
            <w:r w:rsidRPr="00821D2B">
              <w:rPr>
                <w:b/>
                <w:bCs/>
                <w:sz w:val="18"/>
                <w:szCs w:val="28"/>
              </w:rPr>
              <w:instrText xml:space="preserve"> =SUM(LEFT) </w:instrText>
            </w:r>
            <w:r w:rsidRPr="00821D2B">
              <w:rPr>
                <w:b/>
                <w:bCs/>
                <w:sz w:val="18"/>
                <w:szCs w:val="28"/>
              </w:rPr>
              <w:fldChar w:fldCharType="separate"/>
            </w:r>
            <w:r w:rsidR="003B2444">
              <w:rPr>
                <w:b/>
                <w:bCs/>
                <w:noProof/>
                <w:sz w:val="18"/>
                <w:szCs w:val="28"/>
              </w:rPr>
              <w:t>4 825</w:t>
            </w:r>
            <w:r w:rsidRPr="00821D2B">
              <w:rPr>
                <w:b/>
                <w:bCs/>
                <w:sz w:val="18"/>
                <w:szCs w:val="28"/>
              </w:rPr>
              <w:fldChar w:fldCharType="end"/>
            </w:r>
          </w:p>
        </w:tc>
      </w:tr>
      <w:tr w:rsidR="008D6145" w:rsidRPr="008D6145" w:rsidTr="00821D2B">
        <w:tc>
          <w:tcPr>
            <w:tcW w:w="2268" w:type="dxa"/>
            <w:shd w:val="clear" w:color="auto" w:fill="auto"/>
          </w:tcPr>
          <w:p w:rsidR="008D6145" w:rsidRPr="008D6145" w:rsidRDefault="008D6145" w:rsidP="008D6145">
            <w:pPr>
              <w:suppressAutoHyphens w:val="0"/>
              <w:kinsoku/>
              <w:overflowPunct/>
              <w:autoSpaceDE/>
              <w:autoSpaceDN/>
              <w:adjustRightInd/>
              <w:snapToGrid/>
              <w:spacing w:before="40" w:after="40" w:line="220" w:lineRule="exact"/>
              <w:rPr>
                <w:sz w:val="18"/>
                <w:szCs w:val="28"/>
              </w:rPr>
            </w:pPr>
            <w:r w:rsidRPr="008D6145">
              <w:rPr>
                <w:sz w:val="18"/>
                <w:szCs w:val="28"/>
              </w:rPr>
              <w:t>2018</w:t>
            </w:r>
          </w:p>
        </w:tc>
        <w:tc>
          <w:tcPr>
            <w:tcW w:w="1701" w:type="dxa"/>
            <w:shd w:val="clear" w:color="auto" w:fill="auto"/>
            <w:vAlign w:val="bottom"/>
          </w:tcPr>
          <w:p w:rsidR="008D6145" w:rsidRPr="008D6145" w:rsidRDefault="008D6145" w:rsidP="008D6145">
            <w:pPr>
              <w:suppressAutoHyphens w:val="0"/>
              <w:kinsoku/>
              <w:overflowPunct/>
              <w:autoSpaceDE/>
              <w:autoSpaceDN/>
              <w:adjustRightInd/>
              <w:snapToGrid/>
              <w:spacing w:before="40" w:after="40" w:line="220" w:lineRule="exact"/>
              <w:jc w:val="right"/>
              <w:rPr>
                <w:sz w:val="18"/>
                <w:szCs w:val="28"/>
              </w:rPr>
            </w:pPr>
            <w:r w:rsidRPr="008D6145">
              <w:rPr>
                <w:sz w:val="18"/>
                <w:szCs w:val="28"/>
              </w:rPr>
              <w:t>351</w:t>
            </w:r>
          </w:p>
        </w:tc>
        <w:tc>
          <w:tcPr>
            <w:tcW w:w="1701" w:type="dxa"/>
            <w:shd w:val="clear" w:color="auto" w:fill="auto"/>
            <w:vAlign w:val="bottom"/>
          </w:tcPr>
          <w:p w:rsidR="008D6145" w:rsidRPr="008D6145" w:rsidRDefault="008D6145" w:rsidP="008D6145">
            <w:pPr>
              <w:suppressAutoHyphens w:val="0"/>
              <w:kinsoku/>
              <w:overflowPunct/>
              <w:autoSpaceDE/>
              <w:autoSpaceDN/>
              <w:adjustRightInd/>
              <w:snapToGrid/>
              <w:spacing w:before="40" w:after="40" w:line="220" w:lineRule="exact"/>
              <w:jc w:val="right"/>
              <w:rPr>
                <w:sz w:val="18"/>
                <w:szCs w:val="28"/>
              </w:rPr>
            </w:pPr>
            <w:r w:rsidRPr="008D6145">
              <w:rPr>
                <w:sz w:val="18"/>
                <w:szCs w:val="28"/>
              </w:rPr>
              <w:t>127</w:t>
            </w:r>
          </w:p>
        </w:tc>
        <w:tc>
          <w:tcPr>
            <w:tcW w:w="1701" w:type="dxa"/>
            <w:shd w:val="clear" w:color="auto" w:fill="auto"/>
            <w:vAlign w:val="bottom"/>
          </w:tcPr>
          <w:p w:rsidR="008D6145" w:rsidRPr="00821D2B" w:rsidRDefault="008D6145" w:rsidP="008D6145">
            <w:pPr>
              <w:suppressAutoHyphens w:val="0"/>
              <w:kinsoku/>
              <w:overflowPunct/>
              <w:autoSpaceDE/>
              <w:autoSpaceDN/>
              <w:adjustRightInd/>
              <w:snapToGrid/>
              <w:spacing w:before="40" w:after="40" w:line="220" w:lineRule="exact"/>
              <w:jc w:val="right"/>
              <w:rPr>
                <w:b/>
                <w:bCs/>
                <w:sz w:val="18"/>
                <w:szCs w:val="28"/>
              </w:rPr>
            </w:pPr>
            <w:r w:rsidRPr="00821D2B">
              <w:rPr>
                <w:b/>
                <w:bCs/>
                <w:sz w:val="18"/>
                <w:szCs w:val="28"/>
              </w:rPr>
              <w:fldChar w:fldCharType="begin"/>
            </w:r>
            <w:r w:rsidRPr="00821D2B">
              <w:rPr>
                <w:b/>
                <w:bCs/>
                <w:sz w:val="18"/>
                <w:szCs w:val="28"/>
              </w:rPr>
              <w:instrText xml:space="preserve"> =SUM(LEFT) </w:instrText>
            </w:r>
            <w:r w:rsidRPr="00821D2B">
              <w:rPr>
                <w:b/>
                <w:bCs/>
                <w:sz w:val="18"/>
                <w:szCs w:val="28"/>
              </w:rPr>
              <w:fldChar w:fldCharType="separate"/>
            </w:r>
            <w:r w:rsidR="003B2444">
              <w:rPr>
                <w:b/>
                <w:bCs/>
                <w:noProof/>
                <w:sz w:val="18"/>
                <w:szCs w:val="28"/>
              </w:rPr>
              <w:t>2496</w:t>
            </w:r>
            <w:r w:rsidRPr="00821D2B">
              <w:rPr>
                <w:b/>
                <w:bCs/>
                <w:sz w:val="18"/>
                <w:szCs w:val="28"/>
              </w:rPr>
              <w:fldChar w:fldCharType="end"/>
            </w:r>
          </w:p>
        </w:tc>
      </w:tr>
      <w:tr w:rsidR="008D6145" w:rsidRPr="008D6145" w:rsidTr="00821D2B">
        <w:tc>
          <w:tcPr>
            <w:tcW w:w="2268" w:type="dxa"/>
            <w:shd w:val="clear" w:color="auto" w:fill="auto"/>
          </w:tcPr>
          <w:p w:rsidR="008D6145" w:rsidRPr="008D6145" w:rsidRDefault="008D6145" w:rsidP="008D6145">
            <w:pPr>
              <w:suppressAutoHyphens w:val="0"/>
              <w:kinsoku/>
              <w:overflowPunct/>
              <w:autoSpaceDE/>
              <w:autoSpaceDN/>
              <w:adjustRightInd/>
              <w:snapToGrid/>
              <w:spacing w:before="40" w:after="40" w:line="220" w:lineRule="exact"/>
              <w:rPr>
                <w:sz w:val="18"/>
                <w:szCs w:val="28"/>
              </w:rPr>
            </w:pPr>
            <w:r w:rsidRPr="008D6145">
              <w:rPr>
                <w:sz w:val="18"/>
                <w:szCs w:val="28"/>
              </w:rPr>
              <w:t>2019</w:t>
            </w:r>
          </w:p>
        </w:tc>
        <w:tc>
          <w:tcPr>
            <w:tcW w:w="1701" w:type="dxa"/>
            <w:shd w:val="clear" w:color="auto" w:fill="auto"/>
            <w:vAlign w:val="bottom"/>
          </w:tcPr>
          <w:p w:rsidR="008D6145" w:rsidRPr="008D6145" w:rsidRDefault="008D6145" w:rsidP="008D6145">
            <w:pPr>
              <w:suppressAutoHyphens w:val="0"/>
              <w:kinsoku/>
              <w:overflowPunct/>
              <w:autoSpaceDE/>
              <w:autoSpaceDN/>
              <w:adjustRightInd/>
              <w:snapToGrid/>
              <w:spacing w:before="40" w:after="40" w:line="220" w:lineRule="exact"/>
              <w:jc w:val="right"/>
              <w:rPr>
                <w:sz w:val="18"/>
                <w:szCs w:val="28"/>
              </w:rPr>
            </w:pPr>
            <w:r w:rsidRPr="008D6145">
              <w:rPr>
                <w:sz w:val="18"/>
                <w:szCs w:val="28"/>
              </w:rPr>
              <w:t>258</w:t>
            </w:r>
          </w:p>
        </w:tc>
        <w:tc>
          <w:tcPr>
            <w:tcW w:w="1701" w:type="dxa"/>
            <w:shd w:val="clear" w:color="auto" w:fill="auto"/>
            <w:vAlign w:val="bottom"/>
          </w:tcPr>
          <w:p w:rsidR="008D6145" w:rsidRPr="008D6145" w:rsidRDefault="008D6145" w:rsidP="008D6145">
            <w:pPr>
              <w:suppressAutoHyphens w:val="0"/>
              <w:kinsoku/>
              <w:overflowPunct/>
              <w:autoSpaceDE/>
              <w:autoSpaceDN/>
              <w:adjustRightInd/>
              <w:snapToGrid/>
              <w:spacing w:before="40" w:after="40" w:line="220" w:lineRule="exact"/>
              <w:jc w:val="right"/>
              <w:rPr>
                <w:sz w:val="18"/>
                <w:szCs w:val="28"/>
              </w:rPr>
            </w:pPr>
            <w:r w:rsidRPr="008D6145">
              <w:rPr>
                <w:sz w:val="18"/>
                <w:szCs w:val="28"/>
              </w:rPr>
              <w:t>162</w:t>
            </w:r>
          </w:p>
        </w:tc>
        <w:tc>
          <w:tcPr>
            <w:tcW w:w="1701" w:type="dxa"/>
            <w:shd w:val="clear" w:color="auto" w:fill="auto"/>
            <w:vAlign w:val="bottom"/>
          </w:tcPr>
          <w:p w:rsidR="008D6145" w:rsidRPr="00821D2B" w:rsidRDefault="008D6145" w:rsidP="008D6145">
            <w:pPr>
              <w:suppressAutoHyphens w:val="0"/>
              <w:kinsoku/>
              <w:overflowPunct/>
              <w:autoSpaceDE/>
              <w:autoSpaceDN/>
              <w:adjustRightInd/>
              <w:snapToGrid/>
              <w:spacing w:before="40" w:after="40" w:line="220" w:lineRule="exact"/>
              <w:jc w:val="right"/>
              <w:rPr>
                <w:b/>
                <w:bCs/>
                <w:sz w:val="18"/>
                <w:szCs w:val="28"/>
              </w:rPr>
            </w:pPr>
            <w:r w:rsidRPr="00821D2B">
              <w:rPr>
                <w:b/>
                <w:bCs/>
                <w:sz w:val="18"/>
                <w:szCs w:val="28"/>
              </w:rPr>
              <w:fldChar w:fldCharType="begin"/>
            </w:r>
            <w:r w:rsidRPr="00821D2B">
              <w:rPr>
                <w:b/>
                <w:bCs/>
                <w:sz w:val="18"/>
                <w:szCs w:val="28"/>
              </w:rPr>
              <w:instrText xml:space="preserve"> =SUM(LEFT) </w:instrText>
            </w:r>
            <w:r w:rsidRPr="00821D2B">
              <w:rPr>
                <w:b/>
                <w:bCs/>
                <w:sz w:val="18"/>
                <w:szCs w:val="28"/>
              </w:rPr>
              <w:fldChar w:fldCharType="separate"/>
            </w:r>
            <w:r w:rsidR="003B2444">
              <w:rPr>
                <w:b/>
                <w:bCs/>
                <w:noProof/>
                <w:sz w:val="18"/>
                <w:szCs w:val="28"/>
              </w:rPr>
              <w:t>2439</w:t>
            </w:r>
            <w:r w:rsidRPr="00821D2B">
              <w:rPr>
                <w:b/>
                <w:bCs/>
                <w:sz w:val="18"/>
                <w:szCs w:val="28"/>
              </w:rPr>
              <w:fldChar w:fldCharType="end"/>
            </w:r>
          </w:p>
        </w:tc>
      </w:tr>
      <w:tr w:rsidR="008D6145" w:rsidRPr="008D6145" w:rsidTr="00821D2B">
        <w:tc>
          <w:tcPr>
            <w:tcW w:w="2268" w:type="dxa"/>
            <w:tcBorders>
              <w:bottom w:val="single" w:sz="4" w:space="0" w:color="auto"/>
            </w:tcBorders>
            <w:shd w:val="clear" w:color="auto" w:fill="auto"/>
          </w:tcPr>
          <w:p w:rsidR="008D6145" w:rsidRPr="008D6145" w:rsidRDefault="008D6145" w:rsidP="008D6145">
            <w:pPr>
              <w:suppressAutoHyphens w:val="0"/>
              <w:kinsoku/>
              <w:overflowPunct/>
              <w:autoSpaceDE/>
              <w:autoSpaceDN/>
              <w:adjustRightInd/>
              <w:snapToGrid/>
              <w:spacing w:before="40" w:after="40" w:line="220" w:lineRule="exact"/>
              <w:rPr>
                <w:sz w:val="18"/>
                <w:szCs w:val="28"/>
              </w:rPr>
            </w:pPr>
            <w:r w:rsidRPr="008D6145">
              <w:rPr>
                <w:sz w:val="18"/>
                <w:szCs w:val="28"/>
              </w:rPr>
              <w:t>2020</w:t>
            </w:r>
          </w:p>
        </w:tc>
        <w:tc>
          <w:tcPr>
            <w:tcW w:w="1701" w:type="dxa"/>
            <w:tcBorders>
              <w:bottom w:val="single" w:sz="4" w:space="0" w:color="auto"/>
            </w:tcBorders>
            <w:shd w:val="clear" w:color="auto" w:fill="auto"/>
            <w:vAlign w:val="bottom"/>
          </w:tcPr>
          <w:p w:rsidR="008D6145" w:rsidRPr="008D6145" w:rsidRDefault="008D6145" w:rsidP="008D6145">
            <w:pPr>
              <w:suppressAutoHyphens w:val="0"/>
              <w:kinsoku/>
              <w:overflowPunct/>
              <w:autoSpaceDE/>
              <w:autoSpaceDN/>
              <w:adjustRightInd/>
              <w:snapToGrid/>
              <w:spacing w:before="40" w:after="40" w:line="220" w:lineRule="exact"/>
              <w:jc w:val="right"/>
              <w:rPr>
                <w:sz w:val="18"/>
                <w:szCs w:val="28"/>
              </w:rPr>
            </w:pPr>
            <w:r w:rsidRPr="008D6145">
              <w:rPr>
                <w:sz w:val="18"/>
                <w:szCs w:val="28"/>
              </w:rPr>
              <w:t>312</w:t>
            </w:r>
          </w:p>
        </w:tc>
        <w:tc>
          <w:tcPr>
            <w:tcW w:w="1701" w:type="dxa"/>
            <w:tcBorders>
              <w:bottom w:val="single" w:sz="4" w:space="0" w:color="auto"/>
            </w:tcBorders>
            <w:shd w:val="clear" w:color="auto" w:fill="auto"/>
            <w:vAlign w:val="bottom"/>
          </w:tcPr>
          <w:p w:rsidR="008D6145" w:rsidRPr="008D6145" w:rsidRDefault="008D6145" w:rsidP="008D6145">
            <w:pPr>
              <w:suppressAutoHyphens w:val="0"/>
              <w:kinsoku/>
              <w:overflowPunct/>
              <w:autoSpaceDE/>
              <w:autoSpaceDN/>
              <w:adjustRightInd/>
              <w:snapToGrid/>
              <w:spacing w:before="40" w:after="40" w:line="220" w:lineRule="exact"/>
              <w:jc w:val="right"/>
              <w:rPr>
                <w:sz w:val="18"/>
                <w:szCs w:val="28"/>
              </w:rPr>
            </w:pPr>
            <w:r w:rsidRPr="008D6145">
              <w:rPr>
                <w:sz w:val="18"/>
                <w:szCs w:val="28"/>
              </w:rPr>
              <w:t>268</w:t>
            </w:r>
          </w:p>
        </w:tc>
        <w:tc>
          <w:tcPr>
            <w:tcW w:w="1701" w:type="dxa"/>
            <w:tcBorders>
              <w:bottom w:val="single" w:sz="4" w:space="0" w:color="auto"/>
            </w:tcBorders>
            <w:shd w:val="clear" w:color="auto" w:fill="auto"/>
            <w:vAlign w:val="bottom"/>
          </w:tcPr>
          <w:p w:rsidR="008D6145" w:rsidRPr="00821D2B" w:rsidRDefault="008D6145" w:rsidP="008D6145">
            <w:pPr>
              <w:suppressAutoHyphens w:val="0"/>
              <w:kinsoku/>
              <w:overflowPunct/>
              <w:autoSpaceDE/>
              <w:autoSpaceDN/>
              <w:adjustRightInd/>
              <w:snapToGrid/>
              <w:spacing w:before="40" w:after="40" w:line="220" w:lineRule="exact"/>
              <w:jc w:val="right"/>
              <w:rPr>
                <w:b/>
                <w:bCs/>
                <w:sz w:val="18"/>
                <w:szCs w:val="28"/>
              </w:rPr>
            </w:pPr>
            <w:r w:rsidRPr="00821D2B">
              <w:rPr>
                <w:b/>
                <w:bCs/>
                <w:sz w:val="18"/>
                <w:szCs w:val="28"/>
              </w:rPr>
              <w:fldChar w:fldCharType="begin"/>
            </w:r>
            <w:r w:rsidRPr="00821D2B">
              <w:rPr>
                <w:b/>
                <w:bCs/>
                <w:sz w:val="18"/>
                <w:szCs w:val="28"/>
              </w:rPr>
              <w:instrText xml:space="preserve"> =SUM(LEFT) </w:instrText>
            </w:r>
            <w:r w:rsidRPr="00821D2B">
              <w:rPr>
                <w:b/>
                <w:bCs/>
                <w:sz w:val="18"/>
                <w:szCs w:val="28"/>
              </w:rPr>
              <w:fldChar w:fldCharType="separate"/>
            </w:r>
            <w:r w:rsidR="003B2444">
              <w:rPr>
                <w:b/>
                <w:bCs/>
                <w:noProof/>
                <w:sz w:val="18"/>
                <w:szCs w:val="28"/>
              </w:rPr>
              <w:t>2600</w:t>
            </w:r>
            <w:r w:rsidRPr="00821D2B">
              <w:rPr>
                <w:b/>
                <w:bCs/>
                <w:sz w:val="18"/>
                <w:szCs w:val="28"/>
              </w:rPr>
              <w:fldChar w:fldCharType="end"/>
            </w:r>
          </w:p>
        </w:tc>
      </w:tr>
      <w:tr w:rsidR="008D6145" w:rsidRPr="008D6145" w:rsidTr="00821D2B">
        <w:tc>
          <w:tcPr>
            <w:tcW w:w="2268" w:type="dxa"/>
            <w:tcBorders>
              <w:top w:val="single" w:sz="4" w:space="0" w:color="auto"/>
              <w:bottom w:val="single" w:sz="12" w:space="0" w:color="auto"/>
            </w:tcBorders>
            <w:shd w:val="clear" w:color="auto" w:fill="auto"/>
          </w:tcPr>
          <w:p w:rsidR="008D6145" w:rsidRPr="008D6145" w:rsidRDefault="00AB4A33" w:rsidP="008D6145">
            <w:pPr>
              <w:suppressAutoHyphens w:val="0"/>
              <w:kinsoku/>
              <w:overflowPunct/>
              <w:autoSpaceDE/>
              <w:autoSpaceDN/>
              <w:adjustRightInd/>
              <w:snapToGrid/>
              <w:spacing w:before="80" w:after="80" w:line="220" w:lineRule="exact"/>
              <w:ind w:left="283"/>
              <w:rPr>
                <w:b/>
                <w:sz w:val="18"/>
                <w:szCs w:val="28"/>
              </w:rPr>
            </w:pPr>
            <w:r w:rsidRPr="008D6145">
              <w:rPr>
                <w:b/>
                <w:sz w:val="18"/>
                <w:szCs w:val="28"/>
              </w:rPr>
              <w:t>Total</w:t>
            </w:r>
          </w:p>
        </w:tc>
        <w:tc>
          <w:tcPr>
            <w:tcW w:w="1701" w:type="dxa"/>
            <w:tcBorders>
              <w:top w:val="single" w:sz="4" w:space="0" w:color="auto"/>
              <w:bottom w:val="single" w:sz="12" w:space="0" w:color="auto"/>
            </w:tcBorders>
            <w:shd w:val="clear" w:color="auto" w:fill="auto"/>
            <w:vAlign w:val="bottom"/>
          </w:tcPr>
          <w:p w:rsidR="008D6145" w:rsidRPr="00821D2B" w:rsidRDefault="008D6145" w:rsidP="008D6145">
            <w:pPr>
              <w:suppressAutoHyphens w:val="0"/>
              <w:kinsoku/>
              <w:overflowPunct/>
              <w:autoSpaceDE/>
              <w:autoSpaceDN/>
              <w:adjustRightInd/>
              <w:snapToGrid/>
              <w:spacing w:before="80" w:after="80" w:line="220" w:lineRule="exact"/>
              <w:jc w:val="right"/>
              <w:rPr>
                <w:b/>
                <w:iCs/>
                <w:sz w:val="18"/>
                <w:szCs w:val="28"/>
              </w:rPr>
            </w:pPr>
            <w:r w:rsidRPr="00821D2B">
              <w:rPr>
                <w:b/>
                <w:iCs/>
                <w:sz w:val="18"/>
                <w:szCs w:val="28"/>
              </w:rPr>
              <w:fldChar w:fldCharType="begin"/>
            </w:r>
            <w:r w:rsidRPr="00821D2B">
              <w:rPr>
                <w:b/>
                <w:iCs/>
                <w:sz w:val="18"/>
                <w:szCs w:val="28"/>
              </w:rPr>
              <w:instrText xml:space="preserve"> =SUM(ABOVE) </w:instrText>
            </w:r>
            <w:r w:rsidRPr="00821D2B">
              <w:rPr>
                <w:b/>
                <w:iCs/>
                <w:sz w:val="18"/>
                <w:szCs w:val="28"/>
              </w:rPr>
              <w:fldChar w:fldCharType="separate"/>
            </w:r>
            <w:r w:rsidR="003B2444">
              <w:rPr>
                <w:b/>
                <w:iCs/>
                <w:noProof/>
                <w:sz w:val="18"/>
                <w:szCs w:val="28"/>
              </w:rPr>
              <w:t>6 975</w:t>
            </w:r>
            <w:r w:rsidRPr="00821D2B">
              <w:rPr>
                <w:b/>
                <w:iCs/>
                <w:sz w:val="18"/>
                <w:szCs w:val="28"/>
              </w:rPr>
              <w:fldChar w:fldCharType="end"/>
            </w:r>
          </w:p>
        </w:tc>
        <w:tc>
          <w:tcPr>
            <w:tcW w:w="1701" w:type="dxa"/>
            <w:tcBorders>
              <w:top w:val="single" w:sz="4" w:space="0" w:color="auto"/>
              <w:bottom w:val="single" w:sz="12" w:space="0" w:color="auto"/>
            </w:tcBorders>
            <w:shd w:val="clear" w:color="auto" w:fill="auto"/>
            <w:vAlign w:val="bottom"/>
          </w:tcPr>
          <w:p w:rsidR="008D6145" w:rsidRPr="00821D2B" w:rsidRDefault="008D6145" w:rsidP="008D6145">
            <w:pPr>
              <w:suppressAutoHyphens w:val="0"/>
              <w:kinsoku/>
              <w:overflowPunct/>
              <w:autoSpaceDE/>
              <w:autoSpaceDN/>
              <w:adjustRightInd/>
              <w:snapToGrid/>
              <w:spacing w:before="80" w:after="80" w:line="220" w:lineRule="exact"/>
              <w:jc w:val="right"/>
              <w:rPr>
                <w:b/>
                <w:iCs/>
                <w:sz w:val="18"/>
                <w:szCs w:val="28"/>
              </w:rPr>
            </w:pPr>
            <w:r w:rsidRPr="00821D2B">
              <w:rPr>
                <w:b/>
                <w:iCs/>
                <w:sz w:val="18"/>
                <w:szCs w:val="28"/>
              </w:rPr>
              <w:fldChar w:fldCharType="begin"/>
            </w:r>
            <w:r w:rsidRPr="00821D2B">
              <w:rPr>
                <w:b/>
                <w:iCs/>
                <w:sz w:val="18"/>
                <w:szCs w:val="28"/>
              </w:rPr>
              <w:instrText xml:space="preserve"> =SUM(ABOVE) </w:instrText>
            </w:r>
            <w:r w:rsidRPr="00821D2B">
              <w:rPr>
                <w:b/>
                <w:iCs/>
                <w:sz w:val="18"/>
                <w:szCs w:val="28"/>
              </w:rPr>
              <w:fldChar w:fldCharType="separate"/>
            </w:r>
            <w:r w:rsidR="003B2444">
              <w:rPr>
                <w:b/>
                <w:iCs/>
                <w:noProof/>
                <w:sz w:val="18"/>
                <w:szCs w:val="28"/>
              </w:rPr>
              <w:t>741</w:t>
            </w:r>
            <w:r w:rsidRPr="00821D2B">
              <w:rPr>
                <w:b/>
                <w:iCs/>
                <w:sz w:val="18"/>
                <w:szCs w:val="28"/>
              </w:rPr>
              <w:fldChar w:fldCharType="end"/>
            </w:r>
          </w:p>
        </w:tc>
        <w:tc>
          <w:tcPr>
            <w:tcW w:w="1701" w:type="dxa"/>
            <w:tcBorders>
              <w:top w:val="single" w:sz="4" w:space="0" w:color="auto"/>
              <w:bottom w:val="single" w:sz="12" w:space="0" w:color="auto"/>
            </w:tcBorders>
            <w:shd w:val="clear" w:color="auto" w:fill="auto"/>
            <w:vAlign w:val="bottom"/>
          </w:tcPr>
          <w:p w:rsidR="008D6145" w:rsidRPr="00821D2B" w:rsidRDefault="008D6145" w:rsidP="008D6145">
            <w:pPr>
              <w:suppressAutoHyphens w:val="0"/>
              <w:kinsoku/>
              <w:overflowPunct/>
              <w:autoSpaceDE/>
              <w:autoSpaceDN/>
              <w:adjustRightInd/>
              <w:snapToGrid/>
              <w:spacing w:before="80" w:after="80" w:line="220" w:lineRule="exact"/>
              <w:jc w:val="right"/>
              <w:rPr>
                <w:b/>
                <w:bCs/>
                <w:iCs/>
                <w:sz w:val="18"/>
                <w:szCs w:val="28"/>
              </w:rPr>
            </w:pPr>
            <w:r w:rsidRPr="00821D2B">
              <w:rPr>
                <w:b/>
                <w:bCs/>
                <w:iCs/>
                <w:sz w:val="18"/>
                <w:szCs w:val="28"/>
              </w:rPr>
              <w:fldChar w:fldCharType="begin"/>
            </w:r>
            <w:r w:rsidRPr="00821D2B">
              <w:rPr>
                <w:b/>
                <w:bCs/>
                <w:iCs/>
                <w:sz w:val="18"/>
                <w:szCs w:val="28"/>
              </w:rPr>
              <w:instrText xml:space="preserve"> =SUM(LEFT) </w:instrText>
            </w:r>
            <w:r w:rsidRPr="00821D2B">
              <w:rPr>
                <w:b/>
                <w:bCs/>
                <w:iCs/>
                <w:sz w:val="18"/>
                <w:szCs w:val="28"/>
              </w:rPr>
              <w:fldChar w:fldCharType="separate"/>
            </w:r>
            <w:r w:rsidR="003B2444">
              <w:rPr>
                <w:b/>
                <w:bCs/>
                <w:iCs/>
                <w:noProof/>
                <w:sz w:val="18"/>
                <w:szCs w:val="28"/>
              </w:rPr>
              <w:t>7 716</w:t>
            </w:r>
            <w:r w:rsidRPr="00821D2B">
              <w:rPr>
                <w:b/>
                <w:bCs/>
                <w:iCs/>
                <w:sz w:val="18"/>
                <w:szCs w:val="28"/>
              </w:rPr>
              <w:fldChar w:fldCharType="end"/>
            </w:r>
          </w:p>
        </w:tc>
      </w:tr>
    </w:tbl>
    <w:p w:rsidR="008D6145" w:rsidRPr="008D6145" w:rsidRDefault="008D6145" w:rsidP="00821D2B">
      <w:pPr>
        <w:kinsoku/>
        <w:overflowPunct/>
        <w:autoSpaceDE/>
        <w:autoSpaceDN/>
        <w:adjustRightInd/>
        <w:snapToGrid/>
        <w:spacing w:before="120" w:after="240"/>
        <w:ind w:left="1134" w:right="1134" w:firstLine="170"/>
        <w:rPr>
          <w:rFonts w:eastAsia="Times New Roman"/>
          <w:sz w:val="18"/>
          <w:szCs w:val="18"/>
          <w:lang w:val="fr-FR"/>
        </w:rPr>
      </w:pPr>
      <w:r w:rsidRPr="008D6145">
        <w:rPr>
          <w:rFonts w:eastAsia="Times New Roman"/>
          <w:i/>
          <w:sz w:val="18"/>
          <w:szCs w:val="18"/>
          <w:lang w:val="fr-FR"/>
        </w:rPr>
        <w:t>Source</w:t>
      </w:r>
      <w:r w:rsidRPr="008D6145">
        <w:rPr>
          <w:rFonts w:eastAsia="Times New Roman"/>
          <w:sz w:val="18"/>
          <w:szCs w:val="18"/>
          <w:lang w:val="fr-FR"/>
        </w:rPr>
        <w:t xml:space="preserve"> : </w:t>
      </w:r>
      <w:r w:rsidRPr="008D6145">
        <w:rPr>
          <w:rFonts w:eastAsia="Times New Roman"/>
          <w:i/>
          <w:sz w:val="18"/>
          <w:szCs w:val="18"/>
        </w:rPr>
        <w:t>FUR</w:t>
      </w:r>
      <w:r w:rsidRPr="008D6145">
        <w:rPr>
          <w:rFonts w:eastAsia="Times New Roman"/>
          <w:sz w:val="18"/>
          <w:szCs w:val="18"/>
          <w:lang w:val="fr-FR"/>
        </w:rPr>
        <w:t>, 2015.</w:t>
      </w:r>
    </w:p>
    <w:p w:rsidR="008D6145" w:rsidRPr="00040041" w:rsidRDefault="00821D2B" w:rsidP="00821D2B">
      <w:pPr>
        <w:pStyle w:val="SingleTxtG"/>
        <w:kinsoku/>
        <w:overflowPunct/>
        <w:autoSpaceDE/>
        <w:autoSpaceDN/>
        <w:adjustRightInd/>
        <w:snapToGrid/>
        <w:rPr>
          <w:rFonts w:eastAsia="Times New Roman"/>
        </w:rPr>
      </w:pPr>
      <w:r w:rsidRPr="00040041">
        <w:rPr>
          <w:rFonts w:eastAsia="Times New Roman"/>
        </w:rPr>
        <w:lastRenderedPageBreak/>
        <w:t>23.</w:t>
      </w:r>
      <w:r w:rsidRPr="00040041">
        <w:rPr>
          <w:rFonts w:eastAsia="Times New Roman"/>
        </w:rPr>
        <w:tab/>
      </w:r>
      <w:r w:rsidR="008D6145" w:rsidRPr="00040041">
        <w:rPr>
          <w:rFonts w:eastAsia="Times New Roman"/>
        </w:rPr>
        <w:t>La masse salariale constitue la principale composante (40</w:t>
      </w:r>
      <w:r w:rsidR="006A0DA0">
        <w:rPr>
          <w:rFonts w:eastAsia="Times New Roman"/>
        </w:rPr>
        <w:t> </w:t>
      </w:r>
      <w:r w:rsidR="008D6145" w:rsidRPr="00040041">
        <w:rPr>
          <w:rFonts w:eastAsia="Times New Roman"/>
        </w:rPr>
        <w:t>% en moyenne sur la période 2000-2010) des dépenses de fonctionnement. Elle a triplé, passant de 74,8 milliards de FCFA en 2000 à 253,2 milliards de FCFA en 2011. En termes réels, la masse salariale a augmenté de 14,7</w:t>
      </w:r>
      <w:r w:rsidR="006A0DA0">
        <w:rPr>
          <w:rFonts w:eastAsia="Times New Roman"/>
        </w:rPr>
        <w:t> </w:t>
      </w:r>
      <w:r w:rsidR="008D6145" w:rsidRPr="00040041">
        <w:rPr>
          <w:rFonts w:eastAsia="Times New Roman"/>
        </w:rPr>
        <w:t>% en moyenne sur la période 2007-2009.</w:t>
      </w:r>
    </w:p>
    <w:p w:rsidR="008D6145" w:rsidRPr="008D6145" w:rsidRDefault="00821D2B" w:rsidP="00821D2B">
      <w:pPr>
        <w:pStyle w:val="SingleTxtG"/>
        <w:kinsoku/>
        <w:overflowPunct/>
        <w:autoSpaceDE/>
        <w:autoSpaceDN/>
        <w:adjustRightInd/>
        <w:snapToGrid/>
        <w:rPr>
          <w:rFonts w:eastAsia="Times New Roman"/>
          <w:sz w:val="18"/>
          <w:szCs w:val="18"/>
          <w:lang w:val="fr-FR"/>
        </w:rPr>
      </w:pPr>
      <w:r w:rsidRPr="008D6145">
        <w:rPr>
          <w:rFonts w:eastAsia="Times New Roman"/>
          <w:sz w:val="18"/>
          <w:szCs w:val="18"/>
          <w:lang w:val="fr-FR"/>
        </w:rPr>
        <w:t>24.</w:t>
      </w:r>
      <w:r w:rsidRPr="008D6145">
        <w:rPr>
          <w:rFonts w:eastAsia="Times New Roman"/>
          <w:sz w:val="18"/>
          <w:szCs w:val="18"/>
          <w:lang w:val="fr-FR"/>
        </w:rPr>
        <w:tab/>
      </w:r>
      <w:r w:rsidR="008D6145" w:rsidRPr="00040041">
        <w:rPr>
          <w:rFonts w:eastAsia="Times New Roman"/>
        </w:rPr>
        <w:t>En ce qui concerne le ratio masse salariale rapportée aux recettes fiscales, il a dépassé le plafond du critère de convergence de l</w:t>
      </w:r>
      <w:r w:rsidR="00A033A7" w:rsidRPr="00040041">
        <w:rPr>
          <w:rFonts w:eastAsia="Times New Roman"/>
        </w:rPr>
        <w:t>’</w:t>
      </w:r>
      <w:r w:rsidR="008D6145" w:rsidRPr="00040041">
        <w:rPr>
          <w:rFonts w:eastAsia="Times New Roman"/>
        </w:rPr>
        <w:t>UEMOA. Ainsi, pour un objectif de 35</w:t>
      </w:r>
      <w:r w:rsidR="006A0DA0">
        <w:rPr>
          <w:rFonts w:eastAsia="Times New Roman"/>
        </w:rPr>
        <w:t> </w:t>
      </w:r>
      <w:r w:rsidR="008D6145" w:rsidRPr="00040041">
        <w:rPr>
          <w:rFonts w:eastAsia="Times New Roman"/>
        </w:rPr>
        <w:t>% des recettes fiscales au maximum, la masse salariale du Bénin se situe à 45,1</w:t>
      </w:r>
      <w:r w:rsidR="006A0DA0">
        <w:rPr>
          <w:rFonts w:eastAsia="Times New Roman"/>
        </w:rPr>
        <w:t> </w:t>
      </w:r>
      <w:r w:rsidR="008D6145" w:rsidRPr="00040041">
        <w:rPr>
          <w:rFonts w:eastAsia="Times New Roman"/>
        </w:rPr>
        <w:t>% des recettes fiscales en 2009 contre une moyenne de 38,9</w:t>
      </w:r>
      <w:r w:rsidR="001D58DC">
        <w:rPr>
          <w:rFonts w:eastAsia="Times New Roman"/>
        </w:rPr>
        <w:t> </w:t>
      </w:r>
      <w:r w:rsidR="008D6145" w:rsidRPr="00040041">
        <w:rPr>
          <w:rFonts w:eastAsia="Times New Roman"/>
        </w:rPr>
        <w:t>% au sein de l</w:t>
      </w:r>
      <w:r w:rsidR="00A033A7" w:rsidRPr="00040041">
        <w:rPr>
          <w:rFonts w:eastAsia="Times New Roman"/>
        </w:rPr>
        <w:t>’</w:t>
      </w:r>
      <w:r w:rsidR="008D6145" w:rsidRPr="00040041">
        <w:rPr>
          <w:rFonts w:eastAsia="Times New Roman"/>
        </w:rPr>
        <w:t>UEMOA. Cette hausse est induite, entre autres, par l</w:t>
      </w:r>
      <w:r w:rsidR="00A033A7" w:rsidRPr="00040041">
        <w:rPr>
          <w:rFonts w:eastAsia="Times New Roman"/>
        </w:rPr>
        <w:t>’</w:t>
      </w:r>
      <w:r w:rsidR="008D6145" w:rsidRPr="00040041">
        <w:rPr>
          <w:rFonts w:eastAsia="Times New Roman"/>
        </w:rPr>
        <w:t>augmentation du personnel et l</w:t>
      </w:r>
      <w:r w:rsidR="00A033A7" w:rsidRPr="00040041">
        <w:rPr>
          <w:rFonts w:eastAsia="Times New Roman"/>
        </w:rPr>
        <w:t>’</w:t>
      </w:r>
      <w:r w:rsidR="008D6145" w:rsidRPr="00040041">
        <w:rPr>
          <w:rFonts w:eastAsia="Times New Roman"/>
        </w:rPr>
        <w:t>amélioration du taux de salaire dans certains secteurs de l</w:t>
      </w:r>
      <w:r w:rsidR="00A033A7" w:rsidRPr="00040041">
        <w:rPr>
          <w:rFonts w:eastAsia="Times New Roman"/>
        </w:rPr>
        <w:t>’</w:t>
      </w:r>
      <w:r w:rsidR="008D6145" w:rsidRPr="00040041">
        <w:rPr>
          <w:rFonts w:eastAsia="Times New Roman"/>
        </w:rPr>
        <w:t>administration (éducation, santé, finances, etc.). Depuis 2007, le processus de reversement des agents occasionnels dans l</w:t>
      </w:r>
      <w:r w:rsidR="00A033A7" w:rsidRPr="00040041">
        <w:rPr>
          <w:rFonts w:eastAsia="Times New Roman"/>
        </w:rPr>
        <w:t>’</w:t>
      </w:r>
      <w:r w:rsidR="008D6145" w:rsidRPr="00040041">
        <w:rPr>
          <w:rFonts w:eastAsia="Times New Roman"/>
        </w:rPr>
        <w:t>administration publique a fortement fait progresser les effectifs. Dans le même temps, un coefficient de revalorisation de 3,5 a été accordé aux enseignants du supérieur et un coefficient de 1,25 a été appliqué progressivement aux agents des autres corps de l</w:t>
      </w:r>
      <w:r w:rsidR="00A033A7" w:rsidRPr="00040041">
        <w:rPr>
          <w:rFonts w:eastAsia="Times New Roman"/>
        </w:rPr>
        <w:t>’</w:t>
      </w:r>
      <w:r w:rsidR="008D6145" w:rsidRPr="00040041">
        <w:rPr>
          <w:rFonts w:eastAsia="Times New Roman"/>
        </w:rPr>
        <w:t>administration. Par ailleurs, la création de plusieurs primes a également con</w:t>
      </w:r>
      <w:r w:rsidR="008D6145" w:rsidRPr="008D6145">
        <w:rPr>
          <w:rFonts w:eastAsia="Times New Roman"/>
          <w:lang w:val="fr-FR"/>
        </w:rPr>
        <w:t>tribué à l</w:t>
      </w:r>
      <w:r w:rsidR="00A033A7">
        <w:rPr>
          <w:rFonts w:eastAsia="Times New Roman"/>
          <w:lang w:val="fr-FR"/>
        </w:rPr>
        <w:t>’</w:t>
      </w:r>
      <w:r w:rsidR="008D6145" w:rsidRPr="008D6145">
        <w:rPr>
          <w:rFonts w:eastAsia="Times New Roman"/>
          <w:lang w:val="fr-FR"/>
        </w:rPr>
        <w:t>augmentation de la masse salariale.</w:t>
      </w:r>
    </w:p>
    <w:p w:rsidR="008D6145" w:rsidRPr="008D6145" w:rsidRDefault="008D6145" w:rsidP="00821D2B">
      <w:pPr>
        <w:pStyle w:val="H23G"/>
      </w:pPr>
      <w:r w:rsidRPr="008D6145">
        <w:tab/>
      </w:r>
      <w:r w:rsidRPr="008D6145">
        <w:tab/>
        <w:t>Mesures spécifiques au profit des jeunes</w:t>
      </w:r>
    </w:p>
    <w:p w:rsidR="008D6145" w:rsidRPr="00040041" w:rsidRDefault="00821D2B" w:rsidP="00821D2B">
      <w:pPr>
        <w:pStyle w:val="SingleTxtG"/>
        <w:kinsoku/>
        <w:overflowPunct/>
        <w:autoSpaceDE/>
        <w:autoSpaceDN/>
        <w:adjustRightInd/>
        <w:snapToGrid/>
        <w:rPr>
          <w:rFonts w:eastAsia="Times New Roman"/>
        </w:rPr>
      </w:pPr>
      <w:r w:rsidRPr="00040041">
        <w:rPr>
          <w:rFonts w:eastAsia="Times New Roman"/>
        </w:rPr>
        <w:t>25.</w:t>
      </w:r>
      <w:r w:rsidRPr="00040041">
        <w:rPr>
          <w:rFonts w:eastAsia="Times New Roman"/>
        </w:rPr>
        <w:tab/>
      </w:r>
      <w:r w:rsidR="008D6145" w:rsidRPr="00040041">
        <w:rPr>
          <w:rFonts w:eastAsia="Times New Roman"/>
        </w:rPr>
        <w:t>Des mesures spécifiques ont été prises en vue de la promotion de l</w:t>
      </w:r>
      <w:r w:rsidR="00A033A7" w:rsidRPr="00040041">
        <w:rPr>
          <w:rFonts w:eastAsia="Times New Roman"/>
        </w:rPr>
        <w:t>’</w:t>
      </w:r>
      <w:r w:rsidR="008D6145" w:rsidRPr="00040041">
        <w:rPr>
          <w:rFonts w:eastAsia="Times New Roman"/>
        </w:rPr>
        <w:t>emploi des jeunes. Au nombre de celles-ci, on peut citer les Programmes exécutés par l</w:t>
      </w:r>
      <w:r w:rsidR="00A033A7" w:rsidRPr="00040041">
        <w:rPr>
          <w:rFonts w:eastAsia="Times New Roman"/>
        </w:rPr>
        <w:t>’État</w:t>
      </w:r>
      <w:r w:rsidR="000B490E">
        <w:rPr>
          <w:rFonts w:eastAsia="Times New Roman"/>
        </w:rPr>
        <w:t xml:space="preserve"> </w:t>
      </w:r>
      <w:r w:rsidR="008D6145" w:rsidRPr="00040041">
        <w:rPr>
          <w:rFonts w:eastAsia="Times New Roman"/>
        </w:rPr>
        <w:t>à travers l</w:t>
      </w:r>
      <w:r w:rsidR="00A033A7" w:rsidRPr="00040041">
        <w:rPr>
          <w:rFonts w:eastAsia="Times New Roman"/>
        </w:rPr>
        <w:t>’</w:t>
      </w:r>
      <w:r w:rsidR="008D6145" w:rsidRPr="00040041">
        <w:rPr>
          <w:rFonts w:eastAsia="Times New Roman"/>
        </w:rPr>
        <w:t>Agence Nationale pour la Promotion de l</w:t>
      </w:r>
      <w:r w:rsidR="00A033A7" w:rsidRPr="00040041">
        <w:rPr>
          <w:rFonts w:eastAsia="Times New Roman"/>
        </w:rPr>
        <w:t>’</w:t>
      </w:r>
      <w:r w:rsidR="008D6145" w:rsidRPr="00040041">
        <w:rPr>
          <w:rFonts w:eastAsia="Times New Roman"/>
        </w:rPr>
        <w:t>Emploi (ANPE), les facilitations d</w:t>
      </w:r>
      <w:r w:rsidR="00A033A7" w:rsidRPr="00040041">
        <w:rPr>
          <w:rFonts w:eastAsia="Times New Roman"/>
        </w:rPr>
        <w:t>’</w:t>
      </w:r>
      <w:r w:rsidR="008D6145" w:rsidRPr="00040041">
        <w:rPr>
          <w:rFonts w:eastAsia="Times New Roman"/>
        </w:rPr>
        <w:t>accès aux crédits et le programme de Micro Crédit aux Plus Pauvres (MCPP) et la création d</w:t>
      </w:r>
      <w:r w:rsidR="00A033A7" w:rsidRPr="00040041">
        <w:rPr>
          <w:rFonts w:eastAsia="Times New Roman"/>
        </w:rPr>
        <w:t>’</w:t>
      </w:r>
      <w:r w:rsidR="008D6145" w:rsidRPr="00040041">
        <w:rPr>
          <w:rFonts w:eastAsia="Times New Roman"/>
        </w:rPr>
        <w:t>un Corps National des Jeunes Volontaires pour le Développement (CNJVD) en République du Bénin.</w:t>
      </w:r>
    </w:p>
    <w:p w:rsidR="008D6145" w:rsidRPr="00040041" w:rsidRDefault="00821D2B" w:rsidP="00821D2B">
      <w:pPr>
        <w:pStyle w:val="SingleTxtG"/>
        <w:kinsoku/>
        <w:overflowPunct/>
        <w:autoSpaceDE/>
        <w:autoSpaceDN/>
        <w:adjustRightInd/>
        <w:snapToGrid/>
        <w:rPr>
          <w:rFonts w:eastAsia="Times New Roman"/>
        </w:rPr>
      </w:pPr>
      <w:r w:rsidRPr="00040041">
        <w:rPr>
          <w:rFonts w:eastAsia="Times New Roman"/>
        </w:rPr>
        <w:t>26.</w:t>
      </w:r>
      <w:r w:rsidRPr="00040041">
        <w:rPr>
          <w:rFonts w:eastAsia="Times New Roman"/>
        </w:rPr>
        <w:tab/>
      </w:r>
      <w:r w:rsidR="008D6145" w:rsidRPr="00040041">
        <w:rPr>
          <w:rFonts w:eastAsia="Times New Roman"/>
        </w:rPr>
        <w:t>L</w:t>
      </w:r>
      <w:r w:rsidR="00A033A7" w:rsidRPr="00040041">
        <w:rPr>
          <w:rFonts w:eastAsia="Times New Roman"/>
        </w:rPr>
        <w:t>’</w:t>
      </w:r>
      <w:r w:rsidR="008D6145" w:rsidRPr="00040041">
        <w:rPr>
          <w:rFonts w:eastAsia="Times New Roman"/>
        </w:rPr>
        <w:t>ANPE a pour mission statutaire de « contribuer à l</w:t>
      </w:r>
      <w:r w:rsidR="00A033A7" w:rsidRPr="00040041">
        <w:rPr>
          <w:rFonts w:eastAsia="Times New Roman"/>
        </w:rPr>
        <w:t>’</w:t>
      </w:r>
      <w:r w:rsidR="008D6145" w:rsidRPr="00040041">
        <w:rPr>
          <w:rFonts w:eastAsia="Times New Roman"/>
        </w:rPr>
        <w:t>élaboration et à la mise en œuvre de la Politique nationale de l</w:t>
      </w:r>
      <w:r w:rsidR="00A033A7" w:rsidRPr="00040041">
        <w:rPr>
          <w:rFonts w:eastAsia="Times New Roman"/>
        </w:rPr>
        <w:t>’</w:t>
      </w:r>
      <w:r w:rsidR="008D6145" w:rsidRPr="00040041">
        <w:rPr>
          <w:rFonts w:eastAsia="Times New Roman"/>
        </w:rPr>
        <w:t>Emploi au Bénin » par le biais de quatre programmes à savoir, le Programme d</w:t>
      </w:r>
      <w:r w:rsidR="00A033A7" w:rsidRPr="00040041">
        <w:rPr>
          <w:rFonts w:eastAsia="Times New Roman"/>
        </w:rPr>
        <w:t>’</w:t>
      </w:r>
      <w:r w:rsidR="008D6145" w:rsidRPr="00040041">
        <w:rPr>
          <w:rFonts w:eastAsia="Times New Roman"/>
        </w:rPr>
        <w:t>Appui à l</w:t>
      </w:r>
      <w:r w:rsidR="00A033A7" w:rsidRPr="00040041">
        <w:rPr>
          <w:rFonts w:eastAsia="Times New Roman"/>
        </w:rPr>
        <w:t>’</w:t>
      </w:r>
      <w:r w:rsidR="008D6145" w:rsidRPr="00040041">
        <w:rPr>
          <w:rFonts w:eastAsia="Times New Roman"/>
        </w:rPr>
        <w:t>Emploi Salarié (PAES), le Programme d</w:t>
      </w:r>
      <w:r w:rsidR="00A033A7" w:rsidRPr="00040041">
        <w:rPr>
          <w:rFonts w:eastAsia="Times New Roman"/>
        </w:rPr>
        <w:t>’</w:t>
      </w:r>
      <w:r w:rsidR="008D6145" w:rsidRPr="00040041">
        <w:rPr>
          <w:rFonts w:eastAsia="Times New Roman"/>
        </w:rPr>
        <w:t>Appui à l</w:t>
      </w:r>
      <w:r w:rsidR="00A033A7" w:rsidRPr="00040041">
        <w:rPr>
          <w:rFonts w:eastAsia="Times New Roman"/>
        </w:rPr>
        <w:t>’</w:t>
      </w:r>
      <w:r w:rsidR="008D6145" w:rsidRPr="00040041">
        <w:rPr>
          <w:rFonts w:eastAsia="Times New Roman"/>
        </w:rPr>
        <w:t>Emploi Indépendant (PAEI); le Renforcement des Capacités des Demandeurs d</w:t>
      </w:r>
      <w:r w:rsidR="00A033A7" w:rsidRPr="00040041">
        <w:rPr>
          <w:rFonts w:eastAsia="Times New Roman"/>
        </w:rPr>
        <w:t>’</w:t>
      </w:r>
      <w:r w:rsidR="008D6145" w:rsidRPr="00040041">
        <w:rPr>
          <w:rFonts w:eastAsia="Times New Roman"/>
        </w:rPr>
        <w:t>Emploi (RCDE) et le Partenariat Décentralisé pour l</w:t>
      </w:r>
      <w:r w:rsidR="00A033A7" w:rsidRPr="00040041">
        <w:rPr>
          <w:rFonts w:eastAsia="Times New Roman"/>
        </w:rPr>
        <w:t>’</w:t>
      </w:r>
      <w:r w:rsidR="008D6145" w:rsidRPr="00040041">
        <w:rPr>
          <w:rFonts w:eastAsia="Times New Roman"/>
        </w:rPr>
        <w:t>Emploi (PADE) au niveau local qui viennent en relais à l</w:t>
      </w:r>
      <w:r w:rsidR="00A033A7" w:rsidRPr="00040041">
        <w:rPr>
          <w:rFonts w:eastAsia="Times New Roman"/>
        </w:rPr>
        <w:t>’</w:t>
      </w:r>
      <w:r w:rsidR="008D6145" w:rsidRPr="00040041">
        <w:rPr>
          <w:rFonts w:eastAsia="Times New Roman"/>
        </w:rPr>
        <w:t>intermédiation entre l</w:t>
      </w:r>
      <w:r w:rsidR="00A033A7" w:rsidRPr="00040041">
        <w:rPr>
          <w:rFonts w:eastAsia="Times New Roman"/>
        </w:rPr>
        <w:t>’</w:t>
      </w:r>
      <w:r w:rsidR="008D6145" w:rsidRPr="00040041">
        <w:rPr>
          <w:rFonts w:eastAsia="Times New Roman"/>
        </w:rPr>
        <w:t>offre et la demande d</w:t>
      </w:r>
      <w:r w:rsidR="00A033A7" w:rsidRPr="00040041">
        <w:rPr>
          <w:rFonts w:eastAsia="Times New Roman"/>
        </w:rPr>
        <w:t>’</w:t>
      </w:r>
      <w:r w:rsidR="008D6145" w:rsidRPr="00040041">
        <w:rPr>
          <w:rFonts w:eastAsia="Times New Roman"/>
        </w:rPr>
        <w:t>emploi qui constitue le cœur de métier du service public qui est l</w:t>
      </w:r>
      <w:r w:rsidR="00A033A7" w:rsidRPr="00040041">
        <w:rPr>
          <w:rFonts w:eastAsia="Times New Roman"/>
        </w:rPr>
        <w:t>’</w:t>
      </w:r>
      <w:r w:rsidR="008D6145" w:rsidRPr="00040041">
        <w:rPr>
          <w:rFonts w:eastAsia="Times New Roman"/>
        </w:rPr>
        <w:t>ANPE. La mise en œuvre de ces programmes contribue à la promotion de l</w:t>
      </w:r>
      <w:r w:rsidR="00A033A7" w:rsidRPr="00040041">
        <w:rPr>
          <w:rFonts w:eastAsia="Times New Roman"/>
        </w:rPr>
        <w:t>’</w:t>
      </w:r>
      <w:r w:rsidR="008D6145" w:rsidRPr="00040041">
        <w:rPr>
          <w:rFonts w:eastAsia="Times New Roman"/>
        </w:rPr>
        <w:t>emploi des jeunes. Au titre de l</w:t>
      </w:r>
      <w:r w:rsidR="00A033A7" w:rsidRPr="00040041">
        <w:rPr>
          <w:rFonts w:eastAsia="Times New Roman"/>
        </w:rPr>
        <w:t>’</w:t>
      </w:r>
      <w:r w:rsidR="008D6145" w:rsidRPr="00040041">
        <w:rPr>
          <w:rFonts w:eastAsia="Times New Roman"/>
        </w:rPr>
        <w:t>année 2016, par exemple, on peut relever la reconduction des 6</w:t>
      </w:r>
      <w:r w:rsidR="006A0DA0">
        <w:rPr>
          <w:rFonts w:eastAsia="Times New Roman"/>
        </w:rPr>
        <w:t> </w:t>
      </w:r>
      <w:r w:rsidR="008D6145" w:rsidRPr="00040041">
        <w:rPr>
          <w:rFonts w:eastAsia="Times New Roman"/>
        </w:rPr>
        <w:t>494 stagiaires de la promotion 2015, le recrutement d</w:t>
      </w:r>
      <w:r w:rsidR="00A033A7" w:rsidRPr="00040041">
        <w:rPr>
          <w:rFonts w:eastAsia="Times New Roman"/>
        </w:rPr>
        <w:t>’</w:t>
      </w:r>
      <w:r w:rsidR="008D6145" w:rsidRPr="00040041">
        <w:rPr>
          <w:rFonts w:eastAsia="Times New Roman"/>
        </w:rPr>
        <w:t>environ 2000 stagiaires qui bénéficieront des programmes de l</w:t>
      </w:r>
      <w:r w:rsidR="00A033A7" w:rsidRPr="00040041">
        <w:rPr>
          <w:rFonts w:eastAsia="Times New Roman"/>
        </w:rPr>
        <w:t>’</w:t>
      </w:r>
      <w:r w:rsidR="008D6145" w:rsidRPr="00040041">
        <w:rPr>
          <w:rFonts w:eastAsia="Times New Roman"/>
        </w:rPr>
        <w:t>ANPE, l</w:t>
      </w:r>
      <w:r w:rsidR="00A033A7" w:rsidRPr="00040041">
        <w:rPr>
          <w:rFonts w:eastAsia="Times New Roman"/>
        </w:rPr>
        <w:t>’</w:t>
      </w:r>
      <w:r w:rsidR="008D6145" w:rsidRPr="00040041">
        <w:rPr>
          <w:rFonts w:eastAsia="Times New Roman"/>
        </w:rPr>
        <w:t>opérationnalisation des neuf (9) Business Promotion Center (BPC) qui sont des centres de ressources dédiés à l</w:t>
      </w:r>
      <w:r w:rsidR="00A033A7" w:rsidRPr="00040041">
        <w:rPr>
          <w:rFonts w:eastAsia="Times New Roman"/>
        </w:rPr>
        <w:t>’</w:t>
      </w:r>
      <w:r w:rsidR="008D6145" w:rsidRPr="00040041">
        <w:rPr>
          <w:rFonts w:eastAsia="Times New Roman"/>
        </w:rPr>
        <w:t>emploi, la transformation de trois (3) BPC en des centres d</w:t>
      </w:r>
      <w:r w:rsidR="00A033A7" w:rsidRPr="00040041">
        <w:rPr>
          <w:rFonts w:eastAsia="Times New Roman"/>
        </w:rPr>
        <w:t>’</w:t>
      </w:r>
      <w:r w:rsidR="008D6145" w:rsidRPr="00040041">
        <w:rPr>
          <w:rFonts w:eastAsia="Times New Roman"/>
        </w:rPr>
        <w:t>incubation qui hébergeront pendant deux (2) ans environ 200 entreprises. </w:t>
      </w:r>
    </w:p>
    <w:p w:rsidR="008D6145" w:rsidRPr="00040041" w:rsidRDefault="00821D2B" w:rsidP="00142355">
      <w:pPr>
        <w:pStyle w:val="SingleTxtG"/>
        <w:kinsoku/>
        <w:overflowPunct/>
        <w:autoSpaceDE/>
        <w:autoSpaceDN/>
        <w:adjustRightInd/>
        <w:snapToGrid/>
        <w:rPr>
          <w:rFonts w:eastAsia="Times New Roman"/>
        </w:rPr>
      </w:pPr>
      <w:r w:rsidRPr="00040041">
        <w:rPr>
          <w:rFonts w:eastAsia="Times New Roman"/>
        </w:rPr>
        <w:t>27.</w:t>
      </w:r>
      <w:r w:rsidRPr="00040041">
        <w:rPr>
          <w:rFonts w:eastAsia="Times New Roman"/>
        </w:rPr>
        <w:tab/>
      </w:r>
      <w:r w:rsidR="008D6145" w:rsidRPr="00040041">
        <w:rPr>
          <w:rFonts w:eastAsia="Times New Roman"/>
        </w:rPr>
        <w:t>Les mesures de facilitation de l</w:t>
      </w:r>
      <w:r w:rsidR="00A033A7" w:rsidRPr="00040041">
        <w:rPr>
          <w:rFonts w:eastAsia="Times New Roman"/>
        </w:rPr>
        <w:t>’</w:t>
      </w:r>
      <w:r w:rsidR="008D6145" w:rsidRPr="00040041">
        <w:rPr>
          <w:rFonts w:eastAsia="Times New Roman"/>
        </w:rPr>
        <w:t>accès aux crédits relèvent des attributions du Fonds National de Promotion de l</w:t>
      </w:r>
      <w:r w:rsidR="00A033A7" w:rsidRPr="00040041">
        <w:rPr>
          <w:rFonts w:eastAsia="Times New Roman"/>
        </w:rPr>
        <w:t>’</w:t>
      </w:r>
      <w:r w:rsidR="008D6145" w:rsidRPr="00040041">
        <w:rPr>
          <w:rFonts w:eastAsia="Times New Roman"/>
        </w:rPr>
        <w:t>Entreprise et de l</w:t>
      </w:r>
      <w:r w:rsidR="00A033A7" w:rsidRPr="00040041">
        <w:rPr>
          <w:rFonts w:eastAsia="Times New Roman"/>
        </w:rPr>
        <w:t>’</w:t>
      </w:r>
      <w:r w:rsidR="008D6145" w:rsidRPr="00040041">
        <w:rPr>
          <w:rFonts w:eastAsia="Times New Roman"/>
        </w:rPr>
        <w:t>Emploi des Jeunes (FNPEEJ) qui est créé pour faciliter l</w:t>
      </w:r>
      <w:r w:rsidR="00A033A7" w:rsidRPr="00040041">
        <w:rPr>
          <w:rFonts w:eastAsia="Times New Roman"/>
        </w:rPr>
        <w:t>’</w:t>
      </w:r>
      <w:r w:rsidR="008D6145" w:rsidRPr="00040041">
        <w:rPr>
          <w:rFonts w:eastAsia="Times New Roman"/>
        </w:rPr>
        <w:t>accès au crédit des jeunes promoteurs de PME les activités porteuses de croissance économique et d</w:t>
      </w:r>
      <w:r w:rsidR="00A033A7" w:rsidRPr="00040041">
        <w:rPr>
          <w:rFonts w:eastAsia="Times New Roman"/>
        </w:rPr>
        <w:t>’</w:t>
      </w:r>
      <w:r w:rsidR="008D6145" w:rsidRPr="00040041">
        <w:rPr>
          <w:rFonts w:eastAsia="Times New Roman"/>
        </w:rPr>
        <w:t>emploi ou identifiées comme telle. Il s</w:t>
      </w:r>
      <w:r w:rsidR="00A033A7" w:rsidRPr="00040041">
        <w:rPr>
          <w:rFonts w:eastAsia="Times New Roman"/>
        </w:rPr>
        <w:t>’</w:t>
      </w:r>
      <w:r w:rsidR="008D6145" w:rsidRPr="00040041">
        <w:rPr>
          <w:rFonts w:eastAsia="Times New Roman"/>
        </w:rPr>
        <w:t>agit, entre autres, de l</w:t>
      </w:r>
      <w:r w:rsidR="00A033A7" w:rsidRPr="00040041">
        <w:rPr>
          <w:rFonts w:eastAsia="Times New Roman"/>
        </w:rPr>
        <w:t>’</w:t>
      </w:r>
      <w:r w:rsidR="00142355">
        <w:rPr>
          <w:rFonts w:eastAsia="Times New Roman"/>
        </w:rPr>
        <w:t>agro-</w:t>
      </w:r>
      <w:r w:rsidR="008D6145" w:rsidRPr="00040041">
        <w:rPr>
          <w:rFonts w:eastAsia="Times New Roman"/>
        </w:rPr>
        <w:t>alimentaire, de l</w:t>
      </w:r>
      <w:r w:rsidR="00A033A7" w:rsidRPr="00040041">
        <w:rPr>
          <w:rFonts w:eastAsia="Times New Roman"/>
        </w:rPr>
        <w:t>’</w:t>
      </w:r>
      <w:r w:rsidR="008D6145" w:rsidRPr="00040041">
        <w:rPr>
          <w:rFonts w:eastAsia="Times New Roman"/>
        </w:rPr>
        <w:t>agro-industrie, de l</w:t>
      </w:r>
      <w:r w:rsidR="00A033A7" w:rsidRPr="00040041">
        <w:rPr>
          <w:rFonts w:eastAsia="Times New Roman"/>
        </w:rPr>
        <w:t>’</w:t>
      </w:r>
      <w:r w:rsidR="008D6145" w:rsidRPr="00040041">
        <w:rPr>
          <w:rFonts w:eastAsia="Times New Roman"/>
        </w:rPr>
        <w:t>artisanat, du tourisme, des BTP, de l</w:t>
      </w:r>
      <w:r w:rsidR="00A033A7" w:rsidRPr="00040041">
        <w:rPr>
          <w:rFonts w:eastAsia="Times New Roman"/>
        </w:rPr>
        <w:t>’</w:t>
      </w:r>
      <w:r w:rsidR="008D6145" w:rsidRPr="00040041">
        <w:rPr>
          <w:rFonts w:eastAsia="Times New Roman"/>
        </w:rPr>
        <w:t>industrie des métaux, des TIC… Le FNPEEJ intervient essentiellement dans l</w:t>
      </w:r>
      <w:r w:rsidR="00A033A7" w:rsidRPr="00040041">
        <w:rPr>
          <w:rFonts w:eastAsia="Times New Roman"/>
        </w:rPr>
        <w:t>’</w:t>
      </w:r>
      <w:r w:rsidR="008D6145" w:rsidRPr="00040041">
        <w:rPr>
          <w:rFonts w:eastAsia="Times New Roman"/>
        </w:rPr>
        <w:t>octroi de crédits aux PME et aux projets conçus par les jeunes, la prise en charge des programmes conçus et mis en œuvre par les demandeurs d</w:t>
      </w:r>
      <w:r w:rsidR="00A033A7" w:rsidRPr="00040041">
        <w:rPr>
          <w:rFonts w:eastAsia="Times New Roman"/>
        </w:rPr>
        <w:t>’</w:t>
      </w:r>
      <w:r w:rsidR="008D6145" w:rsidRPr="00040041">
        <w:rPr>
          <w:rFonts w:eastAsia="Times New Roman"/>
        </w:rPr>
        <w:t>emploi dûment suivis par l</w:t>
      </w:r>
      <w:r w:rsidR="00A033A7" w:rsidRPr="00040041">
        <w:rPr>
          <w:rFonts w:eastAsia="Times New Roman"/>
        </w:rPr>
        <w:t>’</w:t>
      </w:r>
      <w:r w:rsidR="008D6145" w:rsidRPr="00040041">
        <w:rPr>
          <w:rFonts w:eastAsia="Times New Roman"/>
        </w:rPr>
        <w:t>ANPE, la constitution et le renforcement des fonds propres des jeunes promoteurs, la prise en charge de l</w:t>
      </w:r>
      <w:r w:rsidR="00A033A7" w:rsidRPr="00040041">
        <w:rPr>
          <w:rFonts w:eastAsia="Times New Roman"/>
        </w:rPr>
        <w:t>’</w:t>
      </w:r>
      <w:r w:rsidR="008D6145" w:rsidRPr="00040041">
        <w:rPr>
          <w:rFonts w:eastAsia="Times New Roman"/>
        </w:rPr>
        <w:t>encadrement / suivi des bénéficiaires de crédits de fonds, la facilitation de l</w:t>
      </w:r>
      <w:r w:rsidR="00A033A7" w:rsidRPr="00040041">
        <w:rPr>
          <w:rFonts w:eastAsia="Times New Roman"/>
        </w:rPr>
        <w:t>’</w:t>
      </w:r>
      <w:r w:rsidR="008D6145" w:rsidRPr="00040041">
        <w:rPr>
          <w:rFonts w:eastAsia="Times New Roman"/>
        </w:rPr>
        <w:t>accès des bénéficiaires aux crédits de FNPEEJ ainsi que l</w:t>
      </w:r>
      <w:r w:rsidR="00A033A7" w:rsidRPr="00040041">
        <w:rPr>
          <w:rFonts w:eastAsia="Times New Roman"/>
        </w:rPr>
        <w:t>’</w:t>
      </w:r>
      <w:r w:rsidR="008D6145" w:rsidRPr="00040041">
        <w:rPr>
          <w:rFonts w:eastAsia="Times New Roman"/>
        </w:rPr>
        <w:t xml:space="preserve">accès au FONAGA pour la couverture des risques. </w:t>
      </w:r>
    </w:p>
    <w:p w:rsidR="008D6145" w:rsidRPr="00040041" w:rsidRDefault="00821D2B" w:rsidP="00821D2B">
      <w:pPr>
        <w:pStyle w:val="SingleTxtG"/>
        <w:kinsoku/>
        <w:overflowPunct/>
        <w:autoSpaceDE/>
        <w:autoSpaceDN/>
        <w:adjustRightInd/>
        <w:snapToGrid/>
        <w:rPr>
          <w:rFonts w:eastAsia="Times New Roman"/>
        </w:rPr>
      </w:pPr>
      <w:r w:rsidRPr="00040041">
        <w:rPr>
          <w:rFonts w:eastAsia="Times New Roman"/>
        </w:rPr>
        <w:t>28.</w:t>
      </w:r>
      <w:r w:rsidRPr="00040041">
        <w:rPr>
          <w:rFonts w:eastAsia="Times New Roman"/>
        </w:rPr>
        <w:tab/>
      </w:r>
      <w:r w:rsidR="008D6145" w:rsidRPr="00040041">
        <w:rPr>
          <w:rFonts w:eastAsia="Times New Roman"/>
        </w:rPr>
        <w:t>Le Programme de Microcrédit aux Plus Pauvres (MCPP). Ce programme vise à rendre économiquement actives, à travers la mise en place de microcrédits et de divers services d</w:t>
      </w:r>
      <w:r w:rsidR="00A033A7" w:rsidRPr="00040041">
        <w:rPr>
          <w:rFonts w:eastAsia="Times New Roman"/>
        </w:rPr>
        <w:t>’</w:t>
      </w:r>
      <w:r w:rsidR="008D6145" w:rsidRPr="00040041">
        <w:rPr>
          <w:rFonts w:eastAsia="Times New Roman"/>
        </w:rPr>
        <w:t>accompagnement, les populations les plus pauvres notamment des femmes. L</w:t>
      </w:r>
      <w:r w:rsidR="00A033A7" w:rsidRPr="00040041">
        <w:rPr>
          <w:rFonts w:eastAsia="Times New Roman"/>
        </w:rPr>
        <w:t>’</w:t>
      </w:r>
      <w:r w:rsidR="008D6145" w:rsidRPr="00040041">
        <w:rPr>
          <w:rFonts w:eastAsia="Times New Roman"/>
        </w:rPr>
        <w:t>emploi des femmes permet de sortir les ménages de la dépendance des prestations sociales et de la pauvreté. Le programme a pour but de fournir aux femmes, des services d</w:t>
      </w:r>
      <w:r w:rsidR="00A033A7" w:rsidRPr="00040041">
        <w:rPr>
          <w:rFonts w:eastAsia="Times New Roman"/>
        </w:rPr>
        <w:t>’</w:t>
      </w:r>
      <w:r w:rsidR="008D6145" w:rsidRPr="00040041">
        <w:rPr>
          <w:rFonts w:eastAsia="Times New Roman"/>
        </w:rPr>
        <w:t>encadrement susceptibles de développer en elles une capacité de gestion d</w:t>
      </w:r>
      <w:r w:rsidR="00A033A7" w:rsidRPr="00040041">
        <w:rPr>
          <w:rFonts w:eastAsia="Times New Roman"/>
        </w:rPr>
        <w:t>’</w:t>
      </w:r>
      <w:r w:rsidR="008D6145" w:rsidRPr="00040041">
        <w:rPr>
          <w:rFonts w:eastAsia="Times New Roman"/>
        </w:rPr>
        <w:t>activités génératrices de revenus et de mettre à leur disposition des microcrédits destinés au développement d</w:t>
      </w:r>
      <w:r w:rsidR="00A033A7" w:rsidRPr="00040041">
        <w:rPr>
          <w:rFonts w:eastAsia="Times New Roman"/>
        </w:rPr>
        <w:t>’</w:t>
      </w:r>
      <w:r w:rsidR="008D6145" w:rsidRPr="00040041">
        <w:rPr>
          <w:rFonts w:eastAsia="Times New Roman"/>
        </w:rPr>
        <w:t>activités génératrices de revenus.</w:t>
      </w:r>
    </w:p>
    <w:p w:rsidR="008D6145" w:rsidRPr="008D6145" w:rsidRDefault="00821D2B" w:rsidP="00FB7FA8">
      <w:pPr>
        <w:pStyle w:val="SingleTxtG"/>
        <w:keepLines/>
        <w:kinsoku/>
        <w:overflowPunct/>
        <w:autoSpaceDE/>
        <w:autoSpaceDN/>
        <w:adjustRightInd/>
        <w:snapToGrid/>
        <w:rPr>
          <w:lang w:val="fr-FR"/>
        </w:rPr>
      </w:pPr>
      <w:r w:rsidRPr="008D6145">
        <w:rPr>
          <w:lang w:val="fr-FR"/>
        </w:rPr>
        <w:lastRenderedPageBreak/>
        <w:t>29.</w:t>
      </w:r>
      <w:r w:rsidRPr="008D6145">
        <w:rPr>
          <w:lang w:val="fr-FR"/>
        </w:rPr>
        <w:tab/>
      </w:r>
      <w:r w:rsidR="008D6145" w:rsidRPr="00040041">
        <w:rPr>
          <w:rFonts w:eastAsia="Times New Roman"/>
        </w:rPr>
        <w:t xml:space="preserve">Le Corps National des Jeunes Volontaires pour le Développement (CNJVD) en République du Bénin. Institué par décret </w:t>
      </w:r>
      <w:r w:rsidR="006A0DA0" w:rsidRPr="006C0894">
        <w:rPr>
          <w:rFonts w:eastAsia="Times New Roman"/>
          <w:bCs/>
          <w:lang w:val="fr-FR"/>
        </w:rPr>
        <w:t>n</w:t>
      </w:r>
      <w:r w:rsidR="006A0DA0" w:rsidRPr="006C0894">
        <w:rPr>
          <w:rFonts w:eastAsia="Times New Roman"/>
          <w:bCs/>
          <w:vertAlign w:val="superscript"/>
          <w:lang w:val="fr-FR"/>
        </w:rPr>
        <w:t>o</w:t>
      </w:r>
      <w:r w:rsidR="006A0DA0" w:rsidRPr="006C0894">
        <w:rPr>
          <w:rFonts w:eastAsia="Times New Roman"/>
          <w:bCs/>
          <w:lang w:val="fr-FR"/>
        </w:rPr>
        <w:t> </w:t>
      </w:r>
      <w:r w:rsidR="008D6145" w:rsidRPr="00040041">
        <w:rPr>
          <w:rFonts w:eastAsia="Times New Roman"/>
        </w:rPr>
        <w:t>2010-666 du 31 décembre 2010 instituant, le Corps National des Jeunes Volontaires pour le Développement (CNJVD) regroupe l</w:t>
      </w:r>
      <w:r w:rsidR="00A033A7" w:rsidRPr="00040041">
        <w:rPr>
          <w:rFonts w:eastAsia="Times New Roman"/>
        </w:rPr>
        <w:t>’</w:t>
      </w:r>
      <w:r w:rsidR="008D6145" w:rsidRPr="00040041">
        <w:rPr>
          <w:rFonts w:eastAsia="Times New Roman"/>
        </w:rPr>
        <w:t>ensemble des jeunes formés, incorporés et assermentés pour une mission de service civil d</w:t>
      </w:r>
      <w:r w:rsidR="00A033A7" w:rsidRPr="00040041">
        <w:rPr>
          <w:rFonts w:eastAsia="Times New Roman"/>
        </w:rPr>
        <w:t>’</w:t>
      </w:r>
      <w:r w:rsidR="008D6145" w:rsidRPr="00040041">
        <w:rPr>
          <w:rFonts w:eastAsia="Times New Roman"/>
        </w:rPr>
        <w:t>intérêt général à travers le Programme de Volontariat Bénévole ou le Programme d</w:t>
      </w:r>
      <w:r w:rsidR="008D6145" w:rsidRPr="008D6145">
        <w:rPr>
          <w:rFonts w:eastAsia="Times New Roman"/>
          <w:lang w:val="fr-FR"/>
        </w:rPr>
        <w:t>e Volontariat d</w:t>
      </w:r>
      <w:r w:rsidR="00A033A7">
        <w:rPr>
          <w:rFonts w:eastAsia="Times New Roman"/>
          <w:lang w:val="fr-FR"/>
        </w:rPr>
        <w:t>’</w:t>
      </w:r>
      <w:r w:rsidR="008D6145" w:rsidRPr="008D6145">
        <w:rPr>
          <w:rFonts w:eastAsia="Times New Roman"/>
          <w:lang w:val="fr-FR"/>
        </w:rPr>
        <w:t>Expertise Professionnelle.</w:t>
      </w:r>
    </w:p>
    <w:p w:rsidR="008D6145" w:rsidRPr="00040041" w:rsidRDefault="00821D2B" w:rsidP="00821D2B">
      <w:pPr>
        <w:pStyle w:val="SingleTxtG"/>
        <w:kinsoku/>
        <w:overflowPunct/>
        <w:autoSpaceDE/>
        <w:autoSpaceDN/>
        <w:adjustRightInd/>
        <w:snapToGrid/>
        <w:rPr>
          <w:rFonts w:eastAsia="Times New Roman"/>
        </w:rPr>
      </w:pPr>
      <w:r w:rsidRPr="00040041">
        <w:rPr>
          <w:rFonts w:eastAsia="Times New Roman"/>
        </w:rPr>
        <w:t>30.</w:t>
      </w:r>
      <w:r w:rsidRPr="00040041">
        <w:rPr>
          <w:rFonts w:eastAsia="Times New Roman"/>
        </w:rPr>
        <w:tab/>
      </w:r>
      <w:r w:rsidR="008D6145" w:rsidRPr="00040041">
        <w:rPr>
          <w:rFonts w:eastAsia="Times New Roman"/>
        </w:rPr>
        <w:t>En dépit de ces efforts, la situation de l</w:t>
      </w:r>
      <w:r w:rsidR="00A033A7" w:rsidRPr="00040041">
        <w:rPr>
          <w:rFonts w:eastAsia="Times New Roman"/>
        </w:rPr>
        <w:t>’</w:t>
      </w:r>
      <w:r w:rsidR="008D6145" w:rsidRPr="00040041">
        <w:rPr>
          <w:rFonts w:eastAsia="Times New Roman"/>
        </w:rPr>
        <w:t>emploi des jeunes n</w:t>
      </w:r>
      <w:r w:rsidR="00A033A7" w:rsidRPr="00040041">
        <w:rPr>
          <w:rFonts w:eastAsia="Times New Roman"/>
        </w:rPr>
        <w:t>’</w:t>
      </w:r>
      <w:r w:rsidR="00142355">
        <w:rPr>
          <w:rFonts w:eastAsia="Times New Roman"/>
        </w:rPr>
        <w:t>est pas satisfaisante. En </w:t>
      </w:r>
      <w:r w:rsidR="008D6145" w:rsidRPr="00040041">
        <w:rPr>
          <w:rFonts w:eastAsia="Times New Roman"/>
        </w:rPr>
        <w:t>effet, 30,4</w:t>
      </w:r>
      <w:r w:rsidR="006A0DA0">
        <w:rPr>
          <w:rFonts w:eastAsia="Times New Roman"/>
        </w:rPr>
        <w:t> </w:t>
      </w:r>
      <w:r w:rsidR="008D6145" w:rsidRPr="00040041">
        <w:rPr>
          <w:rFonts w:eastAsia="Times New Roman"/>
        </w:rPr>
        <w:t>% de jeunes sont</w:t>
      </w:r>
      <w:r w:rsidR="00A033A7" w:rsidRPr="00040041">
        <w:rPr>
          <w:rFonts w:eastAsia="Times New Roman"/>
        </w:rPr>
        <w:t xml:space="preserve"> </w:t>
      </w:r>
      <w:r w:rsidR="008D6145" w:rsidRPr="00040041">
        <w:rPr>
          <w:rFonts w:eastAsia="Times New Roman"/>
        </w:rPr>
        <w:t>sous-employés de façon visible à travers le nombre d</w:t>
      </w:r>
      <w:r w:rsidR="00A033A7" w:rsidRPr="00040041">
        <w:rPr>
          <w:rFonts w:eastAsia="Times New Roman"/>
        </w:rPr>
        <w:t>’</w:t>
      </w:r>
      <w:r w:rsidR="008D6145" w:rsidRPr="00040041">
        <w:rPr>
          <w:rFonts w:eastAsia="Times New Roman"/>
        </w:rPr>
        <w:t>heures de travail et 63,2</w:t>
      </w:r>
      <w:r w:rsidR="006A0DA0">
        <w:rPr>
          <w:rFonts w:eastAsia="Times New Roman"/>
        </w:rPr>
        <w:t> </w:t>
      </w:r>
      <w:r w:rsidR="008D6145" w:rsidRPr="00040041">
        <w:rPr>
          <w:rFonts w:eastAsia="Times New Roman"/>
        </w:rPr>
        <w:t xml:space="preserve">% de façon invisible à travers des rémunérations précaires et indécentes. </w:t>
      </w:r>
    </w:p>
    <w:p w:rsidR="008D6145" w:rsidRPr="00040041" w:rsidRDefault="00821D2B" w:rsidP="00821D2B">
      <w:pPr>
        <w:pStyle w:val="SingleTxtG"/>
        <w:kinsoku/>
        <w:overflowPunct/>
        <w:autoSpaceDE/>
        <w:autoSpaceDN/>
        <w:adjustRightInd/>
        <w:snapToGrid/>
        <w:rPr>
          <w:rFonts w:eastAsia="Times New Roman"/>
        </w:rPr>
      </w:pPr>
      <w:r w:rsidRPr="00040041">
        <w:rPr>
          <w:rFonts w:eastAsia="Times New Roman"/>
        </w:rPr>
        <w:t>31.</w:t>
      </w:r>
      <w:r w:rsidRPr="00040041">
        <w:rPr>
          <w:rFonts w:eastAsia="Times New Roman"/>
        </w:rPr>
        <w:tab/>
      </w:r>
      <w:r w:rsidR="008D6145" w:rsidRPr="00040041">
        <w:rPr>
          <w:rFonts w:eastAsia="Times New Roman"/>
        </w:rPr>
        <w:t>Compte tenu des difficultés d</w:t>
      </w:r>
      <w:r w:rsidR="00A033A7" w:rsidRPr="00040041">
        <w:rPr>
          <w:rFonts w:eastAsia="Times New Roman"/>
        </w:rPr>
        <w:t>’</w:t>
      </w:r>
      <w:r w:rsidR="008D6145" w:rsidRPr="00040041">
        <w:rPr>
          <w:rFonts w:eastAsia="Times New Roman"/>
        </w:rPr>
        <w:t>insertion sur le marché du travail formel qui est généralement l</w:t>
      </w:r>
      <w:r w:rsidR="00A033A7" w:rsidRPr="00040041">
        <w:rPr>
          <w:rFonts w:eastAsia="Times New Roman"/>
        </w:rPr>
        <w:t>’</w:t>
      </w:r>
      <w:r w:rsidR="008D6145" w:rsidRPr="00040041">
        <w:rPr>
          <w:rFonts w:eastAsia="Times New Roman"/>
        </w:rPr>
        <w:t>emploi salarié, la plupart des jeunes se tournent vers l</w:t>
      </w:r>
      <w:r w:rsidR="00A033A7" w:rsidRPr="00040041">
        <w:rPr>
          <w:rFonts w:eastAsia="Times New Roman"/>
        </w:rPr>
        <w:t>’</w:t>
      </w:r>
      <w:r w:rsidR="008D6145" w:rsidRPr="00040041">
        <w:rPr>
          <w:rFonts w:eastAsia="Times New Roman"/>
        </w:rPr>
        <w:t>auto-emploi dans le secteur informel. Près de 94</w:t>
      </w:r>
      <w:r w:rsidR="006A0DA0">
        <w:rPr>
          <w:rFonts w:eastAsia="Times New Roman"/>
        </w:rPr>
        <w:t> </w:t>
      </w:r>
      <w:r w:rsidR="008D6145" w:rsidRPr="00040041">
        <w:rPr>
          <w:rFonts w:eastAsia="Times New Roman"/>
        </w:rPr>
        <w:t>% au moins des jeunes de 15-34 ans pourvus d</w:t>
      </w:r>
      <w:r w:rsidR="00A033A7" w:rsidRPr="00040041">
        <w:rPr>
          <w:rFonts w:eastAsia="Times New Roman"/>
        </w:rPr>
        <w:t>’</w:t>
      </w:r>
      <w:r w:rsidR="008D6145" w:rsidRPr="00040041">
        <w:rPr>
          <w:rFonts w:eastAsia="Times New Roman"/>
        </w:rPr>
        <w:t>un emploi sont auto-employés et plus de 83</w:t>
      </w:r>
      <w:r w:rsidR="006A0DA0">
        <w:rPr>
          <w:rFonts w:eastAsia="Times New Roman"/>
        </w:rPr>
        <w:t> </w:t>
      </w:r>
      <w:r w:rsidR="008D6145" w:rsidRPr="00040041">
        <w:rPr>
          <w:rFonts w:eastAsia="Times New Roman"/>
        </w:rPr>
        <w:t>% occupent des emplois vulnérables.</w:t>
      </w:r>
    </w:p>
    <w:p w:rsidR="008D6145" w:rsidRPr="00040041" w:rsidRDefault="00821D2B" w:rsidP="00821D2B">
      <w:pPr>
        <w:pStyle w:val="SingleTxtG"/>
        <w:kinsoku/>
        <w:overflowPunct/>
        <w:autoSpaceDE/>
        <w:autoSpaceDN/>
        <w:adjustRightInd/>
        <w:snapToGrid/>
        <w:rPr>
          <w:rFonts w:eastAsia="Times New Roman"/>
        </w:rPr>
      </w:pPr>
      <w:r w:rsidRPr="00040041">
        <w:rPr>
          <w:rFonts w:eastAsia="Times New Roman"/>
        </w:rPr>
        <w:t>32.</w:t>
      </w:r>
      <w:r w:rsidRPr="00040041">
        <w:rPr>
          <w:rFonts w:eastAsia="Times New Roman"/>
        </w:rPr>
        <w:tab/>
      </w:r>
      <w:r w:rsidR="008D6145" w:rsidRPr="00040041">
        <w:rPr>
          <w:rFonts w:eastAsia="Times New Roman"/>
        </w:rPr>
        <w:t>L</w:t>
      </w:r>
      <w:r w:rsidR="00A033A7" w:rsidRPr="00040041">
        <w:rPr>
          <w:rFonts w:eastAsia="Times New Roman"/>
        </w:rPr>
        <w:t>’</w:t>
      </w:r>
      <w:r w:rsidR="008D6145" w:rsidRPr="00040041">
        <w:rPr>
          <w:rFonts w:eastAsia="Times New Roman"/>
        </w:rPr>
        <w:t>analyse selon le genre, montre que la situation des jeunes femmes est plus préoccupante que celle des jeunes hommes. En effet, les femmes occupent plus d</w:t>
      </w:r>
      <w:r w:rsidR="00A033A7" w:rsidRPr="00040041">
        <w:rPr>
          <w:rFonts w:eastAsia="Times New Roman"/>
        </w:rPr>
        <w:t>’</w:t>
      </w:r>
      <w:r w:rsidR="008D6145" w:rsidRPr="00040041">
        <w:rPr>
          <w:rFonts w:eastAsia="Times New Roman"/>
        </w:rPr>
        <w:t>emplois vulnérables que les hommes (89,6</w:t>
      </w:r>
      <w:r w:rsidR="006A0DA0">
        <w:rPr>
          <w:rFonts w:eastAsia="Times New Roman"/>
        </w:rPr>
        <w:t> </w:t>
      </w:r>
      <w:r w:rsidR="008D6145" w:rsidRPr="00040041">
        <w:rPr>
          <w:rFonts w:eastAsia="Times New Roman"/>
        </w:rPr>
        <w:t>% contre 76,0</w:t>
      </w:r>
      <w:r w:rsidR="006A0DA0">
        <w:rPr>
          <w:rFonts w:eastAsia="Times New Roman"/>
        </w:rPr>
        <w:t> </w:t>
      </w:r>
      <w:r w:rsidR="008D6145" w:rsidRPr="00040041">
        <w:rPr>
          <w:rFonts w:eastAsia="Times New Roman"/>
        </w:rPr>
        <w:t>%). La proportion de jeunes hommes bénéficiant d</w:t>
      </w:r>
      <w:r w:rsidR="00A033A7" w:rsidRPr="00040041">
        <w:rPr>
          <w:rFonts w:eastAsia="Times New Roman"/>
        </w:rPr>
        <w:t>’</w:t>
      </w:r>
      <w:r w:rsidR="008D6145" w:rsidRPr="00040041">
        <w:rPr>
          <w:rFonts w:eastAsia="Times New Roman"/>
        </w:rPr>
        <w:t>un emploi salarié est près de trois fois supérieure à celle des femmes (4,4</w:t>
      </w:r>
      <w:r w:rsidR="006A0DA0">
        <w:rPr>
          <w:rFonts w:eastAsia="Times New Roman"/>
        </w:rPr>
        <w:t> </w:t>
      </w:r>
      <w:r w:rsidR="008D6145" w:rsidRPr="00040041">
        <w:rPr>
          <w:rFonts w:eastAsia="Times New Roman"/>
        </w:rPr>
        <w:t>% contre 12,7</w:t>
      </w:r>
      <w:r w:rsidR="006A0DA0">
        <w:rPr>
          <w:rFonts w:eastAsia="Times New Roman"/>
        </w:rPr>
        <w:t> </w:t>
      </w:r>
      <w:r w:rsidR="008D6145" w:rsidRPr="00040041">
        <w:rPr>
          <w:rFonts w:eastAsia="Times New Roman"/>
        </w:rPr>
        <w:t>%). On observe plus de femmes auto-employées que d</w:t>
      </w:r>
      <w:r w:rsidR="00A033A7" w:rsidRPr="00040041">
        <w:rPr>
          <w:rFonts w:eastAsia="Times New Roman"/>
        </w:rPr>
        <w:t>’</w:t>
      </w:r>
      <w:r w:rsidR="008D6145" w:rsidRPr="00040041">
        <w:rPr>
          <w:rFonts w:eastAsia="Times New Roman"/>
        </w:rPr>
        <w:t>hommes (65</w:t>
      </w:r>
      <w:r w:rsidR="006A0DA0">
        <w:rPr>
          <w:rFonts w:eastAsia="Times New Roman"/>
        </w:rPr>
        <w:t> </w:t>
      </w:r>
      <w:r w:rsidR="008D6145" w:rsidRPr="00040041">
        <w:rPr>
          <w:rFonts w:eastAsia="Times New Roman"/>
        </w:rPr>
        <w:t>% contre 58,6</w:t>
      </w:r>
      <w:r w:rsidR="006A0DA0">
        <w:rPr>
          <w:rFonts w:eastAsia="Times New Roman"/>
        </w:rPr>
        <w:t> </w:t>
      </w:r>
      <w:r w:rsidR="008D6145" w:rsidRPr="00040041">
        <w:rPr>
          <w:rFonts w:eastAsia="Times New Roman"/>
        </w:rPr>
        <w:t>%). En revanche, la proportion de jeunes hommes dans les emplois précaires est plus élevée que celle des femmes (17,7</w:t>
      </w:r>
      <w:r w:rsidR="006A0DA0">
        <w:rPr>
          <w:rFonts w:eastAsia="Times New Roman"/>
        </w:rPr>
        <w:t> </w:t>
      </w:r>
      <w:r w:rsidR="008D6145" w:rsidRPr="00040041">
        <w:rPr>
          <w:rFonts w:eastAsia="Times New Roman"/>
        </w:rPr>
        <w:t>% contre 13,7</w:t>
      </w:r>
      <w:r w:rsidR="006A0DA0">
        <w:rPr>
          <w:rFonts w:eastAsia="Times New Roman"/>
        </w:rPr>
        <w:t> </w:t>
      </w:r>
      <w:r w:rsidR="008D6145" w:rsidRPr="00040041">
        <w:rPr>
          <w:rFonts w:eastAsia="Times New Roman"/>
        </w:rPr>
        <w:t>%).</w:t>
      </w:r>
    </w:p>
    <w:p w:rsidR="008D6145" w:rsidRPr="00040041" w:rsidRDefault="00821D2B" w:rsidP="00821D2B">
      <w:pPr>
        <w:pStyle w:val="SingleTxtG"/>
        <w:kinsoku/>
        <w:overflowPunct/>
        <w:autoSpaceDE/>
        <w:autoSpaceDN/>
        <w:adjustRightInd/>
        <w:snapToGrid/>
        <w:rPr>
          <w:rFonts w:eastAsia="Times New Roman"/>
        </w:rPr>
      </w:pPr>
      <w:r w:rsidRPr="00040041">
        <w:rPr>
          <w:rFonts w:eastAsia="Times New Roman"/>
        </w:rPr>
        <w:t>33.</w:t>
      </w:r>
      <w:r w:rsidRPr="00040041">
        <w:rPr>
          <w:rFonts w:eastAsia="Times New Roman"/>
        </w:rPr>
        <w:tab/>
      </w:r>
      <w:r w:rsidR="008D6145" w:rsidRPr="00040041">
        <w:rPr>
          <w:rFonts w:eastAsia="Times New Roman"/>
        </w:rPr>
        <w:t>L</w:t>
      </w:r>
      <w:r w:rsidR="00A033A7" w:rsidRPr="00040041">
        <w:rPr>
          <w:rFonts w:eastAsia="Times New Roman"/>
        </w:rPr>
        <w:t>’</w:t>
      </w:r>
      <w:r w:rsidR="008D6145" w:rsidRPr="00040041">
        <w:rPr>
          <w:rFonts w:eastAsia="Times New Roman"/>
        </w:rPr>
        <w:t>analyse selon le groupe d</w:t>
      </w:r>
      <w:r w:rsidR="00A033A7" w:rsidRPr="00040041">
        <w:rPr>
          <w:rFonts w:eastAsia="Times New Roman"/>
        </w:rPr>
        <w:t>’</w:t>
      </w:r>
      <w:r w:rsidR="008D6145" w:rsidRPr="00040041">
        <w:rPr>
          <w:rFonts w:eastAsia="Times New Roman"/>
        </w:rPr>
        <w:t>âge des jeunes montre que les jeunes de 25-34 ans ont un taux de salarisation plus élevé que celui des plus jeunes (9,2</w:t>
      </w:r>
      <w:r w:rsidR="006A0DA0">
        <w:rPr>
          <w:rFonts w:eastAsia="Times New Roman"/>
        </w:rPr>
        <w:t> </w:t>
      </w:r>
      <w:r w:rsidR="008D6145" w:rsidRPr="00040041">
        <w:rPr>
          <w:rFonts w:eastAsia="Times New Roman"/>
        </w:rPr>
        <w:t>% contre 6,9</w:t>
      </w:r>
      <w:r w:rsidR="006A0DA0">
        <w:rPr>
          <w:rFonts w:eastAsia="Times New Roman"/>
        </w:rPr>
        <w:t> </w:t>
      </w:r>
      <w:r w:rsidR="008D6145" w:rsidRPr="00040041">
        <w:rPr>
          <w:rFonts w:eastAsia="Times New Roman"/>
        </w:rPr>
        <w:t>% pour les 20-24 ans). Leur situation sur le marché du travail est également plus précaire. En effet, les jeunes de 25-34 ans sont ceux qui présentent le plus fort taux d</w:t>
      </w:r>
      <w:r w:rsidR="00A033A7" w:rsidRPr="00040041">
        <w:rPr>
          <w:rFonts w:eastAsia="Times New Roman"/>
        </w:rPr>
        <w:t>’</w:t>
      </w:r>
      <w:r w:rsidR="008D6145" w:rsidRPr="00040041">
        <w:rPr>
          <w:rFonts w:eastAsia="Times New Roman"/>
        </w:rPr>
        <w:t>auto-emploi avec 75,1</w:t>
      </w:r>
      <w:r w:rsidR="006A0DA0">
        <w:rPr>
          <w:rFonts w:eastAsia="Times New Roman"/>
        </w:rPr>
        <w:t> </w:t>
      </w:r>
      <w:r w:rsidR="008D6145" w:rsidRPr="00040041">
        <w:rPr>
          <w:rFonts w:eastAsia="Times New Roman"/>
        </w:rPr>
        <w:t>% contre 49,3 pour les jeunes âgés de 20-24 ans. Près de 87,8</w:t>
      </w:r>
      <w:r w:rsidR="006A0DA0">
        <w:rPr>
          <w:rFonts w:eastAsia="Times New Roman"/>
        </w:rPr>
        <w:t> </w:t>
      </w:r>
      <w:r w:rsidR="008D6145" w:rsidRPr="00040041">
        <w:rPr>
          <w:rFonts w:eastAsia="Times New Roman"/>
        </w:rPr>
        <w:t>% des jeunes actifs occupés de 25-34 ans ont des emplois vulnérables. La forte proportion des jeunes de 25-34 ans dans l</w:t>
      </w:r>
      <w:r w:rsidR="00A033A7" w:rsidRPr="00040041">
        <w:rPr>
          <w:rFonts w:eastAsia="Times New Roman"/>
        </w:rPr>
        <w:t>’</w:t>
      </w:r>
      <w:r w:rsidR="008D6145" w:rsidRPr="00040041">
        <w:rPr>
          <w:rFonts w:eastAsia="Times New Roman"/>
        </w:rPr>
        <w:t>auto-emploi pourrait s</w:t>
      </w:r>
      <w:r w:rsidR="00A033A7" w:rsidRPr="00040041">
        <w:rPr>
          <w:rFonts w:eastAsia="Times New Roman"/>
        </w:rPr>
        <w:t>’</w:t>
      </w:r>
      <w:r w:rsidR="008D6145" w:rsidRPr="00040041">
        <w:rPr>
          <w:rFonts w:eastAsia="Times New Roman"/>
        </w:rPr>
        <w:t>expliquer par le fait qu</w:t>
      </w:r>
      <w:r w:rsidR="00A033A7" w:rsidRPr="00040041">
        <w:rPr>
          <w:rFonts w:eastAsia="Times New Roman"/>
        </w:rPr>
        <w:t>’</w:t>
      </w:r>
      <w:r w:rsidR="008D6145" w:rsidRPr="00040041">
        <w:rPr>
          <w:rFonts w:eastAsia="Times New Roman"/>
        </w:rPr>
        <w:t>après plusieurs tentatives infructueuses d</w:t>
      </w:r>
      <w:r w:rsidR="00A033A7" w:rsidRPr="00040041">
        <w:rPr>
          <w:rFonts w:eastAsia="Times New Roman"/>
        </w:rPr>
        <w:t>’</w:t>
      </w:r>
      <w:r w:rsidR="008D6145" w:rsidRPr="00040041">
        <w:rPr>
          <w:rFonts w:eastAsia="Times New Roman"/>
        </w:rPr>
        <w:t>emploi salarié, ces jeunes finissent par décider de s</w:t>
      </w:r>
      <w:r w:rsidR="00A033A7" w:rsidRPr="00040041">
        <w:rPr>
          <w:rFonts w:eastAsia="Times New Roman"/>
        </w:rPr>
        <w:t>’</w:t>
      </w:r>
      <w:r w:rsidR="008D6145" w:rsidRPr="00040041">
        <w:rPr>
          <w:rFonts w:eastAsia="Times New Roman"/>
        </w:rPr>
        <w:t>installer à leur propre compte, le plus souvent dans le secteur informel. Au niveau national, 95</w:t>
      </w:r>
      <w:r w:rsidR="006A0DA0">
        <w:rPr>
          <w:rFonts w:eastAsia="Times New Roman"/>
        </w:rPr>
        <w:t> </w:t>
      </w:r>
      <w:r w:rsidR="008D6145" w:rsidRPr="00040041">
        <w:rPr>
          <w:rFonts w:eastAsia="Times New Roman"/>
        </w:rPr>
        <w:t>% des jeunes sont dans le secteur informel. L</w:t>
      </w:r>
      <w:r w:rsidR="00A033A7" w:rsidRPr="00040041">
        <w:rPr>
          <w:rFonts w:eastAsia="Times New Roman"/>
        </w:rPr>
        <w:t>’</w:t>
      </w:r>
      <w:r w:rsidR="008D6145" w:rsidRPr="00040041">
        <w:rPr>
          <w:rFonts w:eastAsia="Times New Roman"/>
        </w:rPr>
        <w:t>analyse, par milieu de résidence, révèle que les jeunes travailleurs du milieu rural sont plus touchés par l</w:t>
      </w:r>
      <w:r w:rsidR="00A033A7" w:rsidRPr="00040041">
        <w:rPr>
          <w:rFonts w:eastAsia="Times New Roman"/>
        </w:rPr>
        <w:t>’</w:t>
      </w:r>
      <w:r w:rsidR="008D6145" w:rsidRPr="00040041">
        <w:rPr>
          <w:rFonts w:eastAsia="Times New Roman"/>
        </w:rPr>
        <w:t>informalité que ceux du milieu urbain (98</w:t>
      </w:r>
      <w:r w:rsidR="006A0DA0">
        <w:rPr>
          <w:rFonts w:eastAsia="Times New Roman"/>
        </w:rPr>
        <w:t> </w:t>
      </w:r>
      <w:r w:rsidR="008D6145" w:rsidRPr="00040041">
        <w:rPr>
          <w:rFonts w:eastAsia="Times New Roman"/>
        </w:rPr>
        <w:t>% contre 90</w:t>
      </w:r>
      <w:r w:rsidR="006A0DA0">
        <w:rPr>
          <w:rFonts w:eastAsia="Times New Roman"/>
        </w:rPr>
        <w:t> </w:t>
      </w:r>
      <w:r w:rsidR="008D6145" w:rsidRPr="00040041">
        <w:rPr>
          <w:rFonts w:eastAsia="Times New Roman"/>
        </w:rPr>
        <w:t>%).</w:t>
      </w:r>
    </w:p>
    <w:p w:rsidR="008D6145" w:rsidRPr="008D6145" w:rsidRDefault="00821D2B" w:rsidP="00821D2B">
      <w:pPr>
        <w:pStyle w:val="SingleTxtG"/>
        <w:kinsoku/>
        <w:overflowPunct/>
        <w:autoSpaceDE/>
        <w:autoSpaceDN/>
        <w:adjustRightInd/>
        <w:snapToGrid/>
        <w:rPr>
          <w:rFonts w:eastAsia="Times New Roman"/>
          <w:lang w:val="fr-FR"/>
        </w:rPr>
      </w:pPr>
      <w:r w:rsidRPr="008D6145">
        <w:rPr>
          <w:rFonts w:eastAsia="Times New Roman"/>
          <w:lang w:val="fr-FR"/>
        </w:rPr>
        <w:t>34.</w:t>
      </w:r>
      <w:r w:rsidRPr="008D6145">
        <w:rPr>
          <w:rFonts w:eastAsia="Times New Roman"/>
          <w:lang w:val="fr-FR"/>
        </w:rPr>
        <w:tab/>
      </w:r>
      <w:r w:rsidR="008D6145" w:rsidRPr="00040041">
        <w:rPr>
          <w:rFonts w:eastAsia="Times New Roman"/>
        </w:rPr>
        <w:t>L</w:t>
      </w:r>
      <w:r w:rsidR="00A033A7" w:rsidRPr="00040041">
        <w:rPr>
          <w:rFonts w:eastAsia="Times New Roman"/>
        </w:rPr>
        <w:t>’</w:t>
      </w:r>
      <w:r w:rsidR="008D6145" w:rsidRPr="00040041">
        <w:rPr>
          <w:rFonts w:eastAsia="Times New Roman"/>
        </w:rPr>
        <w:t>analyse du chômage des jeunes montre que 1,7</w:t>
      </w:r>
      <w:r w:rsidR="006A0DA0">
        <w:rPr>
          <w:rFonts w:eastAsia="Times New Roman"/>
        </w:rPr>
        <w:t> </w:t>
      </w:r>
      <w:r w:rsidR="008D6145" w:rsidRPr="00040041">
        <w:rPr>
          <w:rFonts w:eastAsia="Times New Roman"/>
        </w:rPr>
        <w:t>% des jeunes sont au chômage au niveau national. Cependant, il existe de fortes disparités en matière de chômage selon le milieu de résidence et l</w:t>
      </w:r>
      <w:r w:rsidR="00A033A7" w:rsidRPr="00040041">
        <w:rPr>
          <w:rFonts w:eastAsia="Times New Roman"/>
        </w:rPr>
        <w:t>’</w:t>
      </w:r>
      <w:r w:rsidR="008D6145" w:rsidRPr="00040041">
        <w:rPr>
          <w:rFonts w:eastAsia="Times New Roman"/>
        </w:rPr>
        <w:t>âge. En effet, il existe près de trois fois plus de jeunes chômeurs en milieu urbain qu</w:t>
      </w:r>
      <w:r w:rsidR="00A033A7" w:rsidRPr="00040041">
        <w:rPr>
          <w:rFonts w:eastAsia="Times New Roman"/>
        </w:rPr>
        <w:t>’</w:t>
      </w:r>
      <w:r w:rsidR="008D6145" w:rsidRPr="00040041">
        <w:rPr>
          <w:rFonts w:eastAsia="Times New Roman"/>
        </w:rPr>
        <w:t>en milieu rural (2,7</w:t>
      </w:r>
      <w:r w:rsidR="006A0DA0">
        <w:rPr>
          <w:rFonts w:eastAsia="Times New Roman"/>
        </w:rPr>
        <w:t> </w:t>
      </w:r>
      <w:r w:rsidR="008D6145" w:rsidRPr="00040041">
        <w:rPr>
          <w:rFonts w:eastAsia="Times New Roman"/>
        </w:rPr>
        <w:t>% contre 0,9</w:t>
      </w:r>
      <w:r w:rsidR="006A0DA0">
        <w:rPr>
          <w:rFonts w:eastAsia="Times New Roman"/>
        </w:rPr>
        <w:t> </w:t>
      </w:r>
      <w:r w:rsidR="008D6145" w:rsidRPr="00040041">
        <w:rPr>
          <w:rFonts w:eastAsia="Times New Roman"/>
        </w:rPr>
        <w:t>%). De même en considérant l</w:t>
      </w:r>
      <w:r w:rsidR="00A033A7" w:rsidRPr="00040041">
        <w:rPr>
          <w:rFonts w:eastAsia="Times New Roman"/>
        </w:rPr>
        <w:t>’</w:t>
      </w:r>
      <w:r w:rsidR="008D6145" w:rsidRPr="00040041">
        <w:rPr>
          <w:rFonts w:eastAsia="Times New Roman"/>
        </w:rPr>
        <w:t>âge du jeune, nous constatons que les jeunes de 20-24 ans sont plus frappés par le chômage que ceux des autres tranches d</w:t>
      </w:r>
      <w:r w:rsidR="00A033A7">
        <w:rPr>
          <w:rFonts w:eastAsia="Times New Roman"/>
          <w:lang w:val="fr-FR"/>
        </w:rPr>
        <w:t>’</w:t>
      </w:r>
      <w:r w:rsidR="008D6145" w:rsidRPr="008D6145">
        <w:rPr>
          <w:rFonts w:eastAsia="Times New Roman"/>
          <w:lang w:val="fr-FR"/>
        </w:rPr>
        <w:t>âge (3,1</w:t>
      </w:r>
      <w:r w:rsidR="006A0DA0">
        <w:rPr>
          <w:rFonts w:eastAsia="Times New Roman"/>
          <w:lang w:val="fr-FR"/>
        </w:rPr>
        <w:t> </w:t>
      </w:r>
      <w:r w:rsidR="008D6145" w:rsidRPr="008D6145">
        <w:rPr>
          <w:rFonts w:eastAsia="Times New Roman"/>
          <w:lang w:val="fr-FR"/>
        </w:rPr>
        <w:t>% contre 1,4</w:t>
      </w:r>
      <w:r w:rsidR="006A0DA0">
        <w:rPr>
          <w:rFonts w:eastAsia="Times New Roman"/>
          <w:lang w:val="fr-FR"/>
        </w:rPr>
        <w:t> </w:t>
      </w:r>
      <w:r w:rsidR="008D6145" w:rsidRPr="008D6145">
        <w:rPr>
          <w:rFonts w:eastAsia="Times New Roman"/>
          <w:lang w:val="fr-FR"/>
        </w:rPr>
        <w:t>% pour les 25-34 ans). En s</w:t>
      </w:r>
      <w:r w:rsidR="00A033A7">
        <w:rPr>
          <w:rFonts w:eastAsia="Times New Roman"/>
          <w:lang w:val="fr-FR"/>
        </w:rPr>
        <w:t>’</w:t>
      </w:r>
      <w:r w:rsidR="008D6145" w:rsidRPr="008D6145">
        <w:rPr>
          <w:rFonts w:eastAsia="Times New Roman"/>
          <w:lang w:val="fr-FR"/>
        </w:rPr>
        <w:t>intéressant à la durée du chômage, on note qu</w:t>
      </w:r>
      <w:r w:rsidR="00A033A7">
        <w:rPr>
          <w:rFonts w:eastAsia="Times New Roman"/>
          <w:lang w:val="fr-FR"/>
        </w:rPr>
        <w:t>’</w:t>
      </w:r>
      <w:r w:rsidR="008D6145" w:rsidRPr="008D6145">
        <w:rPr>
          <w:rFonts w:eastAsia="Times New Roman"/>
          <w:lang w:val="fr-FR"/>
        </w:rPr>
        <w:t>en moyenne, les jeunes passent plus de 3</w:t>
      </w:r>
      <w:r w:rsidR="00913515">
        <w:rPr>
          <w:rFonts w:eastAsia="Times New Roman"/>
          <w:lang w:val="fr-FR"/>
        </w:rPr>
        <w:t> </w:t>
      </w:r>
      <w:r w:rsidR="008D6145" w:rsidRPr="008D6145">
        <w:rPr>
          <w:rFonts w:eastAsia="Times New Roman"/>
          <w:lang w:val="fr-FR"/>
        </w:rPr>
        <w:t>ans au chômage (37,9</w:t>
      </w:r>
      <w:r w:rsidR="006A0DA0">
        <w:rPr>
          <w:rFonts w:eastAsia="Times New Roman"/>
          <w:lang w:val="fr-FR"/>
        </w:rPr>
        <w:t> </w:t>
      </w:r>
      <w:r w:rsidR="008D6145" w:rsidRPr="008D6145">
        <w:rPr>
          <w:rFonts w:eastAsia="Times New Roman"/>
          <w:lang w:val="fr-FR"/>
        </w:rPr>
        <w:t>mois).</w:t>
      </w:r>
    </w:p>
    <w:p w:rsidR="008D6145" w:rsidRPr="00163E98" w:rsidRDefault="00163E98" w:rsidP="00821D2B">
      <w:pPr>
        <w:pStyle w:val="H1G"/>
        <w:rPr>
          <w:lang w:val="fr-FR"/>
        </w:rPr>
      </w:pPr>
      <w:r>
        <w:rPr>
          <w:lang w:val="fr-FR"/>
        </w:rPr>
        <w:tab/>
      </w:r>
      <w:r w:rsidR="008D6145" w:rsidRPr="008D6145">
        <w:rPr>
          <w:lang w:val="fr-FR"/>
        </w:rPr>
        <w:t>B.</w:t>
      </w:r>
      <w:r w:rsidR="008D6145" w:rsidRPr="008D6145">
        <w:rPr>
          <w:lang w:val="fr-FR"/>
        </w:rPr>
        <w:tab/>
        <w:t>Article 7</w:t>
      </w:r>
      <w:r w:rsidR="00562DEC">
        <w:rPr>
          <w:lang w:val="fr-FR"/>
        </w:rPr>
        <w:t xml:space="preserve"> –</w:t>
      </w:r>
      <w:r w:rsidR="008D6145" w:rsidRPr="008D6145">
        <w:rPr>
          <w:lang w:val="fr-FR"/>
        </w:rPr>
        <w:t xml:space="preserve"> Droit à des conditions de travail justes et favorables</w:t>
      </w:r>
    </w:p>
    <w:p w:rsidR="008D6145" w:rsidRPr="00040041" w:rsidRDefault="00821D2B" w:rsidP="00821D2B">
      <w:pPr>
        <w:pStyle w:val="SingleTxtG"/>
        <w:kinsoku/>
        <w:overflowPunct/>
        <w:autoSpaceDE/>
        <w:autoSpaceDN/>
        <w:adjustRightInd/>
        <w:snapToGrid/>
        <w:rPr>
          <w:rFonts w:eastAsia="Times New Roman"/>
        </w:rPr>
      </w:pPr>
      <w:r w:rsidRPr="00040041">
        <w:rPr>
          <w:rFonts w:eastAsia="Times New Roman"/>
        </w:rPr>
        <w:t>35.</w:t>
      </w:r>
      <w:r w:rsidRPr="00040041">
        <w:rPr>
          <w:rFonts w:eastAsia="Times New Roman"/>
        </w:rPr>
        <w:tab/>
      </w:r>
      <w:r w:rsidR="008D6145" w:rsidRPr="00040041">
        <w:rPr>
          <w:rFonts w:eastAsia="Times New Roman"/>
        </w:rPr>
        <w:t xml:space="preserve">La loi </w:t>
      </w:r>
      <w:r w:rsidR="008040DB" w:rsidRPr="006C0894">
        <w:rPr>
          <w:rFonts w:eastAsia="Times New Roman"/>
          <w:bCs/>
          <w:lang w:val="fr-FR"/>
        </w:rPr>
        <w:t>n</w:t>
      </w:r>
      <w:r w:rsidR="008040DB" w:rsidRPr="006C0894">
        <w:rPr>
          <w:rFonts w:eastAsia="Times New Roman"/>
          <w:bCs/>
          <w:vertAlign w:val="superscript"/>
          <w:lang w:val="fr-FR"/>
        </w:rPr>
        <w:t>o</w:t>
      </w:r>
      <w:r w:rsidR="008040DB" w:rsidRPr="006C0894">
        <w:rPr>
          <w:rFonts w:eastAsia="Times New Roman"/>
          <w:bCs/>
          <w:lang w:val="fr-FR"/>
        </w:rPr>
        <w:t> </w:t>
      </w:r>
      <w:r w:rsidR="008D6145" w:rsidRPr="00040041">
        <w:rPr>
          <w:rFonts w:eastAsia="Times New Roman"/>
        </w:rPr>
        <w:t xml:space="preserve">98-004 portant Code du travail est en cours de révision. Les innovations envisagées portent notamment sur les conventions relatives au travail, les conditions de travail ainsi que le règlement des conflits au travail. </w:t>
      </w:r>
    </w:p>
    <w:p w:rsidR="008D6145" w:rsidRPr="00040041" w:rsidRDefault="00821D2B" w:rsidP="00821D2B">
      <w:pPr>
        <w:pStyle w:val="SingleTxtG"/>
        <w:kinsoku/>
        <w:overflowPunct/>
        <w:autoSpaceDE/>
        <w:autoSpaceDN/>
        <w:adjustRightInd/>
        <w:snapToGrid/>
        <w:rPr>
          <w:rFonts w:eastAsia="Times New Roman"/>
        </w:rPr>
      </w:pPr>
      <w:r w:rsidRPr="00040041">
        <w:rPr>
          <w:rFonts w:eastAsia="Times New Roman"/>
        </w:rPr>
        <w:t>36.</w:t>
      </w:r>
      <w:r w:rsidRPr="00040041">
        <w:rPr>
          <w:rFonts w:eastAsia="Times New Roman"/>
        </w:rPr>
        <w:tab/>
      </w:r>
      <w:r w:rsidR="008D6145" w:rsidRPr="00040041">
        <w:rPr>
          <w:rFonts w:eastAsia="Times New Roman"/>
        </w:rPr>
        <w:t>L</w:t>
      </w:r>
      <w:r w:rsidR="00A033A7" w:rsidRPr="00040041">
        <w:rPr>
          <w:rFonts w:eastAsia="Times New Roman"/>
        </w:rPr>
        <w:t>’</w:t>
      </w:r>
      <w:r w:rsidR="008D6145" w:rsidRPr="00040041">
        <w:rPr>
          <w:rFonts w:eastAsia="Times New Roman"/>
        </w:rPr>
        <w:t>Administration publique compte soixante-quatre (64) inspecteurs du travail répartis, comme suit : Direction Générale du Travail : 20 ; Département de l</w:t>
      </w:r>
      <w:r w:rsidR="00A033A7" w:rsidRPr="00040041">
        <w:rPr>
          <w:rFonts w:eastAsia="Times New Roman"/>
        </w:rPr>
        <w:t>’</w:t>
      </w:r>
      <w:r w:rsidR="008D6145" w:rsidRPr="00040041">
        <w:rPr>
          <w:rFonts w:eastAsia="Times New Roman"/>
        </w:rPr>
        <w:t>Atlantique/Littoral : 13 ; Département de l</w:t>
      </w:r>
      <w:r w:rsidR="00A033A7" w:rsidRPr="00040041">
        <w:rPr>
          <w:rFonts w:eastAsia="Times New Roman"/>
        </w:rPr>
        <w:t>’</w:t>
      </w:r>
      <w:r w:rsidR="008D6145" w:rsidRPr="00040041">
        <w:rPr>
          <w:rFonts w:eastAsia="Times New Roman"/>
        </w:rPr>
        <w:t>Atacora/Donga : 7; Département du Borgou/Alibori : 6 ; Département du Mono/Couffo : 6 ; Département de l</w:t>
      </w:r>
      <w:r w:rsidR="00A033A7" w:rsidRPr="00040041">
        <w:rPr>
          <w:rFonts w:eastAsia="Times New Roman"/>
        </w:rPr>
        <w:t>’</w:t>
      </w:r>
      <w:r w:rsidR="008D6145" w:rsidRPr="00040041">
        <w:rPr>
          <w:rFonts w:eastAsia="Times New Roman"/>
        </w:rPr>
        <w:t xml:space="preserve">Ouémé/Plateau : 6 ; Département du Zou/Collines : 6. </w:t>
      </w:r>
    </w:p>
    <w:p w:rsidR="008D6145" w:rsidRPr="00040041" w:rsidRDefault="00821D2B" w:rsidP="00821D2B">
      <w:pPr>
        <w:pStyle w:val="SingleTxtG"/>
        <w:kinsoku/>
        <w:overflowPunct/>
        <w:autoSpaceDE/>
        <w:autoSpaceDN/>
        <w:adjustRightInd/>
        <w:snapToGrid/>
        <w:rPr>
          <w:rFonts w:eastAsia="Times New Roman"/>
        </w:rPr>
      </w:pPr>
      <w:r w:rsidRPr="00040041">
        <w:rPr>
          <w:rFonts w:eastAsia="Times New Roman"/>
        </w:rPr>
        <w:t>37.</w:t>
      </w:r>
      <w:r w:rsidRPr="00040041">
        <w:rPr>
          <w:rFonts w:eastAsia="Times New Roman"/>
        </w:rPr>
        <w:tab/>
      </w:r>
      <w:r w:rsidR="008D6145" w:rsidRPr="00040041">
        <w:rPr>
          <w:rFonts w:eastAsia="Times New Roman"/>
        </w:rPr>
        <w:t>Le 17 avril 2014, le montant du SMIG est passé de 31</w:t>
      </w:r>
      <w:r w:rsidR="00D75670">
        <w:rPr>
          <w:rFonts w:eastAsia="Times New Roman"/>
        </w:rPr>
        <w:t> </w:t>
      </w:r>
      <w:r w:rsidR="008D6145" w:rsidRPr="00040041">
        <w:rPr>
          <w:rFonts w:eastAsia="Times New Roman"/>
        </w:rPr>
        <w:t>625 à 40</w:t>
      </w:r>
      <w:r w:rsidR="00D75670">
        <w:rPr>
          <w:rFonts w:eastAsia="Times New Roman"/>
        </w:rPr>
        <w:t> </w:t>
      </w:r>
      <w:r w:rsidR="008D6145" w:rsidRPr="00040041">
        <w:rPr>
          <w:rFonts w:eastAsia="Times New Roman"/>
        </w:rPr>
        <w:t>000 FCFA, soit une augmentation de 26,48</w:t>
      </w:r>
      <w:r w:rsidR="00D75670">
        <w:rPr>
          <w:rFonts w:eastAsia="Times New Roman"/>
        </w:rPr>
        <w:t> </w:t>
      </w:r>
      <w:r w:rsidR="008D6145" w:rsidRPr="00040041">
        <w:rPr>
          <w:rFonts w:eastAsia="Times New Roman"/>
        </w:rPr>
        <w:t xml:space="preserve">%. </w:t>
      </w:r>
    </w:p>
    <w:p w:rsidR="008D6145" w:rsidRPr="008D6145" w:rsidRDefault="00821D2B" w:rsidP="00FB7FA8">
      <w:pPr>
        <w:pStyle w:val="SingleTxtG"/>
        <w:keepNext/>
        <w:kinsoku/>
        <w:overflowPunct/>
        <w:autoSpaceDE/>
        <w:autoSpaceDN/>
        <w:adjustRightInd/>
        <w:snapToGrid/>
        <w:rPr>
          <w:rFonts w:eastAsia="Times New Roman"/>
          <w:lang w:val="fr-FR"/>
        </w:rPr>
      </w:pPr>
      <w:r w:rsidRPr="008D6145">
        <w:rPr>
          <w:rFonts w:eastAsia="Times New Roman"/>
          <w:lang w:val="fr-FR"/>
        </w:rPr>
        <w:lastRenderedPageBreak/>
        <w:t>38.</w:t>
      </w:r>
      <w:r w:rsidRPr="008D6145">
        <w:rPr>
          <w:rFonts w:eastAsia="Times New Roman"/>
          <w:lang w:val="fr-FR"/>
        </w:rPr>
        <w:tab/>
      </w:r>
      <w:r w:rsidR="008D6145" w:rsidRPr="00040041">
        <w:rPr>
          <w:rFonts w:eastAsia="Times New Roman"/>
        </w:rPr>
        <w:t>La si</w:t>
      </w:r>
      <w:r w:rsidR="008D6145" w:rsidRPr="008D6145">
        <w:rPr>
          <w:rFonts w:eastAsia="Times New Roman"/>
          <w:lang w:val="fr-FR"/>
        </w:rPr>
        <w:t>tuation des accidents du travail et des maladies professionnelles au cours des dix dernières années se présente comme suit :</w:t>
      </w:r>
      <w:r w:rsidR="00F40C81">
        <w:rPr>
          <w:rFonts w:eastAsia="Times New Roman"/>
          <w:lang w:val="fr-FR"/>
        </w:rPr>
        <w:t xml:space="preserve"> </w:t>
      </w:r>
    </w:p>
    <w:p w:rsidR="008D6145" w:rsidRPr="008D6145" w:rsidRDefault="00913515" w:rsidP="00821D2B">
      <w:pPr>
        <w:pStyle w:val="H23G"/>
      </w:pPr>
      <w:r>
        <w:tab/>
      </w:r>
      <w:r>
        <w:tab/>
      </w:r>
      <w:r w:rsidR="008D6145" w:rsidRPr="00821D2B">
        <w:rPr>
          <w:b w:val="0"/>
          <w:bCs/>
        </w:rPr>
        <w:t xml:space="preserve">Tableau </w:t>
      </w:r>
      <w:r w:rsidRPr="00913515">
        <w:rPr>
          <w:b w:val="0"/>
          <w:bCs/>
          <w:lang w:val="fr-FR"/>
        </w:rPr>
        <w:t>n</w:t>
      </w:r>
      <w:r w:rsidRPr="00913515">
        <w:rPr>
          <w:b w:val="0"/>
          <w:bCs/>
          <w:vertAlign w:val="superscript"/>
          <w:lang w:val="fr-FR"/>
        </w:rPr>
        <w:t>o</w:t>
      </w:r>
      <w:r w:rsidRPr="00913515">
        <w:rPr>
          <w:b w:val="0"/>
          <w:bCs/>
          <w:lang w:val="fr-FR"/>
        </w:rPr>
        <w:t> </w:t>
      </w:r>
      <w:r w:rsidR="008D6145" w:rsidRPr="00821D2B">
        <w:rPr>
          <w:b w:val="0"/>
          <w:bCs/>
        </w:rPr>
        <w:t>6</w:t>
      </w:r>
      <w:r w:rsidR="008D6145" w:rsidRPr="008D6145">
        <w:t> </w:t>
      </w:r>
      <w:r w:rsidR="008D6145" w:rsidRPr="008D6145">
        <w:br/>
        <w:t>Situation des accidents du travail et des maladies professionnelles</w:t>
      </w:r>
    </w:p>
    <w:tbl>
      <w:tblPr>
        <w:tblStyle w:val="TableGrid1"/>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1418"/>
        <w:gridCol w:w="1418"/>
        <w:gridCol w:w="1966"/>
        <w:gridCol w:w="851"/>
        <w:gridCol w:w="851"/>
      </w:tblGrid>
      <w:tr w:rsidR="00FD7BA3" w:rsidRPr="00913515" w:rsidTr="00FD7BA3">
        <w:trPr>
          <w:tblHeader/>
        </w:trPr>
        <w:tc>
          <w:tcPr>
            <w:tcW w:w="851" w:type="dxa"/>
            <w:tcBorders>
              <w:top w:val="single" w:sz="4" w:space="0" w:color="auto"/>
              <w:bottom w:val="single" w:sz="12" w:space="0" w:color="auto"/>
            </w:tcBorders>
            <w:shd w:val="clear" w:color="auto" w:fill="auto"/>
            <w:vAlign w:val="bottom"/>
          </w:tcPr>
          <w:p w:rsidR="008D6145" w:rsidRPr="00821D2B" w:rsidRDefault="008D6145">
            <w:pPr>
              <w:suppressAutoHyphens w:val="0"/>
              <w:kinsoku/>
              <w:overflowPunct/>
              <w:autoSpaceDE/>
              <w:autoSpaceDN/>
              <w:adjustRightInd/>
              <w:snapToGrid/>
              <w:spacing w:before="80" w:after="80" w:line="200" w:lineRule="exact"/>
              <w:rPr>
                <w:i/>
                <w:sz w:val="16"/>
                <w:szCs w:val="28"/>
              </w:rPr>
            </w:pPr>
            <w:r w:rsidRPr="00821D2B">
              <w:rPr>
                <w:i/>
                <w:sz w:val="16"/>
                <w:szCs w:val="28"/>
              </w:rPr>
              <w:t xml:space="preserve">Années </w:t>
            </w:r>
          </w:p>
        </w:tc>
        <w:tc>
          <w:tcPr>
            <w:tcW w:w="1418" w:type="dxa"/>
            <w:tcBorders>
              <w:top w:val="single" w:sz="4" w:space="0" w:color="auto"/>
              <w:bottom w:val="single" w:sz="12" w:space="0" w:color="auto"/>
            </w:tcBorders>
            <w:shd w:val="clear" w:color="auto" w:fill="auto"/>
            <w:vAlign w:val="bottom"/>
          </w:tcPr>
          <w:p w:rsidR="008D6145" w:rsidRPr="00821D2B" w:rsidRDefault="008D6145" w:rsidP="00821D2B">
            <w:pPr>
              <w:suppressAutoHyphens w:val="0"/>
              <w:kinsoku/>
              <w:overflowPunct/>
              <w:autoSpaceDE/>
              <w:autoSpaceDN/>
              <w:adjustRightInd/>
              <w:snapToGrid/>
              <w:spacing w:before="80" w:after="80" w:line="200" w:lineRule="exact"/>
              <w:jc w:val="right"/>
              <w:rPr>
                <w:i/>
                <w:sz w:val="16"/>
                <w:szCs w:val="28"/>
              </w:rPr>
            </w:pPr>
            <w:r w:rsidRPr="00821D2B">
              <w:rPr>
                <w:i/>
                <w:sz w:val="16"/>
                <w:szCs w:val="28"/>
              </w:rPr>
              <w:t>Accidents du travail</w:t>
            </w:r>
          </w:p>
        </w:tc>
        <w:tc>
          <w:tcPr>
            <w:tcW w:w="1418" w:type="dxa"/>
            <w:tcBorders>
              <w:top w:val="single" w:sz="4" w:space="0" w:color="auto"/>
              <w:bottom w:val="single" w:sz="12" w:space="0" w:color="auto"/>
            </w:tcBorders>
            <w:shd w:val="clear" w:color="auto" w:fill="auto"/>
            <w:vAlign w:val="bottom"/>
          </w:tcPr>
          <w:p w:rsidR="008D6145" w:rsidRPr="00821D2B" w:rsidRDefault="008D6145" w:rsidP="00821D2B">
            <w:pPr>
              <w:suppressAutoHyphens w:val="0"/>
              <w:kinsoku/>
              <w:overflowPunct/>
              <w:autoSpaceDE/>
              <w:autoSpaceDN/>
              <w:adjustRightInd/>
              <w:snapToGrid/>
              <w:spacing w:before="80" w:after="80" w:line="200" w:lineRule="exact"/>
              <w:jc w:val="right"/>
              <w:rPr>
                <w:i/>
                <w:sz w:val="16"/>
                <w:szCs w:val="28"/>
              </w:rPr>
            </w:pPr>
            <w:r w:rsidRPr="00821D2B">
              <w:rPr>
                <w:i/>
                <w:sz w:val="16"/>
                <w:szCs w:val="28"/>
              </w:rPr>
              <w:t>Accidents de trajet</w:t>
            </w:r>
          </w:p>
        </w:tc>
        <w:tc>
          <w:tcPr>
            <w:tcW w:w="1966" w:type="dxa"/>
            <w:tcBorders>
              <w:top w:val="single" w:sz="4" w:space="0" w:color="auto"/>
              <w:bottom w:val="single" w:sz="12" w:space="0" w:color="auto"/>
            </w:tcBorders>
            <w:shd w:val="clear" w:color="auto" w:fill="auto"/>
            <w:vAlign w:val="bottom"/>
          </w:tcPr>
          <w:p w:rsidR="008D6145" w:rsidRPr="00821D2B" w:rsidRDefault="008D6145" w:rsidP="00821D2B">
            <w:pPr>
              <w:suppressAutoHyphens w:val="0"/>
              <w:kinsoku/>
              <w:overflowPunct/>
              <w:autoSpaceDE/>
              <w:autoSpaceDN/>
              <w:adjustRightInd/>
              <w:snapToGrid/>
              <w:spacing w:before="80" w:after="80" w:line="200" w:lineRule="exact"/>
              <w:jc w:val="right"/>
              <w:rPr>
                <w:i/>
                <w:sz w:val="16"/>
                <w:szCs w:val="28"/>
              </w:rPr>
            </w:pPr>
            <w:r w:rsidRPr="00821D2B">
              <w:rPr>
                <w:i/>
                <w:sz w:val="16"/>
                <w:szCs w:val="28"/>
              </w:rPr>
              <w:t>Maladies professionnelles</w:t>
            </w:r>
          </w:p>
        </w:tc>
        <w:tc>
          <w:tcPr>
            <w:tcW w:w="851" w:type="dxa"/>
            <w:tcBorders>
              <w:top w:val="single" w:sz="4" w:space="0" w:color="auto"/>
              <w:bottom w:val="single" w:sz="12" w:space="0" w:color="auto"/>
            </w:tcBorders>
            <w:shd w:val="clear" w:color="auto" w:fill="auto"/>
            <w:vAlign w:val="bottom"/>
          </w:tcPr>
          <w:p w:rsidR="008D6145" w:rsidRPr="00821D2B" w:rsidRDefault="008D6145" w:rsidP="00821D2B">
            <w:pPr>
              <w:suppressAutoHyphens w:val="0"/>
              <w:kinsoku/>
              <w:overflowPunct/>
              <w:autoSpaceDE/>
              <w:autoSpaceDN/>
              <w:adjustRightInd/>
              <w:snapToGrid/>
              <w:spacing w:before="80" w:after="80" w:line="200" w:lineRule="exact"/>
              <w:jc w:val="right"/>
              <w:rPr>
                <w:b/>
                <w:bCs/>
                <w:i/>
                <w:sz w:val="16"/>
                <w:szCs w:val="28"/>
              </w:rPr>
            </w:pPr>
            <w:r w:rsidRPr="00821D2B">
              <w:rPr>
                <w:b/>
                <w:bCs/>
                <w:i/>
                <w:sz w:val="16"/>
                <w:szCs w:val="28"/>
              </w:rPr>
              <w:t>Total</w:t>
            </w:r>
          </w:p>
        </w:tc>
        <w:tc>
          <w:tcPr>
            <w:tcW w:w="851" w:type="dxa"/>
            <w:tcBorders>
              <w:top w:val="single" w:sz="4" w:space="0" w:color="auto"/>
              <w:bottom w:val="single" w:sz="12" w:space="0" w:color="auto"/>
            </w:tcBorders>
            <w:shd w:val="clear" w:color="auto" w:fill="auto"/>
            <w:vAlign w:val="bottom"/>
          </w:tcPr>
          <w:p w:rsidR="008D6145" w:rsidRPr="00821D2B" w:rsidRDefault="008D6145" w:rsidP="00821D2B">
            <w:pPr>
              <w:suppressAutoHyphens w:val="0"/>
              <w:kinsoku/>
              <w:overflowPunct/>
              <w:autoSpaceDE/>
              <w:autoSpaceDN/>
              <w:adjustRightInd/>
              <w:snapToGrid/>
              <w:spacing w:before="80" w:after="80" w:line="200" w:lineRule="exact"/>
              <w:jc w:val="right"/>
              <w:rPr>
                <w:i/>
                <w:sz w:val="16"/>
                <w:szCs w:val="28"/>
              </w:rPr>
            </w:pPr>
            <w:r w:rsidRPr="00821D2B">
              <w:rPr>
                <w:i/>
                <w:sz w:val="16"/>
                <w:szCs w:val="28"/>
              </w:rPr>
              <w:t>Décès</w:t>
            </w:r>
          </w:p>
        </w:tc>
      </w:tr>
      <w:tr w:rsidR="00913515" w:rsidRPr="00913515" w:rsidTr="00821D2B">
        <w:tc>
          <w:tcPr>
            <w:tcW w:w="851" w:type="dxa"/>
            <w:tcBorders>
              <w:top w:val="single" w:sz="12" w:space="0" w:color="auto"/>
            </w:tcBorders>
            <w:shd w:val="clear" w:color="auto" w:fill="auto"/>
          </w:tcPr>
          <w:p w:rsidR="008D6145" w:rsidRPr="00913515" w:rsidRDefault="008D6145">
            <w:pPr>
              <w:suppressAutoHyphens w:val="0"/>
              <w:kinsoku/>
              <w:overflowPunct/>
              <w:autoSpaceDE/>
              <w:autoSpaceDN/>
              <w:adjustRightInd/>
              <w:snapToGrid/>
              <w:spacing w:before="40" w:after="40" w:line="220" w:lineRule="exact"/>
              <w:rPr>
                <w:sz w:val="18"/>
                <w:szCs w:val="28"/>
              </w:rPr>
            </w:pPr>
            <w:r w:rsidRPr="00913515">
              <w:rPr>
                <w:sz w:val="18"/>
                <w:szCs w:val="28"/>
              </w:rPr>
              <w:t>2008</w:t>
            </w:r>
          </w:p>
        </w:tc>
        <w:tc>
          <w:tcPr>
            <w:tcW w:w="1418" w:type="dxa"/>
            <w:tcBorders>
              <w:top w:val="single" w:sz="12" w:space="0" w:color="auto"/>
            </w:tcBorders>
            <w:shd w:val="clear" w:color="auto" w:fill="auto"/>
            <w:vAlign w:val="bottom"/>
          </w:tcPr>
          <w:p w:rsidR="008D6145" w:rsidRPr="00913515" w:rsidRDefault="008D6145">
            <w:pPr>
              <w:suppressAutoHyphens w:val="0"/>
              <w:kinsoku/>
              <w:overflowPunct/>
              <w:autoSpaceDE/>
              <w:autoSpaceDN/>
              <w:adjustRightInd/>
              <w:snapToGrid/>
              <w:spacing w:before="40" w:after="40" w:line="220" w:lineRule="exact"/>
              <w:jc w:val="right"/>
              <w:rPr>
                <w:sz w:val="18"/>
                <w:szCs w:val="28"/>
              </w:rPr>
            </w:pPr>
            <w:r w:rsidRPr="00913515">
              <w:rPr>
                <w:sz w:val="18"/>
                <w:szCs w:val="28"/>
              </w:rPr>
              <w:t>426</w:t>
            </w:r>
          </w:p>
        </w:tc>
        <w:tc>
          <w:tcPr>
            <w:tcW w:w="1418" w:type="dxa"/>
            <w:tcBorders>
              <w:top w:val="single" w:sz="12" w:space="0" w:color="auto"/>
            </w:tcBorders>
            <w:shd w:val="clear" w:color="auto" w:fill="auto"/>
            <w:vAlign w:val="bottom"/>
          </w:tcPr>
          <w:p w:rsidR="008D6145" w:rsidRPr="00913515" w:rsidRDefault="008D6145">
            <w:pPr>
              <w:suppressAutoHyphens w:val="0"/>
              <w:kinsoku/>
              <w:overflowPunct/>
              <w:autoSpaceDE/>
              <w:autoSpaceDN/>
              <w:adjustRightInd/>
              <w:snapToGrid/>
              <w:spacing w:before="40" w:after="40" w:line="220" w:lineRule="exact"/>
              <w:jc w:val="right"/>
              <w:rPr>
                <w:sz w:val="18"/>
                <w:szCs w:val="28"/>
              </w:rPr>
            </w:pPr>
            <w:r w:rsidRPr="00913515">
              <w:rPr>
                <w:sz w:val="18"/>
                <w:szCs w:val="28"/>
              </w:rPr>
              <w:t>450</w:t>
            </w:r>
          </w:p>
        </w:tc>
        <w:tc>
          <w:tcPr>
            <w:tcW w:w="1966" w:type="dxa"/>
            <w:tcBorders>
              <w:top w:val="single" w:sz="12" w:space="0" w:color="auto"/>
            </w:tcBorders>
            <w:shd w:val="clear" w:color="auto" w:fill="auto"/>
            <w:vAlign w:val="bottom"/>
          </w:tcPr>
          <w:p w:rsidR="008D6145" w:rsidRPr="00913515" w:rsidRDefault="008D6145">
            <w:pPr>
              <w:suppressAutoHyphens w:val="0"/>
              <w:kinsoku/>
              <w:overflowPunct/>
              <w:autoSpaceDE/>
              <w:autoSpaceDN/>
              <w:adjustRightInd/>
              <w:snapToGrid/>
              <w:spacing w:before="40" w:after="40" w:line="220" w:lineRule="exact"/>
              <w:jc w:val="right"/>
              <w:rPr>
                <w:sz w:val="18"/>
                <w:szCs w:val="28"/>
              </w:rPr>
            </w:pPr>
            <w:r w:rsidRPr="00913515">
              <w:rPr>
                <w:sz w:val="18"/>
                <w:szCs w:val="28"/>
              </w:rPr>
              <w:t>08</w:t>
            </w:r>
          </w:p>
        </w:tc>
        <w:tc>
          <w:tcPr>
            <w:tcW w:w="851" w:type="dxa"/>
            <w:tcBorders>
              <w:top w:val="single" w:sz="12" w:space="0" w:color="auto"/>
            </w:tcBorders>
            <w:shd w:val="clear" w:color="auto" w:fill="auto"/>
            <w:vAlign w:val="bottom"/>
          </w:tcPr>
          <w:p w:rsidR="008D6145" w:rsidRPr="00821D2B" w:rsidRDefault="008D6145">
            <w:pPr>
              <w:suppressAutoHyphens w:val="0"/>
              <w:kinsoku/>
              <w:overflowPunct/>
              <w:autoSpaceDE/>
              <w:autoSpaceDN/>
              <w:adjustRightInd/>
              <w:snapToGrid/>
              <w:spacing w:before="40" w:after="40" w:line="220" w:lineRule="exact"/>
              <w:jc w:val="right"/>
              <w:rPr>
                <w:b/>
                <w:bCs/>
                <w:sz w:val="18"/>
                <w:szCs w:val="28"/>
              </w:rPr>
            </w:pPr>
            <w:r w:rsidRPr="00821D2B">
              <w:rPr>
                <w:b/>
                <w:bCs/>
                <w:sz w:val="18"/>
                <w:szCs w:val="28"/>
              </w:rPr>
              <w:t>876</w:t>
            </w:r>
          </w:p>
        </w:tc>
        <w:tc>
          <w:tcPr>
            <w:tcW w:w="851" w:type="dxa"/>
            <w:tcBorders>
              <w:top w:val="single" w:sz="12" w:space="0" w:color="auto"/>
            </w:tcBorders>
            <w:shd w:val="clear" w:color="auto" w:fill="auto"/>
            <w:vAlign w:val="bottom"/>
          </w:tcPr>
          <w:p w:rsidR="008D6145" w:rsidRPr="00913515" w:rsidRDefault="008D6145">
            <w:pPr>
              <w:suppressAutoHyphens w:val="0"/>
              <w:kinsoku/>
              <w:overflowPunct/>
              <w:autoSpaceDE/>
              <w:autoSpaceDN/>
              <w:adjustRightInd/>
              <w:snapToGrid/>
              <w:spacing w:before="40" w:after="40" w:line="220" w:lineRule="exact"/>
              <w:jc w:val="right"/>
              <w:rPr>
                <w:sz w:val="18"/>
                <w:szCs w:val="28"/>
              </w:rPr>
            </w:pPr>
            <w:r w:rsidRPr="00913515">
              <w:rPr>
                <w:sz w:val="18"/>
                <w:szCs w:val="28"/>
              </w:rPr>
              <w:t>10</w:t>
            </w:r>
          </w:p>
        </w:tc>
      </w:tr>
      <w:tr w:rsidR="00913515" w:rsidRPr="00913515" w:rsidTr="00821D2B">
        <w:tc>
          <w:tcPr>
            <w:tcW w:w="851" w:type="dxa"/>
            <w:shd w:val="clear" w:color="auto" w:fill="auto"/>
          </w:tcPr>
          <w:p w:rsidR="008D6145" w:rsidRPr="00913515" w:rsidRDefault="008D6145">
            <w:pPr>
              <w:suppressAutoHyphens w:val="0"/>
              <w:kinsoku/>
              <w:overflowPunct/>
              <w:autoSpaceDE/>
              <w:autoSpaceDN/>
              <w:adjustRightInd/>
              <w:snapToGrid/>
              <w:spacing w:before="40" w:after="40" w:line="220" w:lineRule="exact"/>
              <w:rPr>
                <w:sz w:val="18"/>
                <w:szCs w:val="28"/>
              </w:rPr>
            </w:pPr>
            <w:r w:rsidRPr="00913515">
              <w:rPr>
                <w:sz w:val="18"/>
                <w:szCs w:val="28"/>
              </w:rPr>
              <w:t>2009</w:t>
            </w:r>
          </w:p>
        </w:tc>
        <w:tc>
          <w:tcPr>
            <w:tcW w:w="1418" w:type="dxa"/>
            <w:shd w:val="clear" w:color="auto" w:fill="auto"/>
            <w:vAlign w:val="bottom"/>
          </w:tcPr>
          <w:p w:rsidR="008D6145" w:rsidRPr="00913515" w:rsidRDefault="008D6145">
            <w:pPr>
              <w:suppressAutoHyphens w:val="0"/>
              <w:kinsoku/>
              <w:overflowPunct/>
              <w:autoSpaceDE/>
              <w:autoSpaceDN/>
              <w:adjustRightInd/>
              <w:snapToGrid/>
              <w:spacing w:before="40" w:after="40" w:line="220" w:lineRule="exact"/>
              <w:jc w:val="right"/>
              <w:rPr>
                <w:sz w:val="18"/>
                <w:szCs w:val="28"/>
              </w:rPr>
            </w:pPr>
            <w:r w:rsidRPr="00913515">
              <w:rPr>
                <w:sz w:val="18"/>
                <w:szCs w:val="28"/>
              </w:rPr>
              <w:t>523</w:t>
            </w:r>
          </w:p>
        </w:tc>
        <w:tc>
          <w:tcPr>
            <w:tcW w:w="1418" w:type="dxa"/>
            <w:shd w:val="clear" w:color="auto" w:fill="auto"/>
            <w:vAlign w:val="bottom"/>
          </w:tcPr>
          <w:p w:rsidR="008D6145" w:rsidRPr="00913515" w:rsidRDefault="008D6145">
            <w:pPr>
              <w:suppressAutoHyphens w:val="0"/>
              <w:kinsoku/>
              <w:overflowPunct/>
              <w:autoSpaceDE/>
              <w:autoSpaceDN/>
              <w:adjustRightInd/>
              <w:snapToGrid/>
              <w:spacing w:before="40" w:after="40" w:line="220" w:lineRule="exact"/>
              <w:jc w:val="right"/>
              <w:rPr>
                <w:sz w:val="18"/>
                <w:szCs w:val="28"/>
              </w:rPr>
            </w:pPr>
            <w:r w:rsidRPr="00913515">
              <w:rPr>
                <w:sz w:val="18"/>
                <w:szCs w:val="28"/>
              </w:rPr>
              <w:t>442</w:t>
            </w:r>
          </w:p>
        </w:tc>
        <w:tc>
          <w:tcPr>
            <w:tcW w:w="1966" w:type="dxa"/>
            <w:shd w:val="clear" w:color="auto" w:fill="auto"/>
            <w:vAlign w:val="bottom"/>
          </w:tcPr>
          <w:p w:rsidR="008D6145" w:rsidRPr="00913515" w:rsidRDefault="008D6145">
            <w:pPr>
              <w:suppressAutoHyphens w:val="0"/>
              <w:kinsoku/>
              <w:overflowPunct/>
              <w:autoSpaceDE/>
              <w:autoSpaceDN/>
              <w:adjustRightInd/>
              <w:snapToGrid/>
              <w:spacing w:before="40" w:after="40" w:line="220" w:lineRule="exact"/>
              <w:jc w:val="right"/>
              <w:rPr>
                <w:sz w:val="18"/>
                <w:szCs w:val="28"/>
              </w:rPr>
            </w:pPr>
            <w:r w:rsidRPr="00913515">
              <w:rPr>
                <w:sz w:val="18"/>
                <w:szCs w:val="28"/>
              </w:rPr>
              <w:t>01</w:t>
            </w:r>
          </w:p>
        </w:tc>
        <w:tc>
          <w:tcPr>
            <w:tcW w:w="851" w:type="dxa"/>
            <w:shd w:val="clear" w:color="auto" w:fill="auto"/>
            <w:vAlign w:val="bottom"/>
          </w:tcPr>
          <w:p w:rsidR="008D6145" w:rsidRPr="00821D2B" w:rsidRDefault="008D6145">
            <w:pPr>
              <w:suppressAutoHyphens w:val="0"/>
              <w:kinsoku/>
              <w:overflowPunct/>
              <w:autoSpaceDE/>
              <w:autoSpaceDN/>
              <w:adjustRightInd/>
              <w:snapToGrid/>
              <w:spacing w:before="40" w:after="40" w:line="220" w:lineRule="exact"/>
              <w:jc w:val="right"/>
              <w:rPr>
                <w:b/>
                <w:bCs/>
                <w:sz w:val="18"/>
                <w:szCs w:val="28"/>
              </w:rPr>
            </w:pPr>
            <w:r w:rsidRPr="00821D2B">
              <w:rPr>
                <w:b/>
                <w:bCs/>
                <w:sz w:val="18"/>
                <w:szCs w:val="28"/>
              </w:rPr>
              <w:t>973</w:t>
            </w:r>
          </w:p>
        </w:tc>
        <w:tc>
          <w:tcPr>
            <w:tcW w:w="851" w:type="dxa"/>
            <w:shd w:val="clear" w:color="auto" w:fill="auto"/>
            <w:vAlign w:val="bottom"/>
          </w:tcPr>
          <w:p w:rsidR="008D6145" w:rsidRPr="00913515" w:rsidRDefault="008D6145">
            <w:pPr>
              <w:suppressAutoHyphens w:val="0"/>
              <w:kinsoku/>
              <w:overflowPunct/>
              <w:autoSpaceDE/>
              <w:autoSpaceDN/>
              <w:adjustRightInd/>
              <w:snapToGrid/>
              <w:spacing w:before="40" w:after="40" w:line="220" w:lineRule="exact"/>
              <w:jc w:val="right"/>
              <w:rPr>
                <w:sz w:val="18"/>
                <w:szCs w:val="28"/>
              </w:rPr>
            </w:pPr>
            <w:r w:rsidRPr="00913515">
              <w:rPr>
                <w:sz w:val="18"/>
                <w:szCs w:val="28"/>
              </w:rPr>
              <w:t>11</w:t>
            </w:r>
          </w:p>
        </w:tc>
      </w:tr>
      <w:tr w:rsidR="00913515" w:rsidRPr="00913515" w:rsidTr="00821D2B">
        <w:tc>
          <w:tcPr>
            <w:tcW w:w="851" w:type="dxa"/>
            <w:shd w:val="clear" w:color="auto" w:fill="auto"/>
          </w:tcPr>
          <w:p w:rsidR="008D6145" w:rsidRPr="00913515" w:rsidRDefault="008D6145">
            <w:pPr>
              <w:suppressAutoHyphens w:val="0"/>
              <w:kinsoku/>
              <w:overflowPunct/>
              <w:autoSpaceDE/>
              <w:autoSpaceDN/>
              <w:adjustRightInd/>
              <w:snapToGrid/>
              <w:spacing w:before="40" w:after="40" w:line="220" w:lineRule="exact"/>
              <w:rPr>
                <w:sz w:val="18"/>
                <w:szCs w:val="28"/>
              </w:rPr>
            </w:pPr>
            <w:r w:rsidRPr="00913515">
              <w:rPr>
                <w:sz w:val="18"/>
                <w:szCs w:val="28"/>
              </w:rPr>
              <w:t>2010</w:t>
            </w:r>
          </w:p>
        </w:tc>
        <w:tc>
          <w:tcPr>
            <w:tcW w:w="1418" w:type="dxa"/>
            <w:shd w:val="clear" w:color="auto" w:fill="auto"/>
            <w:vAlign w:val="bottom"/>
          </w:tcPr>
          <w:p w:rsidR="008D6145" w:rsidRPr="00913515" w:rsidRDefault="008D6145">
            <w:pPr>
              <w:suppressAutoHyphens w:val="0"/>
              <w:kinsoku/>
              <w:overflowPunct/>
              <w:autoSpaceDE/>
              <w:autoSpaceDN/>
              <w:adjustRightInd/>
              <w:snapToGrid/>
              <w:spacing w:before="40" w:after="40" w:line="220" w:lineRule="exact"/>
              <w:jc w:val="right"/>
              <w:rPr>
                <w:sz w:val="18"/>
                <w:szCs w:val="28"/>
              </w:rPr>
            </w:pPr>
            <w:r w:rsidRPr="00913515">
              <w:rPr>
                <w:sz w:val="18"/>
                <w:szCs w:val="28"/>
              </w:rPr>
              <w:t>471</w:t>
            </w:r>
          </w:p>
        </w:tc>
        <w:tc>
          <w:tcPr>
            <w:tcW w:w="1418" w:type="dxa"/>
            <w:shd w:val="clear" w:color="auto" w:fill="auto"/>
            <w:vAlign w:val="bottom"/>
          </w:tcPr>
          <w:p w:rsidR="008D6145" w:rsidRPr="00913515" w:rsidRDefault="008D6145">
            <w:pPr>
              <w:suppressAutoHyphens w:val="0"/>
              <w:kinsoku/>
              <w:overflowPunct/>
              <w:autoSpaceDE/>
              <w:autoSpaceDN/>
              <w:adjustRightInd/>
              <w:snapToGrid/>
              <w:spacing w:before="40" w:after="40" w:line="220" w:lineRule="exact"/>
              <w:jc w:val="right"/>
              <w:rPr>
                <w:sz w:val="18"/>
                <w:szCs w:val="28"/>
              </w:rPr>
            </w:pPr>
            <w:r w:rsidRPr="00913515">
              <w:rPr>
                <w:sz w:val="18"/>
                <w:szCs w:val="28"/>
              </w:rPr>
              <w:t>486</w:t>
            </w:r>
          </w:p>
        </w:tc>
        <w:tc>
          <w:tcPr>
            <w:tcW w:w="1966" w:type="dxa"/>
            <w:shd w:val="clear" w:color="auto" w:fill="auto"/>
            <w:vAlign w:val="bottom"/>
          </w:tcPr>
          <w:p w:rsidR="008D6145" w:rsidRPr="00913515" w:rsidRDefault="008D6145">
            <w:pPr>
              <w:suppressAutoHyphens w:val="0"/>
              <w:kinsoku/>
              <w:overflowPunct/>
              <w:autoSpaceDE/>
              <w:autoSpaceDN/>
              <w:adjustRightInd/>
              <w:snapToGrid/>
              <w:spacing w:before="40" w:after="40" w:line="220" w:lineRule="exact"/>
              <w:jc w:val="right"/>
              <w:rPr>
                <w:sz w:val="18"/>
                <w:szCs w:val="28"/>
              </w:rPr>
            </w:pPr>
            <w:r w:rsidRPr="00913515">
              <w:rPr>
                <w:sz w:val="18"/>
                <w:szCs w:val="28"/>
              </w:rPr>
              <w:t>01</w:t>
            </w:r>
          </w:p>
        </w:tc>
        <w:tc>
          <w:tcPr>
            <w:tcW w:w="851" w:type="dxa"/>
            <w:shd w:val="clear" w:color="auto" w:fill="auto"/>
            <w:vAlign w:val="bottom"/>
          </w:tcPr>
          <w:p w:rsidR="008D6145" w:rsidRPr="00821D2B" w:rsidRDefault="008D6145">
            <w:pPr>
              <w:suppressAutoHyphens w:val="0"/>
              <w:kinsoku/>
              <w:overflowPunct/>
              <w:autoSpaceDE/>
              <w:autoSpaceDN/>
              <w:adjustRightInd/>
              <w:snapToGrid/>
              <w:spacing w:before="40" w:after="40" w:line="220" w:lineRule="exact"/>
              <w:jc w:val="right"/>
              <w:rPr>
                <w:b/>
                <w:bCs/>
                <w:sz w:val="18"/>
                <w:szCs w:val="28"/>
              </w:rPr>
            </w:pPr>
            <w:r w:rsidRPr="00821D2B">
              <w:rPr>
                <w:b/>
                <w:bCs/>
                <w:sz w:val="18"/>
                <w:szCs w:val="28"/>
              </w:rPr>
              <w:t>958</w:t>
            </w:r>
          </w:p>
        </w:tc>
        <w:tc>
          <w:tcPr>
            <w:tcW w:w="851" w:type="dxa"/>
            <w:shd w:val="clear" w:color="auto" w:fill="auto"/>
            <w:vAlign w:val="bottom"/>
          </w:tcPr>
          <w:p w:rsidR="008D6145" w:rsidRPr="00913515" w:rsidRDefault="008D6145">
            <w:pPr>
              <w:suppressAutoHyphens w:val="0"/>
              <w:kinsoku/>
              <w:overflowPunct/>
              <w:autoSpaceDE/>
              <w:autoSpaceDN/>
              <w:adjustRightInd/>
              <w:snapToGrid/>
              <w:spacing w:before="40" w:after="40" w:line="220" w:lineRule="exact"/>
              <w:jc w:val="right"/>
              <w:rPr>
                <w:sz w:val="18"/>
                <w:szCs w:val="28"/>
              </w:rPr>
            </w:pPr>
            <w:r w:rsidRPr="00913515">
              <w:rPr>
                <w:sz w:val="18"/>
                <w:szCs w:val="28"/>
              </w:rPr>
              <w:t>09</w:t>
            </w:r>
          </w:p>
        </w:tc>
      </w:tr>
      <w:tr w:rsidR="00913515" w:rsidRPr="00913515" w:rsidTr="00821D2B">
        <w:tc>
          <w:tcPr>
            <w:tcW w:w="851" w:type="dxa"/>
            <w:shd w:val="clear" w:color="auto" w:fill="auto"/>
          </w:tcPr>
          <w:p w:rsidR="008D6145" w:rsidRPr="00913515" w:rsidRDefault="008D6145">
            <w:pPr>
              <w:suppressAutoHyphens w:val="0"/>
              <w:kinsoku/>
              <w:overflowPunct/>
              <w:autoSpaceDE/>
              <w:autoSpaceDN/>
              <w:adjustRightInd/>
              <w:snapToGrid/>
              <w:spacing w:before="40" w:after="40" w:line="220" w:lineRule="exact"/>
              <w:rPr>
                <w:sz w:val="18"/>
                <w:szCs w:val="28"/>
              </w:rPr>
            </w:pPr>
            <w:r w:rsidRPr="00913515">
              <w:rPr>
                <w:sz w:val="18"/>
                <w:szCs w:val="28"/>
              </w:rPr>
              <w:t>2011</w:t>
            </w:r>
          </w:p>
        </w:tc>
        <w:tc>
          <w:tcPr>
            <w:tcW w:w="1418" w:type="dxa"/>
            <w:shd w:val="clear" w:color="auto" w:fill="auto"/>
            <w:vAlign w:val="bottom"/>
          </w:tcPr>
          <w:p w:rsidR="008D6145" w:rsidRPr="00913515" w:rsidRDefault="008D6145">
            <w:pPr>
              <w:suppressAutoHyphens w:val="0"/>
              <w:kinsoku/>
              <w:overflowPunct/>
              <w:autoSpaceDE/>
              <w:autoSpaceDN/>
              <w:adjustRightInd/>
              <w:snapToGrid/>
              <w:spacing w:before="40" w:after="40" w:line="220" w:lineRule="exact"/>
              <w:jc w:val="right"/>
              <w:rPr>
                <w:sz w:val="18"/>
                <w:szCs w:val="28"/>
              </w:rPr>
            </w:pPr>
            <w:r w:rsidRPr="00913515">
              <w:rPr>
                <w:sz w:val="18"/>
                <w:szCs w:val="28"/>
              </w:rPr>
              <w:t>534</w:t>
            </w:r>
          </w:p>
        </w:tc>
        <w:tc>
          <w:tcPr>
            <w:tcW w:w="1418" w:type="dxa"/>
            <w:shd w:val="clear" w:color="auto" w:fill="auto"/>
            <w:vAlign w:val="bottom"/>
          </w:tcPr>
          <w:p w:rsidR="008D6145" w:rsidRPr="00913515" w:rsidRDefault="008D6145">
            <w:pPr>
              <w:suppressAutoHyphens w:val="0"/>
              <w:kinsoku/>
              <w:overflowPunct/>
              <w:autoSpaceDE/>
              <w:autoSpaceDN/>
              <w:adjustRightInd/>
              <w:snapToGrid/>
              <w:spacing w:before="40" w:after="40" w:line="220" w:lineRule="exact"/>
              <w:jc w:val="right"/>
              <w:rPr>
                <w:sz w:val="18"/>
                <w:szCs w:val="28"/>
              </w:rPr>
            </w:pPr>
            <w:r w:rsidRPr="00913515">
              <w:rPr>
                <w:sz w:val="18"/>
                <w:szCs w:val="28"/>
              </w:rPr>
              <w:t>459</w:t>
            </w:r>
          </w:p>
        </w:tc>
        <w:tc>
          <w:tcPr>
            <w:tcW w:w="1966" w:type="dxa"/>
            <w:shd w:val="clear" w:color="auto" w:fill="auto"/>
            <w:vAlign w:val="bottom"/>
          </w:tcPr>
          <w:p w:rsidR="008D6145" w:rsidRPr="00913515" w:rsidRDefault="008D6145">
            <w:pPr>
              <w:suppressAutoHyphens w:val="0"/>
              <w:kinsoku/>
              <w:overflowPunct/>
              <w:autoSpaceDE/>
              <w:autoSpaceDN/>
              <w:adjustRightInd/>
              <w:snapToGrid/>
              <w:spacing w:before="40" w:after="40" w:line="220" w:lineRule="exact"/>
              <w:jc w:val="right"/>
              <w:rPr>
                <w:sz w:val="18"/>
                <w:szCs w:val="28"/>
              </w:rPr>
            </w:pPr>
            <w:r w:rsidRPr="00913515">
              <w:rPr>
                <w:sz w:val="18"/>
                <w:szCs w:val="28"/>
              </w:rPr>
              <w:t>01</w:t>
            </w:r>
          </w:p>
        </w:tc>
        <w:tc>
          <w:tcPr>
            <w:tcW w:w="851" w:type="dxa"/>
            <w:shd w:val="clear" w:color="auto" w:fill="auto"/>
            <w:vAlign w:val="bottom"/>
          </w:tcPr>
          <w:p w:rsidR="008D6145" w:rsidRPr="00821D2B" w:rsidRDefault="008D6145">
            <w:pPr>
              <w:suppressAutoHyphens w:val="0"/>
              <w:kinsoku/>
              <w:overflowPunct/>
              <w:autoSpaceDE/>
              <w:autoSpaceDN/>
              <w:adjustRightInd/>
              <w:snapToGrid/>
              <w:spacing w:before="40" w:after="40" w:line="220" w:lineRule="exact"/>
              <w:jc w:val="right"/>
              <w:rPr>
                <w:b/>
                <w:bCs/>
                <w:sz w:val="18"/>
                <w:szCs w:val="28"/>
              </w:rPr>
            </w:pPr>
            <w:r w:rsidRPr="00821D2B">
              <w:rPr>
                <w:b/>
                <w:bCs/>
                <w:sz w:val="18"/>
                <w:szCs w:val="28"/>
              </w:rPr>
              <w:t>994</w:t>
            </w:r>
          </w:p>
        </w:tc>
        <w:tc>
          <w:tcPr>
            <w:tcW w:w="851" w:type="dxa"/>
            <w:shd w:val="clear" w:color="auto" w:fill="auto"/>
            <w:vAlign w:val="bottom"/>
          </w:tcPr>
          <w:p w:rsidR="008D6145" w:rsidRPr="00913515" w:rsidRDefault="008D6145">
            <w:pPr>
              <w:suppressAutoHyphens w:val="0"/>
              <w:kinsoku/>
              <w:overflowPunct/>
              <w:autoSpaceDE/>
              <w:autoSpaceDN/>
              <w:adjustRightInd/>
              <w:snapToGrid/>
              <w:spacing w:before="40" w:after="40" w:line="220" w:lineRule="exact"/>
              <w:jc w:val="right"/>
              <w:rPr>
                <w:sz w:val="18"/>
                <w:szCs w:val="28"/>
              </w:rPr>
            </w:pPr>
            <w:r w:rsidRPr="00913515">
              <w:rPr>
                <w:sz w:val="18"/>
                <w:szCs w:val="28"/>
              </w:rPr>
              <w:t>19</w:t>
            </w:r>
          </w:p>
        </w:tc>
      </w:tr>
      <w:tr w:rsidR="00913515" w:rsidRPr="00913515" w:rsidTr="00821D2B">
        <w:tc>
          <w:tcPr>
            <w:tcW w:w="851" w:type="dxa"/>
            <w:shd w:val="clear" w:color="auto" w:fill="auto"/>
          </w:tcPr>
          <w:p w:rsidR="008D6145" w:rsidRPr="00913515" w:rsidRDefault="008D6145">
            <w:pPr>
              <w:suppressAutoHyphens w:val="0"/>
              <w:kinsoku/>
              <w:overflowPunct/>
              <w:autoSpaceDE/>
              <w:autoSpaceDN/>
              <w:adjustRightInd/>
              <w:snapToGrid/>
              <w:spacing w:before="40" w:after="40" w:line="220" w:lineRule="exact"/>
              <w:rPr>
                <w:sz w:val="18"/>
                <w:szCs w:val="28"/>
              </w:rPr>
            </w:pPr>
            <w:r w:rsidRPr="00913515">
              <w:rPr>
                <w:sz w:val="18"/>
                <w:szCs w:val="28"/>
              </w:rPr>
              <w:t>2012</w:t>
            </w:r>
          </w:p>
        </w:tc>
        <w:tc>
          <w:tcPr>
            <w:tcW w:w="1418" w:type="dxa"/>
            <w:shd w:val="clear" w:color="auto" w:fill="auto"/>
            <w:vAlign w:val="bottom"/>
          </w:tcPr>
          <w:p w:rsidR="008D6145" w:rsidRPr="00913515" w:rsidRDefault="008D6145">
            <w:pPr>
              <w:suppressAutoHyphens w:val="0"/>
              <w:kinsoku/>
              <w:overflowPunct/>
              <w:autoSpaceDE/>
              <w:autoSpaceDN/>
              <w:adjustRightInd/>
              <w:snapToGrid/>
              <w:spacing w:before="40" w:after="40" w:line="220" w:lineRule="exact"/>
              <w:jc w:val="right"/>
              <w:rPr>
                <w:sz w:val="18"/>
                <w:szCs w:val="28"/>
              </w:rPr>
            </w:pPr>
            <w:r w:rsidRPr="00913515">
              <w:rPr>
                <w:sz w:val="18"/>
                <w:szCs w:val="28"/>
              </w:rPr>
              <w:t>454</w:t>
            </w:r>
          </w:p>
        </w:tc>
        <w:tc>
          <w:tcPr>
            <w:tcW w:w="1418" w:type="dxa"/>
            <w:shd w:val="clear" w:color="auto" w:fill="auto"/>
            <w:vAlign w:val="bottom"/>
          </w:tcPr>
          <w:p w:rsidR="008D6145" w:rsidRPr="00913515" w:rsidRDefault="008D6145">
            <w:pPr>
              <w:suppressAutoHyphens w:val="0"/>
              <w:kinsoku/>
              <w:overflowPunct/>
              <w:autoSpaceDE/>
              <w:autoSpaceDN/>
              <w:adjustRightInd/>
              <w:snapToGrid/>
              <w:spacing w:before="40" w:after="40" w:line="220" w:lineRule="exact"/>
              <w:jc w:val="right"/>
              <w:rPr>
                <w:sz w:val="18"/>
                <w:szCs w:val="28"/>
              </w:rPr>
            </w:pPr>
            <w:r w:rsidRPr="00913515">
              <w:rPr>
                <w:sz w:val="18"/>
                <w:szCs w:val="28"/>
              </w:rPr>
              <w:t>502</w:t>
            </w:r>
          </w:p>
        </w:tc>
        <w:tc>
          <w:tcPr>
            <w:tcW w:w="1966" w:type="dxa"/>
            <w:shd w:val="clear" w:color="auto" w:fill="auto"/>
            <w:vAlign w:val="bottom"/>
          </w:tcPr>
          <w:p w:rsidR="008D6145" w:rsidRPr="00913515" w:rsidRDefault="008D6145">
            <w:pPr>
              <w:suppressAutoHyphens w:val="0"/>
              <w:kinsoku/>
              <w:overflowPunct/>
              <w:autoSpaceDE/>
              <w:autoSpaceDN/>
              <w:adjustRightInd/>
              <w:snapToGrid/>
              <w:spacing w:before="40" w:after="40" w:line="220" w:lineRule="exact"/>
              <w:jc w:val="right"/>
              <w:rPr>
                <w:sz w:val="18"/>
                <w:szCs w:val="28"/>
              </w:rPr>
            </w:pPr>
            <w:r w:rsidRPr="00913515">
              <w:rPr>
                <w:sz w:val="18"/>
                <w:szCs w:val="28"/>
              </w:rPr>
              <w:t>00</w:t>
            </w:r>
          </w:p>
        </w:tc>
        <w:tc>
          <w:tcPr>
            <w:tcW w:w="851" w:type="dxa"/>
            <w:shd w:val="clear" w:color="auto" w:fill="auto"/>
            <w:vAlign w:val="bottom"/>
          </w:tcPr>
          <w:p w:rsidR="008D6145" w:rsidRPr="00821D2B" w:rsidRDefault="008D6145">
            <w:pPr>
              <w:suppressAutoHyphens w:val="0"/>
              <w:kinsoku/>
              <w:overflowPunct/>
              <w:autoSpaceDE/>
              <w:autoSpaceDN/>
              <w:adjustRightInd/>
              <w:snapToGrid/>
              <w:spacing w:before="40" w:after="40" w:line="220" w:lineRule="exact"/>
              <w:jc w:val="right"/>
              <w:rPr>
                <w:b/>
                <w:bCs/>
                <w:sz w:val="18"/>
                <w:szCs w:val="28"/>
              </w:rPr>
            </w:pPr>
            <w:r w:rsidRPr="00821D2B">
              <w:rPr>
                <w:b/>
                <w:bCs/>
                <w:sz w:val="18"/>
                <w:szCs w:val="28"/>
              </w:rPr>
              <w:t>956</w:t>
            </w:r>
          </w:p>
        </w:tc>
        <w:tc>
          <w:tcPr>
            <w:tcW w:w="851" w:type="dxa"/>
            <w:shd w:val="clear" w:color="auto" w:fill="auto"/>
            <w:vAlign w:val="bottom"/>
          </w:tcPr>
          <w:p w:rsidR="008D6145" w:rsidRPr="00913515" w:rsidRDefault="008D6145">
            <w:pPr>
              <w:suppressAutoHyphens w:val="0"/>
              <w:kinsoku/>
              <w:overflowPunct/>
              <w:autoSpaceDE/>
              <w:autoSpaceDN/>
              <w:adjustRightInd/>
              <w:snapToGrid/>
              <w:spacing w:before="40" w:after="40" w:line="220" w:lineRule="exact"/>
              <w:jc w:val="right"/>
              <w:rPr>
                <w:sz w:val="18"/>
                <w:szCs w:val="28"/>
              </w:rPr>
            </w:pPr>
            <w:r w:rsidRPr="00913515">
              <w:rPr>
                <w:sz w:val="18"/>
                <w:szCs w:val="28"/>
              </w:rPr>
              <w:t>09</w:t>
            </w:r>
          </w:p>
        </w:tc>
      </w:tr>
      <w:tr w:rsidR="00913515" w:rsidRPr="00913515" w:rsidTr="00821D2B">
        <w:tc>
          <w:tcPr>
            <w:tcW w:w="851" w:type="dxa"/>
            <w:shd w:val="clear" w:color="auto" w:fill="auto"/>
          </w:tcPr>
          <w:p w:rsidR="008D6145" w:rsidRPr="00913515" w:rsidRDefault="008D6145">
            <w:pPr>
              <w:suppressAutoHyphens w:val="0"/>
              <w:kinsoku/>
              <w:overflowPunct/>
              <w:autoSpaceDE/>
              <w:autoSpaceDN/>
              <w:adjustRightInd/>
              <w:snapToGrid/>
              <w:spacing w:before="40" w:after="40" w:line="220" w:lineRule="exact"/>
              <w:rPr>
                <w:sz w:val="18"/>
                <w:szCs w:val="28"/>
              </w:rPr>
            </w:pPr>
            <w:r w:rsidRPr="00913515">
              <w:rPr>
                <w:sz w:val="18"/>
                <w:szCs w:val="28"/>
              </w:rPr>
              <w:t>2013</w:t>
            </w:r>
          </w:p>
        </w:tc>
        <w:tc>
          <w:tcPr>
            <w:tcW w:w="1418" w:type="dxa"/>
            <w:shd w:val="clear" w:color="auto" w:fill="auto"/>
            <w:vAlign w:val="bottom"/>
          </w:tcPr>
          <w:p w:rsidR="008D6145" w:rsidRPr="00913515" w:rsidRDefault="008D6145">
            <w:pPr>
              <w:suppressAutoHyphens w:val="0"/>
              <w:kinsoku/>
              <w:overflowPunct/>
              <w:autoSpaceDE/>
              <w:autoSpaceDN/>
              <w:adjustRightInd/>
              <w:snapToGrid/>
              <w:spacing w:before="40" w:after="40" w:line="220" w:lineRule="exact"/>
              <w:jc w:val="right"/>
              <w:rPr>
                <w:sz w:val="18"/>
                <w:szCs w:val="28"/>
              </w:rPr>
            </w:pPr>
            <w:r w:rsidRPr="00913515">
              <w:rPr>
                <w:sz w:val="18"/>
                <w:szCs w:val="28"/>
              </w:rPr>
              <w:t>488</w:t>
            </w:r>
          </w:p>
        </w:tc>
        <w:tc>
          <w:tcPr>
            <w:tcW w:w="1418" w:type="dxa"/>
            <w:shd w:val="clear" w:color="auto" w:fill="auto"/>
            <w:vAlign w:val="bottom"/>
          </w:tcPr>
          <w:p w:rsidR="008D6145" w:rsidRPr="00913515" w:rsidRDefault="008D6145">
            <w:pPr>
              <w:suppressAutoHyphens w:val="0"/>
              <w:kinsoku/>
              <w:overflowPunct/>
              <w:autoSpaceDE/>
              <w:autoSpaceDN/>
              <w:adjustRightInd/>
              <w:snapToGrid/>
              <w:spacing w:before="40" w:after="40" w:line="220" w:lineRule="exact"/>
              <w:jc w:val="right"/>
              <w:rPr>
                <w:sz w:val="18"/>
                <w:szCs w:val="28"/>
              </w:rPr>
            </w:pPr>
            <w:r w:rsidRPr="00913515">
              <w:rPr>
                <w:sz w:val="18"/>
                <w:szCs w:val="28"/>
              </w:rPr>
              <w:t>421</w:t>
            </w:r>
          </w:p>
        </w:tc>
        <w:tc>
          <w:tcPr>
            <w:tcW w:w="1966" w:type="dxa"/>
            <w:shd w:val="clear" w:color="auto" w:fill="auto"/>
            <w:vAlign w:val="bottom"/>
          </w:tcPr>
          <w:p w:rsidR="008D6145" w:rsidRPr="00913515" w:rsidRDefault="008D6145">
            <w:pPr>
              <w:suppressAutoHyphens w:val="0"/>
              <w:kinsoku/>
              <w:overflowPunct/>
              <w:autoSpaceDE/>
              <w:autoSpaceDN/>
              <w:adjustRightInd/>
              <w:snapToGrid/>
              <w:spacing w:before="40" w:after="40" w:line="220" w:lineRule="exact"/>
              <w:jc w:val="right"/>
              <w:rPr>
                <w:sz w:val="18"/>
                <w:szCs w:val="28"/>
              </w:rPr>
            </w:pPr>
            <w:r w:rsidRPr="00913515">
              <w:rPr>
                <w:sz w:val="18"/>
                <w:szCs w:val="28"/>
              </w:rPr>
              <w:t>03</w:t>
            </w:r>
          </w:p>
        </w:tc>
        <w:tc>
          <w:tcPr>
            <w:tcW w:w="851" w:type="dxa"/>
            <w:shd w:val="clear" w:color="auto" w:fill="auto"/>
            <w:vAlign w:val="bottom"/>
          </w:tcPr>
          <w:p w:rsidR="008D6145" w:rsidRPr="00821D2B" w:rsidRDefault="008D6145">
            <w:pPr>
              <w:suppressAutoHyphens w:val="0"/>
              <w:kinsoku/>
              <w:overflowPunct/>
              <w:autoSpaceDE/>
              <w:autoSpaceDN/>
              <w:adjustRightInd/>
              <w:snapToGrid/>
              <w:spacing w:before="40" w:after="40" w:line="220" w:lineRule="exact"/>
              <w:jc w:val="right"/>
              <w:rPr>
                <w:b/>
                <w:bCs/>
                <w:sz w:val="18"/>
                <w:szCs w:val="28"/>
              </w:rPr>
            </w:pPr>
            <w:r w:rsidRPr="00821D2B">
              <w:rPr>
                <w:b/>
                <w:bCs/>
                <w:sz w:val="18"/>
                <w:szCs w:val="28"/>
              </w:rPr>
              <w:t>912</w:t>
            </w:r>
          </w:p>
        </w:tc>
        <w:tc>
          <w:tcPr>
            <w:tcW w:w="851" w:type="dxa"/>
            <w:shd w:val="clear" w:color="auto" w:fill="auto"/>
            <w:vAlign w:val="bottom"/>
          </w:tcPr>
          <w:p w:rsidR="008D6145" w:rsidRPr="00913515" w:rsidRDefault="008D6145">
            <w:pPr>
              <w:suppressAutoHyphens w:val="0"/>
              <w:kinsoku/>
              <w:overflowPunct/>
              <w:autoSpaceDE/>
              <w:autoSpaceDN/>
              <w:adjustRightInd/>
              <w:snapToGrid/>
              <w:spacing w:before="40" w:after="40" w:line="220" w:lineRule="exact"/>
              <w:jc w:val="right"/>
              <w:rPr>
                <w:sz w:val="18"/>
                <w:szCs w:val="28"/>
              </w:rPr>
            </w:pPr>
            <w:r w:rsidRPr="00913515">
              <w:rPr>
                <w:sz w:val="18"/>
                <w:szCs w:val="28"/>
              </w:rPr>
              <w:t>08</w:t>
            </w:r>
          </w:p>
        </w:tc>
      </w:tr>
      <w:tr w:rsidR="00913515" w:rsidRPr="00913515" w:rsidTr="00821D2B">
        <w:tc>
          <w:tcPr>
            <w:tcW w:w="851" w:type="dxa"/>
            <w:shd w:val="clear" w:color="auto" w:fill="auto"/>
          </w:tcPr>
          <w:p w:rsidR="008D6145" w:rsidRPr="00913515" w:rsidRDefault="008D6145">
            <w:pPr>
              <w:suppressAutoHyphens w:val="0"/>
              <w:kinsoku/>
              <w:overflowPunct/>
              <w:autoSpaceDE/>
              <w:autoSpaceDN/>
              <w:adjustRightInd/>
              <w:snapToGrid/>
              <w:spacing w:before="40" w:after="40" w:line="220" w:lineRule="exact"/>
              <w:rPr>
                <w:sz w:val="18"/>
                <w:szCs w:val="28"/>
              </w:rPr>
            </w:pPr>
            <w:r w:rsidRPr="00913515">
              <w:rPr>
                <w:sz w:val="18"/>
                <w:szCs w:val="28"/>
              </w:rPr>
              <w:t>2014</w:t>
            </w:r>
          </w:p>
        </w:tc>
        <w:tc>
          <w:tcPr>
            <w:tcW w:w="1418" w:type="dxa"/>
            <w:shd w:val="clear" w:color="auto" w:fill="auto"/>
            <w:vAlign w:val="bottom"/>
          </w:tcPr>
          <w:p w:rsidR="008D6145" w:rsidRPr="00913515" w:rsidRDefault="008D6145">
            <w:pPr>
              <w:suppressAutoHyphens w:val="0"/>
              <w:kinsoku/>
              <w:overflowPunct/>
              <w:autoSpaceDE/>
              <w:autoSpaceDN/>
              <w:adjustRightInd/>
              <w:snapToGrid/>
              <w:spacing w:before="40" w:after="40" w:line="220" w:lineRule="exact"/>
              <w:jc w:val="right"/>
              <w:rPr>
                <w:sz w:val="18"/>
                <w:szCs w:val="28"/>
              </w:rPr>
            </w:pPr>
            <w:r w:rsidRPr="00913515">
              <w:rPr>
                <w:sz w:val="18"/>
                <w:szCs w:val="28"/>
              </w:rPr>
              <w:t>612</w:t>
            </w:r>
          </w:p>
        </w:tc>
        <w:tc>
          <w:tcPr>
            <w:tcW w:w="1418" w:type="dxa"/>
            <w:shd w:val="clear" w:color="auto" w:fill="auto"/>
            <w:vAlign w:val="bottom"/>
          </w:tcPr>
          <w:p w:rsidR="008D6145" w:rsidRPr="00913515" w:rsidRDefault="008D6145">
            <w:pPr>
              <w:suppressAutoHyphens w:val="0"/>
              <w:kinsoku/>
              <w:overflowPunct/>
              <w:autoSpaceDE/>
              <w:autoSpaceDN/>
              <w:adjustRightInd/>
              <w:snapToGrid/>
              <w:spacing w:before="40" w:after="40" w:line="220" w:lineRule="exact"/>
              <w:jc w:val="right"/>
              <w:rPr>
                <w:sz w:val="18"/>
                <w:szCs w:val="28"/>
              </w:rPr>
            </w:pPr>
            <w:r w:rsidRPr="00913515">
              <w:rPr>
                <w:sz w:val="18"/>
                <w:szCs w:val="28"/>
              </w:rPr>
              <w:t>433</w:t>
            </w:r>
          </w:p>
        </w:tc>
        <w:tc>
          <w:tcPr>
            <w:tcW w:w="1966" w:type="dxa"/>
            <w:shd w:val="clear" w:color="auto" w:fill="auto"/>
            <w:vAlign w:val="bottom"/>
          </w:tcPr>
          <w:p w:rsidR="008D6145" w:rsidRPr="00913515" w:rsidRDefault="008D6145">
            <w:pPr>
              <w:suppressAutoHyphens w:val="0"/>
              <w:kinsoku/>
              <w:overflowPunct/>
              <w:autoSpaceDE/>
              <w:autoSpaceDN/>
              <w:adjustRightInd/>
              <w:snapToGrid/>
              <w:spacing w:before="40" w:after="40" w:line="220" w:lineRule="exact"/>
              <w:jc w:val="right"/>
              <w:rPr>
                <w:sz w:val="18"/>
                <w:szCs w:val="28"/>
              </w:rPr>
            </w:pPr>
            <w:r w:rsidRPr="00913515">
              <w:rPr>
                <w:sz w:val="18"/>
                <w:szCs w:val="28"/>
              </w:rPr>
              <w:t>00</w:t>
            </w:r>
          </w:p>
        </w:tc>
        <w:tc>
          <w:tcPr>
            <w:tcW w:w="851" w:type="dxa"/>
            <w:shd w:val="clear" w:color="auto" w:fill="auto"/>
            <w:vAlign w:val="bottom"/>
          </w:tcPr>
          <w:p w:rsidR="008D6145" w:rsidRPr="00821D2B" w:rsidRDefault="008D6145">
            <w:pPr>
              <w:suppressAutoHyphens w:val="0"/>
              <w:kinsoku/>
              <w:overflowPunct/>
              <w:autoSpaceDE/>
              <w:autoSpaceDN/>
              <w:adjustRightInd/>
              <w:snapToGrid/>
              <w:spacing w:before="40" w:after="40" w:line="220" w:lineRule="exact"/>
              <w:jc w:val="right"/>
              <w:rPr>
                <w:b/>
                <w:bCs/>
                <w:sz w:val="18"/>
                <w:szCs w:val="28"/>
              </w:rPr>
            </w:pPr>
            <w:r w:rsidRPr="00821D2B">
              <w:rPr>
                <w:b/>
                <w:bCs/>
                <w:sz w:val="18"/>
                <w:szCs w:val="28"/>
              </w:rPr>
              <w:t>1 045</w:t>
            </w:r>
          </w:p>
        </w:tc>
        <w:tc>
          <w:tcPr>
            <w:tcW w:w="851" w:type="dxa"/>
            <w:shd w:val="clear" w:color="auto" w:fill="auto"/>
            <w:vAlign w:val="bottom"/>
          </w:tcPr>
          <w:p w:rsidR="008D6145" w:rsidRPr="00913515" w:rsidRDefault="008D6145">
            <w:pPr>
              <w:suppressAutoHyphens w:val="0"/>
              <w:kinsoku/>
              <w:overflowPunct/>
              <w:autoSpaceDE/>
              <w:autoSpaceDN/>
              <w:adjustRightInd/>
              <w:snapToGrid/>
              <w:spacing w:before="40" w:after="40" w:line="220" w:lineRule="exact"/>
              <w:jc w:val="right"/>
              <w:rPr>
                <w:sz w:val="18"/>
                <w:szCs w:val="28"/>
              </w:rPr>
            </w:pPr>
            <w:r w:rsidRPr="00913515">
              <w:rPr>
                <w:sz w:val="18"/>
                <w:szCs w:val="28"/>
              </w:rPr>
              <w:t>07</w:t>
            </w:r>
          </w:p>
        </w:tc>
      </w:tr>
      <w:tr w:rsidR="00913515" w:rsidRPr="00913515" w:rsidTr="00821D2B">
        <w:tc>
          <w:tcPr>
            <w:tcW w:w="851" w:type="dxa"/>
            <w:tcBorders>
              <w:bottom w:val="single" w:sz="12" w:space="0" w:color="auto"/>
            </w:tcBorders>
            <w:shd w:val="clear" w:color="auto" w:fill="auto"/>
          </w:tcPr>
          <w:p w:rsidR="008D6145" w:rsidRPr="00913515" w:rsidRDefault="008D6145">
            <w:pPr>
              <w:suppressAutoHyphens w:val="0"/>
              <w:kinsoku/>
              <w:overflowPunct/>
              <w:autoSpaceDE/>
              <w:autoSpaceDN/>
              <w:adjustRightInd/>
              <w:snapToGrid/>
              <w:spacing w:before="40" w:after="40" w:line="220" w:lineRule="exact"/>
              <w:rPr>
                <w:sz w:val="18"/>
                <w:szCs w:val="28"/>
              </w:rPr>
            </w:pPr>
            <w:r w:rsidRPr="00913515">
              <w:rPr>
                <w:sz w:val="18"/>
                <w:szCs w:val="28"/>
              </w:rPr>
              <w:t>2015</w:t>
            </w:r>
          </w:p>
        </w:tc>
        <w:tc>
          <w:tcPr>
            <w:tcW w:w="1418" w:type="dxa"/>
            <w:tcBorders>
              <w:bottom w:val="single" w:sz="12" w:space="0" w:color="auto"/>
            </w:tcBorders>
            <w:shd w:val="clear" w:color="auto" w:fill="auto"/>
            <w:vAlign w:val="bottom"/>
          </w:tcPr>
          <w:p w:rsidR="008D6145" w:rsidRPr="00913515" w:rsidRDefault="008D6145">
            <w:pPr>
              <w:suppressAutoHyphens w:val="0"/>
              <w:kinsoku/>
              <w:overflowPunct/>
              <w:autoSpaceDE/>
              <w:autoSpaceDN/>
              <w:adjustRightInd/>
              <w:snapToGrid/>
              <w:spacing w:before="40" w:after="40" w:line="220" w:lineRule="exact"/>
              <w:jc w:val="right"/>
              <w:rPr>
                <w:sz w:val="18"/>
                <w:szCs w:val="28"/>
              </w:rPr>
            </w:pPr>
            <w:r w:rsidRPr="00913515">
              <w:rPr>
                <w:sz w:val="18"/>
                <w:szCs w:val="28"/>
              </w:rPr>
              <w:t>341</w:t>
            </w:r>
          </w:p>
        </w:tc>
        <w:tc>
          <w:tcPr>
            <w:tcW w:w="1418" w:type="dxa"/>
            <w:tcBorders>
              <w:bottom w:val="single" w:sz="12" w:space="0" w:color="auto"/>
            </w:tcBorders>
            <w:shd w:val="clear" w:color="auto" w:fill="auto"/>
            <w:vAlign w:val="bottom"/>
          </w:tcPr>
          <w:p w:rsidR="008D6145" w:rsidRPr="00913515" w:rsidRDefault="008D6145">
            <w:pPr>
              <w:suppressAutoHyphens w:val="0"/>
              <w:kinsoku/>
              <w:overflowPunct/>
              <w:autoSpaceDE/>
              <w:autoSpaceDN/>
              <w:adjustRightInd/>
              <w:snapToGrid/>
              <w:spacing w:before="40" w:after="40" w:line="220" w:lineRule="exact"/>
              <w:jc w:val="right"/>
              <w:rPr>
                <w:sz w:val="18"/>
                <w:szCs w:val="28"/>
              </w:rPr>
            </w:pPr>
            <w:r w:rsidRPr="00913515">
              <w:rPr>
                <w:sz w:val="18"/>
                <w:szCs w:val="28"/>
              </w:rPr>
              <w:t>568</w:t>
            </w:r>
          </w:p>
        </w:tc>
        <w:tc>
          <w:tcPr>
            <w:tcW w:w="1966" w:type="dxa"/>
            <w:tcBorders>
              <w:bottom w:val="single" w:sz="12" w:space="0" w:color="auto"/>
            </w:tcBorders>
            <w:shd w:val="clear" w:color="auto" w:fill="auto"/>
            <w:vAlign w:val="bottom"/>
          </w:tcPr>
          <w:p w:rsidR="008D6145" w:rsidRPr="00913515" w:rsidRDefault="008D6145">
            <w:pPr>
              <w:suppressAutoHyphens w:val="0"/>
              <w:kinsoku/>
              <w:overflowPunct/>
              <w:autoSpaceDE/>
              <w:autoSpaceDN/>
              <w:adjustRightInd/>
              <w:snapToGrid/>
              <w:spacing w:before="40" w:after="40" w:line="220" w:lineRule="exact"/>
              <w:jc w:val="right"/>
              <w:rPr>
                <w:sz w:val="18"/>
                <w:szCs w:val="28"/>
              </w:rPr>
            </w:pPr>
            <w:r w:rsidRPr="00913515">
              <w:rPr>
                <w:sz w:val="18"/>
                <w:szCs w:val="28"/>
              </w:rPr>
              <w:t>00</w:t>
            </w:r>
          </w:p>
        </w:tc>
        <w:tc>
          <w:tcPr>
            <w:tcW w:w="851" w:type="dxa"/>
            <w:tcBorders>
              <w:bottom w:val="single" w:sz="12" w:space="0" w:color="auto"/>
            </w:tcBorders>
            <w:shd w:val="clear" w:color="auto" w:fill="auto"/>
            <w:vAlign w:val="bottom"/>
          </w:tcPr>
          <w:p w:rsidR="008D6145" w:rsidRPr="00821D2B" w:rsidRDefault="008D6145">
            <w:pPr>
              <w:suppressAutoHyphens w:val="0"/>
              <w:kinsoku/>
              <w:overflowPunct/>
              <w:autoSpaceDE/>
              <w:autoSpaceDN/>
              <w:adjustRightInd/>
              <w:snapToGrid/>
              <w:spacing w:before="40" w:after="40" w:line="220" w:lineRule="exact"/>
              <w:jc w:val="right"/>
              <w:rPr>
                <w:b/>
                <w:bCs/>
                <w:sz w:val="18"/>
                <w:szCs w:val="28"/>
              </w:rPr>
            </w:pPr>
            <w:r w:rsidRPr="00821D2B">
              <w:rPr>
                <w:b/>
                <w:bCs/>
                <w:sz w:val="18"/>
                <w:szCs w:val="28"/>
              </w:rPr>
              <w:t>99</w:t>
            </w:r>
          </w:p>
        </w:tc>
        <w:tc>
          <w:tcPr>
            <w:tcW w:w="851" w:type="dxa"/>
            <w:tcBorders>
              <w:bottom w:val="single" w:sz="12" w:space="0" w:color="auto"/>
            </w:tcBorders>
            <w:shd w:val="clear" w:color="auto" w:fill="auto"/>
            <w:vAlign w:val="bottom"/>
          </w:tcPr>
          <w:p w:rsidR="008D6145" w:rsidRPr="00913515" w:rsidRDefault="008D6145">
            <w:pPr>
              <w:suppressAutoHyphens w:val="0"/>
              <w:kinsoku/>
              <w:overflowPunct/>
              <w:autoSpaceDE/>
              <w:autoSpaceDN/>
              <w:adjustRightInd/>
              <w:snapToGrid/>
              <w:spacing w:before="40" w:after="40" w:line="220" w:lineRule="exact"/>
              <w:jc w:val="right"/>
              <w:rPr>
                <w:sz w:val="18"/>
                <w:szCs w:val="28"/>
              </w:rPr>
            </w:pPr>
            <w:r w:rsidRPr="00913515">
              <w:rPr>
                <w:sz w:val="18"/>
                <w:szCs w:val="28"/>
              </w:rPr>
              <w:t>06</w:t>
            </w:r>
          </w:p>
        </w:tc>
      </w:tr>
    </w:tbl>
    <w:p w:rsidR="008D6145" w:rsidRPr="00821D2B" w:rsidRDefault="008D6145" w:rsidP="00821D2B">
      <w:pPr>
        <w:kinsoku/>
        <w:overflowPunct/>
        <w:autoSpaceDE/>
        <w:autoSpaceDN/>
        <w:adjustRightInd/>
        <w:snapToGrid/>
        <w:spacing w:before="120" w:after="240"/>
        <w:ind w:left="1134" w:right="1134" w:firstLine="170"/>
        <w:rPr>
          <w:rFonts w:eastAsia="Times New Roman"/>
          <w:sz w:val="18"/>
          <w:szCs w:val="18"/>
          <w:lang w:val="fr-FR"/>
        </w:rPr>
      </w:pPr>
      <w:r w:rsidRPr="00821D2B">
        <w:rPr>
          <w:rFonts w:eastAsia="Times New Roman"/>
          <w:i/>
          <w:iCs/>
          <w:sz w:val="18"/>
          <w:szCs w:val="18"/>
          <w:lang w:val="fr-FR"/>
        </w:rPr>
        <w:t>Source</w:t>
      </w:r>
      <w:r w:rsidRPr="00821D2B">
        <w:rPr>
          <w:rFonts w:eastAsia="Times New Roman"/>
          <w:sz w:val="18"/>
          <w:szCs w:val="18"/>
          <w:lang w:val="fr-FR"/>
        </w:rPr>
        <w:t> : CNSS/2016.</w:t>
      </w:r>
    </w:p>
    <w:p w:rsidR="008D6145" w:rsidRPr="00040041" w:rsidRDefault="00821D2B" w:rsidP="00821D2B">
      <w:pPr>
        <w:pStyle w:val="SingleTxtG"/>
        <w:kinsoku/>
        <w:overflowPunct/>
        <w:autoSpaceDE/>
        <w:autoSpaceDN/>
        <w:adjustRightInd/>
        <w:snapToGrid/>
        <w:rPr>
          <w:rFonts w:eastAsia="Times New Roman"/>
        </w:rPr>
      </w:pPr>
      <w:r w:rsidRPr="00040041">
        <w:rPr>
          <w:rFonts w:eastAsia="Times New Roman"/>
        </w:rPr>
        <w:t>39.</w:t>
      </w:r>
      <w:r w:rsidRPr="00040041">
        <w:rPr>
          <w:rFonts w:eastAsia="Times New Roman"/>
        </w:rPr>
        <w:tab/>
      </w:r>
      <w:r w:rsidR="008D6145" w:rsidRPr="00040041">
        <w:rPr>
          <w:rFonts w:eastAsia="Times New Roman"/>
        </w:rPr>
        <w:t xml:space="preserve">Les données relatives aux accidents du travail et aux maladies professionnelles évoluent en dents de scies et sont pour la plupart liées au non-respect des mesures de prévention prescrites. </w:t>
      </w:r>
    </w:p>
    <w:p w:rsidR="008D6145" w:rsidRPr="008D6145" w:rsidRDefault="00821D2B" w:rsidP="00821D2B">
      <w:pPr>
        <w:pStyle w:val="SingleTxtG"/>
        <w:kinsoku/>
        <w:overflowPunct/>
        <w:autoSpaceDE/>
        <w:autoSpaceDN/>
        <w:adjustRightInd/>
        <w:snapToGrid/>
        <w:rPr>
          <w:rFonts w:eastAsia="Times New Roman"/>
          <w:lang w:val="fr-FR"/>
        </w:rPr>
      </w:pPr>
      <w:r w:rsidRPr="008D6145">
        <w:rPr>
          <w:rFonts w:eastAsia="Times New Roman"/>
          <w:lang w:val="fr-FR"/>
        </w:rPr>
        <w:t>40.</w:t>
      </w:r>
      <w:r w:rsidRPr="008D6145">
        <w:rPr>
          <w:rFonts w:eastAsia="Times New Roman"/>
          <w:lang w:val="fr-FR"/>
        </w:rPr>
        <w:tab/>
      </w:r>
      <w:r w:rsidR="008D6145" w:rsidRPr="00040041">
        <w:rPr>
          <w:rFonts w:eastAsia="Times New Roman"/>
        </w:rPr>
        <w:t>L</w:t>
      </w:r>
      <w:r w:rsidR="00A033A7" w:rsidRPr="00040041">
        <w:rPr>
          <w:rFonts w:eastAsia="Times New Roman"/>
        </w:rPr>
        <w:t>’</w:t>
      </w:r>
      <w:r w:rsidR="008D6145" w:rsidRPr="00040041">
        <w:rPr>
          <w:rFonts w:eastAsia="Times New Roman"/>
        </w:rPr>
        <w:t>organisation judiciaire vient d</w:t>
      </w:r>
      <w:r w:rsidR="00A033A7" w:rsidRPr="00040041">
        <w:rPr>
          <w:rFonts w:eastAsia="Times New Roman"/>
        </w:rPr>
        <w:t>’</w:t>
      </w:r>
      <w:r w:rsidR="008D6145" w:rsidRPr="00040041">
        <w:rPr>
          <w:rFonts w:eastAsia="Times New Roman"/>
        </w:rPr>
        <w:t>être renforcée avec la création des juridictions de commerce. En effet, dans le cadre de l</w:t>
      </w:r>
      <w:r w:rsidR="00A033A7" w:rsidRPr="00040041">
        <w:rPr>
          <w:rFonts w:eastAsia="Times New Roman"/>
        </w:rPr>
        <w:t>’</w:t>
      </w:r>
      <w:r w:rsidR="008D6145" w:rsidRPr="00040041">
        <w:rPr>
          <w:rFonts w:eastAsia="Times New Roman"/>
        </w:rPr>
        <w:t>amélioration du climat des affaires au Bénin, le Gouvernement</w:t>
      </w:r>
      <w:r w:rsidR="008D6145" w:rsidRPr="008D6145">
        <w:rPr>
          <w:rFonts w:eastAsia="Times New Roman"/>
          <w:lang w:val="fr-FR"/>
        </w:rPr>
        <w:t xml:space="preserve"> a engagé une réforme de l</w:t>
      </w:r>
      <w:r w:rsidR="00A033A7">
        <w:rPr>
          <w:rFonts w:eastAsia="Times New Roman"/>
          <w:lang w:val="fr-FR"/>
        </w:rPr>
        <w:t>’</w:t>
      </w:r>
      <w:r w:rsidR="008D6145" w:rsidRPr="008D6145">
        <w:rPr>
          <w:rFonts w:eastAsia="Times New Roman"/>
          <w:lang w:val="fr-FR"/>
        </w:rPr>
        <w:t xml:space="preserve">organisation judiciaire en vigueur qui a abouti au vote des lois </w:t>
      </w:r>
      <w:r w:rsidR="00446CD7" w:rsidRPr="006C0894">
        <w:rPr>
          <w:rFonts w:eastAsia="Times New Roman"/>
          <w:bCs/>
          <w:lang w:val="fr-FR"/>
        </w:rPr>
        <w:t>n</w:t>
      </w:r>
      <w:r w:rsidR="00446CD7" w:rsidRPr="006C0894">
        <w:rPr>
          <w:rFonts w:eastAsia="Times New Roman"/>
          <w:bCs/>
          <w:vertAlign w:val="superscript"/>
          <w:lang w:val="fr-FR"/>
        </w:rPr>
        <w:t>o</w:t>
      </w:r>
      <w:r w:rsidR="00446CD7">
        <w:rPr>
          <w:rFonts w:eastAsia="Times New Roman"/>
          <w:bCs/>
          <w:vertAlign w:val="superscript"/>
          <w:lang w:val="fr-FR"/>
        </w:rPr>
        <w:t>s</w:t>
      </w:r>
      <w:r w:rsidR="00446CD7" w:rsidRPr="006C0894">
        <w:rPr>
          <w:rFonts w:eastAsia="Times New Roman"/>
          <w:bCs/>
          <w:lang w:val="fr-FR"/>
        </w:rPr>
        <w:t> </w:t>
      </w:r>
      <w:r w:rsidR="008D6145" w:rsidRPr="008D6145">
        <w:rPr>
          <w:rFonts w:eastAsia="Times New Roman"/>
          <w:lang w:val="fr-FR"/>
        </w:rPr>
        <w:t>2016-15</w:t>
      </w:r>
      <w:r w:rsidR="00AA1D17">
        <w:rPr>
          <w:rFonts w:eastAsia="Times New Roman"/>
          <w:lang w:val="fr-FR"/>
        </w:rPr>
        <w:t xml:space="preserve"> </w:t>
      </w:r>
      <w:r w:rsidR="008D6145" w:rsidRPr="008D6145">
        <w:rPr>
          <w:rFonts w:eastAsia="Times New Roman"/>
          <w:lang w:val="fr-FR"/>
        </w:rPr>
        <w:t xml:space="preserve">et 2016-16 ci-dessus citées. La première, modifiant et complétant la loi </w:t>
      </w:r>
      <w:r w:rsidR="00446CD7" w:rsidRPr="006C0894">
        <w:rPr>
          <w:rFonts w:eastAsia="Times New Roman"/>
          <w:bCs/>
          <w:lang w:val="fr-FR"/>
        </w:rPr>
        <w:t>n</w:t>
      </w:r>
      <w:r w:rsidR="00446CD7" w:rsidRPr="006C0894">
        <w:rPr>
          <w:rFonts w:eastAsia="Times New Roman"/>
          <w:bCs/>
          <w:vertAlign w:val="superscript"/>
          <w:lang w:val="fr-FR"/>
        </w:rPr>
        <w:t>o</w:t>
      </w:r>
      <w:r w:rsidR="00446CD7" w:rsidRPr="006C0894">
        <w:rPr>
          <w:rFonts w:eastAsia="Times New Roman"/>
          <w:bCs/>
          <w:lang w:val="fr-FR"/>
        </w:rPr>
        <w:t> </w:t>
      </w:r>
      <w:r w:rsidR="008D6145" w:rsidRPr="008D6145">
        <w:rPr>
          <w:rFonts w:eastAsia="Times New Roman"/>
          <w:lang w:val="fr-FR"/>
        </w:rPr>
        <w:t>2011-37 du 27 août 2002 portant organisation judiciaire en République du Bénin ; la seconde, modifiant et complétant la loi</w:t>
      </w:r>
      <w:r w:rsidR="000B490E">
        <w:rPr>
          <w:rFonts w:eastAsia="Times New Roman"/>
          <w:lang w:val="fr-FR"/>
        </w:rPr>
        <w:t xml:space="preserve"> </w:t>
      </w:r>
      <w:r w:rsidR="00446CD7" w:rsidRPr="006C0894">
        <w:rPr>
          <w:rFonts w:eastAsia="Times New Roman"/>
          <w:bCs/>
          <w:lang w:val="fr-FR"/>
        </w:rPr>
        <w:t>n</w:t>
      </w:r>
      <w:r w:rsidR="00446CD7" w:rsidRPr="006C0894">
        <w:rPr>
          <w:rFonts w:eastAsia="Times New Roman"/>
          <w:bCs/>
          <w:vertAlign w:val="superscript"/>
          <w:lang w:val="fr-FR"/>
        </w:rPr>
        <w:t>o</w:t>
      </w:r>
      <w:r w:rsidR="00446CD7" w:rsidRPr="006C0894">
        <w:rPr>
          <w:rFonts w:eastAsia="Times New Roman"/>
          <w:bCs/>
          <w:lang w:val="fr-FR"/>
        </w:rPr>
        <w:t> </w:t>
      </w:r>
      <w:r w:rsidR="008D6145" w:rsidRPr="008D6145">
        <w:rPr>
          <w:rFonts w:eastAsia="Times New Roman"/>
          <w:lang w:val="fr-FR"/>
        </w:rPr>
        <w:t>2008-07 du 28 février 2011 portant Code de procédure civile, commerciale, sociale, administrative et des comptes. Les tribunaux et cours de commerce auront pour tâches de connaître des litiges commerciaux qui relevaient précédemment de la compétence des tribunaux de droit commun. Cette mesure a pour finalité de désengorger les tribunaux de droit commun et de garantir le traitement diligent des affaires commerciales.</w:t>
      </w:r>
    </w:p>
    <w:p w:rsidR="008D6145" w:rsidRPr="008D6145" w:rsidRDefault="008D6145" w:rsidP="00821D2B">
      <w:pPr>
        <w:pStyle w:val="H1G"/>
        <w:rPr>
          <w:lang w:val="fr-FR"/>
        </w:rPr>
      </w:pPr>
      <w:r w:rsidRPr="008D6145">
        <w:rPr>
          <w:lang w:val="fr-FR"/>
        </w:rPr>
        <w:tab/>
        <w:t>C.</w:t>
      </w:r>
      <w:r w:rsidRPr="008D6145">
        <w:rPr>
          <w:lang w:val="fr-FR"/>
        </w:rPr>
        <w:tab/>
        <w:t xml:space="preserve">Article 8 </w:t>
      </w:r>
      <w:r w:rsidR="00562DEC">
        <w:rPr>
          <w:lang w:val="fr-FR"/>
        </w:rPr>
        <w:t>–</w:t>
      </w:r>
      <w:r w:rsidRPr="008D6145">
        <w:rPr>
          <w:lang w:val="fr-FR"/>
        </w:rPr>
        <w:t xml:space="preserve"> Droits syndicaux </w:t>
      </w:r>
    </w:p>
    <w:p w:rsidR="008D6145" w:rsidRPr="00040041" w:rsidRDefault="00821D2B" w:rsidP="00821D2B">
      <w:pPr>
        <w:pStyle w:val="SingleTxtG"/>
        <w:kinsoku/>
        <w:overflowPunct/>
        <w:autoSpaceDE/>
        <w:autoSpaceDN/>
        <w:adjustRightInd/>
        <w:snapToGrid/>
        <w:rPr>
          <w:rFonts w:eastAsia="Times New Roman"/>
        </w:rPr>
      </w:pPr>
      <w:r w:rsidRPr="00040041">
        <w:rPr>
          <w:rFonts w:eastAsia="Times New Roman"/>
        </w:rPr>
        <w:t>41.</w:t>
      </w:r>
      <w:r w:rsidRPr="00040041">
        <w:rPr>
          <w:rFonts w:eastAsia="Times New Roman"/>
        </w:rPr>
        <w:tab/>
      </w:r>
      <w:r w:rsidR="008D6145" w:rsidRPr="00040041">
        <w:rPr>
          <w:rFonts w:eastAsia="Times New Roman"/>
        </w:rPr>
        <w:t>Les droits syndicaux s</w:t>
      </w:r>
      <w:r w:rsidR="00A033A7" w:rsidRPr="00040041">
        <w:rPr>
          <w:rFonts w:eastAsia="Times New Roman"/>
        </w:rPr>
        <w:t>’</w:t>
      </w:r>
      <w:r w:rsidR="008D6145" w:rsidRPr="00040041">
        <w:rPr>
          <w:rFonts w:eastAsia="Times New Roman"/>
        </w:rPr>
        <w:t xml:space="preserve">exercent librement dans le respect de la réglementation en vigueur. </w:t>
      </w:r>
    </w:p>
    <w:p w:rsidR="008D6145" w:rsidRPr="00040041" w:rsidRDefault="00821D2B" w:rsidP="00821D2B">
      <w:pPr>
        <w:pStyle w:val="SingleTxtG"/>
        <w:kinsoku/>
        <w:overflowPunct/>
        <w:autoSpaceDE/>
        <w:autoSpaceDN/>
        <w:adjustRightInd/>
        <w:snapToGrid/>
        <w:rPr>
          <w:rFonts w:eastAsia="Times New Roman"/>
        </w:rPr>
      </w:pPr>
      <w:r w:rsidRPr="00040041">
        <w:rPr>
          <w:rFonts w:eastAsia="Times New Roman"/>
        </w:rPr>
        <w:t>42.</w:t>
      </w:r>
      <w:r w:rsidRPr="00040041">
        <w:rPr>
          <w:rFonts w:eastAsia="Times New Roman"/>
        </w:rPr>
        <w:tab/>
      </w:r>
      <w:r w:rsidR="008D6145" w:rsidRPr="00040041">
        <w:rPr>
          <w:rFonts w:eastAsia="Times New Roman"/>
        </w:rPr>
        <w:t>Un cadre national du dialogue social a été mis en place à travers la signature le 3 ao</w:t>
      </w:r>
      <w:r w:rsidR="00446CD7">
        <w:rPr>
          <w:rFonts w:eastAsia="Times New Roman"/>
        </w:rPr>
        <w:t>û</w:t>
      </w:r>
      <w:r w:rsidR="008D6145" w:rsidRPr="00040041">
        <w:rPr>
          <w:rFonts w:eastAsia="Times New Roman"/>
        </w:rPr>
        <w:t>t 2016 d</w:t>
      </w:r>
      <w:r w:rsidR="00A033A7" w:rsidRPr="00040041">
        <w:rPr>
          <w:rFonts w:eastAsia="Times New Roman"/>
        </w:rPr>
        <w:t>’</w:t>
      </w:r>
      <w:r w:rsidR="008D6145" w:rsidRPr="00040041">
        <w:rPr>
          <w:rFonts w:eastAsia="Times New Roman"/>
        </w:rPr>
        <w:t>une Charte nationale du dialogue social conjointement signée par le Gouvernement, le Conseil National du Patronat et les centrales syndicales.</w:t>
      </w:r>
    </w:p>
    <w:p w:rsidR="008D6145" w:rsidRPr="00040041" w:rsidRDefault="00821D2B" w:rsidP="00821D2B">
      <w:pPr>
        <w:pStyle w:val="SingleTxtG"/>
        <w:kinsoku/>
        <w:overflowPunct/>
        <w:autoSpaceDE/>
        <w:autoSpaceDN/>
        <w:adjustRightInd/>
        <w:snapToGrid/>
        <w:rPr>
          <w:rFonts w:eastAsia="Times New Roman"/>
        </w:rPr>
      </w:pPr>
      <w:r w:rsidRPr="00040041">
        <w:rPr>
          <w:rFonts w:eastAsia="Times New Roman"/>
        </w:rPr>
        <w:t>43.</w:t>
      </w:r>
      <w:r w:rsidRPr="00040041">
        <w:rPr>
          <w:rFonts w:eastAsia="Times New Roman"/>
        </w:rPr>
        <w:tab/>
      </w:r>
      <w:r w:rsidR="008D6145" w:rsidRPr="00040041">
        <w:rPr>
          <w:rFonts w:eastAsia="Times New Roman"/>
        </w:rPr>
        <w:t>Cet instrument vise entre autres, la prévention et la gestion des conflits sociaux dans le respect des lois, règlements et conventions collectives, le renforcement du processus démocratique ainsi que la promotion de la bonne gouvernance au sein des administrations publique et privée.</w:t>
      </w:r>
    </w:p>
    <w:p w:rsidR="008D6145" w:rsidRPr="008D6145" w:rsidRDefault="00821D2B" w:rsidP="00821D2B">
      <w:pPr>
        <w:pStyle w:val="SingleTxtG"/>
        <w:kinsoku/>
        <w:overflowPunct/>
        <w:autoSpaceDE/>
        <w:autoSpaceDN/>
        <w:adjustRightInd/>
        <w:snapToGrid/>
        <w:rPr>
          <w:rFonts w:eastAsia="Times New Roman"/>
          <w:lang w:val="fr-FR"/>
        </w:rPr>
      </w:pPr>
      <w:r w:rsidRPr="008D6145">
        <w:rPr>
          <w:rFonts w:eastAsia="Times New Roman"/>
          <w:lang w:val="fr-FR"/>
        </w:rPr>
        <w:t>44.</w:t>
      </w:r>
      <w:r w:rsidRPr="008D6145">
        <w:rPr>
          <w:rFonts w:eastAsia="Times New Roman"/>
          <w:lang w:val="fr-FR"/>
        </w:rPr>
        <w:tab/>
      </w:r>
      <w:r w:rsidR="008D6145" w:rsidRPr="008D6145">
        <w:rPr>
          <w:rFonts w:eastAsia="Times New Roman"/>
          <w:lang w:val="fr-FR"/>
        </w:rPr>
        <w:t xml:space="preserve">Par ailleurs, il est créé au niveau de chaque Ministère, un comité sectoriel de dialogue social. </w:t>
      </w:r>
    </w:p>
    <w:p w:rsidR="008D6145" w:rsidRPr="008D6145" w:rsidRDefault="008D6145" w:rsidP="00821D2B">
      <w:pPr>
        <w:pStyle w:val="H1G"/>
        <w:rPr>
          <w:lang w:val="fr-FR"/>
        </w:rPr>
      </w:pPr>
      <w:r w:rsidRPr="008D6145">
        <w:rPr>
          <w:lang w:val="fr-FR"/>
        </w:rPr>
        <w:tab/>
        <w:t>D.</w:t>
      </w:r>
      <w:r w:rsidRPr="008D6145">
        <w:rPr>
          <w:lang w:val="fr-FR"/>
        </w:rPr>
        <w:tab/>
        <w:t xml:space="preserve">Article 9 </w:t>
      </w:r>
      <w:r w:rsidR="00446CD7">
        <w:rPr>
          <w:lang w:val="fr-FR"/>
        </w:rPr>
        <w:t>–</w:t>
      </w:r>
      <w:r w:rsidRPr="008D6145">
        <w:rPr>
          <w:lang w:val="fr-FR"/>
        </w:rPr>
        <w:t xml:space="preserve"> Droit à la sécurité sociale</w:t>
      </w:r>
    </w:p>
    <w:p w:rsidR="008D6145" w:rsidRPr="008D6145" w:rsidRDefault="00821D2B" w:rsidP="00821D2B">
      <w:pPr>
        <w:pStyle w:val="SingleTxtG"/>
        <w:kinsoku/>
        <w:overflowPunct/>
        <w:autoSpaceDE/>
        <w:autoSpaceDN/>
        <w:adjustRightInd/>
        <w:snapToGrid/>
        <w:rPr>
          <w:rFonts w:eastAsia="Times New Roman"/>
          <w:lang w:val="fr-FR"/>
        </w:rPr>
      </w:pPr>
      <w:r w:rsidRPr="008D6145">
        <w:rPr>
          <w:rFonts w:eastAsia="Times New Roman"/>
          <w:lang w:val="fr-FR"/>
        </w:rPr>
        <w:t>45.</w:t>
      </w:r>
      <w:r w:rsidRPr="008D6145">
        <w:rPr>
          <w:rFonts w:eastAsia="Times New Roman"/>
          <w:lang w:val="fr-FR"/>
        </w:rPr>
        <w:tab/>
      </w:r>
      <w:r w:rsidR="008D6145" w:rsidRPr="008D6145">
        <w:rPr>
          <w:rFonts w:eastAsia="Times New Roman"/>
          <w:lang w:val="fr-FR"/>
        </w:rPr>
        <w:t>Le 21 mars 2003, le Bénin s</w:t>
      </w:r>
      <w:r w:rsidR="00A033A7">
        <w:rPr>
          <w:rFonts w:eastAsia="Times New Roman"/>
          <w:lang w:val="fr-FR"/>
        </w:rPr>
        <w:t>’</w:t>
      </w:r>
      <w:r w:rsidR="008D6145" w:rsidRPr="008D6145">
        <w:rPr>
          <w:rFonts w:eastAsia="Times New Roman"/>
          <w:lang w:val="fr-FR"/>
        </w:rPr>
        <w:t xml:space="preserve">est doté de la loi </w:t>
      </w:r>
      <w:r w:rsidR="00F94268" w:rsidRPr="006C0894">
        <w:rPr>
          <w:rFonts w:eastAsia="Times New Roman"/>
          <w:bCs/>
          <w:lang w:val="fr-FR"/>
        </w:rPr>
        <w:t>n</w:t>
      </w:r>
      <w:r w:rsidR="00F94268" w:rsidRPr="006C0894">
        <w:rPr>
          <w:rFonts w:eastAsia="Times New Roman"/>
          <w:bCs/>
          <w:vertAlign w:val="superscript"/>
          <w:lang w:val="fr-FR"/>
        </w:rPr>
        <w:t>o</w:t>
      </w:r>
      <w:r w:rsidR="00F94268" w:rsidRPr="006C0894">
        <w:rPr>
          <w:rFonts w:eastAsia="Times New Roman"/>
          <w:bCs/>
          <w:lang w:val="fr-FR"/>
        </w:rPr>
        <w:t> </w:t>
      </w:r>
      <w:r w:rsidR="008D6145" w:rsidRPr="008D6145">
        <w:rPr>
          <w:rFonts w:eastAsia="Times New Roman"/>
          <w:lang w:val="fr-FR"/>
        </w:rPr>
        <w:t>98-019 du 21 mars 2003 portant code de sécurité sociale. Tel qu</w:t>
      </w:r>
      <w:r w:rsidR="00A033A7">
        <w:rPr>
          <w:rFonts w:eastAsia="Times New Roman"/>
          <w:lang w:val="fr-FR"/>
        </w:rPr>
        <w:t>’</w:t>
      </w:r>
      <w:r w:rsidR="008D6145" w:rsidRPr="008D6145">
        <w:rPr>
          <w:rFonts w:eastAsia="Times New Roman"/>
          <w:lang w:val="fr-FR"/>
        </w:rPr>
        <w:t>il a été mentionné dans le deuxième rapport, le système de sécurité sociale est géré par la CNSS et concilie la notion de sécurité à la qualité de travailleur (salarié ou non). Cependant, avec les deux lois modificatives de cette dernière, une amélioration des conditions de l</w:t>
      </w:r>
      <w:r w:rsidR="00A033A7">
        <w:rPr>
          <w:rFonts w:eastAsia="Times New Roman"/>
          <w:lang w:val="fr-FR"/>
        </w:rPr>
        <w:t>’</w:t>
      </w:r>
      <w:r w:rsidR="008D6145" w:rsidRPr="008D6145">
        <w:rPr>
          <w:rFonts w:eastAsia="Times New Roman"/>
          <w:lang w:val="fr-FR"/>
        </w:rPr>
        <w:t>assuré est observée. S</w:t>
      </w:r>
      <w:r w:rsidR="00A033A7">
        <w:rPr>
          <w:rFonts w:eastAsia="Times New Roman"/>
          <w:lang w:val="fr-FR"/>
        </w:rPr>
        <w:t>’</w:t>
      </w:r>
      <w:r w:rsidR="008D6145" w:rsidRPr="008D6145">
        <w:rPr>
          <w:rFonts w:eastAsia="Times New Roman"/>
          <w:lang w:val="fr-FR"/>
        </w:rPr>
        <w:t>agissant des lois modificatives, on a :</w:t>
      </w:r>
    </w:p>
    <w:p w:rsidR="008D6145" w:rsidRPr="008D6145" w:rsidRDefault="00821D2B" w:rsidP="00821D2B">
      <w:pPr>
        <w:pStyle w:val="Bullet1G"/>
        <w:numPr>
          <w:ilvl w:val="0"/>
          <w:numId w:val="0"/>
        </w:numPr>
        <w:tabs>
          <w:tab w:val="left" w:pos="1701"/>
        </w:tabs>
        <w:ind w:left="1701" w:hanging="170"/>
        <w:rPr>
          <w:lang w:val="fr-FR"/>
        </w:rPr>
      </w:pPr>
      <w:r w:rsidRPr="008D6145">
        <w:rPr>
          <w:lang w:val="fr-FR"/>
        </w:rPr>
        <w:lastRenderedPageBreak/>
        <w:t>•</w:t>
      </w:r>
      <w:r w:rsidRPr="008D6145">
        <w:rPr>
          <w:lang w:val="fr-FR"/>
        </w:rPr>
        <w:tab/>
      </w:r>
      <w:r w:rsidR="008D6145" w:rsidRPr="008D6145">
        <w:rPr>
          <w:lang w:val="fr-FR"/>
        </w:rPr>
        <w:t xml:space="preserve">La loi </w:t>
      </w:r>
      <w:r w:rsidR="00F94268" w:rsidRPr="006C0894">
        <w:rPr>
          <w:rFonts w:eastAsia="Times New Roman"/>
          <w:bCs/>
          <w:lang w:val="fr-FR"/>
        </w:rPr>
        <w:t>n</w:t>
      </w:r>
      <w:r w:rsidR="00F94268" w:rsidRPr="006C0894">
        <w:rPr>
          <w:rFonts w:eastAsia="Times New Roman"/>
          <w:bCs/>
          <w:vertAlign w:val="superscript"/>
          <w:lang w:val="fr-FR"/>
        </w:rPr>
        <w:t>o</w:t>
      </w:r>
      <w:r w:rsidR="00F94268" w:rsidRPr="006C0894">
        <w:rPr>
          <w:rFonts w:eastAsia="Times New Roman"/>
          <w:bCs/>
          <w:lang w:val="fr-FR"/>
        </w:rPr>
        <w:t> </w:t>
      </w:r>
      <w:r w:rsidR="008D6145" w:rsidRPr="008D6145">
        <w:rPr>
          <w:lang w:val="fr-FR"/>
        </w:rPr>
        <w:t xml:space="preserve">2007-02 du 26 mars 2007 portant modification des dispositions des articles 10, 89, 93, 94, 95, 95 et 101 de la loi </w:t>
      </w:r>
      <w:r w:rsidR="00F94268" w:rsidRPr="006C0894">
        <w:rPr>
          <w:rFonts w:eastAsia="Times New Roman"/>
          <w:bCs/>
          <w:lang w:val="fr-FR"/>
        </w:rPr>
        <w:t>n</w:t>
      </w:r>
      <w:r w:rsidR="00F94268" w:rsidRPr="006C0894">
        <w:rPr>
          <w:rFonts w:eastAsia="Times New Roman"/>
          <w:bCs/>
          <w:vertAlign w:val="superscript"/>
          <w:lang w:val="fr-FR"/>
        </w:rPr>
        <w:t>o</w:t>
      </w:r>
      <w:r w:rsidR="00F94268" w:rsidRPr="006C0894">
        <w:rPr>
          <w:rFonts w:eastAsia="Times New Roman"/>
          <w:bCs/>
          <w:lang w:val="fr-FR"/>
        </w:rPr>
        <w:t> </w:t>
      </w:r>
      <w:r w:rsidR="008D6145" w:rsidRPr="008D6145">
        <w:rPr>
          <w:lang w:val="fr-FR"/>
        </w:rPr>
        <w:t>98-019 du 21 mars 2003 portant code de sécurité sociale ;</w:t>
      </w:r>
    </w:p>
    <w:p w:rsidR="008D6145" w:rsidRPr="008D6145" w:rsidRDefault="00821D2B" w:rsidP="00821D2B">
      <w:pPr>
        <w:pStyle w:val="Bullet1G"/>
        <w:numPr>
          <w:ilvl w:val="0"/>
          <w:numId w:val="0"/>
        </w:numPr>
        <w:tabs>
          <w:tab w:val="left" w:pos="1701"/>
        </w:tabs>
        <w:ind w:left="1701" w:hanging="170"/>
        <w:rPr>
          <w:lang w:val="fr-FR"/>
        </w:rPr>
      </w:pPr>
      <w:r w:rsidRPr="008D6145">
        <w:rPr>
          <w:lang w:val="fr-FR"/>
        </w:rPr>
        <w:t>•</w:t>
      </w:r>
      <w:r w:rsidRPr="008D6145">
        <w:rPr>
          <w:lang w:val="fr-FR"/>
        </w:rPr>
        <w:tab/>
      </w:r>
      <w:r w:rsidR="008D6145" w:rsidRPr="008D6145">
        <w:rPr>
          <w:lang w:val="fr-FR"/>
        </w:rPr>
        <w:t xml:space="preserve">La loi </w:t>
      </w:r>
      <w:r w:rsidR="00F94268" w:rsidRPr="006C0894">
        <w:rPr>
          <w:rFonts w:eastAsia="Times New Roman"/>
          <w:bCs/>
          <w:lang w:val="fr-FR"/>
        </w:rPr>
        <w:t>n</w:t>
      </w:r>
      <w:r w:rsidR="00F94268" w:rsidRPr="006C0894">
        <w:rPr>
          <w:rFonts w:eastAsia="Times New Roman"/>
          <w:bCs/>
          <w:vertAlign w:val="superscript"/>
          <w:lang w:val="fr-FR"/>
        </w:rPr>
        <w:t>o</w:t>
      </w:r>
      <w:r w:rsidR="00F94268" w:rsidRPr="006C0894">
        <w:rPr>
          <w:rFonts w:eastAsia="Times New Roman"/>
          <w:bCs/>
          <w:lang w:val="fr-FR"/>
        </w:rPr>
        <w:t> </w:t>
      </w:r>
      <w:r w:rsidR="008D6145" w:rsidRPr="008D6145">
        <w:rPr>
          <w:lang w:val="fr-FR"/>
        </w:rPr>
        <w:t xml:space="preserve">2010-10 du 22 mars 2010 modifiant et complétant les dispositions des articles 93 et 146 de la loi </w:t>
      </w:r>
      <w:r w:rsidR="00F94268" w:rsidRPr="006C0894">
        <w:rPr>
          <w:rFonts w:eastAsia="Times New Roman"/>
          <w:bCs/>
          <w:lang w:val="fr-FR"/>
        </w:rPr>
        <w:t>n</w:t>
      </w:r>
      <w:r w:rsidR="00F94268" w:rsidRPr="006C0894">
        <w:rPr>
          <w:rFonts w:eastAsia="Times New Roman"/>
          <w:bCs/>
          <w:vertAlign w:val="superscript"/>
          <w:lang w:val="fr-FR"/>
        </w:rPr>
        <w:t>o</w:t>
      </w:r>
      <w:r w:rsidR="00F94268" w:rsidRPr="006C0894">
        <w:rPr>
          <w:rFonts w:eastAsia="Times New Roman"/>
          <w:bCs/>
          <w:lang w:val="fr-FR"/>
        </w:rPr>
        <w:t> </w:t>
      </w:r>
      <w:r w:rsidR="008D6145" w:rsidRPr="008D6145">
        <w:rPr>
          <w:lang w:val="fr-FR"/>
        </w:rPr>
        <w:t>98-019 du 21 mars 2003 portant code de sécurité sociale en République du Bénin.</w:t>
      </w:r>
    </w:p>
    <w:p w:rsidR="008D6145" w:rsidRPr="008D6145" w:rsidRDefault="00821D2B" w:rsidP="00821D2B">
      <w:pPr>
        <w:pStyle w:val="SingleTxtG"/>
        <w:kinsoku/>
        <w:overflowPunct/>
        <w:autoSpaceDE/>
        <w:autoSpaceDN/>
        <w:adjustRightInd/>
        <w:snapToGrid/>
        <w:rPr>
          <w:rFonts w:eastAsia="Times New Roman"/>
          <w:lang w:val="fr-FR"/>
        </w:rPr>
      </w:pPr>
      <w:r w:rsidRPr="008D6145">
        <w:rPr>
          <w:rFonts w:eastAsia="Times New Roman"/>
          <w:lang w:val="fr-FR"/>
        </w:rPr>
        <w:t>46.</w:t>
      </w:r>
      <w:r w:rsidRPr="008D6145">
        <w:rPr>
          <w:rFonts w:eastAsia="Times New Roman"/>
          <w:lang w:val="fr-FR"/>
        </w:rPr>
        <w:tab/>
      </w:r>
      <w:r w:rsidR="008D6145" w:rsidRPr="008D6145">
        <w:rPr>
          <w:rFonts w:eastAsia="Times New Roman"/>
          <w:lang w:val="fr-FR"/>
        </w:rPr>
        <w:t>Selon l</w:t>
      </w:r>
      <w:r w:rsidR="00A033A7">
        <w:rPr>
          <w:rFonts w:eastAsia="Times New Roman"/>
          <w:lang w:val="fr-FR"/>
        </w:rPr>
        <w:t>’</w:t>
      </w:r>
      <w:r w:rsidR="001F0578">
        <w:rPr>
          <w:rFonts w:eastAsia="Times New Roman"/>
          <w:lang w:val="fr-FR"/>
        </w:rPr>
        <w:t>article 93.1.</w:t>
      </w:r>
      <w:r w:rsidR="008D6145" w:rsidRPr="008D6145">
        <w:rPr>
          <w:rFonts w:eastAsia="Times New Roman"/>
          <w:lang w:val="fr-FR"/>
        </w:rPr>
        <w:t>nouveau, l</w:t>
      </w:r>
      <w:r w:rsidR="00A033A7">
        <w:rPr>
          <w:rFonts w:eastAsia="Times New Roman"/>
          <w:lang w:val="fr-FR"/>
        </w:rPr>
        <w:t>’</w:t>
      </w:r>
      <w:r w:rsidR="008D6145" w:rsidRPr="008D6145">
        <w:rPr>
          <w:rFonts w:eastAsia="Times New Roman"/>
          <w:lang w:val="fr-FR"/>
        </w:rPr>
        <w:t>assuré qui atteint l</w:t>
      </w:r>
      <w:r w:rsidR="00A033A7">
        <w:rPr>
          <w:rFonts w:eastAsia="Times New Roman"/>
          <w:lang w:val="fr-FR"/>
        </w:rPr>
        <w:t>’</w:t>
      </w:r>
      <w:r w:rsidR="008D6145" w:rsidRPr="008D6145">
        <w:rPr>
          <w:rFonts w:eastAsia="Times New Roman"/>
          <w:lang w:val="fr-FR"/>
        </w:rPr>
        <w:t>âge de 60 ans a droit à une pension de vieillesse s</w:t>
      </w:r>
      <w:r w:rsidR="00A033A7">
        <w:rPr>
          <w:rFonts w:eastAsia="Times New Roman"/>
          <w:lang w:val="fr-FR"/>
        </w:rPr>
        <w:t>’</w:t>
      </w:r>
      <w:r w:rsidR="008D6145" w:rsidRPr="008D6145">
        <w:rPr>
          <w:rFonts w:eastAsia="Times New Roman"/>
          <w:lang w:val="fr-FR"/>
        </w:rPr>
        <w:t>il totalise au moins 180 mois d</w:t>
      </w:r>
      <w:r w:rsidR="00A033A7">
        <w:rPr>
          <w:rFonts w:eastAsia="Times New Roman"/>
          <w:lang w:val="fr-FR"/>
        </w:rPr>
        <w:t>’</w:t>
      </w:r>
      <w:r w:rsidR="008D6145" w:rsidRPr="008D6145">
        <w:rPr>
          <w:rFonts w:eastAsia="Times New Roman"/>
          <w:lang w:val="fr-FR"/>
        </w:rPr>
        <w:t>assurance effective à la caisse et s</w:t>
      </w:r>
      <w:r w:rsidR="00A033A7">
        <w:rPr>
          <w:rFonts w:eastAsia="Times New Roman"/>
          <w:lang w:val="fr-FR"/>
        </w:rPr>
        <w:t>’</w:t>
      </w:r>
      <w:r w:rsidR="008D6145" w:rsidRPr="008D6145">
        <w:rPr>
          <w:rFonts w:eastAsia="Times New Roman"/>
          <w:lang w:val="fr-FR"/>
        </w:rPr>
        <w:t>il a cessé toute activité salariée. D</w:t>
      </w:r>
      <w:r w:rsidR="00A033A7">
        <w:rPr>
          <w:rFonts w:eastAsia="Times New Roman"/>
          <w:lang w:val="fr-FR"/>
        </w:rPr>
        <w:t>’</w:t>
      </w:r>
      <w:r w:rsidR="008D6145" w:rsidRPr="008D6145">
        <w:rPr>
          <w:rFonts w:eastAsia="Times New Roman"/>
          <w:lang w:val="fr-FR"/>
        </w:rPr>
        <w:t>après l</w:t>
      </w:r>
      <w:r w:rsidR="00A033A7">
        <w:rPr>
          <w:rFonts w:eastAsia="Times New Roman"/>
          <w:lang w:val="fr-FR"/>
        </w:rPr>
        <w:t>’</w:t>
      </w:r>
      <w:r w:rsidR="008D6145" w:rsidRPr="008D6145">
        <w:rPr>
          <w:rFonts w:eastAsia="Times New Roman"/>
          <w:lang w:val="fr-FR"/>
        </w:rPr>
        <w:t>article 93.2., l</w:t>
      </w:r>
      <w:r w:rsidR="00A033A7">
        <w:rPr>
          <w:rFonts w:eastAsia="Times New Roman"/>
          <w:lang w:val="fr-FR"/>
        </w:rPr>
        <w:t>’</w:t>
      </w:r>
      <w:r w:rsidR="008D6145" w:rsidRPr="008D6145">
        <w:rPr>
          <w:rFonts w:eastAsia="Times New Roman"/>
          <w:lang w:val="fr-FR"/>
        </w:rPr>
        <w:t>assuré qui a accompli au moins 12 mois d</w:t>
      </w:r>
      <w:r w:rsidR="00A033A7">
        <w:rPr>
          <w:rFonts w:eastAsia="Times New Roman"/>
          <w:lang w:val="fr-FR"/>
        </w:rPr>
        <w:t>’</w:t>
      </w:r>
      <w:r w:rsidR="008D6145" w:rsidRPr="008D6145">
        <w:rPr>
          <w:rFonts w:eastAsia="Times New Roman"/>
          <w:lang w:val="fr-FR"/>
        </w:rPr>
        <w:t>assurance et qui, ayant atteint l</w:t>
      </w:r>
      <w:r w:rsidR="00A033A7">
        <w:rPr>
          <w:rFonts w:eastAsia="Times New Roman"/>
          <w:lang w:val="fr-FR"/>
        </w:rPr>
        <w:t>’</w:t>
      </w:r>
      <w:r w:rsidR="008D6145" w:rsidRPr="008D6145">
        <w:rPr>
          <w:rFonts w:eastAsia="Times New Roman"/>
          <w:lang w:val="fr-FR"/>
        </w:rPr>
        <w:t>âge de 60 ans cesse toute activité salariée alors qu</w:t>
      </w:r>
      <w:r w:rsidR="00A033A7">
        <w:rPr>
          <w:rFonts w:eastAsia="Times New Roman"/>
          <w:lang w:val="fr-FR"/>
        </w:rPr>
        <w:t>’</w:t>
      </w:r>
      <w:r w:rsidR="008D6145" w:rsidRPr="008D6145">
        <w:rPr>
          <w:rFonts w:eastAsia="Times New Roman"/>
          <w:lang w:val="fr-FR"/>
        </w:rPr>
        <w:t>il ne satisfait pas aux conditions requises pour avoir droit à une pension de vieillesse, reçoit une allocation de vieillesse sous forme d</w:t>
      </w:r>
      <w:r w:rsidR="00A033A7">
        <w:rPr>
          <w:rFonts w:eastAsia="Times New Roman"/>
          <w:lang w:val="fr-FR"/>
        </w:rPr>
        <w:t>’</w:t>
      </w:r>
      <w:r w:rsidR="008D6145" w:rsidRPr="008D6145">
        <w:rPr>
          <w:rFonts w:eastAsia="Times New Roman"/>
          <w:lang w:val="fr-FR"/>
        </w:rPr>
        <w:t>un versement unique. Selon l</w:t>
      </w:r>
      <w:r w:rsidR="00A033A7">
        <w:rPr>
          <w:rFonts w:eastAsia="Times New Roman"/>
          <w:lang w:val="fr-FR"/>
        </w:rPr>
        <w:t>’</w:t>
      </w:r>
      <w:r w:rsidR="008D6145" w:rsidRPr="008D6145">
        <w:rPr>
          <w:rFonts w:eastAsia="Times New Roman"/>
          <w:lang w:val="fr-FR"/>
        </w:rPr>
        <w:t>article 94 nouveau :</w:t>
      </w:r>
    </w:p>
    <w:p w:rsidR="008D6145" w:rsidRPr="008D6145" w:rsidRDefault="00821D2B" w:rsidP="00821D2B">
      <w:pPr>
        <w:pStyle w:val="Bullet1G"/>
        <w:numPr>
          <w:ilvl w:val="0"/>
          <w:numId w:val="0"/>
        </w:numPr>
        <w:tabs>
          <w:tab w:val="left" w:pos="1701"/>
        </w:tabs>
        <w:ind w:left="1701" w:hanging="170"/>
        <w:rPr>
          <w:lang w:val="fr-FR"/>
        </w:rPr>
      </w:pPr>
      <w:r w:rsidRPr="008D6145">
        <w:rPr>
          <w:lang w:val="fr-FR"/>
        </w:rPr>
        <w:t>•</w:t>
      </w:r>
      <w:r w:rsidRPr="008D6145">
        <w:rPr>
          <w:lang w:val="fr-FR"/>
        </w:rPr>
        <w:tab/>
      </w:r>
      <w:r w:rsidR="008D6145" w:rsidRPr="008D6145">
        <w:rPr>
          <w:lang w:val="fr-FR"/>
        </w:rPr>
        <w:t>1</w:t>
      </w:r>
      <w:r w:rsidR="008D6145" w:rsidRPr="008D6145">
        <w:rPr>
          <w:vertAlign w:val="superscript"/>
          <w:lang w:val="fr-FR"/>
        </w:rPr>
        <w:t>er</w:t>
      </w:r>
      <w:r w:rsidR="008D6145" w:rsidRPr="008D6145">
        <w:rPr>
          <w:lang w:val="fr-FR"/>
        </w:rPr>
        <w:t xml:space="preserve"> alinéa : l</w:t>
      </w:r>
      <w:r w:rsidR="00A033A7">
        <w:rPr>
          <w:lang w:val="fr-FR"/>
        </w:rPr>
        <w:t>’</w:t>
      </w:r>
      <w:r w:rsidR="008D6145" w:rsidRPr="008D6145">
        <w:rPr>
          <w:lang w:val="fr-FR"/>
        </w:rPr>
        <w:t>assuré en activité qui devient invalide avant d</w:t>
      </w:r>
      <w:r w:rsidR="00A033A7">
        <w:rPr>
          <w:lang w:val="fr-FR"/>
        </w:rPr>
        <w:t>’</w:t>
      </w:r>
      <w:r w:rsidR="008D6145" w:rsidRPr="008D6145">
        <w:rPr>
          <w:lang w:val="fr-FR"/>
        </w:rPr>
        <w:t>atteindre l</w:t>
      </w:r>
      <w:r w:rsidR="00A033A7">
        <w:rPr>
          <w:lang w:val="fr-FR"/>
        </w:rPr>
        <w:t>’</w:t>
      </w:r>
      <w:r w:rsidR="008D6145" w:rsidRPr="008D6145">
        <w:rPr>
          <w:lang w:val="fr-FR"/>
        </w:rPr>
        <w:t>âge de 60 ans a droit à une pension d</w:t>
      </w:r>
      <w:r w:rsidR="00A033A7">
        <w:rPr>
          <w:lang w:val="fr-FR"/>
        </w:rPr>
        <w:t>’</w:t>
      </w:r>
      <w:r w:rsidR="008D6145" w:rsidRPr="008D6145">
        <w:rPr>
          <w:lang w:val="fr-FR"/>
        </w:rPr>
        <w:t>invalidité s</w:t>
      </w:r>
      <w:r w:rsidR="00A033A7">
        <w:rPr>
          <w:lang w:val="fr-FR"/>
        </w:rPr>
        <w:t>’</w:t>
      </w:r>
      <w:r w:rsidR="008D6145" w:rsidRPr="008D6145">
        <w:rPr>
          <w:lang w:val="fr-FR"/>
        </w:rPr>
        <w:t>il a accompli au moins 60 mois d</w:t>
      </w:r>
      <w:r w:rsidR="00A033A7">
        <w:rPr>
          <w:lang w:val="fr-FR"/>
        </w:rPr>
        <w:t>’</w:t>
      </w:r>
      <w:r w:rsidR="008D6145" w:rsidRPr="008D6145">
        <w:rPr>
          <w:lang w:val="fr-FR"/>
        </w:rPr>
        <w:t>assurance dont obligatoirement 6 au cours des 12 mois civils précédant le début de l</w:t>
      </w:r>
      <w:r w:rsidR="00A033A7">
        <w:rPr>
          <w:lang w:val="fr-FR"/>
        </w:rPr>
        <w:t>’</w:t>
      </w:r>
      <w:r w:rsidR="008D6145" w:rsidRPr="008D6145">
        <w:rPr>
          <w:lang w:val="fr-FR"/>
        </w:rPr>
        <w:t>incapacité conduisant à l</w:t>
      </w:r>
      <w:r w:rsidR="00A033A7">
        <w:rPr>
          <w:lang w:val="fr-FR"/>
        </w:rPr>
        <w:t>’</w:t>
      </w:r>
      <w:r w:rsidR="008D6145" w:rsidRPr="008D6145">
        <w:rPr>
          <w:lang w:val="fr-FR"/>
        </w:rPr>
        <w:t>invalidité ;</w:t>
      </w:r>
    </w:p>
    <w:p w:rsidR="008D6145" w:rsidRPr="008D6145" w:rsidRDefault="00821D2B" w:rsidP="00821D2B">
      <w:pPr>
        <w:pStyle w:val="Bullet1G"/>
        <w:numPr>
          <w:ilvl w:val="0"/>
          <w:numId w:val="0"/>
        </w:numPr>
        <w:tabs>
          <w:tab w:val="left" w:pos="1701"/>
        </w:tabs>
        <w:ind w:left="1701" w:hanging="170"/>
        <w:rPr>
          <w:lang w:val="fr-FR"/>
        </w:rPr>
      </w:pPr>
      <w:r w:rsidRPr="008D6145">
        <w:rPr>
          <w:lang w:val="fr-FR"/>
        </w:rPr>
        <w:t>•</w:t>
      </w:r>
      <w:r w:rsidRPr="008D6145">
        <w:rPr>
          <w:lang w:val="fr-FR"/>
        </w:rPr>
        <w:tab/>
      </w:r>
      <w:r w:rsidR="008D6145" w:rsidRPr="008D6145">
        <w:rPr>
          <w:lang w:val="fr-FR"/>
        </w:rPr>
        <w:t>5</w:t>
      </w:r>
      <w:r w:rsidR="008D6145" w:rsidRPr="008D6145">
        <w:rPr>
          <w:vertAlign w:val="superscript"/>
          <w:lang w:val="fr-FR"/>
        </w:rPr>
        <w:t>ème</w:t>
      </w:r>
      <w:r w:rsidR="008D6145" w:rsidRPr="008D6145">
        <w:rPr>
          <w:lang w:val="fr-FR"/>
        </w:rPr>
        <w:t xml:space="preserve"> alinéa : la pension d</w:t>
      </w:r>
      <w:r w:rsidR="00A033A7">
        <w:rPr>
          <w:lang w:val="fr-FR"/>
        </w:rPr>
        <w:t>’</w:t>
      </w:r>
      <w:r w:rsidR="008D6145" w:rsidRPr="008D6145">
        <w:rPr>
          <w:lang w:val="fr-FR"/>
        </w:rPr>
        <w:t>invalidité est remplacée par une pension de vieillesse de même montant lorsque le bénéficiaire atteint l</w:t>
      </w:r>
      <w:r w:rsidR="00A033A7">
        <w:rPr>
          <w:lang w:val="fr-FR"/>
        </w:rPr>
        <w:t>’</w:t>
      </w:r>
      <w:r w:rsidR="008D6145" w:rsidRPr="008D6145">
        <w:rPr>
          <w:lang w:val="fr-FR"/>
        </w:rPr>
        <w:t>âge de 60 ans.</w:t>
      </w:r>
    </w:p>
    <w:p w:rsidR="008D6145" w:rsidRPr="008D6145" w:rsidRDefault="00821D2B" w:rsidP="00821D2B">
      <w:pPr>
        <w:pStyle w:val="SingleTxtG"/>
        <w:kinsoku/>
        <w:overflowPunct/>
        <w:autoSpaceDE/>
        <w:autoSpaceDN/>
        <w:adjustRightInd/>
        <w:snapToGrid/>
        <w:rPr>
          <w:rFonts w:eastAsia="Times New Roman"/>
          <w:lang w:val="fr-FR"/>
        </w:rPr>
      </w:pPr>
      <w:r w:rsidRPr="008D6145">
        <w:rPr>
          <w:rFonts w:eastAsia="Times New Roman"/>
          <w:lang w:val="fr-FR"/>
        </w:rPr>
        <w:t>47.</w:t>
      </w:r>
      <w:r w:rsidRPr="008D6145">
        <w:rPr>
          <w:rFonts w:eastAsia="Times New Roman"/>
          <w:lang w:val="fr-FR"/>
        </w:rPr>
        <w:tab/>
      </w:r>
      <w:r w:rsidR="008D6145" w:rsidRPr="008D6145">
        <w:rPr>
          <w:rFonts w:eastAsia="Times New Roman"/>
          <w:lang w:val="fr-FR"/>
        </w:rPr>
        <w:t>Selon l</w:t>
      </w:r>
      <w:r w:rsidR="00A033A7">
        <w:rPr>
          <w:rFonts w:eastAsia="Times New Roman"/>
          <w:lang w:val="fr-FR"/>
        </w:rPr>
        <w:t>’</w:t>
      </w:r>
      <w:r w:rsidR="008D6145" w:rsidRPr="008D6145">
        <w:rPr>
          <w:rFonts w:eastAsia="Times New Roman"/>
          <w:lang w:val="fr-FR"/>
        </w:rPr>
        <w:t>article 95 nouveau, le montant mensuel minimum de la pension de vieillesse ou d</w:t>
      </w:r>
      <w:r w:rsidR="00A033A7">
        <w:rPr>
          <w:rFonts w:eastAsia="Times New Roman"/>
          <w:lang w:val="fr-FR"/>
        </w:rPr>
        <w:t>’</w:t>
      </w:r>
      <w:r w:rsidR="008D6145" w:rsidRPr="008D6145">
        <w:rPr>
          <w:rFonts w:eastAsia="Times New Roman"/>
          <w:lang w:val="fr-FR"/>
        </w:rPr>
        <w:t>invalidité est égal à 30</w:t>
      </w:r>
      <w:r w:rsidR="00F94268">
        <w:rPr>
          <w:rFonts w:eastAsia="Times New Roman"/>
          <w:lang w:val="fr-FR"/>
        </w:rPr>
        <w:t> </w:t>
      </w:r>
      <w:r w:rsidR="008D6145" w:rsidRPr="008D6145">
        <w:rPr>
          <w:rFonts w:eastAsia="Times New Roman"/>
          <w:lang w:val="fr-FR"/>
        </w:rPr>
        <w:t>% de la rémunération mensuelle moyenne</w:t>
      </w:r>
      <w:r w:rsidR="007B16B0">
        <w:rPr>
          <w:rFonts w:eastAsia="Times New Roman"/>
          <w:lang w:val="fr-FR"/>
        </w:rPr>
        <w:t>.</w:t>
      </w:r>
    </w:p>
    <w:p w:rsidR="008D6145" w:rsidRPr="008D6145" w:rsidRDefault="008D6145" w:rsidP="00821D2B">
      <w:pPr>
        <w:pStyle w:val="H1G"/>
        <w:rPr>
          <w:lang w:val="fr-FR"/>
        </w:rPr>
      </w:pPr>
      <w:r w:rsidRPr="008D6145">
        <w:rPr>
          <w:lang w:val="fr-FR"/>
        </w:rPr>
        <w:tab/>
        <w:t>E.</w:t>
      </w:r>
      <w:r w:rsidRPr="008D6145">
        <w:rPr>
          <w:lang w:val="fr-FR"/>
        </w:rPr>
        <w:tab/>
        <w:t>Article 10 </w:t>
      </w:r>
      <w:r w:rsidR="00F94268">
        <w:rPr>
          <w:lang w:val="fr-FR"/>
        </w:rPr>
        <w:t>–</w:t>
      </w:r>
      <w:r w:rsidRPr="008D6145">
        <w:rPr>
          <w:lang w:val="fr-FR"/>
        </w:rPr>
        <w:t xml:space="preserve"> Protection de la famille, de la mère et de l</w:t>
      </w:r>
      <w:r w:rsidR="00A033A7">
        <w:rPr>
          <w:lang w:val="fr-FR"/>
        </w:rPr>
        <w:t>’</w:t>
      </w:r>
      <w:r w:rsidRPr="008D6145">
        <w:rPr>
          <w:lang w:val="fr-FR"/>
        </w:rPr>
        <w:t>enfant</w:t>
      </w:r>
    </w:p>
    <w:p w:rsidR="008D6145" w:rsidRPr="008D6145" w:rsidRDefault="00821D2B" w:rsidP="00821D2B">
      <w:pPr>
        <w:pStyle w:val="SingleTxtG"/>
        <w:kinsoku/>
        <w:overflowPunct/>
        <w:autoSpaceDE/>
        <w:autoSpaceDN/>
        <w:adjustRightInd/>
        <w:snapToGrid/>
        <w:rPr>
          <w:rFonts w:eastAsia="Times New Roman"/>
          <w:lang w:val="fr-FR"/>
        </w:rPr>
      </w:pPr>
      <w:r w:rsidRPr="008D6145">
        <w:rPr>
          <w:rFonts w:eastAsia="Times New Roman"/>
          <w:lang w:val="fr-FR"/>
        </w:rPr>
        <w:t>48.</w:t>
      </w:r>
      <w:r w:rsidRPr="008D6145">
        <w:rPr>
          <w:rFonts w:eastAsia="Times New Roman"/>
          <w:lang w:val="fr-FR"/>
        </w:rPr>
        <w:tab/>
      </w:r>
      <w:r w:rsidR="008D6145" w:rsidRPr="008D6145">
        <w:rPr>
          <w:rFonts w:eastAsia="Times New Roman"/>
          <w:lang w:val="fr-FR"/>
        </w:rPr>
        <w:t>En matière de protection de la famille, de la mère et de l</w:t>
      </w:r>
      <w:r w:rsidR="00A033A7">
        <w:rPr>
          <w:rFonts w:eastAsia="Times New Roman"/>
          <w:lang w:val="fr-FR"/>
        </w:rPr>
        <w:t>’</w:t>
      </w:r>
      <w:r w:rsidR="008D6145" w:rsidRPr="008D6145">
        <w:rPr>
          <w:rFonts w:eastAsia="Times New Roman"/>
          <w:lang w:val="fr-FR"/>
        </w:rPr>
        <w:t>enfant, les mesures significatives intervenues au cours de la période examinée, sont :</w:t>
      </w:r>
    </w:p>
    <w:p w:rsidR="008D6145" w:rsidRPr="008D6145" w:rsidRDefault="00821D2B" w:rsidP="00821D2B">
      <w:pPr>
        <w:pStyle w:val="Bullet1G"/>
        <w:numPr>
          <w:ilvl w:val="0"/>
          <w:numId w:val="0"/>
        </w:numPr>
        <w:tabs>
          <w:tab w:val="left" w:pos="1701"/>
        </w:tabs>
        <w:ind w:left="1701" w:hanging="170"/>
        <w:rPr>
          <w:lang w:val="fr-FR"/>
        </w:rPr>
      </w:pPr>
      <w:r w:rsidRPr="008D6145">
        <w:rPr>
          <w:lang w:val="fr-FR"/>
        </w:rPr>
        <w:t>•</w:t>
      </w:r>
      <w:r w:rsidRPr="008D6145">
        <w:rPr>
          <w:lang w:val="fr-FR"/>
        </w:rPr>
        <w:tab/>
      </w:r>
      <w:r w:rsidR="008D6145" w:rsidRPr="008D6145">
        <w:rPr>
          <w:lang w:val="fr-FR"/>
        </w:rPr>
        <w:t>L</w:t>
      </w:r>
      <w:r w:rsidR="00A033A7">
        <w:rPr>
          <w:lang w:val="fr-FR"/>
        </w:rPr>
        <w:t>’</w:t>
      </w:r>
      <w:r w:rsidR="008D6145" w:rsidRPr="008D6145">
        <w:rPr>
          <w:lang w:val="fr-FR"/>
        </w:rPr>
        <w:t>adoption du Code de l</w:t>
      </w:r>
      <w:r w:rsidR="00A033A7">
        <w:rPr>
          <w:lang w:val="fr-FR"/>
        </w:rPr>
        <w:t>’</w:t>
      </w:r>
      <w:r w:rsidR="008D6145" w:rsidRPr="008D6145">
        <w:rPr>
          <w:lang w:val="fr-FR"/>
        </w:rPr>
        <w:t>enfant composé de 423 articles répartis en sept parties. Ce texte se veut un instrument visant à créer un environnement favorable à l</w:t>
      </w:r>
      <w:r w:rsidR="00A033A7">
        <w:rPr>
          <w:lang w:val="fr-FR"/>
        </w:rPr>
        <w:t>’</w:t>
      </w:r>
      <w:r w:rsidR="008D6145" w:rsidRPr="008D6145">
        <w:rPr>
          <w:lang w:val="fr-FR"/>
        </w:rPr>
        <w:t>enfant béninois. Son adoption vient mettre fin à l</w:t>
      </w:r>
      <w:r w:rsidR="00A033A7">
        <w:rPr>
          <w:lang w:val="fr-FR"/>
        </w:rPr>
        <w:t>’</w:t>
      </w:r>
      <w:r w:rsidR="008D6145" w:rsidRPr="008D6145">
        <w:rPr>
          <w:lang w:val="fr-FR"/>
        </w:rPr>
        <w:t>obsolescence des textes qui régissent la matière au Bénin. Il renforce les droits substantiels et procéduraux de l</w:t>
      </w:r>
      <w:r w:rsidR="00A033A7">
        <w:rPr>
          <w:lang w:val="fr-FR"/>
        </w:rPr>
        <w:t>’</w:t>
      </w:r>
      <w:r w:rsidR="008D6145" w:rsidRPr="008D6145">
        <w:rPr>
          <w:lang w:val="fr-FR"/>
        </w:rPr>
        <w:t>enfant déjà garantis par le Code des Personnes et de la Famille ainsi que le nouveau Code de procédure pénale ;</w:t>
      </w:r>
    </w:p>
    <w:p w:rsidR="008D6145" w:rsidRPr="008D6145" w:rsidRDefault="00821D2B" w:rsidP="00821D2B">
      <w:pPr>
        <w:pStyle w:val="Bullet1G"/>
        <w:numPr>
          <w:ilvl w:val="0"/>
          <w:numId w:val="0"/>
        </w:numPr>
        <w:tabs>
          <w:tab w:val="left" w:pos="1701"/>
        </w:tabs>
        <w:ind w:left="1701" w:hanging="170"/>
        <w:rPr>
          <w:lang w:val="fr-FR"/>
        </w:rPr>
      </w:pPr>
      <w:r w:rsidRPr="008D6145">
        <w:rPr>
          <w:lang w:val="fr-FR"/>
        </w:rPr>
        <w:t>•</w:t>
      </w:r>
      <w:r w:rsidRPr="008D6145">
        <w:rPr>
          <w:lang w:val="fr-FR"/>
        </w:rPr>
        <w:tab/>
      </w:r>
      <w:r w:rsidR="008D6145" w:rsidRPr="008D6145">
        <w:rPr>
          <w:lang w:val="fr-FR"/>
        </w:rPr>
        <w:t xml:space="preserve">La prise du décret </w:t>
      </w:r>
      <w:r w:rsidR="00F94268" w:rsidRPr="006C0894">
        <w:rPr>
          <w:rFonts w:eastAsia="Times New Roman"/>
          <w:bCs/>
          <w:lang w:val="fr-FR"/>
        </w:rPr>
        <w:t>n</w:t>
      </w:r>
      <w:r w:rsidR="00F94268" w:rsidRPr="006C0894">
        <w:rPr>
          <w:rFonts w:eastAsia="Times New Roman"/>
          <w:bCs/>
          <w:vertAlign w:val="superscript"/>
          <w:lang w:val="fr-FR"/>
        </w:rPr>
        <w:t>o</w:t>
      </w:r>
      <w:r w:rsidR="00F94268" w:rsidRPr="006C0894">
        <w:rPr>
          <w:rFonts w:eastAsia="Times New Roman"/>
          <w:bCs/>
          <w:lang w:val="fr-FR"/>
        </w:rPr>
        <w:t> </w:t>
      </w:r>
      <w:r w:rsidR="008D6145" w:rsidRPr="008D6145">
        <w:rPr>
          <w:lang w:val="fr-FR"/>
        </w:rPr>
        <w:t>2011-029 du 31 janvier 2011 fixant la liste des travaux dangereux interdits aux mineurs, ainsi que la mise en place dans deux juridictions pilotes en 2014 de tribunaux «adaptés aux enfants» ;</w:t>
      </w:r>
    </w:p>
    <w:p w:rsidR="008D6145" w:rsidRPr="008D6145" w:rsidRDefault="00821D2B" w:rsidP="00821D2B">
      <w:pPr>
        <w:pStyle w:val="Bullet1G"/>
        <w:numPr>
          <w:ilvl w:val="0"/>
          <w:numId w:val="0"/>
        </w:numPr>
        <w:tabs>
          <w:tab w:val="left" w:pos="1701"/>
        </w:tabs>
        <w:ind w:left="1701" w:hanging="170"/>
        <w:rPr>
          <w:lang w:val="fr-FR"/>
        </w:rPr>
      </w:pPr>
      <w:r w:rsidRPr="008D6145">
        <w:rPr>
          <w:lang w:val="fr-FR"/>
        </w:rPr>
        <w:t>•</w:t>
      </w:r>
      <w:r w:rsidRPr="008D6145">
        <w:rPr>
          <w:lang w:val="fr-FR"/>
        </w:rPr>
        <w:tab/>
      </w:r>
      <w:r w:rsidR="008D6145" w:rsidRPr="008D6145">
        <w:rPr>
          <w:lang w:val="fr-FR"/>
        </w:rPr>
        <w:t>La création de l</w:t>
      </w:r>
      <w:r w:rsidR="00A033A7">
        <w:rPr>
          <w:lang w:val="fr-FR"/>
        </w:rPr>
        <w:t>’</w:t>
      </w:r>
      <w:r w:rsidR="008D6145" w:rsidRPr="008D6145">
        <w:rPr>
          <w:lang w:val="fr-FR"/>
        </w:rPr>
        <w:t>Office central de protection des mineurs, de la famille et de la répression de la traite des êtres humains ;</w:t>
      </w:r>
    </w:p>
    <w:p w:rsidR="008D6145" w:rsidRPr="008D6145" w:rsidRDefault="00821D2B" w:rsidP="00821D2B">
      <w:pPr>
        <w:pStyle w:val="Bullet1G"/>
        <w:numPr>
          <w:ilvl w:val="0"/>
          <w:numId w:val="0"/>
        </w:numPr>
        <w:tabs>
          <w:tab w:val="left" w:pos="1701"/>
        </w:tabs>
        <w:ind w:left="1701" w:hanging="170"/>
        <w:rPr>
          <w:lang w:val="fr-FR"/>
        </w:rPr>
      </w:pPr>
      <w:r w:rsidRPr="008D6145">
        <w:rPr>
          <w:lang w:val="fr-FR"/>
        </w:rPr>
        <w:t>•</w:t>
      </w:r>
      <w:r w:rsidRPr="008D6145">
        <w:rPr>
          <w:lang w:val="fr-FR"/>
        </w:rPr>
        <w:tab/>
      </w:r>
      <w:r w:rsidR="008D6145" w:rsidRPr="008D6145">
        <w:rPr>
          <w:lang w:val="fr-FR"/>
        </w:rPr>
        <w:t>L</w:t>
      </w:r>
      <w:r w:rsidR="00A033A7">
        <w:rPr>
          <w:lang w:val="fr-FR"/>
        </w:rPr>
        <w:t>’</w:t>
      </w:r>
      <w:r w:rsidR="008D6145" w:rsidRPr="008D6145">
        <w:rPr>
          <w:lang w:val="fr-FR"/>
        </w:rPr>
        <w:t>élaboration du Plan d</w:t>
      </w:r>
      <w:r w:rsidR="00A033A7">
        <w:rPr>
          <w:lang w:val="fr-FR"/>
        </w:rPr>
        <w:t>’</w:t>
      </w:r>
      <w:r w:rsidR="008D6145" w:rsidRPr="008D6145">
        <w:rPr>
          <w:lang w:val="fr-FR"/>
        </w:rPr>
        <w:t>Action National (PAN) pour l</w:t>
      </w:r>
      <w:r w:rsidR="00A033A7">
        <w:rPr>
          <w:lang w:val="fr-FR"/>
        </w:rPr>
        <w:t>’</w:t>
      </w:r>
      <w:r w:rsidR="008D6145" w:rsidRPr="008D6145">
        <w:rPr>
          <w:lang w:val="fr-FR"/>
        </w:rPr>
        <w:t>élimination des pires formes de travail des enfants au Bénin (2012-2015). Ce plan s</w:t>
      </w:r>
      <w:r w:rsidR="00A033A7">
        <w:rPr>
          <w:lang w:val="fr-FR"/>
        </w:rPr>
        <w:t>’</w:t>
      </w:r>
      <w:r w:rsidR="008D6145" w:rsidRPr="008D6145">
        <w:rPr>
          <w:lang w:val="fr-FR"/>
        </w:rPr>
        <w:t>articule autour de six principaux axes que sont : l</w:t>
      </w:r>
      <w:r w:rsidR="00A033A7">
        <w:rPr>
          <w:lang w:val="fr-FR"/>
        </w:rPr>
        <w:t>’</w:t>
      </w:r>
      <w:r w:rsidR="008D6145" w:rsidRPr="008D6145">
        <w:rPr>
          <w:lang w:val="fr-FR"/>
        </w:rPr>
        <w:t>harmonisation du cadre juridique ; l</w:t>
      </w:r>
      <w:r w:rsidR="00A033A7">
        <w:rPr>
          <w:lang w:val="fr-FR"/>
        </w:rPr>
        <w:t>’</w:t>
      </w:r>
      <w:r w:rsidR="008D6145" w:rsidRPr="008D6145">
        <w:rPr>
          <w:lang w:val="fr-FR"/>
        </w:rPr>
        <w:t>information, la sensibilisation et la mobilisation ; l</w:t>
      </w:r>
      <w:r w:rsidR="00A033A7">
        <w:rPr>
          <w:lang w:val="fr-FR"/>
        </w:rPr>
        <w:t>’</w:t>
      </w:r>
      <w:r w:rsidR="008D6145" w:rsidRPr="008D6145">
        <w:rPr>
          <w:lang w:val="fr-FR"/>
        </w:rPr>
        <w:t>éducation et la formation ; la réduction de la vulnérabilité socio-économique des ménages ; la protection, la prise en charge et le suivi des enfants victimes des PFTE</w:t>
      </w:r>
      <w:r w:rsidR="00A033A7">
        <w:rPr>
          <w:lang w:val="fr-FR"/>
        </w:rPr>
        <w:t xml:space="preserve"> </w:t>
      </w:r>
      <w:r w:rsidR="008D6145" w:rsidRPr="008D6145">
        <w:rPr>
          <w:lang w:val="fr-FR"/>
        </w:rPr>
        <w:t>ainsi que l</w:t>
      </w:r>
      <w:r w:rsidR="00A033A7">
        <w:rPr>
          <w:lang w:val="fr-FR"/>
        </w:rPr>
        <w:t>’</w:t>
      </w:r>
      <w:r w:rsidR="008D6145" w:rsidRPr="008D6145">
        <w:rPr>
          <w:lang w:val="fr-FR"/>
        </w:rPr>
        <w:t xml:space="preserve">accroissement des bases de connaissances et des mécanismes institutionnels de mise en œuvre et de pérennisation des acquis du PAN. </w:t>
      </w:r>
    </w:p>
    <w:p w:rsidR="008D6145" w:rsidRPr="008D6145" w:rsidRDefault="008D6145" w:rsidP="00821D2B">
      <w:pPr>
        <w:pStyle w:val="H1G"/>
        <w:rPr>
          <w:lang w:val="fr-FR"/>
        </w:rPr>
      </w:pPr>
      <w:r w:rsidRPr="008D6145">
        <w:rPr>
          <w:lang w:val="fr-FR"/>
        </w:rPr>
        <w:tab/>
        <w:t>F.</w:t>
      </w:r>
      <w:r w:rsidRPr="008D6145">
        <w:rPr>
          <w:lang w:val="fr-FR"/>
        </w:rPr>
        <w:tab/>
        <w:t>Article 11 </w:t>
      </w:r>
      <w:r w:rsidR="00F94268">
        <w:rPr>
          <w:lang w:val="fr-FR"/>
        </w:rPr>
        <w:t>–</w:t>
      </w:r>
      <w:r w:rsidRPr="008D6145">
        <w:rPr>
          <w:lang w:val="fr-FR"/>
        </w:rPr>
        <w:t xml:space="preserve"> Le droit à un niveau de vie suffisant </w:t>
      </w:r>
    </w:p>
    <w:p w:rsidR="008D6145" w:rsidRPr="008D6145" w:rsidRDefault="008D6145" w:rsidP="00821D2B">
      <w:pPr>
        <w:pStyle w:val="H23G"/>
        <w:rPr>
          <w:lang w:val="fr-FR"/>
        </w:rPr>
      </w:pPr>
      <w:r w:rsidRPr="008D6145">
        <w:rPr>
          <w:lang w:val="fr-FR"/>
        </w:rPr>
        <w:tab/>
      </w:r>
      <w:r w:rsidRPr="008D6145">
        <w:rPr>
          <w:lang w:val="fr-FR"/>
        </w:rPr>
        <w:tab/>
        <w:t>Le droit à l</w:t>
      </w:r>
      <w:r w:rsidR="00A033A7">
        <w:rPr>
          <w:lang w:val="fr-FR"/>
        </w:rPr>
        <w:t>’</w:t>
      </w:r>
      <w:r w:rsidRPr="008D6145">
        <w:rPr>
          <w:lang w:val="fr-FR"/>
        </w:rPr>
        <w:t>amélioration constante des conditions d</w:t>
      </w:r>
      <w:r w:rsidR="00A033A7">
        <w:rPr>
          <w:lang w:val="fr-FR"/>
        </w:rPr>
        <w:t>’</w:t>
      </w:r>
      <w:r w:rsidRPr="008D6145">
        <w:rPr>
          <w:lang w:val="fr-FR"/>
        </w:rPr>
        <w:t>existence</w:t>
      </w:r>
      <w:bookmarkStart w:id="1" w:name="_Toc451961631"/>
      <w:bookmarkStart w:id="2" w:name="_Toc451961901"/>
      <w:bookmarkStart w:id="3" w:name="_Toc451972035"/>
      <w:bookmarkStart w:id="4" w:name="_Toc451972832"/>
      <w:bookmarkStart w:id="5" w:name="_Toc455040074"/>
      <w:bookmarkStart w:id="6" w:name="_Toc457242374"/>
    </w:p>
    <w:p w:rsidR="008D6145" w:rsidRPr="008D6145" w:rsidRDefault="00821D2B" w:rsidP="00821D2B">
      <w:pPr>
        <w:pStyle w:val="SingleTxtG"/>
        <w:kinsoku/>
        <w:overflowPunct/>
        <w:autoSpaceDE/>
        <w:autoSpaceDN/>
        <w:adjustRightInd/>
        <w:snapToGrid/>
        <w:rPr>
          <w:rFonts w:eastAsia="Times New Roman"/>
          <w:lang w:val="fr-FR"/>
        </w:rPr>
      </w:pPr>
      <w:r w:rsidRPr="008D6145">
        <w:rPr>
          <w:rFonts w:eastAsia="Times New Roman"/>
          <w:lang w:val="fr-FR"/>
        </w:rPr>
        <w:t>49.</w:t>
      </w:r>
      <w:r w:rsidRPr="008D6145">
        <w:rPr>
          <w:rFonts w:eastAsia="Times New Roman"/>
          <w:lang w:val="fr-FR"/>
        </w:rPr>
        <w:tab/>
      </w:r>
      <w:r w:rsidR="008D6145" w:rsidRPr="008D6145">
        <w:rPr>
          <w:rFonts w:eastAsia="Times New Roman"/>
          <w:lang w:val="fr-FR"/>
        </w:rPr>
        <w:t>L</w:t>
      </w:r>
      <w:r w:rsidR="00A033A7">
        <w:rPr>
          <w:rFonts w:eastAsia="Times New Roman"/>
          <w:lang w:val="fr-FR"/>
        </w:rPr>
        <w:t>’</w:t>
      </w:r>
      <w:r w:rsidR="008D6145" w:rsidRPr="008D6145">
        <w:rPr>
          <w:rFonts w:eastAsia="Times New Roman"/>
          <w:lang w:val="fr-FR"/>
        </w:rPr>
        <w:t>indicateur de développement humain (IDH) au Bénin s</w:t>
      </w:r>
      <w:r w:rsidR="00A033A7">
        <w:rPr>
          <w:rFonts w:eastAsia="Times New Roman"/>
          <w:lang w:val="fr-FR"/>
        </w:rPr>
        <w:t>’</w:t>
      </w:r>
      <w:r w:rsidR="008D6145" w:rsidRPr="008D6145">
        <w:rPr>
          <w:rFonts w:eastAsia="Times New Roman"/>
          <w:lang w:val="fr-FR"/>
        </w:rPr>
        <w:t xml:space="preserve">est établi à 0,5 en 2010, 0,4 en 2012 et 0,476 en 2013. </w:t>
      </w:r>
      <w:bookmarkEnd w:id="1"/>
      <w:bookmarkEnd w:id="2"/>
      <w:bookmarkEnd w:id="3"/>
      <w:bookmarkEnd w:id="4"/>
      <w:bookmarkEnd w:id="5"/>
      <w:bookmarkEnd w:id="6"/>
      <w:r w:rsidR="008D6145" w:rsidRPr="008D6145">
        <w:rPr>
          <w:rFonts w:eastAsia="Times New Roman"/>
          <w:lang w:val="fr-FR"/>
        </w:rPr>
        <w:t>De 2013 à 2014, le Bénin devient l</w:t>
      </w:r>
      <w:r w:rsidR="00A033A7">
        <w:rPr>
          <w:rFonts w:eastAsia="Times New Roman"/>
          <w:lang w:val="fr-FR"/>
        </w:rPr>
        <w:t>’</w:t>
      </w:r>
      <w:r w:rsidR="008D6145" w:rsidRPr="008D6145">
        <w:rPr>
          <w:rFonts w:eastAsia="Times New Roman"/>
          <w:lang w:val="fr-FR"/>
        </w:rPr>
        <w:t>un des quatre pays de l</w:t>
      </w:r>
      <w:r w:rsidR="00A033A7">
        <w:rPr>
          <w:rFonts w:eastAsia="Times New Roman"/>
          <w:lang w:val="fr-FR"/>
        </w:rPr>
        <w:t>’</w:t>
      </w:r>
      <w:r w:rsidR="008D6145" w:rsidRPr="008D6145">
        <w:rPr>
          <w:rFonts w:eastAsia="Times New Roman"/>
          <w:lang w:val="fr-FR"/>
        </w:rPr>
        <w:t>UEMOA (le Bénin, la Côte d</w:t>
      </w:r>
      <w:r w:rsidR="00A033A7">
        <w:rPr>
          <w:rFonts w:eastAsia="Times New Roman"/>
          <w:lang w:val="fr-FR"/>
        </w:rPr>
        <w:t>’</w:t>
      </w:r>
      <w:r w:rsidR="008D6145" w:rsidRPr="008D6145">
        <w:rPr>
          <w:rFonts w:eastAsia="Times New Roman"/>
          <w:lang w:val="fr-FR"/>
        </w:rPr>
        <w:t>Ivoire, le Mali et le Niger) ayant connu un accroissement de leur PIB réel par tête. La situation du Bénin devient donc</w:t>
      </w:r>
      <w:r w:rsidR="00A033A7">
        <w:rPr>
          <w:rFonts w:eastAsia="Times New Roman"/>
          <w:lang w:val="fr-FR"/>
        </w:rPr>
        <w:t xml:space="preserve"> </w:t>
      </w:r>
      <w:r w:rsidR="008D6145" w:rsidRPr="008D6145">
        <w:rPr>
          <w:rFonts w:eastAsia="Times New Roman"/>
          <w:lang w:val="fr-FR"/>
        </w:rPr>
        <w:t>plus confortable, du point de vue du produit intérieur brut réel par tête. C</w:t>
      </w:r>
      <w:r w:rsidR="00A033A7">
        <w:rPr>
          <w:rFonts w:eastAsia="Times New Roman"/>
          <w:lang w:val="fr-FR"/>
        </w:rPr>
        <w:t>’</w:t>
      </w:r>
      <w:r w:rsidR="008D6145" w:rsidRPr="008D6145">
        <w:rPr>
          <w:rFonts w:eastAsia="Times New Roman"/>
          <w:lang w:val="fr-FR"/>
        </w:rPr>
        <w:t>est ainsi que ce dernier s</w:t>
      </w:r>
      <w:r w:rsidR="00A033A7">
        <w:rPr>
          <w:rFonts w:eastAsia="Times New Roman"/>
          <w:lang w:val="fr-FR"/>
        </w:rPr>
        <w:t>’</w:t>
      </w:r>
      <w:r w:rsidR="008D6145" w:rsidRPr="008D6145">
        <w:rPr>
          <w:rFonts w:eastAsia="Times New Roman"/>
          <w:lang w:val="fr-FR"/>
        </w:rPr>
        <w:t xml:space="preserve">élève à 825 $US en 2014 </w:t>
      </w:r>
      <w:r w:rsidR="008D6145" w:rsidRPr="008D6145">
        <w:rPr>
          <w:rFonts w:eastAsia="Times New Roman"/>
          <w:lang w:val="fr-FR"/>
        </w:rPr>
        <w:lastRenderedPageBreak/>
        <w:t>contre 805 $US en 2013. Cette situation vient placer le Bénin en deuxième position au sein de l</w:t>
      </w:r>
      <w:r w:rsidR="00A033A7">
        <w:rPr>
          <w:rFonts w:eastAsia="Times New Roman"/>
          <w:lang w:val="fr-FR"/>
        </w:rPr>
        <w:t>’</w:t>
      </w:r>
      <w:r w:rsidR="008D6145" w:rsidRPr="008D6145">
        <w:rPr>
          <w:rFonts w:eastAsia="Times New Roman"/>
          <w:lang w:val="fr-FR"/>
        </w:rPr>
        <w:t>union en 2014, après le Sénégal (998 $US en 2014 contre 1</w:t>
      </w:r>
      <w:r w:rsidR="00142355">
        <w:rPr>
          <w:rFonts w:eastAsia="Times New Roman"/>
          <w:lang w:val="fr-FR"/>
        </w:rPr>
        <w:t> </w:t>
      </w:r>
      <w:r w:rsidR="008D6145" w:rsidRPr="008D6145">
        <w:rPr>
          <w:rFonts w:eastAsia="Times New Roman"/>
          <w:lang w:val="fr-FR"/>
        </w:rPr>
        <w:t>047 $US en 2013).</w:t>
      </w:r>
    </w:p>
    <w:p w:rsidR="008D6145" w:rsidRPr="008D6145" w:rsidRDefault="008D6145" w:rsidP="00821D2B">
      <w:pPr>
        <w:pStyle w:val="H23G"/>
        <w:rPr>
          <w:bCs/>
          <w:lang w:val="fr-CA"/>
        </w:rPr>
      </w:pPr>
      <w:r w:rsidRPr="008D6145">
        <w:rPr>
          <w:lang w:val="fr-FR"/>
        </w:rPr>
        <w:tab/>
      </w:r>
      <w:r w:rsidRPr="008D6145">
        <w:rPr>
          <w:lang w:val="fr-FR"/>
        </w:rPr>
        <w:tab/>
        <w:t>Le droit à une nourriture suffisante</w:t>
      </w:r>
    </w:p>
    <w:p w:rsidR="008D6145" w:rsidRPr="008D6145" w:rsidRDefault="00821D2B" w:rsidP="00821D2B">
      <w:pPr>
        <w:pStyle w:val="SingleTxtG"/>
        <w:kinsoku/>
        <w:overflowPunct/>
        <w:autoSpaceDE/>
        <w:autoSpaceDN/>
        <w:adjustRightInd/>
        <w:snapToGrid/>
        <w:rPr>
          <w:rFonts w:eastAsia="Times New Roman"/>
          <w:lang w:val="fr-FR"/>
        </w:rPr>
      </w:pPr>
      <w:r w:rsidRPr="008D6145">
        <w:rPr>
          <w:rFonts w:eastAsia="Times New Roman"/>
          <w:lang w:val="fr-FR"/>
        </w:rPr>
        <w:t>50.</w:t>
      </w:r>
      <w:r w:rsidRPr="008D6145">
        <w:rPr>
          <w:rFonts w:eastAsia="Times New Roman"/>
          <w:lang w:val="fr-FR"/>
        </w:rPr>
        <w:tab/>
      </w:r>
      <w:r w:rsidR="008D6145" w:rsidRPr="008D6145">
        <w:rPr>
          <w:rFonts w:eastAsia="Times New Roman"/>
          <w:lang w:val="fr-FR"/>
        </w:rPr>
        <w:t>La bonne croissance économique (5</w:t>
      </w:r>
      <w:r w:rsidR="00F94268">
        <w:rPr>
          <w:rFonts w:eastAsia="Times New Roman"/>
          <w:lang w:val="fr-FR"/>
        </w:rPr>
        <w:t> </w:t>
      </w:r>
      <w:r w:rsidR="008D6145" w:rsidRPr="008D6145">
        <w:rPr>
          <w:rFonts w:eastAsia="Times New Roman"/>
          <w:lang w:val="fr-FR"/>
        </w:rPr>
        <w:t>% en moyenne) enregistrée ces dix dernières années est largement due aux performances agricoles. Avec une proportion de 11,2</w:t>
      </w:r>
      <w:r w:rsidR="00F94268">
        <w:rPr>
          <w:rFonts w:eastAsia="Times New Roman"/>
          <w:lang w:val="fr-FR"/>
        </w:rPr>
        <w:t> </w:t>
      </w:r>
      <w:r w:rsidR="008D6145" w:rsidRPr="008D6145">
        <w:rPr>
          <w:rFonts w:eastAsia="Times New Roman"/>
          <w:lang w:val="fr-FR"/>
        </w:rPr>
        <w:t xml:space="preserve">% de la population dénombrée comme souffrant de la faim en 2014, le Bénin a réalisé la cible 1.C des OMD qui vise à </w:t>
      </w:r>
      <w:r w:rsidR="008D6145" w:rsidRPr="00F94268">
        <w:rPr>
          <w:rFonts w:eastAsia="Times New Roman"/>
          <w:lang w:val="fr-FR"/>
        </w:rPr>
        <w:t>« </w:t>
      </w:r>
      <w:r w:rsidR="008D6145" w:rsidRPr="00821D2B">
        <w:rPr>
          <w:rFonts w:eastAsia="Times New Roman"/>
          <w:lang w:val="fr-FR"/>
        </w:rPr>
        <w:t>Réduire de moitié, entre 1990 et 2015, la proportion de la population qui souffre de la faim </w:t>
      </w:r>
      <w:r w:rsidR="008D6145" w:rsidRPr="00F94268">
        <w:rPr>
          <w:rFonts w:eastAsia="Times New Roman"/>
          <w:lang w:val="fr-FR"/>
        </w:rPr>
        <w:t>».</w:t>
      </w:r>
      <w:r w:rsidR="008D6145" w:rsidRPr="008D6145">
        <w:rPr>
          <w:rFonts w:eastAsia="Times New Roman"/>
          <w:lang w:val="fr-FR"/>
        </w:rPr>
        <w:t xml:space="preserve"> Depuis le deuxième rapport du Bénin en 2008 dans le cadre de la mise en œuvre du PIDESC, le constat sur la production agricole semble être le même. La production agricole est concentrée autour de deux catégories de cultures à savoir: les cultures vivrières et les cultures de rente essentiellement dominées par le coton. La culture vivrière est largement dominée par les racines et tubercules dont la production s</w:t>
      </w:r>
      <w:r w:rsidR="00A033A7">
        <w:rPr>
          <w:rFonts w:eastAsia="Times New Roman"/>
          <w:lang w:val="fr-FR"/>
        </w:rPr>
        <w:t>’</w:t>
      </w:r>
      <w:r w:rsidR="008D6145" w:rsidRPr="008D6145">
        <w:rPr>
          <w:rFonts w:eastAsia="Times New Roman"/>
          <w:lang w:val="fr-FR"/>
        </w:rPr>
        <w:t>est établie à 7</w:t>
      </w:r>
      <w:r w:rsidR="00F94268">
        <w:rPr>
          <w:rFonts w:eastAsia="Times New Roman"/>
          <w:lang w:val="fr-FR"/>
        </w:rPr>
        <w:t> </w:t>
      </w:r>
      <w:r w:rsidR="008D6145" w:rsidRPr="008D6145">
        <w:rPr>
          <w:rFonts w:eastAsia="Times New Roman"/>
          <w:lang w:val="fr-FR"/>
        </w:rPr>
        <w:t>325</w:t>
      </w:r>
      <w:r w:rsidR="00F94268">
        <w:rPr>
          <w:rFonts w:eastAsia="Times New Roman"/>
          <w:lang w:val="fr-FR"/>
        </w:rPr>
        <w:t> </w:t>
      </w:r>
      <w:r w:rsidR="008D6145" w:rsidRPr="008D6145">
        <w:rPr>
          <w:rFonts w:eastAsia="Times New Roman"/>
          <w:lang w:val="fr-FR"/>
        </w:rPr>
        <w:t>318 tonnes en 2014 contre 6</w:t>
      </w:r>
      <w:r w:rsidR="005C39D0">
        <w:rPr>
          <w:rFonts w:eastAsia="Times New Roman"/>
          <w:lang w:val="fr-FR"/>
        </w:rPr>
        <w:t> </w:t>
      </w:r>
      <w:r w:rsidR="008D6145" w:rsidRPr="008D6145">
        <w:rPr>
          <w:rFonts w:eastAsia="Times New Roman"/>
          <w:lang w:val="fr-FR"/>
        </w:rPr>
        <w:t>937</w:t>
      </w:r>
      <w:r w:rsidR="005C39D0">
        <w:rPr>
          <w:rFonts w:eastAsia="Times New Roman"/>
          <w:lang w:val="fr-FR"/>
        </w:rPr>
        <w:t> </w:t>
      </w:r>
      <w:r w:rsidR="008D6145" w:rsidRPr="008D6145">
        <w:rPr>
          <w:rFonts w:eastAsia="Times New Roman"/>
          <w:lang w:val="fr-FR"/>
        </w:rPr>
        <w:t>180 tonnes en 2013, soit une augmentation de 5,6</w:t>
      </w:r>
      <w:r w:rsidR="00F94268">
        <w:rPr>
          <w:rFonts w:eastAsia="Times New Roman"/>
          <w:lang w:val="fr-FR"/>
        </w:rPr>
        <w:t> </w:t>
      </w:r>
      <w:r w:rsidR="008D6145" w:rsidRPr="008D6145">
        <w:rPr>
          <w:rFonts w:eastAsia="Times New Roman"/>
          <w:lang w:val="fr-FR"/>
        </w:rPr>
        <w:t>% du fait de la forte pluviométrie favorable à ces types de cultures. Ensuite, viennent les cultures céréalières dont la production totale réalisée dans le pays est de 1 714</w:t>
      </w:r>
      <w:r w:rsidR="005C39D0">
        <w:rPr>
          <w:rFonts w:eastAsia="Times New Roman"/>
          <w:lang w:val="fr-FR"/>
        </w:rPr>
        <w:t> </w:t>
      </w:r>
      <w:r w:rsidR="008D6145" w:rsidRPr="008D6145">
        <w:rPr>
          <w:rFonts w:eastAsia="Times New Roman"/>
          <w:lang w:val="fr-FR"/>
        </w:rPr>
        <w:t>040 tonnes en 2014 contre 1</w:t>
      </w:r>
      <w:r w:rsidR="005C39D0">
        <w:rPr>
          <w:rFonts w:eastAsia="Times New Roman"/>
          <w:lang w:val="fr-FR"/>
        </w:rPr>
        <w:t> </w:t>
      </w:r>
      <w:r w:rsidR="008D6145" w:rsidRPr="008D6145">
        <w:rPr>
          <w:rFonts w:eastAsia="Times New Roman"/>
          <w:lang w:val="fr-FR"/>
        </w:rPr>
        <w:t>636</w:t>
      </w:r>
      <w:r w:rsidR="005C39D0">
        <w:rPr>
          <w:rFonts w:eastAsia="Times New Roman"/>
          <w:lang w:val="fr-FR"/>
        </w:rPr>
        <w:t> </w:t>
      </w:r>
      <w:r w:rsidR="008D6145" w:rsidRPr="008D6145">
        <w:rPr>
          <w:rFonts w:eastAsia="Times New Roman"/>
          <w:lang w:val="fr-FR"/>
        </w:rPr>
        <w:t>242 tonnes en 2013, soit une augmentation de 4,8</w:t>
      </w:r>
      <w:r w:rsidR="00F94268">
        <w:rPr>
          <w:rFonts w:eastAsia="Times New Roman"/>
          <w:lang w:val="fr-FR"/>
        </w:rPr>
        <w:t> </w:t>
      </w:r>
      <w:r w:rsidR="008D6145" w:rsidRPr="008D6145">
        <w:rPr>
          <w:rFonts w:eastAsia="Times New Roman"/>
          <w:lang w:val="fr-FR"/>
        </w:rPr>
        <w:t>%. En tant que principale culture de céréales, la production du maïs a connu une croissance soutenue au cours des quatorze dernières années. La production du maïs est passée de</w:t>
      </w:r>
      <w:r w:rsidR="00F94268">
        <w:rPr>
          <w:rFonts w:eastAsia="Times New Roman"/>
          <w:lang w:val="fr-FR"/>
        </w:rPr>
        <w:t xml:space="preserve"> </w:t>
      </w:r>
      <w:r w:rsidR="008D6145" w:rsidRPr="008D6145">
        <w:rPr>
          <w:rFonts w:eastAsia="Times New Roman"/>
          <w:lang w:val="fr-FR"/>
        </w:rPr>
        <w:t>1</w:t>
      </w:r>
      <w:r w:rsidR="00F94268">
        <w:rPr>
          <w:rFonts w:eastAsia="Times New Roman"/>
          <w:lang w:val="fr-FR"/>
        </w:rPr>
        <w:t> </w:t>
      </w:r>
      <w:r w:rsidR="008D6145" w:rsidRPr="008D6145">
        <w:rPr>
          <w:rFonts w:eastAsia="Times New Roman"/>
          <w:lang w:val="fr-FR"/>
        </w:rPr>
        <w:t>316</w:t>
      </w:r>
      <w:r w:rsidR="00F94268">
        <w:rPr>
          <w:rFonts w:eastAsia="Times New Roman"/>
          <w:lang w:val="fr-FR"/>
        </w:rPr>
        <w:t> </w:t>
      </w:r>
      <w:r w:rsidR="008D6145" w:rsidRPr="008D6145">
        <w:rPr>
          <w:rFonts w:eastAsia="Times New Roman"/>
          <w:lang w:val="fr-FR"/>
        </w:rPr>
        <w:t>598 tonnes en 2013 à 1</w:t>
      </w:r>
      <w:r w:rsidR="00F94268">
        <w:rPr>
          <w:rFonts w:eastAsia="Times New Roman"/>
          <w:lang w:val="fr-FR"/>
        </w:rPr>
        <w:t> </w:t>
      </w:r>
      <w:r w:rsidR="008D6145" w:rsidRPr="008D6145">
        <w:rPr>
          <w:rFonts w:eastAsia="Times New Roman"/>
          <w:lang w:val="fr-FR"/>
        </w:rPr>
        <w:t>354 344 tonnes en 2014.</w:t>
      </w:r>
    </w:p>
    <w:p w:rsidR="008D6145" w:rsidRPr="008D6145" w:rsidRDefault="00821D2B" w:rsidP="00821D2B">
      <w:pPr>
        <w:pStyle w:val="SingleTxtG"/>
        <w:kinsoku/>
        <w:overflowPunct/>
        <w:autoSpaceDE/>
        <w:autoSpaceDN/>
        <w:adjustRightInd/>
        <w:snapToGrid/>
        <w:rPr>
          <w:rFonts w:eastAsia="Times New Roman"/>
          <w:lang w:val="fr-FR"/>
        </w:rPr>
      </w:pPr>
      <w:r w:rsidRPr="008D6145">
        <w:rPr>
          <w:rFonts w:eastAsia="Times New Roman"/>
          <w:lang w:val="fr-FR"/>
        </w:rPr>
        <w:t>51.</w:t>
      </w:r>
      <w:r w:rsidRPr="008D6145">
        <w:rPr>
          <w:rFonts w:eastAsia="Times New Roman"/>
          <w:lang w:val="fr-FR"/>
        </w:rPr>
        <w:tab/>
      </w:r>
      <w:r w:rsidR="008D6145" w:rsidRPr="008D6145">
        <w:rPr>
          <w:rFonts w:eastAsia="Times New Roman"/>
          <w:lang w:val="fr-FR"/>
        </w:rPr>
        <w:t>Pour ce qui est de la production halieutique, on note une augmentation de 15,2</w:t>
      </w:r>
      <w:r w:rsidR="00806FA8">
        <w:rPr>
          <w:rFonts w:eastAsia="Times New Roman"/>
          <w:lang w:val="fr-FR"/>
        </w:rPr>
        <w:t> </w:t>
      </w:r>
      <w:r w:rsidR="008D6145" w:rsidRPr="008D6145">
        <w:rPr>
          <w:rFonts w:eastAsia="Times New Roman"/>
          <w:lang w:val="fr-FR"/>
        </w:rPr>
        <w:t>% en 2014 par rapport à 2013. Cette production est caractérisée par les pêches continentales, maritimes et l</w:t>
      </w:r>
      <w:r w:rsidR="00A033A7">
        <w:rPr>
          <w:rFonts w:eastAsia="Times New Roman"/>
          <w:lang w:val="fr-FR"/>
        </w:rPr>
        <w:t>’</w:t>
      </w:r>
      <w:r w:rsidR="008D6145" w:rsidRPr="008D6145">
        <w:rPr>
          <w:rFonts w:eastAsia="Times New Roman"/>
          <w:lang w:val="fr-FR"/>
        </w:rPr>
        <w:t>aquaculture. Sur la période 2006-2014, la production halieutique au Bénin est estimée en moyenne à 39</w:t>
      </w:r>
      <w:r w:rsidR="00806FA8">
        <w:rPr>
          <w:rFonts w:eastAsia="Times New Roman"/>
          <w:lang w:val="fr-FR"/>
        </w:rPr>
        <w:t> </w:t>
      </w:r>
      <w:r w:rsidR="008D6145" w:rsidRPr="008D6145">
        <w:rPr>
          <w:rFonts w:eastAsia="Times New Roman"/>
          <w:lang w:val="fr-FR"/>
        </w:rPr>
        <w:t>813 tonnes par an. En 2014, elle est de 43</w:t>
      </w:r>
      <w:r w:rsidR="00806FA8">
        <w:rPr>
          <w:rFonts w:eastAsia="Times New Roman"/>
          <w:lang w:val="fr-FR"/>
        </w:rPr>
        <w:t> </w:t>
      </w:r>
      <w:r w:rsidR="008D6145" w:rsidRPr="008D6145">
        <w:rPr>
          <w:rFonts w:eastAsia="Times New Roman"/>
          <w:lang w:val="fr-FR"/>
        </w:rPr>
        <w:t>820,7 tonnes, en hausse de 2,9</w:t>
      </w:r>
      <w:r w:rsidR="00806FA8">
        <w:rPr>
          <w:rFonts w:eastAsia="Times New Roman"/>
          <w:lang w:val="fr-FR"/>
        </w:rPr>
        <w:t> </w:t>
      </w:r>
      <w:r w:rsidR="008D6145" w:rsidRPr="008D6145">
        <w:rPr>
          <w:rFonts w:eastAsia="Times New Roman"/>
          <w:lang w:val="fr-FR"/>
        </w:rPr>
        <w:t>% par rapport à 2013. Par ailleurs, la production halieutique est dominée par la pêche continentale qui totalise 67,8</w:t>
      </w:r>
      <w:r w:rsidR="00806FA8">
        <w:rPr>
          <w:rFonts w:eastAsia="Times New Roman"/>
          <w:lang w:val="fr-FR"/>
        </w:rPr>
        <w:t> </w:t>
      </w:r>
      <w:r w:rsidR="008D6145" w:rsidRPr="008D6145">
        <w:rPr>
          <w:rFonts w:eastAsia="Times New Roman"/>
          <w:lang w:val="fr-FR"/>
        </w:rPr>
        <w:t>% de la production du secteur en 2014 contre 66,2</w:t>
      </w:r>
      <w:r w:rsidR="00806FA8">
        <w:rPr>
          <w:rFonts w:eastAsia="Times New Roman"/>
          <w:lang w:val="fr-FR"/>
        </w:rPr>
        <w:t> </w:t>
      </w:r>
      <w:r w:rsidR="008D6145" w:rsidRPr="008D6145">
        <w:rPr>
          <w:rFonts w:eastAsia="Times New Roman"/>
          <w:lang w:val="fr-FR"/>
        </w:rPr>
        <w:t>% en 2013. « L</w:t>
      </w:r>
      <w:r w:rsidR="00A033A7">
        <w:rPr>
          <w:rFonts w:eastAsia="Times New Roman"/>
          <w:lang w:val="fr-FR"/>
        </w:rPr>
        <w:t>’</w:t>
      </w:r>
      <w:r w:rsidR="008D6145" w:rsidRPr="008D6145">
        <w:rPr>
          <w:rFonts w:eastAsia="Times New Roman"/>
          <w:lang w:val="fr-FR"/>
        </w:rPr>
        <w:t>Agenda BENIN 2025 » fait ressortir que le secteur agro-alimentaire (pêche, fruits et légumes, produits vivriers et produits non ligneux, etc.) représente le premier secteur attirant des IDE (69 % des IDE du pays) et le deuxième secteur exportateur.</w:t>
      </w:r>
    </w:p>
    <w:p w:rsidR="008D6145" w:rsidRPr="008D6145" w:rsidRDefault="00821D2B" w:rsidP="00821D2B">
      <w:pPr>
        <w:pStyle w:val="SingleTxtG"/>
        <w:kinsoku/>
        <w:overflowPunct/>
        <w:autoSpaceDE/>
        <w:autoSpaceDN/>
        <w:adjustRightInd/>
        <w:snapToGrid/>
        <w:rPr>
          <w:rFonts w:eastAsia="Times New Roman"/>
          <w:lang w:val="fr-FR"/>
        </w:rPr>
      </w:pPr>
      <w:r w:rsidRPr="008D6145">
        <w:rPr>
          <w:rFonts w:eastAsia="Times New Roman"/>
          <w:lang w:val="fr-FR"/>
        </w:rPr>
        <w:t>52.</w:t>
      </w:r>
      <w:r w:rsidRPr="008D6145">
        <w:rPr>
          <w:rFonts w:eastAsia="Times New Roman"/>
          <w:lang w:val="fr-FR"/>
        </w:rPr>
        <w:tab/>
      </w:r>
      <w:r w:rsidR="008D6145" w:rsidRPr="008D6145">
        <w:rPr>
          <w:rFonts w:eastAsia="Times New Roman"/>
          <w:lang w:val="fr-FR"/>
        </w:rPr>
        <w:t>Malgré ces performances, le Bénin reste classé parmi les nations du monde où le niveau de prévalence de la faim est préoccupant. En 2013, l</w:t>
      </w:r>
      <w:r w:rsidR="00A033A7">
        <w:rPr>
          <w:rFonts w:eastAsia="Times New Roman"/>
          <w:lang w:val="fr-FR"/>
        </w:rPr>
        <w:t>’</w:t>
      </w:r>
      <w:r w:rsidR="008D6145" w:rsidRPr="008D6145">
        <w:rPr>
          <w:rFonts w:eastAsia="Times New Roman"/>
          <w:lang w:val="fr-FR"/>
        </w:rPr>
        <w:t>enquête nationale sur l</w:t>
      </w:r>
      <w:r w:rsidR="00A033A7">
        <w:rPr>
          <w:rFonts w:eastAsia="Times New Roman"/>
          <w:lang w:val="fr-FR"/>
        </w:rPr>
        <w:t>’</w:t>
      </w:r>
      <w:r w:rsidR="008D6145" w:rsidRPr="008D6145">
        <w:rPr>
          <w:rFonts w:eastAsia="Times New Roman"/>
          <w:lang w:val="fr-FR"/>
        </w:rPr>
        <w:t>analyse globale de la vulnérabilité et de la sécurité alimentaire (AGVSA) a révélé que 23</w:t>
      </w:r>
      <w:r w:rsidR="00806FA8">
        <w:rPr>
          <w:rFonts w:eastAsia="Times New Roman"/>
          <w:lang w:val="fr-FR"/>
        </w:rPr>
        <w:t> </w:t>
      </w:r>
      <w:r w:rsidR="008D6145" w:rsidRPr="008D6145">
        <w:rPr>
          <w:rFonts w:eastAsia="Times New Roman"/>
          <w:lang w:val="fr-FR"/>
        </w:rPr>
        <w:t>% des ménages ont une consommation alimentaire inadéquate ne leur permettant pas de mener une vie active et saine. Par aill</w:t>
      </w:r>
      <w:r w:rsidR="00142355">
        <w:rPr>
          <w:rFonts w:eastAsia="Times New Roman"/>
          <w:lang w:val="fr-FR"/>
        </w:rPr>
        <w:t>eurs, le Bénin enregistre des « pertes </w:t>
      </w:r>
      <w:r w:rsidR="008D6145" w:rsidRPr="008D6145">
        <w:rPr>
          <w:rFonts w:eastAsia="Times New Roman"/>
          <w:lang w:val="fr-FR"/>
        </w:rPr>
        <w:t>» en termes de développement humain, atteignant près de 35</w:t>
      </w:r>
      <w:r w:rsidR="00806FA8">
        <w:rPr>
          <w:rFonts w:eastAsia="Times New Roman"/>
          <w:lang w:val="fr-FR"/>
        </w:rPr>
        <w:t> </w:t>
      </w:r>
      <w:r w:rsidR="008D6145" w:rsidRPr="008D6145">
        <w:rPr>
          <w:rFonts w:eastAsia="Times New Roman"/>
          <w:lang w:val="fr-FR"/>
        </w:rPr>
        <w:t>% de son potentiel en raison des inégalités de toutes sortes, y</w:t>
      </w:r>
      <w:r w:rsidR="00806FA8">
        <w:rPr>
          <w:rFonts w:eastAsia="Times New Roman"/>
          <w:lang w:val="fr-FR"/>
        </w:rPr>
        <w:t> </w:t>
      </w:r>
      <w:r w:rsidR="008D6145" w:rsidRPr="008D6145">
        <w:rPr>
          <w:rFonts w:eastAsia="Times New Roman"/>
          <w:lang w:val="fr-FR"/>
        </w:rPr>
        <w:t>compris l</w:t>
      </w:r>
      <w:r w:rsidR="00A033A7">
        <w:rPr>
          <w:rFonts w:eastAsia="Times New Roman"/>
          <w:lang w:val="fr-FR"/>
        </w:rPr>
        <w:t>’</w:t>
      </w:r>
      <w:r w:rsidR="008D6145" w:rsidRPr="008D6145">
        <w:rPr>
          <w:rFonts w:eastAsia="Times New Roman"/>
          <w:lang w:val="fr-FR"/>
        </w:rPr>
        <w:t>accès à l</w:t>
      </w:r>
      <w:r w:rsidR="00A033A7">
        <w:rPr>
          <w:rFonts w:eastAsia="Times New Roman"/>
          <w:lang w:val="fr-FR"/>
        </w:rPr>
        <w:t>’</w:t>
      </w:r>
      <w:r w:rsidR="008D6145" w:rsidRPr="008D6145">
        <w:rPr>
          <w:rFonts w:eastAsia="Times New Roman"/>
          <w:lang w:val="fr-FR"/>
        </w:rPr>
        <w:t>alimentation. Ainsi, la situation de la sécurité alimentaire ne peut laisser personne indifférent. Tant qu</w:t>
      </w:r>
      <w:r w:rsidR="00A033A7">
        <w:rPr>
          <w:rFonts w:eastAsia="Times New Roman"/>
          <w:lang w:val="fr-FR"/>
        </w:rPr>
        <w:t>’</w:t>
      </w:r>
      <w:r w:rsidR="008D6145" w:rsidRPr="008D6145">
        <w:rPr>
          <w:rFonts w:eastAsia="Times New Roman"/>
          <w:lang w:val="fr-FR"/>
        </w:rPr>
        <w:t>elle ne s</w:t>
      </w:r>
      <w:r w:rsidR="00A033A7">
        <w:rPr>
          <w:rFonts w:eastAsia="Times New Roman"/>
          <w:lang w:val="fr-FR"/>
        </w:rPr>
        <w:t>’</w:t>
      </w:r>
      <w:r w:rsidR="008D6145" w:rsidRPr="008D6145">
        <w:rPr>
          <w:rFonts w:eastAsia="Times New Roman"/>
          <w:lang w:val="fr-FR"/>
        </w:rPr>
        <w:t>améliore pas, les perspectives pour des milliers, voire des millions de béninois en matière de condition de vie, de moyens de subsistance et de développement humain resteront figées.</w:t>
      </w:r>
    </w:p>
    <w:p w:rsidR="008D6145" w:rsidRPr="008D6145" w:rsidRDefault="008D6145" w:rsidP="00821D2B">
      <w:pPr>
        <w:pStyle w:val="H23G"/>
        <w:rPr>
          <w:lang w:val="fr-FR"/>
        </w:rPr>
      </w:pPr>
      <w:r w:rsidRPr="008D6145">
        <w:rPr>
          <w:lang w:val="fr-FR"/>
        </w:rPr>
        <w:tab/>
      </w:r>
      <w:r w:rsidRPr="008D6145">
        <w:rPr>
          <w:lang w:val="fr-FR"/>
        </w:rPr>
        <w:tab/>
        <w:t>Le droit à l</w:t>
      </w:r>
      <w:r w:rsidR="00A033A7">
        <w:rPr>
          <w:lang w:val="fr-FR"/>
        </w:rPr>
        <w:t>’</w:t>
      </w:r>
      <w:r w:rsidRPr="008D6145">
        <w:rPr>
          <w:lang w:val="fr-FR"/>
        </w:rPr>
        <w:t>eau</w:t>
      </w:r>
    </w:p>
    <w:p w:rsidR="008D6145" w:rsidRPr="008D6145" w:rsidRDefault="00821D2B" w:rsidP="00821D2B">
      <w:pPr>
        <w:pStyle w:val="SingleTxtG"/>
        <w:kinsoku/>
        <w:overflowPunct/>
        <w:autoSpaceDE/>
        <w:autoSpaceDN/>
        <w:adjustRightInd/>
        <w:snapToGrid/>
        <w:rPr>
          <w:rFonts w:eastAsia="Times New Roman"/>
          <w:lang w:val="fr-FR"/>
        </w:rPr>
      </w:pPr>
      <w:r w:rsidRPr="008D6145">
        <w:rPr>
          <w:rFonts w:eastAsia="Times New Roman"/>
          <w:lang w:val="fr-FR"/>
        </w:rPr>
        <w:t>53.</w:t>
      </w:r>
      <w:r w:rsidRPr="008D6145">
        <w:rPr>
          <w:rFonts w:eastAsia="Times New Roman"/>
          <w:lang w:val="fr-FR"/>
        </w:rPr>
        <w:tab/>
      </w:r>
      <w:r w:rsidR="008D6145" w:rsidRPr="008D6145">
        <w:rPr>
          <w:rFonts w:eastAsia="Times New Roman"/>
          <w:lang w:val="fr-FR"/>
        </w:rPr>
        <w:t>L</w:t>
      </w:r>
      <w:r w:rsidR="00A033A7">
        <w:rPr>
          <w:rFonts w:eastAsia="Times New Roman"/>
          <w:lang w:val="fr-FR"/>
        </w:rPr>
        <w:t xml:space="preserve">’État </w:t>
      </w:r>
      <w:r w:rsidR="008D6145" w:rsidRPr="008D6145">
        <w:rPr>
          <w:rFonts w:eastAsia="Times New Roman"/>
          <w:lang w:val="fr-FR"/>
        </w:rPr>
        <w:t>avec l</w:t>
      </w:r>
      <w:r w:rsidR="00A033A7">
        <w:rPr>
          <w:rFonts w:eastAsia="Times New Roman"/>
          <w:lang w:val="fr-FR"/>
        </w:rPr>
        <w:t>’</w:t>
      </w:r>
      <w:r w:rsidR="008D6145" w:rsidRPr="008D6145">
        <w:rPr>
          <w:rFonts w:eastAsia="Times New Roman"/>
          <w:lang w:val="fr-FR"/>
        </w:rPr>
        <w:t>appui des Partenaires Techniques et Financiers (PTF) ne cesse de fournir des efforts pour accroître l</w:t>
      </w:r>
      <w:r w:rsidR="00A033A7">
        <w:rPr>
          <w:rFonts w:eastAsia="Times New Roman"/>
          <w:lang w:val="fr-FR"/>
        </w:rPr>
        <w:t>’</w:t>
      </w:r>
      <w:r w:rsidR="008D6145" w:rsidRPr="008D6145">
        <w:rPr>
          <w:rFonts w:eastAsia="Times New Roman"/>
          <w:lang w:val="fr-FR"/>
        </w:rPr>
        <w:t>accès à l</w:t>
      </w:r>
      <w:r w:rsidR="00A033A7">
        <w:rPr>
          <w:rFonts w:eastAsia="Times New Roman"/>
          <w:lang w:val="fr-FR"/>
        </w:rPr>
        <w:t>’</w:t>
      </w:r>
      <w:r w:rsidR="008D6145" w:rsidRPr="008D6145">
        <w:rPr>
          <w:rFonts w:eastAsia="Times New Roman"/>
          <w:lang w:val="fr-FR"/>
        </w:rPr>
        <w:t>eau potable aux populations</w:t>
      </w:r>
      <w:r w:rsidR="00B459EF">
        <w:rPr>
          <w:rFonts w:eastAsia="Times New Roman"/>
          <w:lang w:val="fr-FR"/>
        </w:rPr>
        <w:t>.</w:t>
      </w:r>
    </w:p>
    <w:p w:rsidR="008D6145" w:rsidRPr="008D6145" w:rsidRDefault="00821D2B" w:rsidP="00821D2B">
      <w:pPr>
        <w:pStyle w:val="SingleTxtG"/>
        <w:kinsoku/>
        <w:overflowPunct/>
        <w:autoSpaceDE/>
        <w:autoSpaceDN/>
        <w:adjustRightInd/>
        <w:snapToGrid/>
        <w:rPr>
          <w:rFonts w:eastAsia="Times New Roman"/>
          <w:lang w:val="fr-FR"/>
        </w:rPr>
      </w:pPr>
      <w:r w:rsidRPr="008D6145">
        <w:rPr>
          <w:rFonts w:eastAsia="Times New Roman"/>
          <w:lang w:val="fr-FR"/>
        </w:rPr>
        <w:t>54.</w:t>
      </w:r>
      <w:r w:rsidRPr="008D6145">
        <w:rPr>
          <w:rFonts w:eastAsia="Times New Roman"/>
          <w:lang w:val="fr-FR"/>
        </w:rPr>
        <w:tab/>
      </w:r>
      <w:r w:rsidR="008D6145" w:rsidRPr="008D6145">
        <w:rPr>
          <w:rFonts w:eastAsia="Times New Roman"/>
          <w:lang w:val="fr-FR"/>
        </w:rPr>
        <w:t>Selon les statistiques des cinq dernières années, le taux de desserte en eau potable a considérablement évolué. Au niveau national, ce taux s</w:t>
      </w:r>
      <w:r w:rsidR="00A033A7">
        <w:rPr>
          <w:rFonts w:eastAsia="Times New Roman"/>
          <w:lang w:val="fr-FR"/>
        </w:rPr>
        <w:t>’</w:t>
      </w:r>
      <w:r w:rsidR="008D6145" w:rsidRPr="008D6145">
        <w:rPr>
          <w:rFonts w:eastAsia="Times New Roman"/>
          <w:lang w:val="fr-FR"/>
        </w:rPr>
        <w:t>élève à 68,2</w:t>
      </w:r>
      <w:r w:rsidR="00806FA8">
        <w:rPr>
          <w:rFonts w:eastAsia="Times New Roman"/>
          <w:lang w:val="fr-FR"/>
        </w:rPr>
        <w:t> </w:t>
      </w:r>
      <w:r w:rsidR="008D6145" w:rsidRPr="008D6145">
        <w:rPr>
          <w:rFonts w:eastAsia="Times New Roman"/>
          <w:lang w:val="fr-FR"/>
        </w:rPr>
        <w:t>% en 2014 contre 65,7</w:t>
      </w:r>
      <w:r w:rsidR="00806FA8">
        <w:rPr>
          <w:rFonts w:eastAsia="Times New Roman"/>
          <w:lang w:val="fr-FR"/>
        </w:rPr>
        <w:t> </w:t>
      </w:r>
      <w:r w:rsidR="008D6145" w:rsidRPr="008D6145">
        <w:rPr>
          <w:rFonts w:eastAsia="Times New Roman"/>
          <w:lang w:val="fr-FR"/>
        </w:rPr>
        <w:t>% en 2013. Néanmoins, on observe d</w:t>
      </w:r>
      <w:r w:rsidR="00A033A7">
        <w:rPr>
          <w:rFonts w:eastAsia="Times New Roman"/>
          <w:lang w:val="fr-FR"/>
        </w:rPr>
        <w:t>’</w:t>
      </w:r>
      <w:r w:rsidR="008D6145" w:rsidRPr="008D6145">
        <w:rPr>
          <w:rFonts w:eastAsia="Times New Roman"/>
          <w:lang w:val="fr-FR"/>
        </w:rPr>
        <w:t>énormes disparités d</w:t>
      </w:r>
      <w:r w:rsidR="00A033A7">
        <w:rPr>
          <w:rFonts w:eastAsia="Times New Roman"/>
          <w:lang w:val="fr-FR"/>
        </w:rPr>
        <w:t>’</w:t>
      </w:r>
      <w:r w:rsidR="008D6145" w:rsidRPr="008D6145">
        <w:rPr>
          <w:rFonts w:eastAsia="Times New Roman"/>
          <w:lang w:val="fr-FR"/>
        </w:rPr>
        <w:t>un département à un autre. Les départements du Borgou (63</w:t>
      </w:r>
      <w:r w:rsidR="00806FA8">
        <w:rPr>
          <w:rFonts w:eastAsia="Times New Roman"/>
          <w:lang w:val="fr-FR"/>
        </w:rPr>
        <w:t> </w:t>
      </w:r>
      <w:r w:rsidR="008D6145" w:rsidRPr="008D6145">
        <w:rPr>
          <w:rFonts w:eastAsia="Times New Roman"/>
          <w:lang w:val="fr-FR"/>
        </w:rPr>
        <w:t>%), de l</w:t>
      </w:r>
      <w:r w:rsidR="00A033A7">
        <w:rPr>
          <w:rFonts w:eastAsia="Times New Roman"/>
          <w:lang w:val="fr-FR"/>
        </w:rPr>
        <w:t>’</w:t>
      </w:r>
      <w:r w:rsidR="008D6145" w:rsidRPr="008D6145">
        <w:rPr>
          <w:rFonts w:eastAsia="Times New Roman"/>
          <w:lang w:val="fr-FR"/>
        </w:rPr>
        <w:t>Atlantique (55,1</w:t>
      </w:r>
      <w:r w:rsidR="00806FA8">
        <w:rPr>
          <w:rFonts w:eastAsia="Times New Roman"/>
          <w:lang w:val="fr-FR"/>
        </w:rPr>
        <w:t> </w:t>
      </w:r>
      <w:r w:rsidR="008D6145" w:rsidRPr="008D6145">
        <w:rPr>
          <w:rFonts w:eastAsia="Times New Roman"/>
          <w:lang w:val="fr-FR"/>
        </w:rPr>
        <w:t>%) et de l</w:t>
      </w:r>
      <w:r w:rsidR="00A033A7">
        <w:rPr>
          <w:rFonts w:eastAsia="Times New Roman"/>
          <w:lang w:val="fr-FR"/>
        </w:rPr>
        <w:t>’</w:t>
      </w:r>
      <w:r w:rsidR="008D6145" w:rsidRPr="008D6145">
        <w:rPr>
          <w:rFonts w:eastAsia="Times New Roman"/>
          <w:lang w:val="fr-FR"/>
        </w:rPr>
        <w:t>Ouémé (45,9</w:t>
      </w:r>
      <w:r w:rsidR="00806FA8">
        <w:rPr>
          <w:rFonts w:eastAsia="Times New Roman"/>
          <w:lang w:val="fr-FR"/>
        </w:rPr>
        <w:t> </w:t>
      </w:r>
      <w:r w:rsidR="008D6145" w:rsidRPr="008D6145">
        <w:rPr>
          <w:rFonts w:eastAsia="Times New Roman"/>
          <w:lang w:val="fr-FR"/>
        </w:rPr>
        <w:t>%) affichent des niveaux en dessous de la moyenne nationale. Ces efforts quoique louables de l</w:t>
      </w:r>
      <w:r w:rsidR="00A033A7">
        <w:rPr>
          <w:rFonts w:eastAsia="Times New Roman"/>
          <w:lang w:val="fr-FR"/>
        </w:rPr>
        <w:t>’État</w:t>
      </w:r>
      <w:r w:rsidR="000B490E">
        <w:rPr>
          <w:rFonts w:eastAsia="Times New Roman"/>
          <w:lang w:val="fr-FR"/>
        </w:rPr>
        <w:t xml:space="preserve"> </w:t>
      </w:r>
      <w:r w:rsidR="008D6145" w:rsidRPr="008D6145">
        <w:rPr>
          <w:rFonts w:eastAsia="Times New Roman"/>
          <w:lang w:val="fr-FR"/>
        </w:rPr>
        <w:t>permettent aux populations surtout les plus reculées à s</w:t>
      </w:r>
      <w:r w:rsidR="00A033A7">
        <w:rPr>
          <w:rFonts w:eastAsia="Times New Roman"/>
          <w:lang w:val="fr-FR"/>
        </w:rPr>
        <w:t>’</w:t>
      </w:r>
      <w:r w:rsidR="008D6145" w:rsidRPr="008D6145">
        <w:rPr>
          <w:rFonts w:eastAsia="Times New Roman"/>
          <w:lang w:val="fr-FR"/>
        </w:rPr>
        <w:t>abreuver en eau potable. C</w:t>
      </w:r>
      <w:r w:rsidR="00A033A7">
        <w:rPr>
          <w:rFonts w:eastAsia="Times New Roman"/>
          <w:lang w:val="fr-FR"/>
        </w:rPr>
        <w:t>’</w:t>
      </w:r>
      <w:r w:rsidR="008D6145" w:rsidRPr="008D6145">
        <w:rPr>
          <w:rFonts w:eastAsia="Times New Roman"/>
          <w:lang w:val="fr-FR"/>
        </w:rPr>
        <w:t>est alors que le nombre de points d</w:t>
      </w:r>
      <w:r w:rsidR="00A033A7">
        <w:rPr>
          <w:rFonts w:eastAsia="Times New Roman"/>
          <w:lang w:val="fr-FR"/>
        </w:rPr>
        <w:t>’</w:t>
      </w:r>
      <w:r w:rsidR="008D6145" w:rsidRPr="008D6145">
        <w:rPr>
          <w:rFonts w:eastAsia="Times New Roman"/>
          <w:lang w:val="fr-FR"/>
        </w:rPr>
        <w:t>eau installé par le gouvernement en 2014 est estimé à 28 873 EPE</w:t>
      </w:r>
      <w:r w:rsidR="008D6145" w:rsidRPr="00B459EF">
        <w:rPr>
          <w:rStyle w:val="Appelnotedebasdep"/>
        </w:rPr>
        <w:footnoteReference w:id="3"/>
      </w:r>
      <w:r w:rsidR="008D6145" w:rsidRPr="008D6145">
        <w:rPr>
          <w:rFonts w:eastAsia="Times New Roman"/>
          <w:lang w:val="fr-FR"/>
        </w:rPr>
        <w:t xml:space="preserve"> contre 27 403 EPE en 2013, soit un accroissement de 5,4</w:t>
      </w:r>
      <w:r w:rsidR="00806FA8">
        <w:rPr>
          <w:rFonts w:eastAsia="Times New Roman"/>
          <w:lang w:val="fr-FR"/>
        </w:rPr>
        <w:t> </w:t>
      </w:r>
      <w:r w:rsidR="008D6145" w:rsidRPr="008D6145">
        <w:rPr>
          <w:rFonts w:eastAsia="Times New Roman"/>
          <w:lang w:val="fr-FR"/>
        </w:rPr>
        <w:t>%. Le taux de fonctionnement des points d</w:t>
      </w:r>
      <w:r w:rsidR="00A033A7">
        <w:rPr>
          <w:rFonts w:eastAsia="Times New Roman"/>
          <w:lang w:val="fr-FR"/>
        </w:rPr>
        <w:t>’</w:t>
      </w:r>
      <w:r w:rsidR="008D6145" w:rsidRPr="008D6145">
        <w:rPr>
          <w:rFonts w:eastAsia="Times New Roman"/>
          <w:lang w:val="fr-FR"/>
        </w:rPr>
        <w:t>eau est estimé à 87,4</w:t>
      </w:r>
      <w:r w:rsidR="00806FA8">
        <w:rPr>
          <w:rFonts w:eastAsia="Times New Roman"/>
          <w:lang w:val="fr-FR"/>
        </w:rPr>
        <w:t> </w:t>
      </w:r>
      <w:r w:rsidR="008D6145" w:rsidRPr="008D6145">
        <w:rPr>
          <w:rFonts w:eastAsia="Times New Roman"/>
          <w:lang w:val="fr-FR"/>
        </w:rPr>
        <w:t>%en 2014 contre 85,2</w:t>
      </w:r>
      <w:r w:rsidR="00806FA8">
        <w:rPr>
          <w:rFonts w:eastAsia="Times New Roman"/>
          <w:lang w:val="fr-FR"/>
        </w:rPr>
        <w:t> </w:t>
      </w:r>
      <w:r w:rsidR="008D6145" w:rsidRPr="008D6145">
        <w:rPr>
          <w:rFonts w:eastAsia="Times New Roman"/>
          <w:lang w:val="fr-FR"/>
        </w:rPr>
        <w:t>% en 2013, soit environ 13 EPE en panne sur 100 en 2014.</w:t>
      </w:r>
    </w:p>
    <w:p w:rsidR="008D6145" w:rsidRPr="008D6145" w:rsidRDefault="00821D2B" w:rsidP="00821D2B">
      <w:pPr>
        <w:pStyle w:val="SingleTxtG"/>
        <w:kinsoku/>
        <w:overflowPunct/>
        <w:autoSpaceDE/>
        <w:autoSpaceDN/>
        <w:adjustRightInd/>
        <w:snapToGrid/>
        <w:rPr>
          <w:rFonts w:eastAsia="Times New Roman"/>
          <w:lang w:val="fr-FR"/>
        </w:rPr>
      </w:pPr>
      <w:r w:rsidRPr="008D6145">
        <w:rPr>
          <w:rFonts w:eastAsia="Times New Roman"/>
          <w:lang w:val="fr-FR"/>
        </w:rPr>
        <w:lastRenderedPageBreak/>
        <w:t>55.</w:t>
      </w:r>
      <w:r w:rsidRPr="008D6145">
        <w:rPr>
          <w:rFonts w:eastAsia="Times New Roman"/>
          <w:lang w:val="fr-FR"/>
        </w:rPr>
        <w:tab/>
      </w:r>
      <w:r w:rsidR="008D6145" w:rsidRPr="008D6145">
        <w:rPr>
          <w:rFonts w:eastAsia="Times New Roman"/>
          <w:lang w:val="fr-FR"/>
        </w:rPr>
        <w:t>Par ailleurs, l</w:t>
      </w:r>
      <w:r w:rsidR="00A033A7">
        <w:rPr>
          <w:rFonts w:eastAsia="Times New Roman"/>
          <w:lang w:val="fr-FR"/>
        </w:rPr>
        <w:t>’</w:t>
      </w:r>
      <w:r w:rsidR="008D6145" w:rsidRPr="008D6145">
        <w:rPr>
          <w:rFonts w:eastAsia="Times New Roman"/>
          <w:lang w:val="fr-FR"/>
        </w:rPr>
        <w:t>effectif de la population s</w:t>
      </w:r>
      <w:r w:rsidR="00A033A7">
        <w:rPr>
          <w:rFonts w:eastAsia="Times New Roman"/>
          <w:lang w:val="fr-FR"/>
        </w:rPr>
        <w:t>’</w:t>
      </w:r>
      <w:r w:rsidR="008D6145" w:rsidRPr="008D6145">
        <w:rPr>
          <w:rFonts w:eastAsia="Times New Roman"/>
          <w:lang w:val="fr-FR"/>
        </w:rPr>
        <w:t>approvisionnant en eau potable provenant de la SONEB enregistre une hausse d</w:t>
      </w:r>
      <w:r w:rsidR="00A033A7">
        <w:rPr>
          <w:rFonts w:eastAsia="Times New Roman"/>
          <w:lang w:val="fr-FR"/>
        </w:rPr>
        <w:t>’</w:t>
      </w:r>
      <w:r w:rsidR="008D6145" w:rsidRPr="008D6145">
        <w:rPr>
          <w:rFonts w:eastAsia="Times New Roman"/>
          <w:lang w:val="fr-FR"/>
        </w:rPr>
        <w:t>une année à une autre, si bien que la situation de 2014 est mieux par rapport à celle de 2013, et celle de 2015 meilleure à celle de 2014. De façon précise et selon les récentes statistiques obtenues, le nombre d</w:t>
      </w:r>
      <w:r w:rsidR="00A033A7">
        <w:rPr>
          <w:rFonts w:eastAsia="Times New Roman"/>
          <w:lang w:val="fr-FR"/>
        </w:rPr>
        <w:t>’</w:t>
      </w:r>
      <w:r w:rsidR="008D6145" w:rsidRPr="008D6145">
        <w:rPr>
          <w:rFonts w:eastAsia="Times New Roman"/>
          <w:lang w:val="fr-FR"/>
        </w:rPr>
        <w:t>abonnés au réseau de distribution d</w:t>
      </w:r>
      <w:r w:rsidR="00A033A7">
        <w:rPr>
          <w:rFonts w:eastAsia="Times New Roman"/>
          <w:lang w:val="fr-FR"/>
        </w:rPr>
        <w:t>’</w:t>
      </w:r>
      <w:r w:rsidR="008D6145" w:rsidRPr="008D6145">
        <w:rPr>
          <w:rFonts w:eastAsia="Times New Roman"/>
          <w:lang w:val="fr-FR"/>
        </w:rPr>
        <w:t>eau de la SONEB s</w:t>
      </w:r>
      <w:r w:rsidR="00A033A7">
        <w:rPr>
          <w:rFonts w:eastAsia="Times New Roman"/>
          <w:lang w:val="fr-FR"/>
        </w:rPr>
        <w:t>’</w:t>
      </w:r>
      <w:r w:rsidR="008D6145" w:rsidRPr="008D6145">
        <w:rPr>
          <w:rFonts w:eastAsia="Times New Roman"/>
          <w:lang w:val="fr-FR"/>
        </w:rPr>
        <w:t>élève à 205</w:t>
      </w:r>
      <w:r w:rsidR="00A32A6E">
        <w:rPr>
          <w:rFonts w:eastAsia="Times New Roman"/>
          <w:lang w:val="fr-FR"/>
        </w:rPr>
        <w:t> </w:t>
      </w:r>
      <w:r w:rsidR="008D6145" w:rsidRPr="008D6145">
        <w:rPr>
          <w:rFonts w:eastAsia="Times New Roman"/>
          <w:lang w:val="fr-FR"/>
        </w:rPr>
        <w:t>888 personnes en 2014 contre 194 814 personnes en 2013 portant à 72</w:t>
      </w:r>
      <w:r w:rsidR="007A6061">
        <w:rPr>
          <w:rFonts w:eastAsia="Times New Roman"/>
          <w:lang w:val="fr-FR"/>
        </w:rPr>
        <w:t> </w:t>
      </w:r>
      <w:r w:rsidR="008D6145" w:rsidRPr="008D6145">
        <w:rPr>
          <w:rFonts w:eastAsia="Times New Roman"/>
          <w:lang w:val="fr-FR"/>
        </w:rPr>
        <w:t>% le taux de desserte en eau de la SONEB.</w:t>
      </w:r>
    </w:p>
    <w:p w:rsidR="008D6145" w:rsidRPr="008D6145" w:rsidRDefault="00821D2B" w:rsidP="00821D2B">
      <w:pPr>
        <w:pStyle w:val="SingleTxtG"/>
        <w:kinsoku/>
        <w:overflowPunct/>
        <w:autoSpaceDE/>
        <w:autoSpaceDN/>
        <w:adjustRightInd/>
        <w:snapToGrid/>
        <w:rPr>
          <w:rFonts w:eastAsia="Times New Roman"/>
          <w:lang w:val="fr-FR"/>
        </w:rPr>
      </w:pPr>
      <w:r w:rsidRPr="008D6145">
        <w:rPr>
          <w:rFonts w:eastAsia="Times New Roman"/>
          <w:lang w:val="fr-FR"/>
        </w:rPr>
        <w:t>56.</w:t>
      </w:r>
      <w:r w:rsidRPr="008D6145">
        <w:rPr>
          <w:rFonts w:eastAsia="Times New Roman"/>
          <w:lang w:val="fr-FR"/>
        </w:rPr>
        <w:tab/>
      </w:r>
      <w:r w:rsidR="008D6145" w:rsidRPr="008D6145">
        <w:rPr>
          <w:rFonts w:eastAsia="Times New Roman"/>
          <w:lang w:val="fr-FR"/>
        </w:rPr>
        <w:t>Aussi on note, aujourd</w:t>
      </w:r>
      <w:r w:rsidR="00A033A7">
        <w:rPr>
          <w:rFonts w:eastAsia="Times New Roman"/>
          <w:lang w:val="fr-FR"/>
        </w:rPr>
        <w:t>’</w:t>
      </w:r>
      <w:r w:rsidR="008D6145" w:rsidRPr="008D6145">
        <w:rPr>
          <w:rFonts w:eastAsia="Times New Roman"/>
          <w:lang w:val="fr-FR"/>
        </w:rPr>
        <w:t>hui, une préférence au niveau de certains ménages pour l</w:t>
      </w:r>
      <w:r w:rsidR="00A033A7">
        <w:rPr>
          <w:rFonts w:eastAsia="Times New Roman"/>
          <w:lang w:val="fr-FR"/>
        </w:rPr>
        <w:t>’</w:t>
      </w:r>
      <w:r w:rsidR="008D6145" w:rsidRPr="008D6145">
        <w:rPr>
          <w:rFonts w:eastAsia="Times New Roman"/>
          <w:lang w:val="fr-FR"/>
        </w:rPr>
        <w:t>installation des forages comme source d</w:t>
      </w:r>
      <w:r w:rsidR="00A033A7">
        <w:rPr>
          <w:rFonts w:eastAsia="Times New Roman"/>
          <w:lang w:val="fr-FR"/>
        </w:rPr>
        <w:t>’</w:t>
      </w:r>
      <w:r w:rsidR="008D6145" w:rsidRPr="008D6145">
        <w:rPr>
          <w:rFonts w:eastAsia="Times New Roman"/>
          <w:lang w:val="fr-FR"/>
        </w:rPr>
        <w:t>approvisionnement en eau. Les raisons de ce choix sont multiples : limiter les factures parfois élevées de la SONEB, avoir accès à une eau potable (pour ceux qui sont dans les zones reculées).</w:t>
      </w:r>
    </w:p>
    <w:p w:rsidR="008D6145" w:rsidRPr="008D6145" w:rsidRDefault="00821D2B" w:rsidP="00821D2B">
      <w:pPr>
        <w:pStyle w:val="SingleTxtG"/>
        <w:kinsoku/>
        <w:overflowPunct/>
        <w:autoSpaceDE/>
        <w:autoSpaceDN/>
        <w:adjustRightInd/>
        <w:snapToGrid/>
        <w:rPr>
          <w:rFonts w:eastAsia="Times New Roman"/>
          <w:lang w:val="fr-FR"/>
        </w:rPr>
      </w:pPr>
      <w:r w:rsidRPr="008D6145">
        <w:rPr>
          <w:rFonts w:eastAsia="Times New Roman"/>
          <w:lang w:val="fr-FR"/>
        </w:rPr>
        <w:t>57.</w:t>
      </w:r>
      <w:r w:rsidRPr="008D6145">
        <w:rPr>
          <w:rFonts w:eastAsia="Times New Roman"/>
          <w:lang w:val="fr-FR"/>
        </w:rPr>
        <w:tab/>
      </w:r>
      <w:r w:rsidR="008D6145" w:rsidRPr="008D6145">
        <w:rPr>
          <w:rFonts w:eastAsia="Times New Roman"/>
          <w:lang w:val="fr-FR"/>
        </w:rPr>
        <w:t>Du reste beaucoup d</w:t>
      </w:r>
      <w:r w:rsidR="00A033A7">
        <w:rPr>
          <w:rFonts w:eastAsia="Times New Roman"/>
          <w:lang w:val="fr-FR"/>
        </w:rPr>
        <w:t>’</w:t>
      </w:r>
      <w:r w:rsidR="008D6145" w:rsidRPr="008D6145">
        <w:rPr>
          <w:rFonts w:eastAsia="Times New Roman"/>
          <w:lang w:val="fr-FR"/>
        </w:rPr>
        <w:t>efforts sont faits. Cependant, des défis concernant l</w:t>
      </w:r>
      <w:r w:rsidR="00A033A7">
        <w:rPr>
          <w:rFonts w:eastAsia="Times New Roman"/>
          <w:lang w:val="fr-FR"/>
        </w:rPr>
        <w:t>’</w:t>
      </w:r>
      <w:r w:rsidR="008D6145" w:rsidRPr="008D6145">
        <w:rPr>
          <w:rFonts w:eastAsia="Times New Roman"/>
          <w:lang w:val="fr-FR"/>
        </w:rPr>
        <w:t>accès permanent et la qualité de l</w:t>
      </w:r>
      <w:r w:rsidR="00A033A7">
        <w:rPr>
          <w:rFonts w:eastAsia="Times New Roman"/>
          <w:lang w:val="fr-FR"/>
        </w:rPr>
        <w:t>’</w:t>
      </w:r>
      <w:r w:rsidR="008D6145" w:rsidRPr="008D6145">
        <w:rPr>
          <w:rFonts w:eastAsia="Times New Roman"/>
          <w:lang w:val="fr-FR"/>
        </w:rPr>
        <w:t>eau restent à relever.</w:t>
      </w:r>
    </w:p>
    <w:p w:rsidR="008D6145" w:rsidRPr="008D6145" w:rsidRDefault="008D6145" w:rsidP="00821D2B">
      <w:pPr>
        <w:pStyle w:val="H23G"/>
        <w:rPr>
          <w:lang w:val="fr-FR"/>
        </w:rPr>
      </w:pPr>
      <w:r w:rsidRPr="008D6145">
        <w:rPr>
          <w:lang w:val="fr-FR"/>
        </w:rPr>
        <w:tab/>
      </w:r>
      <w:r w:rsidRPr="008D6145">
        <w:rPr>
          <w:lang w:val="fr-FR"/>
        </w:rPr>
        <w:tab/>
        <w:t>Le droit à un logement décent</w:t>
      </w:r>
    </w:p>
    <w:p w:rsidR="008D6145" w:rsidRPr="008D6145" w:rsidRDefault="00821D2B" w:rsidP="00821D2B">
      <w:pPr>
        <w:pStyle w:val="SingleTxtG"/>
        <w:kinsoku/>
        <w:overflowPunct/>
        <w:autoSpaceDE/>
        <w:autoSpaceDN/>
        <w:adjustRightInd/>
        <w:snapToGrid/>
        <w:rPr>
          <w:rFonts w:eastAsia="Times New Roman"/>
          <w:lang w:val="fr-FR"/>
        </w:rPr>
      </w:pPr>
      <w:r w:rsidRPr="008D6145">
        <w:rPr>
          <w:rFonts w:eastAsia="Times New Roman"/>
          <w:lang w:val="fr-FR"/>
        </w:rPr>
        <w:t>58.</w:t>
      </w:r>
      <w:r w:rsidRPr="008D6145">
        <w:rPr>
          <w:rFonts w:eastAsia="Times New Roman"/>
          <w:lang w:val="fr-FR"/>
        </w:rPr>
        <w:tab/>
      </w:r>
      <w:r w:rsidR="008D6145" w:rsidRPr="008D6145">
        <w:rPr>
          <w:rFonts w:eastAsia="Times New Roman"/>
          <w:lang w:val="fr-FR"/>
        </w:rPr>
        <w:t>Le besoin en logement est largement au-dessus de l</w:t>
      </w:r>
      <w:r w:rsidR="00A033A7">
        <w:rPr>
          <w:rFonts w:eastAsia="Times New Roman"/>
          <w:lang w:val="fr-FR"/>
        </w:rPr>
        <w:t>’</w:t>
      </w:r>
      <w:r w:rsidR="008D6145" w:rsidRPr="008D6145">
        <w:rPr>
          <w:rFonts w:eastAsia="Times New Roman"/>
          <w:lang w:val="fr-FR"/>
        </w:rPr>
        <w:t>offre au Bénin. Que ce soit en milieu rural ou en milieu urbain, la population béninoise reste confrontée à des difficultés d</w:t>
      </w:r>
      <w:r w:rsidR="00A033A7">
        <w:rPr>
          <w:rFonts w:eastAsia="Times New Roman"/>
          <w:lang w:val="fr-FR"/>
        </w:rPr>
        <w:t>’</w:t>
      </w:r>
      <w:r w:rsidR="008D6145" w:rsidRPr="008D6145">
        <w:rPr>
          <w:rFonts w:eastAsia="Times New Roman"/>
          <w:lang w:val="fr-FR"/>
        </w:rPr>
        <w:t>accès au logement.</w:t>
      </w:r>
    </w:p>
    <w:p w:rsidR="008D6145" w:rsidRPr="008D6145" w:rsidRDefault="00821D2B" w:rsidP="00821D2B">
      <w:pPr>
        <w:pStyle w:val="SingleTxtG"/>
        <w:kinsoku/>
        <w:overflowPunct/>
        <w:autoSpaceDE/>
        <w:autoSpaceDN/>
        <w:adjustRightInd/>
        <w:snapToGrid/>
        <w:rPr>
          <w:rFonts w:eastAsia="Times New Roman"/>
          <w:lang w:val="fr-FR"/>
        </w:rPr>
      </w:pPr>
      <w:r w:rsidRPr="008D6145">
        <w:rPr>
          <w:rFonts w:eastAsia="Times New Roman"/>
          <w:lang w:val="fr-FR"/>
        </w:rPr>
        <w:t>59.</w:t>
      </w:r>
      <w:r w:rsidRPr="008D6145">
        <w:rPr>
          <w:rFonts w:eastAsia="Times New Roman"/>
          <w:lang w:val="fr-FR"/>
        </w:rPr>
        <w:tab/>
      </w:r>
      <w:r w:rsidR="008D6145" w:rsidRPr="008D6145">
        <w:rPr>
          <w:rFonts w:eastAsia="Times New Roman"/>
          <w:lang w:val="fr-FR"/>
        </w:rPr>
        <w:t>Des initiatives ont été prises par l</w:t>
      </w:r>
      <w:r w:rsidR="00A033A7">
        <w:rPr>
          <w:rFonts w:eastAsia="Times New Roman"/>
          <w:lang w:val="fr-FR"/>
        </w:rPr>
        <w:t>’</w:t>
      </w:r>
      <w:r w:rsidR="008D6145" w:rsidRPr="008D6145">
        <w:rPr>
          <w:rFonts w:eastAsia="Times New Roman"/>
          <w:lang w:val="fr-FR"/>
        </w:rPr>
        <w:t>Administration publique en vue de la promotion des logements sociaux, mais elles ne sont pas couronnées de succès pour diverses raisons d</w:t>
      </w:r>
      <w:r w:rsidR="00A033A7">
        <w:rPr>
          <w:rFonts w:eastAsia="Times New Roman"/>
          <w:lang w:val="fr-FR"/>
        </w:rPr>
        <w:t>’</w:t>
      </w:r>
      <w:r w:rsidR="008D6145" w:rsidRPr="008D6145">
        <w:rPr>
          <w:rFonts w:eastAsia="Times New Roman"/>
          <w:lang w:val="fr-FR"/>
        </w:rPr>
        <w:t>ordres économique (le coût élevé des logements), géographique (la zone souvent non viabilisée d</w:t>
      </w:r>
      <w:r w:rsidR="00A033A7">
        <w:rPr>
          <w:rFonts w:eastAsia="Times New Roman"/>
          <w:lang w:val="fr-FR"/>
        </w:rPr>
        <w:t>’</w:t>
      </w:r>
      <w:r w:rsidR="008D6145" w:rsidRPr="008D6145">
        <w:rPr>
          <w:rFonts w:eastAsia="Times New Roman"/>
          <w:lang w:val="fr-FR"/>
        </w:rPr>
        <w:t>implantation des logements), sociologique (les Béninois préfèrent construire eux-mêmes et à leur rythme leur logement).</w:t>
      </w:r>
    </w:p>
    <w:p w:rsidR="008D6145" w:rsidRPr="008D6145" w:rsidRDefault="00821D2B" w:rsidP="00821D2B">
      <w:pPr>
        <w:pStyle w:val="SingleTxtG"/>
        <w:kinsoku/>
        <w:overflowPunct/>
        <w:autoSpaceDE/>
        <w:autoSpaceDN/>
        <w:adjustRightInd/>
        <w:snapToGrid/>
        <w:rPr>
          <w:rFonts w:eastAsia="Times New Roman"/>
          <w:lang w:val="fr-FR"/>
        </w:rPr>
      </w:pPr>
      <w:r w:rsidRPr="008D6145">
        <w:rPr>
          <w:rFonts w:eastAsia="Times New Roman"/>
          <w:lang w:val="fr-FR"/>
        </w:rPr>
        <w:t>60.</w:t>
      </w:r>
      <w:r w:rsidRPr="008D6145">
        <w:rPr>
          <w:rFonts w:eastAsia="Times New Roman"/>
          <w:lang w:val="fr-FR"/>
        </w:rPr>
        <w:tab/>
      </w:r>
      <w:r w:rsidR="008D6145" w:rsidRPr="008D6145">
        <w:rPr>
          <w:rFonts w:eastAsia="Times New Roman"/>
          <w:lang w:val="fr-FR"/>
        </w:rPr>
        <w:t>Face à la spéculation entretenue par les propriétaires de logements locatifs, des propositions de lois ont été formulées par des députés pour réglementer ce secteur. Dans ce cadre, et ce depuis octobre 2015, la Commission des lois a démarré l</w:t>
      </w:r>
      <w:r w:rsidR="00A033A7">
        <w:rPr>
          <w:rFonts w:eastAsia="Times New Roman"/>
          <w:lang w:val="fr-FR"/>
        </w:rPr>
        <w:t>’</w:t>
      </w:r>
      <w:r w:rsidR="008D6145" w:rsidRPr="008D6145">
        <w:rPr>
          <w:rFonts w:eastAsia="Times New Roman"/>
          <w:lang w:val="fr-FR"/>
        </w:rPr>
        <w:t>étude de deux propositions de loi visant à réglementer les loyers au Bénin. L</w:t>
      </w:r>
      <w:r w:rsidR="00A033A7">
        <w:rPr>
          <w:rFonts w:eastAsia="Times New Roman"/>
          <w:lang w:val="fr-FR"/>
        </w:rPr>
        <w:t>’</w:t>
      </w:r>
      <w:r w:rsidR="008D6145" w:rsidRPr="008D6145">
        <w:rPr>
          <w:rFonts w:eastAsia="Times New Roman"/>
          <w:lang w:val="fr-FR"/>
        </w:rPr>
        <w:t>une est relative à la réglementation du bail à usage d</w:t>
      </w:r>
      <w:r w:rsidR="00A033A7">
        <w:rPr>
          <w:rFonts w:eastAsia="Times New Roman"/>
          <w:lang w:val="fr-FR"/>
        </w:rPr>
        <w:t>’</w:t>
      </w:r>
      <w:r w:rsidR="008D6145" w:rsidRPr="008D6145">
        <w:rPr>
          <w:rFonts w:eastAsia="Times New Roman"/>
          <w:lang w:val="fr-FR"/>
        </w:rPr>
        <w:t>habitation.</w:t>
      </w:r>
      <w:r w:rsidR="00A033A7">
        <w:rPr>
          <w:rFonts w:eastAsia="Times New Roman"/>
          <w:lang w:val="fr-FR"/>
        </w:rPr>
        <w:t xml:space="preserve"> </w:t>
      </w:r>
      <w:r w:rsidR="008D6145" w:rsidRPr="008D6145">
        <w:rPr>
          <w:rFonts w:eastAsia="Times New Roman"/>
          <w:lang w:val="fr-FR"/>
        </w:rPr>
        <w:t>L</w:t>
      </w:r>
      <w:r w:rsidR="00A033A7">
        <w:rPr>
          <w:rFonts w:eastAsia="Times New Roman"/>
          <w:lang w:val="fr-FR"/>
        </w:rPr>
        <w:t>’</w:t>
      </w:r>
      <w:r w:rsidR="008D6145" w:rsidRPr="008D6145">
        <w:rPr>
          <w:rFonts w:eastAsia="Times New Roman"/>
          <w:lang w:val="fr-FR"/>
        </w:rPr>
        <w:t>autre portant réglementation des cautions et avances sur loyer des immeubles à usage d</w:t>
      </w:r>
      <w:r w:rsidR="00A033A7">
        <w:rPr>
          <w:rFonts w:eastAsia="Times New Roman"/>
          <w:lang w:val="fr-FR"/>
        </w:rPr>
        <w:t>’</w:t>
      </w:r>
      <w:r w:rsidR="008D6145" w:rsidRPr="008D6145">
        <w:rPr>
          <w:rFonts w:eastAsia="Times New Roman"/>
          <w:lang w:val="fr-FR"/>
        </w:rPr>
        <w:t xml:space="preserve">habitation. </w:t>
      </w:r>
    </w:p>
    <w:p w:rsidR="008D6145" w:rsidRPr="008D6145" w:rsidRDefault="00821D2B" w:rsidP="00821D2B">
      <w:pPr>
        <w:pStyle w:val="SingleTxtG"/>
        <w:kinsoku/>
        <w:overflowPunct/>
        <w:autoSpaceDE/>
        <w:autoSpaceDN/>
        <w:adjustRightInd/>
        <w:snapToGrid/>
        <w:rPr>
          <w:rFonts w:eastAsia="Times New Roman"/>
          <w:lang w:val="fr-FR"/>
        </w:rPr>
      </w:pPr>
      <w:r w:rsidRPr="008D6145">
        <w:rPr>
          <w:rFonts w:eastAsia="Times New Roman"/>
          <w:lang w:val="fr-FR"/>
        </w:rPr>
        <w:t>61.</w:t>
      </w:r>
      <w:r w:rsidRPr="008D6145">
        <w:rPr>
          <w:rFonts w:eastAsia="Times New Roman"/>
          <w:lang w:val="fr-FR"/>
        </w:rPr>
        <w:tab/>
      </w:r>
      <w:r w:rsidR="008D6145" w:rsidRPr="008D6145">
        <w:rPr>
          <w:rFonts w:eastAsia="Times New Roman"/>
          <w:lang w:val="fr-FR"/>
        </w:rPr>
        <w:t>Par ailleurs, le nouveau Code Foncier et Domanial a opéré de véritables changements en vue de la sécurisation de la propriété foncière : de nouveaux organes de gestion ont été créés (l</w:t>
      </w:r>
      <w:r w:rsidR="00A033A7">
        <w:rPr>
          <w:rFonts w:eastAsia="Times New Roman"/>
          <w:lang w:val="fr-FR"/>
        </w:rPr>
        <w:t>’</w:t>
      </w:r>
      <w:r w:rsidR="008D6145" w:rsidRPr="008D6145">
        <w:rPr>
          <w:rFonts w:eastAsia="Times New Roman"/>
          <w:lang w:val="fr-FR"/>
        </w:rPr>
        <w:t>Agence nationale du domaine et du foncier, le Régisseur et le Cadastre) ; le contentieux domanial a été réformé (l</w:t>
      </w:r>
      <w:r w:rsidR="00A033A7">
        <w:rPr>
          <w:rFonts w:eastAsia="Times New Roman"/>
          <w:lang w:val="fr-FR"/>
        </w:rPr>
        <w:t>’</w:t>
      </w:r>
      <w:r w:rsidR="008D6145" w:rsidRPr="008D6145">
        <w:rPr>
          <w:rFonts w:eastAsia="Times New Roman"/>
          <w:lang w:val="fr-FR"/>
        </w:rPr>
        <w:t>instauration d</w:t>
      </w:r>
      <w:r w:rsidR="00A033A7">
        <w:rPr>
          <w:rFonts w:eastAsia="Times New Roman"/>
          <w:lang w:val="fr-FR"/>
        </w:rPr>
        <w:t>’</w:t>
      </w:r>
      <w:r w:rsidR="008D6145" w:rsidRPr="008D6145">
        <w:rPr>
          <w:rFonts w:eastAsia="Times New Roman"/>
          <w:lang w:val="fr-FR"/>
        </w:rPr>
        <w:t>une phase préalable au jugement, le nouveau régime de prescription en matière foncière, et le nouveau cadre de l</w:t>
      </w:r>
      <w:r w:rsidR="00A033A7">
        <w:rPr>
          <w:rFonts w:eastAsia="Times New Roman"/>
          <w:lang w:val="fr-FR"/>
        </w:rPr>
        <w:t>’</w:t>
      </w:r>
      <w:r w:rsidR="008D6145" w:rsidRPr="008D6145">
        <w:rPr>
          <w:rFonts w:eastAsia="Times New Roman"/>
          <w:lang w:val="fr-FR"/>
        </w:rPr>
        <w:t>exécution du jugement) ; de nouveaux outils de preuve de propriété ont été aménagés (le certificat de propriété foncière et le certificat foncier rural).</w:t>
      </w:r>
    </w:p>
    <w:p w:rsidR="008D6145" w:rsidRPr="008D6145" w:rsidRDefault="008D6145" w:rsidP="00821D2B">
      <w:pPr>
        <w:pStyle w:val="H23G"/>
        <w:rPr>
          <w:lang w:val="fr-FR"/>
        </w:rPr>
      </w:pPr>
      <w:r w:rsidRPr="008D6145">
        <w:rPr>
          <w:lang w:val="fr-FR"/>
        </w:rPr>
        <w:tab/>
      </w:r>
      <w:r w:rsidRPr="008D6145">
        <w:rPr>
          <w:lang w:val="fr-FR"/>
        </w:rPr>
        <w:tab/>
        <w:t>L</w:t>
      </w:r>
      <w:r w:rsidR="00A033A7">
        <w:rPr>
          <w:lang w:val="fr-FR"/>
        </w:rPr>
        <w:t>’</w:t>
      </w:r>
      <w:r w:rsidR="00BA1B30">
        <w:rPr>
          <w:lang w:val="fr-FR"/>
        </w:rPr>
        <w:t>a</w:t>
      </w:r>
      <w:r w:rsidRPr="008D6145">
        <w:rPr>
          <w:lang w:val="fr-FR"/>
        </w:rPr>
        <w:t>ccès aux services de télécommunication électronique et de la poste</w:t>
      </w:r>
    </w:p>
    <w:p w:rsidR="008D6145" w:rsidRPr="008D6145" w:rsidRDefault="00821D2B" w:rsidP="00821D2B">
      <w:pPr>
        <w:pStyle w:val="SingleTxtG"/>
        <w:kinsoku/>
        <w:overflowPunct/>
        <w:autoSpaceDE/>
        <w:autoSpaceDN/>
        <w:adjustRightInd/>
        <w:snapToGrid/>
        <w:rPr>
          <w:rFonts w:eastAsia="Times New Roman"/>
          <w:b/>
          <w:lang w:val="fr-FR"/>
        </w:rPr>
      </w:pPr>
      <w:r w:rsidRPr="008D6145">
        <w:rPr>
          <w:rFonts w:eastAsia="Times New Roman"/>
          <w:lang w:val="fr-FR"/>
        </w:rPr>
        <w:t>62.</w:t>
      </w:r>
      <w:r w:rsidRPr="008D6145">
        <w:rPr>
          <w:rFonts w:eastAsia="Times New Roman"/>
          <w:lang w:val="fr-FR"/>
        </w:rPr>
        <w:tab/>
      </w:r>
      <w:r w:rsidR="008D6145" w:rsidRPr="008D6145">
        <w:rPr>
          <w:rFonts w:eastAsia="Times New Roman"/>
          <w:lang w:val="fr-FR"/>
        </w:rPr>
        <w:t xml:space="preserve">Le secteur des communications électroniques et de la poste est régi par la loi </w:t>
      </w:r>
      <w:r w:rsidR="007A6061" w:rsidRPr="006C0894">
        <w:rPr>
          <w:rFonts w:eastAsia="Times New Roman"/>
          <w:bCs/>
          <w:lang w:val="fr-FR"/>
        </w:rPr>
        <w:t>n</w:t>
      </w:r>
      <w:r w:rsidR="007A6061" w:rsidRPr="006C0894">
        <w:rPr>
          <w:rFonts w:eastAsia="Times New Roman"/>
          <w:bCs/>
          <w:vertAlign w:val="superscript"/>
          <w:lang w:val="fr-FR"/>
        </w:rPr>
        <w:t>o</w:t>
      </w:r>
      <w:r w:rsidR="007A6061" w:rsidRPr="006C0894">
        <w:rPr>
          <w:rFonts w:eastAsia="Times New Roman"/>
          <w:bCs/>
          <w:lang w:val="fr-FR"/>
        </w:rPr>
        <w:t> </w:t>
      </w:r>
      <w:r w:rsidR="008D6145" w:rsidRPr="008D6145">
        <w:rPr>
          <w:rFonts w:eastAsia="Times New Roman"/>
          <w:lang w:val="fr-FR"/>
        </w:rPr>
        <w:t>2014-14 du 9 juillet 2014 relative aux communications électroniques et à la poste en République du Bénin. Il existe plusieurs opérations et prestations de services qui interviennent sur le marché des communications électroniques et de la poste au Bénin.</w:t>
      </w:r>
    </w:p>
    <w:p w:rsidR="008D6145" w:rsidRPr="00C073F5" w:rsidRDefault="00C073F5" w:rsidP="00821D2B">
      <w:pPr>
        <w:pStyle w:val="H4G"/>
        <w:rPr>
          <w:lang w:val="fr-FR"/>
        </w:rPr>
      </w:pPr>
      <w:r>
        <w:rPr>
          <w:lang w:val="fr-FR"/>
        </w:rPr>
        <w:tab/>
      </w:r>
      <w:r>
        <w:rPr>
          <w:lang w:val="fr-FR"/>
        </w:rPr>
        <w:tab/>
      </w:r>
      <w:r w:rsidR="008D6145" w:rsidRPr="00C073F5">
        <w:rPr>
          <w:lang w:val="fr-FR"/>
        </w:rPr>
        <w:t>Le marché de la téléphonie fixe </w:t>
      </w:r>
    </w:p>
    <w:p w:rsidR="008D6145" w:rsidRPr="008D6145" w:rsidRDefault="00821D2B" w:rsidP="00821D2B">
      <w:pPr>
        <w:pStyle w:val="SingleTxtG"/>
        <w:kinsoku/>
        <w:overflowPunct/>
        <w:autoSpaceDE/>
        <w:autoSpaceDN/>
        <w:adjustRightInd/>
        <w:snapToGrid/>
        <w:rPr>
          <w:rFonts w:eastAsia="Times New Roman"/>
          <w:lang w:val="fr-FR"/>
        </w:rPr>
      </w:pPr>
      <w:r w:rsidRPr="008D6145">
        <w:rPr>
          <w:rFonts w:eastAsia="Times New Roman"/>
          <w:lang w:val="fr-FR"/>
        </w:rPr>
        <w:t>63.</w:t>
      </w:r>
      <w:r w:rsidRPr="008D6145">
        <w:rPr>
          <w:rFonts w:eastAsia="Times New Roman"/>
          <w:lang w:val="fr-FR"/>
        </w:rPr>
        <w:tab/>
      </w:r>
      <w:r w:rsidR="008D6145" w:rsidRPr="008D6145">
        <w:rPr>
          <w:rFonts w:eastAsia="Times New Roman"/>
          <w:lang w:val="fr-FR"/>
        </w:rPr>
        <w:t>Seul l</w:t>
      </w:r>
      <w:r w:rsidR="00A033A7">
        <w:rPr>
          <w:rFonts w:eastAsia="Times New Roman"/>
          <w:lang w:val="fr-FR"/>
        </w:rPr>
        <w:t>’</w:t>
      </w:r>
      <w:r w:rsidR="008D6145" w:rsidRPr="008D6145">
        <w:rPr>
          <w:rFonts w:eastAsia="Times New Roman"/>
          <w:lang w:val="fr-FR"/>
        </w:rPr>
        <w:t xml:space="preserve">opérateur historique, </w:t>
      </w:r>
      <w:r w:rsidR="008D6145" w:rsidRPr="00821D2B">
        <w:rPr>
          <w:rFonts w:eastAsia="Times New Roman"/>
          <w:iCs/>
          <w:lang w:val="fr-FR"/>
        </w:rPr>
        <w:t>Bénin Télécom SA</w:t>
      </w:r>
      <w:r w:rsidR="008D6145" w:rsidRPr="008D6145">
        <w:rPr>
          <w:rFonts w:eastAsia="Times New Roman"/>
          <w:lang w:val="fr-FR"/>
        </w:rPr>
        <w:t xml:space="preserve"> intervient sur ce marché. C</w:t>
      </w:r>
      <w:r w:rsidR="00A033A7">
        <w:rPr>
          <w:rFonts w:eastAsia="Times New Roman"/>
          <w:lang w:val="fr-FR"/>
        </w:rPr>
        <w:t>’</w:t>
      </w:r>
      <w:r w:rsidR="008D6145" w:rsidRPr="008D6145">
        <w:rPr>
          <w:rFonts w:eastAsia="Times New Roman"/>
          <w:lang w:val="fr-FR"/>
        </w:rPr>
        <w:t>est une société d</w:t>
      </w:r>
      <w:r w:rsidR="00A033A7">
        <w:rPr>
          <w:rFonts w:eastAsia="Times New Roman"/>
          <w:lang w:val="fr-FR"/>
        </w:rPr>
        <w:t>’É</w:t>
      </w:r>
      <w:r w:rsidR="008D6145" w:rsidRPr="008D6145">
        <w:rPr>
          <w:rFonts w:eastAsia="Times New Roman"/>
          <w:lang w:val="fr-FR"/>
        </w:rPr>
        <w:t xml:space="preserve">tat créée par le décret </w:t>
      </w:r>
      <w:r w:rsidR="007A6061" w:rsidRPr="006C0894">
        <w:rPr>
          <w:rFonts w:eastAsia="Times New Roman"/>
          <w:bCs/>
          <w:lang w:val="fr-FR"/>
        </w:rPr>
        <w:t>n</w:t>
      </w:r>
      <w:r w:rsidR="007A6061" w:rsidRPr="006C0894">
        <w:rPr>
          <w:rFonts w:eastAsia="Times New Roman"/>
          <w:bCs/>
          <w:vertAlign w:val="superscript"/>
          <w:lang w:val="fr-FR"/>
        </w:rPr>
        <w:t>o</w:t>
      </w:r>
      <w:r w:rsidR="007A6061" w:rsidRPr="006C0894">
        <w:rPr>
          <w:rFonts w:eastAsia="Times New Roman"/>
          <w:bCs/>
          <w:lang w:val="fr-FR"/>
        </w:rPr>
        <w:t> </w:t>
      </w:r>
      <w:r w:rsidR="008D6145" w:rsidRPr="008D6145">
        <w:rPr>
          <w:rFonts w:eastAsia="Times New Roman"/>
          <w:lang w:val="fr-FR"/>
        </w:rPr>
        <w:t>2004-260 du 5 mai 2004. Elle est issue de la scission de l</w:t>
      </w:r>
      <w:r w:rsidR="00A033A7">
        <w:rPr>
          <w:rFonts w:eastAsia="Times New Roman"/>
          <w:lang w:val="fr-FR"/>
        </w:rPr>
        <w:t>’</w:t>
      </w:r>
      <w:r w:rsidR="008D6145" w:rsidRPr="008D6145">
        <w:rPr>
          <w:rFonts w:eastAsia="Times New Roman"/>
          <w:lang w:val="fr-FR"/>
        </w:rPr>
        <w:t>ex-Office des Postes et Télécommunications (OPT) en deux entités distinctes regroupant d</w:t>
      </w:r>
      <w:r w:rsidR="00A033A7">
        <w:rPr>
          <w:rFonts w:eastAsia="Times New Roman"/>
          <w:lang w:val="fr-FR"/>
        </w:rPr>
        <w:t>’</w:t>
      </w:r>
      <w:r w:rsidR="008D6145" w:rsidRPr="008D6145">
        <w:rPr>
          <w:rFonts w:eastAsia="Times New Roman"/>
          <w:lang w:val="fr-FR"/>
        </w:rPr>
        <w:t>une part les activités postales et d</w:t>
      </w:r>
      <w:r w:rsidR="00A033A7">
        <w:rPr>
          <w:rFonts w:eastAsia="Times New Roman"/>
          <w:lang w:val="fr-FR"/>
        </w:rPr>
        <w:t>’</w:t>
      </w:r>
      <w:r w:rsidR="008D6145" w:rsidRPr="008D6145">
        <w:rPr>
          <w:rFonts w:eastAsia="Times New Roman"/>
          <w:lang w:val="fr-FR"/>
        </w:rPr>
        <w:t>autre part les activités de Télécommunications. Au 30</w:t>
      </w:r>
      <w:r w:rsidR="007A6061">
        <w:rPr>
          <w:rFonts w:eastAsia="Times New Roman"/>
          <w:lang w:val="fr-FR"/>
        </w:rPr>
        <w:t> </w:t>
      </w:r>
      <w:r w:rsidR="008D6145" w:rsidRPr="008D6145">
        <w:rPr>
          <w:rFonts w:eastAsia="Times New Roman"/>
          <w:lang w:val="fr-FR"/>
        </w:rPr>
        <w:t>juin 2014, la couverture de la téléphonie fixe est estimée à 61</w:t>
      </w:r>
      <w:r w:rsidR="007A6061">
        <w:rPr>
          <w:rFonts w:eastAsia="Times New Roman"/>
          <w:lang w:val="fr-FR"/>
        </w:rPr>
        <w:t> </w:t>
      </w:r>
      <w:r w:rsidR="008D6145" w:rsidRPr="008D6145">
        <w:rPr>
          <w:rFonts w:eastAsia="Times New Roman"/>
          <w:lang w:val="fr-FR"/>
        </w:rPr>
        <w:t>%. En effet, le réseau filaire couvre essentiellement des agglomérations et il ne pénètre pratiquement pas en zone rurale. Le nombre d</w:t>
      </w:r>
      <w:r w:rsidR="00A033A7">
        <w:rPr>
          <w:rFonts w:eastAsia="Times New Roman"/>
          <w:lang w:val="fr-FR"/>
        </w:rPr>
        <w:t>’</w:t>
      </w:r>
      <w:r w:rsidR="008D6145" w:rsidRPr="008D6145">
        <w:rPr>
          <w:rFonts w:eastAsia="Times New Roman"/>
          <w:lang w:val="fr-FR"/>
        </w:rPr>
        <w:t>abonnés au réseau filaire évolue suivant une croissance moyenne de 9,5</w:t>
      </w:r>
      <w:r w:rsidR="007A6061">
        <w:rPr>
          <w:rFonts w:eastAsia="Times New Roman"/>
          <w:lang w:val="fr-FR"/>
        </w:rPr>
        <w:t> </w:t>
      </w:r>
      <w:r w:rsidR="008D6145" w:rsidRPr="008D6145">
        <w:rPr>
          <w:rFonts w:eastAsia="Times New Roman"/>
          <w:lang w:val="fr-FR"/>
        </w:rPr>
        <w:t>% d</w:t>
      </w:r>
      <w:r w:rsidR="00A033A7">
        <w:rPr>
          <w:rFonts w:eastAsia="Times New Roman"/>
          <w:lang w:val="fr-FR"/>
        </w:rPr>
        <w:t>’</w:t>
      </w:r>
      <w:r w:rsidR="008D6145" w:rsidRPr="008D6145">
        <w:rPr>
          <w:rFonts w:eastAsia="Times New Roman"/>
          <w:lang w:val="fr-FR"/>
        </w:rPr>
        <w:t>année en année, passant de 77</w:t>
      </w:r>
      <w:r w:rsidR="00BA1B30">
        <w:rPr>
          <w:rFonts w:eastAsia="Times New Roman"/>
          <w:lang w:val="fr-FR"/>
        </w:rPr>
        <w:t> </w:t>
      </w:r>
      <w:r w:rsidR="008D6145" w:rsidRPr="008D6145">
        <w:rPr>
          <w:rFonts w:eastAsia="Times New Roman"/>
          <w:lang w:val="fr-FR"/>
        </w:rPr>
        <w:t>342 en 2006 à 159</w:t>
      </w:r>
      <w:r w:rsidR="00BA1B30">
        <w:rPr>
          <w:rFonts w:eastAsia="Times New Roman"/>
          <w:lang w:val="fr-FR"/>
        </w:rPr>
        <w:t> </w:t>
      </w:r>
      <w:r w:rsidR="008D6145" w:rsidRPr="008D6145">
        <w:rPr>
          <w:rFonts w:eastAsia="Times New Roman"/>
          <w:lang w:val="fr-FR"/>
        </w:rPr>
        <w:t>443 en 2013. Cette croissance du parc d</w:t>
      </w:r>
      <w:r w:rsidR="00A033A7">
        <w:rPr>
          <w:rFonts w:eastAsia="Times New Roman"/>
          <w:lang w:val="fr-FR"/>
        </w:rPr>
        <w:t>’</w:t>
      </w:r>
      <w:r w:rsidR="008D6145" w:rsidRPr="008D6145">
        <w:rPr>
          <w:rFonts w:eastAsia="Times New Roman"/>
          <w:lang w:val="fr-FR"/>
        </w:rPr>
        <w:t>abonnés est tirée par la seule progression du nombre d</w:t>
      </w:r>
      <w:r w:rsidR="00A033A7">
        <w:rPr>
          <w:rFonts w:eastAsia="Times New Roman"/>
          <w:lang w:val="fr-FR"/>
        </w:rPr>
        <w:t>’</w:t>
      </w:r>
      <w:r w:rsidR="008D6145" w:rsidRPr="008D6145">
        <w:rPr>
          <w:rFonts w:eastAsia="Times New Roman"/>
          <w:lang w:val="fr-FR"/>
        </w:rPr>
        <w:t>abonnés CDMA qui est à 137 766 au 30 juin 2014. Les tarifs des communications fixes au Bénin sont au moins dans la moyenne de ceux observés dans la zone UEMOA à l</w:t>
      </w:r>
      <w:r w:rsidR="00A033A7">
        <w:rPr>
          <w:rFonts w:eastAsia="Times New Roman"/>
          <w:lang w:val="fr-FR"/>
        </w:rPr>
        <w:t>’</w:t>
      </w:r>
      <w:r w:rsidR="008D6145" w:rsidRPr="008D6145">
        <w:rPr>
          <w:rFonts w:eastAsia="Times New Roman"/>
          <w:lang w:val="fr-FR"/>
        </w:rPr>
        <w:t xml:space="preserve">exception des tarifs des communications internationales qui sont relativement élevés. </w:t>
      </w:r>
    </w:p>
    <w:p w:rsidR="008D6145" w:rsidRPr="00C073F5" w:rsidRDefault="008D6145" w:rsidP="00821D2B">
      <w:pPr>
        <w:pStyle w:val="H4G"/>
        <w:rPr>
          <w:lang w:val="fr-FR"/>
        </w:rPr>
      </w:pPr>
      <w:r w:rsidRPr="008D6145">
        <w:rPr>
          <w:lang w:val="fr-FR"/>
        </w:rPr>
        <w:lastRenderedPageBreak/>
        <w:tab/>
      </w:r>
      <w:r w:rsidRPr="008D6145">
        <w:rPr>
          <w:lang w:val="fr-FR"/>
        </w:rPr>
        <w:tab/>
      </w:r>
      <w:r w:rsidRPr="00C073F5">
        <w:rPr>
          <w:lang w:val="fr-FR"/>
        </w:rPr>
        <w:t>Le marché de la téléphonie mobile </w:t>
      </w:r>
    </w:p>
    <w:p w:rsidR="008D6145" w:rsidRPr="008D6145" w:rsidRDefault="00821D2B" w:rsidP="00821D2B">
      <w:pPr>
        <w:pStyle w:val="SingleTxtG"/>
        <w:kinsoku/>
        <w:overflowPunct/>
        <w:autoSpaceDE/>
        <w:autoSpaceDN/>
        <w:adjustRightInd/>
        <w:snapToGrid/>
        <w:rPr>
          <w:rFonts w:eastAsia="Times New Roman"/>
          <w:lang w:val="fr-FR"/>
        </w:rPr>
      </w:pPr>
      <w:r w:rsidRPr="008D6145">
        <w:rPr>
          <w:rFonts w:eastAsia="Times New Roman"/>
          <w:lang w:val="fr-FR"/>
        </w:rPr>
        <w:t>64.</w:t>
      </w:r>
      <w:r w:rsidRPr="008D6145">
        <w:rPr>
          <w:rFonts w:eastAsia="Times New Roman"/>
          <w:lang w:val="fr-FR"/>
        </w:rPr>
        <w:tab/>
      </w:r>
      <w:r w:rsidR="008D6145" w:rsidRPr="008D6145">
        <w:rPr>
          <w:rFonts w:eastAsia="Times New Roman"/>
          <w:lang w:val="fr-FR"/>
        </w:rPr>
        <w:t>Le marché des télécommunications</w:t>
      </w:r>
      <w:r>
        <w:rPr>
          <w:rFonts w:eastAsia="Times New Roman"/>
          <w:lang w:val="fr-FR"/>
        </w:rPr>
        <w:t xml:space="preserve"> mobiles au Bénin compte cinq (</w:t>
      </w:r>
      <w:r w:rsidR="008D6145" w:rsidRPr="008D6145">
        <w:rPr>
          <w:rFonts w:eastAsia="Times New Roman"/>
          <w:lang w:val="fr-FR"/>
        </w:rPr>
        <w:t xml:space="preserve">5) acteurs: </w:t>
      </w:r>
      <w:r w:rsidR="008D6145" w:rsidRPr="00821D2B">
        <w:rPr>
          <w:rFonts w:eastAsia="Times New Roman"/>
          <w:iCs/>
          <w:lang w:val="fr-FR"/>
        </w:rPr>
        <w:t>Libercom S.A. ; Bell Bénin Communications (BBCOM) S.A; Etisalat Bénin S.A. ; Spacetel Bénin S.A.</w:t>
      </w:r>
      <w:r w:rsidR="00C16C0F" w:rsidRPr="00821D2B">
        <w:rPr>
          <w:rFonts w:eastAsia="Times New Roman"/>
          <w:iCs/>
          <w:lang w:val="fr-FR"/>
        </w:rPr>
        <w:t xml:space="preserve"> </w:t>
      </w:r>
      <w:r w:rsidR="008D6145" w:rsidRPr="00821D2B">
        <w:rPr>
          <w:rFonts w:eastAsia="Times New Roman"/>
          <w:iCs/>
          <w:lang w:val="fr-FR"/>
        </w:rPr>
        <w:t>et Glo mobile Bénin S.A. En matière de couverture, la situation est relativement contrastée d</w:t>
      </w:r>
      <w:r w:rsidR="00A033A7" w:rsidRPr="00821D2B">
        <w:rPr>
          <w:rFonts w:eastAsia="Times New Roman"/>
          <w:iCs/>
          <w:lang w:val="fr-FR"/>
        </w:rPr>
        <w:t>’</w:t>
      </w:r>
      <w:r w:rsidR="008D6145" w:rsidRPr="00821D2B">
        <w:rPr>
          <w:rFonts w:eastAsia="Times New Roman"/>
          <w:iCs/>
          <w:lang w:val="fr-FR"/>
        </w:rPr>
        <w:t>un opérateur à l</w:t>
      </w:r>
      <w:r w:rsidR="00A033A7" w:rsidRPr="00821D2B">
        <w:rPr>
          <w:rFonts w:eastAsia="Times New Roman"/>
          <w:iCs/>
          <w:lang w:val="fr-FR"/>
        </w:rPr>
        <w:t>’</w:t>
      </w:r>
      <w:r w:rsidR="008D6145" w:rsidRPr="00821D2B">
        <w:rPr>
          <w:rFonts w:eastAsia="Times New Roman"/>
          <w:iCs/>
          <w:lang w:val="fr-FR"/>
        </w:rPr>
        <w:t>autre. MTN et MOOV sont ceux qui affichent la meilleure couverture que ce soit en termes de population ou de territoire. En effet, les données transmises par ces deux opérateurs dans leur rapport d</w:t>
      </w:r>
      <w:r w:rsidR="00A033A7" w:rsidRPr="00821D2B">
        <w:rPr>
          <w:rFonts w:eastAsia="Times New Roman"/>
          <w:iCs/>
          <w:lang w:val="fr-FR"/>
        </w:rPr>
        <w:t>’</w:t>
      </w:r>
      <w:r w:rsidR="008D6145" w:rsidRPr="00821D2B">
        <w:rPr>
          <w:rFonts w:eastAsia="Times New Roman"/>
          <w:iCs/>
          <w:lang w:val="fr-FR"/>
        </w:rPr>
        <w:t>activités 2013, révèlent que pour l</w:t>
      </w:r>
      <w:r w:rsidR="00A033A7" w:rsidRPr="00821D2B">
        <w:rPr>
          <w:rFonts w:eastAsia="Times New Roman"/>
          <w:iCs/>
          <w:lang w:val="fr-FR"/>
        </w:rPr>
        <w:t>’</w:t>
      </w:r>
      <w:r w:rsidR="008D6145" w:rsidRPr="00821D2B">
        <w:rPr>
          <w:rFonts w:eastAsia="Times New Roman"/>
          <w:iCs/>
          <w:lang w:val="fr-FR"/>
        </w:rPr>
        <w:t>opérateur MTN, le taux de couverture géographique est évalué à 96,50</w:t>
      </w:r>
      <w:r w:rsidR="00C16C0F" w:rsidRPr="00821D2B">
        <w:rPr>
          <w:rFonts w:eastAsia="Times New Roman"/>
          <w:iCs/>
          <w:lang w:val="fr-FR"/>
        </w:rPr>
        <w:t> </w:t>
      </w:r>
      <w:r w:rsidR="008D6145" w:rsidRPr="00821D2B">
        <w:rPr>
          <w:rFonts w:eastAsia="Times New Roman"/>
          <w:iCs/>
          <w:lang w:val="fr-FR"/>
        </w:rPr>
        <w:t>% pendant que celui de la population est de 92,95</w:t>
      </w:r>
      <w:r w:rsidR="001D58DC">
        <w:rPr>
          <w:rFonts w:eastAsia="Times New Roman"/>
          <w:iCs/>
          <w:lang w:val="fr-FR"/>
        </w:rPr>
        <w:t> </w:t>
      </w:r>
      <w:r w:rsidR="008D6145" w:rsidRPr="00821D2B">
        <w:rPr>
          <w:rFonts w:eastAsia="Times New Roman"/>
          <w:iCs/>
          <w:lang w:val="fr-FR"/>
        </w:rPr>
        <w:t>% au 31 décembre 2013. Quant à l</w:t>
      </w:r>
      <w:r w:rsidR="00A033A7" w:rsidRPr="00821D2B">
        <w:rPr>
          <w:rFonts w:eastAsia="Times New Roman"/>
          <w:iCs/>
          <w:lang w:val="fr-FR"/>
        </w:rPr>
        <w:t>’</w:t>
      </w:r>
      <w:r w:rsidR="008D6145" w:rsidRPr="00821D2B">
        <w:rPr>
          <w:rFonts w:eastAsia="Times New Roman"/>
          <w:iCs/>
          <w:lang w:val="fr-FR"/>
        </w:rPr>
        <w:t>opérateur MOOV, le taux de couverture géographique est évalué à 89,69</w:t>
      </w:r>
      <w:r w:rsidR="00C16C0F" w:rsidRPr="00821D2B">
        <w:rPr>
          <w:rFonts w:eastAsia="Times New Roman"/>
          <w:iCs/>
          <w:lang w:val="fr-FR"/>
        </w:rPr>
        <w:t> </w:t>
      </w:r>
      <w:r w:rsidR="008D6145" w:rsidRPr="00821D2B">
        <w:rPr>
          <w:rFonts w:eastAsia="Times New Roman"/>
          <w:iCs/>
          <w:lang w:val="fr-FR"/>
        </w:rPr>
        <w:t>% pendant que celui de la population</w:t>
      </w:r>
      <w:r w:rsidR="008D6145" w:rsidRPr="008D6145">
        <w:rPr>
          <w:rFonts w:eastAsia="Times New Roman"/>
          <w:lang w:val="fr-FR"/>
        </w:rPr>
        <w:t xml:space="preserve"> est de 97,07</w:t>
      </w:r>
      <w:r w:rsidR="00C16C0F">
        <w:rPr>
          <w:rFonts w:eastAsia="Times New Roman"/>
          <w:lang w:val="fr-FR"/>
        </w:rPr>
        <w:t> </w:t>
      </w:r>
      <w:r w:rsidR="008D6145" w:rsidRPr="008D6145">
        <w:rPr>
          <w:rFonts w:eastAsia="Times New Roman"/>
          <w:lang w:val="fr-FR"/>
        </w:rPr>
        <w:t>% au 31 décembre 2013.</w:t>
      </w:r>
    </w:p>
    <w:p w:rsidR="008D6145" w:rsidRPr="008D6145" w:rsidRDefault="00821D2B" w:rsidP="00821D2B">
      <w:pPr>
        <w:pStyle w:val="SingleTxtG"/>
        <w:kinsoku/>
        <w:overflowPunct/>
        <w:autoSpaceDE/>
        <w:autoSpaceDN/>
        <w:adjustRightInd/>
        <w:snapToGrid/>
        <w:rPr>
          <w:rFonts w:eastAsia="Times New Roman"/>
          <w:lang w:val="fr-FR"/>
        </w:rPr>
      </w:pPr>
      <w:r w:rsidRPr="008D6145">
        <w:rPr>
          <w:rFonts w:eastAsia="Times New Roman"/>
          <w:lang w:val="fr-FR"/>
        </w:rPr>
        <w:t>65.</w:t>
      </w:r>
      <w:r w:rsidRPr="008D6145">
        <w:rPr>
          <w:rFonts w:eastAsia="Times New Roman"/>
          <w:lang w:val="fr-FR"/>
        </w:rPr>
        <w:tab/>
      </w:r>
      <w:r w:rsidR="008D6145" w:rsidRPr="008D6145">
        <w:rPr>
          <w:rFonts w:eastAsia="Times New Roman"/>
          <w:lang w:val="fr-FR"/>
        </w:rPr>
        <w:t>Le marché mobile compte, en fin juin 2014, 10,3</w:t>
      </w:r>
      <w:r w:rsidR="00C16C0F">
        <w:rPr>
          <w:rFonts w:eastAsia="Times New Roman"/>
          <w:lang w:val="fr-FR"/>
        </w:rPr>
        <w:t> </w:t>
      </w:r>
      <w:r w:rsidR="008D6145" w:rsidRPr="008D6145">
        <w:rPr>
          <w:rFonts w:eastAsia="Times New Roman"/>
          <w:lang w:val="fr-FR"/>
        </w:rPr>
        <w:t>millions de clients répertoriés (soit 101,40</w:t>
      </w:r>
      <w:r w:rsidR="00C16C0F">
        <w:rPr>
          <w:rFonts w:eastAsia="Times New Roman"/>
          <w:lang w:val="fr-FR"/>
        </w:rPr>
        <w:t> </w:t>
      </w:r>
      <w:r w:rsidR="008D6145" w:rsidRPr="008D6145">
        <w:rPr>
          <w:rFonts w:eastAsia="Times New Roman"/>
          <w:lang w:val="fr-FR"/>
        </w:rPr>
        <w:t>% de taux de pénétration) si l</w:t>
      </w:r>
      <w:r w:rsidR="00A033A7">
        <w:rPr>
          <w:rFonts w:eastAsia="Times New Roman"/>
          <w:lang w:val="fr-FR"/>
        </w:rPr>
        <w:t>’</w:t>
      </w:r>
      <w:r w:rsidR="008D6145" w:rsidRPr="008D6145">
        <w:rPr>
          <w:rFonts w:eastAsia="Times New Roman"/>
          <w:lang w:val="fr-FR"/>
        </w:rPr>
        <w:t>on considère le parc total. Si l</w:t>
      </w:r>
      <w:r w:rsidR="00A033A7">
        <w:rPr>
          <w:rFonts w:eastAsia="Times New Roman"/>
          <w:lang w:val="fr-FR"/>
        </w:rPr>
        <w:t>’</w:t>
      </w:r>
      <w:r w:rsidR="008D6145" w:rsidRPr="008D6145">
        <w:rPr>
          <w:rFonts w:eastAsia="Times New Roman"/>
          <w:lang w:val="fr-FR"/>
        </w:rPr>
        <w:t>on considère le nombre d</w:t>
      </w:r>
      <w:r w:rsidR="00A033A7">
        <w:rPr>
          <w:rFonts w:eastAsia="Times New Roman"/>
          <w:lang w:val="fr-FR"/>
        </w:rPr>
        <w:t>’</w:t>
      </w:r>
      <w:r w:rsidR="008D6145" w:rsidRPr="008D6145">
        <w:rPr>
          <w:rFonts w:eastAsia="Times New Roman"/>
          <w:lang w:val="fr-FR"/>
        </w:rPr>
        <w:t>abonnés actifs (abonnées ayant eu une activité dans les derniers mois) la pénétration n</w:t>
      </w:r>
      <w:r w:rsidR="00A033A7">
        <w:rPr>
          <w:rFonts w:eastAsia="Times New Roman"/>
          <w:lang w:val="fr-FR"/>
        </w:rPr>
        <w:t>’</w:t>
      </w:r>
      <w:r w:rsidR="008D6145" w:rsidRPr="008D6145">
        <w:rPr>
          <w:rFonts w:eastAsia="Times New Roman"/>
          <w:lang w:val="fr-FR"/>
        </w:rPr>
        <w:t>est plus que de 75,32</w:t>
      </w:r>
      <w:r w:rsidR="00C16C0F">
        <w:rPr>
          <w:rFonts w:eastAsia="Times New Roman"/>
          <w:lang w:val="fr-FR"/>
        </w:rPr>
        <w:t> </w:t>
      </w:r>
      <w:r w:rsidR="008D6145" w:rsidRPr="008D6145">
        <w:rPr>
          <w:rFonts w:eastAsia="Times New Roman"/>
          <w:lang w:val="fr-FR"/>
        </w:rPr>
        <w:t>% en fin décembre 2013 contre 96,43</w:t>
      </w:r>
      <w:r w:rsidR="00C16C0F">
        <w:rPr>
          <w:rFonts w:eastAsia="Times New Roman"/>
          <w:lang w:val="fr-FR"/>
        </w:rPr>
        <w:t> </w:t>
      </w:r>
      <w:r w:rsidR="008D6145" w:rsidRPr="008D6145">
        <w:rPr>
          <w:rFonts w:eastAsia="Times New Roman"/>
          <w:lang w:val="fr-FR"/>
        </w:rPr>
        <w:t>% pour le parc total à la même date. Après avoir progressé très fortement entre 2009 et 2012, la densité mobile a connu une croissance réduite entre décembre 2013 et juin 2014.</w:t>
      </w:r>
    </w:p>
    <w:p w:rsidR="008D6145" w:rsidRPr="008D6145" w:rsidRDefault="00821D2B" w:rsidP="00821D2B">
      <w:pPr>
        <w:pStyle w:val="SingleTxtG"/>
        <w:kinsoku/>
        <w:overflowPunct/>
        <w:autoSpaceDE/>
        <w:autoSpaceDN/>
        <w:adjustRightInd/>
        <w:snapToGrid/>
        <w:rPr>
          <w:rFonts w:eastAsia="Times New Roman"/>
          <w:lang w:val="fr-FR"/>
        </w:rPr>
      </w:pPr>
      <w:r w:rsidRPr="008D6145">
        <w:rPr>
          <w:rFonts w:eastAsia="Times New Roman"/>
          <w:lang w:val="fr-FR"/>
        </w:rPr>
        <w:t>66.</w:t>
      </w:r>
      <w:r w:rsidRPr="008D6145">
        <w:rPr>
          <w:rFonts w:eastAsia="Times New Roman"/>
          <w:lang w:val="fr-FR"/>
        </w:rPr>
        <w:tab/>
      </w:r>
      <w:r w:rsidR="008D6145" w:rsidRPr="008D6145">
        <w:rPr>
          <w:rFonts w:eastAsia="Times New Roman"/>
          <w:lang w:val="fr-FR"/>
        </w:rPr>
        <w:t>Par ailleurs, les tarifs des communications mobiles des cinq (5) opérateurs sont maintenant identiques et valorisent la minute de consommation à 60 FCFA. Parallèlement à cette évolution, et sous l</w:t>
      </w:r>
      <w:r w:rsidR="00A033A7">
        <w:rPr>
          <w:rFonts w:eastAsia="Times New Roman"/>
          <w:lang w:val="fr-FR"/>
        </w:rPr>
        <w:t>’</w:t>
      </w:r>
      <w:r w:rsidR="008D6145" w:rsidRPr="008D6145">
        <w:rPr>
          <w:rFonts w:eastAsia="Times New Roman"/>
          <w:lang w:val="fr-FR"/>
        </w:rPr>
        <w:t>impulsion</w:t>
      </w:r>
      <w:r w:rsidR="00A033A7">
        <w:rPr>
          <w:rFonts w:eastAsia="Times New Roman"/>
          <w:lang w:val="fr-FR"/>
        </w:rPr>
        <w:t xml:space="preserve"> </w:t>
      </w:r>
      <w:r w:rsidR="008D6145" w:rsidRPr="008D6145">
        <w:rPr>
          <w:rFonts w:eastAsia="Times New Roman"/>
          <w:lang w:val="fr-FR"/>
        </w:rPr>
        <w:t xml:space="preserve">de </w:t>
      </w:r>
      <w:r w:rsidR="008D6145" w:rsidRPr="009F4B50">
        <w:rPr>
          <w:rFonts w:eastAsia="Times New Roman"/>
          <w:lang w:val="fr-FR"/>
        </w:rPr>
        <w:t>l</w:t>
      </w:r>
      <w:r w:rsidR="00A033A7" w:rsidRPr="009F4B50">
        <w:rPr>
          <w:rFonts w:eastAsia="Times New Roman"/>
          <w:lang w:val="fr-FR"/>
        </w:rPr>
        <w:t>’</w:t>
      </w:r>
      <w:r w:rsidR="008D6145" w:rsidRPr="00821D2B">
        <w:rPr>
          <w:rFonts w:eastAsia="Times New Roman"/>
          <w:lang w:val="fr-FR"/>
        </w:rPr>
        <w:t>ARCEP-BENIN</w:t>
      </w:r>
      <w:r w:rsidR="008D6145" w:rsidRPr="008D6145">
        <w:rPr>
          <w:rFonts w:eastAsia="Times New Roman"/>
          <w:lang w:val="fr-FR"/>
        </w:rPr>
        <w:t>, le principe de la tarification à la seconde s</w:t>
      </w:r>
      <w:r w:rsidR="00A033A7">
        <w:rPr>
          <w:rFonts w:eastAsia="Times New Roman"/>
          <w:lang w:val="fr-FR"/>
        </w:rPr>
        <w:t>’</w:t>
      </w:r>
      <w:r w:rsidR="008D6145" w:rsidRPr="008D6145">
        <w:rPr>
          <w:rFonts w:eastAsia="Times New Roman"/>
          <w:lang w:val="fr-FR"/>
        </w:rPr>
        <w:t>est généralisé et constitue désormais le plan tarifaire par défaut de tout abonné mobile.</w:t>
      </w:r>
    </w:p>
    <w:p w:rsidR="008D6145" w:rsidRPr="00C073F5" w:rsidRDefault="008D6145" w:rsidP="00821D2B">
      <w:pPr>
        <w:pStyle w:val="H4G"/>
        <w:rPr>
          <w:lang w:val="fr-FR"/>
        </w:rPr>
      </w:pPr>
      <w:r w:rsidRPr="008D6145">
        <w:rPr>
          <w:lang w:val="fr-FR"/>
        </w:rPr>
        <w:tab/>
      </w:r>
      <w:r w:rsidRPr="008D6145">
        <w:rPr>
          <w:lang w:val="fr-FR"/>
        </w:rPr>
        <w:tab/>
      </w:r>
      <w:r w:rsidRPr="00C073F5">
        <w:rPr>
          <w:lang w:val="fr-FR"/>
        </w:rPr>
        <w:t>Le marché de l</w:t>
      </w:r>
      <w:r w:rsidR="00A033A7">
        <w:rPr>
          <w:lang w:val="fr-FR"/>
        </w:rPr>
        <w:t>’</w:t>
      </w:r>
      <w:r w:rsidR="009F4B50">
        <w:rPr>
          <w:lang w:val="fr-FR"/>
        </w:rPr>
        <w:t>I</w:t>
      </w:r>
      <w:r w:rsidRPr="00C073F5">
        <w:rPr>
          <w:lang w:val="fr-FR"/>
        </w:rPr>
        <w:t>nternet </w:t>
      </w:r>
    </w:p>
    <w:p w:rsidR="008D6145" w:rsidRPr="008D6145" w:rsidRDefault="00821D2B" w:rsidP="00821D2B">
      <w:pPr>
        <w:pStyle w:val="SingleTxtG"/>
        <w:kinsoku/>
        <w:overflowPunct/>
        <w:autoSpaceDE/>
        <w:autoSpaceDN/>
        <w:adjustRightInd/>
        <w:snapToGrid/>
        <w:rPr>
          <w:rFonts w:eastAsia="Times New Roman"/>
          <w:lang w:val="fr-FR"/>
        </w:rPr>
      </w:pPr>
      <w:r w:rsidRPr="008D6145">
        <w:rPr>
          <w:rFonts w:eastAsia="Times New Roman"/>
          <w:lang w:val="fr-FR"/>
        </w:rPr>
        <w:t>67.</w:t>
      </w:r>
      <w:r w:rsidRPr="008D6145">
        <w:rPr>
          <w:rFonts w:eastAsia="Times New Roman"/>
          <w:lang w:val="fr-FR"/>
        </w:rPr>
        <w:tab/>
      </w:r>
      <w:r w:rsidR="008D6145" w:rsidRPr="008D6145">
        <w:rPr>
          <w:rFonts w:eastAsia="Times New Roman"/>
          <w:lang w:val="fr-FR"/>
        </w:rPr>
        <w:t>Il est animé par trois (3) catégories d</w:t>
      </w:r>
      <w:r w:rsidR="00A033A7">
        <w:rPr>
          <w:rFonts w:eastAsia="Times New Roman"/>
          <w:lang w:val="fr-FR"/>
        </w:rPr>
        <w:t>’</w:t>
      </w:r>
      <w:r w:rsidR="008D6145" w:rsidRPr="008D6145">
        <w:rPr>
          <w:rFonts w:eastAsia="Times New Roman"/>
          <w:lang w:val="fr-FR"/>
        </w:rPr>
        <w:t>acteurs. Sur le segment de l</w:t>
      </w:r>
      <w:r w:rsidR="00A033A7">
        <w:rPr>
          <w:rFonts w:eastAsia="Times New Roman"/>
          <w:lang w:val="fr-FR"/>
        </w:rPr>
        <w:t>’</w:t>
      </w:r>
      <w:r w:rsidR="008D6145" w:rsidRPr="008D6145">
        <w:rPr>
          <w:rFonts w:eastAsia="Times New Roman"/>
          <w:lang w:val="fr-FR"/>
        </w:rPr>
        <w:t>internet fixe, en plus de l</w:t>
      </w:r>
      <w:r w:rsidR="00A033A7">
        <w:rPr>
          <w:rFonts w:eastAsia="Times New Roman"/>
          <w:lang w:val="fr-FR"/>
        </w:rPr>
        <w:t>’</w:t>
      </w:r>
      <w:r w:rsidR="008D6145" w:rsidRPr="008D6145">
        <w:rPr>
          <w:rFonts w:eastAsia="Times New Roman"/>
          <w:lang w:val="fr-FR"/>
        </w:rPr>
        <w:t xml:space="preserve">opérateur historique </w:t>
      </w:r>
      <w:r w:rsidR="008D6145" w:rsidRPr="00C1301E">
        <w:rPr>
          <w:rFonts w:eastAsia="Times New Roman"/>
          <w:lang w:val="fr-FR"/>
        </w:rPr>
        <w:t>Bénin Télécom S.A</w:t>
      </w:r>
      <w:r w:rsidR="008D6145" w:rsidRPr="008D6145">
        <w:rPr>
          <w:rFonts w:eastAsia="Times New Roman"/>
          <w:lang w:val="fr-FR"/>
        </w:rPr>
        <w:t>, cinq (5) autres fournisseurs d</w:t>
      </w:r>
      <w:r w:rsidR="00A033A7">
        <w:rPr>
          <w:rFonts w:eastAsia="Times New Roman"/>
          <w:lang w:val="fr-FR"/>
        </w:rPr>
        <w:t>’</w:t>
      </w:r>
      <w:r w:rsidR="008D6145" w:rsidRPr="008D6145">
        <w:rPr>
          <w:rFonts w:eastAsia="Times New Roman"/>
          <w:lang w:val="fr-FR"/>
        </w:rPr>
        <w:t>accès à Internet sont titulaires d</w:t>
      </w:r>
      <w:r w:rsidR="00A033A7">
        <w:rPr>
          <w:rFonts w:eastAsia="Times New Roman"/>
          <w:lang w:val="fr-FR"/>
        </w:rPr>
        <w:t>’</w:t>
      </w:r>
      <w:r w:rsidR="008D6145" w:rsidRPr="008D6145">
        <w:rPr>
          <w:rFonts w:eastAsia="Times New Roman"/>
          <w:lang w:val="fr-FR"/>
        </w:rPr>
        <w:t>une autorisation d</w:t>
      </w:r>
      <w:r w:rsidR="00A033A7">
        <w:rPr>
          <w:rFonts w:eastAsia="Times New Roman"/>
          <w:lang w:val="fr-FR"/>
        </w:rPr>
        <w:t>’</w:t>
      </w:r>
      <w:r w:rsidR="008D6145" w:rsidRPr="008D6145">
        <w:rPr>
          <w:rFonts w:eastAsia="Times New Roman"/>
          <w:lang w:val="fr-FR"/>
        </w:rPr>
        <w:t>établissement et d</w:t>
      </w:r>
      <w:r w:rsidR="00A033A7">
        <w:rPr>
          <w:rFonts w:eastAsia="Times New Roman"/>
          <w:lang w:val="fr-FR"/>
        </w:rPr>
        <w:t>’</w:t>
      </w:r>
      <w:r w:rsidR="008D6145" w:rsidRPr="008D6145">
        <w:rPr>
          <w:rFonts w:eastAsia="Times New Roman"/>
          <w:lang w:val="fr-FR"/>
        </w:rPr>
        <w:t>exploitation de réseau de fourniture d</w:t>
      </w:r>
      <w:r w:rsidR="00A033A7">
        <w:rPr>
          <w:rFonts w:eastAsia="Times New Roman"/>
          <w:lang w:val="fr-FR"/>
        </w:rPr>
        <w:t>’</w:t>
      </w:r>
      <w:r w:rsidR="008D6145" w:rsidRPr="008D6145">
        <w:rPr>
          <w:rFonts w:eastAsia="Times New Roman"/>
          <w:lang w:val="fr-FR"/>
        </w:rPr>
        <w:t xml:space="preserve">accès à Internet. Sur ces cinq acteurs, trois (3) sont opérationnels à savoir: </w:t>
      </w:r>
      <w:r w:rsidR="008D6145" w:rsidRPr="00C1301E">
        <w:rPr>
          <w:rFonts w:eastAsia="Times New Roman"/>
          <w:lang w:val="fr-FR"/>
        </w:rPr>
        <w:t>Isocel Telecom, Omnium des Télécommunications et de l</w:t>
      </w:r>
      <w:r w:rsidR="00A033A7" w:rsidRPr="00C1301E">
        <w:rPr>
          <w:rFonts w:eastAsia="Times New Roman"/>
          <w:lang w:val="fr-FR"/>
        </w:rPr>
        <w:t>’</w:t>
      </w:r>
      <w:r w:rsidR="008D6145" w:rsidRPr="00C1301E">
        <w:rPr>
          <w:rFonts w:eastAsia="Times New Roman"/>
          <w:lang w:val="fr-FR"/>
        </w:rPr>
        <w:t>internet</w:t>
      </w:r>
      <w:r w:rsidR="008D6145" w:rsidRPr="008D6145">
        <w:rPr>
          <w:rFonts w:eastAsia="Times New Roman"/>
          <w:lang w:val="fr-FR"/>
        </w:rPr>
        <w:t xml:space="preserve"> (OTI) et la société </w:t>
      </w:r>
      <w:r w:rsidR="008D6145" w:rsidRPr="00C1301E">
        <w:rPr>
          <w:rFonts w:eastAsia="Times New Roman"/>
          <w:lang w:val="fr-FR"/>
        </w:rPr>
        <w:t>Espace Informatique et Télécommunications</w:t>
      </w:r>
      <w:r w:rsidR="008D6145" w:rsidRPr="008D6145">
        <w:rPr>
          <w:rFonts w:eastAsia="Times New Roman"/>
          <w:lang w:val="fr-FR"/>
        </w:rPr>
        <w:t xml:space="preserve"> (EIT). Sur le segment de l</w:t>
      </w:r>
      <w:r w:rsidR="00A033A7">
        <w:rPr>
          <w:rFonts w:eastAsia="Times New Roman"/>
          <w:lang w:val="fr-FR"/>
        </w:rPr>
        <w:t>’</w:t>
      </w:r>
      <w:r>
        <w:rPr>
          <w:rFonts w:eastAsia="Times New Roman"/>
          <w:lang w:val="fr-FR"/>
        </w:rPr>
        <w:t>I</w:t>
      </w:r>
      <w:r w:rsidR="008D6145" w:rsidRPr="008D6145">
        <w:rPr>
          <w:rFonts w:eastAsia="Times New Roman"/>
          <w:lang w:val="fr-FR"/>
        </w:rPr>
        <w:t>nternet « mobile », tous les opérateurs de téléphonie mobile fournissent le service Internet aux consommateurs à l</w:t>
      </w:r>
      <w:r w:rsidR="00A033A7">
        <w:rPr>
          <w:rFonts w:eastAsia="Times New Roman"/>
          <w:lang w:val="fr-FR"/>
        </w:rPr>
        <w:t>’</w:t>
      </w:r>
      <w:r w:rsidR="008D6145" w:rsidRPr="008D6145">
        <w:rPr>
          <w:rFonts w:eastAsia="Times New Roman"/>
          <w:lang w:val="fr-FR"/>
        </w:rPr>
        <w:t xml:space="preserve">exception de </w:t>
      </w:r>
      <w:r w:rsidR="008D6145" w:rsidRPr="00C1301E">
        <w:rPr>
          <w:rFonts w:eastAsia="Times New Roman"/>
          <w:lang w:val="fr-FR"/>
        </w:rPr>
        <w:t>Bell Bénin Communications</w:t>
      </w:r>
      <w:r w:rsidR="008D6145" w:rsidRPr="008D6145">
        <w:rPr>
          <w:rFonts w:eastAsia="Times New Roman"/>
          <w:lang w:val="fr-FR"/>
        </w:rPr>
        <w:t xml:space="preserve"> (BBCOM). Au 30 juin 2014, le parc Internet mobile au Bénin est évalué à 1</w:t>
      </w:r>
      <w:r w:rsidR="009F4B50">
        <w:rPr>
          <w:rFonts w:eastAsia="Times New Roman"/>
          <w:lang w:val="fr-FR"/>
        </w:rPr>
        <w:t> </w:t>
      </w:r>
      <w:r w:rsidR="008D6145" w:rsidRPr="008D6145">
        <w:rPr>
          <w:rFonts w:eastAsia="Times New Roman"/>
          <w:lang w:val="fr-FR"/>
        </w:rPr>
        <w:t>725</w:t>
      </w:r>
      <w:r w:rsidR="009F4B50">
        <w:rPr>
          <w:rFonts w:eastAsia="Times New Roman"/>
          <w:lang w:val="fr-FR"/>
        </w:rPr>
        <w:t> </w:t>
      </w:r>
      <w:r w:rsidR="008D6145" w:rsidRPr="008D6145">
        <w:rPr>
          <w:rFonts w:eastAsia="Times New Roman"/>
          <w:lang w:val="fr-FR"/>
        </w:rPr>
        <w:t>863 abonnés, soit 40 fois plus que le parc d</w:t>
      </w:r>
      <w:r w:rsidR="00A033A7">
        <w:rPr>
          <w:rFonts w:eastAsia="Times New Roman"/>
          <w:lang w:val="fr-FR"/>
        </w:rPr>
        <w:t>’</w:t>
      </w:r>
      <w:r w:rsidR="008D6145" w:rsidRPr="008D6145">
        <w:rPr>
          <w:rFonts w:eastAsia="Times New Roman"/>
          <w:lang w:val="fr-FR"/>
        </w:rPr>
        <w:t>abonnés Internet fixe. Ce service est fourni suivant différents plans tarifaires (FCFA/Mo, FCFA/Go o</w:t>
      </w:r>
      <w:r>
        <w:rPr>
          <w:rFonts w:eastAsia="Times New Roman"/>
          <w:lang w:val="fr-FR"/>
        </w:rPr>
        <w:t>u en forfaits). La pénétration I</w:t>
      </w:r>
      <w:r w:rsidR="008D6145" w:rsidRPr="008D6145">
        <w:rPr>
          <w:rFonts w:eastAsia="Times New Roman"/>
          <w:lang w:val="fr-FR"/>
        </w:rPr>
        <w:t>nternet fixe est évaluée à 0,42</w:t>
      </w:r>
      <w:r w:rsidR="009F4B50">
        <w:rPr>
          <w:rFonts w:eastAsia="Times New Roman"/>
          <w:lang w:val="fr-FR"/>
        </w:rPr>
        <w:t> </w:t>
      </w:r>
      <w:r w:rsidR="008D6145" w:rsidRPr="008D6145">
        <w:rPr>
          <w:rFonts w:eastAsia="Times New Roman"/>
          <w:lang w:val="fr-FR"/>
        </w:rPr>
        <w:t>% à la même date.</w:t>
      </w:r>
    </w:p>
    <w:p w:rsidR="008D6145" w:rsidRPr="008D6145" w:rsidRDefault="00821D2B" w:rsidP="00821D2B">
      <w:pPr>
        <w:pStyle w:val="SingleTxtG"/>
        <w:kinsoku/>
        <w:overflowPunct/>
        <w:autoSpaceDE/>
        <w:autoSpaceDN/>
        <w:adjustRightInd/>
        <w:snapToGrid/>
        <w:rPr>
          <w:rFonts w:eastAsia="Times New Roman"/>
          <w:lang w:val="fr-FR"/>
        </w:rPr>
      </w:pPr>
      <w:r w:rsidRPr="008D6145">
        <w:rPr>
          <w:rFonts w:eastAsia="Times New Roman"/>
          <w:lang w:val="fr-FR"/>
        </w:rPr>
        <w:t>68.</w:t>
      </w:r>
      <w:r w:rsidRPr="008D6145">
        <w:rPr>
          <w:rFonts w:eastAsia="Times New Roman"/>
          <w:lang w:val="fr-FR"/>
        </w:rPr>
        <w:tab/>
      </w:r>
      <w:r w:rsidR="008D6145" w:rsidRPr="008D6145">
        <w:rPr>
          <w:rFonts w:eastAsia="Times New Roman"/>
          <w:lang w:val="fr-FR"/>
        </w:rPr>
        <w:t>Le parc d</w:t>
      </w:r>
      <w:r w:rsidR="00A033A7">
        <w:rPr>
          <w:rFonts w:eastAsia="Times New Roman"/>
          <w:lang w:val="fr-FR"/>
        </w:rPr>
        <w:t>’</w:t>
      </w:r>
      <w:r w:rsidR="008D6145" w:rsidRPr="008D6145">
        <w:rPr>
          <w:rFonts w:eastAsia="Times New Roman"/>
          <w:lang w:val="fr-FR"/>
        </w:rPr>
        <w:t>abonnés Internet de Bénin Télécoms à fin juin 2014 s</w:t>
      </w:r>
      <w:r w:rsidR="00A033A7">
        <w:rPr>
          <w:rFonts w:eastAsia="Times New Roman"/>
          <w:lang w:val="fr-FR"/>
        </w:rPr>
        <w:t>’</w:t>
      </w:r>
      <w:r w:rsidR="008D6145" w:rsidRPr="008D6145">
        <w:rPr>
          <w:rFonts w:eastAsia="Times New Roman"/>
          <w:lang w:val="fr-FR"/>
        </w:rPr>
        <w:t>élève à 42 968 abonnés. Ce parc est composé à plus de 87</w:t>
      </w:r>
      <w:r w:rsidR="009F4B50">
        <w:rPr>
          <w:rFonts w:eastAsia="Times New Roman"/>
          <w:lang w:val="fr-FR"/>
        </w:rPr>
        <w:t> </w:t>
      </w:r>
      <w:r w:rsidR="008D6145" w:rsidRPr="008D6145">
        <w:rPr>
          <w:rFonts w:eastAsia="Times New Roman"/>
          <w:lang w:val="fr-FR"/>
        </w:rPr>
        <w:t>% d</w:t>
      </w:r>
      <w:r w:rsidR="00A033A7">
        <w:rPr>
          <w:rFonts w:eastAsia="Times New Roman"/>
          <w:lang w:val="fr-FR"/>
        </w:rPr>
        <w:t>’</w:t>
      </w:r>
      <w:r w:rsidR="008D6145" w:rsidRPr="008D6145">
        <w:rPr>
          <w:rFonts w:eastAsia="Times New Roman"/>
          <w:lang w:val="fr-FR"/>
        </w:rPr>
        <w:t>abonnés de type CDMA et à 10</w:t>
      </w:r>
      <w:r w:rsidR="009F4B50">
        <w:rPr>
          <w:rFonts w:eastAsia="Times New Roman"/>
          <w:lang w:val="fr-FR"/>
        </w:rPr>
        <w:t> </w:t>
      </w:r>
      <w:r w:rsidR="008D6145" w:rsidRPr="008D6145">
        <w:rPr>
          <w:rFonts w:eastAsia="Times New Roman"/>
          <w:lang w:val="fr-FR"/>
        </w:rPr>
        <w:t>% d</w:t>
      </w:r>
      <w:r w:rsidR="00A033A7">
        <w:rPr>
          <w:rFonts w:eastAsia="Times New Roman"/>
          <w:lang w:val="fr-FR"/>
        </w:rPr>
        <w:t>’</w:t>
      </w:r>
      <w:r w:rsidR="008D6145" w:rsidRPr="008D6145">
        <w:rPr>
          <w:rFonts w:eastAsia="Times New Roman"/>
          <w:lang w:val="fr-FR"/>
        </w:rPr>
        <w:t>abonnés ADSL. Après avoir fortement progressé suite au déploiement du CDMA, la croissance du parc d</w:t>
      </w:r>
      <w:r w:rsidR="00A033A7">
        <w:rPr>
          <w:rFonts w:eastAsia="Times New Roman"/>
          <w:lang w:val="fr-FR"/>
        </w:rPr>
        <w:t>’</w:t>
      </w:r>
      <w:r w:rsidR="008D6145" w:rsidRPr="008D6145">
        <w:rPr>
          <w:rFonts w:eastAsia="Times New Roman"/>
          <w:lang w:val="fr-FR"/>
        </w:rPr>
        <w:t>abonnés marque le pas. Ainsi, de près de 110,36</w:t>
      </w:r>
      <w:r w:rsidR="009F4B50">
        <w:rPr>
          <w:rFonts w:eastAsia="Times New Roman"/>
          <w:lang w:val="fr-FR"/>
        </w:rPr>
        <w:t> </w:t>
      </w:r>
      <w:r w:rsidR="008D6145" w:rsidRPr="008D6145">
        <w:rPr>
          <w:rFonts w:eastAsia="Times New Roman"/>
          <w:lang w:val="fr-FR"/>
        </w:rPr>
        <w:t>% en 2009 et 40</w:t>
      </w:r>
      <w:r w:rsidR="009F4B50">
        <w:rPr>
          <w:rFonts w:eastAsia="Times New Roman"/>
          <w:lang w:val="fr-FR"/>
        </w:rPr>
        <w:t> </w:t>
      </w:r>
      <w:r w:rsidR="008D6145" w:rsidRPr="008D6145">
        <w:rPr>
          <w:rFonts w:eastAsia="Times New Roman"/>
          <w:lang w:val="fr-FR"/>
        </w:rPr>
        <w:t>% en 2011, cette croissance n</w:t>
      </w:r>
      <w:r w:rsidR="00A033A7">
        <w:rPr>
          <w:rFonts w:eastAsia="Times New Roman"/>
          <w:lang w:val="fr-FR"/>
        </w:rPr>
        <w:t>’</w:t>
      </w:r>
      <w:r w:rsidR="008D6145" w:rsidRPr="008D6145">
        <w:rPr>
          <w:rFonts w:eastAsia="Times New Roman"/>
          <w:lang w:val="fr-FR"/>
        </w:rPr>
        <w:t>est plus que de 0,31</w:t>
      </w:r>
      <w:r w:rsidR="009F4B50">
        <w:rPr>
          <w:rFonts w:eastAsia="Times New Roman"/>
          <w:lang w:val="fr-FR"/>
        </w:rPr>
        <w:t> </w:t>
      </w:r>
      <w:r w:rsidR="008D6145" w:rsidRPr="008D6145">
        <w:rPr>
          <w:rFonts w:eastAsia="Times New Roman"/>
          <w:lang w:val="fr-FR"/>
        </w:rPr>
        <w:t>% sur les six premiers mois de 2014. Le nombre d</w:t>
      </w:r>
      <w:r w:rsidR="00A033A7">
        <w:rPr>
          <w:rFonts w:eastAsia="Times New Roman"/>
          <w:lang w:val="fr-FR"/>
        </w:rPr>
        <w:t>’</w:t>
      </w:r>
      <w:r w:rsidR="008D6145" w:rsidRPr="008D6145">
        <w:rPr>
          <w:rFonts w:eastAsia="Times New Roman"/>
          <w:lang w:val="fr-FR"/>
        </w:rPr>
        <w:t>abonnés des autres fournisseurs d</w:t>
      </w:r>
      <w:r w:rsidR="00A033A7">
        <w:rPr>
          <w:rFonts w:eastAsia="Times New Roman"/>
          <w:lang w:val="fr-FR"/>
        </w:rPr>
        <w:t>’</w:t>
      </w:r>
      <w:r w:rsidR="008D6145" w:rsidRPr="008D6145">
        <w:rPr>
          <w:rFonts w:eastAsia="Times New Roman"/>
          <w:lang w:val="fr-FR"/>
        </w:rPr>
        <w:t>accès internet (OTI et Isocel Télécom) est mal connu, l</w:t>
      </w:r>
      <w:r w:rsidR="00A033A7">
        <w:rPr>
          <w:rFonts w:eastAsia="Times New Roman"/>
          <w:lang w:val="fr-FR"/>
        </w:rPr>
        <w:t>’</w:t>
      </w:r>
      <w:r w:rsidR="008D6145" w:rsidRPr="008D6145">
        <w:rPr>
          <w:rFonts w:eastAsia="Times New Roman"/>
          <w:lang w:val="fr-FR"/>
        </w:rPr>
        <w:t>ARCEP-BENIN n</w:t>
      </w:r>
      <w:r w:rsidR="00A033A7">
        <w:rPr>
          <w:rFonts w:eastAsia="Times New Roman"/>
          <w:lang w:val="fr-FR"/>
        </w:rPr>
        <w:t>’</w:t>
      </w:r>
      <w:r w:rsidR="008D6145" w:rsidRPr="008D6145">
        <w:rPr>
          <w:rFonts w:eastAsia="Times New Roman"/>
          <w:lang w:val="fr-FR"/>
        </w:rPr>
        <w:t>ayant pas encore collecté de statistiques sur ces opérateurs. D</w:t>
      </w:r>
      <w:r w:rsidR="00A033A7">
        <w:rPr>
          <w:rFonts w:eastAsia="Times New Roman"/>
          <w:lang w:val="fr-FR"/>
        </w:rPr>
        <w:t>’</w:t>
      </w:r>
      <w:r w:rsidR="008D6145" w:rsidRPr="008D6145">
        <w:rPr>
          <w:rFonts w:eastAsia="Times New Roman"/>
          <w:lang w:val="fr-FR"/>
        </w:rPr>
        <w:t>après les entretiens menés avec ces deux fournisseurs d</w:t>
      </w:r>
      <w:r w:rsidR="00A033A7">
        <w:rPr>
          <w:rFonts w:eastAsia="Times New Roman"/>
          <w:lang w:val="fr-FR"/>
        </w:rPr>
        <w:t>’</w:t>
      </w:r>
      <w:r w:rsidR="008D6145" w:rsidRPr="008D6145">
        <w:rPr>
          <w:rFonts w:eastAsia="Times New Roman"/>
          <w:lang w:val="fr-FR"/>
        </w:rPr>
        <w:t>accès internet, leur nombre d</w:t>
      </w:r>
      <w:r w:rsidR="00A033A7">
        <w:rPr>
          <w:rFonts w:eastAsia="Times New Roman"/>
          <w:lang w:val="fr-FR"/>
        </w:rPr>
        <w:t>’</w:t>
      </w:r>
      <w:r w:rsidR="008D6145" w:rsidRPr="008D6145">
        <w:rPr>
          <w:rFonts w:eastAsia="Times New Roman"/>
          <w:lang w:val="fr-FR"/>
        </w:rPr>
        <w:t>abonnés doit être compris entre 1</w:t>
      </w:r>
      <w:r w:rsidR="009F4B50">
        <w:rPr>
          <w:rFonts w:eastAsia="Times New Roman"/>
          <w:lang w:val="fr-FR"/>
        </w:rPr>
        <w:t> </w:t>
      </w:r>
      <w:r w:rsidR="008D6145" w:rsidRPr="008D6145">
        <w:rPr>
          <w:rFonts w:eastAsia="Times New Roman"/>
          <w:lang w:val="fr-FR"/>
        </w:rPr>
        <w:t>000 et 1</w:t>
      </w:r>
      <w:r w:rsidR="009F4B50">
        <w:rPr>
          <w:rFonts w:eastAsia="Times New Roman"/>
          <w:lang w:val="fr-FR"/>
        </w:rPr>
        <w:t> </w:t>
      </w:r>
      <w:r w:rsidR="008D6145" w:rsidRPr="008D6145">
        <w:rPr>
          <w:rFonts w:eastAsia="Times New Roman"/>
          <w:lang w:val="fr-FR"/>
        </w:rPr>
        <w:t>500 pour chacun d</w:t>
      </w:r>
      <w:r w:rsidR="00A033A7">
        <w:rPr>
          <w:rFonts w:eastAsia="Times New Roman"/>
          <w:lang w:val="fr-FR"/>
        </w:rPr>
        <w:t>’</w:t>
      </w:r>
      <w:r w:rsidR="008D6145" w:rsidRPr="008D6145">
        <w:rPr>
          <w:rFonts w:eastAsia="Times New Roman"/>
          <w:lang w:val="fr-FR"/>
        </w:rPr>
        <w:t>eux.</w:t>
      </w:r>
    </w:p>
    <w:p w:rsidR="008D6145" w:rsidRPr="008D6145" w:rsidRDefault="00821D2B" w:rsidP="00821D2B">
      <w:pPr>
        <w:pStyle w:val="SingleTxtG"/>
        <w:kinsoku/>
        <w:overflowPunct/>
        <w:autoSpaceDE/>
        <w:autoSpaceDN/>
        <w:adjustRightInd/>
        <w:snapToGrid/>
        <w:rPr>
          <w:rFonts w:eastAsia="Times New Roman"/>
          <w:lang w:val="fr-FR"/>
        </w:rPr>
      </w:pPr>
      <w:r w:rsidRPr="008D6145">
        <w:rPr>
          <w:rFonts w:eastAsia="Times New Roman"/>
          <w:lang w:val="fr-FR"/>
        </w:rPr>
        <w:t>69.</w:t>
      </w:r>
      <w:r w:rsidRPr="008D6145">
        <w:rPr>
          <w:rFonts w:eastAsia="Times New Roman"/>
          <w:lang w:val="fr-FR"/>
        </w:rPr>
        <w:tab/>
      </w:r>
      <w:r w:rsidR="008D6145" w:rsidRPr="008D6145">
        <w:rPr>
          <w:rFonts w:eastAsia="Times New Roman"/>
          <w:lang w:val="fr-FR"/>
        </w:rPr>
        <w:t>Les services grand public offerts que ce soit par Bénin Télécom ou les deux autres FAI sont des services à relativement faible débit. L</w:t>
      </w:r>
      <w:r w:rsidR="00A033A7">
        <w:rPr>
          <w:rFonts w:eastAsia="Times New Roman"/>
          <w:lang w:val="fr-FR"/>
        </w:rPr>
        <w:t>’</w:t>
      </w:r>
      <w:r w:rsidR="008D6145" w:rsidRPr="008D6145">
        <w:rPr>
          <w:rFonts w:eastAsia="Times New Roman"/>
          <w:lang w:val="fr-FR"/>
        </w:rPr>
        <w:t>offre la plus souscrite actuellement est une offre proposant un débit de 512</w:t>
      </w:r>
      <w:r w:rsidR="009F4B50">
        <w:rPr>
          <w:rFonts w:eastAsia="Times New Roman"/>
          <w:lang w:val="fr-FR"/>
        </w:rPr>
        <w:t> </w:t>
      </w:r>
      <w:r w:rsidR="008D6145" w:rsidRPr="008D6145">
        <w:rPr>
          <w:rFonts w:eastAsia="Times New Roman"/>
          <w:lang w:val="fr-FR"/>
        </w:rPr>
        <w:t>kbps. Les prix des offres proposées par Bénin Télécoms et ces deux concurrents permettent de disposer d</w:t>
      </w:r>
      <w:r w:rsidR="00A033A7">
        <w:rPr>
          <w:rFonts w:eastAsia="Times New Roman"/>
          <w:lang w:val="fr-FR"/>
        </w:rPr>
        <w:t>’</w:t>
      </w:r>
      <w:r w:rsidR="008D6145" w:rsidRPr="008D6145">
        <w:rPr>
          <w:rFonts w:eastAsia="Times New Roman"/>
          <w:lang w:val="fr-FR"/>
        </w:rPr>
        <w:t>une connexion à 512</w:t>
      </w:r>
      <w:r w:rsidR="009F4B50">
        <w:rPr>
          <w:rFonts w:eastAsia="Times New Roman"/>
          <w:lang w:val="fr-FR"/>
        </w:rPr>
        <w:t> </w:t>
      </w:r>
      <w:r w:rsidR="008D6145" w:rsidRPr="008D6145">
        <w:rPr>
          <w:rFonts w:eastAsia="Times New Roman"/>
          <w:lang w:val="fr-FR"/>
        </w:rPr>
        <w:t>kbps pour un tarif compris entre 25 000 FCFA/mois et 35 000 FCFA/mois.</w:t>
      </w:r>
    </w:p>
    <w:p w:rsidR="008D6145" w:rsidRPr="00C073F5" w:rsidRDefault="00C073F5" w:rsidP="00821D2B">
      <w:pPr>
        <w:pStyle w:val="H4G"/>
        <w:rPr>
          <w:lang w:val="fr-FR"/>
        </w:rPr>
      </w:pPr>
      <w:r>
        <w:rPr>
          <w:lang w:val="fr-FR"/>
        </w:rPr>
        <w:tab/>
      </w:r>
      <w:r>
        <w:rPr>
          <w:lang w:val="fr-FR"/>
        </w:rPr>
        <w:tab/>
      </w:r>
      <w:r w:rsidR="008D6145" w:rsidRPr="00C073F5">
        <w:rPr>
          <w:lang w:val="fr-FR"/>
        </w:rPr>
        <w:t>Le marché postal</w:t>
      </w:r>
    </w:p>
    <w:p w:rsidR="008D6145" w:rsidRPr="008D6145" w:rsidRDefault="00821D2B" w:rsidP="00821D2B">
      <w:pPr>
        <w:pStyle w:val="SingleTxtG"/>
        <w:kinsoku/>
        <w:overflowPunct/>
        <w:autoSpaceDE/>
        <w:autoSpaceDN/>
        <w:adjustRightInd/>
        <w:snapToGrid/>
        <w:rPr>
          <w:rFonts w:eastAsia="Times New Roman"/>
          <w:lang w:val="fr-FR"/>
        </w:rPr>
      </w:pPr>
      <w:r w:rsidRPr="008D6145">
        <w:rPr>
          <w:rFonts w:eastAsia="Times New Roman"/>
          <w:lang w:val="fr-FR"/>
        </w:rPr>
        <w:t>70.</w:t>
      </w:r>
      <w:r w:rsidRPr="008D6145">
        <w:rPr>
          <w:rFonts w:eastAsia="Times New Roman"/>
          <w:lang w:val="fr-FR"/>
        </w:rPr>
        <w:tab/>
      </w:r>
      <w:r w:rsidR="008D6145" w:rsidRPr="008D6145">
        <w:rPr>
          <w:rFonts w:eastAsia="Times New Roman"/>
          <w:lang w:val="fr-FR"/>
        </w:rPr>
        <w:t>On y retrouve trois grandes catégories d</w:t>
      </w:r>
      <w:r w:rsidR="00A033A7">
        <w:rPr>
          <w:rFonts w:eastAsia="Times New Roman"/>
          <w:lang w:val="fr-FR"/>
        </w:rPr>
        <w:t>’</w:t>
      </w:r>
      <w:r w:rsidR="008D6145" w:rsidRPr="008D6145">
        <w:rPr>
          <w:rFonts w:eastAsia="Times New Roman"/>
          <w:lang w:val="fr-FR"/>
        </w:rPr>
        <w:t>acteurs : la Poste du Bénin (SA) et les opérateurs autorisés</w:t>
      </w:r>
      <w:r w:rsidR="009F4B50">
        <w:rPr>
          <w:rFonts w:eastAsia="Times New Roman"/>
          <w:lang w:val="fr-FR"/>
        </w:rPr>
        <w:t> :</w:t>
      </w:r>
      <w:r w:rsidR="008D6145" w:rsidRPr="008D6145">
        <w:rPr>
          <w:rFonts w:eastAsia="Times New Roman"/>
          <w:lang w:val="fr-FR"/>
        </w:rPr>
        <w:t xml:space="preserve"> </w:t>
      </w:r>
    </w:p>
    <w:p w:rsidR="008D6145" w:rsidRPr="00C1301E" w:rsidRDefault="00821D2B" w:rsidP="00821D2B">
      <w:pPr>
        <w:pStyle w:val="Bullet1G"/>
        <w:numPr>
          <w:ilvl w:val="0"/>
          <w:numId w:val="0"/>
        </w:numPr>
        <w:tabs>
          <w:tab w:val="left" w:pos="1701"/>
        </w:tabs>
        <w:ind w:left="1701" w:hanging="170"/>
        <w:rPr>
          <w:lang w:val="fr-FR"/>
        </w:rPr>
      </w:pPr>
      <w:r w:rsidRPr="00C1301E">
        <w:rPr>
          <w:lang w:val="fr-FR"/>
        </w:rPr>
        <w:t>•</w:t>
      </w:r>
      <w:r w:rsidRPr="00C1301E">
        <w:rPr>
          <w:lang w:val="fr-FR"/>
        </w:rPr>
        <w:tab/>
      </w:r>
      <w:r w:rsidR="008D6145" w:rsidRPr="00C1301E">
        <w:rPr>
          <w:lang w:val="fr-FR"/>
        </w:rPr>
        <w:t>La Poste du Bénin S.A. est l</w:t>
      </w:r>
      <w:r w:rsidR="00A033A7" w:rsidRPr="00C1301E">
        <w:rPr>
          <w:lang w:val="fr-FR"/>
        </w:rPr>
        <w:t>’</w:t>
      </w:r>
      <w:r w:rsidR="008D6145" w:rsidRPr="00C1301E">
        <w:rPr>
          <w:lang w:val="fr-FR"/>
        </w:rPr>
        <w:t xml:space="preserve">opérateur en charge du Service Postal Universel : il offre des services tels que le courrier express, les services postaux financiers (chèques </w:t>
      </w:r>
      <w:r w:rsidR="008D6145" w:rsidRPr="00C1301E">
        <w:rPr>
          <w:lang w:val="fr-FR"/>
        </w:rPr>
        <w:lastRenderedPageBreak/>
        <w:t>postaux, caisse nationale d</w:t>
      </w:r>
      <w:r w:rsidR="00A033A7" w:rsidRPr="00C1301E">
        <w:rPr>
          <w:lang w:val="fr-FR"/>
        </w:rPr>
        <w:t>’</w:t>
      </w:r>
      <w:r w:rsidR="008D6145" w:rsidRPr="00C1301E">
        <w:rPr>
          <w:lang w:val="fr-FR"/>
        </w:rPr>
        <w:t>épargne, mandats et transferts d</w:t>
      </w:r>
      <w:r w:rsidR="00A033A7" w:rsidRPr="00C1301E">
        <w:rPr>
          <w:lang w:val="fr-FR"/>
        </w:rPr>
        <w:t>’</w:t>
      </w:r>
      <w:r w:rsidR="008D6145" w:rsidRPr="00C1301E">
        <w:rPr>
          <w:lang w:val="fr-FR"/>
        </w:rPr>
        <w:t xml:space="preserve">argent) (SPU) ; les opérateurs postaux </w:t>
      </w:r>
      <w:r w:rsidR="00CE7C45">
        <w:rPr>
          <w:lang w:val="fr-FR"/>
        </w:rPr>
        <w:t>privés et les acteurs informels</w:t>
      </w:r>
      <w:r w:rsidR="00C1301E">
        <w:rPr>
          <w:lang w:val="fr-FR"/>
        </w:rPr>
        <w:t>.</w:t>
      </w:r>
    </w:p>
    <w:p w:rsidR="008D6145" w:rsidRPr="008D6145" w:rsidRDefault="00821D2B" w:rsidP="00821D2B">
      <w:pPr>
        <w:pStyle w:val="Bullet1G"/>
        <w:numPr>
          <w:ilvl w:val="0"/>
          <w:numId w:val="0"/>
        </w:numPr>
        <w:tabs>
          <w:tab w:val="left" w:pos="1701"/>
        </w:tabs>
        <w:ind w:left="1701" w:hanging="170"/>
        <w:rPr>
          <w:lang w:val="fr-FR"/>
        </w:rPr>
      </w:pPr>
      <w:r w:rsidRPr="008D6145">
        <w:rPr>
          <w:lang w:val="fr-FR"/>
        </w:rPr>
        <w:t>•</w:t>
      </w:r>
      <w:r w:rsidRPr="008D6145">
        <w:rPr>
          <w:lang w:val="fr-FR"/>
        </w:rPr>
        <w:tab/>
      </w:r>
      <w:r w:rsidR="008D6145" w:rsidRPr="00C1301E">
        <w:rPr>
          <w:rFonts w:eastAsia="Times New Roman"/>
          <w:lang w:val="fr-FR"/>
        </w:rPr>
        <w:t>Les opérateurs autorisés : en application de loi postale, mais en l</w:t>
      </w:r>
      <w:r w:rsidR="00A033A7" w:rsidRPr="00C1301E">
        <w:rPr>
          <w:rFonts w:eastAsia="Times New Roman"/>
          <w:lang w:val="fr-FR"/>
        </w:rPr>
        <w:t>’</w:t>
      </w:r>
      <w:r w:rsidR="008D6145" w:rsidRPr="00C1301E">
        <w:rPr>
          <w:rFonts w:eastAsia="Times New Roman"/>
          <w:lang w:val="fr-FR"/>
        </w:rPr>
        <w:t>absence de toute règlementation</w:t>
      </w:r>
      <w:r w:rsidR="008D6145" w:rsidRPr="008D6145">
        <w:rPr>
          <w:lang w:val="fr-FR"/>
        </w:rPr>
        <w:t>, un certain nombre d</w:t>
      </w:r>
      <w:r w:rsidR="00A033A7">
        <w:rPr>
          <w:lang w:val="fr-FR"/>
        </w:rPr>
        <w:t>’</w:t>
      </w:r>
      <w:r w:rsidR="008D6145" w:rsidRPr="008D6145">
        <w:rPr>
          <w:lang w:val="fr-FR"/>
        </w:rPr>
        <w:t>opérateurs postaux ont obtenu des autorisations du Ministère en charge du secteur en vue d</w:t>
      </w:r>
      <w:r w:rsidR="00A033A7">
        <w:rPr>
          <w:lang w:val="fr-FR"/>
        </w:rPr>
        <w:t>’</w:t>
      </w:r>
      <w:r w:rsidR="008D6145" w:rsidRPr="008D6145">
        <w:rPr>
          <w:lang w:val="fr-FR"/>
        </w:rPr>
        <w:t>exploiter des services postaux en dérogation de l</w:t>
      </w:r>
      <w:r w:rsidR="00A033A7">
        <w:rPr>
          <w:lang w:val="fr-FR"/>
        </w:rPr>
        <w:t>’</w:t>
      </w:r>
      <w:r w:rsidR="008D6145" w:rsidRPr="008D6145">
        <w:rPr>
          <w:lang w:val="fr-FR"/>
        </w:rPr>
        <w:t>exclusivité accordée à l</w:t>
      </w:r>
      <w:r w:rsidR="00A033A7">
        <w:rPr>
          <w:lang w:val="fr-FR"/>
        </w:rPr>
        <w:t>’</w:t>
      </w:r>
      <w:r w:rsidR="008D6145" w:rsidRPr="008D6145">
        <w:rPr>
          <w:lang w:val="fr-FR"/>
        </w:rPr>
        <w:t>exploitant public. En principe, ces autorisations devraient être assorties d</w:t>
      </w:r>
      <w:r w:rsidR="00A033A7">
        <w:rPr>
          <w:lang w:val="fr-FR"/>
        </w:rPr>
        <w:t>’</w:t>
      </w:r>
      <w:r w:rsidR="008D6145" w:rsidRPr="008D6145">
        <w:rPr>
          <w:lang w:val="fr-FR"/>
        </w:rPr>
        <w:t>un cahier des charges, ce qui, en fait, n</w:t>
      </w:r>
      <w:r w:rsidR="00A033A7">
        <w:rPr>
          <w:lang w:val="fr-FR"/>
        </w:rPr>
        <w:t>’</w:t>
      </w:r>
      <w:r w:rsidR="008D6145" w:rsidRPr="008D6145">
        <w:rPr>
          <w:lang w:val="fr-FR"/>
        </w:rPr>
        <w:t>était pas le cas jusqu</w:t>
      </w:r>
      <w:r w:rsidR="00A033A7">
        <w:rPr>
          <w:lang w:val="fr-FR"/>
        </w:rPr>
        <w:t>’</w:t>
      </w:r>
      <w:r w:rsidR="008D6145" w:rsidRPr="008D6145">
        <w:rPr>
          <w:lang w:val="fr-FR"/>
        </w:rPr>
        <w:t>à une date récente. L</w:t>
      </w:r>
      <w:r w:rsidR="00A033A7">
        <w:rPr>
          <w:lang w:val="fr-FR"/>
        </w:rPr>
        <w:t>’</w:t>
      </w:r>
      <w:r w:rsidR="008D6145" w:rsidRPr="008D6145">
        <w:rPr>
          <w:lang w:val="fr-FR"/>
        </w:rPr>
        <w:t xml:space="preserve">ARCEP-Bénin a entrepris en 2011 de rationnaliser ce segment de marché en adoptant la décision </w:t>
      </w:r>
      <w:r w:rsidR="00CD357C" w:rsidRPr="006C0894">
        <w:rPr>
          <w:rFonts w:eastAsia="Times New Roman"/>
          <w:bCs/>
          <w:lang w:val="fr-FR"/>
        </w:rPr>
        <w:t>n</w:t>
      </w:r>
      <w:r w:rsidR="00CD357C" w:rsidRPr="006C0894">
        <w:rPr>
          <w:rFonts w:eastAsia="Times New Roman"/>
          <w:bCs/>
          <w:vertAlign w:val="superscript"/>
          <w:lang w:val="fr-FR"/>
        </w:rPr>
        <w:t>o</w:t>
      </w:r>
      <w:r w:rsidR="00CD357C" w:rsidRPr="006C0894">
        <w:rPr>
          <w:rFonts w:eastAsia="Times New Roman"/>
          <w:bCs/>
          <w:lang w:val="fr-FR"/>
        </w:rPr>
        <w:t> </w:t>
      </w:r>
      <w:r w:rsidR="008D6145" w:rsidRPr="008D6145">
        <w:rPr>
          <w:lang w:val="fr-FR"/>
        </w:rPr>
        <w:t>2011-060 du 25 juillet 2011 fixant les modalités d</w:t>
      </w:r>
      <w:r w:rsidR="00A033A7">
        <w:rPr>
          <w:lang w:val="fr-FR"/>
        </w:rPr>
        <w:t>’</w:t>
      </w:r>
      <w:r w:rsidR="008D6145" w:rsidRPr="008D6145">
        <w:rPr>
          <w:lang w:val="fr-FR"/>
        </w:rPr>
        <w:t>exploitation commerciale des services postaux ouverts à la concurrence. Sur la base de cette décision, l</w:t>
      </w:r>
      <w:r w:rsidR="00A033A7">
        <w:rPr>
          <w:lang w:val="fr-FR"/>
        </w:rPr>
        <w:t>’</w:t>
      </w:r>
      <w:r w:rsidR="008D6145" w:rsidRPr="008D6145">
        <w:rPr>
          <w:lang w:val="fr-FR"/>
        </w:rPr>
        <w:t>ARCEP-Bénin a élaboré des modèles de convention d</w:t>
      </w:r>
      <w:r w:rsidR="00A033A7">
        <w:rPr>
          <w:lang w:val="fr-FR"/>
        </w:rPr>
        <w:t>’</w:t>
      </w:r>
      <w:r w:rsidR="008D6145" w:rsidRPr="008D6145">
        <w:rPr>
          <w:lang w:val="fr-FR"/>
        </w:rPr>
        <w:t>exploitation et de cahier des charges qu</w:t>
      </w:r>
      <w:r w:rsidR="00A033A7">
        <w:rPr>
          <w:lang w:val="fr-FR"/>
        </w:rPr>
        <w:t>’</w:t>
      </w:r>
      <w:r w:rsidR="008D6145" w:rsidRPr="008D6145">
        <w:rPr>
          <w:lang w:val="fr-FR"/>
        </w:rPr>
        <w:t>elle a entrepris de faire signer par les opérateurs titulaires d</w:t>
      </w:r>
      <w:r w:rsidR="00A033A7">
        <w:rPr>
          <w:lang w:val="fr-FR"/>
        </w:rPr>
        <w:t>’</w:t>
      </w:r>
      <w:r w:rsidR="008D6145" w:rsidRPr="008D6145">
        <w:rPr>
          <w:lang w:val="fr-FR"/>
        </w:rPr>
        <w:t xml:space="preserve">autorisations. </w:t>
      </w:r>
    </w:p>
    <w:p w:rsidR="008D6145" w:rsidRPr="008D6145" w:rsidRDefault="008D6145" w:rsidP="00821D2B">
      <w:pPr>
        <w:pStyle w:val="H1G"/>
        <w:rPr>
          <w:lang w:val="fr-FR"/>
        </w:rPr>
      </w:pPr>
      <w:r w:rsidRPr="008D6145">
        <w:rPr>
          <w:lang w:val="fr-FR"/>
        </w:rPr>
        <w:tab/>
        <w:t>G.</w:t>
      </w:r>
      <w:r w:rsidRPr="008D6145">
        <w:rPr>
          <w:lang w:val="fr-FR"/>
        </w:rPr>
        <w:tab/>
        <w:t xml:space="preserve">Article 12 </w:t>
      </w:r>
      <w:r w:rsidR="009F4B50">
        <w:rPr>
          <w:lang w:val="fr-FR"/>
        </w:rPr>
        <w:t>–</w:t>
      </w:r>
      <w:r w:rsidRPr="008D6145">
        <w:rPr>
          <w:lang w:val="fr-FR"/>
        </w:rPr>
        <w:t xml:space="preserve"> Droit à la santé physique et mentale</w:t>
      </w:r>
    </w:p>
    <w:p w:rsidR="008D6145" w:rsidRPr="008D6145" w:rsidRDefault="00821D2B" w:rsidP="00821D2B">
      <w:pPr>
        <w:pStyle w:val="SingleTxtG"/>
        <w:kinsoku/>
        <w:overflowPunct/>
        <w:autoSpaceDE/>
        <w:autoSpaceDN/>
        <w:adjustRightInd/>
        <w:snapToGrid/>
        <w:rPr>
          <w:rFonts w:eastAsia="Times New Roman"/>
          <w:lang w:val="fr-FR"/>
        </w:rPr>
      </w:pPr>
      <w:r w:rsidRPr="008D6145">
        <w:rPr>
          <w:rFonts w:eastAsia="Times New Roman"/>
          <w:lang w:val="fr-FR"/>
        </w:rPr>
        <w:t>71.</w:t>
      </w:r>
      <w:r w:rsidRPr="008D6145">
        <w:rPr>
          <w:rFonts w:eastAsia="Times New Roman"/>
          <w:lang w:val="fr-FR"/>
        </w:rPr>
        <w:tab/>
      </w:r>
      <w:r w:rsidR="008D6145" w:rsidRPr="008D6145">
        <w:rPr>
          <w:rFonts w:eastAsia="Times New Roman"/>
          <w:lang w:val="fr-FR"/>
        </w:rPr>
        <w:t>Au niveau central, la gestion du système est assurée par le Ministère de la Santé qui est chargé de mettre en œuvre la politique définie par le Gouvernement en matière de santé. Pour ce faire, il initie l</w:t>
      </w:r>
      <w:r w:rsidR="00A033A7">
        <w:rPr>
          <w:rFonts w:eastAsia="Times New Roman"/>
          <w:lang w:val="fr-FR"/>
        </w:rPr>
        <w:t>’</w:t>
      </w:r>
      <w:r w:rsidR="008D6145" w:rsidRPr="008D6145">
        <w:rPr>
          <w:rFonts w:eastAsia="Times New Roman"/>
          <w:lang w:val="fr-FR"/>
        </w:rPr>
        <w:t>action sanitaire, planifie sa mise en œuvre, coordonne et contrôle l</w:t>
      </w:r>
      <w:r w:rsidR="00A033A7">
        <w:rPr>
          <w:rFonts w:eastAsia="Times New Roman"/>
          <w:lang w:val="fr-FR"/>
        </w:rPr>
        <w:t>’</w:t>
      </w:r>
      <w:r w:rsidR="008D6145" w:rsidRPr="008D6145">
        <w:rPr>
          <w:rFonts w:eastAsia="Times New Roman"/>
          <w:lang w:val="fr-FR"/>
        </w:rPr>
        <w:t>exécution des tâches définies. Comme infrastructures au niveau central, nous avons le Centre National Hospitalier et Universitaire (CNHU) et l</w:t>
      </w:r>
      <w:r w:rsidR="00A033A7">
        <w:rPr>
          <w:rFonts w:eastAsia="Times New Roman"/>
          <w:lang w:val="fr-FR"/>
        </w:rPr>
        <w:t>’</w:t>
      </w:r>
      <w:r w:rsidR="008D6145" w:rsidRPr="008D6145">
        <w:rPr>
          <w:rFonts w:eastAsia="Times New Roman"/>
          <w:lang w:val="fr-FR"/>
        </w:rPr>
        <w:t>Hôpital de la Mère et de l</w:t>
      </w:r>
      <w:r w:rsidR="00A033A7">
        <w:rPr>
          <w:rFonts w:eastAsia="Times New Roman"/>
          <w:lang w:val="fr-FR"/>
        </w:rPr>
        <w:t>’</w:t>
      </w:r>
      <w:r w:rsidR="008D6145" w:rsidRPr="008D6145">
        <w:rPr>
          <w:rFonts w:eastAsia="Times New Roman"/>
          <w:lang w:val="fr-FR"/>
        </w:rPr>
        <w:t xml:space="preserve">Enfant Lagune (HOMEL). </w:t>
      </w:r>
    </w:p>
    <w:p w:rsidR="008D6145" w:rsidRPr="008D6145" w:rsidRDefault="00821D2B" w:rsidP="00821D2B">
      <w:pPr>
        <w:pStyle w:val="SingleTxtG"/>
        <w:kinsoku/>
        <w:overflowPunct/>
        <w:autoSpaceDE/>
        <w:autoSpaceDN/>
        <w:adjustRightInd/>
        <w:snapToGrid/>
        <w:rPr>
          <w:rFonts w:eastAsia="Times New Roman"/>
          <w:lang w:val="fr-FR"/>
        </w:rPr>
      </w:pPr>
      <w:r w:rsidRPr="008D6145">
        <w:rPr>
          <w:rFonts w:eastAsia="Times New Roman"/>
          <w:lang w:val="fr-FR"/>
        </w:rPr>
        <w:t>72.</w:t>
      </w:r>
      <w:r w:rsidRPr="008D6145">
        <w:rPr>
          <w:rFonts w:eastAsia="Times New Roman"/>
          <w:lang w:val="fr-FR"/>
        </w:rPr>
        <w:tab/>
      </w:r>
      <w:r w:rsidR="008D6145" w:rsidRPr="008D6145">
        <w:rPr>
          <w:rFonts w:eastAsia="Times New Roman"/>
          <w:lang w:val="fr-FR"/>
        </w:rPr>
        <w:t>Au niveau intermédiaire, le relais de la politique sanitaire nationale est assuré par les Directions Départementales de la Santé dont les actions s</w:t>
      </w:r>
      <w:r w:rsidR="00A033A7">
        <w:rPr>
          <w:rFonts w:eastAsia="Times New Roman"/>
          <w:lang w:val="fr-FR"/>
        </w:rPr>
        <w:t>’</w:t>
      </w:r>
      <w:r w:rsidR="008D6145" w:rsidRPr="008D6145">
        <w:rPr>
          <w:rFonts w:eastAsia="Times New Roman"/>
          <w:lang w:val="fr-FR"/>
        </w:rPr>
        <w:t>inscrivent dans le sens de la stratégie arrêtée au niveau central. Il existe cinq Centres Hospitaliers Départementaux (CHD) situés dans les départements de l</w:t>
      </w:r>
      <w:r w:rsidR="00A033A7">
        <w:rPr>
          <w:rFonts w:eastAsia="Times New Roman"/>
          <w:lang w:val="fr-FR"/>
        </w:rPr>
        <w:t>’</w:t>
      </w:r>
      <w:r w:rsidR="008D6145" w:rsidRPr="008D6145">
        <w:rPr>
          <w:rFonts w:eastAsia="Times New Roman"/>
          <w:lang w:val="fr-FR"/>
        </w:rPr>
        <w:t>Ouémé, du Borgou, de l</w:t>
      </w:r>
      <w:r w:rsidR="00A033A7">
        <w:rPr>
          <w:rFonts w:eastAsia="Times New Roman"/>
          <w:lang w:val="fr-FR"/>
        </w:rPr>
        <w:t>’</w:t>
      </w:r>
      <w:r w:rsidR="008D6145" w:rsidRPr="008D6145">
        <w:rPr>
          <w:rFonts w:eastAsia="Times New Roman"/>
          <w:lang w:val="fr-FR"/>
        </w:rPr>
        <w:t>Atacora, du Zou et du Mono. Dans le Littoral, c</w:t>
      </w:r>
      <w:r w:rsidR="00A033A7">
        <w:rPr>
          <w:rFonts w:eastAsia="Times New Roman"/>
          <w:lang w:val="fr-FR"/>
        </w:rPr>
        <w:t>’</w:t>
      </w:r>
      <w:r w:rsidR="008D6145" w:rsidRPr="008D6145">
        <w:rPr>
          <w:rFonts w:eastAsia="Times New Roman"/>
          <w:lang w:val="fr-FR"/>
        </w:rPr>
        <w:t xml:space="preserve">est le CNHU qui, en plus de sa fonction nationale, joue le rôle de CHD-Littoral. </w:t>
      </w:r>
    </w:p>
    <w:p w:rsidR="008D6145" w:rsidRPr="008D6145" w:rsidRDefault="00821D2B" w:rsidP="00821D2B">
      <w:pPr>
        <w:pStyle w:val="SingleTxtG"/>
        <w:kinsoku/>
        <w:overflowPunct/>
        <w:autoSpaceDE/>
        <w:autoSpaceDN/>
        <w:adjustRightInd/>
        <w:snapToGrid/>
        <w:rPr>
          <w:rFonts w:eastAsia="Times New Roman"/>
          <w:lang w:val="fr-FR"/>
        </w:rPr>
      </w:pPr>
      <w:r w:rsidRPr="008D6145">
        <w:rPr>
          <w:rFonts w:eastAsia="Times New Roman"/>
          <w:lang w:val="fr-FR"/>
        </w:rPr>
        <w:t>73.</w:t>
      </w:r>
      <w:r w:rsidRPr="008D6145">
        <w:rPr>
          <w:rFonts w:eastAsia="Times New Roman"/>
          <w:lang w:val="fr-FR"/>
        </w:rPr>
        <w:tab/>
      </w:r>
      <w:r w:rsidR="008D6145" w:rsidRPr="008D6145">
        <w:rPr>
          <w:rFonts w:eastAsia="Times New Roman"/>
          <w:lang w:val="fr-FR"/>
        </w:rPr>
        <w:t>Au niveau périphérique, on retrouve les zones sanitaires qui constituent les entités opérationnelles les plus décentralisées du système de santé béninois. La zone sanitaire est constituée d</w:t>
      </w:r>
      <w:r w:rsidR="00A033A7">
        <w:rPr>
          <w:rFonts w:eastAsia="Times New Roman"/>
          <w:lang w:val="fr-FR"/>
        </w:rPr>
        <w:t>’</w:t>
      </w:r>
      <w:r w:rsidR="008D6145" w:rsidRPr="008D6145">
        <w:rPr>
          <w:rFonts w:eastAsia="Times New Roman"/>
          <w:lang w:val="fr-FR"/>
        </w:rPr>
        <w:t>un réseau de services de premiers soins : Unité Villageoise de Santé (UVS), Maternités et dispensaires seuls</w:t>
      </w:r>
      <w:r w:rsidR="008D6145" w:rsidRPr="00821D2B">
        <w:rPr>
          <w:rStyle w:val="Appelnotedebasdep"/>
        </w:rPr>
        <w:footnoteReference w:id="4"/>
      </w:r>
      <w:r w:rsidR="008D6145" w:rsidRPr="008D6145">
        <w:rPr>
          <w:rFonts w:eastAsia="Times New Roman"/>
          <w:lang w:val="fr-FR"/>
        </w:rPr>
        <w:t xml:space="preserve">, Centre de Santé (CS) et des formations sanitaires privées, le tout appuyé par un hôpital de première référence (Hôpital de zone), public ou privé, et destiné à desservir une aire abritant entre 100 et 200 milles habitants. </w:t>
      </w:r>
    </w:p>
    <w:p w:rsidR="008D6145" w:rsidRPr="008D6145" w:rsidRDefault="00821D2B" w:rsidP="00821D2B">
      <w:pPr>
        <w:pStyle w:val="SingleTxtG"/>
        <w:kinsoku/>
        <w:overflowPunct/>
        <w:autoSpaceDE/>
        <w:autoSpaceDN/>
        <w:adjustRightInd/>
        <w:snapToGrid/>
        <w:rPr>
          <w:rFonts w:eastAsia="Times New Roman"/>
          <w:lang w:val="fr-FR"/>
        </w:rPr>
      </w:pPr>
      <w:r w:rsidRPr="008D6145">
        <w:rPr>
          <w:rFonts w:eastAsia="Times New Roman"/>
          <w:lang w:val="fr-FR"/>
        </w:rPr>
        <w:t>74.</w:t>
      </w:r>
      <w:r w:rsidRPr="008D6145">
        <w:rPr>
          <w:rFonts w:eastAsia="Times New Roman"/>
          <w:lang w:val="fr-FR"/>
        </w:rPr>
        <w:tab/>
      </w:r>
      <w:r w:rsidR="008D6145" w:rsidRPr="008D6145">
        <w:rPr>
          <w:rFonts w:eastAsia="Times New Roman"/>
          <w:lang w:val="fr-FR"/>
        </w:rPr>
        <w:t>On dénombre en 2014, un effectif de 28 zones sanitaires qui ont leurs hôpitaux de référence dont 12 jouent pleinement leur rôle. Cette stratégie permet de rendre viable et performante la qualité des services offerts en même temps qu</w:t>
      </w:r>
      <w:r w:rsidR="00A033A7">
        <w:rPr>
          <w:rFonts w:eastAsia="Times New Roman"/>
          <w:lang w:val="fr-FR"/>
        </w:rPr>
        <w:t>’</w:t>
      </w:r>
      <w:r w:rsidR="008D6145" w:rsidRPr="008D6145">
        <w:rPr>
          <w:rFonts w:eastAsia="Times New Roman"/>
          <w:lang w:val="fr-FR"/>
        </w:rPr>
        <w:t>elle favorise la décentralisation, la participation communautaire et le partenariat des secteurs public et privé.</w:t>
      </w:r>
    </w:p>
    <w:p w:rsidR="008D6145" w:rsidRPr="008D6145" w:rsidRDefault="00821D2B" w:rsidP="00821D2B">
      <w:pPr>
        <w:pStyle w:val="SingleTxtG"/>
        <w:kinsoku/>
        <w:overflowPunct/>
        <w:autoSpaceDE/>
        <w:autoSpaceDN/>
        <w:adjustRightInd/>
        <w:snapToGrid/>
        <w:rPr>
          <w:rFonts w:eastAsia="Times New Roman"/>
          <w:lang w:val="fr-FR"/>
        </w:rPr>
      </w:pPr>
      <w:r w:rsidRPr="008D6145">
        <w:rPr>
          <w:rFonts w:eastAsia="Times New Roman"/>
          <w:lang w:val="fr-FR"/>
        </w:rPr>
        <w:t>75.</w:t>
      </w:r>
      <w:r w:rsidRPr="008D6145">
        <w:rPr>
          <w:rFonts w:eastAsia="Times New Roman"/>
          <w:lang w:val="fr-FR"/>
        </w:rPr>
        <w:tab/>
      </w:r>
      <w:r w:rsidR="008D6145" w:rsidRPr="008D6145">
        <w:rPr>
          <w:rFonts w:eastAsia="Times New Roman"/>
          <w:lang w:val="fr-FR"/>
        </w:rPr>
        <w:t>Nonobstant tous les efforts fournis par l</w:t>
      </w:r>
      <w:r w:rsidR="00CE7C45">
        <w:rPr>
          <w:rFonts w:eastAsia="Times New Roman"/>
          <w:lang w:val="fr-FR"/>
        </w:rPr>
        <w:t>’État</w:t>
      </w:r>
      <w:r w:rsidR="008D6145" w:rsidRPr="008D6145">
        <w:rPr>
          <w:rFonts w:eastAsia="Times New Roman"/>
          <w:lang w:val="fr-FR"/>
        </w:rPr>
        <w:t>, l</w:t>
      </w:r>
      <w:r w:rsidR="00A033A7">
        <w:rPr>
          <w:rFonts w:eastAsia="Times New Roman"/>
          <w:lang w:val="fr-FR"/>
        </w:rPr>
        <w:t>’</w:t>
      </w:r>
      <w:r w:rsidR="008D6145" w:rsidRPr="008D6145">
        <w:rPr>
          <w:rFonts w:eastAsia="Times New Roman"/>
          <w:lang w:val="fr-FR"/>
        </w:rPr>
        <w:t>accessibilité géographique aux soins et aux services de santé est définie par le pourcentage de la population qui vit à moins de 5</w:t>
      </w:r>
      <w:r w:rsidR="0049538E">
        <w:rPr>
          <w:rFonts w:eastAsia="Times New Roman"/>
          <w:lang w:val="fr-FR"/>
        </w:rPr>
        <w:t> </w:t>
      </w:r>
      <w:r w:rsidR="008D6145" w:rsidRPr="008D6145">
        <w:rPr>
          <w:rFonts w:eastAsia="Times New Roman"/>
          <w:lang w:val="fr-FR"/>
        </w:rPr>
        <w:t>kilomètres d</w:t>
      </w:r>
      <w:r w:rsidR="00A033A7">
        <w:rPr>
          <w:rFonts w:eastAsia="Times New Roman"/>
          <w:lang w:val="fr-FR"/>
        </w:rPr>
        <w:t>’</w:t>
      </w:r>
      <w:r w:rsidR="008D6145" w:rsidRPr="008D6145">
        <w:rPr>
          <w:rFonts w:eastAsia="Times New Roman"/>
          <w:lang w:val="fr-FR"/>
        </w:rPr>
        <w:t>un centre de santé. Au Bénin dans le Plan National de Développement Sanitaire Bénin 2009-2018 l</w:t>
      </w:r>
      <w:r w:rsidR="00A033A7">
        <w:rPr>
          <w:rFonts w:eastAsia="Times New Roman"/>
          <w:lang w:val="fr-FR"/>
        </w:rPr>
        <w:t>’</w:t>
      </w:r>
      <w:r w:rsidR="008D6145" w:rsidRPr="008D6145">
        <w:rPr>
          <w:rFonts w:eastAsia="Times New Roman"/>
          <w:lang w:val="fr-FR"/>
        </w:rPr>
        <w:t>ensemble, 66</w:t>
      </w:r>
      <w:r w:rsidR="0049538E">
        <w:rPr>
          <w:rFonts w:eastAsia="Times New Roman"/>
          <w:lang w:val="fr-FR"/>
        </w:rPr>
        <w:t> </w:t>
      </w:r>
      <w:r w:rsidR="008D6145" w:rsidRPr="008D6145">
        <w:rPr>
          <w:rFonts w:eastAsia="Times New Roman"/>
          <w:lang w:val="fr-FR"/>
        </w:rPr>
        <w:t xml:space="preserve">% des ménages ont accès à une formation sanitaire dans leur localité dans un rayon de 5 km. </w:t>
      </w:r>
    </w:p>
    <w:p w:rsidR="008D6145" w:rsidRPr="008D6145" w:rsidRDefault="00821D2B" w:rsidP="00821D2B">
      <w:pPr>
        <w:pStyle w:val="SingleTxtG"/>
        <w:kinsoku/>
        <w:overflowPunct/>
        <w:autoSpaceDE/>
        <w:autoSpaceDN/>
        <w:adjustRightInd/>
        <w:snapToGrid/>
        <w:rPr>
          <w:rFonts w:eastAsia="Times New Roman"/>
          <w:lang w:val="fr-FR"/>
        </w:rPr>
      </w:pPr>
      <w:r w:rsidRPr="008D6145">
        <w:rPr>
          <w:rFonts w:eastAsia="Times New Roman"/>
          <w:lang w:val="fr-FR"/>
        </w:rPr>
        <w:t>76.</w:t>
      </w:r>
      <w:r w:rsidRPr="008D6145">
        <w:rPr>
          <w:rFonts w:eastAsia="Times New Roman"/>
          <w:lang w:val="fr-FR"/>
        </w:rPr>
        <w:tab/>
      </w:r>
      <w:r w:rsidR="008D6145" w:rsidRPr="008D6145">
        <w:rPr>
          <w:rFonts w:eastAsia="Times New Roman"/>
          <w:lang w:val="fr-FR"/>
        </w:rPr>
        <w:t>S</w:t>
      </w:r>
      <w:r w:rsidR="00A033A7">
        <w:rPr>
          <w:rFonts w:eastAsia="Times New Roman"/>
          <w:lang w:val="fr-FR"/>
        </w:rPr>
        <w:t>’</w:t>
      </w:r>
      <w:r w:rsidR="008D6145" w:rsidRPr="008D6145">
        <w:rPr>
          <w:rFonts w:eastAsia="Times New Roman"/>
          <w:lang w:val="fr-FR"/>
        </w:rPr>
        <w:t>agissant de l</w:t>
      </w:r>
      <w:r w:rsidR="00A033A7">
        <w:rPr>
          <w:rFonts w:eastAsia="Times New Roman"/>
          <w:lang w:val="fr-FR"/>
        </w:rPr>
        <w:t>’</w:t>
      </w:r>
      <w:r w:rsidR="008D6145" w:rsidRPr="008D6145">
        <w:rPr>
          <w:rFonts w:eastAsia="Times New Roman"/>
          <w:lang w:val="fr-FR"/>
        </w:rPr>
        <w:t>accessibilité aux formations sanitaires de première référence, on remarque que plus de 50</w:t>
      </w:r>
      <w:r w:rsidR="0049538E">
        <w:rPr>
          <w:rFonts w:eastAsia="Times New Roman"/>
          <w:lang w:val="fr-FR"/>
        </w:rPr>
        <w:t> </w:t>
      </w:r>
      <w:r w:rsidR="008D6145" w:rsidRPr="008D6145">
        <w:rPr>
          <w:rFonts w:eastAsia="Times New Roman"/>
          <w:lang w:val="fr-FR"/>
        </w:rPr>
        <w:t>% de la population a accès à un hôpital de référence en cas de nécessité. Néanmoins, 13</w:t>
      </w:r>
      <w:r w:rsidR="0049538E">
        <w:rPr>
          <w:rFonts w:eastAsia="Times New Roman"/>
          <w:lang w:val="fr-FR"/>
        </w:rPr>
        <w:t> </w:t>
      </w:r>
      <w:r w:rsidR="008D6145" w:rsidRPr="008D6145">
        <w:rPr>
          <w:rFonts w:eastAsia="Times New Roman"/>
          <w:lang w:val="fr-FR"/>
        </w:rPr>
        <w:t>% des populations vivent encore à plus de 30 km d</w:t>
      </w:r>
      <w:r w:rsidR="00A033A7">
        <w:rPr>
          <w:rFonts w:eastAsia="Times New Roman"/>
          <w:lang w:val="fr-FR"/>
        </w:rPr>
        <w:t>’</w:t>
      </w:r>
      <w:r w:rsidR="008D6145" w:rsidRPr="008D6145">
        <w:rPr>
          <w:rFonts w:eastAsia="Times New Roman"/>
          <w:lang w:val="fr-FR"/>
        </w:rPr>
        <w:t>un hôpital de référence. La majorité des communautés rurales ne dispose pas d</w:t>
      </w:r>
      <w:r w:rsidR="00A033A7">
        <w:rPr>
          <w:rFonts w:eastAsia="Times New Roman"/>
          <w:lang w:val="fr-FR"/>
        </w:rPr>
        <w:t>’</w:t>
      </w:r>
      <w:r w:rsidR="008D6145" w:rsidRPr="008D6145">
        <w:rPr>
          <w:rFonts w:eastAsia="Times New Roman"/>
          <w:lang w:val="fr-FR"/>
        </w:rPr>
        <w:t>un hôpital à moins de 5 km (34</w:t>
      </w:r>
      <w:r w:rsidR="0049538E">
        <w:rPr>
          <w:rFonts w:eastAsia="Times New Roman"/>
          <w:lang w:val="fr-FR"/>
        </w:rPr>
        <w:t> </w:t>
      </w:r>
      <w:r w:rsidR="008D6145" w:rsidRPr="008D6145">
        <w:rPr>
          <w:rFonts w:eastAsia="Times New Roman"/>
          <w:lang w:val="fr-FR"/>
        </w:rPr>
        <w:t>% en milieu rural contre 77</w:t>
      </w:r>
      <w:r w:rsidR="0049538E">
        <w:rPr>
          <w:rFonts w:eastAsia="Times New Roman"/>
          <w:lang w:val="fr-FR"/>
        </w:rPr>
        <w:t> </w:t>
      </w:r>
      <w:r w:rsidR="008D6145" w:rsidRPr="008D6145">
        <w:rPr>
          <w:rFonts w:eastAsia="Times New Roman"/>
          <w:lang w:val="fr-FR"/>
        </w:rPr>
        <w:t>% pour le milieu urbain).</w:t>
      </w:r>
    </w:p>
    <w:p w:rsidR="008D6145" w:rsidRPr="00C073F5" w:rsidRDefault="008D6145" w:rsidP="00C073F5">
      <w:pPr>
        <w:pStyle w:val="H56G"/>
        <w:rPr>
          <w:b/>
          <w:lang w:val="fr-FR"/>
        </w:rPr>
      </w:pPr>
      <w:r w:rsidRPr="008D6145">
        <w:rPr>
          <w:lang w:val="fr-FR"/>
        </w:rPr>
        <w:tab/>
      </w:r>
      <w:r w:rsidRPr="008D6145">
        <w:rPr>
          <w:lang w:val="fr-FR"/>
        </w:rPr>
        <w:tab/>
      </w:r>
      <w:r w:rsidRPr="00C073F5">
        <w:rPr>
          <w:b/>
          <w:lang w:val="fr-FR"/>
        </w:rPr>
        <w:t>Disponibilité du personnel de santé (médecin, infirmier, sage-femme)</w:t>
      </w:r>
    </w:p>
    <w:p w:rsidR="008D6145" w:rsidRPr="008D6145" w:rsidRDefault="00821D2B" w:rsidP="00821D2B">
      <w:pPr>
        <w:pStyle w:val="SingleTxtG"/>
        <w:kinsoku/>
        <w:overflowPunct/>
        <w:autoSpaceDE/>
        <w:autoSpaceDN/>
        <w:adjustRightInd/>
        <w:snapToGrid/>
        <w:rPr>
          <w:rFonts w:eastAsia="Times New Roman"/>
          <w:lang w:val="fr-FR"/>
        </w:rPr>
      </w:pPr>
      <w:r w:rsidRPr="008D6145">
        <w:rPr>
          <w:rFonts w:eastAsia="Times New Roman"/>
          <w:lang w:val="fr-FR"/>
        </w:rPr>
        <w:t>77.</w:t>
      </w:r>
      <w:r w:rsidRPr="008D6145">
        <w:rPr>
          <w:rFonts w:eastAsia="Times New Roman"/>
          <w:lang w:val="fr-FR"/>
        </w:rPr>
        <w:tab/>
      </w:r>
      <w:r w:rsidR="008D6145" w:rsidRPr="008D6145">
        <w:rPr>
          <w:rFonts w:eastAsia="Times New Roman"/>
          <w:lang w:val="fr-FR"/>
        </w:rPr>
        <w:t>La couverture sanitaire est encore insuffisante au Bénin. En effet, la disponibilité en personnel médical est faible car, le nombre d</w:t>
      </w:r>
      <w:r w:rsidR="00A033A7">
        <w:rPr>
          <w:rFonts w:eastAsia="Times New Roman"/>
          <w:lang w:val="fr-FR"/>
        </w:rPr>
        <w:t>’</w:t>
      </w:r>
      <w:r w:rsidR="008D6145" w:rsidRPr="008D6145">
        <w:rPr>
          <w:rFonts w:eastAsia="Times New Roman"/>
          <w:lang w:val="fr-FR"/>
        </w:rPr>
        <w:t>habitants par médecin en 2014 est de 6</w:t>
      </w:r>
      <w:r w:rsidR="0049538E">
        <w:rPr>
          <w:rFonts w:eastAsia="Times New Roman"/>
          <w:lang w:val="fr-FR"/>
        </w:rPr>
        <w:t> </w:t>
      </w:r>
      <w:r w:rsidR="008D6145" w:rsidRPr="008D6145">
        <w:rPr>
          <w:rFonts w:eastAsia="Times New Roman"/>
          <w:lang w:val="fr-FR"/>
        </w:rPr>
        <w:t>628 contre 6 418 en 2013 et 5 849 en 2012. En 2013, on comptait 2</w:t>
      </w:r>
      <w:r w:rsidR="0049538E">
        <w:rPr>
          <w:rFonts w:eastAsia="Times New Roman"/>
          <w:lang w:val="fr-FR"/>
        </w:rPr>
        <w:t> </w:t>
      </w:r>
      <w:r w:rsidR="008D6145" w:rsidRPr="008D6145">
        <w:rPr>
          <w:rFonts w:eastAsia="Times New Roman"/>
          <w:lang w:val="fr-FR"/>
        </w:rPr>
        <w:t>006 habitants pour un infirmier contre 1 823 habitants pour un infirmier en 2012, alors qu</w:t>
      </w:r>
      <w:r w:rsidR="00A033A7">
        <w:rPr>
          <w:rFonts w:eastAsia="Times New Roman"/>
          <w:lang w:val="fr-FR"/>
        </w:rPr>
        <w:t>’</w:t>
      </w:r>
      <w:r w:rsidR="008D6145" w:rsidRPr="008D6145">
        <w:rPr>
          <w:rFonts w:eastAsia="Times New Roman"/>
          <w:lang w:val="fr-FR"/>
        </w:rPr>
        <w:t xml:space="preserve">en 2014 ce nombre était </w:t>
      </w:r>
      <w:r w:rsidR="008D6145" w:rsidRPr="008D6145">
        <w:rPr>
          <w:rFonts w:eastAsia="Times New Roman"/>
          <w:lang w:val="fr-FR"/>
        </w:rPr>
        <w:lastRenderedPageBreak/>
        <w:t>de 2 072 traduisant ainsi une dégradation irrégulière de la disponibilité en personnel infirmier. Le nombre de femmes en âge de procréer par sage-femme présente une augmentation en dents de scie de 2006 à 2014. On note une augmentation du nombre de femmes en âge de procréer par sage-femme en 2009 et 2010, soit 1 563 femmes en âge de procréer pour une sage-femme.</w:t>
      </w:r>
      <w:r w:rsidR="00A033A7">
        <w:rPr>
          <w:rFonts w:eastAsia="Times New Roman"/>
          <w:lang w:val="fr-FR"/>
        </w:rPr>
        <w:t xml:space="preserve"> </w:t>
      </w:r>
      <w:r w:rsidR="008D6145" w:rsidRPr="008D6145">
        <w:rPr>
          <w:rFonts w:eastAsia="Times New Roman"/>
          <w:lang w:val="fr-FR"/>
        </w:rPr>
        <w:t>Ce ratio a connu une augmentation entre 2010 (1</w:t>
      </w:r>
      <w:r w:rsidR="009201FA">
        <w:rPr>
          <w:rFonts w:eastAsia="Times New Roman"/>
          <w:lang w:val="fr-FR"/>
        </w:rPr>
        <w:t> </w:t>
      </w:r>
      <w:r w:rsidR="008D6145" w:rsidRPr="008D6145">
        <w:rPr>
          <w:rFonts w:eastAsia="Times New Roman"/>
          <w:lang w:val="fr-FR"/>
        </w:rPr>
        <w:t>563 FAP par sage-femme) et 2011 (1 712 FAP par sage-femme) puis une baisse de 11</w:t>
      </w:r>
      <w:r w:rsidR="0049538E">
        <w:rPr>
          <w:rFonts w:eastAsia="Times New Roman"/>
          <w:lang w:val="fr-FR"/>
        </w:rPr>
        <w:t> </w:t>
      </w:r>
      <w:r w:rsidR="008D6145" w:rsidRPr="008D6145">
        <w:rPr>
          <w:rFonts w:eastAsia="Times New Roman"/>
          <w:lang w:val="fr-FR"/>
        </w:rPr>
        <w:t>% en 2012 par rapport à 2011. En 2014, il a connu une augmentation, de 1</w:t>
      </w:r>
      <w:r w:rsidR="0049538E">
        <w:rPr>
          <w:rFonts w:eastAsia="Times New Roman"/>
          <w:lang w:val="fr-FR"/>
        </w:rPr>
        <w:t> </w:t>
      </w:r>
      <w:r w:rsidR="008D6145" w:rsidRPr="008D6145">
        <w:rPr>
          <w:rFonts w:eastAsia="Times New Roman"/>
          <w:lang w:val="fr-FR"/>
        </w:rPr>
        <w:t>699 contre 1</w:t>
      </w:r>
      <w:r w:rsidR="0049538E">
        <w:rPr>
          <w:rFonts w:eastAsia="Times New Roman"/>
          <w:lang w:val="fr-FR"/>
        </w:rPr>
        <w:t> </w:t>
      </w:r>
      <w:r w:rsidR="008D6145" w:rsidRPr="008D6145">
        <w:rPr>
          <w:rFonts w:eastAsia="Times New Roman"/>
          <w:lang w:val="fr-FR"/>
        </w:rPr>
        <w:t>645 en 2013.</w:t>
      </w:r>
    </w:p>
    <w:p w:rsidR="008D6145" w:rsidRPr="008D6145" w:rsidRDefault="008D6145" w:rsidP="00C073F5">
      <w:pPr>
        <w:pStyle w:val="H56G"/>
        <w:rPr>
          <w:rFonts w:eastAsia="Times New Roman"/>
          <w:lang w:val="fr-FR"/>
        </w:rPr>
      </w:pPr>
      <w:r w:rsidRPr="008D6145">
        <w:rPr>
          <w:rFonts w:eastAsia="Times New Roman"/>
          <w:lang w:val="fr-FR"/>
        </w:rPr>
        <w:tab/>
      </w:r>
      <w:r w:rsidRPr="008D6145">
        <w:rPr>
          <w:rFonts w:eastAsia="Times New Roman"/>
          <w:lang w:val="fr-FR"/>
        </w:rPr>
        <w:tab/>
      </w:r>
      <w:r w:rsidRPr="00C073F5">
        <w:rPr>
          <w:b/>
          <w:lang w:val="fr-FR"/>
        </w:rPr>
        <w:t>Évolution des principales infections et maladies récurrentes</w:t>
      </w:r>
      <w:r w:rsidRPr="008D6145">
        <w:rPr>
          <w:rFonts w:eastAsia="Times New Roman"/>
          <w:lang w:val="fr-FR"/>
        </w:rPr>
        <w:t xml:space="preserve"> </w:t>
      </w:r>
    </w:p>
    <w:p w:rsidR="008D6145" w:rsidRPr="008D6145" w:rsidRDefault="00821D2B" w:rsidP="00821D2B">
      <w:pPr>
        <w:pStyle w:val="SingleTxtG"/>
        <w:kinsoku/>
        <w:overflowPunct/>
        <w:autoSpaceDE/>
        <w:autoSpaceDN/>
        <w:adjustRightInd/>
        <w:snapToGrid/>
        <w:rPr>
          <w:rFonts w:eastAsia="Times New Roman"/>
          <w:lang w:val="fr-FR"/>
        </w:rPr>
      </w:pPr>
      <w:r w:rsidRPr="008D6145">
        <w:rPr>
          <w:rFonts w:eastAsia="Times New Roman"/>
          <w:lang w:val="fr-FR"/>
        </w:rPr>
        <w:t>78.</w:t>
      </w:r>
      <w:r w:rsidRPr="008D6145">
        <w:rPr>
          <w:rFonts w:eastAsia="Times New Roman"/>
          <w:lang w:val="fr-FR"/>
        </w:rPr>
        <w:tab/>
      </w:r>
      <w:r w:rsidR="008D6145" w:rsidRPr="008D6145">
        <w:rPr>
          <w:rFonts w:eastAsia="Times New Roman"/>
          <w:lang w:val="fr-FR"/>
        </w:rPr>
        <w:t>Les maladies transmissibles constituent encore les principales causes de morbidité et de mortalité. Elles sont suivies par les anémies qui peuvent être d</w:t>
      </w:r>
      <w:r w:rsidR="00A033A7">
        <w:rPr>
          <w:rFonts w:eastAsia="Times New Roman"/>
          <w:lang w:val="fr-FR"/>
        </w:rPr>
        <w:t>’</w:t>
      </w:r>
      <w:r w:rsidR="008D6145" w:rsidRPr="008D6145">
        <w:rPr>
          <w:rFonts w:eastAsia="Times New Roman"/>
          <w:lang w:val="fr-FR"/>
        </w:rPr>
        <w:t>origine infectieuse et nutritionnelle. En consultation, le paludisme et les Infections Respiratoires Aigües (IRA) prédominent. Mais au cours de ces dernières années, certains virus, en l</w:t>
      </w:r>
      <w:r w:rsidR="00A033A7">
        <w:rPr>
          <w:rFonts w:eastAsia="Times New Roman"/>
          <w:lang w:val="fr-FR"/>
        </w:rPr>
        <w:t>’</w:t>
      </w:r>
      <w:r w:rsidR="008D6145" w:rsidRPr="008D6145">
        <w:rPr>
          <w:rFonts w:eastAsia="Times New Roman"/>
          <w:lang w:val="fr-FR"/>
        </w:rPr>
        <w:t>occurrence Lassa et Ebola, se sont manifestés.</w:t>
      </w:r>
    </w:p>
    <w:p w:rsidR="008D6145" w:rsidRPr="008D6145" w:rsidRDefault="008D6145" w:rsidP="00C073F5">
      <w:pPr>
        <w:pStyle w:val="H56G"/>
        <w:rPr>
          <w:rFonts w:eastAsia="Times New Roman"/>
          <w:lang w:val="fr-FR"/>
        </w:rPr>
      </w:pPr>
      <w:r w:rsidRPr="008D6145">
        <w:rPr>
          <w:rFonts w:eastAsia="Times New Roman"/>
          <w:lang w:val="fr-FR"/>
        </w:rPr>
        <w:tab/>
      </w:r>
      <w:r w:rsidRPr="008D6145">
        <w:rPr>
          <w:rFonts w:eastAsia="Times New Roman"/>
          <w:lang w:val="fr-FR"/>
        </w:rPr>
        <w:tab/>
      </w:r>
      <w:r w:rsidRPr="00C073F5">
        <w:rPr>
          <w:b/>
          <w:lang w:val="fr-FR"/>
        </w:rPr>
        <w:t>Le paludisme, les infections respiratoires aigües, pathologies les plus fréquentes des</w:t>
      </w:r>
      <w:r w:rsidR="0049538E">
        <w:rPr>
          <w:b/>
          <w:lang w:val="fr-FR"/>
        </w:rPr>
        <w:t> </w:t>
      </w:r>
      <w:r w:rsidRPr="00C073F5">
        <w:rPr>
          <w:b/>
          <w:lang w:val="fr-FR"/>
        </w:rPr>
        <w:t>motifs de consultations en 2014</w:t>
      </w:r>
    </w:p>
    <w:p w:rsidR="008D6145" w:rsidRPr="008D6145" w:rsidRDefault="00821D2B" w:rsidP="00821D2B">
      <w:pPr>
        <w:pStyle w:val="SingleTxtG"/>
        <w:kinsoku/>
        <w:overflowPunct/>
        <w:autoSpaceDE/>
        <w:autoSpaceDN/>
        <w:adjustRightInd/>
        <w:snapToGrid/>
        <w:rPr>
          <w:rFonts w:eastAsia="Times New Roman"/>
          <w:lang w:val="fr-FR"/>
        </w:rPr>
      </w:pPr>
      <w:r w:rsidRPr="008D6145">
        <w:rPr>
          <w:rFonts w:eastAsia="Times New Roman"/>
          <w:lang w:val="fr-FR"/>
        </w:rPr>
        <w:t>79.</w:t>
      </w:r>
      <w:r w:rsidRPr="008D6145">
        <w:rPr>
          <w:rFonts w:eastAsia="Times New Roman"/>
          <w:lang w:val="fr-FR"/>
        </w:rPr>
        <w:tab/>
      </w:r>
      <w:r w:rsidR="008D6145" w:rsidRPr="008D6145">
        <w:rPr>
          <w:rFonts w:eastAsia="Times New Roman"/>
          <w:lang w:val="fr-FR"/>
        </w:rPr>
        <w:t>Sur le plan épidémiologique, plusieurs pathologies amènent les patients à se présenter en consultation dans les centres de santé. Depuis 2006, près des deux tiers des patients sont allés en consultation pour les trois principales pathologies (paludisme, infections respiratoires aigües et affections gastro-intestinales) qui affectent la population. La proportion des motifs de consultation pour ces trois pathologies est en évolution et a atteint 72,8</w:t>
      </w:r>
      <w:r w:rsidR="00E37807">
        <w:rPr>
          <w:rFonts w:eastAsia="Times New Roman"/>
          <w:lang w:val="fr-FR"/>
        </w:rPr>
        <w:t> </w:t>
      </w:r>
      <w:r w:rsidR="008D6145" w:rsidRPr="008D6145">
        <w:rPr>
          <w:rFonts w:eastAsia="Times New Roman"/>
          <w:lang w:val="fr-FR"/>
        </w:rPr>
        <w:t>% en 2010 contre 60,1</w:t>
      </w:r>
      <w:r w:rsidR="00E37807">
        <w:rPr>
          <w:rFonts w:eastAsia="Times New Roman"/>
          <w:lang w:val="fr-FR"/>
        </w:rPr>
        <w:t> </w:t>
      </w:r>
      <w:r w:rsidR="008D6145" w:rsidRPr="008D6145">
        <w:rPr>
          <w:rFonts w:eastAsia="Times New Roman"/>
          <w:lang w:val="fr-FR"/>
        </w:rPr>
        <w:t>% en 2006. Elle a connu un repli successivement en 2011(-9,8 points de pourcentage) par rapport à 2010 et en</w:t>
      </w:r>
      <w:r w:rsidR="00A033A7">
        <w:rPr>
          <w:rFonts w:eastAsia="Times New Roman"/>
          <w:lang w:val="fr-FR"/>
        </w:rPr>
        <w:t xml:space="preserve"> </w:t>
      </w:r>
      <w:r w:rsidR="008D6145" w:rsidRPr="008D6145">
        <w:rPr>
          <w:rFonts w:eastAsia="Times New Roman"/>
          <w:lang w:val="fr-FR"/>
        </w:rPr>
        <w:t>2012 (-2,8 points de pourcentage) par rapport à 2011 et une légère augmentation en 2013 (60,7</w:t>
      </w:r>
      <w:r w:rsidR="00E37807">
        <w:rPr>
          <w:rFonts w:eastAsia="Times New Roman"/>
          <w:lang w:val="fr-FR"/>
        </w:rPr>
        <w:t> </w:t>
      </w:r>
      <w:r w:rsidR="008D6145" w:rsidRPr="008D6145">
        <w:rPr>
          <w:rFonts w:eastAsia="Times New Roman"/>
          <w:lang w:val="fr-FR"/>
        </w:rPr>
        <w:t>% contre 60,2 en 2012).</w:t>
      </w:r>
      <w:r w:rsidR="00A033A7">
        <w:rPr>
          <w:rFonts w:eastAsia="Times New Roman"/>
          <w:lang w:val="fr-FR"/>
        </w:rPr>
        <w:t xml:space="preserve"> </w:t>
      </w:r>
      <w:r w:rsidR="008D6145" w:rsidRPr="008D6145">
        <w:rPr>
          <w:rFonts w:eastAsia="Times New Roman"/>
          <w:lang w:val="fr-FR"/>
        </w:rPr>
        <w:t>En 2014, on note une légère baisse 60,1</w:t>
      </w:r>
      <w:r w:rsidR="00E37807">
        <w:rPr>
          <w:rFonts w:eastAsia="Times New Roman"/>
          <w:lang w:val="fr-FR"/>
        </w:rPr>
        <w:t> </w:t>
      </w:r>
      <w:r w:rsidR="008D6145" w:rsidRPr="008D6145">
        <w:rPr>
          <w:rFonts w:eastAsia="Times New Roman"/>
          <w:lang w:val="fr-FR"/>
        </w:rPr>
        <w:t>% contre 60,7 en 2013. Le paludisme est l</w:t>
      </w:r>
      <w:r w:rsidR="00A033A7">
        <w:rPr>
          <w:rFonts w:eastAsia="Times New Roman"/>
          <w:lang w:val="fr-FR"/>
        </w:rPr>
        <w:t>’</w:t>
      </w:r>
      <w:r w:rsidR="008D6145" w:rsidRPr="008D6145">
        <w:rPr>
          <w:rFonts w:eastAsia="Times New Roman"/>
          <w:lang w:val="fr-FR"/>
        </w:rPr>
        <w:t>affection qui touche le plus les béninois ; le pourcentage de consultation pour motif de paludisme est de 40,6</w:t>
      </w:r>
      <w:r w:rsidR="00E37807">
        <w:rPr>
          <w:rFonts w:eastAsia="Times New Roman"/>
          <w:lang w:val="fr-FR"/>
        </w:rPr>
        <w:t> </w:t>
      </w:r>
      <w:r w:rsidR="008D6145" w:rsidRPr="008D6145">
        <w:rPr>
          <w:rFonts w:eastAsia="Times New Roman"/>
          <w:lang w:val="fr-FR"/>
        </w:rPr>
        <w:t>%</w:t>
      </w:r>
      <w:r w:rsidR="00A033A7">
        <w:rPr>
          <w:rFonts w:eastAsia="Times New Roman"/>
          <w:lang w:val="fr-FR"/>
        </w:rPr>
        <w:t xml:space="preserve"> </w:t>
      </w:r>
      <w:r w:rsidR="008D6145" w:rsidRPr="008D6145">
        <w:rPr>
          <w:rFonts w:eastAsia="Times New Roman"/>
          <w:lang w:val="fr-FR"/>
        </w:rPr>
        <w:t>en 2014 comme en 2013 et 41,4</w:t>
      </w:r>
      <w:r w:rsidR="00E37807">
        <w:rPr>
          <w:rFonts w:eastAsia="Times New Roman"/>
          <w:lang w:val="fr-FR"/>
        </w:rPr>
        <w:t> </w:t>
      </w:r>
      <w:r w:rsidR="008D6145" w:rsidRPr="008D6145">
        <w:rPr>
          <w:rFonts w:eastAsia="Times New Roman"/>
          <w:lang w:val="fr-FR"/>
        </w:rPr>
        <w:t>% en 2012. Il est suivi des infections respiratoires aigües (12,9</w:t>
      </w:r>
      <w:r w:rsidR="00E37807">
        <w:rPr>
          <w:rFonts w:eastAsia="Times New Roman"/>
          <w:lang w:val="fr-FR"/>
        </w:rPr>
        <w:t> </w:t>
      </w:r>
      <w:r w:rsidR="008D6145" w:rsidRPr="008D6145">
        <w:rPr>
          <w:rFonts w:eastAsia="Times New Roman"/>
          <w:lang w:val="fr-FR"/>
        </w:rPr>
        <w:t>% en 2014 contre 13,3</w:t>
      </w:r>
      <w:r w:rsidR="00E37807">
        <w:rPr>
          <w:rFonts w:eastAsia="Times New Roman"/>
          <w:lang w:val="fr-FR"/>
        </w:rPr>
        <w:t> </w:t>
      </w:r>
      <w:r w:rsidR="008D6145" w:rsidRPr="008D6145">
        <w:rPr>
          <w:rFonts w:eastAsia="Times New Roman"/>
          <w:lang w:val="fr-FR"/>
        </w:rPr>
        <w:t>% en 2013 et 12,3</w:t>
      </w:r>
      <w:r w:rsidR="00E37807">
        <w:rPr>
          <w:rFonts w:eastAsia="Times New Roman"/>
          <w:lang w:val="fr-FR"/>
        </w:rPr>
        <w:t> </w:t>
      </w:r>
      <w:r w:rsidR="008D6145" w:rsidRPr="008D6145">
        <w:rPr>
          <w:rFonts w:eastAsia="Times New Roman"/>
          <w:lang w:val="fr-FR"/>
        </w:rPr>
        <w:t>% en 2012). Les infections gastro-intestinales n</w:t>
      </w:r>
      <w:r w:rsidR="00A033A7">
        <w:rPr>
          <w:rFonts w:eastAsia="Times New Roman"/>
          <w:lang w:val="fr-FR"/>
        </w:rPr>
        <w:t>’</w:t>
      </w:r>
      <w:r w:rsidR="008D6145" w:rsidRPr="008D6145">
        <w:rPr>
          <w:rFonts w:eastAsia="Times New Roman"/>
          <w:lang w:val="fr-FR"/>
        </w:rPr>
        <w:t>ont affecté que 6,6</w:t>
      </w:r>
      <w:r w:rsidR="00E37807">
        <w:rPr>
          <w:rFonts w:eastAsia="Times New Roman"/>
          <w:lang w:val="fr-FR"/>
        </w:rPr>
        <w:t> </w:t>
      </w:r>
      <w:r w:rsidR="008D6145" w:rsidRPr="008D6145">
        <w:rPr>
          <w:rFonts w:eastAsia="Times New Roman"/>
          <w:lang w:val="fr-FR"/>
        </w:rPr>
        <w:t>% des patients en 2014 contre 6,8</w:t>
      </w:r>
      <w:r w:rsidR="00E37807">
        <w:rPr>
          <w:rFonts w:eastAsia="Times New Roman"/>
          <w:lang w:val="fr-FR"/>
        </w:rPr>
        <w:t> </w:t>
      </w:r>
      <w:r w:rsidR="008D6145" w:rsidRPr="008D6145">
        <w:rPr>
          <w:rFonts w:eastAsia="Times New Roman"/>
          <w:lang w:val="fr-FR"/>
        </w:rPr>
        <w:t>% des patients en 2013 et 6,5</w:t>
      </w:r>
      <w:r w:rsidR="00E37807">
        <w:rPr>
          <w:rFonts w:eastAsia="Times New Roman"/>
          <w:lang w:val="fr-FR"/>
        </w:rPr>
        <w:t> </w:t>
      </w:r>
      <w:r w:rsidR="008D6145" w:rsidRPr="008D6145">
        <w:rPr>
          <w:rFonts w:eastAsia="Times New Roman"/>
          <w:lang w:val="fr-FR"/>
        </w:rPr>
        <w:t>% en 2012. Par ailleurs, en 2014, on note 192 cas de lèpre dépistés et en 2013, ils étaient 254 cas de lèpre dépistés, soit une baisse par rapport à 2008 (298 de lèpre dépistés). L</w:t>
      </w:r>
      <w:r w:rsidR="00A033A7">
        <w:rPr>
          <w:rFonts w:eastAsia="Times New Roman"/>
          <w:lang w:val="fr-FR"/>
        </w:rPr>
        <w:t>’État</w:t>
      </w:r>
      <w:r w:rsidR="000B490E">
        <w:rPr>
          <w:rFonts w:eastAsia="Times New Roman"/>
          <w:lang w:val="fr-FR"/>
        </w:rPr>
        <w:t xml:space="preserve"> </w:t>
      </w:r>
      <w:r w:rsidR="008D6145" w:rsidRPr="008D6145">
        <w:rPr>
          <w:rFonts w:eastAsia="Times New Roman"/>
          <w:lang w:val="fr-FR"/>
        </w:rPr>
        <w:t>et les ONG n</w:t>
      </w:r>
      <w:r w:rsidR="00A033A7">
        <w:rPr>
          <w:rFonts w:eastAsia="Times New Roman"/>
          <w:lang w:val="fr-FR"/>
        </w:rPr>
        <w:t>’</w:t>
      </w:r>
      <w:r w:rsidR="008D6145" w:rsidRPr="008D6145">
        <w:rPr>
          <w:rFonts w:eastAsia="Times New Roman"/>
          <w:lang w:val="fr-FR"/>
        </w:rPr>
        <w:t>arrêtent de sensibiliser la population par des séminaires et surtout la distribution gratuite des moustiquaires imprégnées pour réduire le taux du paludisme.</w:t>
      </w:r>
    </w:p>
    <w:p w:rsidR="008D6145" w:rsidRPr="008D6145" w:rsidRDefault="00821D2B" w:rsidP="00821D2B">
      <w:pPr>
        <w:pStyle w:val="SingleTxtG"/>
        <w:kinsoku/>
        <w:overflowPunct/>
        <w:autoSpaceDE/>
        <w:autoSpaceDN/>
        <w:adjustRightInd/>
        <w:snapToGrid/>
        <w:rPr>
          <w:rFonts w:eastAsia="Times New Roman"/>
          <w:lang w:val="fr-FR"/>
        </w:rPr>
      </w:pPr>
      <w:r w:rsidRPr="008D6145">
        <w:rPr>
          <w:rFonts w:eastAsia="Times New Roman"/>
          <w:lang w:val="fr-FR"/>
        </w:rPr>
        <w:t>80.</w:t>
      </w:r>
      <w:r w:rsidRPr="008D6145">
        <w:rPr>
          <w:rFonts w:eastAsia="Times New Roman"/>
          <w:lang w:val="fr-FR"/>
        </w:rPr>
        <w:tab/>
      </w:r>
      <w:r w:rsidR="008D6145" w:rsidRPr="008D6145">
        <w:rPr>
          <w:rFonts w:eastAsia="Times New Roman"/>
          <w:lang w:val="fr-FR"/>
        </w:rPr>
        <w:t>Grâce aux efforts déployés sur les plans matériel et financier, les maladies infectieuses comme la lèpre et l</w:t>
      </w:r>
      <w:r w:rsidR="00A033A7">
        <w:rPr>
          <w:rFonts w:eastAsia="Times New Roman"/>
          <w:lang w:val="fr-FR"/>
        </w:rPr>
        <w:t>’</w:t>
      </w:r>
      <w:r w:rsidR="008D6145" w:rsidRPr="008D6145">
        <w:rPr>
          <w:rFonts w:eastAsia="Times New Roman"/>
          <w:lang w:val="fr-FR"/>
        </w:rPr>
        <w:t>onchocercose reculent sensiblement et la dracunculose (ver de Guinée) a été éradiquée. Mais en dépit de ces résultats satisfaisants, le paludisme continue d</w:t>
      </w:r>
      <w:r w:rsidR="00A033A7">
        <w:rPr>
          <w:rFonts w:eastAsia="Times New Roman"/>
          <w:lang w:val="fr-FR"/>
        </w:rPr>
        <w:t>’</w:t>
      </w:r>
      <w:r w:rsidR="008D6145" w:rsidRPr="008D6145">
        <w:rPr>
          <w:rFonts w:eastAsia="Times New Roman"/>
          <w:lang w:val="fr-FR"/>
        </w:rPr>
        <w:t>être en première ligne des fléaux à combattre. Pour ce faire, il a été lancé un Plan de Lutte Antipaludique Accéléré (LAPA), avec pour objectif, la réduction de 50</w:t>
      </w:r>
      <w:r w:rsidR="00E37807">
        <w:rPr>
          <w:rFonts w:eastAsia="Times New Roman"/>
          <w:lang w:val="fr-FR"/>
        </w:rPr>
        <w:t> </w:t>
      </w:r>
      <w:r w:rsidR="008D6145" w:rsidRPr="008D6145">
        <w:rPr>
          <w:rFonts w:eastAsia="Times New Roman"/>
          <w:lang w:val="fr-FR"/>
        </w:rPr>
        <w:t>% des décès dus au paludisme d</w:t>
      </w:r>
      <w:r w:rsidR="00A033A7">
        <w:rPr>
          <w:rFonts w:eastAsia="Times New Roman"/>
          <w:lang w:val="fr-FR"/>
        </w:rPr>
        <w:t>’</w:t>
      </w:r>
      <w:r w:rsidR="008D6145" w:rsidRPr="008D6145">
        <w:rPr>
          <w:rFonts w:eastAsia="Times New Roman"/>
          <w:lang w:val="fr-FR"/>
        </w:rPr>
        <w:t>ici à l</w:t>
      </w:r>
      <w:r w:rsidR="00A033A7">
        <w:rPr>
          <w:rFonts w:eastAsia="Times New Roman"/>
          <w:lang w:val="fr-FR"/>
        </w:rPr>
        <w:t>’</w:t>
      </w:r>
      <w:r w:rsidR="008D6145" w:rsidRPr="008D6145">
        <w:rPr>
          <w:rFonts w:eastAsia="Times New Roman"/>
          <w:lang w:val="fr-FR"/>
        </w:rPr>
        <w:t>an 2025, de 30</w:t>
      </w:r>
      <w:r w:rsidR="00E37807">
        <w:rPr>
          <w:rFonts w:eastAsia="Times New Roman"/>
          <w:lang w:val="fr-FR"/>
        </w:rPr>
        <w:t> </w:t>
      </w:r>
      <w:r w:rsidR="008D6145" w:rsidRPr="008D6145">
        <w:rPr>
          <w:rFonts w:eastAsia="Times New Roman"/>
          <w:lang w:val="fr-FR"/>
        </w:rPr>
        <w:t>% entre 2010 et 2015, et de 20</w:t>
      </w:r>
      <w:r w:rsidR="00E37807">
        <w:rPr>
          <w:rFonts w:eastAsia="Times New Roman"/>
          <w:lang w:val="fr-FR"/>
        </w:rPr>
        <w:t> </w:t>
      </w:r>
      <w:r w:rsidR="008D6145" w:rsidRPr="008D6145">
        <w:rPr>
          <w:rFonts w:eastAsia="Times New Roman"/>
          <w:lang w:val="fr-FR"/>
        </w:rPr>
        <w:t>% entre 2015 et 2025. Il</w:t>
      </w:r>
      <w:r w:rsidR="007248AA">
        <w:rPr>
          <w:rFonts w:eastAsia="Times New Roman"/>
          <w:lang w:val="fr-FR"/>
        </w:rPr>
        <w:t> </w:t>
      </w:r>
      <w:r w:rsidR="008D6145" w:rsidRPr="008D6145">
        <w:rPr>
          <w:rFonts w:eastAsia="Times New Roman"/>
          <w:lang w:val="fr-FR"/>
        </w:rPr>
        <w:t>est également question de réduire dans les mêmes proportions le taux de morbidité et l</w:t>
      </w:r>
      <w:r w:rsidR="00A033A7">
        <w:rPr>
          <w:rFonts w:eastAsia="Times New Roman"/>
          <w:lang w:val="fr-FR"/>
        </w:rPr>
        <w:t>’</w:t>
      </w:r>
      <w:r w:rsidR="008D6145" w:rsidRPr="008D6145">
        <w:rPr>
          <w:rFonts w:eastAsia="Times New Roman"/>
          <w:lang w:val="fr-FR"/>
        </w:rPr>
        <w:t>incidence socioéconomique du paludisme d</w:t>
      </w:r>
      <w:r w:rsidR="00A033A7">
        <w:rPr>
          <w:rFonts w:eastAsia="Times New Roman"/>
          <w:lang w:val="fr-FR"/>
        </w:rPr>
        <w:t>’</w:t>
      </w:r>
      <w:r w:rsidR="008D6145" w:rsidRPr="008D6145">
        <w:rPr>
          <w:rFonts w:eastAsia="Times New Roman"/>
          <w:lang w:val="fr-FR"/>
        </w:rPr>
        <w:t>ici à l</w:t>
      </w:r>
      <w:r w:rsidR="00A033A7">
        <w:rPr>
          <w:rFonts w:eastAsia="Times New Roman"/>
          <w:lang w:val="fr-FR"/>
        </w:rPr>
        <w:t>’</w:t>
      </w:r>
      <w:r w:rsidR="008D6145" w:rsidRPr="008D6145">
        <w:rPr>
          <w:rFonts w:eastAsia="Times New Roman"/>
          <w:lang w:val="fr-FR"/>
        </w:rPr>
        <w:t>an 2025. Pendant longtemps, de nombreux facteurs, à la fois sociologiques et monétaires tels que le manque de confiance en la médecine moderne et le faible niveau des revenus ont été des facteurs de blocage en matière d</w:t>
      </w:r>
      <w:r w:rsidR="00A033A7">
        <w:rPr>
          <w:rFonts w:eastAsia="Times New Roman"/>
          <w:lang w:val="fr-FR"/>
        </w:rPr>
        <w:t>’</w:t>
      </w:r>
      <w:r w:rsidR="008D6145" w:rsidRPr="008D6145">
        <w:rPr>
          <w:rFonts w:eastAsia="Times New Roman"/>
          <w:lang w:val="fr-FR"/>
        </w:rPr>
        <w:t xml:space="preserve">hospitalisation des populations, notamment rurales. </w:t>
      </w:r>
    </w:p>
    <w:p w:rsidR="008D6145" w:rsidRPr="00821D2B" w:rsidRDefault="00821D2B" w:rsidP="00821D2B">
      <w:pPr>
        <w:pStyle w:val="SingleTxtG"/>
        <w:kinsoku/>
        <w:overflowPunct/>
        <w:autoSpaceDE/>
        <w:autoSpaceDN/>
        <w:adjustRightInd/>
        <w:snapToGrid/>
        <w:rPr>
          <w:rFonts w:eastAsia="Times New Roman"/>
          <w:bCs/>
          <w:lang w:val="fr-FR"/>
        </w:rPr>
      </w:pPr>
      <w:r w:rsidRPr="00821D2B">
        <w:rPr>
          <w:rFonts w:eastAsia="Times New Roman"/>
          <w:bCs/>
          <w:lang w:val="fr-FR"/>
        </w:rPr>
        <w:t>81.</w:t>
      </w:r>
      <w:r w:rsidRPr="00821D2B">
        <w:rPr>
          <w:rFonts w:eastAsia="Times New Roman"/>
          <w:bCs/>
          <w:lang w:val="fr-FR"/>
        </w:rPr>
        <w:tab/>
      </w:r>
      <w:r w:rsidR="008D6145" w:rsidRPr="00821D2B">
        <w:rPr>
          <w:rFonts w:eastAsia="Times New Roman"/>
          <w:bCs/>
          <w:lang w:val="fr-FR"/>
        </w:rPr>
        <w:t>S</w:t>
      </w:r>
      <w:r w:rsidR="00A033A7" w:rsidRPr="00821D2B">
        <w:rPr>
          <w:rFonts w:eastAsia="Times New Roman"/>
          <w:bCs/>
          <w:lang w:val="fr-FR"/>
        </w:rPr>
        <w:t>’</w:t>
      </w:r>
      <w:r w:rsidR="008D6145" w:rsidRPr="00821D2B">
        <w:rPr>
          <w:rFonts w:eastAsia="Times New Roman"/>
          <w:bCs/>
          <w:lang w:val="fr-FR"/>
        </w:rPr>
        <w:t>agissant du virus Lassa, le dernier décès a été enregistré le 3 mars 2016 à l</w:t>
      </w:r>
      <w:r w:rsidR="00A033A7" w:rsidRPr="00821D2B">
        <w:rPr>
          <w:rFonts w:eastAsia="Times New Roman"/>
          <w:bCs/>
          <w:lang w:val="fr-FR"/>
        </w:rPr>
        <w:t>’</w:t>
      </w:r>
      <w:r w:rsidR="008D6145" w:rsidRPr="00821D2B">
        <w:rPr>
          <w:rFonts w:eastAsia="Times New Roman"/>
          <w:bCs/>
          <w:lang w:val="fr-FR"/>
        </w:rPr>
        <w:t xml:space="preserve">hôpital de zone de Djougou. </w:t>
      </w:r>
    </w:p>
    <w:p w:rsidR="008D6145" w:rsidRPr="00A033A7" w:rsidRDefault="008D6145" w:rsidP="008D6145">
      <w:pPr>
        <w:keepNext/>
        <w:keepLines/>
        <w:tabs>
          <w:tab w:val="right" w:pos="851"/>
        </w:tabs>
        <w:kinsoku/>
        <w:overflowPunct/>
        <w:autoSpaceDE/>
        <w:autoSpaceDN/>
        <w:adjustRightInd/>
        <w:snapToGrid/>
        <w:spacing w:before="240" w:after="120" w:line="240" w:lineRule="exact"/>
        <w:ind w:right="1134"/>
        <w:rPr>
          <w:rFonts w:eastAsia="Times New Roman"/>
          <w:b/>
          <w:lang w:val="fr-FR"/>
        </w:rPr>
      </w:pPr>
      <w:r w:rsidRPr="008D6145">
        <w:rPr>
          <w:rFonts w:eastAsia="Times New Roman"/>
          <w:lang w:val="fr-FR"/>
        </w:rPr>
        <w:tab/>
      </w:r>
      <w:r w:rsidRPr="008D6145">
        <w:rPr>
          <w:rFonts w:eastAsia="Times New Roman"/>
          <w:lang w:val="fr-FR"/>
        </w:rPr>
        <w:tab/>
      </w:r>
      <w:r w:rsidRPr="00A033A7">
        <w:rPr>
          <w:rFonts w:eastAsia="Times New Roman"/>
          <w:b/>
          <w:lang w:val="fr-FR"/>
        </w:rPr>
        <w:t>Réduction du coût des soins de santé</w:t>
      </w:r>
    </w:p>
    <w:p w:rsidR="008D6145" w:rsidRPr="008D6145" w:rsidRDefault="00821D2B" w:rsidP="00821D2B">
      <w:pPr>
        <w:pStyle w:val="SingleTxtG"/>
        <w:kinsoku/>
        <w:overflowPunct/>
        <w:autoSpaceDE/>
        <w:autoSpaceDN/>
        <w:adjustRightInd/>
        <w:snapToGrid/>
        <w:rPr>
          <w:rFonts w:eastAsia="Times New Roman"/>
          <w:lang w:val="fr-FR"/>
        </w:rPr>
      </w:pPr>
      <w:r w:rsidRPr="008D6145">
        <w:rPr>
          <w:rFonts w:eastAsia="Times New Roman"/>
          <w:lang w:val="fr-FR"/>
        </w:rPr>
        <w:t>82.</w:t>
      </w:r>
      <w:r w:rsidRPr="008D6145">
        <w:rPr>
          <w:rFonts w:eastAsia="Times New Roman"/>
          <w:lang w:val="fr-FR"/>
        </w:rPr>
        <w:tab/>
      </w:r>
      <w:r w:rsidR="008D6145" w:rsidRPr="008D6145">
        <w:rPr>
          <w:rFonts w:eastAsia="Times New Roman"/>
          <w:lang w:val="fr-FR"/>
        </w:rPr>
        <w:t>Plusieurs réformes organisationnelles ont été mises en œuvre depuis 2010 pour la réorganisation du secteur de la santé notamment :</w:t>
      </w:r>
    </w:p>
    <w:p w:rsidR="008D6145" w:rsidRPr="00C073F5" w:rsidRDefault="00821D2B" w:rsidP="00821D2B">
      <w:pPr>
        <w:pStyle w:val="Bullet1G"/>
        <w:numPr>
          <w:ilvl w:val="0"/>
          <w:numId w:val="0"/>
        </w:numPr>
        <w:tabs>
          <w:tab w:val="left" w:pos="1701"/>
        </w:tabs>
        <w:ind w:left="1701" w:hanging="170"/>
        <w:rPr>
          <w:spacing w:val="-2"/>
          <w:lang w:val="fr-FR"/>
        </w:rPr>
      </w:pPr>
      <w:r w:rsidRPr="00C073F5">
        <w:rPr>
          <w:spacing w:val="-2"/>
          <w:lang w:val="fr-FR"/>
        </w:rPr>
        <w:t>•</w:t>
      </w:r>
      <w:r w:rsidRPr="00C073F5">
        <w:rPr>
          <w:spacing w:val="-2"/>
          <w:lang w:val="fr-FR"/>
        </w:rPr>
        <w:tab/>
      </w:r>
      <w:r w:rsidR="008D6145" w:rsidRPr="00C073F5">
        <w:rPr>
          <w:spacing w:val="-2"/>
          <w:lang w:val="fr-FR"/>
        </w:rPr>
        <w:t>Les réformes au niveau de la Centrale d</w:t>
      </w:r>
      <w:r w:rsidR="00A033A7">
        <w:rPr>
          <w:spacing w:val="-2"/>
          <w:lang w:val="fr-FR"/>
        </w:rPr>
        <w:t>’</w:t>
      </w:r>
      <w:r w:rsidR="008D6145" w:rsidRPr="00C073F5">
        <w:rPr>
          <w:spacing w:val="-2"/>
          <w:lang w:val="fr-FR"/>
        </w:rPr>
        <w:t>Achats des Médicaments Essentiels (CAME)</w:t>
      </w:r>
      <w:r w:rsidR="00904C95">
        <w:rPr>
          <w:spacing w:val="-2"/>
          <w:lang w:val="fr-FR"/>
        </w:rPr>
        <w:t> </w:t>
      </w:r>
      <w:r w:rsidR="008D6145" w:rsidRPr="00C073F5">
        <w:rPr>
          <w:spacing w:val="-2"/>
          <w:lang w:val="fr-FR"/>
        </w:rPr>
        <w:t xml:space="preserve">; </w:t>
      </w:r>
    </w:p>
    <w:p w:rsidR="008D6145" w:rsidRPr="008D6145" w:rsidRDefault="00821D2B" w:rsidP="00821D2B">
      <w:pPr>
        <w:pStyle w:val="Bullet1G"/>
        <w:numPr>
          <w:ilvl w:val="0"/>
          <w:numId w:val="0"/>
        </w:numPr>
        <w:tabs>
          <w:tab w:val="left" w:pos="1701"/>
        </w:tabs>
        <w:ind w:left="1701" w:hanging="170"/>
        <w:rPr>
          <w:lang w:val="fr-FR"/>
        </w:rPr>
      </w:pPr>
      <w:r w:rsidRPr="008D6145">
        <w:rPr>
          <w:lang w:val="fr-FR"/>
        </w:rPr>
        <w:t>•</w:t>
      </w:r>
      <w:r w:rsidRPr="008D6145">
        <w:rPr>
          <w:lang w:val="fr-FR"/>
        </w:rPr>
        <w:tab/>
      </w:r>
      <w:r w:rsidR="008D6145" w:rsidRPr="008D6145">
        <w:rPr>
          <w:lang w:val="fr-FR"/>
        </w:rPr>
        <w:t>Le Régime d</w:t>
      </w:r>
      <w:r w:rsidR="00A033A7">
        <w:rPr>
          <w:lang w:val="fr-FR"/>
        </w:rPr>
        <w:t>’</w:t>
      </w:r>
      <w:r w:rsidR="008D6145" w:rsidRPr="008D6145">
        <w:rPr>
          <w:lang w:val="fr-FR"/>
        </w:rPr>
        <w:t>Assurance Maladie Universelle (RAMU)/Promotion des Mutuelles de santé</w:t>
      </w:r>
      <w:r w:rsidR="00904C95">
        <w:rPr>
          <w:lang w:val="fr-FR"/>
        </w:rPr>
        <w:t> </w:t>
      </w:r>
      <w:r w:rsidR="008D6145" w:rsidRPr="008D6145">
        <w:rPr>
          <w:lang w:val="fr-FR"/>
        </w:rPr>
        <w:t xml:space="preserve">; </w:t>
      </w:r>
    </w:p>
    <w:p w:rsidR="008D6145" w:rsidRPr="008D6145" w:rsidRDefault="00821D2B" w:rsidP="00821D2B">
      <w:pPr>
        <w:pStyle w:val="Bullet1G"/>
        <w:numPr>
          <w:ilvl w:val="0"/>
          <w:numId w:val="0"/>
        </w:numPr>
        <w:tabs>
          <w:tab w:val="left" w:pos="1701"/>
        </w:tabs>
        <w:ind w:left="1701" w:hanging="170"/>
        <w:rPr>
          <w:lang w:val="fr-FR"/>
        </w:rPr>
      </w:pPr>
      <w:r w:rsidRPr="008D6145">
        <w:rPr>
          <w:lang w:val="fr-FR"/>
        </w:rPr>
        <w:t>•</w:t>
      </w:r>
      <w:r w:rsidRPr="008D6145">
        <w:rPr>
          <w:lang w:val="fr-FR"/>
        </w:rPr>
        <w:tab/>
      </w:r>
      <w:r w:rsidR="008D6145" w:rsidRPr="008D6145">
        <w:rPr>
          <w:lang w:val="fr-FR"/>
        </w:rPr>
        <w:t>La contractualisation/Gestion Axée sur les Résultats</w:t>
      </w:r>
      <w:r w:rsidR="00904C95">
        <w:rPr>
          <w:lang w:val="fr-FR"/>
        </w:rPr>
        <w:t> </w:t>
      </w:r>
      <w:r w:rsidR="008D6145" w:rsidRPr="008D6145">
        <w:rPr>
          <w:lang w:val="fr-FR"/>
        </w:rPr>
        <w:t xml:space="preserve">; </w:t>
      </w:r>
    </w:p>
    <w:p w:rsidR="008D6145" w:rsidRPr="008D6145" w:rsidRDefault="00821D2B" w:rsidP="00821D2B">
      <w:pPr>
        <w:pStyle w:val="Bullet1G"/>
        <w:numPr>
          <w:ilvl w:val="0"/>
          <w:numId w:val="0"/>
        </w:numPr>
        <w:tabs>
          <w:tab w:val="left" w:pos="1701"/>
        </w:tabs>
        <w:ind w:left="1701" w:hanging="170"/>
        <w:rPr>
          <w:lang w:val="fr-FR"/>
        </w:rPr>
      </w:pPr>
      <w:r w:rsidRPr="008D6145">
        <w:rPr>
          <w:lang w:val="fr-FR"/>
        </w:rPr>
        <w:lastRenderedPageBreak/>
        <w:t>•</w:t>
      </w:r>
      <w:r w:rsidRPr="008D6145">
        <w:rPr>
          <w:lang w:val="fr-FR"/>
        </w:rPr>
        <w:tab/>
      </w:r>
      <w:r w:rsidR="008D6145" w:rsidRPr="008D6145">
        <w:rPr>
          <w:lang w:val="fr-FR"/>
        </w:rPr>
        <w:t>La décentralisation/déconcentration dans le secteur</w:t>
      </w:r>
      <w:r w:rsidR="00904C95">
        <w:rPr>
          <w:lang w:val="fr-FR"/>
        </w:rPr>
        <w:t> </w:t>
      </w:r>
      <w:r w:rsidR="008D6145" w:rsidRPr="008D6145">
        <w:rPr>
          <w:lang w:val="fr-FR"/>
        </w:rPr>
        <w:t>;</w:t>
      </w:r>
      <w:r w:rsidR="00A033A7">
        <w:rPr>
          <w:lang w:val="fr-FR"/>
        </w:rPr>
        <w:t xml:space="preserve"> </w:t>
      </w:r>
    </w:p>
    <w:p w:rsidR="008D6145" w:rsidRPr="008D6145" w:rsidRDefault="00821D2B" w:rsidP="00821D2B">
      <w:pPr>
        <w:pStyle w:val="Bullet1G"/>
        <w:numPr>
          <w:ilvl w:val="0"/>
          <w:numId w:val="0"/>
        </w:numPr>
        <w:tabs>
          <w:tab w:val="left" w:pos="1701"/>
        </w:tabs>
        <w:ind w:left="1701" w:hanging="170"/>
        <w:rPr>
          <w:lang w:val="fr-FR"/>
        </w:rPr>
      </w:pPr>
      <w:r w:rsidRPr="008D6145">
        <w:rPr>
          <w:lang w:val="fr-FR"/>
        </w:rPr>
        <w:t>•</w:t>
      </w:r>
      <w:r w:rsidRPr="008D6145">
        <w:rPr>
          <w:lang w:val="fr-FR"/>
        </w:rPr>
        <w:tab/>
      </w:r>
      <w:r w:rsidR="008D6145" w:rsidRPr="008D6145">
        <w:rPr>
          <w:lang w:val="fr-FR"/>
        </w:rPr>
        <w:t>Les dispositions pratiques pour la construction d</w:t>
      </w:r>
      <w:r w:rsidR="00A033A7">
        <w:rPr>
          <w:lang w:val="fr-FR"/>
        </w:rPr>
        <w:t>’</w:t>
      </w:r>
      <w:r w:rsidR="008D6145" w:rsidRPr="008D6145">
        <w:rPr>
          <w:lang w:val="fr-FR"/>
        </w:rPr>
        <w:t>hôpital moderne de référence à vocation régionale ;</w:t>
      </w:r>
    </w:p>
    <w:p w:rsidR="008D6145" w:rsidRPr="008D6145" w:rsidRDefault="00821D2B" w:rsidP="00821D2B">
      <w:pPr>
        <w:pStyle w:val="Bullet1G"/>
        <w:numPr>
          <w:ilvl w:val="0"/>
          <w:numId w:val="0"/>
        </w:numPr>
        <w:tabs>
          <w:tab w:val="left" w:pos="1701"/>
        </w:tabs>
        <w:ind w:left="1701" w:hanging="170"/>
        <w:rPr>
          <w:lang w:val="fr-FR"/>
        </w:rPr>
      </w:pPr>
      <w:r w:rsidRPr="008D6145">
        <w:rPr>
          <w:lang w:val="fr-FR"/>
        </w:rPr>
        <w:t>•</w:t>
      </w:r>
      <w:r w:rsidRPr="008D6145">
        <w:rPr>
          <w:lang w:val="fr-FR"/>
        </w:rPr>
        <w:tab/>
      </w:r>
      <w:r w:rsidR="008D6145" w:rsidRPr="008D6145">
        <w:rPr>
          <w:lang w:val="fr-FR"/>
        </w:rPr>
        <w:t xml:space="preserve">La gratuité de la césarienne. </w:t>
      </w:r>
    </w:p>
    <w:p w:rsidR="008D6145" w:rsidRPr="008D6145" w:rsidRDefault="00821D2B" w:rsidP="00821D2B">
      <w:pPr>
        <w:pStyle w:val="SingleTxtG"/>
        <w:kinsoku/>
        <w:overflowPunct/>
        <w:autoSpaceDE/>
        <w:autoSpaceDN/>
        <w:adjustRightInd/>
        <w:snapToGrid/>
        <w:rPr>
          <w:rFonts w:eastAsia="Times New Roman"/>
          <w:lang w:val="fr-FR"/>
        </w:rPr>
      </w:pPr>
      <w:r w:rsidRPr="008D6145">
        <w:rPr>
          <w:rFonts w:eastAsia="Times New Roman"/>
          <w:lang w:val="fr-FR"/>
        </w:rPr>
        <w:t>83.</w:t>
      </w:r>
      <w:r w:rsidRPr="008D6145">
        <w:rPr>
          <w:rFonts w:eastAsia="Times New Roman"/>
          <w:lang w:val="fr-FR"/>
        </w:rPr>
        <w:tab/>
      </w:r>
      <w:r w:rsidR="008D6145" w:rsidRPr="008D6145">
        <w:rPr>
          <w:rFonts w:eastAsia="Times New Roman"/>
          <w:lang w:val="fr-FR"/>
        </w:rPr>
        <w:t>Ces diverses mesures prises par le gouvernement visent à aider et assurer la bonne santé à toute la population surtout aux couches les plus défavorisées.</w:t>
      </w:r>
    </w:p>
    <w:p w:rsidR="008D6145" w:rsidRPr="008D6145" w:rsidRDefault="00821D2B" w:rsidP="00821D2B">
      <w:pPr>
        <w:pStyle w:val="SingleTxtG"/>
        <w:kinsoku/>
        <w:overflowPunct/>
        <w:autoSpaceDE/>
        <w:autoSpaceDN/>
        <w:adjustRightInd/>
        <w:snapToGrid/>
        <w:rPr>
          <w:rFonts w:eastAsia="Times New Roman"/>
          <w:lang w:val="fr-FR"/>
        </w:rPr>
      </w:pPr>
      <w:r w:rsidRPr="008D6145">
        <w:rPr>
          <w:rFonts w:eastAsia="Times New Roman"/>
          <w:lang w:val="fr-FR"/>
        </w:rPr>
        <w:t>84.</w:t>
      </w:r>
      <w:r w:rsidRPr="008D6145">
        <w:rPr>
          <w:rFonts w:eastAsia="Times New Roman"/>
          <w:lang w:val="fr-FR"/>
        </w:rPr>
        <w:tab/>
      </w:r>
      <w:r w:rsidR="008D6145" w:rsidRPr="008D6145">
        <w:rPr>
          <w:rFonts w:eastAsia="Times New Roman"/>
          <w:lang w:val="fr-FR"/>
        </w:rPr>
        <w:t>Relativement au RAMU, il faut noter que c</w:t>
      </w:r>
      <w:r w:rsidR="00A033A7">
        <w:rPr>
          <w:rFonts w:eastAsia="Times New Roman"/>
          <w:lang w:val="fr-FR"/>
        </w:rPr>
        <w:t>’</w:t>
      </w:r>
      <w:r w:rsidR="008D6145" w:rsidRPr="008D6145">
        <w:rPr>
          <w:rFonts w:eastAsia="Times New Roman"/>
          <w:lang w:val="fr-FR"/>
        </w:rPr>
        <w:t>est une assurance sociale sanitaire qui permet à la population, surtout aux couches défavorisées de bénéficier des soins de santé à moindre coût. La première expérience lancée ne prend en compte qu</w:t>
      </w:r>
      <w:r w:rsidR="00A033A7">
        <w:rPr>
          <w:rFonts w:eastAsia="Times New Roman"/>
          <w:lang w:val="fr-FR"/>
        </w:rPr>
        <w:t>’</w:t>
      </w:r>
      <w:r w:rsidR="008D6145" w:rsidRPr="008D6145">
        <w:rPr>
          <w:rFonts w:eastAsia="Times New Roman"/>
          <w:lang w:val="fr-FR"/>
        </w:rPr>
        <w:t>une partie de la population.</w:t>
      </w:r>
    </w:p>
    <w:p w:rsidR="008D6145" w:rsidRPr="008D6145" w:rsidRDefault="00821D2B" w:rsidP="00821D2B">
      <w:pPr>
        <w:pStyle w:val="SingleTxtG"/>
        <w:kinsoku/>
        <w:overflowPunct/>
        <w:autoSpaceDE/>
        <w:autoSpaceDN/>
        <w:adjustRightInd/>
        <w:snapToGrid/>
        <w:rPr>
          <w:rFonts w:eastAsia="Times New Roman"/>
          <w:lang w:val="fr-FR"/>
        </w:rPr>
      </w:pPr>
      <w:r w:rsidRPr="008D6145">
        <w:rPr>
          <w:rFonts w:eastAsia="Times New Roman"/>
          <w:lang w:val="fr-FR"/>
        </w:rPr>
        <w:t>85.</w:t>
      </w:r>
      <w:r w:rsidRPr="008D6145">
        <w:rPr>
          <w:rFonts w:eastAsia="Times New Roman"/>
          <w:lang w:val="fr-FR"/>
        </w:rPr>
        <w:tab/>
      </w:r>
      <w:r w:rsidR="008D6145" w:rsidRPr="008D6145">
        <w:rPr>
          <w:rFonts w:eastAsia="Times New Roman"/>
          <w:lang w:val="fr-FR"/>
        </w:rPr>
        <w:t>Relativement à la gratuité de la césarienne : c</w:t>
      </w:r>
      <w:r w:rsidR="00A033A7">
        <w:rPr>
          <w:rFonts w:eastAsia="Times New Roman"/>
          <w:lang w:val="fr-FR"/>
        </w:rPr>
        <w:t>’</w:t>
      </w:r>
      <w:r w:rsidR="008D6145" w:rsidRPr="008D6145">
        <w:rPr>
          <w:rFonts w:eastAsia="Times New Roman"/>
          <w:lang w:val="fr-FR"/>
        </w:rPr>
        <w:t>est une mesure prise par le gouvernement pour alléger les frais médicaux aux femmes lorsqu</w:t>
      </w:r>
      <w:r w:rsidR="00A033A7">
        <w:rPr>
          <w:rFonts w:eastAsia="Times New Roman"/>
          <w:lang w:val="fr-FR"/>
        </w:rPr>
        <w:t>’</w:t>
      </w:r>
      <w:r w:rsidR="008D6145" w:rsidRPr="008D6145">
        <w:rPr>
          <w:rFonts w:eastAsia="Times New Roman"/>
          <w:lang w:val="fr-FR"/>
        </w:rPr>
        <w:t>elles sont appelées à donner vie que par voie chirurgicale. En effet, il a été constaté que le taux de mortalité des femmes enceintes s</w:t>
      </w:r>
      <w:r w:rsidR="00A033A7">
        <w:rPr>
          <w:rFonts w:eastAsia="Times New Roman"/>
          <w:lang w:val="fr-FR"/>
        </w:rPr>
        <w:t>’</w:t>
      </w:r>
      <w:r w:rsidR="008D6145" w:rsidRPr="008D6145">
        <w:rPr>
          <w:rFonts w:eastAsia="Times New Roman"/>
          <w:lang w:val="fr-FR"/>
        </w:rPr>
        <w:t>est accru. La cause est toute simple : frais médicaux exorbitants. Beaucoup donc de familles n</w:t>
      </w:r>
      <w:r w:rsidR="00A033A7">
        <w:rPr>
          <w:rFonts w:eastAsia="Times New Roman"/>
          <w:lang w:val="fr-FR"/>
        </w:rPr>
        <w:t>’</w:t>
      </w:r>
      <w:r w:rsidR="008D6145" w:rsidRPr="008D6145">
        <w:rPr>
          <w:rFonts w:eastAsia="Times New Roman"/>
          <w:lang w:val="fr-FR"/>
        </w:rPr>
        <w:t>arrivaient pas à y faire face. Pour pallier ces difficultés, des hôpitaux ont été accrédités spécialement pour cette mesure de gratuité aux fins d</w:t>
      </w:r>
      <w:r w:rsidR="00A033A7">
        <w:rPr>
          <w:rFonts w:eastAsia="Times New Roman"/>
          <w:lang w:val="fr-FR"/>
        </w:rPr>
        <w:t>’</w:t>
      </w:r>
      <w:r w:rsidR="008D6145" w:rsidRPr="008D6145">
        <w:rPr>
          <w:rFonts w:eastAsia="Times New Roman"/>
          <w:lang w:val="fr-FR"/>
        </w:rPr>
        <w:t>aider les femmes dans le besoin. Globalement, 44 centres hospitaliers sur tout le territoire national ont été retenus. Précisément, tous les départements du Bénin sont couverts par cette mesure</w:t>
      </w:r>
      <w:r w:rsidR="006247FB">
        <w:rPr>
          <w:rFonts w:eastAsia="Times New Roman"/>
          <w:lang w:val="fr-FR"/>
        </w:rPr>
        <w:t> :</w:t>
      </w:r>
      <w:r w:rsidR="008D6145" w:rsidRPr="008D6145">
        <w:rPr>
          <w:rFonts w:eastAsia="Times New Roman"/>
          <w:lang w:val="fr-FR"/>
        </w:rPr>
        <w:t xml:space="preserve"> 11 dans l</w:t>
      </w:r>
      <w:r w:rsidR="00A033A7">
        <w:rPr>
          <w:rFonts w:eastAsia="Times New Roman"/>
          <w:lang w:val="fr-FR"/>
        </w:rPr>
        <w:t>’</w:t>
      </w:r>
      <w:r w:rsidR="008D6145" w:rsidRPr="008D6145">
        <w:rPr>
          <w:rFonts w:eastAsia="Times New Roman"/>
          <w:lang w:val="fr-FR"/>
        </w:rPr>
        <w:t>Atlantique Littoral, 6 dans l</w:t>
      </w:r>
      <w:r w:rsidR="00A033A7">
        <w:rPr>
          <w:rFonts w:eastAsia="Times New Roman"/>
          <w:lang w:val="fr-FR"/>
        </w:rPr>
        <w:t>’</w:t>
      </w:r>
      <w:r w:rsidR="008D6145" w:rsidRPr="008D6145">
        <w:rPr>
          <w:rFonts w:eastAsia="Times New Roman"/>
          <w:lang w:val="fr-FR"/>
        </w:rPr>
        <w:t>Ouémé-Plateau, 6 dans le Mono-Couffo, 5 dans le Zou-Collines, 6 dans l</w:t>
      </w:r>
      <w:r w:rsidR="00A033A7">
        <w:rPr>
          <w:rFonts w:eastAsia="Times New Roman"/>
          <w:lang w:val="fr-FR"/>
        </w:rPr>
        <w:t>’</w:t>
      </w:r>
      <w:r w:rsidR="008D6145" w:rsidRPr="008D6145">
        <w:rPr>
          <w:rFonts w:eastAsia="Times New Roman"/>
          <w:lang w:val="fr-FR"/>
        </w:rPr>
        <w:t>Atacora-Donga, 10 dans le Borgou-Alibori.</w:t>
      </w:r>
      <w:r w:rsidR="00A033A7">
        <w:rPr>
          <w:rFonts w:eastAsia="Times New Roman"/>
          <w:lang w:val="fr-FR"/>
        </w:rPr>
        <w:t xml:space="preserve"> </w:t>
      </w:r>
      <w:r w:rsidR="008D6145" w:rsidRPr="008D6145">
        <w:rPr>
          <w:rFonts w:eastAsia="Times New Roman"/>
          <w:lang w:val="fr-FR"/>
        </w:rPr>
        <w:t>Cependant, il faut améliorer le système afin de permettre aux mères ayant bénéficié de ses soins de césarienne de continuer le traitement après l</w:t>
      </w:r>
      <w:r w:rsidR="00A033A7">
        <w:rPr>
          <w:rFonts w:eastAsia="Times New Roman"/>
          <w:lang w:val="fr-FR"/>
        </w:rPr>
        <w:t>’</w:t>
      </w:r>
      <w:r w:rsidR="008D6145" w:rsidRPr="008D6145">
        <w:rPr>
          <w:rFonts w:eastAsia="Times New Roman"/>
          <w:lang w:val="fr-FR"/>
        </w:rPr>
        <w:t>intervention en cas de complication. Puisque la gratuité de la césarienne ne prend aucune mesure pour atténuer les effets secondaires.</w:t>
      </w:r>
    </w:p>
    <w:p w:rsidR="008D6145" w:rsidRPr="008D6145" w:rsidRDefault="00821D2B" w:rsidP="00821D2B">
      <w:pPr>
        <w:pStyle w:val="SingleTxtG"/>
        <w:kinsoku/>
        <w:overflowPunct/>
        <w:autoSpaceDE/>
        <w:autoSpaceDN/>
        <w:adjustRightInd/>
        <w:snapToGrid/>
        <w:rPr>
          <w:rFonts w:eastAsia="Times New Roman"/>
          <w:spacing w:val="-2"/>
          <w:lang w:val="fr-FR"/>
        </w:rPr>
      </w:pPr>
      <w:r w:rsidRPr="008D6145">
        <w:rPr>
          <w:rFonts w:eastAsia="Times New Roman"/>
          <w:spacing w:val="-2"/>
          <w:lang w:val="fr-FR"/>
        </w:rPr>
        <w:t>86.</w:t>
      </w:r>
      <w:r w:rsidRPr="008D6145">
        <w:rPr>
          <w:rFonts w:eastAsia="Times New Roman"/>
          <w:spacing w:val="-2"/>
          <w:lang w:val="fr-FR"/>
        </w:rPr>
        <w:tab/>
      </w:r>
      <w:r w:rsidR="008D6145" w:rsidRPr="00C1301E">
        <w:rPr>
          <w:rFonts w:eastAsia="Times New Roman"/>
          <w:lang w:val="fr-FR"/>
        </w:rPr>
        <w:t>Dans le domaine de la santé de reproduction, les résultats de l</w:t>
      </w:r>
      <w:r w:rsidR="00A033A7" w:rsidRPr="00C1301E">
        <w:rPr>
          <w:rFonts w:eastAsia="Times New Roman"/>
          <w:lang w:val="fr-FR"/>
        </w:rPr>
        <w:t>’</w:t>
      </w:r>
      <w:r w:rsidR="008D6145" w:rsidRPr="00C1301E">
        <w:rPr>
          <w:rFonts w:eastAsia="Times New Roman"/>
          <w:lang w:val="fr-FR"/>
        </w:rPr>
        <w:t>Enquête Démographique et Santé (EDS IV, 2011</w:t>
      </w:r>
      <w:r w:rsidR="006247FB">
        <w:rPr>
          <w:rFonts w:eastAsia="Times New Roman"/>
          <w:lang w:val="fr-FR"/>
        </w:rPr>
        <w:t>-</w:t>
      </w:r>
      <w:r w:rsidR="008D6145" w:rsidRPr="00C1301E">
        <w:rPr>
          <w:rFonts w:eastAsia="Times New Roman"/>
          <w:lang w:val="fr-FR"/>
        </w:rPr>
        <w:t>2012) montrent que le taux des femmes ayant reçu des soins prénatals est de 86</w:t>
      </w:r>
      <w:r w:rsidR="006247FB">
        <w:rPr>
          <w:rFonts w:eastAsia="Times New Roman"/>
          <w:lang w:val="fr-FR"/>
        </w:rPr>
        <w:t> </w:t>
      </w:r>
      <w:r w:rsidR="008D6145" w:rsidRPr="00C1301E">
        <w:rPr>
          <w:rFonts w:eastAsia="Times New Roman"/>
          <w:lang w:val="fr-FR"/>
        </w:rPr>
        <w:t>% contre 88</w:t>
      </w:r>
      <w:r w:rsidR="006247FB">
        <w:rPr>
          <w:rFonts w:eastAsia="Times New Roman"/>
          <w:lang w:val="fr-FR"/>
        </w:rPr>
        <w:t> </w:t>
      </w:r>
      <w:r w:rsidR="008D6145" w:rsidRPr="00C1301E">
        <w:rPr>
          <w:rFonts w:eastAsia="Times New Roman"/>
          <w:lang w:val="fr-FR"/>
        </w:rPr>
        <w:t>% en 2006. La proportion des femmes dont l</w:t>
      </w:r>
      <w:r w:rsidR="00A033A7" w:rsidRPr="00C1301E">
        <w:rPr>
          <w:rFonts w:eastAsia="Times New Roman"/>
          <w:lang w:val="fr-FR"/>
        </w:rPr>
        <w:t>’</w:t>
      </w:r>
      <w:r w:rsidR="008D6145" w:rsidRPr="00C1301E">
        <w:rPr>
          <w:rFonts w:eastAsia="Times New Roman"/>
          <w:lang w:val="fr-FR"/>
        </w:rPr>
        <w:t>accouchement s</w:t>
      </w:r>
      <w:r w:rsidR="00A033A7" w:rsidRPr="00C1301E">
        <w:rPr>
          <w:rFonts w:eastAsia="Times New Roman"/>
          <w:lang w:val="fr-FR"/>
        </w:rPr>
        <w:t>’</w:t>
      </w:r>
      <w:r w:rsidR="008D6145" w:rsidRPr="00C1301E">
        <w:rPr>
          <w:rFonts w:eastAsia="Times New Roman"/>
          <w:lang w:val="fr-FR"/>
        </w:rPr>
        <w:t>est déroulé en établissement de santé est passée de 78</w:t>
      </w:r>
      <w:r w:rsidR="006247FB">
        <w:rPr>
          <w:rFonts w:eastAsia="Times New Roman"/>
          <w:lang w:val="fr-FR"/>
        </w:rPr>
        <w:t> </w:t>
      </w:r>
      <w:r w:rsidR="008D6145" w:rsidRPr="00C1301E">
        <w:rPr>
          <w:rFonts w:eastAsia="Times New Roman"/>
          <w:lang w:val="fr-FR"/>
        </w:rPr>
        <w:t>% en 2006 à 87</w:t>
      </w:r>
      <w:r w:rsidR="006247FB">
        <w:rPr>
          <w:rFonts w:eastAsia="Times New Roman"/>
          <w:lang w:val="fr-FR"/>
        </w:rPr>
        <w:t> </w:t>
      </w:r>
      <w:r w:rsidR="008D6145" w:rsidRPr="00C1301E">
        <w:rPr>
          <w:rFonts w:eastAsia="Times New Roman"/>
          <w:lang w:val="fr-FR"/>
        </w:rPr>
        <w:t>% en 2011</w:t>
      </w:r>
      <w:r w:rsidR="006247FB">
        <w:rPr>
          <w:rFonts w:eastAsia="Times New Roman"/>
          <w:lang w:val="fr-FR"/>
        </w:rPr>
        <w:t>-</w:t>
      </w:r>
      <w:r w:rsidR="008D6145" w:rsidRPr="00C1301E">
        <w:rPr>
          <w:rFonts w:eastAsia="Times New Roman"/>
          <w:lang w:val="fr-FR"/>
        </w:rPr>
        <w:t>2012. En ce qui concerne la proportion des femmes dont l</w:t>
      </w:r>
      <w:r w:rsidR="00A033A7" w:rsidRPr="00C1301E">
        <w:rPr>
          <w:rFonts w:eastAsia="Times New Roman"/>
          <w:lang w:val="fr-FR"/>
        </w:rPr>
        <w:t>’</w:t>
      </w:r>
      <w:r w:rsidR="008D6145" w:rsidRPr="00C1301E">
        <w:rPr>
          <w:rFonts w:eastAsia="Times New Roman"/>
          <w:lang w:val="fr-FR"/>
        </w:rPr>
        <w:t>accouchement a été assisté par du personnel de santé qualifié, il est passé de 74</w:t>
      </w:r>
      <w:r w:rsidR="006247FB">
        <w:rPr>
          <w:rFonts w:eastAsia="Times New Roman"/>
          <w:lang w:val="fr-FR"/>
        </w:rPr>
        <w:t> </w:t>
      </w:r>
      <w:r w:rsidR="008D6145" w:rsidRPr="00C1301E">
        <w:rPr>
          <w:rFonts w:eastAsia="Times New Roman"/>
          <w:lang w:val="fr-FR"/>
        </w:rPr>
        <w:t>% en 2006 à 81</w:t>
      </w:r>
      <w:r w:rsidR="006247FB">
        <w:rPr>
          <w:rFonts w:eastAsia="Times New Roman"/>
          <w:lang w:val="fr-FR"/>
        </w:rPr>
        <w:t> </w:t>
      </w:r>
      <w:r w:rsidR="008D6145" w:rsidRPr="00C1301E">
        <w:rPr>
          <w:rFonts w:eastAsia="Times New Roman"/>
          <w:lang w:val="fr-FR"/>
        </w:rPr>
        <w:t>% entre 2011</w:t>
      </w:r>
      <w:r w:rsidR="006247FB">
        <w:rPr>
          <w:rFonts w:eastAsia="Times New Roman"/>
          <w:lang w:val="fr-FR"/>
        </w:rPr>
        <w:t>-</w:t>
      </w:r>
      <w:r w:rsidR="008D6145" w:rsidRPr="00C1301E">
        <w:rPr>
          <w:rFonts w:eastAsia="Times New Roman"/>
          <w:lang w:val="fr-FR"/>
        </w:rPr>
        <w:t>2012. Concernant, la mortalité infantile, les résultats montrent que sur 1</w:t>
      </w:r>
      <w:r w:rsidR="006247FB">
        <w:rPr>
          <w:rFonts w:eastAsia="Times New Roman"/>
          <w:lang w:val="fr-FR"/>
        </w:rPr>
        <w:t> </w:t>
      </w:r>
      <w:r w:rsidR="008D6145" w:rsidRPr="00C1301E">
        <w:rPr>
          <w:rFonts w:eastAsia="Times New Roman"/>
          <w:lang w:val="fr-FR"/>
        </w:rPr>
        <w:t>000 naissances, 42 décèdent avant d</w:t>
      </w:r>
      <w:r w:rsidR="00A033A7" w:rsidRPr="00C1301E">
        <w:rPr>
          <w:rFonts w:eastAsia="Times New Roman"/>
          <w:lang w:val="fr-FR"/>
        </w:rPr>
        <w:t>’</w:t>
      </w:r>
      <w:r w:rsidR="008D6145" w:rsidRPr="00C1301E">
        <w:rPr>
          <w:rFonts w:eastAsia="Times New Roman"/>
          <w:lang w:val="fr-FR"/>
        </w:rPr>
        <w:t>atteindre leur premier anniversaire</w:t>
      </w:r>
      <w:r w:rsidR="008D6145" w:rsidRPr="008D6145">
        <w:rPr>
          <w:rFonts w:eastAsia="Times New Roman"/>
          <w:spacing w:val="-2"/>
          <w:lang w:val="fr-FR"/>
        </w:rPr>
        <w:t xml:space="preserve"> (23</w:t>
      </w:r>
      <w:r w:rsidR="006247FB">
        <w:rPr>
          <w:rFonts w:eastAsia="Times New Roman"/>
          <w:spacing w:val="-2"/>
          <w:lang w:val="fr-FR"/>
        </w:rPr>
        <w:t> </w:t>
      </w:r>
      <w:r w:rsidR="008D6145" w:rsidRPr="008D6145">
        <w:rPr>
          <w:rFonts w:eastAsia="Times New Roman"/>
          <w:spacing w:val="-2"/>
          <w:lang w:val="fr-FR"/>
        </w:rPr>
        <w:t>‰ entre 0 et 1 mois et 19</w:t>
      </w:r>
      <w:r w:rsidR="006247FB">
        <w:rPr>
          <w:rFonts w:eastAsia="Times New Roman"/>
          <w:spacing w:val="-2"/>
          <w:lang w:val="fr-FR"/>
        </w:rPr>
        <w:t> </w:t>
      </w:r>
      <w:r w:rsidR="008D6145" w:rsidRPr="008D6145">
        <w:rPr>
          <w:rFonts w:eastAsia="Times New Roman"/>
          <w:spacing w:val="-2"/>
          <w:lang w:val="fr-FR"/>
        </w:rPr>
        <w:t>‰ entre 1</w:t>
      </w:r>
      <w:r w:rsidR="007248AA">
        <w:rPr>
          <w:rFonts w:eastAsia="Times New Roman"/>
          <w:spacing w:val="-2"/>
          <w:lang w:val="fr-FR"/>
        </w:rPr>
        <w:t> </w:t>
      </w:r>
      <w:r w:rsidR="008D6145" w:rsidRPr="008D6145">
        <w:rPr>
          <w:rFonts w:eastAsia="Times New Roman"/>
          <w:spacing w:val="-2"/>
          <w:lang w:val="fr-FR"/>
        </w:rPr>
        <w:t>et 12 mois exacts). Ce taux était estimé à 45</w:t>
      </w:r>
      <w:r w:rsidR="006247FB">
        <w:rPr>
          <w:rFonts w:eastAsia="Times New Roman"/>
          <w:spacing w:val="-2"/>
          <w:lang w:val="fr-FR"/>
        </w:rPr>
        <w:t> </w:t>
      </w:r>
      <w:r w:rsidR="008D6145" w:rsidRPr="008D6145">
        <w:rPr>
          <w:rFonts w:eastAsia="Times New Roman"/>
          <w:spacing w:val="-2"/>
          <w:lang w:val="fr-FR"/>
        </w:rPr>
        <w:t>‰ pour l</w:t>
      </w:r>
      <w:r w:rsidR="00A033A7">
        <w:rPr>
          <w:rFonts w:eastAsia="Times New Roman"/>
          <w:spacing w:val="-2"/>
          <w:lang w:val="fr-FR"/>
        </w:rPr>
        <w:t>’</w:t>
      </w:r>
      <w:r w:rsidR="008D6145" w:rsidRPr="008D6145">
        <w:rPr>
          <w:rFonts w:eastAsia="Times New Roman"/>
          <w:spacing w:val="-2"/>
          <w:lang w:val="fr-FR"/>
        </w:rPr>
        <w:t>EDS III (2006), ce qui montre que le Bénin a fait d</w:t>
      </w:r>
      <w:r w:rsidR="00A033A7">
        <w:rPr>
          <w:rFonts w:eastAsia="Times New Roman"/>
          <w:spacing w:val="-2"/>
          <w:lang w:val="fr-FR"/>
        </w:rPr>
        <w:t>’</w:t>
      </w:r>
      <w:r w:rsidR="008D6145" w:rsidRPr="008D6145">
        <w:rPr>
          <w:rFonts w:eastAsia="Times New Roman"/>
          <w:spacing w:val="-2"/>
          <w:lang w:val="fr-FR"/>
        </w:rPr>
        <w:t>énormes progrès au cours des cinq dernières années en matière de réduction de la mortalité infantile. En effet, le niveau de mortalité a connu une baisse de 16 points sur l</w:t>
      </w:r>
      <w:r w:rsidR="00A033A7">
        <w:rPr>
          <w:rFonts w:eastAsia="Times New Roman"/>
          <w:spacing w:val="-2"/>
          <w:lang w:val="fr-FR"/>
        </w:rPr>
        <w:t>’</w:t>
      </w:r>
      <w:r w:rsidR="008D6145" w:rsidRPr="008D6145">
        <w:rPr>
          <w:rFonts w:eastAsia="Times New Roman"/>
          <w:spacing w:val="-2"/>
          <w:lang w:val="fr-FR"/>
        </w:rPr>
        <w:t>intervalle des quinze années ayant précédé l</w:t>
      </w:r>
      <w:r w:rsidR="00A033A7">
        <w:rPr>
          <w:rFonts w:eastAsia="Times New Roman"/>
          <w:spacing w:val="-2"/>
          <w:lang w:val="fr-FR"/>
        </w:rPr>
        <w:t>’</w:t>
      </w:r>
      <w:r w:rsidR="008D6145" w:rsidRPr="008D6145">
        <w:rPr>
          <w:rFonts w:eastAsia="Times New Roman"/>
          <w:spacing w:val="-2"/>
          <w:lang w:val="fr-FR"/>
        </w:rPr>
        <w:t>EDS-III passant de 83</w:t>
      </w:r>
      <w:r w:rsidR="006247FB">
        <w:rPr>
          <w:rFonts w:eastAsia="Times New Roman"/>
          <w:spacing w:val="-2"/>
          <w:lang w:val="fr-FR"/>
        </w:rPr>
        <w:t> </w:t>
      </w:r>
      <w:r w:rsidR="008D6145" w:rsidRPr="008D6145">
        <w:rPr>
          <w:rFonts w:eastAsia="Times New Roman"/>
          <w:spacing w:val="-2"/>
          <w:lang w:val="fr-FR"/>
        </w:rPr>
        <w:t>‰ à 67</w:t>
      </w:r>
      <w:r w:rsidR="006247FB">
        <w:rPr>
          <w:rFonts w:eastAsia="Times New Roman"/>
          <w:spacing w:val="-2"/>
          <w:lang w:val="fr-FR"/>
        </w:rPr>
        <w:t> </w:t>
      </w:r>
      <w:r w:rsidR="008D6145" w:rsidRPr="008D6145">
        <w:rPr>
          <w:rFonts w:eastAsia="Times New Roman"/>
          <w:spacing w:val="-2"/>
          <w:lang w:val="fr-FR"/>
        </w:rPr>
        <w:t>‰ contre seulement 3 pour EDS IV.</w:t>
      </w:r>
    </w:p>
    <w:p w:rsidR="008D6145" w:rsidRPr="00A033A7" w:rsidRDefault="008D6145" w:rsidP="008D6145">
      <w:pPr>
        <w:keepNext/>
        <w:keepLines/>
        <w:tabs>
          <w:tab w:val="right" w:pos="851"/>
        </w:tabs>
        <w:kinsoku/>
        <w:overflowPunct/>
        <w:autoSpaceDE/>
        <w:autoSpaceDN/>
        <w:adjustRightInd/>
        <w:snapToGrid/>
        <w:spacing w:before="240" w:after="120" w:line="240" w:lineRule="exact"/>
        <w:ind w:left="1134" w:right="1134" w:hanging="1134"/>
        <w:rPr>
          <w:rFonts w:eastAsia="Times New Roman"/>
          <w:b/>
          <w:lang w:val="fr-FR"/>
        </w:rPr>
      </w:pPr>
      <w:r w:rsidRPr="008D6145">
        <w:rPr>
          <w:rFonts w:eastAsia="Times New Roman"/>
          <w:lang w:val="fr-FR"/>
        </w:rPr>
        <w:tab/>
      </w:r>
      <w:r w:rsidRPr="008D6145">
        <w:rPr>
          <w:rFonts w:eastAsia="Times New Roman"/>
          <w:lang w:val="fr-FR"/>
        </w:rPr>
        <w:tab/>
      </w:r>
      <w:r w:rsidRPr="00A033A7">
        <w:rPr>
          <w:rFonts w:eastAsia="Times New Roman"/>
          <w:b/>
          <w:lang w:val="fr-FR"/>
        </w:rPr>
        <w:t>Prévalence du VIH/</w:t>
      </w:r>
      <w:r w:rsidR="006247FB" w:rsidRPr="00A033A7">
        <w:rPr>
          <w:rFonts w:eastAsia="Times New Roman"/>
          <w:b/>
          <w:lang w:val="fr-FR"/>
        </w:rPr>
        <w:t>sida</w:t>
      </w:r>
    </w:p>
    <w:p w:rsidR="008D6145" w:rsidRPr="008D6145" w:rsidRDefault="00821D2B" w:rsidP="00821D2B">
      <w:pPr>
        <w:pStyle w:val="SingleTxtG"/>
        <w:kinsoku/>
        <w:overflowPunct/>
        <w:autoSpaceDE/>
        <w:autoSpaceDN/>
        <w:adjustRightInd/>
        <w:snapToGrid/>
        <w:rPr>
          <w:rFonts w:eastAsia="Times New Roman"/>
          <w:lang w:val="fr-FR"/>
        </w:rPr>
      </w:pPr>
      <w:r w:rsidRPr="008D6145">
        <w:rPr>
          <w:rFonts w:eastAsia="Times New Roman"/>
          <w:lang w:val="fr-FR"/>
        </w:rPr>
        <w:t>87.</w:t>
      </w:r>
      <w:r w:rsidRPr="008D6145">
        <w:rPr>
          <w:rFonts w:eastAsia="Times New Roman"/>
          <w:lang w:val="fr-FR"/>
        </w:rPr>
        <w:tab/>
      </w:r>
      <w:r w:rsidR="008D6145" w:rsidRPr="008D6145">
        <w:rPr>
          <w:rFonts w:eastAsia="Times New Roman"/>
          <w:lang w:val="fr-FR"/>
        </w:rPr>
        <w:t xml:space="preserve">Parmi les infections transmissibles, un accent particulier est mis sur la lutte contre le </w:t>
      </w:r>
      <w:r w:rsidR="00534938" w:rsidRPr="008D6145">
        <w:rPr>
          <w:rFonts w:eastAsia="Times New Roman"/>
          <w:lang w:val="fr-FR"/>
        </w:rPr>
        <w:t>sida</w:t>
      </w:r>
      <w:r w:rsidR="008D6145" w:rsidRPr="008D6145">
        <w:rPr>
          <w:rFonts w:eastAsia="Times New Roman"/>
          <w:lang w:val="fr-FR"/>
        </w:rPr>
        <w:t xml:space="preserve">. Le taux </w:t>
      </w:r>
      <w:r w:rsidR="009201FA">
        <w:rPr>
          <w:rFonts w:eastAsia="Times New Roman"/>
          <w:lang w:val="fr-FR"/>
        </w:rPr>
        <w:t>de prévalence du s</w:t>
      </w:r>
      <w:r w:rsidR="008D6145" w:rsidRPr="008D6145">
        <w:rPr>
          <w:rFonts w:eastAsia="Times New Roman"/>
          <w:lang w:val="fr-FR"/>
        </w:rPr>
        <w:t>ida obtenu à partir des sites sentinelles a atteint 2,16</w:t>
      </w:r>
      <w:r w:rsidR="006247FB">
        <w:rPr>
          <w:rFonts w:eastAsia="Times New Roman"/>
          <w:lang w:val="fr-FR"/>
        </w:rPr>
        <w:t> </w:t>
      </w:r>
      <w:r w:rsidR="008D6145" w:rsidRPr="008D6145">
        <w:rPr>
          <w:rFonts w:eastAsia="Times New Roman"/>
          <w:lang w:val="fr-FR"/>
        </w:rPr>
        <w:t>% en 2014 contre 1,9</w:t>
      </w:r>
      <w:r w:rsidR="006247FB">
        <w:rPr>
          <w:rFonts w:eastAsia="Times New Roman"/>
          <w:lang w:val="fr-FR"/>
        </w:rPr>
        <w:t> </w:t>
      </w:r>
      <w:r w:rsidR="008D6145" w:rsidRPr="008D6145">
        <w:rPr>
          <w:rFonts w:eastAsia="Times New Roman"/>
          <w:lang w:val="fr-FR"/>
        </w:rPr>
        <w:t>% en 2013 dans l</w:t>
      </w:r>
      <w:r w:rsidR="00A033A7">
        <w:rPr>
          <w:rFonts w:eastAsia="Times New Roman"/>
          <w:lang w:val="fr-FR"/>
        </w:rPr>
        <w:t>’</w:t>
      </w:r>
      <w:r w:rsidR="008D6145" w:rsidRPr="008D6145">
        <w:rPr>
          <w:rFonts w:eastAsia="Times New Roman"/>
          <w:lang w:val="fr-FR"/>
        </w:rPr>
        <w:t xml:space="preserve">ensemble du pays, avec une forte disparité selon le milieu de résidence. </w:t>
      </w:r>
      <w:bookmarkStart w:id="7" w:name="_Toc217466749"/>
      <w:r w:rsidR="008D6145" w:rsidRPr="008D6145">
        <w:rPr>
          <w:rFonts w:eastAsia="Times New Roman"/>
          <w:lang w:val="fr-FR"/>
        </w:rPr>
        <w:t>La prévalence du VIH est faible au Bénin, mais connait une augmentation avec une situation dans certains départements qui reste préoccupante, tels le Littoral (3,05</w:t>
      </w:r>
      <w:r w:rsidR="006247FB">
        <w:rPr>
          <w:rFonts w:eastAsia="Times New Roman"/>
          <w:lang w:val="fr-FR"/>
        </w:rPr>
        <w:t> </w:t>
      </w:r>
      <w:r w:rsidR="008D6145" w:rsidRPr="008D6145">
        <w:rPr>
          <w:rFonts w:eastAsia="Times New Roman"/>
          <w:lang w:val="fr-FR"/>
        </w:rPr>
        <w:t>%), l</w:t>
      </w:r>
      <w:r w:rsidR="00A033A7">
        <w:rPr>
          <w:rFonts w:eastAsia="Times New Roman"/>
          <w:lang w:val="fr-FR"/>
        </w:rPr>
        <w:t>’</w:t>
      </w:r>
      <w:r w:rsidR="008D6145" w:rsidRPr="008D6145">
        <w:rPr>
          <w:rFonts w:eastAsia="Times New Roman"/>
          <w:lang w:val="fr-FR"/>
        </w:rPr>
        <w:t>Atlantique (2,79</w:t>
      </w:r>
      <w:r w:rsidR="006247FB">
        <w:rPr>
          <w:rFonts w:eastAsia="Times New Roman"/>
          <w:lang w:val="fr-FR"/>
        </w:rPr>
        <w:t> </w:t>
      </w:r>
      <w:r w:rsidR="008D6145" w:rsidRPr="008D6145">
        <w:rPr>
          <w:rFonts w:eastAsia="Times New Roman"/>
          <w:lang w:val="fr-FR"/>
        </w:rPr>
        <w:t>%), le Mono (2,76</w:t>
      </w:r>
      <w:r w:rsidR="006247FB">
        <w:rPr>
          <w:rFonts w:eastAsia="Times New Roman"/>
          <w:lang w:val="fr-FR"/>
        </w:rPr>
        <w:t> </w:t>
      </w:r>
      <w:r w:rsidR="008D6145" w:rsidRPr="008D6145">
        <w:rPr>
          <w:rFonts w:eastAsia="Times New Roman"/>
          <w:lang w:val="fr-FR"/>
        </w:rPr>
        <w:t>%) et l</w:t>
      </w:r>
      <w:r w:rsidR="00A033A7">
        <w:rPr>
          <w:rFonts w:eastAsia="Times New Roman"/>
          <w:lang w:val="fr-FR"/>
        </w:rPr>
        <w:t>’</w:t>
      </w:r>
      <w:r w:rsidR="008D6145" w:rsidRPr="008D6145">
        <w:rPr>
          <w:rFonts w:eastAsia="Times New Roman"/>
          <w:lang w:val="fr-FR"/>
        </w:rPr>
        <w:t>Ouémé (2,72</w:t>
      </w:r>
      <w:r w:rsidR="006247FB">
        <w:rPr>
          <w:rFonts w:eastAsia="Times New Roman"/>
          <w:lang w:val="fr-FR"/>
        </w:rPr>
        <w:t> </w:t>
      </w:r>
      <w:r w:rsidR="008D6145" w:rsidRPr="008D6145">
        <w:rPr>
          <w:rFonts w:eastAsia="Times New Roman"/>
          <w:lang w:val="fr-FR"/>
        </w:rPr>
        <w:t>%).</w:t>
      </w:r>
      <w:bookmarkEnd w:id="7"/>
    </w:p>
    <w:p w:rsidR="008D6145" w:rsidRPr="008D6145" w:rsidRDefault="00534938" w:rsidP="00821D2B">
      <w:pPr>
        <w:pStyle w:val="H23G"/>
      </w:pPr>
      <w:r w:rsidRPr="00821D2B">
        <w:rPr>
          <w:b w:val="0"/>
          <w:bCs/>
        </w:rPr>
        <w:tab/>
      </w:r>
      <w:r w:rsidRPr="00821D2B">
        <w:rPr>
          <w:b w:val="0"/>
          <w:bCs/>
        </w:rPr>
        <w:tab/>
      </w:r>
      <w:r w:rsidR="008D6145" w:rsidRPr="00821D2B">
        <w:rPr>
          <w:b w:val="0"/>
          <w:bCs/>
        </w:rPr>
        <w:t xml:space="preserve">Tableau </w:t>
      </w:r>
      <w:r w:rsidRPr="00534938">
        <w:rPr>
          <w:rFonts w:eastAsia="Times New Roman"/>
          <w:b w:val="0"/>
          <w:bCs/>
          <w:lang w:val="fr-FR"/>
        </w:rPr>
        <w:t>n</w:t>
      </w:r>
      <w:r w:rsidRPr="00534938">
        <w:rPr>
          <w:rFonts w:eastAsia="Times New Roman"/>
          <w:b w:val="0"/>
          <w:bCs/>
          <w:vertAlign w:val="superscript"/>
          <w:lang w:val="fr-FR"/>
        </w:rPr>
        <w:t>o</w:t>
      </w:r>
      <w:r w:rsidRPr="00534938">
        <w:rPr>
          <w:rFonts w:eastAsia="Times New Roman"/>
          <w:b w:val="0"/>
          <w:bCs/>
          <w:lang w:val="fr-FR"/>
        </w:rPr>
        <w:t> </w:t>
      </w:r>
      <w:r w:rsidR="008D6145" w:rsidRPr="00821D2B">
        <w:rPr>
          <w:b w:val="0"/>
          <w:bCs/>
        </w:rPr>
        <w:t>7</w:t>
      </w:r>
      <w:r w:rsidR="008D6145" w:rsidRPr="00902DBD">
        <w:t xml:space="preserve"> </w:t>
      </w:r>
      <w:r w:rsidR="008D6145" w:rsidRPr="00902DBD">
        <w:br/>
      </w:r>
      <w:r w:rsidR="008D6145" w:rsidRPr="008D6145">
        <w:t>Prévalence du VIH par département en 2011, 2013 et 2014</w:t>
      </w:r>
    </w:p>
    <w:tbl>
      <w:tblPr>
        <w:tblW w:w="0" w:type="auto"/>
        <w:tblInd w:w="1134" w:type="dxa"/>
        <w:tblLayout w:type="fixed"/>
        <w:tblCellMar>
          <w:left w:w="0" w:type="dxa"/>
          <w:right w:w="0" w:type="dxa"/>
        </w:tblCellMar>
        <w:tblLook w:val="04A0" w:firstRow="1" w:lastRow="0" w:firstColumn="1" w:lastColumn="0" w:noHBand="0" w:noVBand="1"/>
      </w:tblPr>
      <w:tblGrid>
        <w:gridCol w:w="1361"/>
        <w:gridCol w:w="794"/>
        <w:gridCol w:w="794"/>
        <w:gridCol w:w="794"/>
        <w:gridCol w:w="794"/>
        <w:gridCol w:w="794"/>
        <w:gridCol w:w="794"/>
        <w:gridCol w:w="794"/>
        <w:gridCol w:w="794"/>
        <w:gridCol w:w="794"/>
      </w:tblGrid>
      <w:tr w:rsidR="00534938" w:rsidRPr="00534938" w:rsidTr="00821D2B">
        <w:trPr>
          <w:tblHeader/>
        </w:trPr>
        <w:tc>
          <w:tcPr>
            <w:tcW w:w="1361" w:type="dxa"/>
            <w:vMerge w:val="restart"/>
            <w:tcBorders>
              <w:top w:val="single" w:sz="4" w:space="0" w:color="auto"/>
              <w:bottom w:val="single" w:sz="12" w:space="0" w:color="auto"/>
            </w:tcBorders>
            <w:shd w:val="clear" w:color="auto" w:fill="auto"/>
            <w:noWrap/>
            <w:vAlign w:val="bottom"/>
            <w:hideMark/>
          </w:tcPr>
          <w:p w:rsidR="008D6145" w:rsidRPr="00821D2B" w:rsidRDefault="008D6145">
            <w:pPr>
              <w:suppressAutoHyphens w:val="0"/>
              <w:kinsoku/>
              <w:overflowPunct/>
              <w:autoSpaceDE/>
              <w:autoSpaceDN/>
              <w:adjustRightInd/>
              <w:snapToGrid/>
              <w:spacing w:before="80" w:after="80" w:line="200" w:lineRule="exact"/>
              <w:rPr>
                <w:rFonts w:eastAsia="Times New Roman"/>
                <w:bCs/>
                <w:i/>
                <w:sz w:val="16"/>
                <w:szCs w:val="16"/>
              </w:rPr>
            </w:pPr>
            <w:r w:rsidRPr="00821D2B">
              <w:rPr>
                <w:rFonts w:eastAsia="Times New Roman"/>
                <w:bCs/>
                <w:i/>
                <w:sz w:val="16"/>
                <w:szCs w:val="16"/>
              </w:rPr>
              <w:t>Départements</w:t>
            </w:r>
          </w:p>
        </w:tc>
        <w:tc>
          <w:tcPr>
            <w:tcW w:w="794" w:type="dxa"/>
            <w:gridSpan w:val="3"/>
            <w:tcBorders>
              <w:top w:val="single" w:sz="4" w:space="0" w:color="auto"/>
              <w:bottom w:val="single" w:sz="4" w:space="0" w:color="auto"/>
              <w:right w:val="single" w:sz="24" w:space="0" w:color="FFFFFF" w:themeColor="background1"/>
            </w:tcBorders>
            <w:shd w:val="clear" w:color="auto" w:fill="auto"/>
            <w:vAlign w:val="bottom"/>
            <w:hideMark/>
          </w:tcPr>
          <w:p w:rsidR="008D6145" w:rsidRPr="00821D2B" w:rsidRDefault="008D6145" w:rsidP="00821D2B">
            <w:pPr>
              <w:suppressAutoHyphens w:val="0"/>
              <w:kinsoku/>
              <w:overflowPunct/>
              <w:autoSpaceDE/>
              <w:autoSpaceDN/>
              <w:adjustRightInd/>
              <w:snapToGrid/>
              <w:spacing w:before="80" w:after="80" w:line="200" w:lineRule="exact"/>
              <w:jc w:val="center"/>
              <w:rPr>
                <w:rFonts w:eastAsia="Times New Roman"/>
                <w:bCs/>
                <w:i/>
                <w:sz w:val="16"/>
                <w:szCs w:val="16"/>
              </w:rPr>
            </w:pPr>
            <w:r w:rsidRPr="00821D2B">
              <w:rPr>
                <w:rFonts w:eastAsia="Times New Roman"/>
                <w:bCs/>
                <w:i/>
                <w:sz w:val="16"/>
                <w:szCs w:val="16"/>
              </w:rPr>
              <w:t>2011</w:t>
            </w:r>
          </w:p>
        </w:tc>
        <w:tc>
          <w:tcPr>
            <w:tcW w:w="794" w:type="dxa"/>
            <w:gridSpan w:val="3"/>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hideMark/>
          </w:tcPr>
          <w:p w:rsidR="008D6145" w:rsidRPr="00821D2B" w:rsidRDefault="008D6145" w:rsidP="00821D2B">
            <w:pPr>
              <w:suppressAutoHyphens w:val="0"/>
              <w:kinsoku/>
              <w:overflowPunct/>
              <w:autoSpaceDE/>
              <w:autoSpaceDN/>
              <w:adjustRightInd/>
              <w:snapToGrid/>
              <w:spacing w:before="80" w:after="80" w:line="200" w:lineRule="exact"/>
              <w:jc w:val="center"/>
              <w:rPr>
                <w:rFonts w:eastAsia="Times New Roman"/>
                <w:bCs/>
                <w:i/>
                <w:sz w:val="16"/>
                <w:szCs w:val="16"/>
              </w:rPr>
            </w:pPr>
            <w:r w:rsidRPr="00821D2B">
              <w:rPr>
                <w:rFonts w:eastAsia="Times New Roman"/>
                <w:bCs/>
                <w:i/>
                <w:sz w:val="16"/>
                <w:szCs w:val="16"/>
              </w:rPr>
              <w:t>2013</w:t>
            </w:r>
          </w:p>
        </w:tc>
        <w:tc>
          <w:tcPr>
            <w:tcW w:w="794" w:type="dxa"/>
            <w:gridSpan w:val="3"/>
            <w:tcBorders>
              <w:top w:val="single" w:sz="4" w:space="0" w:color="auto"/>
              <w:left w:val="single" w:sz="24" w:space="0" w:color="FFFFFF" w:themeColor="background1"/>
              <w:bottom w:val="single" w:sz="4" w:space="0" w:color="auto"/>
            </w:tcBorders>
            <w:shd w:val="clear" w:color="auto" w:fill="auto"/>
            <w:vAlign w:val="bottom"/>
            <w:hideMark/>
          </w:tcPr>
          <w:p w:rsidR="008D6145" w:rsidRPr="00821D2B" w:rsidRDefault="008D6145" w:rsidP="00821D2B">
            <w:pPr>
              <w:suppressAutoHyphens w:val="0"/>
              <w:kinsoku/>
              <w:overflowPunct/>
              <w:autoSpaceDE/>
              <w:autoSpaceDN/>
              <w:adjustRightInd/>
              <w:snapToGrid/>
              <w:spacing w:before="80" w:after="80" w:line="200" w:lineRule="exact"/>
              <w:jc w:val="center"/>
              <w:rPr>
                <w:rFonts w:eastAsia="Times New Roman"/>
                <w:bCs/>
                <w:i/>
                <w:sz w:val="16"/>
                <w:szCs w:val="16"/>
              </w:rPr>
            </w:pPr>
            <w:r w:rsidRPr="00821D2B">
              <w:rPr>
                <w:rFonts w:eastAsia="Times New Roman"/>
                <w:bCs/>
                <w:i/>
                <w:sz w:val="16"/>
                <w:szCs w:val="16"/>
              </w:rPr>
              <w:t>2014</w:t>
            </w:r>
          </w:p>
        </w:tc>
      </w:tr>
      <w:tr w:rsidR="00534938" w:rsidRPr="00534938" w:rsidTr="00821D2B">
        <w:trPr>
          <w:tblHeader/>
        </w:trPr>
        <w:tc>
          <w:tcPr>
            <w:tcW w:w="1361" w:type="dxa"/>
            <w:vMerge/>
            <w:tcBorders>
              <w:top w:val="single" w:sz="12" w:space="0" w:color="auto"/>
              <w:bottom w:val="single" w:sz="12" w:space="0" w:color="auto"/>
            </w:tcBorders>
            <w:shd w:val="clear" w:color="auto" w:fill="auto"/>
            <w:vAlign w:val="bottom"/>
            <w:hideMark/>
          </w:tcPr>
          <w:p w:rsidR="008D6145" w:rsidRPr="00821D2B" w:rsidRDefault="008D6145" w:rsidP="00821D2B">
            <w:pPr>
              <w:suppressAutoHyphens w:val="0"/>
              <w:kinsoku/>
              <w:overflowPunct/>
              <w:autoSpaceDE/>
              <w:autoSpaceDN/>
              <w:adjustRightInd/>
              <w:snapToGrid/>
              <w:spacing w:before="80" w:after="80" w:line="200" w:lineRule="exact"/>
              <w:rPr>
                <w:rFonts w:eastAsia="Times New Roman"/>
                <w:bCs/>
                <w:i/>
                <w:sz w:val="16"/>
                <w:szCs w:val="16"/>
              </w:rPr>
            </w:pPr>
          </w:p>
        </w:tc>
        <w:tc>
          <w:tcPr>
            <w:tcW w:w="794" w:type="dxa"/>
            <w:tcBorders>
              <w:top w:val="single" w:sz="4" w:space="0" w:color="auto"/>
              <w:bottom w:val="single" w:sz="12" w:space="0" w:color="auto"/>
            </w:tcBorders>
            <w:shd w:val="clear" w:color="auto" w:fill="auto"/>
            <w:vAlign w:val="bottom"/>
            <w:hideMark/>
          </w:tcPr>
          <w:p w:rsidR="008D6145" w:rsidRPr="00821D2B" w:rsidRDefault="008D6145" w:rsidP="00821D2B">
            <w:pPr>
              <w:suppressAutoHyphens w:val="0"/>
              <w:kinsoku/>
              <w:overflowPunct/>
              <w:autoSpaceDE/>
              <w:autoSpaceDN/>
              <w:adjustRightInd/>
              <w:snapToGrid/>
              <w:spacing w:before="80" w:after="80" w:line="200" w:lineRule="exact"/>
              <w:jc w:val="right"/>
              <w:rPr>
                <w:rFonts w:eastAsia="Times New Roman"/>
                <w:bCs/>
                <w:i/>
                <w:sz w:val="16"/>
                <w:szCs w:val="16"/>
              </w:rPr>
            </w:pPr>
            <w:r w:rsidRPr="00821D2B">
              <w:rPr>
                <w:rFonts w:eastAsia="Times New Roman"/>
                <w:bCs/>
                <w:i/>
                <w:sz w:val="16"/>
                <w:szCs w:val="16"/>
              </w:rPr>
              <w:t>Urbain</w:t>
            </w:r>
          </w:p>
        </w:tc>
        <w:tc>
          <w:tcPr>
            <w:tcW w:w="794" w:type="dxa"/>
            <w:tcBorders>
              <w:top w:val="single" w:sz="4" w:space="0" w:color="auto"/>
              <w:bottom w:val="single" w:sz="12" w:space="0" w:color="auto"/>
            </w:tcBorders>
            <w:shd w:val="clear" w:color="auto" w:fill="auto"/>
            <w:vAlign w:val="bottom"/>
            <w:hideMark/>
          </w:tcPr>
          <w:p w:rsidR="008D6145" w:rsidRPr="00821D2B" w:rsidRDefault="008D6145" w:rsidP="00821D2B">
            <w:pPr>
              <w:suppressAutoHyphens w:val="0"/>
              <w:kinsoku/>
              <w:overflowPunct/>
              <w:autoSpaceDE/>
              <w:autoSpaceDN/>
              <w:adjustRightInd/>
              <w:snapToGrid/>
              <w:spacing w:before="80" w:after="80" w:line="200" w:lineRule="exact"/>
              <w:jc w:val="right"/>
              <w:rPr>
                <w:rFonts w:eastAsia="Times New Roman"/>
                <w:bCs/>
                <w:i/>
                <w:sz w:val="16"/>
                <w:szCs w:val="16"/>
              </w:rPr>
            </w:pPr>
            <w:r w:rsidRPr="00821D2B">
              <w:rPr>
                <w:rFonts w:eastAsia="Times New Roman"/>
                <w:bCs/>
                <w:i/>
                <w:sz w:val="16"/>
                <w:szCs w:val="16"/>
              </w:rPr>
              <w:t>Rural</w:t>
            </w:r>
          </w:p>
        </w:tc>
        <w:tc>
          <w:tcPr>
            <w:tcW w:w="794" w:type="dxa"/>
            <w:tcBorders>
              <w:top w:val="single" w:sz="4" w:space="0" w:color="auto"/>
              <w:bottom w:val="single" w:sz="12" w:space="0" w:color="auto"/>
              <w:right w:val="single" w:sz="24" w:space="0" w:color="FFFFFF" w:themeColor="background1"/>
            </w:tcBorders>
            <w:shd w:val="clear" w:color="auto" w:fill="auto"/>
            <w:vAlign w:val="bottom"/>
            <w:hideMark/>
          </w:tcPr>
          <w:p w:rsidR="008D6145" w:rsidRPr="00821D2B" w:rsidRDefault="008D6145" w:rsidP="00821D2B">
            <w:pPr>
              <w:suppressAutoHyphens w:val="0"/>
              <w:kinsoku/>
              <w:overflowPunct/>
              <w:autoSpaceDE/>
              <w:autoSpaceDN/>
              <w:adjustRightInd/>
              <w:snapToGrid/>
              <w:spacing w:before="80" w:after="80" w:line="200" w:lineRule="exact"/>
              <w:jc w:val="right"/>
              <w:rPr>
                <w:rFonts w:eastAsia="Times New Roman"/>
                <w:bCs/>
                <w:i/>
                <w:sz w:val="16"/>
                <w:szCs w:val="16"/>
              </w:rPr>
            </w:pPr>
            <w:r w:rsidRPr="00821D2B">
              <w:rPr>
                <w:rFonts w:eastAsia="Times New Roman"/>
                <w:bCs/>
                <w:i/>
                <w:sz w:val="16"/>
                <w:szCs w:val="16"/>
              </w:rPr>
              <w:t>Ensemble</w:t>
            </w:r>
          </w:p>
        </w:tc>
        <w:tc>
          <w:tcPr>
            <w:tcW w:w="794" w:type="dxa"/>
            <w:tcBorders>
              <w:top w:val="single" w:sz="4" w:space="0" w:color="auto"/>
              <w:left w:val="single" w:sz="24" w:space="0" w:color="FFFFFF" w:themeColor="background1"/>
              <w:bottom w:val="single" w:sz="12" w:space="0" w:color="auto"/>
            </w:tcBorders>
            <w:shd w:val="clear" w:color="auto" w:fill="auto"/>
            <w:vAlign w:val="bottom"/>
            <w:hideMark/>
          </w:tcPr>
          <w:p w:rsidR="008D6145" w:rsidRPr="00821D2B" w:rsidRDefault="008D6145" w:rsidP="00821D2B">
            <w:pPr>
              <w:suppressAutoHyphens w:val="0"/>
              <w:kinsoku/>
              <w:overflowPunct/>
              <w:autoSpaceDE/>
              <w:autoSpaceDN/>
              <w:adjustRightInd/>
              <w:snapToGrid/>
              <w:spacing w:before="80" w:after="80" w:line="200" w:lineRule="exact"/>
              <w:jc w:val="right"/>
              <w:rPr>
                <w:rFonts w:eastAsia="Times New Roman"/>
                <w:bCs/>
                <w:i/>
                <w:sz w:val="16"/>
                <w:szCs w:val="16"/>
              </w:rPr>
            </w:pPr>
            <w:r w:rsidRPr="00821D2B">
              <w:rPr>
                <w:rFonts w:eastAsia="Times New Roman"/>
                <w:bCs/>
                <w:i/>
                <w:sz w:val="16"/>
                <w:szCs w:val="16"/>
              </w:rPr>
              <w:t>Urbain</w:t>
            </w:r>
          </w:p>
        </w:tc>
        <w:tc>
          <w:tcPr>
            <w:tcW w:w="794" w:type="dxa"/>
            <w:tcBorders>
              <w:top w:val="single" w:sz="4" w:space="0" w:color="auto"/>
              <w:bottom w:val="single" w:sz="12" w:space="0" w:color="auto"/>
            </w:tcBorders>
            <w:shd w:val="clear" w:color="auto" w:fill="auto"/>
            <w:vAlign w:val="bottom"/>
            <w:hideMark/>
          </w:tcPr>
          <w:p w:rsidR="008D6145" w:rsidRPr="00821D2B" w:rsidRDefault="008D6145" w:rsidP="00821D2B">
            <w:pPr>
              <w:suppressAutoHyphens w:val="0"/>
              <w:kinsoku/>
              <w:overflowPunct/>
              <w:autoSpaceDE/>
              <w:autoSpaceDN/>
              <w:adjustRightInd/>
              <w:snapToGrid/>
              <w:spacing w:before="80" w:after="80" w:line="200" w:lineRule="exact"/>
              <w:jc w:val="right"/>
              <w:rPr>
                <w:rFonts w:eastAsia="Times New Roman"/>
                <w:bCs/>
                <w:i/>
                <w:sz w:val="16"/>
                <w:szCs w:val="16"/>
              </w:rPr>
            </w:pPr>
            <w:r w:rsidRPr="00821D2B">
              <w:rPr>
                <w:rFonts w:eastAsia="Times New Roman"/>
                <w:bCs/>
                <w:i/>
                <w:sz w:val="16"/>
                <w:szCs w:val="16"/>
              </w:rPr>
              <w:t>Rural</w:t>
            </w:r>
          </w:p>
        </w:tc>
        <w:tc>
          <w:tcPr>
            <w:tcW w:w="794" w:type="dxa"/>
            <w:tcBorders>
              <w:top w:val="single" w:sz="4" w:space="0" w:color="auto"/>
              <w:bottom w:val="single" w:sz="12" w:space="0" w:color="auto"/>
              <w:right w:val="single" w:sz="24" w:space="0" w:color="FFFFFF" w:themeColor="background1"/>
            </w:tcBorders>
            <w:shd w:val="clear" w:color="auto" w:fill="auto"/>
            <w:vAlign w:val="bottom"/>
            <w:hideMark/>
          </w:tcPr>
          <w:p w:rsidR="008D6145" w:rsidRPr="00821D2B" w:rsidRDefault="008D6145" w:rsidP="00821D2B">
            <w:pPr>
              <w:suppressAutoHyphens w:val="0"/>
              <w:kinsoku/>
              <w:overflowPunct/>
              <w:autoSpaceDE/>
              <w:autoSpaceDN/>
              <w:adjustRightInd/>
              <w:snapToGrid/>
              <w:spacing w:before="80" w:after="80" w:line="200" w:lineRule="exact"/>
              <w:jc w:val="right"/>
              <w:rPr>
                <w:rFonts w:eastAsia="Times New Roman"/>
                <w:bCs/>
                <w:i/>
                <w:sz w:val="16"/>
                <w:szCs w:val="16"/>
              </w:rPr>
            </w:pPr>
            <w:r w:rsidRPr="00821D2B">
              <w:rPr>
                <w:rFonts w:eastAsia="Times New Roman"/>
                <w:bCs/>
                <w:i/>
                <w:sz w:val="16"/>
                <w:szCs w:val="16"/>
              </w:rPr>
              <w:t>Ensemble</w:t>
            </w:r>
          </w:p>
        </w:tc>
        <w:tc>
          <w:tcPr>
            <w:tcW w:w="794" w:type="dxa"/>
            <w:tcBorders>
              <w:top w:val="single" w:sz="4" w:space="0" w:color="auto"/>
              <w:left w:val="single" w:sz="24" w:space="0" w:color="FFFFFF" w:themeColor="background1"/>
              <w:bottom w:val="single" w:sz="12" w:space="0" w:color="auto"/>
            </w:tcBorders>
            <w:shd w:val="clear" w:color="auto" w:fill="auto"/>
            <w:vAlign w:val="bottom"/>
            <w:hideMark/>
          </w:tcPr>
          <w:p w:rsidR="008D6145" w:rsidRPr="00821D2B" w:rsidRDefault="008D6145" w:rsidP="00821D2B">
            <w:pPr>
              <w:suppressAutoHyphens w:val="0"/>
              <w:kinsoku/>
              <w:overflowPunct/>
              <w:autoSpaceDE/>
              <w:autoSpaceDN/>
              <w:adjustRightInd/>
              <w:snapToGrid/>
              <w:spacing w:before="80" w:after="80" w:line="200" w:lineRule="exact"/>
              <w:jc w:val="right"/>
              <w:rPr>
                <w:rFonts w:eastAsia="Times New Roman"/>
                <w:bCs/>
                <w:i/>
                <w:sz w:val="16"/>
                <w:szCs w:val="16"/>
              </w:rPr>
            </w:pPr>
            <w:r w:rsidRPr="00821D2B">
              <w:rPr>
                <w:rFonts w:eastAsia="Times New Roman"/>
                <w:bCs/>
                <w:i/>
                <w:sz w:val="16"/>
                <w:szCs w:val="16"/>
              </w:rPr>
              <w:t>Urbain</w:t>
            </w:r>
          </w:p>
        </w:tc>
        <w:tc>
          <w:tcPr>
            <w:tcW w:w="794" w:type="dxa"/>
            <w:tcBorders>
              <w:top w:val="single" w:sz="4" w:space="0" w:color="auto"/>
              <w:bottom w:val="single" w:sz="12" w:space="0" w:color="auto"/>
            </w:tcBorders>
            <w:shd w:val="clear" w:color="auto" w:fill="auto"/>
            <w:vAlign w:val="bottom"/>
            <w:hideMark/>
          </w:tcPr>
          <w:p w:rsidR="008D6145" w:rsidRPr="00821D2B" w:rsidRDefault="008D6145" w:rsidP="00821D2B">
            <w:pPr>
              <w:suppressAutoHyphens w:val="0"/>
              <w:kinsoku/>
              <w:overflowPunct/>
              <w:autoSpaceDE/>
              <w:autoSpaceDN/>
              <w:adjustRightInd/>
              <w:snapToGrid/>
              <w:spacing w:before="80" w:after="80" w:line="200" w:lineRule="exact"/>
              <w:jc w:val="right"/>
              <w:rPr>
                <w:rFonts w:eastAsia="Times New Roman"/>
                <w:bCs/>
                <w:i/>
                <w:sz w:val="16"/>
                <w:szCs w:val="16"/>
              </w:rPr>
            </w:pPr>
            <w:r w:rsidRPr="00821D2B">
              <w:rPr>
                <w:rFonts w:eastAsia="Times New Roman"/>
                <w:bCs/>
                <w:i/>
                <w:sz w:val="16"/>
                <w:szCs w:val="16"/>
              </w:rPr>
              <w:t>Rural</w:t>
            </w:r>
          </w:p>
        </w:tc>
        <w:tc>
          <w:tcPr>
            <w:tcW w:w="794" w:type="dxa"/>
            <w:tcBorders>
              <w:top w:val="single" w:sz="4" w:space="0" w:color="auto"/>
              <w:bottom w:val="single" w:sz="12" w:space="0" w:color="auto"/>
            </w:tcBorders>
            <w:shd w:val="clear" w:color="auto" w:fill="auto"/>
            <w:vAlign w:val="bottom"/>
            <w:hideMark/>
          </w:tcPr>
          <w:p w:rsidR="008D6145" w:rsidRPr="00821D2B" w:rsidRDefault="008D6145" w:rsidP="00821D2B">
            <w:pPr>
              <w:suppressAutoHyphens w:val="0"/>
              <w:kinsoku/>
              <w:overflowPunct/>
              <w:autoSpaceDE/>
              <w:autoSpaceDN/>
              <w:adjustRightInd/>
              <w:snapToGrid/>
              <w:spacing w:before="80" w:after="80" w:line="200" w:lineRule="exact"/>
              <w:jc w:val="right"/>
              <w:rPr>
                <w:rFonts w:eastAsia="Times New Roman"/>
                <w:bCs/>
                <w:i/>
                <w:sz w:val="16"/>
                <w:szCs w:val="16"/>
              </w:rPr>
            </w:pPr>
            <w:r w:rsidRPr="00821D2B">
              <w:rPr>
                <w:rFonts w:eastAsia="Times New Roman"/>
                <w:bCs/>
                <w:i/>
                <w:sz w:val="16"/>
                <w:szCs w:val="16"/>
              </w:rPr>
              <w:t>Ensemble</w:t>
            </w:r>
          </w:p>
        </w:tc>
      </w:tr>
      <w:tr w:rsidR="00284B8E" w:rsidRPr="00534938" w:rsidTr="00284B8E">
        <w:tc>
          <w:tcPr>
            <w:tcW w:w="1361" w:type="dxa"/>
            <w:tcBorders>
              <w:top w:val="single" w:sz="12" w:space="0" w:color="auto"/>
            </w:tcBorders>
            <w:shd w:val="clear" w:color="auto" w:fill="auto"/>
            <w:noWrap/>
            <w:hideMark/>
          </w:tcPr>
          <w:p w:rsidR="008D6145" w:rsidRPr="00534938" w:rsidRDefault="008D6145">
            <w:pPr>
              <w:suppressAutoHyphens w:val="0"/>
              <w:kinsoku/>
              <w:overflowPunct/>
              <w:autoSpaceDE/>
              <w:autoSpaceDN/>
              <w:adjustRightInd/>
              <w:snapToGrid/>
              <w:spacing w:before="40" w:after="40" w:line="220" w:lineRule="exact"/>
              <w:rPr>
                <w:rFonts w:eastAsia="Times New Roman"/>
                <w:sz w:val="18"/>
                <w:szCs w:val="28"/>
              </w:rPr>
            </w:pPr>
            <w:r w:rsidRPr="00534938">
              <w:rPr>
                <w:rFonts w:eastAsia="Times New Roman"/>
                <w:sz w:val="18"/>
                <w:szCs w:val="28"/>
              </w:rPr>
              <w:t>Alibori</w:t>
            </w:r>
          </w:p>
        </w:tc>
        <w:tc>
          <w:tcPr>
            <w:tcW w:w="794" w:type="dxa"/>
            <w:tcBorders>
              <w:top w:val="single" w:sz="12" w:space="0" w:color="auto"/>
            </w:tcBorders>
            <w:shd w:val="clear" w:color="auto" w:fill="auto"/>
            <w:vAlign w:val="bottom"/>
            <w:hideMark/>
          </w:tcPr>
          <w:p w:rsidR="008D6145" w:rsidRPr="00534938" w:rsidRDefault="008D6145">
            <w:pPr>
              <w:suppressAutoHyphens w:val="0"/>
              <w:kinsoku/>
              <w:overflowPunct/>
              <w:autoSpaceDE/>
              <w:autoSpaceDN/>
              <w:adjustRightInd/>
              <w:snapToGrid/>
              <w:spacing w:before="40" w:after="40" w:line="220" w:lineRule="exact"/>
              <w:jc w:val="right"/>
              <w:rPr>
                <w:rFonts w:eastAsia="Times New Roman"/>
                <w:sz w:val="18"/>
                <w:szCs w:val="28"/>
              </w:rPr>
            </w:pPr>
            <w:r w:rsidRPr="00534938">
              <w:rPr>
                <w:rFonts w:eastAsia="Times New Roman"/>
                <w:sz w:val="18"/>
                <w:szCs w:val="28"/>
              </w:rPr>
              <w:t>0,8</w:t>
            </w:r>
          </w:p>
        </w:tc>
        <w:tc>
          <w:tcPr>
            <w:tcW w:w="794" w:type="dxa"/>
            <w:tcBorders>
              <w:top w:val="single" w:sz="12" w:space="0" w:color="auto"/>
            </w:tcBorders>
            <w:shd w:val="clear" w:color="auto" w:fill="auto"/>
            <w:vAlign w:val="bottom"/>
            <w:hideMark/>
          </w:tcPr>
          <w:p w:rsidR="008D6145" w:rsidRPr="00534938" w:rsidRDefault="008D6145">
            <w:pPr>
              <w:suppressAutoHyphens w:val="0"/>
              <w:kinsoku/>
              <w:overflowPunct/>
              <w:autoSpaceDE/>
              <w:autoSpaceDN/>
              <w:adjustRightInd/>
              <w:snapToGrid/>
              <w:spacing w:before="40" w:after="40" w:line="220" w:lineRule="exact"/>
              <w:jc w:val="right"/>
              <w:rPr>
                <w:rFonts w:eastAsia="Times New Roman"/>
                <w:sz w:val="18"/>
                <w:szCs w:val="28"/>
              </w:rPr>
            </w:pPr>
            <w:r w:rsidRPr="00534938">
              <w:rPr>
                <w:rFonts w:eastAsia="Times New Roman"/>
                <w:sz w:val="18"/>
                <w:szCs w:val="28"/>
              </w:rPr>
              <w:t>0,8</w:t>
            </w:r>
          </w:p>
        </w:tc>
        <w:tc>
          <w:tcPr>
            <w:tcW w:w="794" w:type="dxa"/>
            <w:tcBorders>
              <w:top w:val="single" w:sz="12" w:space="0" w:color="auto"/>
            </w:tcBorders>
            <w:shd w:val="clear" w:color="auto" w:fill="auto"/>
            <w:vAlign w:val="bottom"/>
            <w:hideMark/>
          </w:tcPr>
          <w:p w:rsidR="008D6145" w:rsidRPr="00534938" w:rsidRDefault="008D6145">
            <w:pPr>
              <w:suppressAutoHyphens w:val="0"/>
              <w:kinsoku/>
              <w:overflowPunct/>
              <w:autoSpaceDE/>
              <w:autoSpaceDN/>
              <w:adjustRightInd/>
              <w:snapToGrid/>
              <w:spacing w:before="40" w:after="40" w:line="220" w:lineRule="exact"/>
              <w:jc w:val="right"/>
              <w:rPr>
                <w:rFonts w:eastAsia="Times New Roman"/>
                <w:sz w:val="18"/>
                <w:szCs w:val="28"/>
              </w:rPr>
            </w:pPr>
            <w:r w:rsidRPr="00534938">
              <w:rPr>
                <w:rFonts w:eastAsia="Times New Roman"/>
                <w:sz w:val="18"/>
                <w:szCs w:val="28"/>
              </w:rPr>
              <w:t>0,8</w:t>
            </w:r>
          </w:p>
        </w:tc>
        <w:tc>
          <w:tcPr>
            <w:tcW w:w="794" w:type="dxa"/>
            <w:tcBorders>
              <w:top w:val="single" w:sz="12" w:space="0" w:color="auto"/>
            </w:tcBorders>
            <w:shd w:val="clear" w:color="auto" w:fill="auto"/>
            <w:noWrap/>
            <w:vAlign w:val="bottom"/>
            <w:hideMark/>
          </w:tcPr>
          <w:p w:rsidR="008D6145" w:rsidRPr="00534938" w:rsidRDefault="008D6145">
            <w:pPr>
              <w:suppressAutoHyphens w:val="0"/>
              <w:kinsoku/>
              <w:overflowPunct/>
              <w:autoSpaceDE/>
              <w:autoSpaceDN/>
              <w:adjustRightInd/>
              <w:snapToGrid/>
              <w:spacing w:before="40" w:after="40" w:line="220" w:lineRule="exact"/>
              <w:jc w:val="right"/>
              <w:rPr>
                <w:rFonts w:eastAsia="Times New Roman"/>
                <w:sz w:val="18"/>
                <w:szCs w:val="28"/>
              </w:rPr>
            </w:pPr>
            <w:r w:rsidRPr="00534938">
              <w:rPr>
                <w:rFonts w:eastAsia="Times New Roman"/>
                <w:sz w:val="18"/>
                <w:szCs w:val="28"/>
              </w:rPr>
              <w:t>1</w:t>
            </w:r>
          </w:p>
        </w:tc>
        <w:tc>
          <w:tcPr>
            <w:tcW w:w="794" w:type="dxa"/>
            <w:tcBorders>
              <w:top w:val="single" w:sz="12" w:space="0" w:color="auto"/>
            </w:tcBorders>
            <w:shd w:val="clear" w:color="auto" w:fill="auto"/>
            <w:noWrap/>
            <w:vAlign w:val="bottom"/>
            <w:hideMark/>
          </w:tcPr>
          <w:p w:rsidR="008D6145" w:rsidRPr="00534938" w:rsidRDefault="008D6145">
            <w:pPr>
              <w:suppressAutoHyphens w:val="0"/>
              <w:kinsoku/>
              <w:overflowPunct/>
              <w:autoSpaceDE/>
              <w:autoSpaceDN/>
              <w:adjustRightInd/>
              <w:snapToGrid/>
              <w:spacing w:before="40" w:after="40" w:line="220" w:lineRule="exact"/>
              <w:jc w:val="right"/>
              <w:rPr>
                <w:rFonts w:eastAsia="Times New Roman"/>
                <w:sz w:val="18"/>
                <w:szCs w:val="28"/>
              </w:rPr>
            </w:pPr>
            <w:r w:rsidRPr="00534938">
              <w:rPr>
                <w:rFonts w:eastAsia="Times New Roman"/>
                <w:sz w:val="18"/>
                <w:szCs w:val="28"/>
              </w:rPr>
              <w:t>0,6</w:t>
            </w:r>
          </w:p>
        </w:tc>
        <w:tc>
          <w:tcPr>
            <w:tcW w:w="794" w:type="dxa"/>
            <w:tcBorders>
              <w:top w:val="single" w:sz="12" w:space="0" w:color="auto"/>
            </w:tcBorders>
            <w:shd w:val="clear" w:color="auto" w:fill="auto"/>
            <w:vAlign w:val="bottom"/>
            <w:hideMark/>
          </w:tcPr>
          <w:p w:rsidR="008D6145" w:rsidRPr="00534938" w:rsidRDefault="008D6145">
            <w:pPr>
              <w:suppressAutoHyphens w:val="0"/>
              <w:kinsoku/>
              <w:overflowPunct/>
              <w:autoSpaceDE/>
              <w:autoSpaceDN/>
              <w:adjustRightInd/>
              <w:snapToGrid/>
              <w:spacing w:before="40" w:after="40" w:line="220" w:lineRule="exact"/>
              <w:jc w:val="right"/>
              <w:rPr>
                <w:rFonts w:eastAsia="Times New Roman"/>
                <w:sz w:val="18"/>
                <w:szCs w:val="28"/>
              </w:rPr>
            </w:pPr>
            <w:r w:rsidRPr="00534938">
              <w:rPr>
                <w:rFonts w:eastAsia="Times New Roman"/>
                <w:sz w:val="18"/>
                <w:szCs w:val="28"/>
              </w:rPr>
              <w:t>0,77</w:t>
            </w:r>
          </w:p>
        </w:tc>
        <w:tc>
          <w:tcPr>
            <w:tcW w:w="794" w:type="dxa"/>
            <w:tcBorders>
              <w:top w:val="single" w:sz="12" w:space="0" w:color="auto"/>
            </w:tcBorders>
            <w:shd w:val="clear" w:color="auto" w:fill="auto"/>
            <w:noWrap/>
            <w:vAlign w:val="bottom"/>
            <w:hideMark/>
          </w:tcPr>
          <w:p w:rsidR="008D6145" w:rsidRPr="00534938" w:rsidRDefault="008D6145">
            <w:pPr>
              <w:suppressAutoHyphens w:val="0"/>
              <w:kinsoku/>
              <w:overflowPunct/>
              <w:autoSpaceDE/>
              <w:autoSpaceDN/>
              <w:adjustRightInd/>
              <w:snapToGrid/>
              <w:spacing w:before="40" w:after="40" w:line="220" w:lineRule="exact"/>
              <w:jc w:val="right"/>
              <w:rPr>
                <w:rFonts w:eastAsia="Times New Roman"/>
                <w:sz w:val="18"/>
                <w:szCs w:val="28"/>
              </w:rPr>
            </w:pPr>
            <w:r w:rsidRPr="00534938">
              <w:rPr>
                <w:rFonts w:eastAsia="Times New Roman"/>
                <w:sz w:val="18"/>
                <w:szCs w:val="28"/>
              </w:rPr>
              <w:t>1</w:t>
            </w:r>
          </w:p>
        </w:tc>
        <w:tc>
          <w:tcPr>
            <w:tcW w:w="794" w:type="dxa"/>
            <w:tcBorders>
              <w:top w:val="single" w:sz="12" w:space="0" w:color="auto"/>
            </w:tcBorders>
            <w:shd w:val="clear" w:color="auto" w:fill="auto"/>
            <w:noWrap/>
            <w:vAlign w:val="bottom"/>
            <w:hideMark/>
          </w:tcPr>
          <w:p w:rsidR="008D6145" w:rsidRPr="00534938" w:rsidRDefault="008D6145">
            <w:pPr>
              <w:suppressAutoHyphens w:val="0"/>
              <w:kinsoku/>
              <w:overflowPunct/>
              <w:autoSpaceDE/>
              <w:autoSpaceDN/>
              <w:adjustRightInd/>
              <w:snapToGrid/>
              <w:spacing w:before="40" w:after="40" w:line="220" w:lineRule="exact"/>
              <w:jc w:val="right"/>
              <w:rPr>
                <w:rFonts w:eastAsia="Times New Roman"/>
                <w:sz w:val="18"/>
                <w:szCs w:val="28"/>
              </w:rPr>
            </w:pPr>
            <w:r w:rsidRPr="00534938">
              <w:rPr>
                <w:rFonts w:eastAsia="Times New Roman"/>
                <w:sz w:val="18"/>
                <w:szCs w:val="28"/>
              </w:rPr>
              <w:t>0,6</w:t>
            </w:r>
          </w:p>
        </w:tc>
        <w:tc>
          <w:tcPr>
            <w:tcW w:w="794" w:type="dxa"/>
            <w:tcBorders>
              <w:top w:val="single" w:sz="12" w:space="0" w:color="auto"/>
            </w:tcBorders>
            <w:shd w:val="clear" w:color="auto" w:fill="auto"/>
            <w:vAlign w:val="bottom"/>
            <w:hideMark/>
          </w:tcPr>
          <w:p w:rsidR="008D6145" w:rsidRPr="00534938" w:rsidRDefault="008D6145">
            <w:pPr>
              <w:suppressAutoHyphens w:val="0"/>
              <w:kinsoku/>
              <w:overflowPunct/>
              <w:autoSpaceDE/>
              <w:autoSpaceDN/>
              <w:adjustRightInd/>
              <w:snapToGrid/>
              <w:spacing w:before="40" w:after="40" w:line="220" w:lineRule="exact"/>
              <w:jc w:val="right"/>
              <w:rPr>
                <w:rFonts w:eastAsia="Times New Roman"/>
                <w:sz w:val="18"/>
                <w:szCs w:val="28"/>
              </w:rPr>
            </w:pPr>
            <w:r w:rsidRPr="00534938">
              <w:rPr>
                <w:rFonts w:eastAsia="Times New Roman"/>
                <w:sz w:val="18"/>
                <w:szCs w:val="28"/>
              </w:rPr>
              <w:t>1</w:t>
            </w:r>
          </w:p>
        </w:tc>
      </w:tr>
      <w:tr w:rsidR="00534938" w:rsidRPr="00534938" w:rsidTr="00821D2B">
        <w:tc>
          <w:tcPr>
            <w:tcW w:w="1361" w:type="dxa"/>
            <w:shd w:val="clear" w:color="auto" w:fill="auto"/>
            <w:noWrap/>
            <w:hideMark/>
          </w:tcPr>
          <w:p w:rsidR="008D6145" w:rsidRPr="00534938" w:rsidRDefault="008D6145">
            <w:pPr>
              <w:suppressAutoHyphens w:val="0"/>
              <w:kinsoku/>
              <w:overflowPunct/>
              <w:autoSpaceDE/>
              <w:autoSpaceDN/>
              <w:adjustRightInd/>
              <w:snapToGrid/>
              <w:spacing w:before="40" w:after="40" w:line="220" w:lineRule="exact"/>
              <w:rPr>
                <w:rFonts w:eastAsia="Times New Roman"/>
                <w:sz w:val="18"/>
                <w:szCs w:val="28"/>
              </w:rPr>
            </w:pPr>
            <w:r w:rsidRPr="00534938">
              <w:rPr>
                <w:rFonts w:eastAsia="Times New Roman"/>
                <w:sz w:val="18"/>
                <w:szCs w:val="28"/>
              </w:rPr>
              <w:t>Atacora</w:t>
            </w:r>
          </w:p>
        </w:tc>
        <w:tc>
          <w:tcPr>
            <w:tcW w:w="794" w:type="dxa"/>
            <w:shd w:val="clear" w:color="auto" w:fill="auto"/>
            <w:vAlign w:val="bottom"/>
            <w:hideMark/>
          </w:tcPr>
          <w:p w:rsidR="008D6145" w:rsidRPr="00534938" w:rsidRDefault="008D6145">
            <w:pPr>
              <w:suppressAutoHyphens w:val="0"/>
              <w:kinsoku/>
              <w:overflowPunct/>
              <w:autoSpaceDE/>
              <w:autoSpaceDN/>
              <w:adjustRightInd/>
              <w:snapToGrid/>
              <w:spacing w:before="40" w:after="40" w:line="220" w:lineRule="exact"/>
              <w:jc w:val="right"/>
              <w:rPr>
                <w:rFonts w:eastAsia="Times New Roman"/>
                <w:sz w:val="18"/>
                <w:szCs w:val="28"/>
              </w:rPr>
            </w:pPr>
            <w:r w:rsidRPr="00534938">
              <w:rPr>
                <w:rFonts w:eastAsia="Times New Roman"/>
                <w:sz w:val="18"/>
                <w:szCs w:val="28"/>
              </w:rPr>
              <w:t>1,7</w:t>
            </w:r>
          </w:p>
        </w:tc>
        <w:tc>
          <w:tcPr>
            <w:tcW w:w="794" w:type="dxa"/>
            <w:shd w:val="clear" w:color="auto" w:fill="auto"/>
            <w:vAlign w:val="bottom"/>
            <w:hideMark/>
          </w:tcPr>
          <w:p w:rsidR="008D6145" w:rsidRPr="00534938" w:rsidRDefault="008D6145">
            <w:pPr>
              <w:suppressAutoHyphens w:val="0"/>
              <w:kinsoku/>
              <w:overflowPunct/>
              <w:autoSpaceDE/>
              <w:autoSpaceDN/>
              <w:adjustRightInd/>
              <w:snapToGrid/>
              <w:spacing w:before="40" w:after="40" w:line="220" w:lineRule="exact"/>
              <w:jc w:val="right"/>
              <w:rPr>
                <w:rFonts w:eastAsia="Times New Roman"/>
                <w:sz w:val="18"/>
                <w:szCs w:val="28"/>
              </w:rPr>
            </w:pPr>
            <w:r w:rsidRPr="00534938">
              <w:rPr>
                <w:rFonts w:eastAsia="Times New Roman"/>
                <w:sz w:val="18"/>
                <w:szCs w:val="28"/>
              </w:rPr>
              <w:t>0,6</w:t>
            </w:r>
          </w:p>
        </w:tc>
        <w:tc>
          <w:tcPr>
            <w:tcW w:w="794" w:type="dxa"/>
            <w:shd w:val="clear" w:color="auto" w:fill="auto"/>
            <w:vAlign w:val="bottom"/>
            <w:hideMark/>
          </w:tcPr>
          <w:p w:rsidR="008D6145" w:rsidRPr="00534938" w:rsidRDefault="008D6145">
            <w:pPr>
              <w:suppressAutoHyphens w:val="0"/>
              <w:kinsoku/>
              <w:overflowPunct/>
              <w:autoSpaceDE/>
              <w:autoSpaceDN/>
              <w:adjustRightInd/>
              <w:snapToGrid/>
              <w:spacing w:before="40" w:after="40" w:line="220" w:lineRule="exact"/>
              <w:jc w:val="right"/>
              <w:rPr>
                <w:rFonts w:eastAsia="Times New Roman"/>
                <w:sz w:val="18"/>
                <w:szCs w:val="28"/>
              </w:rPr>
            </w:pPr>
            <w:r w:rsidRPr="00534938">
              <w:rPr>
                <w:rFonts w:eastAsia="Times New Roman"/>
                <w:sz w:val="18"/>
                <w:szCs w:val="28"/>
              </w:rPr>
              <w:t>1</w:t>
            </w:r>
          </w:p>
        </w:tc>
        <w:tc>
          <w:tcPr>
            <w:tcW w:w="794" w:type="dxa"/>
            <w:shd w:val="clear" w:color="auto" w:fill="auto"/>
            <w:noWrap/>
            <w:vAlign w:val="bottom"/>
            <w:hideMark/>
          </w:tcPr>
          <w:p w:rsidR="008D6145" w:rsidRPr="00534938" w:rsidRDefault="008D6145">
            <w:pPr>
              <w:suppressAutoHyphens w:val="0"/>
              <w:kinsoku/>
              <w:overflowPunct/>
              <w:autoSpaceDE/>
              <w:autoSpaceDN/>
              <w:adjustRightInd/>
              <w:snapToGrid/>
              <w:spacing w:before="40" w:after="40" w:line="220" w:lineRule="exact"/>
              <w:jc w:val="right"/>
              <w:rPr>
                <w:rFonts w:eastAsia="Times New Roman"/>
                <w:sz w:val="18"/>
                <w:szCs w:val="28"/>
              </w:rPr>
            </w:pPr>
            <w:r w:rsidRPr="00534938">
              <w:rPr>
                <w:rFonts w:eastAsia="Times New Roman"/>
                <w:sz w:val="18"/>
                <w:szCs w:val="28"/>
              </w:rPr>
              <w:t>1,59</w:t>
            </w:r>
          </w:p>
        </w:tc>
        <w:tc>
          <w:tcPr>
            <w:tcW w:w="794" w:type="dxa"/>
            <w:shd w:val="clear" w:color="auto" w:fill="auto"/>
            <w:noWrap/>
            <w:vAlign w:val="bottom"/>
            <w:hideMark/>
          </w:tcPr>
          <w:p w:rsidR="008D6145" w:rsidRPr="00534938" w:rsidRDefault="008D6145">
            <w:pPr>
              <w:suppressAutoHyphens w:val="0"/>
              <w:kinsoku/>
              <w:overflowPunct/>
              <w:autoSpaceDE/>
              <w:autoSpaceDN/>
              <w:adjustRightInd/>
              <w:snapToGrid/>
              <w:spacing w:before="40" w:after="40" w:line="220" w:lineRule="exact"/>
              <w:jc w:val="right"/>
              <w:rPr>
                <w:rFonts w:eastAsia="Times New Roman"/>
                <w:sz w:val="18"/>
                <w:szCs w:val="28"/>
              </w:rPr>
            </w:pPr>
            <w:r w:rsidRPr="00534938">
              <w:rPr>
                <w:rFonts w:eastAsia="Times New Roman"/>
                <w:sz w:val="18"/>
                <w:szCs w:val="28"/>
              </w:rPr>
              <w:t>1,9</w:t>
            </w:r>
          </w:p>
        </w:tc>
        <w:tc>
          <w:tcPr>
            <w:tcW w:w="794" w:type="dxa"/>
            <w:shd w:val="clear" w:color="auto" w:fill="auto"/>
            <w:vAlign w:val="bottom"/>
            <w:hideMark/>
          </w:tcPr>
          <w:p w:rsidR="008D6145" w:rsidRPr="00534938" w:rsidRDefault="008D6145">
            <w:pPr>
              <w:suppressAutoHyphens w:val="0"/>
              <w:kinsoku/>
              <w:overflowPunct/>
              <w:autoSpaceDE/>
              <w:autoSpaceDN/>
              <w:adjustRightInd/>
              <w:snapToGrid/>
              <w:spacing w:before="40" w:after="40" w:line="220" w:lineRule="exact"/>
              <w:jc w:val="right"/>
              <w:rPr>
                <w:rFonts w:eastAsia="Times New Roman"/>
                <w:sz w:val="18"/>
                <w:szCs w:val="28"/>
              </w:rPr>
            </w:pPr>
            <w:r w:rsidRPr="00534938">
              <w:rPr>
                <w:rFonts w:eastAsia="Times New Roman"/>
                <w:sz w:val="18"/>
                <w:szCs w:val="28"/>
              </w:rPr>
              <w:t>1,77</w:t>
            </w:r>
          </w:p>
        </w:tc>
        <w:tc>
          <w:tcPr>
            <w:tcW w:w="794" w:type="dxa"/>
            <w:shd w:val="clear" w:color="auto" w:fill="auto"/>
            <w:noWrap/>
            <w:vAlign w:val="bottom"/>
            <w:hideMark/>
          </w:tcPr>
          <w:p w:rsidR="008D6145" w:rsidRPr="00534938" w:rsidRDefault="008D6145">
            <w:pPr>
              <w:suppressAutoHyphens w:val="0"/>
              <w:kinsoku/>
              <w:overflowPunct/>
              <w:autoSpaceDE/>
              <w:autoSpaceDN/>
              <w:adjustRightInd/>
              <w:snapToGrid/>
              <w:spacing w:before="40" w:after="40" w:line="220" w:lineRule="exact"/>
              <w:jc w:val="right"/>
              <w:rPr>
                <w:rFonts w:eastAsia="Times New Roman"/>
                <w:sz w:val="18"/>
                <w:szCs w:val="28"/>
              </w:rPr>
            </w:pPr>
            <w:r w:rsidRPr="00534938">
              <w:rPr>
                <w:rFonts w:eastAsia="Times New Roman"/>
                <w:sz w:val="18"/>
                <w:szCs w:val="28"/>
              </w:rPr>
              <w:t>1,59</w:t>
            </w:r>
          </w:p>
        </w:tc>
        <w:tc>
          <w:tcPr>
            <w:tcW w:w="794" w:type="dxa"/>
            <w:shd w:val="clear" w:color="auto" w:fill="auto"/>
            <w:noWrap/>
            <w:vAlign w:val="bottom"/>
            <w:hideMark/>
          </w:tcPr>
          <w:p w:rsidR="008D6145" w:rsidRPr="00534938" w:rsidRDefault="008D6145">
            <w:pPr>
              <w:suppressAutoHyphens w:val="0"/>
              <w:kinsoku/>
              <w:overflowPunct/>
              <w:autoSpaceDE/>
              <w:autoSpaceDN/>
              <w:adjustRightInd/>
              <w:snapToGrid/>
              <w:spacing w:before="40" w:after="40" w:line="220" w:lineRule="exact"/>
              <w:jc w:val="right"/>
              <w:rPr>
                <w:rFonts w:eastAsia="Times New Roman"/>
                <w:sz w:val="18"/>
                <w:szCs w:val="28"/>
              </w:rPr>
            </w:pPr>
            <w:r w:rsidRPr="00534938">
              <w:rPr>
                <w:rFonts w:eastAsia="Times New Roman"/>
                <w:sz w:val="18"/>
                <w:szCs w:val="28"/>
              </w:rPr>
              <w:t>1,9</w:t>
            </w:r>
          </w:p>
        </w:tc>
        <w:tc>
          <w:tcPr>
            <w:tcW w:w="794" w:type="dxa"/>
            <w:shd w:val="clear" w:color="auto" w:fill="auto"/>
            <w:vAlign w:val="bottom"/>
            <w:hideMark/>
          </w:tcPr>
          <w:p w:rsidR="008D6145" w:rsidRPr="00534938" w:rsidRDefault="008D6145">
            <w:pPr>
              <w:suppressAutoHyphens w:val="0"/>
              <w:kinsoku/>
              <w:overflowPunct/>
              <w:autoSpaceDE/>
              <w:autoSpaceDN/>
              <w:adjustRightInd/>
              <w:snapToGrid/>
              <w:spacing w:before="40" w:after="40" w:line="220" w:lineRule="exact"/>
              <w:jc w:val="right"/>
              <w:rPr>
                <w:rFonts w:eastAsia="Times New Roman"/>
                <w:sz w:val="18"/>
                <w:szCs w:val="28"/>
              </w:rPr>
            </w:pPr>
            <w:r w:rsidRPr="00534938">
              <w:rPr>
                <w:rFonts w:eastAsia="Times New Roman"/>
                <w:sz w:val="18"/>
                <w:szCs w:val="28"/>
              </w:rPr>
              <w:t>1,59</w:t>
            </w:r>
          </w:p>
        </w:tc>
      </w:tr>
      <w:tr w:rsidR="00534938" w:rsidRPr="00534938" w:rsidTr="00821D2B">
        <w:tc>
          <w:tcPr>
            <w:tcW w:w="1361" w:type="dxa"/>
            <w:shd w:val="clear" w:color="auto" w:fill="auto"/>
            <w:noWrap/>
            <w:hideMark/>
          </w:tcPr>
          <w:p w:rsidR="008D6145" w:rsidRPr="00534938" w:rsidRDefault="008D6145">
            <w:pPr>
              <w:suppressAutoHyphens w:val="0"/>
              <w:kinsoku/>
              <w:overflowPunct/>
              <w:autoSpaceDE/>
              <w:autoSpaceDN/>
              <w:adjustRightInd/>
              <w:snapToGrid/>
              <w:spacing w:before="40" w:after="40" w:line="220" w:lineRule="exact"/>
              <w:rPr>
                <w:rFonts w:eastAsia="Times New Roman"/>
                <w:sz w:val="18"/>
                <w:szCs w:val="28"/>
              </w:rPr>
            </w:pPr>
            <w:r w:rsidRPr="00534938">
              <w:rPr>
                <w:rFonts w:eastAsia="Times New Roman"/>
                <w:sz w:val="18"/>
                <w:szCs w:val="28"/>
              </w:rPr>
              <w:t>Atlantique</w:t>
            </w:r>
          </w:p>
        </w:tc>
        <w:tc>
          <w:tcPr>
            <w:tcW w:w="794" w:type="dxa"/>
            <w:shd w:val="clear" w:color="auto" w:fill="auto"/>
            <w:vAlign w:val="bottom"/>
            <w:hideMark/>
          </w:tcPr>
          <w:p w:rsidR="008D6145" w:rsidRPr="00534938" w:rsidRDefault="008D6145">
            <w:pPr>
              <w:suppressAutoHyphens w:val="0"/>
              <w:kinsoku/>
              <w:overflowPunct/>
              <w:autoSpaceDE/>
              <w:autoSpaceDN/>
              <w:adjustRightInd/>
              <w:snapToGrid/>
              <w:spacing w:before="40" w:after="40" w:line="220" w:lineRule="exact"/>
              <w:jc w:val="right"/>
              <w:rPr>
                <w:rFonts w:eastAsia="Times New Roman"/>
                <w:sz w:val="18"/>
                <w:szCs w:val="28"/>
              </w:rPr>
            </w:pPr>
            <w:r w:rsidRPr="00534938">
              <w:rPr>
                <w:rFonts w:eastAsia="Times New Roman"/>
                <w:sz w:val="18"/>
                <w:szCs w:val="28"/>
              </w:rPr>
              <w:t>2,9</w:t>
            </w:r>
          </w:p>
        </w:tc>
        <w:tc>
          <w:tcPr>
            <w:tcW w:w="794" w:type="dxa"/>
            <w:shd w:val="clear" w:color="auto" w:fill="auto"/>
            <w:vAlign w:val="bottom"/>
            <w:hideMark/>
          </w:tcPr>
          <w:p w:rsidR="008D6145" w:rsidRPr="00534938" w:rsidRDefault="008D6145">
            <w:pPr>
              <w:suppressAutoHyphens w:val="0"/>
              <w:kinsoku/>
              <w:overflowPunct/>
              <w:autoSpaceDE/>
              <w:autoSpaceDN/>
              <w:adjustRightInd/>
              <w:snapToGrid/>
              <w:spacing w:before="40" w:after="40" w:line="220" w:lineRule="exact"/>
              <w:jc w:val="right"/>
              <w:rPr>
                <w:rFonts w:eastAsia="Times New Roman"/>
                <w:sz w:val="18"/>
                <w:szCs w:val="28"/>
              </w:rPr>
            </w:pPr>
            <w:r w:rsidRPr="00534938">
              <w:rPr>
                <w:rFonts w:eastAsia="Times New Roman"/>
                <w:sz w:val="18"/>
                <w:szCs w:val="28"/>
              </w:rPr>
              <w:t>0,7</w:t>
            </w:r>
          </w:p>
        </w:tc>
        <w:tc>
          <w:tcPr>
            <w:tcW w:w="794" w:type="dxa"/>
            <w:shd w:val="clear" w:color="auto" w:fill="auto"/>
            <w:vAlign w:val="bottom"/>
            <w:hideMark/>
          </w:tcPr>
          <w:p w:rsidR="008D6145" w:rsidRPr="00534938" w:rsidRDefault="008D6145">
            <w:pPr>
              <w:suppressAutoHyphens w:val="0"/>
              <w:kinsoku/>
              <w:overflowPunct/>
              <w:autoSpaceDE/>
              <w:autoSpaceDN/>
              <w:adjustRightInd/>
              <w:snapToGrid/>
              <w:spacing w:before="40" w:after="40" w:line="220" w:lineRule="exact"/>
              <w:jc w:val="right"/>
              <w:rPr>
                <w:rFonts w:eastAsia="Times New Roman"/>
                <w:sz w:val="18"/>
                <w:szCs w:val="28"/>
              </w:rPr>
            </w:pPr>
            <w:r w:rsidRPr="00534938">
              <w:rPr>
                <w:rFonts w:eastAsia="Times New Roman"/>
                <w:sz w:val="18"/>
                <w:szCs w:val="28"/>
              </w:rPr>
              <w:t>1,5</w:t>
            </w:r>
          </w:p>
        </w:tc>
        <w:tc>
          <w:tcPr>
            <w:tcW w:w="794" w:type="dxa"/>
            <w:shd w:val="clear" w:color="auto" w:fill="auto"/>
            <w:noWrap/>
            <w:vAlign w:val="bottom"/>
            <w:hideMark/>
          </w:tcPr>
          <w:p w:rsidR="008D6145" w:rsidRPr="00534938" w:rsidRDefault="008D6145">
            <w:pPr>
              <w:suppressAutoHyphens w:val="0"/>
              <w:kinsoku/>
              <w:overflowPunct/>
              <w:autoSpaceDE/>
              <w:autoSpaceDN/>
              <w:adjustRightInd/>
              <w:snapToGrid/>
              <w:spacing w:before="40" w:after="40" w:line="220" w:lineRule="exact"/>
              <w:jc w:val="right"/>
              <w:rPr>
                <w:rFonts w:eastAsia="Times New Roman"/>
                <w:sz w:val="18"/>
                <w:szCs w:val="28"/>
              </w:rPr>
            </w:pPr>
            <w:r w:rsidRPr="00534938">
              <w:rPr>
                <w:rFonts w:eastAsia="Times New Roman"/>
                <w:sz w:val="18"/>
                <w:szCs w:val="28"/>
              </w:rPr>
              <w:t>2,79</w:t>
            </w:r>
          </w:p>
        </w:tc>
        <w:tc>
          <w:tcPr>
            <w:tcW w:w="794" w:type="dxa"/>
            <w:shd w:val="clear" w:color="auto" w:fill="auto"/>
            <w:noWrap/>
            <w:vAlign w:val="bottom"/>
            <w:hideMark/>
          </w:tcPr>
          <w:p w:rsidR="008D6145" w:rsidRPr="00534938" w:rsidRDefault="008D6145">
            <w:pPr>
              <w:suppressAutoHyphens w:val="0"/>
              <w:kinsoku/>
              <w:overflowPunct/>
              <w:autoSpaceDE/>
              <w:autoSpaceDN/>
              <w:adjustRightInd/>
              <w:snapToGrid/>
              <w:spacing w:before="40" w:after="40" w:line="220" w:lineRule="exact"/>
              <w:jc w:val="right"/>
              <w:rPr>
                <w:rFonts w:eastAsia="Times New Roman"/>
                <w:sz w:val="18"/>
                <w:szCs w:val="28"/>
              </w:rPr>
            </w:pPr>
            <w:r w:rsidRPr="00534938">
              <w:rPr>
                <w:rFonts w:eastAsia="Times New Roman"/>
                <w:sz w:val="18"/>
                <w:szCs w:val="28"/>
              </w:rPr>
              <w:t>0,67</w:t>
            </w:r>
          </w:p>
        </w:tc>
        <w:tc>
          <w:tcPr>
            <w:tcW w:w="794" w:type="dxa"/>
            <w:shd w:val="clear" w:color="auto" w:fill="auto"/>
            <w:vAlign w:val="bottom"/>
            <w:hideMark/>
          </w:tcPr>
          <w:p w:rsidR="008D6145" w:rsidRPr="00534938" w:rsidRDefault="008D6145">
            <w:pPr>
              <w:suppressAutoHyphens w:val="0"/>
              <w:kinsoku/>
              <w:overflowPunct/>
              <w:autoSpaceDE/>
              <w:autoSpaceDN/>
              <w:adjustRightInd/>
              <w:snapToGrid/>
              <w:spacing w:before="40" w:after="40" w:line="220" w:lineRule="exact"/>
              <w:jc w:val="right"/>
              <w:rPr>
                <w:rFonts w:eastAsia="Times New Roman"/>
                <w:sz w:val="18"/>
                <w:szCs w:val="28"/>
              </w:rPr>
            </w:pPr>
            <w:r w:rsidRPr="00534938">
              <w:rPr>
                <w:rFonts w:eastAsia="Times New Roman"/>
                <w:sz w:val="18"/>
                <w:szCs w:val="28"/>
              </w:rPr>
              <w:t>1,58</w:t>
            </w:r>
          </w:p>
        </w:tc>
        <w:tc>
          <w:tcPr>
            <w:tcW w:w="794" w:type="dxa"/>
            <w:shd w:val="clear" w:color="auto" w:fill="auto"/>
            <w:noWrap/>
            <w:vAlign w:val="bottom"/>
            <w:hideMark/>
          </w:tcPr>
          <w:p w:rsidR="008D6145" w:rsidRPr="00534938" w:rsidRDefault="008D6145">
            <w:pPr>
              <w:suppressAutoHyphens w:val="0"/>
              <w:kinsoku/>
              <w:overflowPunct/>
              <w:autoSpaceDE/>
              <w:autoSpaceDN/>
              <w:adjustRightInd/>
              <w:snapToGrid/>
              <w:spacing w:before="40" w:after="40" w:line="220" w:lineRule="exact"/>
              <w:jc w:val="right"/>
              <w:rPr>
                <w:rFonts w:eastAsia="Times New Roman"/>
                <w:sz w:val="18"/>
                <w:szCs w:val="28"/>
              </w:rPr>
            </w:pPr>
            <w:r w:rsidRPr="00534938">
              <w:rPr>
                <w:rFonts w:eastAsia="Times New Roman"/>
                <w:sz w:val="18"/>
                <w:szCs w:val="28"/>
              </w:rPr>
              <w:t>2,79</w:t>
            </w:r>
          </w:p>
        </w:tc>
        <w:tc>
          <w:tcPr>
            <w:tcW w:w="794" w:type="dxa"/>
            <w:shd w:val="clear" w:color="auto" w:fill="auto"/>
            <w:noWrap/>
            <w:vAlign w:val="bottom"/>
            <w:hideMark/>
          </w:tcPr>
          <w:p w:rsidR="008D6145" w:rsidRPr="00534938" w:rsidRDefault="008D6145">
            <w:pPr>
              <w:suppressAutoHyphens w:val="0"/>
              <w:kinsoku/>
              <w:overflowPunct/>
              <w:autoSpaceDE/>
              <w:autoSpaceDN/>
              <w:adjustRightInd/>
              <w:snapToGrid/>
              <w:spacing w:before="40" w:after="40" w:line="220" w:lineRule="exact"/>
              <w:jc w:val="right"/>
              <w:rPr>
                <w:rFonts w:eastAsia="Times New Roman"/>
                <w:sz w:val="18"/>
                <w:szCs w:val="28"/>
              </w:rPr>
            </w:pPr>
            <w:r w:rsidRPr="00534938">
              <w:rPr>
                <w:rFonts w:eastAsia="Times New Roman"/>
                <w:sz w:val="18"/>
                <w:szCs w:val="28"/>
              </w:rPr>
              <w:t>0,67</w:t>
            </w:r>
          </w:p>
        </w:tc>
        <w:tc>
          <w:tcPr>
            <w:tcW w:w="794" w:type="dxa"/>
            <w:shd w:val="clear" w:color="auto" w:fill="auto"/>
            <w:vAlign w:val="bottom"/>
            <w:hideMark/>
          </w:tcPr>
          <w:p w:rsidR="008D6145" w:rsidRPr="00534938" w:rsidRDefault="008D6145">
            <w:pPr>
              <w:suppressAutoHyphens w:val="0"/>
              <w:kinsoku/>
              <w:overflowPunct/>
              <w:autoSpaceDE/>
              <w:autoSpaceDN/>
              <w:adjustRightInd/>
              <w:snapToGrid/>
              <w:spacing w:before="40" w:after="40" w:line="220" w:lineRule="exact"/>
              <w:jc w:val="right"/>
              <w:rPr>
                <w:rFonts w:eastAsia="Times New Roman"/>
                <w:sz w:val="18"/>
                <w:szCs w:val="28"/>
              </w:rPr>
            </w:pPr>
            <w:r w:rsidRPr="00534938">
              <w:rPr>
                <w:rFonts w:eastAsia="Times New Roman"/>
                <w:sz w:val="18"/>
                <w:szCs w:val="28"/>
              </w:rPr>
              <w:t>2,79</w:t>
            </w:r>
          </w:p>
        </w:tc>
      </w:tr>
      <w:tr w:rsidR="00534938" w:rsidRPr="00534938" w:rsidTr="00821D2B">
        <w:tc>
          <w:tcPr>
            <w:tcW w:w="1361" w:type="dxa"/>
            <w:shd w:val="clear" w:color="auto" w:fill="auto"/>
            <w:noWrap/>
            <w:hideMark/>
          </w:tcPr>
          <w:p w:rsidR="008D6145" w:rsidRPr="00534938" w:rsidRDefault="008D6145">
            <w:pPr>
              <w:suppressAutoHyphens w:val="0"/>
              <w:kinsoku/>
              <w:overflowPunct/>
              <w:autoSpaceDE/>
              <w:autoSpaceDN/>
              <w:adjustRightInd/>
              <w:snapToGrid/>
              <w:spacing w:before="40" w:after="40" w:line="220" w:lineRule="exact"/>
              <w:rPr>
                <w:rFonts w:eastAsia="Times New Roman"/>
                <w:sz w:val="18"/>
                <w:szCs w:val="28"/>
              </w:rPr>
            </w:pPr>
            <w:r w:rsidRPr="00534938">
              <w:rPr>
                <w:rFonts w:eastAsia="Times New Roman"/>
                <w:sz w:val="18"/>
                <w:szCs w:val="28"/>
              </w:rPr>
              <w:t>Borgou</w:t>
            </w:r>
          </w:p>
        </w:tc>
        <w:tc>
          <w:tcPr>
            <w:tcW w:w="794" w:type="dxa"/>
            <w:shd w:val="clear" w:color="auto" w:fill="auto"/>
            <w:vAlign w:val="bottom"/>
            <w:hideMark/>
          </w:tcPr>
          <w:p w:rsidR="008D6145" w:rsidRPr="00534938" w:rsidRDefault="008D6145">
            <w:pPr>
              <w:suppressAutoHyphens w:val="0"/>
              <w:kinsoku/>
              <w:overflowPunct/>
              <w:autoSpaceDE/>
              <w:autoSpaceDN/>
              <w:adjustRightInd/>
              <w:snapToGrid/>
              <w:spacing w:before="40" w:after="40" w:line="220" w:lineRule="exact"/>
              <w:jc w:val="right"/>
              <w:rPr>
                <w:rFonts w:eastAsia="Times New Roman"/>
                <w:sz w:val="18"/>
                <w:szCs w:val="28"/>
              </w:rPr>
            </w:pPr>
            <w:r w:rsidRPr="00534938">
              <w:rPr>
                <w:rFonts w:eastAsia="Times New Roman"/>
                <w:sz w:val="18"/>
                <w:szCs w:val="28"/>
              </w:rPr>
              <w:t>1,3</w:t>
            </w:r>
          </w:p>
        </w:tc>
        <w:tc>
          <w:tcPr>
            <w:tcW w:w="794" w:type="dxa"/>
            <w:shd w:val="clear" w:color="auto" w:fill="auto"/>
            <w:vAlign w:val="bottom"/>
            <w:hideMark/>
          </w:tcPr>
          <w:p w:rsidR="008D6145" w:rsidRPr="00534938" w:rsidRDefault="008D6145">
            <w:pPr>
              <w:suppressAutoHyphens w:val="0"/>
              <w:kinsoku/>
              <w:overflowPunct/>
              <w:autoSpaceDE/>
              <w:autoSpaceDN/>
              <w:adjustRightInd/>
              <w:snapToGrid/>
              <w:spacing w:before="40" w:after="40" w:line="220" w:lineRule="exact"/>
              <w:jc w:val="right"/>
              <w:rPr>
                <w:rFonts w:eastAsia="Times New Roman"/>
                <w:sz w:val="18"/>
                <w:szCs w:val="28"/>
              </w:rPr>
            </w:pPr>
            <w:r w:rsidRPr="00534938">
              <w:rPr>
                <w:rFonts w:eastAsia="Times New Roman"/>
                <w:sz w:val="18"/>
                <w:szCs w:val="28"/>
              </w:rPr>
              <w:t>0,8</w:t>
            </w:r>
          </w:p>
        </w:tc>
        <w:tc>
          <w:tcPr>
            <w:tcW w:w="794" w:type="dxa"/>
            <w:shd w:val="clear" w:color="auto" w:fill="auto"/>
            <w:vAlign w:val="bottom"/>
            <w:hideMark/>
          </w:tcPr>
          <w:p w:rsidR="008D6145" w:rsidRPr="00534938" w:rsidRDefault="008D6145">
            <w:pPr>
              <w:suppressAutoHyphens w:val="0"/>
              <w:kinsoku/>
              <w:overflowPunct/>
              <w:autoSpaceDE/>
              <w:autoSpaceDN/>
              <w:adjustRightInd/>
              <w:snapToGrid/>
              <w:spacing w:before="40" w:after="40" w:line="220" w:lineRule="exact"/>
              <w:jc w:val="right"/>
              <w:rPr>
                <w:rFonts w:eastAsia="Times New Roman"/>
                <w:sz w:val="18"/>
                <w:szCs w:val="28"/>
              </w:rPr>
            </w:pPr>
            <w:r w:rsidRPr="00534938">
              <w:rPr>
                <w:rFonts w:eastAsia="Times New Roman"/>
                <w:sz w:val="18"/>
                <w:szCs w:val="28"/>
              </w:rPr>
              <w:t>1</w:t>
            </w:r>
          </w:p>
        </w:tc>
        <w:tc>
          <w:tcPr>
            <w:tcW w:w="794" w:type="dxa"/>
            <w:shd w:val="clear" w:color="auto" w:fill="auto"/>
            <w:noWrap/>
            <w:vAlign w:val="bottom"/>
            <w:hideMark/>
          </w:tcPr>
          <w:p w:rsidR="008D6145" w:rsidRPr="00534938" w:rsidRDefault="008D6145">
            <w:pPr>
              <w:suppressAutoHyphens w:val="0"/>
              <w:kinsoku/>
              <w:overflowPunct/>
              <w:autoSpaceDE/>
              <w:autoSpaceDN/>
              <w:adjustRightInd/>
              <w:snapToGrid/>
              <w:spacing w:before="40" w:after="40" w:line="220" w:lineRule="exact"/>
              <w:jc w:val="right"/>
              <w:rPr>
                <w:rFonts w:eastAsia="Times New Roman"/>
                <w:sz w:val="18"/>
                <w:szCs w:val="28"/>
              </w:rPr>
            </w:pPr>
            <w:r w:rsidRPr="00534938">
              <w:rPr>
                <w:rFonts w:eastAsia="Times New Roman"/>
                <w:sz w:val="18"/>
                <w:szCs w:val="28"/>
              </w:rPr>
              <w:t>1,25</w:t>
            </w:r>
          </w:p>
        </w:tc>
        <w:tc>
          <w:tcPr>
            <w:tcW w:w="794" w:type="dxa"/>
            <w:shd w:val="clear" w:color="auto" w:fill="auto"/>
            <w:noWrap/>
            <w:vAlign w:val="bottom"/>
            <w:hideMark/>
          </w:tcPr>
          <w:p w:rsidR="008D6145" w:rsidRPr="00534938" w:rsidRDefault="008D6145">
            <w:pPr>
              <w:suppressAutoHyphens w:val="0"/>
              <w:kinsoku/>
              <w:overflowPunct/>
              <w:autoSpaceDE/>
              <w:autoSpaceDN/>
              <w:adjustRightInd/>
              <w:snapToGrid/>
              <w:spacing w:before="40" w:after="40" w:line="220" w:lineRule="exact"/>
              <w:jc w:val="right"/>
              <w:rPr>
                <w:rFonts w:eastAsia="Times New Roman"/>
                <w:sz w:val="18"/>
                <w:szCs w:val="28"/>
              </w:rPr>
            </w:pPr>
            <w:r w:rsidRPr="00534938">
              <w:rPr>
                <w:rFonts w:eastAsia="Times New Roman"/>
                <w:sz w:val="18"/>
                <w:szCs w:val="28"/>
              </w:rPr>
              <w:t>1,07</w:t>
            </w:r>
          </w:p>
        </w:tc>
        <w:tc>
          <w:tcPr>
            <w:tcW w:w="794" w:type="dxa"/>
            <w:shd w:val="clear" w:color="auto" w:fill="auto"/>
            <w:vAlign w:val="bottom"/>
            <w:hideMark/>
          </w:tcPr>
          <w:p w:rsidR="008D6145" w:rsidRPr="00534938" w:rsidRDefault="008D6145">
            <w:pPr>
              <w:suppressAutoHyphens w:val="0"/>
              <w:kinsoku/>
              <w:overflowPunct/>
              <w:autoSpaceDE/>
              <w:autoSpaceDN/>
              <w:adjustRightInd/>
              <w:snapToGrid/>
              <w:spacing w:before="40" w:after="40" w:line="220" w:lineRule="exact"/>
              <w:jc w:val="right"/>
              <w:rPr>
                <w:rFonts w:eastAsia="Times New Roman"/>
                <w:sz w:val="18"/>
                <w:szCs w:val="28"/>
              </w:rPr>
            </w:pPr>
            <w:r w:rsidRPr="00534938">
              <w:rPr>
                <w:rFonts w:eastAsia="Times New Roman"/>
                <w:sz w:val="18"/>
                <w:szCs w:val="28"/>
              </w:rPr>
              <w:t>1,14</w:t>
            </w:r>
          </w:p>
        </w:tc>
        <w:tc>
          <w:tcPr>
            <w:tcW w:w="794" w:type="dxa"/>
            <w:shd w:val="clear" w:color="auto" w:fill="auto"/>
            <w:noWrap/>
            <w:vAlign w:val="bottom"/>
            <w:hideMark/>
          </w:tcPr>
          <w:p w:rsidR="008D6145" w:rsidRPr="00534938" w:rsidRDefault="008D6145">
            <w:pPr>
              <w:suppressAutoHyphens w:val="0"/>
              <w:kinsoku/>
              <w:overflowPunct/>
              <w:autoSpaceDE/>
              <w:autoSpaceDN/>
              <w:adjustRightInd/>
              <w:snapToGrid/>
              <w:spacing w:before="40" w:after="40" w:line="220" w:lineRule="exact"/>
              <w:jc w:val="right"/>
              <w:rPr>
                <w:rFonts w:eastAsia="Times New Roman"/>
                <w:sz w:val="18"/>
                <w:szCs w:val="28"/>
              </w:rPr>
            </w:pPr>
            <w:r w:rsidRPr="00534938">
              <w:rPr>
                <w:rFonts w:eastAsia="Times New Roman"/>
                <w:sz w:val="18"/>
                <w:szCs w:val="28"/>
              </w:rPr>
              <w:t>1,25</w:t>
            </w:r>
          </w:p>
        </w:tc>
        <w:tc>
          <w:tcPr>
            <w:tcW w:w="794" w:type="dxa"/>
            <w:shd w:val="clear" w:color="auto" w:fill="auto"/>
            <w:noWrap/>
            <w:vAlign w:val="bottom"/>
            <w:hideMark/>
          </w:tcPr>
          <w:p w:rsidR="008D6145" w:rsidRPr="00534938" w:rsidRDefault="008D6145">
            <w:pPr>
              <w:suppressAutoHyphens w:val="0"/>
              <w:kinsoku/>
              <w:overflowPunct/>
              <w:autoSpaceDE/>
              <w:autoSpaceDN/>
              <w:adjustRightInd/>
              <w:snapToGrid/>
              <w:spacing w:before="40" w:after="40" w:line="220" w:lineRule="exact"/>
              <w:jc w:val="right"/>
              <w:rPr>
                <w:rFonts w:eastAsia="Times New Roman"/>
                <w:sz w:val="18"/>
                <w:szCs w:val="28"/>
              </w:rPr>
            </w:pPr>
            <w:r w:rsidRPr="00534938">
              <w:rPr>
                <w:rFonts w:eastAsia="Times New Roman"/>
                <w:sz w:val="18"/>
                <w:szCs w:val="28"/>
              </w:rPr>
              <w:t>1,07</w:t>
            </w:r>
          </w:p>
        </w:tc>
        <w:tc>
          <w:tcPr>
            <w:tcW w:w="794" w:type="dxa"/>
            <w:shd w:val="clear" w:color="auto" w:fill="auto"/>
            <w:vAlign w:val="bottom"/>
            <w:hideMark/>
          </w:tcPr>
          <w:p w:rsidR="008D6145" w:rsidRPr="00534938" w:rsidRDefault="008D6145">
            <w:pPr>
              <w:suppressAutoHyphens w:val="0"/>
              <w:kinsoku/>
              <w:overflowPunct/>
              <w:autoSpaceDE/>
              <w:autoSpaceDN/>
              <w:adjustRightInd/>
              <w:snapToGrid/>
              <w:spacing w:before="40" w:after="40" w:line="220" w:lineRule="exact"/>
              <w:jc w:val="right"/>
              <w:rPr>
                <w:rFonts w:eastAsia="Times New Roman"/>
                <w:sz w:val="18"/>
                <w:szCs w:val="28"/>
              </w:rPr>
            </w:pPr>
            <w:r w:rsidRPr="00534938">
              <w:rPr>
                <w:rFonts w:eastAsia="Times New Roman"/>
                <w:sz w:val="18"/>
                <w:szCs w:val="28"/>
              </w:rPr>
              <w:t>1,25</w:t>
            </w:r>
          </w:p>
        </w:tc>
      </w:tr>
      <w:tr w:rsidR="00534938" w:rsidRPr="00534938" w:rsidTr="00821D2B">
        <w:tc>
          <w:tcPr>
            <w:tcW w:w="1361" w:type="dxa"/>
            <w:shd w:val="clear" w:color="auto" w:fill="auto"/>
            <w:noWrap/>
            <w:hideMark/>
          </w:tcPr>
          <w:p w:rsidR="008D6145" w:rsidRPr="00534938" w:rsidRDefault="008D6145">
            <w:pPr>
              <w:suppressAutoHyphens w:val="0"/>
              <w:kinsoku/>
              <w:overflowPunct/>
              <w:autoSpaceDE/>
              <w:autoSpaceDN/>
              <w:adjustRightInd/>
              <w:snapToGrid/>
              <w:spacing w:before="40" w:after="40" w:line="220" w:lineRule="exact"/>
              <w:rPr>
                <w:rFonts w:eastAsia="Times New Roman"/>
                <w:sz w:val="18"/>
                <w:szCs w:val="28"/>
              </w:rPr>
            </w:pPr>
            <w:r w:rsidRPr="00534938">
              <w:rPr>
                <w:rFonts w:eastAsia="Times New Roman"/>
                <w:sz w:val="18"/>
                <w:szCs w:val="28"/>
              </w:rPr>
              <w:lastRenderedPageBreak/>
              <w:t>Collines</w:t>
            </w:r>
          </w:p>
        </w:tc>
        <w:tc>
          <w:tcPr>
            <w:tcW w:w="794" w:type="dxa"/>
            <w:shd w:val="clear" w:color="auto" w:fill="auto"/>
            <w:vAlign w:val="bottom"/>
            <w:hideMark/>
          </w:tcPr>
          <w:p w:rsidR="008D6145" w:rsidRPr="00534938" w:rsidRDefault="008D6145">
            <w:pPr>
              <w:suppressAutoHyphens w:val="0"/>
              <w:kinsoku/>
              <w:overflowPunct/>
              <w:autoSpaceDE/>
              <w:autoSpaceDN/>
              <w:adjustRightInd/>
              <w:snapToGrid/>
              <w:spacing w:before="40" w:after="40" w:line="220" w:lineRule="exact"/>
              <w:jc w:val="right"/>
              <w:rPr>
                <w:rFonts w:eastAsia="Times New Roman"/>
                <w:sz w:val="18"/>
                <w:szCs w:val="28"/>
              </w:rPr>
            </w:pPr>
            <w:r w:rsidRPr="00534938">
              <w:rPr>
                <w:rFonts w:eastAsia="Times New Roman"/>
                <w:sz w:val="18"/>
                <w:szCs w:val="28"/>
              </w:rPr>
              <w:t>1,3</w:t>
            </w:r>
          </w:p>
        </w:tc>
        <w:tc>
          <w:tcPr>
            <w:tcW w:w="794" w:type="dxa"/>
            <w:shd w:val="clear" w:color="auto" w:fill="auto"/>
            <w:vAlign w:val="bottom"/>
            <w:hideMark/>
          </w:tcPr>
          <w:p w:rsidR="008D6145" w:rsidRPr="00534938" w:rsidRDefault="008D6145">
            <w:pPr>
              <w:suppressAutoHyphens w:val="0"/>
              <w:kinsoku/>
              <w:overflowPunct/>
              <w:autoSpaceDE/>
              <w:autoSpaceDN/>
              <w:adjustRightInd/>
              <w:snapToGrid/>
              <w:spacing w:before="40" w:after="40" w:line="220" w:lineRule="exact"/>
              <w:jc w:val="right"/>
              <w:rPr>
                <w:rFonts w:eastAsia="Times New Roman"/>
                <w:sz w:val="18"/>
                <w:szCs w:val="28"/>
              </w:rPr>
            </w:pPr>
            <w:r w:rsidRPr="00534938">
              <w:rPr>
                <w:rFonts w:eastAsia="Times New Roman"/>
                <w:sz w:val="18"/>
                <w:szCs w:val="28"/>
              </w:rPr>
              <w:t>0,9</w:t>
            </w:r>
          </w:p>
        </w:tc>
        <w:tc>
          <w:tcPr>
            <w:tcW w:w="794" w:type="dxa"/>
            <w:shd w:val="clear" w:color="auto" w:fill="auto"/>
            <w:vAlign w:val="bottom"/>
            <w:hideMark/>
          </w:tcPr>
          <w:p w:rsidR="008D6145" w:rsidRPr="00534938" w:rsidRDefault="008D6145">
            <w:pPr>
              <w:suppressAutoHyphens w:val="0"/>
              <w:kinsoku/>
              <w:overflowPunct/>
              <w:autoSpaceDE/>
              <w:autoSpaceDN/>
              <w:adjustRightInd/>
              <w:snapToGrid/>
              <w:spacing w:before="40" w:after="40" w:line="220" w:lineRule="exact"/>
              <w:jc w:val="right"/>
              <w:rPr>
                <w:rFonts w:eastAsia="Times New Roman"/>
                <w:sz w:val="18"/>
                <w:szCs w:val="28"/>
              </w:rPr>
            </w:pPr>
            <w:r w:rsidRPr="00534938">
              <w:rPr>
                <w:rFonts w:eastAsia="Times New Roman"/>
                <w:sz w:val="18"/>
                <w:szCs w:val="28"/>
              </w:rPr>
              <w:t>1</w:t>
            </w:r>
          </w:p>
        </w:tc>
        <w:tc>
          <w:tcPr>
            <w:tcW w:w="794" w:type="dxa"/>
            <w:shd w:val="clear" w:color="auto" w:fill="auto"/>
            <w:noWrap/>
            <w:vAlign w:val="bottom"/>
            <w:hideMark/>
          </w:tcPr>
          <w:p w:rsidR="008D6145" w:rsidRPr="00534938" w:rsidRDefault="008D6145">
            <w:pPr>
              <w:suppressAutoHyphens w:val="0"/>
              <w:kinsoku/>
              <w:overflowPunct/>
              <w:autoSpaceDE/>
              <w:autoSpaceDN/>
              <w:adjustRightInd/>
              <w:snapToGrid/>
              <w:spacing w:before="40" w:after="40" w:line="220" w:lineRule="exact"/>
              <w:jc w:val="right"/>
              <w:rPr>
                <w:rFonts w:eastAsia="Times New Roman"/>
                <w:sz w:val="18"/>
                <w:szCs w:val="28"/>
              </w:rPr>
            </w:pPr>
            <w:r w:rsidRPr="00534938">
              <w:rPr>
                <w:rFonts w:eastAsia="Times New Roman"/>
                <w:sz w:val="18"/>
                <w:szCs w:val="28"/>
              </w:rPr>
              <w:t>0,67</w:t>
            </w:r>
          </w:p>
        </w:tc>
        <w:tc>
          <w:tcPr>
            <w:tcW w:w="794" w:type="dxa"/>
            <w:shd w:val="clear" w:color="auto" w:fill="auto"/>
            <w:noWrap/>
            <w:vAlign w:val="bottom"/>
            <w:hideMark/>
          </w:tcPr>
          <w:p w:rsidR="008D6145" w:rsidRPr="00534938" w:rsidRDefault="008D6145">
            <w:pPr>
              <w:suppressAutoHyphens w:val="0"/>
              <w:kinsoku/>
              <w:overflowPunct/>
              <w:autoSpaceDE/>
              <w:autoSpaceDN/>
              <w:adjustRightInd/>
              <w:snapToGrid/>
              <w:spacing w:before="40" w:after="40" w:line="220" w:lineRule="exact"/>
              <w:jc w:val="right"/>
              <w:rPr>
                <w:rFonts w:eastAsia="Times New Roman"/>
                <w:sz w:val="18"/>
                <w:szCs w:val="28"/>
              </w:rPr>
            </w:pPr>
            <w:r w:rsidRPr="00534938">
              <w:rPr>
                <w:rFonts w:eastAsia="Times New Roman"/>
                <w:sz w:val="18"/>
                <w:szCs w:val="28"/>
              </w:rPr>
              <w:t>0,75</w:t>
            </w:r>
          </w:p>
        </w:tc>
        <w:tc>
          <w:tcPr>
            <w:tcW w:w="794" w:type="dxa"/>
            <w:shd w:val="clear" w:color="auto" w:fill="auto"/>
            <w:vAlign w:val="bottom"/>
            <w:hideMark/>
          </w:tcPr>
          <w:p w:rsidR="008D6145" w:rsidRPr="00534938" w:rsidRDefault="008D6145">
            <w:pPr>
              <w:suppressAutoHyphens w:val="0"/>
              <w:kinsoku/>
              <w:overflowPunct/>
              <w:autoSpaceDE/>
              <w:autoSpaceDN/>
              <w:adjustRightInd/>
              <w:snapToGrid/>
              <w:spacing w:before="40" w:after="40" w:line="220" w:lineRule="exact"/>
              <w:jc w:val="right"/>
              <w:rPr>
                <w:rFonts w:eastAsia="Times New Roman"/>
                <w:sz w:val="18"/>
                <w:szCs w:val="28"/>
              </w:rPr>
            </w:pPr>
            <w:r w:rsidRPr="00534938">
              <w:rPr>
                <w:rFonts w:eastAsia="Times New Roman"/>
                <w:sz w:val="18"/>
                <w:szCs w:val="28"/>
              </w:rPr>
              <w:t>0,72</w:t>
            </w:r>
          </w:p>
        </w:tc>
        <w:tc>
          <w:tcPr>
            <w:tcW w:w="794" w:type="dxa"/>
            <w:shd w:val="clear" w:color="auto" w:fill="auto"/>
            <w:noWrap/>
            <w:vAlign w:val="bottom"/>
            <w:hideMark/>
          </w:tcPr>
          <w:p w:rsidR="008D6145" w:rsidRPr="00534938" w:rsidRDefault="008D6145">
            <w:pPr>
              <w:suppressAutoHyphens w:val="0"/>
              <w:kinsoku/>
              <w:overflowPunct/>
              <w:autoSpaceDE/>
              <w:autoSpaceDN/>
              <w:adjustRightInd/>
              <w:snapToGrid/>
              <w:spacing w:before="40" w:after="40" w:line="220" w:lineRule="exact"/>
              <w:jc w:val="right"/>
              <w:rPr>
                <w:rFonts w:eastAsia="Times New Roman"/>
                <w:sz w:val="18"/>
                <w:szCs w:val="28"/>
              </w:rPr>
            </w:pPr>
            <w:r w:rsidRPr="00534938">
              <w:rPr>
                <w:rFonts w:eastAsia="Times New Roman"/>
                <w:sz w:val="18"/>
                <w:szCs w:val="28"/>
              </w:rPr>
              <w:t>0,67</w:t>
            </w:r>
          </w:p>
        </w:tc>
        <w:tc>
          <w:tcPr>
            <w:tcW w:w="794" w:type="dxa"/>
            <w:shd w:val="clear" w:color="auto" w:fill="auto"/>
            <w:noWrap/>
            <w:vAlign w:val="bottom"/>
            <w:hideMark/>
          </w:tcPr>
          <w:p w:rsidR="008D6145" w:rsidRPr="00534938" w:rsidRDefault="008D6145">
            <w:pPr>
              <w:suppressAutoHyphens w:val="0"/>
              <w:kinsoku/>
              <w:overflowPunct/>
              <w:autoSpaceDE/>
              <w:autoSpaceDN/>
              <w:adjustRightInd/>
              <w:snapToGrid/>
              <w:spacing w:before="40" w:after="40" w:line="220" w:lineRule="exact"/>
              <w:jc w:val="right"/>
              <w:rPr>
                <w:rFonts w:eastAsia="Times New Roman"/>
                <w:sz w:val="18"/>
                <w:szCs w:val="28"/>
              </w:rPr>
            </w:pPr>
            <w:r w:rsidRPr="00534938">
              <w:rPr>
                <w:rFonts w:eastAsia="Times New Roman"/>
                <w:sz w:val="18"/>
                <w:szCs w:val="28"/>
              </w:rPr>
              <w:t>0,75</w:t>
            </w:r>
          </w:p>
        </w:tc>
        <w:tc>
          <w:tcPr>
            <w:tcW w:w="794" w:type="dxa"/>
            <w:shd w:val="clear" w:color="auto" w:fill="auto"/>
            <w:vAlign w:val="bottom"/>
            <w:hideMark/>
          </w:tcPr>
          <w:p w:rsidR="008D6145" w:rsidRPr="00534938" w:rsidRDefault="008D6145">
            <w:pPr>
              <w:suppressAutoHyphens w:val="0"/>
              <w:kinsoku/>
              <w:overflowPunct/>
              <w:autoSpaceDE/>
              <w:autoSpaceDN/>
              <w:adjustRightInd/>
              <w:snapToGrid/>
              <w:spacing w:before="40" w:after="40" w:line="220" w:lineRule="exact"/>
              <w:jc w:val="right"/>
              <w:rPr>
                <w:rFonts w:eastAsia="Times New Roman"/>
                <w:sz w:val="18"/>
                <w:szCs w:val="28"/>
              </w:rPr>
            </w:pPr>
            <w:r w:rsidRPr="00534938">
              <w:rPr>
                <w:rFonts w:eastAsia="Times New Roman"/>
                <w:sz w:val="18"/>
                <w:szCs w:val="28"/>
              </w:rPr>
              <w:t>0,67</w:t>
            </w:r>
          </w:p>
        </w:tc>
      </w:tr>
      <w:tr w:rsidR="00534938" w:rsidRPr="00534938" w:rsidTr="00821D2B">
        <w:tc>
          <w:tcPr>
            <w:tcW w:w="1361" w:type="dxa"/>
            <w:shd w:val="clear" w:color="auto" w:fill="auto"/>
            <w:noWrap/>
            <w:hideMark/>
          </w:tcPr>
          <w:p w:rsidR="008D6145" w:rsidRPr="00534938" w:rsidRDefault="008D6145">
            <w:pPr>
              <w:suppressAutoHyphens w:val="0"/>
              <w:kinsoku/>
              <w:overflowPunct/>
              <w:autoSpaceDE/>
              <w:autoSpaceDN/>
              <w:adjustRightInd/>
              <w:snapToGrid/>
              <w:spacing w:before="40" w:after="40" w:line="220" w:lineRule="exact"/>
              <w:rPr>
                <w:rFonts w:eastAsia="Times New Roman"/>
                <w:sz w:val="18"/>
                <w:szCs w:val="28"/>
              </w:rPr>
            </w:pPr>
            <w:r w:rsidRPr="00534938">
              <w:rPr>
                <w:rFonts w:eastAsia="Times New Roman"/>
                <w:sz w:val="18"/>
                <w:szCs w:val="28"/>
              </w:rPr>
              <w:t>Couffo</w:t>
            </w:r>
          </w:p>
        </w:tc>
        <w:tc>
          <w:tcPr>
            <w:tcW w:w="794" w:type="dxa"/>
            <w:shd w:val="clear" w:color="auto" w:fill="auto"/>
            <w:vAlign w:val="bottom"/>
            <w:hideMark/>
          </w:tcPr>
          <w:p w:rsidR="008D6145" w:rsidRPr="00534938" w:rsidRDefault="008D6145">
            <w:pPr>
              <w:suppressAutoHyphens w:val="0"/>
              <w:kinsoku/>
              <w:overflowPunct/>
              <w:autoSpaceDE/>
              <w:autoSpaceDN/>
              <w:adjustRightInd/>
              <w:snapToGrid/>
              <w:spacing w:before="40" w:after="40" w:line="220" w:lineRule="exact"/>
              <w:jc w:val="right"/>
              <w:rPr>
                <w:rFonts w:eastAsia="Times New Roman"/>
                <w:sz w:val="18"/>
                <w:szCs w:val="28"/>
              </w:rPr>
            </w:pPr>
            <w:r w:rsidRPr="00534938">
              <w:rPr>
                <w:rFonts w:eastAsia="Times New Roman"/>
                <w:sz w:val="18"/>
                <w:szCs w:val="28"/>
              </w:rPr>
              <w:t>5</w:t>
            </w:r>
          </w:p>
        </w:tc>
        <w:tc>
          <w:tcPr>
            <w:tcW w:w="794" w:type="dxa"/>
            <w:shd w:val="clear" w:color="auto" w:fill="auto"/>
            <w:vAlign w:val="bottom"/>
            <w:hideMark/>
          </w:tcPr>
          <w:p w:rsidR="008D6145" w:rsidRPr="00534938" w:rsidRDefault="008D6145">
            <w:pPr>
              <w:suppressAutoHyphens w:val="0"/>
              <w:kinsoku/>
              <w:overflowPunct/>
              <w:autoSpaceDE/>
              <w:autoSpaceDN/>
              <w:adjustRightInd/>
              <w:snapToGrid/>
              <w:spacing w:before="40" w:after="40" w:line="220" w:lineRule="exact"/>
              <w:jc w:val="right"/>
              <w:rPr>
                <w:rFonts w:eastAsia="Times New Roman"/>
                <w:sz w:val="18"/>
                <w:szCs w:val="28"/>
              </w:rPr>
            </w:pPr>
            <w:r w:rsidRPr="00534938">
              <w:rPr>
                <w:rFonts w:eastAsia="Times New Roman"/>
                <w:sz w:val="18"/>
                <w:szCs w:val="28"/>
              </w:rPr>
              <w:t>2,4</w:t>
            </w:r>
          </w:p>
        </w:tc>
        <w:tc>
          <w:tcPr>
            <w:tcW w:w="794" w:type="dxa"/>
            <w:shd w:val="clear" w:color="auto" w:fill="auto"/>
            <w:vAlign w:val="bottom"/>
            <w:hideMark/>
          </w:tcPr>
          <w:p w:rsidR="008D6145" w:rsidRPr="00534938" w:rsidRDefault="008D6145">
            <w:pPr>
              <w:suppressAutoHyphens w:val="0"/>
              <w:kinsoku/>
              <w:overflowPunct/>
              <w:autoSpaceDE/>
              <w:autoSpaceDN/>
              <w:adjustRightInd/>
              <w:snapToGrid/>
              <w:spacing w:before="40" w:after="40" w:line="220" w:lineRule="exact"/>
              <w:jc w:val="right"/>
              <w:rPr>
                <w:rFonts w:eastAsia="Times New Roman"/>
                <w:sz w:val="18"/>
                <w:szCs w:val="28"/>
              </w:rPr>
            </w:pPr>
            <w:r w:rsidRPr="00534938">
              <w:rPr>
                <w:rFonts w:eastAsia="Times New Roman"/>
                <w:sz w:val="18"/>
                <w:szCs w:val="28"/>
              </w:rPr>
              <w:t>2,9</w:t>
            </w:r>
          </w:p>
        </w:tc>
        <w:tc>
          <w:tcPr>
            <w:tcW w:w="794" w:type="dxa"/>
            <w:shd w:val="clear" w:color="auto" w:fill="auto"/>
            <w:noWrap/>
            <w:vAlign w:val="bottom"/>
            <w:hideMark/>
          </w:tcPr>
          <w:p w:rsidR="008D6145" w:rsidRPr="00534938" w:rsidRDefault="008D6145">
            <w:pPr>
              <w:suppressAutoHyphens w:val="0"/>
              <w:kinsoku/>
              <w:overflowPunct/>
              <w:autoSpaceDE/>
              <w:autoSpaceDN/>
              <w:adjustRightInd/>
              <w:snapToGrid/>
              <w:spacing w:before="40" w:after="40" w:line="220" w:lineRule="exact"/>
              <w:jc w:val="right"/>
              <w:rPr>
                <w:rFonts w:eastAsia="Times New Roman"/>
                <w:sz w:val="18"/>
                <w:szCs w:val="28"/>
              </w:rPr>
            </w:pPr>
            <w:r w:rsidRPr="00534938">
              <w:rPr>
                <w:rFonts w:eastAsia="Times New Roman"/>
                <w:sz w:val="18"/>
                <w:szCs w:val="28"/>
              </w:rPr>
              <w:t>2,53</w:t>
            </w:r>
          </w:p>
        </w:tc>
        <w:tc>
          <w:tcPr>
            <w:tcW w:w="794" w:type="dxa"/>
            <w:shd w:val="clear" w:color="auto" w:fill="auto"/>
            <w:noWrap/>
            <w:vAlign w:val="bottom"/>
            <w:hideMark/>
          </w:tcPr>
          <w:p w:rsidR="008D6145" w:rsidRPr="00534938" w:rsidRDefault="008D6145">
            <w:pPr>
              <w:suppressAutoHyphens w:val="0"/>
              <w:kinsoku/>
              <w:overflowPunct/>
              <w:autoSpaceDE/>
              <w:autoSpaceDN/>
              <w:adjustRightInd/>
              <w:snapToGrid/>
              <w:spacing w:before="40" w:after="40" w:line="220" w:lineRule="exact"/>
              <w:jc w:val="right"/>
              <w:rPr>
                <w:rFonts w:eastAsia="Times New Roman"/>
                <w:sz w:val="18"/>
                <w:szCs w:val="28"/>
              </w:rPr>
            </w:pPr>
            <w:r w:rsidRPr="00534938">
              <w:rPr>
                <w:rFonts w:eastAsia="Times New Roman"/>
                <w:sz w:val="18"/>
                <w:szCs w:val="28"/>
              </w:rPr>
              <w:t>1,8</w:t>
            </w:r>
          </w:p>
        </w:tc>
        <w:tc>
          <w:tcPr>
            <w:tcW w:w="794" w:type="dxa"/>
            <w:shd w:val="clear" w:color="auto" w:fill="auto"/>
            <w:vAlign w:val="bottom"/>
            <w:hideMark/>
          </w:tcPr>
          <w:p w:rsidR="008D6145" w:rsidRPr="00534938" w:rsidRDefault="008D6145">
            <w:pPr>
              <w:suppressAutoHyphens w:val="0"/>
              <w:kinsoku/>
              <w:overflowPunct/>
              <w:autoSpaceDE/>
              <w:autoSpaceDN/>
              <w:adjustRightInd/>
              <w:snapToGrid/>
              <w:spacing w:before="40" w:after="40" w:line="220" w:lineRule="exact"/>
              <w:jc w:val="right"/>
              <w:rPr>
                <w:rFonts w:eastAsia="Times New Roman"/>
                <w:sz w:val="18"/>
                <w:szCs w:val="28"/>
              </w:rPr>
            </w:pPr>
            <w:r w:rsidRPr="00534938">
              <w:rPr>
                <w:rFonts w:eastAsia="Times New Roman"/>
                <w:sz w:val="18"/>
                <w:szCs w:val="28"/>
              </w:rPr>
              <w:t>2,1</w:t>
            </w:r>
          </w:p>
        </w:tc>
        <w:tc>
          <w:tcPr>
            <w:tcW w:w="794" w:type="dxa"/>
            <w:shd w:val="clear" w:color="auto" w:fill="auto"/>
            <w:noWrap/>
            <w:vAlign w:val="bottom"/>
            <w:hideMark/>
          </w:tcPr>
          <w:p w:rsidR="008D6145" w:rsidRPr="00534938" w:rsidRDefault="008D6145">
            <w:pPr>
              <w:suppressAutoHyphens w:val="0"/>
              <w:kinsoku/>
              <w:overflowPunct/>
              <w:autoSpaceDE/>
              <w:autoSpaceDN/>
              <w:adjustRightInd/>
              <w:snapToGrid/>
              <w:spacing w:before="40" w:after="40" w:line="220" w:lineRule="exact"/>
              <w:jc w:val="right"/>
              <w:rPr>
                <w:rFonts w:eastAsia="Times New Roman"/>
                <w:sz w:val="18"/>
                <w:szCs w:val="28"/>
              </w:rPr>
            </w:pPr>
            <w:r w:rsidRPr="00534938">
              <w:rPr>
                <w:rFonts w:eastAsia="Times New Roman"/>
                <w:sz w:val="18"/>
                <w:szCs w:val="28"/>
              </w:rPr>
              <w:t>2,53</w:t>
            </w:r>
          </w:p>
        </w:tc>
        <w:tc>
          <w:tcPr>
            <w:tcW w:w="794" w:type="dxa"/>
            <w:shd w:val="clear" w:color="auto" w:fill="auto"/>
            <w:noWrap/>
            <w:vAlign w:val="bottom"/>
            <w:hideMark/>
          </w:tcPr>
          <w:p w:rsidR="008D6145" w:rsidRPr="00534938" w:rsidRDefault="008D6145">
            <w:pPr>
              <w:suppressAutoHyphens w:val="0"/>
              <w:kinsoku/>
              <w:overflowPunct/>
              <w:autoSpaceDE/>
              <w:autoSpaceDN/>
              <w:adjustRightInd/>
              <w:snapToGrid/>
              <w:spacing w:before="40" w:after="40" w:line="220" w:lineRule="exact"/>
              <w:jc w:val="right"/>
              <w:rPr>
                <w:rFonts w:eastAsia="Times New Roman"/>
                <w:sz w:val="18"/>
                <w:szCs w:val="28"/>
              </w:rPr>
            </w:pPr>
            <w:r w:rsidRPr="00534938">
              <w:rPr>
                <w:rFonts w:eastAsia="Times New Roman"/>
                <w:sz w:val="18"/>
                <w:szCs w:val="28"/>
              </w:rPr>
              <w:t>1,8</w:t>
            </w:r>
          </w:p>
        </w:tc>
        <w:tc>
          <w:tcPr>
            <w:tcW w:w="794" w:type="dxa"/>
            <w:shd w:val="clear" w:color="auto" w:fill="auto"/>
            <w:vAlign w:val="bottom"/>
            <w:hideMark/>
          </w:tcPr>
          <w:p w:rsidR="008D6145" w:rsidRPr="00534938" w:rsidRDefault="008D6145">
            <w:pPr>
              <w:suppressAutoHyphens w:val="0"/>
              <w:kinsoku/>
              <w:overflowPunct/>
              <w:autoSpaceDE/>
              <w:autoSpaceDN/>
              <w:adjustRightInd/>
              <w:snapToGrid/>
              <w:spacing w:before="40" w:after="40" w:line="220" w:lineRule="exact"/>
              <w:jc w:val="right"/>
              <w:rPr>
                <w:rFonts w:eastAsia="Times New Roman"/>
                <w:sz w:val="18"/>
                <w:szCs w:val="28"/>
              </w:rPr>
            </w:pPr>
            <w:r w:rsidRPr="00534938">
              <w:rPr>
                <w:rFonts w:eastAsia="Times New Roman"/>
                <w:sz w:val="18"/>
                <w:szCs w:val="28"/>
              </w:rPr>
              <w:t>2,53</w:t>
            </w:r>
          </w:p>
        </w:tc>
      </w:tr>
      <w:tr w:rsidR="00534938" w:rsidRPr="00534938" w:rsidTr="00821D2B">
        <w:tc>
          <w:tcPr>
            <w:tcW w:w="1361" w:type="dxa"/>
            <w:shd w:val="clear" w:color="auto" w:fill="auto"/>
            <w:noWrap/>
            <w:hideMark/>
          </w:tcPr>
          <w:p w:rsidR="008D6145" w:rsidRPr="00534938" w:rsidRDefault="008D6145">
            <w:pPr>
              <w:suppressAutoHyphens w:val="0"/>
              <w:kinsoku/>
              <w:overflowPunct/>
              <w:autoSpaceDE/>
              <w:autoSpaceDN/>
              <w:adjustRightInd/>
              <w:snapToGrid/>
              <w:spacing w:before="40" w:after="40" w:line="220" w:lineRule="exact"/>
              <w:rPr>
                <w:rFonts w:eastAsia="Times New Roman"/>
                <w:sz w:val="18"/>
                <w:szCs w:val="28"/>
              </w:rPr>
            </w:pPr>
            <w:r w:rsidRPr="00534938">
              <w:rPr>
                <w:rFonts w:eastAsia="Times New Roman"/>
                <w:sz w:val="18"/>
                <w:szCs w:val="28"/>
              </w:rPr>
              <w:t>Donga</w:t>
            </w:r>
          </w:p>
        </w:tc>
        <w:tc>
          <w:tcPr>
            <w:tcW w:w="794" w:type="dxa"/>
            <w:shd w:val="clear" w:color="auto" w:fill="auto"/>
            <w:vAlign w:val="bottom"/>
            <w:hideMark/>
          </w:tcPr>
          <w:p w:rsidR="008D6145" w:rsidRPr="00534938" w:rsidRDefault="008D6145">
            <w:pPr>
              <w:suppressAutoHyphens w:val="0"/>
              <w:kinsoku/>
              <w:overflowPunct/>
              <w:autoSpaceDE/>
              <w:autoSpaceDN/>
              <w:adjustRightInd/>
              <w:snapToGrid/>
              <w:spacing w:before="40" w:after="40" w:line="220" w:lineRule="exact"/>
              <w:jc w:val="right"/>
              <w:rPr>
                <w:rFonts w:eastAsia="Times New Roman"/>
                <w:sz w:val="18"/>
                <w:szCs w:val="28"/>
              </w:rPr>
            </w:pPr>
            <w:r w:rsidRPr="00534938">
              <w:rPr>
                <w:rFonts w:eastAsia="Times New Roman"/>
                <w:sz w:val="18"/>
                <w:szCs w:val="28"/>
              </w:rPr>
              <w:t>2,3</w:t>
            </w:r>
          </w:p>
        </w:tc>
        <w:tc>
          <w:tcPr>
            <w:tcW w:w="794" w:type="dxa"/>
            <w:shd w:val="clear" w:color="auto" w:fill="auto"/>
            <w:vAlign w:val="bottom"/>
            <w:hideMark/>
          </w:tcPr>
          <w:p w:rsidR="008D6145" w:rsidRPr="00534938" w:rsidRDefault="008D6145">
            <w:pPr>
              <w:suppressAutoHyphens w:val="0"/>
              <w:kinsoku/>
              <w:overflowPunct/>
              <w:autoSpaceDE/>
              <w:autoSpaceDN/>
              <w:adjustRightInd/>
              <w:snapToGrid/>
              <w:spacing w:before="40" w:after="40" w:line="220" w:lineRule="exact"/>
              <w:jc w:val="right"/>
              <w:rPr>
                <w:rFonts w:eastAsia="Times New Roman"/>
                <w:sz w:val="18"/>
                <w:szCs w:val="28"/>
              </w:rPr>
            </w:pPr>
            <w:r w:rsidRPr="00534938">
              <w:rPr>
                <w:rFonts w:eastAsia="Times New Roman"/>
                <w:sz w:val="18"/>
                <w:szCs w:val="28"/>
              </w:rPr>
              <w:t>1,8</w:t>
            </w:r>
          </w:p>
        </w:tc>
        <w:tc>
          <w:tcPr>
            <w:tcW w:w="794" w:type="dxa"/>
            <w:shd w:val="clear" w:color="auto" w:fill="auto"/>
            <w:vAlign w:val="bottom"/>
            <w:hideMark/>
          </w:tcPr>
          <w:p w:rsidR="008D6145" w:rsidRPr="00534938" w:rsidRDefault="008D6145">
            <w:pPr>
              <w:suppressAutoHyphens w:val="0"/>
              <w:kinsoku/>
              <w:overflowPunct/>
              <w:autoSpaceDE/>
              <w:autoSpaceDN/>
              <w:adjustRightInd/>
              <w:snapToGrid/>
              <w:spacing w:before="40" w:after="40" w:line="220" w:lineRule="exact"/>
              <w:jc w:val="right"/>
              <w:rPr>
                <w:rFonts w:eastAsia="Times New Roman"/>
                <w:sz w:val="18"/>
                <w:szCs w:val="28"/>
              </w:rPr>
            </w:pPr>
            <w:r w:rsidRPr="00534938">
              <w:rPr>
                <w:rFonts w:eastAsia="Times New Roman"/>
                <w:sz w:val="18"/>
                <w:szCs w:val="28"/>
              </w:rPr>
              <w:t>1,9</w:t>
            </w:r>
          </w:p>
        </w:tc>
        <w:tc>
          <w:tcPr>
            <w:tcW w:w="794" w:type="dxa"/>
            <w:shd w:val="clear" w:color="auto" w:fill="auto"/>
            <w:noWrap/>
            <w:vAlign w:val="bottom"/>
            <w:hideMark/>
          </w:tcPr>
          <w:p w:rsidR="008D6145" w:rsidRPr="00534938" w:rsidRDefault="008D6145">
            <w:pPr>
              <w:suppressAutoHyphens w:val="0"/>
              <w:kinsoku/>
              <w:overflowPunct/>
              <w:autoSpaceDE/>
              <w:autoSpaceDN/>
              <w:adjustRightInd/>
              <w:snapToGrid/>
              <w:spacing w:before="40" w:after="40" w:line="220" w:lineRule="exact"/>
              <w:jc w:val="right"/>
              <w:rPr>
                <w:rFonts w:eastAsia="Times New Roman"/>
                <w:sz w:val="18"/>
                <w:szCs w:val="28"/>
              </w:rPr>
            </w:pPr>
            <w:r w:rsidRPr="00534938">
              <w:rPr>
                <w:rFonts w:eastAsia="Times New Roman"/>
                <w:sz w:val="18"/>
                <w:szCs w:val="28"/>
              </w:rPr>
              <w:t>1,99</w:t>
            </w:r>
          </w:p>
        </w:tc>
        <w:tc>
          <w:tcPr>
            <w:tcW w:w="794" w:type="dxa"/>
            <w:shd w:val="clear" w:color="auto" w:fill="auto"/>
            <w:noWrap/>
            <w:vAlign w:val="bottom"/>
            <w:hideMark/>
          </w:tcPr>
          <w:p w:rsidR="008D6145" w:rsidRPr="00534938" w:rsidRDefault="008D6145">
            <w:pPr>
              <w:suppressAutoHyphens w:val="0"/>
              <w:kinsoku/>
              <w:overflowPunct/>
              <w:autoSpaceDE/>
              <w:autoSpaceDN/>
              <w:adjustRightInd/>
              <w:snapToGrid/>
              <w:spacing w:before="40" w:after="40" w:line="220" w:lineRule="exact"/>
              <w:jc w:val="right"/>
              <w:rPr>
                <w:rFonts w:eastAsia="Times New Roman"/>
                <w:sz w:val="18"/>
                <w:szCs w:val="28"/>
              </w:rPr>
            </w:pPr>
            <w:r w:rsidRPr="00534938">
              <w:rPr>
                <w:rFonts w:eastAsia="Times New Roman"/>
                <w:sz w:val="18"/>
                <w:szCs w:val="28"/>
              </w:rPr>
              <w:t>1,99</w:t>
            </w:r>
          </w:p>
        </w:tc>
        <w:tc>
          <w:tcPr>
            <w:tcW w:w="794" w:type="dxa"/>
            <w:shd w:val="clear" w:color="auto" w:fill="auto"/>
            <w:vAlign w:val="bottom"/>
            <w:hideMark/>
          </w:tcPr>
          <w:p w:rsidR="008D6145" w:rsidRPr="00534938" w:rsidRDefault="008D6145">
            <w:pPr>
              <w:suppressAutoHyphens w:val="0"/>
              <w:kinsoku/>
              <w:overflowPunct/>
              <w:autoSpaceDE/>
              <w:autoSpaceDN/>
              <w:adjustRightInd/>
              <w:snapToGrid/>
              <w:spacing w:before="40" w:after="40" w:line="220" w:lineRule="exact"/>
              <w:jc w:val="right"/>
              <w:rPr>
                <w:rFonts w:eastAsia="Times New Roman"/>
                <w:sz w:val="18"/>
                <w:szCs w:val="28"/>
              </w:rPr>
            </w:pPr>
            <w:r w:rsidRPr="00534938">
              <w:rPr>
                <w:rFonts w:eastAsia="Times New Roman"/>
                <w:sz w:val="18"/>
                <w:szCs w:val="28"/>
              </w:rPr>
              <w:t>1,99</w:t>
            </w:r>
          </w:p>
        </w:tc>
        <w:tc>
          <w:tcPr>
            <w:tcW w:w="794" w:type="dxa"/>
            <w:shd w:val="clear" w:color="auto" w:fill="auto"/>
            <w:noWrap/>
            <w:vAlign w:val="bottom"/>
            <w:hideMark/>
          </w:tcPr>
          <w:p w:rsidR="008D6145" w:rsidRPr="00534938" w:rsidRDefault="008D6145">
            <w:pPr>
              <w:suppressAutoHyphens w:val="0"/>
              <w:kinsoku/>
              <w:overflowPunct/>
              <w:autoSpaceDE/>
              <w:autoSpaceDN/>
              <w:adjustRightInd/>
              <w:snapToGrid/>
              <w:spacing w:before="40" w:after="40" w:line="220" w:lineRule="exact"/>
              <w:jc w:val="right"/>
              <w:rPr>
                <w:rFonts w:eastAsia="Times New Roman"/>
                <w:sz w:val="18"/>
                <w:szCs w:val="28"/>
              </w:rPr>
            </w:pPr>
            <w:r w:rsidRPr="00534938">
              <w:rPr>
                <w:rFonts w:eastAsia="Times New Roman"/>
                <w:sz w:val="18"/>
                <w:szCs w:val="28"/>
              </w:rPr>
              <w:t>1,99</w:t>
            </w:r>
          </w:p>
        </w:tc>
        <w:tc>
          <w:tcPr>
            <w:tcW w:w="794" w:type="dxa"/>
            <w:shd w:val="clear" w:color="auto" w:fill="auto"/>
            <w:noWrap/>
            <w:vAlign w:val="bottom"/>
            <w:hideMark/>
          </w:tcPr>
          <w:p w:rsidR="008D6145" w:rsidRPr="00534938" w:rsidRDefault="008D6145">
            <w:pPr>
              <w:suppressAutoHyphens w:val="0"/>
              <w:kinsoku/>
              <w:overflowPunct/>
              <w:autoSpaceDE/>
              <w:autoSpaceDN/>
              <w:adjustRightInd/>
              <w:snapToGrid/>
              <w:spacing w:before="40" w:after="40" w:line="220" w:lineRule="exact"/>
              <w:jc w:val="right"/>
              <w:rPr>
                <w:rFonts w:eastAsia="Times New Roman"/>
                <w:sz w:val="18"/>
                <w:szCs w:val="28"/>
              </w:rPr>
            </w:pPr>
            <w:r w:rsidRPr="00534938">
              <w:rPr>
                <w:rFonts w:eastAsia="Times New Roman"/>
                <w:sz w:val="18"/>
                <w:szCs w:val="28"/>
              </w:rPr>
              <w:t>1,99</w:t>
            </w:r>
          </w:p>
        </w:tc>
        <w:tc>
          <w:tcPr>
            <w:tcW w:w="794" w:type="dxa"/>
            <w:shd w:val="clear" w:color="auto" w:fill="auto"/>
            <w:vAlign w:val="bottom"/>
            <w:hideMark/>
          </w:tcPr>
          <w:p w:rsidR="008D6145" w:rsidRPr="00534938" w:rsidRDefault="008D6145">
            <w:pPr>
              <w:suppressAutoHyphens w:val="0"/>
              <w:kinsoku/>
              <w:overflowPunct/>
              <w:autoSpaceDE/>
              <w:autoSpaceDN/>
              <w:adjustRightInd/>
              <w:snapToGrid/>
              <w:spacing w:before="40" w:after="40" w:line="220" w:lineRule="exact"/>
              <w:jc w:val="right"/>
              <w:rPr>
                <w:rFonts w:eastAsia="Times New Roman"/>
                <w:sz w:val="18"/>
                <w:szCs w:val="28"/>
              </w:rPr>
            </w:pPr>
            <w:r w:rsidRPr="00534938">
              <w:rPr>
                <w:rFonts w:eastAsia="Times New Roman"/>
                <w:sz w:val="18"/>
                <w:szCs w:val="28"/>
              </w:rPr>
              <w:t>1,99</w:t>
            </w:r>
          </w:p>
        </w:tc>
      </w:tr>
      <w:tr w:rsidR="00534938" w:rsidRPr="00534938" w:rsidTr="00821D2B">
        <w:tc>
          <w:tcPr>
            <w:tcW w:w="1361" w:type="dxa"/>
            <w:shd w:val="clear" w:color="auto" w:fill="auto"/>
            <w:noWrap/>
            <w:hideMark/>
          </w:tcPr>
          <w:p w:rsidR="008D6145" w:rsidRPr="00534938" w:rsidRDefault="008D6145">
            <w:pPr>
              <w:suppressAutoHyphens w:val="0"/>
              <w:kinsoku/>
              <w:overflowPunct/>
              <w:autoSpaceDE/>
              <w:autoSpaceDN/>
              <w:adjustRightInd/>
              <w:snapToGrid/>
              <w:spacing w:before="40" w:after="40" w:line="220" w:lineRule="exact"/>
              <w:rPr>
                <w:rFonts w:eastAsia="Times New Roman"/>
                <w:sz w:val="18"/>
                <w:szCs w:val="28"/>
              </w:rPr>
            </w:pPr>
            <w:r w:rsidRPr="00534938">
              <w:rPr>
                <w:rFonts w:eastAsia="Times New Roman"/>
                <w:sz w:val="18"/>
                <w:szCs w:val="28"/>
              </w:rPr>
              <w:t>Littoral</w:t>
            </w:r>
          </w:p>
        </w:tc>
        <w:tc>
          <w:tcPr>
            <w:tcW w:w="794" w:type="dxa"/>
            <w:shd w:val="clear" w:color="auto" w:fill="auto"/>
            <w:vAlign w:val="bottom"/>
            <w:hideMark/>
          </w:tcPr>
          <w:p w:rsidR="008D6145" w:rsidRPr="00534938" w:rsidRDefault="008D6145">
            <w:pPr>
              <w:suppressAutoHyphens w:val="0"/>
              <w:kinsoku/>
              <w:overflowPunct/>
              <w:autoSpaceDE/>
              <w:autoSpaceDN/>
              <w:adjustRightInd/>
              <w:snapToGrid/>
              <w:spacing w:before="40" w:after="40" w:line="220" w:lineRule="exact"/>
              <w:jc w:val="right"/>
              <w:rPr>
                <w:rFonts w:eastAsia="Times New Roman"/>
                <w:sz w:val="18"/>
                <w:szCs w:val="28"/>
              </w:rPr>
            </w:pPr>
            <w:r w:rsidRPr="00534938">
              <w:rPr>
                <w:rFonts w:eastAsia="Times New Roman"/>
                <w:sz w:val="18"/>
                <w:szCs w:val="28"/>
              </w:rPr>
              <w:t>3,1</w:t>
            </w:r>
          </w:p>
        </w:tc>
        <w:tc>
          <w:tcPr>
            <w:tcW w:w="794" w:type="dxa"/>
            <w:shd w:val="clear" w:color="auto" w:fill="auto"/>
            <w:vAlign w:val="bottom"/>
            <w:hideMark/>
          </w:tcPr>
          <w:p w:rsidR="008D6145" w:rsidRPr="00534938" w:rsidRDefault="008D6145">
            <w:pPr>
              <w:suppressAutoHyphens w:val="0"/>
              <w:kinsoku/>
              <w:overflowPunct/>
              <w:autoSpaceDE/>
              <w:autoSpaceDN/>
              <w:adjustRightInd/>
              <w:snapToGrid/>
              <w:spacing w:before="40" w:after="40" w:line="220" w:lineRule="exact"/>
              <w:jc w:val="right"/>
              <w:rPr>
                <w:rFonts w:eastAsia="Times New Roman"/>
                <w:sz w:val="18"/>
                <w:szCs w:val="28"/>
              </w:rPr>
            </w:pPr>
            <w:r w:rsidRPr="00534938">
              <w:rPr>
                <w:rFonts w:eastAsia="Times New Roman"/>
                <w:sz w:val="18"/>
                <w:szCs w:val="28"/>
              </w:rPr>
              <w:t>-</w:t>
            </w:r>
          </w:p>
        </w:tc>
        <w:tc>
          <w:tcPr>
            <w:tcW w:w="794" w:type="dxa"/>
            <w:shd w:val="clear" w:color="auto" w:fill="auto"/>
            <w:vAlign w:val="bottom"/>
            <w:hideMark/>
          </w:tcPr>
          <w:p w:rsidR="008D6145" w:rsidRPr="00534938" w:rsidRDefault="008D6145">
            <w:pPr>
              <w:suppressAutoHyphens w:val="0"/>
              <w:kinsoku/>
              <w:overflowPunct/>
              <w:autoSpaceDE/>
              <w:autoSpaceDN/>
              <w:adjustRightInd/>
              <w:snapToGrid/>
              <w:spacing w:before="40" w:after="40" w:line="220" w:lineRule="exact"/>
              <w:jc w:val="right"/>
              <w:rPr>
                <w:rFonts w:eastAsia="Times New Roman"/>
                <w:sz w:val="18"/>
                <w:szCs w:val="28"/>
              </w:rPr>
            </w:pPr>
            <w:r w:rsidRPr="00534938">
              <w:rPr>
                <w:rFonts w:eastAsia="Times New Roman"/>
                <w:sz w:val="18"/>
                <w:szCs w:val="28"/>
              </w:rPr>
              <w:t>3,1</w:t>
            </w:r>
          </w:p>
        </w:tc>
        <w:tc>
          <w:tcPr>
            <w:tcW w:w="794" w:type="dxa"/>
            <w:shd w:val="clear" w:color="auto" w:fill="auto"/>
            <w:noWrap/>
            <w:vAlign w:val="bottom"/>
            <w:hideMark/>
          </w:tcPr>
          <w:p w:rsidR="008D6145" w:rsidRPr="00534938" w:rsidRDefault="008D6145">
            <w:pPr>
              <w:suppressAutoHyphens w:val="0"/>
              <w:kinsoku/>
              <w:overflowPunct/>
              <w:autoSpaceDE/>
              <w:autoSpaceDN/>
              <w:adjustRightInd/>
              <w:snapToGrid/>
              <w:spacing w:before="40" w:after="40" w:line="220" w:lineRule="exact"/>
              <w:jc w:val="right"/>
              <w:rPr>
                <w:rFonts w:eastAsia="Times New Roman"/>
                <w:sz w:val="18"/>
                <w:szCs w:val="28"/>
              </w:rPr>
            </w:pPr>
            <w:r w:rsidRPr="00534938">
              <w:rPr>
                <w:rFonts w:eastAsia="Times New Roman"/>
                <w:sz w:val="18"/>
                <w:szCs w:val="28"/>
              </w:rPr>
              <w:t>3,05</w:t>
            </w:r>
          </w:p>
        </w:tc>
        <w:tc>
          <w:tcPr>
            <w:tcW w:w="794" w:type="dxa"/>
            <w:shd w:val="clear" w:color="auto" w:fill="auto"/>
            <w:noWrap/>
            <w:vAlign w:val="bottom"/>
            <w:hideMark/>
          </w:tcPr>
          <w:p w:rsidR="008D6145" w:rsidRPr="00534938" w:rsidRDefault="008D6145">
            <w:pPr>
              <w:suppressAutoHyphens w:val="0"/>
              <w:kinsoku/>
              <w:overflowPunct/>
              <w:autoSpaceDE/>
              <w:autoSpaceDN/>
              <w:adjustRightInd/>
              <w:snapToGrid/>
              <w:spacing w:before="40" w:after="40" w:line="220" w:lineRule="exact"/>
              <w:jc w:val="right"/>
              <w:rPr>
                <w:rFonts w:eastAsia="Times New Roman"/>
                <w:sz w:val="18"/>
                <w:szCs w:val="28"/>
              </w:rPr>
            </w:pPr>
            <w:r w:rsidRPr="00534938">
              <w:rPr>
                <w:rFonts w:eastAsia="Times New Roman"/>
                <w:sz w:val="18"/>
                <w:szCs w:val="28"/>
              </w:rPr>
              <w:t>0</w:t>
            </w:r>
          </w:p>
        </w:tc>
        <w:tc>
          <w:tcPr>
            <w:tcW w:w="794" w:type="dxa"/>
            <w:shd w:val="clear" w:color="auto" w:fill="auto"/>
            <w:vAlign w:val="bottom"/>
            <w:hideMark/>
          </w:tcPr>
          <w:p w:rsidR="008D6145" w:rsidRPr="00534938" w:rsidRDefault="008D6145">
            <w:pPr>
              <w:suppressAutoHyphens w:val="0"/>
              <w:kinsoku/>
              <w:overflowPunct/>
              <w:autoSpaceDE/>
              <w:autoSpaceDN/>
              <w:adjustRightInd/>
              <w:snapToGrid/>
              <w:spacing w:before="40" w:after="40" w:line="220" w:lineRule="exact"/>
              <w:jc w:val="right"/>
              <w:rPr>
                <w:rFonts w:eastAsia="Times New Roman"/>
                <w:sz w:val="18"/>
                <w:szCs w:val="28"/>
              </w:rPr>
            </w:pPr>
            <w:r w:rsidRPr="00534938">
              <w:rPr>
                <w:rFonts w:eastAsia="Times New Roman"/>
                <w:sz w:val="18"/>
                <w:szCs w:val="28"/>
              </w:rPr>
              <w:t>3,05</w:t>
            </w:r>
          </w:p>
        </w:tc>
        <w:tc>
          <w:tcPr>
            <w:tcW w:w="794" w:type="dxa"/>
            <w:shd w:val="clear" w:color="auto" w:fill="auto"/>
            <w:noWrap/>
            <w:vAlign w:val="bottom"/>
            <w:hideMark/>
          </w:tcPr>
          <w:p w:rsidR="008D6145" w:rsidRPr="00534938" w:rsidRDefault="008D6145">
            <w:pPr>
              <w:suppressAutoHyphens w:val="0"/>
              <w:kinsoku/>
              <w:overflowPunct/>
              <w:autoSpaceDE/>
              <w:autoSpaceDN/>
              <w:adjustRightInd/>
              <w:snapToGrid/>
              <w:spacing w:before="40" w:after="40" w:line="220" w:lineRule="exact"/>
              <w:jc w:val="right"/>
              <w:rPr>
                <w:rFonts w:eastAsia="Times New Roman"/>
                <w:sz w:val="18"/>
                <w:szCs w:val="28"/>
              </w:rPr>
            </w:pPr>
            <w:r w:rsidRPr="00534938">
              <w:rPr>
                <w:rFonts w:eastAsia="Times New Roman"/>
                <w:sz w:val="18"/>
                <w:szCs w:val="28"/>
              </w:rPr>
              <w:t>3,05</w:t>
            </w:r>
          </w:p>
        </w:tc>
        <w:tc>
          <w:tcPr>
            <w:tcW w:w="794" w:type="dxa"/>
            <w:shd w:val="clear" w:color="auto" w:fill="auto"/>
            <w:noWrap/>
            <w:vAlign w:val="bottom"/>
            <w:hideMark/>
          </w:tcPr>
          <w:p w:rsidR="008D6145" w:rsidRPr="00534938" w:rsidRDefault="008D6145">
            <w:pPr>
              <w:suppressAutoHyphens w:val="0"/>
              <w:kinsoku/>
              <w:overflowPunct/>
              <w:autoSpaceDE/>
              <w:autoSpaceDN/>
              <w:adjustRightInd/>
              <w:snapToGrid/>
              <w:spacing w:before="40" w:after="40" w:line="220" w:lineRule="exact"/>
              <w:jc w:val="right"/>
              <w:rPr>
                <w:rFonts w:eastAsia="Times New Roman"/>
                <w:sz w:val="18"/>
                <w:szCs w:val="28"/>
              </w:rPr>
            </w:pPr>
            <w:r w:rsidRPr="00534938">
              <w:rPr>
                <w:rFonts w:eastAsia="Times New Roman"/>
                <w:sz w:val="18"/>
                <w:szCs w:val="28"/>
              </w:rPr>
              <w:t>0</w:t>
            </w:r>
          </w:p>
        </w:tc>
        <w:tc>
          <w:tcPr>
            <w:tcW w:w="794" w:type="dxa"/>
            <w:shd w:val="clear" w:color="auto" w:fill="auto"/>
            <w:vAlign w:val="bottom"/>
            <w:hideMark/>
          </w:tcPr>
          <w:p w:rsidR="008D6145" w:rsidRPr="00534938" w:rsidRDefault="008D6145">
            <w:pPr>
              <w:suppressAutoHyphens w:val="0"/>
              <w:kinsoku/>
              <w:overflowPunct/>
              <w:autoSpaceDE/>
              <w:autoSpaceDN/>
              <w:adjustRightInd/>
              <w:snapToGrid/>
              <w:spacing w:before="40" w:after="40" w:line="220" w:lineRule="exact"/>
              <w:jc w:val="right"/>
              <w:rPr>
                <w:rFonts w:eastAsia="Times New Roman"/>
                <w:sz w:val="18"/>
                <w:szCs w:val="28"/>
              </w:rPr>
            </w:pPr>
            <w:r w:rsidRPr="00534938">
              <w:rPr>
                <w:rFonts w:eastAsia="Times New Roman"/>
                <w:sz w:val="18"/>
                <w:szCs w:val="28"/>
              </w:rPr>
              <w:t>3,05</w:t>
            </w:r>
          </w:p>
        </w:tc>
      </w:tr>
      <w:tr w:rsidR="00534938" w:rsidRPr="00534938" w:rsidTr="00821D2B">
        <w:tc>
          <w:tcPr>
            <w:tcW w:w="1361" w:type="dxa"/>
            <w:shd w:val="clear" w:color="auto" w:fill="auto"/>
            <w:noWrap/>
            <w:hideMark/>
          </w:tcPr>
          <w:p w:rsidR="008D6145" w:rsidRPr="00534938" w:rsidRDefault="008D6145">
            <w:pPr>
              <w:suppressAutoHyphens w:val="0"/>
              <w:kinsoku/>
              <w:overflowPunct/>
              <w:autoSpaceDE/>
              <w:autoSpaceDN/>
              <w:adjustRightInd/>
              <w:snapToGrid/>
              <w:spacing w:before="40" w:after="40" w:line="220" w:lineRule="exact"/>
              <w:rPr>
                <w:rFonts w:eastAsia="Times New Roman"/>
                <w:sz w:val="18"/>
                <w:szCs w:val="28"/>
              </w:rPr>
            </w:pPr>
            <w:r w:rsidRPr="00534938">
              <w:rPr>
                <w:rFonts w:eastAsia="Times New Roman"/>
                <w:sz w:val="18"/>
                <w:szCs w:val="28"/>
              </w:rPr>
              <w:t>Mono</w:t>
            </w:r>
          </w:p>
        </w:tc>
        <w:tc>
          <w:tcPr>
            <w:tcW w:w="794" w:type="dxa"/>
            <w:shd w:val="clear" w:color="auto" w:fill="auto"/>
            <w:vAlign w:val="bottom"/>
            <w:hideMark/>
          </w:tcPr>
          <w:p w:rsidR="008D6145" w:rsidRPr="00534938" w:rsidRDefault="008D6145">
            <w:pPr>
              <w:suppressAutoHyphens w:val="0"/>
              <w:kinsoku/>
              <w:overflowPunct/>
              <w:autoSpaceDE/>
              <w:autoSpaceDN/>
              <w:adjustRightInd/>
              <w:snapToGrid/>
              <w:spacing w:before="40" w:after="40" w:line="220" w:lineRule="exact"/>
              <w:jc w:val="right"/>
              <w:rPr>
                <w:rFonts w:eastAsia="Times New Roman"/>
                <w:sz w:val="18"/>
                <w:szCs w:val="28"/>
              </w:rPr>
            </w:pPr>
            <w:r w:rsidRPr="00534938">
              <w:rPr>
                <w:rFonts w:eastAsia="Times New Roman"/>
                <w:sz w:val="18"/>
                <w:szCs w:val="28"/>
              </w:rPr>
              <w:t>2,1</w:t>
            </w:r>
          </w:p>
        </w:tc>
        <w:tc>
          <w:tcPr>
            <w:tcW w:w="794" w:type="dxa"/>
            <w:shd w:val="clear" w:color="auto" w:fill="auto"/>
            <w:vAlign w:val="bottom"/>
            <w:hideMark/>
          </w:tcPr>
          <w:p w:rsidR="008D6145" w:rsidRPr="00534938" w:rsidRDefault="008D6145">
            <w:pPr>
              <w:suppressAutoHyphens w:val="0"/>
              <w:kinsoku/>
              <w:overflowPunct/>
              <w:autoSpaceDE/>
              <w:autoSpaceDN/>
              <w:adjustRightInd/>
              <w:snapToGrid/>
              <w:spacing w:before="40" w:after="40" w:line="220" w:lineRule="exact"/>
              <w:jc w:val="right"/>
              <w:rPr>
                <w:rFonts w:eastAsia="Times New Roman"/>
                <w:sz w:val="18"/>
                <w:szCs w:val="28"/>
              </w:rPr>
            </w:pPr>
            <w:r w:rsidRPr="00534938">
              <w:rPr>
                <w:rFonts w:eastAsia="Times New Roman"/>
                <w:sz w:val="18"/>
                <w:szCs w:val="28"/>
              </w:rPr>
              <w:t>2</w:t>
            </w:r>
          </w:p>
        </w:tc>
        <w:tc>
          <w:tcPr>
            <w:tcW w:w="794" w:type="dxa"/>
            <w:shd w:val="clear" w:color="auto" w:fill="auto"/>
            <w:vAlign w:val="bottom"/>
            <w:hideMark/>
          </w:tcPr>
          <w:p w:rsidR="008D6145" w:rsidRPr="00534938" w:rsidRDefault="008D6145">
            <w:pPr>
              <w:suppressAutoHyphens w:val="0"/>
              <w:kinsoku/>
              <w:overflowPunct/>
              <w:autoSpaceDE/>
              <w:autoSpaceDN/>
              <w:adjustRightInd/>
              <w:snapToGrid/>
              <w:spacing w:before="40" w:after="40" w:line="220" w:lineRule="exact"/>
              <w:jc w:val="right"/>
              <w:rPr>
                <w:rFonts w:eastAsia="Times New Roman"/>
                <w:sz w:val="18"/>
                <w:szCs w:val="28"/>
              </w:rPr>
            </w:pPr>
            <w:r w:rsidRPr="00534938">
              <w:rPr>
                <w:rFonts w:eastAsia="Times New Roman"/>
                <w:sz w:val="18"/>
                <w:szCs w:val="28"/>
              </w:rPr>
              <w:t>2</w:t>
            </w:r>
          </w:p>
        </w:tc>
        <w:tc>
          <w:tcPr>
            <w:tcW w:w="794" w:type="dxa"/>
            <w:shd w:val="clear" w:color="auto" w:fill="auto"/>
            <w:noWrap/>
            <w:vAlign w:val="bottom"/>
            <w:hideMark/>
          </w:tcPr>
          <w:p w:rsidR="008D6145" w:rsidRPr="00534938" w:rsidRDefault="008D6145">
            <w:pPr>
              <w:suppressAutoHyphens w:val="0"/>
              <w:kinsoku/>
              <w:overflowPunct/>
              <w:autoSpaceDE/>
              <w:autoSpaceDN/>
              <w:adjustRightInd/>
              <w:snapToGrid/>
              <w:spacing w:before="40" w:after="40" w:line="220" w:lineRule="exact"/>
              <w:jc w:val="right"/>
              <w:rPr>
                <w:rFonts w:eastAsia="Times New Roman"/>
                <w:sz w:val="18"/>
                <w:szCs w:val="28"/>
              </w:rPr>
            </w:pPr>
            <w:r w:rsidRPr="00534938">
              <w:rPr>
                <w:rFonts w:eastAsia="Times New Roman"/>
                <w:sz w:val="18"/>
                <w:szCs w:val="28"/>
              </w:rPr>
              <w:t>2,76</w:t>
            </w:r>
          </w:p>
        </w:tc>
        <w:tc>
          <w:tcPr>
            <w:tcW w:w="794" w:type="dxa"/>
            <w:shd w:val="clear" w:color="auto" w:fill="auto"/>
            <w:noWrap/>
            <w:vAlign w:val="bottom"/>
            <w:hideMark/>
          </w:tcPr>
          <w:p w:rsidR="008D6145" w:rsidRPr="00534938" w:rsidRDefault="008D6145">
            <w:pPr>
              <w:suppressAutoHyphens w:val="0"/>
              <w:kinsoku/>
              <w:overflowPunct/>
              <w:autoSpaceDE/>
              <w:autoSpaceDN/>
              <w:adjustRightInd/>
              <w:snapToGrid/>
              <w:spacing w:before="40" w:after="40" w:line="220" w:lineRule="exact"/>
              <w:jc w:val="right"/>
              <w:rPr>
                <w:rFonts w:eastAsia="Times New Roman"/>
                <w:sz w:val="18"/>
                <w:szCs w:val="28"/>
              </w:rPr>
            </w:pPr>
            <w:r w:rsidRPr="00534938">
              <w:rPr>
                <w:rFonts w:eastAsia="Times New Roman"/>
                <w:sz w:val="18"/>
                <w:szCs w:val="28"/>
              </w:rPr>
              <w:t>3,59</w:t>
            </w:r>
          </w:p>
        </w:tc>
        <w:tc>
          <w:tcPr>
            <w:tcW w:w="794" w:type="dxa"/>
            <w:shd w:val="clear" w:color="auto" w:fill="auto"/>
            <w:vAlign w:val="bottom"/>
            <w:hideMark/>
          </w:tcPr>
          <w:p w:rsidR="008D6145" w:rsidRPr="00534938" w:rsidRDefault="008D6145">
            <w:pPr>
              <w:suppressAutoHyphens w:val="0"/>
              <w:kinsoku/>
              <w:overflowPunct/>
              <w:autoSpaceDE/>
              <w:autoSpaceDN/>
              <w:adjustRightInd/>
              <w:snapToGrid/>
              <w:spacing w:before="40" w:after="40" w:line="220" w:lineRule="exact"/>
              <w:jc w:val="right"/>
              <w:rPr>
                <w:rFonts w:eastAsia="Times New Roman"/>
                <w:sz w:val="18"/>
                <w:szCs w:val="28"/>
              </w:rPr>
            </w:pPr>
            <w:r w:rsidRPr="00534938">
              <w:rPr>
                <w:rFonts w:eastAsia="Times New Roman"/>
                <w:sz w:val="18"/>
                <w:szCs w:val="28"/>
              </w:rPr>
              <w:t>3,27</w:t>
            </w:r>
          </w:p>
        </w:tc>
        <w:tc>
          <w:tcPr>
            <w:tcW w:w="794" w:type="dxa"/>
            <w:shd w:val="clear" w:color="auto" w:fill="auto"/>
            <w:noWrap/>
            <w:vAlign w:val="bottom"/>
            <w:hideMark/>
          </w:tcPr>
          <w:p w:rsidR="008D6145" w:rsidRPr="00534938" w:rsidRDefault="008D6145">
            <w:pPr>
              <w:suppressAutoHyphens w:val="0"/>
              <w:kinsoku/>
              <w:overflowPunct/>
              <w:autoSpaceDE/>
              <w:autoSpaceDN/>
              <w:adjustRightInd/>
              <w:snapToGrid/>
              <w:spacing w:before="40" w:after="40" w:line="220" w:lineRule="exact"/>
              <w:jc w:val="right"/>
              <w:rPr>
                <w:rFonts w:eastAsia="Times New Roman"/>
                <w:sz w:val="18"/>
                <w:szCs w:val="28"/>
              </w:rPr>
            </w:pPr>
            <w:r w:rsidRPr="00534938">
              <w:rPr>
                <w:rFonts w:eastAsia="Times New Roman"/>
                <w:sz w:val="18"/>
                <w:szCs w:val="28"/>
              </w:rPr>
              <w:t>2,76</w:t>
            </w:r>
          </w:p>
        </w:tc>
        <w:tc>
          <w:tcPr>
            <w:tcW w:w="794" w:type="dxa"/>
            <w:shd w:val="clear" w:color="auto" w:fill="auto"/>
            <w:noWrap/>
            <w:vAlign w:val="bottom"/>
            <w:hideMark/>
          </w:tcPr>
          <w:p w:rsidR="008D6145" w:rsidRPr="00534938" w:rsidRDefault="008D6145">
            <w:pPr>
              <w:suppressAutoHyphens w:val="0"/>
              <w:kinsoku/>
              <w:overflowPunct/>
              <w:autoSpaceDE/>
              <w:autoSpaceDN/>
              <w:adjustRightInd/>
              <w:snapToGrid/>
              <w:spacing w:before="40" w:after="40" w:line="220" w:lineRule="exact"/>
              <w:jc w:val="right"/>
              <w:rPr>
                <w:rFonts w:eastAsia="Times New Roman"/>
                <w:sz w:val="18"/>
                <w:szCs w:val="28"/>
              </w:rPr>
            </w:pPr>
            <w:r w:rsidRPr="00534938">
              <w:rPr>
                <w:rFonts w:eastAsia="Times New Roman"/>
                <w:sz w:val="18"/>
                <w:szCs w:val="28"/>
              </w:rPr>
              <w:t>3,59</w:t>
            </w:r>
          </w:p>
        </w:tc>
        <w:tc>
          <w:tcPr>
            <w:tcW w:w="794" w:type="dxa"/>
            <w:shd w:val="clear" w:color="auto" w:fill="auto"/>
            <w:vAlign w:val="bottom"/>
            <w:hideMark/>
          </w:tcPr>
          <w:p w:rsidR="008D6145" w:rsidRPr="00534938" w:rsidRDefault="008D6145">
            <w:pPr>
              <w:suppressAutoHyphens w:val="0"/>
              <w:kinsoku/>
              <w:overflowPunct/>
              <w:autoSpaceDE/>
              <w:autoSpaceDN/>
              <w:adjustRightInd/>
              <w:snapToGrid/>
              <w:spacing w:before="40" w:after="40" w:line="220" w:lineRule="exact"/>
              <w:jc w:val="right"/>
              <w:rPr>
                <w:rFonts w:eastAsia="Times New Roman"/>
                <w:sz w:val="18"/>
                <w:szCs w:val="28"/>
              </w:rPr>
            </w:pPr>
            <w:r w:rsidRPr="00534938">
              <w:rPr>
                <w:rFonts w:eastAsia="Times New Roman"/>
                <w:sz w:val="18"/>
                <w:szCs w:val="28"/>
              </w:rPr>
              <w:t>2,76</w:t>
            </w:r>
          </w:p>
        </w:tc>
      </w:tr>
      <w:tr w:rsidR="00534938" w:rsidRPr="00534938" w:rsidTr="00821D2B">
        <w:tc>
          <w:tcPr>
            <w:tcW w:w="1361" w:type="dxa"/>
            <w:shd w:val="clear" w:color="auto" w:fill="auto"/>
            <w:noWrap/>
            <w:hideMark/>
          </w:tcPr>
          <w:p w:rsidR="008D6145" w:rsidRPr="00534938" w:rsidRDefault="008D6145">
            <w:pPr>
              <w:suppressAutoHyphens w:val="0"/>
              <w:kinsoku/>
              <w:overflowPunct/>
              <w:autoSpaceDE/>
              <w:autoSpaceDN/>
              <w:adjustRightInd/>
              <w:snapToGrid/>
              <w:spacing w:before="40" w:after="40" w:line="220" w:lineRule="exact"/>
              <w:rPr>
                <w:rFonts w:eastAsia="Times New Roman"/>
                <w:sz w:val="18"/>
                <w:szCs w:val="28"/>
              </w:rPr>
            </w:pPr>
            <w:r w:rsidRPr="00534938">
              <w:rPr>
                <w:rFonts w:eastAsia="Times New Roman"/>
                <w:sz w:val="18"/>
                <w:szCs w:val="28"/>
              </w:rPr>
              <w:t>Ouémé</w:t>
            </w:r>
          </w:p>
        </w:tc>
        <w:tc>
          <w:tcPr>
            <w:tcW w:w="794" w:type="dxa"/>
            <w:shd w:val="clear" w:color="auto" w:fill="auto"/>
            <w:vAlign w:val="bottom"/>
            <w:hideMark/>
          </w:tcPr>
          <w:p w:rsidR="008D6145" w:rsidRPr="00534938" w:rsidRDefault="008D6145">
            <w:pPr>
              <w:suppressAutoHyphens w:val="0"/>
              <w:kinsoku/>
              <w:overflowPunct/>
              <w:autoSpaceDE/>
              <w:autoSpaceDN/>
              <w:adjustRightInd/>
              <w:snapToGrid/>
              <w:spacing w:before="40" w:after="40" w:line="220" w:lineRule="exact"/>
              <w:jc w:val="right"/>
              <w:rPr>
                <w:rFonts w:eastAsia="Times New Roman"/>
                <w:sz w:val="18"/>
                <w:szCs w:val="28"/>
              </w:rPr>
            </w:pPr>
            <w:r w:rsidRPr="00534938">
              <w:rPr>
                <w:rFonts w:eastAsia="Times New Roman"/>
                <w:sz w:val="18"/>
                <w:szCs w:val="28"/>
              </w:rPr>
              <w:t>1,7</w:t>
            </w:r>
          </w:p>
        </w:tc>
        <w:tc>
          <w:tcPr>
            <w:tcW w:w="794" w:type="dxa"/>
            <w:shd w:val="clear" w:color="auto" w:fill="auto"/>
            <w:vAlign w:val="bottom"/>
            <w:hideMark/>
          </w:tcPr>
          <w:p w:rsidR="008D6145" w:rsidRPr="00534938" w:rsidRDefault="008D6145">
            <w:pPr>
              <w:suppressAutoHyphens w:val="0"/>
              <w:kinsoku/>
              <w:overflowPunct/>
              <w:autoSpaceDE/>
              <w:autoSpaceDN/>
              <w:adjustRightInd/>
              <w:snapToGrid/>
              <w:spacing w:before="40" w:after="40" w:line="220" w:lineRule="exact"/>
              <w:jc w:val="right"/>
              <w:rPr>
                <w:rFonts w:eastAsia="Times New Roman"/>
                <w:sz w:val="18"/>
                <w:szCs w:val="28"/>
              </w:rPr>
            </w:pPr>
            <w:r w:rsidRPr="00534938">
              <w:rPr>
                <w:rFonts w:eastAsia="Times New Roman"/>
                <w:sz w:val="18"/>
                <w:szCs w:val="28"/>
              </w:rPr>
              <w:t>3,5</w:t>
            </w:r>
          </w:p>
        </w:tc>
        <w:tc>
          <w:tcPr>
            <w:tcW w:w="794" w:type="dxa"/>
            <w:shd w:val="clear" w:color="auto" w:fill="auto"/>
            <w:vAlign w:val="bottom"/>
            <w:hideMark/>
          </w:tcPr>
          <w:p w:rsidR="008D6145" w:rsidRPr="00534938" w:rsidRDefault="008D6145">
            <w:pPr>
              <w:suppressAutoHyphens w:val="0"/>
              <w:kinsoku/>
              <w:overflowPunct/>
              <w:autoSpaceDE/>
              <w:autoSpaceDN/>
              <w:adjustRightInd/>
              <w:snapToGrid/>
              <w:spacing w:before="40" w:after="40" w:line="220" w:lineRule="exact"/>
              <w:jc w:val="right"/>
              <w:rPr>
                <w:rFonts w:eastAsia="Times New Roman"/>
                <w:sz w:val="18"/>
                <w:szCs w:val="28"/>
              </w:rPr>
            </w:pPr>
            <w:r w:rsidRPr="00534938">
              <w:rPr>
                <w:rFonts w:eastAsia="Times New Roman"/>
                <w:sz w:val="18"/>
                <w:szCs w:val="28"/>
              </w:rPr>
              <w:t>2,5</w:t>
            </w:r>
          </w:p>
        </w:tc>
        <w:tc>
          <w:tcPr>
            <w:tcW w:w="794" w:type="dxa"/>
            <w:shd w:val="clear" w:color="auto" w:fill="auto"/>
            <w:noWrap/>
            <w:vAlign w:val="bottom"/>
            <w:hideMark/>
          </w:tcPr>
          <w:p w:rsidR="008D6145" w:rsidRPr="00534938" w:rsidRDefault="008D6145">
            <w:pPr>
              <w:suppressAutoHyphens w:val="0"/>
              <w:kinsoku/>
              <w:overflowPunct/>
              <w:autoSpaceDE/>
              <w:autoSpaceDN/>
              <w:adjustRightInd/>
              <w:snapToGrid/>
              <w:spacing w:before="40" w:after="40" w:line="220" w:lineRule="exact"/>
              <w:jc w:val="right"/>
              <w:rPr>
                <w:rFonts w:eastAsia="Times New Roman"/>
                <w:sz w:val="18"/>
                <w:szCs w:val="28"/>
              </w:rPr>
            </w:pPr>
            <w:r w:rsidRPr="00534938">
              <w:rPr>
                <w:rFonts w:eastAsia="Times New Roman"/>
                <w:sz w:val="18"/>
                <w:szCs w:val="28"/>
              </w:rPr>
              <w:t>2,72</w:t>
            </w:r>
          </w:p>
        </w:tc>
        <w:tc>
          <w:tcPr>
            <w:tcW w:w="794" w:type="dxa"/>
            <w:shd w:val="clear" w:color="auto" w:fill="auto"/>
            <w:noWrap/>
            <w:vAlign w:val="bottom"/>
            <w:hideMark/>
          </w:tcPr>
          <w:p w:rsidR="008D6145" w:rsidRPr="00534938" w:rsidRDefault="008D6145">
            <w:pPr>
              <w:suppressAutoHyphens w:val="0"/>
              <w:kinsoku/>
              <w:overflowPunct/>
              <w:autoSpaceDE/>
              <w:autoSpaceDN/>
              <w:adjustRightInd/>
              <w:snapToGrid/>
              <w:spacing w:before="40" w:after="40" w:line="220" w:lineRule="exact"/>
              <w:jc w:val="right"/>
              <w:rPr>
                <w:rFonts w:eastAsia="Times New Roman"/>
                <w:sz w:val="18"/>
                <w:szCs w:val="28"/>
              </w:rPr>
            </w:pPr>
            <w:r w:rsidRPr="00534938">
              <w:rPr>
                <w:rFonts w:eastAsia="Times New Roman"/>
                <w:sz w:val="18"/>
                <w:szCs w:val="28"/>
              </w:rPr>
              <w:t>3,17</w:t>
            </w:r>
          </w:p>
        </w:tc>
        <w:tc>
          <w:tcPr>
            <w:tcW w:w="794" w:type="dxa"/>
            <w:shd w:val="clear" w:color="auto" w:fill="auto"/>
            <w:vAlign w:val="bottom"/>
            <w:hideMark/>
          </w:tcPr>
          <w:p w:rsidR="008D6145" w:rsidRPr="00534938" w:rsidRDefault="008D6145">
            <w:pPr>
              <w:suppressAutoHyphens w:val="0"/>
              <w:kinsoku/>
              <w:overflowPunct/>
              <w:autoSpaceDE/>
              <w:autoSpaceDN/>
              <w:adjustRightInd/>
              <w:snapToGrid/>
              <w:spacing w:before="40" w:after="40" w:line="220" w:lineRule="exact"/>
              <w:jc w:val="right"/>
              <w:rPr>
                <w:rFonts w:eastAsia="Times New Roman"/>
                <w:sz w:val="18"/>
                <w:szCs w:val="28"/>
              </w:rPr>
            </w:pPr>
            <w:r w:rsidRPr="00534938">
              <w:rPr>
                <w:rFonts w:eastAsia="Times New Roman"/>
                <w:sz w:val="18"/>
                <w:szCs w:val="28"/>
              </w:rPr>
              <w:t>2,98</w:t>
            </w:r>
          </w:p>
        </w:tc>
        <w:tc>
          <w:tcPr>
            <w:tcW w:w="794" w:type="dxa"/>
            <w:shd w:val="clear" w:color="auto" w:fill="auto"/>
            <w:noWrap/>
            <w:vAlign w:val="bottom"/>
            <w:hideMark/>
          </w:tcPr>
          <w:p w:rsidR="008D6145" w:rsidRPr="00534938" w:rsidRDefault="008D6145">
            <w:pPr>
              <w:suppressAutoHyphens w:val="0"/>
              <w:kinsoku/>
              <w:overflowPunct/>
              <w:autoSpaceDE/>
              <w:autoSpaceDN/>
              <w:adjustRightInd/>
              <w:snapToGrid/>
              <w:spacing w:before="40" w:after="40" w:line="220" w:lineRule="exact"/>
              <w:jc w:val="right"/>
              <w:rPr>
                <w:rFonts w:eastAsia="Times New Roman"/>
                <w:sz w:val="18"/>
                <w:szCs w:val="28"/>
              </w:rPr>
            </w:pPr>
            <w:r w:rsidRPr="00534938">
              <w:rPr>
                <w:rFonts w:eastAsia="Times New Roman"/>
                <w:sz w:val="18"/>
                <w:szCs w:val="28"/>
              </w:rPr>
              <w:t>2,72</w:t>
            </w:r>
          </w:p>
        </w:tc>
        <w:tc>
          <w:tcPr>
            <w:tcW w:w="794" w:type="dxa"/>
            <w:shd w:val="clear" w:color="auto" w:fill="auto"/>
            <w:noWrap/>
            <w:vAlign w:val="bottom"/>
            <w:hideMark/>
          </w:tcPr>
          <w:p w:rsidR="008D6145" w:rsidRPr="00534938" w:rsidRDefault="008D6145">
            <w:pPr>
              <w:suppressAutoHyphens w:val="0"/>
              <w:kinsoku/>
              <w:overflowPunct/>
              <w:autoSpaceDE/>
              <w:autoSpaceDN/>
              <w:adjustRightInd/>
              <w:snapToGrid/>
              <w:spacing w:before="40" w:after="40" w:line="220" w:lineRule="exact"/>
              <w:jc w:val="right"/>
              <w:rPr>
                <w:rFonts w:eastAsia="Times New Roman"/>
                <w:sz w:val="18"/>
                <w:szCs w:val="28"/>
              </w:rPr>
            </w:pPr>
            <w:r w:rsidRPr="00534938">
              <w:rPr>
                <w:rFonts w:eastAsia="Times New Roman"/>
                <w:sz w:val="18"/>
                <w:szCs w:val="28"/>
              </w:rPr>
              <w:t>3,17</w:t>
            </w:r>
          </w:p>
        </w:tc>
        <w:tc>
          <w:tcPr>
            <w:tcW w:w="794" w:type="dxa"/>
            <w:shd w:val="clear" w:color="auto" w:fill="auto"/>
            <w:vAlign w:val="bottom"/>
            <w:hideMark/>
          </w:tcPr>
          <w:p w:rsidR="008D6145" w:rsidRPr="00534938" w:rsidRDefault="008D6145">
            <w:pPr>
              <w:suppressAutoHyphens w:val="0"/>
              <w:kinsoku/>
              <w:overflowPunct/>
              <w:autoSpaceDE/>
              <w:autoSpaceDN/>
              <w:adjustRightInd/>
              <w:snapToGrid/>
              <w:spacing w:before="40" w:after="40" w:line="220" w:lineRule="exact"/>
              <w:jc w:val="right"/>
              <w:rPr>
                <w:rFonts w:eastAsia="Times New Roman"/>
                <w:sz w:val="18"/>
                <w:szCs w:val="28"/>
              </w:rPr>
            </w:pPr>
            <w:r w:rsidRPr="00534938">
              <w:rPr>
                <w:rFonts w:eastAsia="Times New Roman"/>
                <w:sz w:val="18"/>
                <w:szCs w:val="28"/>
              </w:rPr>
              <w:t>2,72</w:t>
            </w:r>
          </w:p>
        </w:tc>
      </w:tr>
      <w:tr w:rsidR="00534938" w:rsidRPr="00534938" w:rsidTr="00821D2B">
        <w:tc>
          <w:tcPr>
            <w:tcW w:w="1361" w:type="dxa"/>
            <w:shd w:val="clear" w:color="auto" w:fill="auto"/>
            <w:noWrap/>
            <w:hideMark/>
          </w:tcPr>
          <w:p w:rsidR="008D6145" w:rsidRPr="00534938" w:rsidRDefault="008D6145">
            <w:pPr>
              <w:suppressAutoHyphens w:val="0"/>
              <w:kinsoku/>
              <w:overflowPunct/>
              <w:autoSpaceDE/>
              <w:autoSpaceDN/>
              <w:adjustRightInd/>
              <w:snapToGrid/>
              <w:spacing w:before="40" w:after="40" w:line="220" w:lineRule="exact"/>
              <w:rPr>
                <w:rFonts w:eastAsia="Times New Roman"/>
                <w:sz w:val="18"/>
                <w:szCs w:val="28"/>
              </w:rPr>
            </w:pPr>
            <w:r w:rsidRPr="00534938">
              <w:rPr>
                <w:rFonts w:eastAsia="Times New Roman"/>
                <w:sz w:val="18"/>
                <w:szCs w:val="28"/>
              </w:rPr>
              <w:t>Plateau</w:t>
            </w:r>
          </w:p>
        </w:tc>
        <w:tc>
          <w:tcPr>
            <w:tcW w:w="794" w:type="dxa"/>
            <w:shd w:val="clear" w:color="auto" w:fill="auto"/>
            <w:vAlign w:val="bottom"/>
            <w:hideMark/>
          </w:tcPr>
          <w:p w:rsidR="008D6145" w:rsidRPr="00534938" w:rsidRDefault="008D6145">
            <w:pPr>
              <w:suppressAutoHyphens w:val="0"/>
              <w:kinsoku/>
              <w:overflowPunct/>
              <w:autoSpaceDE/>
              <w:autoSpaceDN/>
              <w:adjustRightInd/>
              <w:snapToGrid/>
              <w:spacing w:before="40" w:after="40" w:line="220" w:lineRule="exact"/>
              <w:jc w:val="right"/>
              <w:rPr>
                <w:rFonts w:eastAsia="Times New Roman"/>
                <w:sz w:val="18"/>
                <w:szCs w:val="28"/>
              </w:rPr>
            </w:pPr>
            <w:r w:rsidRPr="00534938">
              <w:rPr>
                <w:rFonts w:eastAsia="Times New Roman"/>
                <w:sz w:val="18"/>
                <w:szCs w:val="28"/>
              </w:rPr>
              <w:t>2</w:t>
            </w:r>
          </w:p>
        </w:tc>
        <w:tc>
          <w:tcPr>
            <w:tcW w:w="794" w:type="dxa"/>
            <w:shd w:val="clear" w:color="auto" w:fill="auto"/>
            <w:vAlign w:val="bottom"/>
            <w:hideMark/>
          </w:tcPr>
          <w:p w:rsidR="008D6145" w:rsidRPr="00534938" w:rsidRDefault="008D6145">
            <w:pPr>
              <w:suppressAutoHyphens w:val="0"/>
              <w:kinsoku/>
              <w:overflowPunct/>
              <w:autoSpaceDE/>
              <w:autoSpaceDN/>
              <w:adjustRightInd/>
              <w:snapToGrid/>
              <w:spacing w:before="40" w:after="40" w:line="220" w:lineRule="exact"/>
              <w:jc w:val="right"/>
              <w:rPr>
                <w:rFonts w:eastAsia="Times New Roman"/>
                <w:sz w:val="18"/>
                <w:szCs w:val="28"/>
              </w:rPr>
            </w:pPr>
            <w:r w:rsidRPr="00534938">
              <w:rPr>
                <w:rFonts w:eastAsia="Times New Roman"/>
                <w:sz w:val="18"/>
                <w:szCs w:val="28"/>
              </w:rPr>
              <w:t>0,9</w:t>
            </w:r>
          </w:p>
        </w:tc>
        <w:tc>
          <w:tcPr>
            <w:tcW w:w="794" w:type="dxa"/>
            <w:shd w:val="clear" w:color="auto" w:fill="auto"/>
            <w:vAlign w:val="bottom"/>
            <w:hideMark/>
          </w:tcPr>
          <w:p w:rsidR="008D6145" w:rsidRPr="00534938" w:rsidRDefault="008D6145">
            <w:pPr>
              <w:suppressAutoHyphens w:val="0"/>
              <w:kinsoku/>
              <w:overflowPunct/>
              <w:autoSpaceDE/>
              <w:autoSpaceDN/>
              <w:adjustRightInd/>
              <w:snapToGrid/>
              <w:spacing w:before="40" w:after="40" w:line="220" w:lineRule="exact"/>
              <w:jc w:val="right"/>
              <w:rPr>
                <w:rFonts w:eastAsia="Times New Roman"/>
                <w:sz w:val="18"/>
                <w:szCs w:val="28"/>
              </w:rPr>
            </w:pPr>
            <w:r w:rsidRPr="00534938">
              <w:rPr>
                <w:rFonts w:eastAsia="Times New Roman"/>
                <w:sz w:val="18"/>
                <w:szCs w:val="28"/>
              </w:rPr>
              <w:t>1,2</w:t>
            </w:r>
          </w:p>
        </w:tc>
        <w:tc>
          <w:tcPr>
            <w:tcW w:w="794" w:type="dxa"/>
            <w:shd w:val="clear" w:color="auto" w:fill="auto"/>
            <w:noWrap/>
            <w:vAlign w:val="bottom"/>
            <w:hideMark/>
          </w:tcPr>
          <w:p w:rsidR="008D6145" w:rsidRPr="00534938" w:rsidRDefault="008D6145">
            <w:pPr>
              <w:suppressAutoHyphens w:val="0"/>
              <w:kinsoku/>
              <w:overflowPunct/>
              <w:autoSpaceDE/>
              <w:autoSpaceDN/>
              <w:adjustRightInd/>
              <w:snapToGrid/>
              <w:spacing w:before="40" w:after="40" w:line="220" w:lineRule="exact"/>
              <w:jc w:val="right"/>
              <w:rPr>
                <w:rFonts w:eastAsia="Times New Roman"/>
                <w:sz w:val="18"/>
                <w:szCs w:val="28"/>
              </w:rPr>
            </w:pPr>
            <w:r w:rsidRPr="00534938">
              <w:rPr>
                <w:rFonts w:eastAsia="Times New Roman"/>
                <w:sz w:val="18"/>
                <w:szCs w:val="28"/>
              </w:rPr>
              <w:t>2,21</w:t>
            </w:r>
          </w:p>
        </w:tc>
        <w:tc>
          <w:tcPr>
            <w:tcW w:w="794" w:type="dxa"/>
            <w:shd w:val="clear" w:color="auto" w:fill="auto"/>
            <w:noWrap/>
            <w:vAlign w:val="bottom"/>
            <w:hideMark/>
          </w:tcPr>
          <w:p w:rsidR="008D6145" w:rsidRPr="00534938" w:rsidRDefault="008D6145">
            <w:pPr>
              <w:suppressAutoHyphens w:val="0"/>
              <w:kinsoku/>
              <w:overflowPunct/>
              <w:autoSpaceDE/>
              <w:autoSpaceDN/>
              <w:adjustRightInd/>
              <w:snapToGrid/>
              <w:spacing w:before="40" w:after="40" w:line="220" w:lineRule="exact"/>
              <w:jc w:val="right"/>
              <w:rPr>
                <w:rFonts w:eastAsia="Times New Roman"/>
                <w:sz w:val="18"/>
                <w:szCs w:val="28"/>
              </w:rPr>
            </w:pPr>
            <w:r w:rsidRPr="00534938">
              <w:rPr>
                <w:rFonts w:eastAsia="Times New Roman"/>
                <w:sz w:val="18"/>
                <w:szCs w:val="28"/>
              </w:rPr>
              <w:t>1</w:t>
            </w:r>
          </w:p>
        </w:tc>
        <w:tc>
          <w:tcPr>
            <w:tcW w:w="794" w:type="dxa"/>
            <w:shd w:val="clear" w:color="auto" w:fill="auto"/>
            <w:vAlign w:val="bottom"/>
            <w:hideMark/>
          </w:tcPr>
          <w:p w:rsidR="008D6145" w:rsidRPr="00534938" w:rsidRDefault="008D6145">
            <w:pPr>
              <w:suppressAutoHyphens w:val="0"/>
              <w:kinsoku/>
              <w:overflowPunct/>
              <w:autoSpaceDE/>
              <w:autoSpaceDN/>
              <w:adjustRightInd/>
              <w:snapToGrid/>
              <w:spacing w:before="40" w:after="40" w:line="220" w:lineRule="exact"/>
              <w:jc w:val="right"/>
              <w:rPr>
                <w:rFonts w:eastAsia="Times New Roman"/>
                <w:sz w:val="18"/>
                <w:szCs w:val="28"/>
              </w:rPr>
            </w:pPr>
            <w:r w:rsidRPr="00534938">
              <w:rPr>
                <w:rFonts w:eastAsia="Times New Roman"/>
                <w:sz w:val="18"/>
                <w:szCs w:val="28"/>
              </w:rPr>
              <w:t>1,49</w:t>
            </w:r>
          </w:p>
        </w:tc>
        <w:tc>
          <w:tcPr>
            <w:tcW w:w="794" w:type="dxa"/>
            <w:shd w:val="clear" w:color="auto" w:fill="auto"/>
            <w:noWrap/>
            <w:vAlign w:val="bottom"/>
            <w:hideMark/>
          </w:tcPr>
          <w:p w:rsidR="008D6145" w:rsidRPr="00534938" w:rsidRDefault="008D6145">
            <w:pPr>
              <w:suppressAutoHyphens w:val="0"/>
              <w:kinsoku/>
              <w:overflowPunct/>
              <w:autoSpaceDE/>
              <w:autoSpaceDN/>
              <w:adjustRightInd/>
              <w:snapToGrid/>
              <w:spacing w:before="40" w:after="40" w:line="220" w:lineRule="exact"/>
              <w:jc w:val="right"/>
              <w:rPr>
                <w:rFonts w:eastAsia="Times New Roman"/>
                <w:sz w:val="18"/>
                <w:szCs w:val="28"/>
              </w:rPr>
            </w:pPr>
            <w:r w:rsidRPr="00534938">
              <w:rPr>
                <w:rFonts w:eastAsia="Times New Roman"/>
                <w:sz w:val="18"/>
                <w:szCs w:val="28"/>
              </w:rPr>
              <w:t>2,21</w:t>
            </w:r>
          </w:p>
        </w:tc>
        <w:tc>
          <w:tcPr>
            <w:tcW w:w="794" w:type="dxa"/>
            <w:shd w:val="clear" w:color="auto" w:fill="auto"/>
            <w:noWrap/>
            <w:vAlign w:val="bottom"/>
            <w:hideMark/>
          </w:tcPr>
          <w:p w:rsidR="008D6145" w:rsidRPr="00534938" w:rsidRDefault="008D6145">
            <w:pPr>
              <w:suppressAutoHyphens w:val="0"/>
              <w:kinsoku/>
              <w:overflowPunct/>
              <w:autoSpaceDE/>
              <w:autoSpaceDN/>
              <w:adjustRightInd/>
              <w:snapToGrid/>
              <w:spacing w:before="40" w:after="40" w:line="220" w:lineRule="exact"/>
              <w:jc w:val="right"/>
              <w:rPr>
                <w:rFonts w:eastAsia="Times New Roman"/>
                <w:sz w:val="18"/>
                <w:szCs w:val="28"/>
              </w:rPr>
            </w:pPr>
            <w:r w:rsidRPr="00534938">
              <w:rPr>
                <w:rFonts w:eastAsia="Times New Roman"/>
                <w:sz w:val="18"/>
                <w:szCs w:val="28"/>
              </w:rPr>
              <w:t>1</w:t>
            </w:r>
          </w:p>
        </w:tc>
        <w:tc>
          <w:tcPr>
            <w:tcW w:w="794" w:type="dxa"/>
            <w:shd w:val="clear" w:color="auto" w:fill="auto"/>
            <w:vAlign w:val="bottom"/>
            <w:hideMark/>
          </w:tcPr>
          <w:p w:rsidR="008D6145" w:rsidRPr="00534938" w:rsidRDefault="008D6145">
            <w:pPr>
              <w:suppressAutoHyphens w:val="0"/>
              <w:kinsoku/>
              <w:overflowPunct/>
              <w:autoSpaceDE/>
              <w:autoSpaceDN/>
              <w:adjustRightInd/>
              <w:snapToGrid/>
              <w:spacing w:before="40" w:after="40" w:line="220" w:lineRule="exact"/>
              <w:jc w:val="right"/>
              <w:rPr>
                <w:rFonts w:eastAsia="Times New Roman"/>
                <w:sz w:val="18"/>
                <w:szCs w:val="28"/>
              </w:rPr>
            </w:pPr>
            <w:r w:rsidRPr="00534938">
              <w:rPr>
                <w:rFonts w:eastAsia="Times New Roman"/>
                <w:sz w:val="18"/>
                <w:szCs w:val="28"/>
              </w:rPr>
              <w:t>2,21</w:t>
            </w:r>
          </w:p>
        </w:tc>
      </w:tr>
      <w:tr w:rsidR="00534938" w:rsidRPr="00534938" w:rsidTr="00821D2B">
        <w:tc>
          <w:tcPr>
            <w:tcW w:w="1361" w:type="dxa"/>
            <w:shd w:val="clear" w:color="auto" w:fill="auto"/>
            <w:noWrap/>
            <w:hideMark/>
          </w:tcPr>
          <w:p w:rsidR="008D6145" w:rsidRPr="00534938" w:rsidRDefault="008D6145">
            <w:pPr>
              <w:suppressAutoHyphens w:val="0"/>
              <w:kinsoku/>
              <w:overflowPunct/>
              <w:autoSpaceDE/>
              <w:autoSpaceDN/>
              <w:adjustRightInd/>
              <w:snapToGrid/>
              <w:spacing w:before="40" w:after="40" w:line="220" w:lineRule="exact"/>
              <w:rPr>
                <w:rFonts w:eastAsia="Times New Roman"/>
                <w:sz w:val="18"/>
                <w:szCs w:val="28"/>
              </w:rPr>
            </w:pPr>
            <w:r w:rsidRPr="00534938">
              <w:rPr>
                <w:rFonts w:eastAsia="Times New Roman"/>
                <w:sz w:val="18"/>
                <w:szCs w:val="28"/>
              </w:rPr>
              <w:t>Zou</w:t>
            </w:r>
          </w:p>
        </w:tc>
        <w:tc>
          <w:tcPr>
            <w:tcW w:w="794" w:type="dxa"/>
            <w:shd w:val="clear" w:color="auto" w:fill="auto"/>
            <w:vAlign w:val="bottom"/>
            <w:hideMark/>
          </w:tcPr>
          <w:p w:rsidR="008D6145" w:rsidRPr="00534938" w:rsidRDefault="008D6145">
            <w:pPr>
              <w:suppressAutoHyphens w:val="0"/>
              <w:kinsoku/>
              <w:overflowPunct/>
              <w:autoSpaceDE/>
              <w:autoSpaceDN/>
              <w:adjustRightInd/>
              <w:snapToGrid/>
              <w:spacing w:before="40" w:after="40" w:line="220" w:lineRule="exact"/>
              <w:jc w:val="right"/>
              <w:rPr>
                <w:rFonts w:eastAsia="Times New Roman"/>
                <w:sz w:val="18"/>
                <w:szCs w:val="28"/>
              </w:rPr>
            </w:pPr>
            <w:r w:rsidRPr="00534938">
              <w:rPr>
                <w:rFonts w:eastAsia="Times New Roman"/>
                <w:sz w:val="18"/>
                <w:szCs w:val="28"/>
              </w:rPr>
              <w:t>1,1</w:t>
            </w:r>
          </w:p>
        </w:tc>
        <w:tc>
          <w:tcPr>
            <w:tcW w:w="794" w:type="dxa"/>
            <w:shd w:val="clear" w:color="auto" w:fill="auto"/>
            <w:vAlign w:val="bottom"/>
            <w:hideMark/>
          </w:tcPr>
          <w:p w:rsidR="008D6145" w:rsidRPr="00534938" w:rsidRDefault="008D6145">
            <w:pPr>
              <w:suppressAutoHyphens w:val="0"/>
              <w:kinsoku/>
              <w:overflowPunct/>
              <w:autoSpaceDE/>
              <w:autoSpaceDN/>
              <w:adjustRightInd/>
              <w:snapToGrid/>
              <w:spacing w:before="40" w:after="40" w:line="220" w:lineRule="exact"/>
              <w:jc w:val="right"/>
              <w:rPr>
                <w:rFonts w:eastAsia="Times New Roman"/>
                <w:sz w:val="18"/>
                <w:szCs w:val="28"/>
              </w:rPr>
            </w:pPr>
            <w:r w:rsidRPr="00534938">
              <w:rPr>
                <w:rFonts w:eastAsia="Times New Roman"/>
                <w:sz w:val="18"/>
                <w:szCs w:val="28"/>
              </w:rPr>
              <w:t>0,5</w:t>
            </w:r>
          </w:p>
        </w:tc>
        <w:tc>
          <w:tcPr>
            <w:tcW w:w="794" w:type="dxa"/>
            <w:shd w:val="clear" w:color="auto" w:fill="auto"/>
            <w:vAlign w:val="bottom"/>
            <w:hideMark/>
          </w:tcPr>
          <w:p w:rsidR="008D6145" w:rsidRPr="00534938" w:rsidRDefault="008D6145">
            <w:pPr>
              <w:suppressAutoHyphens w:val="0"/>
              <w:kinsoku/>
              <w:overflowPunct/>
              <w:autoSpaceDE/>
              <w:autoSpaceDN/>
              <w:adjustRightInd/>
              <w:snapToGrid/>
              <w:spacing w:before="40" w:after="40" w:line="220" w:lineRule="exact"/>
              <w:jc w:val="right"/>
              <w:rPr>
                <w:rFonts w:eastAsia="Times New Roman"/>
                <w:sz w:val="18"/>
                <w:szCs w:val="28"/>
              </w:rPr>
            </w:pPr>
            <w:r w:rsidRPr="00534938">
              <w:rPr>
                <w:rFonts w:eastAsia="Times New Roman"/>
                <w:sz w:val="18"/>
                <w:szCs w:val="28"/>
              </w:rPr>
              <w:t>0,7</w:t>
            </w:r>
          </w:p>
        </w:tc>
        <w:tc>
          <w:tcPr>
            <w:tcW w:w="794" w:type="dxa"/>
            <w:shd w:val="clear" w:color="auto" w:fill="auto"/>
            <w:noWrap/>
            <w:vAlign w:val="bottom"/>
            <w:hideMark/>
          </w:tcPr>
          <w:p w:rsidR="008D6145" w:rsidRPr="00534938" w:rsidRDefault="008D6145">
            <w:pPr>
              <w:suppressAutoHyphens w:val="0"/>
              <w:kinsoku/>
              <w:overflowPunct/>
              <w:autoSpaceDE/>
              <w:autoSpaceDN/>
              <w:adjustRightInd/>
              <w:snapToGrid/>
              <w:spacing w:before="40" w:after="40" w:line="220" w:lineRule="exact"/>
              <w:jc w:val="right"/>
              <w:rPr>
                <w:rFonts w:eastAsia="Times New Roman"/>
                <w:sz w:val="18"/>
                <w:szCs w:val="28"/>
              </w:rPr>
            </w:pPr>
            <w:r w:rsidRPr="00534938">
              <w:rPr>
                <w:rFonts w:eastAsia="Times New Roman"/>
                <w:sz w:val="18"/>
                <w:szCs w:val="28"/>
              </w:rPr>
              <w:t>1,95</w:t>
            </w:r>
          </w:p>
        </w:tc>
        <w:tc>
          <w:tcPr>
            <w:tcW w:w="794" w:type="dxa"/>
            <w:shd w:val="clear" w:color="auto" w:fill="auto"/>
            <w:noWrap/>
            <w:vAlign w:val="bottom"/>
            <w:hideMark/>
          </w:tcPr>
          <w:p w:rsidR="008D6145" w:rsidRPr="00534938" w:rsidRDefault="008D6145">
            <w:pPr>
              <w:suppressAutoHyphens w:val="0"/>
              <w:kinsoku/>
              <w:overflowPunct/>
              <w:autoSpaceDE/>
              <w:autoSpaceDN/>
              <w:adjustRightInd/>
              <w:snapToGrid/>
              <w:spacing w:before="40" w:after="40" w:line="220" w:lineRule="exact"/>
              <w:jc w:val="right"/>
              <w:rPr>
                <w:rFonts w:eastAsia="Times New Roman"/>
                <w:sz w:val="18"/>
                <w:szCs w:val="28"/>
              </w:rPr>
            </w:pPr>
            <w:r w:rsidRPr="00534938">
              <w:rPr>
                <w:rFonts w:eastAsia="Times New Roman"/>
                <w:sz w:val="18"/>
                <w:szCs w:val="28"/>
              </w:rPr>
              <w:t>0,5</w:t>
            </w:r>
          </w:p>
        </w:tc>
        <w:tc>
          <w:tcPr>
            <w:tcW w:w="794" w:type="dxa"/>
            <w:shd w:val="clear" w:color="auto" w:fill="auto"/>
            <w:vAlign w:val="bottom"/>
            <w:hideMark/>
          </w:tcPr>
          <w:p w:rsidR="008D6145" w:rsidRPr="00534938" w:rsidRDefault="008D6145">
            <w:pPr>
              <w:suppressAutoHyphens w:val="0"/>
              <w:kinsoku/>
              <w:overflowPunct/>
              <w:autoSpaceDE/>
              <w:autoSpaceDN/>
              <w:adjustRightInd/>
              <w:snapToGrid/>
              <w:spacing w:before="40" w:after="40" w:line="220" w:lineRule="exact"/>
              <w:jc w:val="right"/>
              <w:rPr>
                <w:rFonts w:eastAsia="Times New Roman"/>
                <w:sz w:val="18"/>
                <w:szCs w:val="28"/>
              </w:rPr>
            </w:pPr>
            <w:r w:rsidRPr="00534938">
              <w:rPr>
                <w:rFonts w:eastAsia="Times New Roman"/>
                <w:sz w:val="18"/>
                <w:szCs w:val="28"/>
              </w:rPr>
              <w:t>1,1</w:t>
            </w:r>
          </w:p>
        </w:tc>
        <w:tc>
          <w:tcPr>
            <w:tcW w:w="794" w:type="dxa"/>
            <w:shd w:val="clear" w:color="auto" w:fill="auto"/>
            <w:noWrap/>
            <w:vAlign w:val="bottom"/>
            <w:hideMark/>
          </w:tcPr>
          <w:p w:rsidR="008D6145" w:rsidRPr="00534938" w:rsidRDefault="008D6145">
            <w:pPr>
              <w:suppressAutoHyphens w:val="0"/>
              <w:kinsoku/>
              <w:overflowPunct/>
              <w:autoSpaceDE/>
              <w:autoSpaceDN/>
              <w:adjustRightInd/>
              <w:snapToGrid/>
              <w:spacing w:before="40" w:after="40" w:line="220" w:lineRule="exact"/>
              <w:jc w:val="right"/>
              <w:rPr>
                <w:rFonts w:eastAsia="Times New Roman"/>
                <w:sz w:val="18"/>
                <w:szCs w:val="28"/>
              </w:rPr>
            </w:pPr>
            <w:r w:rsidRPr="00534938">
              <w:rPr>
                <w:rFonts w:eastAsia="Times New Roman"/>
                <w:sz w:val="18"/>
                <w:szCs w:val="28"/>
              </w:rPr>
              <w:t>1,95</w:t>
            </w:r>
          </w:p>
        </w:tc>
        <w:tc>
          <w:tcPr>
            <w:tcW w:w="794" w:type="dxa"/>
            <w:shd w:val="clear" w:color="auto" w:fill="auto"/>
            <w:noWrap/>
            <w:vAlign w:val="bottom"/>
            <w:hideMark/>
          </w:tcPr>
          <w:p w:rsidR="008D6145" w:rsidRPr="00534938" w:rsidRDefault="008D6145">
            <w:pPr>
              <w:suppressAutoHyphens w:val="0"/>
              <w:kinsoku/>
              <w:overflowPunct/>
              <w:autoSpaceDE/>
              <w:autoSpaceDN/>
              <w:adjustRightInd/>
              <w:snapToGrid/>
              <w:spacing w:before="40" w:after="40" w:line="220" w:lineRule="exact"/>
              <w:jc w:val="right"/>
              <w:rPr>
                <w:rFonts w:eastAsia="Times New Roman"/>
                <w:sz w:val="18"/>
                <w:szCs w:val="28"/>
              </w:rPr>
            </w:pPr>
            <w:r w:rsidRPr="00534938">
              <w:rPr>
                <w:rFonts w:eastAsia="Times New Roman"/>
                <w:sz w:val="18"/>
                <w:szCs w:val="28"/>
              </w:rPr>
              <w:t>0,5</w:t>
            </w:r>
          </w:p>
        </w:tc>
        <w:tc>
          <w:tcPr>
            <w:tcW w:w="794" w:type="dxa"/>
            <w:shd w:val="clear" w:color="auto" w:fill="auto"/>
            <w:vAlign w:val="bottom"/>
            <w:hideMark/>
          </w:tcPr>
          <w:p w:rsidR="008D6145" w:rsidRPr="00534938" w:rsidRDefault="008D6145">
            <w:pPr>
              <w:suppressAutoHyphens w:val="0"/>
              <w:kinsoku/>
              <w:overflowPunct/>
              <w:autoSpaceDE/>
              <w:autoSpaceDN/>
              <w:adjustRightInd/>
              <w:snapToGrid/>
              <w:spacing w:before="40" w:after="40" w:line="220" w:lineRule="exact"/>
              <w:jc w:val="right"/>
              <w:rPr>
                <w:rFonts w:eastAsia="Times New Roman"/>
                <w:sz w:val="18"/>
                <w:szCs w:val="28"/>
              </w:rPr>
            </w:pPr>
            <w:r w:rsidRPr="00534938">
              <w:rPr>
                <w:rFonts w:eastAsia="Times New Roman"/>
                <w:sz w:val="18"/>
                <w:szCs w:val="28"/>
              </w:rPr>
              <w:t>1,95</w:t>
            </w:r>
          </w:p>
        </w:tc>
      </w:tr>
      <w:tr w:rsidR="00284B8E" w:rsidRPr="004F54F9" w:rsidTr="00284B8E">
        <w:tc>
          <w:tcPr>
            <w:tcW w:w="1361" w:type="dxa"/>
            <w:tcBorders>
              <w:bottom w:val="single" w:sz="12" w:space="0" w:color="auto"/>
            </w:tcBorders>
            <w:shd w:val="clear" w:color="auto" w:fill="auto"/>
            <w:noWrap/>
            <w:hideMark/>
          </w:tcPr>
          <w:p w:rsidR="008D6145" w:rsidRPr="004F54F9" w:rsidRDefault="004F54F9">
            <w:pPr>
              <w:suppressAutoHyphens w:val="0"/>
              <w:kinsoku/>
              <w:overflowPunct/>
              <w:autoSpaceDE/>
              <w:autoSpaceDN/>
              <w:adjustRightInd/>
              <w:snapToGrid/>
              <w:spacing w:before="40" w:after="40" w:line="220" w:lineRule="exact"/>
              <w:rPr>
                <w:rFonts w:eastAsia="Times New Roman"/>
                <w:b/>
                <w:bCs/>
                <w:sz w:val="18"/>
                <w:szCs w:val="28"/>
              </w:rPr>
            </w:pPr>
            <w:r w:rsidRPr="004F54F9">
              <w:rPr>
                <w:rFonts w:eastAsia="Times New Roman"/>
                <w:b/>
                <w:bCs/>
                <w:sz w:val="18"/>
                <w:szCs w:val="28"/>
              </w:rPr>
              <w:t>B</w:t>
            </w:r>
            <w:r>
              <w:rPr>
                <w:rFonts w:eastAsia="Times New Roman"/>
                <w:b/>
                <w:bCs/>
                <w:sz w:val="18"/>
                <w:szCs w:val="28"/>
              </w:rPr>
              <w:t>é</w:t>
            </w:r>
            <w:r w:rsidRPr="004F54F9">
              <w:rPr>
                <w:rFonts w:eastAsia="Times New Roman"/>
                <w:b/>
                <w:bCs/>
                <w:sz w:val="18"/>
                <w:szCs w:val="28"/>
              </w:rPr>
              <w:t>nin</w:t>
            </w:r>
          </w:p>
        </w:tc>
        <w:tc>
          <w:tcPr>
            <w:tcW w:w="794" w:type="dxa"/>
            <w:tcBorders>
              <w:bottom w:val="single" w:sz="12" w:space="0" w:color="auto"/>
            </w:tcBorders>
            <w:shd w:val="clear" w:color="auto" w:fill="auto"/>
            <w:vAlign w:val="bottom"/>
            <w:hideMark/>
          </w:tcPr>
          <w:p w:rsidR="008D6145" w:rsidRPr="00821D2B" w:rsidRDefault="008D6145">
            <w:pPr>
              <w:suppressAutoHyphens w:val="0"/>
              <w:kinsoku/>
              <w:overflowPunct/>
              <w:autoSpaceDE/>
              <w:autoSpaceDN/>
              <w:adjustRightInd/>
              <w:snapToGrid/>
              <w:spacing w:before="40" w:after="40" w:line="220" w:lineRule="exact"/>
              <w:jc w:val="right"/>
              <w:rPr>
                <w:rFonts w:eastAsia="Times New Roman"/>
                <w:b/>
                <w:bCs/>
                <w:sz w:val="18"/>
                <w:szCs w:val="28"/>
              </w:rPr>
            </w:pPr>
            <w:r w:rsidRPr="00821D2B">
              <w:rPr>
                <w:rFonts w:eastAsia="Times New Roman"/>
                <w:b/>
                <w:bCs/>
                <w:sz w:val="18"/>
                <w:szCs w:val="28"/>
              </w:rPr>
              <w:t>2,2</w:t>
            </w:r>
          </w:p>
        </w:tc>
        <w:tc>
          <w:tcPr>
            <w:tcW w:w="794" w:type="dxa"/>
            <w:tcBorders>
              <w:bottom w:val="single" w:sz="12" w:space="0" w:color="auto"/>
            </w:tcBorders>
            <w:shd w:val="clear" w:color="auto" w:fill="auto"/>
            <w:vAlign w:val="bottom"/>
            <w:hideMark/>
          </w:tcPr>
          <w:p w:rsidR="008D6145" w:rsidRPr="00821D2B" w:rsidRDefault="008D6145">
            <w:pPr>
              <w:suppressAutoHyphens w:val="0"/>
              <w:kinsoku/>
              <w:overflowPunct/>
              <w:autoSpaceDE/>
              <w:autoSpaceDN/>
              <w:adjustRightInd/>
              <w:snapToGrid/>
              <w:spacing w:before="40" w:after="40" w:line="220" w:lineRule="exact"/>
              <w:jc w:val="right"/>
              <w:rPr>
                <w:rFonts w:eastAsia="Times New Roman"/>
                <w:b/>
                <w:bCs/>
                <w:sz w:val="18"/>
                <w:szCs w:val="28"/>
              </w:rPr>
            </w:pPr>
            <w:r w:rsidRPr="00821D2B">
              <w:rPr>
                <w:rFonts w:eastAsia="Times New Roman"/>
                <w:b/>
                <w:bCs/>
                <w:sz w:val="18"/>
                <w:szCs w:val="28"/>
              </w:rPr>
              <w:t>1,8</w:t>
            </w:r>
          </w:p>
        </w:tc>
        <w:tc>
          <w:tcPr>
            <w:tcW w:w="794" w:type="dxa"/>
            <w:tcBorders>
              <w:bottom w:val="single" w:sz="12" w:space="0" w:color="auto"/>
            </w:tcBorders>
            <w:shd w:val="clear" w:color="auto" w:fill="auto"/>
            <w:vAlign w:val="bottom"/>
            <w:hideMark/>
          </w:tcPr>
          <w:p w:rsidR="008D6145" w:rsidRPr="00821D2B" w:rsidRDefault="008D6145">
            <w:pPr>
              <w:suppressAutoHyphens w:val="0"/>
              <w:kinsoku/>
              <w:overflowPunct/>
              <w:autoSpaceDE/>
              <w:autoSpaceDN/>
              <w:adjustRightInd/>
              <w:snapToGrid/>
              <w:spacing w:before="40" w:after="40" w:line="220" w:lineRule="exact"/>
              <w:jc w:val="right"/>
              <w:rPr>
                <w:rFonts w:eastAsia="Times New Roman"/>
                <w:b/>
                <w:bCs/>
                <w:sz w:val="18"/>
                <w:szCs w:val="28"/>
              </w:rPr>
            </w:pPr>
            <w:r w:rsidRPr="00821D2B">
              <w:rPr>
                <w:rFonts w:eastAsia="Times New Roman"/>
                <w:b/>
                <w:bCs/>
                <w:sz w:val="18"/>
                <w:szCs w:val="28"/>
              </w:rPr>
              <w:t>1,9</w:t>
            </w:r>
          </w:p>
        </w:tc>
        <w:tc>
          <w:tcPr>
            <w:tcW w:w="794" w:type="dxa"/>
            <w:tcBorders>
              <w:bottom w:val="single" w:sz="12" w:space="0" w:color="auto"/>
            </w:tcBorders>
            <w:shd w:val="clear" w:color="auto" w:fill="auto"/>
            <w:vAlign w:val="bottom"/>
            <w:hideMark/>
          </w:tcPr>
          <w:p w:rsidR="008D6145" w:rsidRPr="00821D2B" w:rsidRDefault="008D6145">
            <w:pPr>
              <w:suppressAutoHyphens w:val="0"/>
              <w:kinsoku/>
              <w:overflowPunct/>
              <w:autoSpaceDE/>
              <w:autoSpaceDN/>
              <w:adjustRightInd/>
              <w:snapToGrid/>
              <w:spacing w:before="40" w:after="40" w:line="220" w:lineRule="exact"/>
              <w:jc w:val="right"/>
              <w:rPr>
                <w:rFonts w:eastAsia="Times New Roman"/>
                <w:b/>
                <w:bCs/>
                <w:sz w:val="18"/>
                <w:szCs w:val="28"/>
              </w:rPr>
            </w:pPr>
            <w:r w:rsidRPr="00821D2B">
              <w:rPr>
                <w:rFonts w:eastAsia="Times New Roman"/>
                <w:b/>
                <w:bCs/>
                <w:sz w:val="18"/>
                <w:szCs w:val="28"/>
              </w:rPr>
              <w:t>2,16</w:t>
            </w:r>
          </w:p>
        </w:tc>
        <w:tc>
          <w:tcPr>
            <w:tcW w:w="794" w:type="dxa"/>
            <w:tcBorders>
              <w:bottom w:val="single" w:sz="12" w:space="0" w:color="auto"/>
            </w:tcBorders>
            <w:shd w:val="clear" w:color="auto" w:fill="auto"/>
            <w:vAlign w:val="bottom"/>
            <w:hideMark/>
          </w:tcPr>
          <w:p w:rsidR="008D6145" w:rsidRPr="00821D2B" w:rsidRDefault="008D6145">
            <w:pPr>
              <w:suppressAutoHyphens w:val="0"/>
              <w:kinsoku/>
              <w:overflowPunct/>
              <w:autoSpaceDE/>
              <w:autoSpaceDN/>
              <w:adjustRightInd/>
              <w:snapToGrid/>
              <w:spacing w:before="40" w:after="40" w:line="220" w:lineRule="exact"/>
              <w:jc w:val="right"/>
              <w:rPr>
                <w:rFonts w:eastAsia="Times New Roman"/>
                <w:b/>
                <w:bCs/>
                <w:sz w:val="18"/>
                <w:szCs w:val="28"/>
              </w:rPr>
            </w:pPr>
            <w:r w:rsidRPr="00821D2B">
              <w:rPr>
                <w:rFonts w:eastAsia="Times New Roman"/>
                <w:b/>
                <w:bCs/>
                <w:sz w:val="18"/>
                <w:szCs w:val="28"/>
              </w:rPr>
              <w:t>1,44</w:t>
            </w:r>
          </w:p>
        </w:tc>
        <w:tc>
          <w:tcPr>
            <w:tcW w:w="794" w:type="dxa"/>
            <w:tcBorders>
              <w:bottom w:val="single" w:sz="12" w:space="0" w:color="auto"/>
            </w:tcBorders>
            <w:shd w:val="clear" w:color="auto" w:fill="auto"/>
            <w:vAlign w:val="bottom"/>
            <w:hideMark/>
          </w:tcPr>
          <w:p w:rsidR="008D6145" w:rsidRPr="00821D2B" w:rsidRDefault="008D6145">
            <w:pPr>
              <w:suppressAutoHyphens w:val="0"/>
              <w:kinsoku/>
              <w:overflowPunct/>
              <w:autoSpaceDE/>
              <w:autoSpaceDN/>
              <w:adjustRightInd/>
              <w:snapToGrid/>
              <w:spacing w:before="40" w:after="40" w:line="220" w:lineRule="exact"/>
              <w:jc w:val="right"/>
              <w:rPr>
                <w:rFonts w:eastAsia="Times New Roman"/>
                <w:b/>
                <w:bCs/>
                <w:sz w:val="18"/>
                <w:szCs w:val="28"/>
              </w:rPr>
            </w:pPr>
            <w:r w:rsidRPr="00821D2B">
              <w:rPr>
                <w:rFonts w:eastAsia="Times New Roman"/>
                <w:b/>
                <w:bCs/>
                <w:sz w:val="18"/>
                <w:szCs w:val="28"/>
              </w:rPr>
              <w:t>1,9</w:t>
            </w:r>
          </w:p>
        </w:tc>
        <w:tc>
          <w:tcPr>
            <w:tcW w:w="794" w:type="dxa"/>
            <w:tcBorders>
              <w:bottom w:val="single" w:sz="12" w:space="0" w:color="auto"/>
            </w:tcBorders>
            <w:shd w:val="clear" w:color="auto" w:fill="auto"/>
            <w:vAlign w:val="bottom"/>
            <w:hideMark/>
          </w:tcPr>
          <w:p w:rsidR="008D6145" w:rsidRPr="00821D2B" w:rsidRDefault="008D6145">
            <w:pPr>
              <w:suppressAutoHyphens w:val="0"/>
              <w:kinsoku/>
              <w:overflowPunct/>
              <w:autoSpaceDE/>
              <w:autoSpaceDN/>
              <w:adjustRightInd/>
              <w:snapToGrid/>
              <w:spacing w:before="40" w:after="40" w:line="220" w:lineRule="exact"/>
              <w:jc w:val="right"/>
              <w:rPr>
                <w:rFonts w:eastAsia="Times New Roman"/>
                <w:b/>
                <w:bCs/>
                <w:sz w:val="18"/>
                <w:szCs w:val="28"/>
              </w:rPr>
            </w:pPr>
            <w:r w:rsidRPr="00821D2B">
              <w:rPr>
                <w:rFonts w:eastAsia="Times New Roman"/>
                <w:b/>
                <w:bCs/>
                <w:sz w:val="18"/>
                <w:szCs w:val="28"/>
              </w:rPr>
              <w:t>2,16</w:t>
            </w:r>
          </w:p>
        </w:tc>
        <w:tc>
          <w:tcPr>
            <w:tcW w:w="794" w:type="dxa"/>
            <w:tcBorders>
              <w:bottom w:val="single" w:sz="12" w:space="0" w:color="auto"/>
            </w:tcBorders>
            <w:shd w:val="clear" w:color="auto" w:fill="auto"/>
            <w:vAlign w:val="bottom"/>
            <w:hideMark/>
          </w:tcPr>
          <w:p w:rsidR="008D6145" w:rsidRPr="00821D2B" w:rsidRDefault="008D6145">
            <w:pPr>
              <w:suppressAutoHyphens w:val="0"/>
              <w:kinsoku/>
              <w:overflowPunct/>
              <w:autoSpaceDE/>
              <w:autoSpaceDN/>
              <w:adjustRightInd/>
              <w:snapToGrid/>
              <w:spacing w:before="40" w:after="40" w:line="220" w:lineRule="exact"/>
              <w:jc w:val="right"/>
              <w:rPr>
                <w:rFonts w:eastAsia="Times New Roman"/>
                <w:b/>
                <w:bCs/>
                <w:sz w:val="18"/>
                <w:szCs w:val="28"/>
              </w:rPr>
            </w:pPr>
            <w:r w:rsidRPr="00821D2B">
              <w:rPr>
                <w:rFonts w:eastAsia="Times New Roman"/>
                <w:b/>
                <w:bCs/>
                <w:sz w:val="18"/>
                <w:szCs w:val="28"/>
              </w:rPr>
              <w:t>1,44</w:t>
            </w:r>
          </w:p>
        </w:tc>
        <w:tc>
          <w:tcPr>
            <w:tcW w:w="794" w:type="dxa"/>
            <w:tcBorders>
              <w:bottom w:val="single" w:sz="12" w:space="0" w:color="auto"/>
            </w:tcBorders>
            <w:shd w:val="clear" w:color="auto" w:fill="auto"/>
            <w:vAlign w:val="bottom"/>
            <w:hideMark/>
          </w:tcPr>
          <w:p w:rsidR="008D6145" w:rsidRPr="00821D2B" w:rsidRDefault="008D6145">
            <w:pPr>
              <w:suppressAutoHyphens w:val="0"/>
              <w:kinsoku/>
              <w:overflowPunct/>
              <w:autoSpaceDE/>
              <w:autoSpaceDN/>
              <w:adjustRightInd/>
              <w:snapToGrid/>
              <w:spacing w:before="40" w:after="40" w:line="220" w:lineRule="exact"/>
              <w:jc w:val="right"/>
              <w:rPr>
                <w:rFonts w:eastAsia="Times New Roman"/>
                <w:b/>
                <w:bCs/>
                <w:sz w:val="18"/>
                <w:szCs w:val="28"/>
              </w:rPr>
            </w:pPr>
            <w:r w:rsidRPr="00821D2B">
              <w:rPr>
                <w:rFonts w:eastAsia="Times New Roman"/>
                <w:b/>
                <w:bCs/>
                <w:sz w:val="18"/>
                <w:szCs w:val="28"/>
              </w:rPr>
              <w:t>2,16</w:t>
            </w:r>
          </w:p>
        </w:tc>
      </w:tr>
    </w:tbl>
    <w:p w:rsidR="008D6145" w:rsidRPr="008D6145" w:rsidRDefault="008D6145" w:rsidP="008D6145">
      <w:pPr>
        <w:kinsoku/>
        <w:overflowPunct/>
        <w:autoSpaceDE/>
        <w:autoSpaceDN/>
        <w:adjustRightInd/>
        <w:snapToGrid/>
        <w:spacing w:before="120" w:after="120"/>
        <w:ind w:left="1134" w:right="1134" w:firstLine="170"/>
        <w:rPr>
          <w:rFonts w:eastAsia="Times New Roman"/>
          <w:sz w:val="18"/>
          <w:szCs w:val="18"/>
        </w:rPr>
      </w:pPr>
      <w:r w:rsidRPr="008D6145">
        <w:rPr>
          <w:rFonts w:eastAsia="Times New Roman"/>
          <w:i/>
          <w:sz w:val="18"/>
          <w:szCs w:val="18"/>
        </w:rPr>
        <w:t>Source</w:t>
      </w:r>
      <w:r w:rsidRPr="008D6145">
        <w:rPr>
          <w:rFonts w:eastAsia="Times New Roman"/>
          <w:sz w:val="18"/>
          <w:szCs w:val="18"/>
        </w:rPr>
        <w:t xml:space="preserve"> : </w:t>
      </w:r>
      <w:r w:rsidRPr="00FB7FA8">
        <w:rPr>
          <w:rFonts w:eastAsia="Times New Roman"/>
          <w:iCs/>
          <w:sz w:val="18"/>
          <w:szCs w:val="18"/>
        </w:rPr>
        <w:t>Annuaires</w:t>
      </w:r>
      <w:r w:rsidRPr="008D6145">
        <w:rPr>
          <w:rFonts w:eastAsia="Times New Roman"/>
          <w:sz w:val="18"/>
          <w:szCs w:val="18"/>
        </w:rPr>
        <w:t xml:space="preserve"> Statistiques Sanitaires (2011, 2013 et 2014).</w:t>
      </w:r>
    </w:p>
    <w:p w:rsidR="008D6145" w:rsidRPr="008D6145" w:rsidRDefault="008D6145" w:rsidP="00821D2B">
      <w:pPr>
        <w:pStyle w:val="H23G"/>
        <w:rPr>
          <w:lang w:val="fr-FR"/>
        </w:rPr>
      </w:pPr>
      <w:r w:rsidRPr="008D6145">
        <w:rPr>
          <w:lang w:val="fr-FR"/>
        </w:rPr>
        <w:tab/>
      </w:r>
      <w:r w:rsidRPr="008D6145">
        <w:rPr>
          <w:lang w:val="fr-FR"/>
        </w:rPr>
        <w:tab/>
        <w:t>Couverture vaccinale par type de vaccin </w:t>
      </w:r>
    </w:p>
    <w:p w:rsidR="008D6145" w:rsidRPr="008D6145" w:rsidRDefault="00821D2B" w:rsidP="00821D2B">
      <w:pPr>
        <w:pStyle w:val="SingleTxtG"/>
        <w:kinsoku/>
        <w:overflowPunct/>
        <w:autoSpaceDE/>
        <w:autoSpaceDN/>
        <w:adjustRightInd/>
        <w:snapToGrid/>
        <w:rPr>
          <w:rFonts w:eastAsia="Times New Roman"/>
          <w:lang w:val="fr-FR"/>
        </w:rPr>
      </w:pPr>
      <w:r w:rsidRPr="008D6145">
        <w:rPr>
          <w:rFonts w:eastAsia="Times New Roman"/>
          <w:lang w:val="fr-FR"/>
        </w:rPr>
        <w:t>88.</w:t>
      </w:r>
      <w:r w:rsidRPr="008D6145">
        <w:rPr>
          <w:rFonts w:eastAsia="Times New Roman"/>
          <w:lang w:val="fr-FR"/>
        </w:rPr>
        <w:tab/>
      </w:r>
      <w:r w:rsidR="008D6145" w:rsidRPr="008D6145">
        <w:rPr>
          <w:rFonts w:eastAsia="Times New Roman"/>
          <w:lang w:val="fr-FR"/>
        </w:rPr>
        <w:t>L</w:t>
      </w:r>
      <w:r w:rsidR="00A033A7">
        <w:rPr>
          <w:rFonts w:eastAsia="Times New Roman"/>
          <w:lang w:val="fr-FR"/>
        </w:rPr>
        <w:t>’</w:t>
      </w:r>
      <w:r w:rsidR="008D6145" w:rsidRPr="008D6145">
        <w:rPr>
          <w:rFonts w:eastAsia="Times New Roman"/>
          <w:lang w:val="fr-FR"/>
        </w:rPr>
        <w:t>activité vaccinale est importante et bénéficie d</w:t>
      </w:r>
      <w:r w:rsidR="00A033A7">
        <w:rPr>
          <w:rFonts w:eastAsia="Times New Roman"/>
          <w:lang w:val="fr-FR"/>
        </w:rPr>
        <w:t>’</w:t>
      </w:r>
      <w:r w:rsidR="008D6145" w:rsidRPr="008D6145">
        <w:rPr>
          <w:rFonts w:eastAsia="Times New Roman"/>
          <w:lang w:val="fr-FR"/>
        </w:rPr>
        <w:t>une attention particulière avec le développement du Programme Elargi de Vaccination (PEV) depuis quelques années. Les taux calculés ne concernent que les populations cibles du PEV, à savoir les enfants de moins d</w:t>
      </w:r>
      <w:r w:rsidR="00A033A7">
        <w:rPr>
          <w:rFonts w:eastAsia="Times New Roman"/>
          <w:lang w:val="fr-FR"/>
        </w:rPr>
        <w:t>’</w:t>
      </w:r>
      <w:r w:rsidR="008D6145" w:rsidRPr="008D6145">
        <w:rPr>
          <w:rFonts w:eastAsia="Times New Roman"/>
          <w:lang w:val="fr-FR"/>
        </w:rPr>
        <w:t xml:space="preserve">un an. </w:t>
      </w:r>
    </w:p>
    <w:p w:rsidR="008D6145" w:rsidRPr="008D6145" w:rsidRDefault="00821D2B" w:rsidP="00821D2B">
      <w:pPr>
        <w:pStyle w:val="SingleTxtG"/>
        <w:kinsoku/>
        <w:overflowPunct/>
        <w:autoSpaceDE/>
        <w:autoSpaceDN/>
        <w:adjustRightInd/>
        <w:snapToGrid/>
        <w:rPr>
          <w:rFonts w:eastAsia="Times New Roman"/>
          <w:lang w:val="fr-FR"/>
        </w:rPr>
      </w:pPr>
      <w:r w:rsidRPr="008D6145">
        <w:rPr>
          <w:rFonts w:eastAsia="Times New Roman"/>
          <w:lang w:val="fr-FR"/>
        </w:rPr>
        <w:t>89.</w:t>
      </w:r>
      <w:r w:rsidRPr="008D6145">
        <w:rPr>
          <w:rFonts w:eastAsia="Times New Roman"/>
          <w:lang w:val="fr-FR"/>
        </w:rPr>
        <w:tab/>
      </w:r>
      <w:r w:rsidR="008D6145" w:rsidRPr="008D6145">
        <w:rPr>
          <w:rFonts w:eastAsia="Times New Roman"/>
          <w:lang w:val="fr-FR"/>
        </w:rPr>
        <w:t>Selon les statistiques sanitaires, le taux de couverture en Bacille de Calmette et Guérin(BCG) en 2014 est de 122,5</w:t>
      </w:r>
      <w:r w:rsidR="004F54F9">
        <w:rPr>
          <w:rFonts w:eastAsia="Times New Roman"/>
          <w:lang w:val="fr-FR"/>
        </w:rPr>
        <w:t> </w:t>
      </w:r>
      <w:r w:rsidR="008D6145" w:rsidRPr="008D6145">
        <w:rPr>
          <w:rFonts w:eastAsia="Times New Roman"/>
          <w:lang w:val="fr-FR"/>
        </w:rPr>
        <w:t>% contre 113,0</w:t>
      </w:r>
      <w:r w:rsidR="004F54F9">
        <w:rPr>
          <w:rFonts w:eastAsia="Times New Roman"/>
          <w:lang w:val="fr-FR"/>
        </w:rPr>
        <w:t> </w:t>
      </w:r>
      <w:r w:rsidR="008D6145" w:rsidRPr="008D6145">
        <w:rPr>
          <w:rFonts w:eastAsia="Times New Roman"/>
          <w:lang w:val="fr-FR"/>
        </w:rPr>
        <w:t>% en 2013 et 119,1</w:t>
      </w:r>
      <w:r w:rsidR="004F54F9">
        <w:rPr>
          <w:rFonts w:eastAsia="Times New Roman"/>
          <w:lang w:val="fr-FR"/>
        </w:rPr>
        <w:t> </w:t>
      </w:r>
      <w:r w:rsidR="008D6145" w:rsidRPr="008D6145">
        <w:rPr>
          <w:rFonts w:eastAsia="Times New Roman"/>
          <w:lang w:val="fr-FR"/>
        </w:rPr>
        <w:t>% en 2012. Sur le plan national en 2014, la couverture vaccinale (enfants de 0-11 mois) en PENTA 3 (Pentavalent 3ème dose) a atteint 115,6</w:t>
      </w:r>
      <w:r w:rsidR="004F54F9">
        <w:rPr>
          <w:rFonts w:eastAsia="Times New Roman"/>
          <w:lang w:val="fr-FR"/>
        </w:rPr>
        <w:t> </w:t>
      </w:r>
      <w:r w:rsidR="008D6145" w:rsidRPr="008D6145">
        <w:rPr>
          <w:rFonts w:eastAsia="Times New Roman"/>
          <w:lang w:val="fr-FR"/>
        </w:rPr>
        <w:t>% contre un niveau relativement bas en 2013 (101</w:t>
      </w:r>
      <w:r w:rsidR="004F54F9">
        <w:rPr>
          <w:rFonts w:eastAsia="Times New Roman"/>
          <w:lang w:val="fr-FR"/>
        </w:rPr>
        <w:t> </w:t>
      </w:r>
      <w:r w:rsidR="008D6145" w:rsidRPr="008D6145">
        <w:rPr>
          <w:rFonts w:eastAsia="Times New Roman"/>
          <w:lang w:val="fr-FR"/>
        </w:rPr>
        <w:t>%). La couverture vaccinale moyenne en VAR (Vaccin Anti Rougeoleux) est de 109</w:t>
      </w:r>
      <w:r w:rsidR="004F54F9">
        <w:rPr>
          <w:rFonts w:eastAsia="Times New Roman"/>
          <w:lang w:val="fr-FR"/>
        </w:rPr>
        <w:t> </w:t>
      </w:r>
      <w:r w:rsidR="008D6145" w:rsidRPr="008D6145">
        <w:rPr>
          <w:rFonts w:eastAsia="Times New Roman"/>
          <w:lang w:val="fr-FR"/>
        </w:rPr>
        <w:t>% en 2014 contre 96,1</w:t>
      </w:r>
      <w:r w:rsidR="004F54F9">
        <w:rPr>
          <w:rFonts w:eastAsia="Times New Roman"/>
          <w:lang w:val="fr-FR"/>
        </w:rPr>
        <w:t> </w:t>
      </w:r>
      <w:r w:rsidR="008D6145" w:rsidRPr="008D6145">
        <w:rPr>
          <w:rFonts w:eastAsia="Times New Roman"/>
          <w:lang w:val="fr-FR"/>
        </w:rPr>
        <w:t>% en 2013</w:t>
      </w:r>
      <w:r w:rsidR="004F54F9">
        <w:rPr>
          <w:rFonts w:eastAsia="Times New Roman"/>
          <w:lang w:val="fr-FR"/>
        </w:rPr>
        <w:t xml:space="preserve"> </w:t>
      </w:r>
      <w:r w:rsidR="008D6145" w:rsidRPr="008D6145">
        <w:rPr>
          <w:rFonts w:eastAsia="Times New Roman"/>
          <w:lang w:val="fr-FR"/>
        </w:rPr>
        <w:t>et</w:t>
      </w:r>
      <w:r w:rsidR="004F54F9">
        <w:rPr>
          <w:rFonts w:eastAsia="Times New Roman"/>
          <w:lang w:val="fr-FR"/>
        </w:rPr>
        <w:t xml:space="preserve"> </w:t>
      </w:r>
      <w:r w:rsidR="008D6145" w:rsidRPr="008D6145">
        <w:rPr>
          <w:rFonts w:eastAsia="Times New Roman"/>
          <w:lang w:val="fr-FR"/>
        </w:rPr>
        <w:t>94,7</w:t>
      </w:r>
      <w:r w:rsidR="004F54F9">
        <w:rPr>
          <w:rFonts w:eastAsia="Times New Roman"/>
          <w:lang w:val="fr-FR"/>
        </w:rPr>
        <w:t> </w:t>
      </w:r>
      <w:r w:rsidR="008D6145" w:rsidRPr="008D6145">
        <w:rPr>
          <w:rFonts w:eastAsia="Times New Roman"/>
          <w:lang w:val="fr-FR"/>
        </w:rPr>
        <w:t>% en 2012 sur toute l</w:t>
      </w:r>
      <w:r w:rsidR="00A033A7">
        <w:rPr>
          <w:rFonts w:eastAsia="Times New Roman"/>
          <w:lang w:val="fr-FR"/>
        </w:rPr>
        <w:t>’</w:t>
      </w:r>
      <w:r w:rsidR="008D6145" w:rsidRPr="008D6145">
        <w:rPr>
          <w:rFonts w:eastAsia="Times New Roman"/>
          <w:lang w:val="fr-FR"/>
        </w:rPr>
        <w:t>étendue du territoire national.</w:t>
      </w:r>
      <w:bookmarkStart w:id="8" w:name="_Toc217459085"/>
      <w:bookmarkEnd w:id="8"/>
    </w:p>
    <w:p w:rsidR="008D6145" w:rsidRPr="008D6145" w:rsidRDefault="00821D2B" w:rsidP="00821D2B">
      <w:pPr>
        <w:pStyle w:val="SingleTxtG"/>
        <w:kinsoku/>
        <w:overflowPunct/>
        <w:autoSpaceDE/>
        <w:autoSpaceDN/>
        <w:adjustRightInd/>
        <w:snapToGrid/>
        <w:rPr>
          <w:rFonts w:eastAsia="Times New Roman"/>
          <w:lang w:val="fr-FR"/>
        </w:rPr>
      </w:pPr>
      <w:r w:rsidRPr="008D6145">
        <w:rPr>
          <w:rFonts w:eastAsia="Times New Roman"/>
          <w:lang w:val="fr-FR"/>
        </w:rPr>
        <w:t>90.</w:t>
      </w:r>
      <w:r w:rsidRPr="008D6145">
        <w:rPr>
          <w:rFonts w:eastAsia="Times New Roman"/>
          <w:lang w:val="fr-FR"/>
        </w:rPr>
        <w:tab/>
      </w:r>
      <w:r w:rsidR="008D6145" w:rsidRPr="008D6145">
        <w:rPr>
          <w:rFonts w:eastAsia="Times New Roman"/>
          <w:lang w:val="fr-FR"/>
        </w:rPr>
        <w:t>Pour ce qui est des mesures préventives, aucun vaccin n</w:t>
      </w:r>
      <w:r w:rsidR="00A033A7">
        <w:rPr>
          <w:rFonts w:eastAsia="Times New Roman"/>
          <w:lang w:val="fr-FR"/>
        </w:rPr>
        <w:t>’</w:t>
      </w:r>
      <w:r w:rsidR="008D6145" w:rsidRPr="008D6145">
        <w:rPr>
          <w:rFonts w:eastAsia="Times New Roman"/>
          <w:lang w:val="fr-FR"/>
        </w:rPr>
        <w:t>est possible pour les virus Ebola, Lassa. Seules des mesures curatives sont possibles. Des sensibilisations sont donc organisées par le ministère de la santé et une large diffusion est faite sur les chaînes de télévisions et radio afin d</w:t>
      </w:r>
      <w:r w:rsidR="00A033A7">
        <w:rPr>
          <w:rFonts w:eastAsia="Times New Roman"/>
          <w:lang w:val="fr-FR"/>
        </w:rPr>
        <w:t>’</w:t>
      </w:r>
      <w:r w:rsidR="008D6145" w:rsidRPr="008D6145">
        <w:rPr>
          <w:rFonts w:eastAsia="Times New Roman"/>
          <w:lang w:val="fr-FR"/>
        </w:rPr>
        <w:t>éveiller la conscience de la population et des dispositions à prendre en cas de symptômes détectées.</w:t>
      </w:r>
      <w:r w:rsidR="00A033A7">
        <w:rPr>
          <w:rFonts w:eastAsia="Times New Roman"/>
          <w:lang w:val="fr-FR"/>
        </w:rPr>
        <w:t xml:space="preserve"> </w:t>
      </w:r>
    </w:p>
    <w:p w:rsidR="008D6145" w:rsidRPr="00A033A7" w:rsidRDefault="008D6145" w:rsidP="008D6145">
      <w:pPr>
        <w:keepNext/>
        <w:keepLines/>
        <w:tabs>
          <w:tab w:val="right" w:pos="851"/>
        </w:tabs>
        <w:kinsoku/>
        <w:overflowPunct/>
        <w:autoSpaceDE/>
        <w:autoSpaceDN/>
        <w:adjustRightInd/>
        <w:snapToGrid/>
        <w:spacing w:before="240" w:after="120" w:line="240" w:lineRule="exact"/>
        <w:ind w:right="1134"/>
        <w:rPr>
          <w:rFonts w:eastAsia="Times New Roman"/>
          <w:b/>
          <w:lang w:val="fr-FR"/>
        </w:rPr>
      </w:pPr>
      <w:r w:rsidRPr="008D6145">
        <w:rPr>
          <w:rFonts w:eastAsia="Times New Roman"/>
          <w:lang w:val="fr-FR"/>
        </w:rPr>
        <w:tab/>
      </w:r>
      <w:r w:rsidRPr="008D6145">
        <w:rPr>
          <w:rFonts w:eastAsia="Times New Roman"/>
          <w:lang w:val="fr-FR"/>
        </w:rPr>
        <w:tab/>
      </w:r>
      <w:r w:rsidRPr="00A033A7">
        <w:rPr>
          <w:rFonts w:eastAsia="Times New Roman"/>
          <w:b/>
          <w:lang w:val="fr-FR"/>
        </w:rPr>
        <w:t>Le niveau de fréquentation des services de santé reste toujours faible en 2014</w:t>
      </w:r>
    </w:p>
    <w:p w:rsidR="008D6145" w:rsidRPr="008D6145" w:rsidRDefault="00821D2B" w:rsidP="00821D2B">
      <w:pPr>
        <w:pStyle w:val="SingleTxtG"/>
        <w:kinsoku/>
        <w:overflowPunct/>
        <w:autoSpaceDE/>
        <w:autoSpaceDN/>
        <w:adjustRightInd/>
        <w:snapToGrid/>
        <w:rPr>
          <w:rFonts w:eastAsia="Times New Roman"/>
          <w:lang w:val="fr-FR"/>
        </w:rPr>
      </w:pPr>
      <w:r w:rsidRPr="008D6145">
        <w:rPr>
          <w:rFonts w:eastAsia="Times New Roman"/>
          <w:lang w:val="fr-FR"/>
        </w:rPr>
        <w:t>91.</w:t>
      </w:r>
      <w:r w:rsidRPr="008D6145">
        <w:rPr>
          <w:rFonts w:eastAsia="Times New Roman"/>
          <w:lang w:val="fr-FR"/>
        </w:rPr>
        <w:tab/>
      </w:r>
      <w:r w:rsidR="008D6145" w:rsidRPr="008D6145">
        <w:rPr>
          <w:rFonts w:eastAsia="Times New Roman"/>
          <w:lang w:val="fr-FR"/>
        </w:rPr>
        <w:t>En 2014, la part de la population qui a fréquenté les services de santé est estimée à 50,4</w:t>
      </w:r>
      <w:r w:rsidR="001D58DC">
        <w:rPr>
          <w:rFonts w:eastAsia="Times New Roman"/>
          <w:lang w:val="fr-FR"/>
        </w:rPr>
        <w:t> </w:t>
      </w:r>
      <w:r w:rsidR="008D6145" w:rsidRPr="008D6145">
        <w:rPr>
          <w:rFonts w:eastAsia="Times New Roman"/>
          <w:lang w:val="fr-FR"/>
        </w:rPr>
        <w:t>%. On note une baisse de 2,3 points de pourcentage par rapport au niveau de 2013. Ce taux a connu une progression entre 2013 et 2014 dans les départements de la Donga (59,0</w:t>
      </w:r>
      <w:r w:rsidR="004F54F9">
        <w:rPr>
          <w:rFonts w:eastAsia="Times New Roman"/>
          <w:lang w:val="fr-FR"/>
        </w:rPr>
        <w:t> </w:t>
      </w:r>
      <w:r w:rsidR="008D6145" w:rsidRPr="008D6145">
        <w:rPr>
          <w:rFonts w:eastAsia="Times New Roman"/>
          <w:lang w:val="fr-FR"/>
        </w:rPr>
        <w:t>% à 60,2</w:t>
      </w:r>
      <w:r w:rsidR="004F54F9">
        <w:rPr>
          <w:rFonts w:eastAsia="Times New Roman"/>
          <w:lang w:val="fr-FR"/>
        </w:rPr>
        <w:t> </w:t>
      </w:r>
      <w:r w:rsidR="008D6145" w:rsidRPr="008D6145">
        <w:rPr>
          <w:rFonts w:eastAsia="Times New Roman"/>
          <w:lang w:val="fr-FR"/>
        </w:rPr>
        <w:t>%), de l</w:t>
      </w:r>
      <w:r w:rsidR="00A033A7">
        <w:rPr>
          <w:rFonts w:eastAsia="Times New Roman"/>
          <w:lang w:val="fr-FR"/>
        </w:rPr>
        <w:t>’</w:t>
      </w:r>
      <w:r w:rsidR="008D6145" w:rsidRPr="008D6145">
        <w:rPr>
          <w:rFonts w:eastAsia="Times New Roman"/>
          <w:lang w:val="fr-FR"/>
        </w:rPr>
        <w:t>Atacora (45,2</w:t>
      </w:r>
      <w:r w:rsidR="004F54F9">
        <w:rPr>
          <w:rFonts w:eastAsia="Times New Roman"/>
          <w:lang w:val="fr-FR"/>
        </w:rPr>
        <w:t> </w:t>
      </w:r>
      <w:r w:rsidR="008D6145" w:rsidRPr="008D6145">
        <w:rPr>
          <w:rFonts w:eastAsia="Times New Roman"/>
          <w:lang w:val="fr-FR"/>
        </w:rPr>
        <w:t>% à 46,8</w:t>
      </w:r>
      <w:r w:rsidR="004F54F9">
        <w:rPr>
          <w:rFonts w:eastAsia="Times New Roman"/>
          <w:lang w:val="fr-FR"/>
        </w:rPr>
        <w:t> </w:t>
      </w:r>
      <w:r w:rsidR="008D6145" w:rsidRPr="008D6145">
        <w:rPr>
          <w:rFonts w:eastAsia="Times New Roman"/>
          <w:lang w:val="fr-FR"/>
        </w:rPr>
        <w:t>%) et de l</w:t>
      </w:r>
      <w:r w:rsidR="00A033A7">
        <w:rPr>
          <w:rFonts w:eastAsia="Times New Roman"/>
          <w:lang w:val="fr-FR"/>
        </w:rPr>
        <w:t>’</w:t>
      </w:r>
      <w:r w:rsidR="008D6145" w:rsidRPr="008D6145">
        <w:rPr>
          <w:rFonts w:eastAsia="Times New Roman"/>
          <w:lang w:val="fr-FR"/>
        </w:rPr>
        <w:t>Atlantique (47</w:t>
      </w:r>
      <w:r w:rsidR="004F54F9">
        <w:rPr>
          <w:rFonts w:eastAsia="Times New Roman"/>
          <w:lang w:val="fr-FR"/>
        </w:rPr>
        <w:t> </w:t>
      </w:r>
      <w:r w:rsidR="008D6145" w:rsidRPr="008D6145">
        <w:rPr>
          <w:rFonts w:eastAsia="Times New Roman"/>
          <w:lang w:val="fr-FR"/>
        </w:rPr>
        <w:t>% à 48,9</w:t>
      </w:r>
      <w:r w:rsidR="004F54F9">
        <w:rPr>
          <w:rFonts w:eastAsia="Times New Roman"/>
          <w:lang w:val="fr-FR"/>
        </w:rPr>
        <w:t> </w:t>
      </w:r>
      <w:r w:rsidR="008D6145" w:rsidRPr="008D6145">
        <w:rPr>
          <w:rFonts w:eastAsia="Times New Roman"/>
          <w:lang w:val="fr-FR"/>
        </w:rPr>
        <w:t>%). Dans les départements du Borgou (82,3</w:t>
      </w:r>
      <w:r w:rsidR="004F54F9">
        <w:rPr>
          <w:rFonts w:eastAsia="Times New Roman"/>
          <w:lang w:val="fr-FR"/>
        </w:rPr>
        <w:t> </w:t>
      </w:r>
      <w:r w:rsidR="008D6145" w:rsidRPr="008D6145">
        <w:rPr>
          <w:rFonts w:eastAsia="Times New Roman"/>
          <w:lang w:val="fr-FR"/>
        </w:rPr>
        <w:t>% à 76,1</w:t>
      </w:r>
      <w:r w:rsidR="004F54F9">
        <w:rPr>
          <w:rFonts w:eastAsia="Times New Roman"/>
          <w:lang w:val="fr-FR"/>
        </w:rPr>
        <w:t> </w:t>
      </w:r>
      <w:r w:rsidR="008D6145" w:rsidRPr="008D6145">
        <w:rPr>
          <w:rFonts w:eastAsia="Times New Roman"/>
          <w:lang w:val="fr-FR"/>
        </w:rPr>
        <w:t>%), de l</w:t>
      </w:r>
      <w:r w:rsidR="00A033A7">
        <w:rPr>
          <w:rFonts w:eastAsia="Times New Roman"/>
          <w:lang w:val="fr-FR"/>
        </w:rPr>
        <w:t>’</w:t>
      </w:r>
      <w:r w:rsidR="008D6145" w:rsidRPr="008D6145">
        <w:rPr>
          <w:rFonts w:eastAsia="Times New Roman"/>
          <w:lang w:val="fr-FR"/>
        </w:rPr>
        <w:t>Ouémé (54,3</w:t>
      </w:r>
      <w:r w:rsidR="004F54F9">
        <w:rPr>
          <w:rFonts w:eastAsia="Times New Roman"/>
          <w:lang w:val="fr-FR"/>
        </w:rPr>
        <w:t> </w:t>
      </w:r>
      <w:r w:rsidR="008D6145" w:rsidRPr="008D6145">
        <w:rPr>
          <w:rFonts w:eastAsia="Times New Roman"/>
          <w:lang w:val="fr-FR"/>
        </w:rPr>
        <w:t>% à 43,3</w:t>
      </w:r>
      <w:r w:rsidR="004F54F9">
        <w:rPr>
          <w:rFonts w:eastAsia="Times New Roman"/>
          <w:lang w:val="fr-FR"/>
        </w:rPr>
        <w:t> </w:t>
      </w:r>
      <w:r w:rsidR="008D6145" w:rsidRPr="008D6145">
        <w:rPr>
          <w:rFonts w:eastAsia="Times New Roman"/>
          <w:lang w:val="fr-FR"/>
        </w:rPr>
        <w:t>%) et du Littoral (70,1</w:t>
      </w:r>
      <w:r w:rsidR="004F54F9">
        <w:rPr>
          <w:rFonts w:eastAsia="Times New Roman"/>
          <w:lang w:val="fr-FR"/>
        </w:rPr>
        <w:t> </w:t>
      </w:r>
      <w:r w:rsidR="008D6145" w:rsidRPr="008D6145">
        <w:rPr>
          <w:rFonts w:eastAsia="Times New Roman"/>
          <w:lang w:val="fr-FR"/>
        </w:rPr>
        <w:t>% à 66,2</w:t>
      </w:r>
      <w:r w:rsidR="004F54F9">
        <w:rPr>
          <w:rFonts w:eastAsia="Times New Roman"/>
          <w:lang w:val="fr-FR"/>
        </w:rPr>
        <w:t> </w:t>
      </w:r>
      <w:r w:rsidR="008D6145" w:rsidRPr="008D6145">
        <w:rPr>
          <w:rFonts w:eastAsia="Times New Roman"/>
          <w:lang w:val="fr-FR"/>
        </w:rPr>
        <w:t>%), ce taux a connu une baisse. De plus, en 2014, les départements du Couffo (28</w:t>
      </w:r>
      <w:r w:rsidR="004F54F9">
        <w:rPr>
          <w:rFonts w:eastAsia="Times New Roman"/>
          <w:lang w:val="fr-FR"/>
        </w:rPr>
        <w:t> </w:t>
      </w:r>
      <w:r w:rsidR="008D6145" w:rsidRPr="008D6145">
        <w:rPr>
          <w:rFonts w:eastAsia="Times New Roman"/>
          <w:lang w:val="fr-FR"/>
        </w:rPr>
        <w:t>%), du Plateau (28,7</w:t>
      </w:r>
      <w:r w:rsidR="004F54F9">
        <w:rPr>
          <w:rFonts w:eastAsia="Times New Roman"/>
          <w:lang w:val="fr-FR"/>
        </w:rPr>
        <w:t> </w:t>
      </w:r>
      <w:r w:rsidR="008D6145" w:rsidRPr="008D6145">
        <w:rPr>
          <w:rFonts w:eastAsia="Times New Roman"/>
          <w:lang w:val="fr-FR"/>
        </w:rPr>
        <w:t>%) et des Collines (37,6</w:t>
      </w:r>
      <w:r w:rsidR="004F54F9">
        <w:rPr>
          <w:rFonts w:eastAsia="Times New Roman"/>
          <w:lang w:val="fr-FR"/>
        </w:rPr>
        <w:t> </w:t>
      </w:r>
      <w:r w:rsidR="008D6145" w:rsidRPr="008D6145">
        <w:rPr>
          <w:rFonts w:eastAsia="Times New Roman"/>
          <w:lang w:val="fr-FR"/>
        </w:rPr>
        <w:t>%) affichent les plus faibles taux de fréquentation des services de santé. Le taux de couverture en consultations prénatales est</w:t>
      </w:r>
      <w:r w:rsidR="00A033A7">
        <w:rPr>
          <w:rFonts w:eastAsia="Times New Roman"/>
          <w:lang w:val="fr-FR"/>
        </w:rPr>
        <w:t xml:space="preserve"> </w:t>
      </w:r>
      <w:r w:rsidR="008D6145" w:rsidRPr="008D6145">
        <w:rPr>
          <w:rFonts w:eastAsia="Times New Roman"/>
          <w:lang w:val="fr-FR"/>
        </w:rPr>
        <w:t>passé de 96</w:t>
      </w:r>
      <w:r w:rsidR="004F54F9">
        <w:rPr>
          <w:rFonts w:eastAsia="Times New Roman"/>
          <w:lang w:val="fr-FR"/>
        </w:rPr>
        <w:t> </w:t>
      </w:r>
      <w:r w:rsidR="008D6145" w:rsidRPr="008D6145">
        <w:rPr>
          <w:rFonts w:eastAsia="Times New Roman"/>
          <w:lang w:val="fr-FR"/>
        </w:rPr>
        <w:t>% en 2007 à 101,0</w:t>
      </w:r>
      <w:r w:rsidR="004F54F9">
        <w:rPr>
          <w:rFonts w:eastAsia="Times New Roman"/>
          <w:lang w:val="fr-FR"/>
        </w:rPr>
        <w:t> </w:t>
      </w:r>
      <w:r w:rsidR="008D6145" w:rsidRPr="008D6145">
        <w:rPr>
          <w:rFonts w:eastAsia="Times New Roman"/>
          <w:lang w:val="fr-FR"/>
        </w:rPr>
        <w:t>% en 2012, et</w:t>
      </w:r>
      <w:r w:rsidR="00A033A7">
        <w:rPr>
          <w:rFonts w:eastAsia="Times New Roman"/>
          <w:lang w:val="fr-FR"/>
        </w:rPr>
        <w:t xml:space="preserve"> </w:t>
      </w:r>
      <w:r w:rsidR="008D6145" w:rsidRPr="008D6145">
        <w:rPr>
          <w:rFonts w:eastAsia="Times New Roman"/>
          <w:lang w:val="fr-FR"/>
        </w:rPr>
        <w:t>à 98,9</w:t>
      </w:r>
      <w:r w:rsidR="004F54F9">
        <w:rPr>
          <w:rFonts w:eastAsia="Times New Roman"/>
          <w:lang w:val="fr-FR"/>
        </w:rPr>
        <w:t> </w:t>
      </w:r>
      <w:r w:rsidR="008D6145" w:rsidRPr="008D6145">
        <w:rPr>
          <w:rFonts w:eastAsia="Times New Roman"/>
          <w:lang w:val="fr-FR"/>
        </w:rPr>
        <w:t>% en 2013 puis à 98</w:t>
      </w:r>
      <w:r w:rsidR="004F54F9">
        <w:rPr>
          <w:rFonts w:eastAsia="Times New Roman"/>
          <w:lang w:val="fr-FR"/>
        </w:rPr>
        <w:t> </w:t>
      </w:r>
      <w:r w:rsidR="008D6145" w:rsidRPr="008D6145">
        <w:rPr>
          <w:rFonts w:eastAsia="Times New Roman"/>
          <w:lang w:val="fr-FR"/>
        </w:rPr>
        <w:t>% en 2014. Celui des consultations postnatales a enregistré une tendance à la baisse entre 2007 (43</w:t>
      </w:r>
      <w:r w:rsidR="004F54F9">
        <w:rPr>
          <w:rFonts w:eastAsia="Times New Roman"/>
          <w:lang w:val="fr-FR"/>
        </w:rPr>
        <w:t> </w:t>
      </w:r>
      <w:r w:rsidR="008D6145" w:rsidRPr="008D6145">
        <w:rPr>
          <w:rFonts w:eastAsia="Times New Roman"/>
          <w:lang w:val="fr-FR"/>
        </w:rPr>
        <w:t>%) et 2011 (38,9</w:t>
      </w:r>
      <w:r w:rsidR="004F54F9">
        <w:rPr>
          <w:rFonts w:eastAsia="Times New Roman"/>
          <w:lang w:val="fr-FR"/>
        </w:rPr>
        <w:t> </w:t>
      </w:r>
      <w:r w:rsidR="008D6145" w:rsidRPr="008D6145">
        <w:rPr>
          <w:rFonts w:eastAsia="Times New Roman"/>
          <w:lang w:val="fr-FR"/>
        </w:rPr>
        <w:t>%) avant de reprendre une légère hausse en 2012 (41,1</w:t>
      </w:r>
      <w:r w:rsidR="004F54F9">
        <w:rPr>
          <w:rFonts w:eastAsia="Times New Roman"/>
          <w:lang w:val="fr-FR"/>
        </w:rPr>
        <w:t> </w:t>
      </w:r>
      <w:r w:rsidR="008D6145" w:rsidRPr="008D6145">
        <w:rPr>
          <w:rFonts w:eastAsia="Times New Roman"/>
          <w:lang w:val="fr-FR"/>
        </w:rPr>
        <w:t>%) mais a baissé en 2014 (37,7</w:t>
      </w:r>
      <w:r w:rsidR="004F54F9">
        <w:rPr>
          <w:rFonts w:eastAsia="Times New Roman"/>
          <w:lang w:val="fr-FR"/>
        </w:rPr>
        <w:t> </w:t>
      </w:r>
      <w:r w:rsidR="008D6145" w:rsidRPr="008D6145">
        <w:rPr>
          <w:rFonts w:eastAsia="Times New Roman"/>
          <w:lang w:val="fr-FR"/>
        </w:rPr>
        <w:t>% contre 40,0</w:t>
      </w:r>
      <w:r w:rsidR="004F54F9">
        <w:rPr>
          <w:rFonts w:eastAsia="Times New Roman"/>
          <w:lang w:val="fr-FR"/>
        </w:rPr>
        <w:t> </w:t>
      </w:r>
      <w:r w:rsidR="008D6145" w:rsidRPr="008D6145">
        <w:rPr>
          <w:rFonts w:eastAsia="Times New Roman"/>
          <w:lang w:val="fr-FR"/>
        </w:rPr>
        <w:t>% 2013). En 2013, le taux des accouchements assistés par du personnel de santé est estimé à 91,8</w:t>
      </w:r>
      <w:r w:rsidR="004F54F9">
        <w:rPr>
          <w:rFonts w:eastAsia="Times New Roman"/>
          <w:lang w:val="fr-FR"/>
        </w:rPr>
        <w:t> </w:t>
      </w:r>
      <w:r w:rsidR="008D6145" w:rsidRPr="008D6145">
        <w:rPr>
          <w:rFonts w:eastAsia="Times New Roman"/>
          <w:lang w:val="fr-FR"/>
        </w:rPr>
        <w:t>% contre 90,3</w:t>
      </w:r>
      <w:r w:rsidR="004F54F9">
        <w:rPr>
          <w:rFonts w:eastAsia="Times New Roman"/>
          <w:lang w:val="fr-FR"/>
        </w:rPr>
        <w:t> </w:t>
      </w:r>
      <w:r w:rsidR="008D6145" w:rsidRPr="008D6145">
        <w:rPr>
          <w:rFonts w:eastAsia="Times New Roman"/>
          <w:lang w:val="fr-FR"/>
        </w:rPr>
        <w:t>% en 2014.</w:t>
      </w:r>
    </w:p>
    <w:p w:rsidR="008D6145" w:rsidRPr="008D6145" w:rsidRDefault="00A033A7" w:rsidP="00821D2B">
      <w:pPr>
        <w:pStyle w:val="H1G"/>
        <w:rPr>
          <w:lang w:val="fr-FR"/>
        </w:rPr>
      </w:pPr>
      <w:r>
        <w:rPr>
          <w:lang w:val="fr-FR"/>
        </w:rPr>
        <w:tab/>
      </w:r>
      <w:r w:rsidR="008D6145" w:rsidRPr="008D6145">
        <w:rPr>
          <w:lang w:val="fr-FR"/>
        </w:rPr>
        <w:t>H.</w:t>
      </w:r>
      <w:r w:rsidR="008D6145" w:rsidRPr="008D6145">
        <w:rPr>
          <w:lang w:val="fr-FR"/>
        </w:rPr>
        <w:tab/>
        <w:t>Article 13</w:t>
      </w:r>
      <w:r w:rsidR="00D310BF">
        <w:rPr>
          <w:lang w:val="fr-FR"/>
        </w:rPr>
        <w:t xml:space="preserve"> –</w:t>
      </w:r>
      <w:r w:rsidR="008D6145" w:rsidRPr="008D6145">
        <w:rPr>
          <w:lang w:val="fr-FR"/>
        </w:rPr>
        <w:t xml:space="preserve"> Droit à l</w:t>
      </w:r>
      <w:r>
        <w:rPr>
          <w:lang w:val="fr-FR"/>
        </w:rPr>
        <w:t>’</w:t>
      </w:r>
      <w:r w:rsidR="008D6145" w:rsidRPr="008D6145">
        <w:rPr>
          <w:lang w:val="fr-FR"/>
        </w:rPr>
        <w:t>éducation</w:t>
      </w:r>
    </w:p>
    <w:p w:rsidR="008D6145" w:rsidRPr="008D6145" w:rsidRDefault="00821D2B" w:rsidP="00821D2B">
      <w:pPr>
        <w:pStyle w:val="SingleTxtG"/>
        <w:kinsoku/>
        <w:overflowPunct/>
        <w:autoSpaceDE/>
        <w:autoSpaceDN/>
        <w:adjustRightInd/>
        <w:snapToGrid/>
        <w:rPr>
          <w:rFonts w:eastAsia="Times New Roman"/>
          <w:lang w:val="fr-FR"/>
        </w:rPr>
      </w:pPr>
      <w:r w:rsidRPr="008D6145">
        <w:rPr>
          <w:rFonts w:eastAsia="Times New Roman"/>
          <w:lang w:val="fr-FR"/>
        </w:rPr>
        <w:t>92.</w:t>
      </w:r>
      <w:r w:rsidRPr="008D6145">
        <w:rPr>
          <w:rFonts w:eastAsia="Times New Roman"/>
          <w:lang w:val="fr-FR"/>
        </w:rPr>
        <w:tab/>
      </w:r>
      <w:r w:rsidR="008D6145" w:rsidRPr="008D6145">
        <w:rPr>
          <w:rFonts w:eastAsia="Times New Roman"/>
          <w:lang w:val="fr-FR"/>
        </w:rPr>
        <w:t>L</w:t>
      </w:r>
      <w:r w:rsidR="00A033A7">
        <w:rPr>
          <w:rFonts w:eastAsia="Times New Roman"/>
          <w:lang w:val="fr-FR"/>
        </w:rPr>
        <w:t>’</w:t>
      </w:r>
      <w:r w:rsidR="008D6145" w:rsidRPr="008D6145">
        <w:rPr>
          <w:rFonts w:eastAsia="Times New Roman"/>
          <w:lang w:val="fr-FR"/>
        </w:rPr>
        <w:t>engagement du Bénin à rendre accessible l</w:t>
      </w:r>
      <w:r w:rsidR="00A033A7">
        <w:rPr>
          <w:rFonts w:eastAsia="Times New Roman"/>
          <w:lang w:val="fr-FR"/>
        </w:rPr>
        <w:t>’</w:t>
      </w:r>
      <w:r w:rsidR="008D6145" w:rsidRPr="008D6145">
        <w:rPr>
          <w:rFonts w:eastAsia="Times New Roman"/>
          <w:lang w:val="fr-FR"/>
        </w:rPr>
        <w:t>éducation pour tous s</w:t>
      </w:r>
      <w:r w:rsidR="00A033A7">
        <w:rPr>
          <w:rFonts w:eastAsia="Times New Roman"/>
          <w:lang w:val="fr-FR"/>
        </w:rPr>
        <w:t>’</w:t>
      </w:r>
      <w:r w:rsidR="008D6145" w:rsidRPr="008D6145">
        <w:rPr>
          <w:rFonts w:eastAsia="Times New Roman"/>
          <w:lang w:val="fr-FR"/>
        </w:rPr>
        <w:t>est progressivement réalisé au cours des dix dernières années. En effet, en sus des différents écoles et établissements créés par l</w:t>
      </w:r>
      <w:r w:rsidR="00A033A7">
        <w:rPr>
          <w:rFonts w:eastAsia="Times New Roman"/>
          <w:lang w:val="fr-FR"/>
        </w:rPr>
        <w:t>’État</w:t>
      </w:r>
      <w:r w:rsidR="008D6145" w:rsidRPr="008D6145">
        <w:rPr>
          <w:rFonts w:eastAsia="Times New Roman"/>
          <w:lang w:val="fr-FR"/>
        </w:rPr>
        <w:t>, plusieurs institutions privées s</w:t>
      </w:r>
      <w:r w:rsidR="00A033A7">
        <w:rPr>
          <w:rFonts w:eastAsia="Times New Roman"/>
          <w:lang w:val="fr-FR"/>
        </w:rPr>
        <w:t>’</w:t>
      </w:r>
      <w:r w:rsidR="008D6145" w:rsidRPr="008D6145">
        <w:rPr>
          <w:rFonts w:eastAsia="Times New Roman"/>
          <w:lang w:val="fr-FR"/>
        </w:rPr>
        <w:t>attèlent à ses côtés pour rendre effectif le droit à l</w:t>
      </w:r>
      <w:r w:rsidR="00A033A7">
        <w:rPr>
          <w:rFonts w:eastAsia="Times New Roman"/>
          <w:lang w:val="fr-FR"/>
        </w:rPr>
        <w:t>’</w:t>
      </w:r>
      <w:r w:rsidR="008D6145" w:rsidRPr="008D6145">
        <w:rPr>
          <w:rFonts w:eastAsia="Times New Roman"/>
          <w:lang w:val="fr-FR"/>
        </w:rPr>
        <w:t>éducation. Le « </w:t>
      </w:r>
      <w:r w:rsidR="009201FA" w:rsidRPr="008D6145">
        <w:rPr>
          <w:rFonts w:eastAsia="Times New Roman"/>
          <w:lang w:val="fr-FR"/>
        </w:rPr>
        <w:t xml:space="preserve">Plan </w:t>
      </w:r>
      <w:r w:rsidR="008D6145" w:rsidRPr="008D6145">
        <w:rPr>
          <w:rFonts w:eastAsia="Times New Roman"/>
          <w:lang w:val="fr-FR"/>
        </w:rPr>
        <w:t>décennal de développement du secteur de l</w:t>
      </w:r>
      <w:r w:rsidR="00A033A7">
        <w:rPr>
          <w:rFonts w:eastAsia="Times New Roman"/>
          <w:lang w:val="fr-FR"/>
        </w:rPr>
        <w:t>’</w:t>
      </w:r>
      <w:r w:rsidR="008D6145" w:rsidRPr="008D6145">
        <w:rPr>
          <w:rFonts w:eastAsia="Times New Roman"/>
          <w:lang w:val="fr-FR"/>
        </w:rPr>
        <w:t xml:space="preserve">éducation phase 3/ 2013-2115 » comporte une étude détaillée sur le système éducatif </w:t>
      </w:r>
      <w:r w:rsidR="008D6145" w:rsidRPr="008D6145">
        <w:rPr>
          <w:rFonts w:eastAsia="Times New Roman"/>
          <w:lang w:val="fr-FR"/>
        </w:rPr>
        <w:lastRenderedPageBreak/>
        <w:t>béninois et propose assez de perspectives. Ainsi, entre 2013 et 2020, le nombre d</w:t>
      </w:r>
      <w:r w:rsidR="00A033A7">
        <w:rPr>
          <w:rFonts w:eastAsia="Times New Roman"/>
          <w:lang w:val="fr-FR"/>
        </w:rPr>
        <w:t>’</w:t>
      </w:r>
      <w:r w:rsidR="008D6145" w:rsidRPr="008D6145">
        <w:rPr>
          <w:rFonts w:eastAsia="Times New Roman"/>
          <w:lang w:val="fr-FR"/>
        </w:rPr>
        <w:t>enseignants que l</w:t>
      </w:r>
      <w:r w:rsidR="00A033A7">
        <w:rPr>
          <w:rFonts w:eastAsia="Times New Roman"/>
          <w:lang w:val="fr-FR"/>
        </w:rPr>
        <w:t xml:space="preserve">’État </w:t>
      </w:r>
      <w:r w:rsidR="008D6145" w:rsidRPr="008D6145">
        <w:rPr>
          <w:rFonts w:eastAsia="Times New Roman"/>
          <w:lang w:val="fr-FR"/>
        </w:rPr>
        <w:t>est appelé à recruter est de 20</w:t>
      </w:r>
      <w:r w:rsidR="0069122A">
        <w:rPr>
          <w:rFonts w:eastAsia="Times New Roman"/>
          <w:lang w:val="fr-FR"/>
        </w:rPr>
        <w:t> </w:t>
      </w:r>
      <w:r w:rsidR="008D6145" w:rsidRPr="008D6145">
        <w:rPr>
          <w:rFonts w:eastAsia="Times New Roman"/>
          <w:lang w:val="fr-FR"/>
        </w:rPr>
        <w:t>835 pour les enseignements maternel, primaire, secondaire, technique et dans la formation professionnelle. Au niveau préscolaire c</w:t>
      </w:r>
      <w:r w:rsidR="00A033A7">
        <w:rPr>
          <w:rFonts w:eastAsia="Times New Roman"/>
          <w:lang w:val="fr-FR"/>
        </w:rPr>
        <w:t>’</w:t>
      </w:r>
      <w:r w:rsidR="008D6145" w:rsidRPr="008D6145">
        <w:rPr>
          <w:rFonts w:eastAsia="Times New Roman"/>
          <w:lang w:val="fr-FR"/>
        </w:rPr>
        <w:t>est-à-dire maternel, il faut 1</w:t>
      </w:r>
      <w:r w:rsidR="0069122A">
        <w:rPr>
          <w:rFonts w:eastAsia="Times New Roman"/>
          <w:lang w:val="fr-FR"/>
        </w:rPr>
        <w:t> </w:t>
      </w:r>
      <w:r w:rsidR="008D6145" w:rsidRPr="008D6145">
        <w:rPr>
          <w:rFonts w:eastAsia="Times New Roman"/>
          <w:lang w:val="fr-FR"/>
        </w:rPr>
        <w:t>977 enseignants tandis que le primaire a besoin de 10</w:t>
      </w:r>
      <w:r w:rsidR="0069122A">
        <w:rPr>
          <w:rFonts w:eastAsia="Times New Roman"/>
          <w:lang w:val="fr-FR"/>
        </w:rPr>
        <w:t> </w:t>
      </w:r>
      <w:r w:rsidR="008D6145" w:rsidRPr="008D6145">
        <w:rPr>
          <w:rFonts w:eastAsia="Times New Roman"/>
          <w:lang w:val="fr-FR"/>
        </w:rPr>
        <w:t>444. Au premier cycle du cours secondaire, 6</w:t>
      </w:r>
      <w:r w:rsidR="0069122A">
        <w:rPr>
          <w:rFonts w:eastAsia="Times New Roman"/>
          <w:lang w:val="fr-FR"/>
        </w:rPr>
        <w:t> </w:t>
      </w:r>
      <w:r w:rsidR="008D6145" w:rsidRPr="008D6145">
        <w:rPr>
          <w:rFonts w:eastAsia="Times New Roman"/>
          <w:lang w:val="fr-FR"/>
        </w:rPr>
        <w:t>268 enseignants sont à recruter contre 1</w:t>
      </w:r>
      <w:r w:rsidR="0069122A">
        <w:rPr>
          <w:rFonts w:eastAsia="Times New Roman"/>
          <w:lang w:val="fr-FR"/>
        </w:rPr>
        <w:t> </w:t>
      </w:r>
      <w:r w:rsidR="008D6145" w:rsidRPr="008D6145">
        <w:rPr>
          <w:rFonts w:eastAsia="Times New Roman"/>
          <w:lang w:val="fr-FR"/>
        </w:rPr>
        <w:t>400 au second cycle. Dans l</w:t>
      </w:r>
      <w:r w:rsidR="00A033A7">
        <w:rPr>
          <w:rFonts w:eastAsia="Times New Roman"/>
          <w:lang w:val="fr-FR"/>
        </w:rPr>
        <w:t>’</w:t>
      </w:r>
      <w:r w:rsidR="008D6145" w:rsidRPr="008D6145">
        <w:rPr>
          <w:rFonts w:eastAsia="Times New Roman"/>
          <w:lang w:val="fr-FR"/>
        </w:rPr>
        <w:t>enseignement technique, l</w:t>
      </w:r>
      <w:r w:rsidR="00A033A7">
        <w:rPr>
          <w:rFonts w:eastAsia="Times New Roman"/>
          <w:lang w:val="fr-FR"/>
        </w:rPr>
        <w:t>’</w:t>
      </w:r>
      <w:r w:rsidR="008D6145" w:rsidRPr="008D6145">
        <w:rPr>
          <w:rFonts w:eastAsia="Times New Roman"/>
          <w:lang w:val="fr-FR"/>
        </w:rPr>
        <w:t>effectif prévu est de 523 contre 223 pour la formation professionnelle.</w:t>
      </w:r>
    </w:p>
    <w:p w:rsidR="008D6145" w:rsidRPr="008D6145" w:rsidRDefault="00821D2B" w:rsidP="00821D2B">
      <w:pPr>
        <w:pStyle w:val="SingleTxtG"/>
        <w:kinsoku/>
        <w:overflowPunct/>
        <w:autoSpaceDE/>
        <w:autoSpaceDN/>
        <w:adjustRightInd/>
        <w:snapToGrid/>
        <w:rPr>
          <w:rFonts w:eastAsia="Times New Roman"/>
          <w:lang w:val="fr-FR"/>
        </w:rPr>
      </w:pPr>
      <w:r w:rsidRPr="008D6145">
        <w:rPr>
          <w:rFonts w:eastAsia="Times New Roman"/>
          <w:lang w:val="fr-FR"/>
        </w:rPr>
        <w:t>93.</w:t>
      </w:r>
      <w:r w:rsidRPr="008D6145">
        <w:rPr>
          <w:rFonts w:eastAsia="Times New Roman"/>
          <w:lang w:val="fr-FR"/>
        </w:rPr>
        <w:tab/>
      </w:r>
      <w:r w:rsidR="008D6145" w:rsidRPr="008D6145">
        <w:rPr>
          <w:rFonts w:eastAsia="Times New Roman"/>
          <w:lang w:val="fr-FR"/>
        </w:rPr>
        <w:t>Le système éducatif béninois est organisé en quatre cycles principaux</w:t>
      </w:r>
      <w:r w:rsidR="0069122A">
        <w:rPr>
          <w:rFonts w:eastAsia="Times New Roman"/>
          <w:lang w:val="fr-FR"/>
        </w:rPr>
        <w:t> </w:t>
      </w:r>
      <w:r w:rsidR="008D6145" w:rsidRPr="008D6145">
        <w:rPr>
          <w:rFonts w:eastAsia="Times New Roman"/>
          <w:lang w:val="fr-FR"/>
        </w:rPr>
        <w:t>: l</w:t>
      </w:r>
      <w:r w:rsidR="00A033A7">
        <w:rPr>
          <w:rFonts w:eastAsia="Times New Roman"/>
          <w:lang w:val="fr-FR"/>
        </w:rPr>
        <w:t>’</w:t>
      </w:r>
      <w:r w:rsidR="008D6145" w:rsidRPr="008D6145">
        <w:rPr>
          <w:rFonts w:eastAsia="Times New Roman"/>
          <w:lang w:val="fr-FR"/>
        </w:rPr>
        <w:t>enseignement maternel, primaire, secondaire (général et technique) et supérieur. La formation professionnelle par apprentissage, l</w:t>
      </w:r>
      <w:r w:rsidR="00A033A7">
        <w:rPr>
          <w:rFonts w:eastAsia="Times New Roman"/>
          <w:lang w:val="fr-FR"/>
        </w:rPr>
        <w:t>’</w:t>
      </w:r>
      <w:r w:rsidR="008D6145" w:rsidRPr="008D6145">
        <w:rPr>
          <w:rFonts w:eastAsia="Times New Roman"/>
          <w:lang w:val="fr-FR"/>
        </w:rPr>
        <w:t>alphabétisation, l</w:t>
      </w:r>
      <w:r w:rsidR="00A033A7">
        <w:rPr>
          <w:rFonts w:eastAsia="Times New Roman"/>
          <w:lang w:val="fr-FR"/>
        </w:rPr>
        <w:t>’</w:t>
      </w:r>
      <w:r w:rsidR="008D6145" w:rsidRPr="008D6145">
        <w:rPr>
          <w:rFonts w:eastAsia="Times New Roman"/>
          <w:lang w:val="fr-FR"/>
        </w:rPr>
        <w:t>éducation spécialisée et la formation des enseignants répondent, pour leur part, aux besoins spécifiques de certains groupes de professionnelles.</w:t>
      </w:r>
    </w:p>
    <w:p w:rsidR="008D6145" w:rsidRPr="008D6145" w:rsidRDefault="008D6145" w:rsidP="00821D2B">
      <w:pPr>
        <w:pStyle w:val="H23G"/>
        <w:rPr>
          <w:lang w:val="fr-FR"/>
        </w:rPr>
      </w:pPr>
      <w:r w:rsidRPr="008D6145">
        <w:rPr>
          <w:lang w:val="fr-FR"/>
        </w:rPr>
        <w:tab/>
      </w:r>
      <w:r w:rsidRPr="008D6145">
        <w:rPr>
          <w:lang w:val="fr-FR"/>
        </w:rPr>
        <w:tab/>
        <w:t>L</w:t>
      </w:r>
      <w:r w:rsidR="00A033A7">
        <w:rPr>
          <w:lang w:val="fr-FR"/>
        </w:rPr>
        <w:t>’</w:t>
      </w:r>
      <w:r w:rsidRPr="008D6145">
        <w:rPr>
          <w:lang w:val="fr-FR"/>
        </w:rPr>
        <w:t>enseignement maternel</w:t>
      </w:r>
    </w:p>
    <w:p w:rsidR="008D6145" w:rsidRPr="008D6145" w:rsidRDefault="00821D2B" w:rsidP="00821D2B">
      <w:pPr>
        <w:pStyle w:val="SingleTxtG"/>
        <w:kinsoku/>
        <w:overflowPunct/>
        <w:autoSpaceDE/>
        <w:autoSpaceDN/>
        <w:adjustRightInd/>
        <w:snapToGrid/>
        <w:rPr>
          <w:rFonts w:eastAsia="Times New Roman"/>
          <w:lang w:val="fr-FR"/>
        </w:rPr>
      </w:pPr>
      <w:r w:rsidRPr="008D6145">
        <w:rPr>
          <w:rFonts w:eastAsia="Times New Roman"/>
          <w:lang w:val="fr-FR"/>
        </w:rPr>
        <w:t>94.</w:t>
      </w:r>
      <w:r w:rsidRPr="008D6145">
        <w:rPr>
          <w:rFonts w:eastAsia="Times New Roman"/>
          <w:lang w:val="fr-FR"/>
        </w:rPr>
        <w:tab/>
      </w:r>
      <w:r w:rsidR="008D6145" w:rsidRPr="008D6145">
        <w:rPr>
          <w:rFonts w:eastAsia="Times New Roman"/>
          <w:lang w:val="fr-FR"/>
        </w:rPr>
        <w:t>En 2013, l</w:t>
      </w:r>
      <w:r w:rsidR="00A033A7">
        <w:rPr>
          <w:rFonts w:eastAsia="Times New Roman"/>
          <w:lang w:val="fr-FR"/>
        </w:rPr>
        <w:t>’</w:t>
      </w:r>
      <w:r w:rsidR="008D6145" w:rsidRPr="008D6145">
        <w:rPr>
          <w:rFonts w:eastAsia="Times New Roman"/>
          <w:lang w:val="fr-FR"/>
        </w:rPr>
        <w:t>enseignement maternel touchait 119</w:t>
      </w:r>
      <w:r w:rsidR="0069122A">
        <w:rPr>
          <w:rFonts w:eastAsia="Times New Roman"/>
          <w:lang w:val="fr-FR"/>
        </w:rPr>
        <w:t> </w:t>
      </w:r>
      <w:r w:rsidR="008D6145" w:rsidRPr="008D6145">
        <w:rPr>
          <w:rFonts w:eastAsia="Times New Roman"/>
          <w:lang w:val="fr-FR"/>
        </w:rPr>
        <w:t>138 environ enfants contre 109</w:t>
      </w:r>
      <w:r w:rsidR="0069122A">
        <w:rPr>
          <w:rFonts w:eastAsia="Times New Roman"/>
          <w:lang w:val="fr-FR"/>
        </w:rPr>
        <w:t> </w:t>
      </w:r>
      <w:r w:rsidR="008D6145" w:rsidRPr="008D6145">
        <w:rPr>
          <w:rFonts w:eastAsia="Times New Roman"/>
          <w:lang w:val="fr-FR"/>
        </w:rPr>
        <w:t>449 enfants en 2011, soit une augmentation d</w:t>
      </w:r>
      <w:r w:rsidR="00A033A7">
        <w:rPr>
          <w:rFonts w:eastAsia="Times New Roman"/>
          <w:lang w:val="fr-FR"/>
        </w:rPr>
        <w:t>’</w:t>
      </w:r>
      <w:r w:rsidR="008D6145" w:rsidRPr="008D6145">
        <w:rPr>
          <w:rFonts w:eastAsia="Times New Roman"/>
          <w:lang w:val="fr-FR"/>
        </w:rPr>
        <w:t>environ 9</w:t>
      </w:r>
      <w:r w:rsidR="0069122A">
        <w:rPr>
          <w:rFonts w:eastAsia="Times New Roman"/>
          <w:lang w:val="fr-FR"/>
        </w:rPr>
        <w:t> </w:t>
      </w:r>
      <w:r w:rsidR="008D6145" w:rsidRPr="008D6145">
        <w:rPr>
          <w:rFonts w:eastAsia="Times New Roman"/>
          <w:lang w:val="fr-FR"/>
        </w:rPr>
        <w:t>689 nouveaux élèves en l</w:t>
      </w:r>
      <w:r w:rsidR="00A033A7">
        <w:rPr>
          <w:rFonts w:eastAsia="Times New Roman"/>
          <w:lang w:val="fr-FR"/>
        </w:rPr>
        <w:t>’</w:t>
      </w:r>
      <w:r w:rsidR="008D6145" w:rsidRPr="008D6145">
        <w:rPr>
          <w:rFonts w:eastAsia="Times New Roman"/>
          <w:lang w:val="fr-FR"/>
        </w:rPr>
        <w:t>espace de deux années. Cette augmentation est faible par rapport à celle notée entre 2010 et 2011. Cet ordre d</w:t>
      </w:r>
      <w:r w:rsidR="00A033A7">
        <w:rPr>
          <w:rFonts w:eastAsia="Times New Roman"/>
          <w:lang w:val="fr-FR"/>
        </w:rPr>
        <w:t>’</w:t>
      </w:r>
      <w:r w:rsidR="008D6145" w:rsidRPr="008D6145">
        <w:rPr>
          <w:rFonts w:eastAsia="Times New Roman"/>
          <w:lang w:val="fr-FR"/>
        </w:rPr>
        <w:t>enseignement concerne essentiellement les enfants de la tranche d</w:t>
      </w:r>
      <w:r w:rsidR="00A033A7">
        <w:rPr>
          <w:rFonts w:eastAsia="Times New Roman"/>
          <w:lang w:val="fr-FR"/>
        </w:rPr>
        <w:t>’</w:t>
      </w:r>
      <w:r w:rsidR="008D6145" w:rsidRPr="008D6145">
        <w:rPr>
          <w:rFonts w:eastAsia="Times New Roman"/>
          <w:lang w:val="fr-FR"/>
        </w:rPr>
        <w:t>âge comprise entre 3 et 5 ans. Le sex-ratio dans cet ordre d</w:t>
      </w:r>
      <w:r w:rsidR="00A033A7">
        <w:rPr>
          <w:rFonts w:eastAsia="Times New Roman"/>
          <w:lang w:val="fr-FR"/>
        </w:rPr>
        <w:t>’</w:t>
      </w:r>
      <w:r w:rsidR="008D6145" w:rsidRPr="008D6145">
        <w:rPr>
          <w:rFonts w:eastAsia="Times New Roman"/>
          <w:lang w:val="fr-FR"/>
        </w:rPr>
        <w:t>enseignement est de 10,04 en 2013 soit un effectif de 59</w:t>
      </w:r>
      <w:r w:rsidR="0069122A">
        <w:rPr>
          <w:rFonts w:eastAsia="Times New Roman"/>
          <w:lang w:val="fr-FR"/>
        </w:rPr>
        <w:t> </w:t>
      </w:r>
      <w:r w:rsidR="008D6145" w:rsidRPr="008D6145">
        <w:rPr>
          <w:rFonts w:eastAsia="Times New Roman"/>
          <w:lang w:val="fr-FR"/>
        </w:rPr>
        <w:t>705 filles pour 59</w:t>
      </w:r>
      <w:r w:rsidR="0069122A">
        <w:rPr>
          <w:rFonts w:eastAsia="Times New Roman"/>
          <w:lang w:val="fr-FR"/>
        </w:rPr>
        <w:t> </w:t>
      </w:r>
      <w:r w:rsidR="008D6145" w:rsidRPr="008D6145">
        <w:rPr>
          <w:rFonts w:eastAsia="Times New Roman"/>
          <w:lang w:val="fr-FR"/>
        </w:rPr>
        <w:t>433 garçons.</w:t>
      </w:r>
    </w:p>
    <w:p w:rsidR="008D6145" w:rsidRPr="008D6145" w:rsidRDefault="00821D2B" w:rsidP="00821D2B">
      <w:pPr>
        <w:pStyle w:val="SingleTxtG"/>
        <w:kinsoku/>
        <w:overflowPunct/>
        <w:autoSpaceDE/>
        <w:autoSpaceDN/>
        <w:adjustRightInd/>
        <w:snapToGrid/>
        <w:rPr>
          <w:rFonts w:eastAsia="Times New Roman"/>
          <w:lang w:val="fr-FR"/>
        </w:rPr>
      </w:pPr>
      <w:r w:rsidRPr="008D6145">
        <w:rPr>
          <w:rFonts w:eastAsia="Times New Roman"/>
          <w:lang w:val="fr-FR"/>
        </w:rPr>
        <w:t>95.</w:t>
      </w:r>
      <w:r w:rsidRPr="008D6145">
        <w:rPr>
          <w:rFonts w:eastAsia="Times New Roman"/>
          <w:lang w:val="fr-FR"/>
        </w:rPr>
        <w:tab/>
      </w:r>
      <w:r w:rsidR="008D6145" w:rsidRPr="008D6145">
        <w:rPr>
          <w:rFonts w:eastAsia="Times New Roman"/>
          <w:lang w:val="fr-FR"/>
        </w:rPr>
        <w:t>Au cours de l</w:t>
      </w:r>
      <w:r w:rsidR="00A033A7">
        <w:rPr>
          <w:rFonts w:eastAsia="Times New Roman"/>
          <w:lang w:val="fr-FR"/>
        </w:rPr>
        <w:t>’</w:t>
      </w:r>
      <w:r w:rsidR="008D6145" w:rsidRPr="008D6145">
        <w:rPr>
          <w:rFonts w:eastAsia="Times New Roman"/>
          <w:lang w:val="fr-FR"/>
        </w:rPr>
        <w:t>année 2013, le nombre d</w:t>
      </w:r>
      <w:r w:rsidR="00A033A7">
        <w:rPr>
          <w:rFonts w:eastAsia="Times New Roman"/>
          <w:lang w:val="fr-FR"/>
        </w:rPr>
        <w:t>’</w:t>
      </w:r>
      <w:r w:rsidR="008D6145" w:rsidRPr="008D6145">
        <w:rPr>
          <w:rFonts w:eastAsia="Times New Roman"/>
          <w:lang w:val="fr-FR"/>
        </w:rPr>
        <w:t>enseignants est estimé à 4</w:t>
      </w:r>
      <w:r w:rsidR="0069122A">
        <w:rPr>
          <w:rFonts w:eastAsia="Times New Roman"/>
          <w:lang w:val="fr-FR"/>
        </w:rPr>
        <w:t> </w:t>
      </w:r>
      <w:r w:rsidR="008D6145" w:rsidRPr="008D6145">
        <w:rPr>
          <w:rFonts w:eastAsia="Times New Roman"/>
          <w:lang w:val="fr-FR"/>
        </w:rPr>
        <w:t>556 pour 1</w:t>
      </w:r>
      <w:r w:rsidR="0069122A">
        <w:rPr>
          <w:rFonts w:eastAsia="Times New Roman"/>
          <w:lang w:val="fr-FR"/>
        </w:rPr>
        <w:t> </w:t>
      </w:r>
      <w:r w:rsidR="008D6145" w:rsidRPr="008D6145">
        <w:rPr>
          <w:rFonts w:eastAsia="Times New Roman"/>
          <w:lang w:val="fr-FR"/>
        </w:rPr>
        <w:t>843 écoles. Le taux brut de préscolarisation a connu une légère diminution. Il est de 12,1</w:t>
      </w:r>
      <w:r w:rsidR="0069122A">
        <w:rPr>
          <w:rFonts w:eastAsia="Times New Roman"/>
          <w:lang w:val="fr-FR"/>
        </w:rPr>
        <w:t> </w:t>
      </w:r>
      <w:r w:rsidR="008D6145" w:rsidRPr="008D6145">
        <w:rPr>
          <w:rFonts w:eastAsia="Times New Roman"/>
          <w:lang w:val="fr-FR"/>
        </w:rPr>
        <w:t>% en 2013 contre 11,33</w:t>
      </w:r>
      <w:r w:rsidR="0069122A">
        <w:rPr>
          <w:rFonts w:eastAsia="Times New Roman"/>
          <w:lang w:val="fr-FR"/>
        </w:rPr>
        <w:t> </w:t>
      </w:r>
      <w:r w:rsidR="008D6145" w:rsidRPr="008D6145">
        <w:rPr>
          <w:rFonts w:eastAsia="Times New Roman"/>
          <w:lang w:val="fr-FR"/>
        </w:rPr>
        <w:t>% en 2011 avec un niveau plus élevé chez les filles (12,3</w:t>
      </w:r>
      <w:r w:rsidR="0069122A">
        <w:rPr>
          <w:rFonts w:eastAsia="Times New Roman"/>
          <w:lang w:val="fr-FR"/>
        </w:rPr>
        <w:t> </w:t>
      </w:r>
      <w:r w:rsidR="008D6145" w:rsidRPr="008D6145">
        <w:rPr>
          <w:rFonts w:eastAsia="Times New Roman"/>
          <w:lang w:val="fr-FR"/>
        </w:rPr>
        <w:t>%) que chez les garçons (11,8</w:t>
      </w:r>
      <w:r w:rsidR="0069122A">
        <w:rPr>
          <w:rFonts w:eastAsia="Times New Roman"/>
          <w:lang w:val="fr-FR"/>
        </w:rPr>
        <w:t> </w:t>
      </w:r>
      <w:r w:rsidR="008D6145" w:rsidRPr="008D6145">
        <w:rPr>
          <w:rFonts w:eastAsia="Times New Roman"/>
          <w:lang w:val="fr-FR"/>
        </w:rPr>
        <w:t>%).</w:t>
      </w:r>
    </w:p>
    <w:p w:rsidR="008D6145" w:rsidRPr="008D6145" w:rsidRDefault="008D6145" w:rsidP="00821D2B">
      <w:pPr>
        <w:pStyle w:val="H23G"/>
        <w:rPr>
          <w:lang w:val="fr-FR"/>
        </w:rPr>
      </w:pPr>
      <w:r w:rsidRPr="008D6145">
        <w:rPr>
          <w:lang w:val="fr-FR"/>
        </w:rPr>
        <w:tab/>
      </w:r>
      <w:r w:rsidRPr="008D6145">
        <w:rPr>
          <w:lang w:val="fr-FR"/>
        </w:rPr>
        <w:tab/>
        <w:t>L</w:t>
      </w:r>
      <w:r w:rsidR="00A033A7">
        <w:rPr>
          <w:lang w:val="fr-FR"/>
        </w:rPr>
        <w:t>’</w:t>
      </w:r>
      <w:r w:rsidRPr="008D6145">
        <w:rPr>
          <w:lang w:val="fr-FR"/>
        </w:rPr>
        <w:t>enseignement primaire</w:t>
      </w:r>
    </w:p>
    <w:p w:rsidR="008D6145" w:rsidRPr="008D6145" w:rsidRDefault="00821D2B" w:rsidP="00821D2B">
      <w:pPr>
        <w:pStyle w:val="SingleTxtG"/>
        <w:kinsoku/>
        <w:overflowPunct/>
        <w:autoSpaceDE/>
        <w:autoSpaceDN/>
        <w:adjustRightInd/>
        <w:snapToGrid/>
        <w:rPr>
          <w:rFonts w:eastAsia="Times New Roman"/>
          <w:lang w:val="fr-FR"/>
        </w:rPr>
      </w:pPr>
      <w:r w:rsidRPr="008D6145">
        <w:rPr>
          <w:rFonts w:eastAsia="Times New Roman"/>
          <w:lang w:val="fr-FR"/>
        </w:rPr>
        <w:t>96.</w:t>
      </w:r>
      <w:r w:rsidRPr="008D6145">
        <w:rPr>
          <w:rFonts w:eastAsia="Times New Roman"/>
          <w:lang w:val="fr-FR"/>
        </w:rPr>
        <w:tab/>
      </w:r>
      <w:r w:rsidR="008D6145" w:rsidRPr="008D6145">
        <w:rPr>
          <w:rFonts w:eastAsia="Times New Roman"/>
          <w:lang w:val="fr-FR"/>
        </w:rPr>
        <w:t>Dans la quasi-totalité des régions du pays, il existe au moins l</w:t>
      </w:r>
      <w:r w:rsidR="00A033A7">
        <w:rPr>
          <w:rFonts w:eastAsia="Times New Roman"/>
          <w:lang w:val="fr-FR"/>
        </w:rPr>
        <w:t>’</w:t>
      </w:r>
      <w:r w:rsidR="008D6145" w:rsidRPr="008D6145">
        <w:rPr>
          <w:rFonts w:eastAsia="Times New Roman"/>
          <w:lang w:val="fr-FR"/>
        </w:rPr>
        <w:t>école primaire. L</w:t>
      </w:r>
      <w:r w:rsidR="00A033A7">
        <w:rPr>
          <w:rFonts w:eastAsia="Times New Roman"/>
          <w:lang w:val="fr-FR"/>
        </w:rPr>
        <w:t>’</w:t>
      </w:r>
      <w:r w:rsidR="008D6145" w:rsidRPr="008D6145">
        <w:rPr>
          <w:rFonts w:eastAsia="Times New Roman"/>
          <w:lang w:val="fr-FR"/>
        </w:rPr>
        <w:t>enseignement primaire présente la plus forte population scolaire et regroupe en principe les enfants de 6 à 11 ans selon la législation béninoise. Depuis quelques années, une nouvelle technique d</w:t>
      </w:r>
      <w:r w:rsidR="00A033A7">
        <w:rPr>
          <w:rFonts w:eastAsia="Times New Roman"/>
          <w:lang w:val="fr-FR"/>
        </w:rPr>
        <w:t>’</w:t>
      </w:r>
      <w:r w:rsidR="008D6145" w:rsidRPr="008D6145">
        <w:rPr>
          <w:rFonts w:eastAsia="Times New Roman"/>
          <w:lang w:val="fr-FR"/>
        </w:rPr>
        <w:t>approche, différente de celle qu</w:t>
      </w:r>
      <w:r w:rsidR="00A033A7">
        <w:rPr>
          <w:rFonts w:eastAsia="Times New Roman"/>
          <w:lang w:val="fr-FR"/>
        </w:rPr>
        <w:t>’</w:t>
      </w:r>
      <w:r w:rsidR="008D6145" w:rsidRPr="008D6145">
        <w:rPr>
          <w:rFonts w:eastAsia="Times New Roman"/>
          <w:lang w:val="fr-FR"/>
        </w:rPr>
        <w:t>ont connue les apprenants des années 1990 à 2005 est appliquée dans cet ordre d</w:t>
      </w:r>
      <w:r w:rsidR="00A033A7">
        <w:rPr>
          <w:rFonts w:eastAsia="Times New Roman"/>
          <w:lang w:val="fr-FR"/>
        </w:rPr>
        <w:t>’</w:t>
      </w:r>
      <w:r w:rsidR="008D6145" w:rsidRPr="008D6145">
        <w:rPr>
          <w:rFonts w:eastAsia="Times New Roman"/>
          <w:lang w:val="fr-FR"/>
        </w:rPr>
        <w:t>enseignement. Appelée « Nouveau Programme d</w:t>
      </w:r>
      <w:r w:rsidR="00A033A7">
        <w:rPr>
          <w:rFonts w:eastAsia="Times New Roman"/>
          <w:lang w:val="fr-FR"/>
        </w:rPr>
        <w:t>’</w:t>
      </w:r>
      <w:r w:rsidR="008D6145" w:rsidRPr="008D6145">
        <w:rPr>
          <w:rFonts w:eastAsia="Times New Roman"/>
          <w:lang w:val="fr-FR"/>
        </w:rPr>
        <w:t>Etude », cette méthode a pour finalité de faire de l</w:t>
      </w:r>
      <w:r w:rsidR="00A033A7">
        <w:rPr>
          <w:rFonts w:eastAsia="Times New Roman"/>
          <w:lang w:val="fr-FR"/>
        </w:rPr>
        <w:t>’</w:t>
      </w:r>
      <w:r w:rsidR="008D6145" w:rsidRPr="008D6145">
        <w:rPr>
          <w:rFonts w:eastAsia="Times New Roman"/>
          <w:lang w:val="fr-FR"/>
        </w:rPr>
        <w:t>apprenant un être plus actif et éveillé. La démarche pédagogique prend le dessus sur le programme lui-même. Ainsi, l</w:t>
      </w:r>
      <w:r w:rsidR="00A033A7">
        <w:rPr>
          <w:rFonts w:eastAsia="Times New Roman"/>
          <w:lang w:val="fr-FR"/>
        </w:rPr>
        <w:t>’</w:t>
      </w:r>
      <w:r w:rsidR="008D6145" w:rsidRPr="008D6145">
        <w:rPr>
          <w:rFonts w:eastAsia="Times New Roman"/>
          <w:lang w:val="fr-FR"/>
        </w:rPr>
        <w:t>approche par compétence est une méthode de formation qui repose sur le développement de compétences définies comme « </w:t>
      </w:r>
      <w:r w:rsidR="008D6145" w:rsidRPr="00C1301E">
        <w:rPr>
          <w:rFonts w:eastAsia="Times New Roman"/>
          <w:lang w:val="fr-FR"/>
        </w:rPr>
        <w:t>un savoir-agir complexe qui fait suite à l</w:t>
      </w:r>
      <w:r w:rsidR="00A033A7" w:rsidRPr="00C1301E">
        <w:rPr>
          <w:rFonts w:eastAsia="Times New Roman"/>
          <w:lang w:val="fr-FR"/>
        </w:rPr>
        <w:t>’</w:t>
      </w:r>
      <w:r w:rsidR="008D6145" w:rsidRPr="00C1301E">
        <w:rPr>
          <w:rFonts w:eastAsia="Times New Roman"/>
          <w:lang w:val="fr-FR"/>
        </w:rPr>
        <w:t>intégration, à la mobilisation et à l</w:t>
      </w:r>
      <w:r w:rsidR="00A033A7" w:rsidRPr="00C1301E">
        <w:rPr>
          <w:rFonts w:eastAsia="Times New Roman"/>
          <w:lang w:val="fr-FR"/>
        </w:rPr>
        <w:t>’</w:t>
      </w:r>
      <w:r w:rsidR="008D6145" w:rsidRPr="00C1301E">
        <w:rPr>
          <w:rFonts w:eastAsia="Times New Roman"/>
          <w:lang w:val="fr-FR"/>
        </w:rPr>
        <w:t>agencement d</w:t>
      </w:r>
      <w:r w:rsidR="00A033A7" w:rsidRPr="00C1301E">
        <w:rPr>
          <w:rFonts w:eastAsia="Times New Roman"/>
          <w:lang w:val="fr-FR"/>
        </w:rPr>
        <w:t>’</w:t>
      </w:r>
      <w:r w:rsidR="008D6145" w:rsidRPr="00C1301E">
        <w:rPr>
          <w:rFonts w:eastAsia="Times New Roman"/>
          <w:lang w:val="fr-FR"/>
        </w:rPr>
        <w:t>un ensemble de connaissances dans une situation ayant un caractère commun</w:t>
      </w:r>
      <w:r w:rsidR="008D6145" w:rsidRPr="008D6145">
        <w:rPr>
          <w:rFonts w:eastAsia="Times New Roman"/>
          <w:lang w:val="fr-FR"/>
        </w:rPr>
        <w:t> ». Trois types de compétences sont prévus aux nouveaux programmes à savoir : les compétences transversales, les compétences transdisciplinaires et les compétences disciplinaires.</w:t>
      </w:r>
    </w:p>
    <w:p w:rsidR="008D6145" w:rsidRPr="008D6145" w:rsidRDefault="00821D2B" w:rsidP="00821D2B">
      <w:pPr>
        <w:pStyle w:val="SingleTxtG"/>
        <w:kinsoku/>
        <w:overflowPunct/>
        <w:autoSpaceDE/>
        <w:autoSpaceDN/>
        <w:adjustRightInd/>
        <w:snapToGrid/>
        <w:rPr>
          <w:rFonts w:eastAsia="Times New Roman"/>
          <w:lang w:val="fr-FR"/>
        </w:rPr>
      </w:pPr>
      <w:r w:rsidRPr="008D6145">
        <w:rPr>
          <w:rFonts w:eastAsia="Times New Roman"/>
          <w:lang w:val="fr-FR"/>
        </w:rPr>
        <w:t>97.</w:t>
      </w:r>
      <w:r w:rsidRPr="008D6145">
        <w:rPr>
          <w:rFonts w:eastAsia="Times New Roman"/>
          <w:lang w:val="fr-FR"/>
        </w:rPr>
        <w:tab/>
      </w:r>
      <w:r w:rsidR="008D6145" w:rsidRPr="008D6145">
        <w:rPr>
          <w:rFonts w:eastAsia="Times New Roman"/>
          <w:lang w:val="fr-FR"/>
        </w:rPr>
        <w:t>L</w:t>
      </w:r>
      <w:r w:rsidR="00A033A7">
        <w:rPr>
          <w:rFonts w:eastAsia="Times New Roman"/>
          <w:lang w:val="fr-FR"/>
        </w:rPr>
        <w:t>’État</w:t>
      </w:r>
      <w:r w:rsidR="008D6145" w:rsidRPr="008D6145">
        <w:rPr>
          <w:rFonts w:eastAsia="Times New Roman"/>
          <w:lang w:val="fr-FR"/>
        </w:rPr>
        <w:t xml:space="preserve"> s</w:t>
      </w:r>
      <w:r w:rsidR="00A033A7">
        <w:rPr>
          <w:rFonts w:eastAsia="Times New Roman"/>
          <w:lang w:val="fr-FR"/>
        </w:rPr>
        <w:t>’</w:t>
      </w:r>
      <w:r w:rsidR="008D6145" w:rsidRPr="008D6145">
        <w:rPr>
          <w:rFonts w:eastAsia="Times New Roman"/>
          <w:lang w:val="fr-FR"/>
        </w:rPr>
        <w:t>efforce à rendre effective la gratuité de l</w:t>
      </w:r>
      <w:r w:rsidR="00A033A7">
        <w:rPr>
          <w:rFonts w:eastAsia="Times New Roman"/>
          <w:lang w:val="fr-FR"/>
        </w:rPr>
        <w:t>’</w:t>
      </w:r>
      <w:r w:rsidR="008D6145" w:rsidRPr="008D6145">
        <w:rPr>
          <w:rFonts w:eastAsia="Times New Roman"/>
          <w:lang w:val="fr-FR"/>
        </w:rPr>
        <w:t>enseignement primaire. Le rôle joué par les diverses Organisations qui s</w:t>
      </w:r>
      <w:r w:rsidR="00A033A7">
        <w:rPr>
          <w:rFonts w:eastAsia="Times New Roman"/>
          <w:lang w:val="fr-FR"/>
        </w:rPr>
        <w:t>’</w:t>
      </w:r>
      <w:r w:rsidR="008D6145" w:rsidRPr="008D6145">
        <w:rPr>
          <w:rFonts w:eastAsia="Times New Roman"/>
          <w:lang w:val="fr-FR"/>
        </w:rPr>
        <w:t>intéressent surtout à la scolarisation des enfants a été aussi des plus fructueux au sein des populations. Il se justifie aisément par le nombre croissant d</w:t>
      </w:r>
      <w:r w:rsidR="00A033A7">
        <w:rPr>
          <w:rFonts w:eastAsia="Times New Roman"/>
          <w:lang w:val="fr-FR"/>
        </w:rPr>
        <w:t>’</w:t>
      </w:r>
      <w:r w:rsidR="008D6145" w:rsidRPr="008D6145">
        <w:rPr>
          <w:rFonts w:eastAsia="Times New Roman"/>
          <w:lang w:val="fr-FR"/>
        </w:rPr>
        <w:t>enfants scolarisés enregistré au cours de ces dernières années. Entre 2013 et 2014 par exemple, on a noté une augmentation de 69.299 scolarisations.</w:t>
      </w:r>
    </w:p>
    <w:p w:rsidR="008D6145" w:rsidRPr="008D6145" w:rsidRDefault="00821D2B" w:rsidP="00821D2B">
      <w:pPr>
        <w:pStyle w:val="SingleTxtG"/>
        <w:kinsoku/>
        <w:overflowPunct/>
        <w:autoSpaceDE/>
        <w:autoSpaceDN/>
        <w:adjustRightInd/>
        <w:snapToGrid/>
        <w:rPr>
          <w:rFonts w:eastAsia="Times New Roman"/>
          <w:lang w:val="fr-FR"/>
        </w:rPr>
      </w:pPr>
      <w:r w:rsidRPr="008D6145">
        <w:rPr>
          <w:rFonts w:eastAsia="Times New Roman"/>
          <w:lang w:val="fr-FR"/>
        </w:rPr>
        <w:t>98.</w:t>
      </w:r>
      <w:r w:rsidRPr="008D6145">
        <w:rPr>
          <w:rFonts w:eastAsia="Times New Roman"/>
          <w:lang w:val="fr-FR"/>
        </w:rPr>
        <w:tab/>
      </w:r>
      <w:r w:rsidR="008D6145" w:rsidRPr="008D6145">
        <w:rPr>
          <w:rFonts w:eastAsia="Times New Roman"/>
          <w:lang w:val="fr-FR"/>
        </w:rPr>
        <w:t>Autrement dit, l</w:t>
      </w:r>
      <w:r w:rsidR="00A033A7">
        <w:rPr>
          <w:rFonts w:eastAsia="Times New Roman"/>
          <w:lang w:val="fr-FR"/>
        </w:rPr>
        <w:t>’</w:t>
      </w:r>
      <w:r w:rsidR="008D6145" w:rsidRPr="008D6145">
        <w:rPr>
          <w:rFonts w:eastAsia="Times New Roman"/>
          <w:lang w:val="fr-FR"/>
        </w:rPr>
        <w:t>effectif de la population scolarisée passe de 2 064 031 élèves en 2013, à 2 133 330 élèves en 2014 ; soit un accroissement de 3,4</w:t>
      </w:r>
      <w:r w:rsidR="00303941">
        <w:rPr>
          <w:rFonts w:eastAsia="Times New Roman"/>
          <w:lang w:val="fr-FR"/>
        </w:rPr>
        <w:t> </w:t>
      </w:r>
      <w:r w:rsidR="008D6145" w:rsidRPr="008D6145">
        <w:rPr>
          <w:rFonts w:eastAsia="Times New Roman"/>
          <w:lang w:val="fr-FR"/>
        </w:rPr>
        <w:t>%. Par ailleurs, le sex-ratio est de 8,9 aussi bien en 2013 qu</w:t>
      </w:r>
      <w:r w:rsidR="00A033A7">
        <w:rPr>
          <w:rFonts w:eastAsia="Times New Roman"/>
          <w:lang w:val="fr-FR"/>
        </w:rPr>
        <w:t>’</w:t>
      </w:r>
      <w:r w:rsidR="008D6145" w:rsidRPr="008D6145">
        <w:rPr>
          <w:rFonts w:eastAsia="Times New Roman"/>
          <w:lang w:val="fr-FR"/>
        </w:rPr>
        <w:t>en 2014, soit un effectif de 1 010</w:t>
      </w:r>
      <w:r w:rsidR="00303941">
        <w:rPr>
          <w:rFonts w:eastAsia="Times New Roman"/>
          <w:lang w:val="fr-FR"/>
        </w:rPr>
        <w:t> </w:t>
      </w:r>
      <w:r w:rsidR="008D6145" w:rsidRPr="008D6145">
        <w:rPr>
          <w:rFonts w:eastAsia="Times New Roman"/>
          <w:lang w:val="fr-FR"/>
        </w:rPr>
        <w:t>029 filles pour 1 123</w:t>
      </w:r>
      <w:r w:rsidR="00C508FF">
        <w:rPr>
          <w:rFonts w:eastAsia="Times New Roman"/>
          <w:lang w:val="fr-FR"/>
        </w:rPr>
        <w:t> </w:t>
      </w:r>
      <w:r w:rsidR="008D6145" w:rsidRPr="008D6145">
        <w:rPr>
          <w:rFonts w:eastAsia="Times New Roman"/>
          <w:lang w:val="fr-FR"/>
        </w:rPr>
        <w:t>301 garçons en 2014 contre un effectif de 972 325 filles pour 1 091 706 garçons en 2013. En 2008, cet ordre d</w:t>
      </w:r>
      <w:r w:rsidR="00A033A7">
        <w:rPr>
          <w:rFonts w:eastAsia="Times New Roman"/>
          <w:lang w:val="fr-FR"/>
        </w:rPr>
        <w:t>’</w:t>
      </w:r>
      <w:r w:rsidR="008D6145" w:rsidRPr="008D6145">
        <w:rPr>
          <w:rFonts w:eastAsia="Times New Roman"/>
          <w:lang w:val="fr-FR"/>
        </w:rPr>
        <w:t>enseignement comptait 872</w:t>
      </w:r>
      <w:r w:rsidR="00C508FF">
        <w:rPr>
          <w:rFonts w:eastAsia="Times New Roman"/>
          <w:lang w:val="fr-FR"/>
        </w:rPr>
        <w:t> </w:t>
      </w:r>
      <w:r w:rsidR="008D6145" w:rsidRPr="008D6145">
        <w:rPr>
          <w:rFonts w:eastAsia="Times New Roman"/>
          <w:lang w:val="fr-FR"/>
        </w:rPr>
        <w:t>159 garçons contre 728</w:t>
      </w:r>
      <w:r w:rsidR="00303941">
        <w:rPr>
          <w:rFonts w:eastAsia="Times New Roman"/>
          <w:lang w:val="fr-FR"/>
        </w:rPr>
        <w:t> </w:t>
      </w:r>
      <w:r w:rsidR="008D6145" w:rsidRPr="008D6145">
        <w:rPr>
          <w:rFonts w:eastAsia="Times New Roman"/>
          <w:lang w:val="fr-FR"/>
        </w:rPr>
        <w:t>987 filles, soit un accroissement de 28,8</w:t>
      </w:r>
      <w:r w:rsidR="00C508FF">
        <w:rPr>
          <w:rFonts w:eastAsia="Times New Roman"/>
          <w:lang w:val="fr-FR"/>
        </w:rPr>
        <w:t> </w:t>
      </w:r>
      <w:r w:rsidR="008D6145" w:rsidRPr="008D6145">
        <w:rPr>
          <w:rFonts w:eastAsia="Times New Roman"/>
          <w:lang w:val="fr-FR"/>
        </w:rPr>
        <w:t>% de l</w:t>
      </w:r>
      <w:r w:rsidR="00A033A7">
        <w:rPr>
          <w:rFonts w:eastAsia="Times New Roman"/>
          <w:lang w:val="fr-FR"/>
        </w:rPr>
        <w:t>’</w:t>
      </w:r>
      <w:r w:rsidR="008D6145" w:rsidRPr="008D6145">
        <w:rPr>
          <w:rFonts w:eastAsia="Times New Roman"/>
          <w:lang w:val="fr-FR"/>
        </w:rPr>
        <w:t>effectif des garçons et de 38,6</w:t>
      </w:r>
      <w:r w:rsidR="00C508FF">
        <w:rPr>
          <w:rFonts w:eastAsia="Times New Roman"/>
          <w:lang w:val="fr-FR"/>
        </w:rPr>
        <w:t> </w:t>
      </w:r>
      <w:r w:rsidR="008D6145" w:rsidRPr="008D6145">
        <w:rPr>
          <w:rFonts w:eastAsia="Times New Roman"/>
          <w:lang w:val="fr-FR"/>
        </w:rPr>
        <w:t>% pour les filles entre 2008 et 2014.</w:t>
      </w:r>
    </w:p>
    <w:p w:rsidR="008D6145" w:rsidRPr="008D6145" w:rsidRDefault="00821D2B" w:rsidP="00821D2B">
      <w:pPr>
        <w:pStyle w:val="SingleTxtG"/>
        <w:kinsoku/>
        <w:overflowPunct/>
        <w:autoSpaceDE/>
        <w:autoSpaceDN/>
        <w:adjustRightInd/>
        <w:snapToGrid/>
        <w:rPr>
          <w:rFonts w:eastAsia="Times New Roman"/>
          <w:lang w:val="fr-FR"/>
        </w:rPr>
      </w:pPr>
      <w:r w:rsidRPr="008D6145">
        <w:rPr>
          <w:rFonts w:eastAsia="Times New Roman"/>
          <w:lang w:val="fr-FR"/>
        </w:rPr>
        <w:t>99.</w:t>
      </w:r>
      <w:r w:rsidRPr="008D6145">
        <w:rPr>
          <w:rFonts w:eastAsia="Times New Roman"/>
          <w:lang w:val="fr-FR"/>
        </w:rPr>
        <w:tab/>
      </w:r>
      <w:r w:rsidR="008D6145" w:rsidRPr="008D6145">
        <w:rPr>
          <w:rFonts w:eastAsia="Times New Roman"/>
          <w:lang w:val="fr-FR"/>
        </w:rPr>
        <w:t>Cet ordre d</w:t>
      </w:r>
      <w:r w:rsidR="00A033A7">
        <w:rPr>
          <w:rFonts w:eastAsia="Times New Roman"/>
          <w:lang w:val="fr-FR"/>
        </w:rPr>
        <w:t>’</w:t>
      </w:r>
      <w:r w:rsidR="008D6145" w:rsidRPr="008D6145">
        <w:rPr>
          <w:rFonts w:eastAsia="Times New Roman"/>
          <w:lang w:val="fr-FR"/>
        </w:rPr>
        <w:t>enseignement comptait 46 454 enseignants (dont 10 457 femmes) en 2014 contre 47</w:t>
      </w:r>
      <w:r w:rsidR="00303941">
        <w:rPr>
          <w:rFonts w:eastAsia="Times New Roman"/>
          <w:lang w:val="fr-FR"/>
        </w:rPr>
        <w:t> </w:t>
      </w:r>
      <w:r w:rsidR="008D6145" w:rsidRPr="008D6145">
        <w:rPr>
          <w:rFonts w:eastAsia="Times New Roman"/>
          <w:lang w:val="fr-FR"/>
        </w:rPr>
        <w:t>201 enseignants (dont 10</w:t>
      </w:r>
      <w:r w:rsidR="00303941">
        <w:rPr>
          <w:rFonts w:eastAsia="Times New Roman"/>
          <w:lang w:val="fr-FR"/>
        </w:rPr>
        <w:t> </w:t>
      </w:r>
      <w:r w:rsidR="008D6145" w:rsidRPr="008D6145">
        <w:rPr>
          <w:rFonts w:eastAsia="Times New Roman"/>
          <w:lang w:val="fr-FR"/>
        </w:rPr>
        <w:t>321 femmes) en 2013. Le ratio d</w:t>
      </w:r>
      <w:r w:rsidR="00A033A7">
        <w:rPr>
          <w:rFonts w:eastAsia="Times New Roman"/>
          <w:lang w:val="fr-FR"/>
        </w:rPr>
        <w:t>’</w:t>
      </w:r>
      <w:r w:rsidR="008D6145" w:rsidRPr="008D6145">
        <w:rPr>
          <w:rFonts w:eastAsia="Times New Roman"/>
          <w:lang w:val="fr-FR"/>
        </w:rPr>
        <w:t>encadrement (élèves/maître) a légèrement augmenté entre 2013 et 2014. En effet, le ratio est de 45,9 élèves par maître en 2014 contre 43,7 élèves par maître en 2013. En 2014, les Agents Permanents de l</w:t>
      </w:r>
      <w:r w:rsidR="00A033A7">
        <w:rPr>
          <w:rFonts w:eastAsia="Times New Roman"/>
          <w:lang w:val="fr-FR"/>
        </w:rPr>
        <w:t>’État</w:t>
      </w:r>
      <w:r w:rsidR="000B490E">
        <w:rPr>
          <w:rFonts w:eastAsia="Times New Roman"/>
          <w:lang w:val="fr-FR"/>
        </w:rPr>
        <w:t xml:space="preserve"> </w:t>
      </w:r>
      <w:r w:rsidR="008D6145" w:rsidRPr="008D6145">
        <w:rPr>
          <w:rFonts w:eastAsia="Times New Roman"/>
          <w:lang w:val="fr-FR"/>
        </w:rPr>
        <w:t>(APE) représentaient 19,4</w:t>
      </w:r>
      <w:r w:rsidR="00303941">
        <w:rPr>
          <w:rFonts w:eastAsia="Times New Roman"/>
          <w:lang w:val="fr-FR"/>
        </w:rPr>
        <w:t> </w:t>
      </w:r>
      <w:r w:rsidR="008D6145" w:rsidRPr="008D6145">
        <w:rPr>
          <w:rFonts w:eastAsia="Times New Roman"/>
          <w:lang w:val="fr-FR"/>
        </w:rPr>
        <w:t>% des enseignants contre 21,2</w:t>
      </w:r>
      <w:r w:rsidR="00303941">
        <w:rPr>
          <w:rFonts w:eastAsia="Times New Roman"/>
          <w:lang w:val="fr-FR"/>
        </w:rPr>
        <w:t> </w:t>
      </w:r>
      <w:r w:rsidR="008D6145" w:rsidRPr="008D6145">
        <w:rPr>
          <w:rFonts w:eastAsia="Times New Roman"/>
          <w:lang w:val="fr-FR"/>
        </w:rPr>
        <w:t xml:space="preserve">% en 2013. Cette situation </w:t>
      </w:r>
      <w:r w:rsidR="008D6145" w:rsidRPr="008D6145">
        <w:rPr>
          <w:rFonts w:eastAsia="Times New Roman"/>
          <w:lang w:val="fr-FR"/>
        </w:rPr>
        <w:lastRenderedPageBreak/>
        <w:t>est due aux départs à la retraite et à la baisse de l</w:t>
      </w:r>
      <w:r w:rsidR="00A033A7">
        <w:rPr>
          <w:rFonts w:eastAsia="Times New Roman"/>
          <w:lang w:val="fr-FR"/>
        </w:rPr>
        <w:t>’</w:t>
      </w:r>
      <w:r w:rsidR="008D6145" w:rsidRPr="008D6145">
        <w:rPr>
          <w:rFonts w:eastAsia="Times New Roman"/>
          <w:lang w:val="fr-FR"/>
        </w:rPr>
        <w:t>effectif des agents contractuels qui passent de 18 754 en 2013 à 17</w:t>
      </w:r>
      <w:r w:rsidR="00303941">
        <w:rPr>
          <w:rFonts w:eastAsia="Times New Roman"/>
          <w:lang w:val="fr-FR"/>
        </w:rPr>
        <w:t> </w:t>
      </w:r>
      <w:r w:rsidR="008D6145" w:rsidRPr="008D6145">
        <w:rPr>
          <w:rFonts w:eastAsia="Times New Roman"/>
          <w:lang w:val="fr-FR"/>
        </w:rPr>
        <w:t>818</w:t>
      </w:r>
      <w:r w:rsidR="00303941">
        <w:rPr>
          <w:rFonts w:eastAsia="Times New Roman"/>
          <w:lang w:val="fr-FR"/>
        </w:rPr>
        <w:t xml:space="preserve"> </w:t>
      </w:r>
      <w:r w:rsidR="008D6145" w:rsidRPr="008D6145">
        <w:rPr>
          <w:rFonts w:eastAsia="Times New Roman"/>
          <w:lang w:val="fr-FR"/>
        </w:rPr>
        <w:t xml:space="preserve">en 2014. </w:t>
      </w:r>
    </w:p>
    <w:p w:rsidR="008D6145" w:rsidRPr="008D6145" w:rsidRDefault="00821D2B" w:rsidP="00821D2B">
      <w:pPr>
        <w:pStyle w:val="SingleTxtG"/>
        <w:kinsoku/>
        <w:overflowPunct/>
        <w:autoSpaceDE/>
        <w:autoSpaceDN/>
        <w:adjustRightInd/>
        <w:snapToGrid/>
        <w:rPr>
          <w:rFonts w:eastAsia="Times New Roman"/>
          <w:lang w:val="fr-FR"/>
        </w:rPr>
      </w:pPr>
      <w:r w:rsidRPr="008D6145">
        <w:rPr>
          <w:rFonts w:eastAsia="Times New Roman"/>
          <w:lang w:val="fr-FR"/>
        </w:rPr>
        <w:t>100.</w:t>
      </w:r>
      <w:r w:rsidRPr="008D6145">
        <w:rPr>
          <w:rFonts w:eastAsia="Times New Roman"/>
          <w:lang w:val="fr-FR"/>
        </w:rPr>
        <w:tab/>
      </w:r>
      <w:r w:rsidR="008D6145" w:rsidRPr="008D6145">
        <w:rPr>
          <w:rFonts w:eastAsia="Times New Roman"/>
          <w:lang w:val="fr-FR"/>
        </w:rPr>
        <w:t>En 2014, le taux brut d</w:t>
      </w:r>
      <w:r w:rsidR="00A033A7">
        <w:rPr>
          <w:rFonts w:eastAsia="Times New Roman"/>
          <w:lang w:val="fr-FR"/>
        </w:rPr>
        <w:t>’</w:t>
      </w:r>
      <w:r w:rsidR="008D6145" w:rsidRPr="008D6145">
        <w:rPr>
          <w:rFonts w:eastAsia="Times New Roman"/>
          <w:lang w:val="fr-FR"/>
        </w:rPr>
        <w:t>admission (proportion de nouveaux élèves entrants sur l</w:t>
      </w:r>
      <w:r w:rsidR="00A033A7">
        <w:rPr>
          <w:rFonts w:eastAsia="Times New Roman"/>
          <w:lang w:val="fr-FR"/>
        </w:rPr>
        <w:t>’</w:t>
      </w:r>
      <w:r w:rsidR="008D6145" w:rsidRPr="008D6145">
        <w:rPr>
          <w:rFonts w:eastAsia="Times New Roman"/>
          <w:lang w:val="fr-FR"/>
        </w:rPr>
        <w:t>effectif de la population de 6 ans) s</w:t>
      </w:r>
      <w:r w:rsidR="00A033A7">
        <w:rPr>
          <w:rFonts w:eastAsia="Times New Roman"/>
          <w:lang w:val="fr-FR"/>
        </w:rPr>
        <w:t>’</w:t>
      </w:r>
      <w:r w:rsidR="008D6145" w:rsidRPr="008D6145">
        <w:rPr>
          <w:rFonts w:eastAsia="Times New Roman"/>
          <w:lang w:val="fr-FR"/>
        </w:rPr>
        <w:t xml:space="preserve">est établi à </w:t>
      </w:r>
      <w:r w:rsidR="008D6145" w:rsidRPr="00C1301E">
        <w:rPr>
          <w:rFonts w:eastAsia="Times New Roman"/>
          <w:lang w:val="fr-FR"/>
        </w:rPr>
        <w:t>145,28</w:t>
      </w:r>
      <w:r w:rsidR="00303941">
        <w:rPr>
          <w:rFonts w:eastAsia="Times New Roman"/>
          <w:lang w:val="fr-FR"/>
        </w:rPr>
        <w:t> </w:t>
      </w:r>
      <w:r w:rsidR="008D6145" w:rsidRPr="008D6145">
        <w:rPr>
          <w:rFonts w:eastAsia="Times New Roman"/>
          <w:lang w:val="fr-FR"/>
        </w:rPr>
        <w:t>%, un niveau relativement élevé par rapport à celui observé en 2013 (</w:t>
      </w:r>
      <w:r w:rsidR="008D6145" w:rsidRPr="00C1301E">
        <w:rPr>
          <w:rFonts w:eastAsia="Times New Roman"/>
          <w:lang w:val="fr-FR"/>
        </w:rPr>
        <w:t>142,74</w:t>
      </w:r>
      <w:r w:rsidR="00303941">
        <w:rPr>
          <w:rFonts w:eastAsia="Times New Roman"/>
          <w:lang w:val="fr-FR"/>
        </w:rPr>
        <w:t> </w:t>
      </w:r>
      <w:r w:rsidR="008D6145" w:rsidRPr="00C1301E">
        <w:rPr>
          <w:rFonts w:eastAsia="Times New Roman"/>
          <w:lang w:val="fr-FR"/>
        </w:rPr>
        <w:t>%</w:t>
      </w:r>
      <w:r w:rsidR="008D6145" w:rsidRPr="008D6145">
        <w:rPr>
          <w:rFonts w:eastAsia="Times New Roman"/>
          <w:lang w:val="fr-FR"/>
        </w:rPr>
        <w:t>). Les garçons présentent un taux brut d</w:t>
      </w:r>
      <w:r w:rsidR="00A033A7">
        <w:rPr>
          <w:rFonts w:eastAsia="Times New Roman"/>
          <w:lang w:val="fr-FR"/>
        </w:rPr>
        <w:t>’</w:t>
      </w:r>
      <w:r w:rsidR="008D6145" w:rsidRPr="008D6145">
        <w:rPr>
          <w:rFonts w:eastAsia="Times New Roman"/>
          <w:lang w:val="fr-FR"/>
        </w:rPr>
        <w:t>admission de (146,81</w:t>
      </w:r>
      <w:r w:rsidR="00303941">
        <w:rPr>
          <w:rFonts w:eastAsia="Times New Roman"/>
          <w:lang w:val="fr-FR"/>
        </w:rPr>
        <w:t> </w:t>
      </w:r>
      <w:r w:rsidR="008D6145" w:rsidRPr="008D6145">
        <w:rPr>
          <w:rFonts w:eastAsia="Times New Roman"/>
          <w:lang w:val="fr-FR"/>
        </w:rPr>
        <w:t>%) supérieur à celui des filles (143,65</w:t>
      </w:r>
      <w:r w:rsidR="00303941">
        <w:rPr>
          <w:rFonts w:eastAsia="Times New Roman"/>
          <w:lang w:val="fr-FR"/>
        </w:rPr>
        <w:t> </w:t>
      </w:r>
      <w:r w:rsidR="008D6145" w:rsidRPr="008D6145">
        <w:rPr>
          <w:rFonts w:eastAsia="Times New Roman"/>
          <w:lang w:val="fr-FR"/>
        </w:rPr>
        <w:t>%) en 2014. Le niveau élevé de cet indicateur traduit la présence, dans l</w:t>
      </w:r>
      <w:r w:rsidR="00A033A7">
        <w:rPr>
          <w:rFonts w:eastAsia="Times New Roman"/>
          <w:lang w:val="fr-FR"/>
        </w:rPr>
        <w:t>’</w:t>
      </w:r>
      <w:r w:rsidR="008D6145" w:rsidRPr="008D6145">
        <w:rPr>
          <w:rFonts w:eastAsia="Times New Roman"/>
          <w:lang w:val="fr-FR"/>
        </w:rPr>
        <w:t>effectif, de nouveaux entrants âgés de plus de 6 ans ou de moins de 6 ans. En 2008, le taux brut d</w:t>
      </w:r>
      <w:r w:rsidR="00A033A7">
        <w:rPr>
          <w:rFonts w:eastAsia="Times New Roman"/>
          <w:lang w:val="fr-FR"/>
        </w:rPr>
        <w:t>’</w:t>
      </w:r>
      <w:r w:rsidR="008D6145" w:rsidRPr="008D6145">
        <w:rPr>
          <w:rFonts w:eastAsia="Times New Roman"/>
          <w:lang w:val="fr-FR"/>
        </w:rPr>
        <w:t>admission atteignait la valeur de 142,96</w:t>
      </w:r>
      <w:r w:rsidR="00303941">
        <w:rPr>
          <w:rFonts w:eastAsia="Times New Roman"/>
          <w:lang w:val="fr-FR"/>
        </w:rPr>
        <w:t> </w:t>
      </w:r>
      <w:r w:rsidR="008D6145" w:rsidRPr="008D6145">
        <w:rPr>
          <w:rFonts w:eastAsia="Times New Roman"/>
          <w:lang w:val="fr-FR"/>
        </w:rPr>
        <w:t>%, mais a connu un accroissement entre 2008 et 2014.</w:t>
      </w:r>
    </w:p>
    <w:p w:rsidR="008D6145" w:rsidRPr="008D6145" w:rsidRDefault="00821D2B" w:rsidP="00821D2B">
      <w:pPr>
        <w:pStyle w:val="SingleTxtG"/>
        <w:kinsoku/>
        <w:overflowPunct/>
        <w:autoSpaceDE/>
        <w:autoSpaceDN/>
        <w:adjustRightInd/>
        <w:snapToGrid/>
        <w:rPr>
          <w:rFonts w:eastAsia="Times New Roman"/>
          <w:lang w:val="fr-FR"/>
        </w:rPr>
      </w:pPr>
      <w:r w:rsidRPr="008D6145">
        <w:rPr>
          <w:rFonts w:eastAsia="Times New Roman"/>
          <w:lang w:val="fr-FR"/>
        </w:rPr>
        <w:t>101.</w:t>
      </w:r>
      <w:r w:rsidRPr="008D6145">
        <w:rPr>
          <w:rFonts w:eastAsia="Times New Roman"/>
          <w:lang w:val="fr-FR"/>
        </w:rPr>
        <w:tab/>
      </w:r>
      <w:r w:rsidR="008D6145" w:rsidRPr="008D6145">
        <w:rPr>
          <w:rFonts w:eastAsia="Times New Roman"/>
          <w:lang w:val="fr-FR"/>
        </w:rPr>
        <w:t>Le taux d</w:t>
      </w:r>
      <w:r w:rsidR="00A033A7">
        <w:rPr>
          <w:rFonts w:eastAsia="Times New Roman"/>
          <w:lang w:val="fr-FR"/>
        </w:rPr>
        <w:t>’</w:t>
      </w:r>
      <w:r w:rsidR="008D6145" w:rsidRPr="008D6145">
        <w:rPr>
          <w:rFonts w:eastAsia="Times New Roman"/>
          <w:lang w:val="fr-FR"/>
        </w:rPr>
        <w:t>achèvement quant à lui connaît une augmentation légèrement remarquable : il est de 77,61</w:t>
      </w:r>
      <w:r w:rsidR="00303941">
        <w:rPr>
          <w:rFonts w:eastAsia="Times New Roman"/>
          <w:lang w:val="fr-FR"/>
        </w:rPr>
        <w:t> </w:t>
      </w:r>
      <w:r w:rsidR="008D6145" w:rsidRPr="008D6145">
        <w:rPr>
          <w:rFonts w:eastAsia="Times New Roman"/>
          <w:lang w:val="fr-FR"/>
        </w:rPr>
        <w:t>% en 2014 contre 76,85</w:t>
      </w:r>
      <w:r w:rsidR="00303941">
        <w:rPr>
          <w:rFonts w:eastAsia="Times New Roman"/>
          <w:lang w:val="fr-FR"/>
        </w:rPr>
        <w:t> </w:t>
      </w:r>
      <w:r w:rsidR="008D6145" w:rsidRPr="008D6145">
        <w:rPr>
          <w:rFonts w:eastAsia="Times New Roman"/>
          <w:lang w:val="fr-FR"/>
        </w:rPr>
        <w:t>% en 2013. En 2014, le taux d</w:t>
      </w:r>
      <w:r w:rsidR="00A033A7">
        <w:rPr>
          <w:rFonts w:eastAsia="Times New Roman"/>
          <w:lang w:val="fr-FR"/>
        </w:rPr>
        <w:t>’</w:t>
      </w:r>
      <w:r w:rsidR="008D6145" w:rsidRPr="008D6145">
        <w:rPr>
          <w:rFonts w:eastAsia="Times New Roman"/>
          <w:lang w:val="fr-FR"/>
        </w:rPr>
        <w:t>achèvement est plus élevé chez les garçons (81,28</w:t>
      </w:r>
      <w:r w:rsidR="00303941">
        <w:rPr>
          <w:rFonts w:eastAsia="Times New Roman"/>
          <w:lang w:val="fr-FR"/>
        </w:rPr>
        <w:t> </w:t>
      </w:r>
      <w:r w:rsidR="008D6145" w:rsidRPr="008D6145">
        <w:rPr>
          <w:rFonts w:eastAsia="Times New Roman"/>
          <w:lang w:val="fr-FR"/>
        </w:rPr>
        <w:t>%) que chez les filles (73,66</w:t>
      </w:r>
      <w:r w:rsidR="00303941">
        <w:rPr>
          <w:rFonts w:eastAsia="Times New Roman"/>
          <w:lang w:val="fr-FR"/>
        </w:rPr>
        <w:t> </w:t>
      </w:r>
      <w:r w:rsidR="008D6145" w:rsidRPr="008D6145">
        <w:rPr>
          <w:rFonts w:eastAsia="Times New Roman"/>
          <w:lang w:val="fr-FR"/>
        </w:rPr>
        <w:t xml:space="preserve">%). </w:t>
      </w:r>
    </w:p>
    <w:p w:rsidR="008D6145" w:rsidRPr="008D6145" w:rsidRDefault="00821D2B" w:rsidP="00821D2B">
      <w:pPr>
        <w:pStyle w:val="SingleTxtG"/>
        <w:kinsoku/>
        <w:overflowPunct/>
        <w:autoSpaceDE/>
        <w:autoSpaceDN/>
        <w:adjustRightInd/>
        <w:snapToGrid/>
        <w:rPr>
          <w:rFonts w:eastAsia="Times New Roman"/>
          <w:lang w:val="fr-FR"/>
        </w:rPr>
      </w:pPr>
      <w:r w:rsidRPr="008D6145">
        <w:rPr>
          <w:rFonts w:eastAsia="Times New Roman"/>
          <w:lang w:val="fr-FR"/>
        </w:rPr>
        <w:t>102.</w:t>
      </w:r>
      <w:r w:rsidRPr="008D6145">
        <w:rPr>
          <w:rFonts w:eastAsia="Times New Roman"/>
          <w:lang w:val="fr-FR"/>
        </w:rPr>
        <w:tab/>
      </w:r>
      <w:r w:rsidR="008D6145" w:rsidRPr="008D6145">
        <w:rPr>
          <w:rFonts w:eastAsia="Times New Roman"/>
          <w:lang w:val="fr-FR"/>
        </w:rPr>
        <w:t>Au cours de la période 2011-2014, le taux brut de scolarisation a connu une légère augmentation chaque année : en 2014, il a atteint 122,0</w:t>
      </w:r>
      <w:r w:rsidR="00303941">
        <w:rPr>
          <w:rFonts w:eastAsia="Times New Roman"/>
          <w:lang w:val="fr-FR"/>
        </w:rPr>
        <w:t> </w:t>
      </w:r>
      <w:r w:rsidR="008D6145" w:rsidRPr="008D6145">
        <w:rPr>
          <w:rFonts w:eastAsia="Times New Roman"/>
          <w:lang w:val="fr-FR"/>
        </w:rPr>
        <w:t>% contre 121,1</w:t>
      </w:r>
      <w:r w:rsidR="00303941">
        <w:rPr>
          <w:rFonts w:eastAsia="Times New Roman"/>
          <w:lang w:val="fr-FR"/>
        </w:rPr>
        <w:t> </w:t>
      </w:r>
      <w:r w:rsidR="008D6145" w:rsidRPr="008D6145">
        <w:rPr>
          <w:rFonts w:eastAsia="Times New Roman"/>
          <w:lang w:val="fr-FR"/>
        </w:rPr>
        <w:t>% en 2013 et 119,7</w:t>
      </w:r>
      <w:r w:rsidR="00303941">
        <w:rPr>
          <w:rFonts w:eastAsia="Times New Roman"/>
          <w:lang w:val="fr-FR"/>
        </w:rPr>
        <w:t> </w:t>
      </w:r>
      <w:r w:rsidR="008D6145" w:rsidRPr="008D6145">
        <w:rPr>
          <w:rFonts w:eastAsia="Times New Roman"/>
          <w:lang w:val="fr-FR"/>
        </w:rPr>
        <w:t>% en 2012 puis 112,6</w:t>
      </w:r>
      <w:r w:rsidR="00303941">
        <w:rPr>
          <w:rFonts w:eastAsia="Times New Roman"/>
          <w:lang w:val="fr-FR"/>
        </w:rPr>
        <w:t> </w:t>
      </w:r>
      <w:r w:rsidR="008D6145" w:rsidRPr="008D6145">
        <w:rPr>
          <w:rFonts w:eastAsia="Times New Roman"/>
          <w:lang w:val="fr-FR"/>
        </w:rPr>
        <w:t>% en 2011. Ce taux est plus élevé chez les garçons que chez les filles chaque année.</w:t>
      </w:r>
    </w:p>
    <w:p w:rsidR="008D6145" w:rsidRPr="008D6145" w:rsidRDefault="004A5FC0" w:rsidP="00821D2B">
      <w:pPr>
        <w:pStyle w:val="H23G"/>
        <w:ind w:right="0"/>
      </w:pPr>
      <w:r>
        <w:tab/>
      </w:r>
      <w:r>
        <w:tab/>
      </w:r>
      <w:r w:rsidR="008D6145" w:rsidRPr="00821D2B">
        <w:rPr>
          <w:b w:val="0"/>
          <w:bCs/>
        </w:rPr>
        <w:t xml:space="preserve">Tableau </w:t>
      </w:r>
      <w:r w:rsidRPr="004A5FC0">
        <w:rPr>
          <w:rFonts w:eastAsia="Times New Roman"/>
          <w:b w:val="0"/>
          <w:bCs/>
          <w:lang w:val="fr-FR"/>
        </w:rPr>
        <w:t>n</w:t>
      </w:r>
      <w:r w:rsidRPr="004A5FC0">
        <w:rPr>
          <w:rFonts w:eastAsia="Times New Roman"/>
          <w:b w:val="0"/>
          <w:bCs/>
          <w:vertAlign w:val="superscript"/>
          <w:lang w:val="fr-FR"/>
        </w:rPr>
        <w:t>o</w:t>
      </w:r>
      <w:r w:rsidRPr="004A5FC0">
        <w:rPr>
          <w:rFonts w:eastAsia="Times New Roman"/>
          <w:b w:val="0"/>
          <w:bCs/>
          <w:lang w:val="fr-FR"/>
        </w:rPr>
        <w:t> </w:t>
      </w:r>
      <w:r w:rsidR="008D6145" w:rsidRPr="00821D2B">
        <w:rPr>
          <w:b w:val="0"/>
          <w:bCs/>
        </w:rPr>
        <w:t xml:space="preserve">8 </w:t>
      </w:r>
      <w:r w:rsidR="008D6145" w:rsidRPr="00821D2B">
        <w:rPr>
          <w:b w:val="0"/>
          <w:bCs/>
        </w:rPr>
        <w:br/>
      </w:r>
      <w:r w:rsidR="008D6145" w:rsidRPr="008D6145">
        <w:t>Indicateurs sur la performance de l</w:t>
      </w:r>
      <w:r w:rsidR="00A033A7">
        <w:t>’</w:t>
      </w:r>
      <w:r w:rsidR="008D6145" w:rsidRPr="008D6145">
        <w:t>enseignement primaire selon le genre de 2011 à 2014</w:t>
      </w:r>
    </w:p>
    <w:tbl>
      <w:tblPr>
        <w:tblW w:w="0" w:type="auto"/>
        <w:tblInd w:w="1134" w:type="dxa"/>
        <w:tblLayout w:type="fixed"/>
        <w:tblCellMar>
          <w:left w:w="0" w:type="dxa"/>
          <w:right w:w="0" w:type="dxa"/>
        </w:tblCellMar>
        <w:tblLook w:val="04A0" w:firstRow="1" w:lastRow="0" w:firstColumn="1" w:lastColumn="0" w:noHBand="0" w:noVBand="1"/>
      </w:tblPr>
      <w:tblGrid>
        <w:gridCol w:w="1701"/>
        <w:gridCol w:w="567"/>
        <w:gridCol w:w="567"/>
        <w:gridCol w:w="567"/>
        <w:gridCol w:w="567"/>
        <w:gridCol w:w="567"/>
        <w:gridCol w:w="567"/>
        <w:gridCol w:w="567"/>
        <w:gridCol w:w="567"/>
        <w:gridCol w:w="567"/>
        <w:gridCol w:w="567"/>
        <w:gridCol w:w="567"/>
        <w:gridCol w:w="567"/>
      </w:tblGrid>
      <w:tr w:rsidR="004A5FC0" w:rsidRPr="004A5FC0" w:rsidTr="00821D2B">
        <w:trPr>
          <w:tblHeader/>
        </w:trPr>
        <w:tc>
          <w:tcPr>
            <w:tcW w:w="1701" w:type="dxa"/>
            <w:vMerge w:val="restart"/>
            <w:tcBorders>
              <w:top w:val="single" w:sz="4" w:space="0" w:color="auto"/>
            </w:tcBorders>
            <w:shd w:val="clear" w:color="auto" w:fill="auto"/>
            <w:noWrap/>
            <w:vAlign w:val="bottom"/>
            <w:hideMark/>
          </w:tcPr>
          <w:p w:rsidR="004A5FC0" w:rsidRPr="00821D2B" w:rsidRDefault="004A5FC0" w:rsidP="00821D2B">
            <w:pPr>
              <w:spacing w:before="80" w:after="80" w:line="200" w:lineRule="exact"/>
              <w:rPr>
                <w:rFonts w:eastAsia="Times New Roman"/>
                <w:i/>
                <w:sz w:val="16"/>
                <w:szCs w:val="16"/>
              </w:rPr>
            </w:pPr>
            <w:r w:rsidRPr="00821D2B">
              <w:rPr>
                <w:rFonts w:eastAsia="Times New Roman"/>
                <w:i/>
                <w:sz w:val="16"/>
                <w:szCs w:val="16"/>
              </w:rPr>
              <w:t>Indicateurs</w:t>
            </w:r>
          </w:p>
        </w:tc>
        <w:tc>
          <w:tcPr>
            <w:tcW w:w="567" w:type="dxa"/>
            <w:gridSpan w:val="3"/>
            <w:tcBorders>
              <w:top w:val="single" w:sz="4" w:space="0" w:color="auto"/>
              <w:bottom w:val="single" w:sz="4" w:space="0" w:color="auto"/>
              <w:right w:val="single" w:sz="24" w:space="0" w:color="FFFFFF" w:themeColor="background1"/>
            </w:tcBorders>
            <w:shd w:val="clear" w:color="auto" w:fill="auto"/>
            <w:vAlign w:val="bottom"/>
            <w:hideMark/>
          </w:tcPr>
          <w:p w:rsidR="004A5FC0" w:rsidRPr="00821D2B" w:rsidRDefault="004A5FC0" w:rsidP="00821D2B">
            <w:pPr>
              <w:suppressAutoHyphens w:val="0"/>
              <w:kinsoku/>
              <w:overflowPunct/>
              <w:autoSpaceDE/>
              <w:autoSpaceDN/>
              <w:adjustRightInd/>
              <w:snapToGrid/>
              <w:spacing w:before="80" w:after="80" w:line="200" w:lineRule="exact"/>
              <w:jc w:val="center"/>
              <w:rPr>
                <w:rFonts w:eastAsia="Times New Roman"/>
                <w:i/>
                <w:sz w:val="16"/>
                <w:szCs w:val="16"/>
              </w:rPr>
            </w:pPr>
            <w:r w:rsidRPr="00821D2B">
              <w:rPr>
                <w:rFonts w:eastAsia="Times New Roman"/>
                <w:i/>
                <w:sz w:val="16"/>
                <w:szCs w:val="16"/>
              </w:rPr>
              <w:t>2011</w:t>
            </w:r>
          </w:p>
        </w:tc>
        <w:tc>
          <w:tcPr>
            <w:tcW w:w="567" w:type="dxa"/>
            <w:gridSpan w:val="3"/>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hideMark/>
          </w:tcPr>
          <w:p w:rsidR="004A5FC0" w:rsidRPr="00821D2B" w:rsidRDefault="004A5FC0" w:rsidP="00821D2B">
            <w:pPr>
              <w:suppressAutoHyphens w:val="0"/>
              <w:kinsoku/>
              <w:overflowPunct/>
              <w:autoSpaceDE/>
              <w:autoSpaceDN/>
              <w:adjustRightInd/>
              <w:snapToGrid/>
              <w:spacing w:before="80" w:after="80" w:line="200" w:lineRule="exact"/>
              <w:jc w:val="center"/>
              <w:rPr>
                <w:rFonts w:eastAsia="Times New Roman"/>
                <w:i/>
                <w:sz w:val="16"/>
                <w:szCs w:val="16"/>
              </w:rPr>
            </w:pPr>
            <w:r w:rsidRPr="00821D2B">
              <w:rPr>
                <w:rFonts w:eastAsia="Times New Roman"/>
                <w:i/>
                <w:sz w:val="16"/>
                <w:szCs w:val="16"/>
              </w:rPr>
              <w:t>2012</w:t>
            </w:r>
          </w:p>
        </w:tc>
        <w:tc>
          <w:tcPr>
            <w:tcW w:w="567" w:type="dxa"/>
            <w:gridSpan w:val="3"/>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hideMark/>
          </w:tcPr>
          <w:p w:rsidR="004A5FC0" w:rsidRPr="00821D2B" w:rsidRDefault="004A5FC0" w:rsidP="00821D2B">
            <w:pPr>
              <w:suppressAutoHyphens w:val="0"/>
              <w:kinsoku/>
              <w:overflowPunct/>
              <w:autoSpaceDE/>
              <w:autoSpaceDN/>
              <w:adjustRightInd/>
              <w:snapToGrid/>
              <w:spacing w:before="80" w:after="80" w:line="200" w:lineRule="exact"/>
              <w:jc w:val="center"/>
              <w:rPr>
                <w:rFonts w:eastAsia="Times New Roman"/>
                <w:i/>
                <w:sz w:val="16"/>
                <w:szCs w:val="16"/>
              </w:rPr>
            </w:pPr>
            <w:r w:rsidRPr="00821D2B">
              <w:rPr>
                <w:rFonts w:eastAsia="Times New Roman"/>
                <w:i/>
                <w:sz w:val="16"/>
                <w:szCs w:val="16"/>
              </w:rPr>
              <w:t>2013</w:t>
            </w:r>
          </w:p>
        </w:tc>
        <w:tc>
          <w:tcPr>
            <w:tcW w:w="567" w:type="dxa"/>
            <w:gridSpan w:val="3"/>
            <w:tcBorders>
              <w:top w:val="single" w:sz="4" w:space="0" w:color="auto"/>
              <w:left w:val="single" w:sz="24" w:space="0" w:color="FFFFFF" w:themeColor="background1"/>
              <w:bottom w:val="single" w:sz="4" w:space="0" w:color="auto"/>
            </w:tcBorders>
            <w:shd w:val="clear" w:color="auto" w:fill="auto"/>
            <w:noWrap/>
            <w:vAlign w:val="bottom"/>
            <w:hideMark/>
          </w:tcPr>
          <w:p w:rsidR="004A5FC0" w:rsidRPr="00821D2B" w:rsidRDefault="004A5FC0" w:rsidP="00821D2B">
            <w:pPr>
              <w:suppressAutoHyphens w:val="0"/>
              <w:kinsoku/>
              <w:overflowPunct/>
              <w:autoSpaceDE/>
              <w:autoSpaceDN/>
              <w:adjustRightInd/>
              <w:snapToGrid/>
              <w:spacing w:before="80" w:after="80" w:line="200" w:lineRule="exact"/>
              <w:jc w:val="center"/>
              <w:rPr>
                <w:rFonts w:eastAsia="Times New Roman"/>
                <w:i/>
                <w:sz w:val="16"/>
                <w:szCs w:val="16"/>
              </w:rPr>
            </w:pPr>
            <w:r w:rsidRPr="00821D2B">
              <w:rPr>
                <w:rFonts w:eastAsia="Times New Roman"/>
                <w:i/>
                <w:sz w:val="16"/>
                <w:szCs w:val="16"/>
              </w:rPr>
              <w:t>2014</w:t>
            </w:r>
          </w:p>
        </w:tc>
      </w:tr>
      <w:tr w:rsidR="004A5FC0" w:rsidRPr="004A5FC0" w:rsidTr="00821D2B">
        <w:tc>
          <w:tcPr>
            <w:tcW w:w="1701" w:type="dxa"/>
            <w:vMerge/>
            <w:tcBorders>
              <w:bottom w:val="single" w:sz="12" w:space="0" w:color="auto"/>
            </w:tcBorders>
            <w:shd w:val="clear" w:color="auto" w:fill="auto"/>
            <w:noWrap/>
            <w:hideMark/>
          </w:tcPr>
          <w:p w:rsidR="004A5FC0" w:rsidRPr="00821D2B" w:rsidRDefault="004A5FC0" w:rsidP="00821D2B">
            <w:pPr>
              <w:suppressAutoHyphens w:val="0"/>
              <w:kinsoku/>
              <w:overflowPunct/>
              <w:autoSpaceDE/>
              <w:autoSpaceDN/>
              <w:adjustRightInd/>
              <w:snapToGrid/>
              <w:spacing w:before="80" w:after="80" w:line="200" w:lineRule="exact"/>
              <w:rPr>
                <w:rFonts w:eastAsia="Times New Roman"/>
                <w:i/>
                <w:sz w:val="16"/>
                <w:szCs w:val="16"/>
              </w:rPr>
            </w:pPr>
          </w:p>
        </w:tc>
        <w:tc>
          <w:tcPr>
            <w:tcW w:w="567" w:type="dxa"/>
            <w:tcBorders>
              <w:top w:val="single" w:sz="4" w:space="0" w:color="auto"/>
              <w:bottom w:val="single" w:sz="12" w:space="0" w:color="auto"/>
            </w:tcBorders>
            <w:shd w:val="clear" w:color="auto" w:fill="auto"/>
            <w:noWrap/>
            <w:vAlign w:val="bottom"/>
            <w:hideMark/>
          </w:tcPr>
          <w:p w:rsidR="004A5FC0" w:rsidRPr="00821D2B" w:rsidRDefault="004A5FC0" w:rsidP="00821D2B">
            <w:pPr>
              <w:suppressAutoHyphens w:val="0"/>
              <w:kinsoku/>
              <w:overflowPunct/>
              <w:autoSpaceDE/>
              <w:autoSpaceDN/>
              <w:adjustRightInd/>
              <w:snapToGrid/>
              <w:spacing w:before="80" w:after="80" w:line="200" w:lineRule="exact"/>
              <w:jc w:val="right"/>
              <w:rPr>
                <w:rFonts w:eastAsia="Times New Roman"/>
                <w:i/>
                <w:sz w:val="16"/>
                <w:szCs w:val="16"/>
              </w:rPr>
            </w:pPr>
            <w:r w:rsidRPr="00821D2B">
              <w:rPr>
                <w:rFonts w:eastAsia="Times New Roman"/>
                <w:i/>
                <w:sz w:val="16"/>
                <w:szCs w:val="16"/>
              </w:rPr>
              <w:t>T</w:t>
            </w:r>
          </w:p>
        </w:tc>
        <w:tc>
          <w:tcPr>
            <w:tcW w:w="567" w:type="dxa"/>
            <w:tcBorders>
              <w:top w:val="single" w:sz="4" w:space="0" w:color="auto"/>
              <w:bottom w:val="single" w:sz="12" w:space="0" w:color="auto"/>
            </w:tcBorders>
            <w:shd w:val="clear" w:color="auto" w:fill="auto"/>
            <w:noWrap/>
            <w:vAlign w:val="bottom"/>
            <w:hideMark/>
          </w:tcPr>
          <w:p w:rsidR="004A5FC0" w:rsidRPr="00821D2B" w:rsidRDefault="004A5FC0" w:rsidP="00821D2B">
            <w:pPr>
              <w:suppressAutoHyphens w:val="0"/>
              <w:kinsoku/>
              <w:overflowPunct/>
              <w:autoSpaceDE/>
              <w:autoSpaceDN/>
              <w:adjustRightInd/>
              <w:snapToGrid/>
              <w:spacing w:before="80" w:after="80" w:line="200" w:lineRule="exact"/>
              <w:jc w:val="right"/>
              <w:rPr>
                <w:rFonts w:eastAsia="Times New Roman"/>
                <w:i/>
                <w:sz w:val="16"/>
                <w:szCs w:val="16"/>
              </w:rPr>
            </w:pPr>
            <w:r w:rsidRPr="00821D2B">
              <w:rPr>
                <w:rFonts w:eastAsia="Times New Roman"/>
                <w:i/>
                <w:sz w:val="16"/>
                <w:szCs w:val="16"/>
              </w:rPr>
              <w:t>G</w:t>
            </w:r>
          </w:p>
        </w:tc>
        <w:tc>
          <w:tcPr>
            <w:tcW w:w="567" w:type="dxa"/>
            <w:tcBorders>
              <w:top w:val="single" w:sz="4" w:space="0" w:color="auto"/>
              <w:bottom w:val="single" w:sz="12" w:space="0" w:color="auto"/>
              <w:right w:val="single" w:sz="24" w:space="0" w:color="FFFFFF" w:themeColor="background1"/>
            </w:tcBorders>
            <w:shd w:val="clear" w:color="auto" w:fill="auto"/>
            <w:noWrap/>
            <w:vAlign w:val="bottom"/>
            <w:hideMark/>
          </w:tcPr>
          <w:p w:rsidR="004A5FC0" w:rsidRPr="00821D2B" w:rsidRDefault="004A5FC0" w:rsidP="00821D2B">
            <w:pPr>
              <w:suppressAutoHyphens w:val="0"/>
              <w:kinsoku/>
              <w:overflowPunct/>
              <w:autoSpaceDE/>
              <w:autoSpaceDN/>
              <w:adjustRightInd/>
              <w:snapToGrid/>
              <w:spacing w:before="80" w:after="80" w:line="200" w:lineRule="exact"/>
              <w:jc w:val="right"/>
              <w:rPr>
                <w:rFonts w:eastAsia="Times New Roman"/>
                <w:i/>
                <w:sz w:val="16"/>
                <w:szCs w:val="16"/>
              </w:rPr>
            </w:pPr>
            <w:r w:rsidRPr="00821D2B">
              <w:rPr>
                <w:rFonts w:eastAsia="Times New Roman"/>
                <w:i/>
                <w:sz w:val="16"/>
                <w:szCs w:val="16"/>
              </w:rPr>
              <w:t>F</w:t>
            </w:r>
          </w:p>
        </w:tc>
        <w:tc>
          <w:tcPr>
            <w:tcW w:w="567" w:type="dxa"/>
            <w:tcBorders>
              <w:top w:val="single" w:sz="4" w:space="0" w:color="auto"/>
              <w:left w:val="single" w:sz="24" w:space="0" w:color="FFFFFF" w:themeColor="background1"/>
              <w:bottom w:val="single" w:sz="12" w:space="0" w:color="auto"/>
            </w:tcBorders>
            <w:shd w:val="clear" w:color="auto" w:fill="auto"/>
            <w:noWrap/>
            <w:vAlign w:val="bottom"/>
            <w:hideMark/>
          </w:tcPr>
          <w:p w:rsidR="004A5FC0" w:rsidRPr="00821D2B" w:rsidRDefault="004A5FC0" w:rsidP="00821D2B">
            <w:pPr>
              <w:suppressAutoHyphens w:val="0"/>
              <w:kinsoku/>
              <w:overflowPunct/>
              <w:autoSpaceDE/>
              <w:autoSpaceDN/>
              <w:adjustRightInd/>
              <w:snapToGrid/>
              <w:spacing w:before="80" w:after="80" w:line="200" w:lineRule="exact"/>
              <w:jc w:val="right"/>
              <w:rPr>
                <w:rFonts w:eastAsia="Times New Roman"/>
                <w:i/>
                <w:sz w:val="16"/>
                <w:szCs w:val="16"/>
              </w:rPr>
            </w:pPr>
            <w:r w:rsidRPr="00821D2B">
              <w:rPr>
                <w:rFonts w:eastAsia="Times New Roman"/>
                <w:i/>
                <w:sz w:val="16"/>
                <w:szCs w:val="16"/>
              </w:rPr>
              <w:t>T</w:t>
            </w:r>
          </w:p>
        </w:tc>
        <w:tc>
          <w:tcPr>
            <w:tcW w:w="567" w:type="dxa"/>
            <w:tcBorders>
              <w:top w:val="single" w:sz="4" w:space="0" w:color="auto"/>
              <w:bottom w:val="single" w:sz="12" w:space="0" w:color="auto"/>
            </w:tcBorders>
            <w:shd w:val="clear" w:color="auto" w:fill="auto"/>
            <w:noWrap/>
            <w:vAlign w:val="bottom"/>
            <w:hideMark/>
          </w:tcPr>
          <w:p w:rsidR="004A5FC0" w:rsidRPr="00821D2B" w:rsidRDefault="004A5FC0" w:rsidP="00821D2B">
            <w:pPr>
              <w:suppressAutoHyphens w:val="0"/>
              <w:kinsoku/>
              <w:overflowPunct/>
              <w:autoSpaceDE/>
              <w:autoSpaceDN/>
              <w:adjustRightInd/>
              <w:snapToGrid/>
              <w:spacing w:before="80" w:after="80" w:line="200" w:lineRule="exact"/>
              <w:jc w:val="right"/>
              <w:rPr>
                <w:rFonts w:eastAsia="Times New Roman"/>
                <w:i/>
                <w:sz w:val="16"/>
                <w:szCs w:val="16"/>
              </w:rPr>
            </w:pPr>
            <w:r w:rsidRPr="00821D2B">
              <w:rPr>
                <w:rFonts w:eastAsia="Times New Roman"/>
                <w:i/>
                <w:sz w:val="16"/>
                <w:szCs w:val="16"/>
              </w:rPr>
              <w:t>G</w:t>
            </w:r>
          </w:p>
        </w:tc>
        <w:tc>
          <w:tcPr>
            <w:tcW w:w="567" w:type="dxa"/>
            <w:tcBorders>
              <w:top w:val="single" w:sz="4" w:space="0" w:color="auto"/>
              <w:bottom w:val="single" w:sz="12" w:space="0" w:color="auto"/>
              <w:right w:val="single" w:sz="24" w:space="0" w:color="FFFFFF" w:themeColor="background1"/>
            </w:tcBorders>
            <w:shd w:val="clear" w:color="auto" w:fill="auto"/>
            <w:noWrap/>
            <w:vAlign w:val="bottom"/>
            <w:hideMark/>
          </w:tcPr>
          <w:p w:rsidR="004A5FC0" w:rsidRPr="00821D2B" w:rsidRDefault="004A5FC0" w:rsidP="00821D2B">
            <w:pPr>
              <w:suppressAutoHyphens w:val="0"/>
              <w:kinsoku/>
              <w:overflowPunct/>
              <w:autoSpaceDE/>
              <w:autoSpaceDN/>
              <w:adjustRightInd/>
              <w:snapToGrid/>
              <w:spacing w:before="80" w:after="80" w:line="200" w:lineRule="exact"/>
              <w:jc w:val="right"/>
              <w:rPr>
                <w:rFonts w:eastAsia="Times New Roman"/>
                <w:i/>
                <w:sz w:val="16"/>
                <w:szCs w:val="16"/>
              </w:rPr>
            </w:pPr>
            <w:r w:rsidRPr="00821D2B">
              <w:rPr>
                <w:rFonts w:eastAsia="Times New Roman"/>
                <w:i/>
                <w:sz w:val="16"/>
                <w:szCs w:val="16"/>
              </w:rPr>
              <w:t>F</w:t>
            </w:r>
          </w:p>
        </w:tc>
        <w:tc>
          <w:tcPr>
            <w:tcW w:w="567" w:type="dxa"/>
            <w:tcBorders>
              <w:top w:val="single" w:sz="4" w:space="0" w:color="auto"/>
              <w:left w:val="single" w:sz="24" w:space="0" w:color="FFFFFF" w:themeColor="background1"/>
              <w:bottom w:val="single" w:sz="12" w:space="0" w:color="auto"/>
            </w:tcBorders>
            <w:shd w:val="clear" w:color="auto" w:fill="auto"/>
            <w:noWrap/>
            <w:vAlign w:val="bottom"/>
            <w:hideMark/>
          </w:tcPr>
          <w:p w:rsidR="004A5FC0" w:rsidRPr="00821D2B" w:rsidRDefault="004A5FC0" w:rsidP="00821D2B">
            <w:pPr>
              <w:suppressAutoHyphens w:val="0"/>
              <w:kinsoku/>
              <w:overflowPunct/>
              <w:autoSpaceDE/>
              <w:autoSpaceDN/>
              <w:adjustRightInd/>
              <w:snapToGrid/>
              <w:spacing w:before="80" w:after="80" w:line="200" w:lineRule="exact"/>
              <w:jc w:val="right"/>
              <w:rPr>
                <w:rFonts w:eastAsia="Times New Roman"/>
                <w:i/>
                <w:sz w:val="16"/>
                <w:szCs w:val="16"/>
              </w:rPr>
            </w:pPr>
            <w:r w:rsidRPr="00821D2B">
              <w:rPr>
                <w:rFonts w:eastAsia="Times New Roman"/>
                <w:i/>
                <w:sz w:val="16"/>
                <w:szCs w:val="16"/>
              </w:rPr>
              <w:t>T</w:t>
            </w:r>
          </w:p>
        </w:tc>
        <w:tc>
          <w:tcPr>
            <w:tcW w:w="567" w:type="dxa"/>
            <w:tcBorders>
              <w:top w:val="single" w:sz="4" w:space="0" w:color="auto"/>
              <w:bottom w:val="single" w:sz="12" w:space="0" w:color="auto"/>
            </w:tcBorders>
            <w:shd w:val="clear" w:color="auto" w:fill="auto"/>
            <w:noWrap/>
            <w:vAlign w:val="bottom"/>
            <w:hideMark/>
          </w:tcPr>
          <w:p w:rsidR="004A5FC0" w:rsidRPr="00821D2B" w:rsidRDefault="004A5FC0" w:rsidP="00821D2B">
            <w:pPr>
              <w:suppressAutoHyphens w:val="0"/>
              <w:kinsoku/>
              <w:overflowPunct/>
              <w:autoSpaceDE/>
              <w:autoSpaceDN/>
              <w:adjustRightInd/>
              <w:snapToGrid/>
              <w:spacing w:before="80" w:after="80" w:line="200" w:lineRule="exact"/>
              <w:jc w:val="right"/>
              <w:rPr>
                <w:rFonts w:eastAsia="Times New Roman"/>
                <w:i/>
                <w:sz w:val="16"/>
                <w:szCs w:val="16"/>
              </w:rPr>
            </w:pPr>
            <w:r w:rsidRPr="00821D2B">
              <w:rPr>
                <w:rFonts w:eastAsia="Times New Roman"/>
                <w:i/>
                <w:sz w:val="16"/>
                <w:szCs w:val="16"/>
              </w:rPr>
              <w:t>G</w:t>
            </w:r>
          </w:p>
        </w:tc>
        <w:tc>
          <w:tcPr>
            <w:tcW w:w="567" w:type="dxa"/>
            <w:tcBorders>
              <w:top w:val="single" w:sz="4" w:space="0" w:color="auto"/>
              <w:bottom w:val="single" w:sz="12" w:space="0" w:color="auto"/>
              <w:right w:val="single" w:sz="24" w:space="0" w:color="FFFFFF" w:themeColor="background1"/>
            </w:tcBorders>
            <w:shd w:val="clear" w:color="auto" w:fill="auto"/>
            <w:noWrap/>
            <w:vAlign w:val="bottom"/>
            <w:hideMark/>
          </w:tcPr>
          <w:p w:rsidR="004A5FC0" w:rsidRPr="00821D2B" w:rsidRDefault="004A5FC0" w:rsidP="00821D2B">
            <w:pPr>
              <w:suppressAutoHyphens w:val="0"/>
              <w:kinsoku/>
              <w:overflowPunct/>
              <w:autoSpaceDE/>
              <w:autoSpaceDN/>
              <w:adjustRightInd/>
              <w:snapToGrid/>
              <w:spacing w:before="80" w:after="80" w:line="200" w:lineRule="exact"/>
              <w:jc w:val="right"/>
              <w:rPr>
                <w:rFonts w:eastAsia="Times New Roman"/>
                <w:i/>
                <w:sz w:val="16"/>
                <w:szCs w:val="16"/>
              </w:rPr>
            </w:pPr>
            <w:r w:rsidRPr="00821D2B">
              <w:rPr>
                <w:rFonts w:eastAsia="Times New Roman"/>
                <w:i/>
                <w:sz w:val="16"/>
                <w:szCs w:val="16"/>
              </w:rPr>
              <w:t>F</w:t>
            </w:r>
          </w:p>
        </w:tc>
        <w:tc>
          <w:tcPr>
            <w:tcW w:w="567" w:type="dxa"/>
            <w:tcBorders>
              <w:top w:val="single" w:sz="4" w:space="0" w:color="auto"/>
              <w:left w:val="single" w:sz="24" w:space="0" w:color="FFFFFF" w:themeColor="background1"/>
              <w:bottom w:val="single" w:sz="12" w:space="0" w:color="auto"/>
            </w:tcBorders>
            <w:shd w:val="clear" w:color="auto" w:fill="auto"/>
            <w:noWrap/>
            <w:vAlign w:val="bottom"/>
            <w:hideMark/>
          </w:tcPr>
          <w:p w:rsidR="004A5FC0" w:rsidRPr="00821D2B" w:rsidRDefault="004A5FC0" w:rsidP="00821D2B">
            <w:pPr>
              <w:suppressAutoHyphens w:val="0"/>
              <w:kinsoku/>
              <w:overflowPunct/>
              <w:autoSpaceDE/>
              <w:autoSpaceDN/>
              <w:adjustRightInd/>
              <w:snapToGrid/>
              <w:spacing w:before="80" w:after="80" w:line="200" w:lineRule="exact"/>
              <w:jc w:val="right"/>
              <w:rPr>
                <w:rFonts w:eastAsia="Times New Roman"/>
                <w:i/>
                <w:sz w:val="16"/>
                <w:szCs w:val="16"/>
              </w:rPr>
            </w:pPr>
            <w:r w:rsidRPr="00821D2B">
              <w:rPr>
                <w:rFonts w:eastAsia="Times New Roman"/>
                <w:i/>
                <w:sz w:val="16"/>
                <w:szCs w:val="16"/>
              </w:rPr>
              <w:t>T</w:t>
            </w:r>
          </w:p>
        </w:tc>
        <w:tc>
          <w:tcPr>
            <w:tcW w:w="567" w:type="dxa"/>
            <w:tcBorders>
              <w:top w:val="single" w:sz="4" w:space="0" w:color="auto"/>
              <w:bottom w:val="single" w:sz="12" w:space="0" w:color="auto"/>
            </w:tcBorders>
            <w:shd w:val="clear" w:color="auto" w:fill="auto"/>
            <w:noWrap/>
            <w:vAlign w:val="bottom"/>
            <w:hideMark/>
          </w:tcPr>
          <w:p w:rsidR="004A5FC0" w:rsidRPr="00821D2B" w:rsidRDefault="004A5FC0" w:rsidP="00821D2B">
            <w:pPr>
              <w:suppressAutoHyphens w:val="0"/>
              <w:kinsoku/>
              <w:overflowPunct/>
              <w:autoSpaceDE/>
              <w:autoSpaceDN/>
              <w:adjustRightInd/>
              <w:snapToGrid/>
              <w:spacing w:before="80" w:after="80" w:line="200" w:lineRule="exact"/>
              <w:jc w:val="right"/>
              <w:rPr>
                <w:rFonts w:eastAsia="Times New Roman"/>
                <w:i/>
                <w:sz w:val="16"/>
                <w:szCs w:val="16"/>
              </w:rPr>
            </w:pPr>
            <w:r w:rsidRPr="00821D2B">
              <w:rPr>
                <w:rFonts w:eastAsia="Times New Roman"/>
                <w:i/>
                <w:sz w:val="16"/>
                <w:szCs w:val="16"/>
              </w:rPr>
              <w:t>G</w:t>
            </w:r>
          </w:p>
        </w:tc>
        <w:tc>
          <w:tcPr>
            <w:tcW w:w="567" w:type="dxa"/>
            <w:tcBorders>
              <w:top w:val="single" w:sz="4" w:space="0" w:color="auto"/>
              <w:bottom w:val="single" w:sz="12" w:space="0" w:color="auto"/>
            </w:tcBorders>
            <w:shd w:val="clear" w:color="auto" w:fill="auto"/>
            <w:noWrap/>
            <w:vAlign w:val="bottom"/>
            <w:hideMark/>
          </w:tcPr>
          <w:p w:rsidR="004A5FC0" w:rsidRPr="00821D2B" w:rsidRDefault="004A5FC0" w:rsidP="00821D2B">
            <w:pPr>
              <w:suppressAutoHyphens w:val="0"/>
              <w:kinsoku/>
              <w:overflowPunct/>
              <w:autoSpaceDE/>
              <w:autoSpaceDN/>
              <w:adjustRightInd/>
              <w:snapToGrid/>
              <w:spacing w:before="80" w:after="80" w:line="200" w:lineRule="exact"/>
              <w:jc w:val="right"/>
              <w:rPr>
                <w:rFonts w:eastAsia="Times New Roman"/>
                <w:i/>
                <w:sz w:val="16"/>
                <w:szCs w:val="16"/>
              </w:rPr>
            </w:pPr>
            <w:r w:rsidRPr="00821D2B">
              <w:rPr>
                <w:rFonts w:eastAsia="Times New Roman"/>
                <w:i/>
                <w:sz w:val="16"/>
                <w:szCs w:val="16"/>
              </w:rPr>
              <w:t>F</w:t>
            </w:r>
          </w:p>
        </w:tc>
      </w:tr>
      <w:tr w:rsidR="008D6145" w:rsidRPr="008D6145" w:rsidTr="00821D2B">
        <w:tc>
          <w:tcPr>
            <w:tcW w:w="1701" w:type="dxa"/>
            <w:tcBorders>
              <w:top w:val="single" w:sz="12" w:space="0" w:color="auto"/>
            </w:tcBorders>
            <w:shd w:val="clear" w:color="auto" w:fill="auto"/>
            <w:noWrap/>
            <w:hideMark/>
          </w:tcPr>
          <w:p w:rsidR="008D6145" w:rsidRPr="008D6145" w:rsidRDefault="008D6145" w:rsidP="008D6145">
            <w:pPr>
              <w:suppressAutoHyphens w:val="0"/>
              <w:kinsoku/>
              <w:overflowPunct/>
              <w:autoSpaceDE/>
              <w:autoSpaceDN/>
              <w:adjustRightInd/>
              <w:snapToGrid/>
              <w:spacing w:before="40" w:after="40" w:line="220" w:lineRule="exact"/>
              <w:rPr>
                <w:rFonts w:eastAsia="Times New Roman"/>
                <w:sz w:val="18"/>
              </w:rPr>
            </w:pPr>
            <w:r w:rsidRPr="008D6145">
              <w:rPr>
                <w:rFonts w:eastAsia="Times New Roman"/>
                <w:sz w:val="18"/>
                <w:szCs w:val="22"/>
              </w:rPr>
              <w:t>Taux d</w:t>
            </w:r>
            <w:r w:rsidR="00A033A7">
              <w:rPr>
                <w:rFonts w:eastAsia="Times New Roman"/>
                <w:sz w:val="18"/>
                <w:szCs w:val="22"/>
              </w:rPr>
              <w:t>’</w:t>
            </w:r>
            <w:r w:rsidRPr="008D6145">
              <w:rPr>
                <w:rFonts w:eastAsia="Times New Roman"/>
                <w:sz w:val="18"/>
                <w:szCs w:val="22"/>
              </w:rPr>
              <w:t>admission</w:t>
            </w:r>
          </w:p>
        </w:tc>
        <w:tc>
          <w:tcPr>
            <w:tcW w:w="567" w:type="dxa"/>
            <w:tcBorders>
              <w:top w:val="single" w:sz="12" w:space="0" w:color="auto"/>
            </w:tcBorders>
            <w:shd w:val="clear" w:color="auto" w:fill="auto"/>
            <w:noWrap/>
            <w:vAlign w:val="bottom"/>
            <w:hideMark/>
          </w:tcPr>
          <w:p w:rsidR="008D6145" w:rsidRPr="008D6145" w:rsidRDefault="008D6145" w:rsidP="008D6145">
            <w:pPr>
              <w:suppressAutoHyphens w:val="0"/>
              <w:kinsoku/>
              <w:overflowPunct/>
              <w:autoSpaceDE/>
              <w:autoSpaceDN/>
              <w:adjustRightInd/>
              <w:snapToGrid/>
              <w:spacing w:before="40" w:after="40" w:line="220" w:lineRule="exact"/>
              <w:jc w:val="right"/>
              <w:rPr>
                <w:rFonts w:eastAsia="Times New Roman"/>
                <w:sz w:val="18"/>
              </w:rPr>
            </w:pPr>
            <w:r w:rsidRPr="008D6145">
              <w:rPr>
                <w:rFonts w:eastAsia="Times New Roman"/>
                <w:sz w:val="18"/>
                <w:szCs w:val="22"/>
              </w:rPr>
              <w:t>130,7</w:t>
            </w:r>
          </w:p>
        </w:tc>
        <w:tc>
          <w:tcPr>
            <w:tcW w:w="567" w:type="dxa"/>
            <w:tcBorders>
              <w:top w:val="single" w:sz="12" w:space="0" w:color="auto"/>
            </w:tcBorders>
            <w:shd w:val="clear" w:color="auto" w:fill="auto"/>
            <w:noWrap/>
            <w:vAlign w:val="bottom"/>
            <w:hideMark/>
          </w:tcPr>
          <w:p w:rsidR="008D6145" w:rsidRPr="008D6145" w:rsidRDefault="008D6145" w:rsidP="008D6145">
            <w:pPr>
              <w:suppressAutoHyphens w:val="0"/>
              <w:kinsoku/>
              <w:overflowPunct/>
              <w:autoSpaceDE/>
              <w:autoSpaceDN/>
              <w:adjustRightInd/>
              <w:snapToGrid/>
              <w:spacing w:before="40" w:after="40" w:line="220" w:lineRule="exact"/>
              <w:jc w:val="right"/>
              <w:rPr>
                <w:rFonts w:eastAsia="Times New Roman"/>
                <w:sz w:val="18"/>
              </w:rPr>
            </w:pPr>
            <w:r w:rsidRPr="008D6145">
              <w:rPr>
                <w:rFonts w:eastAsia="Times New Roman"/>
                <w:sz w:val="18"/>
                <w:szCs w:val="22"/>
              </w:rPr>
              <w:t>133,7</w:t>
            </w:r>
          </w:p>
        </w:tc>
        <w:tc>
          <w:tcPr>
            <w:tcW w:w="567" w:type="dxa"/>
            <w:tcBorders>
              <w:top w:val="single" w:sz="12" w:space="0" w:color="auto"/>
            </w:tcBorders>
            <w:shd w:val="clear" w:color="auto" w:fill="auto"/>
            <w:noWrap/>
            <w:vAlign w:val="bottom"/>
            <w:hideMark/>
          </w:tcPr>
          <w:p w:rsidR="008D6145" w:rsidRPr="008D6145" w:rsidRDefault="008D6145" w:rsidP="008D6145">
            <w:pPr>
              <w:suppressAutoHyphens w:val="0"/>
              <w:kinsoku/>
              <w:overflowPunct/>
              <w:autoSpaceDE/>
              <w:autoSpaceDN/>
              <w:adjustRightInd/>
              <w:snapToGrid/>
              <w:spacing w:before="40" w:after="40" w:line="220" w:lineRule="exact"/>
              <w:jc w:val="right"/>
              <w:rPr>
                <w:rFonts w:eastAsia="Times New Roman"/>
                <w:sz w:val="18"/>
              </w:rPr>
            </w:pPr>
            <w:r w:rsidRPr="008D6145">
              <w:rPr>
                <w:rFonts w:eastAsia="Times New Roman"/>
                <w:sz w:val="18"/>
                <w:szCs w:val="22"/>
              </w:rPr>
              <w:t>127,5</w:t>
            </w:r>
          </w:p>
        </w:tc>
        <w:tc>
          <w:tcPr>
            <w:tcW w:w="567" w:type="dxa"/>
            <w:tcBorders>
              <w:top w:val="single" w:sz="12" w:space="0" w:color="auto"/>
            </w:tcBorders>
            <w:shd w:val="clear" w:color="auto" w:fill="auto"/>
            <w:noWrap/>
            <w:vAlign w:val="bottom"/>
            <w:hideMark/>
          </w:tcPr>
          <w:p w:rsidR="008D6145" w:rsidRPr="008D6145" w:rsidRDefault="008D6145" w:rsidP="008D6145">
            <w:pPr>
              <w:suppressAutoHyphens w:val="0"/>
              <w:kinsoku/>
              <w:overflowPunct/>
              <w:autoSpaceDE/>
              <w:autoSpaceDN/>
              <w:adjustRightInd/>
              <w:snapToGrid/>
              <w:spacing w:before="40" w:after="40" w:line="220" w:lineRule="exact"/>
              <w:jc w:val="right"/>
              <w:rPr>
                <w:rFonts w:eastAsia="Times New Roman"/>
                <w:sz w:val="18"/>
              </w:rPr>
            </w:pPr>
            <w:r w:rsidRPr="008D6145">
              <w:rPr>
                <w:rFonts w:eastAsia="Times New Roman"/>
                <w:sz w:val="18"/>
                <w:szCs w:val="22"/>
              </w:rPr>
              <w:t>143,6</w:t>
            </w:r>
          </w:p>
        </w:tc>
        <w:tc>
          <w:tcPr>
            <w:tcW w:w="567" w:type="dxa"/>
            <w:tcBorders>
              <w:top w:val="single" w:sz="12" w:space="0" w:color="auto"/>
            </w:tcBorders>
            <w:shd w:val="clear" w:color="auto" w:fill="auto"/>
            <w:noWrap/>
            <w:vAlign w:val="bottom"/>
            <w:hideMark/>
          </w:tcPr>
          <w:p w:rsidR="008D6145" w:rsidRPr="008D6145" w:rsidRDefault="008D6145" w:rsidP="008D6145">
            <w:pPr>
              <w:suppressAutoHyphens w:val="0"/>
              <w:kinsoku/>
              <w:overflowPunct/>
              <w:autoSpaceDE/>
              <w:autoSpaceDN/>
              <w:adjustRightInd/>
              <w:snapToGrid/>
              <w:spacing w:before="40" w:after="40" w:line="220" w:lineRule="exact"/>
              <w:jc w:val="right"/>
              <w:rPr>
                <w:rFonts w:eastAsia="Times New Roman"/>
                <w:sz w:val="18"/>
              </w:rPr>
            </w:pPr>
            <w:r w:rsidRPr="008D6145">
              <w:rPr>
                <w:rFonts w:eastAsia="Times New Roman"/>
                <w:sz w:val="18"/>
                <w:szCs w:val="22"/>
              </w:rPr>
              <w:t>145,9</w:t>
            </w:r>
          </w:p>
        </w:tc>
        <w:tc>
          <w:tcPr>
            <w:tcW w:w="567" w:type="dxa"/>
            <w:tcBorders>
              <w:top w:val="single" w:sz="12" w:space="0" w:color="auto"/>
            </w:tcBorders>
            <w:shd w:val="clear" w:color="auto" w:fill="auto"/>
            <w:noWrap/>
            <w:vAlign w:val="bottom"/>
            <w:hideMark/>
          </w:tcPr>
          <w:p w:rsidR="008D6145" w:rsidRPr="008D6145" w:rsidRDefault="008D6145" w:rsidP="008D6145">
            <w:pPr>
              <w:suppressAutoHyphens w:val="0"/>
              <w:kinsoku/>
              <w:overflowPunct/>
              <w:autoSpaceDE/>
              <w:autoSpaceDN/>
              <w:adjustRightInd/>
              <w:snapToGrid/>
              <w:spacing w:before="40" w:after="40" w:line="220" w:lineRule="exact"/>
              <w:jc w:val="right"/>
              <w:rPr>
                <w:rFonts w:eastAsia="Times New Roman"/>
                <w:sz w:val="18"/>
              </w:rPr>
            </w:pPr>
            <w:r w:rsidRPr="008D6145">
              <w:rPr>
                <w:rFonts w:eastAsia="Times New Roman"/>
                <w:sz w:val="18"/>
                <w:szCs w:val="22"/>
              </w:rPr>
              <w:t>141,2</w:t>
            </w:r>
          </w:p>
        </w:tc>
        <w:tc>
          <w:tcPr>
            <w:tcW w:w="567" w:type="dxa"/>
            <w:tcBorders>
              <w:top w:val="single" w:sz="12" w:space="0" w:color="auto"/>
            </w:tcBorders>
            <w:shd w:val="clear" w:color="auto" w:fill="auto"/>
            <w:noWrap/>
            <w:vAlign w:val="bottom"/>
            <w:hideMark/>
          </w:tcPr>
          <w:p w:rsidR="008D6145" w:rsidRPr="008D6145" w:rsidRDefault="008D6145" w:rsidP="008D6145">
            <w:pPr>
              <w:suppressAutoHyphens w:val="0"/>
              <w:kinsoku/>
              <w:overflowPunct/>
              <w:autoSpaceDE/>
              <w:autoSpaceDN/>
              <w:adjustRightInd/>
              <w:snapToGrid/>
              <w:spacing w:before="40" w:after="40" w:line="220" w:lineRule="exact"/>
              <w:jc w:val="right"/>
              <w:rPr>
                <w:rFonts w:eastAsia="Times New Roman"/>
                <w:sz w:val="18"/>
              </w:rPr>
            </w:pPr>
            <w:r w:rsidRPr="008D6145">
              <w:rPr>
                <w:rFonts w:eastAsia="Times New Roman"/>
                <w:sz w:val="18"/>
                <w:szCs w:val="22"/>
              </w:rPr>
              <w:t>142,7</w:t>
            </w:r>
          </w:p>
        </w:tc>
        <w:tc>
          <w:tcPr>
            <w:tcW w:w="567" w:type="dxa"/>
            <w:tcBorders>
              <w:top w:val="single" w:sz="12" w:space="0" w:color="auto"/>
            </w:tcBorders>
            <w:shd w:val="clear" w:color="auto" w:fill="auto"/>
            <w:noWrap/>
            <w:vAlign w:val="bottom"/>
            <w:hideMark/>
          </w:tcPr>
          <w:p w:rsidR="008D6145" w:rsidRPr="008D6145" w:rsidRDefault="008D6145" w:rsidP="008D6145">
            <w:pPr>
              <w:suppressAutoHyphens w:val="0"/>
              <w:kinsoku/>
              <w:overflowPunct/>
              <w:autoSpaceDE/>
              <w:autoSpaceDN/>
              <w:adjustRightInd/>
              <w:snapToGrid/>
              <w:spacing w:before="40" w:after="40" w:line="220" w:lineRule="exact"/>
              <w:jc w:val="right"/>
              <w:rPr>
                <w:rFonts w:eastAsia="Times New Roman"/>
                <w:sz w:val="18"/>
              </w:rPr>
            </w:pPr>
            <w:r w:rsidRPr="008D6145">
              <w:rPr>
                <w:rFonts w:eastAsia="Times New Roman"/>
                <w:sz w:val="18"/>
                <w:szCs w:val="22"/>
              </w:rPr>
              <w:t>144,7</w:t>
            </w:r>
          </w:p>
        </w:tc>
        <w:tc>
          <w:tcPr>
            <w:tcW w:w="567" w:type="dxa"/>
            <w:tcBorders>
              <w:top w:val="single" w:sz="12" w:space="0" w:color="auto"/>
            </w:tcBorders>
            <w:shd w:val="clear" w:color="auto" w:fill="auto"/>
            <w:noWrap/>
            <w:vAlign w:val="bottom"/>
            <w:hideMark/>
          </w:tcPr>
          <w:p w:rsidR="008D6145" w:rsidRPr="008D6145" w:rsidRDefault="008D6145" w:rsidP="008D6145">
            <w:pPr>
              <w:suppressAutoHyphens w:val="0"/>
              <w:kinsoku/>
              <w:overflowPunct/>
              <w:autoSpaceDE/>
              <w:autoSpaceDN/>
              <w:adjustRightInd/>
              <w:snapToGrid/>
              <w:spacing w:before="40" w:after="40" w:line="220" w:lineRule="exact"/>
              <w:jc w:val="right"/>
              <w:rPr>
                <w:rFonts w:eastAsia="Times New Roman"/>
                <w:sz w:val="18"/>
              </w:rPr>
            </w:pPr>
            <w:r w:rsidRPr="008D6145">
              <w:rPr>
                <w:rFonts w:eastAsia="Times New Roman"/>
                <w:sz w:val="18"/>
                <w:szCs w:val="22"/>
              </w:rPr>
              <w:t>140,7</w:t>
            </w:r>
          </w:p>
        </w:tc>
        <w:tc>
          <w:tcPr>
            <w:tcW w:w="567" w:type="dxa"/>
            <w:tcBorders>
              <w:top w:val="single" w:sz="12" w:space="0" w:color="auto"/>
            </w:tcBorders>
            <w:shd w:val="clear" w:color="auto" w:fill="auto"/>
            <w:noWrap/>
            <w:vAlign w:val="bottom"/>
            <w:hideMark/>
          </w:tcPr>
          <w:p w:rsidR="008D6145" w:rsidRPr="008D6145" w:rsidRDefault="008D6145" w:rsidP="008D6145">
            <w:pPr>
              <w:suppressAutoHyphens w:val="0"/>
              <w:kinsoku/>
              <w:overflowPunct/>
              <w:autoSpaceDE/>
              <w:autoSpaceDN/>
              <w:adjustRightInd/>
              <w:snapToGrid/>
              <w:spacing w:before="40" w:after="40" w:line="220" w:lineRule="exact"/>
              <w:jc w:val="right"/>
              <w:rPr>
                <w:rFonts w:eastAsia="Times New Roman"/>
                <w:sz w:val="18"/>
              </w:rPr>
            </w:pPr>
            <w:r w:rsidRPr="008D6145">
              <w:rPr>
                <w:rFonts w:eastAsia="Times New Roman"/>
                <w:sz w:val="18"/>
                <w:szCs w:val="22"/>
              </w:rPr>
              <w:t>145,28</w:t>
            </w:r>
          </w:p>
        </w:tc>
        <w:tc>
          <w:tcPr>
            <w:tcW w:w="567" w:type="dxa"/>
            <w:tcBorders>
              <w:top w:val="single" w:sz="12" w:space="0" w:color="auto"/>
            </w:tcBorders>
            <w:shd w:val="clear" w:color="auto" w:fill="auto"/>
            <w:noWrap/>
            <w:vAlign w:val="bottom"/>
            <w:hideMark/>
          </w:tcPr>
          <w:p w:rsidR="008D6145" w:rsidRPr="008D6145" w:rsidRDefault="008D6145" w:rsidP="008D6145">
            <w:pPr>
              <w:suppressAutoHyphens w:val="0"/>
              <w:kinsoku/>
              <w:overflowPunct/>
              <w:autoSpaceDE/>
              <w:autoSpaceDN/>
              <w:adjustRightInd/>
              <w:snapToGrid/>
              <w:spacing w:before="40" w:after="40" w:line="220" w:lineRule="exact"/>
              <w:jc w:val="right"/>
              <w:rPr>
                <w:rFonts w:eastAsia="Times New Roman"/>
                <w:sz w:val="18"/>
              </w:rPr>
            </w:pPr>
            <w:r w:rsidRPr="008D6145">
              <w:rPr>
                <w:rFonts w:eastAsia="Times New Roman"/>
                <w:sz w:val="18"/>
                <w:szCs w:val="22"/>
              </w:rPr>
              <w:t>146,81</w:t>
            </w:r>
          </w:p>
        </w:tc>
        <w:tc>
          <w:tcPr>
            <w:tcW w:w="567" w:type="dxa"/>
            <w:tcBorders>
              <w:top w:val="single" w:sz="12" w:space="0" w:color="auto"/>
            </w:tcBorders>
            <w:shd w:val="clear" w:color="auto" w:fill="auto"/>
            <w:noWrap/>
            <w:vAlign w:val="bottom"/>
            <w:hideMark/>
          </w:tcPr>
          <w:p w:rsidR="008D6145" w:rsidRPr="008D6145" w:rsidRDefault="008D6145" w:rsidP="008D6145">
            <w:pPr>
              <w:suppressAutoHyphens w:val="0"/>
              <w:kinsoku/>
              <w:overflowPunct/>
              <w:autoSpaceDE/>
              <w:autoSpaceDN/>
              <w:adjustRightInd/>
              <w:snapToGrid/>
              <w:spacing w:before="40" w:after="40" w:line="220" w:lineRule="exact"/>
              <w:jc w:val="right"/>
              <w:rPr>
                <w:rFonts w:eastAsia="Times New Roman"/>
                <w:sz w:val="18"/>
              </w:rPr>
            </w:pPr>
            <w:r w:rsidRPr="008D6145">
              <w:rPr>
                <w:rFonts w:eastAsia="Times New Roman"/>
                <w:sz w:val="18"/>
                <w:szCs w:val="22"/>
              </w:rPr>
              <w:t>143,65</w:t>
            </w:r>
          </w:p>
        </w:tc>
      </w:tr>
      <w:tr w:rsidR="008D6145" w:rsidRPr="008D6145" w:rsidTr="00821D2B">
        <w:tc>
          <w:tcPr>
            <w:tcW w:w="1701" w:type="dxa"/>
            <w:shd w:val="clear" w:color="auto" w:fill="auto"/>
            <w:noWrap/>
            <w:hideMark/>
          </w:tcPr>
          <w:p w:rsidR="008D6145" w:rsidRPr="008D6145" w:rsidRDefault="008D6145" w:rsidP="008D6145">
            <w:pPr>
              <w:suppressAutoHyphens w:val="0"/>
              <w:kinsoku/>
              <w:overflowPunct/>
              <w:autoSpaceDE/>
              <w:autoSpaceDN/>
              <w:adjustRightInd/>
              <w:snapToGrid/>
              <w:spacing w:before="40" w:after="40" w:line="220" w:lineRule="exact"/>
              <w:rPr>
                <w:rFonts w:eastAsia="Times New Roman"/>
                <w:sz w:val="18"/>
              </w:rPr>
            </w:pPr>
            <w:r w:rsidRPr="008D6145">
              <w:rPr>
                <w:rFonts w:eastAsia="Times New Roman"/>
                <w:sz w:val="18"/>
                <w:szCs w:val="22"/>
              </w:rPr>
              <w:t>Taux d</w:t>
            </w:r>
            <w:r w:rsidR="00A033A7">
              <w:rPr>
                <w:rFonts w:eastAsia="Times New Roman"/>
                <w:sz w:val="18"/>
                <w:szCs w:val="22"/>
              </w:rPr>
              <w:t>’</w:t>
            </w:r>
            <w:r w:rsidRPr="008D6145">
              <w:rPr>
                <w:rFonts w:eastAsia="Times New Roman"/>
                <w:sz w:val="18"/>
                <w:szCs w:val="22"/>
              </w:rPr>
              <w:t>achèvement</w:t>
            </w:r>
          </w:p>
        </w:tc>
        <w:tc>
          <w:tcPr>
            <w:tcW w:w="567" w:type="dxa"/>
            <w:shd w:val="clear" w:color="auto" w:fill="auto"/>
            <w:noWrap/>
            <w:vAlign w:val="bottom"/>
            <w:hideMark/>
          </w:tcPr>
          <w:p w:rsidR="008D6145" w:rsidRPr="008D6145" w:rsidRDefault="008D6145" w:rsidP="008D6145">
            <w:pPr>
              <w:suppressAutoHyphens w:val="0"/>
              <w:kinsoku/>
              <w:overflowPunct/>
              <w:autoSpaceDE/>
              <w:autoSpaceDN/>
              <w:adjustRightInd/>
              <w:snapToGrid/>
              <w:spacing w:before="40" w:after="40" w:line="220" w:lineRule="exact"/>
              <w:jc w:val="right"/>
              <w:rPr>
                <w:rFonts w:eastAsia="Times New Roman"/>
                <w:sz w:val="18"/>
              </w:rPr>
            </w:pPr>
            <w:r w:rsidRPr="008D6145">
              <w:rPr>
                <w:rFonts w:eastAsia="Times New Roman"/>
                <w:sz w:val="18"/>
                <w:szCs w:val="22"/>
              </w:rPr>
              <w:t>67,86</w:t>
            </w:r>
          </w:p>
        </w:tc>
        <w:tc>
          <w:tcPr>
            <w:tcW w:w="567" w:type="dxa"/>
            <w:shd w:val="clear" w:color="auto" w:fill="auto"/>
            <w:noWrap/>
            <w:vAlign w:val="bottom"/>
            <w:hideMark/>
          </w:tcPr>
          <w:p w:rsidR="008D6145" w:rsidRPr="008D6145" w:rsidRDefault="008D6145" w:rsidP="008D6145">
            <w:pPr>
              <w:suppressAutoHyphens w:val="0"/>
              <w:kinsoku/>
              <w:overflowPunct/>
              <w:autoSpaceDE/>
              <w:autoSpaceDN/>
              <w:adjustRightInd/>
              <w:snapToGrid/>
              <w:spacing w:before="40" w:after="40" w:line="220" w:lineRule="exact"/>
              <w:jc w:val="right"/>
              <w:rPr>
                <w:rFonts w:eastAsia="Times New Roman"/>
                <w:sz w:val="18"/>
              </w:rPr>
            </w:pPr>
            <w:r w:rsidRPr="008D6145">
              <w:rPr>
                <w:rFonts w:eastAsia="Times New Roman"/>
                <w:sz w:val="18"/>
                <w:szCs w:val="22"/>
              </w:rPr>
              <w:t>73,15</w:t>
            </w:r>
          </w:p>
        </w:tc>
        <w:tc>
          <w:tcPr>
            <w:tcW w:w="567" w:type="dxa"/>
            <w:shd w:val="clear" w:color="auto" w:fill="auto"/>
            <w:noWrap/>
            <w:vAlign w:val="bottom"/>
            <w:hideMark/>
          </w:tcPr>
          <w:p w:rsidR="008D6145" w:rsidRPr="008D6145" w:rsidRDefault="008D6145" w:rsidP="008D6145">
            <w:pPr>
              <w:suppressAutoHyphens w:val="0"/>
              <w:kinsoku/>
              <w:overflowPunct/>
              <w:autoSpaceDE/>
              <w:autoSpaceDN/>
              <w:adjustRightInd/>
              <w:snapToGrid/>
              <w:spacing w:before="40" w:after="40" w:line="220" w:lineRule="exact"/>
              <w:jc w:val="right"/>
              <w:rPr>
                <w:rFonts w:eastAsia="Times New Roman"/>
                <w:sz w:val="18"/>
              </w:rPr>
            </w:pPr>
            <w:r w:rsidRPr="008D6145">
              <w:rPr>
                <w:rFonts w:eastAsia="Times New Roman"/>
                <w:sz w:val="18"/>
                <w:szCs w:val="22"/>
              </w:rPr>
              <w:t>73,15</w:t>
            </w:r>
          </w:p>
        </w:tc>
        <w:tc>
          <w:tcPr>
            <w:tcW w:w="567" w:type="dxa"/>
            <w:shd w:val="clear" w:color="auto" w:fill="auto"/>
            <w:noWrap/>
            <w:vAlign w:val="bottom"/>
            <w:hideMark/>
          </w:tcPr>
          <w:p w:rsidR="008D6145" w:rsidRPr="008D6145" w:rsidRDefault="008D6145" w:rsidP="008D6145">
            <w:pPr>
              <w:suppressAutoHyphens w:val="0"/>
              <w:kinsoku/>
              <w:overflowPunct/>
              <w:autoSpaceDE/>
              <w:autoSpaceDN/>
              <w:adjustRightInd/>
              <w:snapToGrid/>
              <w:spacing w:before="40" w:after="40" w:line="220" w:lineRule="exact"/>
              <w:jc w:val="right"/>
              <w:rPr>
                <w:rFonts w:eastAsia="Times New Roman"/>
                <w:sz w:val="18"/>
              </w:rPr>
            </w:pPr>
            <w:r w:rsidRPr="008D6145">
              <w:rPr>
                <w:rFonts w:eastAsia="Times New Roman"/>
                <w:sz w:val="18"/>
                <w:szCs w:val="22"/>
              </w:rPr>
              <w:t>71,49</w:t>
            </w:r>
          </w:p>
        </w:tc>
        <w:tc>
          <w:tcPr>
            <w:tcW w:w="567" w:type="dxa"/>
            <w:shd w:val="clear" w:color="auto" w:fill="auto"/>
            <w:noWrap/>
            <w:vAlign w:val="bottom"/>
            <w:hideMark/>
          </w:tcPr>
          <w:p w:rsidR="008D6145" w:rsidRPr="008D6145" w:rsidRDefault="008D6145" w:rsidP="008D6145">
            <w:pPr>
              <w:suppressAutoHyphens w:val="0"/>
              <w:kinsoku/>
              <w:overflowPunct/>
              <w:autoSpaceDE/>
              <w:autoSpaceDN/>
              <w:adjustRightInd/>
              <w:snapToGrid/>
              <w:spacing w:before="40" w:after="40" w:line="220" w:lineRule="exact"/>
              <w:jc w:val="right"/>
              <w:rPr>
                <w:rFonts w:eastAsia="Times New Roman"/>
                <w:sz w:val="18"/>
              </w:rPr>
            </w:pPr>
            <w:r w:rsidRPr="008D6145">
              <w:rPr>
                <w:rFonts w:eastAsia="Times New Roman"/>
                <w:sz w:val="18"/>
                <w:szCs w:val="22"/>
              </w:rPr>
              <w:t>76,8</w:t>
            </w:r>
          </w:p>
        </w:tc>
        <w:tc>
          <w:tcPr>
            <w:tcW w:w="567" w:type="dxa"/>
            <w:shd w:val="clear" w:color="auto" w:fill="auto"/>
            <w:noWrap/>
            <w:vAlign w:val="bottom"/>
            <w:hideMark/>
          </w:tcPr>
          <w:p w:rsidR="008D6145" w:rsidRPr="008D6145" w:rsidRDefault="008D6145" w:rsidP="008D6145">
            <w:pPr>
              <w:suppressAutoHyphens w:val="0"/>
              <w:kinsoku/>
              <w:overflowPunct/>
              <w:autoSpaceDE/>
              <w:autoSpaceDN/>
              <w:adjustRightInd/>
              <w:snapToGrid/>
              <w:spacing w:before="40" w:after="40" w:line="220" w:lineRule="exact"/>
              <w:jc w:val="right"/>
              <w:rPr>
                <w:rFonts w:eastAsia="Times New Roman"/>
                <w:sz w:val="18"/>
              </w:rPr>
            </w:pPr>
            <w:r w:rsidRPr="008D6145">
              <w:rPr>
                <w:rFonts w:eastAsia="Times New Roman"/>
                <w:sz w:val="18"/>
                <w:szCs w:val="22"/>
              </w:rPr>
              <w:t>65,77</w:t>
            </w:r>
          </w:p>
        </w:tc>
        <w:tc>
          <w:tcPr>
            <w:tcW w:w="567" w:type="dxa"/>
            <w:shd w:val="clear" w:color="auto" w:fill="auto"/>
            <w:noWrap/>
            <w:vAlign w:val="bottom"/>
            <w:hideMark/>
          </w:tcPr>
          <w:p w:rsidR="008D6145" w:rsidRPr="008D6145" w:rsidRDefault="008D6145" w:rsidP="008D6145">
            <w:pPr>
              <w:suppressAutoHyphens w:val="0"/>
              <w:kinsoku/>
              <w:overflowPunct/>
              <w:autoSpaceDE/>
              <w:autoSpaceDN/>
              <w:adjustRightInd/>
              <w:snapToGrid/>
              <w:spacing w:before="40" w:after="40" w:line="220" w:lineRule="exact"/>
              <w:jc w:val="right"/>
              <w:rPr>
                <w:rFonts w:eastAsia="Times New Roman"/>
                <w:sz w:val="18"/>
              </w:rPr>
            </w:pPr>
            <w:r w:rsidRPr="008D6145">
              <w:rPr>
                <w:rFonts w:eastAsia="Times New Roman"/>
                <w:sz w:val="18"/>
                <w:szCs w:val="22"/>
              </w:rPr>
              <w:t>76,85</w:t>
            </w:r>
          </w:p>
        </w:tc>
        <w:tc>
          <w:tcPr>
            <w:tcW w:w="567" w:type="dxa"/>
            <w:shd w:val="clear" w:color="auto" w:fill="auto"/>
            <w:noWrap/>
            <w:vAlign w:val="bottom"/>
            <w:hideMark/>
          </w:tcPr>
          <w:p w:rsidR="008D6145" w:rsidRPr="008D6145" w:rsidRDefault="008D6145" w:rsidP="008D6145">
            <w:pPr>
              <w:suppressAutoHyphens w:val="0"/>
              <w:kinsoku/>
              <w:overflowPunct/>
              <w:autoSpaceDE/>
              <w:autoSpaceDN/>
              <w:adjustRightInd/>
              <w:snapToGrid/>
              <w:spacing w:before="40" w:after="40" w:line="220" w:lineRule="exact"/>
              <w:jc w:val="right"/>
              <w:rPr>
                <w:rFonts w:eastAsia="Times New Roman"/>
                <w:sz w:val="18"/>
              </w:rPr>
            </w:pPr>
            <w:r w:rsidRPr="008D6145">
              <w:rPr>
                <w:rFonts w:eastAsia="Times New Roman"/>
                <w:sz w:val="18"/>
                <w:szCs w:val="22"/>
              </w:rPr>
              <w:t>81,6</w:t>
            </w:r>
          </w:p>
        </w:tc>
        <w:tc>
          <w:tcPr>
            <w:tcW w:w="567" w:type="dxa"/>
            <w:shd w:val="clear" w:color="auto" w:fill="auto"/>
            <w:noWrap/>
            <w:vAlign w:val="bottom"/>
            <w:hideMark/>
          </w:tcPr>
          <w:p w:rsidR="008D6145" w:rsidRPr="008D6145" w:rsidRDefault="008D6145" w:rsidP="008D6145">
            <w:pPr>
              <w:suppressAutoHyphens w:val="0"/>
              <w:kinsoku/>
              <w:overflowPunct/>
              <w:autoSpaceDE/>
              <w:autoSpaceDN/>
              <w:adjustRightInd/>
              <w:snapToGrid/>
              <w:spacing w:before="40" w:after="40" w:line="220" w:lineRule="exact"/>
              <w:jc w:val="right"/>
              <w:rPr>
                <w:rFonts w:eastAsia="Times New Roman"/>
                <w:sz w:val="18"/>
              </w:rPr>
            </w:pPr>
            <w:r w:rsidRPr="008D6145">
              <w:rPr>
                <w:rFonts w:eastAsia="Times New Roman"/>
                <w:sz w:val="18"/>
                <w:szCs w:val="22"/>
              </w:rPr>
              <w:t>71,72</w:t>
            </w:r>
          </w:p>
        </w:tc>
        <w:tc>
          <w:tcPr>
            <w:tcW w:w="567" w:type="dxa"/>
            <w:shd w:val="clear" w:color="auto" w:fill="auto"/>
            <w:noWrap/>
            <w:vAlign w:val="bottom"/>
            <w:hideMark/>
          </w:tcPr>
          <w:p w:rsidR="008D6145" w:rsidRPr="008D6145" w:rsidRDefault="008D6145" w:rsidP="008D6145">
            <w:pPr>
              <w:suppressAutoHyphens w:val="0"/>
              <w:kinsoku/>
              <w:overflowPunct/>
              <w:autoSpaceDE/>
              <w:autoSpaceDN/>
              <w:adjustRightInd/>
              <w:snapToGrid/>
              <w:spacing w:before="40" w:after="40" w:line="220" w:lineRule="exact"/>
              <w:jc w:val="right"/>
              <w:rPr>
                <w:rFonts w:eastAsia="Times New Roman"/>
                <w:sz w:val="18"/>
              </w:rPr>
            </w:pPr>
            <w:r w:rsidRPr="008D6145">
              <w:rPr>
                <w:rFonts w:eastAsia="Times New Roman"/>
                <w:sz w:val="18"/>
                <w:szCs w:val="22"/>
              </w:rPr>
              <w:t>77,61</w:t>
            </w:r>
          </w:p>
        </w:tc>
        <w:tc>
          <w:tcPr>
            <w:tcW w:w="567" w:type="dxa"/>
            <w:shd w:val="clear" w:color="auto" w:fill="auto"/>
            <w:noWrap/>
            <w:vAlign w:val="bottom"/>
            <w:hideMark/>
          </w:tcPr>
          <w:p w:rsidR="008D6145" w:rsidRPr="008D6145" w:rsidRDefault="008D6145" w:rsidP="008D6145">
            <w:pPr>
              <w:suppressAutoHyphens w:val="0"/>
              <w:kinsoku/>
              <w:overflowPunct/>
              <w:autoSpaceDE/>
              <w:autoSpaceDN/>
              <w:adjustRightInd/>
              <w:snapToGrid/>
              <w:spacing w:before="40" w:after="40" w:line="220" w:lineRule="exact"/>
              <w:jc w:val="right"/>
              <w:rPr>
                <w:rFonts w:eastAsia="Times New Roman"/>
                <w:sz w:val="18"/>
              </w:rPr>
            </w:pPr>
            <w:r w:rsidRPr="008D6145">
              <w:rPr>
                <w:rFonts w:eastAsia="Times New Roman"/>
                <w:sz w:val="18"/>
                <w:szCs w:val="22"/>
              </w:rPr>
              <w:t>81,28</w:t>
            </w:r>
          </w:p>
        </w:tc>
        <w:tc>
          <w:tcPr>
            <w:tcW w:w="567" w:type="dxa"/>
            <w:shd w:val="clear" w:color="auto" w:fill="auto"/>
            <w:noWrap/>
            <w:vAlign w:val="bottom"/>
            <w:hideMark/>
          </w:tcPr>
          <w:p w:rsidR="008D6145" w:rsidRPr="008D6145" w:rsidRDefault="008D6145" w:rsidP="008D6145">
            <w:pPr>
              <w:suppressAutoHyphens w:val="0"/>
              <w:kinsoku/>
              <w:overflowPunct/>
              <w:autoSpaceDE/>
              <w:autoSpaceDN/>
              <w:adjustRightInd/>
              <w:snapToGrid/>
              <w:spacing w:before="40" w:after="40" w:line="220" w:lineRule="exact"/>
              <w:jc w:val="right"/>
              <w:rPr>
                <w:rFonts w:eastAsia="Times New Roman"/>
                <w:sz w:val="18"/>
              </w:rPr>
            </w:pPr>
            <w:r w:rsidRPr="008D6145">
              <w:rPr>
                <w:rFonts w:eastAsia="Times New Roman"/>
                <w:sz w:val="18"/>
                <w:szCs w:val="22"/>
              </w:rPr>
              <w:t>73,66</w:t>
            </w:r>
          </w:p>
        </w:tc>
      </w:tr>
      <w:tr w:rsidR="008D6145" w:rsidRPr="008D6145" w:rsidTr="00821D2B">
        <w:tc>
          <w:tcPr>
            <w:tcW w:w="1701" w:type="dxa"/>
            <w:shd w:val="clear" w:color="auto" w:fill="auto"/>
            <w:noWrap/>
            <w:hideMark/>
          </w:tcPr>
          <w:p w:rsidR="008D6145" w:rsidRPr="008D6145" w:rsidRDefault="008D6145" w:rsidP="008D6145">
            <w:pPr>
              <w:suppressAutoHyphens w:val="0"/>
              <w:kinsoku/>
              <w:overflowPunct/>
              <w:autoSpaceDE/>
              <w:autoSpaceDN/>
              <w:adjustRightInd/>
              <w:snapToGrid/>
              <w:spacing w:before="40" w:after="40" w:line="220" w:lineRule="exact"/>
              <w:rPr>
                <w:rFonts w:eastAsia="Times New Roman"/>
                <w:sz w:val="18"/>
              </w:rPr>
            </w:pPr>
            <w:r w:rsidRPr="008D6145">
              <w:rPr>
                <w:rFonts w:eastAsia="Times New Roman"/>
                <w:sz w:val="18"/>
                <w:szCs w:val="22"/>
              </w:rPr>
              <w:t>Taux brut de scolarisation</w:t>
            </w:r>
          </w:p>
        </w:tc>
        <w:tc>
          <w:tcPr>
            <w:tcW w:w="567" w:type="dxa"/>
            <w:shd w:val="clear" w:color="auto" w:fill="auto"/>
            <w:noWrap/>
            <w:vAlign w:val="bottom"/>
            <w:hideMark/>
          </w:tcPr>
          <w:p w:rsidR="008D6145" w:rsidRPr="008D6145" w:rsidRDefault="008D6145" w:rsidP="008D6145">
            <w:pPr>
              <w:suppressAutoHyphens w:val="0"/>
              <w:kinsoku/>
              <w:overflowPunct/>
              <w:autoSpaceDE/>
              <w:autoSpaceDN/>
              <w:adjustRightInd/>
              <w:snapToGrid/>
              <w:spacing w:before="40" w:after="40" w:line="220" w:lineRule="exact"/>
              <w:jc w:val="right"/>
              <w:rPr>
                <w:rFonts w:eastAsia="Times New Roman"/>
                <w:sz w:val="18"/>
              </w:rPr>
            </w:pPr>
            <w:r w:rsidRPr="008D6145">
              <w:rPr>
                <w:rFonts w:eastAsia="Times New Roman"/>
                <w:sz w:val="18"/>
                <w:szCs w:val="22"/>
              </w:rPr>
              <w:t>112,6</w:t>
            </w:r>
          </w:p>
        </w:tc>
        <w:tc>
          <w:tcPr>
            <w:tcW w:w="567" w:type="dxa"/>
            <w:shd w:val="clear" w:color="auto" w:fill="auto"/>
            <w:noWrap/>
            <w:vAlign w:val="bottom"/>
            <w:hideMark/>
          </w:tcPr>
          <w:p w:rsidR="008D6145" w:rsidRPr="008D6145" w:rsidRDefault="008D6145" w:rsidP="008D6145">
            <w:pPr>
              <w:suppressAutoHyphens w:val="0"/>
              <w:kinsoku/>
              <w:overflowPunct/>
              <w:autoSpaceDE/>
              <w:autoSpaceDN/>
              <w:adjustRightInd/>
              <w:snapToGrid/>
              <w:spacing w:before="40" w:after="40" w:line="220" w:lineRule="exact"/>
              <w:jc w:val="right"/>
              <w:rPr>
                <w:rFonts w:eastAsia="Times New Roman"/>
                <w:sz w:val="18"/>
              </w:rPr>
            </w:pPr>
            <w:r w:rsidRPr="008D6145">
              <w:rPr>
                <w:rFonts w:eastAsia="Times New Roman"/>
                <w:sz w:val="18"/>
                <w:szCs w:val="22"/>
              </w:rPr>
              <w:t>115,9</w:t>
            </w:r>
          </w:p>
        </w:tc>
        <w:tc>
          <w:tcPr>
            <w:tcW w:w="567" w:type="dxa"/>
            <w:shd w:val="clear" w:color="auto" w:fill="auto"/>
            <w:noWrap/>
            <w:vAlign w:val="bottom"/>
            <w:hideMark/>
          </w:tcPr>
          <w:p w:rsidR="008D6145" w:rsidRPr="008D6145" w:rsidRDefault="008D6145" w:rsidP="008D6145">
            <w:pPr>
              <w:suppressAutoHyphens w:val="0"/>
              <w:kinsoku/>
              <w:overflowPunct/>
              <w:autoSpaceDE/>
              <w:autoSpaceDN/>
              <w:adjustRightInd/>
              <w:snapToGrid/>
              <w:spacing w:before="40" w:after="40" w:line="220" w:lineRule="exact"/>
              <w:jc w:val="right"/>
              <w:rPr>
                <w:rFonts w:eastAsia="Times New Roman"/>
                <w:sz w:val="18"/>
              </w:rPr>
            </w:pPr>
            <w:r w:rsidRPr="008D6145">
              <w:rPr>
                <w:rFonts w:eastAsia="Times New Roman"/>
                <w:sz w:val="18"/>
                <w:szCs w:val="22"/>
              </w:rPr>
              <w:t>109,1</w:t>
            </w:r>
          </w:p>
        </w:tc>
        <w:tc>
          <w:tcPr>
            <w:tcW w:w="567" w:type="dxa"/>
            <w:shd w:val="clear" w:color="auto" w:fill="auto"/>
            <w:noWrap/>
            <w:vAlign w:val="bottom"/>
            <w:hideMark/>
          </w:tcPr>
          <w:p w:rsidR="008D6145" w:rsidRPr="008D6145" w:rsidRDefault="008D6145" w:rsidP="008D6145">
            <w:pPr>
              <w:suppressAutoHyphens w:val="0"/>
              <w:kinsoku/>
              <w:overflowPunct/>
              <w:autoSpaceDE/>
              <w:autoSpaceDN/>
              <w:adjustRightInd/>
              <w:snapToGrid/>
              <w:spacing w:before="40" w:after="40" w:line="220" w:lineRule="exact"/>
              <w:jc w:val="right"/>
              <w:rPr>
                <w:rFonts w:eastAsia="Times New Roman"/>
                <w:sz w:val="18"/>
              </w:rPr>
            </w:pPr>
            <w:r w:rsidRPr="008D6145">
              <w:rPr>
                <w:rFonts w:eastAsia="Times New Roman"/>
                <w:sz w:val="18"/>
                <w:szCs w:val="22"/>
              </w:rPr>
              <w:t>119,7</w:t>
            </w:r>
          </w:p>
        </w:tc>
        <w:tc>
          <w:tcPr>
            <w:tcW w:w="567" w:type="dxa"/>
            <w:shd w:val="clear" w:color="auto" w:fill="auto"/>
            <w:noWrap/>
            <w:vAlign w:val="bottom"/>
            <w:hideMark/>
          </w:tcPr>
          <w:p w:rsidR="008D6145" w:rsidRPr="008D6145" w:rsidRDefault="008D6145" w:rsidP="008D6145">
            <w:pPr>
              <w:suppressAutoHyphens w:val="0"/>
              <w:kinsoku/>
              <w:overflowPunct/>
              <w:autoSpaceDE/>
              <w:autoSpaceDN/>
              <w:adjustRightInd/>
              <w:snapToGrid/>
              <w:spacing w:before="40" w:after="40" w:line="220" w:lineRule="exact"/>
              <w:jc w:val="right"/>
              <w:rPr>
                <w:rFonts w:eastAsia="Times New Roman"/>
                <w:sz w:val="18"/>
              </w:rPr>
            </w:pPr>
            <w:r w:rsidRPr="008D6145">
              <w:rPr>
                <w:rFonts w:eastAsia="Times New Roman"/>
                <w:sz w:val="18"/>
                <w:szCs w:val="22"/>
              </w:rPr>
              <w:t>122,5</w:t>
            </w:r>
          </w:p>
        </w:tc>
        <w:tc>
          <w:tcPr>
            <w:tcW w:w="567" w:type="dxa"/>
            <w:shd w:val="clear" w:color="auto" w:fill="auto"/>
            <w:noWrap/>
            <w:vAlign w:val="bottom"/>
            <w:hideMark/>
          </w:tcPr>
          <w:p w:rsidR="008D6145" w:rsidRPr="008D6145" w:rsidRDefault="008D6145" w:rsidP="008D6145">
            <w:pPr>
              <w:suppressAutoHyphens w:val="0"/>
              <w:kinsoku/>
              <w:overflowPunct/>
              <w:autoSpaceDE/>
              <w:autoSpaceDN/>
              <w:adjustRightInd/>
              <w:snapToGrid/>
              <w:spacing w:before="40" w:after="40" w:line="220" w:lineRule="exact"/>
              <w:jc w:val="right"/>
              <w:rPr>
                <w:rFonts w:eastAsia="Times New Roman"/>
                <w:sz w:val="18"/>
              </w:rPr>
            </w:pPr>
            <w:r w:rsidRPr="008D6145">
              <w:rPr>
                <w:rFonts w:eastAsia="Times New Roman"/>
                <w:sz w:val="18"/>
                <w:szCs w:val="22"/>
              </w:rPr>
              <w:t>116,8</w:t>
            </w:r>
          </w:p>
        </w:tc>
        <w:tc>
          <w:tcPr>
            <w:tcW w:w="567" w:type="dxa"/>
            <w:shd w:val="clear" w:color="auto" w:fill="auto"/>
            <w:noWrap/>
            <w:vAlign w:val="bottom"/>
            <w:hideMark/>
          </w:tcPr>
          <w:p w:rsidR="008D6145" w:rsidRPr="008D6145" w:rsidRDefault="008D6145" w:rsidP="008D6145">
            <w:pPr>
              <w:suppressAutoHyphens w:val="0"/>
              <w:kinsoku/>
              <w:overflowPunct/>
              <w:autoSpaceDE/>
              <w:autoSpaceDN/>
              <w:adjustRightInd/>
              <w:snapToGrid/>
              <w:spacing w:before="40" w:after="40" w:line="220" w:lineRule="exact"/>
              <w:jc w:val="right"/>
              <w:rPr>
                <w:rFonts w:eastAsia="Times New Roman"/>
                <w:sz w:val="18"/>
              </w:rPr>
            </w:pPr>
            <w:r w:rsidRPr="008D6145">
              <w:rPr>
                <w:rFonts w:eastAsia="Times New Roman"/>
                <w:sz w:val="18"/>
                <w:szCs w:val="22"/>
              </w:rPr>
              <w:t>121,13</w:t>
            </w:r>
          </w:p>
        </w:tc>
        <w:tc>
          <w:tcPr>
            <w:tcW w:w="567" w:type="dxa"/>
            <w:shd w:val="clear" w:color="auto" w:fill="auto"/>
            <w:noWrap/>
            <w:vAlign w:val="bottom"/>
            <w:hideMark/>
          </w:tcPr>
          <w:p w:rsidR="008D6145" w:rsidRPr="008D6145" w:rsidRDefault="008D6145" w:rsidP="008D6145">
            <w:pPr>
              <w:suppressAutoHyphens w:val="0"/>
              <w:kinsoku/>
              <w:overflowPunct/>
              <w:autoSpaceDE/>
              <w:autoSpaceDN/>
              <w:adjustRightInd/>
              <w:snapToGrid/>
              <w:spacing w:before="40" w:after="40" w:line="220" w:lineRule="exact"/>
              <w:jc w:val="right"/>
              <w:rPr>
                <w:rFonts w:eastAsia="Times New Roman"/>
                <w:sz w:val="18"/>
              </w:rPr>
            </w:pPr>
            <w:r w:rsidRPr="008D6145">
              <w:rPr>
                <w:rFonts w:eastAsia="Times New Roman"/>
                <w:sz w:val="18"/>
                <w:szCs w:val="22"/>
              </w:rPr>
              <w:t>123,4</w:t>
            </w:r>
          </w:p>
        </w:tc>
        <w:tc>
          <w:tcPr>
            <w:tcW w:w="567" w:type="dxa"/>
            <w:shd w:val="clear" w:color="auto" w:fill="auto"/>
            <w:noWrap/>
            <w:vAlign w:val="bottom"/>
            <w:hideMark/>
          </w:tcPr>
          <w:p w:rsidR="008D6145" w:rsidRPr="008D6145" w:rsidRDefault="008D6145" w:rsidP="008D6145">
            <w:pPr>
              <w:suppressAutoHyphens w:val="0"/>
              <w:kinsoku/>
              <w:overflowPunct/>
              <w:autoSpaceDE/>
              <w:autoSpaceDN/>
              <w:adjustRightInd/>
              <w:snapToGrid/>
              <w:spacing w:before="40" w:after="40" w:line="220" w:lineRule="exact"/>
              <w:jc w:val="right"/>
              <w:rPr>
                <w:rFonts w:eastAsia="Times New Roman"/>
                <w:sz w:val="18"/>
              </w:rPr>
            </w:pPr>
            <w:r w:rsidRPr="008D6145">
              <w:rPr>
                <w:rFonts w:eastAsia="Times New Roman"/>
                <w:sz w:val="18"/>
                <w:szCs w:val="22"/>
              </w:rPr>
              <w:t>118,7</w:t>
            </w:r>
          </w:p>
        </w:tc>
        <w:tc>
          <w:tcPr>
            <w:tcW w:w="567" w:type="dxa"/>
            <w:shd w:val="clear" w:color="auto" w:fill="auto"/>
            <w:noWrap/>
            <w:vAlign w:val="bottom"/>
            <w:hideMark/>
          </w:tcPr>
          <w:p w:rsidR="008D6145" w:rsidRPr="008D6145" w:rsidRDefault="008D6145" w:rsidP="008D6145">
            <w:pPr>
              <w:suppressAutoHyphens w:val="0"/>
              <w:kinsoku/>
              <w:overflowPunct/>
              <w:autoSpaceDE/>
              <w:autoSpaceDN/>
              <w:adjustRightInd/>
              <w:snapToGrid/>
              <w:spacing w:before="40" w:after="40" w:line="220" w:lineRule="exact"/>
              <w:jc w:val="right"/>
              <w:rPr>
                <w:rFonts w:eastAsia="Times New Roman"/>
                <w:sz w:val="18"/>
              </w:rPr>
            </w:pPr>
            <w:r w:rsidRPr="008D6145">
              <w:rPr>
                <w:rFonts w:eastAsia="Times New Roman"/>
                <w:sz w:val="18"/>
                <w:szCs w:val="22"/>
              </w:rPr>
              <w:t>122</w:t>
            </w:r>
          </w:p>
        </w:tc>
        <w:tc>
          <w:tcPr>
            <w:tcW w:w="567" w:type="dxa"/>
            <w:shd w:val="clear" w:color="auto" w:fill="auto"/>
            <w:noWrap/>
            <w:vAlign w:val="bottom"/>
            <w:hideMark/>
          </w:tcPr>
          <w:p w:rsidR="008D6145" w:rsidRPr="008D6145" w:rsidRDefault="008D6145" w:rsidP="008D6145">
            <w:pPr>
              <w:suppressAutoHyphens w:val="0"/>
              <w:kinsoku/>
              <w:overflowPunct/>
              <w:autoSpaceDE/>
              <w:autoSpaceDN/>
              <w:adjustRightInd/>
              <w:snapToGrid/>
              <w:spacing w:before="40" w:after="40" w:line="220" w:lineRule="exact"/>
              <w:jc w:val="right"/>
              <w:rPr>
                <w:rFonts w:eastAsia="Times New Roman"/>
                <w:sz w:val="18"/>
              </w:rPr>
            </w:pPr>
            <w:r w:rsidRPr="008D6145">
              <w:rPr>
                <w:rFonts w:eastAsia="Times New Roman"/>
                <w:sz w:val="18"/>
                <w:szCs w:val="22"/>
              </w:rPr>
              <w:t>123,68</w:t>
            </w:r>
          </w:p>
        </w:tc>
        <w:tc>
          <w:tcPr>
            <w:tcW w:w="567" w:type="dxa"/>
            <w:shd w:val="clear" w:color="auto" w:fill="auto"/>
            <w:noWrap/>
            <w:vAlign w:val="bottom"/>
            <w:hideMark/>
          </w:tcPr>
          <w:p w:rsidR="008D6145" w:rsidRPr="008D6145" w:rsidRDefault="008D6145" w:rsidP="008D6145">
            <w:pPr>
              <w:suppressAutoHyphens w:val="0"/>
              <w:kinsoku/>
              <w:overflowPunct/>
              <w:autoSpaceDE/>
              <w:autoSpaceDN/>
              <w:adjustRightInd/>
              <w:snapToGrid/>
              <w:spacing w:before="40" w:after="40" w:line="220" w:lineRule="exact"/>
              <w:jc w:val="right"/>
              <w:rPr>
                <w:rFonts w:eastAsia="Times New Roman"/>
                <w:sz w:val="18"/>
              </w:rPr>
            </w:pPr>
            <w:r w:rsidRPr="008D6145">
              <w:rPr>
                <w:rFonts w:eastAsia="Times New Roman"/>
                <w:sz w:val="18"/>
                <w:szCs w:val="22"/>
              </w:rPr>
              <w:t>120,18</w:t>
            </w:r>
          </w:p>
        </w:tc>
      </w:tr>
      <w:tr w:rsidR="008D6145" w:rsidRPr="008D6145" w:rsidTr="00821D2B">
        <w:tc>
          <w:tcPr>
            <w:tcW w:w="1701" w:type="dxa"/>
            <w:shd w:val="clear" w:color="auto" w:fill="auto"/>
            <w:noWrap/>
            <w:hideMark/>
          </w:tcPr>
          <w:p w:rsidR="008D6145" w:rsidRPr="008D6145" w:rsidRDefault="008D6145" w:rsidP="008D6145">
            <w:pPr>
              <w:suppressAutoHyphens w:val="0"/>
              <w:kinsoku/>
              <w:overflowPunct/>
              <w:autoSpaceDE/>
              <w:autoSpaceDN/>
              <w:adjustRightInd/>
              <w:snapToGrid/>
              <w:spacing w:before="40" w:after="40" w:line="220" w:lineRule="exact"/>
              <w:rPr>
                <w:rFonts w:eastAsia="Times New Roman"/>
                <w:sz w:val="18"/>
              </w:rPr>
            </w:pPr>
            <w:r w:rsidRPr="008D6145">
              <w:rPr>
                <w:rFonts w:eastAsia="Times New Roman"/>
                <w:sz w:val="18"/>
                <w:szCs w:val="22"/>
              </w:rPr>
              <w:t>Taux de redoublement</w:t>
            </w:r>
          </w:p>
        </w:tc>
        <w:tc>
          <w:tcPr>
            <w:tcW w:w="567" w:type="dxa"/>
            <w:shd w:val="clear" w:color="auto" w:fill="auto"/>
            <w:noWrap/>
            <w:vAlign w:val="bottom"/>
            <w:hideMark/>
          </w:tcPr>
          <w:p w:rsidR="008D6145" w:rsidRPr="008D6145" w:rsidRDefault="008D6145" w:rsidP="008D6145">
            <w:pPr>
              <w:suppressAutoHyphens w:val="0"/>
              <w:kinsoku/>
              <w:overflowPunct/>
              <w:autoSpaceDE/>
              <w:autoSpaceDN/>
              <w:adjustRightInd/>
              <w:snapToGrid/>
              <w:spacing w:before="40" w:after="40" w:line="220" w:lineRule="exact"/>
              <w:jc w:val="right"/>
              <w:rPr>
                <w:rFonts w:eastAsia="Times New Roman"/>
                <w:sz w:val="18"/>
              </w:rPr>
            </w:pPr>
            <w:r w:rsidRPr="008D6145">
              <w:rPr>
                <w:rFonts w:eastAsia="Times New Roman"/>
                <w:sz w:val="18"/>
                <w:szCs w:val="22"/>
              </w:rPr>
              <w:t>13,27</w:t>
            </w:r>
          </w:p>
        </w:tc>
        <w:tc>
          <w:tcPr>
            <w:tcW w:w="567" w:type="dxa"/>
            <w:shd w:val="clear" w:color="auto" w:fill="auto"/>
            <w:noWrap/>
            <w:vAlign w:val="bottom"/>
            <w:hideMark/>
          </w:tcPr>
          <w:p w:rsidR="008D6145" w:rsidRPr="008D6145" w:rsidRDefault="008D6145" w:rsidP="008D6145">
            <w:pPr>
              <w:suppressAutoHyphens w:val="0"/>
              <w:kinsoku/>
              <w:overflowPunct/>
              <w:autoSpaceDE/>
              <w:autoSpaceDN/>
              <w:adjustRightInd/>
              <w:snapToGrid/>
              <w:spacing w:before="40" w:after="40" w:line="220" w:lineRule="exact"/>
              <w:jc w:val="right"/>
              <w:rPr>
                <w:rFonts w:eastAsia="Times New Roman"/>
                <w:sz w:val="18"/>
              </w:rPr>
            </w:pPr>
            <w:r w:rsidRPr="008D6145">
              <w:rPr>
                <w:rFonts w:eastAsia="Times New Roman"/>
                <w:sz w:val="18"/>
                <w:szCs w:val="22"/>
              </w:rPr>
              <w:t>13,3</w:t>
            </w:r>
          </w:p>
        </w:tc>
        <w:tc>
          <w:tcPr>
            <w:tcW w:w="567" w:type="dxa"/>
            <w:shd w:val="clear" w:color="auto" w:fill="auto"/>
            <w:noWrap/>
            <w:vAlign w:val="bottom"/>
            <w:hideMark/>
          </w:tcPr>
          <w:p w:rsidR="008D6145" w:rsidRPr="008D6145" w:rsidRDefault="008D6145" w:rsidP="008D6145">
            <w:pPr>
              <w:suppressAutoHyphens w:val="0"/>
              <w:kinsoku/>
              <w:overflowPunct/>
              <w:autoSpaceDE/>
              <w:autoSpaceDN/>
              <w:adjustRightInd/>
              <w:snapToGrid/>
              <w:spacing w:before="40" w:after="40" w:line="220" w:lineRule="exact"/>
              <w:jc w:val="right"/>
              <w:rPr>
                <w:rFonts w:eastAsia="Times New Roman"/>
                <w:sz w:val="18"/>
              </w:rPr>
            </w:pPr>
            <w:r w:rsidRPr="008D6145">
              <w:rPr>
                <w:rFonts w:eastAsia="Times New Roman"/>
                <w:sz w:val="18"/>
                <w:szCs w:val="22"/>
              </w:rPr>
              <w:t>13,23</w:t>
            </w:r>
          </w:p>
        </w:tc>
        <w:tc>
          <w:tcPr>
            <w:tcW w:w="567" w:type="dxa"/>
            <w:shd w:val="clear" w:color="auto" w:fill="auto"/>
            <w:noWrap/>
            <w:vAlign w:val="bottom"/>
            <w:hideMark/>
          </w:tcPr>
          <w:p w:rsidR="008D6145" w:rsidRPr="008D6145" w:rsidRDefault="008D6145" w:rsidP="008D6145">
            <w:pPr>
              <w:suppressAutoHyphens w:val="0"/>
              <w:kinsoku/>
              <w:overflowPunct/>
              <w:autoSpaceDE/>
              <w:autoSpaceDN/>
              <w:adjustRightInd/>
              <w:snapToGrid/>
              <w:spacing w:before="40" w:after="40" w:line="220" w:lineRule="exact"/>
              <w:jc w:val="right"/>
              <w:rPr>
                <w:rFonts w:eastAsia="Times New Roman"/>
                <w:sz w:val="18"/>
              </w:rPr>
            </w:pPr>
            <w:r w:rsidRPr="008D6145">
              <w:rPr>
                <w:rFonts w:eastAsia="Times New Roman"/>
                <w:sz w:val="18"/>
                <w:szCs w:val="22"/>
              </w:rPr>
              <w:t>11,9</w:t>
            </w:r>
          </w:p>
        </w:tc>
        <w:tc>
          <w:tcPr>
            <w:tcW w:w="567" w:type="dxa"/>
            <w:shd w:val="clear" w:color="auto" w:fill="auto"/>
            <w:noWrap/>
            <w:vAlign w:val="bottom"/>
            <w:hideMark/>
          </w:tcPr>
          <w:p w:rsidR="008D6145" w:rsidRPr="008D6145" w:rsidRDefault="008D6145" w:rsidP="008D6145">
            <w:pPr>
              <w:suppressAutoHyphens w:val="0"/>
              <w:kinsoku/>
              <w:overflowPunct/>
              <w:autoSpaceDE/>
              <w:autoSpaceDN/>
              <w:adjustRightInd/>
              <w:snapToGrid/>
              <w:spacing w:before="40" w:after="40" w:line="220" w:lineRule="exact"/>
              <w:jc w:val="right"/>
              <w:rPr>
                <w:rFonts w:eastAsia="Times New Roman"/>
                <w:sz w:val="18"/>
              </w:rPr>
            </w:pPr>
            <w:r w:rsidRPr="008D6145">
              <w:rPr>
                <w:rFonts w:eastAsia="Times New Roman"/>
                <w:sz w:val="18"/>
                <w:szCs w:val="22"/>
              </w:rPr>
              <w:t>11,83</w:t>
            </w:r>
          </w:p>
        </w:tc>
        <w:tc>
          <w:tcPr>
            <w:tcW w:w="567" w:type="dxa"/>
            <w:shd w:val="clear" w:color="auto" w:fill="auto"/>
            <w:noWrap/>
            <w:vAlign w:val="bottom"/>
            <w:hideMark/>
          </w:tcPr>
          <w:p w:rsidR="008D6145" w:rsidRPr="008D6145" w:rsidRDefault="008D6145" w:rsidP="008D6145">
            <w:pPr>
              <w:suppressAutoHyphens w:val="0"/>
              <w:kinsoku/>
              <w:overflowPunct/>
              <w:autoSpaceDE/>
              <w:autoSpaceDN/>
              <w:adjustRightInd/>
              <w:snapToGrid/>
              <w:spacing w:before="40" w:after="40" w:line="220" w:lineRule="exact"/>
              <w:jc w:val="right"/>
              <w:rPr>
                <w:rFonts w:eastAsia="Times New Roman"/>
                <w:sz w:val="18"/>
              </w:rPr>
            </w:pPr>
            <w:r w:rsidRPr="008D6145">
              <w:rPr>
                <w:rFonts w:eastAsia="Times New Roman"/>
                <w:sz w:val="18"/>
                <w:szCs w:val="22"/>
              </w:rPr>
              <w:t>11,88</w:t>
            </w:r>
          </w:p>
        </w:tc>
        <w:tc>
          <w:tcPr>
            <w:tcW w:w="567" w:type="dxa"/>
            <w:shd w:val="clear" w:color="auto" w:fill="auto"/>
            <w:noWrap/>
            <w:vAlign w:val="bottom"/>
            <w:hideMark/>
          </w:tcPr>
          <w:p w:rsidR="008D6145" w:rsidRPr="008D6145" w:rsidRDefault="008D6145" w:rsidP="008D6145">
            <w:pPr>
              <w:suppressAutoHyphens w:val="0"/>
              <w:kinsoku/>
              <w:overflowPunct/>
              <w:autoSpaceDE/>
              <w:autoSpaceDN/>
              <w:adjustRightInd/>
              <w:snapToGrid/>
              <w:spacing w:before="40" w:after="40" w:line="220" w:lineRule="exact"/>
              <w:jc w:val="right"/>
              <w:rPr>
                <w:rFonts w:eastAsia="Times New Roman"/>
                <w:sz w:val="18"/>
              </w:rPr>
            </w:pPr>
            <w:r w:rsidRPr="008D6145">
              <w:rPr>
                <w:rFonts w:eastAsia="Times New Roman"/>
                <w:sz w:val="18"/>
                <w:szCs w:val="22"/>
              </w:rPr>
              <w:t>11,61</w:t>
            </w:r>
          </w:p>
        </w:tc>
        <w:tc>
          <w:tcPr>
            <w:tcW w:w="567" w:type="dxa"/>
            <w:shd w:val="clear" w:color="auto" w:fill="auto"/>
            <w:noWrap/>
            <w:vAlign w:val="bottom"/>
            <w:hideMark/>
          </w:tcPr>
          <w:p w:rsidR="008D6145" w:rsidRPr="008D6145" w:rsidRDefault="008D6145" w:rsidP="008D6145">
            <w:pPr>
              <w:suppressAutoHyphens w:val="0"/>
              <w:kinsoku/>
              <w:overflowPunct/>
              <w:autoSpaceDE/>
              <w:autoSpaceDN/>
              <w:adjustRightInd/>
              <w:snapToGrid/>
              <w:spacing w:before="40" w:after="40" w:line="220" w:lineRule="exact"/>
              <w:jc w:val="right"/>
              <w:rPr>
                <w:rFonts w:eastAsia="Times New Roman"/>
                <w:sz w:val="18"/>
              </w:rPr>
            </w:pPr>
            <w:r w:rsidRPr="008D6145">
              <w:rPr>
                <w:rFonts w:eastAsia="Times New Roman"/>
                <w:sz w:val="18"/>
                <w:szCs w:val="22"/>
              </w:rPr>
              <w:t>11,44</w:t>
            </w:r>
          </w:p>
        </w:tc>
        <w:tc>
          <w:tcPr>
            <w:tcW w:w="567" w:type="dxa"/>
            <w:shd w:val="clear" w:color="auto" w:fill="auto"/>
            <w:noWrap/>
            <w:vAlign w:val="bottom"/>
            <w:hideMark/>
          </w:tcPr>
          <w:p w:rsidR="008D6145" w:rsidRPr="008D6145" w:rsidRDefault="008D6145" w:rsidP="008D6145">
            <w:pPr>
              <w:suppressAutoHyphens w:val="0"/>
              <w:kinsoku/>
              <w:overflowPunct/>
              <w:autoSpaceDE/>
              <w:autoSpaceDN/>
              <w:adjustRightInd/>
              <w:snapToGrid/>
              <w:spacing w:before="40" w:after="40" w:line="220" w:lineRule="exact"/>
              <w:jc w:val="right"/>
              <w:rPr>
                <w:rFonts w:eastAsia="Times New Roman"/>
                <w:sz w:val="18"/>
              </w:rPr>
            </w:pPr>
            <w:r w:rsidRPr="008D6145">
              <w:rPr>
                <w:rFonts w:eastAsia="Times New Roman"/>
                <w:sz w:val="18"/>
                <w:szCs w:val="22"/>
              </w:rPr>
              <w:t>11,53</w:t>
            </w:r>
          </w:p>
        </w:tc>
        <w:tc>
          <w:tcPr>
            <w:tcW w:w="567" w:type="dxa"/>
            <w:shd w:val="clear" w:color="auto" w:fill="auto"/>
            <w:noWrap/>
            <w:vAlign w:val="bottom"/>
            <w:hideMark/>
          </w:tcPr>
          <w:p w:rsidR="008D6145" w:rsidRPr="008D6145" w:rsidRDefault="008D6145" w:rsidP="008D6145">
            <w:pPr>
              <w:suppressAutoHyphens w:val="0"/>
              <w:kinsoku/>
              <w:overflowPunct/>
              <w:autoSpaceDE/>
              <w:autoSpaceDN/>
              <w:adjustRightInd/>
              <w:snapToGrid/>
              <w:spacing w:before="40" w:after="40" w:line="220" w:lineRule="exact"/>
              <w:jc w:val="right"/>
              <w:rPr>
                <w:rFonts w:eastAsia="Times New Roman"/>
                <w:sz w:val="18"/>
              </w:rPr>
            </w:pPr>
            <w:r w:rsidRPr="008D6145">
              <w:rPr>
                <w:rFonts w:eastAsia="Times New Roman"/>
                <w:sz w:val="18"/>
                <w:szCs w:val="22"/>
              </w:rPr>
              <w:t>11,53</w:t>
            </w:r>
          </w:p>
        </w:tc>
        <w:tc>
          <w:tcPr>
            <w:tcW w:w="567" w:type="dxa"/>
            <w:shd w:val="clear" w:color="auto" w:fill="auto"/>
            <w:noWrap/>
            <w:vAlign w:val="bottom"/>
            <w:hideMark/>
          </w:tcPr>
          <w:p w:rsidR="008D6145" w:rsidRPr="008D6145" w:rsidRDefault="008D6145" w:rsidP="008D6145">
            <w:pPr>
              <w:suppressAutoHyphens w:val="0"/>
              <w:kinsoku/>
              <w:overflowPunct/>
              <w:autoSpaceDE/>
              <w:autoSpaceDN/>
              <w:adjustRightInd/>
              <w:snapToGrid/>
              <w:spacing w:before="40" w:after="40" w:line="220" w:lineRule="exact"/>
              <w:jc w:val="right"/>
              <w:rPr>
                <w:rFonts w:eastAsia="Times New Roman"/>
                <w:sz w:val="18"/>
              </w:rPr>
            </w:pPr>
            <w:r w:rsidRPr="008D6145">
              <w:rPr>
                <w:rFonts w:eastAsia="Times New Roman"/>
                <w:sz w:val="18"/>
                <w:szCs w:val="22"/>
              </w:rPr>
              <w:t>11,53</w:t>
            </w:r>
          </w:p>
        </w:tc>
        <w:tc>
          <w:tcPr>
            <w:tcW w:w="567" w:type="dxa"/>
            <w:shd w:val="clear" w:color="auto" w:fill="auto"/>
            <w:noWrap/>
            <w:vAlign w:val="bottom"/>
            <w:hideMark/>
          </w:tcPr>
          <w:p w:rsidR="008D6145" w:rsidRPr="008D6145" w:rsidRDefault="008D6145" w:rsidP="008D6145">
            <w:pPr>
              <w:suppressAutoHyphens w:val="0"/>
              <w:kinsoku/>
              <w:overflowPunct/>
              <w:autoSpaceDE/>
              <w:autoSpaceDN/>
              <w:adjustRightInd/>
              <w:snapToGrid/>
              <w:spacing w:before="40" w:after="40" w:line="220" w:lineRule="exact"/>
              <w:jc w:val="right"/>
              <w:rPr>
                <w:rFonts w:eastAsia="Times New Roman"/>
                <w:sz w:val="18"/>
              </w:rPr>
            </w:pPr>
            <w:r w:rsidRPr="008D6145">
              <w:rPr>
                <w:rFonts w:eastAsia="Times New Roman"/>
                <w:sz w:val="18"/>
                <w:szCs w:val="22"/>
              </w:rPr>
              <w:t>11,33</w:t>
            </w:r>
          </w:p>
        </w:tc>
      </w:tr>
      <w:tr w:rsidR="008D6145" w:rsidRPr="008D6145" w:rsidTr="00821D2B">
        <w:tc>
          <w:tcPr>
            <w:tcW w:w="1701" w:type="dxa"/>
            <w:tcBorders>
              <w:bottom w:val="single" w:sz="12" w:space="0" w:color="auto"/>
            </w:tcBorders>
            <w:shd w:val="clear" w:color="auto" w:fill="auto"/>
            <w:noWrap/>
            <w:hideMark/>
          </w:tcPr>
          <w:p w:rsidR="008D6145" w:rsidRPr="008D6145" w:rsidRDefault="008D6145" w:rsidP="008D6145">
            <w:pPr>
              <w:suppressAutoHyphens w:val="0"/>
              <w:kinsoku/>
              <w:overflowPunct/>
              <w:autoSpaceDE/>
              <w:autoSpaceDN/>
              <w:adjustRightInd/>
              <w:snapToGrid/>
              <w:spacing w:before="40" w:after="40" w:line="220" w:lineRule="exact"/>
              <w:rPr>
                <w:rFonts w:eastAsia="Times New Roman"/>
                <w:sz w:val="18"/>
              </w:rPr>
            </w:pPr>
            <w:r w:rsidRPr="008D6145">
              <w:rPr>
                <w:rFonts w:eastAsia="Times New Roman"/>
                <w:sz w:val="18"/>
                <w:szCs w:val="22"/>
              </w:rPr>
              <w:t>Taux d</w:t>
            </w:r>
            <w:r w:rsidR="00A033A7">
              <w:rPr>
                <w:rFonts w:eastAsia="Times New Roman"/>
                <w:sz w:val="18"/>
                <w:szCs w:val="22"/>
              </w:rPr>
              <w:t>’</w:t>
            </w:r>
            <w:r w:rsidRPr="008D6145">
              <w:rPr>
                <w:rFonts w:eastAsia="Times New Roman"/>
                <w:sz w:val="18"/>
                <w:szCs w:val="22"/>
              </w:rPr>
              <w:t>abandon</w:t>
            </w:r>
          </w:p>
        </w:tc>
        <w:tc>
          <w:tcPr>
            <w:tcW w:w="567" w:type="dxa"/>
            <w:tcBorders>
              <w:bottom w:val="single" w:sz="12" w:space="0" w:color="auto"/>
            </w:tcBorders>
            <w:shd w:val="clear" w:color="auto" w:fill="auto"/>
            <w:noWrap/>
            <w:vAlign w:val="bottom"/>
            <w:hideMark/>
          </w:tcPr>
          <w:p w:rsidR="008D6145" w:rsidRPr="008D6145" w:rsidRDefault="008D6145" w:rsidP="008D6145">
            <w:pPr>
              <w:suppressAutoHyphens w:val="0"/>
              <w:kinsoku/>
              <w:overflowPunct/>
              <w:autoSpaceDE/>
              <w:autoSpaceDN/>
              <w:adjustRightInd/>
              <w:snapToGrid/>
              <w:spacing w:before="40" w:after="40" w:line="220" w:lineRule="exact"/>
              <w:jc w:val="right"/>
              <w:rPr>
                <w:rFonts w:eastAsia="Times New Roman"/>
                <w:sz w:val="18"/>
              </w:rPr>
            </w:pPr>
            <w:r w:rsidRPr="008D6145">
              <w:rPr>
                <w:rFonts w:eastAsia="Times New Roman"/>
                <w:sz w:val="18"/>
                <w:szCs w:val="22"/>
              </w:rPr>
              <w:t>14,41</w:t>
            </w:r>
          </w:p>
        </w:tc>
        <w:tc>
          <w:tcPr>
            <w:tcW w:w="567" w:type="dxa"/>
            <w:tcBorders>
              <w:bottom w:val="single" w:sz="12" w:space="0" w:color="auto"/>
            </w:tcBorders>
            <w:shd w:val="clear" w:color="auto" w:fill="auto"/>
            <w:noWrap/>
            <w:vAlign w:val="bottom"/>
            <w:hideMark/>
          </w:tcPr>
          <w:p w:rsidR="008D6145" w:rsidRPr="008D6145" w:rsidRDefault="008D6145" w:rsidP="008D6145">
            <w:pPr>
              <w:suppressAutoHyphens w:val="0"/>
              <w:kinsoku/>
              <w:overflowPunct/>
              <w:autoSpaceDE/>
              <w:autoSpaceDN/>
              <w:adjustRightInd/>
              <w:snapToGrid/>
              <w:spacing w:before="40" w:after="40" w:line="220" w:lineRule="exact"/>
              <w:jc w:val="right"/>
              <w:rPr>
                <w:rFonts w:eastAsia="Times New Roman"/>
                <w:sz w:val="18"/>
              </w:rPr>
            </w:pPr>
            <w:r w:rsidRPr="008D6145">
              <w:rPr>
                <w:rFonts w:eastAsia="Times New Roman"/>
                <w:sz w:val="18"/>
                <w:szCs w:val="22"/>
              </w:rPr>
              <w:t>13,63</w:t>
            </w:r>
          </w:p>
        </w:tc>
        <w:tc>
          <w:tcPr>
            <w:tcW w:w="567" w:type="dxa"/>
            <w:tcBorders>
              <w:bottom w:val="single" w:sz="12" w:space="0" w:color="auto"/>
            </w:tcBorders>
            <w:shd w:val="clear" w:color="auto" w:fill="auto"/>
            <w:noWrap/>
            <w:vAlign w:val="bottom"/>
            <w:hideMark/>
          </w:tcPr>
          <w:p w:rsidR="008D6145" w:rsidRPr="008D6145" w:rsidRDefault="008D6145" w:rsidP="008D6145">
            <w:pPr>
              <w:suppressAutoHyphens w:val="0"/>
              <w:kinsoku/>
              <w:overflowPunct/>
              <w:autoSpaceDE/>
              <w:autoSpaceDN/>
              <w:adjustRightInd/>
              <w:snapToGrid/>
              <w:spacing w:before="40" w:after="40" w:line="220" w:lineRule="exact"/>
              <w:jc w:val="right"/>
              <w:rPr>
                <w:rFonts w:eastAsia="Times New Roman"/>
                <w:sz w:val="18"/>
              </w:rPr>
            </w:pPr>
            <w:r w:rsidRPr="008D6145">
              <w:rPr>
                <w:rFonts w:eastAsia="Times New Roman"/>
                <w:sz w:val="18"/>
                <w:szCs w:val="22"/>
              </w:rPr>
              <w:t>15,31</w:t>
            </w:r>
          </w:p>
        </w:tc>
        <w:tc>
          <w:tcPr>
            <w:tcW w:w="567" w:type="dxa"/>
            <w:tcBorders>
              <w:bottom w:val="single" w:sz="12" w:space="0" w:color="auto"/>
            </w:tcBorders>
            <w:shd w:val="clear" w:color="auto" w:fill="auto"/>
            <w:noWrap/>
            <w:vAlign w:val="bottom"/>
            <w:hideMark/>
          </w:tcPr>
          <w:p w:rsidR="008D6145" w:rsidRPr="008D6145" w:rsidRDefault="008D6145" w:rsidP="008D6145">
            <w:pPr>
              <w:suppressAutoHyphens w:val="0"/>
              <w:kinsoku/>
              <w:overflowPunct/>
              <w:autoSpaceDE/>
              <w:autoSpaceDN/>
              <w:adjustRightInd/>
              <w:snapToGrid/>
              <w:spacing w:before="40" w:after="40" w:line="220" w:lineRule="exact"/>
              <w:jc w:val="right"/>
              <w:rPr>
                <w:rFonts w:eastAsia="Times New Roman"/>
                <w:sz w:val="18"/>
              </w:rPr>
            </w:pPr>
            <w:r w:rsidRPr="008D6145">
              <w:rPr>
                <w:rFonts w:eastAsia="Times New Roman"/>
                <w:sz w:val="18"/>
                <w:szCs w:val="22"/>
              </w:rPr>
              <w:t>13,39</w:t>
            </w:r>
          </w:p>
        </w:tc>
        <w:tc>
          <w:tcPr>
            <w:tcW w:w="567" w:type="dxa"/>
            <w:tcBorders>
              <w:bottom w:val="single" w:sz="12" w:space="0" w:color="auto"/>
            </w:tcBorders>
            <w:shd w:val="clear" w:color="auto" w:fill="auto"/>
            <w:noWrap/>
            <w:vAlign w:val="bottom"/>
            <w:hideMark/>
          </w:tcPr>
          <w:p w:rsidR="008D6145" w:rsidRPr="008D6145" w:rsidRDefault="008D6145" w:rsidP="008D6145">
            <w:pPr>
              <w:suppressAutoHyphens w:val="0"/>
              <w:kinsoku/>
              <w:overflowPunct/>
              <w:autoSpaceDE/>
              <w:autoSpaceDN/>
              <w:adjustRightInd/>
              <w:snapToGrid/>
              <w:spacing w:before="40" w:after="40" w:line="220" w:lineRule="exact"/>
              <w:jc w:val="right"/>
              <w:rPr>
                <w:rFonts w:eastAsia="Times New Roman"/>
                <w:sz w:val="18"/>
              </w:rPr>
            </w:pPr>
            <w:r w:rsidRPr="008D6145">
              <w:rPr>
                <w:rFonts w:eastAsia="Times New Roman"/>
                <w:sz w:val="18"/>
                <w:szCs w:val="22"/>
              </w:rPr>
              <w:t>12,97</w:t>
            </w:r>
          </w:p>
        </w:tc>
        <w:tc>
          <w:tcPr>
            <w:tcW w:w="567" w:type="dxa"/>
            <w:tcBorders>
              <w:bottom w:val="single" w:sz="12" w:space="0" w:color="auto"/>
            </w:tcBorders>
            <w:shd w:val="clear" w:color="auto" w:fill="auto"/>
            <w:noWrap/>
            <w:vAlign w:val="bottom"/>
            <w:hideMark/>
          </w:tcPr>
          <w:p w:rsidR="008D6145" w:rsidRPr="008D6145" w:rsidRDefault="008D6145" w:rsidP="008D6145">
            <w:pPr>
              <w:suppressAutoHyphens w:val="0"/>
              <w:kinsoku/>
              <w:overflowPunct/>
              <w:autoSpaceDE/>
              <w:autoSpaceDN/>
              <w:adjustRightInd/>
              <w:snapToGrid/>
              <w:spacing w:before="40" w:after="40" w:line="220" w:lineRule="exact"/>
              <w:jc w:val="right"/>
              <w:rPr>
                <w:rFonts w:eastAsia="Times New Roman"/>
                <w:sz w:val="18"/>
              </w:rPr>
            </w:pPr>
            <w:r w:rsidRPr="008D6145">
              <w:rPr>
                <w:rFonts w:eastAsia="Times New Roman"/>
                <w:sz w:val="18"/>
                <w:szCs w:val="22"/>
              </w:rPr>
              <w:t>13,86</w:t>
            </w:r>
          </w:p>
        </w:tc>
        <w:tc>
          <w:tcPr>
            <w:tcW w:w="567" w:type="dxa"/>
            <w:tcBorders>
              <w:bottom w:val="single" w:sz="12" w:space="0" w:color="auto"/>
            </w:tcBorders>
            <w:shd w:val="clear" w:color="auto" w:fill="auto"/>
            <w:noWrap/>
            <w:vAlign w:val="bottom"/>
            <w:hideMark/>
          </w:tcPr>
          <w:p w:rsidR="008D6145" w:rsidRPr="008D6145" w:rsidRDefault="008D6145" w:rsidP="008D6145">
            <w:pPr>
              <w:suppressAutoHyphens w:val="0"/>
              <w:kinsoku/>
              <w:overflowPunct/>
              <w:autoSpaceDE/>
              <w:autoSpaceDN/>
              <w:adjustRightInd/>
              <w:snapToGrid/>
              <w:spacing w:before="40" w:after="40" w:line="220" w:lineRule="exact"/>
              <w:jc w:val="right"/>
              <w:rPr>
                <w:rFonts w:eastAsia="Times New Roman"/>
                <w:sz w:val="18"/>
              </w:rPr>
            </w:pPr>
            <w:r w:rsidRPr="008D6145">
              <w:rPr>
                <w:rFonts w:eastAsia="Times New Roman"/>
                <w:sz w:val="18"/>
                <w:szCs w:val="22"/>
              </w:rPr>
              <w:t>13;76</w:t>
            </w:r>
          </w:p>
        </w:tc>
        <w:tc>
          <w:tcPr>
            <w:tcW w:w="567" w:type="dxa"/>
            <w:tcBorders>
              <w:bottom w:val="single" w:sz="12" w:space="0" w:color="auto"/>
            </w:tcBorders>
            <w:shd w:val="clear" w:color="auto" w:fill="auto"/>
            <w:noWrap/>
            <w:vAlign w:val="bottom"/>
            <w:hideMark/>
          </w:tcPr>
          <w:p w:rsidR="008D6145" w:rsidRPr="008D6145" w:rsidRDefault="008D6145" w:rsidP="008D6145">
            <w:pPr>
              <w:suppressAutoHyphens w:val="0"/>
              <w:kinsoku/>
              <w:overflowPunct/>
              <w:autoSpaceDE/>
              <w:autoSpaceDN/>
              <w:adjustRightInd/>
              <w:snapToGrid/>
              <w:spacing w:before="40" w:after="40" w:line="220" w:lineRule="exact"/>
              <w:jc w:val="right"/>
              <w:rPr>
                <w:rFonts w:eastAsia="Times New Roman"/>
                <w:sz w:val="18"/>
              </w:rPr>
            </w:pPr>
            <w:r w:rsidRPr="008D6145">
              <w:rPr>
                <w:rFonts w:eastAsia="Times New Roman"/>
                <w:sz w:val="18"/>
                <w:szCs w:val="22"/>
              </w:rPr>
              <w:t>13,48</w:t>
            </w:r>
          </w:p>
        </w:tc>
        <w:tc>
          <w:tcPr>
            <w:tcW w:w="567" w:type="dxa"/>
            <w:tcBorders>
              <w:bottom w:val="single" w:sz="12" w:space="0" w:color="auto"/>
            </w:tcBorders>
            <w:shd w:val="clear" w:color="auto" w:fill="auto"/>
            <w:noWrap/>
            <w:vAlign w:val="bottom"/>
            <w:hideMark/>
          </w:tcPr>
          <w:p w:rsidR="008D6145" w:rsidRPr="008D6145" w:rsidRDefault="008D6145" w:rsidP="008D6145">
            <w:pPr>
              <w:suppressAutoHyphens w:val="0"/>
              <w:kinsoku/>
              <w:overflowPunct/>
              <w:autoSpaceDE/>
              <w:autoSpaceDN/>
              <w:adjustRightInd/>
              <w:snapToGrid/>
              <w:spacing w:before="40" w:after="40" w:line="220" w:lineRule="exact"/>
              <w:jc w:val="right"/>
              <w:rPr>
                <w:rFonts w:eastAsia="Times New Roman"/>
                <w:sz w:val="18"/>
              </w:rPr>
            </w:pPr>
            <w:r w:rsidRPr="008D6145">
              <w:rPr>
                <w:rFonts w:eastAsia="Times New Roman"/>
                <w:sz w:val="18"/>
                <w:szCs w:val="22"/>
              </w:rPr>
              <w:t>14,07</w:t>
            </w:r>
          </w:p>
        </w:tc>
        <w:tc>
          <w:tcPr>
            <w:tcW w:w="567" w:type="dxa"/>
            <w:tcBorders>
              <w:bottom w:val="single" w:sz="12" w:space="0" w:color="auto"/>
            </w:tcBorders>
            <w:shd w:val="clear" w:color="auto" w:fill="auto"/>
            <w:noWrap/>
            <w:vAlign w:val="bottom"/>
            <w:hideMark/>
          </w:tcPr>
          <w:p w:rsidR="008D6145" w:rsidRPr="008D6145" w:rsidRDefault="008D6145" w:rsidP="008D6145">
            <w:pPr>
              <w:suppressAutoHyphens w:val="0"/>
              <w:kinsoku/>
              <w:overflowPunct/>
              <w:autoSpaceDE/>
              <w:autoSpaceDN/>
              <w:adjustRightInd/>
              <w:snapToGrid/>
              <w:spacing w:before="40" w:after="40" w:line="220" w:lineRule="exact"/>
              <w:jc w:val="right"/>
              <w:rPr>
                <w:rFonts w:eastAsia="Times New Roman"/>
                <w:sz w:val="18"/>
              </w:rPr>
            </w:pPr>
            <w:r w:rsidRPr="008D6145">
              <w:rPr>
                <w:rFonts w:eastAsia="Times New Roman"/>
                <w:sz w:val="18"/>
                <w:szCs w:val="22"/>
              </w:rPr>
              <w:t>11,65</w:t>
            </w:r>
          </w:p>
        </w:tc>
        <w:tc>
          <w:tcPr>
            <w:tcW w:w="567" w:type="dxa"/>
            <w:tcBorders>
              <w:bottom w:val="single" w:sz="12" w:space="0" w:color="auto"/>
            </w:tcBorders>
            <w:shd w:val="clear" w:color="auto" w:fill="auto"/>
            <w:noWrap/>
            <w:vAlign w:val="bottom"/>
            <w:hideMark/>
          </w:tcPr>
          <w:p w:rsidR="008D6145" w:rsidRPr="008D6145" w:rsidRDefault="008D6145" w:rsidP="008D6145">
            <w:pPr>
              <w:suppressAutoHyphens w:val="0"/>
              <w:kinsoku/>
              <w:overflowPunct/>
              <w:autoSpaceDE/>
              <w:autoSpaceDN/>
              <w:adjustRightInd/>
              <w:snapToGrid/>
              <w:spacing w:before="40" w:after="40" w:line="220" w:lineRule="exact"/>
              <w:jc w:val="right"/>
              <w:rPr>
                <w:rFonts w:eastAsia="Times New Roman"/>
                <w:sz w:val="18"/>
              </w:rPr>
            </w:pPr>
            <w:r w:rsidRPr="008D6145">
              <w:rPr>
                <w:rFonts w:eastAsia="Times New Roman"/>
                <w:sz w:val="18"/>
                <w:szCs w:val="22"/>
              </w:rPr>
              <w:t>11,55</w:t>
            </w:r>
          </w:p>
        </w:tc>
        <w:tc>
          <w:tcPr>
            <w:tcW w:w="567" w:type="dxa"/>
            <w:tcBorders>
              <w:bottom w:val="single" w:sz="12" w:space="0" w:color="auto"/>
            </w:tcBorders>
            <w:shd w:val="clear" w:color="auto" w:fill="auto"/>
            <w:noWrap/>
            <w:vAlign w:val="bottom"/>
            <w:hideMark/>
          </w:tcPr>
          <w:p w:rsidR="008D6145" w:rsidRPr="008D6145" w:rsidRDefault="008D6145" w:rsidP="008D6145">
            <w:pPr>
              <w:suppressAutoHyphens w:val="0"/>
              <w:kinsoku/>
              <w:overflowPunct/>
              <w:autoSpaceDE/>
              <w:autoSpaceDN/>
              <w:adjustRightInd/>
              <w:snapToGrid/>
              <w:spacing w:before="40" w:after="40" w:line="220" w:lineRule="exact"/>
              <w:jc w:val="right"/>
              <w:rPr>
                <w:rFonts w:eastAsia="Times New Roman"/>
                <w:sz w:val="18"/>
              </w:rPr>
            </w:pPr>
            <w:r w:rsidRPr="008D6145">
              <w:rPr>
                <w:rFonts w:eastAsia="Times New Roman"/>
                <w:sz w:val="18"/>
                <w:szCs w:val="22"/>
              </w:rPr>
              <w:t>11,76</w:t>
            </w:r>
          </w:p>
        </w:tc>
      </w:tr>
    </w:tbl>
    <w:p w:rsidR="008D6145" w:rsidRPr="008D6145" w:rsidRDefault="008D6145" w:rsidP="008D6145">
      <w:pPr>
        <w:kinsoku/>
        <w:overflowPunct/>
        <w:autoSpaceDE/>
        <w:autoSpaceDN/>
        <w:adjustRightInd/>
        <w:snapToGrid/>
        <w:spacing w:before="120" w:after="120"/>
        <w:ind w:left="1134" w:right="1134" w:firstLine="170"/>
        <w:rPr>
          <w:rFonts w:eastAsia="Times New Roman"/>
          <w:sz w:val="18"/>
          <w:szCs w:val="18"/>
          <w:lang w:val="fr-FR"/>
        </w:rPr>
      </w:pPr>
      <w:r w:rsidRPr="008D6145">
        <w:rPr>
          <w:rFonts w:eastAsia="Times New Roman"/>
          <w:i/>
          <w:sz w:val="18"/>
          <w:szCs w:val="18"/>
          <w:lang w:val="fr-FR"/>
        </w:rPr>
        <w:t>Source</w:t>
      </w:r>
      <w:r w:rsidRPr="008D6145">
        <w:rPr>
          <w:rFonts w:eastAsia="Times New Roman"/>
          <w:sz w:val="18"/>
          <w:szCs w:val="18"/>
          <w:lang w:val="fr-FR"/>
        </w:rPr>
        <w:t xml:space="preserve"> : DPP/MEPS : </w:t>
      </w:r>
      <w:r w:rsidRPr="00821D2B">
        <w:rPr>
          <w:rFonts w:eastAsia="Times New Roman"/>
          <w:iCs/>
          <w:sz w:val="18"/>
          <w:szCs w:val="18"/>
        </w:rPr>
        <w:t>DPP</w:t>
      </w:r>
      <w:r w:rsidRPr="00821D2B">
        <w:rPr>
          <w:rFonts w:eastAsia="Times New Roman"/>
          <w:iCs/>
          <w:sz w:val="18"/>
          <w:szCs w:val="18"/>
          <w:lang w:val="fr-FR"/>
        </w:rPr>
        <w:t>/</w:t>
      </w:r>
      <w:r w:rsidRPr="008D6145">
        <w:rPr>
          <w:rFonts w:eastAsia="Times New Roman"/>
          <w:sz w:val="18"/>
          <w:szCs w:val="18"/>
          <w:lang w:val="fr-FR"/>
        </w:rPr>
        <w:t>MEESFTPRIJ; DPP/MEMP (G : garçons F : Filles T : Total).</w:t>
      </w:r>
    </w:p>
    <w:p w:rsidR="008D6145" w:rsidRPr="008D6145" w:rsidRDefault="008D6145" w:rsidP="00821D2B">
      <w:pPr>
        <w:pStyle w:val="H23G"/>
        <w:rPr>
          <w:lang w:val="fr-FR"/>
        </w:rPr>
      </w:pPr>
      <w:r w:rsidRPr="008D6145">
        <w:rPr>
          <w:lang w:val="fr-FR"/>
        </w:rPr>
        <w:tab/>
      </w:r>
      <w:r w:rsidRPr="008D6145">
        <w:rPr>
          <w:lang w:val="fr-FR"/>
        </w:rPr>
        <w:tab/>
        <w:t>L</w:t>
      </w:r>
      <w:r w:rsidR="00A033A7">
        <w:rPr>
          <w:lang w:val="fr-FR"/>
        </w:rPr>
        <w:t>’</w:t>
      </w:r>
      <w:r w:rsidRPr="008D6145">
        <w:rPr>
          <w:lang w:val="fr-FR"/>
        </w:rPr>
        <w:t xml:space="preserve">enseignement secondaire </w:t>
      </w:r>
    </w:p>
    <w:p w:rsidR="008D6145" w:rsidRPr="00C073F5" w:rsidRDefault="008D6145" w:rsidP="00821D2B">
      <w:pPr>
        <w:pStyle w:val="H4G"/>
        <w:rPr>
          <w:lang w:val="fr-FR"/>
        </w:rPr>
      </w:pPr>
      <w:r w:rsidRPr="008D6145">
        <w:rPr>
          <w:lang w:val="fr-FR"/>
        </w:rPr>
        <w:tab/>
      </w:r>
      <w:r w:rsidRPr="008D6145">
        <w:rPr>
          <w:lang w:val="fr-FR"/>
        </w:rPr>
        <w:tab/>
      </w:r>
      <w:r w:rsidRPr="00C073F5">
        <w:rPr>
          <w:lang w:val="fr-FR"/>
        </w:rPr>
        <w:t>L</w:t>
      </w:r>
      <w:r w:rsidR="00A033A7">
        <w:rPr>
          <w:lang w:val="fr-FR"/>
        </w:rPr>
        <w:t>’</w:t>
      </w:r>
      <w:r w:rsidRPr="00C073F5">
        <w:rPr>
          <w:lang w:val="fr-FR"/>
        </w:rPr>
        <w:t>enseignement secondaire général</w:t>
      </w:r>
    </w:p>
    <w:p w:rsidR="008D6145" w:rsidRPr="008D6145" w:rsidRDefault="00821D2B" w:rsidP="00821D2B">
      <w:pPr>
        <w:pStyle w:val="SingleTxtG"/>
        <w:kinsoku/>
        <w:overflowPunct/>
        <w:autoSpaceDE/>
        <w:autoSpaceDN/>
        <w:adjustRightInd/>
        <w:snapToGrid/>
        <w:rPr>
          <w:rFonts w:eastAsia="Times New Roman"/>
          <w:lang w:val="fr-FR"/>
        </w:rPr>
      </w:pPr>
      <w:r w:rsidRPr="008D6145">
        <w:rPr>
          <w:rFonts w:eastAsia="Times New Roman"/>
          <w:lang w:val="fr-FR"/>
        </w:rPr>
        <w:t>103.</w:t>
      </w:r>
      <w:r w:rsidRPr="008D6145">
        <w:rPr>
          <w:rFonts w:eastAsia="Times New Roman"/>
          <w:lang w:val="fr-FR"/>
        </w:rPr>
        <w:tab/>
      </w:r>
      <w:r w:rsidR="008D6145" w:rsidRPr="008D6145">
        <w:rPr>
          <w:rFonts w:eastAsia="Times New Roman"/>
          <w:lang w:val="fr-FR"/>
        </w:rPr>
        <w:t>Les programmes par compétence introduits dans le système permettent aux élèves de participer activement aux enseignements afin de mieux cerner les concepts. Ils visent donc à acquérir et à intégrer les apprentissages et compétences à réinvestir dans la vie courante.</w:t>
      </w:r>
    </w:p>
    <w:p w:rsidR="008D6145" w:rsidRPr="008D6145" w:rsidRDefault="00821D2B" w:rsidP="00821D2B">
      <w:pPr>
        <w:pStyle w:val="SingleTxtG"/>
        <w:kinsoku/>
        <w:overflowPunct/>
        <w:autoSpaceDE/>
        <w:autoSpaceDN/>
        <w:adjustRightInd/>
        <w:snapToGrid/>
        <w:rPr>
          <w:rFonts w:eastAsia="Times New Roman"/>
          <w:lang w:val="fr-FR"/>
        </w:rPr>
      </w:pPr>
      <w:r w:rsidRPr="008D6145">
        <w:rPr>
          <w:rFonts w:eastAsia="Times New Roman"/>
          <w:lang w:val="fr-FR"/>
        </w:rPr>
        <w:t>104.</w:t>
      </w:r>
      <w:r w:rsidRPr="008D6145">
        <w:rPr>
          <w:rFonts w:eastAsia="Times New Roman"/>
          <w:lang w:val="fr-FR"/>
        </w:rPr>
        <w:tab/>
      </w:r>
      <w:r w:rsidR="008D6145" w:rsidRPr="008D6145">
        <w:rPr>
          <w:rFonts w:eastAsia="Times New Roman"/>
          <w:lang w:val="fr-FR"/>
        </w:rPr>
        <w:t>Les collèges d</w:t>
      </w:r>
      <w:r w:rsidR="00A033A7">
        <w:rPr>
          <w:rFonts w:eastAsia="Times New Roman"/>
          <w:lang w:val="fr-FR"/>
        </w:rPr>
        <w:t>’</w:t>
      </w:r>
      <w:r w:rsidR="008D6145" w:rsidRPr="008D6145">
        <w:rPr>
          <w:rFonts w:eastAsia="Times New Roman"/>
          <w:lang w:val="fr-FR"/>
        </w:rPr>
        <w:t>enseignement général et lycées couvrent presque tout le territoire national. Cependant, l</w:t>
      </w:r>
      <w:r w:rsidR="00A033A7">
        <w:rPr>
          <w:rFonts w:eastAsia="Times New Roman"/>
          <w:lang w:val="fr-FR"/>
        </w:rPr>
        <w:t>’</w:t>
      </w:r>
      <w:r w:rsidR="008D6145" w:rsidRPr="008D6145">
        <w:rPr>
          <w:rFonts w:eastAsia="Times New Roman"/>
          <w:lang w:val="fr-FR"/>
        </w:rPr>
        <w:t>insuffisance des salles de classes et de mobiliers dans le public constitue un handicap aux apprentissages comme le montrent les ratios, nombre de groupes pédagogiques par salles de classe et nombre d</w:t>
      </w:r>
      <w:r w:rsidR="00A033A7">
        <w:rPr>
          <w:rFonts w:eastAsia="Times New Roman"/>
          <w:lang w:val="fr-FR"/>
        </w:rPr>
        <w:t>’</w:t>
      </w:r>
      <w:r w:rsidR="008D6145" w:rsidRPr="008D6145">
        <w:rPr>
          <w:rFonts w:eastAsia="Times New Roman"/>
          <w:lang w:val="fr-FR"/>
        </w:rPr>
        <w:t xml:space="preserve">élèves par place assise, qui sont respectivement de 1,6 et 1,3. </w:t>
      </w:r>
    </w:p>
    <w:p w:rsidR="008D6145" w:rsidRPr="008D6145" w:rsidRDefault="00821D2B" w:rsidP="00821D2B">
      <w:pPr>
        <w:pStyle w:val="SingleTxtG"/>
        <w:kinsoku/>
        <w:overflowPunct/>
        <w:autoSpaceDE/>
        <w:autoSpaceDN/>
        <w:adjustRightInd/>
        <w:snapToGrid/>
        <w:rPr>
          <w:rFonts w:eastAsia="Times New Roman"/>
          <w:lang w:val="fr-FR"/>
        </w:rPr>
      </w:pPr>
      <w:r w:rsidRPr="008D6145">
        <w:rPr>
          <w:rFonts w:eastAsia="Times New Roman"/>
          <w:lang w:val="fr-FR"/>
        </w:rPr>
        <w:t>105.</w:t>
      </w:r>
      <w:r w:rsidRPr="008D6145">
        <w:rPr>
          <w:rFonts w:eastAsia="Times New Roman"/>
          <w:lang w:val="fr-FR"/>
        </w:rPr>
        <w:tab/>
      </w:r>
      <w:r w:rsidR="008D6145" w:rsidRPr="008D6145">
        <w:rPr>
          <w:rFonts w:eastAsia="Times New Roman"/>
          <w:lang w:val="fr-FR"/>
        </w:rPr>
        <w:t>La fin des études du secondaire est sanctionnée par</w:t>
      </w:r>
      <w:r w:rsidR="00A033A7">
        <w:rPr>
          <w:rFonts w:eastAsia="Times New Roman"/>
          <w:lang w:val="fr-FR"/>
        </w:rPr>
        <w:t xml:space="preserve"> </w:t>
      </w:r>
      <w:r w:rsidR="008D6145" w:rsidRPr="008D6145">
        <w:rPr>
          <w:rFonts w:eastAsia="Times New Roman"/>
          <w:lang w:val="fr-FR"/>
        </w:rPr>
        <w:t>le Brevet d</w:t>
      </w:r>
      <w:r w:rsidR="00A033A7">
        <w:rPr>
          <w:rFonts w:eastAsia="Times New Roman"/>
          <w:lang w:val="fr-FR"/>
        </w:rPr>
        <w:t>’</w:t>
      </w:r>
      <w:r w:rsidR="008D6145" w:rsidRPr="008D6145">
        <w:rPr>
          <w:rFonts w:eastAsia="Times New Roman"/>
          <w:lang w:val="fr-FR"/>
        </w:rPr>
        <w:t>Etude du Premier Cycle (BEPC). Les statistiques de l</w:t>
      </w:r>
      <w:r w:rsidR="00A033A7">
        <w:rPr>
          <w:rFonts w:eastAsia="Times New Roman"/>
          <w:lang w:val="fr-FR"/>
        </w:rPr>
        <w:t>’</w:t>
      </w:r>
      <w:r w:rsidR="008D6145" w:rsidRPr="008D6145">
        <w:rPr>
          <w:rFonts w:eastAsia="Times New Roman"/>
          <w:lang w:val="fr-FR"/>
        </w:rPr>
        <w:t>année 2016 qui font partie des plus faibles (16</w:t>
      </w:r>
      <w:r w:rsidR="0002318D">
        <w:rPr>
          <w:rFonts w:eastAsia="Times New Roman"/>
          <w:lang w:val="fr-FR"/>
        </w:rPr>
        <w:t> </w:t>
      </w:r>
      <w:r w:rsidR="008D6145" w:rsidRPr="008D6145">
        <w:rPr>
          <w:rFonts w:eastAsia="Times New Roman"/>
          <w:lang w:val="fr-FR"/>
        </w:rPr>
        <w:t>%) au cours de la période sous examen, se présentent, ainsi qu</w:t>
      </w:r>
      <w:r w:rsidR="00A033A7">
        <w:rPr>
          <w:rFonts w:eastAsia="Times New Roman"/>
          <w:lang w:val="fr-FR"/>
        </w:rPr>
        <w:t>’</w:t>
      </w:r>
      <w:r w:rsidR="008D6145" w:rsidRPr="008D6145">
        <w:rPr>
          <w:rFonts w:eastAsia="Times New Roman"/>
          <w:lang w:val="fr-FR"/>
        </w:rPr>
        <w:t>il suit :</w:t>
      </w:r>
    </w:p>
    <w:p w:rsidR="008D6145" w:rsidRPr="008D6145" w:rsidRDefault="00957188" w:rsidP="00821D2B">
      <w:pPr>
        <w:pStyle w:val="H23G"/>
        <w:rPr>
          <w:lang w:val="fr-FR"/>
        </w:rPr>
      </w:pPr>
      <w:r>
        <w:rPr>
          <w:lang w:val="fr-FR"/>
        </w:rPr>
        <w:tab/>
      </w:r>
      <w:r>
        <w:rPr>
          <w:lang w:val="fr-FR"/>
        </w:rPr>
        <w:tab/>
      </w:r>
      <w:r w:rsidR="008D6145" w:rsidRPr="00821D2B">
        <w:rPr>
          <w:b w:val="0"/>
          <w:bCs/>
          <w:lang w:val="fr-FR"/>
        </w:rPr>
        <w:t xml:space="preserve">Tableau </w:t>
      </w:r>
      <w:r w:rsidRPr="00957188">
        <w:rPr>
          <w:rFonts w:eastAsia="Times New Roman"/>
          <w:b w:val="0"/>
          <w:bCs/>
          <w:lang w:val="fr-FR"/>
        </w:rPr>
        <w:t>n</w:t>
      </w:r>
      <w:r w:rsidRPr="00957188">
        <w:rPr>
          <w:rFonts w:eastAsia="Times New Roman"/>
          <w:b w:val="0"/>
          <w:bCs/>
          <w:vertAlign w:val="superscript"/>
          <w:lang w:val="fr-FR"/>
        </w:rPr>
        <w:t>o</w:t>
      </w:r>
      <w:r w:rsidRPr="00957188">
        <w:rPr>
          <w:rFonts w:eastAsia="Times New Roman"/>
          <w:b w:val="0"/>
          <w:bCs/>
          <w:lang w:val="fr-FR"/>
        </w:rPr>
        <w:t> </w:t>
      </w:r>
      <w:r w:rsidR="008D6145" w:rsidRPr="00821D2B">
        <w:rPr>
          <w:b w:val="0"/>
          <w:bCs/>
          <w:lang w:val="fr-FR"/>
        </w:rPr>
        <w:t>9 </w:t>
      </w:r>
      <w:r w:rsidR="008D6145" w:rsidRPr="00821D2B">
        <w:rPr>
          <w:b w:val="0"/>
          <w:bCs/>
          <w:lang w:val="fr-FR"/>
        </w:rPr>
        <w:br/>
      </w:r>
      <w:r w:rsidR="008D6145" w:rsidRPr="008D6145">
        <w:rPr>
          <w:lang w:val="fr-FR"/>
        </w:rPr>
        <w:t>Statistiques du BEPC 2016 par département</w:t>
      </w:r>
    </w:p>
    <w:tbl>
      <w:tblPr>
        <w:tblStyle w:val="TableGrid1"/>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6"/>
        <w:gridCol w:w="3686"/>
      </w:tblGrid>
      <w:tr w:rsidR="008D6145" w:rsidRPr="008D6145" w:rsidTr="00821D2B">
        <w:trPr>
          <w:tblHeader/>
        </w:trPr>
        <w:tc>
          <w:tcPr>
            <w:tcW w:w="3686" w:type="dxa"/>
            <w:tcBorders>
              <w:top w:val="single" w:sz="4" w:space="0" w:color="auto"/>
              <w:bottom w:val="single" w:sz="12" w:space="0" w:color="auto"/>
            </w:tcBorders>
            <w:shd w:val="clear" w:color="auto" w:fill="auto"/>
            <w:vAlign w:val="bottom"/>
          </w:tcPr>
          <w:p w:rsidR="008D6145" w:rsidRPr="008D6145" w:rsidRDefault="008D6145" w:rsidP="008D6145">
            <w:pPr>
              <w:suppressAutoHyphens w:val="0"/>
              <w:kinsoku/>
              <w:overflowPunct/>
              <w:autoSpaceDE/>
              <w:autoSpaceDN/>
              <w:adjustRightInd/>
              <w:snapToGrid/>
              <w:spacing w:before="80" w:after="80" w:line="200" w:lineRule="exact"/>
              <w:rPr>
                <w:i/>
                <w:sz w:val="16"/>
                <w:szCs w:val="28"/>
              </w:rPr>
            </w:pPr>
            <w:r w:rsidRPr="008D6145">
              <w:rPr>
                <w:i/>
                <w:sz w:val="16"/>
                <w:szCs w:val="28"/>
              </w:rPr>
              <w:t>Départements</w:t>
            </w:r>
          </w:p>
        </w:tc>
        <w:tc>
          <w:tcPr>
            <w:tcW w:w="3686" w:type="dxa"/>
            <w:tcBorders>
              <w:top w:val="single" w:sz="4" w:space="0" w:color="auto"/>
              <w:bottom w:val="single" w:sz="12" w:space="0" w:color="auto"/>
            </w:tcBorders>
            <w:shd w:val="clear" w:color="auto" w:fill="auto"/>
            <w:vAlign w:val="bottom"/>
          </w:tcPr>
          <w:p w:rsidR="008D6145" w:rsidRPr="008D6145" w:rsidRDefault="008D6145" w:rsidP="00821D2B">
            <w:pPr>
              <w:suppressAutoHyphens w:val="0"/>
              <w:kinsoku/>
              <w:overflowPunct/>
              <w:autoSpaceDE/>
              <w:autoSpaceDN/>
              <w:adjustRightInd/>
              <w:snapToGrid/>
              <w:spacing w:before="80" w:after="80" w:line="200" w:lineRule="exact"/>
              <w:jc w:val="right"/>
              <w:rPr>
                <w:i/>
                <w:sz w:val="16"/>
                <w:szCs w:val="28"/>
              </w:rPr>
            </w:pPr>
            <w:r w:rsidRPr="008D6145">
              <w:rPr>
                <w:i/>
                <w:sz w:val="16"/>
                <w:szCs w:val="28"/>
              </w:rPr>
              <w:t>Pourcentages</w:t>
            </w:r>
          </w:p>
        </w:tc>
      </w:tr>
      <w:tr w:rsidR="008D6145" w:rsidRPr="008D6145" w:rsidTr="00821D2B">
        <w:tc>
          <w:tcPr>
            <w:tcW w:w="3686" w:type="dxa"/>
            <w:tcBorders>
              <w:top w:val="single" w:sz="12" w:space="0" w:color="auto"/>
            </w:tcBorders>
            <w:shd w:val="clear" w:color="auto" w:fill="auto"/>
          </w:tcPr>
          <w:p w:rsidR="008D6145" w:rsidRPr="008D6145" w:rsidRDefault="008D6145" w:rsidP="008D6145">
            <w:pPr>
              <w:suppressAutoHyphens w:val="0"/>
              <w:kinsoku/>
              <w:overflowPunct/>
              <w:autoSpaceDE/>
              <w:autoSpaceDN/>
              <w:adjustRightInd/>
              <w:snapToGrid/>
              <w:spacing w:before="40" w:after="40" w:line="220" w:lineRule="exact"/>
              <w:rPr>
                <w:sz w:val="18"/>
                <w:szCs w:val="28"/>
              </w:rPr>
            </w:pPr>
            <w:r w:rsidRPr="008D6145">
              <w:rPr>
                <w:sz w:val="18"/>
                <w:szCs w:val="28"/>
              </w:rPr>
              <w:t>Atlantique-Littoral</w:t>
            </w:r>
          </w:p>
        </w:tc>
        <w:tc>
          <w:tcPr>
            <w:tcW w:w="3686" w:type="dxa"/>
            <w:tcBorders>
              <w:top w:val="single" w:sz="12" w:space="0" w:color="auto"/>
            </w:tcBorders>
            <w:shd w:val="clear" w:color="auto" w:fill="auto"/>
            <w:vAlign w:val="bottom"/>
          </w:tcPr>
          <w:p w:rsidR="008D6145" w:rsidRPr="008D6145" w:rsidRDefault="008D6145" w:rsidP="00821D2B">
            <w:pPr>
              <w:suppressAutoHyphens w:val="0"/>
              <w:kinsoku/>
              <w:overflowPunct/>
              <w:autoSpaceDE/>
              <w:autoSpaceDN/>
              <w:adjustRightInd/>
              <w:snapToGrid/>
              <w:spacing w:before="40" w:after="40" w:line="220" w:lineRule="exact"/>
              <w:jc w:val="right"/>
              <w:rPr>
                <w:sz w:val="18"/>
                <w:szCs w:val="28"/>
              </w:rPr>
            </w:pPr>
            <w:r w:rsidRPr="008D6145">
              <w:rPr>
                <w:sz w:val="18"/>
                <w:szCs w:val="28"/>
              </w:rPr>
              <w:t>21,08</w:t>
            </w:r>
            <w:r w:rsidR="00957188">
              <w:rPr>
                <w:sz w:val="18"/>
                <w:szCs w:val="28"/>
              </w:rPr>
              <w:t> </w:t>
            </w:r>
            <w:r w:rsidRPr="008D6145">
              <w:rPr>
                <w:sz w:val="18"/>
                <w:szCs w:val="28"/>
              </w:rPr>
              <w:t>%</w:t>
            </w:r>
          </w:p>
        </w:tc>
      </w:tr>
      <w:tr w:rsidR="008D6145" w:rsidRPr="008D6145" w:rsidTr="00821D2B">
        <w:tc>
          <w:tcPr>
            <w:tcW w:w="3686" w:type="dxa"/>
            <w:shd w:val="clear" w:color="auto" w:fill="auto"/>
          </w:tcPr>
          <w:p w:rsidR="008D6145" w:rsidRPr="008D6145" w:rsidRDefault="008D6145" w:rsidP="008D6145">
            <w:pPr>
              <w:suppressAutoHyphens w:val="0"/>
              <w:kinsoku/>
              <w:overflowPunct/>
              <w:autoSpaceDE/>
              <w:autoSpaceDN/>
              <w:adjustRightInd/>
              <w:snapToGrid/>
              <w:spacing w:before="40" w:after="40" w:line="220" w:lineRule="exact"/>
              <w:rPr>
                <w:sz w:val="18"/>
                <w:szCs w:val="28"/>
              </w:rPr>
            </w:pPr>
            <w:r w:rsidRPr="008D6145">
              <w:rPr>
                <w:sz w:val="18"/>
                <w:szCs w:val="28"/>
              </w:rPr>
              <w:t>Borgou-Alibori</w:t>
            </w:r>
          </w:p>
        </w:tc>
        <w:tc>
          <w:tcPr>
            <w:tcW w:w="3686" w:type="dxa"/>
            <w:shd w:val="clear" w:color="auto" w:fill="auto"/>
            <w:vAlign w:val="bottom"/>
          </w:tcPr>
          <w:p w:rsidR="008D6145" w:rsidRPr="008D6145" w:rsidRDefault="008D6145" w:rsidP="00821D2B">
            <w:pPr>
              <w:suppressAutoHyphens w:val="0"/>
              <w:kinsoku/>
              <w:overflowPunct/>
              <w:autoSpaceDE/>
              <w:autoSpaceDN/>
              <w:adjustRightInd/>
              <w:snapToGrid/>
              <w:spacing w:before="40" w:after="40" w:line="220" w:lineRule="exact"/>
              <w:jc w:val="right"/>
              <w:rPr>
                <w:sz w:val="18"/>
                <w:szCs w:val="28"/>
              </w:rPr>
            </w:pPr>
            <w:r w:rsidRPr="008D6145">
              <w:rPr>
                <w:sz w:val="18"/>
                <w:szCs w:val="28"/>
              </w:rPr>
              <w:t>15,58</w:t>
            </w:r>
            <w:r w:rsidR="00957188">
              <w:rPr>
                <w:sz w:val="18"/>
                <w:szCs w:val="28"/>
              </w:rPr>
              <w:t> </w:t>
            </w:r>
            <w:r w:rsidRPr="008D6145">
              <w:rPr>
                <w:sz w:val="18"/>
                <w:szCs w:val="28"/>
              </w:rPr>
              <w:t>%</w:t>
            </w:r>
          </w:p>
        </w:tc>
      </w:tr>
      <w:tr w:rsidR="008D6145" w:rsidRPr="008D6145" w:rsidTr="00821D2B">
        <w:tc>
          <w:tcPr>
            <w:tcW w:w="3686" w:type="dxa"/>
            <w:shd w:val="clear" w:color="auto" w:fill="auto"/>
          </w:tcPr>
          <w:p w:rsidR="008D6145" w:rsidRPr="008D6145" w:rsidRDefault="008D6145" w:rsidP="008D6145">
            <w:pPr>
              <w:suppressAutoHyphens w:val="0"/>
              <w:kinsoku/>
              <w:overflowPunct/>
              <w:autoSpaceDE/>
              <w:autoSpaceDN/>
              <w:adjustRightInd/>
              <w:snapToGrid/>
              <w:spacing w:before="40" w:after="40" w:line="220" w:lineRule="exact"/>
              <w:rPr>
                <w:sz w:val="18"/>
                <w:szCs w:val="28"/>
              </w:rPr>
            </w:pPr>
            <w:r w:rsidRPr="008D6145">
              <w:rPr>
                <w:sz w:val="18"/>
                <w:szCs w:val="28"/>
              </w:rPr>
              <w:t>Oueme-Plateau</w:t>
            </w:r>
          </w:p>
        </w:tc>
        <w:tc>
          <w:tcPr>
            <w:tcW w:w="3686" w:type="dxa"/>
            <w:shd w:val="clear" w:color="auto" w:fill="auto"/>
            <w:vAlign w:val="bottom"/>
          </w:tcPr>
          <w:p w:rsidR="008D6145" w:rsidRPr="008D6145" w:rsidRDefault="008D6145" w:rsidP="00821D2B">
            <w:pPr>
              <w:suppressAutoHyphens w:val="0"/>
              <w:kinsoku/>
              <w:overflowPunct/>
              <w:autoSpaceDE/>
              <w:autoSpaceDN/>
              <w:adjustRightInd/>
              <w:snapToGrid/>
              <w:spacing w:before="40" w:after="40" w:line="220" w:lineRule="exact"/>
              <w:jc w:val="right"/>
              <w:rPr>
                <w:sz w:val="18"/>
                <w:szCs w:val="28"/>
              </w:rPr>
            </w:pPr>
            <w:r w:rsidRPr="008D6145">
              <w:rPr>
                <w:sz w:val="18"/>
                <w:szCs w:val="28"/>
              </w:rPr>
              <w:t>14,47</w:t>
            </w:r>
            <w:r w:rsidR="00957188">
              <w:rPr>
                <w:sz w:val="18"/>
                <w:szCs w:val="28"/>
              </w:rPr>
              <w:t> </w:t>
            </w:r>
            <w:r w:rsidRPr="008D6145">
              <w:rPr>
                <w:sz w:val="18"/>
                <w:szCs w:val="28"/>
              </w:rPr>
              <w:t>%</w:t>
            </w:r>
          </w:p>
        </w:tc>
      </w:tr>
      <w:tr w:rsidR="008D6145" w:rsidRPr="008D6145" w:rsidTr="00821D2B">
        <w:tc>
          <w:tcPr>
            <w:tcW w:w="3686" w:type="dxa"/>
            <w:shd w:val="clear" w:color="auto" w:fill="auto"/>
          </w:tcPr>
          <w:p w:rsidR="008D6145" w:rsidRPr="008D6145" w:rsidRDefault="008D6145" w:rsidP="008D6145">
            <w:pPr>
              <w:suppressAutoHyphens w:val="0"/>
              <w:kinsoku/>
              <w:overflowPunct/>
              <w:autoSpaceDE/>
              <w:autoSpaceDN/>
              <w:adjustRightInd/>
              <w:snapToGrid/>
              <w:spacing w:before="40" w:after="40" w:line="220" w:lineRule="exact"/>
              <w:rPr>
                <w:sz w:val="18"/>
                <w:szCs w:val="28"/>
              </w:rPr>
            </w:pPr>
            <w:r w:rsidRPr="008D6145">
              <w:rPr>
                <w:sz w:val="18"/>
                <w:szCs w:val="28"/>
              </w:rPr>
              <w:lastRenderedPageBreak/>
              <w:t>Zou-Collines</w:t>
            </w:r>
          </w:p>
        </w:tc>
        <w:tc>
          <w:tcPr>
            <w:tcW w:w="3686" w:type="dxa"/>
            <w:shd w:val="clear" w:color="auto" w:fill="auto"/>
            <w:vAlign w:val="bottom"/>
          </w:tcPr>
          <w:p w:rsidR="008D6145" w:rsidRPr="008D6145" w:rsidRDefault="008D6145" w:rsidP="00821D2B">
            <w:pPr>
              <w:suppressAutoHyphens w:val="0"/>
              <w:kinsoku/>
              <w:overflowPunct/>
              <w:autoSpaceDE/>
              <w:autoSpaceDN/>
              <w:adjustRightInd/>
              <w:snapToGrid/>
              <w:spacing w:before="40" w:after="40" w:line="220" w:lineRule="exact"/>
              <w:jc w:val="right"/>
              <w:rPr>
                <w:sz w:val="18"/>
                <w:szCs w:val="28"/>
              </w:rPr>
            </w:pPr>
            <w:r w:rsidRPr="008D6145">
              <w:rPr>
                <w:sz w:val="18"/>
                <w:szCs w:val="28"/>
              </w:rPr>
              <w:t>13,48</w:t>
            </w:r>
            <w:r w:rsidR="00957188">
              <w:rPr>
                <w:sz w:val="18"/>
                <w:szCs w:val="28"/>
              </w:rPr>
              <w:t> </w:t>
            </w:r>
            <w:r w:rsidRPr="008D6145">
              <w:rPr>
                <w:sz w:val="18"/>
                <w:szCs w:val="28"/>
              </w:rPr>
              <w:t>%</w:t>
            </w:r>
          </w:p>
        </w:tc>
      </w:tr>
      <w:tr w:rsidR="008D6145" w:rsidRPr="008D6145" w:rsidTr="00821D2B">
        <w:tc>
          <w:tcPr>
            <w:tcW w:w="3686" w:type="dxa"/>
            <w:shd w:val="clear" w:color="auto" w:fill="auto"/>
          </w:tcPr>
          <w:p w:rsidR="008D6145" w:rsidRPr="008D6145" w:rsidRDefault="008D6145" w:rsidP="008D6145">
            <w:pPr>
              <w:suppressAutoHyphens w:val="0"/>
              <w:kinsoku/>
              <w:overflowPunct/>
              <w:autoSpaceDE/>
              <w:autoSpaceDN/>
              <w:adjustRightInd/>
              <w:snapToGrid/>
              <w:spacing w:before="40" w:after="40" w:line="220" w:lineRule="exact"/>
              <w:rPr>
                <w:sz w:val="18"/>
                <w:szCs w:val="28"/>
              </w:rPr>
            </w:pPr>
            <w:r w:rsidRPr="008D6145">
              <w:rPr>
                <w:sz w:val="18"/>
                <w:szCs w:val="28"/>
              </w:rPr>
              <w:t>Mono-Couffo</w:t>
            </w:r>
          </w:p>
        </w:tc>
        <w:tc>
          <w:tcPr>
            <w:tcW w:w="3686" w:type="dxa"/>
            <w:shd w:val="clear" w:color="auto" w:fill="auto"/>
            <w:vAlign w:val="bottom"/>
          </w:tcPr>
          <w:p w:rsidR="008D6145" w:rsidRPr="008D6145" w:rsidRDefault="008D6145" w:rsidP="00821D2B">
            <w:pPr>
              <w:suppressAutoHyphens w:val="0"/>
              <w:kinsoku/>
              <w:overflowPunct/>
              <w:autoSpaceDE/>
              <w:autoSpaceDN/>
              <w:adjustRightInd/>
              <w:snapToGrid/>
              <w:spacing w:before="40" w:after="40" w:line="220" w:lineRule="exact"/>
              <w:jc w:val="right"/>
              <w:rPr>
                <w:sz w:val="18"/>
                <w:szCs w:val="28"/>
              </w:rPr>
            </w:pPr>
            <w:r w:rsidRPr="008D6145">
              <w:rPr>
                <w:sz w:val="18"/>
                <w:szCs w:val="28"/>
              </w:rPr>
              <w:t>13,18</w:t>
            </w:r>
            <w:r w:rsidR="00957188">
              <w:rPr>
                <w:sz w:val="18"/>
                <w:szCs w:val="28"/>
              </w:rPr>
              <w:t> </w:t>
            </w:r>
            <w:r w:rsidRPr="008D6145">
              <w:rPr>
                <w:sz w:val="18"/>
                <w:szCs w:val="28"/>
              </w:rPr>
              <w:t>%</w:t>
            </w:r>
          </w:p>
        </w:tc>
      </w:tr>
      <w:tr w:rsidR="008D6145" w:rsidRPr="008D6145" w:rsidTr="00821D2B">
        <w:tc>
          <w:tcPr>
            <w:tcW w:w="3686" w:type="dxa"/>
            <w:shd w:val="clear" w:color="auto" w:fill="auto"/>
          </w:tcPr>
          <w:p w:rsidR="008D6145" w:rsidRPr="008D6145" w:rsidRDefault="008D6145" w:rsidP="008D6145">
            <w:pPr>
              <w:suppressAutoHyphens w:val="0"/>
              <w:kinsoku/>
              <w:overflowPunct/>
              <w:autoSpaceDE/>
              <w:autoSpaceDN/>
              <w:adjustRightInd/>
              <w:snapToGrid/>
              <w:spacing w:before="40" w:after="40" w:line="220" w:lineRule="exact"/>
              <w:rPr>
                <w:sz w:val="18"/>
                <w:szCs w:val="28"/>
              </w:rPr>
            </w:pPr>
            <w:r w:rsidRPr="008D6145">
              <w:rPr>
                <w:sz w:val="18"/>
                <w:szCs w:val="28"/>
              </w:rPr>
              <w:t>Atacora-Donga</w:t>
            </w:r>
          </w:p>
        </w:tc>
        <w:tc>
          <w:tcPr>
            <w:tcW w:w="3686" w:type="dxa"/>
            <w:shd w:val="clear" w:color="auto" w:fill="auto"/>
            <w:vAlign w:val="bottom"/>
          </w:tcPr>
          <w:p w:rsidR="008D6145" w:rsidRPr="008D6145" w:rsidRDefault="008D6145" w:rsidP="00821D2B">
            <w:pPr>
              <w:suppressAutoHyphens w:val="0"/>
              <w:kinsoku/>
              <w:overflowPunct/>
              <w:autoSpaceDE/>
              <w:autoSpaceDN/>
              <w:adjustRightInd/>
              <w:snapToGrid/>
              <w:spacing w:before="40" w:after="40" w:line="220" w:lineRule="exact"/>
              <w:jc w:val="right"/>
              <w:rPr>
                <w:sz w:val="18"/>
                <w:szCs w:val="28"/>
              </w:rPr>
            </w:pPr>
            <w:r w:rsidRPr="008D6145">
              <w:rPr>
                <w:sz w:val="18"/>
                <w:szCs w:val="28"/>
              </w:rPr>
              <w:t>11,98</w:t>
            </w:r>
            <w:r w:rsidR="00957188">
              <w:rPr>
                <w:sz w:val="18"/>
                <w:szCs w:val="28"/>
              </w:rPr>
              <w:t> </w:t>
            </w:r>
            <w:r w:rsidRPr="008D6145">
              <w:rPr>
                <w:sz w:val="18"/>
                <w:szCs w:val="28"/>
              </w:rPr>
              <w:t>%</w:t>
            </w:r>
          </w:p>
        </w:tc>
      </w:tr>
      <w:tr w:rsidR="008D6145" w:rsidRPr="008D6145" w:rsidTr="00821D2B">
        <w:tc>
          <w:tcPr>
            <w:tcW w:w="3686" w:type="dxa"/>
            <w:tcBorders>
              <w:bottom w:val="single" w:sz="12" w:space="0" w:color="auto"/>
            </w:tcBorders>
            <w:shd w:val="clear" w:color="auto" w:fill="auto"/>
          </w:tcPr>
          <w:p w:rsidR="008D6145" w:rsidRPr="008D6145" w:rsidRDefault="008D6145" w:rsidP="008D6145">
            <w:pPr>
              <w:suppressAutoHyphens w:val="0"/>
              <w:kinsoku/>
              <w:overflowPunct/>
              <w:autoSpaceDE/>
              <w:autoSpaceDN/>
              <w:adjustRightInd/>
              <w:snapToGrid/>
              <w:spacing w:before="40" w:after="40" w:line="220" w:lineRule="exact"/>
              <w:rPr>
                <w:sz w:val="18"/>
                <w:szCs w:val="28"/>
              </w:rPr>
            </w:pPr>
            <w:r w:rsidRPr="008D6145">
              <w:rPr>
                <w:sz w:val="18"/>
                <w:szCs w:val="28"/>
              </w:rPr>
              <w:t>Ensemble</w:t>
            </w:r>
          </w:p>
        </w:tc>
        <w:tc>
          <w:tcPr>
            <w:tcW w:w="3686" w:type="dxa"/>
            <w:tcBorders>
              <w:bottom w:val="single" w:sz="12" w:space="0" w:color="auto"/>
            </w:tcBorders>
            <w:shd w:val="clear" w:color="auto" w:fill="auto"/>
            <w:vAlign w:val="bottom"/>
          </w:tcPr>
          <w:p w:rsidR="008D6145" w:rsidRPr="008D6145" w:rsidRDefault="008D6145" w:rsidP="00821D2B">
            <w:pPr>
              <w:suppressAutoHyphens w:val="0"/>
              <w:kinsoku/>
              <w:overflowPunct/>
              <w:autoSpaceDE/>
              <w:autoSpaceDN/>
              <w:adjustRightInd/>
              <w:snapToGrid/>
              <w:spacing w:before="40" w:after="40" w:line="220" w:lineRule="exact"/>
              <w:jc w:val="right"/>
              <w:rPr>
                <w:sz w:val="18"/>
                <w:szCs w:val="28"/>
              </w:rPr>
            </w:pPr>
            <w:r w:rsidRPr="008D6145">
              <w:rPr>
                <w:sz w:val="18"/>
                <w:szCs w:val="28"/>
              </w:rPr>
              <w:t>16</w:t>
            </w:r>
            <w:r w:rsidR="00957188">
              <w:rPr>
                <w:sz w:val="18"/>
                <w:szCs w:val="28"/>
              </w:rPr>
              <w:t> </w:t>
            </w:r>
            <w:r w:rsidRPr="008D6145">
              <w:rPr>
                <w:sz w:val="18"/>
                <w:szCs w:val="28"/>
              </w:rPr>
              <w:t>%</w:t>
            </w:r>
          </w:p>
        </w:tc>
      </w:tr>
    </w:tbl>
    <w:p w:rsidR="008D6145" w:rsidRPr="008D6145" w:rsidRDefault="008D6145" w:rsidP="008D6145">
      <w:pPr>
        <w:kinsoku/>
        <w:overflowPunct/>
        <w:autoSpaceDE/>
        <w:autoSpaceDN/>
        <w:adjustRightInd/>
        <w:snapToGrid/>
        <w:spacing w:before="120" w:after="120"/>
        <w:ind w:left="1134" w:right="1134" w:firstLine="170"/>
        <w:rPr>
          <w:rFonts w:eastAsia="Times New Roman"/>
          <w:sz w:val="18"/>
          <w:szCs w:val="18"/>
          <w:lang w:val="fr-FR"/>
        </w:rPr>
      </w:pPr>
      <w:r w:rsidRPr="008D6145">
        <w:rPr>
          <w:rFonts w:eastAsia="Times New Roman"/>
          <w:i/>
          <w:sz w:val="18"/>
          <w:szCs w:val="18"/>
          <w:lang w:val="fr-FR"/>
        </w:rPr>
        <w:t>Source</w:t>
      </w:r>
      <w:r w:rsidRPr="008D6145">
        <w:rPr>
          <w:rFonts w:eastAsia="Times New Roman"/>
          <w:sz w:val="18"/>
          <w:szCs w:val="18"/>
          <w:lang w:val="fr-FR"/>
        </w:rPr>
        <w:t xml:space="preserve"> : </w:t>
      </w:r>
      <w:r w:rsidRPr="00821D2B">
        <w:rPr>
          <w:rFonts w:eastAsia="Times New Roman"/>
          <w:iCs/>
          <w:sz w:val="18"/>
          <w:szCs w:val="18"/>
        </w:rPr>
        <w:t>DEC</w:t>
      </w:r>
      <w:r w:rsidRPr="00821D2B">
        <w:rPr>
          <w:rFonts w:eastAsia="Times New Roman"/>
          <w:iCs/>
          <w:sz w:val="18"/>
          <w:szCs w:val="18"/>
          <w:lang w:val="fr-FR"/>
        </w:rPr>
        <w:t>/</w:t>
      </w:r>
      <w:r w:rsidRPr="008D6145">
        <w:rPr>
          <w:rFonts w:eastAsia="Times New Roman"/>
          <w:sz w:val="18"/>
          <w:szCs w:val="18"/>
          <w:lang w:val="fr-FR"/>
        </w:rPr>
        <w:t>2016.</w:t>
      </w:r>
    </w:p>
    <w:p w:rsidR="008D6145" w:rsidRPr="00C073F5" w:rsidRDefault="008D6145" w:rsidP="00821D2B">
      <w:pPr>
        <w:pStyle w:val="H4G"/>
        <w:rPr>
          <w:lang w:val="fr-FR"/>
        </w:rPr>
      </w:pPr>
      <w:r w:rsidRPr="008D6145">
        <w:rPr>
          <w:lang w:val="fr-FR"/>
        </w:rPr>
        <w:tab/>
      </w:r>
      <w:r w:rsidRPr="008D6145">
        <w:rPr>
          <w:lang w:val="fr-FR"/>
        </w:rPr>
        <w:tab/>
      </w:r>
      <w:r w:rsidRPr="00C073F5">
        <w:rPr>
          <w:lang w:val="fr-FR"/>
        </w:rPr>
        <w:t>L</w:t>
      </w:r>
      <w:r w:rsidR="00A033A7">
        <w:rPr>
          <w:lang w:val="fr-FR"/>
        </w:rPr>
        <w:t>’</w:t>
      </w:r>
      <w:r w:rsidRPr="00C073F5">
        <w:rPr>
          <w:lang w:val="fr-FR"/>
        </w:rPr>
        <w:t xml:space="preserve">enseignement technique et professionnel </w:t>
      </w:r>
    </w:p>
    <w:p w:rsidR="008D6145" w:rsidRPr="008D6145" w:rsidRDefault="008D6145" w:rsidP="00821D2B">
      <w:pPr>
        <w:pStyle w:val="H56G"/>
        <w:rPr>
          <w:lang w:val="fr-FR"/>
        </w:rPr>
      </w:pPr>
      <w:r w:rsidRPr="008D6145">
        <w:rPr>
          <w:lang w:val="fr-FR"/>
        </w:rPr>
        <w:tab/>
      </w:r>
      <w:r w:rsidRPr="008D6145">
        <w:rPr>
          <w:lang w:val="fr-FR"/>
        </w:rPr>
        <w:tab/>
        <w:t>L</w:t>
      </w:r>
      <w:r w:rsidR="00A033A7">
        <w:rPr>
          <w:lang w:val="fr-FR"/>
        </w:rPr>
        <w:t>’</w:t>
      </w:r>
      <w:r w:rsidRPr="008D6145">
        <w:rPr>
          <w:lang w:val="fr-FR"/>
        </w:rPr>
        <w:t>enseignement technique</w:t>
      </w:r>
    </w:p>
    <w:p w:rsidR="008D6145" w:rsidRPr="008D6145" w:rsidRDefault="00821D2B" w:rsidP="00821D2B">
      <w:pPr>
        <w:pStyle w:val="SingleTxtG"/>
        <w:kinsoku/>
        <w:overflowPunct/>
        <w:autoSpaceDE/>
        <w:autoSpaceDN/>
        <w:adjustRightInd/>
        <w:snapToGrid/>
        <w:rPr>
          <w:rFonts w:eastAsia="Times New Roman"/>
          <w:lang w:val="fr-FR"/>
        </w:rPr>
      </w:pPr>
      <w:r w:rsidRPr="008D6145">
        <w:rPr>
          <w:rFonts w:eastAsia="Times New Roman"/>
          <w:lang w:val="fr-FR"/>
        </w:rPr>
        <w:t>106.</w:t>
      </w:r>
      <w:r w:rsidRPr="008D6145">
        <w:rPr>
          <w:rFonts w:eastAsia="Times New Roman"/>
          <w:lang w:val="fr-FR"/>
        </w:rPr>
        <w:tab/>
      </w:r>
      <w:r w:rsidR="008D6145" w:rsidRPr="008D6145">
        <w:rPr>
          <w:rFonts w:eastAsia="Times New Roman"/>
          <w:lang w:val="fr-FR"/>
        </w:rPr>
        <w:t>C</w:t>
      </w:r>
      <w:r w:rsidR="00A033A7">
        <w:rPr>
          <w:rFonts w:eastAsia="Times New Roman"/>
          <w:lang w:val="fr-FR"/>
        </w:rPr>
        <w:t>’</w:t>
      </w:r>
      <w:r w:rsidR="008D6145" w:rsidRPr="008D6145">
        <w:rPr>
          <w:rFonts w:eastAsia="Times New Roman"/>
          <w:lang w:val="fr-FR"/>
        </w:rPr>
        <w:t>est l</w:t>
      </w:r>
      <w:r w:rsidR="00A033A7">
        <w:rPr>
          <w:rFonts w:eastAsia="Times New Roman"/>
          <w:lang w:val="fr-FR"/>
        </w:rPr>
        <w:t>’</w:t>
      </w:r>
      <w:r w:rsidR="008D6145" w:rsidRPr="008D6145">
        <w:rPr>
          <w:rFonts w:eastAsia="Times New Roman"/>
          <w:lang w:val="fr-FR"/>
        </w:rPr>
        <w:t>une des composantes du sous-secteur de l</w:t>
      </w:r>
      <w:r w:rsidR="00A033A7">
        <w:rPr>
          <w:rFonts w:eastAsia="Times New Roman"/>
          <w:lang w:val="fr-FR"/>
        </w:rPr>
        <w:t>’</w:t>
      </w:r>
      <w:r w:rsidR="008D6145" w:rsidRPr="008D6145">
        <w:rPr>
          <w:rFonts w:eastAsia="Times New Roman"/>
          <w:lang w:val="fr-FR"/>
        </w:rPr>
        <w:t>enseignement technique et de la formation professionnelle (ETFP). La raison d</w:t>
      </w:r>
      <w:r w:rsidR="00A033A7">
        <w:rPr>
          <w:rFonts w:eastAsia="Times New Roman"/>
          <w:lang w:val="fr-FR"/>
        </w:rPr>
        <w:t>’</w:t>
      </w:r>
      <w:r w:rsidR="008D6145" w:rsidRPr="008D6145">
        <w:rPr>
          <w:rFonts w:eastAsia="Times New Roman"/>
          <w:lang w:val="fr-FR"/>
        </w:rPr>
        <w:t>être de cette composante est la capacité d</w:t>
      </w:r>
      <w:r w:rsidR="00A033A7">
        <w:rPr>
          <w:rFonts w:eastAsia="Times New Roman"/>
          <w:lang w:val="fr-FR"/>
        </w:rPr>
        <w:t>’</w:t>
      </w:r>
      <w:r w:rsidR="008D6145" w:rsidRPr="008D6145">
        <w:rPr>
          <w:rFonts w:eastAsia="Times New Roman"/>
          <w:lang w:val="fr-FR"/>
        </w:rPr>
        <w:t>insertion professionnelle des apprenants, voire leur employabilité sur le marché de l</w:t>
      </w:r>
      <w:r w:rsidR="00A033A7">
        <w:rPr>
          <w:rFonts w:eastAsia="Times New Roman"/>
          <w:lang w:val="fr-FR"/>
        </w:rPr>
        <w:t>’</w:t>
      </w:r>
      <w:r w:rsidR="008D6145" w:rsidRPr="008D6145">
        <w:rPr>
          <w:rFonts w:eastAsia="Times New Roman"/>
          <w:lang w:val="fr-FR"/>
        </w:rPr>
        <w:t>emploi. Au cours de l</w:t>
      </w:r>
      <w:r w:rsidR="00A033A7">
        <w:rPr>
          <w:rFonts w:eastAsia="Times New Roman"/>
          <w:lang w:val="fr-FR"/>
        </w:rPr>
        <w:t>’</w:t>
      </w:r>
      <w:r w:rsidR="008D6145" w:rsidRPr="008D6145">
        <w:rPr>
          <w:rFonts w:eastAsia="Times New Roman"/>
          <w:lang w:val="fr-FR"/>
        </w:rPr>
        <w:t>année 2013-2014, l</w:t>
      </w:r>
      <w:r w:rsidR="00A033A7">
        <w:rPr>
          <w:rFonts w:eastAsia="Times New Roman"/>
          <w:lang w:val="fr-FR"/>
        </w:rPr>
        <w:t>’</w:t>
      </w:r>
      <w:r w:rsidR="008D6145" w:rsidRPr="008D6145">
        <w:rPr>
          <w:rFonts w:eastAsia="Times New Roman"/>
          <w:lang w:val="fr-FR"/>
        </w:rPr>
        <w:t>enseignement Technique dans les établissements publics et privés présente des situations sujettes à commentaires.</w:t>
      </w:r>
    </w:p>
    <w:p w:rsidR="008D6145" w:rsidRPr="008D6145" w:rsidRDefault="00821D2B" w:rsidP="009201FA">
      <w:pPr>
        <w:pStyle w:val="SingleTxtG"/>
        <w:kinsoku/>
        <w:overflowPunct/>
        <w:autoSpaceDE/>
        <w:autoSpaceDN/>
        <w:adjustRightInd/>
        <w:snapToGrid/>
        <w:rPr>
          <w:rFonts w:eastAsia="Times New Roman"/>
          <w:lang w:val="fr-FR"/>
        </w:rPr>
      </w:pPr>
      <w:r w:rsidRPr="008D6145">
        <w:rPr>
          <w:rFonts w:eastAsia="Times New Roman"/>
          <w:lang w:val="fr-FR"/>
        </w:rPr>
        <w:t>107.</w:t>
      </w:r>
      <w:r w:rsidRPr="008D6145">
        <w:rPr>
          <w:rFonts w:eastAsia="Times New Roman"/>
          <w:lang w:val="fr-FR"/>
        </w:rPr>
        <w:tab/>
      </w:r>
      <w:r w:rsidR="008D6145" w:rsidRPr="008D6145">
        <w:rPr>
          <w:rFonts w:eastAsia="Times New Roman"/>
          <w:lang w:val="fr-FR"/>
        </w:rPr>
        <w:t>Dans le public, l</w:t>
      </w:r>
      <w:r w:rsidR="00A033A7">
        <w:rPr>
          <w:rFonts w:eastAsia="Times New Roman"/>
          <w:lang w:val="fr-FR"/>
        </w:rPr>
        <w:t>’</w:t>
      </w:r>
      <w:r w:rsidR="008D6145" w:rsidRPr="008D6145">
        <w:rPr>
          <w:rFonts w:eastAsia="Times New Roman"/>
          <w:lang w:val="fr-FR"/>
        </w:rPr>
        <w:t>effectif total des appre</w:t>
      </w:r>
      <w:r w:rsidR="009201FA">
        <w:rPr>
          <w:rFonts w:eastAsia="Times New Roman"/>
          <w:lang w:val="fr-FR"/>
        </w:rPr>
        <w:t>nants au premier cycle est de 1 </w:t>
      </w:r>
      <w:r w:rsidR="008D6145" w:rsidRPr="008D6145">
        <w:rPr>
          <w:rFonts w:eastAsia="Times New Roman"/>
          <w:lang w:val="fr-FR"/>
        </w:rPr>
        <w:t>444 dont 294 filles. En revanche, dans le privé pour le même cycle, l</w:t>
      </w:r>
      <w:r w:rsidR="00A033A7">
        <w:rPr>
          <w:rFonts w:eastAsia="Times New Roman"/>
          <w:lang w:val="fr-FR"/>
        </w:rPr>
        <w:t>’</w:t>
      </w:r>
      <w:r w:rsidR="008D6145" w:rsidRPr="008D6145">
        <w:rPr>
          <w:rFonts w:eastAsia="Times New Roman"/>
          <w:lang w:val="fr-FR"/>
        </w:rPr>
        <w:t>effectif des apprenants est de 627 apprenants dont 329 filles. Il ressort que l</w:t>
      </w:r>
      <w:r w:rsidR="00A033A7">
        <w:rPr>
          <w:rFonts w:eastAsia="Times New Roman"/>
          <w:lang w:val="fr-FR"/>
        </w:rPr>
        <w:t>’</w:t>
      </w:r>
      <w:r w:rsidR="008D6145" w:rsidRPr="008D6145">
        <w:rPr>
          <w:rFonts w:eastAsia="Times New Roman"/>
          <w:lang w:val="fr-FR"/>
        </w:rPr>
        <w:t>effectif des apprenants dans le public fait le double de celui dans le privé. Au second, le constat n</w:t>
      </w:r>
      <w:r w:rsidR="00A033A7">
        <w:rPr>
          <w:rFonts w:eastAsia="Times New Roman"/>
          <w:lang w:val="fr-FR"/>
        </w:rPr>
        <w:t>’</w:t>
      </w:r>
      <w:r w:rsidR="008D6145" w:rsidRPr="008D6145">
        <w:rPr>
          <w:rFonts w:eastAsia="Times New Roman"/>
          <w:lang w:val="fr-FR"/>
        </w:rPr>
        <w:t>est pas non plus loin. L</w:t>
      </w:r>
      <w:r w:rsidR="00A033A7">
        <w:rPr>
          <w:rFonts w:eastAsia="Times New Roman"/>
          <w:lang w:val="fr-FR"/>
        </w:rPr>
        <w:t>’</w:t>
      </w:r>
      <w:r w:rsidR="008D6145" w:rsidRPr="008D6145">
        <w:rPr>
          <w:rFonts w:eastAsia="Times New Roman"/>
          <w:lang w:val="fr-FR"/>
        </w:rPr>
        <w:t>effectif des apprenants du second</w:t>
      </w:r>
      <w:r w:rsidR="009201FA">
        <w:rPr>
          <w:rFonts w:eastAsia="Times New Roman"/>
          <w:lang w:val="fr-FR"/>
        </w:rPr>
        <w:t xml:space="preserve"> cycle dans le public est de 10 </w:t>
      </w:r>
      <w:r w:rsidR="008D6145" w:rsidRPr="008D6145">
        <w:rPr>
          <w:rFonts w:eastAsia="Times New Roman"/>
          <w:lang w:val="fr-FR"/>
        </w:rPr>
        <w:t>959. Ce nombre fait plus de sept fois l</w:t>
      </w:r>
      <w:r w:rsidR="00A033A7">
        <w:rPr>
          <w:rFonts w:eastAsia="Times New Roman"/>
          <w:lang w:val="fr-FR"/>
        </w:rPr>
        <w:t>’</w:t>
      </w:r>
      <w:r w:rsidR="008D6145" w:rsidRPr="008D6145">
        <w:rPr>
          <w:rFonts w:eastAsia="Times New Roman"/>
          <w:lang w:val="fr-FR"/>
        </w:rPr>
        <w:t>effectif du premier cycle, 144 et le triple de l</w:t>
      </w:r>
      <w:r w:rsidR="00A033A7">
        <w:rPr>
          <w:rFonts w:eastAsia="Times New Roman"/>
          <w:lang w:val="fr-FR"/>
        </w:rPr>
        <w:t>’</w:t>
      </w:r>
      <w:r w:rsidR="009201FA">
        <w:rPr>
          <w:rFonts w:eastAsia="Times New Roman"/>
          <w:lang w:val="fr-FR"/>
        </w:rPr>
        <w:t>effectif féminin qui est de 2 </w:t>
      </w:r>
      <w:r w:rsidR="008D6145" w:rsidRPr="008D6145">
        <w:rPr>
          <w:rFonts w:eastAsia="Times New Roman"/>
          <w:lang w:val="fr-FR"/>
        </w:rPr>
        <w:t>819. Au secon</w:t>
      </w:r>
      <w:r w:rsidR="009201FA">
        <w:rPr>
          <w:rFonts w:eastAsia="Times New Roman"/>
          <w:lang w:val="fr-FR"/>
        </w:rPr>
        <w:t>d cycle du privé, on dénombre 8 </w:t>
      </w:r>
      <w:r w:rsidR="008D6145" w:rsidRPr="008D6145">
        <w:rPr>
          <w:rFonts w:eastAsia="Times New Roman"/>
          <w:lang w:val="fr-FR"/>
        </w:rPr>
        <w:t>885 apprenants dont 4</w:t>
      </w:r>
      <w:r w:rsidR="009201FA">
        <w:rPr>
          <w:rFonts w:eastAsia="Times New Roman"/>
          <w:lang w:val="fr-FR"/>
        </w:rPr>
        <w:t> </w:t>
      </w:r>
      <w:r w:rsidR="008D6145" w:rsidRPr="008D6145">
        <w:rPr>
          <w:rFonts w:eastAsia="Times New Roman"/>
          <w:lang w:val="fr-FR"/>
        </w:rPr>
        <w:t>823 filles. Globalement selon les dernières statistiques recueillies, l</w:t>
      </w:r>
      <w:r w:rsidR="00A033A7">
        <w:rPr>
          <w:rFonts w:eastAsia="Times New Roman"/>
          <w:lang w:val="fr-FR"/>
        </w:rPr>
        <w:t>’</w:t>
      </w:r>
      <w:r w:rsidR="008D6145" w:rsidRPr="008D6145">
        <w:rPr>
          <w:rFonts w:eastAsia="Times New Roman"/>
          <w:lang w:val="fr-FR"/>
        </w:rPr>
        <w:t>effectif total en 2013-2014 dans l</w:t>
      </w:r>
      <w:r w:rsidR="00A033A7">
        <w:rPr>
          <w:rFonts w:eastAsia="Times New Roman"/>
          <w:lang w:val="fr-FR"/>
        </w:rPr>
        <w:t>’</w:t>
      </w:r>
      <w:r w:rsidR="008D6145" w:rsidRPr="008D6145">
        <w:rPr>
          <w:rFonts w:eastAsia="Times New Roman"/>
          <w:lang w:val="fr-FR"/>
        </w:rPr>
        <w:t>Enseig</w:t>
      </w:r>
      <w:r w:rsidR="009201FA">
        <w:rPr>
          <w:rFonts w:eastAsia="Times New Roman"/>
          <w:lang w:val="fr-FR"/>
        </w:rPr>
        <w:t>nement Technique (ET) est de 21 915 dont 8 </w:t>
      </w:r>
      <w:r w:rsidR="008D6145" w:rsidRPr="008D6145">
        <w:rPr>
          <w:rFonts w:eastAsia="Times New Roman"/>
          <w:lang w:val="fr-FR"/>
        </w:rPr>
        <w:t xml:space="preserve">265 filles. </w:t>
      </w:r>
    </w:p>
    <w:p w:rsidR="008D6145" w:rsidRPr="008D6145" w:rsidRDefault="00821D2B" w:rsidP="00821D2B">
      <w:pPr>
        <w:pStyle w:val="SingleTxtG"/>
        <w:kinsoku/>
        <w:overflowPunct/>
        <w:autoSpaceDE/>
        <w:autoSpaceDN/>
        <w:adjustRightInd/>
        <w:snapToGrid/>
        <w:rPr>
          <w:rFonts w:eastAsia="Times New Roman"/>
          <w:lang w:val="fr-FR"/>
        </w:rPr>
      </w:pPr>
      <w:r w:rsidRPr="008D6145">
        <w:rPr>
          <w:rFonts w:eastAsia="Times New Roman"/>
          <w:lang w:val="fr-FR"/>
        </w:rPr>
        <w:t>108.</w:t>
      </w:r>
      <w:r w:rsidRPr="008D6145">
        <w:rPr>
          <w:rFonts w:eastAsia="Times New Roman"/>
          <w:lang w:val="fr-FR"/>
        </w:rPr>
        <w:tab/>
      </w:r>
      <w:r w:rsidR="008D6145" w:rsidRPr="008D6145">
        <w:rPr>
          <w:rFonts w:eastAsia="Times New Roman"/>
          <w:lang w:val="fr-FR"/>
        </w:rPr>
        <w:t>Il faut observer que l</w:t>
      </w:r>
      <w:r w:rsidR="00A033A7">
        <w:rPr>
          <w:rFonts w:eastAsia="Times New Roman"/>
          <w:lang w:val="fr-FR"/>
        </w:rPr>
        <w:t>’</w:t>
      </w:r>
      <w:r w:rsidR="008D6145" w:rsidRPr="008D6145">
        <w:rPr>
          <w:rFonts w:eastAsia="Times New Roman"/>
          <w:lang w:val="fr-FR"/>
        </w:rPr>
        <w:t>ET regroupe cinq (5) filières à savoir :</w:t>
      </w:r>
    </w:p>
    <w:p w:rsidR="008D6145" w:rsidRPr="008D6145" w:rsidRDefault="00821D2B" w:rsidP="00821D2B">
      <w:pPr>
        <w:pStyle w:val="Bullet1G"/>
        <w:numPr>
          <w:ilvl w:val="0"/>
          <w:numId w:val="0"/>
        </w:numPr>
        <w:tabs>
          <w:tab w:val="left" w:pos="1701"/>
        </w:tabs>
        <w:ind w:left="1701" w:hanging="170"/>
        <w:rPr>
          <w:lang w:val="fr-FR"/>
        </w:rPr>
      </w:pPr>
      <w:r w:rsidRPr="008D6145">
        <w:rPr>
          <w:lang w:val="fr-FR"/>
        </w:rPr>
        <w:t>•</w:t>
      </w:r>
      <w:r w:rsidRPr="008D6145">
        <w:rPr>
          <w:lang w:val="fr-FR"/>
        </w:rPr>
        <w:tab/>
      </w:r>
      <w:r w:rsidR="008D6145" w:rsidRPr="008D6145">
        <w:rPr>
          <w:lang w:val="fr-FR"/>
        </w:rPr>
        <w:t>Sciences et techniques de l</w:t>
      </w:r>
      <w:r w:rsidR="00A033A7">
        <w:rPr>
          <w:lang w:val="fr-FR"/>
        </w:rPr>
        <w:t>’</w:t>
      </w:r>
      <w:r w:rsidR="008D6145" w:rsidRPr="008D6145">
        <w:rPr>
          <w:lang w:val="fr-FR"/>
        </w:rPr>
        <w:t>Industrie (STI) ;</w:t>
      </w:r>
    </w:p>
    <w:p w:rsidR="008D6145" w:rsidRPr="008D6145" w:rsidRDefault="00821D2B" w:rsidP="00821D2B">
      <w:pPr>
        <w:pStyle w:val="Bullet1G"/>
        <w:numPr>
          <w:ilvl w:val="0"/>
          <w:numId w:val="0"/>
        </w:numPr>
        <w:tabs>
          <w:tab w:val="left" w:pos="1701"/>
        </w:tabs>
        <w:ind w:left="1701" w:hanging="170"/>
        <w:rPr>
          <w:lang w:val="fr-FR"/>
        </w:rPr>
      </w:pPr>
      <w:r w:rsidRPr="008D6145">
        <w:rPr>
          <w:lang w:val="fr-FR"/>
        </w:rPr>
        <w:t>•</w:t>
      </w:r>
      <w:r w:rsidRPr="008D6145">
        <w:rPr>
          <w:lang w:val="fr-FR"/>
        </w:rPr>
        <w:tab/>
      </w:r>
      <w:r w:rsidR="008D6145" w:rsidRPr="008D6145">
        <w:rPr>
          <w:lang w:val="fr-FR"/>
        </w:rPr>
        <w:t>Sciences et Techniques Administratives et de Gestion (STAG) ;</w:t>
      </w:r>
    </w:p>
    <w:p w:rsidR="008D6145" w:rsidRPr="008D6145" w:rsidRDefault="00821D2B" w:rsidP="00821D2B">
      <w:pPr>
        <w:pStyle w:val="Bullet1G"/>
        <w:numPr>
          <w:ilvl w:val="0"/>
          <w:numId w:val="0"/>
        </w:numPr>
        <w:tabs>
          <w:tab w:val="left" w:pos="1701"/>
        </w:tabs>
        <w:ind w:left="1701" w:hanging="170"/>
        <w:rPr>
          <w:lang w:val="fr-FR"/>
        </w:rPr>
      </w:pPr>
      <w:r w:rsidRPr="008D6145">
        <w:rPr>
          <w:lang w:val="fr-FR"/>
        </w:rPr>
        <w:t>•</w:t>
      </w:r>
      <w:r w:rsidRPr="008D6145">
        <w:rPr>
          <w:lang w:val="fr-FR"/>
        </w:rPr>
        <w:tab/>
      </w:r>
      <w:r w:rsidR="008D6145" w:rsidRPr="008D6145">
        <w:rPr>
          <w:lang w:val="fr-FR"/>
        </w:rPr>
        <w:t>Sciences et Techniques Agricoles (STA) ;</w:t>
      </w:r>
    </w:p>
    <w:p w:rsidR="008D6145" w:rsidRPr="008D6145" w:rsidRDefault="00821D2B" w:rsidP="00821D2B">
      <w:pPr>
        <w:pStyle w:val="Bullet1G"/>
        <w:numPr>
          <w:ilvl w:val="0"/>
          <w:numId w:val="0"/>
        </w:numPr>
        <w:tabs>
          <w:tab w:val="left" w:pos="1701"/>
        </w:tabs>
        <w:ind w:left="1701" w:hanging="170"/>
        <w:rPr>
          <w:lang w:val="fr-FR"/>
        </w:rPr>
      </w:pPr>
      <w:r w:rsidRPr="008D6145">
        <w:rPr>
          <w:lang w:val="fr-FR"/>
        </w:rPr>
        <w:t>•</w:t>
      </w:r>
      <w:r w:rsidRPr="008D6145">
        <w:rPr>
          <w:lang w:val="fr-FR"/>
        </w:rPr>
        <w:tab/>
      </w:r>
      <w:r w:rsidR="008D6145" w:rsidRPr="008D6145">
        <w:rPr>
          <w:lang w:val="fr-FR"/>
        </w:rPr>
        <w:t>Sciences et Techniques Médico-sociales (STMs) ;</w:t>
      </w:r>
    </w:p>
    <w:p w:rsidR="008D6145" w:rsidRPr="008D6145" w:rsidRDefault="00821D2B" w:rsidP="00821D2B">
      <w:pPr>
        <w:pStyle w:val="Bullet1G"/>
        <w:numPr>
          <w:ilvl w:val="0"/>
          <w:numId w:val="0"/>
        </w:numPr>
        <w:tabs>
          <w:tab w:val="left" w:pos="1701"/>
        </w:tabs>
        <w:ind w:left="1701" w:hanging="170"/>
        <w:rPr>
          <w:lang w:val="fr-FR"/>
        </w:rPr>
      </w:pPr>
      <w:r w:rsidRPr="008D6145">
        <w:rPr>
          <w:lang w:val="fr-FR"/>
        </w:rPr>
        <w:t>•</w:t>
      </w:r>
      <w:r w:rsidRPr="008D6145">
        <w:rPr>
          <w:lang w:val="fr-FR"/>
        </w:rPr>
        <w:tab/>
      </w:r>
      <w:r w:rsidR="008D6145" w:rsidRPr="008D6145">
        <w:rPr>
          <w:lang w:val="fr-FR"/>
        </w:rPr>
        <w:t>Sciences Sociales Appliquées, Tourisme et Hôtellerie (SSATH).</w:t>
      </w:r>
    </w:p>
    <w:p w:rsidR="008D6145" w:rsidRPr="008D6145" w:rsidRDefault="00821D2B" w:rsidP="00821D2B">
      <w:pPr>
        <w:pStyle w:val="SingleTxtG"/>
        <w:kinsoku/>
        <w:overflowPunct/>
        <w:autoSpaceDE/>
        <w:autoSpaceDN/>
        <w:adjustRightInd/>
        <w:snapToGrid/>
        <w:rPr>
          <w:rFonts w:eastAsia="Times New Roman"/>
          <w:lang w:val="fr-FR"/>
        </w:rPr>
      </w:pPr>
      <w:r w:rsidRPr="008D6145">
        <w:rPr>
          <w:rFonts w:eastAsia="Times New Roman"/>
          <w:lang w:val="fr-FR"/>
        </w:rPr>
        <w:t>109.</w:t>
      </w:r>
      <w:r w:rsidRPr="008D6145">
        <w:rPr>
          <w:rFonts w:eastAsia="Times New Roman"/>
          <w:lang w:val="fr-FR"/>
        </w:rPr>
        <w:tab/>
      </w:r>
      <w:r w:rsidR="008D6145" w:rsidRPr="008D6145">
        <w:rPr>
          <w:rFonts w:eastAsia="Times New Roman"/>
          <w:lang w:val="fr-FR"/>
        </w:rPr>
        <w:t>Cette dernière filière dans le public n</w:t>
      </w:r>
      <w:r w:rsidR="00A033A7">
        <w:rPr>
          <w:rFonts w:eastAsia="Times New Roman"/>
          <w:lang w:val="fr-FR"/>
        </w:rPr>
        <w:t>’</w:t>
      </w:r>
      <w:r w:rsidR="008D6145" w:rsidRPr="008D6145">
        <w:rPr>
          <w:rFonts w:eastAsia="Times New Roman"/>
          <w:lang w:val="fr-FR"/>
        </w:rPr>
        <w:t>est présente que dans que dans trois départements. En conséquence, on note une insuffisance de couverture nationale dans cette filière. Au premier cycle dans le public, 67 apprenants dont 59 filles pratiquent cette filière. Dans le privé, sur les 109 apprenants, 63 sont des filles. C</w:t>
      </w:r>
      <w:r w:rsidR="00A033A7">
        <w:rPr>
          <w:rFonts w:eastAsia="Times New Roman"/>
          <w:lang w:val="fr-FR"/>
        </w:rPr>
        <w:t>’</w:t>
      </w:r>
      <w:r w:rsidR="008D6145" w:rsidRPr="008D6145">
        <w:rPr>
          <w:rFonts w:eastAsia="Times New Roman"/>
          <w:lang w:val="fr-FR"/>
        </w:rPr>
        <w:t xml:space="preserve">est donc une filière qui est moins choisie par le sexe masculin. </w:t>
      </w:r>
    </w:p>
    <w:p w:rsidR="008D6145" w:rsidRPr="008D6145" w:rsidRDefault="00821D2B" w:rsidP="00821D2B">
      <w:pPr>
        <w:pStyle w:val="SingleTxtG"/>
        <w:kinsoku/>
        <w:overflowPunct/>
        <w:autoSpaceDE/>
        <w:autoSpaceDN/>
        <w:adjustRightInd/>
        <w:snapToGrid/>
        <w:rPr>
          <w:rFonts w:eastAsia="Times New Roman"/>
          <w:lang w:val="fr-FR"/>
        </w:rPr>
      </w:pPr>
      <w:r w:rsidRPr="008D6145">
        <w:rPr>
          <w:rFonts w:eastAsia="Times New Roman"/>
          <w:lang w:val="fr-FR"/>
        </w:rPr>
        <w:t>110.</w:t>
      </w:r>
      <w:r w:rsidRPr="008D6145">
        <w:rPr>
          <w:rFonts w:eastAsia="Times New Roman"/>
          <w:lang w:val="fr-FR"/>
        </w:rPr>
        <w:tab/>
      </w:r>
      <w:r w:rsidR="008D6145" w:rsidRPr="007B16B0">
        <w:rPr>
          <w:rFonts w:eastAsia="Times New Roman"/>
          <w:lang w:val="fr-FR"/>
        </w:rPr>
        <w:t>A contrario</w:t>
      </w:r>
      <w:r w:rsidR="008D6145" w:rsidRPr="008D6145">
        <w:rPr>
          <w:rFonts w:eastAsia="Times New Roman"/>
          <w:lang w:val="fr-FR"/>
        </w:rPr>
        <w:t>, la filière STA, dans le premier cycle du public, est largement pratiquée par les hommes. 167 filles sur 759 apprenants au total. L</w:t>
      </w:r>
      <w:r w:rsidR="00A033A7">
        <w:rPr>
          <w:rFonts w:eastAsia="Times New Roman"/>
          <w:lang w:val="fr-FR"/>
        </w:rPr>
        <w:t>’</w:t>
      </w:r>
      <w:r w:rsidR="008D6145" w:rsidRPr="008D6145">
        <w:rPr>
          <w:rFonts w:eastAsia="Times New Roman"/>
          <w:lang w:val="fr-FR"/>
        </w:rPr>
        <w:t>effectif féminin représente alors environ le tiers de l</w:t>
      </w:r>
      <w:r w:rsidR="00A033A7">
        <w:rPr>
          <w:rFonts w:eastAsia="Times New Roman"/>
          <w:lang w:val="fr-FR"/>
        </w:rPr>
        <w:t>’</w:t>
      </w:r>
      <w:r w:rsidR="008D6145" w:rsidRPr="008D6145">
        <w:rPr>
          <w:rFonts w:eastAsia="Times New Roman"/>
          <w:lang w:val="fr-FR"/>
        </w:rPr>
        <w:t>effectif masculin. Quant à la STAG, c</w:t>
      </w:r>
      <w:r w:rsidR="00A033A7">
        <w:rPr>
          <w:rFonts w:eastAsia="Times New Roman"/>
          <w:lang w:val="fr-FR"/>
        </w:rPr>
        <w:t>’</w:t>
      </w:r>
      <w:r w:rsidR="008D6145" w:rsidRPr="008D6145">
        <w:rPr>
          <w:rFonts w:eastAsia="Times New Roman"/>
          <w:lang w:val="fr-FR"/>
        </w:rPr>
        <w:t>est une filière qui est majoritairement pratiquée par les filles. Relativement à la filière STI, dans le public au premier cycle, il y a environ 612 apprenants dont 43</w:t>
      </w:r>
      <w:r w:rsidR="009201FA">
        <w:rPr>
          <w:rFonts w:eastAsia="Times New Roman"/>
          <w:lang w:val="fr-FR"/>
        </w:rPr>
        <w:t xml:space="preserve"> filles. Au second cycle, sur 3 </w:t>
      </w:r>
      <w:r w:rsidR="008D6145" w:rsidRPr="008D6145">
        <w:rPr>
          <w:rFonts w:eastAsia="Times New Roman"/>
          <w:lang w:val="fr-FR"/>
        </w:rPr>
        <w:t>493 apprenants, 259 sont des filles. Elle est donc dominée par le sexe masculin. Pour ce qui est de la filière STMS, il n</w:t>
      </w:r>
      <w:r w:rsidR="00A033A7">
        <w:rPr>
          <w:rFonts w:eastAsia="Times New Roman"/>
          <w:lang w:val="fr-FR"/>
        </w:rPr>
        <w:t>’</w:t>
      </w:r>
      <w:r w:rsidR="008D6145" w:rsidRPr="008D6145">
        <w:rPr>
          <w:rFonts w:eastAsia="Times New Roman"/>
          <w:lang w:val="fr-FR"/>
        </w:rPr>
        <w:t>existe pas de premier cycle. Elle n</w:t>
      </w:r>
      <w:r w:rsidR="00A033A7">
        <w:rPr>
          <w:rFonts w:eastAsia="Times New Roman"/>
          <w:lang w:val="fr-FR"/>
        </w:rPr>
        <w:t>’</w:t>
      </w:r>
      <w:r w:rsidR="008D6145" w:rsidRPr="008D6145">
        <w:rPr>
          <w:rFonts w:eastAsia="Times New Roman"/>
          <w:lang w:val="fr-FR"/>
        </w:rPr>
        <w:t>est pratiquée que dans le département de Borgou. L</w:t>
      </w:r>
      <w:r w:rsidR="00A033A7">
        <w:rPr>
          <w:rFonts w:eastAsia="Times New Roman"/>
          <w:lang w:val="fr-FR"/>
        </w:rPr>
        <w:t>’</w:t>
      </w:r>
      <w:r w:rsidR="008D6145" w:rsidRPr="008D6145">
        <w:rPr>
          <w:rFonts w:eastAsia="Times New Roman"/>
          <w:lang w:val="fr-FR"/>
        </w:rPr>
        <w:t>effectif féminin est dominant par rapport à l</w:t>
      </w:r>
      <w:r w:rsidR="00A033A7">
        <w:rPr>
          <w:rFonts w:eastAsia="Times New Roman"/>
          <w:lang w:val="fr-FR"/>
        </w:rPr>
        <w:t>’</w:t>
      </w:r>
      <w:r w:rsidR="008D6145" w:rsidRPr="008D6145">
        <w:rPr>
          <w:rFonts w:eastAsia="Times New Roman"/>
          <w:lang w:val="fr-FR"/>
        </w:rPr>
        <w:t xml:space="preserve">effectif masculin. Sur 522 apprenants dans le public au second cycle, 337 sont des filles. </w:t>
      </w:r>
    </w:p>
    <w:p w:rsidR="008D6145" w:rsidRPr="008D6145" w:rsidRDefault="00821D2B" w:rsidP="009201FA">
      <w:pPr>
        <w:pStyle w:val="SingleTxtG"/>
        <w:kinsoku/>
        <w:overflowPunct/>
        <w:autoSpaceDE/>
        <w:autoSpaceDN/>
        <w:adjustRightInd/>
        <w:snapToGrid/>
        <w:rPr>
          <w:rFonts w:eastAsia="Times New Roman"/>
          <w:lang w:val="fr-FR"/>
        </w:rPr>
      </w:pPr>
      <w:r w:rsidRPr="008D6145">
        <w:rPr>
          <w:rFonts w:eastAsia="Times New Roman"/>
          <w:lang w:val="fr-FR"/>
        </w:rPr>
        <w:t>111.</w:t>
      </w:r>
      <w:r w:rsidRPr="008D6145">
        <w:rPr>
          <w:rFonts w:eastAsia="Times New Roman"/>
          <w:lang w:val="fr-FR"/>
        </w:rPr>
        <w:tab/>
      </w:r>
      <w:r w:rsidR="008D6145" w:rsidRPr="008D6145">
        <w:rPr>
          <w:rFonts w:eastAsia="Times New Roman"/>
          <w:lang w:val="fr-FR"/>
        </w:rPr>
        <w:t>De toutes ces statistiques sur les 5 filières de l</w:t>
      </w:r>
      <w:r w:rsidR="00A033A7">
        <w:rPr>
          <w:rFonts w:eastAsia="Times New Roman"/>
          <w:lang w:val="fr-FR"/>
        </w:rPr>
        <w:t>’</w:t>
      </w:r>
      <w:r w:rsidR="008D6145" w:rsidRPr="008D6145">
        <w:rPr>
          <w:rFonts w:eastAsia="Times New Roman"/>
          <w:lang w:val="fr-FR"/>
        </w:rPr>
        <w:t>ET pour le public, c</w:t>
      </w:r>
      <w:r w:rsidR="00A033A7">
        <w:rPr>
          <w:rFonts w:eastAsia="Times New Roman"/>
          <w:lang w:val="fr-FR"/>
        </w:rPr>
        <w:t>’</w:t>
      </w:r>
      <w:r w:rsidR="008D6145" w:rsidRPr="008D6145">
        <w:rPr>
          <w:rFonts w:eastAsia="Times New Roman"/>
          <w:lang w:val="fr-FR"/>
        </w:rPr>
        <w:t>est la filière STA qui a l</w:t>
      </w:r>
      <w:r w:rsidR="00A033A7">
        <w:rPr>
          <w:rFonts w:eastAsia="Times New Roman"/>
          <w:lang w:val="fr-FR"/>
        </w:rPr>
        <w:t>’</w:t>
      </w:r>
      <w:r w:rsidR="008D6145" w:rsidRPr="008D6145">
        <w:rPr>
          <w:rFonts w:eastAsia="Times New Roman"/>
          <w:lang w:val="fr-FR"/>
        </w:rPr>
        <w:t>effectif le plus élevé 759</w:t>
      </w:r>
      <w:r w:rsidR="009201FA">
        <w:rPr>
          <w:rFonts w:eastAsia="Times New Roman"/>
          <w:lang w:val="fr-FR"/>
        </w:rPr>
        <w:t xml:space="preserve"> apprenants au premier cycle, 4 </w:t>
      </w:r>
      <w:r w:rsidR="008D6145" w:rsidRPr="008D6145">
        <w:rPr>
          <w:rFonts w:eastAsia="Times New Roman"/>
          <w:lang w:val="fr-FR"/>
        </w:rPr>
        <w:t>357 apprenants au second. La filière STI suit avec 612 apprenants au premier cycle,</w:t>
      </w:r>
      <w:r w:rsidR="00A033A7">
        <w:rPr>
          <w:rFonts w:eastAsia="Times New Roman"/>
          <w:lang w:val="fr-FR"/>
        </w:rPr>
        <w:t xml:space="preserve"> </w:t>
      </w:r>
      <w:r w:rsidR="008D6145" w:rsidRPr="008D6145">
        <w:rPr>
          <w:rFonts w:eastAsia="Times New Roman"/>
          <w:lang w:val="fr-FR"/>
        </w:rPr>
        <w:t>3</w:t>
      </w:r>
      <w:r w:rsidR="009201FA">
        <w:rPr>
          <w:rFonts w:eastAsia="Times New Roman"/>
          <w:lang w:val="fr-FR"/>
        </w:rPr>
        <w:t> </w:t>
      </w:r>
      <w:r w:rsidR="008D6145" w:rsidRPr="008D6145">
        <w:rPr>
          <w:rFonts w:eastAsia="Times New Roman"/>
          <w:lang w:val="fr-FR"/>
        </w:rPr>
        <w:t>493 apprenants au second cycle. Ces deux filières conservent leur importance numérique dans la population des apprenants de l</w:t>
      </w:r>
      <w:r w:rsidR="00A033A7">
        <w:rPr>
          <w:rFonts w:eastAsia="Times New Roman"/>
          <w:lang w:val="fr-FR"/>
        </w:rPr>
        <w:t>’</w:t>
      </w:r>
      <w:r w:rsidR="008D6145" w:rsidRPr="008D6145">
        <w:rPr>
          <w:rFonts w:eastAsia="Times New Roman"/>
          <w:lang w:val="fr-FR"/>
        </w:rPr>
        <w:t>ET dans le public. Cela pourrait se justifier par les facilités d</w:t>
      </w:r>
      <w:r w:rsidR="00A033A7">
        <w:rPr>
          <w:rFonts w:eastAsia="Times New Roman"/>
          <w:lang w:val="fr-FR"/>
        </w:rPr>
        <w:t>’</w:t>
      </w:r>
      <w:r w:rsidR="008D6145" w:rsidRPr="008D6145">
        <w:rPr>
          <w:rFonts w:eastAsia="Times New Roman"/>
          <w:lang w:val="fr-FR"/>
        </w:rPr>
        <w:t>insertion professionnelle des apprenants desdites filières. Ces facilités se concrétisent à travers l</w:t>
      </w:r>
      <w:r w:rsidR="00A033A7">
        <w:rPr>
          <w:rFonts w:eastAsia="Times New Roman"/>
          <w:lang w:val="fr-FR"/>
        </w:rPr>
        <w:t>’</w:t>
      </w:r>
      <w:r w:rsidR="008D6145" w:rsidRPr="008D6145">
        <w:rPr>
          <w:rFonts w:eastAsia="Times New Roman"/>
          <w:lang w:val="fr-FR"/>
        </w:rPr>
        <w:t xml:space="preserve">octroi des crédits par les structures gouvernementales ou les organismes de développement notamment le PNUD. </w:t>
      </w:r>
    </w:p>
    <w:p w:rsidR="008D6145" w:rsidRPr="008D6145" w:rsidRDefault="008D6145" w:rsidP="00821D2B">
      <w:pPr>
        <w:pStyle w:val="H56G"/>
        <w:rPr>
          <w:lang w:val="fr-FR"/>
        </w:rPr>
      </w:pPr>
      <w:r w:rsidRPr="008D6145">
        <w:rPr>
          <w:lang w:val="fr-FR"/>
        </w:rPr>
        <w:lastRenderedPageBreak/>
        <w:tab/>
      </w:r>
      <w:r w:rsidRPr="008D6145">
        <w:rPr>
          <w:lang w:val="fr-FR"/>
        </w:rPr>
        <w:tab/>
        <w:t>L</w:t>
      </w:r>
      <w:r w:rsidR="00A033A7">
        <w:rPr>
          <w:lang w:val="fr-FR"/>
        </w:rPr>
        <w:t>’</w:t>
      </w:r>
      <w:r w:rsidRPr="008D6145">
        <w:rPr>
          <w:lang w:val="fr-FR"/>
        </w:rPr>
        <w:t>enseignement professionnel</w:t>
      </w:r>
    </w:p>
    <w:p w:rsidR="008D6145" w:rsidRPr="008D6145" w:rsidRDefault="00821D2B" w:rsidP="00821D2B">
      <w:pPr>
        <w:pStyle w:val="SingleTxtG"/>
        <w:kinsoku/>
        <w:overflowPunct/>
        <w:autoSpaceDE/>
        <w:autoSpaceDN/>
        <w:adjustRightInd/>
        <w:snapToGrid/>
        <w:rPr>
          <w:rFonts w:eastAsia="Times New Roman"/>
          <w:lang w:val="fr-FR"/>
        </w:rPr>
      </w:pPr>
      <w:r w:rsidRPr="008D6145">
        <w:rPr>
          <w:rFonts w:eastAsia="Times New Roman"/>
          <w:lang w:val="fr-FR"/>
        </w:rPr>
        <w:t>112.</w:t>
      </w:r>
      <w:r w:rsidRPr="008D6145">
        <w:rPr>
          <w:rFonts w:eastAsia="Times New Roman"/>
          <w:lang w:val="fr-FR"/>
        </w:rPr>
        <w:tab/>
      </w:r>
      <w:r w:rsidR="008D6145" w:rsidRPr="008D6145">
        <w:rPr>
          <w:rFonts w:eastAsia="Times New Roman"/>
          <w:lang w:val="fr-FR"/>
        </w:rPr>
        <w:t>Il compte deux catégories de formation (formation professionnelle diplômante et la formation professionnelle qualifiante). Il se déroule dans les centres de formation, de métiers des lycées publics et privés. Les centres de formation de coupe-couture et de coiffure sont les plus répandus sur l</w:t>
      </w:r>
      <w:r w:rsidR="00A033A7">
        <w:rPr>
          <w:rFonts w:eastAsia="Times New Roman"/>
          <w:lang w:val="fr-FR"/>
        </w:rPr>
        <w:t>’</w:t>
      </w:r>
      <w:r w:rsidR="008D6145" w:rsidRPr="008D6145">
        <w:rPr>
          <w:rFonts w:eastAsia="Times New Roman"/>
          <w:lang w:val="fr-FR"/>
        </w:rPr>
        <w:t>étendue du territoire. Il faut observer que les départements de l</w:t>
      </w:r>
      <w:r w:rsidR="00A033A7">
        <w:rPr>
          <w:rFonts w:eastAsia="Times New Roman"/>
          <w:lang w:val="fr-FR"/>
        </w:rPr>
        <w:t>’</w:t>
      </w:r>
      <w:r w:rsidR="008D6145" w:rsidRPr="008D6145">
        <w:rPr>
          <w:rFonts w:eastAsia="Times New Roman"/>
          <w:lang w:val="fr-FR"/>
        </w:rPr>
        <w:t>Atacora et de l</w:t>
      </w:r>
      <w:r w:rsidR="00A033A7">
        <w:rPr>
          <w:rFonts w:eastAsia="Times New Roman"/>
          <w:lang w:val="fr-FR"/>
        </w:rPr>
        <w:t>’</w:t>
      </w:r>
      <w:r w:rsidR="008D6145" w:rsidRPr="008D6145">
        <w:rPr>
          <w:rFonts w:eastAsia="Times New Roman"/>
          <w:lang w:val="fr-FR"/>
        </w:rPr>
        <w:t xml:space="preserve">Ouémé viennent en tête en ce qui concerne le nombre de centre de formation. Le tableau </w:t>
      </w:r>
      <w:r w:rsidR="00ED1D7F" w:rsidRPr="006C0894">
        <w:rPr>
          <w:rFonts w:eastAsia="Times New Roman"/>
          <w:bCs/>
          <w:lang w:val="fr-FR"/>
        </w:rPr>
        <w:t>n</w:t>
      </w:r>
      <w:r w:rsidR="00ED1D7F" w:rsidRPr="006C0894">
        <w:rPr>
          <w:rFonts w:eastAsia="Times New Roman"/>
          <w:bCs/>
          <w:vertAlign w:val="superscript"/>
          <w:lang w:val="fr-FR"/>
        </w:rPr>
        <w:t>o</w:t>
      </w:r>
      <w:r w:rsidR="00ED1D7F" w:rsidRPr="006C0894">
        <w:rPr>
          <w:rFonts w:eastAsia="Times New Roman"/>
          <w:bCs/>
          <w:lang w:val="fr-FR"/>
        </w:rPr>
        <w:t> </w:t>
      </w:r>
      <w:r w:rsidR="008D6145" w:rsidRPr="008D6145">
        <w:rPr>
          <w:rFonts w:eastAsia="Times New Roman"/>
          <w:lang w:val="fr-FR"/>
        </w:rPr>
        <w:t>10 présente les statistiques des examens du certificat de qualification aux métiers sur la période 2013-2015.</w:t>
      </w:r>
    </w:p>
    <w:p w:rsidR="008D6145" w:rsidRPr="00821D2B" w:rsidRDefault="00663EB0" w:rsidP="00821D2B">
      <w:pPr>
        <w:pStyle w:val="H23G"/>
        <w:rPr>
          <w:rFonts w:ascii="Times New Roman Bold" w:hAnsi="Times New Roman Bold" w:cs="Times New Roman Bold"/>
          <w:b w:val="0"/>
          <w:spacing w:val="-2"/>
        </w:rPr>
      </w:pPr>
      <w:r w:rsidRPr="00821D2B">
        <w:rPr>
          <w:b w:val="0"/>
          <w:bCs/>
        </w:rPr>
        <w:tab/>
      </w:r>
      <w:r w:rsidRPr="00821D2B">
        <w:rPr>
          <w:b w:val="0"/>
          <w:bCs/>
        </w:rPr>
        <w:tab/>
      </w:r>
      <w:r w:rsidR="008D6145" w:rsidRPr="00821D2B">
        <w:rPr>
          <w:b w:val="0"/>
          <w:bCs/>
        </w:rPr>
        <w:t xml:space="preserve">Tableau </w:t>
      </w:r>
      <w:r w:rsidRPr="00663EB0">
        <w:rPr>
          <w:rFonts w:eastAsia="Times New Roman"/>
          <w:b w:val="0"/>
          <w:bCs/>
          <w:lang w:val="fr-FR"/>
        </w:rPr>
        <w:t>n</w:t>
      </w:r>
      <w:r w:rsidRPr="00663EB0">
        <w:rPr>
          <w:rFonts w:eastAsia="Times New Roman"/>
          <w:b w:val="0"/>
          <w:bCs/>
          <w:vertAlign w:val="superscript"/>
          <w:lang w:val="fr-FR"/>
        </w:rPr>
        <w:t>o</w:t>
      </w:r>
      <w:r w:rsidRPr="00663EB0">
        <w:rPr>
          <w:rFonts w:eastAsia="Times New Roman"/>
          <w:b w:val="0"/>
          <w:bCs/>
          <w:lang w:val="fr-FR"/>
        </w:rPr>
        <w:t> </w:t>
      </w:r>
      <w:r w:rsidR="008D6145" w:rsidRPr="00821D2B">
        <w:rPr>
          <w:b w:val="0"/>
          <w:bCs/>
        </w:rPr>
        <w:t>10 </w:t>
      </w:r>
      <w:r w:rsidR="008D6145" w:rsidRPr="00821D2B">
        <w:rPr>
          <w:b w:val="0"/>
          <w:bCs/>
        </w:rPr>
        <w:br/>
      </w:r>
      <w:r w:rsidR="008D6145" w:rsidRPr="00821D2B">
        <w:rPr>
          <w:rFonts w:ascii="Times New Roman Bold" w:hAnsi="Times New Roman Bold" w:cs="Times New Roman Bold"/>
          <w:spacing w:val="-2"/>
        </w:rPr>
        <w:t>Statistiques des examens du certificat de qualification aux métiers (CQM) de 2013-2015</w:t>
      </w:r>
    </w:p>
    <w:tbl>
      <w:tblPr>
        <w:tblStyle w:val="TableGrid1"/>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1134"/>
        <w:gridCol w:w="1134"/>
        <w:gridCol w:w="1134"/>
        <w:gridCol w:w="1134"/>
      </w:tblGrid>
      <w:tr w:rsidR="00C03E95" w:rsidRPr="00C03E95" w:rsidTr="00821D2B">
        <w:trPr>
          <w:tblHeader/>
        </w:trPr>
        <w:tc>
          <w:tcPr>
            <w:tcW w:w="2835" w:type="dxa"/>
            <w:tcBorders>
              <w:top w:val="single" w:sz="4" w:space="0" w:color="auto"/>
              <w:bottom w:val="single" w:sz="12" w:space="0" w:color="auto"/>
            </w:tcBorders>
            <w:shd w:val="clear" w:color="auto" w:fill="auto"/>
            <w:vAlign w:val="bottom"/>
          </w:tcPr>
          <w:p w:rsidR="008D6145" w:rsidRPr="00821D2B" w:rsidRDefault="008D6145">
            <w:pPr>
              <w:suppressAutoHyphens w:val="0"/>
              <w:kinsoku/>
              <w:overflowPunct/>
              <w:autoSpaceDE/>
              <w:autoSpaceDN/>
              <w:adjustRightInd/>
              <w:snapToGrid/>
              <w:spacing w:before="80" w:after="80" w:line="200" w:lineRule="exact"/>
              <w:rPr>
                <w:i/>
                <w:sz w:val="16"/>
              </w:rPr>
            </w:pPr>
            <w:r w:rsidRPr="00821D2B">
              <w:rPr>
                <w:i/>
                <w:sz w:val="16"/>
              </w:rPr>
              <w:t>Années</w:t>
            </w:r>
          </w:p>
        </w:tc>
        <w:tc>
          <w:tcPr>
            <w:tcW w:w="1134" w:type="dxa"/>
            <w:tcBorders>
              <w:top w:val="single" w:sz="4" w:space="0" w:color="auto"/>
              <w:bottom w:val="single" w:sz="12" w:space="0" w:color="auto"/>
            </w:tcBorders>
            <w:shd w:val="clear" w:color="auto" w:fill="auto"/>
            <w:vAlign w:val="bottom"/>
          </w:tcPr>
          <w:p w:rsidR="008D6145" w:rsidRPr="00821D2B" w:rsidRDefault="008D6145">
            <w:pPr>
              <w:suppressAutoHyphens w:val="0"/>
              <w:kinsoku/>
              <w:overflowPunct/>
              <w:autoSpaceDE/>
              <w:autoSpaceDN/>
              <w:adjustRightInd/>
              <w:snapToGrid/>
              <w:spacing w:before="80" w:after="80" w:line="200" w:lineRule="exact"/>
              <w:jc w:val="right"/>
              <w:rPr>
                <w:i/>
                <w:sz w:val="16"/>
              </w:rPr>
            </w:pPr>
            <w:r w:rsidRPr="00821D2B">
              <w:rPr>
                <w:i/>
                <w:sz w:val="16"/>
              </w:rPr>
              <w:t xml:space="preserve">Inscrits </w:t>
            </w:r>
          </w:p>
        </w:tc>
        <w:tc>
          <w:tcPr>
            <w:tcW w:w="1134" w:type="dxa"/>
            <w:tcBorders>
              <w:top w:val="single" w:sz="4" w:space="0" w:color="auto"/>
              <w:bottom w:val="single" w:sz="12" w:space="0" w:color="auto"/>
            </w:tcBorders>
            <w:shd w:val="clear" w:color="auto" w:fill="auto"/>
            <w:vAlign w:val="bottom"/>
          </w:tcPr>
          <w:p w:rsidR="008D6145" w:rsidRPr="00821D2B" w:rsidRDefault="008D6145">
            <w:pPr>
              <w:suppressAutoHyphens w:val="0"/>
              <w:kinsoku/>
              <w:overflowPunct/>
              <w:autoSpaceDE/>
              <w:autoSpaceDN/>
              <w:adjustRightInd/>
              <w:snapToGrid/>
              <w:spacing w:before="80" w:after="80" w:line="200" w:lineRule="exact"/>
              <w:jc w:val="right"/>
              <w:rPr>
                <w:i/>
                <w:sz w:val="16"/>
              </w:rPr>
            </w:pPr>
            <w:r w:rsidRPr="00821D2B">
              <w:rPr>
                <w:i/>
                <w:sz w:val="16"/>
              </w:rPr>
              <w:t>Présents</w:t>
            </w:r>
          </w:p>
        </w:tc>
        <w:tc>
          <w:tcPr>
            <w:tcW w:w="1134" w:type="dxa"/>
            <w:tcBorders>
              <w:top w:val="single" w:sz="4" w:space="0" w:color="auto"/>
              <w:bottom w:val="single" w:sz="12" w:space="0" w:color="auto"/>
            </w:tcBorders>
            <w:shd w:val="clear" w:color="auto" w:fill="auto"/>
            <w:vAlign w:val="bottom"/>
          </w:tcPr>
          <w:p w:rsidR="008D6145" w:rsidRPr="00821D2B" w:rsidRDefault="008D6145">
            <w:pPr>
              <w:suppressAutoHyphens w:val="0"/>
              <w:kinsoku/>
              <w:overflowPunct/>
              <w:autoSpaceDE/>
              <w:autoSpaceDN/>
              <w:adjustRightInd/>
              <w:snapToGrid/>
              <w:spacing w:before="80" w:after="80" w:line="200" w:lineRule="exact"/>
              <w:jc w:val="right"/>
              <w:rPr>
                <w:i/>
                <w:sz w:val="16"/>
              </w:rPr>
            </w:pPr>
            <w:r w:rsidRPr="00821D2B">
              <w:rPr>
                <w:i/>
                <w:sz w:val="16"/>
              </w:rPr>
              <w:t xml:space="preserve">Admis </w:t>
            </w:r>
          </w:p>
        </w:tc>
        <w:tc>
          <w:tcPr>
            <w:tcW w:w="1134" w:type="dxa"/>
            <w:tcBorders>
              <w:top w:val="single" w:sz="4" w:space="0" w:color="auto"/>
              <w:bottom w:val="single" w:sz="12" w:space="0" w:color="auto"/>
            </w:tcBorders>
            <w:shd w:val="clear" w:color="auto" w:fill="auto"/>
            <w:vAlign w:val="bottom"/>
          </w:tcPr>
          <w:p w:rsidR="008D6145" w:rsidRPr="00821D2B" w:rsidRDefault="008D6145">
            <w:pPr>
              <w:suppressAutoHyphens w:val="0"/>
              <w:kinsoku/>
              <w:overflowPunct/>
              <w:autoSpaceDE/>
              <w:autoSpaceDN/>
              <w:adjustRightInd/>
              <w:snapToGrid/>
              <w:spacing w:before="80" w:after="80" w:line="200" w:lineRule="exact"/>
              <w:jc w:val="right"/>
              <w:rPr>
                <w:i/>
                <w:sz w:val="16"/>
              </w:rPr>
            </w:pPr>
            <w:r w:rsidRPr="00821D2B">
              <w:rPr>
                <w:i/>
                <w:sz w:val="16"/>
              </w:rPr>
              <w:t>Pourcentages</w:t>
            </w:r>
          </w:p>
        </w:tc>
      </w:tr>
      <w:tr w:rsidR="00C03E95" w:rsidRPr="00C03E95" w:rsidTr="00821D2B">
        <w:tc>
          <w:tcPr>
            <w:tcW w:w="2835" w:type="dxa"/>
            <w:tcBorders>
              <w:top w:val="single" w:sz="12" w:space="0" w:color="auto"/>
            </w:tcBorders>
            <w:shd w:val="clear" w:color="auto" w:fill="auto"/>
          </w:tcPr>
          <w:p w:rsidR="008D6145" w:rsidRPr="00821D2B" w:rsidRDefault="008D6145" w:rsidP="00821D2B">
            <w:pPr>
              <w:suppressAutoHyphens w:val="0"/>
              <w:kinsoku/>
              <w:overflowPunct/>
              <w:autoSpaceDE/>
              <w:autoSpaceDN/>
              <w:adjustRightInd/>
              <w:snapToGrid/>
              <w:spacing w:before="40" w:after="40" w:line="220" w:lineRule="exact"/>
              <w:rPr>
                <w:sz w:val="18"/>
              </w:rPr>
            </w:pPr>
            <w:r w:rsidRPr="00821D2B">
              <w:rPr>
                <w:sz w:val="18"/>
              </w:rPr>
              <w:t>Session d</w:t>
            </w:r>
            <w:r w:rsidR="00A033A7" w:rsidRPr="00821D2B">
              <w:rPr>
                <w:sz w:val="18"/>
              </w:rPr>
              <w:t>’</w:t>
            </w:r>
            <w:r w:rsidRPr="00821D2B">
              <w:rPr>
                <w:sz w:val="18"/>
              </w:rPr>
              <w:t>octobre 2013</w:t>
            </w:r>
          </w:p>
        </w:tc>
        <w:tc>
          <w:tcPr>
            <w:tcW w:w="1134" w:type="dxa"/>
            <w:tcBorders>
              <w:top w:val="single" w:sz="12" w:space="0" w:color="auto"/>
            </w:tcBorders>
            <w:shd w:val="clear" w:color="auto" w:fill="auto"/>
            <w:vAlign w:val="bottom"/>
          </w:tcPr>
          <w:p w:rsidR="008D6145" w:rsidRPr="00821D2B" w:rsidRDefault="008D6145" w:rsidP="00821D2B">
            <w:pPr>
              <w:suppressAutoHyphens w:val="0"/>
              <w:kinsoku/>
              <w:overflowPunct/>
              <w:autoSpaceDE/>
              <w:autoSpaceDN/>
              <w:adjustRightInd/>
              <w:snapToGrid/>
              <w:spacing w:before="40" w:after="40" w:line="220" w:lineRule="exact"/>
              <w:jc w:val="right"/>
              <w:rPr>
                <w:sz w:val="18"/>
              </w:rPr>
            </w:pPr>
            <w:r w:rsidRPr="00821D2B">
              <w:rPr>
                <w:sz w:val="18"/>
              </w:rPr>
              <w:t>1 190</w:t>
            </w:r>
          </w:p>
        </w:tc>
        <w:tc>
          <w:tcPr>
            <w:tcW w:w="1134" w:type="dxa"/>
            <w:tcBorders>
              <w:top w:val="single" w:sz="12" w:space="0" w:color="auto"/>
            </w:tcBorders>
            <w:shd w:val="clear" w:color="auto" w:fill="auto"/>
            <w:vAlign w:val="bottom"/>
          </w:tcPr>
          <w:p w:rsidR="008D6145" w:rsidRPr="00821D2B" w:rsidRDefault="008D6145" w:rsidP="00821D2B">
            <w:pPr>
              <w:suppressAutoHyphens w:val="0"/>
              <w:kinsoku/>
              <w:overflowPunct/>
              <w:autoSpaceDE/>
              <w:autoSpaceDN/>
              <w:adjustRightInd/>
              <w:snapToGrid/>
              <w:spacing w:before="40" w:after="40" w:line="220" w:lineRule="exact"/>
              <w:jc w:val="right"/>
              <w:rPr>
                <w:sz w:val="18"/>
              </w:rPr>
            </w:pPr>
            <w:r w:rsidRPr="00821D2B">
              <w:rPr>
                <w:sz w:val="18"/>
              </w:rPr>
              <w:t>1 188</w:t>
            </w:r>
          </w:p>
        </w:tc>
        <w:tc>
          <w:tcPr>
            <w:tcW w:w="1134" w:type="dxa"/>
            <w:tcBorders>
              <w:top w:val="single" w:sz="12" w:space="0" w:color="auto"/>
            </w:tcBorders>
            <w:shd w:val="clear" w:color="auto" w:fill="auto"/>
            <w:vAlign w:val="bottom"/>
          </w:tcPr>
          <w:p w:rsidR="008D6145" w:rsidRPr="00821D2B" w:rsidRDefault="008D6145" w:rsidP="00821D2B">
            <w:pPr>
              <w:suppressAutoHyphens w:val="0"/>
              <w:kinsoku/>
              <w:overflowPunct/>
              <w:autoSpaceDE/>
              <w:autoSpaceDN/>
              <w:adjustRightInd/>
              <w:snapToGrid/>
              <w:spacing w:before="40" w:after="40" w:line="220" w:lineRule="exact"/>
              <w:jc w:val="right"/>
              <w:rPr>
                <w:sz w:val="18"/>
              </w:rPr>
            </w:pPr>
            <w:r w:rsidRPr="00821D2B">
              <w:rPr>
                <w:sz w:val="18"/>
              </w:rPr>
              <w:t>1 143</w:t>
            </w:r>
          </w:p>
        </w:tc>
        <w:tc>
          <w:tcPr>
            <w:tcW w:w="1134" w:type="dxa"/>
            <w:tcBorders>
              <w:top w:val="single" w:sz="12" w:space="0" w:color="auto"/>
            </w:tcBorders>
            <w:shd w:val="clear" w:color="auto" w:fill="auto"/>
            <w:vAlign w:val="bottom"/>
          </w:tcPr>
          <w:p w:rsidR="008D6145" w:rsidRPr="00821D2B" w:rsidRDefault="008D6145" w:rsidP="00821D2B">
            <w:pPr>
              <w:suppressAutoHyphens w:val="0"/>
              <w:kinsoku/>
              <w:overflowPunct/>
              <w:autoSpaceDE/>
              <w:autoSpaceDN/>
              <w:adjustRightInd/>
              <w:snapToGrid/>
              <w:spacing w:before="40" w:after="40" w:line="220" w:lineRule="exact"/>
              <w:jc w:val="right"/>
              <w:rPr>
                <w:sz w:val="18"/>
              </w:rPr>
            </w:pPr>
            <w:r w:rsidRPr="00821D2B">
              <w:rPr>
                <w:sz w:val="18"/>
              </w:rPr>
              <w:t>96,21</w:t>
            </w:r>
            <w:r w:rsidR="0002318D">
              <w:rPr>
                <w:sz w:val="18"/>
              </w:rPr>
              <w:t> </w:t>
            </w:r>
            <w:r w:rsidRPr="00821D2B">
              <w:rPr>
                <w:sz w:val="18"/>
              </w:rPr>
              <w:t>%</w:t>
            </w:r>
          </w:p>
        </w:tc>
      </w:tr>
      <w:tr w:rsidR="00C03E95" w:rsidRPr="00C03E95" w:rsidTr="00821D2B">
        <w:tc>
          <w:tcPr>
            <w:tcW w:w="2835" w:type="dxa"/>
            <w:shd w:val="clear" w:color="auto" w:fill="auto"/>
          </w:tcPr>
          <w:p w:rsidR="008D6145" w:rsidRPr="00821D2B" w:rsidRDefault="008D6145" w:rsidP="00821D2B">
            <w:pPr>
              <w:suppressAutoHyphens w:val="0"/>
              <w:kinsoku/>
              <w:overflowPunct/>
              <w:autoSpaceDE/>
              <w:autoSpaceDN/>
              <w:adjustRightInd/>
              <w:snapToGrid/>
              <w:spacing w:before="40" w:after="40" w:line="220" w:lineRule="exact"/>
              <w:rPr>
                <w:sz w:val="18"/>
              </w:rPr>
            </w:pPr>
            <w:r w:rsidRPr="00821D2B">
              <w:rPr>
                <w:sz w:val="18"/>
              </w:rPr>
              <w:t>Session d</w:t>
            </w:r>
            <w:r w:rsidR="00A033A7" w:rsidRPr="00821D2B">
              <w:rPr>
                <w:sz w:val="18"/>
              </w:rPr>
              <w:t>’</w:t>
            </w:r>
            <w:r w:rsidRPr="00821D2B">
              <w:rPr>
                <w:sz w:val="18"/>
              </w:rPr>
              <w:t>avril 2014</w:t>
            </w:r>
          </w:p>
        </w:tc>
        <w:tc>
          <w:tcPr>
            <w:tcW w:w="1134" w:type="dxa"/>
            <w:shd w:val="clear" w:color="auto" w:fill="auto"/>
            <w:vAlign w:val="bottom"/>
          </w:tcPr>
          <w:p w:rsidR="008D6145" w:rsidRPr="00821D2B" w:rsidRDefault="008D6145" w:rsidP="00821D2B">
            <w:pPr>
              <w:suppressAutoHyphens w:val="0"/>
              <w:kinsoku/>
              <w:overflowPunct/>
              <w:autoSpaceDE/>
              <w:autoSpaceDN/>
              <w:adjustRightInd/>
              <w:snapToGrid/>
              <w:spacing w:before="40" w:after="40" w:line="220" w:lineRule="exact"/>
              <w:jc w:val="right"/>
              <w:rPr>
                <w:sz w:val="18"/>
              </w:rPr>
            </w:pPr>
            <w:r w:rsidRPr="00821D2B">
              <w:rPr>
                <w:sz w:val="18"/>
              </w:rPr>
              <w:t>2 780</w:t>
            </w:r>
          </w:p>
        </w:tc>
        <w:tc>
          <w:tcPr>
            <w:tcW w:w="1134" w:type="dxa"/>
            <w:shd w:val="clear" w:color="auto" w:fill="auto"/>
            <w:vAlign w:val="bottom"/>
          </w:tcPr>
          <w:p w:rsidR="008D6145" w:rsidRPr="00821D2B" w:rsidRDefault="008D6145" w:rsidP="00821D2B">
            <w:pPr>
              <w:suppressAutoHyphens w:val="0"/>
              <w:kinsoku/>
              <w:overflowPunct/>
              <w:autoSpaceDE/>
              <w:autoSpaceDN/>
              <w:adjustRightInd/>
              <w:snapToGrid/>
              <w:spacing w:before="40" w:after="40" w:line="220" w:lineRule="exact"/>
              <w:jc w:val="right"/>
              <w:rPr>
                <w:sz w:val="18"/>
              </w:rPr>
            </w:pPr>
            <w:r w:rsidRPr="00821D2B">
              <w:rPr>
                <w:sz w:val="18"/>
              </w:rPr>
              <w:t>2 777</w:t>
            </w:r>
          </w:p>
        </w:tc>
        <w:tc>
          <w:tcPr>
            <w:tcW w:w="1134" w:type="dxa"/>
            <w:shd w:val="clear" w:color="auto" w:fill="auto"/>
            <w:vAlign w:val="bottom"/>
          </w:tcPr>
          <w:p w:rsidR="008D6145" w:rsidRPr="00821D2B" w:rsidRDefault="008D6145" w:rsidP="00821D2B">
            <w:pPr>
              <w:suppressAutoHyphens w:val="0"/>
              <w:kinsoku/>
              <w:overflowPunct/>
              <w:autoSpaceDE/>
              <w:autoSpaceDN/>
              <w:adjustRightInd/>
              <w:snapToGrid/>
              <w:spacing w:before="40" w:after="40" w:line="220" w:lineRule="exact"/>
              <w:jc w:val="right"/>
              <w:rPr>
                <w:sz w:val="18"/>
              </w:rPr>
            </w:pPr>
            <w:r w:rsidRPr="00821D2B">
              <w:rPr>
                <w:sz w:val="18"/>
              </w:rPr>
              <w:t>2 326</w:t>
            </w:r>
          </w:p>
        </w:tc>
        <w:tc>
          <w:tcPr>
            <w:tcW w:w="1134" w:type="dxa"/>
            <w:shd w:val="clear" w:color="auto" w:fill="auto"/>
            <w:vAlign w:val="bottom"/>
          </w:tcPr>
          <w:p w:rsidR="008D6145" w:rsidRPr="00821D2B" w:rsidRDefault="008D6145" w:rsidP="00821D2B">
            <w:pPr>
              <w:suppressAutoHyphens w:val="0"/>
              <w:kinsoku/>
              <w:overflowPunct/>
              <w:autoSpaceDE/>
              <w:autoSpaceDN/>
              <w:adjustRightInd/>
              <w:snapToGrid/>
              <w:spacing w:before="40" w:after="40" w:line="220" w:lineRule="exact"/>
              <w:jc w:val="right"/>
              <w:rPr>
                <w:sz w:val="18"/>
              </w:rPr>
            </w:pPr>
            <w:r w:rsidRPr="00821D2B">
              <w:rPr>
                <w:sz w:val="18"/>
              </w:rPr>
              <w:t>83,75</w:t>
            </w:r>
            <w:r w:rsidR="0002318D">
              <w:rPr>
                <w:sz w:val="18"/>
              </w:rPr>
              <w:t> </w:t>
            </w:r>
            <w:r w:rsidRPr="00821D2B">
              <w:rPr>
                <w:sz w:val="18"/>
              </w:rPr>
              <w:t>%</w:t>
            </w:r>
          </w:p>
        </w:tc>
      </w:tr>
      <w:tr w:rsidR="00C03E95" w:rsidRPr="00C03E95" w:rsidTr="00821D2B">
        <w:tc>
          <w:tcPr>
            <w:tcW w:w="2835" w:type="dxa"/>
            <w:shd w:val="clear" w:color="auto" w:fill="auto"/>
          </w:tcPr>
          <w:p w:rsidR="008D6145" w:rsidRPr="00821D2B" w:rsidRDefault="008D6145" w:rsidP="00821D2B">
            <w:pPr>
              <w:suppressAutoHyphens w:val="0"/>
              <w:kinsoku/>
              <w:overflowPunct/>
              <w:autoSpaceDE/>
              <w:autoSpaceDN/>
              <w:adjustRightInd/>
              <w:snapToGrid/>
              <w:spacing w:before="40" w:after="40" w:line="220" w:lineRule="exact"/>
              <w:rPr>
                <w:sz w:val="18"/>
              </w:rPr>
            </w:pPr>
            <w:r w:rsidRPr="00821D2B">
              <w:rPr>
                <w:sz w:val="18"/>
              </w:rPr>
              <w:t>Session d</w:t>
            </w:r>
            <w:r w:rsidR="00A033A7" w:rsidRPr="00821D2B">
              <w:rPr>
                <w:sz w:val="18"/>
              </w:rPr>
              <w:t>’</w:t>
            </w:r>
            <w:r w:rsidRPr="00821D2B">
              <w:rPr>
                <w:sz w:val="18"/>
              </w:rPr>
              <w:t>octobre 2014</w:t>
            </w:r>
          </w:p>
        </w:tc>
        <w:tc>
          <w:tcPr>
            <w:tcW w:w="1134" w:type="dxa"/>
            <w:shd w:val="clear" w:color="auto" w:fill="auto"/>
            <w:vAlign w:val="bottom"/>
          </w:tcPr>
          <w:p w:rsidR="008D6145" w:rsidRPr="00821D2B" w:rsidRDefault="008D6145" w:rsidP="00821D2B">
            <w:pPr>
              <w:suppressAutoHyphens w:val="0"/>
              <w:kinsoku/>
              <w:overflowPunct/>
              <w:autoSpaceDE/>
              <w:autoSpaceDN/>
              <w:adjustRightInd/>
              <w:snapToGrid/>
              <w:spacing w:before="40" w:after="40" w:line="220" w:lineRule="exact"/>
              <w:jc w:val="right"/>
              <w:rPr>
                <w:sz w:val="18"/>
              </w:rPr>
            </w:pPr>
            <w:r w:rsidRPr="00821D2B">
              <w:rPr>
                <w:sz w:val="18"/>
              </w:rPr>
              <w:t>2 802</w:t>
            </w:r>
          </w:p>
        </w:tc>
        <w:tc>
          <w:tcPr>
            <w:tcW w:w="1134" w:type="dxa"/>
            <w:shd w:val="clear" w:color="auto" w:fill="auto"/>
            <w:vAlign w:val="bottom"/>
          </w:tcPr>
          <w:p w:rsidR="008D6145" w:rsidRPr="00821D2B" w:rsidRDefault="008D6145" w:rsidP="00821D2B">
            <w:pPr>
              <w:suppressAutoHyphens w:val="0"/>
              <w:kinsoku/>
              <w:overflowPunct/>
              <w:autoSpaceDE/>
              <w:autoSpaceDN/>
              <w:adjustRightInd/>
              <w:snapToGrid/>
              <w:spacing w:before="40" w:after="40" w:line="220" w:lineRule="exact"/>
              <w:jc w:val="right"/>
              <w:rPr>
                <w:sz w:val="18"/>
              </w:rPr>
            </w:pPr>
            <w:r w:rsidRPr="00821D2B">
              <w:rPr>
                <w:sz w:val="18"/>
              </w:rPr>
              <w:t>2 800</w:t>
            </w:r>
          </w:p>
        </w:tc>
        <w:tc>
          <w:tcPr>
            <w:tcW w:w="1134" w:type="dxa"/>
            <w:shd w:val="clear" w:color="auto" w:fill="auto"/>
            <w:vAlign w:val="bottom"/>
          </w:tcPr>
          <w:p w:rsidR="008D6145" w:rsidRPr="00821D2B" w:rsidRDefault="008D6145" w:rsidP="00821D2B">
            <w:pPr>
              <w:suppressAutoHyphens w:val="0"/>
              <w:kinsoku/>
              <w:overflowPunct/>
              <w:autoSpaceDE/>
              <w:autoSpaceDN/>
              <w:adjustRightInd/>
              <w:snapToGrid/>
              <w:spacing w:before="40" w:after="40" w:line="220" w:lineRule="exact"/>
              <w:jc w:val="right"/>
              <w:rPr>
                <w:sz w:val="18"/>
              </w:rPr>
            </w:pPr>
            <w:r w:rsidRPr="00821D2B">
              <w:rPr>
                <w:sz w:val="18"/>
              </w:rPr>
              <w:t>2 574</w:t>
            </w:r>
          </w:p>
        </w:tc>
        <w:tc>
          <w:tcPr>
            <w:tcW w:w="1134" w:type="dxa"/>
            <w:shd w:val="clear" w:color="auto" w:fill="auto"/>
            <w:vAlign w:val="bottom"/>
          </w:tcPr>
          <w:p w:rsidR="008D6145" w:rsidRPr="00821D2B" w:rsidRDefault="008D6145" w:rsidP="00821D2B">
            <w:pPr>
              <w:suppressAutoHyphens w:val="0"/>
              <w:kinsoku/>
              <w:overflowPunct/>
              <w:autoSpaceDE/>
              <w:autoSpaceDN/>
              <w:adjustRightInd/>
              <w:snapToGrid/>
              <w:spacing w:before="40" w:after="40" w:line="220" w:lineRule="exact"/>
              <w:jc w:val="right"/>
              <w:rPr>
                <w:sz w:val="18"/>
              </w:rPr>
            </w:pPr>
            <w:r w:rsidRPr="00821D2B">
              <w:rPr>
                <w:sz w:val="18"/>
              </w:rPr>
              <w:t>91</w:t>
            </w:r>
            <w:r w:rsidR="0002318D">
              <w:rPr>
                <w:sz w:val="18"/>
              </w:rPr>
              <w:t> </w:t>
            </w:r>
            <w:r w:rsidRPr="00821D2B">
              <w:rPr>
                <w:sz w:val="18"/>
              </w:rPr>
              <w:t>%</w:t>
            </w:r>
          </w:p>
        </w:tc>
      </w:tr>
      <w:tr w:rsidR="00C03E95" w:rsidRPr="00C03E95" w:rsidTr="00821D2B">
        <w:tc>
          <w:tcPr>
            <w:tcW w:w="2835" w:type="dxa"/>
            <w:tcBorders>
              <w:bottom w:val="single" w:sz="12" w:space="0" w:color="auto"/>
            </w:tcBorders>
            <w:shd w:val="clear" w:color="auto" w:fill="auto"/>
          </w:tcPr>
          <w:p w:rsidR="008D6145" w:rsidRPr="00821D2B" w:rsidRDefault="008D6145" w:rsidP="00821D2B">
            <w:pPr>
              <w:suppressAutoHyphens w:val="0"/>
              <w:kinsoku/>
              <w:overflowPunct/>
              <w:autoSpaceDE/>
              <w:autoSpaceDN/>
              <w:adjustRightInd/>
              <w:snapToGrid/>
              <w:spacing w:before="40" w:after="40" w:line="220" w:lineRule="exact"/>
              <w:rPr>
                <w:sz w:val="18"/>
              </w:rPr>
            </w:pPr>
            <w:r w:rsidRPr="00821D2B">
              <w:rPr>
                <w:sz w:val="18"/>
              </w:rPr>
              <w:t>Session d</w:t>
            </w:r>
            <w:r w:rsidR="00A033A7" w:rsidRPr="00821D2B">
              <w:rPr>
                <w:sz w:val="18"/>
              </w:rPr>
              <w:t>’</w:t>
            </w:r>
            <w:r w:rsidRPr="00821D2B">
              <w:rPr>
                <w:sz w:val="18"/>
              </w:rPr>
              <w:t>avril 2015</w:t>
            </w:r>
          </w:p>
        </w:tc>
        <w:tc>
          <w:tcPr>
            <w:tcW w:w="1134" w:type="dxa"/>
            <w:tcBorders>
              <w:bottom w:val="single" w:sz="12" w:space="0" w:color="auto"/>
            </w:tcBorders>
            <w:shd w:val="clear" w:color="auto" w:fill="auto"/>
            <w:vAlign w:val="bottom"/>
          </w:tcPr>
          <w:p w:rsidR="008D6145" w:rsidRPr="00821D2B" w:rsidRDefault="008D6145" w:rsidP="00821D2B">
            <w:pPr>
              <w:suppressAutoHyphens w:val="0"/>
              <w:kinsoku/>
              <w:overflowPunct/>
              <w:autoSpaceDE/>
              <w:autoSpaceDN/>
              <w:adjustRightInd/>
              <w:snapToGrid/>
              <w:spacing w:before="40" w:after="40" w:line="220" w:lineRule="exact"/>
              <w:jc w:val="right"/>
              <w:rPr>
                <w:sz w:val="18"/>
              </w:rPr>
            </w:pPr>
            <w:r w:rsidRPr="00821D2B">
              <w:rPr>
                <w:sz w:val="18"/>
              </w:rPr>
              <w:t>3 997</w:t>
            </w:r>
          </w:p>
        </w:tc>
        <w:tc>
          <w:tcPr>
            <w:tcW w:w="1134" w:type="dxa"/>
            <w:tcBorders>
              <w:bottom w:val="single" w:sz="12" w:space="0" w:color="auto"/>
            </w:tcBorders>
            <w:shd w:val="clear" w:color="auto" w:fill="auto"/>
            <w:vAlign w:val="bottom"/>
          </w:tcPr>
          <w:p w:rsidR="008D6145" w:rsidRPr="00821D2B" w:rsidRDefault="008D6145" w:rsidP="00821D2B">
            <w:pPr>
              <w:suppressAutoHyphens w:val="0"/>
              <w:kinsoku/>
              <w:overflowPunct/>
              <w:autoSpaceDE/>
              <w:autoSpaceDN/>
              <w:adjustRightInd/>
              <w:snapToGrid/>
              <w:spacing w:before="40" w:after="40" w:line="220" w:lineRule="exact"/>
              <w:jc w:val="right"/>
              <w:rPr>
                <w:sz w:val="18"/>
              </w:rPr>
            </w:pPr>
            <w:r w:rsidRPr="00821D2B">
              <w:rPr>
                <w:sz w:val="18"/>
              </w:rPr>
              <w:t>3 992</w:t>
            </w:r>
          </w:p>
        </w:tc>
        <w:tc>
          <w:tcPr>
            <w:tcW w:w="1134" w:type="dxa"/>
            <w:tcBorders>
              <w:bottom w:val="single" w:sz="12" w:space="0" w:color="auto"/>
            </w:tcBorders>
            <w:shd w:val="clear" w:color="auto" w:fill="auto"/>
            <w:vAlign w:val="bottom"/>
          </w:tcPr>
          <w:p w:rsidR="008D6145" w:rsidRPr="00821D2B" w:rsidRDefault="008D6145" w:rsidP="00821D2B">
            <w:pPr>
              <w:suppressAutoHyphens w:val="0"/>
              <w:kinsoku/>
              <w:overflowPunct/>
              <w:autoSpaceDE/>
              <w:autoSpaceDN/>
              <w:adjustRightInd/>
              <w:snapToGrid/>
              <w:spacing w:before="40" w:after="40" w:line="220" w:lineRule="exact"/>
              <w:jc w:val="right"/>
              <w:rPr>
                <w:sz w:val="18"/>
              </w:rPr>
            </w:pPr>
            <w:r w:rsidRPr="00821D2B">
              <w:rPr>
                <w:sz w:val="18"/>
              </w:rPr>
              <w:t>3 863</w:t>
            </w:r>
          </w:p>
        </w:tc>
        <w:tc>
          <w:tcPr>
            <w:tcW w:w="1134" w:type="dxa"/>
            <w:tcBorders>
              <w:bottom w:val="single" w:sz="12" w:space="0" w:color="auto"/>
            </w:tcBorders>
            <w:shd w:val="clear" w:color="auto" w:fill="auto"/>
            <w:vAlign w:val="bottom"/>
          </w:tcPr>
          <w:p w:rsidR="008D6145" w:rsidRPr="00821D2B" w:rsidRDefault="008D6145" w:rsidP="00821D2B">
            <w:pPr>
              <w:suppressAutoHyphens w:val="0"/>
              <w:kinsoku/>
              <w:overflowPunct/>
              <w:autoSpaceDE/>
              <w:autoSpaceDN/>
              <w:adjustRightInd/>
              <w:snapToGrid/>
              <w:spacing w:before="40" w:after="40" w:line="220" w:lineRule="exact"/>
              <w:jc w:val="right"/>
              <w:rPr>
                <w:sz w:val="18"/>
              </w:rPr>
            </w:pPr>
            <w:r w:rsidRPr="00821D2B">
              <w:rPr>
                <w:sz w:val="18"/>
              </w:rPr>
              <w:t>96,76</w:t>
            </w:r>
            <w:r w:rsidR="0002318D">
              <w:rPr>
                <w:sz w:val="18"/>
              </w:rPr>
              <w:t> </w:t>
            </w:r>
            <w:r w:rsidRPr="00821D2B">
              <w:rPr>
                <w:sz w:val="18"/>
              </w:rPr>
              <w:t>%</w:t>
            </w:r>
          </w:p>
        </w:tc>
      </w:tr>
    </w:tbl>
    <w:p w:rsidR="008D6145" w:rsidRPr="008D6145" w:rsidRDefault="008D6145" w:rsidP="008D6145">
      <w:pPr>
        <w:kinsoku/>
        <w:overflowPunct/>
        <w:autoSpaceDE/>
        <w:autoSpaceDN/>
        <w:adjustRightInd/>
        <w:snapToGrid/>
        <w:spacing w:before="120" w:after="120"/>
        <w:ind w:left="1134" w:right="1134" w:firstLine="170"/>
        <w:rPr>
          <w:rFonts w:eastAsia="Times New Roman"/>
          <w:i/>
          <w:sz w:val="18"/>
          <w:szCs w:val="18"/>
          <w:lang w:val="fr-FR"/>
        </w:rPr>
      </w:pPr>
      <w:r w:rsidRPr="008D6145">
        <w:rPr>
          <w:rFonts w:eastAsia="Times New Roman"/>
          <w:i/>
          <w:sz w:val="18"/>
          <w:szCs w:val="18"/>
          <w:lang w:val="fr-FR"/>
        </w:rPr>
        <w:t xml:space="preserve">Source : </w:t>
      </w:r>
      <w:r w:rsidRPr="008D6145">
        <w:rPr>
          <w:rFonts w:eastAsia="Times New Roman"/>
          <w:sz w:val="18"/>
          <w:szCs w:val="18"/>
          <w:lang w:val="fr-FR"/>
        </w:rPr>
        <w:t>DEC/</w:t>
      </w:r>
      <w:r w:rsidRPr="00821D2B">
        <w:rPr>
          <w:rFonts w:eastAsia="Times New Roman"/>
          <w:iCs/>
          <w:sz w:val="18"/>
          <w:szCs w:val="18"/>
        </w:rPr>
        <w:t>2016</w:t>
      </w:r>
      <w:r w:rsidRPr="008D6145">
        <w:rPr>
          <w:rFonts w:eastAsia="Times New Roman"/>
          <w:i/>
          <w:sz w:val="18"/>
          <w:szCs w:val="18"/>
          <w:lang w:val="fr-FR"/>
        </w:rPr>
        <w:t>.</w:t>
      </w:r>
    </w:p>
    <w:p w:rsidR="008D6145" w:rsidRPr="008D6145" w:rsidRDefault="00821D2B" w:rsidP="00821D2B">
      <w:pPr>
        <w:pStyle w:val="SingleTxtG"/>
        <w:kinsoku/>
        <w:overflowPunct/>
        <w:autoSpaceDE/>
        <w:autoSpaceDN/>
        <w:adjustRightInd/>
        <w:snapToGrid/>
        <w:rPr>
          <w:rFonts w:eastAsia="Times New Roman"/>
          <w:lang w:val="fr-FR"/>
        </w:rPr>
      </w:pPr>
      <w:r w:rsidRPr="008D6145">
        <w:rPr>
          <w:rFonts w:eastAsia="Times New Roman"/>
          <w:lang w:val="fr-FR"/>
        </w:rPr>
        <w:t>113.</w:t>
      </w:r>
      <w:r w:rsidRPr="008D6145">
        <w:rPr>
          <w:rFonts w:eastAsia="Times New Roman"/>
          <w:lang w:val="fr-FR"/>
        </w:rPr>
        <w:tab/>
      </w:r>
      <w:r w:rsidR="008D6145" w:rsidRPr="008D6145">
        <w:rPr>
          <w:rFonts w:eastAsia="Times New Roman"/>
          <w:lang w:val="fr-FR"/>
        </w:rPr>
        <w:t>Le parcours de l</w:t>
      </w:r>
      <w:r w:rsidR="00A033A7">
        <w:rPr>
          <w:rFonts w:eastAsia="Times New Roman"/>
          <w:lang w:val="fr-FR"/>
        </w:rPr>
        <w:t>’</w:t>
      </w:r>
      <w:r w:rsidR="008D6145" w:rsidRPr="008D6145">
        <w:rPr>
          <w:rFonts w:eastAsia="Times New Roman"/>
          <w:lang w:val="fr-FR"/>
        </w:rPr>
        <w:t>enseignement secondaire est sanctionné par l</w:t>
      </w:r>
      <w:r w:rsidR="00A033A7">
        <w:rPr>
          <w:rFonts w:eastAsia="Times New Roman"/>
          <w:lang w:val="fr-FR"/>
        </w:rPr>
        <w:t>’</w:t>
      </w:r>
      <w:r w:rsidR="008D6145" w:rsidRPr="008D6145">
        <w:rPr>
          <w:rFonts w:eastAsia="Times New Roman"/>
          <w:lang w:val="fr-FR"/>
        </w:rPr>
        <w:t>examen du Baccalauréat dont les résultats ont varié en dents de scie au cours de la période sous étude : 30,13</w:t>
      </w:r>
      <w:r w:rsidR="0002318D">
        <w:rPr>
          <w:rFonts w:eastAsia="Times New Roman"/>
          <w:lang w:val="fr-FR"/>
        </w:rPr>
        <w:t> </w:t>
      </w:r>
      <w:r w:rsidR="008D6145" w:rsidRPr="008D6145">
        <w:rPr>
          <w:rFonts w:eastAsia="Times New Roman"/>
          <w:lang w:val="fr-FR"/>
        </w:rPr>
        <w:t>% (2016) ; 34,43</w:t>
      </w:r>
      <w:r w:rsidR="0002318D">
        <w:rPr>
          <w:rFonts w:eastAsia="Times New Roman"/>
          <w:lang w:val="fr-FR"/>
        </w:rPr>
        <w:t> </w:t>
      </w:r>
      <w:r w:rsidR="008D6145" w:rsidRPr="008D6145">
        <w:rPr>
          <w:rFonts w:eastAsia="Times New Roman"/>
          <w:lang w:val="fr-FR"/>
        </w:rPr>
        <w:t>% (2015) ; 23,72</w:t>
      </w:r>
      <w:r w:rsidR="0002318D">
        <w:rPr>
          <w:rFonts w:eastAsia="Times New Roman"/>
          <w:lang w:val="fr-FR"/>
        </w:rPr>
        <w:t> </w:t>
      </w:r>
      <w:r w:rsidR="008D6145" w:rsidRPr="008D6145">
        <w:rPr>
          <w:rFonts w:eastAsia="Times New Roman"/>
          <w:lang w:val="fr-FR"/>
        </w:rPr>
        <w:t>% (2014) ; 32,46</w:t>
      </w:r>
      <w:r w:rsidR="0002318D">
        <w:rPr>
          <w:rFonts w:eastAsia="Times New Roman"/>
          <w:lang w:val="fr-FR"/>
        </w:rPr>
        <w:t> </w:t>
      </w:r>
      <w:r w:rsidR="008D6145" w:rsidRPr="008D6145">
        <w:rPr>
          <w:rFonts w:eastAsia="Times New Roman"/>
          <w:lang w:val="fr-FR"/>
        </w:rPr>
        <w:t>% (2013) et 37,18</w:t>
      </w:r>
      <w:r w:rsidR="0002318D">
        <w:rPr>
          <w:rFonts w:eastAsia="Times New Roman"/>
          <w:lang w:val="fr-FR"/>
        </w:rPr>
        <w:t> </w:t>
      </w:r>
      <w:r w:rsidR="008D6145" w:rsidRPr="008D6145">
        <w:rPr>
          <w:rFonts w:eastAsia="Times New Roman"/>
          <w:lang w:val="fr-FR"/>
        </w:rPr>
        <w:t>% (2012).</w:t>
      </w:r>
    </w:p>
    <w:p w:rsidR="008D6145" w:rsidRPr="008D6145" w:rsidRDefault="008D6145" w:rsidP="00821D2B">
      <w:pPr>
        <w:pStyle w:val="H23G"/>
        <w:rPr>
          <w:lang w:val="fr-FR"/>
        </w:rPr>
      </w:pPr>
      <w:r w:rsidRPr="008D6145">
        <w:rPr>
          <w:lang w:val="fr-FR"/>
        </w:rPr>
        <w:tab/>
      </w:r>
      <w:r w:rsidRPr="008D6145">
        <w:rPr>
          <w:lang w:val="fr-FR"/>
        </w:rPr>
        <w:tab/>
        <w:t>L</w:t>
      </w:r>
      <w:r w:rsidR="00A033A7">
        <w:rPr>
          <w:lang w:val="fr-FR"/>
        </w:rPr>
        <w:t>’</w:t>
      </w:r>
      <w:r w:rsidRPr="008D6145">
        <w:rPr>
          <w:lang w:val="fr-FR"/>
        </w:rPr>
        <w:t xml:space="preserve">enseignement supérieur </w:t>
      </w:r>
    </w:p>
    <w:p w:rsidR="008D6145" w:rsidRPr="008D6145" w:rsidRDefault="00821D2B" w:rsidP="00821D2B">
      <w:pPr>
        <w:pStyle w:val="SingleTxtG"/>
        <w:kinsoku/>
        <w:overflowPunct/>
        <w:autoSpaceDE/>
        <w:autoSpaceDN/>
        <w:adjustRightInd/>
        <w:snapToGrid/>
        <w:rPr>
          <w:rFonts w:eastAsia="Times New Roman"/>
          <w:lang w:val="fr-FR"/>
        </w:rPr>
      </w:pPr>
      <w:r w:rsidRPr="008D6145">
        <w:rPr>
          <w:rFonts w:eastAsia="Times New Roman"/>
          <w:lang w:val="fr-FR"/>
        </w:rPr>
        <w:t>114.</w:t>
      </w:r>
      <w:r w:rsidRPr="008D6145">
        <w:rPr>
          <w:rFonts w:eastAsia="Times New Roman"/>
          <w:lang w:val="fr-FR"/>
        </w:rPr>
        <w:tab/>
      </w:r>
      <w:r w:rsidR="008D6145" w:rsidRPr="008D6145">
        <w:rPr>
          <w:rFonts w:eastAsia="Times New Roman"/>
          <w:lang w:val="fr-FR"/>
        </w:rPr>
        <w:t>Conformément à la Résolution du CAMES (2006) et la Directive de l</w:t>
      </w:r>
      <w:r w:rsidR="00A033A7">
        <w:rPr>
          <w:rFonts w:eastAsia="Times New Roman"/>
          <w:lang w:val="fr-FR"/>
        </w:rPr>
        <w:t>’</w:t>
      </w:r>
      <w:r w:rsidR="008D6145" w:rsidRPr="008D6145">
        <w:rPr>
          <w:rFonts w:eastAsia="Times New Roman"/>
          <w:lang w:val="fr-FR"/>
        </w:rPr>
        <w:t>UEMOA (2007), le Bénin s</w:t>
      </w:r>
      <w:r w:rsidR="00A033A7">
        <w:rPr>
          <w:rFonts w:eastAsia="Times New Roman"/>
          <w:lang w:val="fr-FR"/>
        </w:rPr>
        <w:t>’</w:t>
      </w:r>
      <w:r w:rsidR="008D6145" w:rsidRPr="008D6145">
        <w:rPr>
          <w:rFonts w:eastAsia="Times New Roman"/>
          <w:lang w:val="fr-FR"/>
        </w:rPr>
        <w:t>est engagé dans la reconfiguration des programmes universitaires et l</w:t>
      </w:r>
      <w:r w:rsidR="00A033A7">
        <w:rPr>
          <w:rFonts w:eastAsia="Times New Roman"/>
          <w:lang w:val="fr-FR"/>
        </w:rPr>
        <w:t>’</w:t>
      </w:r>
      <w:r w:rsidR="008D6145" w:rsidRPr="008D6145">
        <w:rPr>
          <w:rFonts w:eastAsia="Times New Roman"/>
          <w:lang w:val="fr-FR"/>
        </w:rPr>
        <w:t>organisation des universités et écoles suivant le modèle académique Licence-Master-Doctorat (LMD). Le système LMD a vocation de devenir le référentiel international commun de la totalité de l</w:t>
      </w:r>
      <w:r w:rsidR="00A033A7">
        <w:rPr>
          <w:rFonts w:eastAsia="Times New Roman"/>
          <w:lang w:val="fr-FR"/>
        </w:rPr>
        <w:t>’</w:t>
      </w:r>
      <w:r w:rsidR="008D6145" w:rsidRPr="008D6145">
        <w:rPr>
          <w:rFonts w:eastAsia="Times New Roman"/>
          <w:lang w:val="fr-FR"/>
        </w:rPr>
        <w:t xml:space="preserve">offre de formation supérieure. </w:t>
      </w:r>
    </w:p>
    <w:p w:rsidR="008D6145" w:rsidRPr="008D6145" w:rsidRDefault="00821D2B" w:rsidP="00821D2B">
      <w:pPr>
        <w:pStyle w:val="SingleTxtG"/>
        <w:kinsoku/>
        <w:overflowPunct/>
        <w:autoSpaceDE/>
        <w:autoSpaceDN/>
        <w:adjustRightInd/>
        <w:snapToGrid/>
        <w:rPr>
          <w:rFonts w:eastAsia="Times New Roman"/>
          <w:lang w:val="fr-FR"/>
        </w:rPr>
      </w:pPr>
      <w:r w:rsidRPr="008D6145">
        <w:rPr>
          <w:rFonts w:eastAsia="Times New Roman"/>
          <w:lang w:val="fr-FR"/>
        </w:rPr>
        <w:t>115.</w:t>
      </w:r>
      <w:r w:rsidRPr="008D6145">
        <w:rPr>
          <w:rFonts w:eastAsia="Times New Roman"/>
          <w:lang w:val="fr-FR"/>
        </w:rPr>
        <w:tab/>
      </w:r>
      <w:r w:rsidR="008D6145" w:rsidRPr="008D6145">
        <w:rPr>
          <w:rFonts w:eastAsia="Times New Roman"/>
          <w:lang w:val="fr-FR"/>
        </w:rPr>
        <w:t>Le tableau ci-dessous présente la situation des établissements d</w:t>
      </w:r>
      <w:r w:rsidR="00A033A7">
        <w:rPr>
          <w:rFonts w:eastAsia="Times New Roman"/>
          <w:lang w:val="fr-FR"/>
        </w:rPr>
        <w:t>’</w:t>
      </w:r>
      <w:r w:rsidR="008D6145" w:rsidRPr="008D6145">
        <w:rPr>
          <w:rFonts w:eastAsia="Times New Roman"/>
          <w:lang w:val="fr-FR"/>
        </w:rPr>
        <w:t>enseignement supérieur sur la période allant de 2009 à 2016.</w:t>
      </w:r>
    </w:p>
    <w:p w:rsidR="008D6145" w:rsidRPr="008D6145" w:rsidRDefault="00C03E95" w:rsidP="00821D2B">
      <w:pPr>
        <w:pStyle w:val="H23G"/>
      </w:pPr>
      <w:r w:rsidRPr="00821D2B">
        <w:rPr>
          <w:b w:val="0"/>
          <w:bCs/>
        </w:rPr>
        <w:tab/>
      </w:r>
      <w:r w:rsidRPr="00821D2B">
        <w:rPr>
          <w:b w:val="0"/>
          <w:bCs/>
        </w:rPr>
        <w:tab/>
      </w:r>
      <w:r w:rsidR="008D6145" w:rsidRPr="00821D2B">
        <w:rPr>
          <w:b w:val="0"/>
          <w:bCs/>
        </w:rPr>
        <w:t>Tableau</w:t>
      </w:r>
      <w:r w:rsidR="000B490E" w:rsidRPr="00821D2B">
        <w:rPr>
          <w:b w:val="0"/>
          <w:bCs/>
        </w:rPr>
        <w:t xml:space="preserve"> </w:t>
      </w:r>
      <w:r w:rsidRPr="00C03E95">
        <w:rPr>
          <w:rFonts w:eastAsia="Times New Roman"/>
          <w:b w:val="0"/>
          <w:bCs/>
          <w:lang w:val="fr-FR"/>
        </w:rPr>
        <w:t>n</w:t>
      </w:r>
      <w:r w:rsidRPr="00C03E95">
        <w:rPr>
          <w:rFonts w:eastAsia="Times New Roman"/>
          <w:b w:val="0"/>
          <w:bCs/>
          <w:vertAlign w:val="superscript"/>
          <w:lang w:val="fr-FR"/>
        </w:rPr>
        <w:t>o</w:t>
      </w:r>
      <w:r w:rsidRPr="00C03E95">
        <w:rPr>
          <w:rFonts w:eastAsia="Times New Roman"/>
          <w:b w:val="0"/>
          <w:bCs/>
          <w:lang w:val="fr-FR"/>
        </w:rPr>
        <w:t> </w:t>
      </w:r>
      <w:r w:rsidR="008D6145" w:rsidRPr="00821D2B">
        <w:rPr>
          <w:b w:val="0"/>
          <w:bCs/>
        </w:rPr>
        <w:t xml:space="preserve">11 </w:t>
      </w:r>
      <w:r w:rsidR="008D6145" w:rsidRPr="00821D2B">
        <w:rPr>
          <w:b w:val="0"/>
          <w:bCs/>
        </w:rPr>
        <w:br/>
      </w:r>
      <w:r w:rsidR="008D6145" w:rsidRPr="008D6145">
        <w:t>Nombre d</w:t>
      </w:r>
      <w:r w:rsidR="00A033A7">
        <w:t>’</w:t>
      </w:r>
      <w:r w:rsidR="008D6145" w:rsidRPr="008D6145">
        <w:t>établissements selon le statut de 2009-2010 à 2015-2016</w:t>
      </w:r>
    </w:p>
    <w:tbl>
      <w:tblPr>
        <w:tblW w:w="0" w:type="auto"/>
        <w:tblInd w:w="1134" w:type="dxa"/>
        <w:tblLayout w:type="fixed"/>
        <w:tblCellMar>
          <w:left w:w="0" w:type="dxa"/>
          <w:right w:w="0" w:type="dxa"/>
        </w:tblCellMar>
        <w:tblLook w:val="04A0" w:firstRow="1" w:lastRow="0" w:firstColumn="1" w:lastColumn="0" w:noHBand="0" w:noVBand="1"/>
      </w:tblPr>
      <w:tblGrid>
        <w:gridCol w:w="2948"/>
        <w:gridCol w:w="794"/>
        <w:gridCol w:w="794"/>
        <w:gridCol w:w="794"/>
        <w:gridCol w:w="794"/>
        <w:gridCol w:w="794"/>
        <w:gridCol w:w="794"/>
        <w:gridCol w:w="794"/>
      </w:tblGrid>
      <w:tr w:rsidR="006502D2" w:rsidRPr="006502D2" w:rsidTr="008719A0">
        <w:trPr>
          <w:tblHeader/>
        </w:trPr>
        <w:tc>
          <w:tcPr>
            <w:tcW w:w="2948" w:type="dxa"/>
            <w:tcBorders>
              <w:top w:val="single" w:sz="4" w:space="0" w:color="auto"/>
              <w:bottom w:val="single" w:sz="12" w:space="0" w:color="auto"/>
            </w:tcBorders>
            <w:shd w:val="clear" w:color="auto" w:fill="auto"/>
            <w:noWrap/>
            <w:vAlign w:val="bottom"/>
            <w:hideMark/>
          </w:tcPr>
          <w:p w:rsidR="008D6145" w:rsidRPr="006502D2" w:rsidRDefault="008D6145" w:rsidP="00821D2B">
            <w:pPr>
              <w:suppressAutoHyphens w:val="0"/>
              <w:kinsoku/>
              <w:overflowPunct/>
              <w:autoSpaceDE/>
              <w:autoSpaceDN/>
              <w:adjustRightInd/>
              <w:snapToGrid/>
              <w:spacing w:before="80" w:after="80" w:line="200" w:lineRule="exact"/>
              <w:rPr>
                <w:rFonts w:eastAsia="Times New Roman"/>
                <w:i/>
                <w:sz w:val="16"/>
              </w:rPr>
            </w:pPr>
            <w:r w:rsidRPr="006502D2">
              <w:rPr>
                <w:rFonts w:eastAsia="Times New Roman"/>
                <w:i/>
                <w:sz w:val="16"/>
              </w:rPr>
              <w:t>Années académiques</w:t>
            </w:r>
          </w:p>
        </w:tc>
        <w:tc>
          <w:tcPr>
            <w:tcW w:w="794" w:type="dxa"/>
            <w:tcBorders>
              <w:top w:val="single" w:sz="4" w:space="0" w:color="auto"/>
              <w:bottom w:val="single" w:sz="12" w:space="0" w:color="auto"/>
            </w:tcBorders>
            <w:shd w:val="clear" w:color="auto" w:fill="auto"/>
            <w:noWrap/>
            <w:vAlign w:val="bottom"/>
            <w:hideMark/>
          </w:tcPr>
          <w:p w:rsidR="008D6145" w:rsidRPr="006502D2" w:rsidRDefault="008D6145" w:rsidP="00821D2B">
            <w:pPr>
              <w:suppressAutoHyphens w:val="0"/>
              <w:kinsoku/>
              <w:overflowPunct/>
              <w:autoSpaceDE/>
              <w:autoSpaceDN/>
              <w:adjustRightInd/>
              <w:snapToGrid/>
              <w:spacing w:before="80" w:after="80" w:line="200" w:lineRule="exact"/>
              <w:jc w:val="right"/>
              <w:rPr>
                <w:rFonts w:eastAsia="Times New Roman"/>
                <w:i/>
                <w:sz w:val="16"/>
              </w:rPr>
            </w:pPr>
            <w:r w:rsidRPr="006502D2">
              <w:rPr>
                <w:rFonts w:eastAsia="Times New Roman"/>
                <w:i/>
                <w:sz w:val="16"/>
              </w:rPr>
              <w:t>2009/2010</w:t>
            </w:r>
          </w:p>
        </w:tc>
        <w:tc>
          <w:tcPr>
            <w:tcW w:w="794" w:type="dxa"/>
            <w:tcBorders>
              <w:top w:val="single" w:sz="4" w:space="0" w:color="auto"/>
              <w:bottom w:val="single" w:sz="12" w:space="0" w:color="auto"/>
            </w:tcBorders>
            <w:shd w:val="clear" w:color="auto" w:fill="auto"/>
            <w:noWrap/>
            <w:vAlign w:val="bottom"/>
            <w:hideMark/>
          </w:tcPr>
          <w:p w:rsidR="008D6145" w:rsidRPr="006502D2" w:rsidRDefault="008D6145" w:rsidP="00821D2B">
            <w:pPr>
              <w:suppressAutoHyphens w:val="0"/>
              <w:kinsoku/>
              <w:overflowPunct/>
              <w:autoSpaceDE/>
              <w:autoSpaceDN/>
              <w:adjustRightInd/>
              <w:snapToGrid/>
              <w:spacing w:before="80" w:after="80" w:line="200" w:lineRule="exact"/>
              <w:jc w:val="right"/>
              <w:rPr>
                <w:rFonts w:eastAsia="Times New Roman"/>
                <w:i/>
                <w:sz w:val="16"/>
              </w:rPr>
            </w:pPr>
            <w:r w:rsidRPr="006502D2">
              <w:rPr>
                <w:rFonts w:eastAsia="Times New Roman"/>
                <w:i/>
                <w:sz w:val="16"/>
              </w:rPr>
              <w:t>2010/2011</w:t>
            </w:r>
          </w:p>
        </w:tc>
        <w:tc>
          <w:tcPr>
            <w:tcW w:w="794" w:type="dxa"/>
            <w:tcBorders>
              <w:top w:val="single" w:sz="4" w:space="0" w:color="auto"/>
              <w:bottom w:val="single" w:sz="12" w:space="0" w:color="auto"/>
            </w:tcBorders>
            <w:shd w:val="clear" w:color="auto" w:fill="auto"/>
            <w:noWrap/>
            <w:vAlign w:val="bottom"/>
            <w:hideMark/>
          </w:tcPr>
          <w:p w:rsidR="008D6145" w:rsidRPr="006502D2" w:rsidRDefault="008D6145" w:rsidP="00821D2B">
            <w:pPr>
              <w:suppressAutoHyphens w:val="0"/>
              <w:kinsoku/>
              <w:overflowPunct/>
              <w:autoSpaceDE/>
              <w:autoSpaceDN/>
              <w:adjustRightInd/>
              <w:snapToGrid/>
              <w:spacing w:before="80" w:after="80" w:line="200" w:lineRule="exact"/>
              <w:jc w:val="right"/>
              <w:rPr>
                <w:rFonts w:eastAsia="Times New Roman"/>
                <w:i/>
                <w:sz w:val="16"/>
              </w:rPr>
            </w:pPr>
            <w:r w:rsidRPr="006502D2">
              <w:rPr>
                <w:rFonts w:eastAsia="Times New Roman"/>
                <w:i/>
                <w:sz w:val="16"/>
              </w:rPr>
              <w:t>2011/2012</w:t>
            </w:r>
          </w:p>
        </w:tc>
        <w:tc>
          <w:tcPr>
            <w:tcW w:w="794" w:type="dxa"/>
            <w:tcBorders>
              <w:top w:val="single" w:sz="4" w:space="0" w:color="auto"/>
              <w:bottom w:val="single" w:sz="12" w:space="0" w:color="auto"/>
            </w:tcBorders>
            <w:shd w:val="clear" w:color="auto" w:fill="auto"/>
            <w:noWrap/>
            <w:vAlign w:val="bottom"/>
            <w:hideMark/>
          </w:tcPr>
          <w:p w:rsidR="008D6145" w:rsidRPr="006502D2" w:rsidRDefault="008D6145" w:rsidP="00821D2B">
            <w:pPr>
              <w:suppressAutoHyphens w:val="0"/>
              <w:kinsoku/>
              <w:overflowPunct/>
              <w:autoSpaceDE/>
              <w:autoSpaceDN/>
              <w:adjustRightInd/>
              <w:snapToGrid/>
              <w:spacing w:before="80" w:after="80" w:line="200" w:lineRule="exact"/>
              <w:jc w:val="right"/>
              <w:rPr>
                <w:rFonts w:eastAsia="Times New Roman"/>
                <w:i/>
                <w:sz w:val="16"/>
              </w:rPr>
            </w:pPr>
            <w:r w:rsidRPr="006502D2">
              <w:rPr>
                <w:rFonts w:eastAsia="Times New Roman"/>
                <w:i/>
                <w:sz w:val="16"/>
              </w:rPr>
              <w:t>2012/2013</w:t>
            </w:r>
          </w:p>
        </w:tc>
        <w:tc>
          <w:tcPr>
            <w:tcW w:w="794" w:type="dxa"/>
            <w:tcBorders>
              <w:top w:val="single" w:sz="4" w:space="0" w:color="auto"/>
              <w:bottom w:val="single" w:sz="12" w:space="0" w:color="auto"/>
            </w:tcBorders>
            <w:shd w:val="clear" w:color="auto" w:fill="auto"/>
            <w:noWrap/>
            <w:vAlign w:val="bottom"/>
            <w:hideMark/>
          </w:tcPr>
          <w:p w:rsidR="008D6145" w:rsidRPr="006502D2" w:rsidRDefault="008D6145" w:rsidP="00821D2B">
            <w:pPr>
              <w:suppressAutoHyphens w:val="0"/>
              <w:kinsoku/>
              <w:overflowPunct/>
              <w:autoSpaceDE/>
              <w:autoSpaceDN/>
              <w:adjustRightInd/>
              <w:snapToGrid/>
              <w:spacing w:before="80" w:after="80" w:line="200" w:lineRule="exact"/>
              <w:jc w:val="right"/>
              <w:rPr>
                <w:rFonts w:eastAsia="Times New Roman"/>
                <w:i/>
                <w:sz w:val="16"/>
              </w:rPr>
            </w:pPr>
            <w:r w:rsidRPr="006502D2">
              <w:rPr>
                <w:rFonts w:eastAsia="Times New Roman"/>
                <w:i/>
                <w:sz w:val="16"/>
              </w:rPr>
              <w:t>2013/2014</w:t>
            </w:r>
          </w:p>
        </w:tc>
        <w:tc>
          <w:tcPr>
            <w:tcW w:w="794" w:type="dxa"/>
            <w:tcBorders>
              <w:top w:val="single" w:sz="4" w:space="0" w:color="auto"/>
              <w:bottom w:val="single" w:sz="12" w:space="0" w:color="auto"/>
            </w:tcBorders>
            <w:shd w:val="clear" w:color="auto" w:fill="auto"/>
            <w:noWrap/>
            <w:vAlign w:val="bottom"/>
            <w:hideMark/>
          </w:tcPr>
          <w:p w:rsidR="008D6145" w:rsidRPr="006502D2" w:rsidRDefault="008D6145" w:rsidP="00821D2B">
            <w:pPr>
              <w:suppressAutoHyphens w:val="0"/>
              <w:kinsoku/>
              <w:overflowPunct/>
              <w:autoSpaceDE/>
              <w:autoSpaceDN/>
              <w:adjustRightInd/>
              <w:snapToGrid/>
              <w:spacing w:before="80" w:after="80" w:line="200" w:lineRule="exact"/>
              <w:jc w:val="right"/>
              <w:rPr>
                <w:rFonts w:eastAsia="Times New Roman"/>
                <w:i/>
                <w:sz w:val="16"/>
              </w:rPr>
            </w:pPr>
            <w:r w:rsidRPr="006502D2">
              <w:rPr>
                <w:rFonts w:eastAsia="Times New Roman"/>
                <w:i/>
                <w:sz w:val="16"/>
              </w:rPr>
              <w:t>2014/2015</w:t>
            </w:r>
          </w:p>
        </w:tc>
        <w:tc>
          <w:tcPr>
            <w:tcW w:w="794" w:type="dxa"/>
            <w:tcBorders>
              <w:top w:val="single" w:sz="4" w:space="0" w:color="auto"/>
              <w:bottom w:val="single" w:sz="12" w:space="0" w:color="auto"/>
            </w:tcBorders>
            <w:shd w:val="clear" w:color="auto" w:fill="auto"/>
            <w:noWrap/>
            <w:vAlign w:val="bottom"/>
            <w:hideMark/>
          </w:tcPr>
          <w:p w:rsidR="008D6145" w:rsidRPr="006502D2" w:rsidRDefault="008D6145" w:rsidP="00821D2B">
            <w:pPr>
              <w:suppressAutoHyphens w:val="0"/>
              <w:kinsoku/>
              <w:overflowPunct/>
              <w:autoSpaceDE/>
              <w:autoSpaceDN/>
              <w:adjustRightInd/>
              <w:snapToGrid/>
              <w:spacing w:before="80" w:after="80" w:line="200" w:lineRule="exact"/>
              <w:jc w:val="right"/>
              <w:rPr>
                <w:rFonts w:eastAsia="Times New Roman"/>
                <w:i/>
                <w:sz w:val="16"/>
              </w:rPr>
            </w:pPr>
            <w:r w:rsidRPr="006502D2">
              <w:rPr>
                <w:rFonts w:eastAsia="Times New Roman"/>
                <w:i/>
                <w:sz w:val="16"/>
              </w:rPr>
              <w:t>2015/2016</w:t>
            </w:r>
          </w:p>
        </w:tc>
      </w:tr>
      <w:tr w:rsidR="006502D2" w:rsidRPr="006502D2" w:rsidTr="008719A0">
        <w:tc>
          <w:tcPr>
            <w:tcW w:w="2948" w:type="dxa"/>
            <w:tcBorders>
              <w:top w:val="single" w:sz="12" w:space="0" w:color="auto"/>
            </w:tcBorders>
            <w:shd w:val="clear" w:color="auto" w:fill="auto"/>
            <w:noWrap/>
            <w:hideMark/>
          </w:tcPr>
          <w:p w:rsidR="008D6145" w:rsidRPr="00821D2B" w:rsidRDefault="008D6145" w:rsidP="00821D2B">
            <w:pPr>
              <w:suppressAutoHyphens w:val="0"/>
              <w:kinsoku/>
              <w:overflowPunct/>
              <w:autoSpaceDE/>
              <w:autoSpaceDN/>
              <w:adjustRightInd/>
              <w:snapToGrid/>
              <w:spacing w:before="40" w:after="40" w:line="220" w:lineRule="exact"/>
              <w:rPr>
                <w:rFonts w:eastAsia="Times New Roman"/>
                <w:sz w:val="18"/>
              </w:rPr>
            </w:pPr>
            <w:r w:rsidRPr="00821D2B">
              <w:rPr>
                <w:rFonts w:eastAsia="Times New Roman"/>
                <w:sz w:val="18"/>
              </w:rPr>
              <w:t>Universités publiques</w:t>
            </w:r>
          </w:p>
        </w:tc>
        <w:tc>
          <w:tcPr>
            <w:tcW w:w="794" w:type="dxa"/>
            <w:tcBorders>
              <w:top w:val="single" w:sz="12" w:space="0" w:color="auto"/>
            </w:tcBorders>
            <w:shd w:val="clear" w:color="auto" w:fill="auto"/>
            <w:noWrap/>
            <w:vAlign w:val="bottom"/>
            <w:hideMark/>
          </w:tcPr>
          <w:p w:rsidR="008D6145" w:rsidRPr="00821D2B" w:rsidRDefault="008D6145" w:rsidP="00821D2B">
            <w:pPr>
              <w:suppressAutoHyphens w:val="0"/>
              <w:kinsoku/>
              <w:overflowPunct/>
              <w:autoSpaceDE/>
              <w:autoSpaceDN/>
              <w:adjustRightInd/>
              <w:snapToGrid/>
              <w:spacing w:before="40" w:after="40" w:line="220" w:lineRule="exact"/>
              <w:jc w:val="right"/>
              <w:rPr>
                <w:rFonts w:eastAsia="Times New Roman"/>
                <w:sz w:val="18"/>
              </w:rPr>
            </w:pPr>
            <w:r w:rsidRPr="00821D2B">
              <w:rPr>
                <w:rFonts w:eastAsia="Times New Roman"/>
                <w:sz w:val="18"/>
              </w:rPr>
              <w:t>2</w:t>
            </w:r>
          </w:p>
        </w:tc>
        <w:tc>
          <w:tcPr>
            <w:tcW w:w="794" w:type="dxa"/>
            <w:tcBorders>
              <w:top w:val="single" w:sz="12" w:space="0" w:color="auto"/>
            </w:tcBorders>
            <w:shd w:val="clear" w:color="auto" w:fill="auto"/>
            <w:noWrap/>
            <w:vAlign w:val="bottom"/>
            <w:hideMark/>
          </w:tcPr>
          <w:p w:rsidR="008D6145" w:rsidRPr="00821D2B" w:rsidRDefault="008D6145" w:rsidP="00821D2B">
            <w:pPr>
              <w:suppressAutoHyphens w:val="0"/>
              <w:kinsoku/>
              <w:overflowPunct/>
              <w:autoSpaceDE/>
              <w:autoSpaceDN/>
              <w:adjustRightInd/>
              <w:snapToGrid/>
              <w:spacing w:before="40" w:after="40" w:line="220" w:lineRule="exact"/>
              <w:jc w:val="right"/>
              <w:rPr>
                <w:rFonts w:eastAsia="Times New Roman"/>
                <w:sz w:val="18"/>
              </w:rPr>
            </w:pPr>
            <w:r w:rsidRPr="00821D2B">
              <w:rPr>
                <w:rFonts w:eastAsia="Times New Roman"/>
                <w:sz w:val="18"/>
              </w:rPr>
              <w:t>2</w:t>
            </w:r>
          </w:p>
        </w:tc>
        <w:tc>
          <w:tcPr>
            <w:tcW w:w="794" w:type="dxa"/>
            <w:tcBorders>
              <w:top w:val="single" w:sz="12" w:space="0" w:color="auto"/>
            </w:tcBorders>
            <w:shd w:val="clear" w:color="auto" w:fill="auto"/>
            <w:noWrap/>
            <w:vAlign w:val="bottom"/>
            <w:hideMark/>
          </w:tcPr>
          <w:p w:rsidR="008D6145" w:rsidRPr="00821D2B" w:rsidRDefault="008D6145" w:rsidP="00821D2B">
            <w:pPr>
              <w:suppressAutoHyphens w:val="0"/>
              <w:kinsoku/>
              <w:overflowPunct/>
              <w:autoSpaceDE/>
              <w:autoSpaceDN/>
              <w:adjustRightInd/>
              <w:snapToGrid/>
              <w:spacing w:before="40" w:after="40" w:line="220" w:lineRule="exact"/>
              <w:jc w:val="right"/>
              <w:rPr>
                <w:rFonts w:eastAsia="Times New Roman"/>
                <w:sz w:val="18"/>
              </w:rPr>
            </w:pPr>
            <w:r w:rsidRPr="00821D2B">
              <w:rPr>
                <w:rFonts w:eastAsia="Times New Roman"/>
                <w:sz w:val="18"/>
              </w:rPr>
              <w:t>2</w:t>
            </w:r>
          </w:p>
        </w:tc>
        <w:tc>
          <w:tcPr>
            <w:tcW w:w="794" w:type="dxa"/>
            <w:tcBorders>
              <w:top w:val="single" w:sz="12" w:space="0" w:color="auto"/>
            </w:tcBorders>
            <w:shd w:val="clear" w:color="auto" w:fill="auto"/>
            <w:noWrap/>
            <w:vAlign w:val="bottom"/>
            <w:hideMark/>
          </w:tcPr>
          <w:p w:rsidR="008D6145" w:rsidRPr="00821D2B" w:rsidRDefault="008D6145" w:rsidP="00821D2B">
            <w:pPr>
              <w:suppressAutoHyphens w:val="0"/>
              <w:kinsoku/>
              <w:overflowPunct/>
              <w:autoSpaceDE/>
              <w:autoSpaceDN/>
              <w:adjustRightInd/>
              <w:snapToGrid/>
              <w:spacing w:before="40" w:after="40" w:line="220" w:lineRule="exact"/>
              <w:jc w:val="right"/>
              <w:rPr>
                <w:rFonts w:eastAsia="Times New Roman"/>
                <w:sz w:val="18"/>
              </w:rPr>
            </w:pPr>
            <w:r w:rsidRPr="00821D2B">
              <w:rPr>
                <w:rFonts w:eastAsia="Times New Roman"/>
                <w:sz w:val="18"/>
              </w:rPr>
              <w:t>2</w:t>
            </w:r>
          </w:p>
        </w:tc>
        <w:tc>
          <w:tcPr>
            <w:tcW w:w="794" w:type="dxa"/>
            <w:tcBorders>
              <w:top w:val="single" w:sz="12" w:space="0" w:color="auto"/>
            </w:tcBorders>
            <w:shd w:val="clear" w:color="auto" w:fill="auto"/>
            <w:noWrap/>
            <w:vAlign w:val="bottom"/>
            <w:hideMark/>
          </w:tcPr>
          <w:p w:rsidR="008D6145" w:rsidRPr="00821D2B" w:rsidRDefault="008D6145" w:rsidP="00821D2B">
            <w:pPr>
              <w:suppressAutoHyphens w:val="0"/>
              <w:kinsoku/>
              <w:overflowPunct/>
              <w:autoSpaceDE/>
              <w:autoSpaceDN/>
              <w:adjustRightInd/>
              <w:snapToGrid/>
              <w:spacing w:before="40" w:after="40" w:line="220" w:lineRule="exact"/>
              <w:jc w:val="right"/>
              <w:rPr>
                <w:rFonts w:eastAsia="Times New Roman"/>
                <w:sz w:val="18"/>
              </w:rPr>
            </w:pPr>
            <w:r w:rsidRPr="00821D2B">
              <w:rPr>
                <w:rFonts w:eastAsia="Times New Roman"/>
                <w:sz w:val="18"/>
              </w:rPr>
              <w:t>4</w:t>
            </w:r>
          </w:p>
        </w:tc>
        <w:tc>
          <w:tcPr>
            <w:tcW w:w="794" w:type="dxa"/>
            <w:tcBorders>
              <w:top w:val="single" w:sz="12" w:space="0" w:color="auto"/>
            </w:tcBorders>
            <w:shd w:val="clear" w:color="auto" w:fill="auto"/>
            <w:noWrap/>
            <w:vAlign w:val="bottom"/>
            <w:hideMark/>
          </w:tcPr>
          <w:p w:rsidR="008D6145" w:rsidRPr="00821D2B" w:rsidRDefault="008D6145" w:rsidP="00821D2B">
            <w:pPr>
              <w:suppressAutoHyphens w:val="0"/>
              <w:kinsoku/>
              <w:overflowPunct/>
              <w:autoSpaceDE/>
              <w:autoSpaceDN/>
              <w:adjustRightInd/>
              <w:snapToGrid/>
              <w:spacing w:before="40" w:after="40" w:line="220" w:lineRule="exact"/>
              <w:jc w:val="right"/>
              <w:rPr>
                <w:rFonts w:eastAsia="Times New Roman"/>
                <w:sz w:val="18"/>
              </w:rPr>
            </w:pPr>
            <w:r w:rsidRPr="00821D2B">
              <w:rPr>
                <w:rFonts w:eastAsia="Times New Roman"/>
                <w:sz w:val="18"/>
              </w:rPr>
              <w:t>4</w:t>
            </w:r>
          </w:p>
        </w:tc>
        <w:tc>
          <w:tcPr>
            <w:tcW w:w="794" w:type="dxa"/>
            <w:tcBorders>
              <w:top w:val="single" w:sz="12" w:space="0" w:color="auto"/>
            </w:tcBorders>
            <w:shd w:val="clear" w:color="auto" w:fill="auto"/>
            <w:noWrap/>
            <w:vAlign w:val="bottom"/>
            <w:hideMark/>
          </w:tcPr>
          <w:p w:rsidR="008D6145" w:rsidRPr="00821D2B" w:rsidRDefault="008D6145" w:rsidP="00821D2B">
            <w:pPr>
              <w:suppressAutoHyphens w:val="0"/>
              <w:kinsoku/>
              <w:overflowPunct/>
              <w:autoSpaceDE/>
              <w:autoSpaceDN/>
              <w:adjustRightInd/>
              <w:snapToGrid/>
              <w:spacing w:before="40" w:after="40" w:line="220" w:lineRule="exact"/>
              <w:jc w:val="right"/>
              <w:rPr>
                <w:rFonts w:eastAsia="Times New Roman"/>
                <w:sz w:val="18"/>
              </w:rPr>
            </w:pPr>
            <w:r w:rsidRPr="00821D2B">
              <w:rPr>
                <w:rFonts w:eastAsia="Times New Roman"/>
                <w:sz w:val="18"/>
              </w:rPr>
              <w:t>7</w:t>
            </w:r>
          </w:p>
        </w:tc>
      </w:tr>
      <w:tr w:rsidR="006502D2" w:rsidRPr="006502D2" w:rsidTr="008719A0">
        <w:tc>
          <w:tcPr>
            <w:tcW w:w="2948" w:type="dxa"/>
            <w:shd w:val="clear" w:color="auto" w:fill="auto"/>
            <w:noWrap/>
            <w:hideMark/>
          </w:tcPr>
          <w:p w:rsidR="008D6145" w:rsidRPr="00821D2B" w:rsidRDefault="008D6145" w:rsidP="00821D2B">
            <w:pPr>
              <w:suppressAutoHyphens w:val="0"/>
              <w:kinsoku/>
              <w:overflowPunct/>
              <w:autoSpaceDE/>
              <w:autoSpaceDN/>
              <w:adjustRightInd/>
              <w:snapToGrid/>
              <w:spacing w:before="40" w:after="40" w:line="220" w:lineRule="exact"/>
              <w:rPr>
                <w:rFonts w:eastAsia="Times New Roman"/>
                <w:sz w:val="18"/>
              </w:rPr>
            </w:pPr>
            <w:r w:rsidRPr="00821D2B">
              <w:rPr>
                <w:rFonts w:eastAsia="Times New Roman"/>
                <w:sz w:val="18"/>
              </w:rPr>
              <w:t>Universités privées</w:t>
            </w:r>
          </w:p>
        </w:tc>
        <w:tc>
          <w:tcPr>
            <w:tcW w:w="794" w:type="dxa"/>
            <w:shd w:val="clear" w:color="auto" w:fill="auto"/>
            <w:noWrap/>
            <w:vAlign w:val="bottom"/>
            <w:hideMark/>
          </w:tcPr>
          <w:p w:rsidR="008D6145" w:rsidRPr="00821D2B" w:rsidRDefault="008D6145" w:rsidP="00821D2B">
            <w:pPr>
              <w:suppressAutoHyphens w:val="0"/>
              <w:kinsoku/>
              <w:overflowPunct/>
              <w:autoSpaceDE/>
              <w:autoSpaceDN/>
              <w:adjustRightInd/>
              <w:snapToGrid/>
              <w:spacing w:before="40" w:after="40" w:line="220" w:lineRule="exact"/>
              <w:jc w:val="right"/>
              <w:rPr>
                <w:rFonts w:eastAsia="Times New Roman"/>
                <w:sz w:val="18"/>
              </w:rPr>
            </w:pPr>
            <w:r w:rsidRPr="00821D2B">
              <w:rPr>
                <w:rFonts w:eastAsia="Times New Roman"/>
                <w:sz w:val="18"/>
              </w:rPr>
              <w:t>7</w:t>
            </w:r>
          </w:p>
        </w:tc>
        <w:tc>
          <w:tcPr>
            <w:tcW w:w="794" w:type="dxa"/>
            <w:shd w:val="clear" w:color="auto" w:fill="auto"/>
            <w:noWrap/>
            <w:vAlign w:val="bottom"/>
            <w:hideMark/>
          </w:tcPr>
          <w:p w:rsidR="008D6145" w:rsidRPr="00821D2B" w:rsidRDefault="008D6145" w:rsidP="00821D2B">
            <w:pPr>
              <w:suppressAutoHyphens w:val="0"/>
              <w:kinsoku/>
              <w:overflowPunct/>
              <w:autoSpaceDE/>
              <w:autoSpaceDN/>
              <w:adjustRightInd/>
              <w:snapToGrid/>
              <w:spacing w:before="40" w:after="40" w:line="220" w:lineRule="exact"/>
              <w:jc w:val="right"/>
              <w:rPr>
                <w:rFonts w:eastAsia="Times New Roman"/>
                <w:sz w:val="18"/>
              </w:rPr>
            </w:pPr>
            <w:r w:rsidRPr="00821D2B">
              <w:rPr>
                <w:rFonts w:eastAsia="Times New Roman"/>
                <w:sz w:val="18"/>
              </w:rPr>
              <w:t>7</w:t>
            </w:r>
          </w:p>
        </w:tc>
        <w:tc>
          <w:tcPr>
            <w:tcW w:w="794" w:type="dxa"/>
            <w:shd w:val="clear" w:color="auto" w:fill="auto"/>
            <w:noWrap/>
            <w:vAlign w:val="bottom"/>
            <w:hideMark/>
          </w:tcPr>
          <w:p w:rsidR="008D6145" w:rsidRPr="00821D2B" w:rsidRDefault="008D6145" w:rsidP="00821D2B">
            <w:pPr>
              <w:suppressAutoHyphens w:val="0"/>
              <w:kinsoku/>
              <w:overflowPunct/>
              <w:autoSpaceDE/>
              <w:autoSpaceDN/>
              <w:adjustRightInd/>
              <w:snapToGrid/>
              <w:spacing w:before="40" w:after="40" w:line="220" w:lineRule="exact"/>
              <w:jc w:val="right"/>
              <w:rPr>
                <w:rFonts w:eastAsia="Times New Roman"/>
                <w:sz w:val="18"/>
              </w:rPr>
            </w:pPr>
            <w:r w:rsidRPr="00821D2B">
              <w:rPr>
                <w:rFonts w:eastAsia="Times New Roman"/>
                <w:sz w:val="18"/>
              </w:rPr>
              <w:t>7</w:t>
            </w:r>
          </w:p>
        </w:tc>
        <w:tc>
          <w:tcPr>
            <w:tcW w:w="794" w:type="dxa"/>
            <w:shd w:val="clear" w:color="auto" w:fill="auto"/>
            <w:noWrap/>
            <w:vAlign w:val="bottom"/>
            <w:hideMark/>
          </w:tcPr>
          <w:p w:rsidR="008D6145" w:rsidRPr="00821D2B" w:rsidRDefault="008D6145" w:rsidP="00821D2B">
            <w:pPr>
              <w:suppressAutoHyphens w:val="0"/>
              <w:kinsoku/>
              <w:overflowPunct/>
              <w:autoSpaceDE/>
              <w:autoSpaceDN/>
              <w:adjustRightInd/>
              <w:snapToGrid/>
              <w:spacing w:before="40" w:after="40" w:line="220" w:lineRule="exact"/>
              <w:jc w:val="right"/>
              <w:rPr>
                <w:rFonts w:eastAsia="Times New Roman"/>
                <w:sz w:val="18"/>
              </w:rPr>
            </w:pPr>
            <w:r w:rsidRPr="00821D2B">
              <w:rPr>
                <w:rFonts w:eastAsia="Times New Roman"/>
                <w:sz w:val="18"/>
              </w:rPr>
              <w:t>7</w:t>
            </w:r>
          </w:p>
        </w:tc>
        <w:tc>
          <w:tcPr>
            <w:tcW w:w="794" w:type="dxa"/>
            <w:shd w:val="clear" w:color="auto" w:fill="auto"/>
            <w:noWrap/>
            <w:vAlign w:val="bottom"/>
            <w:hideMark/>
          </w:tcPr>
          <w:p w:rsidR="008D6145" w:rsidRPr="00821D2B" w:rsidRDefault="008D6145" w:rsidP="00821D2B">
            <w:pPr>
              <w:suppressAutoHyphens w:val="0"/>
              <w:kinsoku/>
              <w:overflowPunct/>
              <w:autoSpaceDE/>
              <w:autoSpaceDN/>
              <w:adjustRightInd/>
              <w:snapToGrid/>
              <w:spacing w:before="40" w:after="40" w:line="220" w:lineRule="exact"/>
              <w:jc w:val="right"/>
              <w:rPr>
                <w:rFonts w:eastAsia="Times New Roman"/>
                <w:sz w:val="18"/>
              </w:rPr>
            </w:pPr>
            <w:r w:rsidRPr="00821D2B">
              <w:rPr>
                <w:rFonts w:eastAsia="Times New Roman"/>
                <w:sz w:val="18"/>
              </w:rPr>
              <w:t>7</w:t>
            </w:r>
          </w:p>
        </w:tc>
        <w:tc>
          <w:tcPr>
            <w:tcW w:w="794" w:type="dxa"/>
            <w:shd w:val="clear" w:color="auto" w:fill="auto"/>
            <w:noWrap/>
            <w:vAlign w:val="bottom"/>
            <w:hideMark/>
          </w:tcPr>
          <w:p w:rsidR="008D6145" w:rsidRPr="00821D2B" w:rsidRDefault="008D6145" w:rsidP="00821D2B">
            <w:pPr>
              <w:suppressAutoHyphens w:val="0"/>
              <w:kinsoku/>
              <w:overflowPunct/>
              <w:autoSpaceDE/>
              <w:autoSpaceDN/>
              <w:adjustRightInd/>
              <w:snapToGrid/>
              <w:spacing w:before="40" w:after="40" w:line="220" w:lineRule="exact"/>
              <w:jc w:val="right"/>
              <w:rPr>
                <w:rFonts w:eastAsia="Times New Roman"/>
                <w:sz w:val="18"/>
              </w:rPr>
            </w:pPr>
            <w:r w:rsidRPr="00821D2B">
              <w:rPr>
                <w:rFonts w:eastAsia="Times New Roman"/>
                <w:sz w:val="18"/>
              </w:rPr>
              <w:t>7</w:t>
            </w:r>
          </w:p>
        </w:tc>
        <w:tc>
          <w:tcPr>
            <w:tcW w:w="794" w:type="dxa"/>
            <w:shd w:val="clear" w:color="auto" w:fill="auto"/>
            <w:noWrap/>
            <w:vAlign w:val="bottom"/>
            <w:hideMark/>
          </w:tcPr>
          <w:p w:rsidR="008D6145" w:rsidRPr="00821D2B" w:rsidRDefault="008D6145" w:rsidP="00821D2B">
            <w:pPr>
              <w:suppressAutoHyphens w:val="0"/>
              <w:kinsoku/>
              <w:overflowPunct/>
              <w:autoSpaceDE/>
              <w:autoSpaceDN/>
              <w:adjustRightInd/>
              <w:snapToGrid/>
              <w:spacing w:before="40" w:after="40" w:line="220" w:lineRule="exact"/>
              <w:jc w:val="right"/>
              <w:rPr>
                <w:rFonts w:eastAsia="Times New Roman"/>
                <w:sz w:val="18"/>
              </w:rPr>
            </w:pPr>
            <w:r w:rsidRPr="00821D2B">
              <w:rPr>
                <w:rFonts w:eastAsia="Times New Roman"/>
                <w:sz w:val="18"/>
              </w:rPr>
              <w:t>7</w:t>
            </w:r>
          </w:p>
        </w:tc>
      </w:tr>
      <w:tr w:rsidR="006502D2" w:rsidRPr="006502D2" w:rsidTr="008719A0">
        <w:tc>
          <w:tcPr>
            <w:tcW w:w="2948" w:type="dxa"/>
            <w:shd w:val="clear" w:color="auto" w:fill="auto"/>
            <w:noWrap/>
            <w:hideMark/>
          </w:tcPr>
          <w:p w:rsidR="008D6145" w:rsidRPr="00821D2B" w:rsidRDefault="008D6145" w:rsidP="00821D2B">
            <w:pPr>
              <w:suppressAutoHyphens w:val="0"/>
              <w:kinsoku/>
              <w:overflowPunct/>
              <w:autoSpaceDE/>
              <w:autoSpaceDN/>
              <w:adjustRightInd/>
              <w:snapToGrid/>
              <w:spacing w:before="40" w:after="40" w:line="220" w:lineRule="exact"/>
              <w:rPr>
                <w:rFonts w:eastAsia="Times New Roman"/>
                <w:sz w:val="18"/>
              </w:rPr>
            </w:pPr>
            <w:r w:rsidRPr="00821D2B">
              <w:rPr>
                <w:rFonts w:eastAsia="Times New Roman"/>
                <w:sz w:val="18"/>
              </w:rPr>
              <w:t>Entités universitaires publiques</w:t>
            </w:r>
          </w:p>
        </w:tc>
        <w:tc>
          <w:tcPr>
            <w:tcW w:w="794" w:type="dxa"/>
            <w:shd w:val="clear" w:color="auto" w:fill="auto"/>
            <w:noWrap/>
            <w:vAlign w:val="bottom"/>
            <w:hideMark/>
          </w:tcPr>
          <w:p w:rsidR="008D6145" w:rsidRPr="00821D2B" w:rsidRDefault="008D6145" w:rsidP="00821D2B">
            <w:pPr>
              <w:suppressAutoHyphens w:val="0"/>
              <w:kinsoku/>
              <w:overflowPunct/>
              <w:autoSpaceDE/>
              <w:autoSpaceDN/>
              <w:adjustRightInd/>
              <w:snapToGrid/>
              <w:spacing w:before="40" w:after="40" w:line="220" w:lineRule="exact"/>
              <w:jc w:val="right"/>
              <w:rPr>
                <w:rFonts w:eastAsia="Times New Roman"/>
                <w:sz w:val="18"/>
              </w:rPr>
            </w:pPr>
            <w:r w:rsidRPr="00821D2B">
              <w:rPr>
                <w:rFonts w:eastAsia="Times New Roman"/>
                <w:sz w:val="18"/>
              </w:rPr>
              <w:t>33</w:t>
            </w:r>
          </w:p>
        </w:tc>
        <w:tc>
          <w:tcPr>
            <w:tcW w:w="794" w:type="dxa"/>
            <w:shd w:val="clear" w:color="auto" w:fill="auto"/>
            <w:noWrap/>
            <w:vAlign w:val="bottom"/>
            <w:hideMark/>
          </w:tcPr>
          <w:p w:rsidR="008D6145" w:rsidRPr="00821D2B" w:rsidRDefault="008D6145" w:rsidP="00821D2B">
            <w:pPr>
              <w:suppressAutoHyphens w:val="0"/>
              <w:kinsoku/>
              <w:overflowPunct/>
              <w:autoSpaceDE/>
              <w:autoSpaceDN/>
              <w:adjustRightInd/>
              <w:snapToGrid/>
              <w:spacing w:before="40" w:after="40" w:line="220" w:lineRule="exact"/>
              <w:jc w:val="right"/>
              <w:rPr>
                <w:rFonts w:eastAsia="Times New Roman"/>
                <w:sz w:val="18"/>
              </w:rPr>
            </w:pPr>
            <w:r w:rsidRPr="00821D2B">
              <w:rPr>
                <w:rFonts w:eastAsia="Times New Roman"/>
                <w:sz w:val="18"/>
              </w:rPr>
              <w:t>37</w:t>
            </w:r>
          </w:p>
        </w:tc>
        <w:tc>
          <w:tcPr>
            <w:tcW w:w="794" w:type="dxa"/>
            <w:shd w:val="clear" w:color="auto" w:fill="auto"/>
            <w:noWrap/>
            <w:vAlign w:val="bottom"/>
            <w:hideMark/>
          </w:tcPr>
          <w:p w:rsidR="008D6145" w:rsidRPr="00821D2B" w:rsidRDefault="008D6145" w:rsidP="00821D2B">
            <w:pPr>
              <w:suppressAutoHyphens w:val="0"/>
              <w:kinsoku/>
              <w:overflowPunct/>
              <w:autoSpaceDE/>
              <w:autoSpaceDN/>
              <w:adjustRightInd/>
              <w:snapToGrid/>
              <w:spacing w:before="40" w:after="40" w:line="220" w:lineRule="exact"/>
              <w:jc w:val="right"/>
              <w:rPr>
                <w:rFonts w:eastAsia="Times New Roman"/>
                <w:sz w:val="18"/>
              </w:rPr>
            </w:pPr>
            <w:r w:rsidRPr="00821D2B">
              <w:rPr>
                <w:rFonts w:eastAsia="Times New Roman"/>
                <w:sz w:val="18"/>
              </w:rPr>
              <w:t>38</w:t>
            </w:r>
          </w:p>
        </w:tc>
        <w:tc>
          <w:tcPr>
            <w:tcW w:w="794" w:type="dxa"/>
            <w:shd w:val="clear" w:color="auto" w:fill="auto"/>
            <w:noWrap/>
            <w:vAlign w:val="bottom"/>
            <w:hideMark/>
          </w:tcPr>
          <w:p w:rsidR="008D6145" w:rsidRPr="00821D2B" w:rsidRDefault="008D6145" w:rsidP="00821D2B">
            <w:pPr>
              <w:suppressAutoHyphens w:val="0"/>
              <w:kinsoku/>
              <w:overflowPunct/>
              <w:autoSpaceDE/>
              <w:autoSpaceDN/>
              <w:adjustRightInd/>
              <w:snapToGrid/>
              <w:spacing w:before="40" w:after="40" w:line="220" w:lineRule="exact"/>
              <w:jc w:val="right"/>
              <w:rPr>
                <w:rFonts w:eastAsia="Times New Roman"/>
                <w:sz w:val="18"/>
              </w:rPr>
            </w:pPr>
            <w:r w:rsidRPr="00821D2B">
              <w:rPr>
                <w:rFonts w:eastAsia="Times New Roman"/>
                <w:sz w:val="18"/>
              </w:rPr>
              <w:t>39</w:t>
            </w:r>
          </w:p>
        </w:tc>
        <w:tc>
          <w:tcPr>
            <w:tcW w:w="794" w:type="dxa"/>
            <w:shd w:val="clear" w:color="auto" w:fill="auto"/>
            <w:noWrap/>
            <w:vAlign w:val="bottom"/>
            <w:hideMark/>
          </w:tcPr>
          <w:p w:rsidR="008D6145" w:rsidRPr="00821D2B" w:rsidRDefault="008D6145" w:rsidP="00821D2B">
            <w:pPr>
              <w:suppressAutoHyphens w:val="0"/>
              <w:kinsoku/>
              <w:overflowPunct/>
              <w:autoSpaceDE/>
              <w:autoSpaceDN/>
              <w:adjustRightInd/>
              <w:snapToGrid/>
              <w:spacing w:before="40" w:after="40" w:line="220" w:lineRule="exact"/>
              <w:jc w:val="right"/>
              <w:rPr>
                <w:rFonts w:eastAsia="Times New Roman"/>
                <w:sz w:val="18"/>
              </w:rPr>
            </w:pPr>
            <w:r w:rsidRPr="00821D2B">
              <w:rPr>
                <w:rFonts w:eastAsia="Times New Roman"/>
                <w:sz w:val="18"/>
              </w:rPr>
              <w:t>58</w:t>
            </w:r>
          </w:p>
        </w:tc>
        <w:tc>
          <w:tcPr>
            <w:tcW w:w="794" w:type="dxa"/>
            <w:shd w:val="clear" w:color="auto" w:fill="auto"/>
            <w:noWrap/>
            <w:vAlign w:val="bottom"/>
            <w:hideMark/>
          </w:tcPr>
          <w:p w:rsidR="008D6145" w:rsidRPr="00821D2B" w:rsidRDefault="008D6145" w:rsidP="00821D2B">
            <w:pPr>
              <w:suppressAutoHyphens w:val="0"/>
              <w:kinsoku/>
              <w:overflowPunct/>
              <w:autoSpaceDE/>
              <w:autoSpaceDN/>
              <w:adjustRightInd/>
              <w:snapToGrid/>
              <w:spacing w:before="40" w:after="40" w:line="220" w:lineRule="exact"/>
              <w:jc w:val="right"/>
              <w:rPr>
                <w:rFonts w:eastAsia="Times New Roman"/>
                <w:sz w:val="18"/>
              </w:rPr>
            </w:pPr>
            <w:r w:rsidRPr="00821D2B">
              <w:rPr>
                <w:rFonts w:eastAsia="Times New Roman"/>
                <w:sz w:val="18"/>
              </w:rPr>
              <w:t>58</w:t>
            </w:r>
          </w:p>
        </w:tc>
        <w:tc>
          <w:tcPr>
            <w:tcW w:w="794" w:type="dxa"/>
            <w:shd w:val="clear" w:color="auto" w:fill="auto"/>
            <w:noWrap/>
            <w:vAlign w:val="bottom"/>
            <w:hideMark/>
          </w:tcPr>
          <w:p w:rsidR="008D6145" w:rsidRPr="00821D2B" w:rsidRDefault="008D6145" w:rsidP="00821D2B">
            <w:pPr>
              <w:suppressAutoHyphens w:val="0"/>
              <w:kinsoku/>
              <w:overflowPunct/>
              <w:autoSpaceDE/>
              <w:autoSpaceDN/>
              <w:adjustRightInd/>
              <w:snapToGrid/>
              <w:spacing w:before="40" w:after="40" w:line="220" w:lineRule="exact"/>
              <w:jc w:val="right"/>
              <w:rPr>
                <w:rFonts w:eastAsia="Times New Roman"/>
                <w:sz w:val="18"/>
              </w:rPr>
            </w:pPr>
            <w:r w:rsidRPr="00821D2B">
              <w:rPr>
                <w:rFonts w:eastAsia="Times New Roman"/>
                <w:sz w:val="18"/>
              </w:rPr>
              <w:t>58</w:t>
            </w:r>
          </w:p>
        </w:tc>
      </w:tr>
      <w:tr w:rsidR="006502D2" w:rsidRPr="006502D2" w:rsidTr="008719A0">
        <w:tc>
          <w:tcPr>
            <w:tcW w:w="2948" w:type="dxa"/>
            <w:shd w:val="clear" w:color="auto" w:fill="auto"/>
            <w:noWrap/>
            <w:hideMark/>
          </w:tcPr>
          <w:p w:rsidR="008D6145" w:rsidRPr="00821D2B" w:rsidRDefault="008D6145" w:rsidP="00821D2B">
            <w:pPr>
              <w:suppressAutoHyphens w:val="0"/>
              <w:kinsoku/>
              <w:overflowPunct/>
              <w:autoSpaceDE/>
              <w:autoSpaceDN/>
              <w:adjustRightInd/>
              <w:snapToGrid/>
              <w:spacing w:before="40" w:after="40" w:line="220" w:lineRule="exact"/>
              <w:rPr>
                <w:rFonts w:eastAsia="Times New Roman"/>
                <w:sz w:val="18"/>
              </w:rPr>
            </w:pPr>
            <w:r w:rsidRPr="00821D2B">
              <w:rPr>
                <w:rFonts w:eastAsia="Times New Roman"/>
                <w:sz w:val="18"/>
              </w:rPr>
              <w:t>Entités universitaires privées</w:t>
            </w:r>
          </w:p>
        </w:tc>
        <w:tc>
          <w:tcPr>
            <w:tcW w:w="794" w:type="dxa"/>
            <w:shd w:val="clear" w:color="auto" w:fill="auto"/>
            <w:noWrap/>
            <w:vAlign w:val="bottom"/>
            <w:hideMark/>
          </w:tcPr>
          <w:p w:rsidR="008D6145" w:rsidRPr="00821D2B" w:rsidRDefault="008D6145" w:rsidP="00821D2B">
            <w:pPr>
              <w:suppressAutoHyphens w:val="0"/>
              <w:kinsoku/>
              <w:overflowPunct/>
              <w:autoSpaceDE/>
              <w:autoSpaceDN/>
              <w:adjustRightInd/>
              <w:snapToGrid/>
              <w:spacing w:before="40" w:after="40" w:line="220" w:lineRule="exact"/>
              <w:jc w:val="right"/>
              <w:rPr>
                <w:rFonts w:eastAsia="Times New Roman"/>
                <w:sz w:val="18"/>
              </w:rPr>
            </w:pPr>
            <w:r w:rsidRPr="00821D2B">
              <w:rPr>
                <w:rFonts w:eastAsia="Times New Roman"/>
                <w:sz w:val="18"/>
              </w:rPr>
              <w:t>35</w:t>
            </w:r>
          </w:p>
        </w:tc>
        <w:tc>
          <w:tcPr>
            <w:tcW w:w="794" w:type="dxa"/>
            <w:shd w:val="clear" w:color="auto" w:fill="auto"/>
            <w:noWrap/>
            <w:vAlign w:val="bottom"/>
            <w:hideMark/>
          </w:tcPr>
          <w:p w:rsidR="008D6145" w:rsidRPr="00821D2B" w:rsidRDefault="008D6145" w:rsidP="00821D2B">
            <w:pPr>
              <w:suppressAutoHyphens w:val="0"/>
              <w:kinsoku/>
              <w:overflowPunct/>
              <w:autoSpaceDE/>
              <w:autoSpaceDN/>
              <w:adjustRightInd/>
              <w:snapToGrid/>
              <w:spacing w:before="40" w:after="40" w:line="220" w:lineRule="exact"/>
              <w:jc w:val="right"/>
              <w:rPr>
                <w:rFonts w:eastAsia="Times New Roman"/>
                <w:sz w:val="18"/>
              </w:rPr>
            </w:pPr>
            <w:r w:rsidRPr="00821D2B">
              <w:rPr>
                <w:rFonts w:eastAsia="Times New Roman"/>
                <w:sz w:val="18"/>
              </w:rPr>
              <w:t>35</w:t>
            </w:r>
          </w:p>
        </w:tc>
        <w:tc>
          <w:tcPr>
            <w:tcW w:w="794" w:type="dxa"/>
            <w:shd w:val="clear" w:color="auto" w:fill="auto"/>
            <w:noWrap/>
            <w:vAlign w:val="bottom"/>
            <w:hideMark/>
          </w:tcPr>
          <w:p w:rsidR="008D6145" w:rsidRPr="00821D2B" w:rsidRDefault="008D6145" w:rsidP="00821D2B">
            <w:pPr>
              <w:suppressAutoHyphens w:val="0"/>
              <w:kinsoku/>
              <w:overflowPunct/>
              <w:autoSpaceDE/>
              <w:autoSpaceDN/>
              <w:adjustRightInd/>
              <w:snapToGrid/>
              <w:spacing w:before="40" w:after="40" w:line="220" w:lineRule="exact"/>
              <w:jc w:val="right"/>
              <w:rPr>
                <w:rFonts w:eastAsia="Times New Roman"/>
                <w:sz w:val="18"/>
              </w:rPr>
            </w:pPr>
            <w:r w:rsidRPr="00821D2B">
              <w:rPr>
                <w:rFonts w:eastAsia="Times New Roman"/>
                <w:sz w:val="18"/>
              </w:rPr>
              <w:t>35</w:t>
            </w:r>
          </w:p>
        </w:tc>
        <w:tc>
          <w:tcPr>
            <w:tcW w:w="794" w:type="dxa"/>
            <w:shd w:val="clear" w:color="auto" w:fill="auto"/>
            <w:noWrap/>
            <w:vAlign w:val="bottom"/>
            <w:hideMark/>
          </w:tcPr>
          <w:p w:rsidR="008D6145" w:rsidRPr="00821D2B" w:rsidRDefault="008D6145" w:rsidP="00821D2B">
            <w:pPr>
              <w:suppressAutoHyphens w:val="0"/>
              <w:kinsoku/>
              <w:overflowPunct/>
              <w:autoSpaceDE/>
              <w:autoSpaceDN/>
              <w:adjustRightInd/>
              <w:snapToGrid/>
              <w:spacing w:before="40" w:after="40" w:line="220" w:lineRule="exact"/>
              <w:jc w:val="right"/>
              <w:rPr>
                <w:rFonts w:eastAsia="Times New Roman"/>
                <w:sz w:val="18"/>
              </w:rPr>
            </w:pPr>
            <w:r w:rsidRPr="00821D2B">
              <w:rPr>
                <w:rFonts w:eastAsia="Times New Roman"/>
                <w:sz w:val="18"/>
              </w:rPr>
              <w:t>35</w:t>
            </w:r>
          </w:p>
        </w:tc>
        <w:tc>
          <w:tcPr>
            <w:tcW w:w="794" w:type="dxa"/>
            <w:shd w:val="clear" w:color="auto" w:fill="auto"/>
            <w:noWrap/>
            <w:vAlign w:val="bottom"/>
            <w:hideMark/>
          </w:tcPr>
          <w:p w:rsidR="008D6145" w:rsidRPr="00821D2B" w:rsidRDefault="008D6145" w:rsidP="00821D2B">
            <w:pPr>
              <w:suppressAutoHyphens w:val="0"/>
              <w:kinsoku/>
              <w:overflowPunct/>
              <w:autoSpaceDE/>
              <w:autoSpaceDN/>
              <w:adjustRightInd/>
              <w:snapToGrid/>
              <w:spacing w:before="40" w:after="40" w:line="220" w:lineRule="exact"/>
              <w:jc w:val="right"/>
              <w:rPr>
                <w:rFonts w:eastAsia="Times New Roman"/>
                <w:sz w:val="18"/>
              </w:rPr>
            </w:pPr>
            <w:r w:rsidRPr="00821D2B">
              <w:rPr>
                <w:rFonts w:eastAsia="Times New Roman"/>
                <w:sz w:val="18"/>
              </w:rPr>
              <w:t>36</w:t>
            </w:r>
          </w:p>
        </w:tc>
        <w:tc>
          <w:tcPr>
            <w:tcW w:w="794" w:type="dxa"/>
            <w:shd w:val="clear" w:color="auto" w:fill="auto"/>
            <w:noWrap/>
            <w:vAlign w:val="bottom"/>
            <w:hideMark/>
          </w:tcPr>
          <w:p w:rsidR="008D6145" w:rsidRPr="00821D2B" w:rsidRDefault="008D6145" w:rsidP="00821D2B">
            <w:pPr>
              <w:suppressAutoHyphens w:val="0"/>
              <w:kinsoku/>
              <w:overflowPunct/>
              <w:autoSpaceDE/>
              <w:autoSpaceDN/>
              <w:adjustRightInd/>
              <w:snapToGrid/>
              <w:spacing w:before="40" w:after="40" w:line="220" w:lineRule="exact"/>
              <w:jc w:val="right"/>
              <w:rPr>
                <w:rFonts w:eastAsia="Times New Roman"/>
                <w:sz w:val="18"/>
              </w:rPr>
            </w:pPr>
            <w:r w:rsidRPr="00821D2B">
              <w:rPr>
                <w:rFonts w:eastAsia="Times New Roman"/>
                <w:sz w:val="18"/>
              </w:rPr>
              <w:t>36</w:t>
            </w:r>
          </w:p>
        </w:tc>
        <w:tc>
          <w:tcPr>
            <w:tcW w:w="794" w:type="dxa"/>
            <w:shd w:val="clear" w:color="auto" w:fill="auto"/>
            <w:noWrap/>
            <w:vAlign w:val="bottom"/>
            <w:hideMark/>
          </w:tcPr>
          <w:p w:rsidR="008D6145" w:rsidRPr="00821D2B" w:rsidRDefault="008D6145" w:rsidP="00821D2B">
            <w:pPr>
              <w:suppressAutoHyphens w:val="0"/>
              <w:kinsoku/>
              <w:overflowPunct/>
              <w:autoSpaceDE/>
              <w:autoSpaceDN/>
              <w:adjustRightInd/>
              <w:snapToGrid/>
              <w:spacing w:before="40" w:after="40" w:line="220" w:lineRule="exact"/>
              <w:jc w:val="right"/>
              <w:rPr>
                <w:rFonts w:eastAsia="Times New Roman"/>
                <w:sz w:val="18"/>
              </w:rPr>
            </w:pPr>
            <w:r w:rsidRPr="00821D2B">
              <w:rPr>
                <w:rFonts w:eastAsia="Times New Roman"/>
                <w:sz w:val="18"/>
              </w:rPr>
              <w:t>36</w:t>
            </w:r>
          </w:p>
        </w:tc>
      </w:tr>
      <w:tr w:rsidR="006502D2" w:rsidRPr="006502D2" w:rsidTr="008719A0">
        <w:tc>
          <w:tcPr>
            <w:tcW w:w="2948" w:type="dxa"/>
            <w:shd w:val="clear" w:color="auto" w:fill="auto"/>
            <w:noWrap/>
            <w:hideMark/>
          </w:tcPr>
          <w:p w:rsidR="008D6145" w:rsidRPr="00821D2B" w:rsidRDefault="008D6145" w:rsidP="00821D2B">
            <w:pPr>
              <w:suppressAutoHyphens w:val="0"/>
              <w:kinsoku/>
              <w:overflowPunct/>
              <w:autoSpaceDE/>
              <w:autoSpaceDN/>
              <w:adjustRightInd/>
              <w:snapToGrid/>
              <w:spacing w:before="40" w:after="40" w:line="220" w:lineRule="exact"/>
              <w:rPr>
                <w:rFonts w:eastAsia="Times New Roman"/>
                <w:sz w:val="18"/>
              </w:rPr>
            </w:pPr>
            <w:r w:rsidRPr="00821D2B">
              <w:rPr>
                <w:rFonts w:eastAsia="Times New Roman"/>
                <w:sz w:val="18"/>
              </w:rPr>
              <w:t>Centres privés d</w:t>
            </w:r>
            <w:r w:rsidR="00A033A7" w:rsidRPr="00821D2B">
              <w:rPr>
                <w:rFonts w:eastAsia="Times New Roman"/>
                <w:sz w:val="18"/>
              </w:rPr>
              <w:t>’</w:t>
            </w:r>
            <w:r w:rsidRPr="00821D2B">
              <w:rPr>
                <w:rFonts w:eastAsia="Times New Roman"/>
                <w:sz w:val="18"/>
              </w:rPr>
              <w:t>enseignement supérieur</w:t>
            </w:r>
          </w:p>
        </w:tc>
        <w:tc>
          <w:tcPr>
            <w:tcW w:w="794" w:type="dxa"/>
            <w:shd w:val="clear" w:color="auto" w:fill="auto"/>
            <w:noWrap/>
            <w:vAlign w:val="bottom"/>
            <w:hideMark/>
          </w:tcPr>
          <w:p w:rsidR="008D6145" w:rsidRPr="00821D2B" w:rsidRDefault="008D6145" w:rsidP="00821D2B">
            <w:pPr>
              <w:suppressAutoHyphens w:val="0"/>
              <w:kinsoku/>
              <w:overflowPunct/>
              <w:autoSpaceDE/>
              <w:autoSpaceDN/>
              <w:adjustRightInd/>
              <w:snapToGrid/>
              <w:spacing w:before="40" w:after="40" w:line="220" w:lineRule="exact"/>
              <w:jc w:val="right"/>
              <w:rPr>
                <w:rFonts w:eastAsia="Times New Roman"/>
                <w:sz w:val="18"/>
              </w:rPr>
            </w:pPr>
            <w:r w:rsidRPr="00821D2B">
              <w:rPr>
                <w:rFonts w:eastAsia="Times New Roman"/>
                <w:sz w:val="18"/>
              </w:rPr>
              <w:t>64</w:t>
            </w:r>
          </w:p>
        </w:tc>
        <w:tc>
          <w:tcPr>
            <w:tcW w:w="794" w:type="dxa"/>
            <w:shd w:val="clear" w:color="auto" w:fill="auto"/>
            <w:noWrap/>
            <w:vAlign w:val="bottom"/>
            <w:hideMark/>
          </w:tcPr>
          <w:p w:rsidR="008D6145" w:rsidRPr="00821D2B" w:rsidRDefault="008D6145" w:rsidP="00821D2B">
            <w:pPr>
              <w:suppressAutoHyphens w:val="0"/>
              <w:kinsoku/>
              <w:overflowPunct/>
              <w:autoSpaceDE/>
              <w:autoSpaceDN/>
              <w:adjustRightInd/>
              <w:snapToGrid/>
              <w:spacing w:before="40" w:after="40" w:line="220" w:lineRule="exact"/>
              <w:jc w:val="right"/>
              <w:rPr>
                <w:rFonts w:eastAsia="Times New Roman"/>
                <w:sz w:val="18"/>
              </w:rPr>
            </w:pPr>
            <w:r w:rsidRPr="00821D2B">
              <w:rPr>
                <w:rFonts w:eastAsia="Times New Roman"/>
                <w:sz w:val="18"/>
              </w:rPr>
              <w:t>69</w:t>
            </w:r>
          </w:p>
        </w:tc>
        <w:tc>
          <w:tcPr>
            <w:tcW w:w="794" w:type="dxa"/>
            <w:shd w:val="clear" w:color="auto" w:fill="auto"/>
            <w:noWrap/>
            <w:vAlign w:val="bottom"/>
            <w:hideMark/>
          </w:tcPr>
          <w:p w:rsidR="008D6145" w:rsidRPr="00821D2B" w:rsidRDefault="008D6145" w:rsidP="00821D2B">
            <w:pPr>
              <w:suppressAutoHyphens w:val="0"/>
              <w:kinsoku/>
              <w:overflowPunct/>
              <w:autoSpaceDE/>
              <w:autoSpaceDN/>
              <w:adjustRightInd/>
              <w:snapToGrid/>
              <w:spacing w:before="40" w:after="40" w:line="220" w:lineRule="exact"/>
              <w:jc w:val="right"/>
              <w:rPr>
                <w:rFonts w:eastAsia="Times New Roman"/>
                <w:sz w:val="18"/>
              </w:rPr>
            </w:pPr>
            <w:r w:rsidRPr="00821D2B">
              <w:rPr>
                <w:rFonts w:eastAsia="Times New Roman"/>
                <w:sz w:val="18"/>
              </w:rPr>
              <w:t>74</w:t>
            </w:r>
          </w:p>
        </w:tc>
        <w:tc>
          <w:tcPr>
            <w:tcW w:w="794" w:type="dxa"/>
            <w:shd w:val="clear" w:color="auto" w:fill="auto"/>
            <w:noWrap/>
            <w:vAlign w:val="bottom"/>
            <w:hideMark/>
          </w:tcPr>
          <w:p w:rsidR="008D6145" w:rsidRPr="00821D2B" w:rsidRDefault="008D6145" w:rsidP="00821D2B">
            <w:pPr>
              <w:suppressAutoHyphens w:val="0"/>
              <w:kinsoku/>
              <w:overflowPunct/>
              <w:autoSpaceDE/>
              <w:autoSpaceDN/>
              <w:adjustRightInd/>
              <w:snapToGrid/>
              <w:spacing w:before="40" w:after="40" w:line="220" w:lineRule="exact"/>
              <w:jc w:val="right"/>
              <w:rPr>
                <w:rFonts w:eastAsia="Times New Roman"/>
                <w:sz w:val="18"/>
              </w:rPr>
            </w:pPr>
            <w:r w:rsidRPr="00821D2B">
              <w:rPr>
                <w:rFonts w:eastAsia="Times New Roman"/>
                <w:sz w:val="18"/>
              </w:rPr>
              <w:t>82</w:t>
            </w:r>
          </w:p>
        </w:tc>
        <w:tc>
          <w:tcPr>
            <w:tcW w:w="794" w:type="dxa"/>
            <w:shd w:val="clear" w:color="auto" w:fill="auto"/>
            <w:noWrap/>
            <w:vAlign w:val="bottom"/>
            <w:hideMark/>
          </w:tcPr>
          <w:p w:rsidR="008D6145" w:rsidRPr="00821D2B" w:rsidRDefault="008D6145" w:rsidP="00821D2B">
            <w:pPr>
              <w:suppressAutoHyphens w:val="0"/>
              <w:kinsoku/>
              <w:overflowPunct/>
              <w:autoSpaceDE/>
              <w:autoSpaceDN/>
              <w:adjustRightInd/>
              <w:snapToGrid/>
              <w:spacing w:before="40" w:after="40" w:line="220" w:lineRule="exact"/>
              <w:jc w:val="right"/>
              <w:rPr>
                <w:rFonts w:eastAsia="Times New Roman"/>
                <w:sz w:val="18"/>
              </w:rPr>
            </w:pPr>
            <w:r w:rsidRPr="00821D2B">
              <w:rPr>
                <w:rFonts w:eastAsia="Times New Roman"/>
                <w:sz w:val="18"/>
              </w:rPr>
              <w:t>88</w:t>
            </w:r>
          </w:p>
        </w:tc>
        <w:tc>
          <w:tcPr>
            <w:tcW w:w="794" w:type="dxa"/>
            <w:shd w:val="clear" w:color="auto" w:fill="auto"/>
            <w:noWrap/>
            <w:vAlign w:val="bottom"/>
            <w:hideMark/>
          </w:tcPr>
          <w:p w:rsidR="008D6145" w:rsidRPr="00821D2B" w:rsidRDefault="008D6145" w:rsidP="00821D2B">
            <w:pPr>
              <w:suppressAutoHyphens w:val="0"/>
              <w:kinsoku/>
              <w:overflowPunct/>
              <w:autoSpaceDE/>
              <w:autoSpaceDN/>
              <w:adjustRightInd/>
              <w:snapToGrid/>
              <w:spacing w:before="40" w:after="40" w:line="220" w:lineRule="exact"/>
              <w:jc w:val="right"/>
              <w:rPr>
                <w:rFonts w:eastAsia="Times New Roman"/>
                <w:sz w:val="18"/>
              </w:rPr>
            </w:pPr>
            <w:r w:rsidRPr="00821D2B">
              <w:rPr>
                <w:rFonts w:eastAsia="Times New Roman"/>
                <w:sz w:val="18"/>
              </w:rPr>
              <w:t>93</w:t>
            </w:r>
          </w:p>
        </w:tc>
        <w:tc>
          <w:tcPr>
            <w:tcW w:w="794" w:type="dxa"/>
            <w:shd w:val="clear" w:color="auto" w:fill="auto"/>
            <w:noWrap/>
            <w:vAlign w:val="bottom"/>
            <w:hideMark/>
          </w:tcPr>
          <w:p w:rsidR="008D6145" w:rsidRPr="00821D2B" w:rsidRDefault="008D6145" w:rsidP="00821D2B">
            <w:pPr>
              <w:suppressAutoHyphens w:val="0"/>
              <w:kinsoku/>
              <w:overflowPunct/>
              <w:autoSpaceDE/>
              <w:autoSpaceDN/>
              <w:adjustRightInd/>
              <w:snapToGrid/>
              <w:spacing w:before="40" w:after="40" w:line="220" w:lineRule="exact"/>
              <w:jc w:val="right"/>
              <w:rPr>
                <w:rFonts w:eastAsia="Times New Roman"/>
                <w:sz w:val="18"/>
              </w:rPr>
            </w:pPr>
            <w:r w:rsidRPr="00821D2B">
              <w:rPr>
                <w:rFonts w:eastAsia="Times New Roman"/>
                <w:sz w:val="18"/>
              </w:rPr>
              <w:t>93</w:t>
            </w:r>
          </w:p>
        </w:tc>
      </w:tr>
      <w:tr w:rsidR="006502D2" w:rsidRPr="006502D2" w:rsidTr="008719A0">
        <w:tc>
          <w:tcPr>
            <w:tcW w:w="2948" w:type="dxa"/>
            <w:tcBorders>
              <w:bottom w:val="single" w:sz="12" w:space="0" w:color="auto"/>
            </w:tcBorders>
            <w:shd w:val="clear" w:color="auto" w:fill="auto"/>
            <w:hideMark/>
          </w:tcPr>
          <w:p w:rsidR="008D6145" w:rsidRPr="00821D2B" w:rsidRDefault="008D6145" w:rsidP="00821D2B">
            <w:pPr>
              <w:suppressAutoHyphens w:val="0"/>
              <w:kinsoku/>
              <w:overflowPunct/>
              <w:autoSpaceDE/>
              <w:autoSpaceDN/>
              <w:adjustRightInd/>
              <w:snapToGrid/>
              <w:spacing w:before="40" w:after="40" w:line="220" w:lineRule="exact"/>
              <w:rPr>
                <w:rFonts w:eastAsia="Times New Roman"/>
                <w:sz w:val="18"/>
              </w:rPr>
            </w:pPr>
            <w:r w:rsidRPr="00821D2B">
              <w:rPr>
                <w:rFonts w:eastAsia="Times New Roman"/>
                <w:sz w:val="18"/>
              </w:rPr>
              <w:t>Entités universitaires privées + centres privés d</w:t>
            </w:r>
            <w:r w:rsidR="00A033A7" w:rsidRPr="00821D2B">
              <w:rPr>
                <w:rFonts w:eastAsia="Times New Roman"/>
                <w:sz w:val="18"/>
              </w:rPr>
              <w:t>’</w:t>
            </w:r>
            <w:r w:rsidRPr="00821D2B">
              <w:rPr>
                <w:rFonts w:eastAsia="Times New Roman"/>
                <w:sz w:val="18"/>
              </w:rPr>
              <w:t>enseignement supérieur</w:t>
            </w:r>
          </w:p>
        </w:tc>
        <w:tc>
          <w:tcPr>
            <w:tcW w:w="794" w:type="dxa"/>
            <w:tcBorders>
              <w:bottom w:val="single" w:sz="12" w:space="0" w:color="auto"/>
            </w:tcBorders>
            <w:shd w:val="clear" w:color="auto" w:fill="auto"/>
            <w:noWrap/>
            <w:vAlign w:val="bottom"/>
            <w:hideMark/>
          </w:tcPr>
          <w:p w:rsidR="008D6145" w:rsidRPr="00821D2B" w:rsidRDefault="008D6145" w:rsidP="00821D2B">
            <w:pPr>
              <w:suppressAutoHyphens w:val="0"/>
              <w:kinsoku/>
              <w:overflowPunct/>
              <w:autoSpaceDE/>
              <w:autoSpaceDN/>
              <w:adjustRightInd/>
              <w:snapToGrid/>
              <w:spacing w:before="40" w:after="40" w:line="220" w:lineRule="exact"/>
              <w:jc w:val="right"/>
              <w:rPr>
                <w:rFonts w:eastAsia="Times New Roman"/>
                <w:sz w:val="18"/>
              </w:rPr>
            </w:pPr>
            <w:r w:rsidRPr="00821D2B">
              <w:rPr>
                <w:rFonts w:eastAsia="Times New Roman"/>
                <w:sz w:val="18"/>
              </w:rPr>
              <w:t>99</w:t>
            </w:r>
          </w:p>
        </w:tc>
        <w:tc>
          <w:tcPr>
            <w:tcW w:w="794" w:type="dxa"/>
            <w:tcBorders>
              <w:bottom w:val="single" w:sz="12" w:space="0" w:color="auto"/>
            </w:tcBorders>
            <w:shd w:val="clear" w:color="auto" w:fill="auto"/>
            <w:noWrap/>
            <w:vAlign w:val="bottom"/>
            <w:hideMark/>
          </w:tcPr>
          <w:p w:rsidR="008D6145" w:rsidRPr="00821D2B" w:rsidRDefault="008D6145" w:rsidP="00821D2B">
            <w:pPr>
              <w:suppressAutoHyphens w:val="0"/>
              <w:kinsoku/>
              <w:overflowPunct/>
              <w:autoSpaceDE/>
              <w:autoSpaceDN/>
              <w:adjustRightInd/>
              <w:snapToGrid/>
              <w:spacing w:before="40" w:after="40" w:line="220" w:lineRule="exact"/>
              <w:jc w:val="right"/>
              <w:rPr>
                <w:rFonts w:eastAsia="Times New Roman"/>
                <w:sz w:val="18"/>
              </w:rPr>
            </w:pPr>
            <w:r w:rsidRPr="00821D2B">
              <w:rPr>
                <w:rFonts w:eastAsia="Times New Roman"/>
                <w:sz w:val="18"/>
              </w:rPr>
              <w:t>104</w:t>
            </w:r>
          </w:p>
        </w:tc>
        <w:tc>
          <w:tcPr>
            <w:tcW w:w="794" w:type="dxa"/>
            <w:tcBorders>
              <w:bottom w:val="single" w:sz="12" w:space="0" w:color="auto"/>
            </w:tcBorders>
            <w:shd w:val="clear" w:color="auto" w:fill="auto"/>
            <w:noWrap/>
            <w:vAlign w:val="bottom"/>
            <w:hideMark/>
          </w:tcPr>
          <w:p w:rsidR="008D6145" w:rsidRPr="00821D2B" w:rsidRDefault="008D6145" w:rsidP="00821D2B">
            <w:pPr>
              <w:suppressAutoHyphens w:val="0"/>
              <w:kinsoku/>
              <w:overflowPunct/>
              <w:autoSpaceDE/>
              <w:autoSpaceDN/>
              <w:adjustRightInd/>
              <w:snapToGrid/>
              <w:spacing w:before="40" w:after="40" w:line="220" w:lineRule="exact"/>
              <w:jc w:val="right"/>
              <w:rPr>
                <w:rFonts w:eastAsia="Times New Roman"/>
                <w:sz w:val="18"/>
              </w:rPr>
            </w:pPr>
            <w:r w:rsidRPr="00821D2B">
              <w:rPr>
                <w:rFonts w:eastAsia="Times New Roman"/>
                <w:sz w:val="18"/>
              </w:rPr>
              <w:t>109</w:t>
            </w:r>
          </w:p>
        </w:tc>
        <w:tc>
          <w:tcPr>
            <w:tcW w:w="794" w:type="dxa"/>
            <w:tcBorders>
              <w:bottom w:val="single" w:sz="12" w:space="0" w:color="auto"/>
            </w:tcBorders>
            <w:shd w:val="clear" w:color="auto" w:fill="auto"/>
            <w:noWrap/>
            <w:vAlign w:val="bottom"/>
            <w:hideMark/>
          </w:tcPr>
          <w:p w:rsidR="008D6145" w:rsidRPr="00821D2B" w:rsidRDefault="008D6145" w:rsidP="00821D2B">
            <w:pPr>
              <w:suppressAutoHyphens w:val="0"/>
              <w:kinsoku/>
              <w:overflowPunct/>
              <w:autoSpaceDE/>
              <w:autoSpaceDN/>
              <w:adjustRightInd/>
              <w:snapToGrid/>
              <w:spacing w:before="40" w:after="40" w:line="220" w:lineRule="exact"/>
              <w:jc w:val="right"/>
              <w:rPr>
                <w:rFonts w:eastAsia="Times New Roman"/>
                <w:sz w:val="18"/>
              </w:rPr>
            </w:pPr>
            <w:r w:rsidRPr="00821D2B">
              <w:rPr>
                <w:rFonts w:eastAsia="Times New Roman"/>
                <w:sz w:val="18"/>
              </w:rPr>
              <w:t>117</w:t>
            </w:r>
          </w:p>
        </w:tc>
        <w:tc>
          <w:tcPr>
            <w:tcW w:w="794" w:type="dxa"/>
            <w:tcBorders>
              <w:bottom w:val="single" w:sz="12" w:space="0" w:color="auto"/>
            </w:tcBorders>
            <w:shd w:val="clear" w:color="auto" w:fill="auto"/>
            <w:noWrap/>
            <w:vAlign w:val="bottom"/>
            <w:hideMark/>
          </w:tcPr>
          <w:p w:rsidR="008D6145" w:rsidRPr="00821D2B" w:rsidRDefault="008D6145" w:rsidP="00821D2B">
            <w:pPr>
              <w:suppressAutoHyphens w:val="0"/>
              <w:kinsoku/>
              <w:overflowPunct/>
              <w:autoSpaceDE/>
              <w:autoSpaceDN/>
              <w:adjustRightInd/>
              <w:snapToGrid/>
              <w:spacing w:before="40" w:after="40" w:line="220" w:lineRule="exact"/>
              <w:jc w:val="right"/>
              <w:rPr>
                <w:rFonts w:eastAsia="Times New Roman"/>
                <w:sz w:val="18"/>
              </w:rPr>
            </w:pPr>
            <w:r w:rsidRPr="00821D2B">
              <w:rPr>
                <w:rFonts w:eastAsia="Times New Roman"/>
                <w:sz w:val="18"/>
              </w:rPr>
              <w:t>124</w:t>
            </w:r>
          </w:p>
        </w:tc>
        <w:tc>
          <w:tcPr>
            <w:tcW w:w="794" w:type="dxa"/>
            <w:tcBorders>
              <w:bottom w:val="single" w:sz="12" w:space="0" w:color="auto"/>
            </w:tcBorders>
            <w:shd w:val="clear" w:color="auto" w:fill="auto"/>
            <w:noWrap/>
            <w:vAlign w:val="bottom"/>
            <w:hideMark/>
          </w:tcPr>
          <w:p w:rsidR="008D6145" w:rsidRPr="00821D2B" w:rsidRDefault="008D6145" w:rsidP="00821D2B">
            <w:pPr>
              <w:suppressAutoHyphens w:val="0"/>
              <w:kinsoku/>
              <w:overflowPunct/>
              <w:autoSpaceDE/>
              <w:autoSpaceDN/>
              <w:adjustRightInd/>
              <w:snapToGrid/>
              <w:spacing w:before="40" w:after="40" w:line="220" w:lineRule="exact"/>
              <w:jc w:val="right"/>
              <w:rPr>
                <w:rFonts w:eastAsia="Times New Roman"/>
                <w:sz w:val="18"/>
              </w:rPr>
            </w:pPr>
            <w:r w:rsidRPr="00821D2B">
              <w:rPr>
                <w:rFonts w:eastAsia="Times New Roman"/>
                <w:sz w:val="18"/>
              </w:rPr>
              <w:t>129</w:t>
            </w:r>
          </w:p>
        </w:tc>
        <w:tc>
          <w:tcPr>
            <w:tcW w:w="794" w:type="dxa"/>
            <w:tcBorders>
              <w:bottom w:val="single" w:sz="12" w:space="0" w:color="auto"/>
            </w:tcBorders>
            <w:shd w:val="clear" w:color="auto" w:fill="auto"/>
            <w:noWrap/>
            <w:vAlign w:val="bottom"/>
            <w:hideMark/>
          </w:tcPr>
          <w:p w:rsidR="008D6145" w:rsidRPr="00821D2B" w:rsidRDefault="008D6145" w:rsidP="00821D2B">
            <w:pPr>
              <w:suppressAutoHyphens w:val="0"/>
              <w:kinsoku/>
              <w:overflowPunct/>
              <w:autoSpaceDE/>
              <w:autoSpaceDN/>
              <w:adjustRightInd/>
              <w:snapToGrid/>
              <w:spacing w:before="40" w:after="40" w:line="220" w:lineRule="exact"/>
              <w:jc w:val="right"/>
              <w:rPr>
                <w:rFonts w:eastAsia="Times New Roman"/>
                <w:sz w:val="18"/>
              </w:rPr>
            </w:pPr>
            <w:r w:rsidRPr="00821D2B">
              <w:rPr>
                <w:rFonts w:eastAsia="Times New Roman"/>
                <w:sz w:val="18"/>
              </w:rPr>
              <w:t>129</w:t>
            </w:r>
          </w:p>
        </w:tc>
      </w:tr>
    </w:tbl>
    <w:p w:rsidR="008D6145" w:rsidRPr="008D6145" w:rsidRDefault="008D6145" w:rsidP="008D6145">
      <w:pPr>
        <w:kinsoku/>
        <w:overflowPunct/>
        <w:autoSpaceDE/>
        <w:autoSpaceDN/>
        <w:adjustRightInd/>
        <w:snapToGrid/>
        <w:spacing w:before="120" w:after="120"/>
        <w:ind w:left="1134" w:right="1134" w:firstLine="170"/>
        <w:rPr>
          <w:rFonts w:eastAsia="Times New Roman"/>
          <w:sz w:val="18"/>
          <w:szCs w:val="18"/>
        </w:rPr>
      </w:pPr>
      <w:r w:rsidRPr="008D6145">
        <w:rPr>
          <w:rFonts w:eastAsia="Times New Roman"/>
          <w:i/>
          <w:sz w:val="18"/>
          <w:szCs w:val="18"/>
        </w:rPr>
        <w:t>Source</w:t>
      </w:r>
      <w:r w:rsidRPr="008D6145">
        <w:rPr>
          <w:rFonts w:eastAsia="Times New Roman"/>
          <w:sz w:val="18"/>
          <w:szCs w:val="18"/>
        </w:rPr>
        <w:t> : DEC/</w:t>
      </w:r>
      <w:r w:rsidRPr="00821D2B">
        <w:rPr>
          <w:rFonts w:eastAsia="Times New Roman"/>
          <w:iCs/>
          <w:sz w:val="18"/>
          <w:szCs w:val="18"/>
        </w:rPr>
        <w:t>2016</w:t>
      </w:r>
      <w:r w:rsidRPr="008D6145">
        <w:rPr>
          <w:rFonts w:eastAsia="Times New Roman"/>
          <w:sz w:val="18"/>
          <w:szCs w:val="18"/>
        </w:rPr>
        <w:t>.</w:t>
      </w:r>
    </w:p>
    <w:p w:rsidR="008D6145" w:rsidRPr="007B16B0" w:rsidRDefault="00821D2B" w:rsidP="00821D2B">
      <w:pPr>
        <w:pStyle w:val="SingleTxtG"/>
        <w:kinsoku/>
        <w:overflowPunct/>
        <w:autoSpaceDE/>
        <w:autoSpaceDN/>
        <w:adjustRightInd/>
        <w:snapToGrid/>
        <w:rPr>
          <w:rFonts w:eastAsia="Times New Roman"/>
          <w:lang w:val="fr-FR"/>
        </w:rPr>
      </w:pPr>
      <w:r w:rsidRPr="007B16B0">
        <w:rPr>
          <w:rFonts w:eastAsia="Times New Roman"/>
          <w:lang w:val="fr-FR"/>
        </w:rPr>
        <w:t>116.</w:t>
      </w:r>
      <w:r w:rsidRPr="007B16B0">
        <w:rPr>
          <w:rFonts w:eastAsia="Times New Roman"/>
          <w:lang w:val="fr-FR"/>
        </w:rPr>
        <w:tab/>
      </w:r>
      <w:r w:rsidR="008D6145" w:rsidRPr="007B16B0">
        <w:rPr>
          <w:rFonts w:eastAsia="Times New Roman"/>
          <w:lang w:val="fr-FR"/>
        </w:rPr>
        <w:t>Le nombre d</w:t>
      </w:r>
      <w:r w:rsidR="00A033A7" w:rsidRPr="007B16B0">
        <w:rPr>
          <w:rFonts w:eastAsia="Times New Roman"/>
          <w:lang w:val="fr-FR"/>
        </w:rPr>
        <w:t>’</w:t>
      </w:r>
      <w:r w:rsidR="008D6145" w:rsidRPr="007B16B0">
        <w:rPr>
          <w:rFonts w:eastAsia="Times New Roman"/>
          <w:lang w:val="fr-FR"/>
        </w:rPr>
        <w:t>université</w:t>
      </w:r>
      <w:r w:rsidR="009201FA">
        <w:rPr>
          <w:rFonts w:eastAsia="Times New Roman"/>
          <w:lang w:val="fr-FR"/>
        </w:rPr>
        <w:t>s publiques est passé de deux (2) en 2000-2001 à sept (</w:t>
      </w:r>
      <w:r w:rsidR="008D6145" w:rsidRPr="007B16B0">
        <w:rPr>
          <w:rFonts w:eastAsia="Times New Roman"/>
          <w:lang w:val="fr-FR"/>
        </w:rPr>
        <w:t xml:space="preserve">7) en 2015-2016. </w:t>
      </w:r>
      <w:r w:rsidR="00850D01">
        <w:rPr>
          <w:rFonts w:eastAsia="Times New Roman"/>
          <w:lang w:val="fr-FR"/>
        </w:rPr>
        <w:t>À</w:t>
      </w:r>
      <w:r w:rsidR="008D6145" w:rsidRPr="007B16B0">
        <w:rPr>
          <w:rFonts w:eastAsia="Times New Roman"/>
          <w:lang w:val="fr-FR"/>
        </w:rPr>
        <w:t xml:space="preserve"> la rentrée 2016-2017, la carte universitaire a connu un réaménagement qui</w:t>
      </w:r>
      <w:r w:rsidR="00A033A7" w:rsidRPr="007B16B0">
        <w:rPr>
          <w:rFonts w:eastAsia="Times New Roman"/>
          <w:lang w:val="fr-FR"/>
        </w:rPr>
        <w:t xml:space="preserve"> </w:t>
      </w:r>
      <w:r w:rsidR="008D6145" w:rsidRPr="007B16B0">
        <w:rPr>
          <w:rFonts w:eastAsia="Times New Roman"/>
          <w:lang w:val="fr-FR"/>
        </w:rPr>
        <w:t>a permis la réduction de ces universités à quatre : deux universités pluridisciplinaires (Université d</w:t>
      </w:r>
      <w:r w:rsidR="00A033A7" w:rsidRPr="007B16B0">
        <w:rPr>
          <w:rFonts w:eastAsia="Times New Roman"/>
          <w:lang w:val="fr-FR"/>
        </w:rPr>
        <w:t>’</w:t>
      </w:r>
      <w:r w:rsidR="008D6145" w:rsidRPr="007B16B0">
        <w:rPr>
          <w:rFonts w:eastAsia="Times New Roman"/>
          <w:lang w:val="fr-FR"/>
        </w:rPr>
        <w:t>Abomey-Calavi et Université de Parakou et deux universités thématiques : Université d</w:t>
      </w:r>
      <w:r w:rsidR="00A033A7" w:rsidRPr="007B16B0">
        <w:rPr>
          <w:rFonts w:eastAsia="Times New Roman"/>
          <w:lang w:val="fr-FR"/>
        </w:rPr>
        <w:t>’</w:t>
      </w:r>
      <w:r w:rsidR="008D6145" w:rsidRPr="007B16B0">
        <w:rPr>
          <w:rFonts w:eastAsia="Times New Roman"/>
          <w:lang w:val="fr-FR"/>
        </w:rPr>
        <w:t>agriculture de Porto-Novo et Université polytechnique d</w:t>
      </w:r>
      <w:r w:rsidR="00A033A7" w:rsidRPr="007B16B0">
        <w:rPr>
          <w:rFonts w:eastAsia="Times New Roman"/>
          <w:lang w:val="fr-FR"/>
        </w:rPr>
        <w:t>’</w:t>
      </w:r>
      <w:r w:rsidR="008D6145" w:rsidRPr="007B16B0">
        <w:rPr>
          <w:rFonts w:eastAsia="Times New Roman"/>
          <w:lang w:val="fr-FR"/>
        </w:rPr>
        <w:t xml:space="preserve">Abomey). </w:t>
      </w:r>
    </w:p>
    <w:p w:rsidR="008D6145" w:rsidRPr="007B16B0" w:rsidRDefault="00821D2B" w:rsidP="00821D2B">
      <w:pPr>
        <w:pStyle w:val="SingleTxtG"/>
        <w:kinsoku/>
        <w:overflowPunct/>
        <w:autoSpaceDE/>
        <w:autoSpaceDN/>
        <w:adjustRightInd/>
        <w:snapToGrid/>
        <w:rPr>
          <w:rFonts w:eastAsia="Times New Roman"/>
          <w:lang w:val="fr-FR"/>
        </w:rPr>
      </w:pPr>
      <w:r w:rsidRPr="007B16B0">
        <w:rPr>
          <w:rFonts w:eastAsia="Times New Roman"/>
          <w:lang w:val="fr-FR"/>
        </w:rPr>
        <w:t>117.</w:t>
      </w:r>
      <w:r w:rsidRPr="007B16B0">
        <w:rPr>
          <w:rFonts w:eastAsia="Times New Roman"/>
          <w:lang w:val="fr-FR"/>
        </w:rPr>
        <w:tab/>
      </w:r>
      <w:r w:rsidR="008D6145" w:rsidRPr="007B16B0">
        <w:rPr>
          <w:rFonts w:eastAsia="Times New Roman"/>
          <w:lang w:val="fr-FR"/>
        </w:rPr>
        <w:t>Depuis le démarrage en 1997 de l</w:t>
      </w:r>
      <w:r w:rsidR="00A033A7" w:rsidRPr="007B16B0">
        <w:rPr>
          <w:rFonts w:eastAsia="Times New Roman"/>
          <w:lang w:val="fr-FR"/>
        </w:rPr>
        <w:t>’</w:t>
      </w:r>
      <w:r w:rsidR="008D6145" w:rsidRPr="007B16B0">
        <w:rPr>
          <w:rFonts w:eastAsia="Times New Roman"/>
          <w:lang w:val="fr-FR"/>
        </w:rPr>
        <w:t>expérience de l</w:t>
      </w:r>
      <w:r w:rsidR="00A033A7" w:rsidRPr="007B16B0">
        <w:rPr>
          <w:rFonts w:eastAsia="Times New Roman"/>
          <w:lang w:val="fr-FR"/>
        </w:rPr>
        <w:t>’</w:t>
      </w:r>
      <w:r w:rsidR="008D6145" w:rsidRPr="007B16B0">
        <w:rPr>
          <w:rFonts w:eastAsia="Times New Roman"/>
          <w:lang w:val="fr-FR"/>
        </w:rPr>
        <w:t>autorisation d</w:t>
      </w:r>
      <w:r w:rsidR="00A033A7" w:rsidRPr="007B16B0">
        <w:rPr>
          <w:rFonts w:eastAsia="Times New Roman"/>
          <w:lang w:val="fr-FR"/>
        </w:rPr>
        <w:t>’</w:t>
      </w:r>
      <w:r w:rsidR="008D6145" w:rsidRPr="007B16B0">
        <w:rPr>
          <w:rFonts w:eastAsia="Times New Roman"/>
          <w:lang w:val="fr-FR"/>
        </w:rPr>
        <w:t>ouverture d</w:t>
      </w:r>
      <w:r w:rsidR="00A033A7" w:rsidRPr="007B16B0">
        <w:rPr>
          <w:rFonts w:eastAsia="Times New Roman"/>
          <w:lang w:val="fr-FR"/>
        </w:rPr>
        <w:t>’</w:t>
      </w:r>
      <w:r w:rsidR="008D6145" w:rsidRPr="007B16B0">
        <w:rPr>
          <w:rFonts w:eastAsia="Times New Roman"/>
          <w:lang w:val="fr-FR"/>
        </w:rPr>
        <w:t>établissements privés d</w:t>
      </w:r>
      <w:r w:rsidR="00A033A7" w:rsidRPr="007B16B0">
        <w:rPr>
          <w:rFonts w:eastAsia="Times New Roman"/>
          <w:lang w:val="fr-FR"/>
        </w:rPr>
        <w:t>’</w:t>
      </w:r>
      <w:r w:rsidR="008D6145" w:rsidRPr="007B16B0">
        <w:rPr>
          <w:rFonts w:eastAsia="Times New Roman"/>
          <w:lang w:val="fr-FR"/>
        </w:rPr>
        <w:t>enseignement supérieur, leur nombre ne cesse de s</w:t>
      </w:r>
      <w:r w:rsidR="00A033A7" w:rsidRPr="007B16B0">
        <w:rPr>
          <w:rFonts w:eastAsia="Times New Roman"/>
          <w:lang w:val="fr-FR"/>
        </w:rPr>
        <w:t>’</w:t>
      </w:r>
      <w:r w:rsidR="008D6145" w:rsidRPr="007B16B0">
        <w:rPr>
          <w:rFonts w:eastAsia="Times New Roman"/>
          <w:lang w:val="fr-FR"/>
        </w:rPr>
        <w:t>accroître. Nous</w:t>
      </w:r>
      <w:r w:rsidR="008719A0">
        <w:rPr>
          <w:rFonts w:eastAsia="Times New Roman"/>
          <w:lang w:val="fr-FR"/>
        </w:rPr>
        <w:t> </w:t>
      </w:r>
      <w:r w:rsidR="008D6145" w:rsidRPr="007B16B0">
        <w:rPr>
          <w:rFonts w:eastAsia="Times New Roman"/>
          <w:lang w:val="fr-FR"/>
        </w:rPr>
        <w:t>distinguons deux (2) types d</w:t>
      </w:r>
      <w:r w:rsidR="00A033A7" w:rsidRPr="007B16B0">
        <w:rPr>
          <w:rFonts w:eastAsia="Times New Roman"/>
          <w:lang w:val="fr-FR"/>
        </w:rPr>
        <w:t>’</w:t>
      </w:r>
      <w:r w:rsidR="008D6145" w:rsidRPr="007B16B0">
        <w:rPr>
          <w:rFonts w:eastAsia="Times New Roman"/>
          <w:lang w:val="fr-FR"/>
        </w:rPr>
        <w:t>établissements privés d</w:t>
      </w:r>
      <w:r w:rsidR="00A033A7" w:rsidRPr="007B16B0">
        <w:rPr>
          <w:rFonts w:eastAsia="Times New Roman"/>
          <w:lang w:val="fr-FR"/>
        </w:rPr>
        <w:t>’</w:t>
      </w:r>
      <w:r w:rsidR="008D6145" w:rsidRPr="007B16B0">
        <w:rPr>
          <w:rFonts w:eastAsia="Times New Roman"/>
          <w:lang w:val="fr-FR"/>
        </w:rPr>
        <w:t>enseignement supérieur, à savoir, les universités privées et les centres privés d</w:t>
      </w:r>
      <w:r w:rsidR="00A033A7" w:rsidRPr="007B16B0">
        <w:rPr>
          <w:rFonts w:eastAsia="Times New Roman"/>
          <w:lang w:val="fr-FR"/>
        </w:rPr>
        <w:t>’</w:t>
      </w:r>
      <w:r w:rsidR="008D6145" w:rsidRPr="007B16B0">
        <w:rPr>
          <w:rFonts w:eastAsia="Times New Roman"/>
          <w:lang w:val="fr-FR"/>
        </w:rPr>
        <w:t xml:space="preserve">enseignement supérieur. </w:t>
      </w:r>
      <w:r w:rsidR="00850D01">
        <w:rPr>
          <w:rFonts w:eastAsia="Times New Roman"/>
          <w:lang w:val="fr-FR"/>
        </w:rPr>
        <w:t>À</w:t>
      </w:r>
      <w:r w:rsidR="008D6145" w:rsidRPr="007B16B0">
        <w:rPr>
          <w:rFonts w:eastAsia="Times New Roman"/>
          <w:lang w:val="fr-FR"/>
        </w:rPr>
        <w:t xml:space="preserve"> ce jour, sept (7) </w:t>
      </w:r>
      <w:r w:rsidR="008D6145" w:rsidRPr="007B16B0">
        <w:rPr>
          <w:rFonts w:eastAsia="Times New Roman"/>
          <w:lang w:val="fr-FR"/>
        </w:rPr>
        <w:lastRenderedPageBreak/>
        <w:t>universités privées sont autorisées par le Ministère en charge de l</w:t>
      </w:r>
      <w:r w:rsidR="00A033A7" w:rsidRPr="007B16B0">
        <w:rPr>
          <w:rFonts w:eastAsia="Times New Roman"/>
          <w:lang w:val="fr-FR"/>
        </w:rPr>
        <w:t>’</w:t>
      </w:r>
      <w:r w:rsidR="008D6145" w:rsidRPr="007B16B0">
        <w:rPr>
          <w:rFonts w:eastAsia="Times New Roman"/>
          <w:lang w:val="fr-FR"/>
        </w:rPr>
        <w:t xml:space="preserve">enseignement supérieur. Ces sept (7) universités disposent de trente-quatre (34) entités universitaires. </w:t>
      </w:r>
    </w:p>
    <w:p w:rsidR="008D6145" w:rsidRPr="007B16B0" w:rsidRDefault="00821D2B" w:rsidP="00821D2B">
      <w:pPr>
        <w:pStyle w:val="SingleTxtG"/>
        <w:kinsoku/>
        <w:overflowPunct/>
        <w:autoSpaceDE/>
        <w:autoSpaceDN/>
        <w:adjustRightInd/>
        <w:snapToGrid/>
        <w:rPr>
          <w:rFonts w:eastAsia="Times New Roman"/>
          <w:lang w:val="fr-FR"/>
        </w:rPr>
      </w:pPr>
      <w:r w:rsidRPr="007B16B0">
        <w:rPr>
          <w:rFonts w:eastAsia="Times New Roman"/>
          <w:lang w:val="fr-FR"/>
        </w:rPr>
        <w:t>118.</w:t>
      </w:r>
      <w:r w:rsidRPr="007B16B0">
        <w:rPr>
          <w:rFonts w:eastAsia="Times New Roman"/>
          <w:lang w:val="fr-FR"/>
        </w:rPr>
        <w:tab/>
      </w:r>
      <w:r w:rsidR="008D6145" w:rsidRPr="007B16B0">
        <w:rPr>
          <w:rFonts w:eastAsia="Times New Roman"/>
          <w:lang w:val="fr-FR"/>
        </w:rPr>
        <w:t>Quant aux centres privés d</w:t>
      </w:r>
      <w:r w:rsidR="00A033A7" w:rsidRPr="007B16B0">
        <w:rPr>
          <w:rFonts w:eastAsia="Times New Roman"/>
          <w:lang w:val="fr-FR"/>
        </w:rPr>
        <w:t>’</w:t>
      </w:r>
      <w:r w:rsidR="008D6145" w:rsidRPr="007B16B0">
        <w:rPr>
          <w:rFonts w:eastAsia="Times New Roman"/>
          <w:lang w:val="fr-FR"/>
        </w:rPr>
        <w:t>enseignement supérieur, cent-vingt (120) centres privés sont autorisés par le Ministère en charge de l</w:t>
      </w:r>
      <w:r w:rsidR="00A033A7" w:rsidRPr="007B16B0">
        <w:rPr>
          <w:rFonts w:eastAsia="Times New Roman"/>
          <w:lang w:val="fr-FR"/>
        </w:rPr>
        <w:t>’</w:t>
      </w:r>
      <w:r w:rsidR="008D6145" w:rsidRPr="007B16B0">
        <w:rPr>
          <w:rFonts w:eastAsia="Times New Roman"/>
          <w:lang w:val="fr-FR"/>
        </w:rPr>
        <w:t>enseignement supérieur. Ils sont concentrés pour l</w:t>
      </w:r>
      <w:r w:rsidR="00A033A7" w:rsidRPr="007B16B0">
        <w:rPr>
          <w:rFonts w:eastAsia="Times New Roman"/>
          <w:lang w:val="fr-FR"/>
        </w:rPr>
        <w:t>’</w:t>
      </w:r>
      <w:r w:rsidR="008D6145" w:rsidRPr="007B16B0">
        <w:rPr>
          <w:rFonts w:eastAsia="Times New Roman"/>
          <w:lang w:val="fr-FR"/>
        </w:rPr>
        <w:t>essentiel dans la partie méridionale du Bénin. Certains de ces centres disposent d</w:t>
      </w:r>
      <w:r w:rsidR="00A033A7" w:rsidRPr="007B16B0">
        <w:rPr>
          <w:rFonts w:eastAsia="Times New Roman"/>
          <w:lang w:val="fr-FR"/>
        </w:rPr>
        <w:t>’</w:t>
      </w:r>
      <w:r w:rsidR="008D6145" w:rsidRPr="007B16B0">
        <w:rPr>
          <w:rFonts w:eastAsia="Times New Roman"/>
          <w:lang w:val="fr-FR"/>
        </w:rPr>
        <w:t>implantations régionales. Les</w:t>
      </w:r>
      <w:r w:rsidR="00A033A7" w:rsidRPr="007B16B0">
        <w:rPr>
          <w:rFonts w:eastAsia="Times New Roman"/>
          <w:lang w:val="fr-FR"/>
        </w:rPr>
        <w:t xml:space="preserve"> </w:t>
      </w:r>
      <w:r w:rsidR="008D6145" w:rsidRPr="007B16B0">
        <w:rPr>
          <w:rFonts w:eastAsia="Times New Roman"/>
          <w:lang w:val="fr-FR"/>
        </w:rPr>
        <w:t>domaines de formation des établissements privés d</w:t>
      </w:r>
      <w:r w:rsidR="00A033A7" w:rsidRPr="007B16B0">
        <w:rPr>
          <w:rFonts w:eastAsia="Times New Roman"/>
          <w:lang w:val="fr-FR"/>
        </w:rPr>
        <w:t>’</w:t>
      </w:r>
      <w:r w:rsidR="008D6145" w:rsidRPr="007B16B0">
        <w:rPr>
          <w:rFonts w:eastAsia="Times New Roman"/>
          <w:lang w:val="fr-FR"/>
        </w:rPr>
        <w:t xml:space="preserve">enseignement supérieur sont variés. </w:t>
      </w:r>
      <w:r w:rsidR="008D6145" w:rsidRPr="000C7996">
        <w:rPr>
          <w:rFonts w:eastAsia="Times New Roman"/>
          <w:spacing w:val="-2"/>
          <w:lang w:val="fr-FR"/>
        </w:rPr>
        <w:t>Au-delà des formations de Brevet de Technicien Supérieur (BTS) du tertiaire qui dominent, ils offrent également des enseignements de licences et de maîtrises professionnelles, de masters, de Diplômes Universitaires de Technologie, de Diplômes de Technicien Supérieur et de Diplômes d</w:t>
      </w:r>
      <w:r w:rsidR="00A033A7" w:rsidRPr="000C7996">
        <w:rPr>
          <w:rFonts w:eastAsia="Times New Roman"/>
          <w:spacing w:val="-2"/>
          <w:lang w:val="fr-FR"/>
        </w:rPr>
        <w:t>’</w:t>
      </w:r>
      <w:r w:rsidR="008D6145" w:rsidRPr="000C7996">
        <w:rPr>
          <w:rFonts w:eastAsia="Times New Roman"/>
          <w:spacing w:val="-2"/>
          <w:lang w:val="fr-FR"/>
        </w:rPr>
        <w:t xml:space="preserve">Etudes Supérieures Spécialisées. </w:t>
      </w:r>
    </w:p>
    <w:p w:rsidR="008D6145" w:rsidRPr="008D6145" w:rsidRDefault="00821D2B" w:rsidP="00821D2B">
      <w:pPr>
        <w:pStyle w:val="SingleTxtG"/>
        <w:kinsoku/>
        <w:overflowPunct/>
        <w:autoSpaceDE/>
        <w:autoSpaceDN/>
        <w:adjustRightInd/>
        <w:snapToGrid/>
        <w:rPr>
          <w:rFonts w:eastAsia="Times New Roman"/>
        </w:rPr>
      </w:pPr>
      <w:r w:rsidRPr="008D6145">
        <w:rPr>
          <w:rFonts w:eastAsia="Times New Roman"/>
        </w:rPr>
        <w:t>119.</w:t>
      </w:r>
      <w:r w:rsidRPr="008D6145">
        <w:rPr>
          <w:rFonts w:eastAsia="Times New Roman"/>
        </w:rPr>
        <w:tab/>
      </w:r>
      <w:r w:rsidR="008D6145" w:rsidRPr="007B16B0">
        <w:rPr>
          <w:rFonts w:eastAsia="Times New Roman"/>
          <w:lang w:val="fr-FR"/>
        </w:rPr>
        <w:t>Sur le plan institutionnel, des réformes ont permis d</w:t>
      </w:r>
      <w:r w:rsidR="00A033A7" w:rsidRPr="007B16B0">
        <w:rPr>
          <w:rFonts w:eastAsia="Times New Roman"/>
          <w:lang w:val="fr-FR"/>
        </w:rPr>
        <w:t>’</w:t>
      </w:r>
      <w:r w:rsidR="008D6145" w:rsidRPr="007B16B0">
        <w:rPr>
          <w:rFonts w:eastAsia="Times New Roman"/>
          <w:lang w:val="fr-FR"/>
        </w:rPr>
        <w:t xml:space="preserve">homologuer plusieurs programmes de formation exécutés par ces établissements et la co-signature de leurs diplômes </w:t>
      </w:r>
      <w:r w:rsidR="008D6145" w:rsidRPr="008D6145">
        <w:rPr>
          <w:rFonts w:eastAsia="Times New Roman"/>
        </w:rPr>
        <w:t>par le ministère.</w:t>
      </w:r>
    </w:p>
    <w:p w:rsidR="008D6145" w:rsidRPr="00C073F5" w:rsidRDefault="008D6145" w:rsidP="00821D2B">
      <w:pPr>
        <w:pStyle w:val="H4G"/>
        <w:rPr>
          <w:lang w:val="fr-FR"/>
        </w:rPr>
      </w:pPr>
      <w:r w:rsidRPr="008D6145">
        <w:rPr>
          <w:lang w:val="fr-FR"/>
        </w:rPr>
        <w:tab/>
      </w:r>
      <w:r w:rsidRPr="008D6145">
        <w:rPr>
          <w:lang w:val="fr-FR"/>
        </w:rPr>
        <w:tab/>
      </w:r>
      <w:r w:rsidRPr="00C073F5">
        <w:rPr>
          <w:lang w:val="fr-FR"/>
        </w:rPr>
        <w:t>Les étudiants</w:t>
      </w:r>
    </w:p>
    <w:p w:rsidR="008D6145" w:rsidRPr="008D6145" w:rsidRDefault="00821D2B" w:rsidP="00821D2B">
      <w:pPr>
        <w:pStyle w:val="SingleTxtG"/>
        <w:kinsoku/>
        <w:overflowPunct/>
        <w:autoSpaceDE/>
        <w:autoSpaceDN/>
        <w:adjustRightInd/>
        <w:snapToGrid/>
        <w:rPr>
          <w:rFonts w:eastAsia="Times New Roman"/>
        </w:rPr>
      </w:pPr>
      <w:r w:rsidRPr="008D6145">
        <w:rPr>
          <w:rFonts w:eastAsia="Times New Roman"/>
        </w:rPr>
        <w:t>120.</w:t>
      </w:r>
      <w:r w:rsidRPr="008D6145">
        <w:rPr>
          <w:rFonts w:eastAsia="Times New Roman"/>
        </w:rPr>
        <w:tab/>
      </w:r>
      <w:r w:rsidR="008D6145" w:rsidRPr="008D6145">
        <w:rPr>
          <w:rFonts w:eastAsia="Times New Roman"/>
        </w:rPr>
        <w:t>Les étudiants sont inscrits dans des établissements relevant du secteur public ou privé.</w:t>
      </w:r>
    </w:p>
    <w:p w:rsidR="008D6145" w:rsidRPr="008D6145" w:rsidRDefault="00E83C1A" w:rsidP="00821D2B">
      <w:pPr>
        <w:pStyle w:val="H23G"/>
      </w:pPr>
      <w:r w:rsidRPr="00821D2B">
        <w:rPr>
          <w:b w:val="0"/>
          <w:bCs/>
        </w:rPr>
        <w:tab/>
      </w:r>
      <w:r w:rsidRPr="00821D2B">
        <w:rPr>
          <w:b w:val="0"/>
          <w:bCs/>
        </w:rPr>
        <w:tab/>
      </w:r>
      <w:r w:rsidR="008D6145" w:rsidRPr="00821D2B">
        <w:rPr>
          <w:b w:val="0"/>
          <w:bCs/>
        </w:rPr>
        <w:t xml:space="preserve">Tableau </w:t>
      </w:r>
      <w:r w:rsidRPr="00E83C1A">
        <w:rPr>
          <w:rFonts w:eastAsia="Times New Roman"/>
          <w:b w:val="0"/>
          <w:bCs/>
          <w:lang w:val="fr-FR"/>
        </w:rPr>
        <w:t>n</w:t>
      </w:r>
      <w:r w:rsidRPr="00E83C1A">
        <w:rPr>
          <w:rFonts w:eastAsia="Times New Roman"/>
          <w:b w:val="0"/>
          <w:bCs/>
          <w:vertAlign w:val="superscript"/>
          <w:lang w:val="fr-FR"/>
        </w:rPr>
        <w:t>o</w:t>
      </w:r>
      <w:r w:rsidRPr="00E83C1A">
        <w:rPr>
          <w:rFonts w:eastAsia="Times New Roman"/>
          <w:b w:val="0"/>
          <w:bCs/>
          <w:lang w:val="fr-FR"/>
        </w:rPr>
        <w:t> </w:t>
      </w:r>
      <w:r w:rsidR="008D6145" w:rsidRPr="00821D2B">
        <w:rPr>
          <w:b w:val="0"/>
          <w:bCs/>
        </w:rPr>
        <w:t>12 </w:t>
      </w:r>
      <w:r w:rsidR="008D6145" w:rsidRPr="00821D2B">
        <w:rPr>
          <w:b w:val="0"/>
          <w:bCs/>
        </w:rPr>
        <w:br/>
      </w:r>
      <w:r w:rsidR="008D6145" w:rsidRPr="008D6145">
        <w:t>Effectifs des étudiants du public de 2001-2002 à 2014-2015</w:t>
      </w:r>
    </w:p>
    <w:tbl>
      <w:tblPr>
        <w:tblW w:w="0" w:type="auto"/>
        <w:tblInd w:w="1134" w:type="dxa"/>
        <w:tblLayout w:type="fixed"/>
        <w:tblCellMar>
          <w:left w:w="0" w:type="dxa"/>
          <w:right w:w="0" w:type="dxa"/>
        </w:tblCellMar>
        <w:tblLook w:val="04A0" w:firstRow="1" w:lastRow="0" w:firstColumn="1" w:lastColumn="0" w:noHBand="0" w:noVBand="1"/>
      </w:tblPr>
      <w:tblGrid>
        <w:gridCol w:w="1418"/>
        <w:gridCol w:w="1985"/>
        <w:gridCol w:w="1985"/>
        <w:gridCol w:w="1985"/>
      </w:tblGrid>
      <w:tr w:rsidR="008D6145" w:rsidRPr="00E83C1A" w:rsidTr="00821D2B">
        <w:trPr>
          <w:tblHeader/>
        </w:trPr>
        <w:tc>
          <w:tcPr>
            <w:tcW w:w="1418" w:type="dxa"/>
            <w:vMerge w:val="restart"/>
            <w:tcBorders>
              <w:top w:val="single" w:sz="4" w:space="0" w:color="auto"/>
              <w:bottom w:val="single" w:sz="12" w:space="0" w:color="auto"/>
            </w:tcBorders>
            <w:shd w:val="clear" w:color="auto" w:fill="auto"/>
            <w:vAlign w:val="bottom"/>
            <w:hideMark/>
          </w:tcPr>
          <w:p w:rsidR="008D6145" w:rsidRPr="00821D2B" w:rsidRDefault="008D6145" w:rsidP="000C7996">
            <w:pPr>
              <w:suppressAutoHyphens w:val="0"/>
              <w:kinsoku/>
              <w:overflowPunct/>
              <w:autoSpaceDE/>
              <w:autoSpaceDN/>
              <w:adjustRightInd/>
              <w:snapToGrid/>
              <w:spacing w:before="60" w:after="60" w:line="200" w:lineRule="exact"/>
              <w:rPr>
                <w:rFonts w:eastAsia="Times New Roman"/>
                <w:i/>
                <w:sz w:val="16"/>
                <w:szCs w:val="16"/>
              </w:rPr>
            </w:pPr>
            <w:r w:rsidRPr="00821D2B">
              <w:rPr>
                <w:rFonts w:eastAsia="Times New Roman"/>
                <w:i/>
                <w:sz w:val="16"/>
                <w:szCs w:val="16"/>
              </w:rPr>
              <w:t>Années académiques</w:t>
            </w:r>
          </w:p>
        </w:tc>
        <w:tc>
          <w:tcPr>
            <w:tcW w:w="1985" w:type="dxa"/>
            <w:gridSpan w:val="3"/>
            <w:tcBorders>
              <w:top w:val="single" w:sz="4" w:space="0" w:color="auto"/>
              <w:bottom w:val="single" w:sz="4" w:space="0" w:color="auto"/>
            </w:tcBorders>
            <w:shd w:val="clear" w:color="auto" w:fill="auto"/>
            <w:noWrap/>
            <w:vAlign w:val="bottom"/>
            <w:hideMark/>
          </w:tcPr>
          <w:p w:rsidR="008D6145" w:rsidRPr="00821D2B" w:rsidRDefault="008D6145" w:rsidP="000C7996">
            <w:pPr>
              <w:suppressAutoHyphens w:val="0"/>
              <w:kinsoku/>
              <w:overflowPunct/>
              <w:autoSpaceDE/>
              <w:autoSpaceDN/>
              <w:adjustRightInd/>
              <w:snapToGrid/>
              <w:spacing w:before="60" w:after="60" w:line="200" w:lineRule="exact"/>
              <w:jc w:val="center"/>
              <w:rPr>
                <w:rFonts w:eastAsia="Times New Roman"/>
                <w:i/>
                <w:sz w:val="16"/>
                <w:szCs w:val="16"/>
              </w:rPr>
            </w:pPr>
            <w:r w:rsidRPr="00821D2B">
              <w:rPr>
                <w:rFonts w:eastAsia="Times New Roman"/>
                <w:i/>
                <w:sz w:val="16"/>
                <w:szCs w:val="16"/>
              </w:rPr>
              <w:t>Universités Nationales du Bénin</w:t>
            </w:r>
          </w:p>
        </w:tc>
      </w:tr>
      <w:tr w:rsidR="008D6145" w:rsidRPr="00E83C1A" w:rsidTr="00821D2B">
        <w:trPr>
          <w:tblHeader/>
        </w:trPr>
        <w:tc>
          <w:tcPr>
            <w:tcW w:w="1418" w:type="dxa"/>
            <w:vMerge/>
            <w:tcBorders>
              <w:top w:val="single" w:sz="12" w:space="0" w:color="auto"/>
              <w:bottom w:val="single" w:sz="12" w:space="0" w:color="auto"/>
            </w:tcBorders>
            <w:shd w:val="clear" w:color="auto" w:fill="auto"/>
            <w:vAlign w:val="bottom"/>
            <w:hideMark/>
          </w:tcPr>
          <w:p w:rsidR="008D6145" w:rsidRPr="00821D2B" w:rsidRDefault="008D6145" w:rsidP="000C7996">
            <w:pPr>
              <w:suppressAutoHyphens w:val="0"/>
              <w:kinsoku/>
              <w:overflowPunct/>
              <w:autoSpaceDE/>
              <w:autoSpaceDN/>
              <w:adjustRightInd/>
              <w:snapToGrid/>
              <w:spacing w:before="60" w:after="60" w:line="200" w:lineRule="exact"/>
              <w:rPr>
                <w:rFonts w:eastAsia="Times New Roman"/>
                <w:i/>
                <w:sz w:val="16"/>
                <w:szCs w:val="16"/>
              </w:rPr>
            </w:pPr>
          </w:p>
        </w:tc>
        <w:tc>
          <w:tcPr>
            <w:tcW w:w="1985" w:type="dxa"/>
            <w:tcBorders>
              <w:top w:val="single" w:sz="4" w:space="0" w:color="auto"/>
              <w:bottom w:val="single" w:sz="12" w:space="0" w:color="auto"/>
            </w:tcBorders>
            <w:shd w:val="clear" w:color="auto" w:fill="auto"/>
            <w:noWrap/>
            <w:vAlign w:val="bottom"/>
            <w:hideMark/>
          </w:tcPr>
          <w:p w:rsidR="008D6145" w:rsidRPr="00821D2B" w:rsidRDefault="008D6145" w:rsidP="000C7996">
            <w:pPr>
              <w:suppressAutoHyphens w:val="0"/>
              <w:kinsoku/>
              <w:overflowPunct/>
              <w:autoSpaceDE/>
              <w:autoSpaceDN/>
              <w:adjustRightInd/>
              <w:snapToGrid/>
              <w:spacing w:before="60" w:after="60" w:line="200" w:lineRule="exact"/>
              <w:jc w:val="right"/>
              <w:rPr>
                <w:rFonts w:eastAsia="Times New Roman"/>
                <w:i/>
                <w:sz w:val="16"/>
                <w:szCs w:val="16"/>
              </w:rPr>
            </w:pPr>
            <w:r w:rsidRPr="00821D2B">
              <w:rPr>
                <w:rFonts w:eastAsia="Times New Roman"/>
                <w:i/>
                <w:sz w:val="16"/>
                <w:szCs w:val="16"/>
              </w:rPr>
              <w:t>F</w:t>
            </w:r>
            <w:r w:rsidR="00287C5B">
              <w:rPr>
                <w:rFonts w:eastAsia="Times New Roman"/>
                <w:i/>
                <w:sz w:val="16"/>
                <w:szCs w:val="16"/>
              </w:rPr>
              <w:t>éminin</w:t>
            </w:r>
          </w:p>
        </w:tc>
        <w:tc>
          <w:tcPr>
            <w:tcW w:w="1985" w:type="dxa"/>
            <w:tcBorders>
              <w:top w:val="single" w:sz="4" w:space="0" w:color="auto"/>
              <w:bottom w:val="single" w:sz="12" w:space="0" w:color="auto"/>
            </w:tcBorders>
            <w:shd w:val="clear" w:color="auto" w:fill="auto"/>
            <w:noWrap/>
            <w:vAlign w:val="bottom"/>
            <w:hideMark/>
          </w:tcPr>
          <w:p w:rsidR="008D6145" w:rsidRPr="00821D2B" w:rsidRDefault="008D6145" w:rsidP="000C7996">
            <w:pPr>
              <w:suppressAutoHyphens w:val="0"/>
              <w:kinsoku/>
              <w:overflowPunct/>
              <w:autoSpaceDE/>
              <w:autoSpaceDN/>
              <w:adjustRightInd/>
              <w:snapToGrid/>
              <w:spacing w:before="60" w:after="60" w:line="200" w:lineRule="exact"/>
              <w:jc w:val="right"/>
              <w:rPr>
                <w:rFonts w:eastAsia="Times New Roman"/>
                <w:i/>
                <w:sz w:val="16"/>
                <w:szCs w:val="16"/>
              </w:rPr>
            </w:pPr>
            <w:r w:rsidRPr="00821D2B">
              <w:rPr>
                <w:rFonts w:eastAsia="Times New Roman"/>
                <w:i/>
                <w:sz w:val="16"/>
                <w:szCs w:val="16"/>
              </w:rPr>
              <w:t>M</w:t>
            </w:r>
            <w:r w:rsidR="00287C5B">
              <w:rPr>
                <w:rFonts w:eastAsia="Times New Roman"/>
                <w:i/>
                <w:sz w:val="16"/>
                <w:szCs w:val="16"/>
              </w:rPr>
              <w:t>asculin</w:t>
            </w:r>
          </w:p>
        </w:tc>
        <w:tc>
          <w:tcPr>
            <w:tcW w:w="1985" w:type="dxa"/>
            <w:tcBorders>
              <w:top w:val="single" w:sz="4" w:space="0" w:color="auto"/>
              <w:bottom w:val="single" w:sz="12" w:space="0" w:color="auto"/>
            </w:tcBorders>
            <w:shd w:val="clear" w:color="auto" w:fill="auto"/>
            <w:noWrap/>
            <w:vAlign w:val="bottom"/>
            <w:hideMark/>
          </w:tcPr>
          <w:p w:rsidR="008D6145" w:rsidRPr="00287C5B" w:rsidRDefault="008D6145" w:rsidP="000C7996">
            <w:pPr>
              <w:suppressAutoHyphens w:val="0"/>
              <w:kinsoku/>
              <w:overflowPunct/>
              <w:autoSpaceDE/>
              <w:autoSpaceDN/>
              <w:adjustRightInd/>
              <w:snapToGrid/>
              <w:spacing w:before="60" w:after="60" w:line="200" w:lineRule="exact"/>
              <w:jc w:val="right"/>
              <w:rPr>
                <w:rFonts w:eastAsia="Times New Roman"/>
                <w:b/>
                <w:bCs/>
                <w:i/>
                <w:sz w:val="16"/>
                <w:szCs w:val="16"/>
              </w:rPr>
            </w:pPr>
            <w:r w:rsidRPr="00287C5B">
              <w:rPr>
                <w:rFonts w:eastAsia="Times New Roman"/>
                <w:b/>
                <w:bCs/>
                <w:i/>
                <w:sz w:val="16"/>
                <w:szCs w:val="16"/>
              </w:rPr>
              <w:t>T</w:t>
            </w:r>
            <w:r w:rsidR="00287C5B" w:rsidRPr="00287C5B">
              <w:rPr>
                <w:rFonts w:eastAsia="Times New Roman"/>
                <w:b/>
                <w:bCs/>
                <w:i/>
                <w:sz w:val="16"/>
                <w:szCs w:val="16"/>
              </w:rPr>
              <w:t>otal</w:t>
            </w:r>
          </w:p>
        </w:tc>
      </w:tr>
      <w:tr w:rsidR="008D6145" w:rsidRPr="008D6145" w:rsidTr="00821D2B">
        <w:tc>
          <w:tcPr>
            <w:tcW w:w="1418" w:type="dxa"/>
            <w:tcBorders>
              <w:top w:val="single" w:sz="12" w:space="0" w:color="auto"/>
            </w:tcBorders>
            <w:shd w:val="clear" w:color="auto" w:fill="auto"/>
            <w:noWrap/>
            <w:hideMark/>
          </w:tcPr>
          <w:p w:rsidR="008D6145" w:rsidRPr="008D6145" w:rsidRDefault="008D6145" w:rsidP="008D6145">
            <w:pPr>
              <w:suppressAutoHyphens w:val="0"/>
              <w:kinsoku/>
              <w:overflowPunct/>
              <w:autoSpaceDE/>
              <w:autoSpaceDN/>
              <w:adjustRightInd/>
              <w:snapToGrid/>
              <w:spacing w:before="40" w:after="40" w:line="220" w:lineRule="exact"/>
              <w:rPr>
                <w:rFonts w:eastAsia="Times New Roman"/>
                <w:sz w:val="18"/>
                <w:szCs w:val="28"/>
              </w:rPr>
            </w:pPr>
            <w:r w:rsidRPr="008D6145">
              <w:rPr>
                <w:rFonts w:eastAsia="Times New Roman"/>
                <w:sz w:val="18"/>
                <w:szCs w:val="28"/>
              </w:rPr>
              <w:t>2007-2008</w:t>
            </w:r>
          </w:p>
        </w:tc>
        <w:tc>
          <w:tcPr>
            <w:tcW w:w="1985" w:type="dxa"/>
            <w:tcBorders>
              <w:top w:val="single" w:sz="12" w:space="0" w:color="auto"/>
            </w:tcBorders>
            <w:shd w:val="clear" w:color="auto" w:fill="auto"/>
            <w:noWrap/>
            <w:vAlign w:val="bottom"/>
            <w:hideMark/>
          </w:tcPr>
          <w:p w:rsidR="008D6145" w:rsidRPr="008D6145" w:rsidRDefault="008D6145" w:rsidP="008D6145">
            <w:pPr>
              <w:suppressAutoHyphens w:val="0"/>
              <w:kinsoku/>
              <w:overflowPunct/>
              <w:autoSpaceDE/>
              <w:autoSpaceDN/>
              <w:adjustRightInd/>
              <w:snapToGrid/>
              <w:spacing w:before="40" w:after="40" w:line="220" w:lineRule="exact"/>
              <w:jc w:val="right"/>
              <w:rPr>
                <w:rFonts w:eastAsia="Times New Roman"/>
                <w:sz w:val="18"/>
                <w:szCs w:val="28"/>
              </w:rPr>
            </w:pPr>
            <w:r w:rsidRPr="008D6145">
              <w:rPr>
                <w:rFonts w:eastAsia="Times New Roman"/>
                <w:sz w:val="18"/>
                <w:szCs w:val="28"/>
              </w:rPr>
              <w:t>9 563</w:t>
            </w:r>
          </w:p>
        </w:tc>
        <w:tc>
          <w:tcPr>
            <w:tcW w:w="1985" w:type="dxa"/>
            <w:tcBorders>
              <w:top w:val="single" w:sz="12" w:space="0" w:color="auto"/>
            </w:tcBorders>
            <w:shd w:val="clear" w:color="auto" w:fill="auto"/>
            <w:noWrap/>
            <w:vAlign w:val="bottom"/>
            <w:hideMark/>
          </w:tcPr>
          <w:p w:rsidR="008D6145" w:rsidRPr="008D6145" w:rsidRDefault="008D6145" w:rsidP="008D6145">
            <w:pPr>
              <w:suppressAutoHyphens w:val="0"/>
              <w:kinsoku/>
              <w:overflowPunct/>
              <w:autoSpaceDE/>
              <w:autoSpaceDN/>
              <w:adjustRightInd/>
              <w:snapToGrid/>
              <w:spacing w:before="40" w:after="40" w:line="220" w:lineRule="exact"/>
              <w:jc w:val="right"/>
              <w:rPr>
                <w:rFonts w:eastAsia="Times New Roman"/>
                <w:sz w:val="18"/>
                <w:szCs w:val="28"/>
              </w:rPr>
            </w:pPr>
            <w:r w:rsidRPr="008D6145">
              <w:rPr>
                <w:rFonts w:eastAsia="Times New Roman"/>
                <w:sz w:val="18"/>
                <w:szCs w:val="28"/>
              </w:rPr>
              <w:t>34 321</w:t>
            </w:r>
          </w:p>
        </w:tc>
        <w:tc>
          <w:tcPr>
            <w:tcW w:w="1985" w:type="dxa"/>
            <w:tcBorders>
              <w:top w:val="single" w:sz="12" w:space="0" w:color="auto"/>
            </w:tcBorders>
            <w:shd w:val="clear" w:color="auto" w:fill="auto"/>
            <w:noWrap/>
            <w:vAlign w:val="bottom"/>
            <w:hideMark/>
          </w:tcPr>
          <w:p w:rsidR="008D6145" w:rsidRPr="00287C5B" w:rsidRDefault="008D6145" w:rsidP="008D6145">
            <w:pPr>
              <w:suppressAutoHyphens w:val="0"/>
              <w:kinsoku/>
              <w:overflowPunct/>
              <w:autoSpaceDE/>
              <w:autoSpaceDN/>
              <w:adjustRightInd/>
              <w:snapToGrid/>
              <w:spacing w:before="40" w:after="40" w:line="220" w:lineRule="exact"/>
              <w:jc w:val="right"/>
              <w:rPr>
                <w:rFonts w:eastAsia="Times New Roman"/>
                <w:b/>
                <w:bCs/>
                <w:sz w:val="18"/>
                <w:szCs w:val="28"/>
              </w:rPr>
            </w:pPr>
            <w:r w:rsidRPr="00287C5B">
              <w:rPr>
                <w:rFonts w:eastAsia="Times New Roman"/>
                <w:b/>
                <w:bCs/>
                <w:sz w:val="18"/>
                <w:szCs w:val="28"/>
              </w:rPr>
              <w:t>43 884</w:t>
            </w:r>
          </w:p>
        </w:tc>
      </w:tr>
      <w:tr w:rsidR="008D6145" w:rsidRPr="008D6145" w:rsidTr="00821D2B">
        <w:tc>
          <w:tcPr>
            <w:tcW w:w="1418" w:type="dxa"/>
            <w:shd w:val="clear" w:color="auto" w:fill="auto"/>
            <w:noWrap/>
            <w:hideMark/>
          </w:tcPr>
          <w:p w:rsidR="008D6145" w:rsidRPr="008D6145" w:rsidRDefault="008D6145" w:rsidP="008D6145">
            <w:pPr>
              <w:suppressAutoHyphens w:val="0"/>
              <w:kinsoku/>
              <w:overflowPunct/>
              <w:autoSpaceDE/>
              <w:autoSpaceDN/>
              <w:adjustRightInd/>
              <w:snapToGrid/>
              <w:spacing w:before="40" w:after="40" w:line="220" w:lineRule="exact"/>
              <w:rPr>
                <w:rFonts w:eastAsia="Times New Roman"/>
                <w:sz w:val="18"/>
                <w:szCs w:val="28"/>
              </w:rPr>
            </w:pPr>
            <w:r w:rsidRPr="008D6145">
              <w:rPr>
                <w:rFonts w:eastAsia="Times New Roman"/>
                <w:sz w:val="18"/>
                <w:szCs w:val="28"/>
              </w:rPr>
              <w:t>2008-2009</w:t>
            </w:r>
          </w:p>
        </w:tc>
        <w:tc>
          <w:tcPr>
            <w:tcW w:w="1985" w:type="dxa"/>
            <w:shd w:val="clear" w:color="auto" w:fill="auto"/>
            <w:noWrap/>
            <w:vAlign w:val="bottom"/>
            <w:hideMark/>
          </w:tcPr>
          <w:p w:rsidR="008D6145" w:rsidRPr="008D6145" w:rsidRDefault="008D6145" w:rsidP="008D6145">
            <w:pPr>
              <w:suppressAutoHyphens w:val="0"/>
              <w:kinsoku/>
              <w:overflowPunct/>
              <w:autoSpaceDE/>
              <w:autoSpaceDN/>
              <w:adjustRightInd/>
              <w:snapToGrid/>
              <w:spacing w:before="40" w:after="40" w:line="220" w:lineRule="exact"/>
              <w:jc w:val="right"/>
              <w:rPr>
                <w:rFonts w:eastAsia="Times New Roman"/>
                <w:sz w:val="18"/>
                <w:szCs w:val="28"/>
              </w:rPr>
            </w:pPr>
            <w:r w:rsidRPr="008D6145">
              <w:rPr>
                <w:rFonts w:eastAsia="Times New Roman"/>
                <w:sz w:val="18"/>
                <w:szCs w:val="28"/>
              </w:rPr>
              <w:t>12 484</w:t>
            </w:r>
          </w:p>
        </w:tc>
        <w:tc>
          <w:tcPr>
            <w:tcW w:w="1985" w:type="dxa"/>
            <w:shd w:val="clear" w:color="auto" w:fill="auto"/>
            <w:noWrap/>
            <w:vAlign w:val="bottom"/>
            <w:hideMark/>
          </w:tcPr>
          <w:p w:rsidR="008D6145" w:rsidRPr="008D6145" w:rsidRDefault="008D6145" w:rsidP="008D6145">
            <w:pPr>
              <w:suppressAutoHyphens w:val="0"/>
              <w:kinsoku/>
              <w:overflowPunct/>
              <w:autoSpaceDE/>
              <w:autoSpaceDN/>
              <w:adjustRightInd/>
              <w:snapToGrid/>
              <w:spacing w:before="40" w:after="40" w:line="220" w:lineRule="exact"/>
              <w:jc w:val="right"/>
              <w:rPr>
                <w:rFonts w:eastAsia="Times New Roman"/>
                <w:sz w:val="18"/>
                <w:szCs w:val="28"/>
              </w:rPr>
            </w:pPr>
            <w:r w:rsidRPr="008D6145">
              <w:rPr>
                <w:rFonts w:eastAsia="Times New Roman"/>
                <w:sz w:val="18"/>
                <w:szCs w:val="28"/>
              </w:rPr>
              <w:t>42 373</w:t>
            </w:r>
          </w:p>
        </w:tc>
        <w:tc>
          <w:tcPr>
            <w:tcW w:w="1985" w:type="dxa"/>
            <w:shd w:val="clear" w:color="auto" w:fill="auto"/>
            <w:noWrap/>
            <w:vAlign w:val="bottom"/>
            <w:hideMark/>
          </w:tcPr>
          <w:p w:rsidR="008D6145" w:rsidRPr="00287C5B" w:rsidRDefault="008D6145" w:rsidP="008D6145">
            <w:pPr>
              <w:suppressAutoHyphens w:val="0"/>
              <w:kinsoku/>
              <w:overflowPunct/>
              <w:autoSpaceDE/>
              <w:autoSpaceDN/>
              <w:adjustRightInd/>
              <w:snapToGrid/>
              <w:spacing w:before="40" w:after="40" w:line="220" w:lineRule="exact"/>
              <w:jc w:val="right"/>
              <w:rPr>
                <w:rFonts w:eastAsia="Times New Roman"/>
                <w:b/>
                <w:bCs/>
                <w:sz w:val="18"/>
                <w:szCs w:val="28"/>
              </w:rPr>
            </w:pPr>
            <w:r w:rsidRPr="00287C5B">
              <w:rPr>
                <w:rFonts w:eastAsia="Times New Roman"/>
                <w:b/>
                <w:bCs/>
                <w:sz w:val="18"/>
                <w:szCs w:val="28"/>
              </w:rPr>
              <w:t>54 857</w:t>
            </w:r>
          </w:p>
        </w:tc>
      </w:tr>
      <w:tr w:rsidR="008D6145" w:rsidRPr="008D6145" w:rsidTr="00821D2B">
        <w:tc>
          <w:tcPr>
            <w:tcW w:w="1418" w:type="dxa"/>
            <w:shd w:val="clear" w:color="auto" w:fill="auto"/>
            <w:noWrap/>
            <w:hideMark/>
          </w:tcPr>
          <w:p w:rsidR="008D6145" w:rsidRPr="008D6145" w:rsidRDefault="008D6145" w:rsidP="008D6145">
            <w:pPr>
              <w:suppressAutoHyphens w:val="0"/>
              <w:kinsoku/>
              <w:overflowPunct/>
              <w:autoSpaceDE/>
              <w:autoSpaceDN/>
              <w:adjustRightInd/>
              <w:snapToGrid/>
              <w:spacing w:before="40" w:after="40" w:line="220" w:lineRule="exact"/>
              <w:rPr>
                <w:rFonts w:eastAsia="Times New Roman"/>
                <w:sz w:val="18"/>
                <w:szCs w:val="28"/>
              </w:rPr>
            </w:pPr>
            <w:r w:rsidRPr="008D6145">
              <w:rPr>
                <w:rFonts w:eastAsia="Times New Roman"/>
                <w:sz w:val="18"/>
                <w:szCs w:val="28"/>
              </w:rPr>
              <w:t>2009-2010</w:t>
            </w:r>
          </w:p>
        </w:tc>
        <w:tc>
          <w:tcPr>
            <w:tcW w:w="1985" w:type="dxa"/>
            <w:shd w:val="clear" w:color="auto" w:fill="auto"/>
            <w:noWrap/>
            <w:vAlign w:val="bottom"/>
            <w:hideMark/>
          </w:tcPr>
          <w:p w:rsidR="008D6145" w:rsidRPr="008D6145" w:rsidRDefault="008D6145" w:rsidP="008D6145">
            <w:pPr>
              <w:suppressAutoHyphens w:val="0"/>
              <w:kinsoku/>
              <w:overflowPunct/>
              <w:autoSpaceDE/>
              <w:autoSpaceDN/>
              <w:adjustRightInd/>
              <w:snapToGrid/>
              <w:spacing w:before="40" w:after="40" w:line="220" w:lineRule="exact"/>
              <w:jc w:val="right"/>
              <w:rPr>
                <w:rFonts w:eastAsia="Times New Roman"/>
                <w:sz w:val="18"/>
                <w:szCs w:val="28"/>
              </w:rPr>
            </w:pPr>
            <w:r w:rsidRPr="008D6145">
              <w:rPr>
                <w:rFonts w:eastAsia="Times New Roman"/>
                <w:sz w:val="18"/>
                <w:szCs w:val="28"/>
              </w:rPr>
              <w:t>17 030</w:t>
            </w:r>
          </w:p>
        </w:tc>
        <w:tc>
          <w:tcPr>
            <w:tcW w:w="1985" w:type="dxa"/>
            <w:shd w:val="clear" w:color="auto" w:fill="auto"/>
            <w:noWrap/>
            <w:vAlign w:val="bottom"/>
            <w:hideMark/>
          </w:tcPr>
          <w:p w:rsidR="008D6145" w:rsidRPr="008D6145" w:rsidRDefault="008D6145" w:rsidP="008D6145">
            <w:pPr>
              <w:suppressAutoHyphens w:val="0"/>
              <w:kinsoku/>
              <w:overflowPunct/>
              <w:autoSpaceDE/>
              <w:autoSpaceDN/>
              <w:adjustRightInd/>
              <w:snapToGrid/>
              <w:spacing w:before="40" w:after="40" w:line="220" w:lineRule="exact"/>
              <w:jc w:val="right"/>
              <w:rPr>
                <w:rFonts w:eastAsia="Times New Roman"/>
                <w:sz w:val="18"/>
                <w:szCs w:val="28"/>
              </w:rPr>
            </w:pPr>
            <w:r w:rsidRPr="008D6145">
              <w:rPr>
                <w:rFonts w:eastAsia="Times New Roman"/>
                <w:sz w:val="18"/>
                <w:szCs w:val="28"/>
              </w:rPr>
              <w:t>53 852</w:t>
            </w:r>
          </w:p>
        </w:tc>
        <w:tc>
          <w:tcPr>
            <w:tcW w:w="1985" w:type="dxa"/>
            <w:shd w:val="clear" w:color="auto" w:fill="auto"/>
            <w:noWrap/>
            <w:vAlign w:val="bottom"/>
            <w:hideMark/>
          </w:tcPr>
          <w:p w:rsidR="008D6145" w:rsidRPr="00287C5B" w:rsidRDefault="008D6145" w:rsidP="008D6145">
            <w:pPr>
              <w:suppressAutoHyphens w:val="0"/>
              <w:kinsoku/>
              <w:overflowPunct/>
              <w:autoSpaceDE/>
              <w:autoSpaceDN/>
              <w:adjustRightInd/>
              <w:snapToGrid/>
              <w:spacing w:before="40" w:after="40" w:line="220" w:lineRule="exact"/>
              <w:jc w:val="right"/>
              <w:rPr>
                <w:rFonts w:eastAsia="Times New Roman"/>
                <w:b/>
                <w:bCs/>
                <w:sz w:val="18"/>
                <w:szCs w:val="28"/>
              </w:rPr>
            </w:pPr>
            <w:r w:rsidRPr="00287C5B">
              <w:rPr>
                <w:rFonts w:eastAsia="Times New Roman"/>
                <w:b/>
                <w:bCs/>
                <w:sz w:val="18"/>
                <w:szCs w:val="28"/>
              </w:rPr>
              <w:t>70 882</w:t>
            </w:r>
          </w:p>
        </w:tc>
      </w:tr>
      <w:tr w:rsidR="008D6145" w:rsidRPr="008D6145" w:rsidTr="00821D2B">
        <w:tc>
          <w:tcPr>
            <w:tcW w:w="1418" w:type="dxa"/>
            <w:shd w:val="clear" w:color="auto" w:fill="auto"/>
            <w:noWrap/>
            <w:hideMark/>
          </w:tcPr>
          <w:p w:rsidR="008D6145" w:rsidRPr="008D6145" w:rsidRDefault="008D6145" w:rsidP="008D6145">
            <w:pPr>
              <w:suppressAutoHyphens w:val="0"/>
              <w:kinsoku/>
              <w:overflowPunct/>
              <w:autoSpaceDE/>
              <w:autoSpaceDN/>
              <w:adjustRightInd/>
              <w:snapToGrid/>
              <w:spacing w:before="40" w:after="40" w:line="220" w:lineRule="exact"/>
              <w:rPr>
                <w:rFonts w:eastAsia="Times New Roman"/>
                <w:sz w:val="18"/>
                <w:szCs w:val="28"/>
              </w:rPr>
            </w:pPr>
            <w:r w:rsidRPr="008D6145">
              <w:rPr>
                <w:rFonts w:eastAsia="Times New Roman"/>
                <w:sz w:val="18"/>
                <w:szCs w:val="28"/>
              </w:rPr>
              <w:t>2010-2011</w:t>
            </w:r>
          </w:p>
        </w:tc>
        <w:tc>
          <w:tcPr>
            <w:tcW w:w="1985" w:type="dxa"/>
            <w:shd w:val="clear" w:color="auto" w:fill="auto"/>
            <w:noWrap/>
            <w:vAlign w:val="bottom"/>
            <w:hideMark/>
          </w:tcPr>
          <w:p w:rsidR="008D6145" w:rsidRPr="008D6145" w:rsidRDefault="008D6145" w:rsidP="008D6145">
            <w:pPr>
              <w:suppressAutoHyphens w:val="0"/>
              <w:kinsoku/>
              <w:overflowPunct/>
              <w:autoSpaceDE/>
              <w:autoSpaceDN/>
              <w:adjustRightInd/>
              <w:snapToGrid/>
              <w:spacing w:before="40" w:after="40" w:line="220" w:lineRule="exact"/>
              <w:jc w:val="right"/>
              <w:rPr>
                <w:rFonts w:eastAsia="Times New Roman"/>
                <w:sz w:val="18"/>
                <w:szCs w:val="28"/>
              </w:rPr>
            </w:pPr>
            <w:r w:rsidRPr="008D6145">
              <w:rPr>
                <w:rFonts w:eastAsia="Times New Roman"/>
                <w:sz w:val="18"/>
                <w:szCs w:val="28"/>
              </w:rPr>
              <w:t>17 392</w:t>
            </w:r>
          </w:p>
        </w:tc>
        <w:tc>
          <w:tcPr>
            <w:tcW w:w="1985" w:type="dxa"/>
            <w:shd w:val="clear" w:color="auto" w:fill="auto"/>
            <w:noWrap/>
            <w:vAlign w:val="bottom"/>
            <w:hideMark/>
          </w:tcPr>
          <w:p w:rsidR="008D6145" w:rsidRPr="008D6145" w:rsidRDefault="008D6145" w:rsidP="008D6145">
            <w:pPr>
              <w:suppressAutoHyphens w:val="0"/>
              <w:kinsoku/>
              <w:overflowPunct/>
              <w:autoSpaceDE/>
              <w:autoSpaceDN/>
              <w:adjustRightInd/>
              <w:snapToGrid/>
              <w:spacing w:before="40" w:after="40" w:line="220" w:lineRule="exact"/>
              <w:jc w:val="right"/>
              <w:rPr>
                <w:rFonts w:eastAsia="Times New Roman"/>
                <w:sz w:val="18"/>
                <w:szCs w:val="28"/>
              </w:rPr>
            </w:pPr>
            <w:r w:rsidRPr="008D6145">
              <w:rPr>
                <w:rFonts w:eastAsia="Times New Roman"/>
                <w:sz w:val="18"/>
                <w:szCs w:val="28"/>
              </w:rPr>
              <w:t>56 638</w:t>
            </w:r>
          </w:p>
        </w:tc>
        <w:tc>
          <w:tcPr>
            <w:tcW w:w="1985" w:type="dxa"/>
            <w:shd w:val="clear" w:color="auto" w:fill="auto"/>
            <w:noWrap/>
            <w:vAlign w:val="bottom"/>
            <w:hideMark/>
          </w:tcPr>
          <w:p w:rsidR="008D6145" w:rsidRPr="00287C5B" w:rsidRDefault="008D6145" w:rsidP="008D6145">
            <w:pPr>
              <w:suppressAutoHyphens w:val="0"/>
              <w:kinsoku/>
              <w:overflowPunct/>
              <w:autoSpaceDE/>
              <w:autoSpaceDN/>
              <w:adjustRightInd/>
              <w:snapToGrid/>
              <w:spacing w:before="40" w:after="40" w:line="220" w:lineRule="exact"/>
              <w:jc w:val="right"/>
              <w:rPr>
                <w:rFonts w:eastAsia="Times New Roman"/>
                <w:b/>
                <w:bCs/>
                <w:sz w:val="18"/>
                <w:szCs w:val="28"/>
              </w:rPr>
            </w:pPr>
            <w:r w:rsidRPr="00287C5B">
              <w:rPr>
                <w:rFonts w:eastAsia="Times New Roman"/>
                <w:b/>
                <w:bCs/>
                <w:sz w:val="18"/>
                <w:szCs w:val="28"/>
              </w:rPr>
              <w:t>74 030</w:t>
            </w:r>
          </w:p>
        </w:tc>
      </w:tr>
      <w:tr w:rsidR="008D6145" w:rsidRPr="008D6145" w:rsidTr="00821D2B">
        <w:tc>
          <w:tcPr>
            <w:tcW w:w="1418" w:type="dxa"/>
            <w:shd w:val="clear" w:color="auto" w:fill="auto"/>
            <w:noWrap/>
            <w:hideMark/>
          </w:tcPr>
          <w:p w:rsidR="008D6145" w:rsidRPr="008D6145" w:rsidRDefault="008D6145" w:rsidP="008D6145">
            <w:pPr>
              <w:suppressAutoHyphens w:val="0"/>
              <w:kinsoku/>
              <w:overflowPunct/>
              <w:autoSpaceDE/>
              <w:autoSpaceDN/>
              <w:adjustRightInd/>
              <w:snapToGrid/>
              <w:spacing w:before="40" w:after="40" w:line="220" w:lineRule="exact"/>
              <w:rPr>
                <w:rFonts w:eastAsia="Times New Roman"/>
                <w:sz w:val="18"/>
                <w:szCs w:val="28"/>
              </w:rPr>
            </w:pPr>
            <w:r w:rsidRPr="008D6145">
              <w:rPr>
                <w:rFonts w:eastAsia="Times New Roman"/>
                <w:sz w:val="18"/>
                <w:szCs w:val="28"/>
              </w:rPr>
              <w:t>2011-2012</w:t>
            </w:r>
          </w:p>
        </w:tc>
        <w:tc>
          <w:tcPr>
            <w:tcW w:w="1985" w:type="dxa"/>
            <w:shd w:val="clear" w:color="auto" w:fill="auto"/>
            <w:noWrap/>
            <w:vAlign w:val="bottom"/>
            <w:hideMark/>
          </w:tcPr>
          <w:p w:rsidR="008D6145" w:rsidRPr="008D6145" w:rsidRDefault="008D6145" w:rsidP="008D6145">
            <w:pPr>
              <w:suppressAutoHyphens w:val="0"/>
              <w:kinsoku/>
              <w:overflowPunct/>
              <w:autoSpaceDE/>
              <w:autoSpaceDN/>
              <w:adjustRightInd/>
              <w:snapToGrid/>
              <w:spacing w:before="40" w:after="40" w:line="220" w:lineRule="exact"/>
              <w:jc w:val="right"/>
              <w:rPr>
                <w:rFonts w:eastAsia="Times New Roman"/>
                <w:sz w:val="18"/>
                <w:szCs w:val="28"/>
              </w:rPr>
            </w:pPr>
            <w:r w:rsidRPr="008D6145">
              <w:rPr>
                <w:rFonts w:eastAsia="Times New Roman"/>
                <w:sz w:val="18"/>
                <w:szCs w:val="28"/>
              </w:rPr>
              <w:t>20 448</w:t>
            </w:r>
          </w:p>
        </w:tc>
        <w:tc>
          <w:tcPr>
            <w:tcW w:w="1985" w:type="dxa"/>
            <w:shd w:val="clear" w:color="auto" w:fill="auto"/>
            <w:noWrap/>
            <w:vAlign w:val="bottom"/>
            <w:hideMark/>
          </w:tcPr>
          <w:p w:rsidR="008D6145" w:rsidRPr="008D6145" w:rsidRDefault="008D6145" w:rsidP="008D6145">
            <w:pPr>
              <w:suppressAutoHyphens w:val="0"/>
              <w:kinsoku/>
              <w:overflowPunct/>
              <w:autoSpaceDE/>
              <w:autoSpaceDN/>
              <w:adjustRightInd/>
              <w:snapToGrid/>
              <w:spacing w:before="40" w:after="40" w:line="220" w:lineRule="exact"/>
              <w:jc w:val="right"/>
              <w:rPr>
                <w:rFonts w:eastAsia="Times New Roman"/>
                <w:sz w:val="18"/>
                <w:szCs w:val="28"/>
              </w:rPr>
            </w:pPr>
            <w:r w:rsidRPr="008D6145">
              <w:rPr>
                <w:rFonts w:eastAsia="Times New Roman"/>
                <w:sz w:val="18"/>
                <w:szCs w:val="28"/>
              </w:rPr>
              <w:t>59 391</w:t>
            </w:r>
          </w:p>
        </w:tc>
        <w:tc>
          <w:tcPr>
            <w:tcW w:w="1985" w:type="dxa"/>
            <w:shd w:val="clear" w:color="auto" w:fill="auto"/>
            <w:noWrap/>
            <w:vAlign w:val="bottom"/>
            <w:hideMark/>
          </w:tcPr>
          <w:p w:rsidR="008D6145" w:rsidRPr="00287C5B" w:rsidRDefault="008D6145" w:rsidP="008D6145">
            <w:pPr>
              <w:suppressAutoHyphens w:val="0"/>
              <w:kinsoku/>
              <w:overflowPunct/>
              <w:autoSpaceDE/>
              <w:autoSpaceDN/>
              <w:adjustRightInd/>
              <w:snapToGrid/>
              <w:spacing w:before="40" w:after="40" w:line="220" w:lineRule="exact"/>
              <w:jc w:val="right"/>
              <w:rPr>
                <w:rFonts w:eastAsia="Times New Roman"/>
                <w:b/>
                <w:bCs/>
                <w:sz w:val="18"/>
                <w:szCs w:val="28"/>
              </w:rPr>
            </w:pPr>
            <w:r w:rsidRPr="00287C5B">
              <w:rPr>
                <w:rFonts w:eastAsia="Times New Roman"/>
                <w:b/>
                <w:bCs/>
                <w:sz w:val="18"/>
                <w:szCs w:val="28"/>
              </w:rPr>
              <w:t>79 839</w:t>
            </w:r>
          </w:p>
        </w:tc>
      </w:tr>
      <w:tr w:rsidR="008D6145" w:rsidRPr="008D6145" w:rsidTr="00821D2B">
        <w:tc>
          <w:tcPr>
            <w:tcW w:w="1418" w:type="dxa"/>
            <w:shd w:val="clear" w:color="auto" w:fill="auto"/>
            <w:noWrap/>
            <w:hideMark/>
          </w:tcPr>
          <w:p w:rsidR="008D6145" w:rsidRPr="008D6145" w:rsidRDefault="008D6145" w:rsidP="008D6145">
            <w:pPr>
              <w:suppressAutoHyphens w:val="0"/>
              <w:kinsoku/>
              <w:overflowPunct/>
              <w:autoSpaceDE/>
              <w:autoSpaceDN/>
              <w:adjustRightInd/>
              <w:snapToGrid/>
              <w:spacing w:before="40" w:after="40" w:line="220" w:lineRule="exact"/>
              <w:rPr>
                <w:rFonts w:eastAsia="Times New Roman"/>
                <w:sz w:val="18"/>
                <w:szCs w:val="28"/>
              </w:rPr>
            </w:pPr>
            <w:r w:rsidRPr="008D6145">
              <w:rPr>
                <w:rFonts w:eastAsia="Times New Roman"/>
                <w:sz w:val="18"/>
                <w:szCs w:val="28"/>
              </w:rPr>
              <w:t>2012-2013</w:t>
            </w:r>
          </w:p>
        </w:tc>
        <w:tc>
          <w:tcPr>
            <w:tcW w:w="1985" w:type="dxa"/>
            <w:shd w:val="clear" w:color="auto" w:fill="auto"/>
            <w:noWrap/>
            <w:vAlign w:val="bottom"/>
            <w:hideMark/>
          </w:tcPr>
          <w:p w:rsidR="008D6145" w:rsidRPr="008D6145" w:rsidRDefault="008D6145" w:rsidP="008D6145">
            <w:pPr>
              <w:suppressAutoHyphens w:val="0"/>
              <w:kinsoku/>
              <w:overflowPunct/>
              <w:autoSpaceDE/>
              <w:autoSpaceDN/>
              <w:adjustRightInd/>
              <w:snapToGrid/>
              <w:spacing w:before="40" w:after="40" w:line="220" w:lineRule="exact"/>
              <w:jc w:val="right"/>
              <w:rPr>
                <w:rFonts w:eastAsia="Times New Roman"/>
                <w:sz w:val="18"/>
                <w:szCs w:val="28"/>
              </w:rPr>
            </w:pPr>
            <w:r w:rsidRPr="008D6145">
              <w:rPr>
                <w:rFonts w:eastAsia="Times New Roman"/>
                <w:sz w:val="18"/>
                <w:szCs w:val="28"/>
              </w:rPr>
              <w:t>22 409</w:t>
            </w:r>
          </w:p>
        </w:tc>
        <w:tc>
          <w:tcPr>
            <w:tcW w:w="1985" w:type="dxa"/>
            <w:shd w:val="clear" w:color="auto" w:fill="auto"/>
            <w:noWrap/>
            <w:vAlign w:val="bottom"/>
            <w:hideMark/>
          </w:tcPr>
          <w:p w:rsidR="008D6145" w:rsidRPr="008D6145" w:rsidRDefault="008D6145" w:rsidP="008D6145">
            <w:pPr>
              <w:suppressAutoHyphens w:val="0"/>
              <w:kinsoku/>
              <w:overflowPunct/>
              <w:autoSpaceDE/>
              <w:autoSpaceDN/>
              <w:adjustRightInd/>
              <w:snapToGrid/>
              <w:spacing w:before="40" w:after="40" w:line="220" w:lineRule="exact"/>
              <w:jc w:val="right"/>
              <w:rPr>
                <w:rFonts w:eastAsia="Times New Roman"/>
                <w:sz w:val="18"/>
                <w:szCs w:val="28"/>
              </w:rPr>
            </w:pPr>
            <w:r w:rsidRPr="008D6145">
              <w:rPr>
                <w:rFonts w:eastAsia="Times New Roman"/>
                <w:sz w:val="18"/>
                <w:szCs w:val="28"/>
              </w:rPr>
              <w:t>74 739</w:t>
            </w:r>
          </w:p>
        </w:tc>
        <w:tc>
          <w:tcPr>
            <w:tcW w:w="1985" w:type="dxa"/>
            <w:shd w:val="clear" w:color="auto" w:fill="auto"/>
            <w:noWrap/>
            <w:vAlign w:val="bottom"/>
            <w:hideMark/>
          </w:tcPr>
          <w:p w:rsidR="008D6145" w:rsidRPr="00287C5B" w:rsidRDefault="008D6145" w:rsidP="008D6145">
            <w:pPr>
              <w:suppressAutoHyphens w:val="0"/>
              <w:kinsoku/>
              <w:overflowPunct/>
              <w:autoSpaceDE/>
              <w:autoSpaceDN/>
              <w:adjustRightInd/>
              <w:snapToGrid/>
              <w:spacing w:before="40" w:after="40" w:line="220" w:lineRule="exact"/>
              <w:jc w:val="right"/>
              <w:rPr>
                <w:rFonts w:eastAsia="Times New Roman"/>
                <w:b/>
                <w:bCs/>
                <w:sz w:val="18"/>
                <w:szCs w:val="28"/>
              </w:rPr>
            </w:pPr>
            <w:r w:rsidRPr="00287C5B">
              <w:rPr>
                <w:rFonts w:eastAsia="Times New Roman"/>
                <w:b/>
                <w:bCs/>
                <w:sz w:val="18"/>
                <w:szCs w:val="28"/>
              </w:rPr>
              <w:t>97 148</w:t>
            </w:r>
          </w:p>
        </w:tc>
      </w:tr>
      <w:tr w:rsidR="008D6145" w:rsidRPr="008D6145" w:rsidTr="00821D2B">
        <w:tc>
          <w:tcPr>
            <w:tcW w:w="1418" w:type="dxa"/>
            <w:shd w:val="clear" w:color="auto" w:fill="auto"/>
            <w:noWrap/>
            <w:hideMark/>
          </w:tcPr>
          <w:p w:rsidR="008D6145" w:rsidRPr="008D6145" w:rsidRDefault="008D6145" w:rsidP="008D6145">
            <w:pPr>
              <w:suppressAutoHyphens w:val="0"/>
              <w:kinsoku/>
              <w:overflowPunct/>
              <w:autoSpaceDE/>
              <w:autoSpaceDN/>
              <w:adjustRightInd/>
              <w:snapToGrid/>
              <w:spacing w:before="40" w:after="40" w:line="220" w:lineRule="exact"/>
              <w:rPr>
                <w:rFonts w:eastAsia="Times New Roman"/>
                <w:sz w:val="18"/>
                <w:szCs w:val="28"/>
              </w:rPr>
            </w:pPr>
            <w:r w:rsidRPr="008D6145">
              <w:rPr>
                <w:rFonts w:eastAsia="Times New Roman"/>
                <w:sz w:val="18"/>
                <w:szCs w:val="28"/>
              </w:rPr>
              <w:t>2013-2014</w:t>
            </w:r>
          </w:p>
        </w:tc>
        <w:tc>
          <w:tcPr>
            <w:tcW w:w="1985" w:type="dxa"/>
            <w:shd w:val="clear" w:color="auto" w:fill="auto"/>
            <w:noWrap/>
            <w:vAlign w:val="bottom"/>
            <w:hideMark/>
          </w:tcPr>
          <w:p w:rsidR="008D6145" w:rsidRPr="008D6145" w:rsidRDefault="008D6145" w:rsidP="008D6145">
            <w:pPr>
              <w:suppressAutoHyphens w:val="0"/>
              <w:kinsoku/>
              <w:overflowPunct/>
              <w:autoSpaceDE/>
              <w:autoSpaceDN/>
              <w:adjustRightInd/>
              <w:snapToGrid/>
              <w:spacing w:before="40" w:after="40" w:line="220" w:lineRule="exact"/>
              <w:jc w:val="right"/>
              <w:rPr>
                <w:rFonts w:eastAsia="Times New Roman"/>
                <w:sz w:val="18"/>
                <w:szCs w:val="28"/>
              </w:rPr>
            </w:pPr>
            <w:r w:rsidRPr="008D6145">
              <w:rPr>
                <w:rFonts w:eastAsia="Times New Roman"/>
                <w:sz w:val="18"/>
                <w:szCs w:val="28"/>
              </w:rPr>
              <w:t>26 609</w:t>
            </w:r>
          </w:p>
        </w:tc>
        <w:tc>
          <w:tcPr>
            <w:tcW w:w="1985" w:type="dxa"/>
            <w:shd w:val="clear" w:color="auto" w:fill="auto"/>
            <w:noWrap/>
            <w:vAlign w:val="bottom"/>
            <w:hideMark/>
          </w:tcPr>
          <w:p w:rsidR="008D6145" w:rsidRPr="008D6145" w:rsidRDefault="008D6145" w:rsidP="008D6145">
            <w:pPr>
              <w:suppressAutoHyphens w:val="0"/>
              <w:kinsoku/>
              <w:overflowPunct/>
              <w:autoSpaceDE/>
              <w:autoSpaceDN/>
              <w:adjustRightInd/>
              <w:snapToGrid/>
              <w:spacing w:before="40" w:after="40" w:line="220" w:lineRule="exact"/>
              <w:jc w:val="right"/>
              <w:rPr>
                <w:rFonts w:eastAsia="Times New Roman"/>
                <w:sz w:val="18"/>
                <w:szCs w:val="28"/>
              </w:rPr>
            </w:pPr>
            <w:r w:rsidRPr="008D6145">
              <w:rPr>
                <w:rFonts w:eastAsia="Times New Roman"/>
                <w:sz w:val="18"/>
                <w:szCs w:val="28"/>
              </w:rPr>
              <w:t>82 334</w:t>
            </w:r>
          </w:p>
        </w:tc>
        <w:tc>
          <w:tcPr>
            <w:tcW w:w="1985" w:type="dxa"/>
            <w:shd w:val="clear" w:color="auto" w:fill="auto"/>
            <w:noWrap/>
            <w:vAlign w:val="bottom"/>
            <w:hideMark/>
          </w:tcPr>
          <w:p w:rsidR="008D6145" w:rsidRPr="00287C5B" w:rsidRDefault="008D6145" w:rsidP="008D6145">
            <w:pPr>
              <w:suppressAutoHyphens w:val="0"/>
              <w:kinsoku/>
              <w:overflowPunct/>
              <w:autoSpaceDE/>
              <w:autoSpaceDN/>
              <w:adjustRightInd/>
              <w:snapToGrid/>
              <w:spacing w:before="40" w:after="40" w:line="220" w:lineRule="exact"/>
              <w:jc w:val="right"/>
              <w:rPr>
                <w:rFonts w:eastAsia="Times New Roman"/>
                <w:b/>
                <w:bCs/>
                <w:sz w:val="18"/>
                <w:szCs w:val="28"/>
              </w:rPr>
            </w:pPr>
            <w:r w:rsidRPr="00287C5B">
              <w:rPr>
                <w:rFonts w:eastAsia="Times New Roman"/>
                <w:b/>
                <w:bCs/>
                <w:sz w:val="18"/>
                <w:szCs w:val="28"/>
              </w:rPr>
              <w:t>108 943</w:t>
            </w:r>
          </w:p>
        </w:tc>
      </w:tr>
      <w:tr w:rsidR="008D6145" w:rsidRPr="008D6145" w:rsidTr="00821D2B">
        <w:tc>
          <w:tcPr>
            <w:tcW w:w="1418" w:type="dxa"/>
            <w:tcBorders>
              <w:bottom w:val="single" w:sz="12" w:space="0" w:color="auto"/>
            </w:tcBorders>
            <w:shd w:val="clear" w:color="auto" w:fill="auto"/>
            <w:noWrap/>
            <w:hideMark/>
          </w:tcPr>
          <w:p w:rsidR="008D6145" w:rsidRPr="008D6145" w:rsidRDefault="008D6145" w:rsidP="008D6145">
            <w:pPr>
              <w:suppressAutoHyphens w:val="0"/>
              <w:kinsoku/>
              <w:overflowPunct/>
              <w:autoSpaceDE/>
              <w:autoSpaceDN/>
              <w:adjustRightInd/>
              <w:snapToGrid/>
              <w:spacing w:before="40" w:after="40" w:line="220" w:lineRule="exact"/>
              <w:rPr>
                <w:rFonts w:eastAsia="Times New Roman"/>
                <w:sz w:val="18"/>
                <w:szCs w:val="28"/>
              </w:rPr>
            </w:pPr>
            <w:r w:rsidRPr="008D6145">
              <w:rPr>
                <w:rFonts w:eastAsia="Times New Roman"/>
                <w:sz w:val="18"/>
                <w:szCs w:val="28"/>
              </w:rPr>
              <w:t>2014-2015</w:t>
            </w:r>
          </w:p>
        </w:tc>
        <w:tc>
          <w:tcPr>
            <w:tcW w:w="1985" w:type="dxa"/>
            <w:tcBorders>
              <w:bottom w:val="single" w:sz="12" w:space="0" w:color="auto"/>
            </w:tcBorders>
            <w:shd w:val="clear" w:color="auto" w:fill="auto"/>
            <w:noWrap/>
            <w:vAlign w:val="bottom"/>
            <w:hideMark/>
          </w:tcPr>
          <w:p w:rsidR="008D6145" w:rsidRPr="008D6145" w:rsidRDefault="008D6145" w:rsidP="008D6145">
            <w:pPr>
              <w:suppressAutoHyphens w:val="0"/>
              <w:kinsoku/>
              <w:overflowPunct/>
              <w:autoSpaceDE/>
              <w:autoSpaceDN/>
              <w:adjustRightInd/>
              <w:snapToGrid/>
              <w:spacing w:before="40" w:after="40" w:line="220" w:lineRule="exact"/>
              <w:jc w:val="right"/>
              <w:rPr>
                <w:rFonts w:eastAsia="Times New Roman"/>
                <w:sz w:val="18"/>
                <w:szCs w:val="28"/>
              </w:rPr>
            </w:pPr>
            <w:r w:rsidRPr="008D6145">
              <w:rPr>
                <w:rFonts w:eastAsia="Times New Roman"/>
                <w:sz w:val="18"/>
                <w:szCs w:val="28"/>
              </w:rPr>
              <w:t>23 175</w:t>
            </w:r>
          </w:p>
        </w:tc>
        <w:tc>
          <w:tcPr>
            <w:tcW w:w="1985" w:type="dxa"/>
            <w:tcBorders>
              <w:bottom w:val="single" w:sz="12" w:space="0" w:color="auto"/>
            </w:tcBorders>
            <w:shd w:val="clear" w:color="auto" w:fill="auto"/>
            <w:noWrap/>
            <w:vAlign w:val="bottom"/>
            <w:hideMark/>
          </w:tcPr>
          <w:p w:rsidR="008D6145" w:rsidRPr="008D6145" w:rsidRDefault="008D6145" w:rsidP="008D6145">
            <w:pPr>
              <w:suppressAutoHyphens w:val="0"/>
              <w:kinsoku/>
              <w:overflowPunct/>
              <w:autoSpaceDE/>
              <w:autoSpaceDN/>
              <w:adjustRightInd/>
              <w:snapToGrid/>
              <w:spacing w:before="40" w:after="40" w:line="220" w:lineRule="exact"/>
              <w:jc w:val="right"/>
              <w:rPr>
                <w:rFonts w:eastAsia="Times New Roman"/>
                <w:sz w:val="18"/>
                <w:szCs w:val="28"/>
              </w:rPr>
            </w:pPr>
            <w:r w:rsidRPr="008D6145">
              <w:rPr>
                <w:rFonts w:eastAsia="Times New Roman"/>
                <w:sz w:val="18"/>
                <w:szCs w:val="28"/>
              </w:rPr>
              <w:t>68 234</w:t>
            </w:r>
          </w:p>
        </w:tc>
        <w:tc>
          <w:tcPr>
            <w:tcW w:w="1985" w:type="dxa"/>
            <w:tcBorders>
              <w:bottom w:val="single" w:sz="12" w:space="0" w:color="auto"/>
            </w:tcBorders>
            <w:shd w:val="clear" w:color="auto" w:fill="auto"/>
            <w:noWrap/>
            <w:vAlign w:val="bottom"/>
            <w:hideMark/>
          </w:tcPr>
          <w:p w:rsidR="008D6145" w:rsidRPr="00287C5B" w:rsidRDefault="008D6145" w:rsidP="008D6145">
            <w:pPr>
              <w:suppressAutoHyphens w:val="0"/>
              <w:kinsoku/>
              <w:overflowPunct/>
              <w:autoSpaceDE/>
              <w:autoSpaceDN/>
              <w:adjustRightInd/>
              <w:snapToGrid/>
              <w:spacing w:before="40" w:after="40" w:line="220" w:lineRule="exact"/>
              <w:jc w:val="right"/>
              <w:rPr>
                <w:rFonts w:eastAsia="Times New Roman"/>
                <w:b/>
                <w:bCs/>
                <w:sz w:val="18"/>
                <w:szCs w:val="28"/>
              </w:rPr>
            </w:pPr>
            <w:r w:rsidRPr="00287C5B">
              <w:rPr>
                <w:rFonts w:eastAsia="Times New Roman"/>
                <w:b/>
                <w:bCs/>
                <w:sz w:val="18"/>
                <w:szCs w:val="28"/>
              </w:rPr>
              <w:t>92 508</w:t>
            </w:r>
          </w:p>
        </w:tc>
      </w:tr>
    </w:tbl>
    <w:p w:rsidR="008D6145" w:rsidRPr="00821D2B" w:rsidRDefault="008D6145" w:rsidP="000C7996">
      <w:pPr>
        <w:kinsoku/>
        <w:overflowPunct/>
        <w:autoSpaceDE/>
        <w:autoSpaceDN/>
        <w:adjustRightInd/>
        <w:snapToGrid/>
        <w:spacing w:before="120"/>
        <w:ind w:left="1134" w:right="1134" w:firstLine="170"/>
        <w:rPr>
          <w:rFonts w:eastAsia="Times New Roman"/>
          <w:sz w:val="18"/>
          <w:szCs w:val="18"/>
        </w:rPr>
      </w:pPr>
      <w:r w:rsidRPr="00821D2B">
        <w:rPr>
          <w:rFonts w:eastAsia="Times New Roman"/>
          <w:i/>
          <w:iCs/>
          <w:sz w:val="18"/>
          <w:szCs w:val="18"/>
        </w:rPr>
        <w:t>Source</w:t>
      </w:r>
      <w:r w:rsidRPr="00821D2B">
        <w:rPr>
          <w:rFonts w:eastAsia="Times New Roman"/>
          <w:sz w:val="18"/>
          <w:szCs w:val="18"/>
        </w:rPr>
        <w:t> : MESRS/2016.</w:t>
      </w:r>
    </w:p>
    <w:p w:rsidR="008D6145" w:rsidRPr="000C7996" w:rsidRDefault="008D6145" w:rsidP="000C7996">
      <w:pPr>
        <w:kinsoku/>
        <w:overflowPunct/>
        <w:autoSpaceDE/>
        <w:autoSpaceDN/>
        <w:adjustRightInd/>
        <w:snapToGrid/>
        <w:spacing w:after="240"/>
        <w:ind w:left="1134" w:right="1134" w:firstLine="170"/>
        <w:rPr>
          <w:rFonts w:eastAsia="Times New Roman"/>
          <w:sz w:val="18"/>
          <w:szCs w:val="18"/>
          <w:lang w:val="fr-FR"/>
        </w:rPr>
      </w:pPr>
      <w:r w:rsidRPr="000C7996">
        <w:rPr>
          <w:rFonts w:eastAsia="Times New Roman"/>
          <w:sz w:val="18"/>
          <w:szCs w:val="18"/>
          <w:lang w:val="fr-FR"/>
        </w:rPr>
        <w:t>NB : Les données de 2013-2014 et 2014-2015 sont provisoires.</w:t>
      </w:r>
    </w:p>
    <w:p w:rsidR="008D6145" w:rsidRPr="008D6145" w:rsidRDefault="00821D2B" w:rsidP="00821D2B">
      <w:pPr>
        <w:pStyle w:val="SingleTxtG"/>
        <w:kinsoku/>
        <w:overflowPunct/>
        <w:autoSpaceDE/>
        <w:autoSpaceDN/>
        <w:adjustRightInd/>
        <w:snapToGrid/>
        <w:rPr>
          <w:rFonts w:eastAsia="Times New Roman"/>
        </w:rPr>
      </w:pPr>
      <w:r w:rsidRPr="008D6145">
        <w:rPr>
          <w:rFonts w:eastAsia="Times New Roman"/>
        </w:rPr>
        <w:t>121.</w:t>
      </w:r>
      <w:r w:rsidRPr="008D6145">
        <w:rPr>
          <w:rFonts w:eastAsia="Times New Roman"/>
        </w:rPr>
        <w:tab/>
      </w:r>
      <w:r w:rsidR="008D6145" w:rsidRPr="008D6145">
        <w:rPr>
          <w:rFonts w:eastAsia="Times New Roman"/>
        </w:rPr>
        <w:t>La gratuité de l</w:t>
      </w:r>
      <w:r w:rsidR="00A033A7">
        <w:rPr>
          <w:rFonts w:eastAsia="Times New Roman"/>
        </w:rPr>
        <w:t>’</w:t>
      </w:r>
      <w:r w:rsidR="008D6145" w:rsidRPr="008D6145">
        <w:rPr>
          <w:rFonts w:eastAsia="Times New Roman"/>
        </w:rPr>
        <w:t>enseignement supérieur n</w:t>
      </w:r>
      <w:r w:rsidR="00A033A7">
        <w:rPr>
          <w:rFonts w:eastAsia="Times New Roman"/>
        </w:rPr>
        <w:t>’</w:t>
      </w:r>
      <w:r w:rsidR="008D6145" w:rsidRPr="008D6145">
        <w:rPr>
          <w:rFonts w:eastAsia="Times New Roman"/>
        </w:rPr>
        <w:t>est pas effective dans sa totalité. En effet, jusqu</w:t>
      </w:r>
      <w:r w:rsidR="00A033A7">
        <w:rPr>
          <w:rFonts w:eastAsia="Times New Roman"/>
        </w:rPr>
        <w:t>’</w:t>
      </w:r>
      <w:r w:rsidR="008D6145" w:rsidRPr="008D6145">
        <w:rPr>
          <w:rFonts w:eastAsia="Times New Roman"/>
        </w:rPr>
        <w:t xml:space="preserve">en année 2015-2016, seuls les étudiants non boursiers sont exonérés des frais de scolarité. Ceux qui perçoivent les allocations à titre de bourses ou secours payent une somme forfaitaire de 15 000 FCFA défalquée directement sur leurs allocations. </w:t>
      </w:r>
    </w:p>
    <w:p w:rsidR="008D6145" w:rsidRPr="008D6145" w:rsidRDefault="00821D2B" w:rsidP="00821D2B">
      <w:pPr>
        <w:pStyle w:val="SingleTxtG"/>
        <w:kinsoku/>
        <w:overflowPunct/>
        <w:autoSpaceDE/>
        <w:autoSpaceDN/>
        <w:adjustRightInd/>
        <w:snapToGrid/>
        <w:rPr>
          <w:rFonts w:eastAsia="Times New Roman"/>
        </w:rPr>
      </w:pPr>
      <w:r w:rsidRPr="008D6145">
        <w:rPr>
          <w:rFonts w:eastAsia="Times New Roman"/>
        </w:rPr>
        <w:t>122.</w:t>
      </w:r>
      <w:r w:rsidRPr="008D6145">
        <w:rPr>
          <w:rFonts w:eastAsia="Times New Roman"/>
        </w:rPr>
        <w:tab/>
      </w:r>
      <w:r w:rsidR="008D6145" w:rsidRPr="008D6145">
        <w:rPr>
          <w:rFonts w:eastAsia="Times New Roman"/>
        </w:rPr>
        <w:t>Les étudiants boursiers ou bénéficiaires d</w:t>
      </w:r>
      <w:r w:rsidR="00A033A7">
        <w:rPr>
          <w:rFonts w:eastAsia="Times New Roman"/>
        </w:rPr>
        <w:t>’</w:t>
      </w:r>
      <w:r w:rsidR="008D6145" w:rsidRPr="008D6145">
        <w:rPr>
          <w:rFonts w:eastAsia="Times New Roman"/>
        </w:rPr>
        <w:t>une aide de l</w:t>
      </w:r>
      <w:r w:rsidR="00A033A7">
        <w:rPr>
          <w:rFonts w:eastAsia="Times New Roman"/>
        </w:rPr>
        <w:t>’État</w:t>
      </w:r>
      <w:r w:rsidR="000B490E">
        <w:rPr>
          <w:rFonts w:eastAsia="Times New Roman"/>
        </w:rPr>
        <w:t xml:space="preserve"> </w:t>
      </w:r>
      <w:r w:rsidR="008D6145" w:rsidRPr="008D6145">
        <w:rPr>
          <w:rFonts w:eastAsia="Times New Roman"/>
        </w:rPr>
        <w:t>se retrouvent dans les universités publiques. Ils sont majoritairement inscrits au premier cycle (84,91</w:t>
      </w:r>
      <w:r w:rsidR="00E83C1A">
        <w:rPr>
          <w:rFonts w:eastAsia="Times New Roman"/>
        </w:rPr>
        <w:t> </w:t>
      </w:r>
      <w:r w:rsidR="008D6145" w:rsidRPr="008D6145">
        <w:rPr>
          <w:rFonts w:eastAsia="Times New Roman"/>
        </w:rPr>
        <w:t>%), suivi du second cycle (14,78</w:t>
      </w:r>
      <w:r w:rsidR="00E83C1A">
        <w:rPr>
          <w:rFonts w:eastAsia="Times New Roman"/>
        </w:rPr>
        <w:t> </w:t>
      </w:r>
      <w:r w:rsidR="008D6145" w:rsidRPr="008D6145">
        <w:rPr>
          <w:rFonts w:eastAsia="Times New Roman"/>
        </w:rPr>
        <w:t>%) et du troisième cycle (0,30</w:t>
      </w:r>
      <w:r w:rsidR="00E83C1A">
        <w:rPr>
          <w:rFonts w:eastAsia="Times New Roman"/>
        </w:rPr>
        <w:t> </w:t>
      </w:r>
      <w:r w:rsidR="008D6145" w:rsidRPr="008D6145">
        <w:rPr>
          <w:rFonts w:eastAsia="Times New Roman"/>
        </w:rPr>
        <w:t>%).</w:t>
      </w:r>
    </w:p>
    <w:p w:rsidR="008D6145" w:rsidRPr="008D6145" w:rsidRDefault="00587C3F" w:rsidP="00821D2B">
      <w:pPr>
        <w:pStyle w:val="H23G"/>
      </w:pPr>
      <w:r>
        <w:tab/>
      </w:r>
      <w:r>
        <w:tab/>
      </w:r>
      <w:r w:rsidR="008D6145" w:rsidRPr="00821D2B">
        <w:rPr>
          <w:b w:val="0"/>
          <w:bCs/>
        </w:rPr>
        <w:t xml:space="preserve">Tableau </w:t>
      </w:r>
      <w:r w:rsidRPr="00587C3F">
        <w:rPr>
          <w:rFonts w:eastAsia="Times New Roman"/>
          <w:b w:val="0"/>
          <w:bCs/>
          <w:lang w:val="fr-FR"/>
        </w:rPr>
        <w:t>n</w:t>
      </w:r>
      <w:r w:rsidRPr="00587C3F">
        <w:rPr>
          <w:rFonts w:eastAsia="Times New Roman"/>
          <w:b w:val="0"/>
          <w:bCs/>
          <w:vertAlign w:val="superscript"/>
          <w:lang w:val="fr-FR"/>
        </w:rPr>
        <w:t>o</w:t>
      </w:r>
      <w:r w:rsidRPr="00587C3F">
        <w:rPr>
          <w:rFonts w:eastAsia="Times New Roman"/>
          <w:b w:val="0"/>
          <w:bCs/>
          <w:lang w:val="fr-FR"/>
        </w:rPr>
        <w:t> </w:t>
      </w:r>
      <w:r w:rsidR="008D6145" w:rsidRPr="00821D2B">
        <w:rPr>
          <w:b w:val="0"/>
          <w:bCs/>
        </w:rPr>
        <w:t>13</w:t>
      </w:r>
      <w:r w:rsidR="008D6145" w:rsidRPr="008D6145">
        <w:br/>
        <w:t>Effectifs des étudiants du privé</w:t>
      </w:r>
    </w:p>
    <w:tbl>
      <w:tblPr>
        <w:tblW w:w="0" w:type="auto"/>
        <w:tblInd w:w="1134" w:type="dxa"/>
        <w:tblLayout w:type="fixed"/>
        <w:tblCellMar>
          <w:left w:w="0" w:type="dxa"/>
          <w:right w:w="0" w:type="dxa"/>
        </w:tblCellMar>
        <w:tblLook w:val="04A0" w:firstRow="1" w:lastRow="0" w:firstColumn="1" w:lastColumn="0" w:noHBand="0" w:noVBand="1"/>
      </w:tblPr>
      <w:tblGrid>
        <w:gridCol w:w="1418"/>
        <w:gridCol w:w="1985"/>
        <w:gridCol w:w="1985"/>
        <w:gridCol w:w="1985"/>
      </w:tblGrid>
      <w:tr w:rsidR="008D6145" w:rsidRPr="008D6145" w:rsidTr="00821D2B">
        <w:trPr>
          <w:tblHeader/>
        </w:trPr>
        <w:tc>
          <w:tcPr>
            <w:tcW w:w="1418" w:type="dxa"/>
            <w:tcBorders>
              <w:top w:val="single" w:sz="4" w:space="0" w:color="auto"/>
              <w:bottom w:val="single" w:sz="12" w:space="0" w:color="auto"/>
            </w:tcBorders>
            <w:shd w:val="clear" w:color="auto" w:fill="auto"/>
            <w:noWrap/>
            <w:vAlign w:val="bottom"/>
            <w:hideMark/>
          </w:tcPr>
          <w:p w:rsidR="008D6145" w:rsidRPr="008D6145" w:rsidRDefault="008D6145" w:rsidP="008D6145">
            <w:pPr>
              <w:suppressAutoHyphens w:val="0"/>
              <w:kinsoku/>
              <w:overflowPunct/>
              <w:autoSpaceDE/>
              <w:autoSpaceDN/>
              <w:adjustRightInd/>
              <w:snapToGrid/>
              <w:spacing w:before="80" w:after="80" w:line="200" w:lineRule="exact"/>
              <w:rPr>
                <w:rFonts w:eastAsia="Times New Roman"/>
                <w:i/>
                <w:sz w:val="16"/>
                <w:szCs w:val="28"/>
              </w:rPr>
            </w:pPr>
            <w:r w:rsidRPr="008D6145">
              <w:rPr>
                <w:rFonts w:eastAsia="Times New Roman"/>
                <w:i/>
                <w:sz w:val="16"/>
                <w:szCs w:val="28"/>
              </w:rPr>
              <w:t>Années</w:t>
            </w:r>
          </w:p>
        </w:tc>
        <w:tc>
          <w:tcPr>
            <w:tcW w:w="1985" w:type="dxa"/>
            <w:tcBorders>
              <w:top w:val="single" w:sz="4" w:space="0" w:color="auto"/>
              <w:bottom w:val="single" w:sz="12" w:space="0" w:color="auto"/>
            </w:tcBorders>
            <w:shd w:val="clear" w:color="auto" w:fill="auto"/>
            <w:noWrap/>
            <w:vAlign w:val="bottom"/>
            <w:hideMark/>
          </w:tcPr>
          <w:p w:rsidR="008D6145" w:rsidRPr="008D6145" w:rsidRDefault="008D6145" w:rsidP="004E6D07">
            <w:pPr>
              <w:suppressAutoHyphens w:val="0"/>
              <w:kinsoku/>
              <w:overflowPunct/>
              <w:autoSpaceDE/>
              <w:autoSpaceDN/>
              <w:adjustRightInd/>
              <w:snapToGrid/>
              <w:spacing w:before="80" w:after="80" w:line="200" w:lineRule="exact"/>
              <w:jc w:val="right"/>
              <w:rPr>
                <w:rFonts w:eastAsia="Times New Roman"/>
                <w:i/>
                <w:sz w:val="16"/>
                <w:szCs w:val="28"/>
              </w:rPr>
            </w:pPr>
            <w:r w:rsidRPr="008D6145">
              <w:rPr>
                <w:rFonts w:eastAsia="Times New Roman"/>
                <w:i/>
                <w:sz w:val="16"/>
                <w:szCs w:val="28"/>
              </w:rPr>
              <w:t>Féminin</w:t>
            </w:r>
          </w:p>
        </w:tc>
        <w:tc>
          <w:tcPr>
            <w:tcW w:w="1985" w:type="dxa"/>
            <w:tcBorders>
              <w:top w:val="single" w:sz="4" w:space="0" w:color="auto"/>
              <w:bottom w:val="single" w:sz="12" w:space="0" w:color="auto"/>
            </w:tcBorders>
            <w:shd w:val="clear" w:color="auto" w:fill="auto"/>
            <w:noWrap/>
            <w:vAlign w:val="bottom"/>
            <w:hideMark/>
          </w:tcPr>
          <w:p w:rsidR="008D6145" w:rsidRPr="008D6145" w:rsidRDefault="008D6145" w:rsidP="008D6145">
            <w:pPr>
              <w:suppressAutoHyphens w:val="0"/>
              <w:kinsoku/>
              <w:overflowPunct/>
              <w:autoSpaceDE/>
              <w:autoSpaceDN/>
              <w:adjustRightInd/>
              <w:snapToGrid/>
              <w:spacing w:before="80" w:after="80" w:line="200" w:lineRule="exact"/>
              <w:jc w:val="right"/>
              <w:rPr>
                <w:rFonts w:eastAsia="Times New Roman"/>
                <w:i/>
                <w:sz w:val="16"/>
                <w:szCs w:val="28"/>
              </w:rPr>
            </w:pPr>
            <w:r w:rsidRPr="008D6145">
              <w:rPr>
                <w:rFonts w:eastAsia="Times New Roman"/>
                <w:i/>
                <w:sz w:val="16"/>
                <w:szCs w:val="28"/>
              </w:rPr>
              <w:t>Masculin</w:t>
            </w:r>
          </w:p>
        </w:tc>
        <w:tc>
          <w:tcPr>
            <w:tcW w:w="1985" w:type="dxa"/>
            <w:tcBorders>
              <w:top w:val="single" w:sz="4" w:space="0" w:color="auto"/>
              <w:bottom w:val="single" w:sz="12" w:space="0" w:color="auto"/>
            </w:tcBorders>
            <w:shd w:val="clear" w:color="auto" w:fill="auto"/>
            <w:noWrap/>
            <w:vAlign w:val="bottom"/>
            <w:hideMark/>
          </w:tcPr>
          <w:p w:rsidR="008D6145" w:rsidRPr="00821D2B" w:rsidRDefault="008D6145" w:rsidP="008D6145">
            <w:pPr>
              <w:suppressAutoHyphens w:val="0"/>
              <w:kinsoku/>
              <w:overflowPunct/>
              <w:autoSpaceDE/>
              <w:autoSpaceDN/>
              <w:adjustRightInd/>
              <w:snapToGrid/>
              <w:spacing w:before="80" w:after="80" w:line="200" w:lineRule="exact"/>
              <w:jc w:val="right"/>
              <w:rPr>
                <w:rFonts w:eastAsia="Times New Roman"/>
                <w:b/>
                <w:bCs/>
                <w:i/>
                <w:sz w:val="16"/>
                <w:szCs w:val="28"/>
              </w:rPr>
            </w:pPr>
            <w:r w:rsidRPr="00821D2B">
              <w:rPr>
                <w:rFonts w:eastAsia="Times New Roman"/>
                <w:b/>
                <w:bCs/>
                <w:i/>
                <w:sz w:val="16"/>
                <w:szCs w:val="28"/>
              </w:rPr>
              <w:t>Total</w:t>
            </w:r>
          </w:p>
        </w:tc>
      </w:tr>
      <w:tr w:rsidR="008D6145" w:rsidRPr="008D6145" w:rsidTr="00821D2B">
        <w:tc>
          <w:tcPr>
            <w:tcW w:w="1418" w:type="dxa"/>
            <w:tcBorders>
              <w:top w:val="single" w:sz="12" w:space="0" w:color="auto"/>
            </w:tcBorders>
            <w:shd w:val="clear" w:color="auto" w:fill="auto"/>
            <w:noWrap/>
            <w:hideMark/>
          </w:tcPr>
          <w:p w:rsidR="008D6145" w:rsidRPr="00821D2B" w:rsidRDefault="008D6145" w:rsidP="008D6145">
            <w:pPr>
              <w:suppressAutoHyphens w:val="0"/>
              <w:kinsoku/>
              <w:overflowPunct/>
              <w:autoSpaceDE/>
              <w:autoSpaceDN/>
              <w:adjustRightInd/>
              <w:snapToGrid/>
              <w:spacing w:before="40" w:after="40" w:line="220" w:lineRule="exact"/>
              <w:rPr>
                <w:rFonts w:eastAsia="Times New Roman"/>
                <w:bCs/>
                <w:sz w:val="18"/>
                <w:szCs w:val="28"/>
              </w:rPr>
            </w:pPr>
            <w:r w:rsidRPr="00821D2B">
              <w:rPr>
                <w:rFonts w:eastAsia="Times New Roman"/>
                <w:bCs/>
                <w:sz w:val="18"/>
                <w:szCs w:val="28"/>
              </w:rPr>
              <w:t>2007-2008</w:t>
            </w:r>
          </w:p>
        </w:tc>
        <w:tc>
          <w:tcPr>
            <w:tcW w:w="1985" w:type="dxa"/>
            <w:tcBorders>
              <w:top w:val="single" w:sz="12" w:space="0" w:color="auto"/>
            </w:tcBorders>
            <w:shd w:val="clear" w:color="auto" w:fill="auto"/>
            <w:noWrap/>
            <w:vAlign w:val="bottom"/>
            <w:hideMark/>
          </w:tcPr>
          <w:p w:rsidR="008D6145" w:rsidRPr="008D6145" w:rsidRDefault="008D6145" w:rsidP="008D6145">
            <w:pPr>
              <w:suppressAutoHyphens w:val="0"/>
              <w:kinsoku/>
              <w:overflowPunct/>
              <w:autoSpaceDE/>
              <w:autoSpaceDN/>
              <w:adjustRightInd/>
              <w:snapToGrid/>
              <w:spacing w:before="40" w:after="40" w:line="220" w:lineRule="exact"/>
              <w:jc w:val="right"/>
              <w:rPr>
                <w:rFonts w:eastAsia="Times New Roman"/>
                <w:sz w:val="18"/>
                <w:szCs w:val="28"/>
              </w:rPr>
            </w:pPr>
            <w:r w:rsidRPr="008D6145">
              <w:rPr>
                <w:rFonts w:eastAsia="Times New Roman"/>
                <w:sz w:val="18"/>
                <w:szCs w:val="28"/>
              </w:rPr>
              <w:t>6 454</w:t>
            </w:r>
          </w:p>
        </w:tc>
        <w:tc>
          <w:tcPr>
            <w:tcW w:w="1985" w:type="dxa"/>
            <w:tcBorders>
              <w:top w:val="single" w:sz="12" w:space="0" w:color="auto"/>
            </w:tcBorders>
            <w:shd w:val="clear" w:color="auto" w:fill="auto"/>
            <w:noWrap/>
            <w:vAlign w:val="bottom"/>
            <w:hideMark/>
          </w:tcPr>
          <w:p w:rsidR="008D6145" w:rsidRPr="008D6145" w:rsidRDefault="008D6145" w:rsidP="008D6145">
            <w:pPr>
              <w:suppressAutoHyphens w:val="0"/>
              <w:kinsoku/>
              <w:overflowPunct/>
              <w:autoSpaceDE/>
              <w:autoSpaceDN/>
              <w:adjustRightInd/>
              <w:snapToGrid/>
              <w:spacing w:before="40" w:after="40" w:line="220" w:lineRule="exact"/>
              <w:jc w:val="right"/>
              <w:rPr>
                <w:rFonts w:eastAsia="Times New Roman"/>
                <w:sz w:val="18"/>
                <w:szCs w:val="28"/>
              </w:rPr>
            </w:pPr>
            <w:r w:rsidRPr="008D6145">
              <w:rPr>
                <w:rFonts w:eastAsia="Times New Roman"/>
                <w:sz w:val="18"/>
                <w:szCs w:val="28"/>
              </w:rPr>
              <w:t>9 785</w:t>
            </w:r>
          </w:p>
        </w:tc>
        <w:tc>
          <w:tcPr>
            <w:tcW w:w="1985" w:type="dxa"/>
            <w:tcBorders>
              <w:top w:val="single" w:sz="12" w:space="0" w:color="auto"/>
            </w:tcBorders>
            <w:shd w:val="clear" w:color="auto" w:fill="auto"/>
            <w:noWrap/>
            <w:vAlign w:val="bottom"/>
            <w:hideMark/>
          </w:tcPr>
          <w:p w:rsidR="008D6145" w:rsidRPr="00821D2B" w:rsidRDefault="008D6145" w:rsidP="008D6145">
            <w:pPr>
              <w:suppressAutoHyphens w:val="0"/>
              <w:kinsoku/>
              <w:overflowPunct/>
              <w:autoSpaceDE/>
              <w:autoSpaceDN/>
              <w:adjustRightInd/>
              <w:snapToGrid/>
              <w:spacing w:before="40" w:after="40" w:line="220" w:lineRule="exact"/>
              <w:jc w:val="right"/>
              <w:rPr>
                <w:rFonts w:eastAsia="Times New Roman"/>
                <w:b/>
                <w:bCs/>
                <w:sz w:val="18"/>
                <w:szCs w:val="28"/>
              </w:rPr>
            </w:pPr>
            <w:r w:rsidRPr="00821D2B">
              <w:rPr>
                <w:rFonts w:eastAsia="Times New Roman"/>
                <w:b/>
                <w:bCs/>
                <w:sz w:val="18"/>
                <w:szCs w:val="28"/>
              </w:rPr>
              <w:t>16 239</w:t>
            </w:r>
          </w:p>
        </w:tc>
      </w:tr>
      <w:tr w:rsidR="008D6145" w:rsidRPr="008D6145" w:rsidTr="00821D2B">
        <w:tc>
          <w:tcPr>
            <w:tcW w:w="1418" w:type="dxa"/>
            <w:shd w:val="clear" w:color="auto" w:fill="auto"/>
            <w:noWrap/>
            <w:hideMark/>
          </w:tcPr>
          <w:p w:rsidR="008D6145" w:rsidRPr="00821D2B" w:rsidRDefault="008D6145" w:rsidP="008D6145">
            <w:pPr>
              <w:suppressAutoHyphens w:val="0"/>
              <w:kinsoku/>
              <w:overflowPunct/>
              <w:autoSpaceDE/>
              <w:autoSpaceDN/>
              <w:adjustRightInd/>
              <w:snapToGrid/>
              <w:spacing w:before="40" w:after="40" w:line="220" w:lineRule="exact"/>
              <w:rPr>
                <w:rFonts w:eastAsia="Times New Roman"/>
                <w:bCs/>
                <w:sz w:val="18"/>
                <w:szCs w:val="28"/>
              </w:rPr>
            </w:pPr>
            <w:r w:rsidRPr="00821D2B">
              <w:rPr>
                <w:rFonts w:eastAsia="Times New Roman"/>
                <w:bCs/>
                <w:sz w:val="18"/>
                <w:szCs w:val="28"/>
              </w:rPr>
              <w:t>2008-2009</w:t>
            </w:r>
          </w:p>
        </w:tc>
        <w:tc>
          <w:tcPr>
            <w:tcW w:w="1985" w:type="dxa"/>
            <w:shd w:val="clear" w:color="auto" w:fill="auto"/>
            <w:noWrap/>
            <w:vAlign w:val="bottom"/>
            <w:hideMark/>
          </w:tcPr>
          <w:p w:rsidR="008D6145" w:rsidRPr="008D6145" w:rsidRDefault="008D6145" w:rsidP="008D6145">
            <w:pPr>
              <w:suppressAutoHyphens w:val="0"/>
              <w:kinsoku/>
              <w:overflowPunct/>
              <w:autoSpaceDE/>
              <w:autoSpaceDN/>
              <w:adjustRightInd/>
              <w:snapToGrid/>
              <w:spacing w:before="40" w:after="40" w:line="220" w:lineRule="exact"/>
              <w:jc w:val="right"/>
              <w:rPr>
                <w:rFonts w:eastAsia="Times New Roman"/>
                <w:sz w:val="18"/>
                <w:szCs w:val="28"/>
              </w:rPr>
            </w:pPr>
            <w:r w:rsidRPr="008D6145">
              <w:rPr>
                <w:rFonts w:eastAsia="Times New Roman"/>
                <w:sz w:val="18"/>
                <w:szCs w:val="28"/>
              </w:rPr>
              <w:t>8 744</w:t>
            </w:r>
          </w:p>
        </w:tc>
        <w:tc>
          <w:tcPr>
            <w:tcW w:w="1985" w:type="dxa"/>
            <w:shd w:val="clear" w:color="auto" w:fill="auto"/>
            <w:noWrap/>
            <w:vAlign w:val="bottom"/>
            <w:hideMark/>
          </w:tcPr>
          <w:p w:rsidR="008D6145" w:rsidRPr="008D6145" w:rsidRDefault="008D6145" w:rsidP="008D6145">
            <w:pPr>
              <w:suppressAutoHyphens w:val="0"/>
              <w:kinsoku/>
              <w:overflowPunct/>
              <w:autoSpaceDE/>
              <w:autoSpaceDN/>
              <w:adjustRightInd/>
              <w:snapToGrid/>
              <w:spacing w:before="40" w:after="40" w:line="220" w:lineRule="exact"/>
              <w:jc w:val="right"/>
              <w:rPr>
                <w:rFonts w:eastAsia="Times New Roman"/>
                <w:sz w:val="18"/>
                <w:szCs w:val="28"/>
              </w:rPr>
            </w:pPr>
            <w:r w:rsidRPr="008D6145">
              <w:rPr>
                <w:rFonts w:eastAsia="Times New Roman"/>
                <w:sz w:val="18"/>
                <w:szCs w:val="28"/>
              </w:rPr>
              <w:t>11 694</w:t>
            </w:r>
          </w:p>
        </w:tc>
        <w:tc>
          <w:tcPr>
            <w:tcW w:w="1985" w:type="dxa"/>
            <w:shd w:val="clear" w:color="auto" w:fill="auto"/>
            <w:noWrap/>
            <w:vAlign w:val="bottom"/>
            <w:hideMark/>
          </w:tcPr>
          <w:p w:rsidR="008D6145" w:rsidRPr="00821D2B" w:rsidRDefault="008D6145" w:rsidP="008D6145">
            <w:pPr>
              <w:suppressAutoHyphens w:val="0"/>
              <w:kinsoku/>
              <w:overflowPunct/>
              <w:autoSpaceDE/>
              <w:autoSpaceDN/>
              <w:adjustRightInd/>
              <w:snapToGrid/>
              <w:spacing w:before="40" w:after="40" w:line="220" w:lineRule="exact"/>
              <w:jc w:val="right"/>
              <w:rPr>
                <w:rFonts w:eastAsia="Times New Roman"/>
                <w:b/>
                <w:bCs/>
                <w:sz w:val="18"/>
                <w:szCs w:val="28"/>
              </w:rPr>
            </w:pPr>
            <w:r w:rsidRPr="00821D2B">
              <w:rPr>
                <w:rFonts w:eastAsia="Times New Roman"/>
                <w:b/>
                <w:bCs/>
                <w:sz w:val="18"/>
                <w:szCs w:val="28"/>
              </w:rPr>
              <w:t>20 438</w:t>
            </w:r>
          </w:p>
        </w:tc>
      </w:tr>
      <w:tr w:rsidR="008D6145" w:rsidRPr="008D6145" w:rsidTr="00821D2B">
        <w:tc>
          <w:tcPr>
            <w:tcW w:w="1418" w:type="dxa"/>
            <w:shd w:val="clear" w:color="auto" w:fill="auto"/>
            <w:noWrap/>
            <w:hideMark/>
          </w:tcPr>
          <w:p w:rsidR="008D6145" w:rsidRPr="00821D2B" w:rsidRDefault="008D6145" w:rsidP="008D6145">
            <w:pPr>
              <w:suppressAutoHyphens w:val="0"/>
              <w:kinsoku/>
              <w:overflowPunct/>
              <w:autoSpaceDE/>
              <w:autoSpaceDN/>
              <w:adjustRightInd/>
              <w:snapToGrid/>
              <w:spacing w:before="40" w:after="40" w:line="220" w:lineRule="exact"/>
              <w:rPr>
                <w:rFonts w:eastAsia="Times New Roman"/>
                <w:bCs/>
                <w:sz w:val="18"/>
                <w:szCs w:val="28"/>
              </w:rPr>
            </w:pPr>
            <w:r w:rsidRPr="00821D2B">
              <w:rPr>
                <w:rFonts w:eastAsia="Times New Roman"/>
                <w:bCs/>
                <w:sz w:val="18"/>
                <w:szCs w:val="28"/>
              </w:rPr>
              <w:t>2009-2010</w:t>
            </w:r>
          </w:p>
        </w:tc>
        <w:tc>
          <w:tcPr>
            <w:tcW w:w="1985" w:type="dxa"/>
            <w:shd w:val="clear" w:color="auto" w:fill="auto"/>
            <w:noWrap/>
            <w:vAlign w:val="bottom"/>
            <w:hideMark/>
          </w:tcPr>
          <w:p w:rsidR="008D6145" w:rsidRPr="008D6145" w:rsidRDefault="008D6145" w:rsidP="008D6145">
            <w:pPr>
              <w:suppressAutoHyphens w:val="0"/>
              <w:kinsoku/>
              <w:overflowPunct/>
              <w:autoSpaceDE/>
              <w:autoSpaceDN/>
              <w:adjustRightInd/>
              <w:snapToGrid/>
              <w:spacing w:before="40" w:after="40" w:line="220" w:lineRule="exact"/>
              <w:jc w:val="right"/>
              <w:rPr>
                <w:rFonts w:eastAsia="Times New Roman"/>
                <w:sz w:val="18"/>
                <w:szCs w:val="28"/>
              </w:rPr>
            </w:pPr>
            <w:r w:rsidRPr="008D6145">
              <w:rPr>
                <w:rFonts w:eastAsia="Times New Roman"/>
                <w:sz w:val="18"/>
                <w:szCs w:val="28"/>
              </w:rPr>
              <w:t>11 029</w:t>
            </w:r>
          </w:p>
        </w:tc>
        <w:tc>
          <w:tcPr>
            <w:tcW w:w="1985" w:type="dxa"/>
            <w:shd w:val="clear" w:color="auto" w:fill="auto"/>
            <w:noWrap/>
            <w:vAlign w:val="bottom"/>
            <w:hideMark/>
          </w:tcPr>
          <w:p w:rsidR="008D6145" w:rsidRPr="008D6145" w:rsidRDefault="008D6145" w:rsidP="008D6145">
            <w:pPr>
              <w:suppressAutoHyphens w:val="0"/>
              <w:kinsoku/>
              <w:overflowPunct/>
              <w:autoSpaceDE/>
              <w:autoSpaceDN/>
              <w:adjustRightInd/>
              <w:snapToGrid/>
              <w:spacing w:before="40" w:after="40" w:line="220" w:lineRule="exact"/>
              <w:jc w:val="right"/>
              <w:rPr>
                <w:rFonts w:eastAsia="Times New Roman"/>
                <w:sz w:val="18"/>
                <w:szCs w:val="28"/>
              </w:rPr>
            </w:pPr>
            <w:r w:rsidRPr="008D6145">
              <w:rPr>
                <w:rFonts w:eastAsia="Times New Roman"/>
                <w:sz w:val="18"/>
                <w:szCs w:val="28"/>
              </w:rPr>
              <w:t>16 628</w:t>
            </w:r>
          </w:p>
        </w:tc>
        <w:tc>
          <w:tcPr>
            <w:tcW w:w="1985" w:type="dxa"/>
            <w:shd w:val="clear" w:color="auto" w:fill="auto"/>
            <w:noWrap/>
            <w:vAlign w:val="bottom"/>
            <w:hideMark/>
          </w:tcPr>
          <w:p w:rsidR="008D6145" w:rsidRPr="00821D2B" w:rsidRDefault="008D6145" w:rsidP="008D6145">
            <w:pPr>
              <w:suppressAutoHyphens w:val="0"/>
              <w:kinsoku/>
              <w:overflowPunct/>
              <w:autoSpaceDE/>
              <w:autoSpaceDN/>
              <w:adjustRightInd/>
              <w:snapToGrid/>
              <w:spacing w:before="40" w:after="40" w:line="220" w:lineRule="exact"/>
              <w:jc w:val="right"/>
              <w:rPr>
                <w:rFonts w:eastAsia="Times New Roman"/>
                <w:b/>
                <w:bCs/>
                <w:sz w:val="18"/>
                <w:szCs w:val="28"/>
              </w:rPr>
            </w:pPr>
            <w:r w:rsidRPr="00821D2B">
              <w:rPr>
                <w:rFonts w:eastAsia="Times New Roman"/>
                <w:b/>
                <w:bCs/>
                <w:sz w:val="18"/>
                <w:szCs w:val="28"/>
              </w:rPr>
              <w:t>27 657</w:t>
            </w:r>
          </w:p>
        </w:tc>
      </w:tr>
      <w:tr w:rsidR="008D6145" w:rsidRPr="008D6145" w:rsidTr="00821D2B">
        <w:tc>
          <w:tcPr>
            <w:tcW w:w="1418" w:type="dxa"/>
            <w:shd w:val="clear" w:color="auto" w:fill="auto"/>
            <w:noWrap/>
            <w:hideMark/>
          </w:tcPr>
          <w:p w:rsidR="008D6145" w:rsidRPr="00821D2B" w:rsidRDefault="008D6145" w:rsidP="008D6145">
            <w:pPr>
              <w:suppressAutoHyphens w:val="0"/>
              <w:kinsoku/>
              <w:overflowPunct/>
              <w:autoSpaceDE/>
              <w:autoSpaceDN/>
              <w:adjustRightInd/>
              <w:snapToGrid/>
              <w:spacing w:before="40" w:after="40" w:line="220" w:lineRule="exact"/>
              <w:rPr>
                <w:rFonts w:eastAsia="Times New Roman"/>
                <w:bCs/>
                <w:sz w:val="18"/>
                <w:szCs w:val="28"/>
              </w:rPr>
            </w:pPr>
            <w:r w:rsidRPr="00821D2B">
              <w:rPr>
                <w:rFonts w:eastAsia="Times New Roman"/>
                <w:bCs/>
                <w:sz w:val="18"/>
                <w:szCs w:val="28"/>
              </w:rPr>
              <w:t>2010-2011</w:t>
            </w:r>
          </w:p>
        </w:tc>
        <w:tc>
          <w:tcPr>
            <w:tcW w:w="1985" w:type="dxa"/>
            <w:shd w:val="clear" w:color="auto" w:fill="auto"/>
            <w:noWrap/>
            <w:vAlign w:val="bottom"/>
            <w:hideMark/>
          </w:tcPr>
          <w:p w:rsidR="008D6145" w:rsidRPr="008D6145" w:rsidRDefault="008D6145" w:rsidP="008D6145">
            <w:pPr>
              <w:suppressAutoHyphens w:val="0"/>
              <w:kinsoku/>
              <w:overflowPunct/>
              <w:autoSpaceDE/>
              <w:autoSpaceDN/>
              <w:adjustRightInd/>
              <w:snapToGrid/>
              <w:spacing w:before="40" w:after="40" w:line="220" w:lineRule="exact"/>
              <w:jc w:val="right"/>
              <w:rPr>
                <w:rFonts w:eastAsia="Times New Roman"/>
                <w:sz w:val="18"/>
                <w:szCs w:val="28"/>
              </w:rPr>
            </w:pPr>
            <w:r w:rsidRPr="008D6145">
              <w:rPr>
                <w:rFonts w:eastAsia="Times New Roman"/>
                <w:sz w:val="18"/>
                <w:szCs w:val="28"/>
              </w:rPr>
              <w:t>10 615</w:t>
            </w:r>
          </w:p>
        </w:tc>
        <w:tc>
          <w:tcPr>
            <w:tcW w:w="1985" w:type="dxa"/>
            <w:shd w:val="clear" w:color="auto" w:fill="auto"/>
            <w:noWrap/>
            <w:vAlign w:val="bottom"/>
            <w:hideMark/>
          </w:tcPr>
          <w:p w:rsidR="008D6145" w:rsidRPr="008D6145" w:rsidRDefault="008D6145" w:rsidP="008D6145">
            <w:pPr>
              <w:suppressAutoHyphens w:val="0"/>
              <w:kinsoku/>
              <w:overflowPunct/>
              <w:autoSpaceDE/>
              <w:autoSpaceDN/>
              <w:adjustRightInd/>
              <w:snapToGrid/>
              <w:spacing w:before="40" w:after="40" w:line="220" w:lineRule="exact"/>
              <w:jc w:val="right"/>
              <w:rPr>
                <w:rFonts w:eastAsia="Times New Roman"/>
                <w:sz w:val="18"/>
                <w:szCs w:val="28"/>
              </w:rPr>
            </w:pPr>
            <w:r w:rsidRPr="008D6145">
              <w:rPr>
                <w:rFonts w:eastAsia="Times New Roman"/>
                <w:sz w:val="18"/>
                <w:szCs w:val="28"/>
              </w:rPr>
              <w:t>14 365</w:t>
            </w:r>
          </w:p>
        </w:tc>
        <w:tc>
          <w:tcPr>
            <w:tcW w:w="1985" w:type="dxa"/>
            <w:shd w:val="clear" w:color="auto" w:fill="auto"/>
            <w:noWrap/>
            <w:vAlign w:val="bottom"/>
            <w:hideMark/>
          </w:tcPr>
          <w:p w:rsidR="008D6145" w:rsidRPr="00821D2B" w:rsidRDefault="008D6145" w:rsidP="008D6145">
            <w:pPr>
              <w:suppressAutoHyphens w:val="0"/>
              <w:kinsoku/>
              <w:overflowPunct/>
              <w:autoSpaceDE/>
              <w:autoSpaceDN/>
              <w:adjustRightInd/>
              <w:snapToGrid/>
              <w:spacing w:before="40" w:after="40" w:line="220" w:lineRule="exact"/>
              <w:jc w:val="right"/>
              <w:rPr>
                <w:rFonts w:eastAsia="Times New Roman"/>
                <w:b/>
                <w:bCs/>
                <w:sz w:val="18"/>
                <w:szCs w:val="28"/>
              </w:rPr>
            </w:pPr>
            <w:r w:rsidRPr="00821D2B">
              <w:rPr>
                <w:rFonts w:eastAsia="Times New Roman"/>
                <w:b/>
                <w:bCs/>
                <w:sz w:val="18"/>
                <w:szCs w:val="28"/>
              </w:rPr>
              <w:t>24 980</w:t>
            </w:r>
          </w:p>
        </w:tc>
      </w:tr>
      <w:tr w:rsidR="008D6145" w:rsidRPr="008D6145" w:rsidTr="00821D2B">
        <w:tc>
          <w:tcPr>
            <w:tcW w:w="1418" w:type="dxa"/>
            <w:shd w:val="clear" w:color="auto" w:fill="auto"/>
            <w:noWrap/>
            <w:hideMark/>
          </w:tcPr>
          <w:p w:rsidR="008D6145" w:rsidRPr="00821D2B" w:rsidRDefault="008D6145" w:rsidP="008D6145">
            <w:pPr>
              <w:suppressAutoHyphens w:val="0"/>
              <w:kinsoku/>
              <w:overflowPunct/>
              <w:autoSpaceDE/>
              <w:autoSpaceDN/>
              <w:adjustRightInd/>
              <w:snapToGrid/>
              <w:spacing w:before="40" w:after="40" w:line="220" w:lineRule="exact"/>
              <w:rPr>
                <w:rFonts w:eastAsia="Times New Roman"/>
                <w:bCs/>
                <w:sz w:val="18"/>
                <w:szCs w:val="28"/>
              </w:rPr>
            </w:pPr>
            <w:r w:rsidRPr="00821D2B">
              <w:rPr>
                <w:rFonts w:eastAsia="Times New Roman"/>
                <w:bCs/>
                <w:sz w:val="18"/>
                <w:szCs w:val="28"/>
              </w:rPr>
              <w:t>2011-2012</w:t>
            </w:r>
          </w:p>
        </w:tc>
        <w:tc>
          <w:tcPr>
            <w:tcW w:w="1985" w:type="dxa"/>
            <w:shd w:val="clear" w:color="auto" w:fill="auto"/>
            <w:noWrap/>
            <w:vAlign w:val="bottom"/>
            <w:hideMark/>
          </w:tcPr>
          <w:p w:rsidR="008D6145" w:rsidRPr="008D6145" w:rsidRDefault="008D6145" w:rsidP="008D6145">
            <w:pPr>
              <w:suppressAutoHyphens w:val="0"/>
              <w:kinsoku/>
              <w:overflowPunct/>
              <w:autoSpaceDE/>
              <w:autoSpaceDN/>
              <w:adjustRightInd/>
              <w:snapToGrid/>
              <w:spacing w:before="40" w:after="40" w:line="220" w:lineRule="exact"/>
              <w:jc w:val="right"/>
              <w:rPr>
                <w:rFonts w:eastAsia="Times New Roman"/>
                <w:sz w:val="18"/>
                <w:szCs w:val="28"/>
              </w:rPr>
            </w:pPr>
            <w:r w:rsidRPr="008D6145">
              <w:rPr>
                <w:rFonts w:eastAsia="Times New Roman"/>
                <w:sz w:val="18"/>
                <w:szCs w:val="28"/>
              </w:rPr>
              <w:t>5 380</w:t>
            </w:r>
          </w:p>
        </w:tc>
        <w:tc>
          <w:tcPr>
            <w:tcW w:w="1985" w:type="dxa"/>
            <w:shd w:val="clear" w:color="auto" w:fill="auto"/>
            <w:noWrap/>
            <w:vAlign w:val="bottom"/>
            <w:hideMark/>
          </w:tcPr>
          <w:p w:rsidR="008D6145" w:rsidRPr="008D6145" w:rsidRDefault="008D6145" w:rsidP="008D6145">
            <w:pPr>
              <w:suppressAutoHyphens w:val="0"/>
              <w:kinsoku/>
              <w:overflowPunct/>
              <w:autoSpaceDE/>
              <w:autoSpaceDN/>
              <w:adjustRightInd/>
              <w:snapToGrid/>
              <w:spacing w:before="40" w:after="40" w:line="220" w:lineRule="exact"/>
              <w:jc w:val="right"/>
              <w:rPr>
                <w:rFonts w:eastAsia="Times New Roman"/>
                <w:sz w:val="18"/>
                <w:szCs w:val="28"/>
              </w:rPr>
            </w:pPr>
            <w:r w:rsidRPr="008D6145">
              <w:rPr>
                <w:rFonts w:eastAsia="Times New Roman"/>
                <w:sz w:val="18"/>
                <w:szCs w:val="28"/>
              </w:rPr>
              <w:t>8 027</w:t>
            </w:r>
          </w:p>
        </w:tc>
        <w:tc>
          <w:tcPr>
            <w:tcW w:w="1985" w:type="dxa"/>
            <w:shd w:val="clear" w:color="auto" w:fill="auto"/>
            <w:noWrap/>
            <w:vAlign w:val="bottom"/>
            <w:hideMark/>
          </w:tcPr>
          <w:p w:rsidR="008D6145" w:rsidRPr="00821D2B" w:rsidRDefault="008D6145" w:rsidP="008D6145">
            <w:pPr>
              <w:suppressAutoHyphens w:val="0"/>
              <w:kinsoku/>
              <w:overflowPunct/>
              <w:autoSpaceDE/>
              <w:autoSpaceDN/>
              <w:adjustRightInd/>
              <w:snapToGrid/>
              <w:spacing w:before="40" w:after="40" w:line="220" w:lineRule="exact"/>
              <w:jc w:val="right"/>
              <w:rPr>
                <w:rFonts w:eastAsia="Times New Roman"/>
                <w:b/>
                <w:bCs/>
                <w:sz w:val="18"/>
                <w:szCs w:val="28"/>
              </w:rPr>
            </w:pPr>
            <w:r w:rsidRPr="00821D2B">
              <w:rPr>
                <w:rFonts w:eastAsia="Times New Roman"/>
                <w:b/>
                <w:bCs/>
                <w:sz w:val="18"/>
                <w:szCs w:val="28"/>
              </w:rPr>
              <w:t>13 407</w:t>
            </w:r>
          </w:p>
        </w:tc>
      </w:tr>
      <w:tr w:rsidR="008D6145" w:rsidRPr="008D6145" w:rsidTr="00821D2B">
        <w:tc>
          <w:tcPr>
            <w:tcW w:w="1418" w:type="dxa"/>
            <w:tcBorders>
              <w:bottom w:val="single" w:sz="12" w:space="0" w:color="auto"/>
            </w:tcBorders>
            <w:shd w:val="clear" w:color="auto" w:fill="auto"/>
            <w:noWrap/>
            <w:hideMark/>
          </w:tcPr>
          <w:p w:rsidR="008D6145" w:rsidRPr="00821D2B" w:rsidRDefault="008D6145" w:rsidP="008D6145">
            <w:pPr>
              <w:suppressAutoHyphens w:val="0"/>
              <w:kinsoku/>
              <w:overflowPunct/>
              <w:autoSpaceDE/>
              <w:autoSpaceDN/>
              <w:adjustRightInd/>
              <w:snapToGrid/>
              <w:spacing w:before="40" w:after="40" w:line="220" w:lineRule="exact"/>
              <w:rPr>
                <w:rFonts w:eastAsia="Times New Roman"/>
                <w:bCs/>
                <w:sz w:val="18"/>
                <w:szCs w:val="28"/>
              </w:rPr>
            </w:pPr>
            <w:r w:rsidRPr="00821D2B">
              <w:rPr>
                <w:rFonts w:eastAsia="Times New Roman"/>
                <w:bCs/>
                <w:sz w:val="18"/>
                <w:szCs w:val="28"/>
              </w:rPr>
              <w:t>2012-2013</w:t>
            </w:r>
          </w:p>
        </w:tc>
        <w:tc>
          <w:tcPr>
            <w:tcW w:w="1985" w:type="dxa"/>
            <w:tcBorders>
              <w:bottom w:val="single" w:sz="12" w:space="0" w:color="auto"/>
            </w:tcBorders>
            <w:shd w:val="clear" w:color="auto" w:fill="auto"/>
            <w:noWrap/>
            <w:vAlign w:val="bottom"/>
            <w:hideMark/>
          </w:tcPr>
          <w:p w:rsidR="008D6145" w:rsidRPr="008D6145" w:rsidRDefault="008D6145" w:rsidP="008D6145">
            <w:pPr>
              <w:suppressAutoHyphens w:val="0"/>
              <w:kinsoku/>
              <w:overflowPunct/>
              <w:autoSpaceDE/>
              <w:autoSpaceDN/>
              <w:adjustRightInd/>
              <w:snapToGrid/>
              <w:spacing w:before="40" w:after="40" w:line="220" w:lineRule="exact"/>
              <w:jc w:val="right"/>
              <w:rPr>
                <w:rFonts w:eastAsia="Times New Roman"/>
                <w:sz w:val="18"/>
                <w:szCs w:val="28"/>
              </w:rPr>
            </w:pPr>
            <w:r w:rsidRPr="008D6145">
              <w:rPr>
                <w:rFonts w:eastAsia="Times New Roman"/>
                <w:sz w:val="18"/>
                <w:szCs w:val="28"/>
              </w:rPr>
              <w:t>-</w:t>
            </w:r>
          </w:p>
        </w:tc>
        <w:tc>
          <w:tcPr>
            <w:tcW w:w="1985" w:type="dxa"/>
            <w:tcBorders>
              <w:bottom w:val="single" w:sz="12" w:space="0" w:color="auto"/>
            </w:tcBorders>
            <w:shd w:val="clear" w:color="auto" w:fill="auto"/>
            <w:noWrap/>
            <w:vAlign w:val="bottom"/>
            <w:hideMark/>
          </w:tcPr>
          <w:p w:rsidR="008D6145" w:rsidRPr="008D6145" w:rsidRDefault="008D6145" w:rsidP="008D6145">
            <w:pPr>
              <w:suppressAutoHyphens w:val="0"/>
              <w:kinsoku/>
              <w:overflowPunct/>
              <w:autoSpaceDE/>
              <w:autoSpaceDN/>
              <w:adjustRightInd/>
              <w:snapToGrid/>
              <w:spacing w:before="40" w:after="40" w:line="220" w:lineRule="exact"/>
              <w:jc w:val="right"/>
              <w:rPr>
                <w:rFonts w:eastAsia="Times New Roman"/>
                <w:sz w:val="18"/>
                <w:szCs w:val="28"/>
              </w:rPr>
            </w:pPr>
            <w:r w:rsidRPr="008D6145">
              <w:rPr>
                <w:rFonts w:eastAsia="Times New Roman"/>
                <w:sz w:val="18"/>
                <w:szCs w:val="28"/>
              </w:rPr>
              <w:t>-</w:t>
            </w:r>
          </w:p>
        </w:tc>
        <w:tc>
          <w:tcPr>
            <w:tcW w:w="1985" w:type="dxa"/>
            <w:tcBorders>
              <w:bottom w:val="single" w:sz="12" w:space="0" w:color="auto"/>
            </w:tcBorders>
            <w:shd w:val="clear" w:color="auto" w:fill="auto"/>
            <w:noWrap/>
            <w:vAlign w:val="bottom"/>
            <w:hideMark/>
          </w:tcPr>
          <w:p w:rsidR="008D6145" w:rsidRPr="00821D2B" w:rsidRDefault="008D6145" w:rsidP="008D6145">
            <w:pPr>
              <w:suppressAutoHyphens w:val="0"/>
              <w:kinsoku/>
              <w:overflowPunct/>
              <w:autoSpaceDE/>
              <w:autoSpaceDN/>
              <w:adjustRightInd/>
              <w:snapToGrid/>
              <w:spacing w:before="40" w:after="40" w:line="220" w:lineRule="exact"/>
              <w:jc w:val="right"/>
              <w:rPr>
                <w:rFonts w:eastAsia="Times New Roman"/>
                <w:b/>
                <w:bCs/>
                <w:sz w:val="18"/>
                <w:szCs w:val="28"/>
              </w:rPr>
            </w:pPr>
            <w:r w:rsidRPr="00821D2B">
              <w:rPr>
                <w:rFonts w:eastAsia="Times New Roman"/>
                <w:b/>
                <w:bCs/>
                <w:sz w:val="18"/>
                <w:szCs w:val="28"/>
              </w:rPr>
              <w:t>12 999</w:t>
            </w:r>
          </w:p>
        </w:tc>
      </w:tr>
    </w:tbl>
    <w:p w:rsidR="008D6145" w:rsidRPr="008D6145" w:rsidRDefault="008D6145" w:rsidP="00821D2B">
      <w:pPr>
        <w:kinsoku/>
        <w:overflowPunct/>
        <w:autoSpaceDE/>
        <w:autoSpaceDN/>
        <w:adjustRightInd/>
        <w:snapToGrid/>
        <w:spacing w:before="120" w:after="240"/>
        <w:ind w:left="1134" w:right="1134" w:firstLine="170"/>
        <w:rPr>
          <w:rFonts w:eastAsia="Times New Roman"/>
          <w:sz w:val="18"/>
          <w:szCs w:val="18"/>
        </w:rPr>
      </w:pPr>
      <w:r w:rsidRPr="008D6145">
        <w:rPr>
          <w:rFonts w:eastAsia="Times New Roman"/>
          <w:i/>
          <w:sz w:val="18"/>
          <w:szCs w:val="18"/>
        </w:rPr>
        <w:t>Source</w:t>
      </w:r>
      <w:r w:rsidRPr="008D6145">
        <w:rPr>
          <w:rFonts w:eastAsia="Times New Roman"/>
          <w:sz w:val="18"/>
          <w:szCs w:val="18"/>
        </w:rPr>
        <w:t> : MESRS/</w:t>
      </w:r>
      <w:r w:rsidRPr="00821D2B">
        <w:rPr>
          <w:rFonts w:eastAsia="Times New Roman"/>
          <w:iCs/>
          <w:sz w:val="18"/>
          <w:szCs w:val="18"/>
        </w:rPr>
        <w:t>2016</w:t>
      </w:r>
      <w:r w:rsidRPr="008D6145">
        <w:rPr>
          <w:rFonts w:eastAsia="Times New Roman"/>
          <w:sz w:val="18"/>
          <w:szCs w:val="18"/>
        </w:rPr>
        <w:t>.</w:t>
      </w:r>
    </w:p>
    <w:p w:rsidR="008D6145" w:rsidRPr="007F5F9D" w:rsidRDefault="008D6145" w:rsidP="007F5F9D">
      <w:pPr>
        <w:kinsoku/>
        <w:overflowPunct/>
        <w:autoSpaceDE/>
        <w:autoSpaceDN/>
        <w:adjustRightInd/>
        <w:snapToGrid/>
        <w:spacing w:after="240"/>
        <w:ind w:left="1134" w:right="1134" w:firstLine="170"/>
        <w:rPr>
          <w:rFonts w:eastAsia="Times New Roman"/>
          <w:sz w:val="18"/>
          <w:szCs w:val="18"/>
          <w:lang w:val="fr-FR"/>
        </w:rPr>
      </w:pPr>
      <w:r w:rsidRPr="007F5F9D">
        <w:rPr>
          <w:rFonts w:eastAsia="Times New Roman"/>
          <w:sz w:val="18"/>
          <w:szCs w:val="18"/>
          <w:lang w:val="fr-FR"/>
        </w:rPr>
        <w:lastRenderedPageBreak/>
        <w:t>NB: Les données de 2011-2012 et de 2012-2013 sur les étudiants du privé sont à prendre avec pincette. En effet pour ces deux années, les Etablissements privés n</w:t>
      </w:r>
      <w:r w:rsidR="00A033A7" w:rsidRPr="007F5F9D">
        <w:rPr>
          <w:rFonts w:eastAsia="Times New Roman"/>
          <w:sz w:val="18"/>
          <w:szCs w:val="18"/>
          <w:lang w:val="fr-FR"/>
        </w:rPr>
        <w:t>’</w:t>
      </w:r>
      <w:r w:rsidRPr="007F5F9D">
        <w:rPr>
          <w:rFonts w:eastAsia="Times New Roman"/>
          <w:sz w:val="18"/>
          <w:szCs w:val="18"/>
          <w:lang w:val="fr-FR"/>
        </w:rPr>
        <w:t>ont pas fourni les informations comme cela se doit.</w:t>
      </w:r>
    </w:p>
    <w:p w:rsidR="008D6145" w:rsidRPr="008D6145" w:rsidRDefault="00587C3F" w:rsidP="00821D2B">
      <w:pPr>
        <w:pStyle w:val="H23G"/>
      </w:pPr>
      <w:r>
        <w:tab/>
      </w:r>
      <w:r>
        <w:tab/>
      </w:r>
      <w:r w:rsidR="008D6145" w:rsidRPr="00821D2B">
        <w:rPr>
          <w:b w:val="0"/>
          <w:bCs/>
        </w:rPr>
        <w:t xml:space="preserve">Tableau </w:t>
      </w:r>
      <w:r w:rsidRPr="00587C3F">
        <w:rPr>
          <w:rFonts w:eastAsia="Times New Roman"/>
          <w:b w:val="0"/>
          <w:bCs/>
          <w:lang w:val="fr-FR"/>
        </w:rPr>
        <w:t>n</w:t>
      </w:r>
      <w:r w:rsidRPr="00587C3F">
        <w:rPr>
          <w:rFonts w:eastAsia="Times New Roman"/>
          <w:b w:val="0"/>
          <w:bCs/>
          <w:vertAlign w:val="superscript"/>
          <w:lang w:val="fr-FR"/>
        </w:rPr>
        <w:t>o</w:t>
      </w:r>
      <w:r w:rsidRPr="00587C3F">
        <w:rPr>
          <w:rFonts w:eastAsia="Times New Roman"/>
          <w:b w:val="0"/>
          <w:bCs/>
          <w:lang w:val="fr-FR"/>
        </w:rPr>
        <w:t> </w:t>
      </w:r>
      <w:r w:rsidR="008D6145" w:rsidRPr="00821D2B">
        <w:rPr>
          <w:b w:val="0"/>
          <w:bCs/>
        </w:rPr>
        <w:t>14</w:t>
      </w:r>
      <w:r w:rsidR="008D6145" w:rsidRPr="008D6145">
        <w:t xml:space="preserve"> </w:t>
      </w:r>
      <w:r w:rsidR="008D6145" w:rsidRPr="008D6145">
        <w:br/>
        <w:t>Effectifs des enseignants du public de 2007-2008 à 2015-2016</w:t>
      </w:r>
    </w:p>
    <w:tbl>
      <w:tblPr>
        <w:tblW w:w="0" w:type="auto"/>
        <w:tblInd w:w="1134" w:type="dxa"/>
        <w:tblLayout w:type="fixed"/>
        <w:tblCellMar>
          <w:left w:w="0" w:type="dxa"/>
          <w:right w:w="0" w:type="dxa"/>
        </w:tblCellMar>
        <w:tblLook w:val="04A0" w:firstRow="1" w:lastRow="0" w:firstColumn="1" w:lastColumn="0" w:noHBand="0" w:noVBand="1"/>
      </w:tblPr>
      <w:tblGrid>
        <w:gridCol w:w="1701"/>
        <w:gridCol w:w="1134"/>
        <w:gridCol w:w="1134"/>
        <w:gridCol w:w="1134"/>
        <w:gridCol w:w="1134"/>
        <w:gridCol w:w="1134"/>
        <w:gridCol w:w="1134"/>
      </w:tblGrid>
      <w:tr w:rsidR="008D6145" w:rsidRPr="008D6145" w:rsidTr="00821D2B">
        <w:trPr>
          <w:tblHeader/>
        </w:trPr>
        <w:tc>
          <w:tcPr>
            <w:tcW w:w="1701" w:type="dxa"/>
            <w:tcBorders>
              <w:top w:val="single" w:sz="4" w:space="0" w:color="auto"/>
              <w:bottom w:val="single" w:sz="12" w:space="0" w:color="auto"/>
            </w:tcBorders>
            <w:shd w:val="clear" w:color="auto" w:fill="auto"/>
            <w:noWrap/>
            <w:vAlign w:val="bottom"/>
            <w:hideMark/>
          </w:tcPr>
          <w:p w:rsidR="008D6145" w:rsidRPr="008D6145" w:rsidRDefault="008D6145" w:rsidP="008D6145">
            <w:pPr>
              <w:suppressAutoHyphens w:val="0"/>
              <w:kinsoku/>
              <w:overflowPunct/>
              <w:autoSpaceDE/>
              <w:autoSpaceDN/>
              <w:adjustRightInd/>
              <w:snapToGrid/>
              <w:spacing w:before="80" w:after="80" w:line="200" w:lineRule="exact"/>
              <w:rPr>
                <w:rFonts w:eastAsia="Times New Roman"/>
                <w:bCs/>
                <w:i/>
                <w:spacing w:val="4"/>
                <w:w w:val="103"/>
                <w:kern w:val="14"/>
                <w:sz w:val="16"/>
                <w:szCs w:val="28"/>
              </w:rPr>
            </w:pPr>
            <w:r w:rsidRPr="008D6145">
              <w:rPr>
                <w:rFonts w:eastAsia="Times New Roman"/>
                <w:bCs/>
                <w:i/>
                <w:spacing w:val="4"/>
                <w:w w:val="103"/>
                <w:kern w:val="14"/>
                <w:sz w:val="16"/>
                <w:szCs w:val="28"/>
              </w:rPr>
              <w:t>Années</w:t>
            </w:r>
          </w:p>
        </w:tc>
        <w:tc>
          <w:tcPr>
            <w:tcW w:w="1134" w:type="dxa"/>
            <w:tcBorders>
              <w:top w:val="single" w:sz="4" w:space="0" w:color="auto"/>
              <w:bottom w:val="single" w:sz="12" w:space="0" w:color="auto"/>
            </w:tcBorders>
            <w:shd w:val="clear" w:color="auto" w:fill="auto"/>
            <w:vAlign w:val="bottom"/>
            <w:hideMark/>
          </w:tcPr>
          <w:p w:rsidR="008D6145" w:rsidRPr="008D6145" w:rsidRDefault="008D6145" w:rsidP="00821D2B">
            <w:pPr>
              <w:suppressAutoHyphens w:val="0"/>
              <w:kinsoku/>
              <w:overflowPunct/>
              <w:autoSpaceDE/>
              <w:autoSpaceDN/>
              <w:adjustRightInd/>
              <w:snapToGrid/>
              <w:spacing w:before="80" w:after="80" w:line="200" w:lineRule="exact"/>
              <w:jc w:val="right"/>
              <w:rPr>
                <w:rFonts w:eastAsia="Times New Roman"/>
                <w:bCs/>
                <w:i/>
                <w:spacing w:val="4"/>
                <w:w w:val="103"/>
                <w:kern w:val="14"/>
                <w:sz w:val="16"/>
                <w:szCs w:val="28"/>
              </w:rPr>
            </w:pPr>
            <w:r w:rsidRPr="008D6145">
              <w:rPr>
                <w:rFonts w:eastAsia="Times New Roman"/>
                <w:bCs/>
                <w:i/>
                <w:spacing w:val="4"/>
                <w:w w:val="103"/>
                <w:kern w:val="14"/>
                <w:sz w:val="16"/>
                <w:szCs w:val="28"/>
              </w:rPr>
              <w:t>Professeurs titulaires</w:t>
            </w:r>
          </w:p>
        </w:tc>
        <w:tc>
          <w:tcPr>
            <w:tcW w:w="1134" w:type="dxa"/>
            <w:tcBorders>
              <w:top w:val="single" w:sz="4" w:space="0" w:color="auto"/>
              <w:bottom w:val="single" w:sz="12" w:space="0" w:color="auto"/>
            </w:tcBorders>
            <w:shd w:val="clear" w:color="auto" w:fill="auto"/>
            <w:vAlign w:val="bottom"/>
            <w:hideMark/>
          </w:tcPr>
          <w:p w:rsidR="008D6145" w:rsidRPr="008D6145" w:rsidRDefault="008D6145" w:rsidP="00821D2B">
            <w:pPr>
              <w:suppressAutoHyphens w:val="0"/>
              <w:kinsoku/>
              <w:overflowPunct/>
              <w:autoSpaceDE/>
              <w:autoSpaceDN/>
              <w:adjustRightInd/>
              <w:snapToGrid/>
              <w:spacing w:before="80" w:after="80" w:line="200" w:lineRule="exact"/>
              <w:jc w:val="right"/>
              <w:rPr>
                <w:rFonts w:eastAsia="Times New Roman"/>
                <w:bCs/>
                <w:i/>
                <w:spacing w:val="4"/>
                <w:w w:val="103"/>
                <w:kern w:val="14"/>
                <w:sz w:val="16"/>
                <w:szCs w:val="28"/>
              </w:rPr>
            </w:pPr>
            <w:r w:rsidRPr="008D6145">
              <w:rPr>
                <w:rFonts w:eastAsia="Times New Roman"/>
                <w:bCs/>
                <w:i/>
                <w:spacing w:val="4"/>
                <w:w w:val="103"/>
                <w:kern w:val="14"/>
                <w:sz w:val="16"/>
                <w:szCs w:val="28"/>
              </w:rPr>
              <w:t>Maîtres de conférences</w:t>
            </w:r>
          </w:p>
        </w:tc>
        <w:tc>
          <w:tcPr>
            <w:tcW w:w="1134" w:type="dxa"/>
            <w:tcBorders>
              <w:top w:val="single" w:sz="4" w:space="0" w:color="auto"/>
              <w:bottom w:val="single" w:sz="12" w:space="0" w:color="auto"/>
            </w:tcBorders>
            <w:shd w:val="clear" w:color="auto" w:fill="auto"/>
            <w:vAlign w:val="bottom"/>
            <w:hideMark/>
          </w:tcPr>
          <w:p w:rsidR="008D6145" w:rsidRPr="008D6145" w:rsidRDefault="008D6145" w:rsidP="00821D2B">
            <w:pPr>
              <w:suppressAutoHyphens w:val="0"/>
              <w:kinsoku/>
              <w:overflowPunct/>
              <w:autoSpaceDE/>
              <w:autoSpaceDN/>
              <w:adjustRightInd/>
              <w:snapToGrid/>
              <w:spacing w:before="80" w:after="80" w:line="200" w:lineRule="exact"/>
              <w:jc w:val="right"/>
              <w:rPr>
                <w:rFonts w:eastAsia="Times New Roman"/>
                <w:bCs/>
                <w:i/>
                <w:spacing w:val="4"/>
                <w:w w:val="103"/>
                <w:kern w:val="14"/>
                <w:sz w:val="16"/>
                <w:szCs w:val="28"/>
              </w:rPr>
            </w:pPr>
            <w:r w:rsidRPr="008D6145">
              <w:rPr>
                <w:rFonts w:eastAsia="Times New Roman"/>
                <w:bCs/>
                <w:i/>
                <w:spacing w:val="4"/>
                <w:w w:val="103"/>
                <w:kern w:val="14"/>
                <w:sz w:val="16"/>
                <w:szCs w:val="28"/>
              </w:rPr>
              <w:t>Maîtres assistants</w:t>
            </w:r>
          </w:p>
        </w:tc>
        <w:tc>
          <w:tcPr>
            <w:tcW w:w="1134" w:type="dxa"/>
            <w:tcBorders>
              <w:top w:val="single" w:sz="4" w:space="0" w:color="auto"/>
              <w:bottom w:val="single" w:sz="12" w:space="0" w:color="auto"/>
            </w:tcBorders>
            <w:shd w:val="clear" w:color="auto" w:fill="auto"/>
            <w:vAlign w:val="bottom"/>
            <w:hideMark/>
          </w:tcPr>
          <w:p w:rsidR="008D6145" w:rsidRPr="008D6145" w:rsidRDefault="008D6145" w:rsidP="00821D2B">
            <w:pPr>
              <w:suppressAutoHyphens w:val="0"/>
              <w:kinsoku/>
              <w:overflowPunct/>
              <w:autoSpaceDE/>
              <w:autoSpaceDN/>
              <w:adjustRightInd/>
              <w:snapToGrid/>
              <w:spacing w:before="80" w:after="80" w:line="200" w:lineRule="exact"/>
              <w:jc w:val="right"/>
              <w:rPr>
                <w:rFonts w:eastAsia="Times New Roman"/>
                <w:bCs/>
                <w:i/>
                <w:spacing w:val="4"/>
                <w:w w:val="103"/>
                <w:kern w:val="14"/>
                <w:sz w:val="16"/>
                <w:szCs w:val="28"/>
              </w:rPr>
            </w:pPr>
            <w:r w:rsidRPr="008D6145">
              <w:rPr>
                <w:rFonts w:eastAsia="Times New Roman"/>
                <w:bCs/>
                <w:i/>
                <w:spacing w:val="4"/>
                <w:w w:val="103"/>
                <w:kern w:val="14"/>
                <w:sz w:val="16"/>
                <w:szCs w:val="28"/>
              </w:rPr>
              <w:t>Assistants</w:t>
            </w:r>
          </w:p>
        </w:tc>
        <w:tc>
          <w:tcPr>
            <w:tcW w:w="1134" w:type="dxa"/>
            <w:tcBorders>
              <w:top w:val="single" w:sz="4" w:space="0" w:color="auto"/>
              <w:bottom w:val="single" w:sz="12" w:space="0" w:color="auto"/>
            </w:tcBorders>
            <w:shd w:val="clear" w:color="auto" w:fill="auto"/>
            <w:vAlign w:val="bottom"/>
            <w:hideMark/>
          </w:tcPr>
          <w:p w:rsidR="008D6145" w:rsidRPr="008D6145" w:rsidRDefault="008D6145" w:rsidP="00821D2B">
            <w:pPr>
              <w:suppressAutoHyphens w:val="0"/>
              <w:kinsoku/>
              <w:overflowPunct/>
              <w:autoSpaceDE/>
              <w:autoSpaceDN/>
              <w:adjustRightInd/>
              <w:snapToGrid/>
              <w:spacing w:before="80" w:after="80" w:line="200" w:lineRule="exact"/>
              <w:jc w:val="right"/>
              <w:rPr>
                <w:rFonts w:eastAsia="Times New Roman"/>
                <w:bCs/>
                <w:i/>
                <w:spacing w:val="4"/>
                <w:w w:val="103"/>
                <w:kern w:val="14"/>
                <w:sz w:val="16"/>
                <w:szCs w:val="28"/>
              </w:rPr>
            </w:pPr>
            <w:r w:rsidRPr="008D6145">
              <w:rPr>
                <w:rFonts w:eastAsia="Times New Roman"/>
                <w:bCs/>
                <w:i/>
                <w:spacing w:val="4"/>
                <w:w w:val="103"/>
                <w:kern w:val="14"/>
                <w:sz w:val="16"/>
                <w:szCs w:val="28"/>
              </w:rPr>
              <w:t>Autres</w:t>
            </w:r>
          </w:p>
        </w:tc>
        <w:tc>
          <w:tcPr>
            <w:tcW w:w="1134" w:type="dxa"/>
            <w:tcBorders>
              <w:top w:val="single" w:sz="4" w:space="0" w:color="auto"/>
              <w:bottom w:val="single" w:sz="12" w:space="0" w:color="auto"/>
            </w:tcBorders>
            <w:shd w:val="clear" w:color="auto" w:fill="auto"/>
            <w:vAlign w:val="bottom"/>
            <w:hideMark/>
          </w:tcPr>
          <w:p w:rsidR="008D6145" w:rsidRPr="00821D2B" w:rsidRDefault="008D6145" w:rsidP="00821D2B">
            <w:pPr>
              <w:suppressAutoHyphens w:val="0"/>
              <w:kinsoku/>
              <w:overflowPunct/>
              <w:autoSpaceDE/>
              <w:autoSpaceDN/>
              <w:adjustRightInd/>
              <w:snapToGrid/>
              <w:spacing w:before="80" w:after="80" w:line="200" w:lineRule="exact"/>
              <w:jc w:val="right"/>
              <w:rPr>
                <w:rFonts w:eastAsia="Times New Roman"/>
                <w:b/>
                <w:i/>
                <w:spacing w:val="4"/>
                <w:w w:val="103"/>
                <w:kern w:val="14"/>
                <w:sz w:val="16"/>
                <w:szCs w:val="28"/>
              </w:rPr>
            </w:pPr>
            <w:r w:rsidRPr="00821D2B">
              <w:rPr>
                <w:rFonts w:eastAsia="Times New Roman"/>
                <w:b/>
                <w:i/>
                <w:spacing w:val="4"/>
                <w:w w:val="103"/>
                <w:kern w:val="14"/>
                <w:sz w:val="16"/>
                <w:szCs w:val="28"/>
              </w:rPr>
              <w:t>Total</w:t>
            </w:r>
          </w:p>
        </w:tc>
      </w:tr>
      <w:tr w:rsidR="008D6145" w:rsidRPr="008D6145" w:rsidTr="00821D2B">
        <w:tc>
          <w:tcPr>
            <w:tcW w:w="1701" w:type="dxa"/>
            <w:tcBorders>
              <w:top w:val="single" w:sz="12" w:space="0" w:color="auto"/>
            </w:tcBorders>
            <w:shd w:val="clear" w:color="auto" w:fill="auto"/>
            <w:noWrap/>
            <w:hideMark/>
          </w:tcPr>
          <w:p w:rsidR="008D6145" w:rsidRPr="00821D2B" w:rsidRDefault="008D6145" w:rsidP="008D6145">
            <w:pPr>
              <w:suppressAutoHyphens w:val="0"/>
              <w:kinsoku/>
              <w:overflowPunct/>
              <w:autoSpaceDE/>
              <w:autoSpaceDN/>
              <w:adjustRightInd/>
              <w:snapToGrid/>
              <w:spacing w:before="40" w:after="40" w:line="220" w:lineRule="exact"/>
              <w:rPr>
                <w:rFonts w:eastAsia="Times New Roman"/>
                <w:sz w:val="18"/>
                <w:szCs w:val="28"/>
              </w:rPr>
            </w:pPr>
            <w:r w:rsidRPr="00821D2B">
              <w:rPr>
                <w:rFonts w:eastAsia="Times New Roman"/>
                <w:sz w:val="18"/>
                <w:szCs w:val="28"/>
              </w:rPr>
              <w:t>2007-2008</w:t>
            </w:r>
          </w:p>
        </w:tc>
        <w:tc>
          <w:tcPr>
            <w:tcW w:w="1134" w:type="dxa"/>
            <w:tcBorders>
              <w:top w:val="single" w:sz="12" w:space="0" w:color="auto"/>
            </w:tcBorders>
            <w:shd w:val="clear" w:color="auto" w:fill="auto"/>
            <w:noWrap/>
            <w:vAlign w:val="bottom"/>
            <w:hideMark/>
          </w:tcPr>
          <w:p w:rsidR="008D6145" w:rsidRPr="008D6145" w:rsidRDefault="008D6145">
            <w:pPr>
              <w:suppressAutoHyphens w:val="0"/>
              <w:kinsoku/>
              <w:overflowPunct/>
              <w:autoSpaceDE/>
              <w:autoSpaceDN/>
              <w:adjustRightInd/>
              <w:snapToGrid/>
              <w:spacing w:before="40" w:after="40" w:line="220" w:lineRule="exact"/>
              <w:jc w:val="right"/>
              <w:rPr>
                <w:rFonts w:eastAsia="Times New Roman"/>
                <w:sz w:val="18"/>
                <w:szCs w:val="28"/>
              </w:rPr>
            </w:pPr>
            <w:r w:rsidRPr="008D6145">
              <w:rPr>
                <w:rFonts w:eastAsia="Times New Roman"/>
                <w:sz w:val="18"/>
                <w:szCs w:val="28"/>
              </w:rPr>
              <w:t>56</w:t>
            </w:r>
          </w:p>
        </w:tc>
        <w:tc>
          <w:tcPr>
            <w:tcW w:w="1134" w:type="dxa"/>
            <w:tcBorders>
              <w:top w:val="single" w:sz="12" w:space="0" w:color="auto"/>
            </w:tcBorders>
            <w:shd w:val="clear" w:color="auto" w:fill="auto"/>
            <w:noWrap/>
            <w:vAlign w:val="bottom"/>
            <w:hideMark/>
          </w:tcPr>
          <w:p w:rsidR="008D6145" w:rsidRPr="008D6145" w:rsidRDefault="008D6145">
            <w:pPr>
              <w:suppressAutoHyphens w:val="0"/>
              <w:kinsoku/>
              <w:overflowPunct/>
              <w:autoSpaceDE/>
              <w:autoSpaceDN/>
              <w:adjustRightInd/>
              <w:snapToGrid/>
              <w:spacing w:before="40" w:after="40" w:line="220" w:lineRule="exact"/>
              <w:jc w:val="right"/>
              <w:rPr>
                <w:rFonts w:eastAsia="Times New Roman"/>
                <w:sz w:val="18"/>
                <w:szCs w:val="28"/>
              </w:rPr>
            </w:pPr>
            <w:r w:rsidRPr="008D6145">
              <w:rPr>
                <w:rFonts w:eastAsia="Times New Roman"/>
                <w:sz w:val="18"/>
                <w:szCs w:val="28"/>
              </w:rPr>
              <w:t>101</w:t>
            </w:r>
          </w:p>
        </w:tc>
        <w:tc>
          <w:tcPr>
            <w:tcW w:w="1134" w:type="dxa"/>
            <w:tcBorders>
              <w:top w:val="single" w:sz="12" w:space="0" w:color="auto"/>
            </w:tcBorders>
            <w:shd w:val="clear" w:color="auto" w:fill="auto"/>
            <w:noWrap/>
            <w:vAlign w:val="bottom"/>
            <w:hideMark/>
          </w:tcPr>
          <w:p w:rsidR="008D6145" w:rsidRPr="008D6145" w:rsidRDefault="008D6145">
            <w:pPr>
              <w:suppressAutoHyphens w:val="0"/>
              <w:kinsoku/>
              <w:overflowPunct/>
              <w:autoSpaceDE/>
              <w:autoSpaceDN/>
              <w:adjustRightInd/>
              <w:snapToGrid/>
              <w:spacing w:before="40" w:after="40" w:line="220" w:lineRule="exact"/>
              <w:jc w:val="right"/>
              <w:rPr>
                <w:rFonts w:eastAsia="Times New Roman"/>
                <w:sz w:val="18"/>
                <w:szCs w:val="28"/>
              </w:rPr>
            </w:pPr>
            <w:r w:rsidRPr="008D6145">
              <w:rPr>
                <w:rFonts w:eastAsia="Times New Roman"/>
                <w:sz w:val="18"/>
                <w:szCs w:val="28"/>
              </w:rPr>
              <w:t>243</w:t>
            </w:r>
          </w:p>
        </w:tc>
        <w:tc>
          <w:tcPr>
            <w:tcW w:w="1134" w:type="dxa"/>
            <w:tcBorders>
              <w:top w:val="single" w:sz="12" w:space="0" w:color="auto"/>
            </w:tcBorders>
            <w:shd w:val="clear" w:color="auto" w:fill="auto"/>
            <w:noWrap/>
            <w:vAlign w:val="bottom"/>
            <w:hideMark/>
          </w:tcPr>
          <w:p w:rsidR="008D6145" w:rsidRPr="008D6145" w:rsidRDefault="008D6145">
            <w:pPr>
              <w:suppressAutoHyphens w:val="0"/>
              <w:kinsoku/>
              <w:overflowPunct/>
              <w:autoSpaceDE/>
              <w:autoSpaceDN/>
              <w:adjustRightInd/>
              <w:snapToGrid/>
              <w:spacing w:before="40" w:after="40" w:line="220" w:lineRule="exact"/>
              <w:jc w:val="right"/>
              <w:rPr>
                <w:rFonts w:eastAsia="Times New Roman"/>
                <w:sz w:val="18"/>
                <w:szCs w:val="28"/>
              </w:rPr>
            </w:pPr>
            <w:r w:rsidRPr="008D6145">
              <w:rPr>
                <w:rFonts w:eastAsia="Times New Roman"/>
                <w:sz w:val="18"/>
                <w:szCs w:val="28"/>
              </w:rPr>
              <w:t>347</w:t>
            </w:r>
          </w:p>
        </w:tc>
        <w:tc>
          <w:tcPr>
            <w:tcW w:w="1134" w:type="dxa"/>
            <w:tcBorders>
              <w:top w:val="single" w:sz="12" w:space="0" w:color="auto"/>
            </w:tcBorders>
            <w:shd w:val="clear" w:color="auto" w:fill="auto"/>
            <w:noWrap/>
            <w:vAlign w:val="bottom"/>
            <w:hideMark/>
          </w:tcPr>
          <w:p w:rsidR="008D6145" w:rsidRPr="008D6145" w:rsidRDefault="008D6145">
            <w:pPr>
              <w:suppressAutoHyphens w:val="0"/>
              <w:kinsoku/>
              <w:overflowPunct/>
              <w:autoSpaceDE/>
              <w:autoSpaceDN/>
              <w:adjustRightInd/>
              <w:snapToGrid/>
              <w:spacing w:before="40" w:after="40" w:line="220" w:lineRule="exact"/>
              <w:jc w:val="right"/>
              <w:rPr>
                <w:rFonts w:eastAsia="Times New Roman"/>
                <w:sz w:val="18"/>
                <w:szCs w:val="28"/>
              </w:rPr>
            </w:pPr>
            <w:r w:rsidRPr="008D6145">
              <w:rPr>
                <w:rFonts w:eastAsia="Times New Roman"/>
                <w:sz w:val="18"/>
                <w:szCs w:val="28"/>
              </w:rPr>
              <w:t>164</w:t>
            </w:r>
          </w:p>
        </w:tc>
        <w:tc>
          <w:tcPr>
            <w:tcW w:w="1134" w:type="dxa"/>
            <w:tcBorders>
              <w:top w:val="single" w:sz="12" w:space="0" w:color="auto"/>
            </w:tcBorders>
            <w:shd w:val="clear" w:color="auto" w:fill="auto"/>
            <w:noWrap/>
            <w:vAlign w:val="bottom"/>
            <w:hideMark/>
          </w:tcPr>
          <w:p w:rsidR="008D6145" w:rsidRPr="00587C3F" w:rsidRDefault="008D6145">
            <w:pPr>
              <w:suppressAutoHyphens w:val="0"/>
              <w:kinsoku/>
              <w:overflowPunct/>
              <w:autoSpaceDE/>
              <w:autoSpaceDN/>
              <w:adjustRightInd/>
              <w:snapToGrid/>
              <w:spacing w:before="40" w:after="40" w:line="220" w:lineRule="exact"/>
              <w:jc w:val="right"/>
              <w:rPr>
                <w:rFonts w:eastAsia="Times New Roman"/>
                <w:b/>
                <w:sz w:val="18"/>
                <w:szCs w:val="28"/>
              </w:rPr>
            </w:pPr>
            <w:r w:rsidRPr="00587C3F">
              <w:rPr>
                <w:rFonts w:eastAsia="Times New Roman"/>
                <w:b/>
                <w:sz w:val="18"/>
                <w:szCs w:val="28"/>
              </w:rPr>
              <w:t>911</w:t>
            </w:r>
          </w:p>
        </w:tc>
      </w:tr>
      <w:tr w:rsidR="008D6145" w:rsidRPr="008D6145" w:rsidTr="00821D2B">
        <w:tc>
          <w:tcPr>
            <w:tcW w:w="1701" w:type="dxa"/>
            <w:shd w:val="clear" w:color="auto" w:fill="auto"/>
            <w:noWrap/>
            <w:hideMark/>
          </w:tcPr>
          <w:p w:rsidR="008D6145" w:rsidRPr="00821D2B" w:rsidRDefault="008D6145" w:rsidP="008D6145">
            <w:pPr>
              <w:suppressAutoHyphens w:val="0"/>
              <w:kinsoku/>
              <w:overflowPunct/>
              <w:autoSpaceDE/>
              <w:autoSpaceDN/>
              <w:adjustRightInd/>
              <w:snapToGrid/>
              <w:spacing w:before="40" w:after="40" w:line="220" w:lineRule="exact"/>
              <w:rPr>
                <w:rFonts w:eastAsia="Times New Roman"/>
                <w:sz w:val="18"/>
                <w:szCs w:val="28"/>
              </w:rPr>
            </w:pPr>
            <w:r w:rsidRPr="00821D2B">
              <w:rPr>
                <w:rFonts w:eastAsia="Times New Roman"/>
                <w:sz w:val="18"/>
                <w:szCs w:val="28"/>
              </w:rPr>
              <w:t>2008-2009</w:t>
            </w:r>
          </w:p>
        </w:tc>
        <w:tc>
          <w:tcPr>
            <w:tcW w:w="1134" w:type="dxa"/>
            <w:shd w:val="clear" w:color="auto" w:fill="auto"/>
            <w:noWrap/>
            <w:vAlign w:val="bottom"/>
            <w:hideMark/>
          </w:tcPr>
          <w:p w:rsidR="008D6145" w:rsidRPr="008D6145" w:rsidRDefault="008D6145">
            <w:pPr>
              <w:suppressAutoHyphens w:val="0"/>
              <w:kinsoku/>
              <w:overflowPunct/>
              <w:autoSpaceDE/>
              <w:autoSpaceDN/>
              <w:adjustRightInd/>
              <w:snapToGrid/>
              <w:spacing w:before="40" w:after="40" w:line="220" w:lineRule="exact"/>
              <w:jc w:val="right"/>
              <w:rPr>
                <w:rFonts w:eastAsia="Times New Roman"/>
                <w:sz w:val="18"/>
                <w:szCs w:val="28"/>
              </w:rPr>
            </w:pPr>
            <w:r w:rsidRPr="008D6145">
              <w:rPr>
                <w:rFonts w:eastAsia="Times New Roman"/>
                <w:sz w:val="18"/>
                <w:szCs w:val="28"/>
              </w:rPr>
              <w:t>62</w:t>
            </w:r>
          </w:p>
        </w:tc>
        <w:tc>
          <w:tcPr>
            <w:tcW w:w="1134" w:type="dxa"/>
            <w:shd w:val="clear" w:color="auto" w:fill="auto"/>
            <w:noWrap/>
            <w:vAlign w:val="bottom"/>
            <w:hideMark/>
          </w:tcPr>
          <w:p w:rsidR="008D6145" w:rsidRPr="008D6145" w:rsidRDefault="008D6145">
            <w:pPr>
              <w:suppressAutoHyphens w:val="0"/>
              <w:kinsoku/>
              <w:overflowPunct/>
              <w:autoSpaceDE/>
              <w:autoSpaceDN/>
              <w:adjustRightInd/>
              <w:snapToGrid/>
              <w:spacing w:before="40" w:after="40" w:line="220" w:lineRule="exact"/>
              <w:jc w:val="right"/>
              <w:rPr>
                <w:rFonts w:eastAsia="Times New Roman"/>
                <w:sz w:val="18"/>
                <w:szCs w:val="28"/>
              </w:rPr>
            </w:pPr>
            <w:r w:rsidRPr="008D6145">
              <w:rPr>
                <w:rFonts w:eastAsia="Times New Roman"/>
                <w:sz w:val="18"/>
                <w:szCs w:val="28"/>
              </w:rPr>
              <w:t>116</w:t>
            </w:r>
          </w:p>
        </w:tc>
        <w:tc>
          <w:tcPr>
            <w:tcW w:w="1134" w:type="dxa"/>
            <w:shd w:val="clear" w:color="auto" w:fill="auto"/>
            <w:noWrap/>
            <w:vAlign w:val="bottom"/>
            <w:hideMark/>
          </w:tcPr>
          <w:p w:rsidR="008D6145" w:rsidRPr="008D6145" w:rsidRDefault="008D6145">
            <w:pPr>
              <w:suppressAutoHyphens w:val="0"/>
              <w:kinsoku/>
              <w:overflowPunct/>
              <w:autoSpaceDE/>
              <w:autoSpaceDN/>
              <w:adjustRightInd/>
              <w:snapToGrid/>
              <w:spacing w:before="40" w:after="40" w:line="220" w:lineRule="exact"/>
              <w:jc w:val="right"/>
              <w:rPr>
                <w:rFonts w:eastAsia="Times New Roman"/>
                <w:sz w:val="18"/>
                <w:szCs w:val="28"/>
              </w:rPr>
            </w:pPr>
            <w:r w:rsidRPr="008D6145">
              <w:rPr>
                <w:rFonts w:eastAsia="Times New Roman"/>
                <w:sz w:val="18"/>
                <w:szCs w:val="28"/>
              </w:rPr>
              <w:t>251</w:t>
            </w:r>
          </w:p>
        </w:tc>
        <w:tc>
          <w:tcPr>
            <w:tcW w:w="1134" w:type="dxa"/>
            <w:shd w:val="clear" w:color="auto" w:fill="auto"/>
            <w:noWrap/>
            <w:vAlign w:val="bottom"/>
            <w:hideMark/>
          </w:tcPr>
          <w:p w:rsidR="008D6145" w:rsidRPr="008D6145" w:rsidRDefault="008D6145">
            <w:pPr>
              <w:suppressAutoHyphens w:val="0"/>
              <w:kinsoku/>
              <w:overflowPunct/>
              <w:autoSpaceDE/>
              <w:autoSpaceDN/>
              <w:adjustRightInd/>
              <w:snapToGrid/>
              <w:spacing w:before="40" w:after="40" w:line="220" w:lineRule="exact"/>
              <w:jc w:val="right"/>
              <w:rPr>
                <w:rFonts w:eastAsia="Times New Roman"/>
                <w:sz w:val="18"/>
                <w:szCs w:val="28"/>
              </w:rPr>
            </w:pPr>
            <w:r w:rsidRPr="008D6145">
              <w:rPr>
                <w:rFonts w:eastAsia="Times New Roman"/>
                <w:sz w:val="18"/>
                <w:szCs w:val="28"/>
              </w:rPr>
              <w:t>339</w:t>
            </w:r>
          </w:p>
        </w:tc>
        <w:tc>
          <w:tcPr>
            <w:tcW w:w="1134" w:type="dxa"/>
            <w:shd w:val="clear" w:color="auto" w:fill="auto"/>
            <w:noWrap/>
            <w:vAlign w:val="bottom"/>
            <w:hideMark/>
          </w:tcPr>
          <w:p w:rsidR="008D6145" w:rsidRPr="008D6145" w:rsidRDefault="008D6145">
            <w:pPr>
              <w:suppressAutoHyphens w:val="0"/>
              <w:kinsoku/>
              <w:overflowPunct/>
              <w:autoSpaceDE/>
              <w:autoSpaceDN/>
              <w:adjustRightInd/>
              <w:snapToGrid/>
              <w:spacing w:before="40" w:after="40" w:line="220" w:lineRule="exact"/>
              <w:jc w:val="right"/>
              <w:rPr>
                <w:rFonts w:eastAsia="Times New Roman"/>
                <w:sz w:val="18"/>
                <w:szCs w:val="28"/>
              </w:rPr>
            </w:pPr>
            <w:r w:rsidRPr="008D6145">
              <w:rPr>
                <w:rFonts w:eastAsia="Times New Roman"/>
                <w:sz w:val="18"/>
                <w:szCs w:val="28"/>
              </w:rPr>
              <w:t>163</w:t>
            </w:r>
          </w:p>
        </w:tc>
        <w:tc>
          <w:tcPr>
            <w:tcW w:w="1134" w:type="dxa"/>
            <w:shd w:val="clear" w:color="auto" w:fill="auto"/>
            <w:noWrap/>
            <w:vAlign w:val="bottom"/>
            <w:hideMark/>
          </w:tcPr>
          <w:p w:rsidR="008D6145" w:rsidRPr="00587C3F" w:rsidRDefault="008D6145">
            <w:pPr>
              <w:suppressAutoHyphens w:val="0"/>
              <w:kinsoku/>
              <w:overflowPunct/>
              <w:autoSpaceDE/>
              <w:autoSpaceDN/>
              <w:adjustRightInd/>
              <w:snapToGrid/>
              <w:spacing w:before="40" w:after="40" w:line="220" w:lineRule="exact"/>
              <w:jc w:val="right"/>
              <w:rPr>
                <w:rFonts w:eastAsia="Times New Roman"/>
                <w:b/>
                <w:sz w:val="18"/>
                <w:szCs w:val="28"/>
              </w:rPr>
            </w:pPr>
            <w:r w:rsidRPr="00587C3F">
              <w:rPr>
                <w:rFonts w:eastAsia="Times New Roman"/>
                <w:b/>
                <w:sz w:val="18"/>
                <w:szCs w:val="28"/>
              </w:rPr>
              <w:t>931</w:t>
            </w:r>
          </w:p>
        </w:tc>
      </w:tr>
      <w:tr w:rsidR="008D6145" w:rsidRPr="008D6145" w:rsidTr="00821D2B">
        <w:tc>
          <w:tcPr>
            <w:tcW w:w="1701" w:type="dxa"/>
            <w:shd w:val="clear" w:color="auto" w:fill="auto"/>
            <w:noWrap/>
            <w:hideMark/>
          </w:tcPr>
          <w:p w:rsidR="008D6145" w:rsidRPr="00821D2B" w:rsidRDefault="008D6145" w:rsidP="008D6145">
            <w:pPr>
              <w:suppressAutoHyphens w:val="0"/>
              <w:kinsoku/>
              <w:overflowPunct/>
              <w:autoSpaceDE/>
              <w:autoSpaceDN/>
              <w:adjustRightInd/>
              <w:snapToGrid/>
              <w:spacing w:before="40" w:after="40" w:line="220" w:lineRule="exact"/>
              <w:rPr>
                <w:rFonts w:eastAsia="Times New Roman"/>
                <w:sz w:val="18"/>
                <w:szCs w:val="28"/>
              </w:rPr>
            </w:pPr>
            <w:r w:rsidRPr="00821D2B">
              <w:rPr>
                <w:rFonts w:eastAsia="Times New Roman"/>
                <w:sz w:val="18"/>
                <w:szCs w:val="28"/>
              </w:rPr>
              <w:t>2009-2010</w:t>
            </w:r>
          </w:p>
        </w:tc>
        <w:tc>
          <w:tcPr>
            <w:tcW w:w="1134" w:type="dxa"/>
            <w:shd w:val="clear" w:color="auto" w:fill="auto"/>
            <w:noWrap/>
            <w:vAlign w:val="bottom"/>
            <w:hideMark/>
          </w:tcPr>
          <w:p w:rsidR="008D6145" w:rsidRPr="008D6145" w:rsidRDefault="008D6145">
            <w:pPr>
              <w:suppressAutoHyphens w:val="0"/>
              <w:kinsoku/>
              <w:overflowPunct/>
              <w:autoSpaceDE/>
              <w:autoSpaceDN/>
              <w:adjustRightInd/>
              <w:snapToGrid/>
              <w:spacing w:before="40" w:after="40" w:line="220" w:lineRule="exact"/>
              <w:jc w:val="right"/>
              <w:rPr>
                <w:rFonts w:eastAsia="Times New Roman"/>
                <w:sz w:val="18"/>
                <w:szCs w:val="28"/>
              </w:rPr>
            </w:pPr>
            <w:r w:rsidRPr="008D6145">
              <w:rPr>
                <w:rFonts w:eastAsia="Times New Roman"/>
                <w:sz w:val="18"/>
                <w:szCs w:val="28"/>
              </w:rPr>
              <w:t>67</w:t>
            </w:r>
          </w:p>
        </w:tc>
        <w:tc>
          <w:tcPr>
            <w:tcW w:w="1134" w:type="dxa"/>
            <w:shd w:val="clear" w:color="auto" w:fill="auto"/>
            <w:noWrap/>
            <w:vAlign w:val="bottom"/>
            <w:hideMark/>
          </w:tcPr>
          <w:p w:rsidR="008D6145" w:rsidRPr="008D6145" w:rsidRDefault="008D6145">
            <w:pPr>
              <w:suppressAutoHyphens w:val="0"/>
              <w:kinsoku/>
              <w:overflowPunct/>
              <w:autoSpaceDE/>
              <w:autoSpaceDN/>
              <w:adjustRightInd/>
              <w:snapToGrid/>
              <w:spacing w:before="40" w:after="40" w:line="220" w:lineRule="exact"/>
              <w:jc w:val="right"/>
              <w:rPr>
                <w:rFonts w:eastAsia="Times New Roman"/>
                <w:sz w:val="18"/>
                <w:szCs w:val="28"/>
              </w:rPr>
            </w:pPr>
            <w:r w:rsidRPr="008D6145">
              <w:rPr>
                <w:rFonts w:eastAsia="Times New Roman"/>
                <w:sz w:val="18"/>
                <w:szCs w:val="28"/>
              </w:rPr>
              <w:t>75</w:t>
            </w:r>
          </w:p>
        </w:tc>
        <w:tc>
          <w:tcPr>
            <w:tcW w:w="1134" w:type="dxa"/>
            <w:shd w:val="clear" w:color="auto" w:fill="auto"/>
            <w:noWrap/>
            <w:vAlign w:val="bottom"/>
            <w:hideMark/>
          </w:tcPr>
          <w:p w:rsidR="008D6145" w:rsidRPr="008D6145" w:rsidRDefault="008D6145">
            <w:pPr>
              <w:suppressAutoHyphens w:val="0"/>
              <w:kinsoku/>
              <w:overflowPunct/>
              <w:autoSpaceDE/>
              <w:autoSpaceDN/>
              <w:adjustRightInd/>
              <w:snapToGrid/>
              <w:spacing w:before="40" w:after="40" w:line="220" w:lineRule="exact"/>
              <w:jc w:val="right"/>
              <w:rPr>
                <w:rFonts w:eastAsia="Times New Roman"/>
                <w:sz w:val="18"/>
                <w:szCs w:val="28"/>
              </w:rPr>
            </w:pPr>
            <w:r w:rsidRPr="008D6145">
              <w:rPr>
                <w:rFonts w:eastAsia="Times New Roman"/>
                <w:sz w:val="18"/>
                <w:szCs w:val="28"/>
              </w:rPr>
              <w:t>255</w:t>
            </w:r>
          </w:p>
        </w:tc>
        <w:tc>
          <w:tcPr>
            <w:tcW w:w="1134" w:type="dxa"/>
            <w:shd w:val="clear" w:color="auto" w:fill="auto"/>
            <w:noWrap/>
            <w:vAlign w:val="bottom"/>
            <w:hideMark/>
          </w:tcPr>
          <w:p w:rsidR="008D6145" w:rsidRPr="008D6145" w:rsidRDefault="008D6145">
            <w:pPr>
              <w:suppressAutoHyphens w:val="0"/>
              <w:kinsoku/>
              <w:overflowPunct/>
              <w:autoSpaceDE/>
              <w:autoSpaceDN/>
              <w:adjustRightInd/>
              <w:snapToGrid/>
              <w:spacing w:before="40" w:after="40" w:line="220" w:lineRule="exact"/>
              <w:jc w:val="right"/>
              <w:rPr>
                <w:rFonts w:eastAsia="Times New Roman"/>
                <w:sz w:val="18"/>
                <w:szCs w:val="28"/>
              </w:rPr>
            </w:pPr>
            <w:r w:rsidRPr="008D6145">
              <w:rPr>
                <w:rFonts w:eastAsia="Times New Roman"/>
                <w:sz w:val="18"/>
                <w:szCs w:val="28"/>
              </w:rPr>
              <w:t>288</w:t>
            </w:r>
          </w:p>
        </w:tc>
        <w:tc>
          <w:tcPr>
            <w:tcW w:w="1134" w:type="dxa"/>
            <w:shd w:val="clear" w:color="auto" w:fill="auto"/>
            <w:noWrap/>
            <w:vAlign w:val="bottom"/>
            <w:hideMark/>
          </w:tcPr>
          <w:p w:rsidR="008D6145" w:rsidRPr="008D6145" w:rsidRDefault="008D6145">
            <w:pPr>
              <w:suppressAutoHyphens w:val="0"/>
              <w:kinsoku/>
              <w:overflowPunct/>
              <w:autoSpaceDE/>
              <w:autoSpaceDN/>
              <w:adjustRightInd/>
              <w:snapToGrid/>
              <w:spacing w:before="40" w:after="40" w:line="220" w:lineRule="exact"/>
              <w:jc w:val="right"/>
              <w:rPr>
                <w:rFonts w:eastAsia="Times New Roman"/>
                <w:sz w:val="18"/>
                <w:szCs w:val="28"/>
              </w:rPr>
            </w:pPr>
            <w:r w:rsidRPr="008D6145">
              <w:rPr>
                <w:rFonts w:eastAsia="Times New Roman"/>
                <w:sz w:val="18"/>
                <w:szCs w:val="28"/>
              </w:rPr>
              <w:t>323</w:t>
            </w:r>
          </w:p>
        </w:tc>
        <w:tc>
          <w:tcPr>
            <w:tcW w:w="1134" w:type="dxa"/>
            <w:shd w:val="clear" w:color="auto" w:fill="auto"/>
            <w:noWrap/>
            <w:vAlign w:val="bottom"/>
            <w:hideMark/>
          </w:tcPr>
          <w:p w:rsidR="008D6145" w:rsidRPr="00587C3F" w:rsidRDefault="008D6145">
            <w:pPr>
              <w:suppressAutoHyphens w:val="0"/>
              <w:kinsoku/>
              <w:overflowPunct/>
              <w:autoSpaceDE/>
              <w:autoSpaceDN/>
              <w:adjustRightInd/>
              <w:snapToGrid/>
              <w:spacing w:before="40" w:after="40" w:line="220" w:lineRule="exact"/>
              <w:jc w:val="right"/>
              <w:rPr>
                <w:rFonts w:eastAsia="Times New Roman"/>
                <w:b/>
                <w:sz w:val="18"/>
                <w:szCs w:val="28"/>
              </w:rPr>
            </w:pPr>
            <w:r w:rsidRPr="00587C3F">
              <w:rPr>
                <w:rFonts w:eastAsia="Times New Roman"/>
                <w:b/>
                <w:sz w:val="18"/>
                <w:szCs w:val="28"/>
              </w:rPr>
              <w:t>1 008</w:t>
            </w:r>
          </w:p>
        </w:tc>
      </w:tr>
      <w:tr w:rsidR="008D6145" w:rsidRPr="008D6145" w:rsidTr="00821D2B">
        <w:tc>
          <w:tcPr>
            <w:tcW w:w="1701" w:type="dxa"/>
            <w:shd w:val="clear" w:color="auto" w:fill="auto"/>
            <w:noWrap/>
            <w:hideMark/>
          </w:tcPr>
          <w:p w:rsidR="008D6145" w:rsidRPr="00821D2B" w:rsidRDefault="008D6145" w:rsidP="008D6145">
            <w:pPr>
              <w:suppressAutoHyphens w:val="0"/>
              <w:kinsoku/>
              <w:overflowPunct/>
              <w:autoSpaceDE/>
              <w:autoSpaceDN/>
              <w:adjustRightInd/>
              <w:snapToGrid/>
              <w:spacing w:before="40" w:after="40" w:line="220" w:lineRule="exact"/>
              <w:rPr>
                <w:rFonts w:eastAsia="Times New Roman"/>
                <w:sz w:val="18"/>
                <w:szCs w:val="28"/>
              </w:rPr>
            </w:pPr>
            <w:r w:rsidRPr="00821D2B">
              <w:rPr>
                <w:rFonts w:eastAsia="Times New Roman"/>
                <w:sz w:val="18"/>
                <w:szCs w:val="28"/>
              </w:rPr>
              <w:t>2010-2011</w:t>
            </w:r>
          </w:p>
        </w:tc>
        <w:tc>
          <w:tcPr>
            <w:tcW w:w="1134" w:type="dxa"/>
            <w:shd w:val="clear" w:color="auto" w:fill="auto"/>
            <w:noWrap/>
            <w:vAlign w:val="bottom"/>
            <w:hideMark/>
          </w:tcPr>
          <w:p w:rsidR="008D6145" w:rsidRPr="008D6145" w:rsidRDefault="008D6145">
            <w:pPr>
              <w:suppressAutoHyphens w:val="0"/>
              <w:kinsoku/>
              <w:overflowPunct/>
              <w:autoSpaceDE/>
              <w:autoSpaceDN/>
              <w:adjustRightInd/>
              <w:snapToGrid/>
              <w:spacing w:before="40" w:after="40" w:line="220" w:lineRule="exact"/>
              <w:jc w:val="right"/>
              <w:rPr>
                <w:rFonts w:eastAsia="Times New Roman"/>
                <w:sz w:val="18"/>
                <w:szCs w:val="28"/>
              </w:rPr>
            </w:pPr>
            <w:r w:rsidRPr="008D6145">
              <w:rPr>
                <w:rFonts w:eastAsia="Times New Roman"/>
                <w:sz w:val="18"/>
                <w:szCs w:val="28"/>
              </w:rPr>
              <w:t>69</w:t>
            </w:r>
          </w:p>
        </w:tc>
        <w:tc>
          <w:tcPr>
            <w:tcW w:w="1134" w:type="dxa"/>
            <w:shd w:val="clear" w:color="auto" w:fill="auto"/>
            <w:noWrap/>
            <w:vAlign w:val="bottom"/>
            <w:hideMark/>
          </w:tcPr>
          <w:p w:rsidR="008D6145" w:rsidRPr="008D6145" w:rsidRDefault="008D6145">
            <w:pPr>
              <w:suppressAutoHyphens w:val="0"/>
              <w:kinsoku/>
              <w:overflowPunct/>
              <w:autoSpaceDE/>
              <w:autoSpaceDN/>
              <w:adjustRightInd/>
              <w:snapToGrid/>
              <w:spacing w:before="40" w:after="40" w:line="220" w:lineRule="exact"/>
              <w:jc w:val="right"/>
              <w:rPr>
                <w:rFonts w:eastAsia="Times New Roman"/>
                <w:sz w:val="18"/>
                <w:szCs w:val="28"/>
              </w:rPr>
            </w:pPr>
            <w:r w:rsidRPr="008D6145">
              <w:rPr>
                <w:rFonts w:eastAsia="Times New Roman"/>
                <w:sz w:val="18"/>
                <w:szCs w:val="28"/>
              </w:rPr>
              <w:t>134</w:t>
            </w:r>
          </w:p>
        </w:tc>
        <w:tc>
          <w:tcPr>
            <w:tcW w:w="1134" w:type="dxa"/>
            <w:shd w:val="clear" w:color="auto" w:fill="auto"/>
            <w:noWrap/>
            <w:vAlign w:val="bottom"/>
            <w:hideMark/>
          </w:tcPr>
          <w:p w:rsidR="008D6145" w:rsidRPr="008D6145" w:rsidRDefault="008D6145">
            <w:pPr>
              <w:suppressAutoHyphens w:val="0"/>
              <w:kinsoku/>
              <w:overflowPunct/>
              <w:autoSpaceDE/>
              <w:autoSpaceDN/>
              <w:adjustRightInd/>
              <w:snapToGrid/>
              <w:spacing w:before="40" w:after="40" w:line="220" w:lineRule="exact"/>
              <w:jc w:val="right"/>
              <w:rPr>
                <w:rFonts w:eastAsia="Times New Roman"/>
                <w:sz w:val="18"/>
                <w:szCs w:val="28"/>
              </w:rPr>
            </w:pPr>
            <w:r w:rsidRPr="008D6145">
              <w:rPr>
                <w:rFonts w:eastAsia="Times New Roman"/>
                <w:sz w:val="18"/>
                <w:szCs w:val="28"/>
              </w:rPr>
              <w:t>314</w:t>
            </w:r>
          </w:p>
        </w:tc>
        <w:tc>
          <w:tcPr>
            <w:tcW w:w="1134" w:type="dxa"/>
            <w:shd w:val="clear" w:color="auto" w:fill="auto"/>
            <w:noWrap/>
            <w:vAlign w:val="bottom"/>
            <w:hideMark/>
          </w:tcPr>
          <w:p w:rsidR="008D6145" w:rsidRPr="008D6145" w:rsidRDefault="008D6145">
            <w:pPr>
              <w:suppressAutoHyphens w:val="0"/>
              <w:kinsoku/>
              <w:overflowPunct/>
              <w:autoSpaceDE/>
              <w:autoSpaceDN/>
              <w:adjustRightInd/>
              <w:snapToGrid/>
              <w:spacing w:before="40" w:after="40" w:line="220" w:lineRule="exact"/>
              <w:jc w:val="right"/>
              <w:rPr>
                <w:rFonts w:eastAsia="Times New Roman"/>
                <w:sz w:val="18"/>
                <w:szCs w:val="28"/>
              </w:rPr>
            </w:pPr>
            <w:r w:rsidRPr="008D6145">
              <w:rPr>
                <w:rFonts w:eastAsia="Times New Roman"/>
                <w:sz w:val="18"/>
                <w:szCs w:val="28"/>
              </w:rPr>
              <w:t>433</w:t>
            </w:r>
          </w:p>
        </w:tc>
        <w:tc>
          <w:tcPr>
            <w:tcW w:w="1134" w:type="dxa"/>
            <w:shd w:val="clear" w:color="auto" w:fill="auto"/>
            <w:noWrap/>
            <w:vAlign w:val="bottom"/>
            <w:hideMark/>
          </w:tcPr>
          <w:p w:rsidR="008D6145" w:rsidRPr="008D6145" w:rsidRDefault="008D6145">
            <w:pPr>
              <w:suppressAutoHyphens w:val="0"/>
              <w:kinsoku/>
              <w:overflowPunct/>
              <w:autoSpaceDE/>
              <w:autoSpaceDN/>
              <w:adjustRightInd/>
              <w:snapToGrid/>
              <w:spacing w:before="40" w:after="40" w:line="220" w:lineRule="exact"/>
              <w:jc w:val="right"/>
              <w:rPr>
                <w:rFonts w:eastAsia="Times New Roman"/>
                <w:sz w:val="18"/>
                <w:szCs w:val="28"/>
              </w:rPr>
            </w:pPr>
            <w:r w:rsidRPr="008D6145">
              <w:rPr>
                <w:rFonts w:eastAsia="Times New Roman"/>
                <w:sz w:val="18"/>
                <w:szCs w:val="28"/>
              </w:rPr>
              <w:t>127</w:t>
            </w:r>
          </w:p>
        </w:tc>
        <w:tc>
          <w:tcPr>
            <w:tcW w:w="1134" w:type="dxa"/>
            <w:shd w:val="clear" w:color="auto" w:fill="auto"/>
            <w:noWrap/>
            <w:vAlign w:val="bottom"/>
            <w:hideMark/>
          </w:tcPr>
          <w:p w:rsidR="008D6145" w:rsidRPr="00587C3F" w:rsidRDefault="008D6145">
            <w:pPr>
              <w:suppressAutoHyphens w:val="0"/>
              <w:kinsoku/>
              <w:overflowPunct/>
              <w:autoSpaceDE/>
              <w:autoSpaceDN/>
              <w:adjustRightInd/>
              <w:snapToGrid/>
              <w:spacing w:before="40" w:after="40" w:line="220" w:lineRule="exact"/>
              <w:jc w:val="right"/>
              <w:rPr>
                <w:rFonts w:eastAsia="Times New Roman"/>
                <w:b/>
                <w:sz w:val="18"/>
                <w:szCs w:val="28"/>
              </w:rPr>
            </w:pPr>
            <w:r w:rsidRPr="00587C3F">
              <w:rPr>
                <w:rFonts w:eastAsia="Times New Roman"/>
                <w:b/>
                <w:sz w:val="18"/>
                <w:szCs w:val="28"/>
              </w:rPr>
              <w:t>1 077</w:t>
            </w:r>
          </w:p>
        </w:tc>
      </w:tr>
      <w:tr w:rsidR="008D6145" w:rsidRPr="008D6145" w:rsidTr="00821D2B">
        <w:tc>
          <w:tcPr>
            <w:tcW w:w="1701" w:type="dxa"/>
            <w:shd w:val="clear" w:color="auto" w:fill="auto"/>
            <w:noWrap/>
            <w:hideMark/>
          </w:tcPr>
          <w:p w:rsidR="008D6145" w:rsidRPr="00821D2B" w:rsidRDefault="008D6145" w:rsidP="008D6145">
            <w:pPr>
              <w:suppressAutoHyphens w:val="0"/>
              <w:kinsoku/>
              <w:overflowPunct/>
              <w:autoSpaceDE/>
              <w:autoSpaceDN/>
              <w:adjustRightInd/>
              <w:snapToGrid/>
              <w:spacing w:before="40" w:after="40" w:line="220" w:lineRule="exact"/>
              <w:rPr>
                <w:rFonts w:eastAsia="Times New Roman"/>
                <w:sz w:val="18"/>
                <w:szCs w:val="28"/>
              </w:rPr>
            </w:pPr>
            <w:r w:rsidRPr="00821D2B">
              <w:rPr>
                <w:rFonts w:eastAsia="Times New Roman"/>
                <w:sz w:val="18"/>
                <w:szCs w:val="28"/>
              </w:rPr>
              <w:t>2011-2012</w:t>
            </w:r>
          </w:p>
        </w:tc>
        <w:tc>
          <w:tcPr>
            <w:tcW w:w="1134" w:type="dxa"/>
            <w:shd w:val="clear" w:color="auto" w:fill="auto"/>
            <w:noWrap/>
            <w:vAlign w:val="bottom"/>
            <w:hideMark/>
          </w:tcPr>
          <w:p w:rsidR="008D6145" w:rsidRPr="008D6145" w:rsidRDefault="008D6145">
            <w:pPr>
              <w:suppressAutoHyphens w:val="0"/>
              <w:kinsoku/>
              <w:overflowPunct/>
              <w:autoSpaceDE/>
              <w:autoSpaceDN/>
              <w:adjustRightInd/>
              <w:snapToGrid/>
              <w:spacing w:before="40" w:after="40" w:line="220" w:lineRule="exact"/>
              <w:jc w:val="right"/>
              <w:rPr>
                <w:rFonts w:eastAsia="Times New Roman"/>
                <w:sz w:val="18"/>
                <w:szCs w:val="28"/>
              </w:rPr>
            </w:pPr>
            <w:r w:rsidRPr="008D6145">
              <w:rPr>
                <w:rFonts w:eastAsia="Times New Roman"/>
                <w:sz w:val="18"/>
                <w:szCs w:val="28"/>
              </w:rPr>
              <w:t>81</w:t>
            </w:r>
          </w:p>
        </w:tc>
        <w:tc>
          <w:tcPr>
            <w:tcW w:w="1134" w:type="dxa"/>
            <w:shd w:val="clear" w:color="auto" w:fill="auto"/>
            <w:noWrap/>
            <w:vAlign w:val="bottom"/>
            <w:hideMark/>
          </w:tcPr>
          <w:p w:rsidR="008D6145" w:rsidRPr="008D6145" w:rsidRDefault="008D6145">
            <w:pPr>
              <w:suppressAutoHyphens w:val="0"/>
              <w:kinsoku/>
              <w:overflowPunct/>
              <w:autoSpaceDE/>
              <w:autoSpaceDN/>
              <w:adjustRightInd/>
              <w:snapToGrid/>
              <w:spacing w:before="40" w:after="40" w:line="220" w:lineRule="exact"/>
              <w:jc w:val="right"/>
              <w:rPr>
                <w:rFonts w:eastAsia="Times New Roman"/>
                <w:sz w:val="18"/>
                <w:szCs w:val="28"/>
              </w:rPr>
            </w:pPr>
            <w:r w:rsidRPr="008D6145">
              <w:rPr>
                <w:rFonts w:eastAsia="Times New Roman"/>
                <w:sz w:val="18"/>
                <w:szCs w:val="28"/>
              </w:rPr>
              <w:t>163</w:t>
            </w:r>
          </w:p>
        </w:tc>
        <w:tc>
          <w:tcPr>
            <w:tcW w:w="1134" w:type="dxa"/>
            <w:shd w:val="clear" w:color="auto" w:fill="auto"/>
            <w:noWrap/>
            <w:vAlign w:val="bottom"/>
            <w:hideMark/>
          </w:tcPr>
          <w:p w:rsidR="008D6145" w:rsidRPr="008D6145" w:rsidRDefault="008D6145">
            <w:pPr>
              <w:suppressAutoHyphens w:val="0"/>
              <w:kinsoku/>
              <w:overflowPunct/>
              <w:autoSpaceDE/>
              <w:autoSpaceDN/>
              <w:adjustRightInd/>
              <w:snapToGrid/>
              <w:spacing w:before="40" w:after="40" w:line="220" w:lineRule="exact"/>
              <w:jc w:val="right"/>
              <w:rPr>
                <w:rFonts w:eastAsia="Times New Roman"/>
                <w:sz w:val="18"/>
                <w:szCs w:val="28"/>
              </w:rPr>
            </w:pPr>
            <w:r w:rsidRPr="008D6145">
              <w:rPr>
                <w:rFonts w:eastAsia="Times New Roman"/>
                <w:sz w:val="18"/>
                <w:szCs w:val="28"/>
              </w:rPr>
              <w:t>326</w:t>
            </w:r>
          </w:p>
        </w:tc>
        <w:tc>
          <w:tcPr>
            <w:tcW w:w="1134" w:type="dxa"/>
            <w:shd w:val="clear" w:color="auto" w:fill="auto"/>
            <w:noWrap/>
            <w:vAlign w:val="bottom"/>
            <w:hideMark/>
          </w:tcPr>
          <w:p w:rsidR="008D6145" w:rsidRPr="008D6145" w:rsidRDefault="008D6145">
            <w:pPr>
              <w:suppressAutoHyphens w:val="0"/>
              <w:kinsoku/>
              <w:overflowPunct/>
              <w:autoSpaceDE/>
              <w:autoSpaceDN/>
              <w:adjustRightInd/>
              <w:snapToGrid/>
              <w:spacing w:before="40" w:after="40" w:line="220" w:lineRule="exact"/>
              <w:jc w:val="right"/>
              <w:rPr>
                <w:rFonts w:eastAsia="Times New Roman"/>
                <w:sz w:val="18"/>
                <w:szCs w:val="28"/>
              </w:rPr>
            </w:pPr>
            <w:r w:rsidRPr="008D6145">
              <w:rPr>
                <w:rFonts w:eastAsia="Times New Roman"/>
                <w:sz w:val="18"/>
                <w:szCs w:val="28"/>
              </w:rPr>
              <w:t>312</w:t>
            </w:r>
          </w:p>
        </w:tc>
        <w:tc>
          <w:tcPr>
            <w:tcW w:w="1134" w:type="dxa"/>
            <w:shd w:val="clear" w:color="auto" w:fill="auto"/>
            <w:noWrap/>
            <w:vAlign w:val="bottom"/>
            <w:hideMark/>
          </w:tcPr>
          <w:p w:rsidR="008D6145" w:rsidRPr="008D6145" w:rsidRDefault="008D6145">
            <w:pPr>
              <w:suppressAutoHyphens w:val="0"/>
              <w:kinsoku/>
              <w:overflowPunct/>
              <w:autoSpaceDE/>
              <w:autoSpaceDN/>
              <w:adjustRightInd/>
              <w:snapToGrid/>
              <w:spacing w:before="40" w:after="40" w:line="220" w:lineRule="exact"/>
              <w:jc w:val="right"/>
              <w:rPr>
                <w:rFonts w:eastAsia="Times New Roman"/>
                <w:sz w:val="18"/>
                <w:szCs w:val="28"/>
              </w:rPr>
            </w:pPr>
            <w:r w:rsidRPr="008D6145">
              <w:rPr>
                <w:rFonts w:eastAsia="Times New Roman"/>
                <w:sz w:val="18"/>
                <w:szCs w:val="28"/>
              </w:rPr>
              <w:t>242</w:t>
            </w:r>
          </w:p>
        </w:tc>
        <w:tc>
          <w:tcPr>
            <w:tcW w:w="1134" w:type="dxa"/>
            <w:shd w:val="clear" w:color="auto" w:fill="auto"/>
            <w:noWrap/>
            <w:vAlign w:val="bottom"/>
            <w:hideMark/>
          </w:tcPr>
          <w:p w:rsidR="008D6145" w:rsidRPr="00587C3F" w:rsidRDefault="008D6145">
            <w:pPr>
              <w:suppressAutoHyphens w:val="0"/>
              <w:kinsoku/>
              <w:overflowPunct/>
              <w:autoSpaceDE/>
              <w:autoSpaceDN/>
              <w:adjustRightInd/>
              <w:snapToGrid/>
              <w:spacing w:before="40" w:after="40" w:line="220" w:lineRule="exact"/>
              <w:jc w:val="right"/>
              <w:rPr>
                <w:rFonts w:eastAsia="Times New Roman"/>
                <w:b/>
                <w:sz w:val="18"/>
                <w:szCs w:val="28"/>
              </w:rPr>
            </w:pPr>
            <w:r w:rsidRPr="00587C3F">
              <w:rPr>
                <w:rFonts w:eastAsia="Times New Roman"/>
                <w:b/>
                <w:sz w:val="18"/>
                <w:szCs w:val="28"/>
              </w:rPr>
              <w:t>1 124</w:t>
            </w:r>
          </w:p>
        </w:tc>
      </w:tr>
      <w:tr w:rsidR="008D6145" w:rsidRPr="008D6145" w:rsidTr="00821D2B">
        <w:tc>
          <w:tcPr>
            <w:tcW w:w="1701" w:type="dxa"/>
            <w:shd w:val="clear" w:color="auto" w:fill="auto"/>
            <w:noWrap/>
            <w:hideMark/>
          </w:tcPr>
          <w:p w:rsidR="008D6145" w:rsidRPr="00821D2B" w:rsidRDefault="008D6145" w:rsidP="008D6145">
            <w:pPr>
              <w:suppressAutoHyphens w:val="0"/>
              <w:kinsoku/>
              <w:overflowPunct/>
              <w:autoSpaceDE/>
              <w:autoSpaceDN/>
              <w:adjustRightInd/>
              <w:snapToGrid/>
              <w:spacing w:before="40" w:after="40" w:line="220" w:lineRule="exact"/>
              <w:rPr>
                <w:rFonts w:eastAsia="Times New Roman"/>
                <w:sz w:val="18"/>
                <w:szCs w:val="28"/>
              </w:rPr>
            </w:pPr>
            <w:r w:rsidRPr="00821D2B">
              <w:rPr>
                <w:rFonts w:eastAsia="Times New Roman"/>
                <w:sz w:val="18"/>
                <w:szCs w:val="28"/>
              </w:rPr>
              <w:t>2012-2013</w:t>
            </w:r>
          </w:p>
        </w:tc>
        <w:tc>
          <w:tcPr>
            <w:tcW w:w="1134" w:type="dxa"/>
            <w:shd w:val="clear" w:color="auto" w:fill="auto"/>
            <w:noWrap/>
            <w:vAlign w:val="bottom"/>
            <w:hideMark/>
          </w:tcPr>
          <w:p w:rsidR="008D6145" w:rsidRPr="008D6145" w:rsidRDefault="008D6145">
            <w:pPr>
              <w:suppressAutoHyphens w:val="0"/>
              <w:kinsoku/>
              <w:overflowPunct/>
              <w:autoSpaceDE/>
              <w:autoSpaceDN/>
              <w:adjustRightInd/>
              <w:snapToGrid/>
              <w:spacing w:before="40" w:after="40" w:line="220" w:lineRule="exact"/>
              <w:jc w:val="right"/>
              <w:rPr>
                <w:rFonts w:eastAsia="Times New Roman"/>
                <w:sz w:val="18"/>
                <w:szCs w:val="28"/>
              </w:rPr>
            </w:pPr>
            <w:r w:rsidRPr="008D6145">
              <w:rPr>
                <w:rFonts w:eastAsia="Times New Roman"/>
                <w:sz w:val="18"/>
                <w:szCs w:val="28"/>
              </w:rPr>
              <w:t>88</w:t>
            </w:r>
          </w:p>
        </w:tc>
        <w:tc>
          <w:tcPr>
            <w:tcW w:w="1134" w:type="dxa"/>
            <w:shd w:val="clear" w:color="auto" w:fill="auto"/>
            <w:noWrap/>
            <w:vAlign w:val="bottom"/>
            <w:hideMark/>
          </w:tcPr>
          <w:p w:rsidR="008D6145" w:rsidRPr="008D6145" w:rsidRDefault="008D6145">
            <w:pPr>
              <w:suppressAutoHyphens w:val="0"/>
              <w:kinsoku/>
              <w:overflowPunct/>
              <w:autoSpaceDE/>
              <w:autoSpaceDN/>
              <w:adjustRightInd/>
              <w:snapToGrid/>
              <w:spacing w:before="40" w:after="40" w:line="220" w:lineRule="exact"/>
              <w:jc w:val="right"/>
              <w:rPr>
                <w:rFonts w:eastAsia="Times New Roman"/>
                <w:sz w:val="18"/>
                <w:szCs w:val="28"/>
              </w:rPr>
            </w:pPr>
            <w:r w:rsidRPr="008D6145">
              <w:rPr>
                <w:rFonts w:eastAsia="Times New Roman"/>
                <w:sz w:val="18"/>
                <w:szCs w:val="28"/>
              </w:rPr>
              <w:t>190</w:t>
            </w:r>
          </w:p>
        </w:tc>
        <w:tc>
          <w:tcPr>
            <w:tcW w:w="1134" w:type="dxa"/>
            <w:shd w:val="clear" w:color="auto" w:fill="auto"/>
            <w:noWrap/>
            <w:vAlign w:val="bottom"/>
            <w:hideMark/>
          </w:tcPr>
          <w:p w:rsidR="008D6145" w:rsidRPr="008D6145" w:rsidRDefault="008D6145">
            <w:pPr>
              <w:suppressAutoHyphens w:val="0"/>
              <w:kinsoku/>
              <w:overflowPunct/>
              <w:autoSpaceDE/>
              <w:autoSpaceDN/>
              <w:adjustRightInd/>
              <w:snapToGrid/>
              <w:spacing w:before="40" w:after="40" w:line="220" w:lineRule="exact"/>
              <w:jc w:val="right"/>
              <w:rPr>
                <w:rFonts w:eastAsia="Times New Roman"/>
                <w:sz w:val="18"/>
                <w:szCs w:val="28"/>
              </w:rPr>
            </w:pPr>
            <w:r w:rsidRPr="008D6145">
              <w:rPr>
                <w:rFonts w:eastAsia="Times New Roman"/>
                <w:sz w:val="18"/>
                <w:szCs w:val="28"/>
              </w:rPr>
              <w:t>270</w:t>
            </w:r>
          </w:p>
        </w:tc>
        <w:tc>
          <w:tcPr>
            <w:tcW w:w="1134" w:type="dxa"/>
            <w:shd w:val="clear" w:color="auto" w:fill="auto"/>
            <w:noWrap/>
            <w:vAlign w:val="bottom"/>
            <w:hideMark/>
          </w:tcPr>
          <w:p w:rsidR="008D6145" w:rsidRPr="008D6145" w:rsidRDefault="008D6145">
            <w:pPr>
              <w:suppressAutoHyphens w:val="0"/>
              <w:kinsoku/>
              <w:overflowPunct/>
              <w:autoSpaceDE/>
              <w:autoSpaceDN/>
              <w:adjustRightInd/>
              <w:snapToGrid/>
              <w:spacing w:before="40" w:after="40" w:line="220" w:lineRule="exact"/>
              <w:jc w:val="right"/>
              <w:rPr>
                <w:rFonts w:eastAsia="Times New Roman"/>
                <w:sz w:val="18"/>
                <w:szCs w:val="28"/>
              </w:rPr>
            </w:pPr>
            <w:r w:rsidRPr="008D6145">
              <w:rPr>
                <w:rFonts w:eastAsia="Times New Roman"/>
                <w:sz w:val="18"/>
                <w:szCs w:val="28"/>
              </w:rPr>
              <w:t>340</w:t>
            </w:r>
          </w:p>
        </w:tc>
        <w:tc>
          <w:tcPr>
            <w:tcW w:w="1134" w:type="dxa"/>
            <w:shd w:val="clear" w:color="auto" w:fill="auto"/>
            <w:noWrap/>
            <w:vAlign w:val="bottom"/>
            <w:hideMark/>
          </w:tcPr>
          <w:p w:rsidR="008D6145" w:rsidRPr="008D6145" w:rsidRDefault="008D6145">
            <w:pPr>
              <w:suppressAutoHyphens w:val="0"/>
              <w:kinsoku/>
              <w:overflowPunct/>
              <w:autoSpaceDE/>
              <w:autoSpaceDN/>
              <w:adjustRightInd/>
              <w:snapToGrid/>
              <w:spacing w:before="40" w:after="40" w:line="220" w:lineRule="exact"/>
              <w:jc w:val="right"/>
              <w:rPr>
                <w:rFonts w:eastAsia="Times New Roman"/>
                <w:sz w:val="18"/>
                <w:szCs w:val="28"/>
              </w:rPr>
            </w:pPr>
            <w:r w:rsidRPr="008D6145">
              <w:rPr>
                <w:rFonts w:eastAsia="Times New Roman"/>
                <w:sz w:val="18"/>
                <w:szCs w:val="28"/>
              </w:rPr>
              <w:t>142</w:t>
            </w:r>
          </w:p>
        </w:tc>
        <w:tc>
          <w:tcPr>
            <w:tcW w:w="1134" w:type="dxa"/>
            <w:shd w:val="clear" w:color="auto" w:fill="auto"/>
            <w:noWrap/>
            <w:vAlign w:val="bottom"/>
            <w:hideMark/>
          </w:tcPr>
          <w:p w:rsidR="008D6145" w:rsidRPr="00587C3F" w:rsidRDefault="008D6145">
            <w:pPr>
              <w:suppressAutoHyphens w:val="0"/>
              <w:kinsoku/>
              <w:overflowPunct/>
              <w:autoSpaceDE/>
              <w:autoSpaceDN/>
              <w:adjustRightInd/>
              <w:snapToGrid/>
              <w:spacing w:before="40" w:after="40" w:line="220" w:lineRule="exact"/>
              <w:jc w:val="right"/>
              <w:rPr>
                <w:rFonts w:eastAsia="Times New Roman"/>
                <w:b/>
                <w:sz w:val="18"/>
                <w:szCs w:val="28"/>
              </w:rPr>
            </w:pPr>
            <w:r w:rsidRPr="00587C3F">
              <w:rPr>
                <w:rFonts w:eastAsia="Times New Roman"/>
                <w:b/>
                <w:sz w:val="18"/>
                <w:szCs w:val="28"/>
              </w:rPr>
              <w:t>1 030</w:t>
            </w:r>
          </w:p>
        </w:tc>
      </w:tr>
      <w:tr w:rsidR="008D6145" w:rsidRPr="008D6145" w:rsidTr="00821D2B">
        <w:tc>
          <w:tcPr>
            <w:tcW w:w="1701" w:type="dxa"/>
            <w:shd w:val="clear" w:color="auto" w:fill="auto"/>
            <w:noWrap/>
            <w:hideMark/>
          </w:tcPr>
          <w:p w:rsidR="008D6145" w:rsidRPr="00821D2B" w:rsidRDefault="008D6145" w:rsidP="008D6145">
            <w:pPr>
              <w:suppressAutoHyphens w:val="0"/>
              <w:kinsoku/>
              <w:overflowPunct/>
              <w:autoSpaceDE/>
              <w:autoSpaceDN/>
              <w:adjustRightInd/>
              <w:snapToGrid/>
              <w:spacing w:before="40" w:after="40" w:line="220" w:lineRule="exact"/>
              <w:rPr>
                <w:rFonts w:eastAsia="Times New Roman"/>
                <w:sz w:val="18"/>
                <w:szCs w:val="28"/>
              </w:rPr>
            </w:pPr>
            <w:r w:rsidRPr="00821D2B">
              <w:rPr>
                <w:rFonts w:eastAsia="Times New Roman"/>
                <w:sz w:val="18"/>
                <w:szCs w:val="28"/>
              </w:rPr>
              <w:t>2013-2014</w:t>
            </w:r>
          </w:p>
        </w:tc>
        <w:tc>
          <w:tcPr>
            <w:tcW w:w="1134" w:type="dxa"/>
            <w:shd w:val="clear" w:color="auto" w:fill="auto"/>
            <w:noWrap/>
            <w:vAlign w:val="bottom"/>
            <w:hideMark/>
          </w:tcPr>
          <w:p w:rsidR="008D6145" w:rsidRPr="008D6145" w:rsidRDefault="008D6145">
            <w:pPr>
              <w:suppressAutoHyphens w:val="0"/>
              <w:kinsoku/>
              <w:overflowPunct/>
              <w:autoSpaceDE/>
              <w:autoSpaceDN/>
              <w:adjustRightInd/>
              <w:snapToGrid/>
              <w:spacing w:before="40" w:after="40" w:line="220" w:lineRule="exact"/>
              <w:jc w:val="right"/>
              <w:rPr>
                <w:rFonts w:eastAsia="Times New Roman"/>
                <w:sz w:val="18"/>
                <w:szCs w:val="28"/>
              </w:rPr>
            </w:pPr>
            <w:r w:rsidRPr="008D6145">
              <w:rPr>
                <w:rFonts w:eastAsia="Times New Roman"/>
                <w:sz w:val="18"/>
                <w:szCs w:val="28"/>
              </w:rPr>
              <w:t>106</w:t>
            </w:r>
          </w:p>
        </w:tc>
        <w:tc>
          <w:tcPr>
            <w:tcW w:w="1134" w:type="dxa"/>
            <w:shd w:val="clear" w:color="auto" w:fill="auto"/>
            <w:noWrap/>
            <w:vAlign w:val="bottom"/>
            <w:hideMark/>
          </w:tcPr>
          <w:p w:rsidR="008D6145" w:rsidRPr="008D6145" w:rsidRDefault="008D6145">
            <w:pPr>
              <w:suppressAutoHyphens w:val="0"/>
              <w:kinsoku/>
              <w:overflowPunct/>
              <w:autoSpaceDE/>
              <w:autoSpaceDN/>
              <w:adjustRightInd/>
              <w:snapToGrid/>
              <w:spacing w:before="40" w:after="40" w:line="220" w:lineRule="exact"/>
              <w:jc w:val="right"/>
              <w:rPr>
                <w:rFonts w:eastAsia="Times New Roman"/>
                <w:sz w:val="18"/>
                <w:szCs w:val="28"/>
              </w:rPr>
            </w:pPr>
            <w:r w:rsidRPr="008D6145">
              <w:rPr>
                <w:rFonts w:eastAsia="Times New Roman"/>
                <w:sz w:val="18"/>
                <w:szCs w:val="28"/>
              </w:rPr>
              <w:t>212</w:t>
            </w:r>
          </w:p>
        </w:tc>
        <w:tc>
          <w:tcPr>
            <w:tcW w:w="1134" w:type="dxa"/>
            <w:shd w:val="clear" w:color="auto" w:fill="auto"/>
            <w:noWrap/>
            <w:vAlign w:val="bottom"/>
            <w:hideMark/>
          </w:tcPr>
          <w:p w:rsidR="008D6145" w:rsidRPr="008D6145" w:rsidRDefault="008D6145">
            <w:pPr>
              <w:suppressAutoHyphens w:val="0"/>
              <w:kinsoku/>
              <w:overflowPunct/>
              <w:autoSpaceDE/>
              <w:autoSpaceDN/>
              <w:adjustRightInd/>
              <w:snapToGrid/>
              <w:spacing w:before="40" w:after="40" w:line="220" w:lineRule="exact"/>
              <w:jc w:val="right"/>
              <w:rPr>
                <w:rFonts w:eastAsia="Times New Roman"/>
                <w:sz w:val="18"/>
                <w:szCs w:val="28"/>
              </w:rPr>
            </w:pPr>
            <w:r w:rsidRPr="008D6145">
              <w:rPr>
                <w:rFonts w:eastAsia="Times New Roman"/>
                <w:sz w:val="18"/>
                <w:szCs w:val="28"/>
              </w:rPr>
              <w:t>364</w:t>
            </w:r>
          </w:p>
        </w:tc>
        <w:tc>
          <w:tcPr>
            <w:tcW w:w="1134" w:type="dxa"/>
            <w:shd w:val="clear" w:color="auto" w:fill="auto"/>
            <w:noWrap/>
            <w:vAlign w:val="bottom"/>
            <w:hideMark/>
          </w:tcPr>
          <w:p w:rsidR="008D6145" w:rsidRPr="008D6145" w:rsidRDefault="008D6145">
            <w:pPr>
              <w:suppressAutoHyphens w:val="0"/>
              <w:kinsoku/>
              <w:overflowPunct/>
              <w:autoSpaceDE/>
              <w:autoSpaceDN/>
              <w:adjustRightInd/>
              <w:snapToGrid/>
              <w:spacing w:before="40" w:after="40" w:line="220" w:lineRule="exact"/>
              <w:jc w:val="right"/>
              <w:rPr>
                <w:rFonts w:eastAsia="Times New Roman"/>
                <w:sz w:val="18"/>
                <w:szCs w:val="28"/>
              </w:rPr>
            </w:pPr>
            <w:r w:rsidRPr="008D6145">
              <w:rPr>
                <w:rFonts w:eastAsia="Times New Roman"/>
                <w:sz w:val="18"/>
                <w:szCs w:val="28"/>
              </w:rPr>
              <w:t>345</w:t>
            </w:r>
          </w:p>
        </w:tc>
        <w:tc>
          <w:tcPr>
            <w:tcW w:w="1134" w:type="dxa"/>
            <w:shd w:val="clear" w:color="auto" w:fill="auto"/>
            <w:noWrap/>
            <w:vAlign w:val="bottom"/>
            <w:hideMark/>
          </w:tcPr>
          <w:p w:rsidR="008D6145" w:rsidRPr="008D6145" w:rsidRDefault="008D6145">
            <w:pPr>
              <w:suppressAutoHyphens w:val="0"/>
              <w:kinsoku/>
              <w:overflowPunct/>
              <w:autoSpaceDE/>
              <w:autoSpaceDN/>
              <w:adjustRightInd/>
              <w:snapToGrid/>
              <w:spacing w:before="40" w:after="40" w:line="220" w:lineRule="exact"/>
              <w:jc w:val="right"/>
              <w:rPr>
                <w:rFonts w:eastAsia="Times New Roman"/>
                <w:sz w:val="18"/>
                <w:szCs w:val="28"/>
              </w:rPr>
            </w:pPr>
            <w:r w:rsidRPr="008D6145">
              <w:rPr>
                <w:rFonts w:eastAsia="Times New Roman"/>
                <w:sz w:val="18"/>
                <w:szCs w:val="28"/>
              </w:rPr>
              <w:t>159</w:t>
            </w:r>
          </w:p>
        </w:tc>
        <w:tc>
          <w:tcPr>
            <w:tcW w:w="1134" w:type="dxa"/>
            <w:shd w:val="clear" w:color="auto" w:fill="auto"/>
            <w:noWrap/>
            <w:vAlign w:val="bottom"/>
            <w:hideMark/>
          </w:tcPr>
          <w:p w:rsidR="008D6145" w:rsidRPr="00587C3F" w:rsidRDefault="008D6145">
            <w:pPr>
              <w:suppressAutoHyphens w:val="0"/>
              <w:kinsoku/>
              <w:overflowPunct/>
              <w:autoSpaceDE/>
              <w:autoSpaceDN/>
              <w:adjustRightInd/>
              <w:snapToGrid/>
              <w:spacing w:before="40" w:after="40" w:line="220" w:lineRule="exact"/>
              <w:jc w:val="right"/>
              <w:rPr>
                <w:rFonts w:eastAsia="Times New Roman"/>
                <w:b/>
                <w:sz w:val="18"/>
                <w:szCs w:val="28"/>
              </w:rPr>
            </w:pPr>
            <w:r w:rsidRPr="00587C3F">
              <w:rPr>
                <w:rFonts w:eastAsia="Times New Roman"/>
                <w:b/>
                <w:sz w:val="18"/>
                <w:szCs w:val="28"/>
              </w:rPr>
              <w:t>1 186</w:t>
            </w:r>
          </w:p>
        </w:tc>
      </w:tr>
      <w:tr w:rsidR="008D6145" w:rsidRPr="008D6145" w:rsidTr="00821D2B">
        <w:tc>
          <w:tcPr>
            <w:tcW w:w="1701" w:type="dxa"/>
            <w:shd w:val="clear" w:color="auto" w:fill="auto"/>
            <w:noWrap/>
            <w:hideMark/>
          </w:tcPr>
          <w:p w:rsidR="008D6145" w:rsidRPr="00821D2B" w:rsidRDefault="008D6145" w:rsidP="008D6145">
            <w:pPr>
              <w:suppressAutoHyphens w:val="0"/>
              <w:kinsoku/>
              <w:overflowPunct/>
              <w:autoSpaceDE/>
              <w:autoSpaceDN/>
              <w:adjustRightInd/>
              <w:snapToGrid/>
              <w:spacing w:before="40" w:after="40" w:line="220" w:lineRule="exact"/>
              <w:rPr>
                <w:rFonts w:eastAsia="Times New Roman"/>
                <w:sz w:val="18"/>
                <w:szCs w:val="28"/>
              </w:rPr>
            </w:pPr>
            <w:r w:rsidRPr="00821D2B">
              <w:rPr>
                <w:rFonts w:eastAsia="Times New Roman"/>
                <w:sz w:val="18"/>
                <w:szCs w:val="28"/>
              </w:rPr>
              <w:t>2014-2015</w:t>
            </w:r>
          </w:p>
        </w:tc>
        <w:tc>
          <w:tcPr>
            <w:tcW w:w="1134" w:type="dxa"/>
            <w:shd w:val="clear" w:color="auto" w:fill="auto"/>
            <w:noWrap/>
            <w:vAlign w:val="bottom"/>
            <w:hideMark/>
          </w:tcPr>
          <w:p w:rsidR="008D6145" w:rsidRPr="008D6145" w:rsidRDefault="008D6145">
            <w:pPr>
              <w:suppressAutoHyphens w:val="0"/>
              <w:kinsoku/>
              <w:overflowPunct/>
              <w:autoSpaceDE/>
              <w:autoSpaceDN/>
              <w:adjustRightInd/>
              <w:snapToGrid/>
              <w:spacing w:before="40" w:after="40" w:line="220" w:lineRule="exact"/>
              <w:jc w:val="right"/>
              <w:rPr>
                <w:rFonts w:eastAsia="Times New Roman"/>
                <w:sz w:val="18"/>
                <w:szCs w:val="28"/>
              </w:rPr>
            </w:pPr>
            <w:r w:rsidRPr="008D6145">
              <w:rPr>
                <w:rFonts w:eastAsia="Times New Roman"/>
                <w:sz w:val="18"/>
                <w:szCs w:val="28"/>
              </w:rPr>
              <w:t>-</w:t>
            </w:r>
          </w:p>
        </w:tc>
        <w:tc>
          <w:tcPr>
            <w:tcW w:w="1134" w:type="dxa"/>
            <w:shd w:val="clear" w:color="auto" w:fill="auto"/>
            <w:noWrap/>
            <w:vAlign w:val="bottom"/>
            <w:hideMark/>
          </w:tcPr>
          <w:p w:rsidR="008D6145" w:rsidRPr="008D6145" w:rsidRDefault="008D6145">
            <w:pPr>
              <w:suppressAutoHyphens w:val="0"/>
              <w:kinsoku/>
              <w:overflowPunct/>
              <w:autoSpaceDE/>
              <w:autoSpaceDN/>
              <w:adjustRightInd/>
              <w:snapToGrid/>
              <w:spacing w:before="40" w:after="40" w:line="220" w:lineRule="exact"/>
              <w:jc w:val="right"/>
              <w:rPr>
                <w:rFonts w:eastAsia="Times New Roman"/>
                <w:sz w:val="18"/>
                <w:szCs w:val="28"/>
              </w:rPr>
            </w:pPr>
            <w:r w:rsidRPr="008D6145">
              <w:rPr>
                <w:rFonts w:eastAsia="Times New Roman"/>
                <w:sz w:val="18"/>
                <w:szCs w:val="28"/>
              </w:rPr>
              <w:t>-</w:t>
            </w:r>
          </w:p>
        </w:tc>
        <w:tc>
          <w:tcPr>
            <w:tcW w:w="1134" w:type="dxa"/>
            <w:shd w:val="clear" w:color="auto" w:fill="auto"/>
            <w:noWrap/>
            <w:vAlign w:val="bottom"/>
            <w:hideMark/>
          </w:tcPr>
          <w:p w:rsidR="008D6145" w:rsidRPr="008D6145" w:rsidRDefault="008D6145">
            <w:pPr>
              <w:suppressAutoHyphens w:val="0"/>
              <w:kinsoku/>
              <w:overflowPunct/>
              <w:autoSpaceDE/>
              <w:autoSpaceDN/>
              <w:adjustRightInd/>
              <w:snapToGrid/>
              <w:spacing w:before="40" w:after="40" w:line="220" w:lineRule="exact"/>
              <w:jc w:val="right"/>
              <w:rPr>
                <w:rFonts w:eastAsia="Times New Roman"/>
                <w:sz w:val="18"/>
                <w:szCs w:val="28"/>
              </w:rPr>
            </w:pPr>
            <w:r w:rsidRPr="008D6145">
              <w:rPr>
                <w:rFonts w:eastAsia="Times New Roman"/>
                <w:sz w:val="18"/>
                <w:szCs w:val="28"/>
              </w:rPr>
              <w:t>-</w:t>
            </w:r>
          </w:p>
        </w:tc>
        <w:tc>
          <w:tcPr>
            <w:tcW w:w="1134" w:type="dxa"/>
            <w:shd w:val="clear" w:color="auto" w:fill="auto"/>
            <w:noWrap/>
            <w:vAlign w:val="bottom"/>
            <w:hideMark/>
          </w:tcPr>
          <w:p w:rsidR="008D6145" w:rsidRPr="008D6145" w:rsidRDefault="008D6145">
            <w:pPr>
              <w:suppressAutoHyphens w:val="0"/>
              <w:kinsoku/>
              <w:overflowPunct/>
              <w:autoSpaceDE/>
              <w:autoSpaceDN/>
              <w:adjustRightInd/>
              <w:snapToGrid/>
              <w:spacing w:before="40" w:after="40" w:line="220" w:lineRule="exact"/>
              <w:jc w:val="right"/>
              <w:rPr>
                <w:rFonts w:eastAsia="Times New Roman"/>
                <w:sz w:val="18"/>
                <w:szCs w:val="28"/>
              </w:rPr>
            </w:pPr>
            <w:r w:rsidRPr="008D6145">
              <w:rPr>
                <w:rFonts w:eastAsia="Times New Roman"/>
                <w:sz w:val="18"/>
                <w:szCs w:val="28"/>
              </w:rPr>
              <w:t>-</w:t>
            </w:r>
          </w:p>
        </w:tc>
        <w:tc>
          <w:tcPr>
            <w:tcW w:w="1134" w:type="dxa"/>
            <w:shd w:val="clear" w:color="auto" w:fill="auto"/>
            <w:noWrap/>
            <w:vAlign w:val="bottom"/>
            <w:hideMark/>
          </w:tcPr>
          <w:p w:rsidR="008D6145" w:rsidRPr="008D6145" w:rsidRDefault="008D6145">
            <w:pPr>
              <w:suppressAutoHyphens w:val="0"/>
              <w:kinsoku/>
              <w:overflowPunct/>
              <w:autoSpaceDE/>
              <w:autoSpaceDN/>
              <w:adjustRightInd/>
              <w:snapToGrid/>
              <w:spacing w:before="40" w:after="40" w:line="220" w:lineRule="exact"/>
              <w:jc w:val="right"/>
              <w:rPr>
                <w:rFonts w:eastAsia="Times New Roman"/>
                <w:sz w:val="18"/>
                <w:szCs w:val="28"/>
              </w:rPr>
            </w:pPr>
            <w:r w:rsidRPr="008D6145">
              <w:rPr>
                <w:rFonts w:eastAsia="Times New Roman"/>
                <w:sz w:val="18"/>
                <w:szCs w:val="28"/>
              </w:rPr>
              <w:t>-</w:t>
            </w:r>
          </w:p>
        </w:tc>
        <w:tc>
          <w:tcPr>
            <w:tcW w:w="1134" w:type="dxa"/>
            <w:shd w:val="clear" w:color="auto" w:fill="auto"/>
            <w:noWrap/>
            <w:vAlign w:val="bottom"/>
            <w:hideMark/>
          </w:tcPr>
          <w:p w:rsidR="008D6145" w:rsidRPr="00587C3F" w:rsidRDefault="008D6145">
            <w:pPr>
              <w:suppressAutoHyphens w:val="0"/>
              <w:kinsoku/>
              <w:overflowPunct/>
              <w:autoSpaceDE/>
              <w:autoSpaceDN/>
              <w:adjustRightInd/>
              <w:snapToGrid/>
              <w:spacing w:before="40" w:after="40" w:line="220" w:lineRule="exact"/>
              <w:jc w:val="right"/>
              <w:rPr>
                <w:rFonts w:eastAsia="Times New Roman"/>
                <w:b/>
                <w:sz w:val="18"/>
                <w:szCs w:val="28"/>
              </w:rPr>
            </w:pPr>
            <w:r w:rsidRPr="00587C3F">
              <w:rPr>
                <w:rFonts w:eastAsia="Times New Roman"/>
                <w:b/>
                <w:sz w:val="18"/>
                <w:szCs w:val="28"/>
              </w:rPr>
              <w:t>1 269</w:t>
            </w:r>
          </w:p>
        </w:tc>
      </w:tr>
      <w:tr w:rsidR="008D6145" w:rsidRPr="008D6145" w:rsidTr="00821D2B">
        <w:tc>
          <w:tcPr>
            <w:tcW w:w="1701" w:type="dxa"/>
            <w:tcBorders>
              <w:bottom w:val="single" w:sz="12" w:space="0" w:color="auto"/>
            </w:tcBorders>
            <w:shd w:val="clear" w:color="auto" w:fill="auto"/>
            <w:noWrap/>
            <w:hideMark/>
          </w:tcPr>
          <w:p w:rsidR="008D6145" w:rsidRPr="00821D2B" w:rsidRDefault="008D6145" w:rsidP="008D6145">
            <w:pPr>
              <w:suppressAutoHyphens w:val="0"/>
              <w:kinsoku/>
              <w:overflowPunct/>
              <w:autoSpaceDE/>
              <w:autoSpaceDN/>
              <w:adjustRightInd/>
              <w:snapToGrid/>
              <w:spacing w:before="40" w:after="40" w:line="220" w:lineRule="exact"/>
              <w:rPr>
                <w:rFonts w:eastAsia="Times New Roman"/>
                <w:sz w:val="18"/>
                <w:szCs w:val="28"/>
              </w:rPr>
            </w:pPr>
            <w:r w:rsidRPr="00821D2B">
              <w:rPr>
                <w:rFonts w:eastAsia="Times New Roman"/>
                <w:sz w:val="18"/>
                <w:szCs w:val="28"/>
              </w:rPr>
              <w:t>2015-2016</w:t>
            </w:r>
          </w:p>
        </w:tc>
        <w:tc>
          <w:tcPr>
            <w:tcW w:w="1134" w:type="dxa"/>
            <w:tcBorders>
              <w:bottom w:val="single" w:sz="12" w:space="0" w:color="auto"/>
            </w:tcBorders>
            <w:shd w:val="clear" w:color="auto" w:fill="auto"/>
            <w:noWrap/>
            <w:vAlign w:val="bottom"/>
            <w:hideMark/>
          </w:tcPr>
          <w:p w:rsidR="008D6145" w:rsidRPr="008D6145" w:rsidRDefault="008D6145">
            <w:pPr>
              <w:suppressAutoHyphens w:val="0"/>
              <w:kinsoku/>
              <w:overflowPunct/>
              <w:autoSpaceDE/>
              <w:autoSpaceDN/>
              <w:adjustRightInd/>
              <w:snapToGrid/>
              <w:spacing w:before="40" w:after="40" w:line="220" w:lineRule="exact"/>
              <w:jc w:val="right"/>
              <w:rPr>
                <w:rFonts w:eastAsia="Times New Roman"/>
                <w:sz w:val="18"/>
                <w:szCs w:val="28"/>
              </w:rPr>
            </w:pPr>
            <w:r w:rsidRPr="008D6145">
              <w:rPr>
                <w:rFonts w:eastAsia="Times New Roman"/>
                <w:sz w:val="18"/>
                <w:szCs w:val="28"/>
              </w:rPr>
              <w:t>-</w:t>
            </w:r>
          </w:p>
        </w:tc>
        <w:tc>
          <w:tcPr>
            <w:tcW w:w="1134" w:type="dxa"/>
            <w:tcBorders>
              <w:bottom w:val="single" w:sz="12" w:space="0" w:color="auto"/>
            </w:tcBorders>
            <w:shd w:val="clear" w:color="auto" w:fill="auto"/>
            <w:noWrap/>
            <w:vAlign w:val="bottom"/>
            <w:hideMark/>
          </w:tcPr>
          <w:p w:rsidR="008D6145" w:rsidRPr="008D6145" w:rsidRDefault="008D6145">
            <w:pPr>
              <w:suppressAutoHyphens w:val="0"/>
              <w:kinsoku/>
              <w:overflowPunct/>
              <w:autoSpaceDE/>
              <w:autoSpaceDN/>
              <w:adjustRightInd/>
              <w:snapToGrid/>
              <w:spacing w:before="40" w:after="40" w:line="220" w:lineRule="exact"/>
              <w:jc w:val="right"/>
              <w:rPr>
                <w:rFonts w:eastAsia="Times New Roman"/>
                <w:sz w:val="18"/>
                <w:szCs w:val="28"/>
              </w:rPr>
            </w:pPr>
            <w:r w:rsidRPr="008D6145">
              <w:rPr>
                <w:rFonts w:eastAsia="Times New Roman"/>
                <w:sz w:val="18"/>
                <w:szCs w:val="28"/>
              </w:rPr>
              <w:t>-</w:t>
            </w:r>
          </w:p>
        </w:tc>
        <w:tc>
          <w:tcPr>
            <w:tcW w:w="1134" w:type="dxa"/>
            <w:tcBorders>
              <w:bottom w:val="single" w:sz="12" w:space="0" w:color="auto"/>
            </w:tcBorders>
            <w:shd w:val="clear" w:color="auto" w:fill="auto"/>
            <w:noWrap/>
            <w:vAlign w:val="bottom"/>
            <w:hideMark/>
          </w:tcPr>
          <w:p w:rsidR="008D6145" w:rsidRPr="008D6145" w:rsidRDefault="008D6145">
            <w:pPr>
              <w:suppressAutoHyphens w:val="0"/>
              <w:kinsoku/>
              <w:overflowPunct/>
              <w:autoSpaceDE/>
              <w:autoSpaceDN/>
              <w:adjustRightInd/>
              <w:snapToGrid/>
              <w:spacing w:before="40" w:after="40" w:line="220" w:lineRule="exact"/>
              <w:jc w:val="right"/>
              <w:rPr>
                <w:rFonts w:eastAsia="Times New Roman"/>
                <w:sz w:val="18"/>
                <w:szCs w:val="28"/>
              </w:rPr>
            </w:pPr>
            <w:r w:rsidRPr="008D6145">
              <w:rPr>
                <w:rFonts w:eastAsia="Times New Roman"/>
                <w:sz w:val="18"/>
                <w:szCs w:val="28"/>
              </w:rPr>
              <w:t>-</w:t>
            </w:r>
          </w:p>
        </w:tc>
        <w:tc>
          <w:tcPr>
            <w:tcW w:w="1134" w:type="dxa"/>
            <w:tcBorders>
              <w:bottom w:val="single" w:sz="12" w:space="0" w:color="auto"/>
            </w:tcBorders>
            <w:shd w:val="clear" w:color="auto" w:fill="auto"/>
            <w:noWrap/>
            <w:vAlign w:val="bottom"/>
            <w:hideMark/>
          </w:tcPr>
          <w:p w:rsidR="008D6145" w:rsidRPr="008D6145" w:rsidRDefault="008D6145">
            <w:pPr>
              <w:suppressAutoHyphens w:val="0"/>
              <w:kinsoku/>
              <w:overflowPunct/>
              <w:autoSpaceDE/>
              <w:autoSpaceDN/>
              <w:adjustRightInd/>
              <w:snapToGrid/>
              <w:spacing w:before="40" w:after="40" w:line="220" w:lineRule="exact"/>
              <w:jc w:val="right"/>
              <w:rPr>
                <w:rFonts w:eastAsia="Times New Roman"/>
                <w:sz w:val="18"/>
                <w:szCs w:val="28"/>
              </w:rPr>
            </w:pPr>
            <w:r w:rsidRPr="008D6145">
              <w:rPr>
                <w:rFonts w:eastAsia="Times New Roman"/>
                <w:sz w:val="18"/>
                <w:szCs w:val="28"/>
              </w:rPr>
              <w:t>-</w:t>
            </w:r>
          </w:p>
        </w:tc>
        <w:tc>
          <w:tcPr>
            <w:tcW w:w="1134" w:type="dxa"/>
            <w:tcBorders>
              <w:bottom w:val="single" w:sz="12" w:space="0" w:color="auto"/>
            </w:tcBorders>
            <w:shd w:val="clear" w:color="auto" w:fill="auto"/>
            <w:noWrap/>
            <w:vAlign w:val="bottom"/>
            <w:hideMark/>
          </w:tcPr>
          <w:p w:rsidR="008D6145" w:rsidRPr="008D6145" w:rsidRDefault="008D6145">
            <w:pPr>
              <w:suppressAutoHyphens w:val="0"/>
              <w:kinsoku/>
              <w:overflowPunct/>
              <w:autoSpaceDE/>
              <w:autoSpaceDN/>
              <w:adjustRightInd/>
              <w:snapToGrid/>
              <w:spacing w:before="40" w:after="40" w:line="220" w:lineRule="exact"/>
              <w:jc w:val="right"/>
              <w:rPr>
                <w:rFonts w:eastAsia="Times New Roman"/>
                <w:sz w:val="18"/>
                <w:szCs w:val="28"/>
              </w:rPr>
            </w:pPr>
            <w:r w:rsidRPr="008D6145">
              <w:rPr>
                <w:rFonts w:eastAsia="Times New Roman"/>
                <w:sz w:val="18"/>
                <w:szCs w:val="28"/>
              </w:rPr>
              <w:t>-</w:t>
            </w:r>
          </w:p>
        </w:tc>
        <w:tc>
          <w:tcPr>
            <w:tcW w:w="1134" w:type="dxa"/>
            <w:tcBorders>
              <w:bottom w:val="single" w:sz="12" w:space="0" w:color="auto"/>
            </w:tcBorders>
            <w:shd w:val="clear" w:color="auto" w:fill="auto"/>
            <w:noWrap/>
            <w:vAlign w:val="bottom"/>
            <w:hideMark/>
          </w:tcPr>
          <w:p w:rsidR="008D6145" w:rsidRPr="00587C3F" w:rsidRDefault="008D6145">
            <w:pPr>
              <w:suppressAutoHyphens w:val="0"/>
              <w:kinsoku/>
              <w:overflowPunct/>
              <w:autoSpaceDE/>
              <w:autoSpaceDN/>
              <w:adjustRightInd/>
              <w:snapToGrid/>
              <w:spacing w:before="40" w:after="40" w:line="220" w:lineRule="exact"/>
              <w:jc w:val="right"/>
              <w:rPr>
                <w:rFonts w:eastAsia="Times New Roman"/>
                <w:b/>
                <w:sz w:val="18"/>
                <w:szCs w:val="28"/>
              </w:rPr>
            </w:pPr>
            <w:r w:rsidRPr="00587C3F">
              <w:rPr>
                <w:rFonts w:eastAsia="Times New Roman"/>
                <w:b/>
                <w:sz w:val="18"/>
                <w:szCs w:val="28"/>
              </w:rPr>
              <w:t>1 269</w:t>
            </w:r>
          </w:p>
        </w:tc>
      </w:tr>
    </w:tbl>
    <w:p w:rsidR="008D6145" w:rsidRPr="008D6145" w:rsidRDefault="008D6145" w:rsidP="008A73B7">
      <w:pPr>
        <w:kinsoku/>
        <w:overflowPunct/>
        <w:autoSpaceDE/>
        <w:autoSpaceDN/>
        <w:adjustRightInd/>
        <w:snapToGrid/>
        <w:spacing w:before="120"/>
        <w:ind w:left="1134" w:right="1134" w:firstLine="170"/>
        <w:rPr>
          <w:rFonts w:eastAsia="Times New Roman"/>
          <w:sz w:val="18"/>
          <w:szCs w:val="18"/>
        </w:rPr>
      </w:pPr>
      <w:r w:rsidRPr="008D6145">
        <w:rPr>
          <w:rFonts w:eastAsia="Times New Roman"/>
          <w:i/>
          <w:sz w:val="18"/>
          <w:szCs w:val="18"/>
        </w:rPr>
        <w:t>Source</w:t>
      </w:r>
      <w:r w:rsidRPr="008D6145">
        <w:rPr>
          <w:rFonts w:eastAsia="Times New Roman"/>
          <w:sz w:val="18"/>
          <w:szCs w:val="18"/>
        </w:rPr>
        <w:t> : MESRS/2016.</w:t>
      </w:r>
    </w:p>
    <w:p w:rsidR="008D6145" w:rsidRPr="008A73B7" w:rsidRDefault="008D6145" w:rsidP="008A73B7">
      <w:pPr>
        <w:kinsoku/>
        <w:overflowPunct/>
        <w:autoSpaceDE/>
        <w:autoSpaceDN/>
        <w:adjustRightInd/>
        <w:snapToGrid/>
        <w:spacing w:after="240"/>
        <w:ind w:left="1134" w:right="1134" w:firstLine="170"/>
        <w:rPr>
          <w:rFonts w:eastAsia="Times New Roman"/>
          <w:sz w:val="18"/>
          <w:szCs w:val="18"/>
          <w:lang w:val="fr-FR"/>
        </w:rPr>
      </w:pPr>
      <w:r w:rsidRPr="008A73B7">
        <w:rPr>
          <w:rFonts w:eastAsia="Times New Roman"/>
          <w:sz w:val="18"/>
          <w:szCs w:val="18"/>
          <w:lang w:val="fr-FR"/>
        </w:rPr>
        <w:t>NB : les données de 2013-2014, de 2014-2015 et de 2015-2016 sont provisoires.</w:t>
      </w:r>
    </w:p>
    <w:p w:rsidR="008D6145" w:rsidRPr="008D6145" w:rsidRDefault="00821D2B" w:rsidP="00821D2B">
      <w:pPr>
        <w:pStyle w:val="SingleTxtG"/>
        <w:kinsoku/>
        <w:overflowPunct/>
        <w:autoSpaceDE/>
        <w:autoSpaceDN/>
        <w:adjustRightInd/>
        <w:snapToGrid/>
        <w:rPr>
          <w:rFonts w:eastAsia="Times New Roman"/>
          <w:lang w:val="fr-FR"/>
        </w:rPr>
      </w:pPr>
      <w:r w:rsidRPr="008D6145">
        <w:rPr>
          <w:rFonts w:eastAsia="Times New Roman"/>
          <w:lang w:val="fr-FR"/>
        </w:rPr>
        <w:t>123.</w:t>
      </w:r>
      <w:r w:rsidRPr="008D6145">
        <w:rPr>
          <w:rFonts w:eastAsia="Times New Roman"/>
          <w:lang w:val="fr-FR"/>
        </w:rPr>
        <w:tab/>
      </w:r>
      <w:r w:rsidR="008D6145" w:rsidRPr="008D6145">
        <w:rPr>
          <w:rFonts w:eastAsia="Times New Roman"/>
          <w:lang w:val="fr-FR"/>
        </w:rPr>
        <w:t>Le nombre d</w:t>
      </w:r>
      <w:r w:rsidR="00A033A7">
        <w:rPr>
          <w:rFonts w:eastAsia="Times New Roman"/>
          <w:lang w:val="fr-FR"/>
        </w:rPr>
        <w:t>’</w:t>
      </w:r>
      <w:r w:rsidR="008D6145" w:rsidRPr="008D6145">
        <w:rPr>
          <w:rFonts w:eastAsia="Times New Roman"/>
          <w:lang w:val="fr-FR"/>
        </w:rPr>
        <w:t>enseignants permanents exerçant dans les universités publiques du Bénin s</w:t>
      </w:r>
      <w:r w:rsidR="00A033A7">
        <w:rPr>
          <w:rFonts w:eastAsia="Times New Roman"/>
          <w:lang w:val="fr-FR"/>
        </w:rPr>
        <w:t>’</w:t>
      </w:r>
      <w:r w:rsidR="008D6145" w:rsidRPr="008D6145">
        <w:rPr>
          <w:rFonts w:eastAsia="Times New Roman"/>
          <w:lang w:val="fr-FR"/>
        </w:rPr>
        <w:t>élève à 1</w:t>
      </w:r>
      <w:r w:rsidR="003D10C7">
        <w:rPr>
          <w:rFonts w:eastAsia="Times New Roman"/>
          <w:lang w:val="fr-FR"/>
        </w:rPr>
        <w:t> </w:t>
      </w:r>
      <w:r w:rsidR="008D6145" w:rsidRPr="008D6145">
        <w:rPr>
          <w:rFonts w:eastAsia="Times New Roman"/>
          <w:lang w:val="fr-FR"/>
        </w:rPr>
        <w:t>144. Le nombre d</w:t>
      </w:r>
      <w:r w:rsidR="00A033A7">
        <w:rPr>
          <w:rFonts w:eastAsia="Times New Roman"/>
          <w:lang w:val="fr-FR"/>
        </w:rPr>
        <w:t>’</w:t>
      </w:r>
      <w:r w:rsidR="008D6145" w:rsidRPr="008D6145">
        <w:rPr>
          <w:rFonts w:eastAsia="Times New Roman"/>
          <w:lang w:val="fr-FR"/>
        </w:rPr>
        <w:t>étudiants étant de 99</w:t>
      </w:r>
      <w:r w:rsidR="003D10C7">
        <w:rPr>
          <w:rFonts w:eastAsia="Times New Roman"/>
          <w:lang w:val="fr-FR"/>
        </w:rPr>
        <w:t> </w:t>
      </w:r>
      <w:r w:rsidR="008D6145" w:rsidRPr="008D6145">
        <w:rPr>
          <w:rFonts w:eastAsia="Times New Roman"/>
          <w:lang w:val="fr-FR"/>
        </w:rPr>
        <w:t>460, alors le taux d</w:t>
      </w:r>
      <w:r w:rsidR="00A033A7">
        <w:rPr>
          <w:rFonts w:eastAsia="Times New Roman"/>
          <w:lang w:val="fr-FR"/>
        </w:rPr>
        <w:t>’</w:t>
      </w:r>
      <w:r w:rsidR="008D6145" w:rsidRPr="008D6145">
        <w:rPr>
          <w:rFonts w:eastAsia="Times New Roman"/>
          <w:lang w:val="fr-FR"/>
        </w:rPr>
        <w:t>encadrement des étudiants est donc de 87. Ce taux d</w:t>
      </w:r>
      <w:r w:rsidR="00A033A7">
        <w:rPr>
          <w:rFonts w:eastAsia="Times New Roman"/>
          <w:lang w:val="fr-FR"/>
        </w:rPr>
        <w:t>’</w:t>
      </w:r>
      <w:r w:rsidR="008D6145" w:rsidRPr="008D6145">
        <w:rPr>
          <w:rFonts w:eastAsia="Times New Roman"/>
          <w:lang w:val="fr-FR"/>
        </w:rPr>
        <w:t>encadrement varie par université : université d</w:t>
      </w:r>
      <w:r w:rsidR="00A033A7">
        <w:rPr>
          <w:rFonts w:eastAsia="Times New Roman"/>
          <w:lang w:val="fr-FR"/>
        </w:rPr>
        <w:t>’</w:t>
      </w:r>
      <w:r w:rsidR="008D6145" w:rsidRPr="008D6145">
        <w:rPr>
          <w:rFonts w:eastAsia="Times New Roman"/>
          <w:lang w:val="fr-FR"/>
        </w:rPr>
        <w:t>Abomey-Calavi (82) et Université Parakou (136). Les informations disponibles ne permettent pas de calculer l</w:t>
      </w:r>
      <w:r w:rsidR="00A033A7">
        <w:rPr>
          <w:rFonts w:eastAsia="Times New Roman"/>
          <w:lang w:val="fr-FR"/>
        </w:rPr>
        <w:t>’</w:t>
      </w:r>
      <w:r w:rsidR="008D6145" w:rsidRPr="008D6145">
        <w:rPr>
          <w:rFonts w:eastAsia="Times New Roman"/>
          <w:lang w:val="fr-FR"/>
        </w:rPr>
        <w:t>équivalent en enseignants permanents des enseignants vacataires e</w:t>
      </w:r>
      <w:r w:rsidR="00A033A7">
        <w:rPr>
          <w:rFonts w:eastAsia="Times New Roman"/>
          <w:lang w:val="fr-FR"/>
        </w:rPr>
        <w:t xml:space="preserve">n fonction du volume horaire. </w:t>
      </w:r>
      <w:r w:rsidR="008D6145" w:rsidRPr="008D6145">
        <w:rPr>
          <w:rFonts w:eastAsia="Times New Roman"/>
          <w:lang w:val="fr-FR"/>
        </w:rPr>
        <w:t>Le nombre d</w:t>
      </w:r>
      <w:r w:rsidR="00A033A7">
        <w:rPr>
          <w:rFonts w:eastAsia="Times New Roman"/>
          <w:lang w:val="fr-FR"/>
        </w:rPr>
        <w:t>’</w:t>
      </w:r>
      <w:r w:rsidR="008D6145" w:rsidRPr="008D6145">
        <w:rPr>
          <w:rFonts w:eastAsia="Times New Roman"/>
          <w:lang w:val="fr-FR"/>
        </w:rPr>
        <w:t>enseignants en équivalent enseignants permanents est égal à la somme du nombre d</w:t>
      </w:r>
      <w:r w:rsidR="00A033A7">
        <w:rPr>
          <w:rFonts w:eastAsia="Times New Roman"/>
          <w:lang w:val="fr-FR"/>
        </w:rPr>
        <w:t>’</w:t>
      </w:r>
      <w:r w:rsidR="008D6145" w:rsidRPr="008D6145">
        <w:rPr>
          <w:rFonts w:eastAsia="Times New Roman"/>
          <w:lang w:val="fr-FR"/>
        </w:rPr>
        <w:t>enseignants permanents et du nombre d</w:t>
      </w:r>
      <w:r w:rsidR="00A033A7">
        <w:rPr>
          <w:rFonts w:eastAsia="Times New Roman"/>
          <w:lang w:val="fr-FR"/>
        </w:rPr>
        <w:t>’</w:t>
      </w:r>
      <w:r w:rsidR="008D6145" w:rsidRPr="008D6145">
        <w:rPr>
          <w:rFonts w:eastAsia="Times New Roman"/>
          <w:lang w:val="fr-FR"/>
        </w:rPr>
        <w:t>enseignants vacataires « en équivalent enseignants permanents en fonction du volume horaire exécuté</w:t>
      </w:r>
      <w:r w:rsidR="00C073F5">
        <w:rPr>
          <w:rFonts w:eastAsia="Times New Roman"/>
          <w:lang w:val="fr-FR"/>
        </w:rPr>
        <w:t> </w:t>
      </w:r>
      <w:r w:rsidR="008D6145" w:rsidRPr="008D6145">
        <w:rPr>
          <w:rFonts w:eastAsia="Times New Roman"/>
          <w:lang w:val="fr-FR"/>
        </w:rPr>
        <w:t xml:space="preserve">». </w:t>
      </w:r>
    </w:p>
    <w:p w:rsidR="008D6145" w:rsidRPr="008D6145" w:rsidRDefault="008D6145" w:rsidP="00821D2B">
      <w:pPr>
        <w:pStyle w:val="H1G"/>
        <w:rPr>
          <w:lang w:val="fr-FR"/>
        </w:rPr>
      </w:pPr>
      <w:r w:rsidRPr="008D6145">
        <w:rPr>
          <w:lang w:val="fr-FR"/>
        </w:rPr>
        <w:tab/>
        <w:t>I.</w:t>
      </w:r>
      <w:r w:rsidRPr="008D6145">
        <w:rPr>
          <w:lang w:val="fr-FR"/>
        </w:rPr>
        <w:tab/>
        <w:t xml:space="preserve">Article 14 </w:t>
      </w:r>
    </w:p>
    <w:p w:rsidR="008D6145" w:rsidRPr="008D6145" w:rsidRDefault="00821D2B" w:rsidP="00821D2B">
      <w:pPr>
        <w:pStyle w:val="SingleTxtG"/>
        <w:kinsoku/>
        <w:overflowPunct/>
        <w:autoSpaceDE/>
        <w:autoSpaceDN/>
        <w:adjustRightInd/>
        <w:snapToGrid/>
        <w:rPr>
          <w:rFonts w:eastAsia="Times New Roman"/>
          <w:lang w:val="fr-FR"/>
        </w:rPr>
      </w:pPr>
      <w:r w:rsidRPr="008D6145">
        <w:rPr>
          <w:rFonts w:eastAsia="Times New Roman"/>
          <w:lang w:val="fr-FR"/>
        </w:rPr>
        <w:t>124.</w:t>
      </w:r>
      <w:r w:rsidRPr="008D6145">
        <w:rPr>
          <w:rFonts w:eastAsia="Times New Roman"/>
          <w:lang w:val="fr-FR"/>
        </w:rPr>
        <w:tab/>
      </w:r>
      <w:r w:rsidR="008D6145" w:rsidRPr="008D6145">
        <w:rPr>
          <w:rFonts w:eastAsia="Times New Roman"/>
          <w:lang w:val="fr-FR"/>
        </w:rPr>
        <w:t>Rien à signaler.</w:t>
      </w:r>
    </w:p>
    <w:p w:rsidR="008D6145" w:rsidRPr="008D6145" w:rsidRDefault="008D6145" w:rsidP="00821D2B">
      <w:pPr>
        <w:pStyle w:val="H1G"/>
        <w:rPr>
          <w:lang w:val="fr-FR"/>
        </w:rPr>
      </w:pPr>
      <w:r w:rsidRPr="008D6145">
        <w:rPr>
          <w:lang w:val="fr-FR"/>
        </w:rPr>
        <w:tab/>
        <w:t>J.</w:t>
      </w:r>
      <w:r w:rsidRPr="008D6145">
        <w:rPr>
          <w:lang w:val="fr-FR"/>
        </w:rPr>
        <w:tab/>
        <w:t xml:space="preserve">Article 15 </w:t>
      </w:r>
      <w:r w:rsidR="003D10C7">
        <w:rPr>
          <w:lang w:val="fr-FR"/>
        </w:rPr>
        <w:t>–</w:t>
      </w:r>
      <w:r w:rsidRPr="008D6145">
        <w:rPr>
          <w:lang w:val="fr-FR"/>
        </w:rPr>
        <w:t xml:space="preserve"> Droit de participer à la vie culturelle</w:t>
      </w:r>
    </w:p>
    <w:p w:rsidR="008D6145" w:rsidRPr="008D6145" w:rsidRDefault="00821D2B" w:rsidP="008A73B7">
      <w:pPr>
        <w:pStyle w:val="SingleTxtG"/>
        <w:kinsoku/>
        <w:overflowPunct/>
        <w:autoSpaceDE/>
        <w:autoSpaceDN/>
        <w:adjustRightInd/>
        <w:snapToGrid/>
        <w:rPr>
          <w:rFonts w:eastAsia="Times New Roman"/>
          <w:bCs/>
          <w:lang w:val="fr-FR"/>
        </w:rPr>
      </w:pPr>
      <w:r w:rsidRPr="008D6145">
        <w:rPr>
          <w:rFonts w:eastAsia="Times New Roman"/>
          <w:bCs/>
          <w:lang w:val="fr-FR"/>
        </w:rPr>
        <w:t>125.</w:t>
      </w:r>
      <w:r w:rsidRPr="008D6145">
        <w:rPr>
          <w:rFonts w:eastAsia="Times New Roman"/>
          <w:bCs/>
          <w:lang w:val="fr-FR"/>
        </w:rPr>
        <w:tab/>
      </w:r>
      <w:r w:rsidR="008D6145" w:rsidRPr="008D6145">
        <w:rPr>
          <w:rFonts w:eastAsia="Times New Roman"/>
          <w:bCs/>
          <w:lang w:val="fr-FR"/>
        </w:rPr>
        <w:t>Plusieurs initiatives publiques comme privées contribuent à l</w:t>
      </w:r>
      <w:r w:rsidR="00A033A7">
        <w:rPr>
          <w:rFonts w:eastAsia="Times New Roman"/>
          <w:bCs/>
          <w:lang w:val="fr-FR"/>
        </w:rPr>
        <w:t>’</w:t>
      </w:r>
      <w:r w:rsidR="008D6145" w:rsidRPr="008D6145">
        <w:rPr>
          <w:rFonts w:eastAsia="Times New Roman"/>
          <w:bCs/>
          <w:lang w:val="fr-FR"/>
        </w:rPr>
        <w:t>effectivité du droit des citoyens à participer à la vie culturelle. Parmi les plus significatives, on peut souligner :</w:t>
      </w:r>
    </w:p>
    <w:p w:rsidR="008D6145" w:rsidRPr="008D6145" w:rsidRDefault="00821D2B" w:rsidP="00821D2B">
      <w:pPr>
        <w:pStyle w:val="Bullet1G"/>
        <w:numPr>
          <w:ilvl w:val="0"/>
          <w:numId w:val="0"/>
        </w:numPr>
        <w:tabs>
          <w:tab w:val="left" w:pos="1701"/>
        </w:tabs>
        <w:ind w:left="1701" w:hanging="170"/>
        <w:rPr>
          <w:lang w:val="fr-FR"/>
        </w:rPr>
      </w:pPr>
      <w:r w:rsidRPr="008D6145">
        <w:rPr>
          <w:lang w:val="fr-FR"/>
        </w:rPr>
        <w:t>•</w:t>
      </w:r>
      <w:r w:rsidRPr="008D6145">
        <w:rPr>
          <w:lang w:val="fr-FR"/>
        </w:rPr>
        <w:tab/>
      </w:r>
      <w:r w:rsidR="008D6145" w:rsidRPr="008D6145">
        <w:rPr>
          <w:lang w:val="fr-FR"/>
        </w:rPr>
        <w:t>L</w:t>
      </w:r>
      <w:r w:rsidR="00A033A7">
        <w:rPr>
          <w:lang w:val="fr-FR"/>
        </w:rPr>
        <w:t>’</w:t>
      </w:r>
      <w:r w:rsidR="008D6145" w:rsidRPr="008D6145">
        <w:rPr>
          <w:lang w:val="fr-FR"/>
        </w:rPr>
        <w:t xml:space="preserve">adoption du décret </w:t>
      </w:r>
      <w:r w:rsidR="003D10C7" w:rsidRPr="006C0894">
        <w:rPr>
          <w:rFonts w:eastAsia="Times New Roman"/>
          <w:bCs/>
          <w:lang w:val="fr-FR"/>
        </w:rPr>
        <w:t>n</w:t>
      </w:r>
      <w:r w:rsidR="003D10C7" w:rsidRPr="006C0894">
        <w:rPr>
          <w:rFonts w:eastAsia="Times New Roman"/>
          <w:bCs/>
          <w:vertAlign w:val="superscript"/>
          <w:lang w:val="fr-FR"/>
        </w:rPr>
        <w:t>o</w:t>
      </w:r>
      <w:r w:rsidR="003D10C7" w:rsidRPr="006C0894">
        <w:rPr>
          <w:rFonts w:eastAsia="Times New Roman"/>
          <w:bCs/>
          <w:lang w:val="fr-FR"/>
        </w:rPr>
        <w:t> </w:t>
      </w:r>
      <w:r w:rsidR="008D6145" w:rsidRPr="008D6145">
        <w:rPr>
          <w:lang w:val="fr-FR"/>
        </w:rPr>
        <w:t>2015-486 du 7 septembre 2015 portant création, attributions, organisation et fonctionnement du Fonds d</w:t>
      </w:r>
      <w:r w:rsidR="00A033A7">
        <w:rPr>
          <w:lang w:val="fr-FR"/>
        </w:rPr>
        <w:t>’</w:t>
      </w:r>
      <w:r w:rsidR="008D6145" w:rsidRPr="008D6145">
        <w:rPr>
          <w:lang w:val="fr-FR"/>
        </w:rPr>
        <w:t xml:space="preserve">Aide à la Culture </w:t>
      </w:r>
      <w:r w:rsidR="008D6145" w:rsidRPr="00627634">
        <w:rPr>
          <w:b/>
          <w:lang w:val="fr-FR"/>
        </w:rPr>
        <w:t>« </w:t>
      </w:r>
      <w:r w:rsidR="008D6145" w:rsidRPr="00821D2B">
        <w:rPr>
          <w:lang w:val="fr-FR"/>
        </w:rPr>
        <w:t xml:space="preserve">qui abroge toutes dispositions antérieures contraires, notamment celles du décret </w:t>
      </w:r>
      <w:r w:rsidR="003D10C7" w:rsidRPr="006C0894">
        <w:rPr>
          <w:rFonts w:eastAsia="Times New Roman"/>
          <w:bCs/>
          <w:lang w:val="fr-FR"/>
        </w:rPr>
        <w:t>n</w:t>
      </w:r>
      <w:r w:rsidR="003D10C7" w:rsidRPr="006C0894">
        <w:rPr>
          <w:rFonts w:eastAsia="Times New Roman"/>
          <w:bCs/>
          <w:vertAlign w:val="superscript"/>
          <w:lang w:val="fr-FR"/>
        </w:rPr>
        <w:t>o</w:t>
      </w:r>
      <w:r w:rsidR="003D10C7" w:rsidRPr="006C0894">
        <w:rPr>
          <w:rFonts w:eastAsia="Times New Roman"/>
          <w:bCs/>
          <w:lang w:val="fr-FR"/>
        </w:rPr>
        <w:t> </w:t>
      </w:r>
      <w:r w:rsidR="008D6145" w:rsidRPr="00821D2B">
        <w:rPr>
          <w:lang w:val="fr-FR"/>
        </w:rPr>
        <w:t>2008-112 du 12</w:t>
      </w:r>
      <w:r w:rsidR="00627634">
        <w:rPr>
          <w:lang w:val="fr-FR"/>
        </w:rPr>
        <w:t> </w:t>
      </w:r>
      <w:r w:rsidR="008D6145" w:rsidRPr="00821D2B">
        <w:rPr>
          <w:lang w:val="fr-FR"/>
        </w:rPr>
        <w:t>mars 2008 portant approbation des statuts du Fonds d</w:t>
      </w:r>
      <w:r w:rsidR="00A033A7" w:rsidRPr="00821D2B">
        <w:rPr>
          <w:lang w:val="fr-FR"/>
        </w:rPr>
        <w:t>’</w:t>
      </w:r>
      <w:r w:rsidR="008D6145" w:rsidRPr="00821D2B">
        <w:rPr>
          <w:lang w:val="fr-FR"/>
        </w:rPr>
        <w:t>Aide à la Culture</w:t>
      </w:r>
      <w:r w:rsidR="008D6145" w:rsidRPr="00627634">
        <w:rPr>
          <w:b/>
          <w:lang w:val="fr-FR"/>
        </w:rPr>
        <w:t> </w:t>
      </w:r>
      <w:r w:rsidR="008D6145" w:rsidRPr="00D850E8">
        <w:rPr>
          <w:bCs/>
          <w:lang w:val="fr-FR"/>
        </w:rPr>
        <w:t>»</w:t>
      </w:r>
      <w:r w:rsidR="008D6145" w:rsidRPr="00627634">
        <w:rPr>
          <w:lang w:val="fr-FR"/>
        </w:rPr>
        <w:t>.</w:t>
      </w:r>
      <w:r w:rsidR="008D6145" w:rsidRPr="008D6145">
        <w:rPr>
          <w:lang w:val="fr-FR"/>
        </w:rPr>
        <w:t xml:space="preserve"> Il s</w:t>
      </w:r>
      <w:r w:rsidR="00A033A7">
        <w:rPr>
          <w:lang w:val="fr-FR"/>
        </w:rPr>
        <w:t>’</w:t>
      </w:r>
      <w:r w:rsidR="008D6145" w:rsidRPr="008D6145">
        <w:rPr>
          <w:lang w:val="fr-FR"/>
        </w:rPr>
        <w:t>agit, entre autres, de réviser ainsi le mode de désignation des représentants des acteurs culturels au sein du conseil d</w:t>
      </w:r>
      <w:r w:rsidR="00A033A7">
        <w:rPr>
          <w:lang w:val="fr-FR"/>
        </w:rPr>
        <w:t>’</w:t>
      </w:r>
      <w:r w:rsidR="008D6145" w:rsidRPr="008D6145">
        <w:rPr>
          <w:lang w:val="fr-FR"/>
        </w:rPr>
        <w:t>administration du FAC. Car, contrairement au décret abrogé qui conférait aux associations le droit de vote, c</w:t>
      </w:r>
      <w:r w:rsidR="00A033A7">
        <w:rPr>
          <w:lang w:val="fr-FR"/>
        </w:rPr>
        <w:t>’</w:t>
      </w:r>
      <w:r w:rsidR="008D6145" w:rsidRPr="008D6145">
        <w:rPr>
          <w:lang w:val="fr-FR"/>
        </w:rPr>
        <w:t>est désormais les fédérations qui sont appelés à désigner les votants. Le Fonds d</w:t>
      </w:r>
      <w:r w:rsidR="00A033A7">
        <w:rPr>
          <w:lang w:val="fr-FR"/>
        </w:rPr>
        <w:t>’</w:t>
      </w:r>
      <w:r w:rsidR="008D6145" w:rsidRPr="008D6145">
        <w:rPr>
          <w:lang w:val="fr-FR"/>
        </w:rPr>
        <w:t>appui apporte un soutien financier aux initiatives prises par les acteurs du monde culturel ;</w:t>
      </w:r>
    </w:p>
    <w:p w:rsidR="008D6145" w:rsidRPr="008D6145" w:rsidRDefault="00821D2B" w:rsidP="008A73B7">
      <w:pPr>
        <w:pStyle w:val="Bullet1G"/>
        <w:numPr>
          <w:ilvl w:val="0"/>
          <w:numId w:val="0"/>
        </w:numPr>
        <w:tabs>
          <w:tab w:val="left" w:pos="1701"/>
        </w:tabs>
        <w:ind w:left="1701" w:hanging="170"/>
        <w:rPr>
          <w:lang w:val="fr-FR"/>
        </w:rPr>
      </w:pPr>
      <w:r w:rsidRPr="008D6145">
        <w:rPr>
          <w:lang w:val="fr-FR"/>
        </w:rPr>
        <w:t>•</w:t>
      </w:r>
      <w:r w:rsidRPr="008D6145">
        <w:rPr>
          <w:lang w:val="fr-FR"/>
        </w:rPr>
        <w:tab/>
      </w:r>
      <w:r w:rsidR="008D6145" w:rsidRPr="008D6145">
        <w:rPr>
          <w:lang w:val="fr-FR"/>
        </w:rPr>
        <w:t>L</w:t>
      </w:r>
      <w:r w:rsidR="00A033A7">
        <w:rPr>
          <w:lang w:val="fr-FR"/>
        </w:rPr>
        <w:t>’</w:t>
      </w:r>
      <w:r w:rsidR="008D6145" w:rsidRPr="008D6145">
        <w:rPr>
          <w:lang w:val="fr-FR"/>
        </w:rPr>
        <w:t xml:space="preserve">adoption du décret </w:t>
      </w:r>
      <w:r w:rsidR="003D10C7" w:rsidRPr="006C0894">
        <w:rPr>
          <w:rFonts w:eastAsia="Times New Roman"/>
          <w:bCs/>
          <w:lang w:val="fr-FR"/>
        </w:rPr>
        <w:t>n</w:t>
      </w:r>
      <w:r w:rsidR="003D10C7" w:rsidRPr="006C0894">
        <w:rPr>
          <w:rFonts w:eastAsia="Times New Roman"/>
          <w:bCs/>
          <w:vertAlign w:val="superscript"/>
          <w:lang w:val="fr-FR"/>
        </w:rPr>
        <w:t>o</w:t>
      </w:r>
      <w:r w:rsidR="003D10C7" w:rsidRPr="006C0894">
        <w:rPr>
          <w:rFonts w:eastAsia="Times New Roman"/>
          <w:bCs/>
          <w:lang w:val="fr-FR"/>
        </w:rPr>
        <w:t> </w:t>
      </w:r>
      <w:r w:rsidR="008D6145" w:rsidRPr="008D6145">
        <w:rPr>
          <w:lang w:val="fr-FR"/>
        </w:rPr>
        <w:t xml:space="preserve">2011-322 du </w:t>
      </w:r>
      <w:r w:rsidR="006533A3">
        <w:rPr>
          <w:lang w:val="fr-FR"/>
        </w:rPr>
        <w:t>2 </w:t>
      </w:r>
      <w:r w:rsidR="003D10C7">
        <w:rPr>
          <w:lang w:val="fr-FR"/>
        </w:rPr>
        <w:t>a</w:t>
      </w:r>
      <w:r w:rsidR="008D6145" w:rsidRPr="008D6145">
        <w:rPr>
          <w:lang w:val="fr-FR"/>
        </w:rPr>
        <w:t>vril 2011 portant statut de l</w:t>
      </w:r>
      <w:r w:rsidR="00A033A7">
        <w:rPr>
          <w:lang w:val="fr-FR"/>
        </w:rPr>
        <w:t>’</w:t>
      </w:r>
      <w:r w:rsidR="008D6145" w:rsidRPr="008D6145">
        <w:rPr>
          <w:lang w:val="fr-FR"/>
        </w:rPr>
        <w:t>artiste en République du Bénin ;</w:t>
      </w:r>
    </w:p>
    <w:p w:rsidR="008D6145" w:rsidRPr="008D6145" w:rsidRDefault="00821D2B" w:rsidP="008A73B7">
      <w:pPr>
        <w:pStyle w:val="Bullet1G"/>
        <w:numPr>
          <w:ilvl w:val="0"/>
          <w:numId w:val="0"/>
        </w:numPr>
        <w:tabs>
          <w:tab w:val="left" w:pos="1701"/>
        </w:tabs>
        <w:ind w:left="1701" w:hanging="170"/>
        <w:rPr>
          <w:lang w:val="fr-FR"/>
        </w:rPr>
      </w:pPr>
      <w:r w:rsidRPr="008D6145">
        <w:rPr>
          <w:lang w:val="fr-FR"/>
        </w:rPr>
        <w:t>•</w:t>
      </w:r>
      <w:r w:rsidRPr="008D6145">
        <w:rPr>
          <w:lang w:val="fr-FR"/>
        </w:rPr>
        <w:tab/>
      </w:r>
      <w:r w:rsidR="008D6145" w:rsidRPr="008D6145">
        <w:rPr>
          <w:lang w:val="fr-FR"/>
        </w:rPr>
        <w:t>L</w:t>
      </w:r>
      <w:r w:rsidR="00A033A7">
        <w:rPr>
          <w:lang w:val="fr-FR"/>
        </w:rPr>
        <w:t>’</w:t>
      </w:r>
      <w:r w:rsidR="008D6145" w:rsidRPr="008D6145">
        <w:rPr>
          <w:lang w:val="fr-FR"/>
        </w:rPr>
        <w:t>organisation de plusieurs manifestations, notamment : </w:t>
      </w:r>
      <w:r w:rsidR="008D6145" w:rsidRPr="008D6145">
        <w:rPr>
          <w:iCs/>
          <w:lang w:val="fr-FR"/>
        </w:rPr>
        <w:t xml:space="preserve">le Festival International du Théâtre du Bénin, (FITHEB), Quintessence, le festival international de films de Ouidah, Laguimages, le festival de films documentaires de Cotonou, </w:t>
      </w:r>
      <w:r w:rsidR="008D6145" w:rsidRPr="008D6145">
        <w:rPr>
          <w:i/>
          <w:iCs/>
          <w:lang w:val="fr-FR"/>
        </w:rPr>
        <w:t>Sica</w:t>
      </w:r>
      <w:r w:rsidR="008D6145" w:rsidRPr="008D6145">
        <w:rPr>
          <w:iCs/>
          <w:lang w:val="fr-FR"/>
        </w:rPr>
        <w:t xml:space="preserve">, le Star de </w:t>
      </w:r>
      <w:r w:rsidR="008D6145" w:rsidRPr="008D6145">
        <w:rPr>
          <w:iCs/>
          <w:lang w:val="fr-FR"/>
        </w:rPr>
        <w:lastRenderedPageBreak/>
        <w:t>l</w:t>
      </w:r>
      <w:r w:rsidR="00A033A7">
        <w:rPr>
          <w:iCs/>
          <w:lang w:val="fr-FR"/>
        </w:rPr>
        <w:t>’</w:t>
      </w:r>
      <w:r w:rsidR="008D6145" w:rsidRPr="008D6145">
        <w:rPr>
          <w:iCs/>
          <w:lang w:val="fr-FR"/>
        </w:rPr>
        <w:t xml:space="preserve">intégration culturelle africaine, la </w:t>
      </w:r>
      <w:r w:rsidR="008D6145" w:rsidRPr="008D6145">
        <w:rPr>
          <w:i/>
          <w:iCs/>
          <w:lang w:val="fr-FR"/>
        </w:rPr>
        <w:t>Gaani</w:t>
      </w:r>
      <w:r w:rsidR="008D6145" w:rsidRPr="008D6145">
        <w:rPr>
          <w:iCs/>
          <w:lang w:val="fr-FR"/>
        </w:rPr>
        <w:t>, fête traditionnel</w:t>
      </w:r>
      <w:r>
        <w:rPr>
          <w:iCs/>
          <w:lang w:val="fr-FR"/>
        </w:rPr>
        <w:t>le</w:t>
      </w:r>
      <w:r w:rsidR="008D6145" w:rsidRPr="008D6145">
        <w:rPr>
          <w:iCs/>
          <w:lang w:val="fr-FR"/>
        </w:rPr>
        <w:t xml:space="preserve"> des </w:t>
      </w:r>
      <w:r w:rsidR="008D6145" w:rsidRPr="008D6145">
        <w:rPr>
          <w:i/>
          <w:iCs/>
          <w:lang w:val="fr-FR"/>
        </w:rPr>
        <w:t>Batombou</w:t>
      </w:r>
      <w:r>
        <w:rPr>
          <w:iCs/>
          <w:lang w:val="fr-FR"/>
        </w:rPr>
        <w:t xml:space="preserve"> à Nikki au n</w:t>
      </w:r>
      <w:r w:rsidR="008D6145" w:rsidRPr="008D6145">
        <w:rPr>
          <w:iCs/>
          <w:lang w:val="fr-FR"/>
        </w:rPr>
        <w:t>ord du pays </w:t>
      </w:r>
      <w:r w:rsidR="008D6145" w:rsidRPr="008D6145">
        <w:rPr>
          <w:lang w:val="fr-FR"/>
        </w:rPr>
        <w:t>;</w:t>
      </w:r>
    </w:p>
    <w:p w:rsidR="008D6145" w:rsidRPr="008D6145" w:rsidRDefault="00821D2B" w:rsidP="00821D2B">
      <w:pPr>
        <w:pStyle w:val="Bullet1G"/>
        <w:numPr>
          <w:ilvl w:val="0"/>
          <w:numId w:val="0"/>
        </w:numPr>
        <w:tabs>
          <w:tab w:val="left" w:pos="1701"/>
        </w:tabs>
        <w:ind w:left="1701" w:hanging="170"/>
        <w:rPr>
          <w:lang w:val="fr-FR"/>
        </w:rPr>
      </w:pPr>
      <w:r w:rsidRPr="008D6145">
        <w:rPr>
          <w:lang w:val="fr-FR"/>
        </w:rPr>
        <w:t>•</w:t>
      </w:r>
      <w:r w:rsidRPr="008D6145">
        <w:rPr>
          <w:lang w:val="fr-FR"/>
        </w:rPr>
        <w:tab/>
      </w:r>
      <w:r w:rsidR="008D6145" w:rsidRPr="008D6145">
        <w:rPr>
          <w:lang w:val="fr-FR"/>
        </w:rPr>
        <w:t>Le dynamisme des d</w:t>
      </w:r>
      <w:r w:rsidR="00A033A7">
        <w:rPr>
          <w:lang w:val="fr-FR"/>
        </w:rPr>
        <w:t>’</w:t>
      </w:r>
      <w:r w:rsidR="008D6145" w:rsidRPr="008D6145">
        <w:rPr>
          <w:lang w:val="fr-FR"/>
        </w:rPr>
        <w:t>associations culturelles qui contribuent à la promotion de la culture. Elles interviennent dans maints domaines allant de la création artistique à la formation en passant par la promotion et la diffusion des produits. Elles restent aussi à l</w:t>
      </w:r>
      <w:r w:rsidR="00A033A7">
        <w:rPr>
          <w:lang w:val="fr-FR"/>
        </w:rPr>
        <w:t>’</w:t>
      </w:r>
      <w:r w:rsidR="008D6145" w:rsidRPr="008D6145">
        <w:rPr>
          <w:lang w:val="fr-FR"/>
        </w:rPr>
        <w:t>avant-garde de la défense des intérêts des acteurs culturels du Bénin. Les associations d</w:t>
      </w:r>
      <w:r w:rsidR="00A033A7">
        <w:rPr>
          <w:lang w:val="fr-FR"/>
        </w:rPr>
        <w:t>’</w:t>
      </w:r>
      <w:r w:rsidR="008D6145" w:rsidRPr="008D6145">
        <w:rPr>
          <w:lang w:val="fr-FR"/>
        </w:rPr>
        <w:t>acteurs par filières crée une faitière pour la filière dans le but ultime d</w:t>
      </w:r>
      <w:r w:rsidR="00A033A7">
        <w:rPr>
          <w:lang w:val="fr-FR"/>
        </w:rPr>
        <w:t>’</w:t>
      </w:r>
      <w:r w:rsidR="008D6145" w:rsidRPr="008D6145">
        <w:rPr>
          <w:lang w:val="fr-FR"/>
        </w:rPr>
        <w:t>aller à une confédération future. Dès lors, on distingue la Fédération d</w:t>
      </w:r>
      <w:r w:rsidR="00A033A7">
        <w:rPr>
          <w:lang w:val="fr-FR"/>
        </w:rPr>
        <w:t>’</w:t>
      </w:r>
      <w:r w:rsidR="008D6145" w:rsidRPr="008D6145">
        <w:rPr>
          <w:lang w:val="fr-FR"/>
        </w:rPr>
        <w:t>association d</w:t>
      </w:r>
      <w:r w:rsidR="00A033A7">
        <w:rPr>
          <w:lang w:val="fr-FR"/>
        </w:rPr>
        <w:t>’</w:t>
      </w:r>
      <w:r w:rsidR="008D6145" w:rsidRPr="008D6145">
        <w:rPr>
          <w:lang w:val="fr-FR"/>
        </w:rPr>
        <w:t>artiste du Bénin (Faaben), Fédération des musiciens du Bénin (FMB), la Fédération Nationale du Théâtre (Fénath), la ligue africaine des professionnels du théâtre (Laprothéâtre), la fédération des femmes artistes du Bénin etc.</w:t>
      </w:r>
    </w:p>
    <w:p w:rsidR="00E642A1" w:rsidRDefault="00821D2B" w:rsidP="00821D2B">
      <w:pPr>
        <w:pStyle w:val="SingleTxtG"/>
        <w:kinsoku/>
        <w:overflowPunct/>
        <w:autoSpaceDE/>
        <w:autoSpaceDN/>
        <w:adjustRightInd/>
        <w:snapToGrid/>
        <w:rPr>
          <w:rFonts w:eastAsia="Times New Roman"/>
          <w:lang w:val="fr-FR"/>
        </w:rPr>
      </w:pPr>
      <w:r>
        <w:rPr>
          <w:rFonts w:eastAsia="Times New Roman"/>
          <w:lang w:val="fr-FR"/>
        </w:rPr>
        <w:t>126.</w:t>
      </w:r>
      <w:r>
        <w:rPr>
          <w:rFonts w:eastAsia="Times New Roman"/>
          <w:lang w:val="fr-FR"/>
        </w:rPr>
        <w:tab/>
      </w:r>
      <w:r w:rsidR="008D6145" w:rsidRPr="008D6145">
        <w:rPr>
          <w:rFonts w:eastAsia="Times New Roman"/>
          <w:lang w:val="fr-FR"/>
        </w:rPr>
        <w:t>Par ailleurs, le Gouvernement béninois a saisi les autorités françaises, le 27 juillet 2016, d</w:t>
      </w:r>
      <w:r w:rsidR="00A033A7">
        <w:rPr>
          <w:rFonts w:eastAsia="Times New Roman"/>
          <w:lang w:val="fr-FR"/>
        </w:rPr>
        <w:t>’</w:t>
      </w:r>
      <w:r w:rsidR="008D6145" w:rsidRPr="008D6145">
        <w:rPr>
          <w:rFonts w:eastAsia="Times New Roman"/>
          <w:lang w:val="fr-FR"/>
        </w:rPr>
        <w:t>une demande de retour au Bénin de différents biens culturels emportés pendant la colonisation. Le gouvernement béninois entend, en effet, engager des négociations avec les autorités françaises et l</w:t>
      </w:r>
      <w:r w:rsidR="00A033A7">
        <w:rPr>
          <w:rFonts w:eastAsia="Times New Roman"/>
          <w:lang w:val="fr-FR"/>
        </w:rPr>
        <w:t>’</w:t>
      </w:r>
      <w:r w:rsidR="008D6145" w:rsidRPr="008D6145">
        <w:rPr>
          <w:rFonts w:eastAsia="Times New Roman"/>
          <w:lang w:val="fr-FR"/>
        </w:rPr>
        <w:t>UNESCO pour un retour de ces biens culturels (...) répartis dans des musées et dans des collections privées.</w:t>
      </w:r>
    </w:p>
    <w:p w:rsidR="000D4CC5" w:rsidRPr="000D4CC5" w:rsidRDefault="000D4CC5" w:rsidP="000D4CC5">
      <w:pPr>
        <w:spacing w:before="240"/>
        <w:ind w:left="1134" w:right="1134"/>
        <w:jc w:val="center"/>
        <w:rPr>
          <w:u w:val="single"/>
        </w:rPr>
      </w:pPr>
      <w:r>
        <w:rPr>
          <w:u w:val="single"/>
        </w:rPr>
        <w:tab/>
      </w:r>
      <w:r>
        <w:rPr>
          <w:u w:val="single"/>
        </w:rPr>
        <w:tab/>
      </w:r>
      <w:r>
        <w:rPr>
          <w:u w:val="single"/>
        </w:rPr>
        <w:tab/>
      </w:r>
      <w:r>
        <w:rPr>
          <w:u w:val="single"/>
        </w:rPr>
        <w:tab/>
      </w:r>
    </w:p>
    <w:sectPr w:rsidR="000D4CC5" w:rsidRPr="000D4CC5">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1BDA" w:rsidRDefault="00041BDA">
      <w:pPr>
        <w:spacing w:line="240" w:lineRule="auto"/>
      </w:pPr>
    </w:p>
  </w:endnote>
  <w:endnote w:type="continuationSeparator" w:id="0">
    <w:p w:rsidR="00041BDA" w:rsidRDefault="00041BDA">
      <w:pPr>
        <w:pStyle w:val="Pieddepage"/>
      </w:pPr>
    </w:p>
  </w:endnote>
  <w:endnote w:type="continuationNotice" w:id="1">
    <w:p w:rsidR="00041BDA" w:rsidRDefault="00041BD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 New Roman Bold">
    <w:altName w:val="Times New Roman"/>
    <w:panose1 w:val="02020803070505020304"/>
    <w:charset w:val="00"/>
    <w:family w:val="roman"/>
    <w:notTrueType/>
    <w:pitch w:val="default"/>
  </w:font>
  <w:font w:name="C39T30Lfz">
    <w:altName w:val="Symbol"/>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BDA" w:rsidRDefault="00041BDA">
    <w:pPr>
      <w:pStyle w:val="Pieddepage"/>
      <w:tabs>
        <w:tab w:val="right" w:pos="9639"/>
      </w:tabs>
    </w:pPr>
    <w:r>
      <w:rPr>
        <w:b/>
        <w:sz w:val="18"/>
      </w:rPr>
      <w:fldChar w:fldCharType="begin"/>
    </w:r>
    <w:r>
      <w:rPr>
        <w:b/>
        <w:sz w:val="18"/>
      </w:rPr>
      <w:instrText xml:space="preserve"> PAGE  \* MERGEFORMAT </w:instrText>
    </w:r>
    <w:r>
      <w:rPr>
        <w:b/>
        <w:sz w:val="18"/>
      </w:rPr>
      <w:fldChar w:fldCharType="separate"/>
    </w:r>
    <w:r w:rsidR="003B2444">
      <w:rPr>
        <w:b/>
        <w:noProof/>
        <w:sz w:val="18"/>
      </w:rPr>
      <w:t>2</w:t>
    </w:r>
    <w:r>
      <w:rPr>
        <w:b/>
        <w:sz w:val="18"/>
      </w:rPr>
      <w:fldChar w:fldCharType="end"/>
    </w:r>
    <w:r>
      <w:tab/>
    </w:r>
    <w:r>
      <w:fldChar w:fldCharType="begin"/>
    </w:r>
    <w:r>
      <w:instrText xml:space="preserve"> DOCPROPERTY  gdocf  \* MERGEFORMAT </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BDA" w:rsidRDefault="00041BDA">
    <w:pPr>
      <w:pStyle w:val="Pieddepage"/>
      <w:tabs>
        <w:tab w:val="right" w:pos="9639"/>
      </w:tabs>
      <w:rPr>
        <w:sz w:val="20"/>
      </w:rPr>
    </w:pPr>
    <w:r>
      <w:fldChar w:fldCharType="begin"/>
    </w:r>
    <w:r>
      <w:instrText xml:space="preserve"> DOCPROPERTY  gdocf  \* MERGEFORMAT </w:instrText>
    </w:r>
    <w:r>
      <w:fldChar w:fldCharType="end"/>
    </w:r>
    <w:r>
      <w:tab/>
    </w:r>
    <w:r>
      <w:rPr>
        <w:b/>
        <w:sz w:val="18"/>
      </w:rPr>
      <w:fldChar w:fldCharType="begin"/>
    </w:r>
    <w:r>
      <w:rPr>
        <w:b/>
        <w:sz w:val="18"/>
      </w:rPr>
      <w:instrText xml:space="preserve"> PAGE  \* MERGEFORMAT </w:instrText>
    </w:r>
    <w:r>
      <w:rPr>
        <w:b/>
        <w:sz w:val="18"/>
      </w:rPr>
      <w:fldChar w:fldCharType="separate"/>
    </w:r>
    <w:r w:rsidR="003B2444">
      <w:rPr>
        <w:b/>
        <w:noProof/>
        <w:sz w:val="18"/>
      </w:rPr>
      <w:t>19</w:t>
    </w:r>
    <w:r>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125" w:rsidRPr="00D35125" w:rsidRDefault="00D35125">
    <w:pPr>
      <w:pStyle w:val="Pieddepage"/>
      <w:rPr>
        <w:rFonts w:ascii="C39T30Lfz" w:hAnsi="C39T30Lfz"/>
        <w:sz w:val="56"/>
      </w:rPr>
    </w:pPr>
    <w:r>
      <w:rPr>
        <w:noProof/>
        <w:lang w:eastAsia="fr-CH"/>
      </w:rPr>
      <w:drawing>
        <wp:anchor distT="0" distB="0" distL="114300" distR="114300" simplePos="0" relativeHeight="251659264" behindDoc="0" locked="0" layoutInCell="1" allowOverlap="0" wp14:anchorId="4BF1B17F" wp14:editId="123339C5">
          <wp:simplePos x="0" y="0"/>
          <wp:positionH relativeFrom="margin">
            <wp:posOffset>4325316</wp:posOffset>
          </wp:positionH>
          <wp:positionV relativeFrom="margin">
            <wp:posOffset>9208928</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CH"/>
      </w:rPr>
      <w:drawing>
        <wp:anchor distT="0" distB="0" distL="114300" distR="114300" simplePos="0" relativeHeight="251660288" behindDoc="0" locked="0" layoutInCell="1" allowOverlap="1" wp14:anchorId="7E833FF6" wp14:editId="0C39BF4D">
          <wp:simplePos x="0" y="0"/>
          <wp:positionH relativeFrom="column">
            <wp:posOffset>5470168</wp:posOffset>
          </wp:positionH>
          <wp:positionV relativeFrom="paragraph">
            <wp:posOffset>0</wp:posOffset>
          </wp:positionV>
          <wp:extent cx="638175" cy="638175"/>
          <wp:effectExtent l="0" t="0" r="9525" b="9525"/>
          <wp:wrapNone/>
          <wp:docPr id="2" name="Image 1" descr="https://undocs.org/m2/QRCode.ashx?DS=E/C.12/BEN/3&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BEN/3&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GE.1</w:t>
    </w:r>
    <w:r>
      <w:rPr>
        <w:sz w:val="20"/>
      </w:rPr>
      <w:t>8</w:t>
    </w:r>
    <w:r>
      <w:rPr>
        <w:sz w:val="20"/>
      </w:rPr>
      <w:t>-</w:t>
    </w:r>
    <w:r>
      <w:rPr>
        <w:sz w:val="20"/>
      </w:rPr>
      <w:t>2</w:t>
    </w:r>
    <w:r>
      <w:rPr>
        <w:sz w:val="20"/>
      </w:rPr>
      <w:t>03</w:t>
    </w:r>
    <w:r>
      <w:rPr>
        <w:sz w:val="20"/>
      </w:rPr>
      <w:t>76</w:t>
    </w:r>
    <w:r>
      <w:rPr>
        <w:sz w:val="20"/>
      </w:rPr>
      <w:t xml:space="preserve">  (F)</w:t>
    </w:r>
    <w:r>
      <w:br/>
    </w:r>
    <w:r w:rsidRPr="00D35125">
      <w:rPr>
        <w:rFonts w:ascii="C39T30Lfz" w:hAnsi="C39T30Lfz"/>
        <w:sz w:val="56"/>
      </w:rPr>
      <w:t></w:t>
    </w:r>
    <w:r w:rsidRPr="00D35125">
      <w:rPr>
        <w:rFonts w:ascii="C39T30Lfz" w:hAnsi="C39T30Lfz"/>
        <w:sz w:val="56"/>
      </w:rPr>
      <w:t></w:t>
    </w:r>
    <w:r w:rsidRPr="00D35125">
      <w:rPr>
        <w:rFonts w:ascii="C39T30Lfz" w:hAnsi="C39T30Lfz"/>
        <w:sz w:val="56"/>
      </w:rPr>
      <w:t></w:t>
    </w:r>
    <w:r w:rsidRPr="00D35125">
      <w:rPr>
        <w:rFonts w:ascii="C39T30Lfz" w:hAnsi="C39T30Lfz"/>
        <w:sz w:val="56"/>
      </w:rPr>
      <w:t></w:t>
    </w:r>
    <w:r w:rsidRPr="00D35125">
      <w:rPr>
        <w:rFonts w:ascii="C39T30Lfz" w:hAnsi="C39T30Lfz"/>
        <w:sz w:val="56"/>
      </w:rPr>
      <w:t></w:t>
    </w:r>
    <w:r w:rsidRPr="00D35125">
      <w:rPr>
        <w:rFonts w:ascii="C39T30Lfz" w:hAnsi="C39T30Lfz"/>
        <w:sz w:val="56"/>
      </w:rPr>
      <w:t></w:t>
    </w:r>
    <w:r w:rsidRPr="00D35125">
      <w:rPr>
        <w:rFonts w:ascii="C39T30Lfz" w:hAnsi="C39T30Lfz"/>
        <w:sz w:val="56"/>
      </w:rPr>
      <w:t></w:t>
    </w:r>
    <w:r w:rsidRPr="00D35125">
      <w:rPr>
        <w:rFonts w:ascii="C39T30Lfz" w:hAnsi="C39T30Lfz"/>
        <w:sz w:val="56"/>
      </w:rPr>
      <w:t></w:t>
    </w:r>
    <w:r w:rsidRPr="00D35125">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1BDA" w:rsidRDefault="00041BDA">
      <w:pPr>
        <w:pStyle w:val="Pieddepage"/>
        <w:tabs>
          <w:tab w:val="right" w:pos="2155"/>
        </w:tabs>
        <w:spacing w:after="80" w:line="240" w:lineRule="atLeast"/>
        <w:ind w:left="680"/>
        <w:rPr>
          <w:u w:val="single"/>
        </w:rPr>
      </w:pPr>
      <w:r>
        <w:rPr>
          <w:u w:val="single"/>
        </w:rPr>
        <w:tab/>
      </w:r>
    </w:p>
  </w:footnote>
  <w:footnote w:type="continuationSeparator" w:id="0">
    <w:p w:rsidR="00041BDA" w:rsidRDefault="00041BDA">
      <w:pPr>
        <w:pStyle w:val="Pieddepage"/>
        <w:tabs>
          <w:tab w:val="right" w:pos="2155"/>
        </w:tabs>
        <w:spacing w:after="80" w:line="240" w:lineRule="atLeast"/>
        <w:ind w:left="680"/>
        <w:rPr>
          <w:u w:val="single"/>
        </w:rPr>
      </w:pPr>
      <w:r>
        <w:rPr>
          <w:u w:val="single"/>
        </w:rPr>
        <w:tab/>
      </w:r>
    </w:p>
  </w:footnote>
  <w:footnote w:type="continuationNotice" w:id="1">
    <w:p w:rsidR="00041BDA" w:rsidRDefault="00041BDA">
      <w:pPr>
        <w:spacing w:line="240" w:lineRule="auto"/>
        <w:rPr>
          <w:sz w:val="2"/>
          <w:szCs w:val="2"/>
        </w:rPr>
      </w:pPr>
    </w:p>
  </w:footnote>
  <w:footnote w:id="2">
    <w:p w:rsidR="00041BDA" w:rsidRDefault="00041BDA" w:rsidP="00D35125">
      <w:pPr>
        <w:pStyle w:val="Notedebasdepage"/>
        <w:spacing w:after="240"/>
      </w:pPr>
      <w:r>
        <w:tab/>
      </w:r>
      <w:r w:rsidRPr="00821D2B">
        <w:rPr>
          <w:rStyle w:val="Appelnotedebasdep"/>
          <w:sz w:val="20"/>
          <w:vertAlign w:val="baseline"/>
        </w:rPr>
        <w:t>*</w:t>
      </w:r>
      <w:r>
        <w:rPr>
          <w:sz w:val="20"/>
        </w:rPr>
        <w:tab/>
      </w:r>
      <w:r>
        <w:t>La version originale du présent document n’a pas été revue p</w:t>
      </w:r>
      <w:bookmarkStart w:id="0" w:name="_GoBack"/>
      <w:bookmarkEnd w:id="0"/>
      <w:r>
        <w:t>ar les services d’édition.</w:t>
      </w:r>
    </w:p>
  </w:footnote>
  <w:footnote w:id="3">
    <w:p w:rsidR="00041BDA" w:rsidRDefault="00041BDA" w:rsidP="008D6145">
      <w:pPr>
        <w:pStyle w:val="Notedebasdepage"/>
      </w:pPr>
      <w:r>
        <w:tab/>
      </w:r>
      <w:r>
        <w:rPr>
          <w:rStyle w:val="Appelnotedebasdep"/>
        </w:rPr>
        <w:footnoteRef/>
      </w:r>
      <w:r>
        <w:tab/>
        <w:t>EPE = Equivalent Point d’Eau.</w:t>
      </w:r>
    </w:p>
  </w:footnote>
  <w:footnote w:id="4">
    <w:p w:rsidR="00041BDA" w:rsidRDefault="00041BDA" w:rsidP="008D6145">
      <w:pPr>
        <w:pStyle w:val="Notedebasdepage"/>
      </w:pPr>
      <w:r>
        <w:tab/>
      </w:r>
      <w:r>
        <w:rPr>
          <w:rStyle w:val="Appelnotedebasdep"/>
        </w:rPr>
        <w:footnoteRef/>
      </w:r>
      <w:r>
        <w:tab/>
        <w:t>« Seuls » signifie qu’il n’y a qu’une seule maternité ou un seul dispensaire.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BDA" w:rsidRDefault="003B2444">
    <w:pPr>
      <w:pStyle w:val="En-tte"/>
    </w:pPr>
    <w:r>
      <w:fldChar w:fldCharType="begin"/>
    </w:r>
    <w:r>
      <w:instrText xml:space="preserve"> DOCPROPERTY  symh  \* MERGEFORMAT </w:instrText>
    </w:r>
    <w:r>
      <w:fldChar w:fldCharType="separate"/>
    </w:r>
    <w:r>
      <w:t>E/C.12/BEN/3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BDA" w:rsidRDefault="003B2444">
    <w:pPr>
      <w:pStyle w:val="En-tte"/>
      <w:jc w:val="right"/>
    </w:pPr>
    <w:r>
      <w:fldChar w:fldCharType="begin"/>
    </w:r>
    <w:r>
      <w:instrText xml:space="preserve"> DOCPROPERTY  symh  \* MERGEFORMAT </w:instrText>
    </w:r>
    <w:r>
      <w:fldChar w:fldCharType="separate"/>
    </w:r>
    <w:r>
      <w:t>E/C.12/BEN/3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0F4440"/>
    <w:multiLevelType w:val="multilevel"/>
    <w:tmpl w:val="0318310E"/>
    <w:lvl w:ilvl="0">
      <w:start w:val="13"/>
      <w:numFmt w:val="decimal"/>
      <w:lvlText w:val="%1."/>
      <w:lvlJc w:val="left"/>
      <w:pPr>
        <w:ind w:left="600" w:hanging="600"/>
      </w:pPr>
      <w:rPr>
        <w:rFonts w:hint="default"/>
      </w:rPr>
    </w:lvl>
    <w:lvl w:ilvl="1">
      <w:start w:val="7"/>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 w15:restartNumberingAfterBreak="0">
    <w:nsid w:val="0D954887"/>
    <w:multiLevelType w:val="hybridMultilevel"/>
    <w:tmpl w:val="6E24C118"/>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AA03197"/>
    <w:multiLevelType w:val="hybridMultilevel"/>
    <w:tmpl w:val="751C4ADA"/>
    <w:lvl w:ilvl="0" w:tplc="633443AC">
      <w:start w:val="1"/>
      <w:numFmt w:val="bullet"/>
      <w:lvlText w:val=""/>
      <w:lvlJc w:val="left"/>
      <w:pPr>
        <w:ind w:left="720" w:hanging="360"/>
      </w:pPr>
      <w:rPr>
        <w:rFonts w:ascii="Symbol" w:hAnsi="Symbol"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ACA0059"/>
    <w:multiLevelType w:val="hybridMultilevel"/>
    <w:tmpl w:val="2968DF9C"/>
    <w:lvl w:ilvl="0" w:tplc="BDD4F246">
      <w:start w:val="1"/>
      <w:numFmt w:val="lowerLetter"/>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14" w15:restartNumberingAfterBreak="0">
    <w:nsid w:val="2AF95DAC"/>
    <w:multiLevelType w:val="hybridMultilevel"/>
    <w:tmpl w:val="4B0426B8"/>
    <w:lvl w:ilvl="0" w:tplc="AFE8CA94">
      <w:start w:val="1"/>
      <w:numFmt w:val="decimal"/>
      <w:lvlText w:val="%1-"/>
      <w:lvlJc w:val="left"/>
      <w:pPr>
        <w:ind w:left="720" w:hanging="360"/>
      </w:pPr>
      <w:rPr>
        <w:rFonts w:ascii="Times New Roman" w:hAnsi="Times New Roman"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ACF4EB2"/>
    <w:multiLevelType w:val="hybridMultilevel"/>
    <w:tmpl w:val="AE82671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6" w15:restartNumberingAfterBreak="0">
    <w:nsid w:val="57161FDC"/>
    <w:multiLevelType w:val="hybridMultilevel"/>
    <w:tmpl w:val="7E82B39A"/>
    <w:lvl w:ilvl="0" w:tplc="534E5508">
      <w:start w:val="1"/>
      <w:numFmt w:val="lowerLetter"/>
      <w:lvlText w:val="%1)"/>
      <w:lvlJc w:val="left"/>
      <w:pPr>
        <w:ind w:left="1068" w:hanging="360"/>
      </w:pPr>
      <w:rPr>
        <w:rFonts w:hint="default"/>
        <w:b/>
      </w:rPr>
    </w:lvl>
    <w:lvl w:ilvl="1" w:tplc="040C0019">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7" w15:restartNumberingAfterBreak="0">
    <w:nsid w:val="612C31DA"/>
    <w:multiLevelType w:val="hybridMultilevel"/>
    <w:tmpl w:val="4148C760"/>
    <w:lvl w:ilvl="0" w:tplc="449C6F14">
      <w:start w:val="1"/>
      <w:numFmt w:val="decimal"/>
      <w:lvlText w:val="%1."/>
      <w:lvlJc w:val="left"/>
      <w:pPr>
        <w:ind w:left="1854" w:hanging="360"/>
      </w:pPr>
      <w:rPr>
        <w:b w:val="0"/>
        <w:i w:val="0"/>
        <w:u w:val="none"/>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8" w15:restartNumberingAfterBreak="0">
    <w:nsid w:val="68AD07B2"/>
    <w:multiLevelType w:val="hybridMultilevel"/>
    <w:tmpl w:val="36D6316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9" w15:restartNumberingAfterBreak="0">
    <w:nsid w:val="6E4D4959"/>
    <w:multiLevelType w:val="hybridMultilevel"/>
    <w:tmpl w:val="2E90B490"/>
    <w:lvl w:ilvl="0" w:tplc="BC40994E">
      <w:start w:val="110"/>
      <w:numFmt w:val="bullet"/>
      <w:lvlText w:val="-"/>
      <w:lvlJc w:val="left"/>
      <w:pPr>
        <w:ind w:left="720" w:hanging="360"/>
      </w:pPr>
      <w:rPr>
        <w:rFonts w:ascii="Arial Narrow" w:eastAsia="Calibri"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13C5704"/>
    <w:multiLevelType w:val="hybridMultilevel"/>
    <w:tmpl w:val="152E00E6"/>
    <w:lvl w:ilvl="0" w:tplc="040C0017">
      <w:start w:val="1"/>
      <w:numFmt w:val="lowerLetter"/>
      <w:lvlText w:val="%1)"/>
      <w:lvlJc w:val="left"/>
      <w:pPr>
        <w:ind w:left="1004"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1" w15:restartNumberingAfterBreak="0">
    <w:nsid w:val="78634364"/>
    <w:multiLevelType w:val="hybridMultilevel"/>
    <w:tmpl w:val="EBB07CE6"/>
    <w:lvl w:ilvl="0" w:tplc="BC40994E">
      <w:start w:val="110"/>
      <w:numFmt w:val="bullet"/>
      <w:lvlText w:val="-"/>
      <w:lvlJc w:val="left"/>
      <w:pPr>
        <w:ind w:left="720" w:hanging="360"/>
      </w:pPr>
      <w:rPr>
        <w:rFonts w:ascii="Arial Narrow" w:eastAsia="Calibri"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8"/>
  </w:num>
  <w:num w:numId="15">
    <w:abstractNumId w:val="15"/>
  </w:num>
  <w:num w:numId="16">
    <w:abstractNumId w:val="11"/>
  </w:num>
  <w:num w:numId="17">
    <w:abstractNumId w:val="14"/>
  </w:num>
  <w:num w:numId="18">
    <w:abstractNumId w:val="19"/>
  </w:num>
  <w:num w:numId="19">
    <w:abstractNumId w:val="12"/>
  </w:num>
  <w:num w:numId="20">
    <w:abstractNumId w:val="20"/>
  </w:num>
  <w:num w:numId="21">
    <w:abstractNumId w:val="16"/>
  </w:num>
  <w:num w:numId="22">
    <w:abstractNumId w:val="13"/>
  </w:num>
  <w:num w:numId="23">
    <w:abstractNumId w:val="21"/>
  </w:num>
  <w:num w:numId="24">
    <w:abstractNumId w:val="10"/>
  </w:num>
  <w:num w:numId="25">
    <w:abstractNumId w:val="18"/>
  </w:num>
  <w:num w:numId="26">
    <w:abstractNumId w:val="18"/>
  </w:num>
  <w:num w:numId="27">
    <w:abstractNumId w:val="18"/>
  </w:num>
  <w:num w:numId="28">
    <w:abstractNumId w:val="18"/>
  </w:num>
  <w:num w:numId="29">
    <w:abstractNumId w:val="18"/>
  </w:num>
  <w:num w:numId="30">
    <w:abstractNumId w:val="18"/>
  </w:num>
  <w:num w:numId="31">
    <w:abstractNumId w:val="18"/>
  </w:num>
  <w:num w:numId="32">
    <w:abstractNumId w:val="18"/>
  </w:num>
  <w:num w:numId="33">
    <w:abstractNumId w:val="18"/>
  </w:num>
  <w:num w:numId="34">
    <w:abstractNumId w:val="18"/>
  </w:num>
  <w:num w:numId="35">
    <w:abstractNumId w:val="18"/>
  </w:num>
  <w:num w:numId="36">
    <w:abstractNumId w:val="18"/>
  </w:num>
  <w:num w:numId="37">
    <w:abstractNumId w:val="18"/>
  </w:num>
  <w:num w:numId="38">
    <w:abstractNumId w:val="18"/>
  </w:num>
  <w:num w:numId="39">
    <w:abstractNumId w:val="18"/>
  </w:num>
  <w:num w:numId="40">
    <w:abstractNumId w:val="18"/>
  </w:num>
  <w:num w:numId="41">
    <w:abstractNumId w:val="18"/>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6"/>
  <w:defaultTabStop w:val="567"/>
  <w:hyphenationZone w:val="425"/>
  <w:evenAndOddHeaders/>
  <w:characterSpacingControl w:val="doNotCompress"/>
  <w:hdrShapeDefaults>
    <o:shapedefaults v:ext="edit" spidmax="55298"/>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2A1"/>
    <w:rsid w:val="0002318D"/>
    <w:rsid w:val="00040041"/>
    <w:rsid w:val="00041BDA"/>
    <w:rsid w:val="000B490E"/>
    <w:rsid w:val="000C7996"/>
    <w:rsid w:val="000D4CC5"/>
    <w:rsid w:val="00142355"/>
    <w:rsid w:val="001430A5"/>
    <w:rsid w:val="00163E98"/>
    <w:rsid w:val="0017036B"/>
    <w:rsid w:val="00180584"/>
    <w:rsid w:val="00191E2F"/>
    <w:rsid w:val="00195975"/>
    <w:rsid w:val="00197B34"/>
    <w:rsid w:val="001C5784"/>
    <w:rsid w:val="001D58DC"/>
    <w:rsid w:val="001E27CA"/>
    <w:rsid w:val="001F0578"/>
    <w:rsid w:val="00264A5E"/>
    <w:rsid w:val="00284B8E"/>
    <w:rsid w:val="00287C5B"/>
    <w:rsid w:val="002C6432"/>
    <w:rsid w:val="002D4152"/>
    <w:rsid w:val="00303941"/>
    <w:rsid w:val="0033628B"/>
    <w:rsid w:val="00371E38"/>
    <w:rsid w:val="003B2444"/>
    <w:rsid w:val="003C1301"/>
    <w:rsid w:val="003C1454"/>
    <w:rsid w:val="003D10C7"/>
    <w:rsid w:val="003D21DA"/>
    <w:rsid w:val="003F6885"/>
    <w:rsid w:val="004258B8"/>
    <w:rsid w:val="00446CD7"/>
    <w:rsid w:val="00470592"/>
    <w:rsid w:val="0049538E"/>
    <w:rsid w:val="004A5FC0"/>
    <w:rsid w:val="004B7346"/>
    <w:rsid w:val="004E6D07"/>
    <w:rsid w:val="004F54F9"/>
    <w:rsid w:val="005058F0"/>
    <w:rsid w:val="00534938"/>
    <w:rsid w:val="00541D5D"/>
    <w:rsid w:val="00545049"/>
    <w:rsid w:val="00554A12"/>
    <w:rsid w:val="00554AEF"/>
    <w:rsid w:val="00562DEC"/>
    <w:rsid w:val="00587C3F"/>
    <w:rsid w:val="005C39D0"/>
    <w:rsid w:val="006247FB"/>
    <w:rsid w:val="00627634"/>
    <w:rsid w:val="006502D2"/>
    <w:rsid w:val="006533A3"/>
    <w:rsid w:val="00663EB0"/>
    <w:rsid w:val="0069122A"/>
    <w:rsid w:val="006A0DA0"/>
    <w:rsid w:val="006E0543"/>
    <w:rsid w:val="007248AA"/>
    <w:rsid w:val="00763B23"/>
    <w:rsid w:val="007A5B16"/>
    <w:rsid w:val="007A6061"/>
    <w:rsid w:val="007B16B0"/>
    <w:rsid w:val="007B4F1A"/>
    <w:rsid w:val="007F5F9D"/>
    <w:rsid w:val="008040DB"/>
    <w:rsid w:val="00806FA8"/>
    <w:rsid w:val="00821D2B"/>
    <w:rsid w:val="00850D01"/>
    <w:rsid w:val="0085264D"/>
    <w:rsid w:val="008719A0"/>
    <w:rsid w:val="00894539"/>
    <w:rsid w:val="008A73B7"/>
    <w:rsid w:val="008A7736"/>
    <w:rsid w:val="008D6145"/>
    <w:rsid w:val="00902DBD"/>
    <w:rsid w:val="00904C95"/>
    <w:rsid w:val="00913515"/>
    <w:rsid w:val="009201FA"/>
    <w:rsid w:val="00957188"/>
    <w:rsid w:val="009737EB"/>
    <w:rsid w:val="009F4B50"/>
    <w:rsid w:val="00A033A7"/>
    <w:rsid w:val="00A11111"/>
    <w:rsid w:val="00A32A6E"/>
    <w:rsid w:val="00A732D5"/>
    <w:rsid w:val="00AA1D17"/>
    <w:rsid w:val="00AB4A33"/>
    <w:rsid w:val="00AE3C48"/>
    <w:rsid w:val="00AF7D43"/>
    <w:rsid w:val="00B11B3D"/>
    <w:rsid w:val="00B148C6"/>
    <w:rsid w:val="00B371E9"/>
    <w:rsid w:val="00B37DF6"/>
    <w:rsid w:val="00B459EF"/>
    <w:rsid w:val="00BA1B30"/>
    <w:rsid w:val="00C03E95"/>
    <w:rsid w:val="00C073F5"/>
    <w:rsid w:val="00C1301E"/>
    <w:rsid w:val="00C16C0F"/>
    <w:rsid w:val="00C508FF"/>
    <w:rsid w:val="00C50F89"/>
    <w:rsid w:val="00CD357C"/>
    <w:rsid w:val="00CD6961"/>
    <w:rsid w:val="00CE7C45"/>
    <w:rsid w:val="00D07625"/>
    <w:rsid w:val="00D310BF"/>
    <w:rsid w:val="00D35125"/>
    <w:rsid w:val="00D40353"/>
    <w:rsid w:val="00D75670"/>
    <w:rsid w:val="00D850E8"/>
    <w:rsid w:val="00D91D58"/>
    <w:rsid w:val="00DF50FE"/>
    <w:rsid w:val="00E37807"/>
    <w:rsid w:val="00E567FD"/>
    <w:rsid w:val="00E642A1"/>
    <w:rsid w:val="00E83C1A"/>
    <w:rsid w:val="00ED1D7F"/>
    <w:rsid w:val="00F40C81"/>
    <w:rsid w:val="00F74759"/>
    <w:rsid w:val="00F94268"/>
    <w:rsid w:val="00F97ACE"/>
    <w:rsid w:val="00FB7FA8"/>
    <w:rsid w:val="00FD7BA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shapelayout>
  </w:shapeDefaults>
  <w:decimalSymbol w:val=","/>
  <w:listSeparator w:val=";"/>
  <w14:docId w14:val="0C4DCC60"/>
  <w15:docId w15:val="{E8B0DFD6-6B61-4602-8401-D001C7A59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rPr>
  </w:style>
  <w:style w:type="paragraph" w:styleId="Titre1">
    <w:name w:val="heading 1"/>
    <w:aliases w:val="Table_G"/>
    <w:basedOn w:val="SingleTxtG"/>
    <w:next w:val="SingleTxtG"/>
    <w:link w:val="Titre1Car"/>
    <w:uiPriority w:val="9"/>
    <w:qFormat/>
    <w:pPr>
      <w:keepNext/>
      <w:keepLines/>
      <w:spacing w:after="0" w:line="240" w:lineRule="auto"/>
      <w:ind w:right="0"/>
      <w:jc w:val="left"/>
      <w:outlineLvl w:val="0"/>
    </w:pPr>
  </w:style>
  <w:style w:type="paragraph" w:styleId="Titre2">
    <w:name w:val="heading 2"/>
    <w:basedOn w:val="Normal"/>
    <w:next w:val="Normal"/>
    <w:link w:val="Titre2Car"/>
    <w:uiPriority w:val="9"/>
    <w:qFormat/>
    <w:pPr>
      <w:outlineLvl w:val="1"/>
    </w:pPr>
  </w:style>
  <w:style w:type="paragraph" w:styleId="Titre3">
    <w:name w:val="heading 3"/>
    <w:basedOn w:val="Normal"/>
    <w:next w:val="Normal"/>
    <w:link w:val="Titre3Car"/>
    <w:uiPriority w:val="9"/>
    <w:qFormat/>
    <w:pPr>
      <w:outlineLvl w:val="2"/>
    </w:pPr>
  </w:style>
  <w:style w:type="paragraph" w:styleId="Titre4">
    <w:name w:val="heading 4"/>
    <w:basedOn w:val="Normal"/>
    <w:next w:val="Normal"/>
    <w:link w:val="Titre4Car"/>
    <w:uiPriority w:val="9"/>
    <w:qFormat/>
    <w:pPr>
      <w:outlineLvl w:val="3"/>
    </w:pPr>
  </w:style>
  <w:style w:type="paragraph" w:styleId="Titre5">
    <w:name w:val="heading 5"/>
    <w:basedOn w:val="Normal"/>
    <w:next w:val="Normal"/>
    <w:link w:val="Titre5Car"/>
    <w:semiHidden/>
    <w:qFormat/>
    <w:pPr>
      <w:outlineLvl w:val="4"/>
    </w:pPr>
  </w:style>
  <w:style w:type="paragraph" w:styleId="Titre6">
    <w:name w:val="heading 6"/>
    <w:basedOn w:val="Normal"/>
    <w:next w:val="Normal"/>
    <w:link w:val="Titre6Car"/>
    <w:semiHidden/>
    <w:qFormat/>
    <w:pPr>
      <w:outlineLvl w:val="5"/>
    </w:pPr>
  </w:style>
  <w:style w:type="paragraph" w:styleId="Titre7">
    <w:name w:val="heading 7"/>
    <w:basedOn w:val="Normal"/>
    <w:next w:val="Normal"/>
    <w:link w:val="Titre7Car"/>
    <w:qFormat/>
    <w:pPr>
      <w:outlineLvl w:val="6"/>
    </w:pPr>
  </w:style>
  <w:style w:type="paragraph" w:styleId="Titre8">
    <w:name w:val="heading 8"/>
    <w:basedOn w:val="Normal"/>
    <w:next w:val="Normal"/>
    <w:link w:val="Titre8Car"/>
    <w:semiHidden/>
    <w:qFormat/>
    <w:pPr>
      <w:outlineLvl w:val="7"/>
    </w:pPr>
  </w:style>
  <w:style w:type="paragraph" w:styleId="Titre9">
    <w:name w:val="heading 9"/>
    <w:basedOn w:val="Normal"/>
    <w:next w:val="Normal"/>
    <w:link w:val="Titre9Car"/>
    <w:semiHidden/>
    <w:qFormat/>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uiPriority w:val="99"/>
    <w:qFormat/>
    <w:pPr>
      <w:pBdr>
        <w:bottom w:val="single" w:sz="4" w:space="4" w:color="auto"/>
      </w:pBdr>
      <w:spacing w:line="240" w:lineRule="auto"/>
    </w:pPr>
    <w:rPr>
      <w:b/>
      <w:sz w:val="18"/>
    </w:rPr>
  </w:style>
  <w:style w:type="character" w:customStyle="1" w:styleId="En-tteCar">
    <w:name w:val="En-tête Car"/>
    <w:aliases w:val="6_G Car"/>
    <w:basedOn w:val="Policepardfaut"/>
    <w:link w:val="En-tte"/>
    <w:uiPriority w:val="99"/>
    <w:rPr>
      <w:rFonts w:ascii="Times New Roman" w:hAnsi="Times New Roman" w:cs="Times New Roman"/>
      <w:b/>
      <w:sz w:val="18"/>
      <w:szCs w:val="20"/>
    </w:rPr>
  </w:style>
  <w:style w:type="paragraph" w:styleId="Pieddepage">
    <w:name w:val="footer"/>
    <w:aliases w:val="3_G"/>
    <w:basedOn w:val="Normal"/>
    <w:next w:val="Normal"/>
    <w:link w:val="PieddepageCar"/>
    <w:uiPriority w:val="99"/>
    <w:qFormat/>
    <w:pPr>
      <w:spacing w:line="240" w:lineRule="auto"/>
    </w:pPr>
    <w:rPr>
      <w:sz w:val="16"/>
    </w:rPr>
  </w:style>
  <w:style w:type="character" w:customStyle="1" w:styleId="PieddepageCar">
    <w:name w:val="Pied de page Car"/>
    <w:aliases w:val="3_G Car"/>
    <w:basedOn w:val="Policepardfaut"/>
    <w:link w:val="Pieddepage"/>
    <w:uiPriority w:val="99"/>
    <w:rPr>
      <w:rFonts w:ascii="Times New Roman" w:hAnsi="Times New Roman" w:cs="Times New Roman"/>
      <w:sz w:val="16"/>
      <w:szCs w:val="20"/>
    </w:rPr>
  </w:style>
  <w:style w:type="paragraph" w:customStyle="1" w:styleId="HMG">
    <w:name w:val="_ H __M_G"/>
    <w:basedOn w:val="Normal"/>
    <w:next w:val="Normal"/>
    <w:qFormat/>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pPr>
      <w:spacing w:after="120"/>
      <w:ind w:left="1134" w:right="1134"/>
      <w:jc w:val="both"/>
    </w:p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qFormat/>
    <w:pPr>
      <w:numPr>
        <w:numId w:val="14"/>
      </w:numPr>
      <w:spacing w:after="120"/>
      <w:ind w:right="1134"/>
      <w:jc w:val="both"/>
    </w:pPr>
  </w:style>
  <w:style w:type="paragraph" w:customStyle="1" w:styleId="Bullet2G">
    <w:name w:val="_Bullet 2_G"/>
    <w:basedOn w:val="Normal"/>
    <w:qFormat/>
    <w:pPr>
      <w:numPr>
        <w:numId w:val="15"/>
      </w:numPr>
      <w:spacing w:after="120"/>
      <w:ind w:right="1134"/>
      <w:jc w:val="both"/>
    </w:pPr>
  </w:style>
  <w:style w:type="paragraph" w:customStyle="1" w:styleId="ParNoG">
    <w:name w:val="_ParNo_G"/>
    <w:basedOn w:val="Normal"/>
    <w:qFormat/>
    <w:pPr>
      <w:numPr>
        <w:numId w:val="16"/>
      </w:numPr>
      <w:tabs>
        <w:tab w:val="clear" w:pos="1701"/>
      </w:tabs>
      <w:spacing w:after="120"/>
      <w:ind w:right="1134"/>
      <w:jc w:val="both"/>
    </w:pPr>
  </w:style>
  <w:style w:type="character" w:styleId="Appelnotedebasdep">
    <w:name w:val="footnote reference"/>
    <w:aliases w:val="4_G"/>
    <w:basedOn w:val="Policepardfaut"/>
    <w:uiPriority w:val="99"/>
    <w:qFormat/>
    <w:rPr>
      <w:rFonts w:ascii="Times New Roman" w:hAnsi="Times New Roman"/>
      <w:sz w:val="18"/>
      <w:vertAlign w:val="superscript"/>
      <w:lang w:val="fr-CH"/>
    </w:rPr>
  </w:style>
  <w:style w:type="character" w:styleId="Appeldenotedefin">
    <w:name w:val="endnote reference"/>
    <w:aliases w:val="1_G"/>
    <w:basedOn w:val="Appelnotedebasdep"/>
    <w:qFormat/>
    <w:rPr>
      <w:rFonts w:ascii="Times New Roman" w:hAnsi="Times New Roman"/>
      <w:sz w:val="18"/>
      <w:vertAlign w:val="superscript"/>
      <w:lang w:val="fr-CH"/>
    </w:rPr>
  </w:style>
  <w:style w:type="table" w:styleId="Grilledutableau">
    <w:name w:val="Table Grid"/>
    <w:basedOn w:val="TableauNormal"/>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iPriority w:val="99"/>
    <w:unhideWhenUsed/>
    <w:rPr>
      <w:color w:val="0000FF"/>
      <w:u w:val="none"/>
    </w:rPr>
  </w:style>
  <w:style w:type="character" w:styleId="Lienhypertextesuivivisit">
    <w:name w:val="FollowedHyperlink"/>
    <w:basedOn w:val="Policepardfaut"/>
    <w:unhideWhenUsed/>
    <w:rPr>
      <w:color w:val="0000FF"/>
      <w:u w:val="none"/>
    </w:rPr>
  </w:style>
  <w:style w:type="paragraph" w:styleId="Notedebasdepage">
    <w:name w:val="footnote text"/>
    <w:aliases w:val="5_G"/>
    <w:basedOn w:val="Normal"/>
    <w:link w:val="NotedebasdepageCar"/>
    <w:qFormat/>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Pr>
      <w:rFonts w:ascii="Times New Roman" w:hAnsi="Times New Roman" w:cs="Times New Roman"/>
      <w:sz w:val="18"/>
      <w:szCs w:val="20"/>
    </w:rPr>
  </w:style>
  <w:style w:type="paragraph" w:styleId="Notedefin">
    <w:name w:val="endnote text"/>
    <w:aliases w:val="2_G"/>
    <w:basedOn w:val="Notedebasdepage"/>
    <w:link w:val="NotedefinCar"/>
    <w:qFormat/>
  </w:style>
  <w:style w:type="character" w:customStyle="1" w:styleId="NotedefinCar">
    <w:name w:val="Note de fin Car"/>
    <w:aliases w:val="2_G Car"/>
    <w:basedOn w:val="Policepardfaut"/>
    <w:link w:val="Notedefin"/>
    <w:rPr>
      <w:rFonts w:ascii="Times New Roman" w:hAnsi="Times New Roman" w:cs="Times New Roman"/>
      <w:sz w:val="18"/>
      <w:szCs w:val="20"/>
    </w:rPr>
  </w:style>
  <w:style w:type="character" w:styleId="Numrodepage">
    <w:name w:val="page number"/>
    <w:aliases w:val="7_G"/>
    <w:basedOn w:val="Policepardfaut"/>
    <w:qFormat/>
    <w:rPr>
      <w:rFonts w:ascii="Times New Roman" w:hAnsi="Times New Roman"/>
      <w:b/>
      <w:sz w:val="18"/>
      <w:lang w:val="fr-CH"/>
    </w:rPr>
  </w:style>
  <w:style w:type="character" w:customStyle="1" w:styleId="Titre1Car">
    <w:name w:val="Titre 1 Car"/>
    <w:aliases w:val="Table_G Car"/>
    <w:basedOn w:val="Policepardfaut"/>
    <w:link w:val="Titre1"/>
    <w:uiPriority w:val="9"/>
    <w:rPr>
      <w:rFonts w:ascii="Times New Roman" w:hAnsi="Times New Roman" w:cs="Times New Roman"/>
      <w:sz w:val="20"/>
      <w:szCs w:val="20"/>
    </w:rPr>
  </w:style>
  <w:style w:type="character" w:customStyle="1" w:styleId="Titre2Car">
    <w:name w:val="Titre 2 Car"/>
    <w:basedOn w:val="Policepardfaut"/>
    <w:link w:val="Titre2"/>
    <w:uiPriority w:val="9"/>
    <w:rPr>
      <w:rFonts w:ascii="Times New Roman" w:hAnsi="Times New Roman" w:cs="Times New Roman"/>
      <w:sz w:val="20"/>
      <w:szCs w:val="20"/>
    </w:rPr>
  </w:style>
  <w:style w:type="character" w:customStyle="1" w:styleId="Titre3Car">
    <w:name w:val="Titre 3 Car"/>
    <w:basedOn w:val="Policepardfaut"/>
    <w:link w:val="Titre3"/>
    <w:uiPriority w:val="9"/>
    <w:rPr>
      <w:rFonts w:ascii="Times New Roman" w:hAnsi="Times New Roman" w:cs="Times New Roman"/>
      <w:sz w:val="20"/>
      <w:szCs w:val="20"/>
    </w:rPr>
  </w:style>
  <w:style w:type="character" w:customStyle="1" w:styleId="Titre4Car">
    <w:name w:val="Titre 4 Car"/>
    <w:basedOn w:val="Policepardfaut"/>
    <w:link w:val="Titre4"/>
    <w:uiPriority w:val="9"/>
    <w:rPr>
      <w:rFonts w:ascii="Times New Roman" w:hAnsi="Times New Roman" w:cs="Times New Roman"/>
      <w:sz w:val="20"/>
      <w:szCs w:val="20"/>
    </w:rPr>
  </w:style>
  <w:style w:type="character" w:customStyle="1" w:styleId="Titre5Car">
    <w:name w:val="Titre 5 Car"/>
    <w:basedOn w:val="Policepardfaut"/>
    <w:link w:val="Titre5"/>
    <w:semiHidden/>
    <w:rPr>
      <w:rFonts w:ascii="Times New Roman" w:hAnsi="Times New Roman" w:cs="Times New Roman"/>
      <w:sz w:val="20"/>
      <w:szCs w:val="20"/>
    </w:rPr>
  </w:style>
  <w:style w:type="character" w:customStyle="1" w:styleId="Titre6Car">
    <w:name w:val="Titre 6 Car"/>
    <w:basedOn w:val="Policepardfaut"/>
    <w:link w:val="Titre6"/>
    <w:semiHidden/>
    <w:rPr>
      <w:rFonts w:ascii="Times New Roman" w:hAnsi="Times New Roman" w:cs="Times New Roman"/>
      <w:sz w:val="20"/>
      <w:szCs w:val="20"/>
    </w:rPr>
  </w:style>
  <w:style w:type="character" w:customStyle="1" w:styleId="Titre7Car">
    <w:name w:val="Titre 7 Car"/>
    <w:basedOn w:val="Policepardfaut"/>
    <w:link w:val="Titre7"/>
    <w:rPr>
      <w:rFonts w:ascii="Times New Roman" w:hAnsi="Times New Roman" w:cs="Times New Roman"/>
      <w:sz w:val="20"/>
      <w:szCs w:val="20"/>
    </w:rPr>
  </w:style>
  <w:style w:type="character" w:customStyle="1" w:styleId="Titre8Car">
    <w:name w:val="Titre 8 Car"/>
    <w:basedOn w:val="Policepardfaut"/>
    <w:link w:val="Titre8"/>
    <w:semiHidden/>
    <w:rPr>
      <w:rFonts w:ascii="Times New Roman" w:hAnsi="Times New Roman" w:cs="Times New Roman"/>
      <w:sz w:val="20"/>
      <w:szCs w:val="20"/>
    </w:rPr>
  </w:style>
  <w:style w:type="character" w:customStyle="1" w:styleId="Titre9Car">
    <w:name w:val="Titre 9 Car"/>
    <w:basedOn w:val="Policepardfaut"/>
    <w:link w:val="Titre9"/>
    <w:semiHidden/>
    <w:rPr>
      <w:rFonts w:ascii="Times New Roman" w:hAnsi="Times New Roman" w:cs="Times New Roman"/>
      <w:sz w:val="20"/>
      <w:szCs w:val="20"/>
    </w:rPr>
  </w:style>
  <w:style w:type="paragraph" w:styleId="Textedebulles">
    <w:name w:val="Balloon Text"/>
    <w:basedOn w:val="Normal"/>
    <w:link w:val="TextedebullesCar"/>
    <w:uiPriority w:val="99"/>
    <w:semiHidden/>
    <w:unhideWhenUse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eastAsia="Times New Roman" w:hAnsi="Tahoma" w:cs="Tahoma"/>
      <w:sz w:val="16"/>
      <w:szCs w:val="16"/>
      <w:lang w:val="en-GB"/>
    </w:rPr>
  </w:style>
  <w:style w:type="character" w:customStyle="1" w:styleId="SingleTxtGChar">
    <w:name w:val="_ Single Txt_G Char"/>
    <w:link w:val="SingleTxtG"/>
    <w:rPr>
      <w:rFonts w:ascii="Times New Roman" w:hAnsi="Times New Roman" w:cs="Times New Roman"/>
      <w:sz w:val="20"/>
      <w:szCs w:val="20"/>
    </w:rPr>
  </w:style>
  <w:style w:type="character" w:customStyle="1" w:styleId="HChGChar">
    <w:name w:val="_ H _Ch_G Char"/>
    <w:link w:val="HChG"/>
    <w:rPr>
      <w:rFonts w:ascii="Times New Roman" w:hAnsi="Times New Roman" w:cs="Times New Roman"/>
      <w:b/>
      <w:sz w:val="28"/>
      <w:szCs w:val="20"/>
    </w:rPr>
  </w:style>
  <w:style w:type="character" w:customStyle="1" w:styleId="H1GChar">
    <w:name w:val="_ H_1_G Char"/>
    <w:link w:val="H1G"/>
    <w:locked/>
    <w:rPr>
      <w:rFonts w:ascii="Times New Roman" w:hAnsi="Times New Roman" w:cs="Times New Roman"/>
      <w:b/>
      <w:sz w:val="24"/>
      <w:szCs w:val="20"/>
    </w:rPr>
  </w:style>
  <w:style w:type="character" w:customStyle="1" w:styleId="H23GChar">
    <w:name w:val="_ H_2/3_G Char"/>
    <w:link w:val="H23G"/>
    <w:locked/>
    <w:rPr>
      <w:rFonts w:ascii="Times New Roman" w:hAnsi="Times New Roman" w:cs="Times New Roman"/>
      <w:b/>
      <w:sz w:val="20"/>
      <w:szCs w:val="20"/>
    </w:rPr>
  </w:style>
  <w:style w:type="numbering" w:customStyle="1" w:styleId="NoList1">
    <w:name w:val="No List1"/>
    <w:next w:val="Aucuneliste"/>
    <w:uiPriority w:val="99"/>
    <w:semiHidden/>
    <w:unhideWhenUsed/>
    <w:rsid w:val="008D6145"/>
  </w:style>
  <w:style w:type="table" w:styleId="Grilledetableau1">
    <w:name w:val="Table Grid 1"/>
    <w:basedOn w:val="TableauNormal"/>
    <w:semiHidden/>
    <w:rsid w:val="008D6145"/>
    <w:pPr>
      <w:suppressAutoHyphens/>
      <w:spacing w:after="0" w:line="240" w:lineRule="atLeast"/>
    </w:pPr>
    <w:rPr>
      <w:rFonts w:ascii="Times New Roman" w:eastAsia="Times New Roman" w:hAnsi="Times New Roman" w:cs="Times New Roman"/>
      <w:sz w:val="20"/>
      <w:szCs w:val="20"/>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
    <w:name w:val="Table Grid1"/>
    <w:basedOn w:val="TableauNormal"/>
    <w:next w:val="Grilledutableau"/>
    <w:uiPriority w:val="59"/>
    <w:rsid w:val="008D6145"/>
    <w:pPr>
      <w:suppressAutoHyphens/>
      <w:spacing w:after="0" w:line="240" w:lineRule="atLeast"/>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L41">
    <w:name w:val="L_41"/>
    <w:basedOn w:val="Normal"/>
    <w:next w:val="Paragraphedeliste"/>
    <w:link w:val="ListParagraphChar"/>
    <w:uiPriority w:val="34"/>
    <w:qFormat/>
    <w:rsid w:val="008D6145"/>
    <w:pPr>
      <w:suppressAutoHyphens w:val="0"/>
      <w:kinsoku/>
      <w:overflowPunct/>
      <w:autoSpaceDE/>
      <w:autoSpaceDN/>
      <w:adjustRightInd/>
      <w:snapToGrid/>
      <w:spacing w:after="160" w:line="259" w:lineRule="auto"/>
      <w:ind w:left="720"/>
      <w:contextualSpacing/>
    </w:pPr>
    <w:rPr>
      <w:rFonts w:ascii="Calibri" w:hAnsi="Calibri"/>
      <w:sz w:val="22"/>
      <w:szCs w:val="22"/>
      <w:lang w:val="fr-FR"/>
    </w:rPr>
  </w:style>
  <w:style w:type="paragraph" w:customStyle="1" w:styleId="NoSpacing1">
    <w:name w:val="No Spacing1"/>
    <w:uiPriority w:val="1"/>
    <w:qFormat/>
    <w:rsid w:val="008D6145"/>
    <w:pPr>
      <w:spacing w:after="0" w:line="240" w:lineRule="auto"/>
    </w:pPr>
    <w:rPr>
      <w:rFonts w:ascii="Calibri" w:eastAsia="Calibri" w:hAnsi="Calibri" w:cs="Times New Roman"/>
      <w:lang w:val="fr-FR"/>
    </w:rPr>
  </w:style>
  <w:style w:type="paragraph" w:styleId="Corpsdetexte">
    <w:name w:val="Body Text"/>
    <w:basedOn w:val="Normal"/>
    <w:link w:val="CorpsdetexteCar"/>
    <w:unhideWhenUsed/>
    <w:rsid w:val="008D6145"/>
    <w:pPr>
      <w:suppressAutoHyphens w:val="0"/>
      <w:kinsoku/>
      <w:overflowPunct/>
      <w:autoSpaceDE/>
      <w:autoSpaceDN/>
      <w:adjustRightInd/>
      <w:snapToGrid/>
      <w:spacing w:after="120" w:line="240" w:lineRule="auto"/>
    </w:pPr>
    <w:rPr>
      <w:rFonts w:eastAsia="Times New Roman"/>
      <w:sz w:val="24"/>
      <w:szCs w:val="24"/>
      <w:lang w:val="fr-FR" w:eastAsia="fr-FR"/>
    </w:rPr>
  </w:style>
  <w:style w:type="character" w:customStyle="1" w:styleId="CorpsdetexteCar">
    <w:name w:val="Corps de texte Car"/>
    <w:basedOn w:val="Policepardfaut"/>
    <w:link w:val="Corpsdetexte"/>
    <w:rsid w:val="008D6145"/>
    <w:rPr>
      <w:rFonts w:ascii="Times New Roman" w:eastAsia="Times New Roman" w:hAnsi="Times New Roman" w:cs="Times New Roman"/>
      <w:sz w:val="24"/>
      <w:szCs w:val="24"/>
      <w:lang w:val="fr-FR" w:eastAsia="fr-FR"/>
    </w:rPr>
  </w:style>
  <w:style w:type="paragraph" w:customStyle="1" w:styleId="twunmatched">
    <w:name w:val="twunmatched"/>
    <w:basedOn w:val="Normal"/>
    <w:rsid w:val="008D6145"/>
    <w:pPr>
      <w:suppressAutoHyphens w:val="0"/>
      <w:kinsoku/>
      <w:overflowPunct/>
      <w:autoSpaceDE/>
      <w:autoSpaceDN/>
      <w:adjustRightInd/>
      <w:snapToGrid/>
      <w:spacing w:before="100" w:beforeAutospacing="1" w:after="100" w:afterAutospacing="1" w:line="240" w:lineRule="auto"/>
    </w:pPr>
    <w:rPr>
      <w:rFonts w:eastAsia="Times New Roman"/>
      <w:sz w:val="24"/>
      <w:szCs w:val="24"/>
      <w:lang w:val="fr-FR" w:eastAsia="fr-FR"/>
    </w:rPr>
  </w:style>
  <w:style w:type="paragraph" w:styleId="NormalWeb">
    <w:name w:val="Normal (Web)"/>
    <w:basedOn w:val="Normal"/>
    <w:uiPriority w:val="99"/>
    <w:unhideWhenUsed/>
    <w:rsid w:val="008D6145"/>
    <w:pPr>
      <w:suppressAutoHyphens w:val="0"/>
      <w:kinsoku/>
      <w:overflowPunct/>
      <w:autoSpaceDE/>
      <w:autoSpaceDN/>
      <w:adjustRightInd/>
      <w:snapToGrid/>
      <w:spacing w:before="100" w:beforeAutospacing="1" w:after="100" w:afterAutospacing="1" w:line="240" w:lineRule="auto"/>
    </w:pPr>
    <w:rPr>
      <w:rFonts w:eastAsia="Times New Roman"/>
      <w:sz w:val="24"/>
      <w:szCs w:val="24"/>
      <w:lang w:val="fr-FR" w:eastAsia="fr-FR"/>
    </w:rPr>
  </w:style>
  <w:style w:type="character" w:customStyle="1" w:styleId="apple-converted-space">
    <w:name w:val="apple-converted-space"/>
    <w:basedOn w:val="Policepardfaut"/>
    <w:rsid w:val="008D6145"/>
  </w:style>
  <w:style w:type="character" w:customStyle="1" w:styleId="ListParagraphChar">
    <w:name w:val="List Paragraph Char"/>
    <w:aliases w:val="Table/Figure Heading Char,References Char,Paragraphe de liste1 Char,Bullets Char,Style1 Char,idées clés Char,Enumération flèches Char,List1 Char,List Paragraph nowy Char,Numbered List Paragraph Char,List Paragraph (numbered (a)) Char"/>
    <w:link w:val="L41"/>
    <w:uiPriority w:val="34"/>
    <w:qFormat/>
    <w:locked/>
    <w:rsid w:val="008D6145"/>
    <w:rPr>
      <w:rFonts w:ascii="Calibri" w:eastAsia="Calibri" w:hAnsi="Calibri" w:cs="Times New Roman"/>
      <w:sz w:val="22"/>
      <w:szCs w:val="22"/>
      <w:lang w:eastAsia="en-US"/>
    </w:rPr>
  </w:style>
  <w:style w:type="paragraph" w:customStyle="1" w:styleId="story-body-text">
    <w:name w:val="story-body-text"/>
    <w:basedOn w:val="Normal"/>
    <w:rsid w:val="008D6145"/>
    <w:pPr>
      <w:suppressAutoHyphens w:val="0"/>
      <w:kinsoku/>
      <w:overflowPunct/>
      <w:autoSpaceDE/>
      <w:autoSpaceDN/>
      <w:adjustRightInd/>
      <w:snapToGrid/>
      <w:spacing w:before="100" w:beforeAutospacing="1" w:after="100" w:afterAutospacing="1" w:line="240" w:lineRule="auto"/>
    </w:pPr>
    <w:rPr>
      <w:rFonts w:eastAsia="Times New Roman"/>
      <w:sz w:val="24"/>
      <w:szCs w:val="24"/>
      <w:lang w:val="fr-FR" w:eastAsia="fr-FR"/>
    </w:rPr>
  </w:style>
  <w:style w:type="paragraph" w:customStyle="1" w:styleId="NoSpacing2">
    <w:name w:val="No Spacing2"/>
    <w:next w:val="Sansinterligne"/>
    <w:uiPriority w:val="1"/>
    <w:qFormat/>
    <w:rsid w:val="008D6145"/>
    <w:pPr>
      <w:spacing w:after="0" w:line="240" w:lineRule="auto"/>
    </w:pPr>
    <w:rPr>
      <w:lang w:val="fr-FR"/>
    </w:rPr>
  </w:style>
  <w:style w:type="character" w:styleId="lev">
    <w:name w:val="Strong"/>
    <w:basedOn w:val="Policepardfaut"/>
    <w:uiPriority w:val="22"/>
    <w:qFormat/>
    <w:rsid w:val="008D6145"/>
    <w:rPr>
      <w:b/>
      <w:bCs/>
    </w:rPr>
  </w:style>
  <w:style w:type="paragraph" w:customStyle="1" w:styleId="Default">
    <w:name w:val="Default"/>
    <w:rsid w:val="008D6145"/>
    <w:pPr>
      <w:autoSpaceDE w:val="0"/>
      <w:autoSpaceDN w:val="0"/>
      <w:adjustRightInd w:val="0"/>
      <w:spacing w:after="0" w:line="240" w:lineRule="auto"/>
    </w:pPr>
    <w:rPr>
      <w:rFonts w:ascii="Times New Roman" w:hAnsi="Times New Roman" w:cs="Times New Roman"/>
      <w:color w:val="000000"/>
      <w:sz w:val="24"/>
      <w:szCs w:val="24"/>
      <w:lang w:val="fr-FR"/>
    </w:rPr>
  </w:style>
  <w:style w:type="paragraph" w:customStyle="1" w:styleId="spip">
    <w:name w:val="spip"/>
    <w:basedOn w:val="Normal"/>
    <w:rsid w:val="008D6145"/>
    <w:pPr>
      <w:suppressAutoHyphens w:val="0"/>
      <w:kinsoku/>
      <w:overflowPunct/>
      <w:autoSpaceDE/>
      <w:autoSpaceDN/>
      <w:adjustRightInd/>
      <w:snapToGrid/>
      <w:spacing w:before="100" w:beforeAutospacing="1" w:after="100" w:afterAutospacing="1" w:line="240" w:lineRule="auto"/>
    </w:pPr>
    <w:rPr>
      <w:rFonts w:eastAsia="Times New Roman"/>
      <w:sz w:val="24"/>
      <w:szCs w:val="24"/>
      <w:lang w:val="fr-FR" w:eastAsia="fr-FR"/>
    </w:rPr>
  </w:style>
  <w:style w:type="paragraph" w:customStyle="1" w:styleId="TOC11">
    <w:name w:val="TOC 11"/>
    <w:basedOn w:val="Normal"/>
    <w:next w:val="Normal"/>
    <w:autoRedefine/>
    <w:uiPriority w:val="39"/>
    <w:unhideWhenUsed/>
    <w:rsid w:val="008D6145"/>
    <w:pPr>
      <w:tabs>
        <w:tab w:val="right" w:leader="dot" w:pos="9062"/>
      </w:tabs>
      <w:suppressAutoHyphens w:val="0"/>
      <w:kinsoku/>
      <w:overflowPunct/>
      <w:autoSpaceDE/>
      <w:autoSpaceDN/>
      <w:adjustRightInd/>
      <w:snapToGrid/>
      <w:spacing w:after="100" w:line="259" w:lineRule="auto"/>
      <w:jc w:val="right"/>
    </w:pPr>
    <w:rPr>
      <w:b/>
      <w:noProof/>
      <w:sz w:val="24"/>
      <w:szCs w:val="24"/>
      <w:lang w:val="fr-FR"/>
    </w:rPr>
  </w:style>
  <w:style w:type="paragraph" w:customStyle="1" w:styleId="TOC21">
    <w:name w:val="TOC 21"/>
    <w:basedOn w:val="Normal"/>
    <w:next w:val="Normal"/>
    <w:autoRedefine/>
    <w:uiPriority w:val="39"/>
    <w:unhideWhenUsed/>
    <w:rsid w:val="008D6145"/>
    <w:pPr>
      <w:tabs>
        <w:tab w:val="left" w:pos="660"/>
        <w:tab w:val="right" w:leader="dot" w:pos="9062"/>
      </w:tabs>
      <w:suppressAutoHyphens w:val="0"/>
      <w:kinsoku/>
      <w:overflowPunct/>
      <w:autoSpaceDE/>
      <w:autoSpaceDN/>
      <w:adjustRightInd/>
      <w:snapToGrid/>
      <w:spacing w:after="100" w:line="259" w:lineRule="auto"/>
      <w:ind w:left="220"/>
    </w:pPr>
    <w:rPr>
      <w:b/>
      <w:noProof/>
      <w:sz w:val="24"/>
      <w:szCs w:val="24"/>
      <w:lang w:val="fr-FR"/>
    </w:rPr>
  </w:style>
  <w:style w:type="paragraph" w:customStyle="1" w:styleId="TOC31">
    <w:name w:val="TOC 31"/>
    <w:basedOn w:val="Normal"/>
    <w:next w:val="Normal"/>
    <w:autoRedefine/>
    <w:uiPriority w:val="39"/>
    <w:unhideWhenUsed/>
    <w:rsid w:val="008D6145"/>
    <w:pPr>
      <w:suppressAutoHyphens w:val="0"/>
      <w:kinsoku/>
      <w:overflowPunct/>
      <w:autoSpaceDE/>
      <w:autoSpaceDN/>
      <w:adjustRightInd/>
      <w:snapToGrid/>
      <w:spacing w:after="100" w:line="259" w:lineRule="auto"/>
      <w:ind w:left="440"/>
    </w:pPr>
    <w:rPr>
      <w:rFonts w:ascii="Calibri" w:hAnsi="Calibri"/>
      <w:sz w:val="22"/>
      <w:szCs w:val="22"/>
      <w:lang w:val="fr-FR"/>
    </w:rPr>
  </w:style>
  <w:style w:type="paragraph" w:customStyle="1" w:styleId="TOC41">
    <w:name w:val="TOC 41"/>
    <w:basedOn w:val="Normal"/>
    <w:next w:val="Normal"/>
    <w:autoRedefine/>
    <w:uiPriority w:val="39"/>
    <w:unhideWhenUsed/>
    <w:rsid w:val="008D6145"/>
    <w:pPr>
      <w:suppressAutoHyphens w:val="0"/>
      <w:kinsoku/>
      <w:overflowPunct/>
      <w:autoSpaceDE/>
      <w:autoSpaceDN/>
      <w:adjustRightInd/>
      <w:snapToGrid/>
      <w:spacing w:after="100" w:line="259" w:lineRule="auto"/>
      <w:ind w:left="660"/>
    </w:pPr>
    <w:rPr>
      <w:rFonts w:ascii="Calibri" w:hAnsi="Calibri"/>
      <w:sz w:val="22"/>
      <w:szCs w:val="22"/>
      <w:lang w:val="fr-FR"/>
    </w:rPr>
  </w:style>
  <w:style w:type="paragraph" w:styleId="Rvision">
    <w:name w:val="Revision"/>
    <w:hidden/>
    <w:uiPriority w:val="99"/>
    <w:semiHidden/>
    <w:rsid w:val="008D6145"/>
    <w:pPr>
      <w:spacing w:after="0" w:line="240" w:lineRule="auto"/>
    </w:pPr>
    <w:rPr>
      <w:rFonts w:ascii="Times New Roman" w:eastAsia="Times New Roman" w:hAnsi="Times New Roman" w:cs="Times New Roman"/>
      <w:sz w:val="20"/>
      <w:szCs w:val="20"/>
    </w:rPr>
  </w:style>
  <w:style w:type="paragraph" w:customStyle="1" w:styleId="Graph">
    <w:name w:val="Graph"/>
    <w:basedOn w:val="Normal"/>
    <w:link w:val="GraphCar"/>
    <w:qFormat/>
    <w:rsid w:val="008D6145"/>
    <w:pPr>
      <w:suppressAutoHyphens w:val="0"/>
      <w:kinsoku/>
      <w:overflowPunct/>
      <w:autoSpaceDE/>
      <w:autoSpaceDN/>
      <w:adjustRightInd/>
      <w:snapToGrid/>
      <w:spacing w:line="240" w:lineRule="auto"/>
    </w:pPr>
    <w:rPr>
      <w:rFonts w:ascii="Garamond" w:eastAsia="Times New Roman" w:hAnsi="Garamond" w:cs="Garamond"/>
      <w:sz w:val="24"/>
      <w:szCs w:val="24"/>
      <w:lang w:val="fr-FR" w:eastAsia="fr-FR"/>
    </w:rPr>
  </w:style>
  <w:style w:type="character" w:customStyle="1" w:styleId="GraphCar">
    <w:name w:val="Graph Car"/>
    <w:basedOn w:val="Policepardfaut"/>
    <w:link w:val="Graph"/>
    <w:rsid w:val="008D6145"/>
    <w:rPr>
      <w:rFonts w:ascii="Garamond" w:eastAsia="Times New Roman" w:hAnsi="Garamond" w:cs="Garamond"/>
      <w:sz w:val="24"/>
      <w:szCs w:val="24"/>
      <w:lang w:val="fr-FR" w:eastAsia="fr-FR"/>
    </w:rPr>
  </w:style>
  <w:style w:type="paragraph" w:styleId="Paragraphedeliste">
    <w:name w:val="List Paragraph"/>
    <w:basedOn w:val="Normal"/>
    <w:uiPriority w:val="34"/>
    <w:semiHidden/>
    <w:qFormat/>
    <w:rsid w:val="008D6145"/>
    <w:pPr>
      <w:ind w:left="720"/>
      <w:contextualSpacing/>
    </w:pPr>
  </w:style>
  <w:style w:type="paragraph" w:styleId="Sansinterligne">
    <w:name w:val="No Spacing"/>
    <w:uiPriority w:val="1"/>
    <w:semiHidden/>
    <w:qFormat/>
    <w:rsid w:val="008D6145"/>
    <w:pPr>
      <w:suppressAutoHyphens/>
      <w:kinsoku w:val="0"/>
      <w:overflowPunct w:val="0"/>
      <w:autoSpaceDE w:val="0"/>
      <w:autoSpaceDN w:val="0"/>
      <w:adjustRightInd w:val="0"/>
      <w:snapToGrid w:val="0"/>
      <w:spacing w:after="0" w:line="240" w:lineRule="auto"/>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12812</Words>
  <Characters>72004</Characters>
  <Application>Microsoft Office Word</Application>
  <DocSecurity>0</DocSecurity>
  <Lines>1714</Lines>
  <Paragraphs>510</Paragraphs>
  <ScaleCrop>false</ScaleCrop>
  <HeadingPairs>
    <vt:vector size="6" baseType="variant">
      <vt:variant>
        <vt:lpstr>Titre</vt:lpstr>
      </vt:variant>
      <vt:variant>
        <vt:i4>1</vt:i4>
      </vt:variant>
      <vt:variant>
        <vt:lpstr>Title</vt:lpstr>
      </vt:variant>
      <vt:variant>
        <vt:i4>1</vt:i4>
      </vt:variant>
      <vt:variant>
        <vt:lpstr>Título</vt:lpstr>
      </vt:variant>
      <vt:variant>
        <vt:i4>1</vt:i4>
      </vt:variant>
    </vt:vector>
  </HeadingPairs>
  <TitlesOfParts>
    <vt:vector size="3" baseType="lpstr">
      <vt:lpstr>E/C.12/BEN/3</vt:lpstr>
      <vt:lpstr>E/C.12/BEN/3</vt:lpstr>
      <vt:lpstr>a/hthhhh</vt:lpstr>
    </vt:vector>
  </TitlesOfParts>
  <Company>DCM</Company>
  <LinksUpToDate>false</LinksUpToDate>
  <CharactersWithSpaces>84306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E/C.12/BEN/3</dc:title>
  <dc:subject>qrcode</dc:subject>
  <dc:creator>dvx</dc:creator>
  <cp:keywords/>
  <dc:description/>
  <cp:lastModifiedBy>Christine Devouassoux</cp:lastModifiedBy>
  <cp:revision>3</cp:revision>
  <cp:lastPrinted>2018-11-28T06:56:00Z</cp:lastPrinted>
  <dcterms:created xsi:type="dcterms:W3CDTF">2018-11-28T06:56:00Z</dcterms:created>
  <dcterms:modified xsi:type="dcterms:W3CDTF">2018-11-28T06:57:00Z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1">
    <vt:lpwstr>C.12/BEN/3</vt:lpwstr>
  </property>
  <property fmtid="{D5CDD505-2E9C-101B-9397-08002B2CF9AE}" pid="3" name="symh">
    <vt:lpwstr>E/C.12/BEN/3</vt:lpwstr>
  </property>
  <property fmtid="{D5CDD505-2E9C-101B-9397-08002B2CF9AE}" pid="4" name="dist">
    <vt:lpwstr>générale</vt:lpwstr>
  </property>
  <property fmtid="{D5CDD505-2E9C-101B-9397-08002B2CF9AE}" pid="5" name="date">
    <vt:lpwstr>21 novembre 2018</vt:lpwstr>
  </property>
  <property fmtid="{D5CDD505-2E9C-101B-9397-08002B2CF9AE}" pid="6" name="sdate">
    <vt:lpwstr>[Start-End Dates ]</vt:lpwstr>
  </property>
  <property fmtid="{D5CDD505-2E9C-101B-9397-08002B2CF9AE}" pid="7" name="virs">
    <vt:lpwstr>Français seulement</vt:lpwstr>
  </property>
  <property fmtid="{D5CDD505-2E9C-101B-9397-08002B2CF9AE}" pid="8" name="snum">
    <vt:lpwstr>[NUMBER]</vt:lpwstr>
  </property>
  <property fmtid="{D5CDD505-2E9C-101B-9397-08002B2CF9AE}" pid="9" name="anum">
    <vt:lpwstr>[NUMBER]</vt:lpwstr>
  </property>
  <property fmtid="{D5CDD505-2E9C-101B-9397-08002B2CF9AE}" pid="10" name="count">
    <vt:lpwstr>du Bénin </vt:lpwstr>
  </property>
  <property fmtid="{D5CDD505-2E9C-101B-9397-08002B2CF9AE}" pid="11" name="countw">
    <vt:lpwstr>Bénin </vt:lpwstr>
  </property>
  <property fmtid="{D5CDD505-2E9C-101B-9397-08002B2CF9AE}" pid="12" name="countwd">
    <vt:lpwstr>le Bénin </vt:lpwstr>
  </property>
  <property fmtid="{D5CDD505-2E9C-101B-9397-08002B2CF9AE}" pid="13" name="gdoc">
    <vt:lpwstr/>
  </property>
  <property fmtid="{D5CDD505-2E9C-101B-9397-08002B2CF9AE}" pid="14" name="gdocf">
    <vt:lpwstr/>
  </property>
  <property fmtid="{D5CDD505-2E9C-101B-9397-08002B2CF9AE}" pid="15" name="tlang">
    <vt:lpwstr/>
  </property>
  <property fmtid="{D5CDD505-2E9C-101B-9397-08002B2CF9AE}" pid="16" name="atitle">
    <vt:lpwstr>[Title]</vt:lpwstr>
  </property>
  <property fmtid="{D5CDD505-2E9C-101B-9397-08002B2CF9AE}" pid="17" name="stitle">
    <vt:lpwstr>[Title]</vt:lpwstr>
  </property>
  <property fmtid="{D5CDD505-2E9C-101B-9397-08002B2CF9AE}" pid="18" name="prep">
    <vt:lpwstr>troisième rapport périodique du Bénin </vt:lpwstr>
  </property>
  <property fmtid="{D5CDD505-2E9C-101B-9397-08002B2CF9AE}" pid="19" name="preps">
    <vt:lpwstr>troisième rapport périodique du Bénin </vt:lpwstr>
  </property>
  <property fmtid="{D5CDD505-2E9C-101B-9397-08002B2CF9AE}" pid="20" name="prepw">
    <vt:lpwstr>troisième rapport périodique</vt:lpwstr>
  </property>
  <property fmtid="{D5CDD505-2E9C-101B-9397-08002B2CF9AE}" pid="21" name="prepws">
    <vt:lpwstr>troisième rapport périodique</vt:lpwstr>
  </property>
  <property fmtid="{D5CDD505-2E9C-101B-9397-08002B2CF9AE}" pid="22" name="prepwc">
    <vt:lpwstr>Troisième rapport périodique </vt:lpwstr>
  </property>
  <property fmtid="{D5CDD505-2E9C-101B-9397-08002B2CF9AE}" pid="23" name="olang">
    <vt:lpwstr>français</vt:lpwstr>
  </property>
  <property fmtid="{D5CDD505-2E9C-101B-9397-08002B2CF9AE}" pid="24" name="Date-Generated">
    <vt:filetime>2018-11-21T15:54:27Z</vt:filetime>
  </property>
  <property fmtid="{D5CDD505-2E9C-101B-9397-08002B2CF9AE}" pid="25" name="Author">
    <vt:lpwstr/>
  </property>
  <property fmtid="{D5CDD505-2E9C-101B-9397-08002B2CF9AE}" pid="26" name="bar">
    <vt:lpwstr/>
  </property>
  <property fmtid="{D5CDD505-2E9C-101B-9397-08002B2CF9AE}" pid="27" name="Org">
    <vt:lpwstr>OHCHR</vt:lpwstr>
  </property>
  <property fmtid="{D5CDD505-2E9C-101B-9397-08002B2CF9AE}" pid="28" name="Entity">
    <vt:lpwstr>Country report</vt:lpwstr>
  </property>
  <property fmtid="{D5CDD505-2E9C-101B-9397-08002B2CF9AE}" pid="29" name="doctype">
    <vt:lpwstr>Final</vt:lpwstr>
  </property>
  <property fmtid="{D5CDD505-2E9C-101B-9397-08002B2CF9AE}" pid="30" name="category">
    <vt:lpwstr>CESCR</vt:lpwstr>
  </property>
</Properties>
</file>