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4A8F458" w14:textId="77777777" w:rsidTr="00DD44B1">
        <w:trPr>
          <w:trHeight w:hRule="exact" w:val="851"/>
        </w:trPr>
        <w:tc>
          <w:tcPr>
            <w:tcW w:w="142" w:type="dxa"/>
            <w:tcBorders>
              <w:bottom w:val="single" w:sz="4" w:space="0" w:color="auto"/>
            </w:tcBorders>
          </w:tcPr>
          <w:p w14:paraId="469A4B73" w14:textId="77777777" w:rsidR="002D5AAC" w:rsidRDefault="002D5AAC" w:rsidP="0024795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84D615B"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B9CAD16" w14:textId="77777777" w:rsidR="002D5AAC" w:rsidRDefault="00247950" w:rsidP="00247950">
            <w:pPr>
              <w:jc w:val="right"/>
            </w:pPr>
            <w:r w:rsidRPr="00247950">
              <w:rPr>
                <w:sz w:val="40"/>
              </w:rPr>
              <w:t>E</w:t>
            </w:r>
            <w:r>
              <w:t>/C.12/BEN/CO/3</w:t>
            </w:r>
          </w:p>
        </w:tc>
      </w:tr>
      <w:tr w:rsidR="002D5AAC" w:rsidRPr="00247950" w14:paraId="5D5E3EB8" w14:textId="77777777" w:rsidTr="00DD44B1">
        <w:trPr>
          <w:trHeight w:hRule="exact" w:val="2835"/>
        </w:trPr>
        <w:tc>
          <w:tcPr>
            <w:tcW w:w="1280" w:type="dxa"/>
            <w:gridSpan w:val="2"/>
            <w:tcBorders>
              <w:top w:val="single" w:sz="4" w:space="0" w:color="auto"/>
              <w:bottom w:val="single" w:sz="12" w:space="0" w:color="auto"/>
            </w:tcBorders>
          </w:tcPr>
          <w:p w14:paraId="60B29528" w14:textId="77777777" w:rsidR="002D5AAC" w:rsidRDefault="002E5067" w:rsidP="00DD44B1">
            <w:pPr>
              <w:spacing w:before="120"/>
              <w:jc w:val="center"/>
            </w:pPr>
            <w:r>
              <w:rPr>
                <w:noProof/>
                <w:lang w:val="fr-CH" w:eastAsia="fr-CH"/>
              </w:rPr>
              <w:drawing>
                <wp:inline distT="0" distB="0" distL="0" distR="0" wp14:anchorId="3BD8A328" wp14:editId="00F8074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E10FA6B"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2C63C160" w14:textId="77777777" w:rsidR="002D5AAC" w:rsidRDefault="00247950" w:rsidP="00DD44B1">
            <w:pPr>
              <w:spacing w:before="240"/>
              <w:rPr>
                <w:lang w:val="en-US"/>
              </w:rPr>
            </w:pPr>
            <w:r>
              <w:rPr>
                <w:lang w:val="en-US"/>
              </w:rPr>
              <w:t>Distr.: General</w:t>
            </w:r>
          </w:p>
          <w:p w14:paraId="09FE45F0" w14:textId="77777777" w:rsidR="00247950" w:rsidRDefault="00247950" w:rsidP="00247950">
            <w:pPr>
              <w:spacing w:line="240" w:lineRule="exact"/>
              <w:rPr>
                <w:lang w:val="en-US"/>
              </w:rPr>
            </w:pPr>
            <w:r>
              <w:rPr>
                <w:lang w:val="en-US"/>
              </w:rPr>
              <w:t>27 March 2020</w:t>
            </w:r>
          </w:p>
          <w:p w14:paraId="7ACDB54B" w14:textId="77777777" w:rsidR="00247950" w:rsidRDefault="00247950" w:rsidP="00247950">
            <w:pPr>
              <w:spacing w:line="240" w:lineRule="exact"/>
              <w:rPr>
                <w:lang w:val="en-US"/>
              </w:rPr>
            </w:pPr>
            <w:r>
              <w:rPr>
                <w:lang w:val="en-US"/>
              </w:rPr>
              <w:t>Russian</w:t>
            </w:r>
          </w:p>
          <w:p w14:paraId="40B0E56C" w14:textId="77777777" w:rsidR="00247950" w:rsidRPr="00D62A45" w:rsidRDefault="00247950" w:rsidP="00247950">
            <w:pPr>
              <w:spacing w:line="240" w:lineRule="exact"/>
              <w:rPr>
                <w:lang w:val="en-US"/>
              </w:rPr>
            </w:pPr>
            <w:r>
              <w:rPr>
                <w:lang w:val="en-US"/>
              </w:rPr>
              <w:t>Original: French</w:t>
            </w:r>
          </w:p>
        </w:tc>
      </w:tr>
    </w:tbl>
    <w:p w14:paraId="0398F48F" w14:textId="77777777" w:rsidR="00BC4A84" w:rsidRPr="00BC4A84" w:rsidRDefault="00BC4A84" w:rsidP="00BC4A84">
      <w:pPr>
        <w:spacing w:before="120"/>
        <w:rPr>
          <w:b/>
          <w:sz w:val="24"/>
          <w:szCs w:val="24"/>
        </w:rPr>
      </w:pPr>
      <w:r w:rsidRPr="00BC4A84">
        <w:rPr>
          <w:b/>
          <w:bCs/>
          <w:sz w:val="24"/>
          <w:szCs w:val="24"/>
        </w:rPr>
        <w:t xml:space="preserve">Комитет по экономическим, социальным </w:t>
      </w:r>
      <w:r>
        <w:rPr>
          <w:b/>
          <w:bCs/>
          <w:sz w:val="24"/>
          <w:szCs w:val="24"/>
        </w:rPr>
        <w:br/>
      </w:r>
      <w:r w:rsidRPr="00BC4A84">
        <w:rPr>
          <w:b/>
          <w:bCs/>
          <w:sz w:val="24"/>
          <w:szCs w:val="24"/>
        </w:rPr>
        <w:t>и культурным правам</w:t>
      </w:r>
    </w:p>
    <w:p w14:paraId="1DEAD204" w14:textId="77777777" w:rsidR="00BC4A84" w:rsidRPr="0018499B" w:rsidRDefault="00BC4A84" w:rsidP="00BC4A84">
      <w:pPr>
        <w:pStyle w:val="HChG"/>
      </w:pPr>
      <w:r>
        <w:tab/>
      </w:r>
      <w:r>
        <w:tab/>
      </w:r>
      <w:r>
        <w:rPr>
          <w:bCs/>
        </w:rPr>
        <w:t>Заключительные замечания по третьему периодическому докладу Бенина</w:t>
      </w:r>
      <w:r w:rsidRPr="008275DF">
        <w:rPr>
          <w:rStyle w:val="a8"/>
          <w:b w:val="0"/>
          <w:sz w:val="20"/>
          <w:vertAlign w:val="baseline"/>
        </w:rPr>
        <w:footnoteReference w:customMarkFollows="1" w:id="1"/>
        <w:t>*</w:t>
      </w:r>
    </w:p>
    <w:p w14:paraId="5487A28B" w14:textId="77777777" w:rsidR="00BC4A84" w:rsidRPr="0018499B" w:rsidRDefault="00BC4A84" w:rsidP="00BC4A84">
      <w:pPr>
        <w:pStyle w:val="SingleTxtG"/>
      </w:pPr>
      <w:r>
        <w:t>1.</w:t>
      </w:r>
      <w:r>
        <w:tab/>
        <w:t>Комитет рассмотрел третий периодический доклад Бенина (E/C.12/BEN/3) на своих 12-м и 13-м заседаниях (см. E/C.12/2020/SR.12 и 13), состоявшихся 24 и 25</w:t>
      </w:r>
      <w:r w:rsidR="00CE0C80">
        <w:rPr>
          <w:lang w:val="en-US"/>
        </w:rPr>
        <w:t> </w:t>
      </w:r>
      <w:r>
        <w:t>февраля 2020 года, и на своем 30-м заседании, состоявшемся 6 марта 2020 года, принял настоящие заключительные замечания.</w:t>
      </w:r>
    </w:p>
    <w:p w14:paraId="72738616" w14:textId="77777777" w:rsidR="00BC4A84" w:rsidRPr="0018499B" w:rsidRDefault="00BC4A84" w:rsidP="00BC4A84">
      <w:pPr>
        <w:pStyle w:val="H1G"/>
      </w:pPr>
      <w:r>
        <w:tab/>
      </w:r>
      <w:r>
        <w:t>A.</w:t>
      </w:r>
      <w:r>
        <w:tab/>
      </w:r>
      <w:r>
        <w:rPr>
          <w:bCs/>
        </w:rPr>
        <w:t>Введение</w:t>
      </w:r>
    </w:p>
    <w:p w14:paraId="54EBE0CB" w14:textId="77777777" w:rsidR="00BC4A84" w:rsidRPr="0018499B" w:rsidRDefault="00BC4A84" w:rsidP="00BC4A84">
      <w:pPr>
        <w:pStyle w:val="SingleTxtG"/>
      </w:pPr>
      <w:r>
        <w:t>2.</w:t>
      </w:r>
      <w:r>
        <w:tab/>
        <w:t>Комитет приветствует представление государством-участником его третьего периодического доклада и письменных ответов на перечень вопросов (E/C.12/BEN/RQ/3), хотя некоторая информация, запрошенная Комитетом, не была представлена. Кроме того, Комитет c удовлетворением отмечает состоявшийся с делегацией государства-участника диалог и представленную в ходе него информацию.</w:t>
      </w:r>
    </w:p>
    <w:p w14:paraId="781BADAD" w14:textId="77777777" w:rsidR="00BC4A84" w:rsidRPr="0018499B" w:rsidRDefault="00BC4A84" w:rsidP="00BC4A84">
      <w:pPr>
        <w:pStyle w:val="H1G"/>
      </w:pPr>
      <w:r>
        <w:tab/>
      </w:r>
      <w:r>
        <w:t>B.</w:t>
      </w:r>
      <w:r>
        <w:tab/>
      </w:r>
      <w:r>
        <w:rPr>
          <w:bCs/>
        </w:rPr>
        <w:t>Позитивные а</w:t>
      </w:r>
      <w:bookmarkStart w:id="0" w:name="_GoBack"/>
      <w:bookmarkEnd w:id="0"/>
      <w:r>
        <w:rPr>
          <w:bCs/>
        </w:rPr>
        <w:t>спекты</w:t>
      </w:r>
      <w:r>
        <w:t xml:space="preserve"> </w:t>
      </w:r>
    </w:p>
    <w:p w14:paraId="58E2AF32" w14:textId="77777777" w:rsidR="00BC4A84" w:rsidRPr="0018499B" w:rsidRDefault="00BC4A84" w:rsidP="00BC4A84">
      <w:pPr>
        <w:pStyle w:val="SingleTxtG"/>
      </w:pPr>
      <w:r>
        <w:t>3.</w:t>
      </w:r>
      <w:r>
        <w:tab/>
        <w:t>Комитет приветствует принятые меры, направленные на осуществление прав, предусмотренных в Международном пакте об экономических, социальных и культурных правах, такие как многочисленные законы, политика и стратегии, перечисленные в периодическом докладе государства-участника и упомянутые в настоящем документе, в частности принятие Правительственной программы действий на 2016</w:t>
      </w:r>
      <w:r w:rsidR="001A3519" w:rsidRPr="001A3519">
        <w:t>–</w:t>
      </w:r>
      <w:r>
        <w:t>2021 годы, одной из стратегических задач которой является укрепление базовых социальных услуг и социальной защиты.</w:t>
      </w:r>
    </w:p>
    <w:p w14:paraId="0B67F9FE" w14:textId="77777777" w:rsidR="00BC4A84" w:rsidRPr="0018499B" w:rsidRDefault="00BC4A84" w:rsidP="00BC4A84">
      <w:pPr>
        <w:pStyle w:val="H1G"/>
      </w:pPr>
      <w:r>
        <w:tab/>
      </w:r>
      <w:r>
        <w:t>C.</w:t>
      </w:r>
      <w:r>
        <w:tab/>
      </w:r>
      <w:r>
        <w:tab/>
      </w:r>
      <w:r>
        <w:rPr>
          <w:bCs/>
        </w:rPr>
        <w:t>Основные вопросы, вызывающие обеспокоенность, и</w:t>
      </w:r>
      <w:r w:rsidR="001A3519">
        <w:rPr>
          <w:bCs/>
          <w:lang w:val="en-US"/>
        </w:rPr>
        <w:t> </w:t>
      </w:r>
      <w:r>
        <w:rPr>
          <w:bCs/>
        </w:rPr>
        <w:t>рекомендации</w:t>
      </w:r>
    </w:p>
    <w:p w14:paraId="2EEE3D2C" w14:textId="77777777" w:rsidR="00BC4A84" w:rsidRPr="0018499B" w:rsidRDefault="00BC4A84" w:rsidP="00BC4A84">
      <w:pPr>
        <w:pStyle w:val="H23G"/>
      </w:pPr>
      <w:r>
        <w:tab/>
      </w:r>
      <w:r>
        <w:tab/>
      </w:r>
      <w:r>
        <w:rPr>
          <w:bCs/>
        </w:rPr>
        <w:t>Применение Пакта во внутреннем праве</w:t>
      </w:r>
    </w:p>
    <w:p w14:paraId="04AD87CC" w14:textId="77777777" w:rsidR="00BC4A84" w:rsidRPr="0018499B" w:rsidRDefault="00BC4A84" w:rsidP="00BC4A84">
      <w:pPr>
        <w:pStyle w:val="SingleTxtG"/>
        <w:rPr>
          <w:b/>
        </w:rPr>
      </w:pPr>
      <w:r>
        <w:t>4.</w:t>
      </w:r>
      <w:r>
        <w:tab/>
      </w:r>
      <w:r>
        <w:rPr>
          <w:b/>
          <w:bCs/>
        </w:rPr>
        <w:t>Комитет призывает государство-участник систематически проверять законопроекты на предмет их соответствия его обязательствам по Пакту, который имеет преимущественную силу над законами в соответствии со статьей</w:t>
      </w:r>
      <w:r w:rsidR="001A3519">
        <w:rPr>
          <w:b/>
          <w:bCs/>
          <w:lang w:val="en-US"/>
        </w:rPr>
        <w:t> </w:t>
      </w:r>
      <w:r>
        <w:rPr>
          <w:b/>
          <w:bCs/>
        </w:rPr>
        <w:t>147 Конституции.</w:t>
      </w:r>
      <w:r>
        <w:t xml:space="preserve"> </w:t>
      </w:r>
      <w:r>
        <w:rPr>
          <w:b/>
          <w:bCs/>
        </w:rPr>
        <w:t>Он призывает также государство-участник повысить уровень осведомленности судей и адвокатов, а также населения в целом, о Пакте.</w:t>
      </w:r>
      <w:r>
        <w:t xml:space="preserve"> </w:t>
      </w:r>
      <w:r>
        <w:rPr>
          <w:b/>
          <w:bCs/>
        </w:rPr>
        <w:t xml:space="preserve">Кроме того, Комитет предлагает государству-участнику проинформировать членов парламента о роли, которую они играют в осуществлении Пакта, в том </w:t>
      </w:r>
      <w:r>
        <w:rPr>
          <w:b/>
          <w:bCs/>
        </w:rPr>
        <w:lastRenderedPageBreak/>
        <w:t>числе путем введения конституционных средств правовой защиты, и в этой связи ссылается на свое замечание общего порядка № 9 (1998) о применении Пакта во внутреннем праве.</w:t>
      </w:r>
      <w:r>
        <w:t xml:space="preserve"> </w:t>
      </w:r>
    </w:p>
    <w:p w14:paraId="103F432D" w14:textId="77777777" w:rsidR="00BC4A84" w:rsidRPr="0018499B" w:rsidRDefault="00BC4A84" w:rsidP="00BC4A84">
      <w:pPr>
        <w:pStyle w:val="H23G"/>
      </w:pPr>
      <w:r>
        <w:tab/>
      </w:r>
      <w:r>
        <w:tab/>
      </w:r>
      <w:r>
        <w:rPr>
          <w:bCs/>
        </w:rPr>
        <w:t>Статистические данные</w:t>
      </w:r>
    </w:p>
    <w:p w14:paraId="6600D350" w14:textId="77777777" w:rsidR="00BC4A84" w:rsidRPr="0018499B" w:rsidRDefault="00BC4A84" w:rsidP="00BC4A84">
      <w:pPr>
        <w:pStyle w:val="SingleTxtG"/>
      </w:pPr>
      <w:r>
        <w:t>5.</w:t>
      </w:r>
      <w:r>
        <w:tab/>
        <w:t>Комитет выражает сожаление по поводу того, что обновленные статистические данные об осуществлении экономических, социальных и культурных прав, некоторые из которых имеются в распоряжении Национального института статистики и экономического анализа, не были включены в сведения, представленные до начала диалога с государством-участником, что не позволило провести оценку воздействия принятых недавно государством-участником мер (пункт 1 статьи 2).</w:t>
      </w:r>
    </w:p>
    <w:p w14:paraId="48B78638" w14:textId="77777777" w:rsidR="00BC4A84" w:rsidRPr="0018499B" w:rsidRDefault="00BC4A84" w:rsidP="00BC4A84">
      <w:pPr>
        <w:pStyle w:val="SingleTxtG"/>
        <w:rPr>
          <w:b/>
        </w:rPr>
      </w:pPr>
      <w:r>
        <w:t>6.</w:t>
      </w:r>
      <w:r>
        <w:tab/>
      </w:r>
      <w:r>
        <w:rPr>
          <w:b/>
          <w:bCs/>
        </w:rPr>
        <w:t>Комитет рекомендует государству-участнику собирать и включить в свой следующий периодический доклад ежегодные сравнительные статистические данные, необходимые для оценки достигнутого прогресса, и обеспечить, чтобы эти данные были дезагрегированы по полу, возрасту, географическим регионам, социально-экономическому положению и другим признакам.</w:t>
      </w:r>
      <w:r>
        <w:t xml:space="preserve"> </w:t>
      </w:r>
      <w:r>
        <w:rPr>
          <w:b/>
          <w:bCs/>
        </w:rPr>
        <w:t>Кроме того, Комитет рекомендует государству-участнику проводить оценку воздействия социально-экономических стратегий и программ на основе таких показателей, как наличие, доступность, приемлемость и качество товаров и услуг.</w:t>
      </w:r>
      <w:r>
        <w:t xml:space="preserve"> </w:t>
      </w:r>
      <w:r>
        <w:rPr>
          <w:b/>
          <w:bCs/>
        </w:rPr>
        <w:t>В этой связи Комитет обращает внимание государства-участника на Показатели в области прав человека: руководство по измерению и осуществлению (HR/PUB/12/5), а</w:t>
      </w:r>
      <w:r w:rsidR="001A3519">
        <w:rPr>
          <w:b/>
          <w:bCs/>
          <w:lang w:val="en-US"/>
        </w:rPr>
        <w:t> </w:t>
      </w:r>
      <w:r>
        <w:rPr>
          <w:b/>
          <w:bCs/>
        </w:rPr>
        <w:t>также на концептуальные и методологические рамки для показателей в области прав человека, разработанные Управлением Верховного комиссара Организации Объединенных Наций по правам человека (см. HRI/MC/2008/3).</w:t>
      </w:r>
      <w:r>
        <w:t xml:space="preserve"> </w:t>
      </w:r>
    </w:p>
    <w:p w14:paraId="43A4EA3C" w14:textId="77777777" w:rsidR="00BC4A84" w:rsidRPr="0018499B" w:rsidRDefault="00BC4A84" w:rsidP="00BC4A84">
      <w:pPr>
        <w:pStyle w:val="H23G"/>
      </w:pPr>
      <w:r>
        <w:tab/>
      </w:r>
      <w:r>
        <w:tab/>
      </w:r>
      <w:r>
        <w:rPr>
          <w:bCs/>
        </w:rPr>
        <w:t>Национальное правозащитное учреждение</w:t>
      </w:r>
    </w:p>
    <w:p w14:paraId="28BADC1C" w14:textId="77777777" w:rsidR="00BC4A84" w:rsidRPr="0018499B" w:rsidRDefault="00BC4A84" w:rsidP="00BC4A84">
      <w:pPr>
        <w:pStyle w:val="SingleTxtG"/>
      </w:pPr>
      <w:r>
        <w:t>7.</w:t>
      </w:r>
      <w:r>
        <w:tab/>
        <w:t>Комитет выражает сожаление по поводу того, что в 2019 году Бенинская комиссия по правам человека не располагала надлежащим бюджетом и что некоторые ее члены входят в состав руководящих органов политических структур, что противоречит положениям Закона № 2012-36 от 15 февраля 2013 года о создании Бенинской комиссии по правам человека (пункт 1 статьи 2).</w:t>
      </w:r>
    </w:p>
    <w:p w14:paraId="239AEF9F" w14:textId="77777777" w:rsidR="00BC4A84" w:rsidRPr="0018499B" w:rsidRDefault="00BC4A84" w:rsidP="00BC4A84">
      <w:pPr>
        <w:pStyle w:val="SingleTxtG"/>
        <w:rPr>
          <w:b/>
        </w:rPr>
      </w:pPr>
      <w:r>
        <w:t>8.</w:t>
      </w:r>
      <w:r>
        <w:tab/>
      </w:r>
      <w:r>
        <w:rPr>
          <w:b/>
          <w:bCs/>
        </w:rPr>
        <w:t>Комитет рекомендует государству-участнику гарантировать независимость Бенинской комиссии по правам человека и ее членов, а также обеспечить ее надлежащее функционирование, в том числе путем предоставления ей необходимых кадровых и бюджетных ресурсов.</w:t>
      </w:r>
      <w:r>
        <w:t xml:space="preserve"> </w:t>
      </w:r>
    </w:p>
    <w:p w14:paraId="09E76B40" w14:textId="77777777" w:rsidR="00BC4A84" w:rsidRPr="00840ADD" w:rsidRDefault="00BC4A84" w:rsidP="00BC4A84">
      <w:pPr>
        <w:pStyle w:val="H23G"/>
      </w:pPr>
      <w:r>
        <w:tab/>
      </w:r>
      <w:r>
        <w:tab/>
      </w:r>
      <w:r>
        <w:rPr>
          <w:bCs/>
        </w:rPr>
        <w:t>Правозащитники</w:t>
      </w:r>
    </w:p>
    <w:p w14:paraId="0E0A2A7A" w14:textId="77777777" w:rsidR="00BC4A84" w:rsidRPr="00840ADD" w:rsidRDefault="00BC4A84" w:rsidP="00BC4A84">
      <w:pPr>
        <w:pStyle w:val="SingleTxtG"/>
      </w:pPr>
      <w:r>
        <w:t>9.</w:t>
      </w:r>
      <w:r>
        <w:tab/>
        <w:t>Комитет с обеспокоенностью отмечает внесенные недавно государством-участником законодательные поправки, в том числе положения о собраниях и о распространении ложной информации Уголовного кодекса и Закона № 2017-20 от 20</w:t>
      </w:r>
      <w:r w:rsidR="001A3519">
        <w:rPr>
          <w:lang w:val="en-US"/>
        </w:rPr>
        <w:t> </w:t>
      </w:r>
      <w:r>
        <w:t>апреля 2018 года о введении в действие Кодекса цифровых технологий Республики Бенин, которые могут воспрепятствовать выполнению правозащитниками своей работы и подорвать их свободу действий (пункт 1 статьи 2).</w:t>
      </w:r>
    </w:p>
    <w:p w14:paraId="370C54F3" w14:textId="77777777" w:rsidR="00BC4A84" w:rsidRPr="00840ADD" w:rsidRDefault="00BC4A84" w:rsidP="00BC4A84">
      <w:pPr>
        <w:pStyle w:val="SingleTxtG"/>
        <w:rPr>
          <w:b/>
        </w:rPr>
      </w:pPr>
      <w:r>
        <w:t>10.</w:t>
      </w:r>
      <w:r>
        <w:tab/>
      </w:r>
      <w:r>
        <w:rPr>
          <w:b/>
          <w:bCs/>
        </w:rPr>
        <w:t>Комитет призывает государство-участник пересмотреть законодательные положения, касающиеся собраний и распространения ложной информации, с тем чтобы позволить правозащитникам свободно работать без каких-либо опасений.</w:t>
      </w:r>
      <w:r>
        <w:t xml:space="preserve"> </w:t>
      </w:r>
      <w:r>
        <w:rPr>
          <w:b/>
          <w:bCs/>
        </w:rPr>
        <w:t>В этой связи Комитет обращает внимание государства-участника на свое заявление о правозащитниках и экономических, социальных и культурных правах (E/C.12/2016/2).</w:t>
      </w:r>
      <w:r>
        <w:t xml:space="preserve"> </w:t>
      </w:r>
    </w:p>
    <w:p w14:paraId="6F23C4D1" w14:textId="77777777" w:rsidR="00BC4A84" w:rsidRPr="00840ADD" w:rsidRDefault="00BC4A84" w:rsidP="00BC4A84">
      <w:pPr>
        <w:pStyle w:val="H23G"/>
      </w:pPr>
      <w:r>
        <w:tab/>
      </w:r>
      <w:r>
        <w:tab/>
      </w:r>
      <w:r>
        <w:rPr>
          <w:bCs/>
        </w:rPr>
        <w:t>Максимальные пределы имеющихся ресурсов</w:t>
      </w:r>
    </w:p>
    <w:p w14:paraId="4A427E43" w14:textId="77777777" w:rsidR="00BC4A84" w:rsidRPr="00840ADD" w:rsidRDefault="00BC4A84" w:rsidP="00BC4A84">
      <w:pPr>
        <w:pStyle w:val="SingleTxtG"/>
      </w:pPr>
      <w:r>
        <w:t>11.</w:t>
      </w:r>
      <w:r>
        <w:tab/>
        <w:t xml:space="preserve">Комитет обеспокоен тем, что налоговые льготы, предоставляемые инвесторам, лишают государство-участник значительных ресурсов, притом что ему еще надлежит гарантировать основные элементы ряда закрепленных в Пакте прав путем мобилизации ресурсов для этой цели. Комитет обеспокоен также сообщениями о том, </w:t>
      </w:r>
      <w:r>
        <w:lastRenderedPageBreak/>
        <w:t>что в результате обработки заявок механизмом их утверждения в ряде случаев были предоставлены чрезмерные льготы (пункт 1 статьи 2).</w:t>
      </w:r>
    </w:p>
    <w:p w14:paraId="73F29F63" w14:textId="77777777" w:rsidR="00BC4A84" w:rsidRPr="00840ADD" w:rsidRDefault="00BC4A84" w:rsidP="00BC4A84">
      <w:pPr>
        <w:pStyle w:val="SingleTxtG"/>
        <w:rPr>
          <w:b/>
        </w:rPr>
      </w:pPr>
      <w:r>
        <w:t>12.</w:t>
      </w:r>
      <w:r>
        <w:tab/>
      </w:r>
      <w:r>
        <w:rPr>
          <w:b/>
          <w:bCs/>
        </w:rPr>
        <w:t>Комитет рекомендует государству-участнику: а) пересмотреть льготы, предоставляемые инвесторам с целью их привлечения в страну, с учетом упущенной в этой связи выгоды</w:t>
      </w:r>
      <w:r>
        <w:t xml:space="preserve"> </w:t>
      </w:r>
      <w:r>
        <w:rPr>
          <w:b/>
          <w:bCs/>
        </w:rPr>
        <w:t>и b) внести необходимые коррективы.</w:t>
      </w:r>
      <w:r>
        <w:t xml:space="preserve"> </w:t>
      </w:r>
      <w:r>
        <w:rPr>
          <w:b/>
          <w:bCs/>
        </w:rPr>
        <w:t>Комитет настоятельно призывает также государство-участник пересмотреть функционирование механизма утверждения заявок для того, чтобы не допускать предоставления чрезмерных льгот инвесторам.</w:t>
      </w:r>
      <w:r>
        <w:t xml:space="preserve"> </w:t>
      </w:r>
      <w:r>
        <w:rPr>
          <w:b/>
          <w:bCs/>
        </w:rPr>
        <w:t>Кроме того, Комитет напоминает, что соблюдение предприятиями норм социальной ответственности не заменяет собой выполнение государством-участником своих обязательств по Пакту.</w:t>
      </w:r>
      <w:r>
        <w:t xml:space="preserve"> </w:t>
      </w:r>
    </w:p>
    <w:p w14:paraId="3DD98B02" w14:textId="77777777" w:rsidR="00BC4A84" w:rsidRPr="00840ADD" w:rsidRDefault="00BC4A84" w:rsidP="00BC4A84">
      <w:pPr>
        <w:pStyle w:val="H23G"/>
      </w:pPr>
      <w:r>
        <w:tab/>
      </w:r>
      <w:r>
        <w:tab/>
      </w:r>
      <w:r>
        <w:rPr>
          <w:bCs/>
        </w:rPr>
        <w:t>Коррупция</w:t>
      </w:r>
    </w:p>
    <w:p w14:paraId="5DB690E2" w14:textId="77777777" w:rsidR="00BC4A84" w:rsidRPr="00840ADD" w:rsidRDefault="00BC4A84" w:rsidP="00BC4A84">
      <w:pPr>
        <w:pStyle w:val="SingleTxtG"/>
      </w:pPr>
      <w:r>
        <w:t>13.</w:t>
      </w:r>
      <w:r>
        <w:tab/>
        <w:t>Принимая к сведению представленное государством-участником разъяснение в отношении роли Отдела по расследованию экономических и финансовых преступлений в борьбе с коррупцией, а также деятельности Национального управления по борьбе с коррупцией, Комитет вместе с тем выражает обеспокоенность по поводу ослабления Управления, чьи финансовые средства были существенно сокращены, а функции, по всей видимости, сведены исключительно к превентивной деятельности (пункт 1 статьи 2).</w:t>
      </w:r>
    </w:p>
    <w:p w14:paraId="3FE1210B" w14:textId="77777777" w:rsidR="00BC4A84" w:rsidRPr="00840ADD" w:rsidRDefault="00BC4A84" w:rsidP="00BC4A84">
      <w:pPr>
        <w:pStyle w:val="SingleTxtG"/>
        <w:rPr>
          <w:b/>
        </w:rPr>
      </w:pPr>
      <w:r>
        <w:t>14.</w:t>
      </w:r>
      <w:r>
        <w:tab/>
      </w:r>
      <w:r>
        <w:rPr>
          <w:b/>
          <w:bCs/>
        </w:rPr>
        <w:t>Комитет рекомендует государству-участнику:</w:t>
      </w:r>
    </w:p>
    <w:p w14:paraId="3ABD6EE6" w14:textId="77777777" w:rsidR="00BC4A84" w:rsidRPr="00840ADD" w:rsidRDefault="00BC4A84" w:rsidP="00BC4A84">
      <w:pPr>
        <w:pStyle w:val="SingleTxtG"/>
        <w:ind w:firstLine="567"/>
      </w:pPr>
      <w:r>
        <w:rPr>
          <w:b/>
          <w:bCs/>
        </w:rPr>
        <w:t>a)</w:t>
      </w:r>
      <w:r>
        <w:tab/>
      </w:r>
      <w:r>
        <w:rPr>
          <w:b/>
          <w:bCs/>
        </w:rPr>
        <w:t>укрепить Национальное управление по борьбе с коррупцией, с тем чтобы облегчить обращение к нему с жалобами от населения, и ввести правовые положения, касающиеся бюджетных средств этого учреждения и обязанности сотрудничать с ним;</w:t>
      </w:r>
    </w:p>
    <w:p w14:paraId="10544779" w14:textId="77777777" w:rsidR="00BC4A84" w:rsidRPr="00840ADD" w:rsidRDefault="00BC4A84" w:rsidP="00BC4A84">
      <w:pPr>
        <w:pStyle w:val="SingleTxtG"/>
        <w:ind w:firstLine="567"/>
      </w:pPr>
      <w:r>
        <w:rPr>
          <w:b/>
          <w:bCs/>
        </w:rPr>
        <w:t>b)</w:t>
      </w:r>
      <w:r>
        <w:tab/>
      </w:r>
      <w:r>
        <w:rPr>
          <w:b/>
          <w:bCs/>
        </w:rPr>
        <w:t xml:space="preserve">обеспечить эффективность законодательства по борьбе с коррупцией, включая положения о декларировании активов и контроле над ними, Указ № 2013-122 от 6 марта 2013 года об условиях специальной защиты информаторов, свидетелей, экспертов и жертв актов коррупции, а также </w:t>
      </w:r>
      <w:r w:rsidR="00F351E7">
        <w:rPr>
          <w:b/>
          <w:bCs/>
        </w:rPr>
        <w:br/>
      </w:r>
      <w:r>
        <w:rPr>
          <w:b/>
          <w:bCs/>
        </w:rPr>
        <w:t>Указ № 2015-035 от 29 января 2015 года о Кодексе транспарентности управления государственными средствами Республики Бенин.</w:t>
      </w:r>
    </w:p>
    <w:p w14:paraId="0C469F3D" w14:textId="77777777" w:rsidR="00BC4A84" w:rsidRPr="00840ADD" w:rsidRDefault="00BC4A84" w:rsidP="00BC4A84">
      <w:pPr>
        <w:pStyle w:val="H23G"/>
      </w:pPr>
      <w:r>
        <w:tab/>
      </w:r>
      <w:r>
        <w:tab/>
      </w:r>
      <w:r>
        <w:rPr>
          <w:bCs/>
        </w:rPr>
        <w:t>Недискриминация</w:t>
      </w:r>
    </w:p>
    <w:p w14:paraId="0C579612" w14:textId="77777777" w:rsidR="00BC4A84" w:rsidRPr="00840ADD" w:rsidRDefault="00BC4A84" w:rsidP="00BC4A84">
      <w:pPr>
        <w:pStyle w:val="SingleTxtG"/>
      </w:pPr>
      <w:r>
        <w:t>15.</w:t>
      </w:r>
      <w:r>
        <w:tab/>
        <w:t>Комитет обеспокоен масштабами повседневной дискриминации, которой лица подвергаются при осуществлении своих экономических, социальных и культурных прав, а также количеством актов агрессии в отношении лиц с альбинизмом. Комитет обеспокоен также тем, что государство-участник не осведомлено об этой проблеме (пункт 2 статьи 2).</w:t>
      </w:r>
    </w:p>
    <w:p w14:paraId="1724D8C7" w14:textId="77777777" w:rsidR="00BC4A84" w:rsidRPr="00840ADD" w:rsidRDefault="00BC4A84" w:rsidP="00BC4A84">
      <w:pPr>
        <w:pStyle w:val="SingleTxtG"/>
        <w:rPr>
          <w:b/>
        </w:rPr>
      </w:pPr>
      <w:r>
        <w:t>16.</w:t>
      </w:r>
      <w:r>
        <w:tab/>
      </w:r>
      <w:r>
        <w:rPr>
          <w:b/>
          <w:bCs/>
        </w:rPr>
        <w:t>Принимая к сведению меры, принятые в области здравоохранения, Комитет рекомендует государству-участнику: а) проводить всесторонние и тщательные расследования по всем сообщениям о нападениях на лиц с альбинизмом, включая случаи, выявленные организациями гражданского общества;</w:t>
      </w:r>
      <w:r>
        <w:t xml:space="preserve"> </w:t>
      </w:r>
      <w:r>
        <w:rPr>
          <w:b/>
          <w:bCs/>
        </w:rPr>
        <w:t>и b) проводить просветительские кампании по вопросам альбинизма в целях борьбы с предрассудками и ложными представлениями об альбинизме.</w:t>
      </w:r>
      <w:r>
        <w:t xml:space="preserve"> </w:t>
      </w:r>
      <w:r>
        <w:rPr>
          <w:b/>
          <w:bCs/>
        </w:rPr>
        <w:t>Комитет призывает также государство-участник принять во внимание рекомендации, содержащиеся в Докладе Независимого эксперта по вопросу об осуществлении прав человека лицами с альбинизмом о Региональном плане действий по вопросам альбинизма в Африке (2017–2021 годы) (A/HRC/37/57/Add.3).</w:t>
      </w:r>
      <w:r>
        <w:t xml:space="preserve"> </w:t>
      </w:r>
    </w:p>
    <w:p w14:paraId="7B9D1285" w14:textId="77777777" w:rsidR="00BC4A84" w:rsidRPr="00840ADD" w:rsidRDefault="00BC4A84" w:rsidP="00BC4A84">
      <w:pPr>
        <w:pStyle w:val="H23G"/>
      </w:pPr>
      <w:r>
        <w:tab/>
      </w:r>
      <w:r>
        <w:tab/>
      </w:r>
      <w:r>
        <w:rPr>
          <w:bCs/>
        </w:rPr>
        <w:t>Равные права женщин и мужчин</w:t>
      </w:r>
    </w:p>
    <w:p w14:paraId="53DC7C6A" w14:textId="77777777" w:rsidR="00BC4A84" w:rsidRPr="00840ADD" w:rsidRDefault="00BC4A84" w:rsidP="00BC4A84">
      <w:pPr>
        <w:pStyle w:val="SingleTxtG"/>
      </w:pPr>
      <w:r>
        <w:t>17.</w:t>
      </w:r>
      <w:r>
        <w:tab/>
        <w:t xml:space="preserve">Комитет с обеспокоенностью отмечает, что, несмотря на законодательные положения, устанавливающие равные права на наследование и владение землей без какого-либо различия по признаку пола, в департаментах Атлантик и Зу, а также в сельских районах, существуют обычаи, лишающие женщин права наследования или собственности. Комитет обеспокоен также наличием в Кодексе законов о личности и </w:t>
      </w:r>
      <w:r>
        <w:lastRenderedPageBreak/>
        <w:t>семье положений, дискриминирующих женщин, в частности положений о фамилии после вступления в брак, выборе места жительства супругов и периоде ожидания до вступления в новый брак (статья 3).</w:t>
      </w:r>
    </w:p>
    <w:p w14:paraId="4C9DD156" w14:textId="77777777" w:rsidR="00BC4A84" w:rsidRPr="00840ADD" w:rsidRDefault="00BC4A84" w:rsidP="00BC4A84">
      <w:pPr>
        <w:pStyle w:val="SingleTxtG"/>
        <w:rPr>
          <w:b/>
        </w:rPr>
      </w:pPr>
      <w:r>
        <w:t>18.</w:t>
      </w:r>
      <w:r>
        <w:tab/>
      </w:r>
      <w:r>
        <w:rPr>
          <w:b/>
          <w:bCs/>
        </w:rPr>
        <w:t>Комитет рекомендует государству-участнику:</w:t>
      </w:r>
    </w:p>
    <w:p w14:paraId="5D74C07C" w14:textId="77777777" w:rsidR="00BC4A84" w:rsidRPr="00840ADD" w:rsidRDefault="00BC4A84" w:rsidP="00BC4A84">
      <w:pPr>
        <w:pStyle w:val="SingleTxtG"/>
        <w:ind w:firstLine="567"/>
      </w:pPr>
      <w:r>
        <w:rPr>
          <w:b/>
          <w:bCs/>
        </w:rPr>
        <w:t>a)</w:t>
      </w:r>
      <w:r>
        <w:tab/>
      </w:r>
      <w:r>
        <w:rPr>
          <w:b/>
          <w:bCs/>
        </w:rPr>
        <w:t>повысить уровень осведомленности женщин о правовых положениях, касающихся равных прав на наследование и владение землей, с тем чтобы они могли реализовать свои права;</w:t>
      </w:r>
    </w:p>
    <w:p w14:paraId="630932A1" w14:textId="77777777" w:rsidR="00BC4A84" w:rsidRPr="00840ADD" w:rsidRDefault="00BC4A84" w:rsidP="00BC4A84">
      <w:pPr>
        <w:pStyle w:val="SingleTxtG"/>
        <w:ind w:firstLine="567"/>
      </w:pPr>
      <w:r>
        <w:rPr>
          <w:b/>
          <w:bCs/>
        </w:rPr>
        <w:t>b)</w:t>
      </w:r>
      <w:r>
        <w:tab/>
      </w:r>
      <w:r>
        <w:rPr>
          <w:b/>
          <w:bCs/>
        </w:rPr>
        <w:t>повысить уровень осведомленности населения о равных правах женщин и мужчин и бороться с социальными предрассудками, ведущими к дискриминации в отношении женщин;</w:t>
      </w:r>
    </w:p>
    <w:p w14:paraId="72E845AB" w14:textId="77777777" w:rsidR="00BC4A84" w:rsidRPr="00840ADD" w:rsidRDefault="00BC4A84" w:rsidP="00BC4A84">
      <w:pPr>
        <w:pStyle w:val="SingleTxtG"/>
        <w:ind w:firstLine="567"/>
      </w:pPr>
      <w:r>
        <w:rPr>
          <w:b/>
          <w:bCs/>
        </w:rPr>
        <w:t>c)</w:t>
      </w:r>
      <w:r>
        <w:tab/>
      </w:r>
      <w:r>
        <w:rPr>
          <w:b/>
          <w:bCs/>
        </w:rPr>
        <w:t>побуждать местных выборных должностных лиц, сотрудников органов управления и традиционные власти учитывать права женщин при распределении и использовании земель, а в случае экспроприации возмещать нанесенный ущерб;</w:t>
      </w:r>
    </w:p>
    <w:p w14:paraId="53C5A2A3" w14:textId="77777777" w:rsidR="00BC4A84" w:rsidRPr="00840ADD" w:rsidRDefault="00BC4A84" w:rsidP="00BC4A84">
      <w:pPr>
        <w:pStyle w:val="SingleTxtG"/>
        <w:ind w:firstLine="567"/>
      </w:pPr>
      <w:r>
        <w:rPr>
          <w:b/>
          <w:bCs/>
        </w:rPr>
        <w:t>d)</w:t>
      </w:r>
      <w:r>
        <w:tab/>
      </w:r>
      <w:r>
        <w:rPr>
          <w:b/>
          <w:bCs/>
        </w:rPr>
        <w:t>отменить все положения Кодекса законов о личности и семье, дискриминирующие женщин.</w:t>
      </w:r>
    </w:p>
    <w:p w14:paraId="5FFD283F" w14:textId="77777777" w:rsidR="00BC4A84" w:rsidRPr="00840ADD" w:rsidRDefault="00BC4A84" w:rsidP="00BC4A84">
      <w:pPr>
        <w:pStyle w:val="H23G"/>
      </w:pPr>
      <w:r>
        <w:tab/>
      </w:r>
      <w:r>
        <w:tab/>
      </w:r>
      <w:r>
        <w:rPr>
          <w:bCs/>
        </w:rPr>
        <w:t>Право на труд</w:t>
      </w:r>
    </w:p>
    <w:p w14:paraId="0DFDDB59" w14:textId="77777777" w:rsidR="00BC4A84" w:rsidRPr="00840ADD" w:rsidRDefault="00BC4A84" w:rsidP="00BC4A84">
      <w:pPr>
        <w:pStyle w:val="SingleTxtG"/>
      </w:pPr>
      <w:r>
        <w:t>19.</w:t>
      </w:r>
      <w:r>
        <w:tab/>
        <w:t>Комитет отмечает, что порядок применения дисциплинарных взысканий к гражданским служащим, включая освобождение от занимаемой должности, предусмотрен в Законе № 2015-18 от 2 апреля 2015 года об общем статусе гражданской службы. Комитет с обеспокоенностью отмечает, что поправки, внесенные на основании Закона № 2018-35 от 5 октября 2018 года об изменении и дополнении Закона № 2015-18, приводят к обходу формальностей при увольнении и подрыву права на труд за счет ограничения несколькими месяцами выплаты компенсации в случае неправомерного увольнения или освобождения от должности (статья 6).</w:t>
      </w:r>
    </w:p>
    <w:p w14:paraId="5ED48C5E" w14:textId="77777777" w:rsidR="00BC4A84" w:rsidRPr="00840ADD" w:rsidRDefault="00BC4A84" w:rsidP="00BC4A84">
      <w:pPr>
        <w:pStyle w:val="SingleTxtG"/>
        <w:rPr>
          <w:b/>
        </w:rPr>
      </w:pPr>
      <w:r>
        <w:t>20.</w:t>
      </w:r>
      <w:r>
        <w:tab/>
      </w:r>
      <w:r>
        <w:rPr>
          <w:b/>
          <w:bCs/>
        </w:rPr>
        <w:t>Напоминая государству-участнику о том, что обязательство защищать право на труд является одним из важнейших элементов статьи 6 Пакта, Комитет рекомендует государству-участнику:</w:t>
      </w:r>
      <w:r>
        <w:t xml:space="preserve"> </w:t>
      </w:r>
    </w:p>
    <w:p w14:paraId="1B19E457" w14:textId="77777777" w:rsidR="00BC4A84" w:rsidRPr="00840ADD" w:rsidRDefault="00BC4A84" w:rsidP="00BC4A84">
      <w:pPr>
        <w:pStyle w:val="SingleTxtG"/>
        <w:ind w:firstLine="567"/>
        <w:rPr>
          <w:b/>
        </w:rPr>
      </w:pPr>
      <w:r>
        <w:rPr>
          <w:b/>
          <w:bCs/>
        </w:rPr>
        <w:t>a)</w:t>
      </w:r>
      <w:r>
        <w:tab/>
      </w:r>
      <w:r>
        <w:rPr>
          <w:b/>
          <w:bCs/>
        </w:rPr>
        <w:t>пересмотреть положения Закона № 2018-35 для недопущения того, чтобы они могли приводить к неправомерному увольнению или освобождению от должности;</w:t>
      </w:r>
      <w:r>
        <w:t xml:space="preserve"> </w:t>
      </w:r>
    </w:p>
    <w:p w14:paraId="4B59B08D" w14:textId="77777777" w:rsidR="00BC4A84" w:rsidRPr="00840ADD" w:rsidRDefault="00BC4A84" w:rsidP="00BC4A84">
      <w:pPr>
        <w:pStyle w:val="SingleTxtG"/>
        <w:ind w:firstLine="567"/>
        <w:rPr>
          <w:b/>
        </w:rPr>
      </w:pPr>
      <w:r>
        <w:rPr>
          <w:b/>
          <w:bCs/>
        </w:rPr>
        <w:t>b)</w:t>
      </w:r>
      <w:r>
        <w:tab/>
      </w:r>
      <w:r>
        <w:rPr>
          <w:b/>
          <w:bCs/>
        </w:rPr>
        <w:t>обеспечить, чтобы любое увольнение или освобождение от должности осуществлялось по уважительной причине или, в противном случае, давало работнику право на восстановление в должности или надлежащую компенсацию.</w:t>
      </w:r>
    </w:p>
    <w:p w14:paraId="4AD6EDFC" w14:textId="77777777" w:rsidR="00BC4A84" w:rsidRPr="00840ADD" w:rsidRDefault="00BC4A84" w:rsidP="00BC4A84">
      <w:pPr>
        <w:pStyle w:val="SingleTxtG"/>
      </w:pPr>
      <w:r>
        <w:t>21.</w:t>
      </w:r>
      <w:r>
        <w:tab/>
        <w:t>Комитет обеспокоен регрессивными положениями Закона № 2017-05 от 29</w:t>
      </w:r>
      <w:r w:rsidR="00354EE8">
        <w:rPr>
          <w:lang w:val="en-US"/>
        </w:rPr>
        <w:t> </w:t>
      </w:r>
      <w:r>
        <w:t>августа 2017 года об условиях и порядке найма, трудоустройства и расторжения трудовых договоров в Республике Бенин, которые приводят к нестабильности занятости, в частности:</w:t>
      </w:r>
    </w:p>
    <w:p w14:paraId="3274B171" w14:textId="77777777" w:rsidR="00BC4A84" w:rsidRPr="00840ADD" w:rsidRDefault="00BC4A84" w:rsidP="00BC4A84">
      <w:pPr>
        <w:pStyle w:val="SingleTxtG"/>
        <w:ind w:firstLine="567"/>
      </w:pPr>
      <w:r>
        <w:t>a)</w:t>
      </w:r>
      <w:r>
        <w:tab/>
        <w:t>возможностью бессрочного продления срочного трудового договора в соответствии со статьей 13;</w:t>
      </w:r>
    </w:p>
    <w:p w14:paraId="41C80E2C" w14:textId="77777777" w:rsidR="00BC4A84" w:rsidRPr="00840ADD" w:rsidRDefault="00BC4A84" w:rsidP="00BC4A84">
      <w:pPr>
        <w:pStyle w:val="SingleTxtG"/>
        <w:ind w:firstLine="567"/>
      </w:pPr>
      <w:r>
        <w:t>b)</w:t>
      </w:r>
      <w:r>
        <w:tab/>
        <w:t>отсутствием ограничения продолжительности испытательного срока, который может быть как продлен, так и прерван в любое время без предварительного уведомления, компенсации или возмещения ущерба в соответствии со статьей 10;</w:t>
      </w:r>
    </w:p>
    <w:p w14:paraId="32D48AD2" w14:textId="77777777" w:rsidR="00BC4A84" w:rsidRPr="00840ADD" w:rsidRDefault="00BC4A84" w:rsidP="00BC4A84">
      <w:pPr>
        <w:pStyle w:val="SingleTxtG"/>
        <w:ind w:firstLine="567"/>
      </w:pPr>
      <w:r>
        <w:t>c)</w:t>
      </w:r>
      <w:r>
        <w:tab/>
        <w:t>ограничением размера компенсации в случае увольнения или несоблюдения формальностей при увольнении в соответствии со статьями 29 и 30, что, по мнению делегации, было необходимо сделать в связи с частой практикой сговора судей и работников по этому вопросу (статья 6).</w:t>
      </w:r>
    </w:p>
    <w:p w14:paraId="1EDE7627" w14:textId="77777777" w:rsidR="00BC4A84" w:rsidRPr="00840ADD" w:rsidRDefault="00BC4A84" w:rsidP="00BC4A84">
      <w:pPr>
        <w:pStyle w:val="SingleTxtG"/>
        <w:rPr>
          <w:b/>
        </w:rPr>
      </w:pPr>
      <w:r>
        <w:t>22.</w:t>
      </w:r>
      <w:r>
        <w:tab/>
      </w:r>
      <w:r>
        <w:rPr>
          <w:b/>
          <w:bCs/>
        </w:rPr>
        <w:t>Комитет призывает государство-участник:</w:t>
      </w:r>
    </w:p>
    <w:p w14:paraId="5767842B" w14:textId="77777777" w:rsidR="00BC4A84" w:rsidRPr="00840ADD" w:rsidRDefault="00BC4A84" w:rsidP="00BC4A84">
      <w:pPr>
        <w:pStyle w:val="SingleTxtG"/>
        <w:ind w:firstLine="567"/>
        <w:rPr>
          <w:b/>
        </w:rPr>
      </w:pPr>
      <w:r w:rsidRPr="00354EE8">
        <w:rPr>
          <w:b/>
        </w:rPr>
        <w:t>a)</w:t>
      </w:r>
      <w:r>
        <w:tab/>
      </w:r>
      <w:r>
        <w:rPr>
          <w:b/>
          <w:bCs/>
        </w:rPr>
        <w:t xml:space="preserve">внести поправки в положения статей 10, 13, 29 и 30, а также в любые другие соответствующие положения Закона № 2017-05, с тем чтобы защитить </w:t>
      </w:r>
      <w:r>
        <w:rPr>
          <w:b/>
          <w:bCs/>
        </w:rPr>
        <w:lastRenderedPageBreak/>
        <w:t>трудящихся от неправомерного увольнения и других злоупотреблений, которые стали возможны после принятия этого Закона;</w:t>
      </w:r>
    </w:p>
    <w:p w14:paraId="394642D5" w14:textId="77777777" w:rsidR="00BC4A84" w:rsidRPr="00840ADD" w:rsidRDefault="00BC4A84" w:rsidP="00BC4A84">
      <w:pPr>
        <w:pStyle w:val="SingleTxtG"/>
        <w:ind w:firstLine="567"/>
        <w:rPr>
          <w:b/>
        </w:rPr>
      </w:pPr>
      <w:r w:rsidRPr="00354EE8">
        <w:rPr>
          <w:b/>
        </w:rPr>
        <w:t>b)</w:t>
      </w:r>
      <w:r>
        <w:tab/>
      </w:r>
      <w:r>
        <w:rPr>
          <w:b/>
          <w:bCs/>
        </w:rPr>
        <w:t>бороться с коррупцией в судебной системе.</w:t>
      </w:r>
      <w:r>
        <w:t xml:space="preserve"> </w:t>
      </w:r>
    </w:p>
    <w:p w14:paraId="577EBDB8" w14:textId="77777777" w:rsidR="00BC4A84" w:rsidRPr="00840ADD" w:rsidRDefault="00BC4A84" w:rsidP="00BC4A84">
      <w:pPr>
        <w:pStyle w:val="SingleTxtG"/>
      </w:pPr>
      <w:r>
        <w:t>23.</w:t>
      </w:r>
      <w:r>
        <w:tab/>
        <w:t>Комитет с обеспокоенностью отмечает, что проблема безработицы затрагивает главным образом сельских жителей, а также женщин и молодежь в городах и что лица, пользующиеся услугами Национального агентства по вопросам занятости, по</w:t>
      </w:r>
      <w:r w:rsidR="00354EE8">
        <w:noBreakHyphen/>
      </w:r>
      <w:r>
        <w:t>прежнему крайне немногочисленны. Кроме того, Комитет выражает сожаление по поводу отсутствия информации о принятых мерах, помимо введения программ микрокредитования, и об их воздействии (статья 6).</w:t>
      </w:r>
    </w:p>
    <w:p w14:paraId="34411B9A" w14:textId="77777777" w:rsidR="00BC4A84" w:rsidRPr="00840ADD" w:rsidRDefault="00BC4A84" w:rsidP="00BC4A84">
      <w:pPr>
        <w:pStyle w:val="SingleTxtG"/>
        <w:rPr>
          <w:b/>
        </w:rPr>
      </w:pPr>
      <w:r>
        <w:t>24.</w:t>
      </w:r>
      <w:r>
        <w:tab/>
      </w:r>
      <w:r>
        <w:rPr>
          <w:b/>
          <w:bCs/>
        </w:rPr>
        <w:t>Комитет рекомендует государству-участнику принять национальную политику в области занятости, направленную на: а) содействие инвестированию в трудоемкие отрасли;</w:t>
      </w:r>
      <w:r>
        <w:t xml:space="preserve"> </w:t>
      </w:r>
      <w:r>
        <w:rPr>
          <w:b/>
          <w:bCs/>
        </w:rPr>
        <w:t>b) укрепление потенциала Национального агентства по вопросам занятости;</w:t>
      </w:r>
      <w:r>
        <w:t xml:space="preserve"> </w:t>
      </w:r>
      <w:r>
        <w:rPr>
          <w:b/>
          <w:bCs/>
        </w:rPr>
        <w:t>с) укрепление профессионально-технической подготовки в приоритетных секторах экономики;</w:t>
      </w:r>
      <w:r>
        <w:t xml:space="preserve"> </w:t>
      </w:r>
      <w:r>
        <w:rPr>
          <w:b/>
          <w:bCs/>
        </w:rPr>
        <w:t>и d) принятие позитивных мер в интересах групп населения, в наибольшей степени затронутых проблемой безработицы.</w:t>
      </w:r>
      <w:r>
        <w:t xml:space="preserve"> </w:t>
      </w:r>
      <w:r>
        <w:rPr>
          <w:b/>
          <w:bCs/>
        </w:rPr>
        <w:t>Комитет призывает также государство-участник постоянно следить за воздействием принимаемых мер на осуществление права на труд.</w:t>
      </w:r>
      <w:r>
        <w:t xml:space="preserve"> </w:t>
      </w:r>
      <w:r>
        <w:rPr>
          <w:b/>
          <w:bCs/>
        </w:rPr>
        <w:t>Наконец, он</w:t>
      </w:r>
      <w:r w:rsidR="00354EE8">
        <w:rPr>
          <w:b/>
          <w:bCs/>
          <w:lang w:val="en-US"/>
        </w:rPr>
        <w:t> </w:t>
      </w:r>
      <w:r>
        <w:rPr>
          <w:b/>
          <w:bCs/>
        </w:rPr>
        <w:t xml:space="preserve">обращает внимание государства-участника на свое замечание общего </w:t>
      </w:r>
      <w:r w:rsidR="00354EE8">
        <w:rPr>
          <w:b/>
          <w:bCs/>
        </w:rPr>
        <w:br/>
      </w:r>
      <w:r>
        <w:rPr>
          <w:b/>
          <w:bCs/>
        </w:rPr>
        <w:t>порядка № 18 (2005) о праве на труд.</w:t>
      </w:r>
    </w:p>
    <w:p w14:paraId="40CCC208" w14:textId="77777777" w:rsidR="00BC4A84" w:rsidRPr="00840ADD" w:rsidRDefault="00BC4A84" w:rsidP="00BC4A84">
      <w:pPr>
        <w:pStyle w:val="H23G"/>
      </w:pPr>
      <w:r>
        <w:tab/>
      </w:r>
      <w:r>
        <w:tab/>
      </w:r>
      <w:r>
        <w:rPr>
          <w:bCs/>
        </w:rPr>
        <w:t>Право на справедливые и благоприятные условия труда</w:t>
      </w:r>
    </w:p>
    <w:p w14:paraId="0A3C73A4" w14:textId="77777777" w:rsidR="00BC4A84" w:rsidRPr="00840ADD" w:rsidRDefault="00BC4A84" w:rsidP="00BC4A84">
      <w:pPr>
        <w:pStyle w:val="SingleTxtG"/>
      </w:pPr>
      <w:r>
        <w:t>25.</w:t>
      </w:r>
      <w:r>
        <w:tab/>
        <w:t>Комитет с обеспокоенностью отмечает, что размер гарантированной межпрофессиональной минимальной заработной платы не пересматривался с 2014</w:t>
      </w:r>
      <w:r w:rsidR="00354EE8">
        <w:rPr>
          <w:lang w:val="en-US"/>
        </w:rPr>
        <w:t> </w:t>
      </w:r>
      <w:r>
        <w:t>года. Кроме того, Комитет обеспокоен тем, что, помимо государственного сектора, эта норма заработной платы не всегда соблюдается (статья 7).</w:t>
      </w:r>
    </w:p>
    <w:p w14:paraId="4C2D2009" w14:textId="77777777" w:rsidR="00BC4A84" w:rsidRPr="00840ADD" w:rsidRDefault="00BC4A84" w:rsidP="00BC4A84">
      <w:pPr>
        <w:pStyle w:val="SingleTxtG"/>
        <w:rPr>
          <w:b/>
        </w:rPr>
      </w:pPr>
      <w:r>
        <w:t>26.</w:t>
      </w:r>
      <w:r>
        <w:tab/>
      </w:r>
      <w:r>
        <w:rPr>
          <w:b/>
          <w:bCs/>
        </w:rPr>
        <w:t>Ссылаясь на свое замечание общего порядка № 23 (2016) о праве на справедливые и благоприятные условия труда</w:t>
      </w:r>
      <w:r w:rsidR="00354EE8">
        <w:rPr>
          <w:b/>
          <w:bCs/>
        </w:rPr>
        <w:t>,</w:t>
      </w:r>
      <w:r>
        <w:rPr>
          <w:b/>
          <w:bCs/>
        </w:rPr>
        <w:t xml:space="preserve"> Комитет рекомендует государству-участнику:</w:t>
      </w:r>
    </w:p>
    <w:p w14:paraId="7A32E1B7" w14:textId="77777777" w:rsidR="00BC4A84" w:rsidRPr="00840ADD" w:rsidRDefault="00BC4A84" w:rsidP="00BC4A84">
      <w:pPr>
        <w:pStyle w:val="SingleTxtG"/>
        <w:ind w:firstLine="567"/>
      </w:pPr>
      <w:r w:rsidRPr="002728F5">
        <w:rPr>
          <w:b/>
        </w:rPr>
        <w:t>a)</w:t>
      </w:r>
      <w:r>
        <w:tab/>
      </w:r>
      <w:r>
        <w:rPr>
          <w:b/>
          <w:bCs/>
        </w:rPr>
        <w:t>обеспечить совместно с социальными партнерами периодический пересмотр минимальной заработной платы с целью ее индексации с учетом стоимости жизни, с тем чтобы гарантировать трудящимся и их семьям достаточный уровень жизни;</w:t>
      </w:r>
    </w:p>
    <w:p w14:paraId="0D0A31A1" w14:textId="77777777" w:rsidR="00BC4A84" w:rsidRPr="00840ADD" w:rsidRDefault="00BC4A84" w:rsidP="00BC4A84">
      <w:pPr>
        <w:pStyle w:val="SingleTxtG"/>
        <w:ind w:firstLine="567"/>
      </w:pPr>
      <w:r w:rsidRPr="002728F5">
        <w:rPr>
          <w:b/>
        </w:rPr>
        <w:t>b)</w:t>
      </w:r>
      <w:r>
        <w:tab/>
      </w:r>
      <w:r>
        <w:rPr>
          <w:b/>
          <w:bCs/>
        </w:rPr>
        <w:t>обеспечить применение положений о минимальной заработной плате на практике, а также назначение уголовного или иного наказания за их несоблюдение;</w:t>
      </w:r>
    </w:p>
    <w:p w14:paraId="5B1EA29C" w14:textId="77777777" w:rsidR="00BC4A84" w:rsidRPr="00840ADD" w:rsidRDefault="00BC4A84" w:rsidP="00BC4A84">
      <w:pPr>
        <w:pStyle w:val="SingleTxtG"/>
        <w:ind w:firstLine="567"/>
      </w:pPr>
      <w:r w:rsidRPr="002728F5">
        <w:rPr>
          <w:b/>
        </w:rPr>
        <w:t>c)</w:t>
      </w:r>
      <w:r>
        <w:tab/>
      </w:r>
      <w:r>
        <w:rPr>
          <w:b/>
          <w:bCs/>
        </w:rPr>
        <w:t>выделять необходимые средства на контроль за условиями труда, в</w:t>
      </w:r>
      <w:r w:rsidR="00354EE8">
        <w:rPr>
          <w:b/>
          <w:bCs/>
        </w:rPr>
        <w:t> </w:t>
      </w:r>
      <w:r>
        <w:rPr>
          <w:b/>
          <w:bCs/>
        </w:rPr>
        <w:t>том числе в неформальном секторе экономики, в частности, путем активизации проверок и предоставления работникам возможности подавать жалобы.</w:t>
      </w:r>
    </w:p>
    <w:p w14:paraId="4151328F" w14:textId="77777777" w:rsidR="00BC4A84" w:rsidRPr="00840ADD" w:rsidRDefault="00BC4A84" w:rsidP="00BC4A84">
      <w:pPr>
        <w:pStyle w:val="H23G"/>
      </w:pPr>
      <w:r>
        <w:tab/>
      </w:r>
      <w:r>
        <w:tab/>
      </w:r>
      <w:r>
        <w:rPr>
          <w:bCs/>
        </w:rPr>
        <w:t>Свобода ассоциации</w:t>
      </w:r>
    </w:p>
    <w:p w14:paraId="630D6366" w14:textId="77777777" w:rsidR="00BC4A84" w:rsidRPr="00840ADD" w:rsidRDefault="00BC4A84" w:rsidP="00BC4A84">
      <w:pPr>
        <w:pStyle w:val="SingleTxtG"/>
      </w:pPr>
      <w:r>
        <w:t>27.</w:t>
      </w:r>
      <w:r>
        <w:tab/>
        <w:t>Принимая к сведению представленную государством-участником подробную информацию, Комитет выражает сохраняющуюся обеспокоенность по поводу того, что несколько профсоюзных лидеров были осуждены в судебном порядке, что может помешать представителям трудящихся выполнять свои функции (статья 8).</w:t>
      </w:r>
    </w:p>
    <w:p w14:paraId="13AB3CE3" w14:textId="77777777" w:rsidR="00BC4A84" w:rsidRPr="00840ADD" w:rsidRDefault="00BC4A84" w:rsidP="00BC4A84">
      <w:pPr>
        <w:pStyle w:val="SingleTxtG"/>
        <w:rPr>
          <w:b/>
        </w:rPr>
      </w:pPr>
      <w:r>
        <w:t>28.</w:t>
      </w:r>
      <w:r>
        <w:tab/>
      </w:r>
      <w:r>
        <w:rPr>
          <w:b/>
          <w:bCs/>
        </w:rPr>
        <w:t>Комитет рекомендует государству-участнику обеспечить свободное осуществление профсоюзных прав и искоренить виды практики, порождающие антипрофсоюзные настроения.</w:t>
      </w:r>
      <w:r>
        <w:t xml:space="preserve"> </w:t>
      </w:r>
    </w:p>
    <w:p w14:paraId="2B4B9B78" w14:textId="77777777" w:rsidR="00BC4A84" w:rsidRPr="00840ADD" w:rsidRDefault="00BC4A84" w:rsidP="00BC4A84">
      <w:pPr>
        <w:pStyle w:val="H23G"/>
      </w:pPr>
      <w:r>
        <w:tab/>
      </w:r>
      <w:r>
        <w:tab/>
      </w:r>
      <w:r>
        <w:rPr>
          <w:bCs/>
        </w:rPr>
        <w:t>Право на забастовку</w:t>
      </w:r>
    </w:p>
    <w:p w14:paraId="0E981D9E" w14:textId="77777777" w:rsidR="00BC4A84" w:rsidRPr="00840ADD" w:rsidRDefault="00BC4A84" w:rsidP="00BC4A84">
      <w:pPr>
        <w:pStyle w:val="SingleTxtG"/>
      </w:pPr>
      <w:r>
        <w:t>29.</w:t>
      </w:r>
      <w:r>
        <w:tab/>
        <w:t xml:space="preserve">Комитет обеспокоен ограничениями права на забастовку, которые были введены на основании Закона № 2018-34 от 5 октября 2018 года об изменении и дополнении Закона № 2001-09 от 21 июня 2002 года об осуществлении права на забастовку в Республике Бенин. В частности, Комитет обеспокоен требованиями в отношении продолжительности забастовки, запретом на осуществление права на </w:t>
      </w:r>
      <w:r>
        <w:lastRenderedPageBreak/>
        <w:t>забастовку для определенных категорий работников (в частности, пограничных служб, водных, лесных и охотничьих хозяйств, а также медицинских учреждений), запретом на забастовки в знак солидарности, а также расплывчатым определением минимального уровня обслуживания, который необходимо гарантировать во время забастовки (статья 8).</w:t>
      </w:r>
    </w:p>
    <w:p w14:paraId="7CB4F3C3" w14:textId="77777777" w:rsidR="00BC4A84" w:rsidRPr="00840ADD" w:rsidRDefault="00BC4A84" w:rsidP="00BC4A84">
      <w:pPr>
        <w:pStyle w:val="SingleTxtG"/>
        <w:rPr>
          <w:b/>
        </w:rPr>
      </w:pPr>
      <w:r>
        <w:t>30.</w:t>
      </w:r>
      <w:r>
        <w:tab/>
      </w:r>
      <w:r>
        <w:rPr>
          <w:b/>
          <w:bCs/>
        </w:rPr>
        <w:t>Комитет рекомендует государству-участнику привести положения Закона</w:t>
      </w:r>
      <w:r w:rsidR="00354EE8">
        <w:rPr>
          <w:b/>
          <w:bCs/>
        </w:rPr>
        <w:t> </w:t>
      </w:r>
      <w:r>
        <w:rPr>
          <w:b/>
          <w:bCs/>
        </w:rPr>
        <w:t>№ 2018-34 в соответствие со статьей 8 Пакта путем:</w:t>
      </w:r>
    </w:p>
    <w:p w14:paraId="44F876FA" w14:textId="77777777" w:rsidR="00BC4A84" w:rsidRPr="00840ADD" w:rsidRDefault="00BC4A84" w:rsidP="00BC4A84">
      <w:pPr>
        <w:pStyle w:val="SingleTxtG"/>
        <w:ind w:firstLine="567"/>
      </w:pPr>
      <w:r w:rsidRPr="009B64C3">
        <w:rPr>
          <w:b/>
        </w:rPr>
        <w:t>a)</w:t>
      </w:r>
      <w:r>
        <w:tab/>
      </w:r>
      <w:r>
        <w:rPr>
          <w:b/>
          <w:bCs/>
        </w:rPr>
        <w:t>пересмотра категорий сотрудников, перечисленных в новой статье</w:t>
      </w:r>
      <w:r w:rsidR="00354EE8">
        <w:rPr>
          <w:b/>
          <w:bCs/>
        </w:rPr>
        <w:t> </w:t>
      </w:r>
      <w:r>
        <w:rPr>
          <w:b/>
          <w:bCs/>
        </w:rPr>
        <w:t>2, чтобы позволить государственным служащим, чьи услуги не могут правомерно считаться жизненно важными, осуществлять свое право на забастовку;</w:t>
      </w:r>
      <w:r>
        <w:t xml:space="preserve"> </w:t>
      </w:r>
    </w:p>
    <w:p w14:paraId="0AF92778" w14:textId="77777777" w:rsidR="00BC4A84" w:rsidRPr="00840ADD" w:rsidRDefault="00BC4A84" w:rsidP="00BC4A84">
      <w:pPr>
        <w:pStyle w:val="SingleTxtG"/>
        <w:ind w:firstLine="567"/>
      </w:pPr>
      <w:r w:rsidRPr="009B64C3">
        <w:rPr>
          <w:b/>
        </w:rPr>
        <w:t>b)</w:t>
      </w:r>
      <w:r>
        <w:tab/>
      </w:r>
      <w:r>
        <w:rPr>
          <w:b/>
          <w:bCs/>
        </w:rPr>
        <w:t>составления перечня услуг, должностей и категорий персонала, которые строго необходимы для обеспечения минимального обслуживания в случае забастовки в государственных учреждениях;</w:t>
      </w:r>
      <w:r>
        <w:t xml:space="preserve"> </w:t>
      </w:r>
    </w:p>
    <w:p w14:paraId="136BE77C" w14:textId="77777777" w:rsidR="00BC4A84" w:rsidRPr="00840ADD" w:rsidRDefault="00BC4A84" w:rsidP="00BC4A84">
      <w:pPr>
        <w:pStyle w:val="SingleTxtG"/>
        <w:ind w:firstLine="567"/>
      </w:pPr>
      <w:r w:rsidRPr="009B64C3">
        <w:rPr>
          <w:b/>
        </w:rPr>
        <w:t>c)</w:t>
      </w:r>
      <w:r>
        <w:tab/>
      </w:r>
      <w:r>
        <w:rPr>
          <w:b/>
          <w:bCs/>
        </w:rPr>
        <w:t>отмены положений о требованиях в отношении продолжительности забастовки, которые противоречат характеру права на забастовку и представляют собой несоразмерные ограничения права на забастовку.</w:t>
      </w:r>
    </w:p>
    <w:p w14:paraId="2D9C3F10" w14:textId="77777777" w:rsidR="00BC4A84" w:rsidRPr="00840ADD" w:rsidRDefault="00BC4A84" w:rsidP="00BC4A84">
      <w:pPr>
        <w:pStyle w:val="H23G"/>
      </w:pPr>
      <w:r>
        <w:tab/>
      </w:r>
      <w:r>
        <w:tab/>
      </w:r>
      <w:r>
        <w:rPr>
          <w:bCs/>
        </w:rPr>
        <w:t>Борьба с бедностью и право на социальное обеспечение</w:t>
      </w:r>
    </w:p>
    <w:p w14:paraId="5E2C196F" w14:textId="77777777" w:rsidR="00BC4A84" w:rsidRPr="00840ADD" w:rsidRDefault="00BC4A84" w:rsidP="00BC4A84">
      <w:pPr>
        <w:pStyle w:val="SingleTxtG"/>
      </w:pPr>
      <w:r>
        <w:t>31.</w:t>
      </w:r>
      <w:r>
        <w:tab/>
        <w:t>Комитет по-прежнему обеспокоен сохранением бедности в государстве-участнике. Он напоминает, что расширение социальной защиты должно рассматриваться не как завершение процесса развития, а скорее как компонент развития в соответствии с требованиями Пакта. Отмечая инициативы, предусматривающие расширение охвата системы социального обеспечения, Комитет вместе с тем выражает обеспокоенность по поводу низкого уровня социальной защиты в государстве-участнике, в частности в неформальном секторе экономики. Кроме того, Комитет с обеспокоенностью отмечает, что, несмотря на начало осуществления в 2016</w:t>
      </w:r>
      <w:r w:rsidR="005F5B39">
        <w:t> </w:t>
      </w:r>
      <w:r>
        <w:t>году Правительственной программы действий на 2016</w:t>
      </w:r>
      <w:r w:rsidR="005F5B39">
        <w:t>–</w:t>
      </w:r>
      <w:r>
        <w:t>2021 годы, план страхования в целях развития человеческого капитала по-прежнему находится на экспериментальной стадии и охватывает лишь около 10 000 домохозяйств из предусмотренных 4 млн домохозяйств (статья 9).</w:t>
      </w:r>
    </w:p>
    <w:p w14:paraId="5CD8A23F" w14:textId="77777777" w:rsidR="00BC4A84" w:rsidRPr="00840ADD" w:rsidRDefault="00BC4A84" w:rsidP="00BC4A84">
      <w:pPr>
        <w:pStyle w:val="SingleTxtG"/>
        <w:rPr>
          <w:b/>
        </w:rPr>
      </w:pPr>
      <w:r>
        <w:t>32.</w:t>
      </w:r>
      <w:r>
        <w:tab/>
      </w:r>
      <w:r>
        <w:rPr>
          <w:b/>
          <w:bCs/>
        </w:rPr>
        <w:t>Напоминая о том, что осуществление права на социальное обеспечение имеет ключевое значение для борьбы с нищетой и отсутствием продовольственной безопасности, Комитет рекомендует государству-участнику ускорить процесс реализации компонента всеобщего медицинского страхования в рамках плана страхования в целях развития человеческого капитала в неформальном секторе экономики, уделяя приоритетное внимание самым малоимущим домохозяйствам и, при необходимости, обращаясь за помощью и сотрудничеством к международному сообществу.</w:t>
      </w:r>
      <w:r>
        <w:t xml:space="preserve"> </w:t>
      </w:r>
      <w:r>
        <w:rPr>
          <w:b/>
          <w:bCs/>
        </w:rPr>
        <w:t>Кроме того, Комитет рекомендует государству-участнику расширить сферу охвата этого плана с целью введения минимального уровня социальной защиты, предусматривающего получения всеми основного гарантированного дохода.</w:t>
      </w:r>
      <w:r>
        <w:t xml:space="preserve"> </w:t>
      </w:r>
      <w:r>
        <w:rPr>
          <w:b/>
          <w:bCs/>
        </w:rPr>
        <w:t xml:space="preserve">Комитет напоминает государству-участнику о своем заявлении под названием </w:t>
      </w:r>
      <w:r w:rsidR="00E17152">
        <w:rPr>
          <w:b/>
          <w:bCs/>
        </w:rPr>
        <w:t>«</w:t>
      </w:r>
      <w:r>
        <w:rPr>
          <w:b/>
          <w:bCs/>
        </w:rPr>
        <w:t>Минимальные уровни социальной защиты: важнейшая составляющая права на социальное обеспечение и целей в области устойчивого развития</w:t>
      </w:r>
      <w:r w:rsidR="00E17152">
        <w:rPr>
          <w:b/>
          <w:bCs/>
        </w:rPr>
        <w:t>»</w:t>
      </w:r>
      <w:r>
        <w:rPr>
          <w:b/>
          <w:bCs/>
        </w:rPr>
        <w:t xml:space="preserve"> (E/C.12/2015/1).</w:t>
      </w:r>
    </w:p>
    <w:p w14:paraId="7DD52C71" w14:textId="77777777" w:rsidR="00BC4A84" w:rsidRPr="00840ADD" w:rsidRDefault="00BC4A84" w:rsidP="00BC4A84">
      <w:pPr>
        <w:pStyle w:val="H23G"/>
      </w:pPr>
      <w:r>
        <w:tab/>
      </w:r>
      <w:r>
        <w:tab/>
      </w:r>
      <w:r>
        <w:rPr>
          <w:bCs/>
        </w:rPr>
        <w:t>Защита семьи, матери и ребенка</w:t>
      </w:r>
    </w:p>
    <w:p w14:paraId="7616D7EB" w14:textId="77777777" w:rsidR="00BC4A84" w:rsidRPr="00840ADD" w:rsidRDefault="00BC4A84" w:rsidP="00BC4A84">
      <w:pPr>
        <w:pStyle w:val="SingleTxtG"/>
      </w:pPr>
      <w:r>
        <w:t>33.</w:t>
      </w:r>
      <w:r>
        <w:tab/>
        <w:t xml:space="preserve">Комитет по-прежнему серьезно обеспокоен сохраняющейся практикой убийства детей, которые считаются </w:t>
      </w:r>
      <w:r w:rsidR="0036551E">
        <w:t>«</w:t>
      </w:r>
      <w:r>
        <w:t>колдунами</w:t>
      </w:r>
      <w:r w:rsidR="0036551E">
        <w:t>»</w:t>
      </w:r>
      <w:r>
        <w:t>, в частности младенцев, рожденных с инвалидностью, несмотря на наличие в Уголовном кодексе положений об уголовной ответственности за ритуальное детоубийство. Комитет обеспокоен также тем, что виновные часто остаются безнаказанными (статья 10).</w:t>
      </w:r>
    </w:p>
    <w:p w14:paraId="65664FB9" w14:textId="77777777" w:rsidR="00BC4A84" w:rsidRPr="00840ADD" w:rsidRDefault="00BC4A84" w:rsidP="00BC4A84">
      <w:pPr>
        <w:pStyle w:val="SingleTxtG"/>
        <w:rPr>
          <w:b/>
        </w:rPr>
      </w:pPr>
      <w:r>
        <w:t>34.</w:t>
      </w:r>
      <w:r>
        <w:tab/>
      </w:r>
      <w:r>
        <w:rPr>
          <w:b/>
          <w:bCs/>
        </w:rPr>
        <w:t>Вновь подтверждая рекомендации, содержащиеся в его предыдущих заключительных замечаниях (E/C.12/BEN/CO/2), Комитет настоятельно призывает государство-участник:</w:t>
      </w:r>
    </w:p>
    <w:p w14:paraId="210D6811" w14:textId="77777777" w:rsidR="00BC4A84" w:rsidRPr="00840ADD" w:rsidRDefault="00BC4A84" w:rsidP="00BC4A84">
      <w:pPr>
        <w:pStyle w:val="SingleTxtG"/>
        <w:ind w:firstLine="567"/>
      </w:pPr>
      <w:r w:rsidRPr="000664DA">
        <w:rPr>
          <w:b/>
        </w:rPr>
        <w:lastRenderedPageBreak/>
        <w:t>a)</w:t>
      </w:r>
      <w:r>
        <w:tab/>
      </w:r>
      <w:r>
        <w:rPr>
          <w:b/>
          <w:bCs/>
        </w:rPr>
        <w:t xml:space="preserve">четко продемонстрировать политическое намерение искоренить практику убийства детей, считающихся </w:t>
      </w:r>
      <w:r w:rsidR="000664DA">
        <w:rPr>
          <w:b/>
          <w:bCs/>
        </w:rPr>
        <w:t>«</w:t>
      </w:r>
      <w:r>
        <w:rPr>
          <w:b/>
          <w:bCs/>
        </w:rPr>
        <w:t>колдунами</w:t>
      </w:r>
      <w:r w:rsidR="000664DA">
        <w:rPr>
          <w:b/>
          <w:bCs/>
        </w:rPr>
        <w:t>»</w:t>
      </w:r>
      <w:r>
        <w:rPr>
          <w:b/>
          <w:bCs/>
        </w:rPr>
        <w:t>;</w:t>
      </w:r>
    </w:p>
    <w:p w14:paraId="1A5E1152" w14:textId="77777777" w:rsidR="00BC4A84" w:rsidRPr="00840ADD" w:rsidRDefault="00BC4A84" w:rsidP="00BC4A84">
      <w:pPr>
        <w:pStyle w:val="SingleTxtG"/>
        <w:ind w:firstLine="567"/>
        <w:rPr>
          <w:b/>
        </w:rPr>
      </w:pPr>
      <w:r w:rsidRPr="000664DA">
        <w:rPr>
          <w:b/>
        </w:rPr>
        <w:t>b)</w:t>
      </w:r>
      <w:r>
        <w:tab/>
      </w:r>
      <w:r>
        <w:rPr>
          <w:b/>
          <w:bCs/>
        </w:rPr>
        <w:t>обеспечить соблюдение на практике правовых положений, предусматривающих наказание за ритуальное детоубийство, в частности путем проведения расследований по всем сообщениям о таких случаях;</w:t>
      </w:r>
    </w:p>
    <w:p w14:paraId="25CB32A9" w14:textId="77777777" w:rsidR="00BC4A84" w:rsidRPr="00840ADD" w:rsidRDefault="00BC4A84" w:rsidP="00BC4A84">
      <w:pPr>
        <w:pStyle w:val="SingleTxtG"/>
        <w:ind w:firstLine="567"/>
      </w:pPr>
      <w:r w:rsidRPr="000664DA">
        <w:rPr>
          <w:b/>
        </w:rPr>
        <w:t>c)</w:t>
      </w:r>
      <w:r>
        <w:tab/>
      </w:r>
      <w:r>
        <w:rPr>
          <w:b/>
          <w:bCs/>
        </w:rPr>
        <w:t>активизировать мероприятия по повышению уровня осведомленности в целях борьбы с этим явлением, в частности среди этнических групп бариба, пёль, гандо, йом, нагот и бот;</w:t>
      </w:r>
    </w:p>
    <w:p w14:paraId="7F6335E3" w14:textId="77777777" w:rsidR="00BC4A84" w:rsidRPr="00840ADD" w:rsidRDefault="00BC4A84" w:rsidP="00BC4A84">
      <w:pPr>
        <w:pStyle w:val="SingleTxtG"/>
        <w:ind w:firstLine="567"/>
        <w:rPr>
          <w:b/>
        </w:rPr>
      </w:pPr>
      <w:r w:rsidRPr="000664DA">
        <w:rPr>
          <w:b/>
          <w:bCs/>
        </w:rPr>
        <w:t>d)</w:t>
      </w:r>
      <w:r>
        <w:tab/>
      </w:r>
      <w:r>
        <w:rPr>
          <w:b/>
          <w:bCs/>
        </w:rPr>
        <w:t>расширить доступ женщин к услугам по дородовому и родовому уходу, а также повысить уровень осведомленности медицинских работников о конфиденциальности данных, касающихся пациентов;</w:t>
      </w:r>
      <w:r>
        <w:t xml:space="preserve"> </w:t>
      </w:r>
    </w:p>
    <w:p w14:paraId="1C174405" w14:textId="77777777" w:rsidR="00BC4A84" w:rsidRPr="00840ADD" w:rsidRDefault="00BC4A84" w:rsidP="00BC4A84">
      <w:pPr>
        <w:pStyle w:val="SingleTxtG"/>
        <w:ind w:firstLine="567"/>
        <w:rPr>
          <w:b/>
        </w:rPr>
      </w:pPr>
      <w:r w:rsidRPr="000664DA">
        <w:rPr>
          <w:b/>
          <w:bCs/>
        </w:rPr>
        <w:t>e)</w:t>
      </w:r>
      <w:r>
        <w:tab/>
      </w:r>
      <w:r>
        <w:rPr>
          <w:b/>
          <w:bCs/>
        </w:rPr>
        <w:t xml:space="preserve">содействовать реинтеграции детей, считающихся </w:t>
      </w:r>
      <w:r w:rsidR="009D0C8A">
        <w:rPr>
          <w:b/>
          <w:bCs/>
        </w:rPr>
        <w:t>«</w:t>
      </w:r>
      <w:r>
        <w:rPr>
          <w:b/>
          <w:bCs/>
        </w:rPr>
        <w:t>колдунами</w:t>
      </w:r>
      <w:r w:rsidR="009D0C8A">
        <w:rPr>
          <w:b/>
          <w:bCs/>
        </w:rPr>
        <w:t>»</w:t>
      </w:r>
      <w:r>
        <w:rPr>
          <w:b/>
          <w:bCs/>
        </w:rPr>
        <w:t>, в</w:t>
      </w:r>
      <w:r w:rsidR="009D0C8A">
        <w:rPr>
          <w:b/>
          <w:bCs/>
        </w:rPr>
        <w:t> </w:t>
      </w:r>
      <w:r>
        <w:rPr>
          <w:b/>
          <w:bCs/>
        </w:rPr>
        <w:t>жизнь семьи и общины.</w:t>
      </w:r>
    </w:p>
    <w:p w14:paraId="439945B7" w14:textId="77777777" w:rsidR="00BC4A84" w:rsidRPr="00840ADD" w:rsidRDefault="00BC4A84" w:rsidP="00BC4A84">
      <w:pPr>
        <w:pStyle w:val="H23G"/>
      </w:pPr>
      <w:r>
        <w:tab/>
      </w:r>
      <w:r>
        <w:tab/>
      </w:r>
      <w:r>
        <w:rPr>
          <w:bCs/>
        </w:rPr>
        <w:t>Право на питание</w:t>
      </w:r>
    </w:p>
    <w:p w14:paraId="6A144569" w14:textId="77777777" w:rsidR="00BC4A84" w:rsidRPr="00840ADD" w:rsidRDefault="00BC4A84" w:rsidP="00BC4A84">
      <w:pPr>
        <w:pStyle w:val="SingleTxtG"/>
      </w:pPr>
      <w:r>
        <w:t>35.</w:t>
      </w:r>
      <w:r>
        <w:tab/>
        <w:t>Приветствуя повышение продовольственной безопасности в государстве-участнике с момента публикации в 2013 году Комплексного анализа продовольственной уязвимости и безопасности, Комитет вместе с тем с обеспокоенностью отмечает, что, согласно данным этого же доклада за 2018 год, проблема отсутствия продовольственной безопасности затрагивает 9,6% населения и что 14,2% домохозяйств не получают полноценного питания. Комитет обеспокоен также сохранением в государстве-участнике низкого уровня грудного вскармливания (статья 11).</w:t>
      </w:r>
    </w:p>
    <w:p w14:paraId="26B7B55F" w14:textId="77777777" w:rsidR="00BC4A84" w:rsidRPr="00840ADD" w:rsidRDefault="00BC4A84" w:rsidP="00BC4A84">
      <w:pPr>
        <w:pStyle w:val="SingleTxtG"/>
        <w:rPr>
          <w:b/>
        </w:rPr>
      </w:pPr>
      <w:r>
        <w:t>36.</w:t>
      </w:r>
      <w:r>
        <w:tab/>
      </w:r>
      <w:r>
        <w:rPr>
          <w:b/>
          <w:bCs/>
        </w:rPr>
        <w:t>Комитет рекомендует государству-участнику:</w:t>
      </w:r>
      <w:r>
        <w:t xml:space="preserve"> </w:t>
      </w:r>
    </w:p>
    <w:p w14:paraId="70B5CA63" w14:textId="77777777" w:rsidR="00BC4A84" w:rsidRPr="00840ADD" w:rsidRDefault="00BC4A84" w:rsidP="00BC4A84">
      <w:pPr>
        <w:pStyle w:val="SingleTxtG"/>
        <w:ind w:firstLine="567"/>
        <w:rPr>
          <w:b/>
        </w:rPr>
      </w:pPr>
      <w:r w:rsidRPr="00F61EE7">
        <w:rPr>
          <w:b/>
        </w:rPr>
        <w:t>a)</w:t>
      </w:r>
      <w:r>
        <w:tab/>
      </w:r>
      <w:r>
        <w:rPr>
          <w:b/>
          <w:bCs/>
        </w:rPr>
        <w:t>повысить продовольственную безопасность в департаментах, в</w:t>
      </w:r>
      <w:r w:rsidR="00F61EE7">
        <w:rPr>
          <w:b/>
          <w:bCs/>
        </w:rPr>
        <w:t> </w:t>
      </w:r>
      <w:r>
        <w:rPr>
          <w:b/>
          <w:bCs/>
        </w:rPr>
        <w:t>наибольшей степени затронутых проблемой голода и отсутствия полноценного питания, в том числе путем расширения доступа к предприятиям по переработке пищевых продуктов и улучшения их распределения на местных рынках;</w:t>
      </w:r>
    </w:p>
    <w:p w14:paraId="09221FBF" w14:textId="77777777" w:rsidR="00BC4A84" w:rsidRPr="00840ADD" w:rsidRDefault="00BC4A84" w:rsidP="00BC4A84">
      <w:pPr>
        <w:pStyle w:val="SingleTxtG"/>
        <w:ind w:firstLine="567"/>
      </w:pPr>
      <w:r w:rsidRPr="00F61EE7">
        <w:rPr>
          <w:b/>
        </w:rPr>
        <w:t>b)</w:t>
      </w:r>
      <w:r>
        <w:tab/>
      </w:r>
      <w:r>
        <w:rPr>
          <w:b/>
          <w:bCs/>
        </w:rPr>
        <w:t>принять конкретные меры в интересах групп населения, больше всего затронутых проблемой отсутствия продовольственной безопасности, включая домохозяйства, живущие главным образом за счет выращивания продовольственных культур или рыболовства, путем содействия диверсификации источников дохода и повышения их устойчивости к стихийным бедствиям и другим рискам, которые не охвачены системой социального обеспечения;</w:t>
      </w:r>
    </w:p>
    <w:p w14:paraId="7D288586" w14:textId="77777777" w:rsidR="00BC4A84" w:rsidRPr="00840ADD" w:rsidRDefault="00BC4A84" w:rsidP="00BC4A84">
      <w:pPr>
        <w:pStyle w:val="SingleTxtG"/>
        <w:ind w:firstLine="567"/>
        <w:rPr>
          <w:b/>
        </w:rPr>
      </w:pPr>
      <w:r w:rsidRPr="00F61EE7">
        <w:rPr>
          <w:b/>
        </w:rPr>
        <w:t>c)</w:t>
      </w:r>
      <w:r>
        <w:tab/>
      </w:r>
      <w:r>
        <w:rPr>
          <w:b/>
          <w:bCs/>
        </w:rPr>
        <w:t>активизировать мероприятия по повышению уровня осведомленности о передовой практике в отношении разнообразного питания и грудного вскармливания, в том числе путем обеспечения того, чтобы работодатели создавали условия для грудного вскармливания на рабочем месте.</w:t>
      </w:r>
    </w:p>
    <w:p w14:paraId="16976D27" w14:textId="77777777" w:rsidR="00BC4A84" w:rsidRPr="00840ADD" w:rsidRDefault="00BC4A84" w:rsidP="00BC4A84">
      <w:pPr>
        <w:pStyle w:val="H23G"/>
      </w:pPr>
      <w:r>
        <w:tab/>
      </w:r>
      <w:r>
        <w:tab/>
      </w:r>
      <w:r>
        <w:rPr>
          <w:bCs/>
        </w:rPr>
        <w:t>Право на воду</w:t>
      </w:r>
    </w:p>
    <w:p w14:paraId="4A43343A" w14:textId="77777777" w:rsidR="00BC4A84" w:rsidRPr="00840ADD" w:rsidRDefault="00BC4A84" w:rsidP="00BC4A84">
      <w:pPr>
        <w:pStyle w:val="SingleTxtG"/>
      </w:pPr>
      <w:r>
        <w:t>37.</w:t>
      </w:r>
      <w:r>
        <w:tab/>
        <w:t>Комитет обеспокоен сообщениями о коррупции служащих Бенинской национальной водопроводной компании и сельских служб водоснабжения, которая препятствует осуществлению права на воду. Комитет отмечает, что делегация государства-участника не осведомлена об этих утверждениях (статья 11).</w:t>
      </w:r>
    </w:p>
    <w:p w14:paraId="0F3784B7" w14:textId="77777777" w:rsidR="00BC4A84" w:rsidRPr="00840ADD" w:rsidRDefault="00BC4A84" w:rsidP="00BC4A84">
      <w:pPr>
        <w:pStyle w:val="SingleTxtG"/>
        <w:rPr>
          <w:b/>
        </w:rPr>
      </w:pPr>
      <w:r>
        <w:t>38.</w:t>
      </w:r>
      <w:r>
        <w:tab/>
      </w:r>
      <w:r>
        <w:rPr>
          <w:b/>
          <w:bCs/>
        </w:rPr>
        <w:t>Комитет рекомендует государству-участнику:</w:t>
      </w:r>
    </w:p>
    <w:p w14:paraId="5FEB2CAE" w14:textId="77777777" w:rsidR="00BC4A84" w:rsidRPr="00840ADD" w:rsidRDefault="00BC4A84" w:rsidP="00BC4A84">
      <w:pPr>
        <w:pStyle w:val="SingleTxtG"/>
        <w:ind w:firstLine="567"/>
        <w:rPr>
          <w:b/>
        </w:rPr>
      </w:pPr>
      <w:r w:rsidRPr="00F61EE7">
        <w:rPr>
          <w:b/>
        </w:rPr>
        <w:t>a)</w:t>
      </w:r>
      <w:r>
        <w:tab/>
      </w:r>
      <w:r>
        <w:rPr>
          <w:b/>
          <w:bCs/>
        </w:rPr>
        <w:t>пересмотреть существующие процедуры для снижения риска совершения коррупционных действий в связи с такими услугами, как подключение к системе водоснабжения, подписка на программу водоснабжения по специальному тарифу, ремонт поломки и повторное подключение после отключения воды из-за неоплаченных счетов;</w:t>
      </w:r>
      <w:r>
        <w:t xml:space="preserve"> </w:t>
      </w:r>
    </w:p>
    <w:p w14:paraId="5C1E04FF" w14:textId="77777777" w:rsidR="00BC4A84" w:rsidRPr="00840ADD" w:rsidRDefault="00BC4A84" w:rsidP="00BC4A84">
      <w:pPr>
        <w:pStyle w:val="SingleTxtG"/>
        <w:ind w:firstLine="567"/>
        <w:rPr>
          <w:b/>
        </w:rPr>
      </w:pPr>
      <w:r w:rsidRPr="00F61EE7">
        <w:rPr>
          <w:b/>
        </w:rPr>
        <w:lastRenderedPageBreak/>
        <w:t>b)</w:t>
      </w:r>
      <w:r>
        <w:tab/>
      </w:r>
      <w:r>
        <w:rPr>
          <w:b/>
          <w:bCs/>
        </w:rPr>
        <w:t>обеспечить, чтобы все домохозяйства могли удовлетворять свои потребности в воде, и не допускать таким образом отключения воды из-за неоплаченных счетов;</w:t>
      </w:r>
      <w:r>
        <w:t xml:space="preserve"> </w:t>
      </w:r>
    </w:p>
    <w:p w14:paraId="06B29929" w14:textId="77777777" w:rsidR="00BC4A84" w:rsidRPr="00840ADD" w:rsidRDefault="00BC4A84" w:rsidP="00BC4A84">
      <w:pPr>
        <w:pStyle w:val="SingleTxtG"/>
        <w:ind w:firstLine="567"/>
        <w:rPr>
          <w:b/>
        </w:rPr>
      </w:pPr>
      <w:r w:rsidRPr="00F61EE7">
        <w:rPr>
          <w:b/>
        </w:rPr>
        <w:t>c)</w:t>
      </w:r>
      <w:r>
        <w:tab/>
      </w:r>
      <w:r>
        <w:rPr>
          <w:b/>
          <w:bCs/>
        </w:rPr>
        <w:t>содействовать обличению коррупционных действий путем информирования пользователей на национальных языках о стоимости услуг и механизмах подачи жалоб.</w:t>
      </w:r>
      <w:r>
        <w:t xml:space="preserve"> </w:t>
      </w:r>
    </w:p>
    <w:p w14:paraId="0CAA6A4D" w14:textId="77777777" w:rsidR="00BC4A84" w:rsidRPr="00840ADD" w:rsidRDefault="00BC4A84" w:rsidP="00BC4A84">
      <w:pPr>
        <w:pStyle w:val="H23G"/>
      </w:pPr>
      <w:r>
        <w:tab/>
      </w:r>
      <w:r>
        <w:tab/>
      </w:r>
      <w:r>
        <w:rPr>
          <w:bCs/>
        </w:rPr>
        <w:t>Право на здоровье</w:t>
      </w:r>
    </w:p>
    <w:p w14:paraId="00BCCC7D" w14:textId="77777777" w:rsidR="00BC4A84" w:rsidRPr="00840ADD" w:rsidRDefault="00BC4A84" w:rsidP="00BC4A84">
      <w:pPr>
        <w:pStyle w:val="SingleTxtG"/>
      </w:pPr>
      <w:r>
        <w:t>39.</w:t>
      </w:r>
      <w:r>
        <w:tab/>
        <w:t>Комитет с обеспокоенностью отмечает, что пестициды, предназначенные для использования при выращивании хлопка, применяются также в государстве-участнике при выращивании продовольственных культур. Комитет обеспокоен также последствиями широкого применения пестицидов для здоровья фермеров и других лиц, работающих в хлопковой промышленности (статья 12).</w:t>
      </w:r>
    </w:p>
    <w:p w14:paraId="65FD99F2" w14:textId="77777777" w:rsidR="00BC4A84" w:rsidRPr="00840ADD" w:rsidRDefault="00BC4A84" w:rsidP="00BC4A84">
      <w:pPr>
        <w:pStyle w:val="SingleTxtG"/>
        <w:rPr>
          <w:b/>
        </w:rPr>
      </w:pPr>
      <w:r>
        <w:t>40.</w:t>
      </w:r>
      <w:r>
        <w:tab/>
      </w:r>
      <w:r>
        <w:rPr>
          <w:b/>
          <w:bCs/>
        </w:rPr>
        <w:t>Комитет настоятельно призывает государство-участник:</w:t>
      </w:r>
    </w:p>
    <w:p w14:paraId="4D07BE25" w14:textId="77777777" w:rsidR="00BC4A84" w:rsidRPr="00840ADD" w:rsidRDefault="00BC4A84" w:rsidP="00BC4A84">
      <w:pPr>
        <w:pStyle w:val="SingleTxtG"/>
        <w:ind w:firstLine="567"/>
        <w:rPr>
          <w:b/>
        </w:rPr>
      </w:pPr>
      <w:r w:rsidRPr="00F61EE7">
        <w:rPr>
          <w:b/>
        </w:rPr>
        <w:t>a)</w:t>
      </w:r>
      <w:r>
        <w:tab/>
      </w:r>
      <w:r>
        <w:rPr>
          <w:b/>
          <w:bCs/>
        </w:rPr>
        <w:t>бороться с неправомерным использованием пестицидов, в том числе путем повышения уровня осведомленности населения об их пагубном воздействии в случае их использования при выращивании продовольственных культур;</w:t>
      </w:r>
      <w:r>
        <w:t xml:space="preserve"> </w:t>
      </w:r>
    </w:p>
    <w:p w14:paraId="3D165F98" w14:textId="77777777" w:rsidR="00BC4A84" w:rsidRPr="00840ADD" w:rsidRDefault="00BC4A84" w:rsidP="00BC4A84">
      <w:pPr>
        <w:pStyle w:val="SingleTxtG"/>
        <w:ind w:firstLine="567"/>
        <w:rPr>
          <w:b/>
        </w:rPr>
      </w:pPr>
      <w:r w:rsidRPr="00F61EE7">
        <w:rPr>
          <w:b/>
        </w:rPr>
        <w:t>b)</w:t>
      </w:r>
      <w:r>
        <w:tab/>
      </w:r>
      <w:r>
        <w:rPr>
          <w:b/>
          <w:bCs/>
        </w:rPr>
        <w:t>оказывать фермерам поддержку в период перехода к использованию агроэкологических методов;</w:t>
      </w:r>
    </w:p>
    <w:p w14:paraId="1E5E0F01" w14:textId="77777777" w:rsidR="00BC4A84" w:rsidRPr="00840ADD" w:rsidRDefault="00BC4A84" w:rsidP="00BC4A84">
      <w:pPr>
        <w:pStyle w:val="SingleTxtG"/>
        <w:ind w:firstLine="567"/>
        <w:rPr>
          <w:b/>
        </w:rPr>
      </w:pPr>
      <w:r w:rsidRPr="00F61EE7">
        <w:rPr>
          <w:b/>
        </w:rPr>
        <w:t>c)</w:t>
      </w:r>
      <w:r>
        <w:tab/>
      </w:r>
      <w:r>
        <w:rPr>
          <w:b/>
          <w:bCs/>
        </w:rPr>
        <w:t>обеспечить лечение фермеров и других работников хлопковой промышленности, чье здоровье ухудшилось в результате применения пестицидов.</w:t>
      </w:r>
    </w:p>
    <w:p w14:paraId="19726977" w14:textId="77777777" w:rsidR="00BC4A84" w:rsidRPr="00840ADD" w:rsidRDefault="00BC4A84" w:rsidP="00BC4A84">
      <w:pPr>
        <w:pStyle w:val="SingleTxtG"/>
      </w:pPr>
      <w:r>
        <w:t>41.</w:t>
      </w:r>
      <w:r>
        <w:tab/>
        <w:t>Комитет с обеспокоенностью отмечает, что употребление наркотиков карается лишением свободы, равно как и хранение и приобретение наркотиков для личного потребления. Комитет обеспокоен также тем, что политика государства-участника по борьбе с наркотиками, по всей видимости, сосредоточена на репрессивных мерах (статья 12).</w:t>
      </w:r>
    </w:p>
    <w:p w14:paraId="5544B460" w14:textId="77777777" w:rsidR="00BC4A84" w:rsidRPr="00840ADD" w:rsidRDefault="00BC4A84" w:rsidP="00BC4A84">
      <w:pPr>
        <w:pStyle w:val="SingleTxtG"/>
        <w:rPr>
          <w:b/>
        </w:rPr>
      </w:pPr>
      <w:r>
        <w:t>42.</w:t>
      </w:r>
      <w:r>
        <w:tab/>
      </w:r>
      <w:r>
        <w:rPr>
          <w:b/>
          <w:bCs/>
        </w:rPr>
        <w:t>Комитет рекомендует государству-участнику принять политику борьбы с наркоманией, основанную на правах человека, в частности путем: а) пересмотра Закона № 97-025 от 18 июля 1997 года о контроле над наркотиками и прекурсорами с целью рассмотрения вопроса об отмене уголовной ответственности за употребление наркотиков;</w:t>
      </w:r>
      <w:r>
        <w:t xml:space="preserve"> </w:t>
      </w:r>
      <w:r>
        <w:rPr>
          <w:b/>
          <w:bCs/>
        </w:rPr>
        <w:t>и b) обеспечения наличия и надлежащей сферы охвата услуг по уменьшению рисков.</w:t>
      </w:r>
      <w:r>
        <w:t xml:space="preserve"> </w:t>
      </w:r>
      <w:r>
        <w:rPr>
          <w:b/>
          <w:bCs/>
        </w:rPr>
        <w:t>Комитет напоминает государству-участнику о Международных руководящих принципах по правам человека и наркополитике, утвержденных Программой развития Организации Объединенных Наций и Объединенной программой Организации Объединенных Наций по ВИЧ/СПИДу.</w:t>
      </w:r>
    </w:p>
    <w:p w14:paraId="47C89EEA" w14:textId="77777777" w:rsidR="00BC4A84" w:rsidRPr="00840ADD" w:rsidRDefault="00BC4A84" w:rsidP="00BC4A84">
      <w:pPr>
        <w:pStyle w:val="H23G"/>
      </w:pPr>
      <w:r>
        <w:tab/>
      </w:r>
      <w:r>
        <w:tab/>
      </w:r>
      <w:r>
        <w:rPr>
          <w:bCs/>
        </w:rPr>
        <w:t>Право на образование</w:t>
      </w:r>
    </w:p>
    <w:p w14:paraId="76856141" w14:textId="77777777" w:rsidR="00BC4A84" w:rsidRPr="00840ADD" w:rsidRDefault="00BC4A84" w:rsidP="00BC4A84">
      <w:pPr>
        <w:pStyle w:val="SingleTxtG"/>
      </w:pPr>
      <w:r>
        <w:t>43.</w:t>
      </w:r>
      <w:r>
        <w:tab/>
        <w:t>Отмечая увеличение бюджетных ассигнований на образование, которое позволило, в частности, нанять новых учителей, Комитет выражает сохраняющуюся обеспокоенность по поводу наличия различных недостатков в государственной системе образования, таких как отсутствие необходимой инфраструктуры и оборудования и ненадлежащее качество образования (статьи 13 и 14).</w:t>
      </w:r>
    </w:p>
    <w:p w14:paraId="75F0EA2E" w14:textId="77777777" w:rsidR="00BC4A84" w:rsidRPr="00840ADD" w:rsidRDefault="00BC4A84" w:rsidP="00BC4A84">
      <w:pPr>
        <w:pStyle w:val="SingleTxtG"/>
        <w:rPr>
          <w:b/>
        </w:rPr>
      </w:pPr>
      <w:r>
        <w:t>44.</w:t>
      </w:r>
      <w:r>
        <w:tab/>
      </w:r>
      <w:r>
        <w:rPr>
          <w:b/>
          <w:bCs/>
        </w:rPr>
        <w:t>Ссылаясь на свое замечание общего порядка № 13 (1999) о праве на образование, Комитет рекомендует государству-участнику увеличить инвестиции в сферу образования, в частности в целях:</w:t>
      </w:r>
      <w:r>
        <w:t xml:space="preserve"> </w:t>
      </w:r>
    </w:p>
    <w:p w14:paraId="3654D262" w14:textId="77777777" w:rsidR="00BC4A84" w:rsidRPr="00840ADD" w:rsidRDefault="00BC4A84" w:rsidP="00BC4A84">
      <w:pPr>
        <w:pStyle w:val="SingleTxtG"/>
        <w:ind w:firstLine="567"/>
      </w:pPr>
      <w:r w:rsidRPr="00F61EE7">
        <w:rPr>
          <w:b/>
        </w:rPr>
        <w:t>a)</w:t>
      </w:r>
      <w:r>
        <w:tab/>
      </w:r>
      <w:r>
        <w:rPr>
          <w:b/>
          <w:bCs/>
        </w:rPr>
        <w:t>улучшения школьной инфраструктуры и оборудования и обеспечения наличия во всех школах надлежащей системы водоснабжения и канализации;</w:t>
      </w:r>
    </w:p>
    <w:p w14:paraId="6F17D430" w14:textId="77777777" w:rsidR="00BC4A84" w:rsidRPr="00840ADD" w:rsidRDefault="00BC4A84" w:rsidP="00BC4A84">
      <w:pPr>
        <w:pStyle w:val="SingleTxtG"/>
        <w:ind w:firstLine="567"/>
      </w:pPr>
      <w:r w:rsidRPr="00F61EE7">
        <w:rPr>
          <w:b/>
        </w:rPr>
        <w:t>b)</w:t>
      </w:r>
      <w:r>
        <w:tab/>
      </w:r>
      <w:r>
        <w:rPr>
          <w:b/>
          <w:bCs/>
        </w:rPr>
        <w:t>повышения качества образования путем инвестирования в подготовку учителей и производство качественных учебных материалов.</w:t>
      </w:r>
      <w:r>
        <w:t xml:space="preserve"> </w:t>
      </w:r>
    </w:p>
    <w:p w14:paraId="0034266F" w14:textId="77777777" w:rsidR="00BC4A84" w:rsidRPr="00840ADD" w:rsidRDefault="00BC4A84" w:rsidP="00BC4A84">
      <w:pPr>
        <w:pStyle w:val="SingleTxtG"/>
      </w:pPr>
      <w:r>
        <w:lastRenderedPageBreak/>
        <w:t>45.</w:t>
      </w:r>
      <w:r>
        <w:tab/>
        <w:t>Приветствуя достижение высокого уровня охвата школьным образованием, Комитет вместе с тем с обеспокоенностью констатирует, что многие учащиеся не завершают свое начальное образование и что государство-участник применяет карательный подход к обязательному школьному образованию. Комитет обеспокоен также значительным неравенством в показателях окончания начальной школы между мальчиками и девочками (соответственно 63,51% и 56,85%, согласно последним данным, опубликованным Национальным институтом статистики и экономического анализа), а также отсутствием устойчивого прогресса в вопросе получения полного школьного образования в последние годы (статьи 13 и 14).</w:t>
      </w:r>
    </w:p>
    <w:p w14:paraId="6BB32080" w14:textId="77777777" w:rsidR="00BC4A84" w:rsidRPr="00840ADD" w:rsidRDefault="00BC4A84" w:rsidP="00BC4A84">
      <w:pPr>
        <w:pStyle w:val="SingleTxtG"/>
        <w:rPr>
          <w:b/>
        </w:rPr>
      </w:pPr>
      <w:r>
        <w:t>46.</w:t>
      </w:r>
      <w:r>
        <w:tab/>
      </w:r>
      <w:r>
        <w:rPr>
          <w:b/>
          <w:bCs/>
        </w:rPr>
        <w:t>Комитет настоятельно призывает государство-участник в срочном порядке решить проблему отсева из школы путем устранения его социальных и экономических причин, включая отказ родителей отдавать детей, особенно девочек, в школу.</w:t>
      </w:r>
      <w:r>
        <w:t xml:space="preserve"> </w:t>
      </w:r>
      <w:r>
        <w:rPr>
          <w:b/>
          <w:bCs/>
        </w:rPr>
        <w:t>Комитет рекомендует также государству-участнику укрепить существующие механизмы возвращения в школу детей, не посещающих занятия, включая безнадзорных детей.</w:t>
      </w:r>
    </w:p>
    <w:p w14:paraId="51F2C6D6" w14:textId="77777777" w:rsidR="00BC4A84" w:rsidRPr="00840ADD" w:rsidRDefault="00BC4A84" w:rsidP="00BC4A84">
      <w:pPr>
        <w:pStyle w:val="H23G"/>
      </w:pPr>
      <w:r>
        <w:tab/>
      </w:r>
      <w:r>
        <w:tab/>
      </w:r>
      <w:r>
        <w:rPr>
          <w:bCs/>
        </w:rPr>
        <w:t>Культурные права</w:t>
      </w:r>
    </w:p>
    <w:p w14:paraId="69C2DD07" w14:textId="77777777" w:rsidR="00BC4A84" w:rsidRPr="00840ADD" w:rsidRDefault="00BC4A84" w:rsidP="00BC4A84">
      <w:pPr>
        <w:pStyle w:val="SingleTxtG"/>
      </w:pPr>
      <w:r>
        <w:t>47.</w:t>
      </w:r>
      <w:r>
        <w:tab/>
        <w:t>Комитет выражает сожаление по поводу отсутствия информации о государственной программе повышения роли национальных языков и ее воздействии. Он отмечает также, что план включения национальных языков в систему образования по-прежнему находится на экспериментальной стадии (статья 15).</w:t>
      </w:r>
    </w:p>
    <w:p w14:paraId="73A634D9" w14:textId="77777777" w:rsidR="00BC4A84" w:rsidRPr="00840ADD" w:rsidRDefault="00BC4A84" w:rsidP="00BC4A84">
      <w:pPr>
        <w:pStyle w:val="SingleTxtG"/>
        <w:rPr>
          <w:b/>
        </w:rPr>
      </w:pPr>
      <w:r>
        <w:t>48.</w:t>
      </w:r>
      <w:r>
        <w:tab/>
      </w:r>
      <w:r>
        <w:rPr>
          <w:b/>
          <w:bCs/>
        </w:rPr>
        <w:t>Комитет просит государство-участник представить в своем следующем периодическом докладе информацию о воздействии национальной программы повышения роли национальных языков на осуществление культурных прав этническими группами.</w:t>
      </w:r>
      <w:r>
        <w:t xml:space="preserve"> </w:t>
      </w:r>
      <w:r>
        <w:rPr>
          <w:b/>
          <w:bCs/>
        </w:rPr>
        <w:t>Кроме того, Комитет рекомендует государству-участнику включить в школьные программы преподавание национальных языков.</w:t>
      </w:r>
      <w:r>
        <w:t xml:space="preserve"> </w:t>
      </w:r>
      <w:r>
        <w:rPr>
          <w:b/>
          <w:bCs/>
        </w:rPr>
        <w:t>Наконец, Комитет призывает государство-участник содействовать предоставлению информации на национальных языках поставщиками государственных услуг.</w:t>
      </w:r>
    </w:p>
    <w:p w14:paraId="4A466AD5" w14:textId="77777777" w:rsidR="00BC4A84" w:rsidRPr="00840ADD" w:rsidRDefault="00BC4A84" w:rsidP="00BC4A84">
      <w:pPr>
        <w:pStyle w:val="H1G"/>
      </w:pPr>
      <w:r>
        <w:tab/>
      </w:r>
      <w:r>
        <w:t>D.</w:t>
      </w:r>
      <w:r>
        <w:tab/>
      </w:r>
      <w:r>
        <w:rPr>
          <w:bCs/>
        </w:rPr>
        <w:t>Другие рекомендации</w:t>
      </w:r>
    </w:p>
    <w:p w14:paraId="0A7D4CEB" w14:textId="77777777" w:rsidR="00BC4A84" w:rsidRPr="00840ADD" w:rsidRDefault="00BC4A84" w:rsidP="00BC4A84">
      <w:pPr>
        <w:pStyle w:val="SingleTxtG"/>
        <w:rPr>
          <w:b/>
          <w:bCs/>
        </w:rPr>
      </w:pPr>
      <w:r>
        <w:t>49.</w:t>
      </w:r>
      <w:r>
        <w:tab/>
      </w:r>
      <w:r>
        <w:rPr>
          <w:b/>
          <w:bCs/>
        </w:rPr>
        <w:t>Комитет призывает государство-участник ратифицировать Факультативный протокол к Международному пакту об экономических, социальных и культурных правах.</w:t>
      </w:r>
    </w:p>
    <w:p w14:paraId="03FC7731" w14:textId="77777777" w:rsidR="00BC4A84" w:rsidRPr="00840ADD" w:rsidRDefault="00BC4A84" w:rsidP="00BC4A84">
      <w:pPr>
        <w:pStyle w:val="SingleTxtG"/>
        <w:rPr>
          <w:b/>
          <w:bCs/>
        </w:rPr>
      </w:pPr>
      <w:r>
        <w:t>50.</w:t>
      </w:r>
      <w:r>
        <w:tab/>
      </w:r>
      <w:r>
        <w:rPr>
          <w:b/>
          <w:bCs/>
        </w:rPr>
        <w:t>Комитет рекомендует государству-участнику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 при необходимости пользуясь международной поддержкой и сотрудничеством.</w:t>
      </w:r>
      <w:r>
        <w:t xml:space="preserve"> </w:t>
      </w:r>
      <w:r>
        <w:rPr>
          <w:b/>
          <w:bCs/>
        </w:rPr>
        <w:t>Государство-участник могло бы существенно содействовать достижению целей в области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 которые могут запрашивать причитающиеся им льготы.</w:t>
      </w:r>
      <w:r>
        <w:t xml:space="preserve"> </w:t>
      </w:r>
      <w:r>
        <w:rPr>
          <w:b/>
          <w:bCs/>
        </w:rPr>
        <w:t>Достижение целей на основе принципов участия, подотчетности и недискриминации будет гарантировать, что никто не останется без внимания.</w:t>
      </w:r>
      <w:r>
        <w:t xml:space="preserve"> </w:t>
      </w:r>
      <w:r>
        <w:rPr>
          <w:b/>
          <w:bCs/>
        </w:rPr>
        <w:t>В этой связи Комитет обращает внимание государства-участника на свое заявление об обязательстве никого не забыть (E/C.12/2019/1).</w:t>
      </w:r>
    </w:p>
    <w:p w14:paraId="07753F89" w14:textId="77777777" w:rsidR="00BC4A84" w:rsidRPr="00840ADD" w:rsidRDefault="00BC4A84" w:rsidP="00BC4A84">
      <w:pPr>
        <w:pStyle w:val="SingleTxtG"/>
        <w:rPr>
          <w:b/>
          <w:bCs/>
        </w:rPr>
      </w:pPr>
      <w:r>
        <w:t>51.</w:t>
      </w:r>
      <w:r>
        <w:tab/>
      </w:r>
      <w:r>
        <w:rPr>
          <w:b/>
          <w:bCs/>
        </w:rPr>
        <w:t>Комитет просит государство-участник обеспечить широкое распространение настоящих заключительных замечаний среди всех слоев общества на национальном и региональном уровнях, особенно среди членов Национального собрания, государственных должностных лиц и судебных органов, и проинформировать Комитет в своем следующем периодическом докладе о шагах, предпринятых с целью выполнения содержащихся в них рекомендаций.</w:t>
      </w:r>
      <w:r>
        <w:t xml:space="preserve"> </w:t>
      </w:r>
      <w:r>
        <w:rPr>
          <w:b/>
          <w:bCs/>
        </w:rPr>
        <w:t xml:space="preserve">Комитет рекомендует государству-участнику перед представлением своего следующего периодического доклада привлечь </w:t>
      </w:r>
      <w:r>
        <w:rPr>
          <w:b/>
          <w:bCs/>
        </w:rPr>
        <w:lastRenderedPageBreak/>
        <w:t>Бенинскую комиссию по правам человека, неправительственные организации и других членов гражданского общества к процессу принятия последующих мер в связи с настоящими заключительными замечаниями, а также к процессу консультаций на национальном уровне.</w:t>
      </w:r>
    </w:p>
    <w:p w14:paraId="38132F1B" w14:textId="77777777" w:rsidR="00BC4A84" w:rsidRPr="00840ADD" w:rsidRDefault="00BC4A84" w:rsidP="00BC4A84">
      <w:pPr>
        <w:pStyle w:val="SingleTxtG"/>
        <w:rPr>
          <w:b/>
          <w:bCs/>
        </w:rPr>
      </w:pPr>
      <w:r>
        <w:t>52.</w:t>
      </w:r>
      <w:r>
        <w:tab/>
      </w:r>
      <w:r>
        <w:rPr>
          <w:b/>
          <w:bCs/>
        </w:rPr>
        <w:t>В соответствии с процедурой осуществления последующей деятельности в связи с принятыми Комитетом заключительными замечаниями государству-участнику предлагается представить в течение 24 месяцев с момента принятия настоящих заключительных замечаний информацию об осуществлении рекомендаций Комитета, изложенных в пунктах 26 a) и b) (минимальная заработная плата), 30 (право на забастовку) и 40 (пестициды) выше.</w:t>
      </w:r>
      <w:r>
        <w:t xml:space="preserve"> </w:t>
      </w:r>
    </w:p>
    <w:p w14:paraId="5302EB76" w14:textId="77777777" w:rsidR="00247950" w:rsidRDefault="00BC4A84" w:rsidP="00BC4A84">
      <w:pPr>
        <w:pStyle w:val="SingleTxtG"/>
        <w:rPr>
          <w:b/>
          <w:bCs/>
        </w:rPr>
      </w:pPr>
      <w:r>
        <w:t>53.</w:t>
      </w:r>
      <w:r>
        <w:tab/>
      </w:r>
      <w:r>
        <w:rPr>
          <w:b/>
          <w:bCs/>
        </w:rPr>
        <w:t xml:space="preserve">Комитет просит государство-участник представить свой четвертый периодический доклад, который должен быть подготовлен в соответствии с руководящими принципами представления докладов, принятыми </w:t>
      </w:r>
      <w:r w:rsidRPr="009F4B4C">
        <w:rPr>
          <w:b/>
        </w:rPr>
        <w:t>Комитетом</w:t>
      </w:r>
      <w:r w:rsidRPr="009F4B4C">
        <w:rPr>
          <w:b/>
          <w:bCs/>
        </w:rPr>
        <w:t xml:space="preserve"> </w:t>
      </w:r>
      <w:r>
        <w:rPr>
          <w:b/>
          <w:bCs/>
        </w:rPr>
        <w:t>в 2008 году (см. E/C.12/2008/2), к 31 марта 2025 года.</w:t>
      </w:r>
      <w:r>
        <w:t xml:space="preserve"> </w:t>
      </w:r>
      <w:r>
        <w:rPr>
          <w:b/>
          <w:bCs/>
        </w:rPr>
        <w:t>Кроме того, он предлагает государству-участнику обновить свой общий базовый документ в соответствии с согласованными руководящими принципами представления докладов согласно международным договорам о правах человека (HRI/GEN/2/Rev.6, глава I).</w:t>
      </w:r>
    </w:p>
    <w:p w14:paraId="320FE0BD" w14:textId="77777777" w:rsidR="00BC4A84" w:rsidRPr="00BC4A84" w:rsidRDefault="00BC4A84" w:rsidP="00BC4A84">
      <w:pPr>
        <w:pStyle w:val="SingleTxtG"/>
        <w:spacing w:before="240" w:after="0"/>
        <w:jc w:val="center"/>
        <w:rPr>
          <w:u w:val="single"/>
        </w:rPr>
      </w:pPr>
      <w:r>
        <w:rPr>
          <w:b/>
          <w:bCs/>
          <w:u w:val="single"/>
        </w:rPr>
        <w:tab/>
      </w:r>
      <w:r w:rsidRPr="00BC4A84">
        <w:rPr>
          <w:bCs/>
          <w:u w:val="single"/>
        </w:rPr>
        <w:tab/>
      </w:r>
      <w:r w:rsidRPr="00BC4A84">
        <w:rPr>
          <w:bCs/>
          <w:u w:val="single"/>
        </w:rPr>
        <w:tab/>
      </w:r>
      <w:r w:rsidRPr="00BC4A84">
        <w:rPr>
          <w:bCs/>
          <w:u w:val="single"/>
        </w:rPr>
        <w:tab/>
      </w:r>
    </w:p>
    <w:p w14:paraId="262D8874" w14:textId="77777777" w:rsidR="00381C24" w:rsidRPr="00BC4A84" w:rsidRDefault="00381C24" w:rsidP="00896BA2"/>
    <w:sectPr w:rsidR="00381C24" w:rsidRPr="00BC4A84" w:rsidSect="0024795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980F2" w14:textId="77777777" w:rsidR="008669FD" w:rsidRPr="00A312BC" w:rsidRDefault="008669FD" w:rsidP="00A312BC"/>
  </w:endnote>
  <w:endnote w:type="continuationSeparator" w:id="0">
    <w:p w14:paraId="11D6EE37" w14:textId="77777777" w:rsidR="008669FD" w:rsidRPr="00A312BC" w:rsidRDefault="008669F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64C6" w14:textId="77777777" w:rsidR="00247950" w:rsidRPr="00247950" w:rsidRDefault="00247950">
    <w:pPr>
      <w:pStyle w:val="aa"/>
    </w:pPr>
    <w:r w:rsidRPr="00247950">
      <w:rPr>
        <w:b/>
        <w:sz w:val="18"/>
      </w:rPr>
      <w:fldChar w:fldCharType="begin"/>
    </w:r>
    <w:r w:rsidRPr="00247950">
      <w:rPr>
        <w:b/>
        <w:sz w:val="18"/>
      </w:rPr>
      <w:instrText xml:space="preserve"> PAGE  \* MERGEFORMAT </w:instrText>
    </w:r>
    <w:r w:rsidRPr="00247950">
      <w:rPr>
        <w:b/>
        <w:sz w:val="18"/>
      </w:rPr>
      <w:fldChar w:fldCharType="separate"/>
    </w:r>
    <w:r w:rsidRPr="00247950">
      <w:rPr>
        <w:b/>
        <w:noProof/>
        <w:sz w:val="18"/>
      </w:rPr>
      <w:t>2</w:t>
    </w:r>
    <w:r w:rsidRPr="00247950">
      <w:rPr>
        <w:b/>
        <w:sz w:val="18"/>
      </w:rPr>
      <w:fldChar w:fldCharType="end"/>
    </w:r>
    <w:r>
      <w:rPr>
        <w:b/>
        <w:sz w:val="18"/>
      </w:rPr>
      <w:tab/>
    </w:r>
    <w:r>
      <w:t>GE.20-04642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DC76" w14:textId="77777777" w:rsidR="00247950" w:rsidRPr="00247950" w:rsidRDefault="00247950" w:rsidP="00247950">
    <w:pPr>
      <w:pStyle w:val="aa"/>
      <w:tabs>
        <w:tab w:val="clear" w:pos="9639"/>
        <w:tab w:val="right" w:pos="9638"/>
      </w:tabs>
      <w:rPr>
        <w:b/>
        <w:sz w:val="18"/>
      </w:rPr>
    </w:pPr>
    <w:r>
      <w:t>GE.20-04642</w:t>
    </w:r>
    <w:r>
      <w:tab/>
    </w:r>
    <w:r w:rsidRPr="00247950">
      <w:rPr>
        <w:b/>
        <w:sz w:val="18"/>
      </w:rPr>
      <w:fldChar w:fldCharType="begin"/>
    </w:r>
    <w:r w:rsidRPr="00247950">
      <w:rPr>
        <w:b/>
        <w:sz w:val="18"/>
      </w:rPr>
      <w:instrText xml:space="preserve"> PAGE  \* MERGEFORMAT </w:instrText>
    </w:r>
    <w:r w:rsidRPr="00247950">
      <w:rPr>
        <w:b/>
        <w:sz w:val="18"/>
      </w:rPr>
      <w:fldChar w:fldCharType="separate"/>
    </w:r>
    <w:r w:rsidRPr="00247950">
      <w:rPr>
        <w:b/>
        <w:noProof/>
        <w:sz w:val="18"/>
      </w:rPr>
      <w:t>3</w:t>
    </w:r>
    <w:r w:rsidRPr="002479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DEB5" w14:textId="54A08882" w:rsidR="00042B72" w:rsidRPr="00247950" w:rsidRDefault="00247950" w:rsidP="00247950">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0823F8E" wp14:editId="6FCCE15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04642  (</w:t>
    </w:r>
    <w:proofErr w:type="gramEnd"/>
    <w:r>
      <w:t>R)</w:t>
    </w:r>
    <w:r>
      <w:rPr>
        <w:lang w:val="en-US"/>
      </w:rPr>
      <w:t xml:space="preserve">  060420  </w:t>
    </w:r>
    <w:r w:rsidR="001A269C">
      <w:t>1</w:t>
    </w:r>
    <w:r w:rsidR="00C735B9">
      <w:t>4</w:t>
    </w:r>
    <w:r>
      <w:rPr>
        <w:lang w:val="en-US"/>
      </w:rPr>
      <w:t>0420</w:t>
    </w:r>
    <w:r>
      <w:br/>
    </w:r>
    <w:r w:rsidRPr="00247950">
      <w:rPr>
        <w:rFonts w:ascii="C39T30Lfz" w:hAnsi="C39T30Lfz"/>
        <w:kern w:val="14"/>
        <w:sz w:val="56"/>
      </w:rPr>
      <w:t></w:t>
    </w:r>
    <w:r w:rsidRPr="00247950">
      <w:rPr>
        <w:rFonts w:ascii="C39T30Lfz" w:hAnsi="C39T30Lfz"/>
        <w:kern w:val="14"/>
        <w:sz w:val="56"/>
      </w:rPr>
      <w:t></w:t>
    </w:r>
    <w:r w:rsidRPr="00247950">
      <w:rPr>
        <w:rFonts w:ascii="C39T30Lfz" w:hAnsi="C39T30Lfz"/>
        <w:kern w:val="14"/>
        <w:sz w:val="56"/>
      </w:rPr>
      <w:t></w:t>
    </w:r>
    <w:r w:rsidRPr="00247950">
      <w:rPr>
        <w:rFonts w:ascii="C39T30Lfz" w:hAnsi="C39T30Lfz"/>
        <w:kern w:val="14"/>
        <w:sz w:val="56"/>
      </w:rPr>
      <w:t></w:t>
    </w:r>
    <w:r w:rsidRPr="00247950">
      <w:rPr>
        <w:rFonts w:ascii="C39T30Lfz" w:hAnsi="C39T30Lfz"/>
        <w:kern w:val="14"/>
        <w:sz w:val="56"/>
      </w:rPr>
      <w:t></w:t>
    </w:r>
    <w:r w:rsidRPr="00247950">
      <w:rPr>
        <w:rFonts w:ascii="C39T30Lfz" w:hAnsi="C39T30Lfz"/>
        <w:kern w:val="14"/>
        <w:sz w:val="56"/>
      </w:rPr>
      <w:t></w:t>
    </w:r>
    <w:r w:rsidRPr="00247950">
      <w:rPr>
        <w:rFonts w:ascii="C39T30Lfz" w:hAnsi="C39T30Lfz"/>
        <w:kern w:val="14"/>
        <w:sz w:val="56"/>
      </w:rPr>
      <w:t></w:t>
    </w:r>
    <w:r w:rsidRPr="00247950">
      <w:rPr>
        <w:rFonts w:ascii="C39T30Lfz" w:hAnsi="C39T30Lfz"/>
        <w:kern w:val="14"/>
        <w:sz w:val="56"/>
      </w:rPr>
      <w:t></w:t>
    </w:r>
    <w:r w:rsidRPr="00247950">
      <w:rPr>
        <w:rFonts w:ascii="C39T30Lfz" w:hAnsi="C39T30Lfz"/>
        <w:kern w:val="14"/>
        <w:sz w:val="56"/>
      </w:rPr>
      <w:t></w:t>
    </w:r>
    <w:r>
      <w:rPr>
        <w:noProof/>
      </w:rPr>
      <w:drawing>
        <wp:anchor distT="0" distB="0" distL="114300" distR="114300" simplePos="0" relativeHeight="251659264" behindDoc="0" locked="0" layoutInCell="1" allowOverlap="1" wp14:anchorId="72F286B1" wp14:editId="5D263660">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12/BEN/CO/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EN/CO/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F7B07" w14:textId="77777777" w:rsidR="008669FD" w:rsidRPr="001075E9" w:rsidRDefault="008669FD" w:rsidP="001075E9">
      <w:pPr>
        <w:tabs>
          <w:tab w:val="right" w:pos="2155"/>
        </w:tabs>
        <w:spacing w:after="80" w:line="240" w:lineRule="auto"/>
        <w:ind w:left="680"/>
        <w:rPr>
          <w:u w:val="single"/>
        </w:rPr>
      </w:pPr>
      <w:r>
        <w:rPr>
          <w:u w:val="single"/>
        </w:rPr>
        <w:tab/>
      </w:r>
    </w:p>
  </w:footnote>
  <w:footnote w:type="continuationSeparator" w:id="0">
    <w:p w14:paraId="4D7598D9" w14:textId="77777777" w:rsidR="008669FD" w:rsidRDefault="008669FD" w:rsidP="00407B78">
      <w:pPr>
        <w:tabs>
          <w:tab w:val="right" w:pos="2155"/>
        </w:tabs>
        <w:spacing w:after="80"/>
        <w:ind w:left="680"/>
        <w:rPr>
          <w:u w:val="single"/>
        </w:rPr>
      </w:pPr>
      <w:r>
        <w:rPr>
          <w:u w:val="single"/>
        </w:rPr>
        <w:tab/>
      </w:r>
    </w:p>
  </w:footnote>
  <w:footnote w:id="1">
    <w:p w14:paraId="1E00E74E" w14:textId="77777777" w:rsidR="00BC4A84" w:rsidRPr="00840ADD" w:rsidRDefault="00BC4A84" w:rsidP="00BC4A84">
      <w:pPr>
        <w:pStyle w:val="af"/>
      </w:pPr>
      <w:r>
        <w:tab/>
        <w:t>*</w:t>
      </w:r>
      <w:r>
        <w:tab/>
        <w:t>Приняты Комитетом на его шестьдесят седьмой сессии (17 февраля – 6 марта 2020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9EE5" w14:textId="5B800CF5" w:rsidR="00247950" w:rsidRPr="00247950" w:rsidRDefault="00247950">
    <w:pPr>
      <w:pStyle w:val="a5"/>
    </w:pPr>
    <w:fldSimple w:instr=" TITLE  \* MERGEFORMAT ">
      <w:r w:rsidR="00FC610A">
        <w:t>E/C.12/BEN/CO/3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24A5" w14:textId="2B3ED44A" w:rsidR="00247950" w:rsidRPr="00247950" w:rsidRDefault="00247950" w:rsidP="00247950">
    <w:pPr>
      <w:pStyle w:val="a5"/>
      <w:jc w:val="right"/>
    </w:pPr>
    <w:fldSimple w:instr=" TITLE  \* MERGEFORMAT ">
      <w:r w:rsidR="00FC610A">
        <w:t>E/C.12/BEN/CO/3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9D30" w14:textId="77777777" w:rsidR="00247950" w:rsidRDefault="00247950" w:rsidP="009B6C1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FD"/>
    <w:rsid w:val="00033EE1"/>
    <w:rsid w:val="00042B72"/>
    <w:rsid w:val="00043B08"/>
    <w:rsid w:val="000558BD"/>
    <w:rsid w:val="000664DA"/>
    <w:rsid w:val="000857D2"/>
    <w:rsid w:val="000B57E7"/>
    <w:rsid w:val="000B6373"/>
    <w:rsid w:val="000F09DF"/>
    <w:rsid w:val="000F61B2"/>
    <w:rsid w:val="001075E9"/>
    <w:rsid w:val="001253D8"/>
    <w:rsid w:val="0014152F"/>
    <w:rsid w:val="00142F5E"/>
    <w:rsid w:val="00180183"/>
    <w:rsid w:val="0018024D"/>
    <w:rsid w:val="0018649F"/>
    <w:rsid w:val="00196389"/>
    <w:rsid w:val="001A269C"/>
    <w:rsid w:val="001A3519"/>
    <w:rsid w:val="001B3EF6"/>
    <w:rsid w:val="001C7A89"/>
    <w:rsid w:val="001D5C5A"/>
    <w:rsid w:val="001D6022"/>
    <w:rsid w:val="00203065"/>
    <w:rsid w:val="00245E66"/>
    <w:rsid w:val="00247950"/>
    <w:rsid w:val="002728F5"/>
    <w:rsid w:val="002979E2"/>
    <w:rsid w:val="002A2EFC"/>
    <w:rsid w:val="002B74B1"/>
    <w:rsid w:val="002C04C9"/>
    <w:rsid w:val="002C0E18"/>
    <w:rsid w:val="002D5AAC"/>
    <w:rsid w:val="002E5067"/>
    <w:rsid w:val="002F405F"/>
    <w:rsid w:val="002F7011"/>
    <w:rsid w:val="002F7EEC"/>
    <w:rsid w:val="00301299"/>
    <w:rsid w:val="00305C08"/>
    <w:rsid w:val="00307FB6"/>
    <w:rsid w:val="00317339"/>
    <w:rsid w:val="00322004"/>
    <w:rsid w:val="003402C2"/>
    <w:rsid w:val="00354EE8"/>
    <w:rsid w:val="0036551E"/>
    <w:rsid w:val="00381C24"/>
    <w:rsid w:val="003958D0"/>
    <w:rsid w:val="003A0D43"/>
    <w:rsid w:val="003B00E5"/>
    <w:rsid w:val="00407B78"/>
    <w:rsid w:val="00424203"/>
    <w:rsid w:val="0042551A"/>
    <w:rsid w:val="00452493"/>
    <w:rsid w:val="00453318"/>
    <w:rsid w:val="00454E07"/>
    <w:rsid w:val="00472C5C"/>
    <w:rsid w:val="004C3C8F"/>
    <w:rsid w:val="0050108D"/>
    <w:rsid w:val="00513081"/>
    <w:rsid w:val="00517901"/>
    <w:rsid w:val="00526683"/>
    <w:rsid w:val="005709E0"/>
    <w:rsid w:val="00572E19"/>
    <w:rsid w:val="005961C8"/>
    <w:rsid w:val="005966F1"/>
    <w:rsid w:val="005B2F86"/>
    <w:rsid w:val="005D7914"/>
    <w:rsid w:val="005E2B41"/>
    <w:rsid w:val="005F0B42"/>
    <w:rsid w:val="005F1707"/>
    <w:rsid w:val="005F5B39"/>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275DF"/>
    <w:rsid w:val="00834B71"/>
    <w:rsid w:val="0086445C"/>
    <w:rsid w:val="008669FD"/>
    <w:rsid w:val="00881771"/>
    <w:rsid w:val="00894693"/>
    <w:rsid w:val="00896BA2"/>
    <w:rsid w:val="008A08D7"/>
    <w:rsid w:val="008B6909"/>
    <w:rsid w:val="008C30BC"/>
    <w:rsid w:val="00905C95"/>
    <w:rsid w:val="00906890"/>
    <w:rsid w:val="00911BE4"/>
    <w:rsid w:val="00951972"/>
    <w:rsid w:val="009608F3"/>
    <w:rsid w:val="009A24AC"/>
    <w:rsid w:val="009B64C3"/>
    <w:rsid w:val="009B6C1D"/>
    <w:rsid w:val="009D0C8A"/>
    <w:rsid w:val="009F4B4C"/>
    <w:rsid w:val="00A14DA8"/>
    <w:rsid w:val="00A21F00"/>
    <w:rsid w:val="00A312BC"/>
    <w:rsid w:val="00A84021"/>
    <w:rsid w:val="00A84D35"/>
    <w:rsid w:val="00A917B3"/>
    <w:rsid w:val="00AB2DBD"/>
    <w:rsid w:val="00AB4B51"/>
    <w:rsid w:val="00AC3430"/>
    <w:rsid w:val="00AF0B29"/>
    <w:rsid w:val="00B10CC7"/>
    <w:rsid w:val="00B36DF7"/>
    <w:rsid w:val="00B539E7"/>
    <w:rsid w:val="00B62458"/>
    <w:rsid w:val="00BC18B2"/>
    <w:rsid w:val="00BC4A84"/>
    <w:rsid w:val="00BD33EE"/>
    <w:rsid w:val="00BF21E1"/>
    <w:rsid w:val="00C106D6"/>
    <w:rsid w:val="00C34AC0"/>
    <w:rsid w:val="00C60F0C"/>
    <w:rsid w:val="00C70526"/>
    <w:rsid w:val="00C735B9"/>
    <w:rsid w:val="00C805C9"/>
    <w:rsid w:val="00C92939"/>
    <w:rsid w:val="00CA1679"/>
    <w:rsid w:val="00CB151C"/>
    <w:rsid w:val="00CE0C80"/>
    <w:rsid w:val="00CE5A1A"/>
    <w:rsid w:val="00CF55F6"/>
    <w:rsid w:val="00D12492"/>
    <w:rsid w:val="00D33D63"/>
    <w:rsid w:val="00D34308"/>
    <w:rsid w:val="00D5253A"/>
    <w:rsid w:val="00D62A45"/>
    <w:rsid w:val="00D90028"/>
    <w:rsid w:val="00D90138"/>
    <w:rsid w:val="00DD44B1"/>
    <w:rsid w:val="00DD78D1"/>
    <w:rsid w:val="00DE32CD"/>
    <w:rsid w:val="00DF71B9"/>
    <w:rsid w:val="00E07568"/>
    <w:rsid w:val="00E17152"/>
    <w:rsid w:val="00E73F76"/>
    <w:rsid w:val="00E90403"/>
    <w:rsid w:val="00EA2C9F"/>
    <w:rsid w:val="00EA420E"/>
    <w:rsid w:val="00ED0BDA"/>
    <w:rsid w:val="00EE142A"/>
    <w:rsid w:val="00EF1360"/>
    <w:rsid w:val="00EF3220"/>
    <w:rsid w:val="00F351E7"/>
    <w:rsid w:val="00F43903"/>
    <w:rsid w:val="00F61EE7"/>
    <w:rsid w:val="00F741D4"/>
    <w:rsid w:val="00F94155"/>
    <w:rsid w:val="00F9783F"/>
    <w:rsid w:val="00FC610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1FE1C8"/>
  <w15:docId w15:val="{2DFCE965-A57D-421F-91E4-3847BB80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16 Point,BVI fnr,Footnote,Footnote Refernece,Footnote symbol,Fußnotenzeichen_Raxen,Superscript 6 Point,Texto de nota al pie,ftref"/>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Char,F1,FOOTNOTES,Footnote Text Char Char,Footnote Text Char Char Char,Fußnote,Geneva,fn,fn Cha,footnote text Char,ft,ft Char,ft Char Char,ft Char Char Char,single space,single space Char,single space Char Char 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Char Знак,F1 Знак,FOOTNOTES Знак,Footnote Text Char Char Знак,Footnote Text Char Char Char Знак,Fußnote Знак,Geneva Знак,fn Знак,fn Cha Знак,footnote text Char Знак,ft Знак,ft Char Знак,ft Char Char Знак,ft Char Char Char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BC4A84"/>
    <w:rPr>
      <w:lang w:val="ru-RU" w:eastAsia="en-US"/>
    </w:rPr>
  </w:style>
  <w:style w:type="character" w:customStyle="1" w:styleId="HChGChar">
    <w:name w:val="_ H _Ch_G Char"/>
    <w:link w:val="HChG"/>
    <w:rsid w:val="00BC4A84"/>
    <w:rPr>
      <w:b/>
      <w:sz w:val="28"/>
      <w:lang w:val="ru-RU" w:eastAsia="ru-RU"/>
    </w:rPr>
  </w:style>
  <w:style w:type="character" w:customStyle="1" w:styleId="H1GChar">
    <w:name w:val="_ H_1_G Char"/>
    <w:link w:val="H1G"/>
    <w:locked/>
    <w:rsid w:val="00BC4A84"/>
    <w:rPr>
      <w:b/>
      <w:sz w:val="24"/>
      <w:lang w:val="ru-RU" w:eastAsia="ru-RU"/>
    </w:rPr>
  </w:style>
  <w:style w:type="character" w:customStyle="1" w:styleId="H23GChar">
    <w:name w:val="_ H_2/3_G Char"/>
    <w:link w:val="H23G"/>
    <w:locked/>
    <w:rsid w:val="00BC4A84"/>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10</Pages>
  <Words>3584</Words>
  <Characters>25638</Characters>
  <Application>Microsoft Office Word</Application>
  <DocSecurity>0</DocSecurity>
  <Lines>3204</Lines>
  <Paragraphs>1007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E/C.12/BEN/CO/3</vt:lpstr>
      <vt:lpstr>A/</vt:lpstr>
      <vt:lpstr>A/</vt:lpstr>
    </vt:vector>
  </TitlesOfParts>
  <Company>DCM</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E/C.12/BEN/CO/3</dc:title>
  <dc:subject/>
  <dc:creator>Olga OVTCHINNIKOVA</dc:creator>
  <cp:keywords/>
  <cp:lastModifiedBy>Olga Ovchinnikova</cp:lastModifiedBy>
  <cp:revision>3</cp:revision>
  <cp:lastPrinted>2020-04-09T15:19:00Z</cp:lastPrinted>
  <dcterms:created xsi:type="dcterms:W3CDTF">2020-04-09T15:19:00Z</dcterms:created>
  <dcterms:modified xsi:type="dcterms:W3CDTF">2020-04-09T15:19:00Z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