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FE47A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5D3B4E">
                <w:t>C.12/56/D/8/2015</w:t>
              </w:r>
            </w:fldSimple>
            <w:r>
              <w:t xml:space="preserve">                  </w:t>
            </w:r>
          </w:p>
        </w:tc>
      </w:tr>
      <w:tr w:rsidR="0049372E" w:rsidRPr="00002179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ABCB40" wp14:editId="58A10CB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FE47AD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FE47AD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002179">
              <w:rPr>
                <w:lang w:val="en-US"/>
              </w:rPr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023358">
              <w:fldChar w:fldCharType="separate"/>
            </w:r>
            <w:r w:rsidRPr="00F827BA">
              <w:fldChar w:fldCharType="end"/>
            </w:r>
            <w:bookmarkEnd w:id="0"/>
          </w:p>
          <w:p w:rsidR="0049372E" w:rsidRPr="00F827BA" w:rsidRDefault="0049372E" w:rsidP="00FE47AD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5D3B4E">
              <w:rPr>
                <w:lang w:val="en-US"/>
              </w:rPr>
              <w:t>26 February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002179" w:rsidRDefault="0049372E" w:rsidP="00FE47AD">
            <w:pPr>
              <w:rPr>
                <w:lang w:val="en-US"/>
              </w:rPr>
            </w:pPr>
            <w:r w:rsidRPr="00F827BA">
              <w:rPr>
                <w:lang w:val="en-US"/>
              </w:rPr>
              <w:t>Russian</w:t>
            </w:r>
          </w:p>
          <w:p w:rsidR="0049372E" w:rsidRPr="00002179" w:rsidRDefault="0049372E" w:rsidP="00FE47AD">
            <w:pPr>
              <w:rPr>
                <w:lang w:val="en-US"/>
              </w:rPr>
            </w:pPr>
            <w:r w:rsidRPr="00F827BA">
              <w:rPr>
                <w:lang w:val="en-US"/>
              </w:rPr>
              <w:t>Original</w:t>
            </w:r>
            <w:r w:rsidRPr="00002179">
              <w:rPr>
                <w:lang w:val="en-US"/>
              </w:rPr>
              <w:t xml:space="preserve">: </w:t>
            </w:r>
            <w:r w:rsidR="00002179">
              <w:rPr>
                <w:lang w:val="en-US"/>
              </w:rPr>
              <w:t>Spanish</w:t>
            </w:r>
          </w:p>
          <w:p w:rsidR="0049372E" w:rsidRPr="00002179" w:rsidRDefault="0049372E" w:rsidP="00FE47AD">
            <w:pPr>
              <w:rPr>
                <w:lang w:val="en-US"/>
              </w:rPr>
            </w:pPr>
          </w:p>
        </w:tc>
      </w:tr>
    </w:tbl>
    <w:p w:rsidR="005D3B4E" w:rsidRPr="00853671" w:rsidRDefault="005D3B4E" w:rsidP="005D3B4E">
      <w:pPr>
        <w:spacing w:before="120"/>
        <w:rPr>
          <w:sz w:val="24"/>
          <w:szCs w:val="24"/>
        </w:rPr>
      </w:pPr>
      <w:r w:rsidRPr="00853671">
        <w:rPr>
          <w:b/>
          <w:sz w:val="24"/>
          <w:szCs w:val="24"/>
        </w:rPr>
        <w:t xml:space="preserve">Комитет по экономическим, социальным </w:t>
      </w:r>
      <w:r w:rsidRPr="00853671">
        <w:rPr>
          <w:b/>
          <w:sz w:val="24"/>
          <w:szCs w:val="24"/>
        </w:rPr>
        <w:br/>
        <w:t>и культурным правам</w:t>
      </w:r>
    </w:p>
    <w:p w:rsidR="005D3B4E" w:rsidRPr="00853671" w:rsidRDefault="005D3B4E" w:rsidP="005D3B4E">
      <w:pPr>
        <w:pStyle w:val="HChGR"/>
      </w:pPr>
      <w:r w:rsidRPr="003C723B">
        <w:tab/>
      </w:r>
      <w:r w:rsidRPr="003C723B">
        <w:tab/>
      </w:r>
      <w:r w:rsidRPr="00853671">
        <w:t xml:space="preserve">Сообщение № </w:t>
      </w:r>
      <w:r w:rsidRPr="00325751">
        <w:t>8</w:t>
      </w:r>
      <w:r w:rsidRPr="00853671">
        <w:t>/2015</w:t>
      </w:r>
    </w:p>
    <w:p w:rsidR="005D3B4E" w:rsidRPr="00853671" w:rsidRDefault="005D3B4E" w:rsidP="005D3B4E">
      <w:pPr>
        <w:pStyle w:val="H1GR"/>
      </w:pPr>
      <w:r w:rsidRPr="00853671">
        <w:rPr>
          <w:bCs/>
        </w:rPr>
        <w:tab/>
      </w:r>
      <w:r w:rsidRPr="00853671">
        <w:rPr>
          <w:bCs/>
        </w:rPr>
        <w:tab/>
      </w:r>
      <w:r w:rsidRPr="00853671">
        <w:t xml:space="preserve">Соображения, принятые Комитетом на его </w:t>
      </w:r>
      <w:r>
        <w:t>пятьдесят шестой</w:t>
      </w:r>
      <w:r w:rsidRPr="00853671">
        <w:t xml:space="preserve"> сессии</w:t>
      </w:r>
      <w:r>
        <w:t xml:space="preserve"> </w:t>
      </w:r>
      <w:r w:rsidRPr="00853671">
        <w:t xml:space="preserve">(21 сентября </w:t>
      </w:r>
      <w:r w:rsidR="00CD2F0C">
        <w:t>–</w:t>
      </w:r>
      <w:r w:rsidRPr="00853671">
        <w:t xml:space="preserve"> 9 октября 2015 года)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5D3B4E" w:rsidRPr="002622A8" w:rsidTr="0049576E">
        <w:tc>
          <w:tcPr>
            <w:tcW w:w="2933" w:type="dxa"/>
            <w:shd w:val="clear" w:color="auto" w:fill="auto"/>
          </w:tcPr>
          <w:p w:rsidR="005D3B4E" w:rsidRPr="002622A8" w:rsidRDefault="005D3B4E" w:rsidP="0049576E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r w:rsidRPr="002622A8">
              <w:rPr>
                <w:i/>
                <w:iCs/>
              </w:rPr>
              <w:t>Тема сообщения</w:t>
            </w:r>
            <w:r w:rsidRPr="002622A8">
              <w:rPr>
                <w:i/>
                <w:iCs/>
                <w:lang w:val="en-GB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5D3B4E" w:rsidRPr="002622A8" w:rsidRDefault="005D3B4E" w:rsidP="0049576E">
            <w:pPr>
              <w:suppressAutoHyphens/>
              <w:spacing w:after="120"/>
            </w:pPr>
            <w:r w:rsidRPr="002622A8">
              <w:rPr>
                <w:bCs/>
              </w:rPr>
              <w:t>дополнительные социальные пособия, предусмотренные коллективным соглашением</w:t>
            </w:r>
          </w:p>
        </w:tc>
      </w:tr>
      <w:tr w:rsidR="005D3B4E" w:rsidRPr="002622A8" w:rsidTr="0049576E">
        <w:tc>
          <w:tcPr>
            <w:tcW w:w="2933" w:type="dxa"/>
            <w:shd w:val="clear" w:color="auto" w:fill="auto"/>
          </w:tcPr>
          <w:p w:rsidR="005D3B4E" w:rsidRPr="002622A8" w:rsidRDefault="005D3B4E" w:rsidP="0049576E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2622A8">
              <w:rPr>
                <w:i/>
                <w:iCs/>
              </w:rPr>
              <w:t>Вопросы существа</w:t>
            </w:r>
            <w:r w:rsidRPr="002622A8">
              <w:rPr>
                <w:i/>
                <w:iCs/>
                <w:lang w:val="en-GB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5D3B4E" w:rsidRPr="002622A8" w:rsidRDefault="005D3B4E" w:rsidP="0049576E">
            <w:pPr>
              <w:suppressAutoHyphens/>
              <w:spacing w:after="120"/>
            </w:pPr>
            <w:r>
              <w:t>право на справедливые и благоприятные условия труда, право на социальное обеспечение</w:t>
            </w:r>
          </w:p>
        </w:tc>
      </w:tr>
      <w:tr w:rsidR="005D3B4E" w:rsidRPr="002622A8" w:rsidTr="0049576E">
        <w:tc>
          <w:tcPr>
            <w:tcW w:w="2933" w:type="dxa"/>
            <w:shd w:val="clear" w:color="auto" w:fill="auto"/>
          </w:tcPr>
          <w:p w:rsidR="005D3B4E" w:rsidRPr="002622A8" w:rsidRDefault="005D3B4E" w:rsidP="0049576E">
            <w:pPr>
              <w:suppressAutoHyphens/>
              <w:spacing w:after="120"/>
              <w:ind w:left="35"/>
              <w:rPr>
                <w:i/>
                <w:iCs/>
                <w:lang w:val="en-GB"/>
              </w:rPr>
            </w:pPr>
            <w:r w:rsidRPr="002622A8">
              <w:rPr>
                <w:i/>
                <w:iCs/>
              </w:rPr>
              <w:t>Процедурные вопросы</w:t>
            </w:r>
            <w:r w:rsidRPr="002622A8">
              <w:rPr>
                <w:i/>
                <w:lang w:val="en-GB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5D3B4E" w:rsidRPr="002622A8" w:rsidRDefault="005D3B4E" w:rsidP="0049576E">
            <w:pPr>
              <w:suppressAutoHyphens/>
              <w:spacing w:after="120"/>
            </w:pPr>
            <w:r w:rsidRPr="002622A8">
              <w:rPr>
                <w:bCs/>
              </w:rPr>
              <w:t>представление сообщения в течение года с момента исчерпания внутренних средств правовой защиты; компетенция Комитета</w:t>
            </w:r>
            <w:r w:rsidRPr="002622A8">
              <w:rPr>
                <w:bCs/>
                <w:i/>
                <w:iCs/>
              </w:rPr>
              <w:t xml:space="preserve"> </w:t>
            </w:r>
            <w:r w:rsidRPr="002622A8">
              <w:rPr>
                <w:bCs/>
                <w:iCs/>
              </w:rPr>
              <w:t>ratione temporis</w:t>
            </w:r>
            <w:r w:rsidRPr="002622A8">
              <w:rPr>
                <w:bCs/>
              </w:rPr>
              <w:t xml:space="preserve">; компетенция Комитета </w:t>
            </w:r>
            <w:r w:rsidRPr="002622A8">
              <w:rPr>
                <w:bCs/>
                <w:iCs/>
              </w:rPr>
              <w:t>ratione materiae</w:t>
            </w:r>
          </w:p>
        </w:tc>
      </w:tr>
      <w:tr w:rsidR="005D3B4E" w:rsidRPr="002622A8" w:rsidTr="0049576E">
        <w:tc>
          <w:tcPr>
            <w:tcW w:w="2933" w:type="dxa"/>
            <w:shd w:val="clear" w:color="auto" w:fill="auto"/>
          </w:tcPr>
          <w:p w:rsidR="005D3B4E" w:rsidRPr="002622A8" w:rsidRDefault="005D3B4E" w:rsidP="0049576E">
            <w:pPr>
              <w:suppressAutoHyphens/>
              <w:spacing w:after="120"/>
              <w:ind w:left="35"/>
              <w:rPr>
                <w:i/>
                <w:iCs/>
                <w:lang w:val="en-GB"/>
              </w:rPr>
            </w:pPr>
            <w:r w:rsidRPr="002622A8">
              <w:rPr>
                <w:i/>
                <w:iCs/>
              </w:rPr>
              <w:t>Статьи Пакта</w:t>
            </w:r>
            <w:r w:rsidRPr="002622A8">
              <w:rPr>
                <w:i/>
                <w:lang w:val="en-GB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5D3B4E" w:rsidRPr="002622A8" w:rsidRDefault="005D3B4E" w:rsidP="0049576E">
            <w:pPr>
              <w:suppressAutoHyphens/>
              <w:spacing w:after="120"/>
            </w:pPr>
            <w:r>
              <w:t>7 и 9</w:t>
            </w:r>
          </w:p>
        </w:tc>
      </w:tr>
      <w:tr w:rsidR="005D3B4E" w:rsidRPr="002622A8" w:rsidTr="0049576E">
        <w:tc>
          <w:tcPr>
            <w:tcW w:w="2933" w:type="dxa"/>
            <w:shd w:val="clear" w:color="auto" w:fill="auto"/>
          </w:tcPr>
          <w:p w:rsidR="005D3B4E" w:rsidRPr="002622A8" w:rsidRDefault="005D3B4E" w:rsidP="0049576E">
            <w:pPr>
              <w:suppressAutoHyphens/>
              <w:spacing w:after="120"/>
              <w:ind w:left="35"/>
              <w:rPr>
                <w:i/>
                <w:iCs/>
                <w:lang w:val="en-GB"/>
              </w:rPr>
            </w:pPr>
            <w:r w:rsidRPr="002622A8">
              <w:rPr>
                <w:i/>
                <w:iCs/>
              </w:rPr>
              <w:t>Статьи Факультативного протокола</w:t>
            </w:r>
            <w:r w:rsidRPr="002622A8">
              <w:rPr>
                <w:i/>
                <w:iCs/>
                <w:lang w:val="en-GB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5D3B4E" w:rsidRPr="002622A8" w:rsidRDefault="005D3B4E" w:rsidP="0049576E">
            <w:pPr>
              <w:suppressAutoHyphens/>
              <w:spacing w:after="120"/>
            </w:pPr>
            <w:r w:rsidRPr="002622A8">
              <w:rPr>
                <w:bCs/>
              </w:rPr>
              <w:t>статья 2 и подпункты а) и b) пункта 2 статьи 3</w:t>
            </w:r>
          </w:p>
        </w:tc>
      </w:tr>
    </w:tbl>
    <w:p w:rsidR="005D3B4E" w:rsidRPr="00CF6161" w:rsidRDefault="005D3B4E" w:rsidP="005D3B4E">
      <w:pPr>
        <w:pStyle w:val="SingleTxtGR"/>
      </w:pPr>
    </w:p>
    <w:p w:rsidR="00523B5D" w:rsidRPr="00CF6161" w:rsidRDefault="00523B5D" w:rsidP="005D3B4E">
      <w:pPr>
        <w:pStyle w:val="SingleTxtGR"/>
      </w:pPr>
    </w:p>
    <w:p w:rsidR="005D3B4E" w:rsidRDefault="005D3B4E" w:rsidP="005D3B4E">
      <w:pPr>
        <w:spacing w:line="240" w:lineRule="auto"/>
      </w:pPr>
      <w:r>
        <w:br w:type="page"/>
      </w:r>
    </w:p>
    <w:p w:rsidR="005D3B4E" w:rsidRPr="001F209A" w:rsidRDefault="005D3B4E" w:rsidP="005D3B4E">
      <w:pPr>
        <w:pStyle w:val="HChGR"/>
      </w:pPr>
      <w:r w:rsidRPr="001F209A">
        <w:lastRenderedPageBreak/>
        <w:t>Приложение</w:t>
      </w:r>
    </w:p>
    <w:p w:rsidR="005D3B4E" w:rsidRPr="0089519D" w:rsidRDefault="005D3B4E" w:rsidP="005D3B4E">
      <w:pPr>
        <w:pStyle w:val="HChGR"/>
        <w:rPr>
          <w:spacing w:val="0"/>
          <w:w w:val="100"/>
        </w:rPr>
      </w:pPr>
      <w:r>
        <w:tab/>
      </w:r>
      <w:r>
        <w:tab/>
      </w:r>
      <w:r w:rsidRPr="0089519D">
        <w:rPr>
          <w:spacing w:val="0"/>
          <w:w w:val="100"/>
        </w:rPr>
        <w:t xml:space="preserve">Решение Комитета по экономическим, социальным и культурным правам в соответствии с Факультативным протоколом к Международному пакту об экономических, социальных и культурных правах </w:t>
      </w:r>
      <w:r>
        <w:rPr>
          <w:spacing w:val="0"/>
          <w:w w:val="100"/>
        </w:rPr>
        <w:br/>
      </w:r>
      <w:r w:rsidRPr="0089519D">
        <w:rPr>
          <w:spacing w:val="0"/>
          <w:w w:val="100"/>
        </w:rPr>
        <w:t>(пятьдесят шестая сессия)</w:t>
      </w:r>
    </w:p>
    <w:p w:rsidR="005D3B4E" w:rsidRPr="001F209A" w:rsidRDefault="005D3B4E" w:rsidP="005D3B4E">
      <w:pPr>
        <w:pStyle w:val="SingleTxtGR"/>
      </w:pPr>
      <w:r w:rsidRPr="001F209A">
        <w:t>относительно</w:t>
      </w:r>
      <w:r>
        <w:t xml:space="preserve"> следующего:</w:t>
      </w:r>
    </w:p>
    <w:p w:rsidR="005D3B4E" w:rsidRPr="001F209A" w:rsidRDefault="005D3B4E" w:rsidP="005D3B4E">
      <w:pPr>
        <w:pStyle w:val="H1GR"/>
      </w:pPr>
      <w:r>
        <w:tab/>
      </w:r>
      <w:r>
        <w:tab/>
      </w:r>
      <w:r w:rsidRPr="001F209A">
        <w:t>Сообщени</w:t>
      </w:r>
      <w:r>
        <w:t>е</w:t>
      </w:r>
      <w:r w:rsidRPr="001F209A">
        <w:t xml:space="preserve"> № </w:t>
      </w:r>
      <w:r w:rsidR="00CF6161">
        <w:t>8</w:t>
      </w:r>
      <w:r w:rsidRPr="0089519D">
        <w:t>/2015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5D3B4E" w:rsidRPr="00B03EE9" w:rsidTr="0049576E">
        <w:tc>
          <w:tcPr>
            <w:tcW w:w="3119" w:type="dxa"/>
            <w:shd w:val="clear" w:color="auto" w:fill="auto"/>
          </w:tcPr>
          <w:p w:rsidR="005D3B4E" w:rsidRPr="00B03EE9" w:rsidRDefault="005D3B4E" w:rsidP="0049576E">
            <w:pPr>
              <w:suppressAutoHyphens/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5D3B4E" w:rsidRPr="000D1ED1" w:rsidRDefault="005D3B4E" w:rsidP="0049576E">
            <w:pPr>
              <w:suppressAutoHyphens/>
              <w:spacing w:after="120"/>
            </w:pPr>
            <w:r>
              <w:rPr>
                <w:bCs/>
              </w:rPr>
              <w:t>Л.А.М.К.</w:t>
            </w:r>
            <w:r w:rsidRPr="0089519D">
              <w:rPr>
                <w:bCs/>
              </w:rPr>
              <w:t>. (представлен адвокатом Антонио Альваресом-Оссорио Гальвесом)</w:t>
            </w:r>
          </w:p>
        </w:tc>
      </w:tr>
      <w:tr w:rsidR="005D3B4E" w:rsidRPr="00B03EE9" w:rsidTr="0049576E">
        <w:tc>
          <w:tcPr>
            <w:tcW w:w="3119" w:type="dxa"/>
            <w:shd w:val="clear" w:color="auto" w:fill="auto"/>
          </w:tcPr>
          <w:p w:rsidR="005D3B4E" w:rsidRPr="00B03EE9" w:rsidRDefault="005D3B4E" w:rsidP="0049576E">
            <w:pPr>
              <w:suppressAutoHyphens/>
              <w:spacing w:after="120"/>
              <w:ind w:left="49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5D3B4E" w:rsidRDefault="005D3B4E" w:rsidP="0049576E">
            <w:pPr>
              <w:suppressAutoHyphens/>
              <w:spacing w:after="120"/>
            </w:pPr>
            <w:r w:rsidRPr="0089519D">
              <w:rPr>
                <w:bCs/>
              </w:rPr>
              <w:t>автор сообщения</w:t>
            </w:r>
          </w:p>
        </w:tc>
      </w:tr>
      <w:tr w:rsidR="005D3B4E" w:rsidRPr="00B03EE9" w:rsidTr="0049576E">
        <w:tc>
          <w:tcPr>
            <w:tcW w:w="3119" w:type="dxa"/>
            <w:shd w:val="clear" w:color="auto" w:fill="auto"/>
          </w:tcPr>
          <w:p w:rsidR="005D3B4E" w:rsidRPr="00FD511F" w:rsidRDefault="005D3B4E" w:rsidP="0049576E">
            <w:pPr>
              <w:suppressAutoHyphens/>
              <w:spacing w:after="120"/>
              <w:ind w:left="49"/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5D3B4E" w:rsidRDefault="005D3B4E" w:rsidP="0049576E">
            <w:pPr>
              <w:suppressAutoHyphens/>
              <w:spacing w:after="120"/>
            </w:pPr>
            <w:r>
              <w:t>Испания</w:t>
            </w:r>
          </w:p>
        </w:tc>
      </w:tr>
      <w:tr w:rsidR="005D3B4E" w:rsidRPr="00B03EE9" w:rsidTr="0049576E">
        <w:tc>
          <w:tcPr>
            <w:tcW w:w="3119" w:type="dxa"/>
            <w:shd w:val="clear" w:color="auto" w:fill="auto"/>
          </w:tcPr>
          <w:p w:rsidR="005D3B4E" w:rsidRPr="00FD511F" w:rsidRDefault="005D3B4E" w:rsidP="0049576E">
            <w:pPr>
              <w:suppressAutoHyphens/>
              <w:spacing w:after="120"/>
              <w:ind w:left="49"/>
            </w:pPr>
            <w:r w:rsidRPr="00B03EE9">
              <w:rPr>
                <w:i/>
              </w:rPr>
              <w:t>Дата сообщения:</w:t>
            </w:r>
          </w:p>
        </w:tc>
        <w:tc>
          <w:tcPr>
            <w:tcW w:w="3685" w:type="dxa"/>
            <w:shd w:val="clear" w:color="auto" w:fill="auto"/>
          </w:tcPr>
          <w:p w:rsidR="005D3B4E" w:rsidRDefault="005D3B4E" w:rsidP="0049576E">
            <w:pPr>
              <w:suppressAutoHyphens/>
              <w:spacing w:after="120"/>
            </w:pPr>
            <w:r>
              <w:rPr>
                <w:bCs/>
              </w:rPr>
              <w:t>14</w:t>
            </w:r>
            <w:r w:rsidRPr="0089519D">
              <w:rPr>
                <w:bCs/>
              </w:rPr>
              <w:t xml:space="preserve"> апреля 2015 года (дата отправления</w:t>
            </w:r>
            <w:r w:rsidR="00B77CDB">
              <w:rPr>
                <w:bCs/>
              </w:rPr>
              <w:t>,</w:t>
            </w:r>
            <w:r w:rsidRPr="0089519D">
              <w:rPr>
                <w:bCs/>
              </w:rPr>
              <w:t xml:space="preserve"> </w:t>
            </w:r>
            <w:r>
              <w:rPr>
                <w:bCs/>
              </w:rPr>
              <w:t xml:space="preserve">проставленная </w:t>
            </w:r>
            <w:r w:rsidRPr="0089519D">
              <w:rPr>
                <w:bCs/>
              </w:rPr>
              <w:t>в почтовом отделении государства-участника)</w:t>
            </w:r>
          </w:p>
        </w:tc>
      </w:tr>
    </w:tbl>
    <w:p w:rsidR="005D3B4E" w:rsidRPr="0089519D" w:rsidRDefault="005D3B4E" w:rsidP="003D650C">
      <w:pPr>
        <w:pStyle w:val="SingleTxtGR"/>
        <w:spacing w:before="120"/>
        <w:ind w:left="1138" w:right="1138"/>
        <w:rPr>
          <w:bCs/>
        </w:rPr>
      </w:pPr>
      <w:r>
        <w:rPr>
          <w:bCs/>
          <w:i/>
          <w:iCs/>
        </w:rPr>
        <w:tab/>
      </w:r>
      <w:r w:rsidRPr="0089519D">
        <w:rPr>
          <w:bCs/>
          <w:i/>
          <w:iCs/>
        </w:rPr>
        <w:t>Комитет по экономическим, социальным и культурным правам</w:t>
      </w:r>
      <w:r w:rsidRPr="0089519D">
        <w:rPr>
          <w:bCs/>
        </w:rPr>
        <w:t>, учр</w:t>
      </w:r>
      <w:r w:rsidRPr="0089519D">
        <w:rPr>
          <w:bCs/>
        </w:rPr>
        <w:t>е</w:t>
      </w:r>
      <w:r w:rsidRPr="0089519D">
        <w:rPr>
          <w:bCs/>
        </w:rPr>
        <w:t xml:space="preserve">жденный </w:t>
      </w:r>
      <w:r>
        <w:rPr>
          <w:bCs/>
        </w:rPr>
        <w:t>в соответствии с резолюцией 198</w:t>
      </w:r>
      <w:r w:rsidRPr="003C723B">
        <w:rPr>
          <w:bCs/>
        </w:rPr>
        <w:t>5</w:t>
      </w:r>
      <w:r w:rsidRPr="0089519D">
        <w:rPr>
          <w:bCs/>
        </w:rPr>
        <w:t>/17 Экономического и Социального Совета от 28 мая 1985 года,</w:t>
      </w:r>
    </w:p>
    <w:p w:rsidR="005D3B4E" w:rsidRPr="0089519D" w:rsidRDefault="005D3B4E" w:rsidP="005D3B4E">
      <w:pPr>
        <w:pStyle w:val="SingleTxtGR"/>
        <w:rPr>
          <w:bCs/>
        </w:rPr>
      </w:pPr>
      <w:r w:rsidRPr="0089519D">
        <w:rPr>
          <w:bCs/>
          <w:i/>
        </w:rPr>
        <w:tab/>
      </w:r>
      <w:r w:rsidRPr="0089519D">
        <w:rPr>
          <w:bCs/>
          <w:i/>
          <w:iCs/>
        </w:rPr>
        <w:t>на своем заседании</w:t>
      </w:r>
      <w:r w:rsidRPr="0089519D">
        <w:rPr>
          <w:bCs/>
          <w:i/>
        </w:rPr>
        <w:t xml:space="preserve"> </w:t>
      </w:r>
      <w:r w:rsidRPr="0089519D">
        <w:rPr>
          <w:bCs/>
        </w:rPr>
        <w:t>24 сентября 2015 года,</w:t>
      </w:r>
    </w:p>
    <w:p w:rsidR="005D3B4E" w:rsidRPr="0089519D" w:rsidRDefault="005D3B4E" w:rsidP="005D3B4E">
      <w:pPr>
        <w:pStyle w:val="SingleTxtGR"/>
        <w:rPr>
          <w:bCs/>
        </w:rPr>
      </w:pPr>
      <w:r w:rsidRPr="0089519D">
        <w:rPr>
          <w:bCs/>
          <w:i/>
        </w:rPr>
        <w:tab/>
      </w:r>
      <w:r w:rsidRPr="0089519D">
        <w:rPr>
          <w:bCs/>
          <w:i/>
          <w:iCs/>
        </w:rPr>
        <w:t>завершив</w:t>
      </w:r>
      <w:r w:rsidRPr="0089519D">
        <w:rPr>
          <w:bCs/>
          <w:i/>
        </w:rPr>
        <w:t xml:space="preserve"> </w:t>
      </w:r>
      <w:r w:rsidRPr="0089519D">
        <w:rPr>
          <w:bCs/>
        </w:rPr>
        <w:t xml:space="preserve">рассмотрение сообщения № </w:t>
      </w:r>
      <w:r>
        <w:rPr>
          <w:bCs/>
        </w:rPr>
        <w:t>8</w:t>
      </w:r>
      <w:r w:rsidRPr="0089519D">
        <w:rPr>
          <w:bCs/>
        </w:rPr>
        <w:t>/2015, представленного Комитету в соответствии с Факультативным протоколом к Международному пакту об экономических, социальных и культурных правах,</w:t>
      </w:r>
    </w:p>
    <w:p w:rsidR="005D3B4E" w:rsidRPr="0089519D" w:rsidRDefault="005D3B4E" w:rsidP="005D3B4E">
      <w:pPr>
        <w:pStyle w:val="SingleTxtGR"/>
      </w:pPr>
      <w:r w:rsidRPr="0089519D">
        <w:rPr>
          <w:bCs/>
          <w:i/>
        </w:rPr>
        <w:tab/>
      </w:r>
      <w:r w:rsidRPr="0089519D">
        <w:rPr>
          <w:bCs/>
          <w:i/>
          <w:iCs/>
        </w:rPr>
        <w:t>принимает</w:t>
      </w:r>
      <w:r w:rsidRPr="0089519D">
        <w:rPr>
          <w:bCs/>
          <w:i/>
        </w:rPr>
        <w:t xml:space="preserve"> </w:t>
      </w:r>
      <w:r w:rsidRPr="0089519D">
        <w:rPr>
          <w:bCs/>
        </w:rPr>
        <w:t>следующее:</w:t>
      </w:r>
    </w:p>
    <w:p w:rsidR="005D3B4E" w:rsidRPr="00B126C8" w:rsidRDefault="005D3B4E" w:rsidP="005D3B4E">
      <w:pPr>
        <w:pStyle w:val="H1GR"/>
      </w:pPr>
      <w:r>
        <w:tab/>
      </w:r>
      <w:r>
        <w:tab/>
      </w:r>
      <w:r w:rsidRPr="00B126C8">
        <w:t>Решение о приемлемости</w:t>
      </w:r>
    </w:p>
    <w:p w:rsidR="005D3B4E" w:rsidRPr="00B126C8" w:rsidRDefault="005D3B4E" w:rsidP="003D650C">
      <w:pPr>
        <w:pStyle w:val="SingleTxtGR"/>
      </w:pPr>
      <w:r w:rsidRPr="00B126C8">
        <w:t>1.1</w:t>
      </w:r>
      <w:r w:rsidRPr="00B126C8">
        <w:tab/>
        <w:t>Автор</w:t>
      </w:r>
      <w:r>
        <w:t>ом</w:t>
      </w:r>
      <w:r w:rsidRPr="00B126C8">
        <w:t xml:space="preserve"> сообщения явля</w:t>
      </w:r>
      <w:r>
        <w:t>е</w:t>
      </w:r>
      <w:r w:rsidRPr="00B126C8">
        <w:t>тся совершеннолетни</w:t>
      </w:r>
      <w:r>
        <w:t>й</w:t>
      </w:r>
      <w:r w:rsidRPr="00B126C8">
        <w:t xml:space="preserve"> граждан</w:t>
      </w:r>
      <w:r>
        <w:t>ин</w:t>
      </w:r>
      <w:r w:rsidRPr="00B126C8">
        <w:t xml:space="preserve"> Испании г</w:t>
      </w:r>
      <w:r w:rsidR="00F97F8D" w:rsidRPr="00F97F8D">
        <w:noBreakHyphen/>
      </w:r>
      <w:r w:rsidRPr="00B126C8">
        <w:t>н</w:t>
      </w:r>
      <w:r w:rsidR="00F97F8D">
        <w:rPr>
          <w:lang w:val="en-US"/>
        </w:rPr>
        <w:t> </w:t>
      </w:r>
      <w:r>
        <w:t>Л.А.М.К</w:t>
      </w:r>
      <w:r w:rsidRPr="00B126C8">
        <w:t>. Автор утвержда</w:t>
      </w:r>
      <w:r>
        <w:t>е</w:t>
      </w:r>
      <w:r w:rsidRPr="00B126C8">
        <w:t>т, что он стал жертв</w:t>
      </w:r>
      <w:r>
        <w:t>ой</w:t>
      </w:r>
      <w:r w:rsidRPr="00B126C8">
        <w:t xml:space="preserve"> нарушения госуда</w:t>
      </w:r>
      <w:r w:rsidRPr="00B126C8">
        <w:t>р</w:t>
      </w:r>
      <w:r w:rsidRPr="00B126C8">
        <w:t>ством</w:t>
      </w:r>
      <w:r w:rsidR="00F97F8D" w:rsidRPr="00F97F8D">
        <w:noBreakHyphen/>
      </w:r>
      <w:r w:rsidRPr="00B126C8">
        <w:t xml:space="preserve">участником </w:t>
      </w:r>
      <w:r>
        <w:t>его</w:t>
      </w:r>
      <w:r w:rsidRPr="00B126C8">
        <w:t xml:space="preserve"> прав, предусмотренных статьями 7 и 9 Международного пакта об экономических, социальных и культурных правах</w:t>
      </w:r>
      <w:r w:rsidRPr="00B126C8">
        <w:rPr>
          <w:sz w:val="18"/>
          <w:vertAlign w:val="superscript"/>
        </w:rPr>
        <w:footnoteReference w:id="1"/>
      </w:r>
      <w:r w:rsidRPr="00B126C8">
        <w:t>. Кроме того, он з</w:t>
      </w:r>
      <w:r w:rsidRPr="00B126C8">
        <w:t>а</w:t>
      </w:r>
      <w:r w:rsidRPr="00B126C8">
        <w:t>явля</w:t>
      </w:r>
      <w:r>
        <w:t>е</w:t>
      </w:r>
      <w:r w:rsidRPr="00B126C8">
        <w:t xml:space="preserve">т, что государство-участник также нарушило </w:t>
      </w:r>
      <w:r>
        <w:t>его</w:t>
      </w:r>
      <w:r w:rsidRPr="00B126C8">
        <w:t xml:space="preserve"> права, закрепленные в пункте</w:t>
      </w:r>
      <w:r w:rsidR="003D650C">
        <w:rPr>
          <w:lang w:val="en-US"/>
        </w:rPr>
        <w:t> </w:t>
      </w:r>
      <w:r w:rsidRPr="00B126C8">
        <w:t>1 статьи 12 и статье 26 Международного пакта о гражданских и полит</w:t>
      </w:r>
      <w:r w:rsidRPr="00B126C8">
        <w:t>и</w:t>
      </w:r>
      <w:r w:rsidRPr="00B126C8">
        <w:t>ческих правах. Автор представлен адвокатом.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1.2</w:t>
      </w:r>
      <w:r w:rsidRPr="00B126C8">
        <w:rPr>
          <w:bCs/>
        </w:rPr>
        <w:tab/>
        <w:t xml:space="preserve">16 июня 2015 года Рабочая группа по сообщениям, действуя от имени Комитета, постановила, что для </w:t>
      </w:r>
      <w:r>
        <w:rPr>
          <w:bCs/>
        </w:rPr>
        <w:t>решения</w:t>
      </w:r>
      <w:r w:rsidRPr="00B126C8">
        <w:rPr>
          <w:bCs/>
        </w:rPr>
        <w:t xml:space="preserve"> вопроса о приемлемости данного с</w:t>
      </w:r>
      <w:r w:rsidRPr="00B126C8">
        <w:rPr>
          <w:bCs/>
        </w:rPr>
        <w:t>о</w:t>
      </w:r>
      <w:r w:rsidRPr="00B126C8">
        <w:rPr>
          <w:bCs/>
        </w:rPr>
        <w:t xml:space="preserve">общения в замечаниях государства-участника нет необходимости. В этой связи </w:t>
      </w:r>
      <w:r>
        <w:rPr>
          <w:bCs/>
        </w:rPr>
        <w:t>данное</w:t>
      </w:r>
      <w:r w:rsidRPr="00B126C8">
        <w:rPr>
          <w:bCs/>
        </w:rPr>
        <w:t xml:space="preserve"> сообщение не препровождалось государству-участнику в соответствии с пунктом 1 статьи 6 Факультативного протокола.</w:t>
      </w:r>
    </w:p>
    <w:p w:rsidR="005D3B4E" w:rsidRPr="00B126C8" w:rsidRDefault="005D3B4E" w:rsidP="005D3B4E">
      <w:pPr>
        <w:pStyle w:val="H23GR"/>
      </w:pPr>
      <w:r>
        <w:lastRenderedPageBreak/>
        <w:tab/>
      </w:r>
      <w:r>
        <w:tab/>
      </w:r>
      <w:r w:rsidRPr="00B126C8">
        <w:t>Факты в изложении автор</w:t>
      </w:r>
      <w:r>
        <w:t>а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2.1</w:t>
      </w:r>
      <w:r w:rsidRPr="00B126C8">
        <w:rPr>
          <w:bCs/>
        </w:rPr>
        <w:tab/>
      </w:r>
      <w:r>
        <w:rPr>
          <w:bCs/>
        </w:rPr>
        <w:t>Автор</w:t>
      </w:r>
      <w:r w:rsidRPr="00B126C8">
        <w:rPr>
          <w:bCs/>
        </w:rPr>
        <w:t xml:space="preserve"> работал в банковском учреждении (</w:t>
      </w:r>
      <w:r>
        <w:rPr>
          <w:bCs/>
        </w:rPr>
        <w:t xml:space="preserve">далее </w:t>
      </w:r>
      <w:r w:rsidR="00F97F8D">
        <w:rPr>
          <w:bCs/>
        </w:rPr>
        <w:t>«</w:t>
      </w:r>
      <w:r w:rsidRPr="00B126C8">
        <w:rPr>
          <w:bCs/>
        </w:rPr>
        <w:t>банк</w:t>
      </w:r>
      <w:r w:rsidR="00F97F8D">
        <w:rPr>
          <w:bCs/>
        </w:rPr>
        <w:t>»</w:t>
      </w:r>
      <w:r w:rsidRPr="00B126C8">
        <w:rPr>
          <w:bCs/>
        </w:rPr>
        <w:t>) с 1</w:t>
      </w:r>
      <w:r w:rsidR="00294A51">
        <w:rPr>
          <w:bCs/>
        </w:rPr>
        <w:t> </w:t>
      </w:r>
      <w:r w:rsidRPr="00B126C8">
        <w:rPr>
          <w:bCs/>
        </w:rPr>
        <w:t>ию</w:t>
      </w:r>
      <w:r>
        <w:rPr>
          <w:bCs/>
        </w:rPr>
        <w:t>ня</w:t>
      </w:r>
      <w:r w:rsidRPr="00B126C8">
        <w:rPr>
          <w:bCs/>
        </w:rPr>
        <w:t xml:space="preserve"> 19</w:t>
      </w:r>
      <w:r>
        <w:rPr>
          <w:bCs/>
        </w:rPr>
        <w:t>73 </w:t>
      </w:r>
      <w:r w:rsidRPr="00B126C8">
        <w:rPr>
          <w:bCs/>
        </w:rPr>
        <w:t xml:space="preserve">года по </w:t>
      </w:r>
      <w:r>
        <w:rPr>
          <w:bCs/>
        </w:rPr>
        <w:t>20 ноября</w:t>
      </w:r>
      <w:r w:rsidRPr="00B126C8">
        <w:rPr>
          <w:bCs/>
        </w:rPr>
        <w:t xml:space="preserve"> </w:t>
      </w:r>
      <w:r>
        <w:rPr>
          <w:bCs/>
        </w:rPr>
        <w:t>200</w:t>
      </w:r>
      <w:r w:rsidR="00657882">
        <w:rPr>
          <w:bCs/>
        </w:rPr>
        <w:t>2</w:t>
      </w:r>
      <w:r w:rsidRPr="00B126C8">
        <w:rPr>
          <w:bCs/>
        </w:rPr>
        <w:t xml:space="preserve"> года. На момент прекращения трудовых отнош</w:t>
      </w:r>
      <w:r w:rsidRPr="00B126C8">
        <w:rPr>
          <w:bCs/>
        </w:rPr>
        <w:t>е</w:t>
      </w:r>
      <w:r w:rsidRPr="00B126C8">
        <w:rPr>
          <w:bCs/>
        </w:rPr>
        <w:t xml:space="preserve">ний с банком </w:t>
      </w:r>
      <w:r>
        <w:rPr>
          <w:bCs/>
        </w:rPr>
        <w:t xml:space="preserve">по причине его </w:t>
      </w:r>
      <w:r w:rsidRPr="00B126C8">
        <w:rPr>
          <w:bCs/>
        </w:rPr>
        <w:t>увольнени</w:t>
      </w:r>
      <w:r>
        <w:rPr>
          <w:bCs/>
        </w:rPr>
        <w:t>я</w:t>
      </w:r>
      <w:r w:rsidRPr="00B126C8">
        <w:rPr>
          <w:bCs/>
        </w:rPr>
        <w:t xml:space="preserve"> он занимал должность </w:t>
      </w:r>
      <w:r>
        <w:rPr>
          <w:bCs/>
        </w:rPr>
        <w:t>администр</w:t>
      </w:r>
      <w:r>
        <w:rPr>
          <w:bCs/>
        </w:rPr>
        <w:t>а</w:t>
      </w:r>
      <w:r>
        <w:rPr>
          <w:bCs/>
        </w:rPr>
        <w:t>тивного управленческого работника</w:t>
      </w:r>
      <w:r w:rsidRPr="00B126C8">
        <w:rPr>
          <w:bCs/>
        </w:rPr>
        <w:t xml:space="preserve"> </w:t>
      </w:r>
      <w:r>
        <w:rPr>
          <w:bCs/>
        </w:rPr>
        <w:t>первого</w:t>
      </w:r>
      <w:r w:rsidRPr="00B126C8">
        <w:rPr>
          <w:bCs/>
        </w:rPr>
        <w:t xml:space="preserve"> клас</w:t>
      </w:r>
      <w:r>
        <w:rPr>
          <w:bCs/>
        </w:rPr>
        <w:t>са</w:t>
      </w:r>
      <w:r w:rsidRPr="00B126C8">
        <w:rPr>
          <w:bCs/>
        </w:rPr>
        <w:t xml:space="preserve">. 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2.2</w:t>
      </w:r>
      <w:r w:rsidRPr="00B126C8">
        <w:rPr>
          <w:bCs/>
        </w:rPr>
        <w:tab/>
        <w:t>26 ноября 1999 года в официальн</w:t>
      </w:r>
      <w:r>
        <w:rPr>
          <w:bCs/>
        </w:rPr>
        <w:t>ых</w:t>
      </w:r>
      <w:r w:rsidRPr="00B126C8">
        <w:rPr>
          <w:bCs/>
        </w:rPr>
        <w:t xml:space="preserve"> </w:t>
      </w:r>
      <w:r>
        <w:rPr>
          <w:bCs/>
        </w:rPr>
        <w:t>ведомостях</w:t>
      </w:r>
      <w:r w:rsidRPr="00B126C8">
        <w:rPr>
          <w:bCs/>
        </w:rPr>
        <w:t xml:space="preserve"> было опубликовано </w:t>
      </w:r>
      <w:r>
        <w:rPr>
          <w:bCs/>
          <w:lang w:val="en-US"/>
        </w:rPr>
        <w:t>XVIII</w:t>
      </w:r>
      <w:r w:rsidRPr="00B126C8">
        <w:rPr>
          <w:bCs/>
        </w:rPr>
        <w:t xml:space="preserve"> Коллективное соглашение </w:t>
      </w:r>
      <w:r>
        <w:rPr>
          <w:bCs/>
        </w:rPr>
        <w:t>предприятий б</w:t>
      </w:r>
      <w:r w:rsidRPr="00B126C8">
        <w:rPr>
          <w:bCs/>
        </w:rPr>
        <w:t>анк</w:t>
      </w:r>
      <w:r>
        <w:rPr>
          <w:bCs/>
        </w:rPr>
        <w:t>овского сектора</w:t>
      </w:r>
      <w:r w:rsidRPr="00B126C8">
        <w:rPr>
          <w:bCs/>
        </w:rPr>
        <w:t xml:space="preserve"> (далее</w:t>
      </w:r>
      <w:r>
        <w:rPr>
          <w:bCs/>
        </w:rPr>
        <w:t xml:space="preserve"> –</w:t>
      </w:r>
      <w:r w:rsidRPr="00B126C8">
        <w:rPr>
          <w:bCs/>
        </w:rPr>
        <w:t xml:space="preserve"> </w:t>
      </w:r>
      <w:r w:rsidR="00F97F8D">
        <w:rPr>
          <w:bCs/>
        </w:rPr>
        <w:t>«</w:t>
      </w:r>
      <w:r w:rsidRPr="00B126C8">
        <w:rPr>
          <w:bCs/>
        </w:rPr>
        <w:t>Соглашение</w:t>
      </w:r>
      <w:r w:rsidR="00F97F8D">
        <w:rPr>
          <w:bCs/>
        </w:rPr>
        <w:t>»</w:t>
      </w:r>
      <w:r w:rsidRPr="00B126C8">
        <w:rPr>
          <w:bCs/>
        </w:rPr>
        <w:t>), в главе VI которого устанавливался порядок выплаты дополн</w:t>
      </w:r>
      <w:r w:rsidRPr="00B126C8">
        <w:rPr>
          <w:bCs/>
        </w:rPr>
        <w:t>и</w:t>
      </w:r>
      <w:r w:rsidRPr="00B126C8">
        <w:rPr>
          <w:bCs/>
        </w:rPr>
        <w:t>тельных пособий в связи с болезнями, полной, абсолютной или постоянной н</w:t>
      </w:r>
      <w:r w:rsidRPr="00B126C8">
        <w:rPr>
          <w:bCs/>
        </w:rPr>
        <w:t>е</w:t>
      </w:r>
      <w:r w:rsidRPr="00B126C8">
        <w:rPr>
          <w:bCs/>
        </w:rPr>
        <w:t>трудоспособностью, выходом на пенсию или смертью сотрудника, а также пе</w:t>
      </w:r>
      <w:r w:rsidRPr="00B126C8">
        <w:rPr>
          <w:bCs/>
        </w:rPr>
        <w:t>н</w:t>
      </w:r>
      <w:r w:rsidRPr="00B126C8">
        <w:rPr>
          <w:bCs/>
        </w:rPr>
        <w:t>сий бывшим сотрудникам банк</w:t>
      </w:r>
      <w:r>
        <w:rPr>
          <w:bCs/>
        </w:rPr>
        <w:t>овского сектора</w:t>
      </w:r>
      <w:r w:rsidRPr="00B126C8">
        <w:rPr>
          <w:bCs/>
        </w:rPr>
        <w:t>. В соответствии с этим полож</w:t>
      </w:r>
      <w:r w:rsidRPr="00B126C8">
        <w:rPr>
          <w:bCs/>
        </w:rPr>
        <w:t>е</w:t>
      </w:r>
      <w:r w:rsidRPr="00B126C8">
        <w:rPr>
          <w:bCs/>
        </w:rPr>
        <w:t>нием для выплаты таких дополнительных пособий был учрежден внутренний фонд.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2.3</w:t>
      </w:r>
      <w:r w:rsidRPr="00B126C8">
        <w:rPr>
          <w:bCs/>
        </w:rPr>
        <w:tab/>
        <w:t xml:space="preserve">15 ноября 2002 года в соответствии с королевским </w:t>
      </w:r>
      <w:r>
        <w:rPr>
          <w:bCs/>
        </w:rPr>
        <w:t>декретом</w:t>
      </w:r>
      <w:r w:rsidRPr="00B126C8">
        <w:rPr>
          <w:bCs/>
        </w:rPr>
        <w:t xml:space="preserve"> № 1588/1999 банк </w:t>
      </w:r>
      <w:r>
        <w:rPr>
          <w:bCs/>
        </w:rPr>
        <w:t>заключил договоры страхования</w:t>
      </w:r>
      <w:r w:rsidRPr="00B126C8">
        <w:rPr>
          <w:bCs/>
        </w:rPr>
        <w:t xml:space="preserve"> со страховой компанией для обеспечения выплаты работающим сотрудникам дополнительных пособий, предусмотре</w:t>
      </w:r>
      <w:r w:rsidRPr="00B126C8">
        <w:rPr>
          <w:bCs/>
        </w:rPr>
        <w:t>н</w:t>
      </w:r>
      <w:r w:rsidRPr="00B126C8">
        <w:rPr>
          <w:bCs/>
        </w:rPr>
        <w:t xml:space="preserve">ных Соглашением. Автор сообщения был включен в число </w:t>
      </w:r>
      <w:r>
        <w:rPr>
          <w:bCs/>
        </w:rPr>
        <w:t>выгодоприобретат</w:t>
      </w:r>
      <w:r>
        <w:rPr>
          <w:bCs/>
        </w:rPr>
        <w:t>е</w:t>
      </w:r>
      <w:r>
        <w:rPr>
          <w:bCs/>
        </w:rPr>
        <w:t>лей договора страхования</w:t>
      </w:r>
      <w:r w:rsidRPr="00B126C8">
        <w:rPr>
          <w:bCs/>
        </w:rPr>
        <w:t xml:space="preserve"> на условиях, установленных в</w:t>
      </w:r>
      <w:r w:rsidRPr="003C723B">
        <w:rPr>
          <w:bCs/>
        </w:rPr>
        <w:t xml:space="preserve"> </w:t>
      </w:r>
      <w:r>
        <w:rPr>
          <w:bCs/>
        </w:rPr>
        <w:t>индивидуальных стр</w:t>
      </w:r>
      <w:r>
        <w:rPr>
          <w:bCs/>
        </w:rPr>
        <w:t>а</w:t>
      </w:r>
      <w:r>
        <w:rPr>
          <w:bCs/>
        </w:rPr>
        <w:t>ховых</w:t>
      </w:r>
      <w:r w:rsidRPr="00B126C8">
        <w:rPr>
          <w:bCs/>
        </w:rPr>
        <w:t xml:space="preserve"> свидетельствах.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2.4</w:t>
      </w:r>
      <w:r w:rsidRPr="00B126C8">
        <w:rPr>
          <w:bCs/>
        </w:rPr>
        <w:tab/>
      </w:r>
      <w:r>
        <w:rPr>
          <w:bCs/>
        </w:rPr>
        <w:t>Автор</w:t>
      </w:r>
      <w:r w:rsidRPr="00B126C8">
        <w:rPr>
          <w:bCs/>
        </w:rPr>
        <w:t xml:space="preserve"> утверждает, что </w:t>
      </w:r>
      <w:r>
        <w:rPr>
          <w:bCs/>
        </w:rPr>
        <w:t>20</w:t>
      </w:r>
      <w:r w:rsidRPr="00B126C8">
        <w:rPr>
          <w:bCs/>
        </w:rPr>
        <w:t xml:space="preserve"> </w:t>
      </w:r>
      <w:r>
        <w:rPr>
          <w:bCs/>
        </w:rPr>
        <w:t>но</w:t>
      </w:r>
      <w:r w:rsidRPr="00B126C8">
        <w:rPr>
          <w:bCs/>
        </w:rPr>
        <w:t xml:space="preserve">ября </w:t>
      </w:r>
      <w:r>
        <w:rPr>
          <w:bCs/>
        </w:rPr>
        <w:t>2002</w:t>
      </w:r>
      <w:r w:rsidRPr="00B126C8">
        <w:rPr>
          <w:bCs/>
        </w:rPr>
        <w:t xml:space="preserve"> года он был уволен банком. </w:t>
      </w:r>
      <w:r>
        <w:rPr>
          <w:bCs/>
        </w:rPr>
        <w:br/>
      </w:r>
      <w:r w:rsidRPr="00B126C8">
        <w:rPr>
          <w:bCs/>
        </w:rPr>
        <w:t>Впоследствии автор сообщения обратилс</w:t>
      </w:r>
      <w:r>
        <w:rPr>
          <w:bCs/>
        </w:rPr>
        <w:t>я</w:t>
      </w:r>
      <w:r w:rsidRPr="00B126C8">
        <w:rPr>
          <w:bCs/>
        </w:rPr>
        <w:t xml:space="preserve"> в банк с просьбой выплатить </w:t>
      </w:r>
      <w:r>
        <w:rPr>
          <w:bCs/>
        </w:rPr>
        <w:t>ему</w:t>
      </w:r>
      <w:r w:rsidRPr="00B126C8">
        <w:rPr>
          <w:bCs/>
        </w:rPr>
        <w:t xml:space="preserve"> </w:t>
      </w:r>
      <w:r>
        <w:rPr>
          <w:bCs/>
        </w:rPr>
        <w:t>а</w:t>
      </w:r>
      <w:r>
        <w:rPr>
          <w:bCs/>
        </w:rPr>
        <w:t>к</w:t>
      </w:r>
      <w:r>
        <w:rPr>
          <w:bCs/>
        </w:rPr>
        <w:t>туарный резерв, соответствующий</w:t>
      </w:r>
      <w:r w:rsidRPr="00B126C8">
        <w:rPr>
          <w:bCs/>
        </w:rPr>
        <w:t xml:space="preserve"> </w:t>
      </w:r>
      <w:r>
        <w:rPr>
          <w:bCs/>
        </w:rPr>
        <w:t xml:space="preserve">его </w:t>
      </w:r>
      <w:r w:rsidRPr="00B126C8">
        <w:rPr>
          <w:bCs/>
        </w:rPr>
        <w:t xml:space="preserve">накопленным пенсионным </w:t>
      </w:r>
      <w:r>
        <w:rPr>
          <w:bCs/>
        </w:rPr>
        <w:t>взносам</w:t>
      </w:r>
      <w:r w:rsidRPr="00B126C8">
        <w:rPr>
          <w:bCs/>
          <w:sz w:val="18"/>
          <w:vertAlign w:val="superscript"/>
        </w:rPr>
        <w:footnoteReference w:id="2"/>
      </w:r>
      <w:r w:rsidRPr="00B126C8">
        <w:rPr>
          <w:bCs/>
        </w:rPr>
        <w:t xml:space="preserve">. </w:t>
      </w:r>
      <w:r>
        <w:rPr>
          <w:bCs/>
        </w:rPr>
        <w:t>О</w:t>
      </w:r>
      <w:r>
        <w:rPr>
          <w:bCs/>
        </w:rPr>
        <w:t>д</w:t>
      </w:r>
      <w:r>
        <w:rPr>
          <w:bCs/>
        </w:rPr>
        <w:t>нако</w:t>
      </w:r>
      <w:r w:rsidRPr="00B126C8">
        <w:rPr>
          <w:bCs/>
        </w:rPr>
        <w:t xml:space="preserve"> банк не удовлетворил </w:t>
      </w:r>
      <w:r>
        <w:rPr>
          <w:bCs/>
        </w:rPr>
        <w:t>его</w:t>
      </w:r>
      <w:r w:rsidRPr="00B126C8">
        <w:rPr>
          <w:bCs/>
        </w:rPr>
        <w:t xml:space="preserve"> просьбу.</w:t>
      </w:r>
      <w:r>
        <w:rPr>
          <w:bCs/>
        </w:rPr>
        <w:t xml:space="preserve"> Вместо этого Банк воспользовался пр</w:t>
      </w:r>
      <w:r>
        <w:rPr>
          <w:bCs/>
        </w:rPr>
        <w:t>а</w:t>
      </w:r>
      <w:r>
        <w:rPr>
          <w:bCs/>
        </w:rPr>
        <w:t xml:space="preserve">вом на удержание в соответствии с положением 3 страхового полиса актуарного резерва, соответствующего пенсионным обязательствам, </w:t>
      </w:r>
      <w:r w:rsidR="00294A51">
        <w:rPr>
          <w:bCs/>
        </w:rPr>
        <w:t>принятым</w:t>
      </w:r>
      <w:r>
        <w:rPr>
          <w:bCs/>
        </w:rPr>
        <w:t xml:space="preserve"> им на себя в отношении держателя страхового полиса.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2.5</w:t>
      </w:r>
      <w:r w:rsidRPr="00B126C8">
        <w:rPr>
          <w:bCs/>
        </w:rPr>
        <w:tab/>
        <w:t xml:space="preserve">3 </w:t>
      </w:r>
      <w:r>
        <w:rPr>
          <w:bCs/>
        </w:rPr>
        <w:t>октября</w:t>
      </w:r>
      <w:r w:rsidRPr="00B126C8">
        <w:rPr>
          <w:bCs/>
        </w:rPr>
        <w:t xml:space="preserve"> 200</w:t>
      </w:r>
      <w:r w:rsidR="00D95995">
        <w:rPr>
          <w:bCs/>
        </w:rPr>
        <w:t>6</w:t>
      </w:r>
      <w:r w:rsidRPr="00B126C8">
        <w:rPr>
          <w:bCs/>
        </w:rPr>
        <w:t xml:space="preserve"> года автор сообщения </w:t>
      </w:r>
      <w:r>
        <w:rPr>
          <w:bCs/>
        </w:rPr>
        <w:t>предъявил</w:t>
      </w:r>
      <w:r w:rsidRPr="00B126C8">
        <w:rPr>
          <w:bCs/>
        </w:rPr>
        <w:t xml:space="preserve"> иск банк</w:t>
      </w:r>
      <w:r>
        <w:rPr>
          <w:bCs/>
        </w:rPr>
        <w:t>у</w:t>
      </w:r>
      <w:r w:rsidRPr="00B126C8">
        <w:rPr>
          <w:bCs/>
        </w:rPr>
        <w:t xml:space="preserve"> и страхов</w:t>
      </w:r>
      <w:r>
        <w:rPr>
          <w:bCs/>
        </w:rPr>
        <w:t>ой</w:t>
      </w:r>
      <w:r w:rsidRPr="00B126C8">
        <w:rPr>
          <w:bCs/>
        </w:rPr>
        <w:t xml:space="preserve"> компа</w:t>
      </w:r>
      <w:r>
        <w:rPr>
          <w:bCs/>
        </w:rPr>
        <w:t>нии</w:t>
      </w:r>
      <w:r w:rsidRPr="00B126C8">
        <w:rPr>
          <w:bCs/>
        </w:rPr>
        <w:t xml:space="preserve"> в суд</w:t>
      </w:r>
      <w:r>
        <w:rPr>
          <w:bCs/>
        </w:rPr>
        <w:t>е</w:t>
      </w:r>
      <w:r w:rsidRPr="00B126C8">
        <w:rPr>
          <w:bCs/>
        </w:rPr>
        <w:t xml:space="preserve"> по социальным делам № </w:t>
      </w:r>
      <w:r>
        <w:rPr>
          <w:bCs/>
        </w:rPr>
        <w:t>6</w:t>
      </w:r>
      <w:r w:rsidRPr="00B126C8">
        <w:rPr>
          <w:bCs/>
        </w:rPr>
        <w:t xml:space="preserve"> города Мадрида (далее</w:t>
      </w:r>
      <w:r>
        <w:rPr>
          <w:bCs/>
        </w:rPr>
        <w:t xml:space="preserve"> –</w:t>
      </w:r>
      <w:r w:rsidRPr="00B126C8">
        <w:rPr>
          <w:bCs/>
        </w:rPr>
        <w:t xml:space="preserve"> </w:t>
      </w:r>
      <w:r w:rsidR="00F97F8D">
        <w:rPr>
          <w:bCs/>
        </w:rPr>
        <w:t>«</w:t>
      </w:r>
      <w:r w:rsidRPr="00B126C8">
        <w:rPr>
          <w:bCs/>
        </w:rPr>
        <w:t>су</w:t>
      </w:r>
      <w:r>
        <w:rPr>
          <w:bCs/>
        </w:rPr>
        <w:t>-</w:t>
      </w:r>
      <w:r>
        <w:rPr>
          <w:bCs/>
        </w:rPr>
        <w:br/>
      </w:r>
      <w:r w:rsidRPr="00B126C8">
        <w:rPr>
          <w:bCs/>
        </w:rPr>
        <w:t>д</w:t>
      </w:r>
      <w:r>
        <w:rPr>
          <w:bCs/>
        </w:rPr>
        <w:t>е № 6</w:t>
      </w:r>
      <w:r w:rsidR="00F97F8D">
        <w:rPr>
          <w:bCs/>
        </w:rPr>
        <w:t>»</w:t>
      </w:r>
      <w:r w:rsidRPr="00B126C8">
        <w:rPr>
          <w:bCs/>
        </w:rPr>
        <w:t xml:space="preserve">) с требованием признать </w:t>
      </w:r>
      <w:r>
        <w:rPr>
          <w:bCs/>
        </w:rPr>
        <w:t>его</w:t>
      </w:r>
      <w:r w:rsidRPr="00B126C8">
        <w:rPr>
          <w:bCs/>
        </w:rPr>
        <w:t xml:space="preserve"> право на </w:t>
      </w:r>
      <w:r>
        <w:rPr>
          <w:bCs/>
        </w:rPr>
        <w:t xml:space="preserve">возвращение </w:t>
      </w:r>
      <w:r w:rsidRPr="00B126C8">
        <w:rPr>
          <w:bCs/>
        </w:rPr>
        <w:t>индивидуальн</w:t>
      </w:r>
      <w:r>
        <w:rPr>
          <w:bCs/>
        </w:rPr>
        <w:t>ой</w:t>
      </w:r>
      <w:r w:rsidRPr="00B126C8">
        <w:rPr>
          <w:bCs/>
        </w:rPr>
        <w:t xml:space="preserve"> </w:t>
      </w:r>
      <w:r>
        <w:rPr>
          <w:bCs/>
        </w:rPr>
        <w:t>доли его участия</w:t>
      </w:r>
      <w:r w:rsidRPr="00B126C8">
        <w:rPr>
          <w:bCs/>
        </w:rPr>
        <w:t xml:space="preserve"> в фонде </w:t>
      </w:r>
      <w:r>
        <w:rPr>
          <w:bCs/>
        </w:rPr>
        <w:t xml:space="preserve">по состоянию на 15 ноября 2002 года и впоследствии по договору о страховании в сумме </w:t>
      </w:r>
      <w:r w:rsidRPr="00CC4885">
        <w:t>126</w:t>
      </w:r>
      <w:r>
        <w:t xml:space="preserve"> </w:t>
      </w:r>
      <w:r w:rsidRPr="00CC4885">
        <w:t xml:space="preserve">961,31 </w:t>
      </w:r>
      <w:r>
        <w:t>евро</w:t>
      </w:r>
      <w:r w:rsidRPr="00B126C8">
        <w:rPr>
          <w:bCs/>
        </w:rPr>
        <w:t>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2.6</w:t>
      </w:r>
      <w:r w:rsidRPr="00B126C8">
        <w:rPr>
          <w:bCs/>
        </w:rPr>
        <w:tab/>
      </w:r>
      <w:r>
        <w:rPr>
          <w:bCs/>
        </w:rPr>
        <w:t>15 декабря</w:t>
      </w:r>
      <w:r w:rsidRPr="00B126C8">
        <w:rPr>
          <w:bCs/>
        </w:rPr>
        <w:t xml:space="preserve"> 200</w:t>
      </w:r>
      <w:r>
        <w:rPr>
          <w:bCs/>
        </w:rPr>
        <w:t>6</w:t>
      </w:r>
      <w:r w:rsidRPr="00B126C8">
        <w:rPr>
          <w:bCs/>
        </w:rPr>
        <w:t xml:space="preserve"> года суд № </w:t>
      </w:r>
      <w:r>
        <w:rPr>
          <w:bCs/>
        </w:rPr>
        <w:t>6</w:t>
      </w:r>
      <w:r w:rsidRPr="00B126C8">
        <w:rPr>
          <w:bCs/>
        </w:rPr>
        <w:t xml:space="preserve"> </w:t>
      </w:r>
      <w:r>
        <w:rPr>
          <w:bCs/>
        </w:rPr>
        <w:t>отклонил иск</w:t>
      </w:r>
      <w:r w:rsidRPr="00B126C8">
        <w:rPr>
          <w:bCs/>
        </w:rPr>
        <w:t xml:space="preserve"> автор</w:t>
      </w:r>
      <w:r>
        <w:rPr>
          <w:bCs/>
        </w:rPr>
        <w:t>а</w:t>
      </w:r>
      <w:r w:rsidRPr="00B126C8">
        <w:rPr>
          <w:bCs/>
        </w:rPr>
        <w:t xml:space="preserve"> сообщения. Суд пост</w:t>
      </w:r>
      <w:r w:rsidRPr="00B126C8">
        <w:rPr>
          <w:bCs/>
        </w:rPr>
        <w:t>а</w:t>
      </w:r>
      <w:r w:rsidRPr="00B126C8">
        <w:rPr>
          <w:bCs/>
        </w:rPr>
        <w:t xml:space="preserve">новил, что </w:t>
      </w:r>
      <w:r>
        <w:rPr>
          <w:bCs/>
        </w:rPr>
        <w:t>Соглашение наделяет работников правом на получение вознагра</w:t>
      </w:r>
      <w:r>
        <w:rPr>
          <w:bCs/>
        </w:rPr>
        <w:t>ж</w:t>
      </w:r>
      <w:r>
        <w:rPr>
          <w:bCs/>
        </w:rPr>
        <w:t>дения (дополнительного пособия) после наступления события, которое является основой появления такого права; что никакими правилами Соглашения не предусматривается право требовать возмещения соответствующей суммы в случае расторжения трудового договора работника до наступления события, дающего ему право на получение пособия; и что соответственно до наступл</w:t>
      </w:r>
      <w:r>
        <w:rPr>
          <w:bCs/>
        </w:rPr>
        <w:t>е</w:t>
      </w:r>
      <w:r>
        <w:rPr>
          <w:bCs/>
        </w:rPr>
        <w:t xml:space="preserve">ния такого события у работника имеется лишь ожидание получить такое право. Автор </w:t>
      </w:r>
      <w:r w:rsidRPr="00B126C8">
        <w:rPr>
          <w:bCs/>
        </w:rPr>
        <w:t>сообщения обратилс</w:t>
      </w:r>
      <w:r>
        <w:rPr>
          <w:bCs/>
        </w:rPr>
        <w:t>я</w:t>
      </w:r>
      <w:r w:rsidRPr="00B126C8">
        <w:rPr>
          <w:bCs/>
        </w:rPr>
        <w:t xml:space="preserve"> в Высокий суд Мадрида с ходатайством об отмене </w:t>
      </w:r>
      <w:r>
        <w:rPr>
          <w:bCs/>
        </w:rPr>
        <w:t xml:space="preserve">данного </w:t>
      </w:r>
      <w:r w:rsidRPr="00B126C8">
        <w:rPr>
          <w:bCs/>
        </w:rPr>
        <w:t>судебного решения.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2.7</w:t>
      </w:r>
      <w:r w:rsidRPr="00B126C8">
        <w:rPr>
          <w:bCs/>
        </w:rPr>
        <w:tab/>
      </w:r>
      <w:r>
        <w:rPr>
          <w:bCs/>
        </w:rPr>
        <w:t>29 июня</w:t>
      </w:r>
      <w:r w:rsidRPr="00B126C8">
        <w:rPr>
          <w:bCs/>
        </w:rPr>
        <w:t xml:space="preserve"> 200</w:t>
      </w:r>
      <w:r>
        <w:rPr>
          <w:bCs/>
        </w:rPr>
        <w:t>7</w:t>
      </w:r>
      <w:r w:rsidRPr="00B126C8">
        <w:rPr>
          <w:bCs/>
        </w:rPr>
        <w:t xml:space="preserve"> года Высокий суд Мадрида</w:t>
      </w:r>
      <w:r>
        <w:rPr>
          <w:bCs/>
        </w:rPr>
        <w:t xml:space="preserve"> принял это ходатайство к ра</w:t>
      </w:r>
      <w:r>
        <w:rPr>
          <w:bCs/>
        </w:rPr>
        <w:t>с</w:t>
      </w:r>
      <w:r>
        <w:rPr>
          <w:bCs/>
        </w:rPr>
        <w:t>смотрению и</w:t>
      </w:r>
      <w:r w:rsidRPr="00B126C8">
        <w:rPr>
          <w:bCs/>
        </w:rPr>
        <w:t xml:space="preserve"> </w:t>
      </w:r>
      <w:r>
        <w:rPr>
          <w:bCs/>
        </w:rPr>
        <w:t>отменил решение</w:t>
      </w:r>
      <w:r w:rsidRPr="00B126C8">
        <w:rPr>
          <w:bCs/>
        </w:rPr>
        <w:t xml:space="preserve"> суд</w:t>
      </w:r>
      <w:r>
        <w:rPr>
          <w:bCs/>
        </w:rPr>
        <w:t>а</w:t>
      </w:r>
      <w:r w:rsidRPr="00B126C8">
        <w:rPr>
          <w:bCs/>
        </w:rPr>
        <w:t xml:space="preserve"> № </w:t>
      </w:r>
      <w:r>
        <w:rPr>
          <w:bCs/>
        </w:rPr>
        <w:t>6, подтвердив право автора на возмещ</w:t>
      </w:r>
      <w:r>
        <w:rPr>
          <w:bCs/>
        </w:rPr>
        <w:t>е</w:t>
      </w:r>
      <w:r>
        <w:rPr>
          <w:bCs/>
        </w:rPr>
        <w:t xml:space="preserve">ние, предусмотренное договором о страховании между банком и страховой компанией, и распорядившись о выплате ответчиками </w:t>
      </w:r>
      <w:r w:rsidRPr="00CC4885">
        <w:t>127</w:t>
      </w:r>
      <w:r>
        <w:t xml:space="preserve"> </w:t>
      </w:r>
      <w:r w:rsidRPr="00CC4885">
        <w:t>768,21</w:t>
      </w:r>
      <w:r>
        <w:rPr>
          <w:bCs/>
        </w:rPr>
        <w:t xml:space="preserve"> евро в пользу автора.</w:t>
      </w:r>
      <w:r w:rsidRPr="00B126C8">
        <w:rPr>
          <w:bCs/>
        </w:rPr>
        <w:t xml:space="preserve"> </w:t>
      </w:r>
      <w:r>
        <w:rPr>
          <w:bCs/>
        </w:rPr>
        <w:t xml:space="preserve">В частности, </w:t>
      </w:r>
      <w:r w:rsidRPr="00B126C8">
        <w:rPr>
          <w:bCs/>
        </w:rPr>
        <w:t xml:space="preserve">Высокий суд </w:t>
      </w:r>
      <w:r>
        <w:rPr>
          <w:bCs/>
        </w:rPr>
        <w:t xml:space="preserve">постановил, что обязательства и условия, </w:t>
      </w:r>
      <w:r>
        <w:rPr>
          <w:bCs/>
        </w:rPr>
        <w:lastRenderedPageBreak/>
        <w:t xml:space="preserve">предусмотренные Соглашением, такие как болезнь, инвалидность и выход на пенсию, не зависят от волеизъявления сторон. В отличие от этого прекращение трудового договора </w:t>
      </w:r>
      <w:r w:rsidR="00F97F8D" w:rsidRPr="00F97F8D">
        <w:rPr>
          <w:bCs/>
        </w:rPr>
        <w:t>–</w:t>
      </w:r>
      <w:r>
        <w:rPr>
          <w:bCs/>
        </w:rPr>
        <w:t xml:space="preserve"> и материальная основа Соглашения </w:t>
      </w:r>
      <w:r w:rsidR="00F97F8D" w:rsidRPr="00F97F8D">
        <w:rPr>
          <w:bCs/>
        </w:rPr>
        <w:t>–</w:t>
      </w:r>
      <w:r>
        <w:rPr>
          <w:bCs/>
        </w:rPr>
        <w:t xml:space="preserve"> на основании н</w:t>
      </w:r>
      <w:r>
        <w:rPr>
          <w:bCs/>
        </w:rPr>
        <w:t>е</w:t>
      </w:r>
      <w:r>
        <w:rPr>
          <w:bCs/>
        </w:rPr>
        <w:t>обоснованного увольнения является односторонним решением одного конт</w:t>
      </w:r>
      <w:r>
        <w:rPr>
          <w:bCs/>
        </w:rPr>
        <w:t>р</w:t>
      </w:r>
      <w:r>
        <w:rPr>
          <w:bCs/>
        </w:rPr>
        <w:t>агента, другими словами</w:t>
      </w:r>
      <w:r w:rsidR="00D95995">
        <w:rPr>
          <w:bCs/>
        </w:rPr>
        <w:t>,</w:t>
      </w:r>
      <w:r>
        <w:rPr>
          <w:bCs/>
        </w:rPr>
        <w:t xml:space="preserve"> дискреционным актом, который не должен наносить дополнительного ущерба работнику, и без того перестающему получать зар</w:t>
      </w:r>
      <w:r>
        <w:rPr>
          <w:bCs/>
        </w:rPr>
        <w:t>а</w:t>
      </w:r>
      <w:r>
        <w:rPr>
          <w:bCs/>
        </w:rPr>
        <w:t>ботную плату; что, хотя дискреционные улучшения системы социального стр</w:t>
      </w:r>
      <w:r>
        <w:rPr>
          <w:bCs/>
        </w:rPr>
        <w:t>а</w:t>
      </w:r>
      <w:r>
        <w:rPr>
          <w:bCs/>
        </w:rPr>
        <w:t xml:space="preserve">хования носят дискреционный характер на момент их внедрения, когда они уже были внедрены, они могут отменяться или </w:t>
      </w:r>
      <w:r w:rsidR="00294A51">
        <w:rPr>
          <w:bCs/>
        </w:rPr>
        <w:t>прекращаться</w:t>
      </w:r>
      <w:r>
        <w:rPr>
          <w:bCs/>
        </w:rPr>
        <w:t xml:space="preserve"> только на основании вводящего их документа; и что в Соглашении отсутствуют какие-либо полож</w:t>
      </w:r>
      <w:r>
        <w:rPr>
          <w:bCs/>
        </w:rPr>
        <w:t>е</w:t>
      </w:r>
      <w:r>
        <w:rPr>
          <w:bCs/>
        </w:rPr>
        <w:t>ния об отмене дискреционных улучшений в случае досрочного расторжения трудового договора</w:t>
      </w:r>
      <w:r w:rsidRPr="00B126C8">
        <w:rPr>
          <w:bCs/>
        </w:rPr>
        <w:t xml:space="preserve">. Впоследствии </w:t>
      </w:r>
      <w:r>
        <w:rPr>
          <w:bCs/>
        </w:rPr>
        <w:t xml:space="preserve">банк и страховая компания обжаловали это решение </w:t>
      </w:r>
      <w:r w:rsidRPr="00B126C8">
        <w:rPr>
          <w:bCs/>
        </w:rPr>
        <w:t>в Верховный суд</w:t>
      </w:r>
      <w:r w:rsidRPr="00CC4885">
        <w:rPr>
          <w:bCs/>
        </w:rPr>
        <w:t xml:space="preserve"> </w:t>
      </w:r>
      <w:r>
        <w:rPr>
          <w:bCs/>
        </w:rPr>
        <w:t>на основании отсутствия единообразия судебной практики</w:t>
      </w:r>
      <w:r w:rsidRPr="00B126C8">
        <w:rPr>
          <w:bCs/>
        </w:rPr>
        <w:t>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2.8</w:t>
      </w:r>
      <w:r w:rsidRPr="00B126C8">
        <w:rPr>
          <w:bCs/>
        </w:rPr>
        <w:tab/>
      </w:r>
      <w:r>
        <w:rPr>
          <w:bCs/>
        </w:rPr>
        <w:t>21 сентября</w:t>
      </w:r>
      <w:r w:rsidRPr="00B126C8">
        <w:rPr>
          <w:bCs/>
        </w:rPr>
        <w:t xml:space="preserve"> 200</w:t>
      </w:r>
      <w:r>
        <w:rPr>
          <w:bCs/>
        </w:rPr>
        <w:t>9</w:t>
      </w:r>
      <w:r w:rsidRPr="00B126C8">
        <w:rPr>
          <w:bCs/>
        </w:rPr>
        <w:t xml:space="preserve"> года Верховный суд от</w:t>
      </w:r>
      <w:r>
        <w:rPr>
          <w:bCs/>
        </w:rPr>
        <w:t>менил</w:t>
      </w:r>
      <w:r w:rsidRPr="00B126C8">
        <w:rPr>
          <w:bCs/>
        </w:rPr>
        <w:t xml:space="preserve"> решение Высокого суда Мадрида</w:t>
      </w:r>
      <w:r>
        <w:rPr>
          <w:bCs/>
        </w:rPr>
        <w:t xml:space="preserve"> и оставил в силе постановление суда №</w:t>
      </w:r>
      <w:r w:rsidR="00023358" w:rsidRPr="00023358">
        <w:rPr>
          <w:bCs/>
        </w:rPr>
        <w:t xml:space="preserve"> </w:t>
      </w:r>
      <w:bookmarkStart w:id="1" w:name="_GoBack"/>
      <w:bookmarkEnd w:id="1"/>
      <w:r>
        <w:rPr>
          <w:bCs/>
        </w:rPr>
        <w:t>6</w:t>
      </w:r>
      <w:r w:rsidRPr="00B126C8">
        <w:rPr>
          <w:bCs/>
        </w:rPr>
        <w:t>.</w:t>
      </w:r>
    </w:p>
    <w:p w:rsidR="005D3B4E" w:rsidRPr="001262A1" w:rsidRDefault="005D3B4E" w:rsidP="005D3B4E">
      <w:pPr>
        <w:pStyle w:val="SingleTxtGR"/>
        <w:rPr>
          <w:bCs/>
        </w:rPr>
      </w:pPr>
      <w:r w:rsidRPr="00B126C8">
        <w:rPr>
          <w:bCs/>
        </w:rPr>
        <w:t>2.9</w:t>
      </w:r>
      <w:r w:rsidRPr="00B126C8">
        <w:rPr>
          <w:bCs/>
        </w:rPr>
        <w:tab/>
        <w:t>1</w:t>
      </w:r>
      <w:r>
        <w:rPr>
          <w:bCs/>
        </w:rPr>
        <w:t>5</w:t>
      </w:r>
      <w:r w:rsidRPr="00B126C8">
        <w:rPr>
          <w:bCs/>
        </w:rPr>
        <w:t xml:space="preserve"> </w:t>
      </w:r>
      <w:r>
        <w:rPr>
          <w:bCs/>
        </w:rPr>
        <w:t>января</w:t>
      </w:r>
      <w:r w:rsidRPr="00B126C8">
        <w:rPr>
          <w:bCs/>
        </w:rPr>
        <w:t xml:space="preserve"> 201</w:t>
      </w:r>
      <w:r>
        <w:rPr>
          <w:bCs/>
        </w:rPr>
        <w:t>0</w:t>
      </w:r>
      <w:r w:rsidRPr="00B126C8">
        <w:rPr>
          <w:bCs/>
        </w:rPr>
        <w:t xml:space="preserve"> года автор сообщения </w:t>
      </w:r>
      <w:r>
        <w:rPr>
          <w:bCs/>
        </w:rPr>
        <w:t>подал ходатайство об ампаро в Ко</w:t>
      </w:r>
      <w:r>
        <w:rPr>
          <w:bCs/>
        </w:rPr>
        <w:t>н</w:t>
      </w:r>
      <w:r>
        <w:rPr>
          <w:bCs/>
        </w:rPr>
        <w:t>ституционный суд, сославшись на нарушение его права на эффективное сре</w:t>
      </w:r>
      <w:r>
        <w:rPr>
          <w:bCs/>
        </w:rPr>
        <w:t>д</w:t>
      </w:r>
      <w:r>
        <w:rPr>
          <w:bCs/>
        </w:rPr>
        <w:t>ство правовой защиты в соответствии со статьями 14 и 24 Конституции Исп</w:t>
      </w:r>
      <w:r>
        <w:rPr>
          <w:bCs/>
        </w:rPr>
        <w:t>а</w:t>
      </w:r>
      <w:r>
        <w:rPr>
          <w:bCs/>
        </w:rPr>
        <w:t xml:space="preserve">нии. 16 мая 2010 года Конституционный суд отклонил ходатайство автора на том основании, что тот не доказал особую конституционную значимость его дела, как того требует статья 49.1 </w:t>
      </w:r>
      <w:r>
        <w:rPr>
          <w:bCs/>
          <w:lang w:val="en-US"/>
        </w:rPr>
        <w:t>b</w:t>
      </w:r>
      <w:r w:rsidRPr="00CC4885">
        <w:rPr>
          <w:bCs/>
        </w:rPr>
        <w:t>)</w:t>
      </w:r>
      <w:r>
        <w:rPr>
          <w:bCs/>
        </w:rPr>
        <w:t xml:space="preserve"> Органического закона о Конституционном суде.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2.10</w:t>
      </w:r>
      <w:r>
        <w:rPr>
          <w:bCs/>
        </w:rPr>
        <w:tab/>
        <w:t xml:space="preserve">17 ноября 2010 года автор </w:t>
      </w:r>
      <w:r w:rsidRPr="00B126C8">
        <w:rPr>
          <w:bCs/>
        </w:rPr>
        <w:t>обратилс</w:t>
      </w:r>
      <w:r>
        <w:rPr>
          <w:bCs/>
        </w:rPr>
        <w:t>я</w:t>
      </w:r>
      <w:r w:rsidRPr="00B126C8">
        <w:rPr>
          <w:bCs/>
        </w:rPr>
        <w:t xml:space="preserve"> с жалобой в Европейский суд по правам человека, сославшись на нарушение </w:t>
      </w:r>
      <w:r>
        <w:rPr>
          <w:bCs/>
        </w:rPr>
        <w:t>его</w:t>
      </w:r>
      <w:r w:rsidRPr="00B126C8">
        <w:rPr>
          <w:bCs/>
        </w:rPr>
        <w:t xml:space="preserve"> прав, предусмотренных </w:t>
      </w:r>
      <w:r w:rsidR="003003B4">
        <w:rPr>
          <w:bCs/>
        </w:rPr>
        <w:t>пун</w:t>
      </w:r>
      <w:r w:rsidR="003003B4">
        <w:rPr>
          <w:bCs/>
        </w:rPr>
        <w:t>к</w:t>
      </w:r>
      <w:r w:rsidR="003003B4">
        <w:rPr>
          <w:bCs/>
        </w:rPr>
        <w:t>том 1 статьи</w:t>
      </w:r>
      <w:r w:rsidRPr="00B126C8">
        <w:rPr>
          <w:bCs/>
        </w:rPr>
        <w:t xml:space="preserve"> 6 и </w:t>
      </w:r>
      <w:r w:rsidR="003003B4">
        <w:rPr>
          <w:bCs/>
        </w:rPr>
        <w:t xml:space="preserve">статьей </w:t>
      </w:r>
      <w:r w:rsidRPr="00B126C8">
        <w:rPr>
          <w:bCs/>
        </w:rPr>
        <w:t>14 Конвенци</w:t>
      </w:r>
      <w:r>
        <w:rPr>
          <w:bCs/>
        </w:rPr>
        <w:t>и</w:t>
      </w:r>
      <w:r w:rsidRPr="00B126C8">
        <w:rPr>
          <w:bCs/>
        </w:rPr>
        <w:t xml:space="preserve"> о защите прав человека и основных св</w:t>
      </w:r>
      <w:r w:rsidRPr="00B126C8">
        <w:rPr>
          <w:bCs/>
        </w:rPr>
        <w:t>о</w:t>
      </w:r>
      <w:r>
        <w:rPr>
          <w:bCs/>
        </w:rPr>
        <w:t xml:space="preserve">бод (Европейской конвенции </w:t>
      </w:r>
      <w:r w:rsidRPr="00B126C8">
        <w:rPr>
          <w:bCs/>
        </w:rPr>
        <w:t>о права</w:t>
      </w:r>
      <w:r>
        <w:rPr>
          <w:bCs/>
        </w:rPr>
        <w:t>х</w:t>
      </w:r>
      <w:r w:rsidRPr="00B126C8">
        <w:rPr>
          <w:bCs/>
        </w:rPr>
        <w:t xml:space="preserve"> человека) и статьей 1 Дополнительного протокола к Конвенции (Протокол</w:t>
      </w:r>
      <w:r>
        <w:rPr>
          <w:bCs/>
        </w:rPr>
        <w:t>а</w:t>
      </w:r>
      <w:r w:rsidRPr="00B126C8">
        <w:rPr>
          <w:bCs/>
        </w:rPr>
        <w:t xml:space="preserve"> № 1). 2</w:t>
      </w:r>
      <w:r>
        <w:rPr>
          <w:bCs/>
        </w:rPr>
        <w:t>1 февраля</w:t>
      </w:r>
      <w:r w:rsidRPr="00B126C8">
        <w:rPr>
          <w:bCs/>
        </w:rPr>
        <w:t xml:space="preserve"> 2013 года </w:t>
      </w:r>
      <w:r>
        <w:rPr>
          <w:bCs/>
        </w:rPr>
        <w:t>Европейский с</w:t>
      </w:r>
      <w:r w:rsidRPr="00B126C8">
        <w:rPr>
          <w:bCs/>
        </w:rPr>
        <w:t>уд</w:t>
      </w:r>
      <w:r>
        <w:rPr>
          <w:bCs/>
        </w:rPr>
        <w:t xml:space="preserve"> по правам человека</w:t>
      </w:r>
      <w:r w:rsidRPr="00B126C8">
        <w:rPr>
          <w:bCs/>
        </w:rPr>
        <w:t xml:space="preserve"> отклонил жалобу на том основании, что она не удовл</w:t>
      </w:r>
      <w:r w:rsidRPr="00B126C8">
        <w:rPr>
          <w:bCs/>
        </w:rPr>
        <w:t>е</w:t>
      </w:r>
      <w:r w:rsidRPr="00B126C8">
        <w:rPr>
          <w:bCs/>
        </w:rPr>
        <w:t>творяла критериям приемлемости, установленным в статьях</w:t>
      </w:r>
      <w:r>
        <w:rPr>
          <w:bCs/>
        </w:rPr>
        <w:t xml:space="preserve"> 34 и 35 Европе</w:t>
      </w:r>
      <w:r>
        <w:rPr>
          <w:bCs/>
        </w:rPr>
        <w:t>й</w:t>
      </w:r>
      <w:r>
        <w:rPr>
          <w:bCs/>
        </w:rPr>
        <w:t xml:space="preserve">ской конвенции </w:t>
      </w:r>
      <w:r w:rsidRPr="00B126C8">
        <w:rPr>
          <w:bCs/>
        </w:rPr>
        <w:t>о права</w:t>
      </w:r>
      <w:r>
        <w:rPr>
          <w:bCs/>
        </w:rPr>
        <w:t>х</w:t>
      </w:r>
      <w:r w:rsidRPr="00B126C8">
        <w:rPr>
          <w:bCs/>
        </w:rPr>
        <w:t xml:space="preserve"> человека.</w:t>
      </w:r>
    </w:p>
    <w:p w:rsidR="005D3B4E" w:rsidRPr="00B126C8" w:rsidRDefault="005D3B4E" w:rsidP="005D3B4E">
      <w:pPr>
        <w:pStyle w:val="SingleTxtGR"/>
        <w:rPr>
          <w:bCs/>
        </w:rPr>
      </w:pPr>
      <w:r>
        <w:rPr>
          <w:bCs/>
        </w:rPr>
        <w:t>2.11</w:t>
      </w:r>
      <w:r w:rsidRPr="00B126C8">
        <w:rPr>
          <w:bCs/>
        </w:rPr>
        <w:tab/>
        <w:t>11 июля 2014 года автор обратилс</w:t>
      </w:r>
      <w:r>
        <w:rPr>
          <w:bCs/>
        </w:rPr>
        <w:t>я</w:t>
      </w:r>
      <w:r w:rsidRPr="00B126C8">
        <w:rPr>
          <w:bCs/>
        </w:rPr>
        <w:t xml:space="preserve"> к Европейскому суду по правам чел</w:t>
      </w:r>
      <w:r w:rsidRPr="00B126C8">
        <w:rPr>
          <w:bCs/>
        </w:rPr>
        <w:t>о</w:t>
      </w:r>
      <w:r w:rsidRPr="00B126C8">
        <w:rPr>
          <w:bCs/>
        </w:rPr>
        <w:t>века с просьбой указать причины, по которым 2</w:t>
      </w:r>
      <w:r>
        <w:rPr>
          <w:bCs/>
        </w:rPr>
        <w:t>1</w:t>
      </w:r>
      <w:r w:rsidRPr="00B126C8">
        <w:rPr>
          <w:bCs/>
        </w:rPr>
        <w:t xml:space="preserve"> </w:t>
      </w:r>
      <w:r>
        <w:rPr>
          <w:bCs/>
        </w:rPr>
        <w:t>февраля</w:t>
      </w:r>
      <w:r w:rsidRPr="00B126C8">
        <w:rPr>
          <w:bCs/>
        </w:rPr>
        <w:t xml:space="preserve"> 2013 года </w:t>
      </w:r>
      <w:r>
        <w:rPr>
          <w:bCs/>
        </w:rPr>
        <w:t>его</w:t>
      </w:r>
      <w:r w:rsidRPr="00B126C8">
        <w:rPr>
          <w:bCs/>
        </w:rPr>
        <w:t xml:space="preserve"> жалоба была признана неприемлемой. Автор сообщения указыва</w:t>
      </w:r>
      <w:r>
        <w:rPr>
          <w:bCs/>
        </w:rPr>
        <w:t>ет</w:t>
      </w:r>
      <w:r w:rsidRPr="00B126C8">
        <w:rPr>
          <w:bCs/>
        </w:rPr>
        <w:t>, что на момент представления сообщения Комитету он еще не получил ответа от Европейского суда и что соответствующей датой начала отсчета годичного срока, предусмо</w:t>
      </w:r>
      <w:r w:rsidRPr="00B126C8">
        <w:rPr>
          <w:bCs/>
        </w:rPr>
        <w:t>т</w:t>
      </w:r>
      <w:r w:rsidRPr="00B126C8">
        <w:rPr>
          <w:bCs/>
        </w:rPr>
        <w:t>ренного подпунктом а) пункта 2 статьи 3 Факультативного протокола, является 11 июля 2014</w:t>
      </w:r>
      <w:r>
        <w:rPr>
          <w:bCs/>
        </w:rPr>
        <w:t xml:space="preserve"> года</w:t>
      </w:r>
      <w:r w:rsidRPr="00B126C8">
        <w:rPr>
          <w:bCs/>
        </w:rPr>
        <w:t>.</w:t>
      </w:r>
    </w:p>
    <w:p w:rsidR="005D3B4E" w:rsidRPr="00B126C8" w:rsidRDefault="005D3B4E" w:rsidP="005D3B4E">
      <w:pPr>
        <w:pStyle w:val="H23GR"/>
      </w:pPr>
      <w:r>
        <w:tab/>
      </w:r>
      <w:r>
        <w:tab/>
      </w:r>
      <w:r w:rsidRPr="00B126C8">
        <w:t>Жалоба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3.1</w:t>
      </w:r>
      <w:r w:rsidRPr="00B126C8">
        <w:rPr>
          <w:bCs/>
        </w:rPr>
        <w:tab/>
        <w:t>Автор сообщения заявля</w:t>
      </w:r>
      <w:r>
        <w:rPr>
          <w:bCs/>
        </w:rPr>
        <w:t>е</w:t>
      </w:r>
      <w:r w:rsidRPr="00B126C8">
        <w:rPr>
          <w:bCs/>
        </w:rPr>
        <w:t xml:space="preserve">т, что государство-участник нарушило </w:t>
      </w:r>
      <w:r>
        <w:rPr>
          <w:bCs/>
        </w:rPr>
        <w:t>его</w:t>
      </w:r>
      <w:r w:rsidRPr="00B126C8">
        <w:rPr>
          <w:bCs/>
        </w:rPr>
        <w:t xml:space="preserve"> права по статьям 7 и 9 Международного пакта об экономических, социальных и кул</w:t>
      </w:r>
      <w:r w:rsidRPr="00B126C8">
        <w:rPr>
          <w:bCs/>
        </w:rPr>
        <w:t>ь</w:t>
      </w:r>
      <w:r w:rsidRPr="00B126C8">
        <w:rPr>
          <w:bCs/>
        </w:rPr>
        <w:t>турных правах. Кроме того, он утвержда</w:t>
      </w:r>
      <w:r>
        <w:rPr>
          <w:bCs/>
        </w:rPr>
        <w:t>е</w:t>
      </w:r>
      <w:r w:rsidRPr="00B126C8">
        <w:rPr>
          <w:bCs/>
        </w:rPr>
        <w:t xml:space="preserve">т, что государство-участник также нарушило </w:t>
      </w:r>
      <w:r>
        <w:rPr>
          <w:bCs/>
        </w:rPr>
        <w:t>его</w:t>
      </w:r>
      <w:r w:rsidRPr="00B126C8">
        <w:rPr>
          <w:bCs/>
        </w:rPr>
        <w:t xml:space="preserve"> права, закрепленные в пункте 1 статьи 12 и в статье 26 Междун</w:t>
      </w:r>
      <w:r w:rsidRPr="00B126C8">
        <w:rPr>
          <w:bCs/>
        </w:rPr>
        <w:t>а</w:t>
      </w:r>
      <w:r w:rsidRPr="00B126C8">
        <w:rPr>
          <w:bCs/>
        </w:rPr>
        <w:t>родного пакта о гражданских и политических правах.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3.2</w:t>
      </w:r>
      <w:r w:rsidRPr="00B126C8">
        <w:rPr>
          <w:bCs/>
        </w:rPr>
        <w:tab/>
        <w:t>Автор прос</w:t>
      </w:r>
      <w:r>
        <w:rPr>
          <w:bCs/>
        </w:rPr>
        <w:t>и</w:t>
      </w:r>
      <w:r w:rsidRPr="00B126C8">
        <w:rPr>
          <w:bCs/>
        </w:rPr>
        <w:t xml:space="preserve">т Комитет признать факт нарушения указанных статей и </w:t>
      </w:r>
      <w:r>
        <w:rPr>
          <w:bCs/>
        </w:rPr>
        <w:t>установить</w:t>
      </w:r>
      <w:r w:rsidRPr="00B126C8">
        <w:rPr>
          <w:bCs/>
        </w:rPr>
        <w:t xml:space="preserve"> возмещени</w:t>
      </w:r>
      <w:r>
        <w:rPr>
          <w:bCs/>
        </w:rPr>
        <w:t>е</w:t>
      </w:r>
      <w:r w:rsidRPr="00B126C8">
        <w:rPr>
          <w:bCs/>
        </w:rPr>
        <w:t xml:space="preserve"> причиненного ущерба и </w:t>
      </w:r>
      <w:r>
        <w:rPr>
          <w:bCs/>
        </w:rPr>
        <w:t>вреда и</w:t>
      </w:r>
      <w:r w:rsidRPr="00B126C8">
        <w:rPr>
          <w:bCs/>
        </w:rPr>
        <w:t xml:space="preserve"> судебных издержек.</w:t>
      </w:r>
    </w:p>
    <w:p w:rsidR="005D3B4E" w:rsidRPr="00B126C8" w:rsidRDefault="005D3B4E" w:rsidP="005D3B4E">
      <w:pPr>
        <w:pStyle w:val="H23GR"/>
      </w:pPr>
      <w:r>
        <w:lastRenderedPageBreak/>
        <w:tab/>
      </w:r>
      <w:r>
        <w:tab/>
      </w:r>
      <w:r w:rsidRPr="00B126C8">
        <w:t>Вопросы и процедура их рассмотрения в Комитете</w:t>
      </w:r>
    </w:p>
    <w:p w:rsidR="005D3B4E" w:rsidRPr="00B126C8" w:rsidRDefault="005D3B4E" w:rsidP="005D3B4E">
      <w:pPr>
        <w:pStyle w:val="H4GR"/>
      </w:pPr>
      <w:r>
        <w:tab/>
      </w:r>
      <w:r>
        <w:tab/>
      </w:r>
      <w:r w:rsidRPr="00B126C8">
        <w:t>Рассмотрение вопроса о приемлемости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4.1</w:t>
      </w:r>
      <w:r w:rsidRPr="00B126C8">
        <w:rPr>
          <w:bCs/>
        </w:rPr>
        <w:tab/>
        <w:t>Согласно статье 9 своих временных правил процедуры в соответствии с Факультативным протоколом к Международному пакту об экономических, с</w:t>
      </w:r>
      <w:r w:rsidRPr="00B126C8">
        <w:rPr>
          <w:bCs/>
        </w:rPr>
        <w:t>о</w:t>
      </w:r>
      <w:r w:rsidRPr="00B126C8">
        <w:rPr>
          <w:bCs/>
        </w:rPr>
        <w:t>циальных и культурных правах (E/C.12/49/3), прежде чем приступить к ра</w:t>
      </w:r>
      <w:r w:rsidRPr="00B126C8">
        <w:rPr>
          <w:bCs/>
        </w:rPr>
        <w:t>с</w:t>
      </w:r>
      <w:r w:rsidRPr="00B126C8">
        <w:rPr>
          <w:bCs/>
        </w:rPr>
        <w:t>смотрению какого-либо утверждения, содержащегося в сообщении, Комитет должен определить, является ли оно приемлемым в соответствии с Факульт</w:t>
      </w:r>
      <w:r w:rsidRPr="00B126C8">
        <w:rPr>
          <w:bCs/>
        </w:rPr>
        <w:t>а</w:t>
      </w:r>
      <w:r w:rsidRPr="00B126C8">
        <w:rPr>
          <w:bCs/>
        </w:rPr>
        <w:t>тивным протоколом.</w:t>
      </w:r>
      <w:bookmarkStart w:id="2" w:name="_Toc356915313"/>
      <w:bookmarkEnd w:id="2"/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4.2</w:t>
      </w:r>
      <w:r w:rsidRPr="00B126C8">
        <w:rPr>
          <w:bCs/>
        </w:rPr>
        <w:tab/>
        <w:t xml:space="preserve">Комитет обладает компетенцией </w:t>
      </w:r>
      <w:r w:rsidRPr="00B126C8">
        <w:rPr>
          <w:bCs/>
          <w:iCs/>
        </w:rPr>
        <w:t>ratione materiae</w:t>
      </w:r>
      <w:r w:rsidRPr="00B126C8">
        <w:rPr>
          <w:bCs/>
        </w:rPr>
        <w:t xml:space="preserve"> рассматривать утве</w:t>
      </w:r>
      <w:r w:rsidRPr="00B126C8">
        <w:rPr>
          <w:bCs/>
        </w:rPr>
        <w:t>р</w:t>
      </w:r>
      <w:r w:rsidRPr="00B126C8">
        <w:rPr>
          <w:bCs/>
        </w:rPr>
        <w:t xml:space="preserve">ждения о нарушениях экономических, социальных и культурных прав, </w:t>
      </w:r>
      <w:r>
        <w:rPr>
          <w:bCs/>
        </w:rPr>
        <w:t>закре</w:t>
      </w:r>
      <w:r>
        <w:rPr>
          <w:bCs/>
        </w:rPr>
        <w:t>п</w:t>
      </w:r>
      <w:r>
        <w:rPr>
          <w:bCs/>
        </w:rPr>
        <w:t>ленных</w:t>
      </w:r>
      <w:r w:rsidRPr="00B126C8">
        <w:rPr>
          <w:bCs/>
        </w:rPr>
        <w:t xml:space="preserve"> в Международном пакте об экономических, социальных и культурных правах. Ввиду этого в соответствии с подпунктом d) пункта 2 статьи 3 Факул</w:t>
      </w:r>
      <w:r w:rsidRPr="00B126C8">
        <w:rPr>
          <w:bCs/>
        </w:rPr>
        <w:t>ь</w:t>
      </w:r>
      <w:r w:rsidRPr="00B126C8">
        <w:rPr>
          <w:bCs/>
        </w:rPr>
        <w:t>тативного протокола Комитет объявляет жалобы авторов по пункту 1 статьи</w:t>
      </w:r>
      <w:r w:rsidR="003D650C">
        <w:rPr>
          <w:bCs/>
          <w:lang w:val="en-US"/>
        </w:rPr>
        <w:t> </w:t>
      </w:r>
      <w:r w:rsidRPr="00B126C8">
        <w:rPr>
          <w:bCs/>
        </w:rPr>
        <w:t>12 и по статье 26 Международного пакта о гражданских и политических правах неприемлемыми.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4.3</w:t>
      </w:r>
      <w:r w:rsidRPr="00B126C8">
        <w:rPr>
          <w:bCs/>
        </w:rPr>
        <w:tab/>
        <w:t>Комитет напоминает, что Факультативный протокол вступил в силу для государства-участника 5 мая 2013 года и что в соответствии с подпунктом</w:t>
      </w:r>
      <w:r w:rsidR="003D650C">
        <w:rPr>
          <w:bCs/>
          <w:lang w:val="en-US"/>
        </w:rPr>
        <w:t> </w:t>
      </w:r>
      <w:r w:rsidRPr="00B126C8">
        <w:rPr>
          <w:bCs/>
        </w:rPr>
        <w:t xml:space="preserve">b) пункта 2 статьи 3 Факультативного протокола Комитет должен </w:t>
      </w:r>
      <w:r>
        <w:rPr>
          <w:bCs/>
        </w:rPr>
        <w:t>признать</w:t>
      </w:r>
      <w:r w:rsidRPr="00B126C8">
        <w:rPr>
          <w:bCs/>
        </w:rPr>
        <w:t xml:space="preserve"> соо</w:t>
      </w:r>
      <w:r w:rsidRPr="00B126C8">
        <w:rPr>
          <w:bCs/>
        </w:rPr>
        <w:t>б</w:t>
      </w:r>
      <w:r w:rsidRPr="00B126C8">
        <w:rPr>
          <w:bCs/>
        </w:rPr>
        <w:t>щение неприемлемым, если факты, являющиеся предметом сообщения, имели место до вступления настоящего Протокола в силу для соответствующего гос</w:t>
      </w:r>
      <w:r w:rsidRPr="00B126C8">
        <w:rPr>
          <w:bCs/>
        </w:rPr>
        <w:t>у</w:t>
      </w:r>
      <w:r w:rsidRPr="00B126C8">
        <w:rPr>
          <w:bCs/>
        </w:rPr>
        <w:t>дарства-участника, если только эти факты не продолжались после этой даты. В</w:t>
      </w:r>
      <w:r>
        <w:rPr>
          <w:bCs/>
        </w:rPr>
        <w:t> </w:t>
      </w:r>
      <w:r w:rsidRPr="00B126C8">
        <w:rPr>
          <w:bCs/>
        </w:rPr>
        <w:t>данном случае Комитет отмечает, что все факты, ставшие предметом сообщ</w:t>
      </w:r>
      <w:r w:rsidRPr="00B126C8">
        <w:rPr>
          <w:bCs/>
        </w:rPr>
        <w:t>е</w:t>
      </w:r>
      <w:r w:rsidRPr="00B126C8">
        <w:rPr>
          <w:bCs/>
        </w:rPr>
        <w:t>ния, включая все соответствующие судебные решения национальных органов, имели место до 5 мая 2013 года, т</w:t>
      </w:r>
      <w:r>
        <w:rPr>
          <w:bCs/>
        </w:rPr>
        <w:t>.</w:t>
      </w:r>
      <w:r w:rsidRPr="00B126C8">
        <w:rPr>
          <w:bCs/>
        </w:rPr>
        <w:t>е</w:t>
      </w:r>
      <w:r>
        <w:rPr>
          <w:bCs/>
        </w:rPr>
        <w:t>.</w:t>
      </w:r>
      <w:r w:rsidRPr="00B126C8">
        <w:rPr>
          <w:bCs/>
        </w:rPr>
        <w:t xml:space="preserve"> до даты вступления Факультативного пр</w:t>
      </w:r>
      <w:r w:rsidRPr="00B126C8">
        <w:rPr>
          <w:bCs/>
        </w:rPr>
        <w:t>о</w:t>
      </w:r>
      <w:r w:rsidRPr="00B126C8">
        <w:rPr>
          <w:bCs/>
        </w:rPr>
        <w:t>токола в силу для Испании. Информация, приведенная в сообщении, не указ</w:t>
      </w:r>
      <w:r w:rsidRPr="00B126C8">
        <w:rPr>
          <w:bCs/>
        </w:rPr>
        <w:t>ы</w:t>
      </w:r>
      <w:r w:rsidRPr="00B126C8">
        <w:rPr>
          <w:bCs/>
        </w:rPr>
        <w:t xml:space="preserve">вает на то, что эти факты продолжились после вступления Факультативного протокола в силу и могли сами по себе </w:t>
      </w:r>
      <w:r>
        <w:rPr>
          <w:bCs/>
        </w:rPr>
        <w:t>представлять</w:t>
      </w:r>
      <w:r w:rsidRPr="00B126C8">
        <w:rPr>
          <w:bCs/>
        </w:rPr>
        <w:t xml:space="preserve"> нарушение Пакта. Исходя из вышеизложенного, Комитет </w:t>
      </w:r>
      <w:r>
        <w:rPr>
          <w:bCs/>
        </w:rPr>
        <w:t>не считает</w:t>
      </w:r>
      <w:r w:rsidRPr="00B126C8">
        <w:rPr>
          <w:bCs/>
        </w:rPr>
        <w:t xml:space="preserve"> </w:t>
      </w:r>
      <w:r>
        <w:rPr>
          <w:bCs/>
        </w:rPr>
        <w:t>возможным</w:t>
      </w:r>
      <w:r w:rsidRPr="00B126C8">
        <w:rPr>
          <w:bCs/>
        </w:rPr>
        <w:t xml:space="preserve"> рассмотреть настоящее сообщение ratione temporis и </w:t>
      </w:r>
      <w:r>
        <w:rPr>
          <w:bCs/>
        </w:rPr>
        <w:t>объявляет его</w:t>
      </w:r>
      <w:r w:rsidRPr="00B126C8">
        <w:rPr>
          <w:bCs/>
        </w:rPr>
        <w:t xml:space="preserve"> неприемлемым по смыслу подпун</w:t>
      </w:r>
      <w:r w:rsidRPr="00B126C8">
        <w:rPr>
          <w:bCs/>
        </w:rPr>
        <w:t>к</w:t>
      </w:r>
      <w:r w:rsidRPr="00B126C8">
        <w:rPr>
          <w:bCs/>
        </w:rPr>
        <w:t>та b) пункта 2 статьи 3 Факультативного протокола.</w:t>
      </w:r>
    </w:p>
    <w:p w:rsidR="005D3B4E" w:rsidRPr="00B126C8" w:rsidRDefault="005D3B4E" w:rsidP="005D3B4E">
      <w:pPr>
        <w:pStyle w:val="SingleTxtGR"/>
        <w:rPr>
          <w:bCs/>
        </w:rPr>
      </w:pPr>
      <w:r w:rsidRPr="00B126C8">
        <w:rPr>
          <w:bCs/>
        </w:rPr>
        <w:t>5.</w:t>
      </w:r>
      <w:r w:rsidRPr="00B126C8">
        <w:rPr>
          <w:bCs/>
        </w:rPr>
        <w:tab/>
        <w:t>В связи с этим Комитет постановляет:</w:t>
      </w:r>
    </w:p>
    <w:p w:rsidR="005D3B4E" w:rsidRPr="00B126C8" w:rsidRDefault="005D3B4E" w:rsidP="005D3B4E">
      <w:pPr>
        <w:pStyle w:val="SingleTxtGR"/>
        <w:rPr>
          <w:bCs/>
        </w:rPr>
      </w:pPr>
      <w:r>
        <w:rPr>
          <w:bCs/>
        </w:rPr>
        <w:tab/>
      </w:r>
      <w:r w:rsidRPr="00B126C8">
        <w:rPr>
          <w:bCs/>
        </w:rPr>
        <w:t>a)</w:t>
      </w:r>
      <w:r w:rsidRPr="00B126C8">
        <w:rPr>
          <w:bCs/>
        </w:rPr>
        <w:tab/>
        <w:t>признать сообщение неприемлемым согласно подпунктам b) и d) пункта 2 статьи 3 Факультативного протокола;</w:t>
      </w:r>
    </w:p>
    <w:p w:rsidR="0049372E" w:rsidRPr="00CF6161" w:rsidRDefault="005D3B4E" w:rsidP="005D3B4E">
      <w:pPr>
        <w:pStyle w:val="SingleTxtGR"/>
      </w:pPr>
      <w:r>
        <w:tab/>
      </w:r>
      <w:r w:rsidRPr="00B126C8">
        <w:t>b)</w:t>
      </w:r>
      <w:r w:rsidRPr="00B126C8">
        <w:tab/>
        <w:t>препроводить настоящее решение государству-участнику и авт</w:t>
      </w:r>
      <w:r w:rsidRPr="00B126C8">
        <w:t>о</w:t>
      </w:r>
      <w:r w:rsidRPr="00B126C8">
        <w:t>рам.</w:t>
      </w:r>
    </w:p>
    <w:p w:rsidR="00760D3A" w:rsidRPr="000450D1" w:rsidRDefault="005D3B4E" w:rsidP="005D3B4E">
      <w:pPr>
        <w:spacing w:before="240"/>
        <w:jc w:val="center"/>
      </w:pPr>
      <w:r w:rsidRPr="00CF6161">
        <w:rPr>
          <w:u w:val="single"/>
        </w:rPr>
        <w:tab/>
      </w:r>
      <w:r w:rsidRPr="00CF6161">
        <w:rPr>
          <w:u w:val="single"/>
        </w:rPr>
        <w:tab/>
      </w:r>
      <w:r w:rsidRPr="00CF6161">
        <w:rPr>
          <w:u w:val="single"/>
        </w:rPr>
        <w:tab/>
      </w:r>
    </w:p>
    <w:sectPr w:rsidR="00760D3A" w:rsidRPr="000450D1" w:rsidSect="0049372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4E" w:rsidRDefault="005D3B4E" w:rsidP="00B471C5">
      <w:r>
        <w:separator/>
      </w:r>
    </w:p>
  </w:endnote>
  <w:endnote w:type="continuationSeparator" w:id="0">
    <w:p w:rsidR="005D3B4E" w:rsidRDefault="005D3B4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23358">
      <w:rPr>
        <w:rStyle w:val="a9"/>
        <w:noProof/>
      </w:rPr>
      <w:t>4</w:t>
    </w:r>
    <w:r>
      <w:rPr>
        <w:rStyle w:val="a9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5D3B4E" w:rsidRPr="005D3B4E">
      <w:rPr>
        <w:lang w:val="en-US"/>
      </w:rPr>
      <w:t>03068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7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5D3B4E" w:rsidRPr="005D3B4E">
      <w:rPr>
        <w:lang w:val="en-US"/>
      </w:rPr>
      <w:t>03068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23358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319C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D3B4E" w:rsidRPr="005D3B4E">
            <w:rPr>
              <w:lang w:val="en-US"/>
            </w:rPr>
            <w:t>03068</w:t>
          </w:r>
          <w:r w:rsidR="005D3B4E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5D3B4E">
            <w:rPr>
              <w:lang w:val="en-US"/>
            </w:rPr>
            <w:t xml:space="preserve">  250516  </w:t>
          </w:r>
          <w:r w:rsidR="007319C8">
            <w:t>26</w:t>
          </w:r>
          <w:r w:rsidR="005D3B4E">
            <w:rPr>
              <w:lang w:val="en-US"/>
            </w:rPr>
            <w:t>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5D3B4E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/C.12/56/D/8/201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C.12/56/D/8/201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5D3B4E" w:rsidRDefault="005D3B4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D3B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D3B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D3B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D3B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D3B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D3B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D3B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D3B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D3B4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023358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4E" w:rsidRPr="009141DC" w:rsidRDefault="005D3B4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D3B4E" w:rsidRPr="00D1261C" w:rsidRDefault="005D3B4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D3B4E" w:rsidRPr="000A195D" w:rsidRDefault="005D3B4E" w:rsidP="005D3B4E">
      <w:pPr>
        <w:pStyle w:val="aa"/>
        <w:widowControl w:val="0"/>
        <w:spacing w:line="360" w:lineRule="auto"/>
        <w:rPr>
          <w:szCs w:val="18"/>
          <w:lang w:val="ru-RU"/>
        </w:rPr>
      </w:pPr>
      <w:r>
        <w:rPr>
          <w:szCs w:val="18"/>
        </w:rPr>
        <w:tab/>
      </w:r>
      <w:r w:rsidRPr="00B126C8">
        <w:rPr>
          <w:rStyle w:val="a6"/>
          <w:szCs w:val="18"/>
        </w:rPr>
        <w:footnoteRef/>
      </w:r>
      <w:r w:rsidRPr="000A195D">
        <w:rPr>
          <w:lang w:val="ru-RU"/>
        </w:rPr>
        <w:tab/>
        <w:t xml:space="preserve">Факультативный протокол вступил в силу для государства-участника 5 мая 2013 года. </w:t>
      </w:r>
    </w:p>
  </w:footnote>
  <w:footnote w:id="2">
    <w:p w:rsidR="005D3B4E" w:rsidRPr="000A195D" w:rsidRDefault="005D3B4E" w:rsidP="005D3B4E">
      <w:pPr>
        <w:pStyle w:val="aa"/>
        <w:widowControl w:val="0"/>
        <w:rPr>
          <w:lang w:val="ru-RU"/>
        </w:rPr>
      </w:pPr>
      <w:r w:rsidRPr="000A195D">
        <w:rPr>
          <w:lang w:val="ru-RU"/>
        </w:rPr>
        <w:tab/>
      </w:r>
      <w:r w:rsidRPr="00B126C8">
        <w:rPr>
          <w:rStyle w:val="a6"/>
        </w:rPr>
        <w:footnoteRef/>
      </w:r>
      <w:r w:rsidRPr="000A195D">
        <w:rPr>
          <w:lang w:val="ru-RU"/>
        </w:rPr>
        <w:tab/>
        <w:t>Автор сообщения заявля</w:t>
      </w:r>
      <w:r>
        <w:rPr>
          <w:lang w:val="ru-RU"/>
        </w:rPr>
        <w:t>е</w:t>
      </w:r>
      <w:r w:rsidRPr="000A195D">
        <w:rPr>
          <w:lang w:val="ru-RU"/>
        </w:rPr>
        <w:t xml:space="preserve">т, что сумма </w:t>
      </w:r>
      <w:r>
        <w:rPr>
          <w:lang w:val="ru-RU"/>
        </w:rPr>
        <w:t>актуарного резерва</w:t>
      </w:r>
      <w:r w:rsidRPr="000A195D">
        <w:rPr>
          <w:lang w:val="ru-RU"/>
        </w:rPr>
        <w:t xml:space="preserve"> по пенсионным о</w:t>
      </w:r>
      <w:r>
        <w:rPr>
          <w:lang w:val="ru-RU"/>
        </w:rPr>
        <w:t>бязательствам</w:t>
      </w:r>
      <w:r w:rsidRPr="000A195D">
        <w:rPr>
          <w:lang w:val="ru-RU"/>
        </w:rPr>
        <w:t xml:space="preserve">, предусмотренным Соглашением, </w:t>
      </w:r>
      <w:r>
        <w:rPr>
          <w:lang w:val="ru-RU"/>
        </w:rPr>
        <w:t>на его имя</w:t>
      </w:r>
      <w:r w:rsidRPr="000A195D">
        <w:rPr>
          <w:lang w:val="ru-RU"/>
        </w:rPr>
        <w:t xml:space="preserve"> на момент увольнения состав</w:t>
      </w:r>
      <w:r>
        <w:rPr>
          <w:lang w:val="ru-RU"/>
        </w:rPr>
        <w:t>ила</w:t>
      </w:r>
      <w:r w:rsidRPr="000A195D">
        <w:rPr>
          <w:lang w:val="ru-RU"/>
        </w:rPr>
        <w:t xml:space="preserve"> </w:t>
      </w:r>
      <w:r w:rsidRPr="00CC4885">
        <w:rPr>
          <w:lang w:val="ru-RU"/>
        </w:rPr>
        <w:t>127</w:t>
      </w:r>
      <w:r>
        <w:rPr>
          <w:lang w:val="ru-RU"/>
        </w:rPr>
        <w:t xml:space="preserve"> </w:t>
      </w:r>
      <w:r w:rsidRPr="00CC4885">
        <w:rPr>
          <w:lang w:val="ru-RU"/>
        </w:rPr>
        <w:t>768</w:t>
      </w:r>
      <w:r>
        <w:rPr>
          <w:lang w:val="ru-RU"/>
        </w:rPr>
        <w:t>,</w:t>
      </w:r>
      <w:r w:rsidRPr="00CC4885">
        <w:rPr>
          <w:lang w:val="ru-RU"/>
        </w:rPr>
        <w:t>21</w:t>
      </w:r>
      <w:r w:rsidRPr="000A195D">
        <w:rPr>
          <w:lang w:val="ru-RU"/>
        </w:rPr>
        <w:t xml:space="preserve"> евро.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E71A0F" w:rsidRDefault="0060520C">
    <w:pPr>
      <w:pStyle w:val="a3"/>
      <w:rPr>
        <w:lang w:val="en-US"/>
      </w:rPr>
    </w:pPr>
    <w:r>
      <w:rPr>
        <w:lang w:val="en-US"/>
      </w:rPr>
      <w:t>E/</w:t>
    </w:r>
    <w:r w:rsidR="005D3B4E" w:rsidRPr="005D3B4E">
      <w:rPr>
        <w:lang w:val="en-US"/>
      </w:rPr>
      <w:t>C.12/56/D/8/2015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60520C">
    <w:pPr>
      <w:pStyle w:val="a3"/>
      <w:rPr>
        <w:lang w:val="en-US"/>
      </w:rPr>
    </w:pPr>
    <w:r>
      <w:rPr>
        <w:lang w:val="en-US"/>
      </w:rPr>
      <w:tab/>
      <w:t>E/</w:t>
    </w:r>
    <w:r w:rsidR="005D3B4E" w:rsidRPr="005D3B4E">
      <w:rPr>
        <w:lang w:val="en-US"/>
      </w:rPr>
      <w:t>C.12/56/D/8/2015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4E"/>
    <w:rsid w:val="00002179"/>
    <w:rsid w:val="00023358"/>
    <w:rsid w:val="000450D1"/>
    <w:rsid w:val="00077AEA"/>
    <w:rsid w:val="000F2A4F"/>
    <w:rsid w:val="00203C64"/>
    <w:rsid w:val="00203F84"/>
    <w:rsid w:val="00275188"/>
    <w:rsid w:val="0028687D"/>
    <w:rsid w:val="00294A51"/>
    <w:rsid w:val="002B091C"/>
    <w:rsid w:val="002D0CCB"/>
    <w:rsid w:val="003003B4"/>
    <w:rsid w:val="00345C79"/>
    <w:rsid w:val="00366A39"/>
    <w:rsid w:val="00375A3E"/>
    <w:rsid w:val="003D650C"/>
    <w:rsid w:val="00405B9D"/>
    <w:rsid w:val="0048005C"/>
    <w:rsid w:val="0049372E"/>
    <w:rsid w:val="004E242B"/>
    <w:rsid w:val="00513275"/>
    <w:rsid w:val="00523139"/>
    <w:rsid w:val="00523B5D"/>
    <w:rsid w:val="00544379"/>
    <w:rsid w:val="00566944"/>
    <w:rsid w:val="005D3B4E"/>
    <w:rsid w:val="005D56BF"/>
    <w:rsid w:val="005D5CDB"/>
    <w:rsid w:val="0060520C"/>
    <w:rsid w:val="00657882"/>
    <w:rsid w:val="00665D8D"/>
    <w:rsid w:val="006A7A3B"/>
    <w:rsid w:val="006B6B57"/>
    <w:rsid w:val="006F3FD1"/>
    <w:rsid w:val="00705394"/>
    <w:rsid w:val="007319C8"/>
    <w:rsid w:val="00734DD2"/>
    <w:rsid w:val="00743F62"/>
    <w:rsid w:val="00755D1C"/>
    <w:rsid w:val="00760D3A"/>
    <w:rsid w:val="007A1F42"/>
    <w:rsid w:val="007D76DD"/>
    <w:rsid w:val="008717E8"/>
    <w:rsid w:val="008A0B95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77CDB"/>
    <w:rsid w:val="00BA4715"/>
    <w:rsid w:val="00BE1742"/>
    <w:rsid w:val="00BE6D06"/>
    <w:rsid w:val="00CD2F0C"/>
    <w:rsid w:val="00CF6161"/>
    <w:rsid w:val="00D1261C"/>
    <w:rsid w:val="00D75DCE"/>
    <w:rsid w:val="00D95995"/>
    <w:rsid w:val="00DD35AC"/>
    <w:rsid w:val="00DD479F"/>
    <w:rsid w:val="00E15E48"/>
    <w:rsid w:val="00EB0723"/>
    <w:rsid w:val="00EE6F37"/>
    <w:rsid w:val="00EF30AC"/>
    <w:rsid w:val="00F1599F"/>
    <w:rsid w:val="00F31EF2"/>
    <w:rsid w:val="00F441C8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957E-D5FD-4F7A-AF1A-EB4777FA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Ovchinnikova Olga</cp:lastModifiedBy>
  <cp:revision>5</cp:revision>
  <cp:lastPrinted>2016-05-25T20:29:00Z</cp:lastPrinted>
  <dcterms:created xsi:type="dcterms:W3CDTF">2016-05-26T07:09:00Z</dcterms:created>
  <dcterms:modified xsi:type="dcterms:W3CDTF">2016-05-26T08:34:00Z</dcterms:modified>
</cp:coreProperties>
</file>