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2443B1">
        <w:trPr>
          <w:trHeight w:hRule="exact" w:val="851"/>
        </w:trPr>
        <w:tc>
          <w:tcPr>
            <w:tcW w:w="1276" w:type="dxa"/>
            <w:tcBorders>
              <w:bottom w:val="single" w:sz="4" w:space="0" w:color="auto"/>
            </w:tcBorders>
          </w:tcPr>
          <w:p w:rsidR="0080236C" w:rsidRPr="00DB58B5" w:rsidRDefault="0080236C" w:rsidP="008C01DF"/>
        </w:tc>
        <w:tc>
          <w:tcPr>
            <w:tcW w:w="2268" w:type="dxa"/>
            <w:tcBorders>
              <w:bottom w:val="single" w:sz="4" w:space="0" w:color="auto"/>
            </w:tcBorders>
            <w:vAlign w:val="bottom"/>
          </w:tcPr>
          <w:p w:rsidR="0080236C" w:rsidRPr="00DB58B5" w:rsidRDefault="0080236C" w:rsidP="002443B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8C01DF" w:rsidP="008C01DF">
            <w:pPr>
              <w:jc w:val="right"/>
            </w:pPr>
            <w:r w:rsidRPr="008C01DF">
              <w:rPr>
                <w:sz w:val="40"/>
              </w:rPr>
              <w:t>E</w:t>
            </w:r>
            <w:r>
              <w:t>/C.12/56/D/8/2015</w:t>
            </w:r>
          </w:p>
        </w:tc>
      </w:tr>
      <w:tr w:rsidR="0080236C" w:rsidRPr="00DB58B5" w:rsidTr="002443B1">
        <w:trPr>
          <w:trHeight w:hRule="exact" w:val="2835"/>
        </w:trPr>
        <w:tc>
          <w:tcPr>
            <w:tcW w:w="1276" w:type="dxa"/>
            <w:tcBorders>
              <w:top w:val="single" w:sz="4" w:space="0" w:color="auto"/>
              <w:bottom w:val="single" w:sz="12" w:space="0" w:color="auto"/>
            </w:tcBorders>
          </w:tcPr>
          <w:p w:rsidR="0080236C" w:rsidRPr="00DB58B5" w:rsidRDefault="0080236C" w:rsidP="002443B1">
            <w:pPr>
              <w:spacing w:before="120"/>
              <w:jc w:val="center"/>
            </w:pPr>
            <w:r>
              <w:rPr>
                <w:noProof/>
                <w:lang w:eastAsia="fr-CH"/>
              </w:rPr>
              <w:drawing>
                <wp:inline distT="0" distB="0" distL="0" distR="0" wp14:anchorId="2E9903BC" wp14:editId="3F3122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2443B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8C01DF" w:rsidP="002443B1">
            <w:pPr>
              <w:spacing w:before="240"/>
            </w:pPr>
            <w:r>
              <w:t>Distr. générale</w:t>
            </w:r>
          </w:p>
          <w:p w:rsidR="008C01DF" w:rsidRDefault="008C01DF" w:rsidP="008C01DF">
            <w:pPr>
              <w:spacing w:line="240" w:lineRule="exact"/>
            </w:pPr>
            <w:r>
              <w:t>2</w:t>
            </w:r>
            <w:r w:rsidR="0059620D">
              <w:t>6 février</w:t>
            </w:r>
            <w:r>
              <w:t xml:space="preserve"> 2016</w:t>
            </w:r>
          </w:p>
          <w:p w:rsidR="008C01DF" w:rsidRDefault="008C01DF" w:rsidP="008C01DF">
            <w:pPr>
              <w:spacing w:line="240" w:lineRule="exact"/>
            </w:pPr>
            <w:r>
              <w:t>Français</w:t>
            </w:r>
          </w:p>
          <w:p w:rsidR="008C01DF" w:rsidRPr="00DB58B5" w:rsidRDefault="008C01DF" w:rsidP="0059620D">
            <w:pPr>
              <w:spacing w:line="240" w:lineRule="exact"/>
            </w:pPr>
            <w:r>
              <w:t xml:space="preserve">Original : </w:t>
            </w:r>
            <w:r w:rsidR="0059620D">
              <w:t>espagnol</w:t>
            </w:r>
          </w:p>
        </w:tc>
      </w:tr>
    </w:tbl>
    <w:p w:rsidR="008C01DF" w:rsidRPr="00E4666C" w:rsidRDefault="008C01DF" w:rsidP="00CF56FB">
      <w:pPr>
        <w:spacing w:before="120"/>
        <w:rPr>
          <w:b/>
          <w:sz w:val="24"/>
          <w:szCs w:val="24"/>
        </w:rPr>
      </w:pPr>
      <w:r w:rsidRPr="00E4666C">
        <w:rPr>
          <w:b/>
          <w:sz w:val="24"/>
          <w:szCs w:val="24"/>
        </w:rPr>
        <w:t>Comité des droits économiques, sociaux et culturels</w:t>
      </w:r>
    </w:p>
    <w:p w:rsidR="008C01DF" w:rsidRPr="0059620D" w:rsidRDefault="008C01DF" w:rsidP="0059620D">
      <w:pPr>
        <w:pStyle w:val="HChG"/>
      </w:pPr>
      <w:r w:rsidRPr="00322A9B">
        <w:rPr>
          <w:lang w:val="fr-FR"/>
        </w:rPr>
        <w:tab/>
      </w:r>
      <w:r w:rsidRPr="00322A9B">
        <w:rPr>
          <w:lang w:val="fr-FR"/>
        </w:rPr>
        <w:tab/>
        <w:t>Communication n</w:t>
      </w:r>
      <w:r w:rsidRPr="00322A9B">
        <w:rPr>
          <w:vertAlign w:val="superscript"/>
          <w:lang w:val="fr-FR"/>
        </w:rPr>
        <w:t>o</w:t>
      </w:r>
      <w:r w:rsidRPr="00322A9B">
        <w:rPr>
          <w:lang w:val="fr-FR"/>
        </w:rPr>
        <w:t> 8/2015</w:t>
      </w:r>
    </w:p>
    <w:p w:rsidR="00446FE5" w:rsidRDefault="008C01DF" w:rsidP="0059620D">
      <w:pPr>
        <w:pStyle w:val="H1G"/>
        <w:rPr>
          <w:lang w:val="fr-FR"/>
        </w:rPr>
      </w:pPr>
      <w:r w:rsidRPr="00322A9B">
        <w:rPr>
          <w:lang w:val="fr-FR"/>
        </w:rPr>
        <w:tab/>
      </w:r>
      <w:r w:rsidRPr="00322A9B">
        <w:rPr>
          <w:lang w:val="fr-FR"/>
        </w:rPr>
        <w:tab/>
        <w:t xml:space="preserve">Constatations adoptées par le Comité à sa cinquante-sixième session </w:t>
      </w:r>
      <w:r>
        <w:rPr>
          <w:lang w:val="fr-FR"/>
        </w:rPr>
        <w:br/>
      </w:r>
      <w:r w:rsidRPr="00322A9B">
        <w:rPr>
          <w:lang w:val="fr-FR"/>
        </w:rPr>
        <w:t>(21 septembre-</w:t>
      </w:r>
      <w:r>
        <w:rPr>
          <w:lang w:val="fr-FR"/>
        </w:rPr>
        <w:t>9</w:t>
      </w:r>
      <w:r w:rsidRPr="00322A9B">
        <w:rPr>
          <w:lang w:val="fr-FR"/>
        </w:rPr>
        <w:t xml:space="preserve"> octobre 2015)</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8C01DF" w:rsidTr="00216E0F">
        <w:tc>
          <w:tcPr>
            <w:tcW w:w="2552" w:type="dxa"/>
          </w:tcPr>
          <w:p w:rsidR="008C01DF" w:rsidRPr="00E472B5" w:rsidRDefault="008C01DF" w:rsidP="00216E0F">
            <w:pPr>
              <w:pStyle w:val="SingleTxtG"/>
              <w:ind w:left="0" w:right="0"/>
              <w:jc w:val="left"/>
            </w:pPr>
            <w:r>
              <w:rPr>
                <w:i/>
              </w:rPr>
              <w:t>Objet</w:t>
            </w:r>
            <w:r>
              <w:t> :</w:t>
            </w:r>
          </w:p>
        </w:tc>
        <w:tc>
          <w:tcPr>
            <w:tcW w:w="4253" w:type="dxa"/>
            <w:vAlign w:val="bottom"/>
          </w:tcPr>
          <w:p w:rsidR="008C01DF" w:rsidRDefault="008C01DF" w:rsidP="00216E0F">
            <w:pPr>
              <w:pStyle w:val="SingleTxtG"/>
              <w:ind w:left="0" w:right="0"/>
              <w:jc w:val="left"/>
            </w:pPr>
            <w:r w:rsidRPr="00322A9B">
              <w:rPr>
                <w:lang w:val="fr-FR"/>
              </w:rPr>
              <w:t>Prestations socia</w:t>
            </w:r>
            <w:r w:rsidR="00B32330">
              <w:rPr>
                <w:lang w:val="fr-FR"/>
              </w:rPr>
              <w:t>les complémentaires prévues par </w:t>
            </w:r>
            <w:r w:rsidRPr="00322A9B">
              <w:rPr>
                <w:lang w:val="fr-FR"/>
              </w:rPr>
              <w:t>une convention collective</w:t>
            </w:r>
          </w:p>
        </w:tc>
      </w:tr>
      <w:tr w:rsidR="008C01DF" w:rsidTr="00216E0F">
        <w:tc>
          <w:tcPr>
            <w:tcW w:w="2552" w:type="dxa"/>
          </w:tcPr>
          <w:p w:rsidR="008C01DF" w:rsidRPr="008C01DF" w:rsidRDefault="008C01DF" w:rsidP="00216E0F">
            <w:pPr>
              <w:pStyle w:val="SingleTxtG"/>
              <w:ind w:left="0" w:right="0"/>
              <w:jc w:val="left"/>
              <w:rPr>
                <w:i/>
              </w:rPr>
            </w:pPr>
            <w:r>
              <w:rPr>
                <w:i/>
              </w:rPr>
              <w:t>Questions de fond</w:t>
            </w:r>
            <w:r>
              <w:t> :</w:t>
            </w:r>
          </w:p>
        </w:tc>
        <w:tc>
          <w:tcPr>
            <w:tcW w:w="4253" w:type="dxa"/>
            <w:vAlign w:val="bottom"/>
          </w:tcPr>
          <w:p w:rsidR="008C01DF" w:rsidRDefault="008C01DF" w:rsidP="00216E0F">
            <w:pPr>
              <w:pStyle w:val="SingleTxtG"/>
              <w:ind w:left="0" w:right="0"/>
              <w:jc w:val="left"/>
            </w:pPr>
            <w:r w:rsidRPr="00322A9B">
              <w:rPr>
                <w:lang w:val="fr-FR"/>
              </w:rPr>
              <w:t xml:space="preserve">Droit de jouir de conditions </w:t>
            </w:r>
            <w:r w:rsidR="00B32330">
              <w:rPr>
                <w:lang w:val="fr-FR"/>
              </w:rPr>
              <w:t>de travail justes et </w:t>
            </w:r>
            <w:r w:rsidR="00FA150F">
              <w:rPr>
                <w:lang w:val="fr-FR"/>
              </w:rPr>
              <w:t>favorables ;</w:t>
            </w:r>
            <w:r w:rsidRPr="00322A9B">
              <w:rPr>
                <w:lang w:val="fr-FR"/>
              </w:rPr>
              <w:t xml:space="preserve"> et droit à la sécurité sociale</w:t>
            </w:r>
          </w:p>
        </w:tc>
      </w:tr>
      <w:tr w:rsidR="008C01DF" w:rsidTr="00216E0F">
        <w:tc>
          <w:tcPr>
            <w:tcW w:w="2552" w:type="dxa"/>
          </w:tcPr>
          <w:p w:rsidR="008C01DF" w:rsidRPr="00E472B5" w:rsidRDefault="008C01DF" w:rsidP="00216E0F">
            <w:pPr>
              <w:pStyle w:val="SingleTxtG"/>
              <w:ind w:left="0" w:right="0"/>
              <w:jc w:val="left"/>
            </w:pPr>
            <w:r>
              <w:rPr>
                <w:i/>
              </w:rPr>
              <w:t>Questions de procédure</w:t>
            </w:r>
            <w:r>
              <w:t> :</w:t>
            </w:r>
          </w:p>
        </w:tc>
        <w:tc>
          <w:tcPr>
            <w:tcW w:w="4253" w:type="dxa"/>
            <w:vAlign w:val="bottom"/>
          </w:tcPr>
          <w:p w:rsidR="008C01DF" w:rsidRDefault="008C01DF" w:rsidP="00216E0F">
            <w:pPr>
              <w:pStyle w:val="SingleTxtG"/>
              <w:ind w:left="0" w:right="0"/>
              <w:jc w:val="left"/>
            </w:pPr>
            <w:r w:rsidRPr="00322A9B">
              <w:rPr>
                <w:lang w:val="fr-FR"/>
              </w:rPr>
              <w:t>Présentation de la communication dans un délai d</w:t>
            </w:r>
            <w:r w:rsidR="0059620D">
              <w:rPr>
                <w:lang w:val="fr-FR"/>
              </w:rPr>
              <w:t>’</w:t>
            </w:r>
            <w:r w:rsidR="00B32330">
              <w:rPr>
                <w:lang w:val="fr-FR"/>
              </w:rPr>
              <w:t>un </w:t>
            </w:r>
            <w:r w:rsidRPr="00322A9B">
              <w:rPr>
                <w:lang w:val="fr-FR"/>
              </w:rPr>
              <w:t xml:space="preserve">an après </w:t>
            </w:r>
            <w:r w:rsidR="00FA150F">
              <w:rPr>
                <w:lang w:val="fr-FR"/>
              </w:rPr>
              <w:t>épuisement des recours internes ;</w:t>
            </w:r>
            <w:r w:rsidRPr="00322A9B">
              <w:rPr>
                <w:lang w:val="fr-FR"/>
              </w:rPr>
              <w:t xml:space="preserve"> compétence </w:t>
            </w:r>
            <w:r w:rsidRPr="00322A9B">
              <w:rPr>
                <w:i/>
                <w:lang w:val="fr-FR"/>
              </w:rPr>
              <w:t>ratione temporis</w:t>
            </w:r>
            <w:r w:rsidR="00FA150F">
              <w:rPr>
                <w:lang w:val="fr-FR"/>
              </w:rPr>
              <w:t xml:space="preserve"> du Comité ;</w:t>
            </w:r>
            <w:r w:rsidRPr="00322A9B">
              <w:rPr>
                <w:lang w:val="fr-FR"/>
              </w:rPr>
              <w:t xml:space="preserve"> compétence </w:t>
            </w:r>
            <w:r w:rsidRPr="00322A9B">
              <w:rPr>
                <w:i/>
                <w:lang w:val="fr-FR"/>
              </w:rPr>
              <w:t>ratione materiae</w:t>
            </w:r>
            <w:r w:rsidRPr="00322A9B">
              <w:rPr>
                <w:lang w:val="fr-FR"/>
              </w:rPr>
              <w:t xml:space="preserve"> du Comité</w:t>
            </w:r>
          </w:p>
        </w:tc>
      </w:tr>
      <w:tr w:rsidR="008C01DF" w:rsidTr="00216E0F">
        <w:tc>
          <w:tcPr>
            <w:tcW w:w="2552" w:type="dxa"/>
          </w:tcPr>
          <w:p w:rsidR="008C01DF" w:rsidRPr="00E472B5" w:rsidRDefault="008C01DF" w:rsidP="008C01DF">
            <w:pPr>
              <w:pStyle w:val="SingleTxtG"/>
              <w:ind w:left="0" w:right="0"/>
              <w:jc w:val="left"/>
            </w:pPr>
            <w:r>
              <w:rPr>
                <w:i/>
              </w:rPr>
              <w:t>Article(s) du Pacte</w:t>
            </w:r>
            <w:r>
              <w:t> :</w:t>
            </w:r>
          </w:p>
        </w:tc>
        <w:tc>
          <w:tcPr>
            <w:tcW w:w="4253" w:type="dxa"/>
            <w:vAlign w:val="bottom"/>
          </w:tcPr>
          <w:p w:rsidR="008C01DF" w:rsidRDefault="008C01DF" w:rsidP="00216E0F">
            <w:pPr>
              <w:pStyle w:val="SingleTxtG"/>
              <w:ind w:left="0" w:right="0"/>
              <w:jc w:val="left"/>
            </w:pPr>
            <w:r w:rsidRPr="00322A9B">
              <w:t>7 et 9</w:t>
            </w:r>
          </w:p>
        </w:tc>
      </w:tr>
      <w:tr w:rsidR="008C01DF" w:rsidTr="00216E0F">
        <w:tc>
          <w:tcPr>
            <w:tcW w:w="2552" w:type="dxa"/>
          </w:tcPr>
          <w:p w:rsidR="008C01DF" w:rsidRPr="00E472B5" w:rsidRDefault="008C01DF" w:rsidP="00432CC7">
            <w:pPr>
              <w:pStyle w:val="SingleTxtG"/>
              <w:ind w:left="0" w:right="0"/>
              <w:jc w:val="left"/>
            </w:pPr>
            <w:r>
              <w:rPr>
                <w:i/>
              </w:rPr>
              <w:t>Article(s) du Protocole facultatif</w:t>
            </w:r>
            <w:r>
              <w:t> :</w:t>
            </w:r>
          </w:p>
        </w:tc>
        <w:tc>
          <w:tcPr>
            <w:tcW w:w="4253" w:type="dxa"/>
            <w:vAlign w:val="bottom"/>
          </w:tcPr>
          <w:p w:rsidR="008C01DF" w:rsidRDefault="008C01DF" w:rsidP="00216E0F">
            <w:pPr>
              <w:pStyle w:val="SingleTxtG"/>
              <w:ind w:left="0" w:right="0"/>
              <w:jc w:val="left"/>
            </w:pPr>
            <w:r w:rsidRPr="00322A9B">
              <w:rPr>
                <w:lang w:val="fr-FR"/>
              </w:rPr>
              <w:t xml:space="preserve">2 et </w:t>
            </w:r>
            <w:r>
              <w:rPr>
                <w:lang w:val="fr-FR"/>
              </w:rPr>
              <w:t>3 (</w:t>
            </w:r>
            <w:r w:rsidRPr="00322A9B">
              <w:rPr>
                <w:lang w:val="fr-FR"/>
              </w:rPr>
              <w:t>par</w:t>
            </w:r>
            <w:r>
              <w:rPr>
                <w:lang w:val="fr-FR"/>
              </w:rPr>
              <w:t>.</w:t>
            </w:r>
            <w:r w:rsidRPr="00322A9B">
              <w:rPr>
                <w:lang w:val="fr-FR"/>
              </w:rPr>
              <w:t xml:space="preserve"> 2 </w:t>
            </w:r>
            <w:r>
              <w:rPr>
                <w:lang w:val="fr-FR"/>
              </w:rPr>
              <w:t>a) et b))</w:t>
            </w:r>
          </w:p>
        </w:tc>
      </w:tr>
    </w:tbl>
    <w:p w:rsidR="008C01DF" w:rsidRDefault="008C01DF" w:rsidP="008C01DF"/>
    <w:p w:rsidR="008C01DF" w:rsidRPr="00322A9B" w:rsidRDefault="008C01DF" w:rsidP="0059620D">
      <w:pPr>
        <w:pStyle w:val="HChG"/>
        <w:rPr>
          <w:lang w:val="fr-FR"/>
        </w:rPr>
      </w:pPr>
      <w:r>
        <w:br w:type="page"/>
      </w:r>
      <w:r w:rsidRPr="00322A9B">
        <w:rPr>
          <w:lang w:val="fr-FR"/>
        </w:rPr>
        <w:lastRenderedPageBreak/>
        <w:t>Annexe</w:t>
      </w:r>
    </w:p>
    <w:p w:rsidR="008C01DF" w:rsidRPr="00322A9B" w:rsidRDefault="008C01DF" w:rsidP="0059620D">
      <w:pPr>
        <w:pStyle w:val="HChG"/>
        <w:rPr>
          <w:lang w:val="fr-FR"/>
        </w:rPr>
      </w:pPr>
      <w:r w:rsidRPr="00322A9B">
        <w:rPr>
          <w:lang w:val="fr-FR"/>
        </w:rPr>
        <w:tab/>
      </w:r>
      <w:r w:rsidRPr="00322A9B">
        <w:rPr>
          <w:lang w:val="fr-FR"/>
        </w:rPr>
        <w:tab/>
        <w:t xml:space="preserve">Décision du Comité des droits économiques, sociaux </w:t>
      </w:r>
      <w:r w:rsidRPr="00322A9B">
        <w:rPr>
          <w:lang w:val="fr-FR"/>
        </w:rPr>
        <w:br/>
        <w:t xml:space="preserve">et culturels en vertu du Protocole facultatif </w:t>
      </w:r>
      <w:r w:rsidRPr="00322A9B">
        <w:rPr>
          <w:lang w:val="fr-FR"/>
        </w:rPr>
        <w:br/>
        <w:t>se rapportant au Pacte international relatif aux droits économiques, sociaux et culturels</w:t>
      </w:r>
      <w:r>
        <w:rPr>
          <w:lang w:val="fr-FR"/>
        </w:rPr>
        <w:t xml:space="preserve"> </w:t>
      </w:r>
      <w:r w:rsidRPr="00322A9B">
        <w:rPr>
          <w:lang w:val="fr-FR"/>
        </w:rPr>
        <w:t>(cinquante-sixième session)</w:t>
      </w:r>
    </w:p>
    <w:p w:rsidR="008C01DF" w:rsidRPr="00322A9B" w:rsidRDefault="008C01DF" w:rsidP="0059620D">
      <w:pPr>
        <w:pStyle w:val="H56G"/>
        <w:rPr>
          <w:lang w:val="fr-FR"/>
        </w:rPr>
      </w:pPr>
      <w:r w:rsidRPr="00322A9B">
        <w:rPr>
          <w:lang w:val="fr-FR"/>
        </w:rPr>
        <w:tab/>
      </w:r>
      <w:r w:rsidRPr="00322A9B">
        <w:rPr>
          <w:lang w:val="fr-FR"/>
        </w:rPr>
        <w:tab/>
        <w:t>concernant la</w:t>
      </w:r>
    </w:p>
    <w:p w:rsidR="008C01DF" w:rsidRDefault="008C01DF" w:rsidP="0059620D">
      <w:pPr>
        <w:pStyle w:val="H1G"/>
        <w:rPr>
          <w:lang w:val="fr-FR"/>
        </w:rPr>
      </w:pPr>
      <w:r w:rsidRPr="00322A9B">
        <w:rPr>
          <w:lang w:val="fr-FR"/>
        </w:rPr>
        <w:tab/>
      </w:r>
      <w:r w:rsidRPr="00322A9B">
        <w:rPr>
          <w:lang w:val="fr-FR"/>
        </w:rPr>
        <w:tab/>
        <w:t>Communication n</w:t>
      </w:r>
      <w:r w:rsidRPr="00322A9B">
        <w:rPr>
          <w:vertAlign w:val="superscript"/>
          <w:lang w:val="fr-FR"/>
        </w:rPr>
        <w:t>o</w:t>
      </w:r>
      <w:r w:rsidRPr="00322A9B">
        <w:rPr>
          <w:lang w:val="fr-FR"/>
        </w:rPr>
        <w:t> 8/2015</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4961"/>
      </w:tblGrid>
      <w:tr w:rsidR="008C01DF" w:rsidRPr="005D29C8" w:rsidTr="00216E0F">
        <w:tc>
          <w:tcPr>
            <w:tcW w:w="1843" w:type="dxa"/>
          </w:tcPr>
          <w:p w:rsidR="008C01DF" w:rsidRPr="005D29C8" w:rsidRDefault="008C01DF" w:rsidP="00216E0F">
            <w:pPr>
              <w:spacing w:after="120"/>
              <w:rPr>
                <w:i/>
              </w:rPr>
            </w:pPr>
            <w:r w:rsidRPr="005D29C8">
              <w:rPr>
                <w:i/>
              </w:rPr>
              <w:t>Présentée par</w:t>
            </w:r>
            <w:r>
              <w:t> :</w:t>
            </w:r>
          </w:p>
        </w:tc>
        <w:tc>
          <w:tcPr>
            <w:tcW w:w="4961" w:type="dxa"/>
          </w:tcPr>
          <w:p w:rsidR="008C01DF" w:rsidRPr="005D29C8" w:rsidRDefault="008C01DF" w:rsidP="00216E0F">
            <w:pPr>
              <w:spacing w:after="120"/>
            </w:pPr>
            <w:r w:rsidRPr="00322A9B">
              <w:rPr>
                <w:lang w:val="fr-FR"/>
              </w:rPr>
              <w:t xml:space="preserve">L.A.M.C. (représenté par </w:t>
            </w:r>
            <w:r>
              <w:rPr>
                <w:lang w:val="fr-FR"/>
              </w:rPr>
              <w:t>un conseil,</w:t>
            </w:r>
            <w:r w:rsidR="0059620D">
              <w:rPr>
                <w:lang w:val="fr-FR"/>
              </w:rPr>
              <w:t xml:space="preserve"> Antonio Álvarez</w:t>
            </w:r>
            <w:r w:rsidR="0059620D">
              <w:rPr>
                <w:lang w:val="fr-FR"/>
              </w:rPr>
              <w:noBreakHyphen/>
            </w:r>
            <w:r w:rsidRPr="00322A9B">
              <w:rPr>
                <w:lang w:val="fr-FR"/>
              </w:rPr>
              <w:t>Ossorio Gálvez)</w:t>
            </w:r>
          </w:p>
        </w:tc>
      </w:tr>
      <w:tr w:rsidR="008C01DF" w:rsidRPr="005D29C8" w:rsidTr="00216E0F">
        <w:tc>
          <w:tcPr>
            <w:tcW w:w="1843" w:type="dxa"/>
          </w:tcPr>
          <w:p w:rsidR="008C01DF" w:rsidRPr="005D29C8" w:rsidRDefault="008C01DF" w:rsidP="00216E0F">
            <w:pPr>
              <w:spacing w:after="120"/>
              <w:rPr>
                <w:i/>
              </w:rPr>
            </w:pPr>
            <w:r w:rsidRPr="005D29C8">
              <w:rPr>
                <w:i/>
              </w:rPr>
              <w:t>Au nom de</w:t>
            </w:r>
            <w:r>
              <w:t> :</w:t>
            </w:r>
          </w:p>
        </w:tc>
        <w:tc>
          <w:tcPr>
            <w:tcW w:w="4961" w:type="dxa"/>
          </w:tcPr>
          <w:p w:rsidR="008C01DF" w:rsidRPr="005D29C8" w:rsidRDefault="008C01DF" w:rsidP="00216E0F">
            <w:pPr>
              <w:spacing w:after="120"/>
            </w:pPr>
            <w:r w:rsidRPr="00322A9B">
              <w:rPr>
                <w:lang w:val="fr-FR"/>
              </w:rPr>
              <w:t>L</w:t>
            </w:r>
            <w:r w:rsidR="0059620D">
              <w:rPr>
                <w:lang w:val="fr-FR"/>
              </w:rPr>
              <w:t>’</w:t>
            </w:r>
            <w:r w:rsidRPr="00322A9B">
              <w:rPr>
                <w:lang w:val="fr-FR"/>
              </w:rPr>
              <w:t>auteur</w:t>
            </w:r>
          </w:p>
        </w:tc>
      </w:tr>
      <w:tr w:rsidR="008C01DF" w:rsidRPr="005D29C8" w:rsidTr="00216E0F">
        <w:tc>
          <w:tcPr>
            <w:tcW w:w="1843" w:type="dxa"/>
          </w:tcPr>
          <w:p w:rsidR="008C01DF" w:rsidRPr="005D29C8" w:rsidRDefault="008C01DF" w:rsidP="00216E0F">
            <w:pPr>
              <w:spacing w:after="120"/>
              <w:rPr>
                <w:i/>
              </w:rPr>
            </w:pPr>
            <w:r w:rsidRPr="005D29C8">
              <w:rPr>
                <w:i/>
              </w:rPr>
              <w:t>État partie</w:t>
            </w:r>
            <w:r>
              <w:t> :</w:t>
            </w:r>
          </w:p>
        </w:tc>
        <w:tc>
          <w:tcPr>
            <w:tcW w:w="4961" w:type="dxa"/>
          </w:tcPr>
          <w:p w:rsidR="008C01DF" w:rsidRPr="005D29C8" w:rsidRDefault="008C01DF" w:rsidP="00216E0F">
            <w:pPr>
              <w:spacing w:after="120"/>
            </w:pPr>
            <w:r w:rsidRPr="00322A9B">
              <w:rPr>
                <w:lang w:val="fr-FR"/>
              </w:rPr>
              <w:t>Espagne</w:t>
            </w:r>
          </w:p>
        </w:tc>
      </w:tr>
      <w:tr w:rsidR="008C01DF" w:rsidRPr="005D29C8" w:rsidTr="00216E0F">
        <w:tc>
          <w:tcPr>
            <w:tcW w:w="1843" w:type="dxa"/>
          </w:tcPr>
          <w:p w:rsidR="008C01DF" w:rsidRPr="005D29C8" w:rsidRDefault="008C01DF" w:rsidP="00216E0F">
            <w:pPr>
              <w:spacing w:after="120"/>
              <w:rPr>
                <w:i/>
              </w:rPr>
            </w:pPr>
            <w:r w:rsidRPr="005D29C8">
              <w:rPr>
                <w:i/>
              </w:rPr>
              <w:t xml:space="preserve">Date de la </w:t>
            </w:r>
            <w:r>
              <w:rPr>
                <w:i/>
              </w:rPr>
              <w:t>requête</w:t>
            </w:r>
            <w:r>
              <w:t> :</w:t>
            </w:r>
          </w:p>
        </w:tc>
        <w:tc>
          <w:tcPr>
            <w:tcW w:w="4961" w:type="dxa"/>
          </w:tcPr>
          <w:p w:rsidR="008C01DF" w:rsidRPr="005D29C8" w:rsidRDefault="008C01DF" w:rsidP="00216E0F">
            <w:pPr>
              <w:spacing w:after="120"/>
            </w:pPr>
            <w:r w:rsidRPr="00322A9B">
              <w:rPr>
                <w:lang w:val="fr-FR"/>
              </w:rPr>
              <w:t>14 avril 2015 (date d</w:t>
            </w:r>
            <w:r w:rsidR="0059620D">
              <w:rPr>
                <w:lang w:val="fr-FR"/>
              </w:rPr>
              <w:t>’</w:t>
            </w:r>
            <w:r w:rsidRPr="00322A9B">
              <w:rPr>
                <w:lang w:val="fr-FR"/>
              </w:rPr>
              <w:t>expédition dans l</w:t>
            </w:r>
            <w:r w:rsidR="0059620D">
              <w:rPr>
                <w:lang w:val="fr-FR"/>
              </w:rPr>
              <w:t>’</w:t>
            </w:r>
            <w:r w:rsidRPr="00322A9B">
              <w:rPr>
                <w:lang w:val="fr-FR"/>
              </w:rPr>
              <w:t>État partie, le cachet de la poste faisant foi)</w:t>
            </w:r>
          </w:p>
        </w:tc>
      </w:tr>
    </w:tbl>
    <w:p w:rsidR="008C01DF" w:rsidRPr="00322A9B" w:rsidRDefault="008C01DF" w:rsidP="0059620D">
      <w:pPr>
        <w:pStyle w:val="SingleTxtG"/>
        <w:ind w:firstLine="567"/>
        <w:rPr>
          <w:lang w:val="fr-FR"/>
        </w:rPr>
      </w:pPr>
      <w:r w:rsidRPr="00322A9B">
        <w:rPr>
          <w:i/>
          <w:lang w:val="fr-FR"/>
        </w:rPr>
        <w:t>Le Comité des droits économiques, sociaux et culturels</w:t>
      </w:r>
      <w:r w:rsidRPr="00322A9B">
        <w:rPr>
          <w:lang w:val="fr-FR"/>
        </w:rPr>
        <w:t xml:space="preserve">, </w:t>
      </w:r>
      <w:r>
        <w:rPr>
          <w:lang w:val="fr-FR"/>
        </w:rPr>
        <w:t>institué</w:t>
      </w:r>
      <w:r w:rsidRPr="00322A9B">
        <w:rPr>
          <w:lang w:val="fr-FR"/>
        </w:rPr>
        <w:t xml:space="preserve"> en vertu de la résolution 1985/17 du Conseil économique et social,</w:t>
      </w:r>
      <w:r w:rsidR="0059620D">
        <w:rPr>
          <w:lang w:val="fr-FR"/>
        </w:rPr>
        <w:t xml:space="preserve"> du 28 </w:t>
      </w:r>
      <w:r w:rsidRPr="00322A9B">
        <w:rPr>
          <w:lang w:val="fr-FR"/>
        </w:rPr>
        <w:t>mai 1985</w:t>
      </w:r>
      <w:r>
        <w:rPr>
          <w:lang w:val="fr-FR"/>
        </w:rPr>
        <w:t>,</w:t>
      </w:r>
    </w:p>
    <w:p w:rsidR="008C01DF" w:rsidRPr="00322A9B" w:rsidRDefault="008C01DF" w:rsidP="0059620D">
      <w:pPr>
        <w:pStyle w:val="SingleTxtG"/>
        <w:ind w:firstLine="567"/>
        <w:rPr>
          <w:lang w:val="fr-FR"/>
        </w:rPr>
      </w:pPr>
      <w:r w:rsidRPr="00322A9B">
        <w:rPr>
          <w:i/>
          <w:lang w:val="fr-FR"/>
        </w:rPr>
        <w:t xml:space="preserve">Réuni </w:t>
      </w:r>
      <w:r w:rsidRPr="006A71D1">
        <w:rPr>
          <w:lang w:val="fr-FR"/>
        </w:rPr>
        <w:t>le</w:t>
      </w:r>
      <w:r w:rsidRPr="00322A9B">
        <w:rPr>
          <w:lang w:val="fr-FR"/>
        </w:rPr>
        <w:t xml:space="preserve"> 24 septembre 2015,</w:t>
      </w:r>
    </w:p>
    <w:p w:rsidR="008C01DF" w:rsidRPr="00322A9B" w:rsidRDefault="008C01DF" w:rsidP="0059620D">
      <w:pPr>
        <w:pStyle w:val="SingleTxtG"/>
        <w:ind w:firstLine="567"/>
        <w:rPr>
          <w:lang w:val="fr-FR"/>
        </w:rPr>
      </w:pPr>
      <w:r w:rsidRPr="00322A9B">
        <w:rPr>
          <w:i/>
          <w:lang w:val="fr-FR"/>
        </w:rPr>
        <w:t>Ayant achevé</w:t>
      </w:r>
      <w:r w:rsidRPr="00322A9B">
        <w:rPr>
          <w:lang w:val="fr-FR"/>
        </w:rPr>
        <w:t xml:space="preserve"> l</w:t>
      </w:r>
      <w:r w:rsidR="0059620D">
        <w:rPr>
          <w:lang w:val="fr-FR"/>
        </w:rPr>
        <w:t>’</w:t>
      </w:r>
      <w:r w:rsidRPr="00322A9B">
        <w:rPr>
          <w:lang w:val="fr-FR"/>
        </w:rPr>
        <w:t>examen de la communication</w:t>
      </w:r>
      <w:r w:rsidRPr="00322A9B">
        <w:rPr>
          <w:i/>
          <w:lang w:val="fr-FR"/>
        </w:rPr>
        <w:t xml:space="preserve"> </w:t>
      </w:r>
      <w:r w:rsidRPr="00322A9B">
        <w:rPr>
          <w:lang w:val="fr-FR"/>
        </w:rPr>
        <w:t>n</w:t>
      </w:r>
      <w:r w:rsidRPr="00322A9B">
        <w:rPr>
          <w:vertAlign w:val="superscript"/>
          <w:lang w:val="fr-FR"/>
        </w:rPr>
        <w:t>o</w:t>
      </w:r>
      <w:r w:rsidRPr="00322A9B">
        <w:rPr>
          <w:lang w:val="fr-FR"/>
        </w:rPr>
        <w:t xml:space="preserve"> 8/2015, </w:t>
      </w:r>
      <w:r>
        <w:rPr>
          <w:lang w:val="fr-FR"/>
        </w:rPr>
        <w:t>présentée</w:t>
      </w:r>
      <w:r w:rsidRPr="00322A9B">
        <w:rPr>
          <w:lang w:val="fr-FR"/>
        </w:rPr>
        <w:t xml:space="preserve"> au Comité en vertu du Protocole facultatif se rapportant au Pacte international relatif aux droits économiques, sociaux et culturels,</w:t>
      </w:r>
    </w:p>
    <w:p w:rsidR="008C01DF" w:rsidRPr="00322A9B" w:rsidRDefault="008C01DF" w:rsidP="0059620D">
      <w:pPr>
        <w:pStyle w:val="SingleTxtG"/>
        <w:ind w:firstLine="567"/>
        <w:rPr>
          <w:lang w:val="fr-FR"/>
        </w:rPr>
      </w:pPr>
      <w:r w:rsidRPr="00322A9B">
        <w:rPr>
          <w:i/>
          <w:lang w:val="fr-FR"/>
        </w:rPr>
        <w:t xml:space="preserve">Adopte </w:t>
      </w:r>
      <w:r w:rsidRPr="00322A9B">
        <w:rPr>
          <w:lang w:val="fr-FR"/>
        </w:rPr>
        <w:t>ce qui suit :</w:t>
      </w:r>
    </w:p>
    <w:p w:rsidR="008C01DF" w:rsidRPr="00322A9B" w:rsidRDefault="008C01DF" w:rsidP="0059620D">
      <w:pPr>
        <w:pStyle w:val="H1G"/>
        <w:rPr>
          <w:lang w:val="fr-FR"/>
        </w:rPr>
      </w:pPr>
      <w:r w:rsidRPr="00322A9B">
        <w:rPr>
          <w:lang w:val="fr-FR"/>
        </w:rPr>
        <w:tab/>
      </w:r>
      <w:r w:rsidRPr="00322A9B">
        <w:rPr>
          <w:lang w:val="fr-FR"/>
        </w:rPr>
        <w:tab/>
        <w:t xml:space="preserve">Décision </w:t>
      </w:r>
      <w:r>
        <w:rPr>
          <w:lang w:val="fr-FR"/>
        </w:rPr>
        <w:t>concernant</w:t>
      </w:r>
      <w:r w:rsidRPr="00322A9B">
        <w:rPr>
          <w:lang w:val="fr-FR"/>
        </w:rPr>
        <w:t xml:space="preserve"> la recevabilité</w:t>
      </w:r>
    </w:p>
    <w:p w:rsidR="008C01DF" w:rsidRPr="00322A9B" w:rsidRDefault="008C01DF" w:rsidP="0059620D">
      <w:pPr>
        <w:pStyle w:val="SingleTxtG"/>
      </w:pPr>
      <w:r w:rsidRPr="00322A9B">
        <w:t>1.1</w:t>
      </w:r>
      <w:r w:rsidRPr="00322A9B">
        <w:tab/>
        <w:t>L</w:t>
      </w:r>
      <w:r w:rsidR="0059620D">
        <w:t>’</w:t>
      </w:r>
      <w:r w:rsidRPr="00322A9B">
        <w:t>auteur</w:t>
      </w:r>
      <w:r w:rsidR="00B32330">
        <w:t xml:space="preserve"> de la communication est L.A.M.C</w:t>
      </w:r>
      <w:r w:rsidRPr="00322A9B">
        <w:t xml:space="preserve">., </w:t>
      </w:r>
      <w:r>
        <w:t xml:space="preserve">majeur et </w:t>
      </w:r>
      <w:r w:rsidRPr="00322A9B">
        <w:t>ressortissant espagnol. Il se dit victime d</w:t>
      </w:r>
      <w:r w:rsidR="0059620D">
        <w:t>’</w:t>
      </w:r>
      <w:r w:rsidRPr="00322A9B">
        <w:t>une violation par l</w:t>
      </w:r>
      <w:r w:rsidR="0059620D">
        <w:t>’</w:t>
      </w:r>
      <w:r>
        <w:t>État partie</w:t>
      </w:r>
      <w:r w:rsidRPr="00322A9B">
        <w:t xml:space="preserve"> des droits qu</w:t>
      </w:r>
      <w:r w:rsidR="0059620D">
        <w:t>’</w:t>
      </w:r>
      <w:r w:rsidRPr="00322A9B">
        <w:t>il tient des articles 7 et 9 du Pacte international relatif aux droits économiques, sociaux et culturels</w:t>
      </w:r>
      <w:r w:rsidR="00326F05">
        <w:rPr>
          <w:rStyle w:val="Appelnotedebasdep"/>
        </w:rPr>
        <w:footnoteReference w:id="2"/>
      </w:r>
      <w:r w:rsidRPr="00322A9B">
        <w:t>. Il affirme, en outre, que l</w:t>
      </w:r>
      <w:r w:rsidR="0059620D">
        <w:t>’</w:t>
      </w:r>
      <w:r w:rsidRPr="00322A9B">
        <w:t>État partie a également enfreint les droits qui lui sont reconnus au</w:t>
      </w:r>
      <w:r>
        <w:t xml:space="preserve"> paragraphe 1 de l</w:t>
      </w:r>
      <w:r w:rsidR="0059620D">
        <w:t>’</w:t>
      </w:r>
      <w:r>
        <w:t>a</w:t>
      </w:r>
      <w:r w:rsidRPr="00322A9B">
        <w:t xml:space="preserve">rticle 12 et </w:t>
      </w:r>
      <w:r>
        <w:t>à l</w:t>
      </w:r>
      <w:r w:rsidR="0059620D">
        <w:t>’</w:t>
      </w:r>
      <w:r>
        <w:t xml:space="preserve">article </w:t>
      </w:r>
      <w:r w:rsidRPr="00322A9B">
        <w:t>26 du Pacte international relatif aux droits civils et politiques. L</w:t>
      </w:r>
      <w:r w:rsidR="0059620D">
        <w:t>’</w:t>
      </w:r>
      <w:r w:rsidRPr="00322A9B">
        <w:t>auteur est représenté par un conseil.</w:t>
      </w:r>
    </w:p>
    <w:p w:rsidR="008C01DF" w:rsidRPr="00322A9B" w:rsidRDefault="008C01DF" w:rsidP="0059620D">
      <w:pPr>
        <w:pStyle w:val="SingleTxtG"/>
      </w:pPr>
      <w:r w:rsidRPr="00322A9B">
        <w:t>1.2</w:t>
      </w:r>
      <w:r w:rsidRPr="00322A9B">
        <w:tab/>
        <w:t>Le 16 juin 2015, le Groupe de travail des communications, agissant au nom du Comité, a estimé qu</w:t>
      </w:r>
      <w:r w:rsidR="0059620D">
        <w:t>’</w:t>
      </w:r>
      <w:r w:rsidRPr="00322A9B">
        <w:t>il n</w:t>
      </w:r>
      <w:r w:rsidR="0059620D">
        <w:t>’</w:t>
      </w:r>
      <w:r w:rsidRPr="00322A9B">
        <w:t>avait pas besoin des observations de l</w:t>
      </w:r>
      <w:r w:rsidR="0059620D">
        <w:t>’</w:t>
      </w:r>
      <w:r w:rsidRPr="00322A9B">
        <w:t>État partie pour se prononcer sur la recevabilité de la communication. Par conséquent, la présente communication n</w:t>
      </w:r>
      <w:r w:rsidR="0059620D">
        <w:t>’</w:t>
      </w:r>
      <w:r w:rsidRPr="00322A9B">
        <w:t>a pas été portée à l</w:t>
      </w:r>
      <w:r w:rsidR="0059620D">
        <w:t>’</w:t>
      </w:r>
      <w:r w:rsidRPr="00322A9B">
        <w:t>attention de l</w:t>
      </w:r>
      <w:r w:rsidR="0059620D">
        <w:t>’</w:t>
      </w:r>
      <w:r w:rsidRPr="00322A9B">
        <w:t>État partie, conformément au paragraphe 1 de l</w:t>
      </w:r>
      <w:r w:rsidR="0059620D">
        <w:t>’</w:t>
      </w:r>
      <w:r w:rsidRPr="00322A9B">
        <w:t>article 6 du Protocole facultatif.</w:t>
      </w:r>
    </w:p>
    <w:p w:rsidR="008C01DF" w:rsidRPr="00322A9B" w:rsidRDefault="008C01DF" w:rsidP="0059620D">
      <w:pPr>
        <w:pStyle w:val="H23G"/>
      </w:pPr>
      <w:r w:rsidRPr="00322A9B">
        <w:lastRenderedPageBreak/>
        <w:tab/>
      </w:r>
      <w:r w:rsidRPr="00322A9B">
        <w:tab/>
        <w:t>Rappel des faits présentés par l</w:t>
      </w:r>
      <w:r w:rsidR="0059620D">
        <w:t>’</w:t>
      </w:r>
      <w:r w:rsidRPr="00322A9B">
        <w:t>auteur</w:t>
      </w:r>
    </w:p>
    <w:p w:rsidR="008C01DF" w:rsidRPr="00322A9B" w:rsidRDefault="008C01DF" w:rsidP="0059620D">
      <w:pPr>
        <w:pStyle w:val="SingleTxtG"/>
      </w:pPr>
      <w:r w:rsidRPr="00322A9B">
        <w:t>2.1</w:t>
      </w:r>
      <w:r w:rsidRPr="00322A9B">
        <w:tab/>
        <w:t>L</w:t>
      </w:r>
      <w:r w:rsidR="0059620D">
        <w:t>’</w:t>
      </w:r>
      <w:r w:rsidRPr="00322A9B">
        <w:t>auteur a travaillé dans une banque (ci-après « la banque ») du 1</w:t>
      </w:r>
      <w:r w:rsidRPr="00322A9B">
        <w:rPr>
          <w:vertAlign w:val="superscript"/>
        </w:rPr>
        <w:t>er</w:t>
      </w:r>
      <w:r w:rsidRPr="00322A9B">
        <w:t xml:space="preserve"> juin 1973 au 20 novembre 2002. Lorsque sa relation contractuelle avec la banque a pris fin pour cause de licenciement, il avait le statut de </w:t>
      </w:r>
      <w:r>
        <w:t>t</w:t>
      </w:r>
      <w:r w:rsidRPr="00322A9B">
        <w:t>echnicien de niveau 1.</w:t>
      </w:r>
    </w:p>
    <w:p w:rsidR="008C01DF" w:rsidRPr="00322A9B" w:rsidRDefault="008C01DF" w:rsidP="0059620D">
      <w:pPr>
        <w:pStyle w:val="SingleTxtG"/>
      </w:pPr>
      <w:r w:rsidRPr="00322A9B">
        <w:t>2.2</w:t>
      </w:r>
      <w:r w:rsidRPr="00322A9B">
        <w:tab/>
        <w:t>Le 26 novembre 1999, la dix-huitième convention collect</w:t>
      </w:r>
      <w:r w:rsidR="00B32330">
        <w:t>ive du secteur bancaire (ci</w:t>
      </w:r>
      <w:r w:rsidR="00B32330">
        <w:noBreakHyphen/>
      </w:r>
      <w:r w:rsidRPr="00322A9B">
        <w:t>après « la convention ») a été publiée au Journal officiel. Le chapitre</w:t>
      </w:r>
      <w:r>
        <w:t> </w:t>
      </w:r>
      <w:r w:rsidRPr="00322A9B">
        <w:t>VI de cet accord rég</w:t>
      </w:r>
      <w:r>
        <w:t>issait</w:t>
      </w:r>
      <w:r w:rsidRPr="00322A9B">
        <w:t xml:space="preserve"> les prestations complémentaires en cas de maladie, d</w:t>
      </w:r>
      <w:r w:rsidR="0059620D">
        <w:t>’</w:t>
      </w:r>
      <w:r w:rsidRPr="00322A9B">
        <w:t>in</w:t>
      </w:r>
      <w:r>
        <w:t>validité</w:t>
      </w:r>
      <w:r w:rsidRPr="00322A9B">
        <w:t xml:space="preserve"> totale, </w:t>
      </w:r>
      <w:r>
        <w:t>permanente</w:t>
      </w:r>
      <w:r w:rsidRPr="00322A9B">
        <w:t xml:space="preserve"> ou absolue, de départ à la retraite ou de décès, ainsi que les pensions de retraite du personnel des banques. En application de cette disposition, un fonds a été créé par la banque pour financer ces prestations complémentaires.</w:t>
      </w:r>
    </w:p>
    <w:p w:rsidR="008C01DF" w:rsidRPr="00322A9B" w:rsidRDefault="008C01DF" w:rsidP="0059620D">
      <w:pPr>
        <w:pStyle w:val="SingleTxtG"/>
      </w:pPr>
      <w:r w:rsidRPr="00322A9B">
        <w:t>2.3</w:t>
      </w:r>
      <w:r w:rsidRPr="00322A9B">
        <w:tab/>
        <w:t>Le 15 novembre 2002, conformément au décret royal n</w:t>
      </w:r>
      <w:r w:rsidRPr="00322A9B">
        <w:rPr>
          <w:vertAlign w:val="superscript"/>
        </w:rPr>
        <w:t>o</w:t>
      </w:r>
      <w:r w:rsidRPr="00322A9B">
        <w:t> 1588/1999, la banque a contracté des polices d</w:t>
      </w:r>
      <w:r w:rsidR="0059620D">
        <w:t>’</w:t>
      </w:r>
      <w:r w:rsidRPr="00322A9B">
        <w:t>assurance auprès d</w:t>
      </w:r>
      <w:r w:rsidR="0059620D">
        <w:t>’</w:t>
      </w:r>
      <w:r w:rsidRPr="00322A9B">
        <w:t>une entreprise d</w:t>
      </w:r>
      <w:r w:rsidR="0059620D">
        <w:t>’</w:t>
      </w:r>
      <w:r w:rsidRPr="00322A9B">
        <w:t>assurance afin de garantir à ses travailleurs en activité les prestations complémentaires établies par la convention. L</w:t>
      </w:r>
      <w:r w:rsidR="0059620D">
        <w:t>’</w:t>
      </w:r>
      <w:r w:rsidRPr="00322A9B">
        <w:t>auteur figurait parmi les bénéficiaires de la police selon les conditions</w:t>
      </w:r>
      <w:bookmarkStart w:id="0" w:name="_GoBack"/>
      <w:bookmarkEnd w:id="0"/>
      <w:r w:rsidRPr="00322A9B">
        <w:t xml:space="preserve"> établies dans les certificats d</w:t>
      </w:r>
      <w:r w:rsidR="0059620D">
        <w:t>’</w:t>
      </w:r>
      <w:r w:rsidRPr="00322A9B">
        <w:t>assurance individuels.</w:t>
      </w:r>
    </w:p>
    <w:p w:rsidR="008C01DF" w:rsidRPr="00322A9B" w:rsidRDefault="008C01DF" w:rsidP="0059620D">
      <w:pPr>
        <w:pStyle w:val="SingleTxtG"/>
      </w:pPr>
      <w:r w:rsidRPr="00322A9B">
        <w:t>2.4</w:t>
      </w:r>
      <w:r w:rsidRPr="00322A9B">
        <w:tab/>
        <w:t>L</w:t>
      </w:r>
      <w:r w:rsidR="0059620D">
        <w:t>’</w:t>
      </w:r>
      <w:r w:rsidRPr="00322A9B">
        <w:t xml:space="preserve">auteur indique avoir été licencié par la banque le 20 novembre 2002. Il a par la suite demandé à la banque de lui verser </w:t>
      </w:r>
      <w:r>
        <w:t>la réserve actuarielle correspondant aux droits à pension déjà acquis</w:t>
      </w:r>
      <w:r w:rsidR="00326F05">
        <w:rPr>
          <w:rStyle w:val="Appelnotedebasdep"/>
        </w:rPr>
        <w:footnoteReference w:id="3"/>
      </w:r>
      <w:r w:rsidRPr="00322A9B">
        <w:t>. La banque n</w:t>
      </w:r>
      <w:r w:rsidR="0059620D">
        <w:t>’</w:t>
      </w:r>
      <w:r w:rsidRPr="00322A9B">
        <w:t>a toutefois pas fait droit à sa demande et a, au contraire, exercé le droit de recouvrement prévu à la clause 003 de la police sur la somme correspondant aux montants qu</w:t>
      </w:r>
      <w:r w:rsidR="0059620D">
        <w:t>’</w:t>
      </w:r>
      <w:r w:rsidRPr="00322A9B">
        <w:t>elle avait versés au titre des prestations de retraite en qualité de Preneur.</w:t>
      </w:r>
    </w:p>
    <w:p w:rsidR="008C01DF" w:rsidRPr="00322A9B" w:rsidRDefault="008C01DF" w:rsidP="0059620D">
      <w:pPr>
        <w:pStyle w:val="SingleTxtG"/>
        <w:rPr>
          <w:spacing w:val="2"/>
          <w:w w:val="101"/>
        </w:rPr>
      </w:pPr>
      <w:r w:rsidRPr="00322A9B">
        <w:rPr>
          <w:spacing w:val="2"/>
          <w:w w:val="101"/>
        </w:rPr>
        <w:t>2.5</w:t>
      </w:r>
      <w:r w:rsidRPr="00322A9B">
        <w:rPr>
          <w:spacing w:val="2"/>
          <w:w w:val="101"/>
        </w:rPr>
        <w:tab/>
        <w:t>Le 3 octobre 2006, l</w:t>
      </w:r>
      <w:r w:rsidR="0059620D">
        <w:rPr>
          <w:spacing w:val="2"/>
          <w:w w:val="101"/>
        </w:rPr>
        <w:t>’</w:t>
      </w:r>
      <w:r w:rsidRPr="00322A9B">
        <w:rPr>
          <w:spacing w:val="2"/>
          <w:w w:val="101"/>
        </w:rPr>
        <w:t>auteur a assigné la banque et la compagnie d</w:t>
      </w:r>
      <w:r w:rsidR="0059620D">
        <w:rPr>
          <w:spacing w:val="2"/>
          <w:w w:val="101"/>
        </w:rPr>
        <w:t>’</w:t>
      </w:r>
      <w:r w:rsidRPr="00322A9B">
        <w:rPr>
          <w:spacing w:val="2"/>
          <w:w w:val="101"/>
        </w:rPr>
        <w:t>assurance devant le tribunal des affaires sociales n</w:t>
      </w:r>
      <w:r w:rsidRPr="00322A9B">
        <w:rPr>
          <w:spacing w:val="2"/>
          <w:w w:val="101"/>
          <w:vertAlign w:val="superscript"/>
        </w:rPr>
        <w:t>o</w:t>
      </w:r>
      <w:r w:rsidRPr="00322A9B">
        <w:rPr>
          <w:spacing w:val="2"/>
          <w:w w:val="101"/>
        </w:rPr>
        <w:t xml:space="preserve"> 6 de Madrid </w:t>
      </w:r>
      <w:r w:rsidR="0059620D">
        <w:rPr>
          <w:spacing w:val="2"/>
          <w:w w:val="101"/>
        </w:rPr>
        <w:t>(ci-après « </w:t>
      </w:r>
      <w:r w:rsidRPr="00322A9B">
        <w:rPr>
          <w:spacing w:val="2"/>
          <w:w w:val="101"/>
        </w:rPr>
        <w:t>tribunal n</w:t>
      </w:r>
      <w:r w:rsidRPr="00322A9B">
        <w:rPr>
          <w:spacing w:val="2"/>
          <w:w w:val="101"/>
          <w:vertAlign w:val="superscript"/>
        </w:rPr>
        <w:t>o</w:t>
      </w:r>
      <w:r w:rsidRPr="00322A9B">
        <w:rPr>
          <w:spacing w:val="2"/>
          <w:w w:val="101"/>
        </w:rPr>
        <w:t> 6 de Madrid</w:t>
      </w:r>
      <w:r w:rsidR="0059620D">
        <w:rPr>
          <w:spacing w:val="2"/>
          <w:w w:val="101"/>
        </w:rPr>
        <w:t> »</w:t>
      </w:r>
      <w:r w:rsidRPr="00322A9B">
        <w:rPr>
          <w:spacing w:val="2"/>
          <w:w w:val="101"/>
        </w:rPr>
        <w:t xml:space="preserve">) et demandé que soit fait valoir son droit au recouvrement du montant provisionné en sa faveur dans le </w:t>
      </w:r>
      <w:r w:rsidRPr="0059620D">
        <w:t>fonds</w:t>
      </w:r>
      <w:r w:rsidRPr="00322A9B">
        <w:rPr>
          <w:spacing w:val="2"/>
          <w:w w:val="101"/>
        </w:rPr>
        <w:t xml:space="preserve"> jusqu</w:t>
      </w:r>
      <w:r w:rsidR="0059620D">
        <w:rPr>
          <w:spacing w:val="2"/>
          <w:w w:val="101"/>
        </w:rPr>
        <w:t>’</w:t>
      </w:r>
      <w:r w:rsidRPr="00322A9B">
        <w:rPr>
          <w:spacing w:val="2"/>
          <w:w w:val="101"/>
        </w:rPr>
        <w:t>au 15 novembre 2002 et, ensuite, dans le contrat d</w:t>
      </w:r>
      <w:r w:rsidR="0059620D">
        <w:rPr>
          <w:spacing w:val="2"/>
          <w:w w:val="101"/>
        </w:rPr>
        <w:t>’</w:t>
      </w:r>
      <w:r w:rsidRPr="00322A9B">
        <w:rPr>
          <w:spacing w:val="2"/>
          <w:w w:val="101"/>
        </w:rPr>
        <w:t>assurance, somme qui s</w:t>
      </w:r>
      <w:r w:rsidR="0059620D">
        <w:rPr>
          <w:spacing w:val="2"/>
          <w:w w:val="101"/>
        </w:rPr>
        <w:t>’</w:t>
      </w:r>
      <w:r w:rsidRPr="00322A9B">
        <w:rPr>
          <w:spacing w:val="2"/>
          <w:w w:val="101"/>
        </w:rPr>
        <w:t>élevait à 126 961,31 euros.</w:t>
      </w:r>
    </w:p>
    <w:p w:rsidR="008C01DF" w:rsidRPr="00322A9B" w:rsidRDefault="008C01DF" w:rsidP="0059620D">
      <w:pPr>
        <w:pStyle w:val="SingleTxtG"/>
        <w:rPr>
          <w:spacing w:val="2"/>
        </w:rPr>
      </w:pPr>
      <w:r w:rsidRPr="00322A9B">
        <w:rPr>
          <w:spacing w:val="2"/>
        </w:rPr>
        <w:t>2.6</w:t>
      </w:r>
      <w:r w:rsidRPr="00322A9B">
        <w:rPr>
          <w:spacing w:val="2"/>
        </w:rPr>
        <w:tab/>
        <w:t>Le 15 décembre 2006, le tribunal n</w:t>
      </w:r>
      <w:r w:rsidRPr="00322A9B">
        <w:rPr>
          <w:spacing w:val="2"/>
          <w:vertAlign w:val="superscript"/>
        </w:rPr>
        <w:t>o</w:t>
      </w:r>
      <w:r w:rsidRPr="00322A9B">
        <w:rPr>
          <w:spacing w:val="2"/>
        </w:rPr>
        <w:t> 6 a débouté l</w:t>
      </w:r>
      <w:r w:rsidR="0059620D">
        <w:rPr>
          <w:spacing w:val="2"/>
        </w:rPr>
        <w:t>’</w:t>
      </w:r>
      <w:r w:rsidRPr="00322A9B">
        <w:rPr>
          <w:spacing w:val="2"/>
        </w:rPr>
        <w:t>auteur. Il a considéré que la convention collective établissait le droit des travailleurs de bénéficier d</w:t>
      </w:r>
      <w:r w:rsidR="0059620D">
        <w:rPr>
          <w:spacing w:val="2"/>
        </w:rPr>
        <w:t>’</w:t>
      </w:r>
      <w:r w:rsidRPr="00322A9B">
        <w:rPr>
          <w:spacing w:val="2"/>
        </w:rPr>
        <w:t xml:space="preserve">avantages (prestations complémentaires) une fois survenu le </w:t>
      </w:r>
      <w:r w:rsidR="00FA150F">
        <w:rPr>
          <w:spacing w:val="2"/>
        </w:rPr>
        <w:t>fait donnant droit à prestation ;</w:t>
      </w:r>
      <w:r w:rsidRPr="00322A9B">
        <w:rPr>
          <w:spacing w:val="2"/>
        </w:rPr>
        <w:t xml:space="preserve"> qu</w:t>
      </w:r>
      <w:r w:rsidR="0059620D">
        <w:rPr>
          <w:spacing w:val="2"/>
        </w:rPr>
        <w:t>’</w:t>
      </w:r>
      <w:r w:rsidRPr="00322A9B">
        <w:rPr>
          <w:spacing w:val="2"/>
        </w:rPr>
        <w:t>aucune disposition de la convention n</w:t>
      </w:r>
      <w:r w:rsidR="0059620D">
        <w:rPr>
          <w:spacing w:val="2"/>
        </w:rPr>
        <w:t>’</w:t>
      </w:r>
      <w:r w:rsidRPr="00322A9B">
        <w:rPr>
          <w:spacing w:val="2"/>
        </w:rPr>
        <w:t xml:space="preserve">instituait </w:t>
      </w:r>
      <w:r w:rsidRPr="0059620D">
        <w:rPr>
          <w:spacing w:val="2"/>
          <w:w w:val="101"/>
        </w:rPr>
        <w:t>le</w:t>
      </w:r>
      <w:r w:rsidRPr="00322A9B">
        <w:rPr>
          <w:spacing w:val="2"/>
        </w:rPr>
        <w:t xml:space="preserve"> droit de recouvrer le montant correspondant en cas d</w:t>
      </w:r>
      <w:r w:rsidR="0059620D">
        <w:rPr>
          <w:spacing w:val="2"/>
        </w:rPr>
        <w:t>’</w:t>
      </w:r>
      <w:r w:rsidRPr="00322A9B">
        <w:rPr>
          <w:spacing w:val="2"/>
        </w:rPr>
        <w:t xml:space="preserve">extinction de la relation de travail avant la survenue du </w:t>
      </w:r>
      <w:r w:rsidR="00FA150F">
        <w:rPr>
          <w:spacing w:val="2"/>
        </w:rPr>
        <w:t>fait donnant droit à prestation ;</w:t>
      </w:r>
      <w:r w:rsidRPr="00322A9B">
        <w:rPr>
          <w:spacing w:val="2"/>
        </w:rPr>
        <w:t xml:space="preserve"> et que, par conséquent, ce fait n</w:t>
      </w:r>
      <w:r w:rsidR="0059620D">
        <w:rPr>
          <w:spacing w:val="2"/>
        </w:rPr>
        <w:t>’</w:t>
      </w:r>
      <w:r w:rsidRPr="00322A9B">
        <w:rPr>
          <w:spacing w:val="2"/>
        </w:rPr>
        <w:t>étant pas survenu, le travailleur n</w:t>
      </w:r>
      <w:r w:rsidR="0059620D">
        <w:rPr>
          <w:spacing w:val="2"/>
        </w:rPr>
        <w:t>’</w:t>
      </w:r>
      <w:r w:rsidRPr="00322A9B">
        <w:rPr>
          <w:spacing w:val="2"/>
        </w:rPr>
        <w:t>était pas juridiquement fondé à faire valoir ce droit. L</w:t>
      </w:r>
      <w:r w:rsidR="0059620D">
        <w:rPr>
          <w:spacing w:val="2"/>
        </w:rPr>
        <w:t>’</w:t>
      </w:r>
      <w:r w:rsidRPr="00322A9B">
        <w:rPr>
          <w:spacing w:val="2"/>
        </w:rPr>
        <w:t>auteur a formé un recours contre cette décision auprès du Tribunal supérieur de justice de Madrid.</w:t>
      </w:r>
    </w:p>
    <w:p w:rsidR="008C01DF" w:rsidRPr="00322A9B" w:rsidRDefault="008C01DF" w:rsidP="0059620D">
      <w:pPr>
        <w:pStyle w:val="SingleTxtG"/>
      </w:pPr>
      <w:r w:rsidRPr="00322A9B">
        <w:t>2.7</w:t>
      </w:r>
      <w:r w:rsidRPr="00322A9B">
        <w:tab/>
        <w:t xml:space="preserve">Le 29 juin 2007, le </w:t>
      </w:r>
      <w:r w:rsidRPr="00322A9B">
        <w:rPr>
          <w:spacing w:val="2"/>
        </w:rPr>
        <w:t>Tribunal supérieur de justice de Madrid</w:t>
      </w:r>
      <w:r w:rsidRPr="00322A9B">
        <w:t xml:space="preserve"> a statué sur le recours formé par l</w:t>
      </w:r>
      <w:r w:rsidR="0059620D">
        <w:t>’</w:t>
      </w:r>
      <w:r w:rsidRPr="00322A9B">
        <w:t xml:space="preserve">auteur et infirmé le jugement du </w:t>
      </w:r>
      <w:r w:rsidR="007E3465" w:rsidRPr="00322A9B">
        <w:t xml:space="preserve">tribunal </w:t>
      </w:r>
      <w:r w:rsidRPr="00322A9B">
        <w:t>n</w:t>
      </w:r>
      <w:r w:rsidRPr="00322A9B">
        <w:rPr>
          <w:vertAlign w:val="superscript"/>
        </w:rPr>
        <w:t>o</w:t>
      </w:r>
      <w:r w:rsidRPr="00322A9B">
        <w:t xml:space="preserve"> 6, confirmant le droit de recouvrement de </w:t>
      </w:r>
      <w:r w:rsidRPr="0059620D">
        <w:rPr>
          <w:spacing w:val="2"/>
          <w:w w:val="101"/>
        </w:rPr>
        <w:t>l</w:t>
      </w:r>
      <w:r w:rsidR="0059620D">
        <w:rPr>
          <w:spacing w:val="2"/>
          <w:w w:val="101"/>
        </w:rPr>
        <w:t>’</w:t>
      </w:r>
      <w:r w:rsidRPr="0059620D">
        <w:rPr>
          <w:spacing w:val="2"/>
          <w:w w:val="101"/>
        </w:rPr>
        <w:t>auteur</w:t>
      </w:r>
      <w:r w:rsidRPr="00322A9B">
        <w:t>, comme prévu par la police conclue entre la banque et l</w:t>
      </w:r>
      <w:r w:rsidR="0059620D">
        <w:t>’</w:t>
      </w:r>
      <w:r w:rsidRPr="00322A9B">
        <w:t>entreprise d</w:t>
      </w:r>
      <w:r w:rsidR="0059620D">
        <w:t>’</w:t>
      </w:r>
      <w:r w:rsidRPr="00322A9B">
        <w:t>assurance, et condamné les parties défenderesses à verser au plaignant la somme de 127 768,21 euros. Le Tribunal a notamment signalé que les obligations et conditions énoncées dans la convention, telles que la maladie, l</w:t>
      </w:r>
      <w:r w:rsidR="0059620D">
        <w:t>’</w:t>
      </w:r>
      <w:r w:rsidRPr="00322A9B">
        <w:t>invalidité et le départ à la retraite, échappaient à la volonté des parties contractantes. En revanche, l</w:t>
      </w:r>
      <w:r w:rsidR="0059620D">
        <w:t>’</w:t>
      </w:r>
      <w:r w:rsidRPr="00322A9B">
        <w:t>extinc</w:t>
      </w:r>
      <w:r w:rsidR="00326F05">
        <w:t>tion de la relation de travail –</w:t>
      </w:r>
      <w:r w:rsidRPr="00322A9B">
        <w:t xml:space="preserve"> et l</w:t>
      </w:r>
      <w:r w:rsidR="0059620D">
        <w:t>’</w:t>
      </w:r>
      <w:r w:rsidRPr="00322A9B">
        <w:t>exclusion de facto de l</w:t>
      </w:r>
      <w:r w:rsidR="0059620D">
        <w:t>’</w:t>
      </w:r>
      <w:r w:rsidRPr="00322A9B">
        <w:t>emp</w:t>
      </w:r>
      <w:r w:rsidR="00326F05">
        <w:t>loyé du champ de la convention –</w:t>
      </w:r>
      <w:r w:rsidRPr="00322A9B">
        <w:t xml:space="preserve"> résultant d</w:t>
      </w:r>
      <w:r w:rsidR="0059620D">
        <w:t>’</w:t>
      </w:r>
      <w:r w:rsidRPr="00322A9B">
        <w:t>un licenciement injustifié était une décision unilatérale d</w:t>
      </w:r>
      <w:r w:rsidR="0059620D">
        <w:t>’</w:t>
      </w:r>
      <w:r w:rsidRPr="00322A9B">
        <w:t>une des parties contractantes, c</w:t>
      </w:r>
      <w:r w:rsidR="0059620D">
        <w:t>’</w:t>
      </w:r>
      <w:r w:rsidR="00FA150F">
        <w:t>est</w:t>
      </w:r>
      <w:r w:rsidR="00FA150F">
        <w:noBreakHyphen/>
        <w:t>à</w:t>
      </w:r>
      <w:r w:rsidR="00FA150F">
        <w:noBreakHyphen/>
      </w:r>
      <w:r w:rsidRPr="00322A9B">
        <w:t>dire un acte volontaire de la part de celle-ci, qui ne devait pas causer de préjudice autre au trav</w:t>
      </w:r>
      <w:r w:rsidR="00FA150F">
        <w:t>ailleur que la perte du salaire ;</w:t>
      </w:r>
      <w:r w:rsidRPr="00322A9B">
        <w:t xml:space="preserve"> que le versement de cotisations volontaires à une complémentaire de la Sécurité sociale était initialement volontaire, mais qu</w:t>
      </w:r>
      <w:r w:rsidR="0059620D">
        <w:t>’</w:t>
      </w:r>
      <w:r w:rsidRPr="00322A9B">
        <w:t xml:space="preserve">une fois </w:t>
      </w:r>
      <w:r w:rsidRPr="00322A9B">
        <w:lastRenderedPageBreak/>
        <w:t>provisionnées, ces cotisations ne pouvaient être annulées ou s</w:t>
      </w:r>
      <w:r w:rsidR="0059620D">
        <w:t>’</w:t>
      </w:r>
      <w:r w:rsidRPr="00322A9B">
        <w:t>éteindre que confo</w:t>
      </w:r>
      <w:r w:rsidR="00FA150F">
        <w:t>rmément à leur acte constitutif ;</w:t>
      </w:r>
      <w:r w:rsidRPr="00322A9B">
        <w:t xml:space="preserve"> et que la convention ne prévoyait pas la perte des cotisations volontaires en cas d</w:t>
      </w:r>
      <w:r w:rsidR="0059620D">
        <w:t>’</w:t>
      </w:r>
      <w:r w:rsidRPr="00322A9B">
        <w:t>extinction anticipée de la relation de travail. La banque et la société d</w:t>
      </w:r>
      <w:r w:rsidR="0059620D">
        <w:t>’</w:t>
      </w:r>
      <w:r w:rsidRPr="00322A9B">
        <w:t>assurance se sont ensuite pourvues en cassation auprès de la Cour suprême aux fins de l</w:t>
      </w:r>
      <w:r w:rsidR="0059620D">
        <w:t>’</w:t>
      </w:r>
      <w:r w:rsidRPr="00322A9B">
        <w:t>unification de la jurisprudence.</w:t>
      </w:r>
    </w:p>
    <w:p w:rsidR="008C01DF" w:rsidRPr="00322A9B" w:rsidRDefault="008C01DF" w:rsidP="0059620D">
      <w:pPr>
        <w:pStyle w:val="SingleTxtG"/>
      </w:pPr>
      <w:r w:rsidRPr="00322A9B">
        <w:t>2.8</w:t>
      </w:r>
      <w:r w:rsidRPr="00322A9B">
        <w:tab/>
        <w:t xml:space="preserve">Le 21 septembre 2009, la Cour suprême a annulé la </w:t>
      </w:r>
      <w:r w:rsidRPr="0059620D">
        <w:rPr>
          <w:spacing w:val="2"/>
          <w:w w:val="101"/>
        </w:rPr>
        <w:t>décision</w:t>
      </w:r>
      <w:r w:rsidRPr="00322A9B">
        <w:t xml:space="preserve"> du </w:t>
      </w:r>
      <w:r w:rsidRPr="00322A9B">
        <w:rPr>
          <w:spacing w:val="2"/>
        </w:rPr>
        <w:t>Tribunal supérieur de justice de Madrid</w:t>
      </w:r>
      <w:r w:rsidRPr="00322A9B">
        <w:t xml:space="preserve"> et confirmé le jugement du Tribunal n</w:t>
      </w:r>
      <w:r w:rsidRPr="00322A9B">
        <w:rPr>
          <w:vertAlign w:val="superscript"/>
        </w:rPr>
        <w:t>o</w:t>
      </w:r>
      <w:r w:rsidRPr="00322A9B">
        <w:t> 6.</w:t>
      </w:r>
    </w:p>
    <w:p w:rsidR="008C01DF" w:rsidRPr="00322A9B" w:rsidRDefault="008C01DF" w:rsidP="0059620D">
      <w:pPr>
        <w:pStyle w:val="SingleTxtG"/>
      </w:pPr>
      <w:r w:rsidRPr="00322A9B">
        <w:t>2.9</w:t>
      </w:r>
      <w:r w:rsidRPr="00322A9B">
        <w:tab/>
        <w:t>Le 15 janvier 2010, l</w:t>
      </w:r>
      <w:r w:rsidR="0059620D">
        <w:t>’</w:t>
      </w:r>
      <w:r w:rsidRPr="00322A9B">
        <w:t xml:space="preserve">auteur a déposé un recours en </w:t>
      </w:r>
      <w:r w:rsidRPr="0059620D">
        <w:rPr>
          <w:spacing w:val="2"/>
          <w:w w:val="101"/>
        </w:rPr>
        <w:t>protection</w:t>
      </w:r>
      <w:r w:rsidRPr="00322A9B">
        <w:t xml:space="preserve"> constitutionnelle devant le Tribunal constitutionnel et invoqué la violation du droit à une protection juridictionnelle eff</w:t>
      </w:r>
      <w:r w:rsidR="00FA150F">
        <w:t>ective garanti par les articles </w:t>
      </w:r>
      <w:r w:rsidRPr="00322A9B">
        <w:t>14 et 24 de la Constitution espagnole. Le 16 mai 2010, le Tribunal constitutionnel a débouté l</w:t>
      </w:r>
      <w:r w:rsidR="0059620D">
        <w:t>’</w:t>
      </w:r>
      <w:r w:rsidRPr="00322A9B">
        <w:t>auteur, au motif qu</w:t>
      </w:r>
      <w:r w:rsidR="0059620D">
        <w:t>’</w:t>
      </w:r>
      <w:r w:rsidRPr="00322A9B">
        <w:t>il n</w:t>
      </w:r>
      <w:r w:rsidR="0059620D">
        <w:t>’</w:t>
      </w:r>
      <w:r w:rsidRPr="00322A9B">
        <w:t>avait pas justifié l</w:t>
      </w:r>
      <w:r w:rsidR="0059620D">
        <w:t>’</w:t>
      </w:r>
      <w:r w:rsidRPr="00322A9B">
        <w:t>importance constitutionnelle spéciale de l</w:t>
      </w:r>
      <w:r w:rsidR="0059620D">
        <w:t>’</w:t>
      </w:r>
      <w:r w:rsidRPr="00322A9B">
        <w:t>affa</w:t>
      </w:r>
      <w:r w:rsidR="00FA150F">
        <w:t>ire, comme requis au paragraphe </w:t>
      </w:r>
      <w:r w:rsidRPr="00322A9B">
        <w:t>1 de l</w:t>
      </w:r>
      <w:r w:rsidR="0059620D">
        <w:t>’</w:t>
      </w:r>
      <w:r w:rsidRPr="00322A9B">
        <w:t>article</w:t>
      </w:r>
      <w:r w:rsidR="00FA150F">
        <w:t> </w:t>
      </w:r>
      <w:r w:rsidRPr="00322A9B">
        <w:t>49 de la loi organique sur le Tribunal constitutionnel.</w:t>
      </w:r>
    </w:p>
    <w:p w:rsidR="008C01DF" w:rsidRPr="00322A9B" w:rsidRDefault="008C01DF" w:rsidP="0059620D">
      <w:pPr>
        <w:pStyle w:val="SingleTxtG"/>
      </w:pPr>
      <w:r w:rsidRPr="00322A9B">
        <w:t>2.10</w:t>
      </w:r>
      <w:r w:rsidRPr="00322A9B">
        <w:tab/>
        <w:t>Le 17 novembre 2010, l</w:t>
      </w:r>
      <w:r w:rsidR="0059620D">
        <w:t>’</w:t>
      </w:r>
      <w:r w:rsidRPr="00322A9B">
        <w:t>auteur a saisi la Cour européenne des droits de l</w:t>
      </w:r>
      <w:r w:rsidR="0059620D">
        <w:t>’</w:t>
      </w:r>
      <w:r w:rsidRPr="00322A9B">
        <w:t xml:space="preserve">homme, alléguant une violation des droits </w:t>
      </w:r>
      <w:r>
        <w:t>qu</w:t>
      </w:r>
      <w:r w:rsidR="0059620D">
        <w:t>’</w:t>
      </w:r>
      <w:r w:rsidR="00FA150F">
        <w:t>il tenait du paragraphe </w:t>
      </w:r>
      <w:r>
        <w:t>1 de l</w:t>
      </w:r>
      <w:r w:rsidR="0059620D">
        <w:t>’</w:t>
      </w:r>
      <w:r w:rsidRPr="00322A9B">
        <w:t>article</w:t>
      </w:r>
      <w:r w:rsidR="00FA150F">
        <w:t> </w:t>
      </w:r>
      <w:r>
        <w:t>6 et de l</w:t>
      </w:r>
      <w:r w:rsidR="0059620D">
        <w:t>’</w:t>
      </w:r>
      <w:r w:rsidR="00FA150F">
        <w:t>article </w:t>
      </w:r>
      <w:r>
        <w:t>1</w:t>
      </w:r>
      <w:r w:rsidRPr="00322A9B">
        <w:t>4 de la Convention européenne des droits de l</w:t>
      </w:r>
      <w:r w:rsidR="0059620D">
        <w:t>’</w:t>
      </w:r>
      <w:r w:rsidRPr="00322A9B">
        <w:t>homme ainsi que de l</w:t>
      </w:r>
      <w:r w:rsidR="0059620D">
        <w:t>’</w:t>
      </w:r>
      <w:r w:rsidRPr="00322A9B">
        <w:t>article premier du Protocole additionnel à la Convention (Protocole</w:t>
      </w:r>
      <w:r>
        <w:t> </w:t>
      </w:r>
      <w:r w:rsidRPr="00322A9B">
        <w:t>1). Le 21 février 2013, la Cour européenne des droits de l</w:t>
      </w:r>
      <w:r w:rsidR="0059620D">
        <w:t>’</w:t>
      </w:r>
      <w:r w:rsidRPr="00322A9B">
        <w:t>homme a jugé la plainte irrecevable au motif qu</w:t>
      </w:r>
      <w:r w:rsidR="0059620D">
        <w:t>’</w:t>
      </w:r>
      <w:r w:rsidRPr="00322A9B">
        <w:t>elle ne satisfaisait pas aux critères de re</w:t>
      </w:r>
      <w:r w:rsidR="00FA150F">
        <w:t>cevabilité établis aux articles </w:t>
      </w:r>
      <w:r w:rsidRPr="00322A9B">
        <w:t>34 et 35 de la Convention européenne des droits de l</w:t>
      </w:r>
      <w:r w:rsidR="0059620D">
        <w:t>’</w:t>
      </w:r>
      <w:r w:rsidRPr="00322A9B">
        <w:t>homme.</w:t>
      </w:r>
    </w:p>
    <w:p w:rsidR="008C01DF" w:rsidRPr="00322A9B" w:rsidRDefault="008C01DF" w:rsidP="0059620D">
      <w:pPr>
        <w:pStyle w:val="SingleTxtG"/>
      </w:pPr>
      <w:r w:rsidRPr="00322A9B">
        <w:t>2.11</w:t>
      </w:r>
      <w:r w:rsidRPr="00322A9B">
        <w:tab/>
        <w:t>Le 11 juillet 2014, l</w:t>
      </w:r>
      <w:r w:rsidR="0059620D">
        <w:t>’</w:t>
      </w:r>
      <w:r w:rsidRPr="00322A9B">
        <w:t>auteur a demandé à la Cour européenne des droits de l</w:t>
      </w:r>
      <w:r w:rsidR="0059620D">
        <w:t>’</w:t>
      </w:r>
      <w:r w:rsidRPr="00322A9B">
        <w:t>homme de motiver sa décision d</w:t>
      </w:r>
      <w:r w:rsidR="0059620D">
        <w:t>’</w:t>
      </w:r>
      <w:r w:rsidRPr="00322A9B">
        <w:t xml:space="preserve">irrecevabilité rendue le 21 février 2013. </w:t>
      </w:r>
      <w:r w:rsidRPr="0059620D">
        <w:rPr>
          <w:spacing w:val="2"/>
          <w:w w:val="101"/>
        </w:rPr>
        <w:t>L</w:t>
      </w:r>
      <w:r w:rsidR="0059620D">
        <w:rPr>
          <w:spacing w:val="2"/>
          <w:w w:val="101"/>
        </w:rPr>
        <w:t>’</w:t>
      </w:r>
      <w:r w:rsidRPr="0059620D">
        <w:rPr>
          <w:spacing w:val="2"/>
          <w:w w:val="101"/>
        </w:rPr>
        <w:t>auteur</w:t>
      </w:r>
      <w:r w:rsidRPr="00322A9B">
        <w:t xml:space="preserve"> indique qu</w:t>
      </w:r>
      <w:r w:rsidR="0059620D">
        <w:t>’</w:t>
      </w:r>
      <w:r w:rsidRPr="00322A9B">
        <w:t>il présente sa communication au Comité en l</w:t>
      </w:r>
      <w:r w:rsidR="0059620D">
        <w:t>’</w:t>
      </w:r>
      <w:r w:rsidRPr="00322A9B">
        <w:t>absence de réponse de la Cour et que la date pertinente à prendre en compte pour apprécier le délai d</w:t>
      </w:r>
      <w:r w:rsidR="0059620D">
        <w:t>’</w:t>
      </w:r>
      <w:r w:rsidRPr="00322A9B">
        <w:t>un an établi à l</w:t>
      </w:r>
      <w:r w:rsidR="0059620D">
        <w:t>’</w:t>
      </w:r>
      <w:r w:rsidR="00FA150F">
        <w:t>alinéa a) du paragraphe </w:t>
      </w:r>
      <w:r w:rsidRPr="00322A9B">
        <w:t>2 de l</w:t>
      </w:r>
      <w:r w:rsidR="0059620D">
        <w:t>’</w:t>
      </w:r>
      <w:r w:rsidR="00FA150F">
        <w:t>article </w:t>
      </w:r>
      <w:r w:rsidRPr="00322A9B">
        <w:t>3 du Protocole facultatif est le 11 juillet 2014.</w:t>
      </w:r>
    </w:p>
    <w:p w:rsidR="008C01DF" w:rsidRPr="00322A9B" w:rsidRDefault="008C01DF" w:rsidP="0059620D">
      <w:pPr>
        <w:pStyle w:val="H23G"/>
      </w:pPr>
      <w:r w:rsidRPr="00322A9B">
        <w:tab/>
      </w:r>
      <w:r w:rsidRPr="00322A9B">
        <w:tab/>
      </w:r>
      <w:r>
        <w:t>Teneur de la</w:t>
      </w:r>
      <w:r w:rsidRPr="00322A9B">
        <w:t xml:space="preserve"> plainte</w:t>
      </w:r>
    </w:p>
    <w:p w:rsidR="008C01DF" w:rsidRPr="00322A9B" w:rsidRDefault="008C01DF" w:rsidP="0059620D">
      <w:pPr>
        <w:pStyle w:val="SingleTxtG"/>
      </w:pPr>
      <w:r w:rsidRPr="00322A9B">
        <w:t>3.1</w:t>
      </w:r>
      <w:r w:rsidRPr="00322A9B">
        <w:tab/>
        <w:t>L</w:t>
      </w:r>
      <w:r w:rsidR="0059620D">
        <w:t>’</w:t>
      </w:r>
      <w:r w:rsidRPr="00322A9B">
        <w:t>auteur affirme que l</w:t>
      </w:r>
      <w:r w:rsidR="0059620D">
        <w:t>’</w:t>
      </w:r>
      <w:r w:rsidRPr="00322A9B">
        <w:t xml:space="preserve">État partie a violé les droits </w:t>
      </w:r>
      <w:r>
        <w:t>qu</w:t>
      </w:r>
      <w:r w:rsidR="0059620D">
        <w:t>’</w:t>
      </w:r>
      <w:r>
        <w:t>il tient</w:t>
      </w:r>
      <w:r w:rsidR="00FA150F">
        <w:t xml:space="preserve"> des articles </w:t>
      </w:r>
      <w:r w:rsidRPr="00322A9B">
        <w:t>7 et 9 du Pacte</w:t>
      </w:r>
      <w:r>
        <w:t xml:space="preserve"> international relatif aux droits économiques, sociaux et culturels</w:t>
      </w:r>
      <w:r w:rsidRPr="00322A9B">
        <w:t xml:space="preserve">. Il </w:t>
      </w:r>
      <w:r>
        <w:t>affirme en outre</w:t>
      </w:r>
      <w:r w:rsidRPr="00322A9B">
        <w:t xml:space="preserve"> que l</w:t>
      </w:r>
      <w:r w:rsidR="0059620D">
        <w:t>’</w:t>
      </w:r>
      <w:r w:rsidRPr="00322A9B">
        <w:t xml:space="preserve">État partie a également enfreint les droits établis </w:t>
      </w:r>
      <w:r w:rsidR="00FA150F">
        <w:t>au paragraphe </w:t>
      </w:r>
      <w:r>
        <w:t>1 de l</w:t>
      </w:r>
      <w:r w:rsidR="0059620D">
        <w:t>’</w:t>
      </w:r>
      <w:r w:rsidR="00FA150F">
        <w:t>article </w:t>
      </w:r>
      <w:r w:rsidRPr="00322A9B">
        <w:t>12</w:t>
      </w:r>
      <w:r>
        <w:t xml:space="preserve"> et à l</w:t>
      </w:r>
      <w:r w:rsidR="0059620D">
        <w:t>’</w:t>
      </w:r>
      <w:r w:rsidR="00FA150F">
        <w:t>article </w:t>
      </w:r>
      <w:r w:rsidRPr="00322A9B">
        <w:t>26 du Pacte international relatif aux droits civils et politiques.</w:t>
      </w:r>
    </w:p>
    <w:p w:rsidR="008C01DF" w:rsidRPr="00322A9B" w:rsidRDefault="008C01DF" w:rsidP="0059620D">
      <w:pPr>
        <w:pStyle w:val="SingleTxtG"/>
      </w:pPr>
      <w:r w:rsidRPr="00322A9B">
        <w:t>3.2</w:t>
      </w:r>
      <w:r w:rsidRPr="00322A9B">
        <w:tab/>
        <w:t>L</w:t>
      </w:r>
      <w:r w:rsidR="0059620D">
        <w:t>’</w:t>
      </w:r>
      <w:r w:rsidRPr="00322A9B">
        <w:t>auteur demande au Comité de constater la violation des articles précités et de reconnaître son droit à réparation pour le préjudice subi et les actions judiciaires engagées.</w:t>
      </w:r>
    </w:p>
    <w:p w:rsidR="008C01DF" w:rsidRPr="00322A9B" w:rsidRDefault="008C01DF" w:rsidP="0059620D">
      <w:pPr>
        <w:pStyle w:val="H23G"/>
      </w:pPr>
      <w:r w:rsidRPr="00322A9B">
        <w:tab/>
      </w:r>
      <w:r w:rsidRPr="00322A9B">
        <w:tab/>
        <w:t>Délibérations du Comité</w:t>
      </w:r>
    </w:p>
    <w:p w:rsidR="008C01DF" w:rsidRPr="00322A9B" w:rsidRDefault="008C01DF" w:rsidP="0059620D">
      <w:pPr>
        <w:pStyle w:val="H4G"/>
      </w:pPr>
      <w:r w:rsidRPr="00322A9B">
        <w:tab/>
      </w:r>
      <w:r w:rsidRPr="00322A9B">
        <w:tab/>
        <w:t>Examen de la recevabilité</w:t>
      </w:r>
    </w:p>
    <w:p w:rsidR="008C01DF" w:rsidRPr="00322A9B" w:rsidRDefault="008C01DF" w:rsidP="0059620D">
      <w:pPr>
        <w:pStyle w:val="SingleTxtG"/>
      </w:pPr>
      <w:r w:rsidRPr="00322A9B">
        <w:t>4.1</w:t>
      </w:r>
      <w:r w:rsidRPr="00322A9B">
        <w:tab/>
        <w:t>Avant d</w:t>
      </w:r>
      <w:r w:rsidR="0059620D">
        <w:t>’</w:t>
      </w:r>
      <w:r w:rsidRPr="00322A9B">
        <w:t>examiner toute plainte soumise dans une communication, le Comité doit, conformément à l</w:t>
      </w:r>
      <w:r w:rsidR="0059620D">
        <w:t>’</w:t>
      </w:r>
      <w:r w:rsidR="00FA150F">
        <w:t>article </w:t>
      </w:r>
      <w:r w:rsidRPr="00322A9B">
        <w:t>9 de son règlement intérieur provisoire relatif au Protocole facultatif se rapportant au Pacte (E/C.12/49/3), déterminer si la communication est recevable en vertu du Protocole facultatif se rapportant au Pacte relatif aux droits éco</w:t>
      </w:r>
      <w:r w:rsidR="00FA150F">
        <w:t>nomiques, sociaux et culturels.</w:t>
      </w:r>
    </w:p>
    <w:p w:rsidR="008C01DF" w:rsidRPr="00322A9B" w:rsidRDefault="008C01DF" w:rsidP="0059620D">
      <w:pPr>
        <w:pStyle w:val="SingleTxtG"/>
      </w:pPr>
      <w:r w:rsidRPr="00322A9B">
        <w:t>4.2</w:t>
      </w:r>
      <w:r w:rsidRPr="00322A9B">
        <w:tab/>
        <w:t xml:space="preserve">Le Comité est compétent </w:t>
      </w:r>
      <w:r w:rsidRPr="00322A9B">
        <w:rPr>
          <w:i/>
        </w:rPr>
        <w:t>ratione materiae</w:t>
      </w:r>
      <w:r w:rsidRPr="00322A9B">
        <w:t xml:space="preserve"> pour examiner les allégations de violation de l</w:t>
      </w:r>
      <w:r w:rsidR="0059620D">
        <w:t>’</w:t>
      </w:r>
      <w:r w:rsidRPr="00322A9B">
        <w:t xml:space="preserve">un quelconque des droits économiques, sociaux et culturels énoncés dans le Pacte international relatif aux droits économiques, sociaux et culturels. </w:t>
      </w:r>
      <w:r>
        <w:t>En</w:t>
      </w:r>
      <w:r w:rsidRPr="00322A9B">
        <w:t xml:space="preserve"> conséquen</w:t>
      </w:r>
      <w:r>
        <w:t>ce</w:t>
      </w:r>
      <w:r w:rsidRPr="00322A9B">
        <w:t>, le Comité déclare l</w:t>
      </w:r>
      <w:r w:rsidR="0059620D">
        <w:t>’</w:t>
      </w:r>
      <w:r w:rsidRPr="00322A9B">
        <w:t>allégation selon laquelle l</w:t>
      </w:r>
      <w:r w:rsidR="0059620D">
        <w:t>’</w:t>
      </w:r>
      <w:r w:rsidRPr="00322A9B">
        <w:t xml:space="preserve">auteur serait victime de violations </w:t>
      </w:r>
      <w:r w:rsidR="00FA150F">
        <w:t>du paragraphe </w:t>
      </w:r>
      <w:r>
        <w:t>1 de l</w:t>
      </w:r>
      <w:r w:rsidR="0059620D">
        <w:t>’</w:t>
      </w:r>
      <w:r w:rsidR="00FA150F">
        <w:t>article </w:t>
      </w:r>
      <w:r w:rsidRPr="00322A9B">
        <w:t>12</w:t>
      </w:r>
      <w:r>
        <w:t xml:space="preserve"> et de l</w:t>
      </w:r>
      <w:r w:rsidR="0059620D">
        <w:t>’</w:t>
      </w:r>
      <w:r w:rsidR="00FA150F">
        <w:t>article </w:t>
      </w:r>
      <w:r w:rsidRPr="00322A9B">
        <w:t>26 du Pacte international relatif aux droits civils et politiques irrecevable.</w:t>
      </w:r>
    </w:p>
    <w:p w:rsidR="008C01DF" w:rsidRPr="00322A9B" w:rsidRDefault="008C01DF" w:rsidP="0059620D">
      <w:pPr>
        <w:pStyle w:val="SingleTxtG"/>
      </w:pPr>
      <w:r w:rsidRPr="00322A9B">
        <w:lastRenderedPageBreak/>
        <w:t>4.3</w:t>
      </w:r>
      <w:r w:rsidRPr="00322A9B">
        <w:tab/>
        <w:t xml:space="preserve">Le Comité </w:t>
      </w:r>
      <w:r w:rsidRPr="00322A9B">
        <w:rPr>
          <w:spacing w:val="2"/>
        </w:rPr>
        <w:t>rappelle</w:t>
      </w:r>
      <w:r w:rsidRPr="00322A9B">
        <w:t xml:space="preserve"> que le Protocole est entré en vigueur pour l</w:t>
      </w:r>
      <w:r w:rsidR="0059620D">
        <w:t>’</w:t>
      </w:r>
      <w:r w:rsidRPr="00322A9B">
        <w:t>État partie le 5 mai 2013 et qu</w:t>
      </w:r>
      <w:r w:rsidR="0059620D">
        <w:t>’</w:t>
      </w:r>
      <w:r w:rsidRPr="00322A9B">
        <w:t>en vertu de l</w:t>
      </w:r>
      <w:r w:rsidR="0059620D">
        <w:t>’</w:t>
      </w:r>
      <w:r w:rsidR="00FA150F">
        <w:t>alinéa b) du paragraphe </w:t>
      </w:r>
      <w:r w:rsidRPr="00322A9B">
        <w:t>2 de l</w:t>
      </w:r>
      <w:r w:rsidR="0059620D">
        <w:t>’</w:t>
      </w:r>
      <w:r w:rsidR="00FA150F">
        <w:t>article </w:t>
      </w:r>
      <w:r w:rsidRPr="00322A9B">
        <w:t>3 dudit Protocole, le Comité doit déclarer irrecevable toute communication qui porte sur des faits antérieurs à la date d</w:t>
      </w:r>
      <w:r w:rsidR="0059620D">
        <w:t>’</w:t>
      </w:r>
      <w:r w:rsidRPr="00322A9B">
        <w:t>entrée en vigueur du présent Protocole à l</w:t>
      </w:r>
      <w:r w:rsidR="0059620D">
        <w:t>’</w:t>
      </w:r>
      <w:r w:rsidRPr="00322A9B">
        <w:t>égard de l</w:t>
      </w:r>
      <w:r w:rsidR="0059620D">
        <w:t>’</w:t>
      </w:r>
      <w:r w:rsidRPr="00322A9B">
        <w:t>État Partie intéressé, à moins que ces faits ne persistent après cette date. Le Comité constate, en l</w:t>
      </w:r>
      <w:r w:rsidR="0059620D">
        <w:t>’</w:t>
      </w:r>
      <w:r w:rsidRPr="00322A9B">
        <w:t>espèce, que les faits sur lesquels porte la communication, y compris toutes les décisions rendues par des juridictions nationales dans cette affaire, sont antérieurs au 5 mai 2013, date d</w:t>
      </w:r>
      <w:r w:rsidR="0059620D">
        <w:t>’</w:t>
      </w:r>
      <w:r w:rsidRPr="00322A9B">
        <w:t>entrée en vigueur du Protocole facultatif pour l</w:t>
      </w:r>
      <w:r w:rsidR="0059620D">
        <w:t>’</w:t>
      </w:r>
      <w:r w:rsidRPr="00322A9B">
        <w:t xml:space="preserve">Espagne. Il ne ressort pas des informations contenues dans la communication, que des faits susceptibles de constituer en tant que </w:t>
      </w:r>
      <w:r w:rsidR="00B32330">
        <w:t>tels</w:t>
      </w:r>
      <w:r w:rsidRPr="00322A9B">
        <w:t xml:space="preserve"> une violation du Pacte se soient encore produits postérieurement à l</w:t>
      </w:r>
      <w:r w:rsidR="0059620D">
        <w:t>’</w:t>
      </w:r>
      <w:r w:rsidRPr="00322A9B">
        <w:t xml:space="preserve">entrée en vigueur du Protocole facultatif. En conséquence, le Comité se considère empêché </w:t>
      </w:r>
      <w:r w:rsidRPr="00322A9B">
        <w:rPr>
          <w:i/>
        </w:rPr>
        <w:t>ratione temporis</w:t>
      </w:r>
      <w:r w:rsidRPr="00322A9B">
        <w:t xml:space="preserve"> d</w:t>
      </w:r>
      <w:r w:rsidR="0059620D">
        <w:t>’</w:t>
      </w:r>
      <w:r w:rsidRPr="00322A9B">
        <w:t xml:space="preserve">examiner la présente communication et estime que celle-ci est irrecevable </w:t>
      </w:r>
      <w:r>
        <w:t>en vertu de</w:t>
      </w:r>
      <w:r w:rsidR="0059620D">
        <w:t xml:space="preserve"> l’alinéa </w:t>
      </w:r>
      <w:r w:rsidR="00FA150F">
        <w:t>b) du paragraphe </w:t>
      </w:r>
      <w:r w:rsidRPr="00322A9B">
        <w:t>2 de l</w:t>
      </w:r>
      <w:r w:rsidR="0059620D">
        <w:t>’</w:t>
      </w:r>
      <w:r w:rsidR="00FA150F">
        <w:t>article </w:t>
      </w:r>
      <w:r w:rsidRPr="00322A9B">
        <w:t xml:space="preserve">3 du Protocole facultatif. </w:t>
      </w:r>
    </w:p>
    <w:p w:rsidR="008C01DF" w:rsidRPr="00322A9B" w:rsidRDefault="008C01DF" w:rsidP="0059620D">
      <w:pPr>
        <w:pStyle w:val="SingleTxtG"/>
      </w:pPr>
      <w:r w:rsidRPr="00322A9B">
        <w:t>5.</w:t>
      </w:r>
      <w:r w:rsidRPr="00322A9B">
        <w:tab/>
        <w:t>En conséquence, le Comité décide :</w:t>
      </w:r>
    </w:p>
    <w:p w:rsidR="008C01DF" w:rsidRPr="00322A9B" w:rsidRDefault="008C01DF" w:rsidP="0059620D">
      <w:pPr>
        <w:pStyle w:val="SingleTxtG"/>
        <w:ind w:firstLine="567"/>
      </w:pPr>
      <w:r w:rsidRPr="00322A9B">
        <w:t>a)</w:t>
      </w:r>
      <w:r w:rsidRPr="00322A9B">
        <w:tab/>
        <w:t xml:space="preserve">Que la </w:t>
      </w:r>
      <w:r w:rsidRPr="0059620D">
        <w:t xml:space="preserve">communication est </w:t>
      </w:r>
      <w:r w:rsidRPr="0059620D">
        <w:rPr>
          <w:lang w:val="fr-FR"/>
        </w:rPr>
        <w:t>irrecevable</w:t>
      </w:r>
      <w:r w:rsidRPr="0059620D">
        <w:t xml:space="preserve"> en vertu des</w:t>
      </w:r>
      <w:r w:rsidR="0059620D">
        <w:t xml:space="preserve"> alinéas </w:t>
      </w:r>
      <w:r w:rsidR="00FA150F">
        <w:t>b) et d) du paragraphe </w:t>
      </w:r>
      <w:r w:rsidRPr="00322A9B">
        <w:t>2 de l</w:t>
      </w:r>
      <w:r w:rsidR="0059620D">
        <w:t>’</w:t>
      </w:r>
      <w:r w:rsidR="00FA150F">
        <w:t>article 3 du Protocole facultatif ;</w:t>
      </w:r>
    </w:p>
    <w:p w:rsidR="008C01DF" w:rsidRDefault="008C01DF" w:rsidP="0059620D">
      <w:pPr>
        <w:pStyle w:val="SingleTxtG"/>
        <w:ind w:firstLine="567"/>
      </w:pPr>
      <w:r w:rsidRPr="00322A9B">
        <w:t>b)</w:t>
      </w:r>
      <w:r w:rsidRPr="00322A9B">
        <w:tab/>
        <w:t xml:space="preserve">Que la présente décision </w:t>
      </w:r>
      <w:r w:rsidRPr="0059620D">
        <w:t xml:space="preserve">sera </w:t>
      </w:r>
      <w:r w:rsidRPr="0059620D">
        <w:rPr>
          <w:lang w:val="fr-FR"/>
        </w:rPr>
        <w:t>communiquée</w:t>
      </w:r>
      <w:r w:rsidRPr="0059620D">
        <w:t xml:space="preserve"> à l</w:t>
      </w:r>
      <w:r w:rsidR="0059620D">
        <w:t>’</w:t>
      </w:r>
      <w:r w:rsidRPr="0059620D">
        <w:t>État</w:t>
      </w:r>
      <w:r w:rsidRPr="00322A9B">
        <w:t xml:space="preserve"> partie et à l</w:t>
      </w:r>
      <w:r w:rsidR="0059620D">
        <w:t>’</w:t>
      </w:r>
      <w:r w:rsidRPr="00322A9B">
        <w:t>auteur.</w:t>
      </w:r>
    </w:p>
    <w:p w:rsidR="0059620D" w:rsidRPr="0059620D" w:rsidRDefault="0059620D" w:rsidP="0059620D">
      <w:pPr>
        <w:pStyle w:val="SingleTxtG"/>
        <w:spacing w:before="240" w:after="0"/>
        <w:jc w:val="center"/>
        <w:rPr>
          <w:u w:val="single"/>
        </w:rPr>
      </w:pPr>
      <w:r>
        <w:rPr>
          <w:u w:val="single"/>
        </w:rPr>
        <w:tab/>
      </w:r>
      <w:r>
        <w:rPr>
          <w:u w:val="single"/>
        </w:rPr>
        <w:tab/>
      </w:r>
      <w:r>
        <w:rPr>
          <w:u w:val="single"/>
        </w:rPr>
        <w:tab/>
      </w:r>
    </w:p>
    <w:sectPr w:rsidR="0059620D" w:rsidRPr="0059620D" w:rsidSect="008C01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DA" w:rsidRDefault="00A56FDA" w:rsidP="00F95C08">
      <w:pPr>
        <w:spacing w:line="240" w:lineRule="auto"/>
      </w:pPr>
    </w:p>
  </w:endnote>
  <w:endnote w:type="continuationSeparator" w:id="0">
    <w:p w:rsidR="00A56FDA" w:rsidRPr="00AC3823" w:rsidRDefault="00A56FDA" w:rsidP="00AC3823">
      <w:pPr>
        <w:pStyle w:val="Pieddepage"/>
      </w:pPr>
    </w:p>
  </w:endnote>
  <w:endnote w:type="continuationNotice" w:id="1">
    <w:p w:rsidR="00A56FDA" w:rsidRDefault="00A56F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DF" w:rsidRPr="008C01DF" w:rsidRDefault="008C01DF" w:rsidP="008C01DF">
    <w:pPr>
      <w:pStyle w:val="Pieddepage"/>
      <w:tabs>
        <w:tab w:val="right" w:pos="9638"/>
      </w:tabs>
    </w:pPr>
    <w:r w:rsidRPr="008C01DF">
      <w:rPr>
        <w:b/>
        <w:sz w:val="18"/>
      </w:rPr>
      <w:fldChar w:fldCharType="begin"/>
    </w:r>
    <w:r w:rsidRPr="008C01DF">
      <w:rPr>
        <w:b/>
        <w:sz w:val="18"/>
      </w:rPr>
      <w:instrText xml:space="preserve"> PAGE  \* MERGEFORMAT </w:instrText>
    </w:r>
    <w:r w:rsidRPr="008C01DF">
      <w:rPr>
        <w:b/>
        <w:sz w:val="18"/>
      </w:rPr>
      <w:fldChar w:fldCharType="separate"/>
    </w:r>
    <w:r w:rsidR="00497B33">
      <w:rPr>
        <w:b/>
        <w:noProof/>
        <w:sz w:val="18"/>
      </w:rPr>
      <w:t>4</w:t>
    </w:r>
    <w:r w:rsidRPr="008C01DF">
      <w:rPr>
        <w:b/>
        <w:sz w:val="18"/>
      </w:rPr>
      <w:fldChar w:fldCharType="end"/>
    </w:r>
    <w:r>
      <w:rPr>
        <w:b/>
        <w:sz w:val="18"/>
      </w:rPr>
      <w:tab/>
    </w:r>
    <w:r>
      <w:t>GE.16-03068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DF" w:rsidRPr="008C01DF" w:rsidRDefault="008C01DF" w:rsidP="008C01DF">
    <w:pPr>
      <w:pStyle w:val="Pieddepage"/>
      <w:tabs>
        <w:tab w:val="right" w:pos="9638"/>
      </w:tabs>
      <w:rPr>
        <w:b/>
        <w:sz w:val="18"/>
      </w:rPr>
    </w:pPr>
    <w:r>
      <w:t>GE.16-03068</w:t>
    </w:r>
    <w:r>
      <w:tab/>
    </w:r>
    <w:r w:rsidRPr="008C01DF">
      <w:rPr>
        <w:b/>
        <w:sz w:val="18"/>
      </w:rPr>
      <w:fldChar w:fldCharType="begin"/>
    </w:r>
    <w:r w:rsidRPr="008C01DF">
      <w:rPr>
        <w:b/>
        <w:sz w:val="18"/>
      </w:rPr>
      <w:instrText xml:space="preserve"> PAGE  \* MERGEFORMAT </w:instrText>
    </w:r>
    <w:r w:rsidRPr="008C01DF">
      <w:rPr>
        <w:b/>
        <w:sz w:val="18"/>
      </w:rPr>
      <w:fldChar w:fldCharType="separate"/>
    </w:r>
    <w:r w:rsidR="00497B33">
      <w:rPr>
        <w:b/>
        <w:noProof/>
        <w:sz w:val="18"/>
      </w:rPr>
      <w:t>3</w:t>
    </w:r>
    <w:r w:rsidRPr="008C01D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8C01DF" w:rsidRDefault="008C01DF" w:rsidP="008C01DF">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5F211156" wp14:editId="12A2F74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16-03068  (F)</w:t>
    </w:r>
    <w:r w:rsidR="00326F05">
      <w:rPr>
        <w:sz w:val="20"/>
      </w:rPr>
      <w:t xml:space="preserve">    100316    310316</w:t>
    </w:r>
    <w:r>
      <w:rPr>
        <w:sz w:val="20"/>
      </w:rPr>
      <w:br/>
    </w:r>
    <w:r w:rsidRPr="008C01DF">
      <w:rPr>
        <w:rFonts w:ascii="C39T30Lfz" w:hAnsi="C39T30Lfz"/>
        <w:sz w:val="56"/>
      </w:rPr>
      <w:t></w:t>
    </w:r>
    <w:r w:rsidRPr="008C01DF">
      <w:rPr>
        <w:rFonts w:ascii="C39T30Lfz" w:hAnsi="C39T30Lfz"/>
        <w:sz w:val="56"/>
      </w:rPr>
      <w:t></w:t>
    </w:r>
    <w:r w:rsidRPr="008C01DF">
      <w:rPr>
        <w:rFonts w:ascii="C39T30Lfz" w:hAnsi="C39T30Lfz"/>
        <w:sz w:val="56"/>
      </w:rPr>
      <w:t></w:t>
    </w:r>
    <w:r w:rsidRPr="008C01DF">
      <w:rPr>
        <w:rFonts w:ascii="C39T30Lfz" w:hAnsi="C39T30Lfz"/>
        <w:sz w:val="56"/>
      </w:rPr>
      <w:t></w:t>
    </w:r>
    <w:r w:rsidRPr="008C01DF">
      <w:rPr>
        <w:rFonts w:ascii="C39T30Lfz" w:hAnsi="C39T30Lfz"/>
        <w:sz w:val="56"/>
      </w:rPr>
      <w:t></w:t>
    </w:r>
    <w:r w:rsidRPr="008C01DF">
      <w:rPr>
        <w:rFonts w:ascii="C39T30Lfz" w:hAnsi="C39T30Lfz"/>
        <w:sz w:val="56"/>
      </w:rPr>
      <w:t></w:t>
    </w:r>
    <w:r w:rsidRPr="008C01DF">
      <w:rPr>
        <w:rFonts w:ascii="C39T30Lfz" w:hAnsi="C39T30Lfz"/>
        <w:sz w:val="56"/>
      </w:rPr>
      <w:t></w:t>
    </w:r>
    <w:r w:rsidRPr="008C01DF">
      <w:rPr>
        <w:rFonts w:ascii="C39T30Lfz" w:hAnsi="C39T30Lfz"/>
        <w:sz w:val="56"/>
      </w:rPr>
      <w:t></w:t>
    </w:r>
    <w:r w:rsidRPr="008C01DF">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12/56/D/8/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56/D/8/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DA" w:rsidRPr="00AC3823" w:rsidRDefault="00A56FDA" w:rsidP="00AC3823">
      <w:pPr>
        <w:pStyle w:val="Pieddepage"/>
        <w:tabs>
          <w:tab w:val="right" w:pos="2155"/>
        </w:tabs>
        <w:spacing w:after="80" w:line="240" w:lineRule="atLeast"/>
        <w:ind w:left="680"/>
        <w:rPr>
          <w:u w:val="single"/>
        </w:rPr>
      </w:pPr>
      <w:r>
        <w:rPr>
          <w:u w:val="single"/>
        </w:rPr>
        <w:tab/>
      </w:r>
    </w:p>
  </w:footnote>
  <w:footnote w:type="continuationSeparator" w:id="0">
    <w:p w:rsidR="00A56FDA" w:rsidRPr="00AC3823" w:rsidRDefault="00A56FDA" w:rsidP="00AC3823">
      <w:pPr>
        <w:pStyle w:val="Pieddepage"/>
        <w:tabs>
          <w:tab w:val="right" w:pos="2155"/>
        </w:tabs>
        <w:spacing w:after="80" w:line="240" w:lineRule="atLeast"/>
        <w:ind w:left="680"/>
        <w:rPr>
          <w:u w:val="single"/>
        </w:rPr>
      </w:pPr>
      <w:r>
        <w:rPr>
          <w:u w:val="single"/>
        </w:rPr>
        <w:tab/>
      </w:r>
    </w:p>
  </w:footnote>
  <w:footnote w:type="continuationNotice" w:id="1">
    <w:p w:rsidR="00A56FDA" w:rsidRPr="00AC3823" w:rsidRDefault="00A56FDA">
      <w:pPr>
        <w:spacing w:line="240" w:lineRule="auto"/>
        <w:rPr>
          <w:sz w:val="2"/>
          <w:szCs w:val="2"/>
        </w:rPr>
      </w:pPr>
    </w:p>
  </w:footnote>
  <w:footnote w:id="2">
    <w:p w:rsidR="00326F05" w:rsidRDefault="00326F05">
      <w:pPr>
        <w:pStyle w:val="Notedebasdepage"/>
      </w:pPr>
      <w:r>
        <w:tab/>
      </w:r>
      <w:r>
        <w:rPr>
          <w:rStyle w:val="Appelnotedebasdep"/>
        </w:rPr>
        <w:footnoteRef/>
      </w:r>
      <w:r>
        <w:tab/>
        <w:t>Le Protocole facultatif est entré en vigueur pour l’État partie le 5 mai 2013.</w:t>
      </w:r>
    </w:p>
  </w:footnote>
  <w:footnote w:id="3">
    <w:p w:rsidR="00326F05" w:rsidRDefault="00326F05">
      <w:pPr>
        <w:pStyle w:val="Notedebasdepage"/>
      </w:pPr>
      <w:r>
        <w:tab/>
      </w:r>
      <w:r>
        <w:rPr>
          <w:rStyle w:val="Appelnotedebasdep"/>
        </w:rPr>
        <w:footnoteRef/>
      </w:r>
      <w:r>
        <w:tab/>
        <w:t>Selon l’auteur, le montant provisionné en sa faveur au titre des prestations de retraite établies par la convention collective s’élevait, à la date de son licenciement, à 127 768,21 euros.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DF" w:rsidRPr="008C01DF" w:rsidRDefault="008C01DF">
    <w:pPr>
      <w:pStyle w:val="En-tte"/>
    </w:pPr>
    <w:r>
      <w:t>E/C.12/56/D/8/2015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DF" w:rsidRPr="008C01DF" w:rsidRDefault="008C01DF" w:rsidP="008C01DF">
    <w:pPr>
      <w:pStyle w:val="En-tte"/>
      <w:jc w:val="right"/>
    </w:pPr>
    <w:r>
      <w:t>E/C.12/56/D/8/2015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DA"/>
    <w:rsid w:val="00017F94"/>
    <w:rsid w:val="00023842"/>
    <w:rsid w:val="000334F9"/>
    <w:rsid w:val="0007796D"/>
    <w:rsid w:val="000B7790"/>
    <w:rsid w:val="00111F2F"/>
    <w:rsid w:val="0014365E"/>
    <w:rsid w:val="00176178"/>
    <w:rsid w:val="001F525A"/>
    <w:rsid w:val="00223272"/>
    <w:rsid w:val="0024779E"/>
    <w:rsid w:val="002832AC"/>
    <w:rsid w:val="002D7C93"/>
    <w:rsid w:val="00326F05"/>
    <w:rsid w:val="00441C3B"/>
    <w:rsid w:val="00446FE5"/>
    <w:rsid w:val="00452396"/>
    <w:rsid w:val="00497B33"/>
    <w:rsid w:val="004E468C"/>
    <w:rsid w:val="005505B7"/>
    <w:rsid w:val="00573BE5"/>
    <w:rsid w:val="00586ED3"/>
    <w:rsid w:val="0059620D"/>
    <w:rsid w:val="00596AA9"/>
    <w:rsid w:val="005F04CF"/>
    <w:rsid w:val="0071601D"/>
    <w:rsid w:val="007A62E6"/>
    <w:rsid w:val="007E3465"/>
    <w:rsid w:val="0080236C"/>
    <w:rsid w:val="0080684C"/>
    <w:rsid w:val="00871C75"/>
    <w:rsid w:val="008776DC"/>
    <w:rsid w:val="008C01DF"/>
    <w:rsid w:val="00967489"/>
    <w:rsid w:val="009705C8"/>
    <w:rsid w:val="009C1CF4"/>
    <w:rsid w:val="00A30353"/>
    <w:rsid w:val="00A56FDA"/>
    <w:rsid w:val="00AA42FA"/>
    <w:rsid w:val="00AC3823"/>
    <w:rsid w:val="00AE323C"/>
    <w:rsid w:val="00AF290F"/>
    <w:rsid w:val="00B00181"/>
    <w:rsid w:val="00B00B0D"/>
    <w:rsid w:val="00B32330"/>
    <w:rsid w:val="00B765F7"/>
    <w:rsid w:val="00BA0CA9"/>
    <w:rsid w:val="00C02897"/>
    <w:rsid w:val="00D3439C"/>
    <w:rsid w:val="00D71423"/>
    <w:rsid w:val="00DB1831"/>
    <w:rsid w:val="00DD3BFD"/>
    <w:rsid w:val="00DF6678"/>
    <w:rsid w:val="00EF2E22"/>
    <w:rsid w:val="00F660DF"/>
    <w:rsid w:val="00F95C08"/>
    <w:rsid w:val="00FA150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rsid w:val="008C01DF"/>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rsid w:val="008C01DF"/>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10289-1D07-489C-ADFB-DDDCCA1F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5</Pages>
  <Words>1778</Words>
  <Characters>9449</Characters>
  <Application>Microsoft Office Word</Application>
  <DocSecurity>0</DocSecurity>
  <Lines>176</Lines>
  <Paragraphs>62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E/C.12/56/D/8/2015</dc:title>
  <dc:subject>Final</dc:subject>
  <dc:creator>Julien Okrzesik</dc:creator>
  <cp:keywords/>
  <dc:description/>
  <cp:lastModifiedBy>Julien Okrzesik</cp:lastModifiedBy>
  <cp:revision>3</cp:revision>
  <cp:lastPrinted>2014-05-14T10:59:00Z</cp:lastPrinted>
  <dcterms:created xsi:type="dcterms:W3CDTF">2016-03-29T14:24:00Z</dcterms:created>
  <dcterms:modified xsi:type="dcterms:W3CDTF">2016-03-29T14:27:00Z</dcterms:modified>
</cp:coreProperties>
</file>