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34A" w:rsidRDefault="005D534A">
      <w:pPr>
        <w:rPr>
          <w:lang w:val="es-ES_tradnl"/>
        </w:rPr>
      </w:pPr>
      <w:r>
        <w:rPr>
          <w:noProof/>
          <w:sz w:val="20"/>
        </w:rPr>
        <w:pict>
          <v:line id="_x0000_s1031" style="position:absolute;z-index:6;mso-wrap-edited:f;mso-position-horizontal-relative:page;mso-position-vertical-relative:page" from="85.05pt,232.45pt" to="552.75pt,232.4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165.85pt;height:41.1pt;z-index:5;mso-wrap-edited:f;mso-position-horizontal-relative:page;mso-position-vertical-relative:page" wrapcoords="-167 0 -167 21600 21767 21600 21767 0 -167 0" filled="f" stroked="f">
            <v:textbox inset="0,0,0,0">
              <w:txbxContent>
                <w:p w:rsidR="005D534A" w:rsidRDefault="005D534A">
                  <w:pPr>
                    <w:rPr>
                      <w:rFonts w:ascii="Arial" w:hAnsi="Arial" w:cs="Arial"/>
                      <w:b/>
                      <w:bCs/>
                      <w:sz w:val="34"/>
                      <w:lang w:val="es-ES_tradnl"/>
                    </w:rPr>
                  </w:pPr>
                  <w:r>
                    <w:rPr>
                      <w:rFonts w:ascii="Arial" w:hAnsi="Arial" w:cs="Arial"/>
                      <w:b/>
                      <w:bCs/>
                      <w:sz w:val="34"/>
                      <w:lang w:val="es-ES_tradnl"/>
                    </w:rPr>
                    <w:t>Consejo Económico</w:t>
                  </w:r>
                  <w:r>
                    <w:rPr>
                      <w:rFonts w:ascii="Arial" w:hAnsi="Arial" w:cs="Arial"/>
                      <w:b/>
                      <w:bCs/>
                      <w:sz w:val="34"/>
                      <w:lang w:val="es-ES_tradnl"/>
                    </w:rPr>
                    <w:br/>
                    <w:t>y Social</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1.4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418826409" r:id="rId8"/>
        </w:pict>
      </w:r>
      <w:r>
        <w:rPr>
          <w:noProof/>
          <w:sz w:val="20"/>
        </w:rPr>
        <w:pict>
          <v:line id="_x0000_s1028" style="position:absolute;z-index:3;mso-wrap-edited:f;mso-position-horizontal-relative:page;mso-position-vertical-relative:page" from="85.05pt,99.25pt" to="552.75pt,99.25pt" wrapcoords="-35 0 -35 0 21635 0 21635 0 -35 0">
            <w10:wrap anchorx="page" anchory="page"/>
            <w10:anchorlock/>
          </v:line>
        </w:pict>
      </w:r>
      <w:r>
        <w:rPr>
          <w:noProof/>
          <w:sz w:val="20"/>
        </w:rPr>
        <w:pict>
          <v:shape id="_x0000_s1027" type="#_x0000_t202" style="position:absolute;margin-left:530.15pt;margin-top:52.45pt;width:42.5pt;height:45.35pt;z-index:2;mso-wrap-edited:f;mso-position-horizontal-relative:page;mso-position-vertical-relative:page" wrapcoords="-167 0 -167 21600 21767 21600 21767 0 -167 0" filled="f" stroked="f">
            <v:textbox inset="0,0,0,0">
              <w:txbxContent>
                <w:p w:rsidR="005D534A" w:rsidRDefault="005D534A">
                  <w:pPr>
                    <w:rPr>
                      <w:rFonts w:ascii="Arial" w:hAnsi="Arial" w:cs="Arial"/>
                      <w:b/>
                      <w:bCs/>
                      <w:sz w:val="72"/>
                      <w:lang w:val="es-ES_tradnl"/>
                    </w:rPr>
                  </w:pPr>
                  <w:r>
                    <w:rPr>
                      <w:rFonts w:ascii="Arial" w:hAnsi="Arial" w:cs="Arial"/>
                      <w:b/>
                      <w:bCs/>
                      <w:sz w:val="72"/>
                      <w:lang w:val="es-ES_tradnl"/>
                    </w:rPr>
                    <w:t>E</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5D534A" w:rsidRDefault="005D534A">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5D534A" w:rsidRDefault="005D534A">
      <w:pPr>
        <w:rPr>
          <w:lang w:val="es-ES_tradnl"/>
        </w:rPr>
      </w:pPr>
    </w:p>
    <w:p w:rsidR="005D534A" w:rsidRDefault="005D534A">
      <w:pPr>
        <w:spacing w:after="240"/>
        <w:ind w:left="7200"/>
      </w:pPr>
      <w:r>
        <w:t>Distr.</w:t>
      </w:r>
      <w:r>
        <w:br/>
        <w:t>GENERAL</w:t>
      </w:r>
    </w:p>
    <w:p w:rsidR="005D534A" w:rsidRDefault="005D534A" w:rsidP="0045269A">
      <w:pPr>
        <w:spacing w:after="240"/>
        <w:ind w:left="7200"/>
      </w:pPr>
      <w:r>
        <w:t>E/C.12/AUS/4</w:t>
      </w:r>
      <w:r>
        <w:br/>
        <w:t>7 de enero de 2008</w:t>
      </w:r>
    </w:p>
    <w:p w:rsidR="005D534A" w:rsidRDefault="005D534A" w:rsidP="0045269A">
      <w:pPr>
        <w:spacing w:after="600"/>
        <w:ind w:left="7201"/>
      </w:pPr>
      <w:r>
        <w:t>ESPAÑOL</w:t>
      </w:r>
      <w:r>
        <w:br/>
        <w:t xml:space="preserve">Original:  </w:t>
      </w:r>
      <w:r w:rsidR="00E23B93">
        <w:t>INGLÉS</w:t>
      </w:r>
    </w:p>
    <w:p w:rsidR="005D534A" w:rsidRDefault="005D534A" w:rsidP="0045269A">
      <w:pPr>
        <w:spacing w:after="840"/>
      </w:pPr>
      <w:r>
        <w:t>Período de sesiones sustantivo de 2008</w:t>
      </w:r>
    </w:p>
    <w:p w:rsidR="005D534A" w:rsidRDefault="005D534A">
      <w:pPr>
        <w:jc w:val="center"/>
        <w:rPr>
          <w:b/>
          <w:bCs/>
        </w:rPr>
      </w:pPr>
      <w:r>
        <w:rPr>
          <w:b/>
          <w:bCs/>
        </w:rPr>
        <w:t>APLICACIÓN DEL PACTO INTERNACIONAL DE DERECHOS</w:t>
      </w:r>
    </w:p>
    <w:p w:rsidR="005D534A" w:rsidRDefault="005D534A">
      <w:pPr>
        <w:spacing w:after="360"/>
        <w:jc w:val="center"/>
        <w:rPr>
          <w:b/>
          <w:bCs/>
        </w:rPr>
      </w:pPr>
      <w:r>
        <w:rPr>
          <w:b/>
          <w:bCs/>
        </w:rPr>
        <w:t>ECONÓMICOS, SOCIALES Y CULTURALES</w:t>
      </w:r>
    </w:p>
    <w:p w:rsidR="005D534A" w:rsidRDefault="005D534A" w:rsidP="0045269A">
      <w:pPr>
        <w:jc w:val="center"/>
        <w:rPr>
          <w:b/>
          <w:bCs/>
        </w:rPr>
      </w:pPr>
      <w:r>
        <w:rPr>
          <w:b/>
          <w:bCs/>
        </w:rPr>
        <w:t>Cuarto informe periódico presentado por los Estados Partes</w:t>
      </w:r>
    </w:p>
    <w:p w:rsidR="005D534A" w:rsidRDefault="005D534A" w:rsidP="00E23B93">
      <w:pPr>
        <w:spacing w:after="480"/>
        <w:jc w:val="center"/>
        <w:rPr>
          <w:b/>
          <w:bCs/>
        </w:rPr>
      </w:pPr>
      <w:r>
        <w:rPr>
          <w:b/>
          <w:bCs/>
        </w:rPr>
        <w:t>de conformidad con los artículos 16 y 17 del Pacto</w:t>
      </w:r>
    </w:p>
    <w:p w:rsidR="005D534A" w:rsidRDefault="005D534A" w:rsidP="00E23B93">
      <w:pPr>
        <w:spacing w:after="240"/>
        <w:jc w:val="center"/>
        <w:rPr>
          <w:bCs/>
        </w:rPr>
      </w:pPr>
      <w:r>
        <w:rPr>
          <w:b/>
          <w:bCs/>
        </w:rPr>
        <w:t>AUSTRALIA</w:t>
      </w:r>
      <w:r>
        <w:rPr>
          <w:rStyle w:val="FootnoteReference"/>
        </w:rPr>
        <w:footnoteReference w:customMarkFollows="1" w:id="1"/>
        <w:t>*</w:t>
      </w:r>
      <w:r>
        <w:rPr>
          <w:bCs/>
        </w:rPr>
        <w:t xml:space="preserve"> </w:t>
      </w:r>
    </w:p>
    <w:p w:rsidR="005D534A" w:rsidRDefault="005D534A" w:rsidP="0045269A">
      <w:pPr>
        <w:spacing w:after="120"/>
        <w:jc w:val="right"/>
        <w:rPr>
          <w:b/>
        </w:rPr>
      </w:pPr>
      <w:r>
        <w:br/>
        <w:t>[27 de junio de 2007]</w:t>
      </w:r>
    </w:p>
    <w:p w:rsidR="005D534A" w:rsidRPr="00B62162" w:rsidRDefault="005D534A" w:rsidP="0045269A">
      <w:pPr>
        <w:spacing w:after="240"/>
        <w:rPr>
          <w:bCs/>
        </w:rPr>
      </w:pPr>
      <w:r>
        <w:rPr>
          <w:b/>
        </w:rPr>
        <w:br w:type="page"/>
      </w:r>
      <w:r w:rsidRPr="00B62162">
        <w:rPr>
          <w:bCs/>
        </w:rPr>
        <w:t>1.</w:t>
      </w:r>
      <w:r>
        <w:rPr>
          <w:bCs/>
        </w:rPr>
        <w:tab/>
        <w:t>El Gobierno de Australia se complace en presentar al Comité de Derechos Económicos, Sociales y Culturales el cuarto informe periódico de Australia con arreglo al Pacto Internacional de Derechos Económicos, Sociales y Culturales, de conformidad con los artículos 16 y 17. El Pacto fue firmado por Australia el 18 de diciembre de 1972 y ratificado el 10 de diciembre de 1975, entrando en vigor el 10 de marzo de 1976.</w:t>
      </w:r>
    </w:p>
    <w:p w:rsidR="005D534A" w:rsidRDefault="005D534A" w:rsidP="0045269A">
      <w:pPr>
        <w:spacing w:after="240"/>
        <w:rPr>
          <w:bCs/>
        </w:rPr>
      </w:pPr>
      <w:r>
        <w:rPr>
          <w:bCs/>
        </w:rPr>
        <w:t>2.</w:t>
      </w:r>
      <w:r>
        <w:rPr>
          <w:bCs/>
        </w:rPr>
        <w:tab/>
        <w:t>El cuarto informe periódico de Australia abarca el período comprendido entre enero de 1998 y junio de 2006.</w:t>
      </w:r>
    </w:p>
    <w:p w:rsidR="005D534A" w:rsidRDefault="005D534A" w:rsidP="0045269A">
      <w:pPr>
        <w:spacing w:after="240"/>
        <w:rPr>
          <w:bCs/>
        </w:rPr>
      </w:pPr>
      <w:r>
        <w:rPr>
          <w:bCs/>
        </w:rPr>
        <w:t>3.</w:t>
      </w:r>
      <w:r>
        <w:rPr>
          <w:bCs/>
        </w:rPr>
        <w:tab/>
        <w:t xml:space="preserve">De conformidad con el proyecto de directrices en relación con un documento básico común ampliado, emitidas por la Oficina del Alto Comisionado para los Derechos Humanos en mayo de 2006 (HRI/MC/2006/3), Australia ha incluido temas en el documento básico común que son comunes a algunos o a todos los tratados principales de derechos humanos. </w:t>
      </w:r>
    </w:p>
    <w:p w:rsidR="005D534A" w:rsidRDefault="005D534A" w:rsidP="0045269A">
      <w:pPr>
        <w:spacing w:after="240"/>
        <w:rPr>
          <w:bCs/>
        </w:rPr>
      </w:pPr>
      <w:r>
        <w:rPr>
          <w:bCs/>
        </w:rPr>
        <w:t>4.</w:t>
      </w:r>
      <w:r>
        <w:rPr>
          <w:bCs/>
        </w:rPr>
        <w:tab/>
        <w:t xml:space="preserve">El cuadro 1 que figura a continuación señala en qué casos las disposiciones del Pacto Internacional de Derechos Económicos y Sociales se abordan en el documento básico. El cuadro 2 presenta las propuestas y recomendaciones del Comité de Derechos Económicos, Sociales y Culturales en relación con el tercer informe periódico de Australia con arreglo al Pacto, y expone dónde se abordan en el documento básico. </w:t>
      </w:r>
    </w:p>
    <w:p w:rsidR="005D534A" w:rsidRDefault="005D534A" w:rsidP="0045269A">
      <w:pPr>
        <w:spacing w:after="240"/>
        <w:jc w:val="center"/>
        <w:rPr>
          <w:b/>
        </w:rPr>
      </w:pPr>
      <w:r w:rsidRPr="00E01D0A">
        <w:rPr>
          <w:b/>
        </w:rPr>
        <w:t>Cuadro 1</w:t>
      </w:r>
    </w:p>
    <w:p w:rsidR="005D534A" w:rsidRPr="00E01D0A" w:rsidRDefault="005D534A" w:rsidP="0045269A">
      <w:pPr>
        <w:spacing w:after="240"/>
        <w:jc w:val="center"/>
        <w:rPr>
          <w:bCs/>
        </w:rPr>
      </w:pPr>
      <w:r w:rsidRPr="00E01D0A">
        <w:rPr>
          <w:b/>
        </w:rPr>
        <w:t>Artículos del Pacto Internacional de Derechos Económicos</w:t>
      </w:r>
      <w:r>
        <w:rPr>
          <w:b/>
        </w:rPr>
        <w:t>,</w:t>
      </w:r>
      <w:r w:rsidRPr="00E01D0A">
        <w:rPr>
          <w:b/>
        </w:rPr>
        <w:t xml:space="preserve"> Sociales</w:t>
      </w:r>
      <w:r>
        <w:rPr>
          <w:b/>
        </w:rPr>
        <w:t xml:space="preserve"> y Culturales</w:t>
      </w:r>
      <w:r w:rsidRPr="00E01D0A">
        <w:rPr>
          <w:b/>
        </w:rPr>
        <w:t xml:space="preserve"> abordados en el documento básico común</w:t>
      </w:r>
    </w:p>
    <w:tbl>
      <w:tblPr>
        <w:tblStyle w:val="TableGrid"/>
        <w:tblW w:w="0" w:type="auto"/>
        <w:tblLook w:val="01E0" w:firstRow="1" w:lastRow="1" w:firstColumn="1" w:lastColumn="1" w:noHBand="0" w:noVBand="0"/>
      </w:tblPr>
      <w:tblGrid>
        <w:gridCol w:w="1028"/>
        <w:gridCol w:w="8463"/>
      </w:tblGrid>
      <w:tr w:rsidR="005D534A" w:rsidTr="00492F5B">
        <w:trPr>
          <w:tblHeader/>
        </w:trPr>
        <w:tc>
          <w:tcPr>
            <w:tcW w:w="1028" w:type="dxa"/>
          </w:tcPr>
          <w:p w:rsidR="005D534A" w:rsidRPr="00E01D0A" w:rsidRDefault="005D534A" w:rsidP="0045269A">
            <w:pPr>
              <w:spacing w:before="60" w:after="60"/>
              <w:jc w:val="center"/>
              <w:rPr>
                <w:b/>
              </w:rPr>
            </w:pPr>
            <w:r w:rsidRPr="00E01D0A">
              <w:rPr>
                <w:b/>
              </w:rPr>
              <w:t>Artículo</w:t>
            </w:r>
          </w:p>
        </w:tc>
        <w:tc>
          <w:tcPr>
            <w:tcW w:w="8463" w:type="dxa"/>
          </w:tcPr>
          <w:p w:rsidR="005D534A" w:rsidRPr="00E01D0A" w:rsidRDefault="005D534A" w:rsidP="00595EF8">
            <w:pPr>
              <w:spacing w:before="60" w:after="60"/>
              <w:jc w:val="center"/>
              <w:rPr>
                <w:b/>
              </w:rPr>
            </w:pPr>
            <w:r w:rsidRPr="00E01D0A">
              <w:rPr>
                <w:b/>
              </w:rPr>
              <w:t>Documento básico común</w:t>
            </w:r>
          </w:p>
        </w:tc>
      </w:tr>
      <w:tr w:rsidR="005D534A" w:rsidTr="0045269A">
        <w:tc>
          <w:tcPr>
            <w:tcW w:w="1028" w:type="dxa"/>
          </w:tcPr>
          <w:p w:rsidR="005D534A" w:rsidRDefault="005D534A" w:rsidP="0045269A">
            <w:pPr>
              <w:spacing w:before="60" w:after="60"/>
              <w:jc w:val="center"/>
              <w:rPr>
                <w:bCs/>
              </w:rPr>
            </w:pPr>
            <w:r>
              <w:rPr>
                <w:bCs/>
              </w:rPr>
              <w:t>1</w:t>
            </w:r>
          </w:p>
        </w:tc>
        <w:tc>
          <w:tcPr>
            <w:tcW w:w="8463" w:type="dxa"/>
          </w:tcPr>
          <w:p w:rsidR="005D534A" w:rsidRDefault="005D534A" w:rsidP="0045269A">
            <w:pPr>
              <w:spacing w:before="60" w:after="60"/>
              <w:ind w:left="340" w:hanging="340"/>
              <w:rPr>
                <w:bCs/>
              </w:rPr>
            </w:pPr>
            <w:r>
              <w:rPr>
                <w:bCs/>
              </w:rPr>
              <w:t>K.</w:t>
            </w:r>
            <w:r>
              <w:rPr>
                <w:bCs/>
              </w:rPr>
              <w:tab/>
              <w:t>Derecho de libre determinación</w:t>
            </w:r>
          </w:p>
        </w:tc>
      </w:tr>
      <w:tr w:rsidR="005D534A" w:rsidTr="0045269A">
        <w:tc>
          <w:tcPr>
            <w:tcW w:w="1028" w:type="dxa"/>
          </w:tcPr>
          <w:p w:rsidR="005D534A" w:rsidRDefault="005D534A" w:rsidP="0045269A">
            <w:pPr>
              <w:spacing w:before="60" w:after="60"/>
              <w:jc w:val="center"/>
              <w:rPr>
                <w:bCs/>
              </w:rPr>
            </w:pPr>
            <w:r>
              <w:rPr>
                <w:bCs/>
              </w:rPr>
              <w:t>2</w:t>
            </w:r>
          </w:p>
        </w:tc>
        <w:tc>
          <w:tcPr>
            <w:tcW w:w="8463" w:type="dxa"/>
          </w:tcPr>
          <w:p w:rsidR="005D534A" w:rsidRDefault="005D534A" w:rsidP="0045269A">
            <w:pPr>
              <w:spacing w:before="60" w:after="60"/>
              <w:ind w:left="340" w:hanging="340"/>
              <w:rPr>
                <w:bCs/>
              </w:rPr>
            </w:pPr>
            <w:r>
              <w:rPr>
                <w:bCs/>
              </w:rPr>
              <w:t>G.</w:t>
            </w:r>
            <w:r>
              <w:rPr>
                <w:bCs/>
              </w:rPr>
              <w:tab/>
              <w:t>No discriminación e igualdad</w:t>
            </w:r>
          </w:p>
          <w:p w:rsidR="005D534A" w:rsidRDefault="005D534A" w:rsidP="0045269A">
            <w:pPr>
              <w:spacing w:before="60" w:after="60"/>
              <w:ind w:left="340" w:hanging="340"/>
              <w:rPr>
                <w:bCs/>
              </w:rPr>
            </w:pPr>
            <w:r>
              <w:rPr>
                <w:bCs/>
              </w:rPr>
              <w:t>W.</w:t>
            </w:r>
            <w:r>
              <w:rPr>
                <w:bCs/>
              </w:rPr>
              <w:tab/>
              <w:t>Derecho a alimentación, vestido y vivienda adecuados</w:t>
            </w:r>
          </w:p>
          <w:p w:rsidR="005D534A" w:rsidRDefault="005D534A" w:rsidP="0045269A">
            <w:pPr>
              <w:spacing w:before="60" w:after="60"/>
              <w:ind w:left="340" w:hanging="340"/>
              <w:rPr>
                <w:bCs/>
              </w:rPr>
            </w:pPr>
            <w:r>
              <w:rPr>
                <w:bCs/>
              </w:rPr>
              <w:t>X.</w:t>
            </w:r>
            <w:r>
              <w:rPr>
                <w:bCs/>
              </w:rPr>
              <w:tab/>
              <w:t>Derecho a disfrutar del más alto nivel de salud física y mental</w:t>
            </w:r>
          </w:p>
          <w:p w:rsidR="005D534A" w:rsidRDefault="005D534A" w:rsidP="0045269A">
            <w:pPr>
              <w:spacing w:before="60" w:after="60"/>
              <w:ind w:left="340" w:hanging="340"/>
              <w:rPr>
                <w:bCs/>
              </w:rPr>
            </w:pPr>
            <w:r>
              <w:rPr>
                <w:bCs/>
              </w:rPr>
              <w:t>Y.</w:t>
            </w:r>
            <w:r>
              <w:rPr>
                <w:bCs/>
              </w:rPr>
              <w:tab/>
              <w:t>Derecho a la educación y otros derechos culturales</w:t>
            </w:r>
          </w:p>
        </w:tc>
      </w:tr>
      <w:tr w:rsidR="005D534A" w:rsidTr="0045269A">
        <w:tc>
          <w:tcPr>
            <w:tcW w:w="1028" w:type="dxa"/>
          </w:tcPr>
          <w:p w:rsidR="005D534A" w:rsidRDefault="005D534A" w:rsidP="0045269A">
            <w:pPr>
              <w:spacing w:before="60" w:after="60"/>
              <w:jc w:val="center"/>
              <w:rPr>
                <w:bCs/>
              </w:rPr>
            </w:pPr>
            <w:r>
              <w:rPr>
                <w:bCs/>
              </w:rPr>
              <w:t>3</w:t>
            </w:r>
          </w:p>
        </w:tc>
        <w:tc>
          <w:tcPr>
            <w:tcW w:w="8463" w:type="dxa"/>
          </w:tcPr>
          <w:p w:rsidR="005D534A" w:rsidRDefault="005D534A" w:rsidP="0045269A">
            <w:pPr>
              <w:spacing w:before="60" w:after="60"/>
              <w:ind w:left="340" w:hanging="340"/>
              <w:rPr>
                <w:bCs/>
              </w:rPr>
            </w:pPr>
            <w:r>
              <w:rPr>
                <w:bCs/>
              </w:rPr>
              <w:t>G.</w:t>
            </w:r>
            <w:r>
              <w:rPr>
                <w:bCs/>
              </w:rPr>
              <w:tab/>
              <w:t>No discriminación e igualdad</w:t>
            </w:r>
          </w:p>
          <w:p w:rsidR="005D534A" w:rsidRDefault="005D534A" w:rsidP="0045269A">
            <w:pPr>
              <w:spacing w:before="60" w:after="60"/>
              <w:ind w:left="340" w:hanging="340"/>
              <w:rPr>
                <w:bCs/>
              </w:rPr>
            </w:pPr>
            <w:r>
              <w:rPr>
                <w:bCs/>
              </w:rPr>
              <w:t>J.</w:t>
            </w:r>
            <w:r>
              <w:rPr>
                <w:bCs/>
              </w:rPr>
              <w:tab/>
              <w:t>Participación en la vida pública</w:t>
            </w:r>
          </w:p>
          <w:p w:rsidR="005D534A" w:rsidRDefault="005D534A" w:rsidP="0045269A">
            <w:pPr>
              <w:spacing w:before="60" w:after="60"/>
              <w:ind w:left="340" w:hanging="340"/>
              <w:rPr>
                <w:bCs/>
              </w:rPr>
            </w:pPr>
            <w:r>
              <w:rPr>
                <w:bCs/>
              </w:rPr>
              <w:t>R.</w:t>
            </w:r>
            <w:r>
              <w:rPr>
                <w:bCs/>
              </w:rPr>
              <w:tab/>
            </w:r>
            <w:r w:rsidR="00A0310B">
              <w:rPr>
                <w:bCs/>
              </w:rPr>
              <w:t>Derecho</w:t>
            </w:r>
            <w:r w:rsidR="00595EF8">
              <w:rPr>
                <w:bCs/>
              </w:rPr>
              <w:t xml:space="preserve"> a casarse y a crear una familia, y a la protección de la familia, la madre y el niño</w:t>
            </w:r>
          </w:p>
          <w:p w:rsidR="005D534A" w:rsidRDefault="005D534A" w:rsidP="0045269A">
            <w:pPr>
              <w:spacing w:before="60" w:after="60"/>
              <w:ind w:left="340" w:hanging="340"/>
              <w:rPr>
                <w:bCs/>
              </w:rPr>
            </w:pPr>
            <w:r>
              <w:rPr>
                <w:bCs/>
              </w:rPr>
              <w:t>S.</w:t>
            </w:r>
            <w:r>
              <w:rPr>
                <w:bCs/>
              </w:rPr>
              <w:tab/>
              <w:t>Derecho al trabajo</w:t>
            </w:r>
          </w:p>
          <w:p w:rsidR="005D534A" w:rsidRDefault="005D534A" w:rsidP="0045269A">
            <w:pPr>
              <w:spacing w:before="60" w:after="60"/>
              <w:ind w:left="340" w:hanging="340"/>
              <w:rPr>
                <w:bCs/>
              </w:rPr>
            </w:pPr>
            <w:r>
              <w:rPr>
                <w:bCs/>
              </w:rPr>
              <w:t>T.</w:t>
            </w:r>
            <w:r>
              <w:rPr>
                <w:bCs/>
              </w:rPr>
              <w:tab/>
              <w:t>Derecho a condiciones de trabajo justas y favorables</w:t>
            </w:r>
          </w:p>
          <w:p w:rsidR="005D534A" w:rsidRDefault="005D534A" w:rsidP="0045269A">
            <w:pPr>
              <w:spacing w:before="60" w:after="60"/>
              <w:ind w:left="340" w:hanging="340"/>
              <w:rPr>
                <w:bCs/>
              </w:rPr>
            </w:pPr>
            <w:r>
              <w:rPr>
                <w:bCs/>
              </w:rPr>
              <w:t>X.</w:t>
            </w:r>
            <w:r>
              <w:rPr>
                <w:bCs/>
              </w:rPr>
              <w:tab/>
              <w:t>Derecho a disfrutar del más alto nivel de salud física y mental</w:t>
            </w:r>
          </w:p>
          <w:p w:rsidR="005D534A" w:rsidRDefault="005D534A" w:rsidP="0045269A">
            <w:pPr>
              <w:spacing w:before="60" w:after="60"/>
              <w:ind w:left="340" w:hanging="340"/>
              <w:rPr>
                <w:bCs/>
              </w:rPr>
            </w:pPr>
            <w:r>
              <w:rPr>
                <w:bCs/>
              </w:rPr>
              <w:t>Y.</w:t>
            </w:r>
            <w:r>
              <w:rPr>
                <w:bCs/>
              </w:rPr>
              <w:tab/>
              <w:t>Derecho a la educación y otros derechos culturales</w:t>
            </w:r>
          </w:p>
        </w:tc>
      </w:tr>
      <w:tr w:rsidR="005D534A" w:rsidTr="0045269A">
        <w:tc>
          <w:tcPr>
            <w:tcW w:w="1028" w:type="dxa"/>
          </w:tcPr>
          <w:p w:rsidR="005D534A" w:rsidRDefault="005D534A" w:rsidP="0045269A">
            <w:pPr>
              <w:spacing w:before="60" w:after="60"/>
              <w:jc w:val="center"/>
              <w:rPr>
                <w:bCs/>
              </w:rPr>
            </w:pPr>
            <w:r>
              <w:rPr>
                <w:bCs/>
              </w:rPr>
              <w:t>4</w:t>
            </w:r>
          </w:p>
        </w:tc>
        <w:tc>
          <w:tcPr>
            <w:tcW w:w="8463" w:type="dxa"/>
          </w:tcPr>
          <w:p w:rsidR="005D534A" w:rsidRDefault="005D534A" w:rsidP="0045269A">
            <w:pPr>
              <w:spacing w:before="60" w:after="60"/>
              <w:ind w:left="340" w:hanging="340"/>
              <w:rPr>
                <w:bCs/>
              </w:rPr>
            </w:pPr>
            <w:r>
              <w:rPr>
                <w:bCs/>
              </w:rPr>
              <w:t>D.</w:t>
            </w:r>
            <w:r>
              <w:rPr>
                <w:bCs/>
              </w:rPr>
              <w:tab/>
              <w:t>Marco jurídico general en el que se protegen los derechos humanos a nivel nacional</w:t>
            </w:r>
          </w:p>
        </w:tc>
      </w:tr>
      <w:tr w:rsidR="005D534A" w:rsidTr="0045269A">
        <w:tc>
          <w:tcPr>
            <w:tcW w:w="1028" w:type="dxa"/>
          </w:tcPr>
          <w:p w:rsidR="005D534A" w:rsidRDefault="005D534A" w:rsidP="0045269A">
            <w:pPr>
              <w:spacing w:before="60" w:after="60"/>
              <w:jc w:val="center"/>
              <w:rPr>
                <w:bCs/>
              </w:rPr>
            </w:pPr>
            <w:r>
              <w:rPr>
                <w:bCs/>
              </w:rPr>
              <w:t>5</w:t>
            </w:r>
          </w:p>
        </w:tc>
        <w:tc>
          <w:tcPr>
            <w:tcW w:w="8463" w:type="dxa"/>
          </w:tcPr>
          <w:p w:rsidR="005D534A" w:rsidRDefault="005D534A" w:rsidP="0045269A">
            <w:pPr>
              <w:spacing w:before="60" w:after="60"/>
              <w:ind w:left="340" w:hanging="340"/>
              <w:rPr>
                <w:bCs/>
              </w:rPr>
            </w:pPr>
            <w:r>
              <w:rPr>
                <w:bCs/>
              </w:rPr>
              <w:t>D.</w:t>
            </w:r>
            <w:r>
              <w:rPr>
                <w:bCs/>
              </w:rPr>
              <w:tab/>
              <w:t>Marco jurídico general en el que se protegen los derechos humanos a nivel nacional</w:t>
            </w:r>
          </w:p>
        </w:tc>
      </w:tr>
      <w:tr w:rsidR="005D534A" w:rsidTr="0045269A">
        <w:tc>
          <w:tcPr>
            <w:tcW w:w="1028" w:type="dxa"/>
          </w:tcPr>
          <w:p w:rsidR="005D534A" w:rsidRDefault="005D534A" w:rsidP="0045269A">
            <w:pPr>
              <w:spacing w:before="60" w:after="60"/>
              <w:jc w:val="center"/>
              <w:rPr>
                <w:bCs/>
              </w:rPr>
            </w:pPr>
            <w:r>
              <w:rPr>
                <w:bCs/>
              </w:rPr>
              <w:t>6</w:t>
            </w:r>
          </w:p>
        </w:tc>
        <w:tc>
          <w:tcPr>
            <w:tcW w:w="8463" w:type="dxa"/>
          </w:tcPr>
          <w:p w:rsidR="005D534A" w:rsidRDefault="005D534A" w:rsidP="0045269A">
            <w:pPr>
              <w:spacing w:before="60" w:after="60"/>
              <w:ind w:left="340" w:hanging="340"/>
              <w:rPr>
                <w:bCs/>
              </w:rPr>
            </w:pPr>
            <w:r>
              <w:rPr>
                <w:bCs/>
              </w:rPr>
              <w:t>S.</w:t>
            </w:r>
            <w:r>
              <w:rPr>
                <w:bCs/>
              </w:rPr>
              <w:tab/>
              <w:t>Derecho al trabajo</w:t>
            </w:r>
          </w:p>
        </w:tc>
      </w:tr>
      <w:tr w:rsidR="005D534A" w:rsidTr="0045269A">
        <w:tc>
          <w:tcPr>
            <w:tcW w:w="1028" w:type="dxa"/>
          </w:tcPr>
          <w:p w:rsidR="005D534A" w:rsidRDefault="005D534A" w:rsidP="0045269A">
            <w:pPr>
              <w:spacing w:before="60" w:after="60"/>
              <w:jc w:val="center"/>
              <w:rPr>
                <w:bCs/>
              </w:rPr>
            </w:pPr>
            <w:r>
              <w:rPr>
                <w:bCs/>
              </w:rPr>
              <w:t>7</w:t>
            </w:r>
          </w:p>
        </w:tc>
        <w:tc>
          <w:tcPr>
            <w:tcW w:w="8463" w:type="dxa"/>
          </w:tcPr>
          <w:p w:rsidR="005D534A" w:rsidRDefault="005D534A" w:rsidP="0045269A">
            <w:pPr>
              <w:spacing w:before="60" w:after="60"/>
              <w:ind w:left="340" w:hanging="340"/>
              <w:rPr>
                <w:bCs/>
              </w:rPr>
            </w:pPr>
            <w:r>
              <w:rPr>
                <w:bCs/>
              </w:rPr>
              <w:t>T.</w:t>
            </w:r>
            <w:r>
              <w:rPr>
                <w:bCs/>
              </w:rPr>
              <w:tab/>
              <w:t>Derecho a condiciones de trabajo justas y favorables</w:t>
            </w:r>
          </w:p>
        </w:tc>
      </w:tr>
      <w:tr w:rsidR="005D534A" w:rsidTr="0045269A">
        <w:tc>
          <w:tcPr>
            <w:tcW w:w="1028" w:type="dxa"/>
          </w:tcPr>
          <w:p w:rsidR="005D534A" w:rsidRDefault="005D534A" w:rsidP="0045269A">
            <w:pPr>
              <w:spacing w:before="60" w:after="60"/>
              <w:jc w:val="center"/>
              <w:rPr>
                <w:bCs/>
              </w:rPr>
            </w:pPr>
            <w:r>
              <w:rPr>
                <w:bCs/>
              </w:rPr>
              <w:t>8</w:t>
            </w:r>
          </w:p>
        </w:tc>
        <w:tc>
          <w:tcPr>
            <w:tcW w:w="8463" w:type="dxa"/>
          </w:tcPr>
          <w:p w:rsidR="005D534A" w:rsidRDefault="005D534A" w:rsidP="0045269A">
            <w:pPr>
              <w:spacing w:before="60" w:after="60"/>
              <w:ind w:left="340" w:hanging="340"/>
              <w:rPr>
                <w:bCs/>
              </w:rPr>
            </w:pPr>
            <w:r>
              <w:rPr>
                <w:bCs/>
              </w:rPr>
              <w:t>U.</w:t>
            </w:r>
            <w:r>
              <w:rPr>
                <w:bCs/>
              </w:rPr>
              <w:tab/>
              <w:t>Derechos sindicales</w:t>
            </w:r>
          </w:p>
        </w:tc>
      </w:tr>
      <w:tr w:rsidR="005D534A" w:rsidTr="0045269A">
        <w:tc>
          <w:tcPr>
            <w:tcW w:w="1028" w:type="dxa"/>
          </w:tcPr>
          <w:p w:rsidR="005D534A" w:rsidRDefault="005D534A" w:rsidP="0045269A">
            <w:pPr>
              <w:spacing w:before="60" w:after="60"/>
              <w:jc w:val="center"/>
              <w:rPr>
                <w:bCs/>
              </w:rPr>
            </w:pPr>
            <w:r>
              <w:rPr>
                <w:bCs/>
              </w:rPr>
              <w:t>9</w:t>
            </w:r>
          </w:p>
        </w:tc>
        <w:tc>
          <w:tcPr>
            <w:tcW w:w="8463" w:type="dxa"/>
          </w:tcPr>
          <w:p w:rsidR="005D534A" w:rsidRDefault="005D534A" w:rsidP="0045269A">
            <w:pPr>
              <w:spacing w:before="60" w:after="60"/>
              <w:ind w:left="340" w:hanging="340"/>
              <w:rPr>
                <w:bCs/>
              </w:rPr>
            </w:pPr>
            <w:r>
              <w:rPr>
                <w:bCs/>
              </w:rPr>
              <w:t>V.</w:t>
            </w:r>
            <w:r>
              <w:rPr>
                <w:bCs/>
              </w:rPr>
              <w:tab/>
              <w:t>Derecho a la seguridad social</w:t>
            </w:r>
          </w:p>
        </w:tc>
      </w:tr>
      <w:tr w:rsidR="005D534A" w:rsidTr="0045269A">
        <w:tc>
          <w:tcPr>
            <w:tcW w:w="1028" w:type="dxa"/>
          </w:tcPr>
          <w:p w:rsidR="005D534A" w:rsidRDefault="005D534A" w:rsidP="0045269A">
            <w:pPr>
              <w:spacing w:before="60" w:after="60"/>
              <w:jc w:val="center"/>
              <w:rPr>
                <w:bCs/>
              </w:rPr>
            </w:pPr>
            <w:r>
              <w:rPr>
                <w:bCs/>
              </w:rPr>
              <w:t>10</w:t>
            </w:r>
          </w:p>
        </w:tc>
        <w:tc>
          <w:tcPr>
            <w:tcW w:w="8463" w:type="dxa"/>
          </w:tcPr>
          <w:p w:rsidR="005D534A" w:rsidRPr="003B7179" w:rsidRDefault="005D534A" w:rsidP="00C70CE5">
            <w:pPr>
              <w:spacing w:before="60" w:after="60"/>
              <w:ind w:left="340" w:hanging="340"/>
              <w:rPr>
                <w:bCs/>
              </w:rPr>
            </w:pPr>
            <w:r>
              <w:rPr>
                <w:bCs/>
              </w:rPr>
              <w:t>R</w:t>
            </w:r>
            <w:r w:rsidR="002B78FE">
              <w:rPr>
                <w:bCs/>
              </w:rPr>
              <w:t>.</w:t>
            </w:r>
            <w:r w:rsidR="002B78FE">
              <w:rPr>
                <w:bCs/>
              </w:rPr>
              <w:tab/>
            </w:r>
            <w:r w:rsidR="003B7179" w:rsidRPr="003B7179">
              <w:rPr>
                <w:bCs/>
              </w:rPr>
              <w:t>Derecho a casarse y a crear una familia, y a la protección de la familia, la madre y el niño</w:t>
            </w:r>
          </w:p>
        </w:tc>
      </w:tr>
      <w:tr w:rsidR="005D534A" w:rsidTr="0045269A">
        <w:tc>
          <w:tcPr>
            <w:tcW w:w="1028" w:type="dxa"/>
          </w:tcPr>
          <w:p w:rsidR="005D534A" w:rsidRDefault="005D534A" w:rsidP="0045269A">
            <w:pPr>
              <w:spacing w:before="60" w:after="60"/>
              <w:jc w:val="center"/>
              <w:rPr>
                <w:bCs/>
              </w:rPr>
            </w:pPr>
            <w:r>
              <w:rPr>
                <w:bCs/>
              </w:rPr>
              <w:t>11</w:t>
            </w:r>
          </w:p>
        </w:tc>
        <w:tc>
          <w:tcPr>
            <w:tcW w:w="8463" w:type="dxa"/>
          </w:tcPr>
          <w:p w:rsidR="005D534A" w:rsidRDefault="005D534A" w:rsidP="0045269A">
            <w:pPr>
              <w:spacing w:before="60" w:after="60"/>
              <w:ind w:left="340" w:hanging="340"/>
              <w:rPr>
                <w:bCs/>
              </w:rPr>
            </w:pPr>
            <w:r>
              <w:rPr>
                <w:bCs/>
              </w:rPr>
              <w:t>W.</w:t>
            </w:r>
            <w:r>
              <w:rPr>
                <w:bCs/>
              </w:rPr>
              <w:tab/>
              <w:t>Derecho a alimentación, vestido y vivienda adecuados</w:t>
            </w:r>
          </w:p>
        </w:tc>
      </w:tr>
      <w:tr w:rsidR="005D534A" w:rsidTr="0045269A">
        <w:tc>
          <w:tcPr>
            <w:tcW w:w="1028" w:type="dxa"/>
          </w:tcPr>
          <w:p w:rsidR="005D534A" w:rsidRDefault="005D534A" w:rsidP="0045269A">
            <w:pPr>
              <w:spacing w:before="60" w:after="60"/>
              <w:jc w:val="center"/>
              <w:rPr>
                <w:bCs/>
              </w:rPr>
            </w:pPr>
            <w:r>
              <w:rPr>
                <w:bCs/>
              </w:rPr>
              <w:t>12</w:t>
            </w:r>
          </w:p>
        </w:tc>
        <w:tc>
          <w:tcPr>
            <w:tcW w:w="8463" w:type="dxa"/>
          </w:tcPr>
          <w:p w:rsidR="005D534A" w:rsidRDefault="005D534A" w:rsidP="0045269A">
            <w:pPr>
              <w:spacing w:before="60" w:after="60"/>
              <w:ind w:left="340" w:hanging="340"/>
              <w:rPr>
                <w:bCs/>
              </w:rPr>
            </w:pPr>
            <w:r>
              <w:rPr>
                <w:bCs/>
              </w:rPr>
              <w:t>X.</w:t>
            </w:r>
            <w:r>
              <w:rPr>
                <w:bCs/>
              </w:rPr>
              <w:tab/>
              <w:t>Derecho a disfrutar del más alto nivel de salud física y mental</w:t>
            </w:r>
          </w:p>
        </w:tc>
      </w:tr>
      <w:tr w:rsidR="005D534A" w:rsidTr="0045269A">
        <w:tc>
          <w:tcPr>
            <w:tcW w:w="1028" w:type="dxa"/>
          </w:tcPr>
          <w:p w:rsidR="005D534A" w:rsidRDefault="005D534A" w:rsidP="0045269A">
            <w:pPr>
              <w:spacing w:before="60" w:after="60"/>
              <w:jc w:val="center"/>
              <w:rPr>
                <w:bCs/>
              </w:rPr>
            </w:pPr>
            <w:r>
              <w:rPr>
                <w:bCs/>
              </w:rPr>
              <w:t>13</w:t>
            </w:r>
          </w:p>
        </w:tc>
        <w:tc>
          <w:tcPr>
            <w:tcW w:w="8463" w:type="dxa"/>
          </w:tcPr>
          <w:p w:rsidR="005D534A" w:rsidRDefault="005D534A" w:rsidP="0045269A">
            <w:pPr>
              <w:spacing w:before="60" w:after="60"/>
              <w:ind w:left="340" w:hanging="340"/>
              <w:rPr>
                <w:bCs/>
              </w:rPr>
            </w:pPr>
            <w:r>
              <w:rPr>
                <w:bCs/>
              </w:rPr>
              <w:t>Y.</w:t>
            </w:r>
            <w:r>
              <w:rPr>
                <w:bCs/>
              </w:rPr>
              <w:tab/>
              <w:t>Derecho a la educación y otros derechos culturales</w:t>
            </w:r>
          </w:p>
        </w:tc>
      </w:tr>
      <w:tr w:rsidR="005D534A" w:rsidTr="0045269A">
        <w:tc>
          <w:tcPr>
            <w:tcW w:w="1028" w:type="dxa"/>
          </w:tcPr>
          <w:p w:rsidR="005D534A" w:rsidRDefault="005D534A" w:rsidP="0045269A">
            <w:pPr>
              <w:spacing w:before="60" w:after="60"/>
              <w:jc w:val="center"/>
              <w:rPr>
                <w:bCs/>
              </w:rPr>
            </w:pPr>
            <w:r>
              <w:rPr>
                <w:bCs/>
              </w:rPr>
              <w:t>14</w:t>
            </w:r>
          </w:p>
        </w:tc>
        <w:tc>
          <w:tcPr>
            <w:tcW w:w="8463" w:type="dxa"/>
          </w:tcPr>
          <w:p w:rsidR="005D534A" w:rsidRDefault="005D534A" w:rsidP="0045269A">
            <w:pPr>
              <w:spacing w:before="60" w:after="60"/>
              <w:ind w:left="340" w:hanging="340"/>
              <w:rPr>
                <w:bCs/>
              </w:rPr>
            </w:pPr>
            <w:r>
              <w:rPr>
                <w:bCs/>
              </w:rPr>
              <w:t>Y.</w:t>
            </w:r>
            <w:r>
              <w:rPr>
                <w:bCs/>
              </w:rPr>
              <w:tab/>
              <w:t>Derecho a la educación y otros derechos culturales</w:t>
            </w:r>
          </w:p>
        </w:tc>
      </w:tr>
      <w:tr w:rsidR="005D534A" w:rsidTr="0045269A">
        <w:tc>
          <w:tcPr>
            <w:tcW w:w="1028" w:type="dxa"/>
          </w:tcPr>
          <w:p w:rsidR="005D534A" w:rsidRDefault="005D534A" w:rsidP="0045269A">
            <w:pPr>
              <w:spacing w:before="60" w:after="60"/>
              <w:jc w:val="center"/>
              <w:rPr>
                <w:bCs/>
              </w:rPr>
            </w:pPr>
            <w:r>
              <w:rPr>
                <w:bCs/>
              </w:rPr>
              <w:t>15</w:t>
            </w:r>
          </w:p>
        </w:tc>
        <w:tc>
          <w:tcPr>
            <w:tcW w:w="8463" w:type="dxa"/>
          </w:tcPr>
          <w:p w:rsidR="005D534A" w:rsidRDefault="005D534A" w:rsidP="0045269A">
            <w:pPr>
              <w:spacing w:before="60" w:after="60"/>
              <w:ind w:left="340" w:hanging="340"/>
              <w:rPr>
                <w:bCs/>
              </w:rPr>
            </w:pPr>
            <w:r>
              <w:rPr>
                <w:bCs/>
              </w:rPr>
              <w:t>Y.</w:t>
            </w:r>
            <w:r>
              <w:rPr>
                <w:bCs/>
              </w:rPr>
              <w:tab/>
              <w:t>Derecho a la educación y otros derechos culturales</w:t>
            </w:r>
          </w:p>
        </w:tc>
      </w:tr>
    </w:tbl>
    <w:p w:rsidR="005D534A" w:rsidRDefault="005D534A" w:rsidP="009D46AD">
      <w:pPr>
        <w:spacing w:before="480" w:after="240"/>
        <w:jc w:val="center"/>
        <w:rPr>
          <w:b/>
          <w:bCs/>
        </w:rPr>
      </w:pPr>
      <w:r w:rsidRPr="003D217F">
        <w:rPr>
          <w:b/>
          <w:bCs/>
        </w:rPr>
        <w:t>Cuadro 2</w:t>
      </w:r>
    </w:p>
    <w:p w:rsidR="005D534A" w:rsidRDefault="005D534A" w:rsidP="0045269A">
      <w:pPr>
        <w:spacing w:after="240"/>
        <w:jc w:val="center"/>
        <w:rPr>
          <w:b/>
          <w:bCs/>
          <w:lang w:val="es-ES_tradnl"/>
        </w:rPr>
      </w:pPr>
      <w:r w:rsidRPr="003D217F">
        <w:rPr>
          <w:b/>
          <w:bCs/>
          <w:lang w:val="es-ES_tradnl"/>
        </w:rPr>
        <w:t>Observaciones finales del Comité de Derechos Económicos, Sociales y Culturales</w:t>
      </w:r>
      <w:r w:rsidR="00CF6E6B">
        <w:rPr>
          <w:b/>
          <w:bCs/>
          <w:lang w:val="es-ES_tradnl"/>
        </w:rPr>
        <w:br/>
      </w:r>
      <w:r w:rsidRPr="003D217F">
        <w:rPr>
          <w:b/>
          <w:bCs/>
          <w:lang w:val="es-ES_tradnl"/>
        </w:rPr>
        <w:t xml:space="preserve">sobre el tercer informe periódico </w:t>
      </w:r>
      <w:r>
        <w:rPr>
          <w:b/>
          <w:bCs/>
          <w:lang w:val="es-ES_tradnl"/>
        </w:rPr>
        <w:t xml:space="preserve">de Australia </w:t>
      </w:r>
      <w:r w:rsidRPr="003D217F">
        <w:rPr>
          <w:b/>
          <w:bCs/>
          <w:lang w:val="es-ES_tradnl"/>
        </w:rPr>
        <w:t>con arreglo al Pacto</w:t>
      </w:r>
    </w:p>
    <w:tbl>
      <w:tblPr>
        <w:tblStyle w:val="TableGrid"/>
        <w:tblW w:w="0" w:type="auto"/>
        <w:tblLook w:val="01E0" w:firstRow="1" w:lastRow="1" w:firstColumn="1" w:lastColumn="1" w:noHBand="0" w:noVBand="0"/>
      </w:tblPr>
      <w:tblGrid>
        <w:gridCol w:w="4746"/>
        <w:gridCol w:w="4745"/>
      </w:tblGrid>
      <w:tr w:rsidR="005D534A" w:rsidRPr="00986F0A" w:rsidTr="000949F1">
        <w:trPr>
          <w:tblHeader/>
        </w:trPr>
        <w:tc>
          <w:tcPr>
            <w:tcW w:w="4746" w:type="dxa"/>
          </w:tcPr>
          <w:p w:rsidR="005D534A" w:rsidRPr="00986F0A" w:rsidRDefault="005D534A" w:rsidP="0045269A">
            <w:pPr>
              <w:spacing w:before="60" w:after="60"/>
              <w:jc w:val="center"/>
              <w:rPr>
                <w:b/>
                <w:lang w:val="es-ES_tradnl"/>
              </w:rPr>
            </w:pPr>
            <w:r w:rsidRPr="00986F0A">
              <w:rPr>
                <w:b/>
                <w:lang w:val="es-ES_tradnl"/>
              </w:rPr>
              <w:t>Observaciones finales</w:t>
            </w:r>
            <w:r w:rsidRPr="00CF6E6B">
              <w:rPr>
                <w:rStyle w:val="FootnoteReference"/>
                <w:lang w:val="es-ES_tradnl"/>
              </w:rPr>
              <w:footnoteReference w:customMarkFollows="1" w:id="2"/>
              <w:t>*</w:t>
            </w:r>
            <w:r w:rsidRPr="00986F0A">
              <w:rPr>
                <w:b/>
                <w:lang w:val="es-ES_tradnl"/>
              </w:rPr>
              <w:t xml:space="preserve"> </w:t>
            </w:r>
          </w:p>
        </w:tc>
        <w:tc>
          <w:tcPr>
            <w:tcW w:w="4745" w:type="dxa"/>
          </w:tcPr>
          <w:p w:rsidR="005D534A" w:rsidRPr="00986F0A" w:rsidRDefault="005D534A" w:rsidP="0045269A">
            <w:pPr>
              <w:spacing w:before="60" w:after="60"/>
              <w:jc w:val="center"/>
              <w:rPr>
                <w:b/>
                <w:lang w:val="es-ES_tradnl"/>
              </w:rPr>
            </w:pPr>
            <w:r w:rsidRPr="00986F0A">
              <w:rPr>
                <w:b/>
                <w:lang w:val="es-ES_tradnl"/>
              </w:rPr>
              <w:t>Referencia del documento básico</w:t>
            </w:r>
          </w:p>
        </w:tc>
      </w:tr>
      <w:tr w:rsidR="005D534A" w:rsidTr="0045269A">
        <w:tc>
          <w:tcPr>
            <w:tcW w:w="4746" w:type="dxa"/>
          </w:tcPr>
          <w:p w:rsidR="005D534A" w:rsidRPr="000949F1" w:rsidRDefault="005D534A" w:rsidP="0045269A">
            <w:pPr>
              <w:spacing w:before="60" w:after="60"/>
              <w:rPr>
                <w:bCs/>
                <w:lang w:val="es-ES_tradnl"/>
              </w:rPr>
            </w:pPr>
            <w:r w:rsidRPr="000949F1">
              <w:rPr>
                <w:bCs/>
                <w:lang w:val="es-ES_tradnl"/>
              </w:rPr>
              <w:t>El Comité recomienda firmemente que el Estado Parte incorpore el Pacto a su legislación para asegurar la efectividad de sus disposiciones en los tribunales del país.  Lo exhorta a asegurar que no haya divergencias a este respecto entre la legislación del Commonwealth y la de los Estados.  Lo anima a respetar la posición del Tribunal Superior acerca de las legítimas expectativas producidas al ratificar el Pacto.</w:t>
            </w:r>
          </w:p>
        </w:tc>
        <w:tc>
          <w:tcPr>
            <w:tcW w:w="4745" w:type="dxa"/>
          </w:tcPr>
          <w:p w:rsidR="005D534A" w:rsidRPr="000949F1" w:rsidRDefault="005D534A" w:rsidP="0045269A">
            <w:pPr>
              <w:ind w:left="397" w:hanging="397"/>
            </w:pPr>
            <w:r w:rsidRPr="000949F1">
              <w:t>D.</w:t>
            </w:r>
            <w:r w:rsidRPr="000949F1">
              <w:tab/>
              <w:t>Marco jurídico general en el que se protegen los derechos humanos a nivel nacional</w:t>
            </w:r>
          </w:p>
          <w:p w:rsidR="005D534A" w:rsidRPr="000949F1" w:rsidRDefault="005D534A" w:rsidP="0045269A">
            <w:pPr>
              <w:jc w:val="center"/>
            </w:pPr>
          </w:p>
        </w:tc>
      </w:tr>
      <w:tr w:rsidR="005D534A" w:rsidTr="0045269A">
        <w:tc>
          <w:tcPr>
            <w:tcW w:w="4746" w:type="dxa"/>
          </w:tcPr>
          <w:p w:rsidR="005D534A" w:rsidRPr="000949F1" w:rsidRDefault="005D534A" w:rsidP="0045269A">
            <w:pPr>
              <w:spacing w:before="60" w:after="60"/>
              <w:rPr>
                <w:bCs/>
                <w:lang w:val="es-ES_tradnl"/>
              </w:rPr>
            </w:pPr>
            <w:r w:rsidRPr="000949F1">
              <w:rPr>
                <w:bCs/>
                <w:lang w:val="es-ES_tradnl"/>
              </w:rPr>
              <w:t>El Comité anima al Estado Parte a continuar sus esfuerzos en el proceso de reconciliación con los indígenas del país y sus esfuerzos para mejorar la situación de desfavor en que se encuentran.</w:t>
            </w:r>
          </w:p>
        </w:tc>
        <w:tc>
          <w:tcPr>
            <w:tcW w:w="4745" w:type="dxa"/>
          </w:tcPr>
          <w:p w:rsidR="005D534A" w:rsidRPr="000949F1" w:rsidRDefault="005D534A" w:rsidP="0045269A">
            <w:pPr>
              <w:ind w:left="397" w:hanging="397"/>
            </w:pPr>
            <w:r w:rsidRPr="000949F1">
              <w:t>G.</w:t>
            </w:r>
            <w:r w:rsidRPr="000949F1">
              <w:tab/>
              <w:t>No discriminación e igualdad</w:t>
            </w:r>
          </w:p>
          <w:p w:rsidR="005D534A" w:rsidRPr="000949F1" w:rsidRDefault="005D534A" w:rsidP="0045269A">
            <w:pPr>
              <w:jc w:val="center"/>
              <w:rPr>
                <w:lang w:val="es-ES_tradnl"/>
              </w:rPr>
            </w:pPr>
          </w:p>
        </w:tc>
      </w:tr>
      <w:tr w:rsidR="005D534A" w:rsidTr="0045269A">
        <w:tc>
          <w:tcPr>
            <w:tcW w:w="4746" w:type="dxa"/>
          </w:tcPr>
          <w:p w:rsidR="005D534A" w:rsidRPr="000949F1" w:rsidRDefault="005D534A" w:rsidP="009D46AD">
            <w:pPr>
              <w:keepNext/>
              <w:spacing w:before="60" w:after="60"/>
              <w:rPr>
                <w:bCs/>
                <w:lang w:val="es-ES_tradnl"/>
              </w:rPr>
            </w:pPr>
            <w:r w:rsidRPr="000949F1">
              <w:rPr>
                <w:bCs/>
                <w:lang w:val="es-ES_tradnl"/>
              </w:rPr>
              <w:t>El Comité recomienda que el Estado Parte asegure la consolidación y el cumplimiento efectivo de las disposiciones legislativas sobre la seguridad en el empleo, especialmente de los grupos más vulnerables, como trabajadores con contratos de plazo fijo, trabajadores temporales y trabajadores ocasionales.</w:t>
            </w:r>
          </w:p>
        </w:tc>
        <w:tc>
          <w:tcPr>
            <w:tcW w:w="4745" w:type="dxa"/>
          </w:tcPr>
          <w:p w:rsidR="005D534A" w:rsidRPr="000949F1" w:rsidRDefault="005D534A" w:rsidP="009D46AD">
            <w:pPr>
              <w:keepNext/>
              <w:ind w:left="397" w:hanging="397"/>
              <w:rPr>
                <w:lang w:val="es-ES_tradnl"/>
              </w:rPr>
            </w:pPr>
            <w:r w:rsidRPr="000949F1">
              <w:t>T.</w:t>
            </w:r>
            <w:r w:rsidRPr="000949F1">
              <w:tab/>
              <w:t>Derecho a condiciones de trabajo justas y favorables</w:t>
            </w:r>
          </w:p>
        </w:tc>
      </w:tr>
      <w:tr w:rsidR="005D534A" w:rsidTr="0045269A">
        <w:tc>
          <w:tcPr>
            <w:tcW w:w="4746" w:type="dxa"/>
          </w:tcPr>
          <w:p w:rsidR="005D534A" w:rsidRPr="000949F1" w:rsidRDefault="005D534A" w:rsidP="0045269A">
            <w:pPr>
              <w:spacing w:before="60" w:after="60"/>
              <w:rPr>
                <w:bCs/>
                <w:lang w:val="es-ES_tradnl"/>
              </w:rPr>
            </w:pPr>
            <w:r w:rsidRPr="000949F1">
              <w:rPr>
                <w:bCs/>
                <w:lang w:val="es-ES_tradnl"/>
              </w:rPr>
              <w:t>El Comité recomienda firmemente que el Estado Parte emprenda medidas para proteger a los sirvientes domésticos y asegurar que perciban el salario mínimo oficial, que se beneficien de una seguridad social adecuada y que tengan condiciones de trabajo conformes con la legislación.</w:t>
            </w:r>
          </w:p>
        </w:tc>
        <w:tc>
          <w:tcPr>
            <w:tcW w:w="4745" w:type="dxa"/>
          </w:tcPr>
          <w:p w:rsidR="005D534A" w:rsidRPr="000949F1" w:rsidRDefault="005D534A" w:rsidP="0045269A">
            <w:pPr>
              <w:ind w:left="397" w:hanging="397"/>
              <w:rPr>
                <w:lang w:val="es-ES_tradnl"/>
              </w:rPr>
            </w:pPr>
            <w:r w:rsidRPr="000949F1">
              <w:t>T.</w:t>
            </w:r>
            <w:r w:rsidRPr="000949F1">
              <w:tab/>
              <w:t>Derecho a condiciones de trabajo justas y favorables</w:t>
            </w:r>
          </w:p>
        </w:tc>
      </w:tr>
      <w:tr w:rsidR="005D534A" w:rsidTr="0045269A">
        <w:tc>
          <w:tcPr>
            <w:tcW w:w="4746" w:type="dxa"/>
            <w:tcBorders>
              <w:bottom w:val="single" w:sz="4" w:space="0" w:color="auto"/>
            </w:tcBorders>
          </w:tcPr>
          <w:p w:rsidR="005D534A" w:rsidRPr="000949F1" w:rsidRDefault="005D534A" w:rsidP="0045269A">
            <w:pPr>
              <w:spacing w:before="60" w:after="60"/>
              <w:rPr>
                <w:bCs/>
                <w:lang w:val="es-ES_tradnl"/>
              </w:rPr>
            </w:pPr>
            <w:r w:rsidRPr="000949F1">
              <w:rPr>
                <w:bCs/>
                <w:lang w:val="es-ES_tradnl"/>
              </w:rPr>
              <w:t>El Comité recomienda que el Estado Parte  considere la posibilidad de aprobar leyes sobre la licencia de maternidad con sueldo y de ratificar el Convenio Nº 103 de la OIT relativo a la protección de la maternidad.</w:t>
            </w:r>
          </w:p>
        </w:tc>
        <w:tc>
          <w:tcPr>
            <w:tcW w:w="4745" w:type="dxa"/>
            <w:tcBorders>
              <w:bottom w:val="single" w:sz="4" w:space="0" w:color="auto"/>
            </w:tcBorders>
          </w:tcPr>
          <w:p w:rsidR="005D534A" w:rsidRPr="000949F1" w:rsidRDefault="005D534A" w:rsidP="0045269A">
            <w:pPr>
              <w:ind w:left="397" w:hanging="397"/>
              <w:rPr>
                <w:lang w:val="es-ES_tradnl"/>
              </w:rPr>
            </w:pPr>
            <w:r w:rsidRPr="000949F1">
              <w:t>R.</w:t>
            </w:r>
            <w:r w:rsidRPr="000949F1">
              <w:tab/>
              <w:t>Derecho a casarse y a crear una familia, protección de la familia, la madre y el niño</w:t>
            </w:r>
          </w:p>
        </w:tc>
      </w:tr>
      <w:tr w:rsidR="005D534A" w:rsidTr="0045269A">
        <w:tc>
          <w:tcPr>
            <w:tcW w:w="4746" w:type="dxa"/>
            <w:tcBorders>
              <w:top w:val="nil"/>
            </w:tcBorders>
          </w:tcPr>
          <w:p w:rsidR="005D534A" w:rsidRPr="000949F1" w:rsidRDefault="005D534A" w:rsidP="0045269A">
            <w:pPr>
              <w:spacing w:before="60" w:after="60"/>
              <w:rPr>
                <w:bCs/>
                <w:lang w:val="es-ES_tradnl"/>
              </w:rPr>
            </w:pPr>
            <w:r w:rsidRPr="000949F1">
              <w:rPr>
                <w:bCs/>
                <w:lang w:val="es-ES_tradnl"/>
              </w:rPr>
              <w:t>El Comité recomienda que el Estado Parte limite sus prohibiciones del derecho de huelga a los servicios esenciales, según lo dispuesto en el Convenio Nº 87 de la OIT, y a los funcionarios públicos en cargos de autoridad.</w:t>
            </w:r>
          </w:p>
        </w:tc>
        <w:tc>
          <w:tcPr>
            <w:tcW w:w="4745" w:type="dxa"/>
            <w:tcBorders>
              <w:top w:val="nil"/>
            </w:tcBorders>
          </w:tcPr>
          <w:p w:rsidR="005D534A" w:rsidRPr="000949F1" w:rsidRDefault="005D534A" w:rsidP="0045269A">
            <w:pPr>
              <w:spacing w:after="120"/>
              <w:ind w:left="397" w:hanging="397"/>
              <w:rPr>
                <w:lang w:val="es-ES_tradnl"/>
              </w:rPr>
            </w:pPr>
            <w:r w:rsidRPr="000949F1">
              <w:t>U.</w:t>
            </w:r>
            <w:r w:rsidRPr="000949F1">
              <w:tab/>
              <w:t>Derechos sindicales</w:t>
            </w:r>
          </w:p>
        </w:tc>
      </w:tr>
      <w:tr w:rsidR="005D534A" w:rsidTr="0045269A">
        <w:tc>
          <w:tcPr>
            <w:tcW w:w="4746" w:type="dxa"/>
          </w:tcPr>
          <w:p w:rsidR="005D534A" w:rsidRPr="000949F1" w:rsidRDefault="005D534A" w:rsidP="0045269A">
            <w:pPr>
              <w:spacing w:before="60" w:after="60"/>
              <w:rPr>
                <w:bCs/>
                <w:lang w:val="es-ES_tradnl"/>
              </w:rPr>
            </w:pPr>
            <w:r w:rsidRPr="000949F1">
              <w:rPr>
                <w:bCs/>
                <w:lang w:val="es-ES_tradnl"/>
              </w:rPr>
              <w:t>El Comité recomienda que el Estado Parte asegure el consentimiento voluntario a trabajar en cárceles privadas con una remuneración apropiada.</w:t>
            </w:r>
          </w:p>
        </w:tc>
        <w:tc>
          <w:tcPr>
            <w:tcW w:w="4745" w:type="dxa"/>
          </w:tcPr>
          <w:p w:rsidR="005D534A" w:rsidRPr="000949F1" w:rsidRDefault="005D534A" w:rsidP="0045269A">
            <w:pPr>
              <w:ind w:left="397" w:hanging="397"/>
              <w:rPr>
                <w:lang w:val="es-ES_tradnl"/>
              </w:rPr>
            </w:pPr>
            <w:r w:rsidRPr="000949F1">
              <w:t>T.</w:t>
            </w:r>
            <w:r w:rsidRPr="000949F1">
              <w:tab/>
              <w:t>Derecho a condiciones de trabajo justas y favorables</w:t>
            </w:r>
          </w:p>
        </w:tc>
      </w:tr>
      <w:tr w:rsidR="005D534A" w:rsidTr="0045269A">
        <w:tc>
          <w:tcPr>
            <w:tcW w:w="4746" w:type="dxa"/>
          </w:tcPr>
          <w:p w:rsidR="005D534A" w:rsidRPr="000949F1" w:rsidRDefault="005D534A" w:rsidP="0045269A">
            <w:pPr>
              <w:spacing w:before="60" w:after="60"/>
              <w:rPr>
                <w:bCs/>
                <w:lang w:val="es-ES_tradnl"/>
              </w:rPr>
            </w:pPr>
            <w:r w:rsidRPr="000949F1">
              <w:rPr>
                <w:bCs/>
                <w:lang w:val="es-ES_tradnl"/>
              </w:rPr>
              <w:t>El Comité pide que en su cuarto informe periódico el Estado Parte suministre información detallada sobre la elaboración de un programa de subsidio de paro.</w:t>
            </w:r>
          </w:p>
        </w:tc>
        <w:tc>
          <w:tcPr>
            <w:tcW w:w="4745" w:type="dxa"/>
          </w:tcPr>
          <w:p w:rsidR="005D534A" w:rsidRPr="000949F1" w:rsidRDefault="005D534A" w:rsidP="0045269A">
            <w:pPr>
              <w:ind w:left="397" w:hanging="397"/>
            </w:pPr>
            <w:r w:rsidRPr="000949F1">
              <w:t>V.</w:t>
            </w:r>
            <w:r w:rsidRPr="000949F1">
              <w:tab/>
              <w:t>Derecho a seguridad social</w:t>
            </w:r>
          </w:p>
        </w:tc>
      </w:tr>
      <w:tr w:rsidR="005D534A" w:rsidTr="0045269A">
        <w:tc>
          <w:tcPr>
            <w:tcW w:w="4746" w:type="dxa"/>
          </w:tcPr>
          <w:p w:rsidR="005D534A" w:rsidRPr="000949F1" w:rsidRDefault="005D534A" w:rsidP="0045269A">
            <w:pPr>
              <w:spacing w:before="60" w:after="60"/>
              <w:rPr>
                <w:bCs/>
                <w:lang w:val="es-ES_tradnl"/>
              </w:rPr>
            </w:pPr>
            <w:r w:rsidRPr="000949F1">
              <w:rPr>
                <w:bCs/>
                <w:lang w:val="es-ES_tradnl"/>
              </w:rPr>
              <w:t>El Comité pide que el Estado Parte asegure que el período de dos años de espera para que los inmigrantes recién llegados se beneficien de la seguridad social no infrinja el derecho a un nivel de vida adecuado.</w:t>
            </w:r>
          </w:p>
        </w:tc>
        <w:tc>
          <w:tcPr>
            <w:tcW w:w="4745" w:type="dxa"/>
          </w:tcPr>
          <w:p w:rsidR="005D534A" w:rsidRPr="000949F1" w:rsidRDefault="005D534A" w:rsidP="0045269A">
            <w:pPr>
              <w:ind w:left="397" w:hanging="397"/>
            </w:pPr>
            <w:r w:rsidRPr="000949F1">
              <w:t>V.</w:t>
            </w:r>
            <w:r w:rsidRPr="000949F1">
              <w:tab/>
              <w:t>Derecho a seguridad social</w:t>
            </w:r>
          </w:p>
        </w:tc>
      </w:tr>
      <w:tr w:rsidR="005D534A" w:rsidTr="0045269A">
        <w:tc>
          <w:tcPr>
            <w:tcW w:w="4746" w:type="dxa"/>
          </w:tcPr>
          <w:p w:rsidR="005D534A" w:rsidRPr="000949F1" w:rsidRDefault="005D534A" w:rsidP="009D46AD">
            <w:pPr>
              <w:keepNext/>
              <w:spacing w:before="60" w:after="60"/>
              <w:rPr>
                <w:bCs/>
                <w:lang w:val="es-ES_tradnl"/>
              </w:rPr>
            </w:pPr>
            <w:r w:rsidRPr="000949F1">
              <w:rPr>
                <w:bCs/>
                <w:lang w:val="es-ES_tradnl"/>
              </w:rPr>
              <w:t>El Comité exhorta firmemente al Estado Parte a fijar un umbral de pobreza oficial de modo que se pueda hacer una evaluación verosímil de la amplitud de ésta en Australia.  Por otro lado, pide que suministre información al respecto en su cuarto informe periódico.</w:t>
            </w:r>
          </w:p>
        </w:tc>
        <w:tc>
          <w:tcPr>
            <w:tcW w:w="4745" w:type="dxa"/>
          </w:tcPr>
          <w:p w:rsidR="005D534A" w:rsidRPr="000949F1" w:rsidRDefault="005D534A" w:rsidP="009D46AD">
            <w:pPr>
              <w:keepNext/>
              <w:ind w:left="397" w:hanging="397"/>
            </w:pPr>
            <w:r w:rsidRPr="000949F1">
              <w:t>V.</w:t>
            </w:r>
            <w:r w:rsidRPr="000949F1">
              <w:tab/>
              <w:t>Derecho a seguridad social</w:t>
            </w:r>
          </w:p>
        </w:tc>
      </w:tr>
      <w:tr w:rsidR="005D534A" w:rsidTr="0045269A">
        <w:tc>
          <w:tcPr>
            <w:tcW w:w="4746" w:type="dxa"/>
          </w:tcPr>
          <w:p w:rsidR="005D534A" w:rsidRPr="000949F1" w:rsidRDefault="005D534A" w:rsidP="0045269A">
            <w:pPr>
              <w:spacing w:before="60" w:after="60"/>
              <w:rPr>
                <w:bCs/>
                <w:lang w:val="es-ES_tradnl"/>
              </w:rPr>
            </w:pPr>
            <w:r w:rsidRPr="000949F1">
              <w:rPr>
                <w:bCs/>
                <w:lang w:val="es-ES_tradnl"/>
              </w:rPr>
              <w:t>El Comité recomienda firmemente que el Estado Parte elabore una estrategia federal de vivienda acorde con sus Observaciones generales Nos. 4 y 7, disposiciones para proteger contra el desahucio forzoso sin motivo e incrementos arbitrarios del alquiler inclusive.  Además, recomienda que asegure que los gobiernos de todos los Estados y territorios establezcan políticas apropiadas de vivienda de acuerdo con esa estrategia.</w:t>
            </w:r>
          </w:p>
        </w:tc>
        <w:tc>
          <w:tcPr>
            <w:tcW w:w="4745" w:type="dxa"/>
          </w:tcPr>
          <w:p w:rsidR="005D534A" w:rsidRPr="000949F1" w:rsidRDefault="005D534A" w:rsidP="0045269A">
            <w:pPr>
              <w:ind w:left="397" w:hanging="397"/>
            </w:pPr>
            <w:r w:rsidRPr="000949F1">
              <w:t>W.</w:t>
            </w:r>
            <w:r w:rsidRPr="000949F1">
              <w:tab/>
              <w:t>Derecho a alimentación, vestido y vivienda adecuados</w:t>
            </w:r>
          </w:p>
        </w:tc>
      </w:tr>
      <w:tr w:rsidR="005D534A" w:rsidTr="0045269A">
        <w:tc>
          <w:tcPr>
            <w:tcW w:w="4746" w:type="dxa"/>
          </w:tcPr>
          <w:p w:rsidR="005D534A" w:rsidRPr="000949F1" w:rsidRDefault="005D534A" w:rsidP="0045269A">
            <w:pPr>
              <w:spacing w:before="60" w:after="60"/>
              <w:rPr>
                <w:bCs/>
                <w:lang w:val="es-ES_tradnl"/>
              </w:rPr>
            </w:pPr>
            <w:r w:rsidRPr="000949F1">
              <w:rPr>
                <w:bCs/>
                <w:lang w:val="es-ES_tradnl"/>
              </w:rPr>
              <w:t>El Comité pide que el Estado Parte tome medidas efectivas para asegurar que se incluya la enseñanza de los derechos humanos en los programas de estudio primarios y secundarios y que en su cuarto informe periódico lo informe de las medidas tomadas al respecto.</w:t>
            </w:r>
          </w:p>
        </w:tc>
        <w:tc>
          <w:tcPr>
            <w:tcW w:w="4745" w:type="dxa"/>
          </w:tcPr>
          <w:p w:rsidR="005D534A" w:rsidRPr="000949F1" w:rsidRDefault="005D534A" w:rsidP="0045269A">
            <w:pPr>
              <w:ind w:left="397" w:hanging="397"/>
            </w:pPr>
            <w:r w:rsidRPr="000949F1">
              <w:t>E.</w:t>
            </w:r>
            <w:r w:rsidRPr="000949F1">
              <w:tab/>
              <w:t>Marco jurídico general en el que se promueven los derechos humanos a nivel nacional</w:t>
            </w:r>
          </w:p>
          <w:p w:rsidR="005D534A" w:rsidRPr="000949F1" w:rsidRDefault="005D534A" w:rsidP="0045269A"/>
        </w:tc>
      </w:tr>
      <w:tr w:rsidR="005D534A" w:rsidTr="0045269A">
        <w:tc>
          <w:tcPr>
            <w:tcW w:w="4746" w:type="dxa"/>
          </w:tcPr>
          <w:p w:rsidR="005D534A" w:rsidRPr="000949F1" w:rsidRDefault="005D534A" w:rsidP="0045269A">
            <w:pPr>
              <w:spacing w:before="60" w:after="60"/>
              <w:rPr>
                <w:bCs/>
                <w:lang w:val="es-ES_tradnl"/>
              </w:rPr>
            </w:pPr>
            <w:r w:rsidRPr="000949F1">
              <w:rPr>
                <w:bCs/>
                <w:lang w:val="es-ES_tradnl"/>
              </w:rPr>
              <w:t>El Comité pide que en su cuarto informe periódico el Estado Parte suministre información adicional, más detallada, incluso datos estadísticos desglosados por edad, sexo o grupos minoritarios, sobre el derecho a trabajar, condiciones de trabajo justas y favorables, la seguridad social, la vivienda, la salud y la educación.</w:t>
            </w:r>
          </w:p>
        </w:tc>
        <w:tc>
          <w:tcPr>
            <w:tcW w:w="4745" w:type="dxa"/>
          </w:tcPr>
          <w:p w:rsidR="005D534A" w:rsidRPr="000949F1" w:rsidRDefault="005D534A" w:rsidP="00C128C5">
            <w:pPr>
              <w:spacing w:after="120"/>
              <w:ind w:left="397" w:hanging="397"/>
            </w:pPr>
            <w:r w:rsidRPr="000949F1">
              <w:t>S.</w:t>
            </w:r>
            <w:r w:rsidRPr="000949F1">
              <w:tab/>
              <w:t>Derecho al trabajo</w:t>
            </w:r>
          </w:p>
          <w:p w:rsidR="005D534A" w:rsidRPr="000949F1" w:rsidRDefault="005D534A" w:rsidP="00C128C5">
            <w:pPr>
              <w:spacing w:after="120"/>
              <w:ind w:left="397" w:hanging="397"/>
            </w:pPr>
            <w:r w:rsidRPr="000949F1">
              <w:t>T.</w:t>
            </w:r>
            <w:r w:rsidRPr="000949F1">
              <w:tab/>
              <w:t>Derecho a condiciones de trabajo justas y favorables</w:t>
            </w:r>
          </w:p>
          <w:p w:rsidR="005D534A" w:rsidRPr="000949F1" w:rsidRDefault="005D534A" w:rsidP="00C128C5">
            <w:pPr>
              <w:spacing w:after="120"/>
              <w:ind w:left="397" w:hanging="397"/>
            </w:pPr>
            <w:r w:rsidRPr="000949F1">
              <w:t>W.</w:t>
            </w:r>
            <w:r w:rsidRPr="000949F1">
              <w:tab/>
              <w:t>Derecho a alimentación, vestido y vivienda adecuados</w:t>
            </w:r>
          </w:p>
          <w:p w:rsidR="005D534A" w:rsidRPr="000949F1" w:rsidRDefault="005D534A" w:rsidP="00C128C5">
            <w:pPr>
              <w:spacing w:after="120"/>
              <w:ind w:left="397" w:hanging="397"/>
            </w:pPr>
            <w:r w:rsidRPr="000949F1">
              <w:t>X.</w:t>
            </w:r>
            <w:r w:rsidRPr="000949F1">
              <w:tab/>
              <w:t>Derecho a disfrutar del nivel más alto de salud física y mental</w:t>
            </w:r>
          </w:p>
          <w:p w:rsidR="005D534A" w:rsidRPr="000949F1" w:rsidRDefault="005D534A" w:rsidP="00C128C5">
            <w:pPr>
              <w:spacing w:after="120"/>
              <w:ind w:left="397" w:hanging="397"/>
            </w:pPr>
            <w:r w:rsidRPr="000949F1">
              <w:t>Y.</w:t>
            </w:r>
            <w:r w:rsidRPr="000949F1">
              <w:tab/>
              <w:t>Derecho a la educación y otros derechos culturales</w:t>
            </w:r>
          </w:p>
          <w:p w:rsidR="005D534A" w:rsidRPr="000949F1" w:rsidRDefault="005D534A" w:rsidP="0045269A">
            <w:pPr>
              <w:spacing w:after="60"/>
            </w:pPr>
            <w:r w:rsidRPr="000949F1">
              <w:t>Anexo estadístico</w:t>
            </w:r>
          </w:p>
        </w:tc>
      </w:tr>
    </w:tbl>
    <w:p w:rsidR="00941D4E" w:rsidRPr="00C820BE" w:rsidRDefault="005D534A" w:rsidP="00AC0AC0">
      <w:pPr>
        <w:spacing w:before="240" w:after="240"/>
        <w:jc w:val="center"/>
        <w:rPr>
          <w:snapToGrid w:val="0"/>
        </w:rPr>
      </w:pPr>
      <w:r>
        <w:t>-----</w:t>
      </w:r>
    </w:p>
    <w:sectPr w:rsidR="00941D4E" w:rsidRPr="00C820BE" w:rsidSect="005D534A">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C25" w:rsidRDefault="00CE2C25">
      <w:r>
        <w:separator/>
      </w:r>
    </w:p>
  </w:endnote>
  <w:endnote w:type="continuationSeparator" w:id="0">
    <w:p w:rsidR="00CE2C25" w:rsidRDefault="00CE2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C25" w:rsidRDefault="00CE2C25">
      <w:r>
        <w:separator/>
      </w:r>
    </w:p>
  </w:footnote>
  <w:footnote w:type="continuationSeparator" w:id="0">
    <w:p w:rsidR="00CE2C25" w:rsidRDefault="00CE2C25">
      <w:r>
        <w:continuationSeparator/>
      </w:r>
    </w:p>
  </w:footnote>
  <w:footnote w:id="1">
    <w:p w:rsidR="005D534A" w:rsidRDefault="005D534A" w:rsidP="009D46AD">
      <w:pPr>
        <w:pStyle w:val="FootnoteText"/>
        <w:spacing w:after="600" w:line="240" w:lineRule="auto"/>
      </w:pPr>
      <w:r>
        <w:rPr>
          <w:rStyle w:val="FootnoteReference"/>
        </w:rPr>
        <w:t>*</w:t>
      </w:r>
      <w:r>
        <w:t xml:space="preserve"> El presente informe fue presentado por Australia como anexo 3 de su documento básico común  (HRI/CORE/AUS/2007) y debe leerse junto con ese documento.</w:t>
      </w:r>
    </w:p>
    <w:p w:rsidR="005D534A" w:rsidRDefault="005D534A" w:rsidP="0045269A">
      <w:pPr>
        <w:pStyle w:val="FootnoteText"/>
        <w:spacing w:line="240" w:lineRule="auto"/>
      </w:pPr>
      <w:r>
        <w:t xml:space="preserve">GE.08-40087  (S)    010208    </w:t>
      </w:r>
      <w:r w:rsidR="00E23B93">
        <w:t>05</w:t>
      </w:r>
      <w:r>
        <w:t>0208</w:t>
      </w:r>
    </w:p>
  </w:footnote>
  <w:footnote w:id="2">
    <w:p w:rsidR="005D534A" w:rsidRDefault="005D534A" w:rsidP="0045269A">
      <w:pPr>
        <w:pStyle w:val="FootnoteText"/>
        <w:spacing w:after="120" w:line="240" w:lineRule="auto"/>
      </w:pPr>
      <w:r>
        <w:rPr>
          <w:rStyle w:val="FootnoteReference"/>
        </w:rPr>
        <w:t>*</w:t>
      </w:r>
      <w:r>
        <w:t xml:space="preserve"> Comité de Derechos Económicos, Sociales y Culturales, observaciones finales (E/C.12/1/Add.50, párrs. 14 a 36)</w:t>
      </w:r>
      <w:r w:rsidR="00C128C5">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34A" w:rsidRDefault="005D534A">
    <w:pPr>
      <w:pStyle w:val="Header"/>
    </w:pPr>
    <w:r>
      <w:t>E/C.12/AUS/4</w:t>
    </w:r>
  </w:p>
  <w:p w:rsidR="005D534A" w:rsidRDefault="005D534A">
    <w:pPr>
      <w:pStyle w:val="Header"/>
    </w:pPr>
    <w:r>
      <w:t xml:space="preserve">página </w:t>
    </w:r>
    <w:r>
      <w:fldChar w:fldCharType="begin"/>
    </w:r>
    <w:r>
      <w:instrText xml:space="preserve"> PAGE  \* MERGEFORMAT </w:instrText>
    </w:r>
    <w:r>
      <w:fldChar w:fldCharType="separate"/>
    </w:r>
    <w:r w:rsidR="009D46AD">
      <w:rPr>
        <w:noProof/>
      </w:rPr>
      <w:t>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34A" w:rsidRDefault="005D534A" w:rsidP="006A3E11">
    <w:pPr>
      <w:pStyle w:val="Header"/>
      <w:tabs>
        <w:tab w:val="clear" w:pos="4252"/>
        <w:tab w:val="left" w:pos="7800"/>
      </w:tabs>
    </w:pPr>
    <w:r>
      <w:tab/>
      <w:t>E/C.12/AUS/4</w:t>
    </w:r>
  </w:p>
  <w:p w:rsidR="005D534A" w:rsidRDefault="005D534A" w:rsidP="006A3E11">
    <w:pPr>
      <w:pStyle w:val="Header"/>
      <w:tabs>
        <w:tab w:val="clear" w:pos="4252"/>
        <w:tab w:val="left" w:pos="7800"/>
      </w:tabs>
    </w:pPr>
    <w:r>
      <w:tab/>
      <w:t xml:space="preserve">página </w:t>
    </w:r>
    <w:r>
      <w:fldChar w:fldCharType="begin"/>
    </w:r>
    <w:r>
      <w:instrText xml:space="preserve"> PAGE  \* MERGEFORMAT </w:instrText>
    </w:r>
    <w:r>
      <w:fldChar w:fldCharType="separate"/>
    </w:r>
    <w:r w:rsidR="009D46AD">
      <w:rPr>
        <w:noProof/>
      </w:rPr>
      <w:t>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es-ES" w:vendorID="64" w:dllVersion="131078" w:nlCheck="1" w:checkStyle="1"/>
  <w:activeWritingStyle w:appName="MSWord" w:lang="es-ES_tradnl"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4F90"/>
    <w:rsid w:val="000949F1"/>
    <w:rsid w:val="000F18F3"/>
    <w:rsid w:val="00174979"/>
    <w:rsid w:val="001E79FD"/>
    <w:rsid w:val="001E7D80"/>
    <w:rsid w:val="001F5443"/>
    <w:rsid w:val="002009CB"/>
    <w:rsid w:val="002426E2"/>
    <w:rsid w:val="00273020"/>
    <w:rsid w:val="002B78FE"/>
    <w:rsid w:val="003B7179"/>
    <w:rsid w:val="0045269A"/>
    <w:rsid w:val="00492F5B"/>
    <w:rsid w:val="00493B79"/>
    <w:rsid w:val="00595EF8"/>
    <w:rsid w:val="005D534A"/>
    <w:rsid w:val="006541BE"/>
    <w:rsid w:val="006A3E11"/>
    <w:rsid w:val="006C222A"/>
    <w:rsid w:val="00706B22"/>
    <w:rsid w:val="00716E4C"/>
    <w:rsid w:val="0077727F"/>
    <w:rsid w:val="007E1504"/>
    <w:rsid w:val="007E7BD0"/>
    <w:rsid w:val="008C2547"/>
    <w:rsid w:val="008D24E5"/>
    <w:rsid w:val="00941D4E"/>
    <w:rsid w:val="009D46AD"/>
    <w:rsid w:val="00A0310B"/>
    <w:rsid w:val="00AA0CDD"/>
    <w:rsid w:val="00AC0AC0"/>
    <w:rsid w:val="00AE40CB"/>
    <w:rsid w:val="00B14AB3"/>
    <w:rsid w:val="00BC4F90"/>
    <w:rsid w:val="00C1255A"/>
    <w:rsid w:val="00C128C5"/>
    <w:rsid w:val="00C70CE5"/>
    <w:rsid w:val="00C820BE"/>
    <w:rsid w:val="00C908D5"/>
    <w:rsid w:val="00CE2C25"/>
    <w:rsid w:val="00CF6E6B"/>
    <w:rsid w:val="00E01E15"/>
    <w:rsid w:val="00E23B93"/>
    <w:rsid w:val="00E8147F"/>
    <w:rsid w:val="00EA2A2B"/>
    <w:rsid w:val="00F17191"/>
    <w:rsid w:val="00F7742E"/>
    <w:rsid w:val="00F82B3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n-US"/>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table" w:styleId="TableGrid">
    <w:name w:val="Table Grid"/>
    <w:basedOn w:val="TableNormal"/>
    <w:rsid w:val="00200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tcPr>
      <w:tcMar>
        <w:left w:w="68" w:type="dxa"/>
        <w:right w:w="68" w:type="dxa"/>
      </w:tcMar>
    </w:tcPr>
  </w:style>
  <w:style w:type="paragraph" w:styleId="Footer">
    <w:name w:val="footer"/>
    <w:basedOn w:val="Normal"/>
    <w:rsid w:val="005D534A"/>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1182</Words>
  <Characters>6502</Characters>
  <Application>Microsoft Office Word</Application>
  <DocSecurity>4</DocSecurity>
  <Lines>54</Lines>
  <Paragraphs>15</Paragraphs>
  <ScaleCrop>false</ScaleCrop>
  <HeadingPairs>
    <vt:vector size="2" baseType="variant">
      <vt:variant>
        <vt:lpstr>Título</vt:lpstr>
      </vt:variant>
      <vt:variant>
        <vt:i4>1</vt:i4>
      </vt:variant>
    </vt:vector>
  </HeadingPairs>
  <TitlesOfParts>
    <vt:vector size="1" baseType="lpstr">
      <vt:lpstr>E/C.12/AUS/4   -08-40087</vt:lpstr>
    </vt:vector>
  </TitlesOfParts>
  <Company>CSD</Company>
  <LinksUpToDate>false</LinksUpToDate>
  <CharactersWithSpaces>7669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E/C.12/AUS/4   -08-40087</dc:title>
  <dc:subject/>
  <dc:creator>Fabián Rubiolo</dc:creator>
  <cp:keywords/>
  <dc:description/>
  <cp:lastModifiedBy>Admieng</cp:lastModifiedBy>
  <cp:revision>2</cp:revision>
  <cp:lastPrinted>2008-02-05T10:46:00Z</cp:lastPrinted>
  <dcterms:created xsi:type="dcterms:W3CDTF">2008-02-05T12:31:00Z</dcterms:created>
  <dcterms:modified xsi:type="dcterms:W3CDTF">2008-02-05T12:31:00Z</dcterms:modified>
</cp:coreProperties>
</file>