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3B80B2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10EAB9" w14:textId="77777777" w:rsidR="002D5AAC" w:rsidRDefault="002D5AAC" w:rsidP="009B65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09A5E7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2E81EE" w14:textId="562735D4" w:rsidR="002D5AAC" w:rsidRDefault="009B6573" w:rsidP="009B6573">
            <w:pPr>
              <w:jc w:val="right"/>
            </w:pPr>
            <w:r w:rsidRPr="009B6573">
              <w:rPr>
                <w:sz w:val="40"/>
              </w:rPr>
              <w:t>E</w:t>
            </w:r>
            <w:r>
              <w:t>/C.12/COD/CO/6</w:t>
            </w:r>
          </w:p>
        </w:tc>
      </w:tr>
      <w:tr w:rsidR="002D5AAC" w:rsidRPr="008836F3" w14:paraId="08EDF095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C5029C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E31BBA" wp14:editId="0EABA1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01DB42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F26793" w14:textId="77777777" w:rsidR="002D5AAC" w:rsidRDefault="009B6573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45B097" w14:textId="77777777" w:rsidR="009B6573" w:rsidRDefault="009B6573" w:rsidP="009B6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March 2022</w:t>
            </w:r>
          </w:p>
          <w:p w14:paraId="0BAE3CAA" w14:textId="77777777" w:rsidR="009B6573" w:rsidRDefault="009B6573" w:rsidP="009B6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4562D9" w14:textId="32907D6E" w:rsidR="009B6573" w:rsidRPr="00D62A45" w:rsidRDefault="009B6573" w:rsidP="009B65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16CDFA5" w14:textId="0DF0FE18" w:rsidR="00243007" w:rsidRPr="00243007" w:rsidRDefault="00243007" w:rsidP="00243007">
      <w:pPr>
        <w:spacing w:before="120"/>
        <w:rPr>
          <w:b/>
          <w:sz w:val="32"/>
          <w:szCs w:val="32"/>
        </w:rPr>
      </w:pPr>
      <w:r w:rsidRPr="00243007">
        <w:rPr>
          <w:b/>
          <w:bCs/>
          <w:sz w:val="24"/>
          <w:szCs w:val="28"/>
        </w:rPr>
        <w:t xml:space="preserve">Комитет по экономическим, </w:t>
      </w:r>
      <w:r>
        <w:rPr>
          <w:b/>
          <w:bCs/>
          <w:sz w:val="24"/>
          <w:szCs w:val="28"/>
        </w:rPr>
        <w:br/>
      </w:r>
      <w:r w:rsidRPr="00243007">
        <w:rPr>
          <w:b/>
          <w:bCs/>
          <w:sz w:val="24"/>
          <w:szCs w:val="28"/>
        </w:rPr>
        <w:t>социальным и культурным правам</w:t>
      </w:r>
    </w:p>
    <w:p w14:paraId="18CC797C" w14:textId="77777777" w:rsidR="00243007" w:rsidRPr="0057221E" w:rsidRDefault="00243007" w:rsidP="00243007">
      <w:pPr>
        <w:pStyle w:val="HChG"/>
      </w:pPr>
      <w:r>
        <w:tab/>
      </w:r>
      <w:r>
        <w:tab/>
        <w:t>Заключительные замечания по шестому периодическому докладу Демократической Республики Конго</w:t>
      </w:r>
      <w:r w:rsidRPr="001D38D8">
        <w:rPr>
          <w:b w:val="0"/>
          <w:sz w:val="20"/>
        </w:rPr>
        <w:footnoteReference w:customMarkFollows="1" w:id="1"/>
        <w:t>*</w:t>
      </w:r>
    </w:p>
    <w:p w14:paraId="775D5AE4" w14:textId="0CFBDC01" w:rsidR="00243007" w:rsidRPr="0057221E" w:rsidRDefault="00243007" w:rsidP="00243007">
      <w:pPr>
        <w:pStyle w:val="SingleTxtG"/>
      </w:pPr>
      <w:r>
        <w:t>1.</w:t>
      </w:r>
      <w:r>
        <w:tab/>
        <w:t>Комитет рассмотрел шестой периодический доклад Демократической Республики Конго</w:t>
      </w:r>
      <w:r w:rsidRPr="000D12A8">
        <w:rPr>
          <w:rStyle w:val="a8"/>
        </w:rPr>
        <w:footnoteReference w:id="2"/>
      </w:r>
      <w:r>
        <w:t xml:space="preserve"> на своих 2-м, 4-м и 6-м заседаниях</w:t>
      </w:r>
      <w:r w:rsidRPr="000D12A8">
        <w:rPr>
          <w:rStyle w:val="a8"/>
        </w:rPr>
        <w:footnoteReference w:id="3"/>
      </w:r>
      <w:r>
        <w:t xml:space="preserve">, состоявшихся 14, 15 </w:t>
      </w:r>
      <w:r>
        <w:br/>
        <w:t xml:space="preserve">и 16 февраля 2022 года, и принял настоящие заключительные замечания на своем </w:t>
      </w:r>
      <w:r>
        <w:br/>
        <w:t>30-м заседании 4 марта 2022 года.</w:t>
      </w:r>
    </w:p>
    <w:p w14:paraId="5374DCA8" w14:textId="77777777" w:rsidR="00243007" w:rsidRPr="0057221E" w:rsidRDefault="00243007" w:rsidP="0024300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4541EE60" w14:textId="77777777" w:rsidR="00243007" w:rsidRPr="0057221E" w:rsidRDefault="00243007" w:rsidP="00243007">
      <w:pPr>
        <w:pStyle w:val="SingleTxtG"/>
      </w:pPr>
      <w:r>
        <w:t>2.</w:t>
      </w:r>
      <w:r>
        <w:tab/>
        <w:t>Комитет приветствует представление государством-участником шестого периодического доклада, хотя и с задержкой, а также письменные ответы на перечень вопросов</w:t>
      </w:r>
      <w:r w:rsidRPr="000D12A8">
        <w:rPr>
          <w:rStyle w:val="a8"/>
        </w:rPr>
        <w:footnoteReference w:id="4"/>
      </w:r>
      <w:r>
        <w:t>. Комитет c удовлетворением отмечает состоявшийся у него диалог с делегацией высокого уровня государства-участника и представленную в ходе диалога информацию. Вместе с тем он сожалеет, что ответы на многие вопросы в ходе диалога были сформулированы в общем виде, туманно и носили частичных характер, что не позволило выстроить действительно конструктивный диалог.</w:t>
      </w:r>
    </w:p>
    <w:p w14:paraId="0D62AE72" w14:textId="77777777" w:rsidR="00243007" w:rsidRPr="0057221E" w:rsidRDefault="00243007" w:rsidP="00243007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  <w:r>
        <w:t xml:space="preserve"> </w:t>
      </w:r>
    </w:p>
    <w:p w14:paraId="1DCB0F87" w14:textId="2865E398" w:rsidR="00243007" w:rsidRPr="0057221E" w:rsidRDefault="00243007" w:rsidP="00243007">
      <w:pPr>
        <w:pStyle w:val="SingleTxtG"/>
      </w:pPr>
      <w:r>
        <w:t>3.</w:t>
      </w:r>
      <w:r>
        <w:tab/>
        <w:t>Комитет приветствует многочисленные законодательные и институциональные изменения и стратегии, принятые государством-участником для содействия реализации и осуществлению прав, закрепленных в Международном пакте об экономических, социальных и культурных правах. В частности, он приветствует изменения в законодательном регулировании горной добычи и лесного хозяйства; создание Национальной комиссии по правам человека; принятие Национального стратегического плана развития на период 2019–2023 годов; Стратегию в секторе образования и профессиональной подготовки на 2016–2025 годы; и Стратегию в секторе здравоохранения на 2016</w:t>
      </w:r>
      <w:r w:rsidRPr="006C4BB0">
        <w:t>–</w:t>
      </w:r>
      <w:r>
        <w:t>2027 годы. Комитет также с удовлетворением отмечает присоединение государства-участника к Конвенции о правах инвалидов и Факультативному протоколу к ней в 2015 году.</w:t>
      </w:r>
    </w:p>
    <w:p w14:paraId="121F65CB" w14:textId="679E7C09" w:rsidR="00243007" w:rsidRPr="0057221E" w:rsidRDefault="00243007" w:rsidP="00243007">
      <w:pPr>
        <w:pStyle w:val="H1G"/>
      </w:pPr>
      <w:r>
        <w:rPr>
          <w:bCs/>
        </w:rPr>
        <w:lastRenderedPageBreak/>
        <w:tab/>
        <w:t>C.</w:t>
      </w:r>
      <w:r>
        <w:tab/>
      </w:r>
      <w:r>
        <w:rPr>
          <w:bCs/>
        </w:rPr>
        <w:t xml:space="preserve">Основные вопросы, вызывающие обеспокоенность, </w:t>
      </w:r>
      <w:r>
        <w:rPr>
          <w:bCs/>
        </w:rPr>
        <w:br/>
        <w:t>и рекомендации</w:t>
      </w:r>
    </w:p>
    <w:p w14:paraId="5990D59E" w14:textId="77777777" w:rsidR="00243007" w:rsidRPr="0057221E" w:rsidRDefault="00243007" w:rsidP="00243007">
      <w:pPr>
        <w:pStyle w:val="H23G"/>
      </w:pPr>
      <w:r>
        <w:tab/>
      </w:r>
      <w:r>
        <w:tab/>
      </w:r>
      <w:r>
        <w:rPr>
          <w:bCs/>
        </w:rPr>
        <w:t>Кризис в области безопасности и осадное положение</w:t>
      </w:r>
      <w:r>
        <w:t xml:space="preserve"> </w:t>
      </w:r>
    </w:p>
    <w:p w14:paraId="245FE312" w14:textId="77777777" w:rsidR="00243007" w:rsidRPr="0057221E" w:rsidRDefault="00243007" w:rsidP="00243007">
      <w:pPr>
        <w:pStyle w:val="SingleTxtG"/>
      </w:pPr>
      <w:r>
        <w:t>4.</w:t>
      </w:r>
      <w:r>
        <w:tab/>
        <w:t>Комитет обеспокоен воздействием осадного положения, введенного с 6 мая 2021 года в провинциях Северное Киву и Итури, а также серьезными последствиями продолжающихся вооруженных конфликтов в некоторых восточных провинциях страны, на осуществление экономических, социальных и культурных прав населения, проживающего в этих регионах. Он также обеспокоен большим числом внутренне перемещенных лиц, которые продолжают сталкиваться с серьезными препятствиями в осуществлении своих прав по Пакту, включая право на достаточный жизненный уровень. В частности, Комитет очень обеспокоен сообщениями о недавних нападениях на перемещенных лиц, особенно на востоке страны.</w:t>
      </w:r>
    </w:p>
    <w:p w14:paraId="0D96E6C2" w14:textId="77777777" w:rsidR="00243007" w:rsidRPr="0057221E" w:rsidRDefault="00243007" w:rsidP="00243007">
      <w:pPr>
        <w:pStyle w:val="SingleTxtG"/>
        <w:rPr>
          <w:b/>
        </w:rPr>
      </w:pPr>
      <w:r>
        <w:t>5.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711F634F" w14:textId="73341FFD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незамедлительно принять все эффективные меры для обеспечения осуществления закрепленных в Пакте прав населени</w:t>
      </w:r>
      <w:r w:rsidR="007D28CE">
        <w:rPr>
          <w:b/>
          <w:bCs/>
        </w:rPr>
        <w:t>я</w:t>
      </w:r>
      <w:r>
        <w:rPr>
          <w:b/>
          <w:bCs/>
        </w:rPr>
        <w:t>, проживающ</w:t>
      </w:r>
      <w:r w:rsidR="007D28CE">
        <w:rPr>
          <w:b/>
          <w:bCs/>
        </w:rPr>
        <w:t>его</w:t>
      </w:r>
      <w:r>
        <w:rPr>
          <w:b/>
          <w:bCs/>
        </w:rPr>
        <w:t xml:space="preserve"> в районах, затронутых вооруженными конфликтами, в частности в восточных провинциях страны;</w:t>
      </w:r>
    </w:p>
    <w:p w14:paraId="5C31CECD" w14:textId="31BC3342" w:rsidR="00243007" w:rsidRPr="0057221E" w:rsidRDefault="00243007" w:rsidP="00243007">
      <w:pPr>
        <w:pStyle w:val="SingleTxtG"/>
        <w:ind w:firstLine="567"/>
      </w:pPr>
      <w:r>
        <w:rPr>
          <w:b/>
          <w:bCs/>
        </w:rPr>
        <w:t>b)</w:t>
      </w:r>
      <w:r>
        <w:tab/>
      </w:r>
      <w:r w:rsidRPr="006C4BB0">
        <w:rPr>
          <w:b/>
          <w:bCs/>
        </w:rPr>
        <w:t>обеспечить эффективную защиту внутренне перемещенных лиц,</w:t>
      </w:r>
      <w:r>
        <w:rPr>
          <w:b/>
          <w:bCs/>
        </w:rPr>
        <w:t xml:space="preserve"> </w:t>
      </w:r>
      <w:r w:rsidR="007D28CE">
        <w:rPr>
          <w:b/>
          <w:bCs/>
        </w:rPr>
        <w:br/>
      </w:r>
      <w:r>
        <w:rPr>
          <w:b/>
          <w:bCs/>
        </w:rPr>
        <w:t>с тем</w:t>
      </w:r>
      <w:r w:rsidRPr="006C4BB0">
        <w:rPr>
          <w:b/>
          <w:bCs/>
        </w:rPr>
        <w:t xml:space="preserve"> чтобы они имели доступ к достаточному питанию, жилью и основным услугам, включая водоснабжение и санитарию, здравоохранение, образование и социальную защиту, используя при необходимости международное сотрудничество;</w:t>
      </w:r>
    </w:p>
    <w:p w14:paraId="7DD7671C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проводить тщательные и независимые расследования по фактам насилия, включая сексуальное насилие, и нападений на внутренне перемещенных лиц, обеспечивая привлечение виновных к ответственности и доступ жертв к эффективным средствам правовой защиты и возмещению ущерба;</w:t>
      </w:r>
    </w:p>
    <w:p w14:paraId="4B9B98CE" w14:textId="1C0738AE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в рамках мер по осуществлению обеспечить эффективную защиту населения, поощрять и обеспечивать активное, открытое и прозрачное участие общества и, в частности</w:t>
      </w:r>
      <w:r w:rsidR="007D28CE">
        <w:rPr>
          <w:b/>
          <w:bCs/>
        </w:rPr>
        <w:t>,</w:t>
      </w:r>
      <w:r>
        <w:rPr>
          <w:b/>
          <w:bCs/>
        </w:rPr>
        <w:t xml:space="preserve"> жертв и групп, наиболее пострадавших от конфликтов и нападений, включая внутренне перемещенных лиц;</w:t>
      </w:r>
    </w:p>
    <w:p w14:paraId="2B41E596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в максимально возможной степени обеспечить внутренне перемещенным лицам возможность безопасного и достойного возвращения в места своего происхождения или предложить им надлежащие долгосрочные решения;</w:t>
      </w:r>
    </w:p>
    <w:p w14:paraId="1A1181AA" w14:textId="77777777" w:rsidR="00243007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f)</w:t>
      </w:r>
      <w:r>
        <w:tab/>
      </w:r>
      <w:r>
        <w:rPr>
          <w:b/>
          <w:bCs/>
        </w:rPr>
        <w:t xml:space="preserve">обеспечить соблюдение абсолютного иммунитета гражданских лиц и соответствие введения осадного положения в провинциях Северное Киву и Итури нормам международного гуманитарного права, в частности принципам </w:t>
      </w:r>
      <w:r w:rsidRPr="00D106C9">
        <w:rPr>
          <w:b/>
          <w:bCs/>
        </w:rPr>
        <w:t>избирательности соразмерности и предосторожности,</w:t>
      </w:r>
      <w:r>
        <w:rPr>
          <w:b/>
          <w:bCs/>
        </w:rPr>
        <w:t xml:space="preserve"> а также международным стандартам в области прав человека, включая Сиракузские принципы в отношении положений об ограничении или отступлении от положений Международного пакта о гражданских и политических правах.</w:t>
      </w:r>
    </w:p>
    <w:p w14:paraId="2CA805E4" w14:textId="77777777" w:rsidR="00243007" w:rsidRPr="0085097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Правосудие переходного периода, сексуальное насилие и экономические, социальные и культурные права</w:t>
      </w:r>
    </w:p>
    <w:p w14:paraId="44F6B8F8" w14:textId="6CC6448F" w:rsidR="00243007" w:rsidRPr="00850976" w:rsidRDefault="00243007" w:rsidP="00243007">
      <w:pPr>
        <w:pStyle w:val="SingleTxtG"/>
      </w:pPr>
      <w:r>
        <w:t>6.</w:t>
      </w:r>
      <w:r>
        <w:tab/>
        <w:t>Комитет с удовлетворением отмечает решение государства-участника внедрить механизмы правосудия переходного периода для противодействия серьезным нарушениям прав человека в прошлом, в частности связанным с сексуальным насилием. Вместе с тем он выражает обеспокоенность тем, что эти грубые нарушения, включая случаи сексуального насилия, остаются безнаказанными и что отсутствует четкая стратегия увязки правосудия переходного периода с осуществлением экономических, социальных и культурных прав.</w:t>
      </w:r>
    </w:p>
    <w:p w14:paraId="4822E453" w14:textId="46096625" w:rsidR="00243007" w:rsidRPr="00E16694" w:rsidRDefault="00243007" w:rsidP="00243007">
      <w:pPr>
        <w:pStyle w:val="SingleTxtG"/>
        <w:rPr>
          <w:b/>
        </w:rPr>
      </w:pPr>
      <w:r>
        <w:lastRenderedPageBreak/>
        <w:t>7.</w:t>
      </w:r>
      <w:r>
        <w:tab/>
      </w:r>
      <w:r>
        <w:rPr>
          <w:b/>
          <w:bCs/>
        </w:rPr>
        <w:t>Комитет рекомендует государству-участнику создать системы координации для обеспечения максимально тесной связи между механизмами правосудия переходного периода, включая политику возмещения ущерба жертвам, и осуществлением экономических, социальных и культурных прав.</w:t>
      </w:r>
      <w:r>
        <w:t xml:space="preserve"> </w:t>
      </w:r>
      <w:r>
        <w:br/>
      </w:r>
      <w:r>
        <w:rPr>
          <w:b/>
          <w:bCs/>
        </w:rPr>
        <w:t>Он также рекомендует государству-участнику обеспечить учет гендерной проблематики в процессе разработки и реализации правосудия переходного периода в целях повышения эффективности борьбы с безнаказанностью за сексуальное насилие.</w:t>
      </w:r>
      <w:r>
        <w:t xml:space="preserve"> </w:t>
      </w:r>
    </w:p>
    <w:p w14:paraId="7D9E2302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Применение Пакта</w:t>
      </w:r>
      <w:r>
        <w:t xml:space="preserve"> </w:t>
      </w:r>
    </w:p>
    <w:p w14:paraId="36B20248" w14:textId="77777777" w:rsidR="00243007" w:rsidRPr="0057221E" w:rsidRDefault="00243007" w:rsidP="00243007">
      <w:pPr>
        <w:pStyle w:val="SingleTxtG"/>
      </w:pPr>
      <w:r>
        <w:t>8.</w:t>
      </w:r>
      <w:r>
        <w:tab/>
        <w:t>Комитет сожалеет, что положения Пакта не применяются и не используются национальными судами, несмотря на то, что статья 215 Конституции устанавливает верховенство международных договоров, включая Пакт, над национальными законами.</w:t>
      </w:r>
    </w:p>
    <w:p w14:paraId="660E560D" w14:textId="77777777" w:rsidR="00243007" w:rsidRPr="0057221E" w:rsidRDefault="00243007" w:rsidP="00243007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обеспечить, чтобы на экономические, социальные и культурные права можно было ссылаться на всех уровнях судебной системы, и облегчить доступ жертв нарушений этих прав к эффективным средствам правовой защиты.</w:t>
      </w:r>
      <w:r>
        <w:t xml:space="preserve"> </w:t>
      </w:r>
      <w:r>
        <w:rPr>
          <w:b/>
          <w:bCs/>
        </w:rPr>
        <w:t>В частности, Комитет просит государство-участник обеспечить регулярное обучение, в частности судей, адвокатов, сотрудников правоохранительных органов, членов Национального собрания и Сената и других соответствующих субъектов, по вопросам содержания закрепленных в Пакте прав и возможности их защиты в судебном порядке, а также проводить информационно-просветительские кампании среди правообладателей.</w:t>
      </w:r>
      <w:r>
        <w:t xml:space="preserve"> </w:t>
      </w:r>
      <w:r>
        <w:rPr>
          <w:b/>
          <w:bCs/>
        </w:rPr>
        <w:t>В этой связи Комитет ссылается на свое замечание общего порядка № 9 (1998) о применении Пакта на национальном уровне.</w:t>
      </w:r>
    </w:p>
    <w:p w14:paraId="4F081F04" w14:textId="77777777" w:rsidR="00243007" w:rsidRPr="0057221E" w:rsidRDefault="00243007" w:rsidP="00243007">
      <w:pPr>
        <w:pStyle w:val="H23G"/>
      </w:pPr>
      <w:r>
        <w:tab/>
      </w:r>
      <w:r>
        <w:tab/>
      </w:r>
      <w:r>
        <w:rPr>
          <w:bCs/>
        </w:rPr>
        <w:t>Национальная комиссия по правам человека</w:t>
      </w:r>
      <w:r>
        <w:t xml:space="preserve"> </w:t>
      </w:r>
    </w:p>
    <w:p w14:paraId="059AC4AF" w14:textId="77777777" w:rsidR="00243007" w:rsidRPr="0057221E" w:rsidRDefault="00243007" w:rsidP="00243007">
      <w:pPr>
        <w:pStyle w:val="SingleTxtG"/>
        <w:rPr>
          <w:bCs/>
          <w:color w:val="000000"/>
        </w:rPr>
      </w:pPr>
      <w:r>
        <w:t>10.</w:t>
      </w:r>
      <w:r>
        <w:tab/>
        <w:t>Приветствуя создание Национальной комиссии по правам человека и усилия, предпринятые для введения в действие ее отделений в 26 провинциях, Комитет выражает озабоченность отсутствием материальных и финансовых ресурсов, что препятствует эффективному выполнению мандата Комиссии. Он также обеспокоен полученной информацией об изменениях в процедуре назначения членов Комиссии, которые могут повлиять на независимость этого института.</w:t>
      </w:r>
    </w:p>
    <w:p w14:paraId="1D781417" w14:textId="77777777" w:rsidR="00243007" w:rsidRPr="0057221E" w:rsidRDefault="00243007" w:rsidP="00243007">
      <w:pPr>
        <w:pStyle w:val="SingleTxtG"/>
        <w:rPr>
          <w:b/>
          <w:bCs/>
          <w:color w:val="000000"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предоставления Национальной комиссии по правам человека достаточных материальных и финансовых ресурсов, чтобы она могла в полной мере выполнять свой мандат, и призывает ее продолжать усилия по обеспечению полноценной работы отделений в провинциях.</w:t>
      </w:r>
      <w:r>
        <w:t xml:space="preserve"> </w:t>
      </w:r>
      <w:r>
        <w:rPr>
          <w:b/>
          <w:bCs/>
        </w:rPr>
        <w:t>Он также рекомендует государству-участнику обеспечить соблюдение срока полномочий членов Комиссии и прозрачность и открытость процесса назначения ее членов и обновления состава, чтобы гарантировать ее независимость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14:paraId="22A777C5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Положение правозащитников</w:t>
      </w:r>
    </w:p>
    <w:p w14:paraId="0DAA8A00" w14:textId="0D411A70" w:rsidR="00243007" w:rsidRPr="0057221E" w:rsidRDefault="00243007" w:rsidP="00243007">
      <w:pPr>
        <w:pStyle w:val="SingleTxtG"/>
      </w:pPr>
      <w:r>
        <w:t>12.</w:t>
      </w:r>
      <w:r>
        <w:tab/>
        <w:t>Отмечая, что законопроект о защите правозащитников был представлен для обсуждения в Национальном собрании, Комитет выражает обеспокоенность задержкой в рассмотрении и принятии этого законопроекта. Наряду с этим Комитет с озабоченностью отмечает сообщения о том, что правозащитники, включая защитников экономических, социальных и культурных прав</w:t>
      </w:r>
      <w:r w:rsidR="00836228">
        <w:t>,</w:t>
      </w:r>
      <w:r>
        <w:t xml:space="preserve"> часто подвергаются различным формам преследования или репрессий.</w:t>
      </w:r>
    </w:p>
    <w:p w14:paraId="627CD5C6" w14:textId="216CABE6" w:rsidR="00243007" w:rsidRPr="0057221E" w:rsidRDefault="00243007" w:rsidP="00243007">
      <w:pPr>
        <w:pStyle w:val="SingleTxtG"/>
      </w:pPr>
      <w:r>
        <w:t>13.</w:t>
      </w:r>
      <w:r>
        <w:tab/>
      </w:r>
      <w:r>
        <w:rPr>
          <w:b/>
          <w:bCs/>
        </w:rPr>
        <w:t>Комитет напоминает государству-участнику о своей вынесенной ранее рекомендации, касающейся правозащитников</w:t>
      </w:r>
      <w:r w:rsidRPr="000D12A8">
        <w:rPr>
          <w:rStyle w:val="a8"/>
        </w:rPr>
        <w:footnoteReference w:id="5"/>
      </w:r>
      <w:r>
        <w:t>,</w:t>
      </w:r>
      <w:r>
        <w:rPr>
          <w:b/>
          <w:bCs/>
        </w:rPr>
        <w:t xml:space="preserve"> и </w:t>
      </w:r>
      <w:r w:rsidRPr="00C83360">
        <w:rPr>
          <w:b/>
          <w:bCs/>
        </w:rPr>
        <w:t>призывает его</w:t>
      </w:r>
      <w:r>
        <w:t xml:space="preserve"> </w:t>
      </w:r>
      <w:r w:rsidRPr="00C83360">
        <w:rPr>
          <w:b/>
          <w:bCs/>
        </w:rPr>
        <w:t>об</w:t>
      </w:r>
      <w:r>
        <w:rPr>
          <w:b/>
          <w:bCs/>
        </w:rPr>
        <w:t xml:space="preserve">еспечить их эффективную защиту, включая защитников экономических, социальных и </w:t>
      </w:r>
      <w:r>
        <w:rPr>
          <w:b/>
          <w:bCs/>
        </w:rPr>
        <w:lastRenderedPageBreak/>
        <w:t>культурных прав, от преследований, запугивания и репрессий и обеспечить судебное преследование виновных в совершении таких актов.</w:t>
      </w:r>
      <w:r>
        <w:t xml:space="preserve"> </w:t>
      </w:r>
      <w:r>
        <w:rPr>
          <w:b/>
          <w:bCs/>
        </w:rPr>
        <w:t>Он просит государство-участник ускорить обсуждение и принятие законопроекта о защите правозащитников в консультации с Национальной комиссией по правам человека, организациями гражданского общества и потенциальными бенефициарами.</w:t>
      </w:r>
      <w:r>
        <w:t xml:space="preserve"> </w:t>
      </w:r>
      <w:r>
        <w:rPr>
          <w:b/>
          <w:bCs/>
        </w:rPr>
        <w:t>Кроме того, он настоятельно призывает государство-участник проводить информационно-просветительские кампании о важности работы, осуществляемой правозащитниками, с тем чтобы создать атмосферу терпимости, позволяющую им выполнять свою миссию, не опасаясь запугивания, угроз и репрессий в какой бы то ни было форме.</w:t>
      </w:r>
      <w:r>
        <w:t xml:space="preserve"> </w:t>
      </w:r>
      <w:r>
        <w:rPr>
          <w:b/>
          <w:bCs/>
        </w:rPr>
        <w:t>Комитет напоминает государству-участнику о своем заявлении о правозащитниках и экономических, социальных и культурных правах, принятом в 2016 году</w:t>
      </w:r>
      <w:r w:rsidRPr="000D12A8">
        <w:rPr>
          <w:rStyle w:val="a8"/>
        </w:rPr>
        <w:footnoteReference w:id="6"/>
      </w:r>
      <w:r>
        <w:rPr>
          <w:b/>
          <w:bCs/>
        </w:rPr>
        <w:t>.</w:t>
      </w:r>
    </w:p>
    <w:p w14:paraId="6A21FA79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Защита коренных народов</w:t>
      </w:r>
      <w:r>
        <w:t xml:space="preserve"> </w:t>
      </w:r>
    </w:p>
    <w:p w14:paraId="3492E33A" w14:textId="2CF4CCA3" w:rsidR="00243007" w:rsidRPr="0057221E" w:rsidRDefault="00243007" w:rsidP="00243007">
      <w:pPr>
        <w:pStyle w:val="SingleTxtG"/>
      </w:pPr>
      <w:r>
        <w:t>14.</w:t>
      </w:r>
      <w:r>
        <w:tab/>
        <w:t xml:space="preserve">Комитет с удовлетворением отмечает принятие Национальным собранием в апреле 2021 года Закона о защите и поощрении прав коренных народов. Вместе с тем Комитет выражает обеспокоенность тем, что закон еще не принят Сенатом и что коренные народы батва по-прежнему сталкиваются с постоянной дискриминацией и изоляцией, что негативно сказывается на эффективном осуществлении их экономических, социальных и культурных прав. Комитет также обеспокоен отсутствием признания их прав в отношении доступа к земле и территориям их предков, включая природные ресурсы, а также неспособностью обеспечить участие во всех затрагивающих их вопросах (ст. 1 и 2). </w:t>
      </w:r>
    </w:p>
    <w:p w14:paraId="0223F7CC" w14:textId="77777777" w:rsidR="00243007" w:rsidRPr="0057221E" w:rsidRDefault="00243007" w:rsidP="00243007">
      <w:pPr>
        <w:pStyle w:val="SingleTxtG"/>
        <w:rPr>
          <w:b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8E60AC7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признать права коренных народов, находящихся под его юрисдикцией, и принять в консультации с ними эффективные меры для борьбы с их дискриминацией и отчуждением;</w:t>
      </w:r>
      <w:r>
        <w:t xml:space="preserve"> </w:t>
      </w:r>
    </w:p>
    <w:p w14:paraId="6C383A93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защиту и гарантии в законодательстве и на практике уважения права коренных народов свободно распоряжаться своими землями, территориями и природными ресурсами, включая их право на консультации с целью получения их свободного, предварительного и осознанного согласия;</w:t>
      </w:r>
      <w:r>
        <w:t xml:space="preserve"> </w:t>
      </w:r>
    </w:p>
    <w:p w14:paraId="442C18C8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ускорить процесс принятия и обнародования закона о защите и поощрении прав коренных народов и создать необходимые механизмы для обеспечения его эффективной реализации при участии соответствующих коренных народов;</w:t>
      </w:r>
      <w:r>
        <w:t xml:space="preserve"> </w:t>
      </w:r>
    </w:p>
    <w:p w14:paraId="6ABF8267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предусмотреть ратификацию Конвенции Международной организации труда 1989 года о коренных народах и народах, ведущих племенной образ жизни (№ 169).</w:t>
      </w:r>
    </w:p>
    <w:p w14:paraId="4FFA89C6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Эксплуатация природных ресурсов</w:t>
      </w:r>
      <w:r>
        <w:t xml:space="preserve"> </w:t>
      </w:r>
    </w:p>
    <w:p w14:paraId="59846165" w14:textId="77777777" w:rsidR="00243007" w:rsidRPr="0057221E" w:rsidRDefault="00243007" w:rsidP="00243007">
      <w:pPr>
        <w:pStyle w:val="SingleTxtG"/>
      </w:pPr>
      <w:r>
        <w:t>16.</w:t>
      </w:r>
      <w:r>
        <w:tab/>
        <w:t xml:space="preserve">Комитет отмечает предпринятые усилия для укрепления правовой базы в области добывающей и лесной промышленности путем внесения поправок в Лесной кодекс и Горный кодекс. Вместе с тем Комитет обеспокоен сообщениями о неэффективном осуществлении этих мер и негативном воздействии горнодобывающей и лесозаготовительной деятельности на традиционный образ жизни соответствующих групп населения, включая коренные народы, а также на их доступ к земле, достаточному питанию, воде и достаточному уровню жизни, и на их участие в культурной жизни. Комитет также обеспокоен актами насилия и запугивания в отношении соответствующих общин, в том числе в отношении смотрителей парков (ст. 1 и 11). </w:t>
      </w:r>
    </w:p>
    <w:p w14:paraId="0AD3132F" w14:textId="77777777" w:rsidR="00243007" w:rsidRDefault="0024300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699522F" w14:textId="610B5545" w:rsidR="00243007" w:rsidRPr="0057221E" w:rsidRDefault="00243007" w:rsidP="00243007">
      <w:pPr>
        <w:pStyle w:val="SingleTxtG"/>
        <w:rPr>
          <w:b/>
        </w:rPr>
      </w:pPr>
      <w:r>
        <w:lastRenderedPageBreak/>
        <w:t>17.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2F29D89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разработать четкие руководящие принципы и правила для оценки воздействия на экономические, социальные и культурные права и окружающую среду экономических проектов по освоению и эксплуатации природных ресурсов, в частности воздействия горнодобывающей и лесозаготовительной деятельности, в том числе проектов, осуществляемых частными субъектами, на всей территории государства-участника;</w:t>
      </w:r>
    </w:p>
    <w:p w14:paraId="309236AF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принять необходимые меры для обеспечения того, чтобы с общинами, затрагиваемыми деятельностью, связанной с экономическим развитием и эксплуатацией природных ресурсов на их территориях, проводились консультации, чтобы им предоставлялась компенсация за причиненный ущерб или понесенные потери и чтобы они получали реальные выгоды от этой деятельности;</w:t>
      </w:r>
    </w:p>
    <w:p w14:paraId="7448ADF7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предотвращать акты насилия и запугивания в отношении затрагиваемых сообществ и смотрителей природных парков и обеспечивать их эффективную защиту, в том числе с помощью Конголезского института охраны природы.</w:t>
      </w:r>
      <w:r>
        <w:t xml:space="preserve"> </w:t>
      </w:r>
    </w:p>
    <w:p w14:paraId="2346DE22" w14:textId="77777777" w:rsidR="00243007" w:rsidRPr="0057221E" w:rsidRDefault="00243007" w:rsidP="00243007">
      <w:pPr>
        <w:pStyle w:val="SingleTxtG"/>
        <w:rPr>
          <w:b/>
          <w:bCs/>
          <w:color w:val="000000"/>
        </w:rPr>
      </w:pPr>
      <w:r>
        <w:rPr>
          <w:b/>
          <w:bCs/>
        </w:rPr>
        <w:t>Предпринимательская деятельность и права человека</w:t>
      </w:r>
      <w:r>
        <w:t xml:space="preserve"> </w:t>
      </w:r>
    </w:p>
    <w:p w14:paraId="70C48C80" w14:textId="77777777" w:rsidR="00243007" w:rsidRPr="0057221E" w:rsidRDefault="00243007" w:rsidP="00243007">
      <w:pPr>
        <w:pStyle w:val="SingleTxtG"/>
        <w:rPr>
          <w:bCs/>
          <w:color w:val="000000"/>
        </w:rPr>
      </w:pPr>
      <w:r>
        <w:t>18.</w:t>
      </w:r>
      <w:r>
        <w:tab/>
        <w:t>Комитет сожалеет, что не получил конкретной информации ни о мерах в рамках реализации социальной и экологической ответственности добывающих и лесозаготовительных компаний, ни о возможности рассмотрения вопроса о проведении переговоров с международными компаниями по вопросу об осуществлении</w:t>
      </w:r>
      <w:r w:rsidRPr="00EA26CE">
        <w:t xml:space="preserve"> процедуры должной осмотрительности в области прав человека</w:t>
      </w:r>
      <w:r>
        <w:t xml:space="preserve">. </w:t>
      </w:r>
    </w:p>
    <w:p w14:paraId="3F4EF5A6" w14:textId="77777777" w:rsidR="00243007" w:rsidRPr="0057221E" w:rsidRDefault="00243007" w:rsidP="00243007">
      <w:pPr>
        <w:pStyle w:val="SingleTxtG"/>
        <w:keepNext/>
        <w:keepLines/>
        <w:rPr>
          <w:b/>
          <w:bCs/>
          <w:color w:val="000000"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5332B18D" w14:textId="77777777" w:rsidR="00243007" w:rsidRPr="0057221E" w:rsidRDefault="00243007" w:rsidP="00243007">
      <w:pPr>
        <w:pStyle w:val="SingleTxtG"/>
        <w:keepNext/>
        <w:keepLines/>
        <w:ind w:firstLine="567"/>
      </w:pPr>
      <w:r>
        <w:rPr>
          <w:b/>
          <w:bCs/>
        </w:rPr>
        <w:t>a)</w:t>
      </w:r>
      <w:r>
        <w:tab/>
      </w:r>
      <w:r>
        <w:rPr>
          <w:b/>
          <w:bCs/>
        </w:rPr>
        <w:t>принять законодательные и административные меры, в том числе принять план действий для обеспечения того, чтобы деятельность национальных и международных компаний в государстве-участнике не оказывала негативного влияния на осуществление экономических, социальных и культурных прав;</w:t>
      </w:r>
      <w:r>
        <w:t xml:space="preserve"> </w:t>
      </w:r>
    </w:p>
    <w:p w14:paraId="5AD25CAA" w14:textId="77777777" w:rsidR="00243007" w:rsidRPr="0057221E" w:rsidRDefault="00243007" w:rsidP="00243007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 xml:space="preserve">пересмотреть свою законодательную базу в области социальной и экологической ответственности, а также правовой режим и нормативные стандарты, применимые к добывающим и лесопромышленным компаниям, чтобы обязать их осуществлять </w:t>
      </w:r>
      <w:r w:rsidRPr="00EA26CE">
        <w:rPr>
          <w:b/>
          <w:bCs/>
        </w:rPr>
        <w:t>процедур</w:t>
      </w:r>
      <w:r>
        <w:rPr>
          <w:b/>
          <w:bCs/>
        </w:rPr>
        <w:t>у</w:t>
      </w:r>
      <w:r w:rsidRPr="00EA26CE">
        <w:rPr>
          <w:b/>
          <w:bCs/>
        </w:rPr>
        <w:t xml:space="preserve"> должной осмотрительности в области прав человека</w:t>
      </w:r>
      <w:r>
        <w:rPr>
          <w:b/>
          <w:bCs/>
        </w:rPr>
        <w:t xml:space="preserve"> с целью выявления рисков нарушения прав, гарантированных Пактом, предотвращения и смягчения таких рисков, а также предотвращения нарушения этих прав;</w:t>
      </w:r>
    </w:p>
    <w:p w14:paraId="5339DBEB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обращает внимание государства-участника на свое замечание общего порядка № 24 (2017) об обязательствах государств по Пакту в контексте предпринимательской деятельности.</w:t>
      </w:r>
      <w:r>
        <w:t xml:space="preserve"> </w:t>
      </w:r>
    </w:p>
    <w:p w14:paraId="6DB6B15E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Изменение климата</w:t>
      </w:r>
      <w:r>
        <w:t xml:space="preserve"> </w:t>
      </w:r>
    </w:p>
    <w:p w14:paraId="14BF4BAD" w14:textId="77777777" w:rsidR="00243007" w:rsidRPr="0057221E" w:rsidRDefault="00243007" w:rsidP="00243007">
      <w:pPr>
        <w:pStyle w:val="SingleTxtG"/>
      </w:pPr>
      <w:r>
        <w:t>20.</w:t>
      </w:r>
      <w:r>
        <w:tab/>
        <w:t>Комитет обеспокоен негативным воздействием деятельности предприятий горнодобывающей и лесной промышленности на окружающую среду. Он также обеспокоен влиянием обезлесения на изменение климата и тем фактом, что, несмотря на введение моратория на концессии на вырубку леса в 2002 году, разрешения на вырубку леса продолжают выдаваться (ст. 11).</w:t>
      </w:r>
    </w:p>
    <w:p w14:paraId="09C6EE50" w14:textId="77777777" w:rsidR="00243007" w:rsidRDefault="00243007" w:rsidP="00243007">
      <w:pPr>
        <w:pStyle w:val="SingleTxtG"/>
        <w:rPr>
          <w:b/>
          <w:bCs/>
          <w:color w:val="000000"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обеспечить, чтобы природные ресурсы, включая лесные ресурсы, использовались на основе справедливой и равноправной экологической модели в консультации с затрагиваемыми общинами, коренными народами, организациями гражданского общества и органами охраны природы.</w:t>
      </w:r>
      <w:r>
        <w:t xml:space="preserve"> </w:t>
      </w:r>
      <w:r>
        <w:rPr>
          <w:b/>
          <w:bCs/>
        </w:rPr>
        <w:t>Он настоятельно призывает государство-участник соблюдать выполнение моратория на заключение концессий на вырубку леса.</w:t>
      </w:r>
      <w:r>
        <w:t xml:space="preserve"> </w:t>
      </w:r>
      <w:r>
        <w:rPr>
          <w:b/>
          <w:bCs/>
        </w:rPr>
        <w:t xml:space="preserve">Комитет рекомендует государству-участнику продолжать свои усилия по принятию необходимых мер для смягчения негативного воздействия </w:t>
      </w:r>
      <w:r>
        <w:rPr>
          <w:b/>
          <w:bCs/>
        </w:rPr>
        <w:lastRenderedPageBreak/>
        <w:t>изменения климата на осуществление экономических, социальных и культурных прав.</w:t>
      </w:r>
      <w:r>
        <w:t xml:space="preserve"> </w:t>
      </w:r>
    </w:p>
    <w:p w14:paraId="2FB12AF6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Коррупция</w:t>
      </w:r>
    </w:p>
    <w:p w14:paraId="3AC9E62D" w14:textId="77777777" w:rsidR="00243007" w:rsidRPr="0057221E" w:rsidRDefault="00243007" w:rsidP="00243007">
      <w:pPr>
        <w:pStyle w:val="SingleTxtG"/>
      </w:pPr>
      <w:r>
        <w:t>22.</w:t>
      </w:r>
      <w:r>
        <w:tab/>
        <w:t>Отмечая принятые меры по борьбе с коррупцией и преследованию коррупционеров, Комитет обеспокоен недостаточностью полученной информации об их эффективности и конкретных результатах их реализации. Он также вновь выражает озабоченность сохраняющейся в государстве-участнике коррупцией, которая продолжает препятствовать осуществлению экономических, социальных и культурных прав (ст. 2, п. 1).</w:t>
      </w:r>
    </w:p>
    <w:p w14:paraId="6E9018C6" w14:textId="3A13ABD9" w:rsidR="00243007" w:rsidRPr="0057221E" w:rsidRDefault="00243007" w:rsidP="00243007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Комитет повторяет свою предыдущую рекомендацию по борьбе с коррупцией</w:t>
      </w:r>
      <w:r w:rsidRPr="000D12A8">
        <w:rPr>
          <w:rStyle w:val="a8"/>
        </w:rPr>
        <w:footnoteReference w:id="7"/>
      </w:r>
      <w:r>
        <w:rPr>
          <w:b/>
          <w:bCs/>
        </w:rPr>
        <w:t xml:space="preserve"> и рекомендует государству-участнику продолжать в приоритетном порядке устранять коренные причины коррупции, обеспечить строгое выполнение мер, принятых для борьбы с коррупцией, и эффективно бороться с безнаказанностью виновных.</w:t>
      </w:r>
      <w:r>
        <w:t xml:space="preserve"> </w:t>
      </w:r>
      <w:r>
        <w:rPr>
          <w:b/>
          <w:bCs/>
        </w:rPr>
        <w:t>Комитет рекомендует государству-участнику принять необходимые законодательные и административные меры для обеспечения прозрачности системы государственного управления и защиты информаторов и активистов гражданского общества, борющихся с коррупцией, а также свидетелей и журналистов.</w:t>
      </w:r>
    </w:p>
    <w:p w14:paraId="29134843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Максимальные пределы имеющихся ресурсов</w:t>
      </w:r>
      <w:r>
        <w:t xml:space="preserve"> </w:t>
      </w:r>
    </w:p>
    <w:p w14:paraId="63C7EE35" w14:textId="0660670B" w:rsidR="00243007" w:rsidRPr="0057221E" w:rsidRDefault="00243007" w:rsidP="00243007">
      <w:pPr>
        <w:pStyle w:val="SingleTxtG"/>
      </w:pPr>
      <w:r>
        <w:t>24.</w:t>
      </w:r>
      <w:r>
        <w:tab/>
        <w:t xml:space="preserve">Комитет обеспокоен ограниченной мобилизацией внутренних ресурсов для реализации экономических, социальных и культурных прав. Он с озабоченностью отмечает, что, как сообщается, поступления от налогообложения составляют незначительную часть бюджета государства-участника и что государство-участник не получает достаточных доходов от таких производственных секторов, как горнодобывающая промышленность, что, как представляется, ограничивает возможности государства-участника по снижению высокого уровня неравенства </w:t>
      </w:r>
      <w:r>
        <w:br/>
        <w:t xml:space="preserve">(ст. 2, п. 1). </w:t>
      </w:r>
    </w:p>
    <w:p w14:paraId="080A461E" w14:textId="3B5DC419" w:rsidR="00243007" w:rsidRPr="0057221E" w:rsidRDefault="00243007" w:rsidP="00243007">
      <w:pPr>
        <w:pStyle w:val="SingleTxtG"/>
      </w:pPr>
      <w:bookmarkStart w:id="0" w:name="_Hlk102997094"/>
      <w:r w:rsidRPr="00F523CD">
        <w:t>25.</w:t>
      </w:r>
      <w:r w:rsidRPr="00F523CD">
        <w:tab/>
      </w:r>
      <w:r w:rsidRPr="00F523CD">
        <w:rPr>
          <w:b/>
          <w:bCs/>
        </w:rPr>
        <w:t xml:space="preserve">Комитет рекомендует государству-участнику обеспечить эффективную мобилизацию внутренних ресурсов, в том числе путем разработки более эффективной, прогрессивной и социально справедливой налоговой политики и взимания с иностранных инвесторов справедливой и равноправной платы за эксплуатацию природных ресурсов, в частности добычу полезных ископаемых, </w:t>
      </w:r>
      <w:r w:rsidRPr="00F523CD">
        <w:rPr>
          <w:b/>
          <w:bCs/>
        </w:rPr>
        <w:br/>
        <w:t>в целях борьбы с экономическим неравенством</w:t>
      </w:r>
      <w:r>
        <w:rPr>
          <w:b/>
          <w:bCs/>
        </w:rPr>
        <w:t xml:space="preserve"> и постепенного обеспечения полного осуществления экономических, социальных и культурных прав.</w:t>
      </w:r>
      <w:r>
        <w:t xml:space="preserve"> </w:t>
      </w:r>
      <w:bookmarkEnd w:id="0"/>
      <w:r>
        <w:rPr>
          <w:b/>
          <w:bCs/>
        </w:rPr>
        <w:t>Комитет также рекомендует государству-участнику обеспечить, чтобы как процесс укрепления налоговой политики, так и подготовка всех проектов бюджета были транспарентными и предусматривали широкое участие.</w:t>
      </w:r>
    </w:p>
    <w:p w14:paraId="0D309EBB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1D461765" w14:textId="77777777" w:rsidR="00243007" w:rsidRPr="0057221E" w:rsidRDefault="00243007" w:rsidP="00243007">
      <w:pPr>
        <w:pStyle w:val="SingleTxtG"/>
        <w:rPr>
          <w:color w:val="000000"/>
        </w:rPr>
      </w:pPr>
      <w:r>
        <w:t>26.</w:t>
      </w:r>
      <w:r>
        <w:tab/>
        <w:t>Комитет с озабоченностью отмечает, что государство-участник еще не приняло всеобъемлющего антидискриминационного закона, охватывающего все основания во всех областях, на которые распространяется действие Пакта. Комитет также обеспокоен отсутствием эффективных мер по борьбе с фактической дискриминацией в области эффективного осуществления экономических, социальных и культурных прав, с которой сталкиваются коренные народы, включая батва, внутренне перемещенные лица и инвалиды (ст. 2, п. 2).</w:t>
      </w:r>
    </w:p>
    <w:p w14:paraId="24FC3EA8" w14:textId="77777777" w:rsidR="00243007" w:rsidRPr="0057221E" w:rsidRDefault="00243007" w:rsidP="00243007">
      <w:pPr>
        <w:pStyle w:val="SingleTxtG"/>
        <w:rPr>
          <w:b/>
          <w:bCs/>
          <w:color w:val="000000"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BFC7903" w14:textId="77777777" w:rsidR="00243007" w:rsidRPr="00E05806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принять широкое антидискриминационное законодательство в соответствии со статьей 2 (п. 2) Пакта и его замечанием общего порядка № 20 (2009) о недискриминации экономических, социальных и культурных прав, </w:t>
      </w:r>
      <w:r>
        <w:rPr>
          <w:b/>
          <w:bCs/>
        </w:rPr>
        <w:lastRenderedPageBreak/>
        <w:t>запрещающее прямую и косвенную дискриминацию по всем признакам во всех областях, охватываемых Пактом;</w:t>
      </w:r>
    </w:p>
    <w:p w14:paraId="1FBB5AF5" w14:textId="77777777" w:rsidR="00243007" w:rsidRPr="00E05806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доступ к эффективным средствам правовой защиты для жертв дискриминации, включая возможность получения возмещения;</w:t>
      </w:r>
      <w:r>
        <w:t xml:space="preserve"> </w:t>
      </w:r>
    </w:p>
    <w:p w14:paraId="719D2E03" w14:textId="77777777" w:rsidR="00243007" w:rsidRPr="00E05806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принять меры для эффективного предупреждения и борьбы с дискриминацией в отношении коренных народов, включая батва, внутренне перемещенных лиц и инвалидов, в том числе путем проведения информационно-просветительских кампаний и использования мер компенсаторной дискриминации для обеспечения осуществления всех закрепленных в Пакте прав всеми без какой-либо дискриминации.</w:t>
      </w:r>
      <w:r>
        <w:t xml:space="preserve"> </w:t>
      </w:r>
    </w:p>
    <w:p w14:paraId="35FB0E18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Дискриминация по признакам сексуальной ориентации и гендерной идентичности</w:t>
      </w:r>
      <w:r>
        <w:t xml:space="preserve"> </w:t>
      </w:r>
    </w:p>
    <w:p w14:paraId="7B5882DC" w14:textId="77777777" w:rsidR="00243007" w:rsidRPr="0057221E" w:rsidRDefault="00243007" w:rsidP="00243007">
      <w:pPr>
        <w:pStyle w:val="SingleTxtG"/>
      </w:pPr>
      <w:r>
        <w:t>28.</w:t>
      </w:r>
      <w:r>
        <w:tab/>
        <w:t xml:space="preserve">Комитет обеспокоен применением статей Уголовного кодекса, в частности статьи 176, которые часто используются для криминализации однополых отношений. Он с озабоченностью отмечает, что лесбиянки, геи, бисексуалы, трансгендеры и интерсексуалы подвергаются стигматизации и сталкиваются с дискриминацией при осуществлении своих экономических, социальных и культурных прав, в том числе в доступе к работе, жилью, здравоохранению и образованию (ст. 2, п. 2). </w:t>
      </w:r>
    </w:p>
    <w:p w14:paraId="0DA13174" w14:textId="77777777" w:rsidR="00243007" w:rsidRPr="0057221E" w:rsidRDefault="00243007" w:rsidP="00243007">
      <w:pPr>
        <w:pStyle w:val="SingleTxtG"/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 бороться с дискриминацией и стигматизацией в отношении лесбиянок, геев, бисексуалов, трансгендеров и интерсексуалов, в том числе путем проведения информационно-просветительских кампаний, и обеспечить, чтобы никто не подвергался дискриминации при осуществлении своих экономических, социальных и культурных прав, в частности в отношении доступа к услугам в области здравоохранения, образования и жилья по причине их сексуальной ориентации или гендерной идентичности.</w:t>
      </w:r>
      <w:r>
        <w:t xml:space="preserve"> </w:t>
      </w:r>
      <w:r>
        <w:rPr>
          <w:b/>
          <w:bCs/>
        </w:rPr>
        <w:t>Комитет просит государство-участник обеспечить, чтобы статья 176 Уголовного кодекса не использовалась для криминализации однополых отношений.</w:t>
      </w:r>
      <w:r>
        <w:t xml:space="preserve"> </w:t>
      </w:r>
    </w:p>
    <w:p w14:paraId="7BF2E89B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Гендерное равенство</w:t>
      </w:r>
      <w:r>
        <w:t xml:space="preserve"> </w:t>
      </w:r>
    </w:p>
    <w:p w14:paraId="30D28EBA" w14:textId="77777777" w:rsidR="00243007" w:rsidRPr="0057221E" w:rsidRDefault="00243007" w:rsidP="00243007">
      <w:pPr>
        <w:pStyle w:val="SingleTxtG"/>
      </w:pPr>
      <w:r>
        <w:t>30.</w:t>
      </w:r>
      <w:r>
        <w:tab/>
        <w:t xml:space="preserve">Комитет с удовлетворением отмечает изменения в законодательстве, направленные на поощрение равенства между мужчинами и женщинами, включая принятие Закона № 15/013 от 1 августа 2015 года о порядке реализации прав женщин и равноправии. Однако он по-прежнему обеспокоен сохранением гендерных стереотипов, которые увековечивают гендерное неравенство, особенно в области доступа на рынок труда, равной оплаты и условий труда, а также участия в общественной и политической жизни (ст. 3). </w:t>
      </w:r>
    </w:p>
    <w:p w14:paraId="18BA3856" w14:textId="77777777" w:rsidR="00243007" w:rsidRPr="0057221E" w:rsidRDefault="00243007" w:rsidP="00243007">
      <w:pPr>
        <w:pStyle w:val="SingleTxtG"/>
        <w:rPr>
          <w:b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уделить приоритетное внимание решению проблемы сохраняющегося неравенства между мужчинами и женщинами.</w:t>
      </w:r>
      <w:r>
        <w:t xml:space="preserve"> </w:t>
      </w:r>
      <w:r>
        <w:rPr>
          <w:b/>
          <w:bCs/>
        </w:rPr>
        <w:t>С этой целью он призывает его:</w:t>
      </w:r>
      <w:r>
        <w:t xml:space="preserve"> </w:t>
      </w:r>
    </w:p>
    <w:p w14:paraId="3B0FE8A6" w14:textId="77777777" w:rsidR="00243007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эффективное осуществление Закона 15/013, включая создание институтов, предусмотренных этим законом;</w:t>
      </w:r>
      <w:r>
        <w:t xml:space="preserve"> </w:t>
      </w:r>
    </w:p>
    <w:p w14:paraId="6C5D04FD" w14:textId="66A2AB0E" w:rsidR="00243007" w:rsidRPr="00000BDC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содействовать эффективному применению принципа равного вознаграждения труда мужчин и женщин и принципа равной оплаты за труд равной ценности, в частности работодателям, трудовым инспекциям и судьям;</w:t>
      </w:r>
      <w:r>
        <w:t xml:space="preserve"> </w:t>
      </w:r>
    </w:p>
    <w:p w14:paraId="47955233" w14:textId="299D604A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 xml:space="preserve">принять все необходимые меры, включая временные специальные меры, для обеспечения женщинам равного доступа к профессиональным возможностям посредством образования и профессиональной подготовки, </w:t>
      </w:r>
      <w:r>
        <w:rPr>
          <w:b/>
          <w:bCs/>
        </w:rPr>
        <w:br/>
        <w:t>а также для обеспечения их участия в общественной и политической жизни;</w:t>
      </w:r>
    </w:p>
    <w:p w14:paraId="467F44C5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 xml:space="preserve">принять меры по борьбе с гендерными стереотипами и изменению традиционных взглядов, препятствующих осуществлению экономических, социальных и культурных прав женщин, в том числе путем проведения </w:t>
      </w:r>
      <w:r>
        <w:rPr>
          <w:b/>
          <w:bCs/>
        </w:rPr>
        <w:lastRenderedPageBreak/>
        <w:t>информационно-просветительских кампаний по вопросам распределения семейных обязанностей между мужчинами и женщинами;</w:t>
      </w:r>
      <w:r>
        <w:t xml:space="preserve"> </w:t>
      </w:r>
    </w:p>
    <w:p w14:paraId="1B7E1608" w14:textId="1583BE98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 xml:space="preserve">руководствоваться его замечанием общего порядка № 16 (2005) </w:t>
      </w:r>
      <w:r>
        <w:rPr>
          <w:b/>
          <w:bCs/>
        </w:rPr>
        <w:br/>
        <w:t>о равном для мужчин и женщин праве пользования всеми экономическими, социальными и культурными правами.</w:t>
      </w:r>
      <w:r>
        <w:t xml:space="preserve"> </w:t>
      </w:r>
    </w:p>
    <w:p w14:paraId="4F1FE9ED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Насилие в отношении женщин</w:t>
      </w:r>
      <w:r>
        <w:t xml:space="preserve"> </w:t>
      </w:r>
    </w:p>
    <w:p w14:paraId="165E0BB5" w14:textId="77777777" w:rsidR="00243007" w:rsidRPr="0057221E" w:rsidRDefault="00243007" w:rsidP="00243007">
      <w:pPr>
        <w:pStyle w:val="SingleTxtG"/>
      </w:pPr>
      <w:r>
        <w:t>32.</w:t>
      </w:r>
      <w:r>
        <w:tab/>
        <w:t>Комитет обеспокоен очень высоким уровнем бытового насилия и сексуального насилия в отношении женщин и девочек в государстве-участнике. Он также обеспокоен отсутствием эффективной правовой базы для борьбы с бытовым насилием и сексуальным насилием в отношении женщин, а также недостаточностью мер по обеспечению эффективной защиты жертв (ст. 3).</w:t>
      </w:r>
    </w:p>
    <w:p w14:paraId="30F3D3BB" w14:textId="77777777" w:rsidR="00243007" w:rsidRPr="0057221E" w:rsidRDefault="00243007" w:rsidP="00243007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50E7086" w14:textId="77777777" w:rsidR="00243007" w:rsidRPr="0057221E" w:rsidRDefault="00243007" w:rsidP="00243007">
      <w:pPr>
        <w:pStyle w:val="SingleTxtG"/>
        <w:ind w:firstLine="567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принять конкретное и эффективное законодательство для борьбы с домашним насилием и сексуальным насилием в отношении женщин и девочек;</w:t>
      </w:r>
      <w:r>
        <w:t xml:space="preserve"> </w:t>
      </w:r>
    </w:p>
    <w:p w14:paraId="65FF7202" w14:textId="6F108E43" w:rsidR="00243007" w:rsidRPr="0057221E" w:rsidRDefault="00243007" w:rsidP="00243007">
      <w:pPr>
        <w:pStyle w:val="SingleTxtG"/>
        <w:ind w:firstLine="567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принять все необходимые меры для предотвращения насилия в отношении женщин и девочек, включая бытовое и сексуальное насилие, в том числе путем проведения адресованных всем слоям общества общенациональных информационно-просветительских кампаний с целью поощрения уважения равенства между мужчинами и женщинами и информирования о пагубных последствиях насилия в отношении женщин и девочек в целях недопущения стигматизацию жертв;</w:t>
      </w:r>
    </w:p>
    <w:p w14:paraId="13C5B2D0" w14:textId="65146522" w:rsidR="00243007" w:rsidRPr="0057221E" w:rsidRDefault="00243007" w:rsidP="00243007">
      <w:pPr>
        <w:pStyle w:val="SingleTxtG"/>
        <w:ind w:firstLine="567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 xml:space="preserve">преследовать в судебном порядке и привлекать к ответственности лиц, виновных в </w:t>
      </w:r>
      <w:r w:rsidR="00274182">
        <w:rPr>
          <w:b/>
          <w:bCs/>
        </w:rPr>
        <w:t>совершении</w:t>
      </w:r>
      <w:r>
        <w:rPr>
          <w:b/>
          <w:bCs/>
        </w:rPr>
        <w:t xml:space="preserve"> актов сексуального насилии, в том числе во время вооруженных конфликтов, которые остаются безнаказанными, и обеспечить, чтобы женщины и девочки могли подавать жалобы, не опасаясь репрессий или стигматизации;</w:t>
      </w:r>
      <w:r>
        <w:t xml:space="preserve"> </w:t>
      </w:r>
    </w:p>
    <w:p w14:paraId="2269813F" w14:textId="3939EFA1" w:rsidR="00243007" w:rsidRPr="0057221E" w:rsidRDefault="00243007" w:rsidP="00243007">
      <w:pPr>
        <w:pStyle w:val="SingleTxtG"/>
        <w:ind w:firstLine="567"/>
        <w:rPr>
          <w:b/>
          <w:bCs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принять эффективные меры по защите жертв и оказанию им помощи, в частности предоставлению экстренной юридической помощи, доступа к медицинской и психологической помощи и убежищу, а также обеспечить доступ к образованию, особенно для девочек, ставших жертвами такого насилия;</w:t>
      </w:r>
    </w:p>
    <w:p w14:paraId="449023C1" w14:textId="5A78C38F" w:rsidR="00243007" w:rsidRPr="0057221E" w:rsidRDefault="00243007" w:rsidP="00243007">
      <w:pPr>
        <w:pStyle w:val="SingleTxtG"/>
        <w:ind w:firstLine="567"/>
        <w:rPr>
          <w:b/>
          <w:bCs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обращает внимание на рекомендации Комитета по ликвидации дискриминации в отношении женщин, содержащиеся в его заключительных замечаниях по восьмому периодическому докладу государства-участника</w:t>
      </w:r>
      <w:r w:rsidRPr="000D12A8">
        <w:rPr>
          <w:rStyle w:val="a8"/>
        </w:rPr>
        <w:footnoteReference w:id="8"/>
      </w:r>
      <w:r>
        <w:rPr>
          <w:b/>
          <w:bCs/>
        </w:rPr>
        <w:t xml:space="preserve"> </w:t>
      </w:r>
      <w:r w:rsidR="00274182">
        <w:rPr>
          <w:b/>
          <w:bCs/>
        </w:rPr>
        <w:br/>
      </w:r>
      <w:r>
        <w:rPr>
          <w:b/>
          <w:bCs/>
        </w:rPr>
        <w:t>о сексуальном насилии в отношении женщин и девочек.</w:t>
      </w:r>
    </w:p>
    <w:p w14:paraId="68B88318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 на труд</w:t>
      </w:r>
      <w:r>
        <w:t xml:space="preserve"> </w:t>
      </w:r>
    </w:p>
    <w:p w14:paraId="098A23B6" w14:textId="77777777" w:rsidR="00243007" w:rsidRPr="0057221E" w:rsidRDefault="00243007" w:rsidP="00243007">
      <w:pPr>
        <w:pStyle w:val="SingleTxtG"/>
        <w:rPr>
          <w:bCs/>
        </w:rPr>
      </w:pPr>
      <w:r>
        <w:t>34.</w:t>
      </w:r>
      <w:r>
        <w:tab/>
        <w:t>Несмотря на усилия государства-участника по сокращению безработицы, Комитет отмечает, что эти меры не дали значительного эффекта и что рынок труда характеризуется высоким уровнем безработицы среди молодежи, глубоким неравенством в возможностях трудоустройства и большой численностью занятых в неформальном секторе экономики работников, которые выпадают из сферы действия трудового законодательства и системы социального обеспечения. Комитет также выражает сожаление по поводу того, что не получил информации о мерах, принятых для решения проблемы потери рабочих мест в результате кризиса, связанного с пандемией коронавирусного заболевания (COVID-19), в частности среди групп населения, наиболее пострадавших от безработицы (ст. 6 и 9).</w:t>
      </w:r>
    </w:p>
    <w:p w14:paraId="1388B77D" w14:textId="77777777" w:rsidR="00243007" w:rsidRPr="0057221E" w:rsidRDefault="00243007" w:rsidP="00243007">
      <w:pPr>
        <w:pStyle w:val="SingleTxtG"/>
        <w:rPr>
          <w:b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EF3FCFD" w14:textId="76F61F51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разработать и осуществлять, в консультации с социальными партнерами, национальную политику в области занятости, предусматривающую четкие цели по снижению безработицы и борьбе со всеми формами </w:t>
      </w:r>
      <w:r>
        <w:rPr>
          <w:b/>
          <w:bCs/>
        </w:rPr>
        <w:lastRenderedPageBreak/>
        <w:t>дискриминации и ориентированную, в частности на молодежь, женщин, людей с ограниченными возможностями и все другие группы, подвергающиеся дискриминации;</w:t>
      </w:r>
      <w:r>
        <w:t xml:space="preserve"> </w:t>
      </w:r>
    </w:p>
    <w:p w14:paraId="713D7A28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активизировать усилия в целях повышения качества образования и профессионально-технической подготовки;</w:t>
      </w:r>
      <w:r>
        <w:t xml:space="preserve"> </w:t>
      </w:r>
    </w:p>
    <w:p w14:paraId="5E84414C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принять меры к тому, чтобы работники неформального сектора были защищены трудовым законодательством и имели доступ к социальной защите, а также продолжать усилия по постепенному сокращению числа работников в этом секторе экономики путем их интеграции в формальную экономику;</w:t>
      </w:r>
    </w:p>
    <w:p w14:paraId="12C9E8B0" w14:textId="6BB6BEF0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принять необходимые меры, чтобы преодолеть последствия пандемии COVID-19 на рынке труда и отсутствия дохода в этот период;</w:t>
      </w:r>
      <w:r>
        <w:t xml:space="preserve"> </w:t>
      </w:r>
    </w:p>
    <w:p w14:paraId="66F066E0" w14:textId="4FAF28FA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 xml:space="preserve">руководствоваться его замечанием общего порядка № 18 (2005) </w:t>
      </w:r>
      <w:r w:rsidR="00274182">
        <w:rPr>
          <w:b/>
          <w:bCs/>
        </w:rPr>
        <w:br/>
      </w:r>
      <w:r>
        <w:rPr>
          <w:b/>
          <w:bCs/>
        </w:rPr>
        <w:t>о праве на труд.</w:t>
      </w:r>
    </w:p>
    <w:p w14:paraId="2FA78F65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Минимальная заработная плата</w:t>
      </w:r>
      <w:r>
        <w:t xml:space="preserve"> </w:t>
      </w:r>
    </w:p>
    <w:p w14:paraId="4A34DE5F" w14:textId="57459EBB" w:rsidR="00243007" w:rsidRPr="0057221E" w:rsidRDefault="00243007" w:rsidP="00243007">
      <w:pPr>
        <w:pStyle w:val="SingleTxtG"/>
      </w:pPr>
      <w:r>
        <w:t>36.</w:t>
      </w:r>
      <w:r>
        <w:tab/>
        <w:t xml:space="preserve">Комитет обеспокоен тем, что минимальный размер оплаты труда недостаточен для обеспечения достойных условий жизни работников и их семей, и сожалеет, что не было представлено никакой информации о существующих или планируемых механизмах его пересмотра и </w:t>
      </w:r>
      <w:r w:rsidR="00274182">
        <w:t>перерасчета</w:t>
      </w:r>
      <w:r>
        <w:t xml:space="preserve"> (ст. 7). </w:t>
      </w:r>
    </w:p>
    <w:p w14:paraId="6943C3B1" w14:textId="77777777" w:rsidR="00243007" w:rsidRPr="0057221E" w:rsidRDefault="00243007" w:rsidP="00243007">
      <w:pPr>
        <w:pStyle w:val="SingleTxtG"/>
        <w:rPr>
          <w:b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 совместно с социальными партнерами повысить минимальную заработную плату и осуществлять ее регулярную индексацию в зависимости от изменения стоимости жизни, с тем чтобы постепенно обеспечить достойные условия жизни для всех трудящихся и членов их семей.</w:t>
      </w:r>
      <w:r>
        <w:t xml:space="preserve"> </w:t>
      </w:r>
    </w:p>
    <w:p w14:paraId="67B74DB1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Условия труда на кустарных рудниках</w:t>
      </w:r>
    </w:p>
    <w:p w14:paraId="7E2C6AD2" w14:textId="77777777" w:rsidR="00243007" w:rsidRPr="0057221E" w:rsidRDefault="00243007" w:rsidP="00243007">
      <w:pPr>
        <w:pStyle w:val="SingleTxtG"/>
      </w:pPr>
      <w:r>
        <w:t>38.</w:t>
      </w:r>
      <w:r>
        <w:tab/>
        <w:t xml:space="preserve">Комитет отмечает, что в целях улучшения условий труда в районах добычи полезных ископаемых Горный кодекс предусматривает, что к работе на рудниках допускаются только операторы, являющиеся членами лицензированного горнодобывающего кооператива в районе кустарной добычи. В то же время он обеспокоен тем, что условия труда остаются нестабильными, что многие старатели продолжают работать, не являясь членами кооператива, и что районы кустарной добычи немногочислены. Комитет также выражает обеспокоенность тем, что женщины, в том числе беременные, продолжают работать на кустарных рудниках в крайне опасных условиях, не имея никакой защиты. Комитет также обеспокоен сообщениями об авариях на кустарных рудниках, которые в ряде случаев сопровождались гибелью работников. Он также с озабоченностью отмечает неэффективность деятельности трудовой инспекции из-за нехватки людских, финансовых и материальных ресурсов (ст. 7). </w:t>
      </w:r>
    </w:p>
    <w:p w14:paraId="090AED3C" w14:textId="77777777" w:rsidR="00243007" w:rsidRPr="0057221E" w:rsidRDefault="00243007" w:rsidP="00243007">
      <w:pPr>
        <w:pStyle w:val="SingleTxtG"/>
        <w:keepNext/>
        <w:keepLines/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033BBC7D" w14:textId="77777777" w:rsidR="00243007" w:rsidRPr="0057221E" w:rsidRDefault="00243007" w:rsidP="00243007">
      <w:pPr>
        <w:pStyle w:val="SingleTxtG"/>
        <w:keepNext/>
        <w:keepLines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принять необходимые меры для обеспечения справедливых и благоприятных условий труда лиц, работающих на кустарных рудниках, в том числе путем более активного информирования о положениях Горного кодекса, касающихся горнодобывающих кооперативов и районов кустарной добычи;</w:t>
      </w:r>
      <w:r>
        <w:t xml:space="preserve"> </w:t>
      </w:r>
    </w:p>
    <w:p w14:paraId="25BAC8E6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создать эффективные механизмы для систематического мониторинга условий труда в горнодобывающем секторе и представления информации о злоупотреблениях и эксплуатации в любой форме с особым вниманием к положению женщин, работающих в этом секторе;</w:t>
      </w:r>
      <w:r>
        <w:t xml:space="preserve"> </w:t>
      </w:r>
    </w:p>
    <w:p w14:paraId="09B9EFF5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проводить независимые расследования несчастных случаев на кустарных рудниках и предоставлять жертвам эффективные средства правовой защиты и компенсации;</w:t>
      </w:r>
    </w:p>
    <w:p w14:paraId="3D3750A9" w14:textId="5B2403CB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lastRenderedPageBreak/>
        <w:t>d)</w:t>
      </w:r>
      <w:r>
        <w:tab/>
      </w:r>
      <w:r>
        <w:rPr>
          <w:b/>
          <w:bCs/>
        </w:rPr>
        <w:t>создать механизм трудовой инспекции, располагающий материально-техническими и людскими ресурсами, достаточными для осуществления эффективного мониторинга условий труда во всех секторах</w:t>
      </w:r>
      <w:r w:rsidR="00274182">
        <w:rPr>
          <w:b/>
          <w:bCs/>
        </w:rPr>
        <w:t>.</w:t>
      </w:r>
    </w:p>
    <w:p w14:paraId="0E1E4840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Профсоюзные права</w:t>
      </w:r>
      <w:r>
        <w:t xml:space="preserve"> </w:t>
      </w:r>
    </w:p>
    <w:p w14:paraId="3AC68575" w14:textId="77777777" w:rsidR="00243007" w:rsidRPr="0057221E" w:rsidRDefault="00243007" w:rsidP="00243007">
      <w:pPr>
        <w:pStyle w:val="SingleTxtG"/>
        <w:rPr>
          <w:b/>
        </w:rPr>
      </w:pPr>
      <w:r>
        <w:t>40.</w:t>
      </w:r>
      <w:r>
        <w:tab/>
        <w:t xml:space="preserve">Принимая к сведению информацию, представленную государством-участником в своем докладе, Комитет выражает сожаление по поводу того, что он не получил информации о реализации мер по гарантированию права государственных служащих на создание профсоюзов, а также мер по гарантированию осуществления их профсоюзных прав, включая право на забастовку (ст. 8). </w:t>
      </w:r>
    </w:p>
    <w:p w14:paraId="6CFABAE9" w14:textId="77777777" w:rsidR="00243007" w:rsidRPr="0057221E" w:rsidRDefault="00243007" w:rsidP="00243007">
      <w:pPr>
        <w:pStyle w:val="SingleTxtG"/>
        <w:rPr>
          <w:b/>
        </w:rPr>
      </w:pPr>
      <w:r>
        <w:t>41.</w:t>
      </w:r>
      <w:r>
        <w:tab/>
      </w:r>
      <w:r w:rsidRPr="00D811CE">
        <w:rPr>
          <w:b/>
          <w:bCs/>
        </w:rPr>
        <w:t>Комитет напоминает государству-участнику о своей предыдущей рекомендации, касающейся профсоюзных прав</w:t>
      </w:r>
      <w:r w:rsidRPr="00BE11CE">
        <w:rPr>
          <w:rStyle w:val="a8"/>
        </w:rPr>
        <w:footnoteReference w:id="9"/>
      </w:r>
      <w:r w:rsidRPr="00D811CE">
        <w:rPr>
          <w:b/>
          <w:bCs/>
        </w:rPr>
        <w:t>, и рекомендует ему продолжать усилия по обеспечению того, чтобы работники гражданской службы и децентрализованных орган управлениях могли свободно создавать профсоюзы и вступать в них и осуществлять свои профсоюзные права, включая право на забастовку, как это гарантировано в статье 8 Пакта.</w:t>
      </w:r>
      <w:r>
        <w:t xml:space="preserve"> </w:t>
      </w:r>
    </w:p>
    <w:p w14:paraId="69E15B94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</w:t>
      </w:r>
      <w:r>
        <w:t xml:space="preserve"> </w:t>
      </w:r>
    </w:p>
    <w:p w14:paraId="05831C01" w14:textId="77777777" w:rsidR="00243007" w:rsidRPr="0057221E" w:rsidRDefault="00243007" w:rsidP="00243007">
      <w:pPr>
        <w:pStyle w:val="SingleTxtG"/>
        <w:rPr>
          <w:b/>
        </w:rPr>
      </w:pPr>
      <w:r>
        <w:t>42.</w:t>
      </w:r>
      <w:r>
        <w:tab/>
        <w:t xml:space="preserve">Комитет обеспокоен тем, что охват системы социального обеспечения государства-участника в значительной степени определяются формальной занятостью и что большое число лиц по-прежнему исключено из системы социального обеспечения, включая работников неформального сектора экономики (ст. 9). </w:t>
      </w:r>
    </w:p>
    <w:p w14:paraId="11D600AC" w14:textId="6ADA7898" w:rsidR="00243007" w:rsidRPr="0057221E" w:rsidRDefault="00243007" w:rsidP="00243007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 xml:space="preserve">Комитет рекомендует государству-участнику активизировать свои усилия по созданию системы социального обеспечения, гарантирующей всеобщий охват социальным обеспечением и предоставляющей надлежащие льготы всем, </w:t>
      </w:r>
      <w:r w:rsidR="004958AC">
        <w:rPr>
          <w:b/>
          <w:bCs/>
        </w:rPr>
        <w:br/>
      </w:r>
      <w:r>
        <w:rPr>
          <w:b/>
          <w:bCs/>
        </w:rPr>
        <w:t>в частности наиболее обездоленным и маргинализованным группам, с тем чтобы обеспечить для них достойные условия жизни.</w:t>
      </w:r>
      <w:r>
        <w:t xml:space="preserve"> </w:t>
      </w:r>
      <w:r>
        <w:rPr>
          <w:b/>
          <w:bCs/>
        </w:rPr>
        <w:t xml:space="preserve">Он настоятельно призывает государство-участник ускорить процесс установления минимального уровня социальной защиты, включающего основные универсальные социальные гарантии, и в этом отношении просит </w:t>
      </w:r>
      <w:r w:rsidRPr="00D811CE">
        <w:rPr>
          <w:b/>
          <w:bCs/>
        </w:rPr>
        <w:t>государств</w:t>
      </w:r>
      <w:r>
        <w:rPr>
          <w:b/>
          <w:bCs/>
        </w:rPr>
        <w:t>о</w:t>
      </w:r>
      <w:r w:rsidRPr="00D811CE">
        <w:rPr>
          <w:b/>
          <w:bCs/>
        </w:rPr>
        <w:t>-участник</w:t>
      </w:r>
      <w:r>
        <w:rPr>
          <w:b/>
          <w:bCs/>
        </w:rPr>
        <w:t xml:space="preserve"> обратить внимание</w:t>
      </w:r>
      <w:r w:rsidRPr="00D811CE">
        <w:rPr>
          <w:b/>
          <w:bCs/>
        </w:rPr>
        <w:t xml:space="preserve"> </w:t>
      </w:r>
      <w:r>
        <w:rPr>
          <w:b/>
          <w:bCs/>
        </w:rPr>
        <w:t>на свое замечание общего порядка № 19 (2007) о праве на социальное обеспечение, а также на свое заявление под названием «Минимальные уровни социальной защиты: важнейшая составляющая права на социальное обеспечение и целей устойчивого развития», принятое в 2015 году</w:t>
      </w:r>
      <w:r w:rsidRPr="000D12A8">
        <w:rPr>
          <w:rStyle w:val="a8"/>
        </w:rPr>
        <w:footnoteReference w:id="10"/>
      </w:r>
      <w:r>
        <w:rPr>
          <w:b/>
          <w:bCs/>
        </w:rPr>
        <w:t>.</w:t>
      </w:r>
    </w:p>
    <w:p w14:paraId="59E483B3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Защита детей</w:t>
      </w:r>
    </w:p>
    <w:p w14:paraId="2E9D533A" w14:textId="4B11FB95" w:rsidR="00243007" w:rsidRPr="0057221E" w:rsidRDefault="00243007" w:rsidP="00243007">
      <w:pPr>
        <w:pStyle w:val="SingleTxtG"/>
      </w:pPr>
      <w:r>
        <w:t>44.</w:t>
      </w:r>
      <w:r>
        <w:tab/>
        <w:t>Несмотря на принятие государством-участником Национальной секторальной стратегии по борьбе с детским трудом на кустарных рудниках и в местах кустарной добычи полезных ископаемых на период 2017</w:t>
      </w:r>
      <w:r w:rsidR="00274182">
        <w:t>−</w:t>
      </w:r>
      <w:r>
        <w:t xml:space="preserve">2025 годов, Комитет обеспокоен большим количеством детей, которые продолжают работать в горнодобывающей отрасли. Хотя Комитет принимает во внимание тот факт, что большое число детей было демобилизовано из вооруженных формирований или групп, он с озабоченностью отмечает, что в контексте продолжающихся в стране вооруженных конфликтов большое число детей находится в ситуации крайней уязвимости и безнадзорности и, таким образом, подвергается риску вербовки вооруженными группами. Комитет выражает сожаление в отношении того, что не получил конкретной информации о мерах, принятых для обеспечения их защиты, оказания реальной помощи и социальной реинтеграции (ст. 10). </w:t>
      </w:r>
    </w:p>
    <w:p w14:paraId="648EB2CE" w14:textId="77777777" w:rsidR="00243007" w:rsidRPr="0057221E" w:rsidRDefault="00243007" w:rsidP="00243007">
      <w:pPr>
        <w:pStyle w:val="SingleTxtG"/>
        <w:rPr>
          <w:b/>
          <w:spacing w:val="-1"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516E87C4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создать систему комплексной защиты детей, особенно тех, кто находится в уязвимом положении;</w:t>
      </w:r>
      <w:r>
        <w:t xml:space="preserve"> </w:t>
      </w:r>
    </w:p>
    <w:p w14:paraId="185B3882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lastRenderedPageBreak/>
        <w:t>b)</w:t>
      </w:r>
      <w:r>
        <w:tab/>
      </w:r>
      <w:r>
        <w:rPr>
          <w:b/>
          <w:bCs/>
        </w:rPr>
        <w:t>укрепить эффективную реализацию Национальной отраслевой стратегии по борьбе с детским трудом на кустарных рудниках и в местах кустарной добычи полезных ископаемых путем обеспечения строгого соблюдения законов о детском труде, укрепления механизмов трудовой инспекции и оказания поддержки малоимущим семьям, чтобы дети могли продолжать образование;</w:t>
      </w:r>
    </w:p>
    <w:p w14:paraId="7E937F95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активизировать усилия по эффективному предотвращению использования детей негосударственными вооруженными группами и принять соответствующие меры для обеспечения того, чтобы все демобилизованные дети имели статус жертв и пользовались доступом к образованию, здравоохранению, социальному обеспечению и психосоциальной помощи;</w:t>
      </w:r>
    </w:p>
    <w:p w14:paraId="7B926558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обеспечить проведение тщательного расследование по фактам вербовки детей незаконными вооруженными группировками, а также привлечение к суду и наказание виновных;</w:t>
      </w:r>
    </w:p>
    <w:p w14:paraId="3A46E8AA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обеспечить расследование всех случаев эксплуатации, включая экономическую эксплуатацию, и надлежащее наказание виновных.</w:t>
      </w:r>
    </w:p>
    <w:p w14:paraId="4D5899CC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Бедность и неравенство</w:t>
      </w:r>
    </w:p>
    <w:p w14:paraId="5B11115B" w14:textId="01B73929" w:rsidR="00243007" w:rsidRPr="001D38D8" w:rsidRDefault="00243007" w:rsidP="00243007">
      <w:pPr>
        <w:pStyle w:val="SingleTxtG"/>
      </w:pPr>
      <w:r>
        <w:t>46.</w:t>
      </w:r>
      <w:r>
        <w:tab/>
        <w:t>Комитет с озабоченностью отмечает по-прежнему очень высокий уровень бедности в стране, при этом к категории бедных относится около 82</w:t>
      </w:r>
      <w:r w:rsidR="0088500A">
        <w:t> %</w:t>
      </w:r>
      <w:r>
        <w:t xml:space="preserve"> населения, </w:t>
      </w:r>
      <w:r w:rsidR="0088500A">
        <w:br/>
      </w:r>
      <w:r>
        <w:t xml:space="preserve">в том числе непропорционально большое число женщин и детей, а также представителей коренных народов. Комитет также обеспокоен высоким уровнем неравенства в государстве-участнике (ст. 11). </w:t>
      </w:r>
    </w:p>
    <w:p w14:paraId="38D3BFA1" w14:textId="482D3E92" w:rsidR="00243007" w:rsidRPr="0057221E" w:rsidRDefault="00243007" w:rsidP="00243007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 xml:space="preserve">Комитет рекомендует государству-участнику активизировать свои усилия по борьбе с социальным неравенством и бедностью, в частности с крайней бедностью, в том числе путем внедрения инклюзивных моделей развития, </w:t>
      </w:r>
      <w:r w:rsidR="00274182">
        <w:rPr>
          <w:b/>
          <w:bCs/>
        </w:rPr>
        <w:br/>
      </w:r>
      <w:r>
        <w:rPr>
          <w:b/>
          <w:bCs/>
        </w:rPr>
        <w:t>в которых приоритет отдается беднейшим слоям населения, а также посредством всеобъемлющей оценки программ и стратегий, осуществляемых с этой целью, для выявления препятствий и внесения необходимых изменений в интересах осуществления комплексной стратегии сокращения масштабов бедности.</w:t>
      </w:r>
      <w:r>
        <w:t xml:space="preserve"> </w:t>
      </w:r>
      <w:r>
        <w:rPr>
          <w:b/>
          <w:bCs/>
        </w:rPr>
        <w:t>Комитет рекомендует государству-участнику обеспечить, чтобы эта стратегия имела четкие и измеримые цели и была обеспечена ресурсами, предусматривала эффективные механизмы координации между различными субъектами, осуществлялась в соответствии со стандартами и принципами прав человека и должным образом учитывала существующие региональные различия и реальные потребности населения, в частности находящиеся в наиболее неблагоприятном и маргинальном положении группы.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 проблеме нищеты и осуществлении Пакта, которое он принял в 2001 году</w:t>
      </w:r>
      <w:r w:rsidRPr="000D12A8">
        <w:rPr>
          <w:rStyle w:val="a8"/>
        </w:rPr>
        <w:footnoteReference w:id="11"/>
      </w:r>
      <w:r>
        <w:rPr>
          <w:b/>
          <w:bCs/>
        </w:rPr>
        <w:t>.</w:t>
      </w:r>
    </w:p>
    <w:p w14:paraId="2E6B48B9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 на питание</w:t>
      </w:r>
    </w:p>
    <w:p w14:paraId="64D1B4C0" w14:textId="0D8C8CA2" w:rsidR="00243007" w:rsidRPr="0057221E" w:rsidRDefault="00243007" w:rsidP="00243007">
      <w:pPr>
        <w:pStyle w:val="SingleTxtG"/>
      </w:pPr>
      <w:r>
        <w:t>48.</w:t>
      </w:r>
      <w:r>
        <w:tab/>
        <w:t>Комитет с озабоченностью отмечает большое количество людей (около 27,7</w:t>
      </w:r>
      <w:r w:rsidR="00274182">
        <w:t> </w:t>
      </w:r>
      <w:r>
        <w:t xml:space="preserve">млн), по-прежнему испытывающих острую нехватку продовольствия, и очень высокую численность детей, </w:t>
      </w:r>
      <w:r w:rsidR="00274182">
        <w:t>страдающих</w:t>
      </w:r>
      <w:r>
        <w:t xml:space="preserve"> от хронического недоедания (3,6 млн). Он</w:t>
      </w:r>
      <w:r w:rsidR="00274182">
        <w:t> </w:t>
      </w:r>
      <w:r>
        <w:t xml:space="preserve">также обеспокоен воздействием продовольственного кризиса на такие наиболее обездоленные и маргинализированные группы населения, как внутренне перемещенные лица и коренные народы (ст. 11). </w:t>
      </w:r>
    </w:p>
    <w:p w14:paraId="5C1017E5" w14:textId="77777777" w:rsidR="00243007" w:rsidRPr="0057221E" w:rsidRDefault="00243007" w:rsidP="00243007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7071867A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незамедлительно принять меры по решению проблемы хронического недоедания, в том числе путем принятия планов чрезвычайных действий с конкретными целями по снижению показателей хронического недоедания в государстве-участнике;</w:t>
      </w:r>
      <w:r>
        <w:t xml:space="preserve"> </w:t>
      </w:r>
    </w:p>
    <w:p w14:paraId="4E40F1CD" w14:textId="0F12A8A4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lastRenderedPageBreak/>
        <w:t>b)</w:t>
      </w:r>
      <w:r>
        <w:tab/>
      </w:r>
      <w:r>
        <w:rPr>
          <w:b/>
          <w:bCs/>
        </w:rPr>
        <w:t>принять законодательные и институциональные рамки и комплексную стратегию для обеспечения права на достаточное питание и борьбы с голодом и хроническим недоеданием, и в этой связи обратиться за технической поддержкой к Продовольственной и сельскохозяйственной организации Объединенных Наций;</w:t>
      </w:r>
      <w:r>
        <w:t xml:space="preserve"> </w:t>
      </w:r>
    </w:p>
    <w:p w14:paraId="2C892C80" w14:textId="77777777" w:rsidR="00243007" w:rsidRPr="0057221E" w:rsidRDefault="00243007" w:rsidP="00243007">
      <w:pPr>
        <w:pStyle w:val="SingleTxtG"/>
        <w:ind w:firstLine="567"/>
        <w:rPr>
          <w:b/>
          <w:bCs/>
          <w:color w:val="000000"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активизировать свои усилия по повышению производительности хозяйств мелких фермеров путем расширения их доступа к соответствующим технологиям и местным рынкам в целях повышения доходов, особенно в сельских районах;</w:t>
      </w:r>
      <w:r>
        <w:t xml:space="preserve"> </w:t>
      </w:r>
    </w:p>
    <w:p w14:paraId="257CFAFA" w14:textId="3C95513E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 xml:space="preserve">обратить внимание на свое замечание общего порядка № 12 (1999) </w:t>
      </w:r>
      <w:r w:rsidR="00274182">
        <w:rPr>
          <w:b/>
          <w:bCs/>
        </w:rPr>
        <w:br/>
      </w:r>
      <w:r>
        <w:rPr>
          <w:b/>
          <w:bCs/>
        </w:rPr>
        <w:t xml:space="preserve">о праве на достаточное питание и на Добровольные руководящие принципы в поддержку постепенного осуществления права на достаточное питание </w:t>
      </w:r>
      <w:r w:rsidR="00274182">
        <w:rPr>
          <w:b/>
          <w:bCs/>
        </w:rPr>
        <w:br/>
      </w:r>
      <w:r>
        <w:rPr>
          <w:b/>
          <w:bCs/>
        </w:rPr>
        <w:t xml:space="preserve">в контексте национальной продовольственной безопасности, принятые </w:t>
      </w:r>
      <w:r w:rsidR="00274182">
        <w:rPr>
          <w:b/>
          <w:bCs/>
        </w:rPr>
        <w:br/>
      </w:r>
      <w:r>
        <w:rPr>
          <w:b/>
          <w:bCs/>
        </w:rPr>
        <w:t>в 2004 году Советом Продовольственной и сельскохозяйственной организации Объединенных Наций.</w:t>
      </w:r>
    </w:p>
    <w:p w14:paraId="46B4FF71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 на жилище</w:t>
      </w:r>
      <w:r>
        <w:t xml:space="preserve"> </w:t>
      </w:r>
    </w:p>
    <w:p w14:paraId="28B87BDA" w14:textId="754200AE" w:rsidR="00243007" w:rsidRPr="0057221E" w:rsidRDefault="00243007" w:rsidP="00243007">
      <w:pPr>
        <w:pStyle w:val="SingleTxtG"/>
        <w:rPr>
          <w:color w:val="000000"/>
        </w:rPr>
      </w:pPr>
      <w:r>
        <w:t>50.</w:t>
      </w:r>
      <w:r>
        <w:tab/>
        <w:t xml:space="preserve">Комитет с озабоченностью отмечает, что значительная часть населения проживает в небезопасных жилищах, в </w:t>
      </w:r>
      <w:r w:rsidR="00274182">
        <w:t>неудовлетворительных</w:t>
      </w:r>
      <w:r>
        <w:t xml:space="preserve"> условиях, без электричества, доступа к питьевой воде и санитарии (ст. 11).</w:t>
      </w:r>
    </w:p>
    <w:p w14:paraId="48741FF4" w14:textId="77777777" w:rsidR="00243007" w:rsidRPr="0057221E" w:rsidRDefault="00243007" w:rsidP="00243007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принять комплексную жилищную стратегию, в целях улучшения положения в области обеспечения доступным жильем, в частности находящихся в неблагоприятном положении и маргинализированных групп лиц и семей.</w:t>
      </w:r>
      <w:r>
        <w:t xml:space="preserve"> </w:t>
      </w:r>
      <w:r>
        <w:rPr>
          <w:b/>
          <w:bCs/>
        </w:rPr>
        <w:t>Он также рекомендует правительству обеспечить, чтобы каждый человек имел доступ к безопасным и доступным по цене электроэнергии, питьевой воде и услугам санитарии.</w:t>
      </w:r>
      <w:r>
        <w:t xml:space="preserve"> </w:t>
      </w:r>
      <w:r>
        <w:rPr>
          <w:b/>
          <w:bCs/>
        </w:rPr>
        <w:t>Комитет напоминает государству-участнику о своих замечаниях общего порядка № 4 (1991) о праве на достаточное жилище и № 15 (2002) о праве на воду, а также о своем заявлении о праве на санитарию, принятом в 2010 году</w:t>
      </w:r>
      <w:r w:rsidRPr="000D12A8">
        <w:rPr>
          <w:rStyle w:val="a8"/>
        </w:rPr>
        <w:footnoteReference w:id="12"/>
      </w:r>
      <w:r>
        <w:rPr>
          <w:b/>
          <w:bCs/>
        </w:rPr>
        <w:t>.</w:t>
      </w:r>
    </w:p>
    <w:p w14:paraId="29FAB19A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Принудительные выселения и земельная реформа</w:t>
      </w:r>
      <w:r>
        <w:t xml:space="preserve"> </w:t>
      </w:r>
    </w:p>
    <w:p w14:paraId="117C323F" w14:textId="0A32A626" w:rsidR="00243007" w:rsidRPr="0057221E" w:rsidRDefault="00243007" w:rsidP="00243007">
      <w:pPr>
        <w:pStyle w:val="SingleTxtG"/>
      </w:pPr>
      <w:r>
        <w:t>52.</w:t>
      </w:r>
      <w:r>
        <w:tab/>
        <w:t xml:space="preserve">Комитет обеспокоен принудительными выселениями и перемещениями общин в контексте горнодобывающей деятельности без проведения консультаций, выплаты справедливой компенсации и организации расселения. Комитет отмечает программу земельной реформы, принятую в 2018 году для решения конфликтов, связанных с землей; вместе с тем он сожалеет, что до сих пор не принят закон о внесении изменений в Закон № 73-021 от 20 июля 1973 года, регламентирующий общий режим распоряжения собственностью, вопросы землевладения и недвижимости и режим безопасности (ст. 11). </w:t>
      </w:r>
    </w:p>
    <w:p w14:paraId="64A0516F" w14:textId="7E825CC0" w:rsidR="00243007" w:rsidRPr="00EC77D0" w:rsidRDefault="00243007" w:rsidP="00243007">
      <w:pPr>
        <w:pStyle w:val="SingleTxtG"/>
        <w:rPr>
          <w:b/>
          <w:bCs/>
          <w:color w:val="000000"/>
        </w:rPr>
      </w:pPr>
      <w:r>
        <w:t>53.</w:t>
      </w:r>
      <w:r>
        <w:tab/>
      </w:r>
      <w:r>
        <w:rPr>
          <w:b/>
          <w:bCs/>
        </w:rPr>
        <w:t xml:space="preserve">Комитет рекомендует государству-участнику обеспечить эффективное выполнение положений Горного кодекса с внесенными в него изменениями и приложения XVIII к Правилам проведения горных работ, касающихся принудительных выселений, в соответствии с международными стандартами в области прав человека, а также обеспечить лицам, подвергшихся принудительным выселениям, доступ к эффективным средствам правовой защиты для возвращения своего имущества, возвращения в свои дома или </w:t>
      </w:r>
      <w:r w:rsidR="00274182">
        <w:rPr>
          <w:b/>
          <w:bCs/>
        </w:rPr>
        <w:br/>
      </w:r>
      <w:r>
        <w:rPr>
          <w:b/>
          <w:bCs/>
        </w:rPr>
        <w:t>на свои земли и получения достаточной компенсации.</w:t>
      </w:r>
      <w:r>
        <w:t xml:space="preserve"> </w:t>
      </w:r>
      <w:r>
        <w:rPr>
          <w:b/>
          <w:bCs/>
        </w:rPr>
        <w:t xml:space="preserve">В этой связи Комитет обращает внимание государства-участника на свое замечание общего </w:t>
      </w:r>
      <w:r w:rsidR="00274182">
        <w:rPr>
          <w:b/>
          <w:bCs/>
        </w:rPr>
        <w:br/>
      </w:r>
      <w:r>
        <w:rPr>
          <w:b/>
          <w:bCs/>
        </w:rPr>
        <w:t xml:space="preserve">порядка № 7 (1997), в котором, в частности содержатся руководящие принципы в отношении эффективных средств правовой защиты, надлежащей компенсации и консультаций, а также на руководящие указания, касающиеся выселений и перемещений по соображениям развития, разработанные Специальным докладчиком по вопросу о достаточном жилище как компоненте права на </w:t>
      </w:r>
      <w:r>
        <w:rPr>
          <w:b/>
          <w:bCs/>
        </w:rPr>
        <w:lastRenderedPageBreak/>
        <w:t>достаточный жизненный уровень</w:t>
      </w:r>
      <w:r w:rsidRPr="000D12A8">
        <w:rPr>
          <w:rStyle w:val="a8"/>
        </w:rPr>
        <w:footnoteReference w:id="13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Комитет просит государство-участник продолжать принятие мер по урегулированию земельных конфликтов и рассмотреть возможность ускоренного обсуждения и принятия поправок к Закону № 73-021.</w:t>
      </w:r>
      <w:r>
        <w:t xml:space="preserve"> </w:t>
      </w:r>
    </w:p>
    <w:p w14:paraId="7560F227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 на здоровье</w:t>
      </w:r>
      <w:r>
        <w:t xml:space="preserve"> </w:t>
      </w:r>
    </w:p>
    <w:p w14:paraId="2336B26A" w14:textId="6317942C" w:rsidR="00243007" w:rsidRPr="0057221E" w:rsidRDefault="00243007" w:rsidP="00243007">
      <w:pPr>
        <w:pStyle w:val="SingleTxtG"/>
      </w:pPr>
      <w:r>
        <w:t>54.</w:t>
      </w:r>
      <w:r>
        <w:tab/>
        <w:t xml:space="preserve">Комитет принимает к сведению Национальный стратегический план </w:t>
      </w:r>
      <w:r w:rsidR="004958AC">
        <w:br/>
      </w:r>
      <w:r>
        <w:t xml:space="preserve">по достижению всеобщего охвата услугами здравоохранения, который направлен </w:t>
      </w:r>
      <w:r w:rsidR="004958AC">
        <w:br/>
      </w:r>
      <w:r>
        <w:t xml:space="preserve">на расширение охвата услугами здравоохранения и повышение качества медицинского обслуживания. Вместе с тем он обеспокоен нехваткой финансовых и человеческих ресурсов, недостатками и неудовлетворительным функционированием инфраструктуры, нехваткой лекарств, а также низким качеством и недостаточной доступностью медицинских услуг. Комитет также отмечает отсутствие эффективных программ по профилактике ВИЧ и других инфекций, передающихся половым путем. Он также отмечает, что эпидемия болезни, вызванной вирусом Эбола, и пандемия коронавирусного заболевания COVID-19 оказали серьезное воздействие на систему здравоохранения государства-участника (ст. 12). </w:t>
      </w:r>
    </w:p>
    <w:p w14:paraId="046743E2" w14:textId="77777777" w:rsidR="00243007" w:rsidRPr="004C4AC7" w:rsidRDefault="00243007" w:rsidP="00243007">
      <w:pPr>
        <w:pStyle w:val="SingleTxtG"/>
        <w:rPr>
          <w:b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обеспечить эффективную реализацию Национального стратегического плана по достижению всеобщего охвата услугами здравоохранения, включая выделение достаточных ресурсов на сектор здравоохранения.</w:t>
      </w:r>
      <w:r>
        <w:t xml:space="preserve"> </w:t>
      </w:r>
      <w:r>
        <w:rPr>
          <w:b/>
          <w:bCs/>
        </w:rPr>
        <w:t>Он также рекомендует продолжать усилия по обеспечению доступности, наличия и качества медицинских услуг, принимая во внимание проблемы, возникшие в связи со вспышкой Эболы и кризисом здравоохранения, связанным с пандемией COVID-19.</w:t>
      </w:r>
      <w:r>
        <w:t xml:space="preserve"> </w:t>
      </w:r>
      <w:r>
        <w:rPr>
          <w:b/>
          <w:bCs/>
        </w:rPr>
        <w:t>Наряду с этим Комитет рекомендует государству-участнику улучшить инфраструктуру системы первичной медико-санитарной помощи и обеспечить наличие в больницах необходимого медицинского персонала, оборудования и лекарств для оказания неотложной помощи.</w:t>
      </w:r>
      <w:r>
        <w:t xml:space="preserve"> </w:t>
      </w:r>
      <w:r>
        <w:rPr>
          <w:b/>
          <w:bCs/>
        </w:rPr>
        <w:t>В этой связи Комитет напоминает государству-участнику о своем заявлении о пандемии коронавирусной инфекции (COVID-19) и экономических, социальных и культурных правах, принятом в 2020 году</w:t>
      </w:r>
      <w:r w:rsidRPr="000D12A8">
        <w:rPr>
          <w:rStyle w:val="a8"/>
        </w:rPr>
        <w:footnoteReference w:id="14"/>
      </w:r>
      <w:r>
        <w:rPr>
          <w:b/>
          <w:bCs/>
        </w:rPr>
        <w:t>.</w:t>
      </w:r>
    </w:p>
    <w:p w14:paraId="08A3F17F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 на сексуальное и репродуктивное здоровье</w:t>
      </w:r>
      <w:r>
        <w:t xml:space="preserve"> </w:t>
      </w:r>
    </w:p>
    <w:p w14:paraId="1474580D" w14:textId="77777777" w:rsidR="00243007" w:rsidRPr="0057221E" w:rsidRDefault="00243007" w:rsidP="00243007">
      <w:pPr>
        <w:pStyle w:val="SingleTxtG"/>
      </w:pPr>
      <w:r>
        <w:t>56.</w:t>
      </w:r>
      <w:r>
        <w:tab/>
        <w:t xml:space="preserve">Комитет отмечает ратификацию государством Протокола к Африканской хартии прав человека и народов, касающегося прав женщин в Африке (Мапутский протокол). Вместе с тем он с озабоченностью отмечает, что аборты по-прежнему являются уголовным преступлением, особенно в контексте очень высокого числа случаев сексуального насилия и ранней беременности. Комитет выражает сожаление по поводу отсутствия информации о программах просвещения по вопросам сексуального и репродуктивного здоровья (ст. 12). </w:t>
      </w:r>
    </w:p>
    <w:p w14:paraId="4E62A611" w14:textId="77777777" w:rsidR="00243007" w:rsidRPr="0057221E" w:rsidRDefault="00243007" w:rsidP="00243007">
      <w:pPr>
        <w:pStyle w:val="SingleTxtG"/>
        <w:rPr>
          <w:b/>
        </w:rPr>
      </w:pPr>
      <w:r>
        <w:t>57.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989AE9F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отменить положения Уголовного кодекса, запрещающие аборт, с тем чтобы привести свое законодательство в соответствие с правами женщин, включая право на жизнь, физическое и психическое здоровье, и определить обстоятельства, при которых прерывание беременности является законным, одновременно устранив требования, ограничивающие доступ к нему;</w:t>
      </w:r>
    </w:p>
    <w:p w14:paraId="71FCD86F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обеспечить, чтобы женщины, прибегающие к абортам, не привлекались к уголовной ответственности, и обеспечить распространение и доступность качественной информации и услуг в области сексуального и репродуктивного здоровья для всех женщин и девочек-подростков, особенно в отдаленных сельских районах;</w:t>
      </w:r>
      <w:r>
        <w:t xml:space="preserve"> </w:t>
      </w:r>
    </w:p>
    <w:p w14:paraId="0C080FE4" w14:textId="3A8A5845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 xml:space="preserve">провести оценку мер по профилактике нежелательной беременности и подростковой беременности и активизировать усилия по обеспечению </w:t>
      </w:r>
      <w:r>
        <w:rPr>
          <w:b/>
          <w:bCs/>
        </w:rPr>
        <w:lastRenderedPageBreak/>
        <w:t>доступности и наличия услуг по охране сексуального и репродуктивного здоровья, включая доступ к недорогим, безопасным и эффективным контрацептивам и средствам экстренной контрацепции для всех женщин и девочек-подростков, особенно в сельских районах;</w:t>
      </w:r>
    </w:p>
    <w:p w14:paraId="2C565128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расширить доступ к информации о сексуальном и репродуктивном здоровье на основе гендерного равенства и разработать учитывающие возрастные особенности и научно обоснованные программы просвещения по вопросам сексуального и репродуктивного здоровья для девочек и мальчиков;</w:t>
      </w:r>
    </w:p>
    <w:p w14:paraId="06742F45" w14:textId="524258AA" w:rsidR="00243007" w:rsidRPr="00E05806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обратить внимание на свое замечание общего порядка № 22 (2016)</w:t>
      </w:r>
      <w:r w:rsidR="004958AC">
        <w:rPr>
          <w:b/>
          <w:bCs/>
        </w:rPr>
        <w:br/>
      </w:r>
      <w:r>
        <w:rPr>
          <w:b/>
          <w:bCs/>
        </w:rPr>
        <w:t>о праве на сексуальное и репродуктивное здоровье.</w:t>
      </w:r>
    </w:p>
    <w:p w14:paraId="32462556" w14:textId="77777777" w:rsidR="00243007" w:rsidRPr="00E05806" w:rsidRDefault="00243007" w:rsidP="00243007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  <w:r>
        <w:t xml:space="preserve"> </w:t>
      </w:r>
    </w:p>
    <w:p w14:paraId="481321B8" w14:textId="77777777" w:rsidR="00243007" w:rsidRPr="0057221E" w:rsidRDefault="00243007" w:rsidP="00243007">
      <w:pPr>
        <w:pStyle w:val="SingleTxtG"/>
      </w:pPr>
      <w:r>
        <w:t>58.</w:t>
      </w:r>
      <w:r>
        <w:tab/>
        <w:t>Комитет принимает к сведению усилия государства-участника по обеспечению бесплатного образования. Вместе с тем он по-прежнему обеспокоен:</w:t>
      </w:r>
    </w:p>
    <w:p w14:paraId="210162A4" w14:textId="617C7DBC" w:rsidR="00243007" w:rsidRPr="0057221E" w:rsidRDefault="00243007" w:rsidP="00243007">
      <w:pPr>
        <w:pStyle w:val="SingleTxtG"/>
        <w:ind w:firstLine="567"/>
      </w:pPr>
      <w:r>
        <w:t>a)</w:t>
      </w:r>
      <w:r>
        <w:tab/>
        <w:t xml:space="preserve">информацией о все </w:t>
      </w:r>
      <w:r w:rsidR="004958AC">
        <w:t>еще</w:t>
      </w:r>
      <w:r>
        <w:t xml:space="preserve"> существующих таких косвенных расходах на школьное образование, как сборы на поддержку учителей, которые ограничивают доступ к начальному образованию;</w:t>
      </w:r>
    </w:p>
    <w:p w14:paraId="4D31FC67" w14:textId="77777777" w:rsidR="00243007" w:rsidRPr="0057221E" w:rsidRDefault="00243007" w:rsidP="00243007">
      <w:pPr>
        <w:pStyle w:val="SingleTxtG"/>
        <w:ind w:firstLine="567"/>
      </w:pPr>
      <w:r>
        <w:t>b)</w:t>
      </w:r>
      <w:r>
        <w:tab/>
        <w:t xml:space="preserve">сохранением неравенства в доступе к образованию, от которого особенно страдают внутренне перемещенные дети и дети батва; </w:t>
      </w:r>
    </w:p>
    <w:p w14:paraId="11ACD88F" w14:textId="77777777" w:rsidR="00243007" w:rsidRPr="0057221E" w:rsidRDefault="00243007" w:rsidP="00243007">
      <w:pPr>
        <w:pStyle w:val="SingleTxtG"/>
        <w:ind w:firstLine="567"/>
      </w:pPr>
      <w:r>
        <w:t>c)</w:t>
      </w:r>
      <w:r>
        <w:tab/>
        <w:t>низким качеством образования, которое отчасти объясняется отсутствием достаточных ресурсов, плохой инфраструктурой и недостаточным количеством преподавателей;</w:t>
      </w:r>
    </w:p>
    <w:p w14:paraId="2EFC90F6" w14:textId="77777777" w:rsidR="00243007" w:rsidRPr="0057221E" w:rsidRDefault="00243007" w:rsidP="00243007">
      <w:pPr>
        <w:pStyle w:val="SingleTxtG"/>
        <w:ind w:firstLine="567"/>
      </w:pPr>
      <w:r>
        <w:t>d)</w:t>
      </w:r>
      <w:r>
        <w:tab/>
        <w:t>растущим неравенством в доступе к образованию, усугубляемым кризисом в области здравоохранения, связанным с пандемией COVID-19;</w:t>
      </w:r>
    </w:p>
    <w:p w14:paraId="2A51EAE3" w14:textId="77777777" w:rsidR="00243007" w:rsidRPr="0057221E" w:rsidRDefault="00243007" w:rsidP="00243007">
      <w:pPr>
        <w:pStyle w:val="SingleTxtG"/>
        <w:ind w:firstLine="567"/>
      </w:pPr>
      <w:r>
        <w:t>e)</w:t>
      </w:r>
      <w:r>
        <w:tab/>
        <w:t>нападениями на школы, а также на учащихся и учителей, особенно женщин и девочек, в некоторых провинциях страны;</w:t>
      </w:r>
    </w:p>
    <w:p w14:paraId="23ACBED0" w14:textId="7FF08490" w:rsidR="00243007" w:rsidRPr="0057221E" w:rsidRDefault="00243007" w:rsidP="00243007">
      <w:pPr>
        <w:pStyle w:val="SingleTxtG"/>
        <w:ind w:firstLine="567"/>
      </w:pPr>
      <w:r>
        <w:t>f)</w:t>
      </w:r>
      <w:r>
        <w:tab/>
        <w:t xml:space="preserve">влиянием ранних браков на доступ девочек к образованию; </w:t>
      </w:r>
    </w:p>
    <w:p w14:paraId="3520FBD1" w14:textId="77777777" w:rsidR="00243007" w:rsidRPr="0057221E" w:rsidRDefault="00243007" w:rsidP="00243007">
      <w:pPr>
        <w:pStyle w:val="SingleTxtG"/>
        <w:ind w:firstLine="567"/>
      </w:pPr>
      <w:r>
        <w:t>g)</w:t>
      </w:r>
      <w:r>
        <w:tab/>
        <w:t>затрудненным и неравным доступом к дошкольному образованию (ст. 13 и 14).</w:t>
      </w:r>
    </w:p>
    <w:p w14:paraId="4D695AFD" w14:textId="77777777" w:rsidR="00243007" w:rsidRPr="0057221E" w:rsidRDefault="00243007" w:rsidP="00243007">
      <w:pPr>
        <w:pStyle w:val="SingleTxtG"/>
        <w:rPr>
          <w:b/>
        </w:rPr>
      </w:pPr>
      <w:r>
        <w:t>59.</w:t>
      </w:r>
      <w:r>
        <w:tab/>
      </w:r>
      <w:r>
        <w:rPr>
          <w:b/>
          <w:bCs/>
        </w:rPr>
        <w:t>Комитет рекомендует государству-участнику взять на себя главную ответственность за обеспечение качественного образования для всех детей и с этой целью:</w:t>
      </w:r>
    </w:p>
    <w:p w14:paraId="5DD4827C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эффективное применение принципа бесплатного начального образования и укрепить правила и механизмы контроля и надзора за учебными заведениями;</w:t>
      </w:r>
      <w:r>
        <w:t xml:space="preserve"> </w:t>
      </w:r>
    </w:p>
    <w:p w14:paraId="3C9EC270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принять необходимые меры для обеспечения доступа к образованию для всех детей, включая внутренне перемещенных детей, детей батва и детей, проживающих в сельской местности;</w:t>
      </w:r>
      <w:r>
        <w:t xml:space="preserve"> </w:t>
      </w:r>
    </w:p>
    <w:p w14:paraId="3196120A" w14:textId="2FD79576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 xml:space="preserve">принять меры по улучшению качества обучения посредством, </w:t>
      </w:r>
      <w:r w:rsidR="004958AC">
        <w:rPr>
          <w:b/>
          <w:bCs/>
        </w:rPr>
        <w:br/>
      </w:r>
      <w:r>
        <w:rPr>
          <w:b/>
          <w:bCs/>
        </w:rPr>
        <w:t>в частности</w:t>
      </w:r>
      <w:r w:rsidR="004D7B4B">
        <w:rPr>
          <w:b/>
          <w:bCs/>
        </w:rPr>
        <w:t>,</w:t>
      </w:r>
      <w:r>
        <w:rPr>
          <w:b/>
          <w:bCs/>
        </w:rPr>
        <w:t xml:space="preserve"> выделения достаточных ресурсов на образование, увеличения числа квалифицированных преподавателей их заработной платы, а также повышения качества инфраструктуры и учебных материалов;</w:t>
      </w:r>
    </w:p>
    <w:p w14:paraId="653ECAD2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активизировать принятие конкретных и целенаправленных мер для возвращения учащихся в школы, обеспечения доступа к качественному образованию и сокращения цифрового разрыва между учащимися;</w:t>
      </w:r>
    </w:p>
    <w:p w14:paraId="34F7B52E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принять срочные меры для обеспечения доступа к образованию детей, проживающих в районах, где продолжаются конфликты, и проводить тщательные расследования по фактам насилия в отношении учителей и учащихся, а также причинения ущерба образовательной инфраструктуре в целях привлечения виновных к ответственности и обеспечения эффективного выполнения Декларации о безопасности в школах;</w:t>
      </w:r>
    </w:p>
    <w:p w14:paraId="1DEE65DA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lastRenderedPageBreak/>
        <w:t>f)</w:t>
      </w:r>
      <w:r>
        <w:tab/>
      </w:r>
      <w:r>
        <w:rPr>
          <w:b/>
          <w:bCs/>
        </w:rPr>
        <w:t>разработать и эффективно осуществлять меры по предотвращению отсева детей, особенно девочек, из школы;</w:t>
      </w:r>
    </w:p>
    <w:p w14:paraId="5DC62240" w14:textId="77777777" w:rsidR="00243007" w:rsidRPr="0057221E" w:rsidRDefault="00243007" w:rsidP="00243007">
      <w:pPr>
        <w:pStyle w:val="SingleTxtG"/>
        <w:ind w:firstLine="567"/>
        <w:rPr>
          <w:b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обеспечить равный доступ к дошкольному образованию.</w:t>
      </w:r>
    </w:p>
    <w:p w14:paraId="151CEB16" w14:textId="77777777" w:rsidR="00243007" w:rsidRPr="0057221E" w:rsidRDefault="00243007" w:rsidP="00243007">
      <w:pPr>
        <w:pStyle w:val="H23G"/>
      </w:pPr>
      <w:r>
        <w:tab/>
      </w:r>
      <w:r>
        <w:tab/>
      </w:r>
      <w:r>
        <w:rPr>
          <w:bCs/>
        </w:rPr>
        <w:t>Культурные права</w:t>
      </w:r>
      <w:r>
        <w:t xml:space="preserve"> </w:t>
      </w:r>
    </w:p>
    <w:p w14:paraId="11736BCF" w14:textId="77777777" w:rsidR="00243007" w:rsidRPr="0057221E" w:rsidRDefault="00243007" w:rsidP="00243007">
      <w:pPr>
        <w:pStyle w:val="SingleTxtG"/>
      </w:pPr>
      <w:r>
        <w:t>60.</w:t>
      </w:r>
      <w:r>
        <w:tab/>
        <w:t>Комитет с озабоченностью отмечает отсутствие мер по поощрению культурного разнообразия и распространению культуры, традиций и традиционных знаний батва (ст. 15).</w:t>
      </w:r>
    </w:p>
    <w:p w14:paraId="13FB9C40" w14:textId="77777777" w:rsidR="00243007" w:rsidRPr="001D38D8" w:rsidRDefault="00243007" w:rsidP="00243007">
      <w:pPr>
        <w:pStyle w:val="SingleTxtG"/>
        <w:rPr>
          <w:b/>
          <w:bCs/>
        </w:rPr>
      </w:pPr>
      <w:r>
        <w:t>61.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повышения осведомленности о наследии батва и создать благоприятные условия для защиты, развития, выражения и распространения батва своей истории, культуры, традиций, традиционных знаний и обычаев.</w:t>
      </w:r>
    </w:p>
    <w:p w14:paraId="36A5F1A2" w14:textId="77777777" w:rsidR="00243007" w:rsidRPr="0057221E" w:rsidRDefault="00243007" w:rsidP="00243007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Другие рекомендации</w:t>
      </w:r>
      <w:r>
        <w:t xml:space="preserve"> </w:t>
      </w:r>
    </w:p>
    <w:p w14:paraId="1733980A" w14:textId="5217EADB" w:rsidR="00243007" w:rsidRDefault="00243007" w:rsidP="00243007">
      <w:pPr>
        <w:pStyle w:val="SingleTxtG"/>
        <w:rPr>
          <w:b/>
        </w:rPr>
      </w:pPr>
      <w:r>
        <w:t>62.</w:t>
      </w:r>
      <w:r>
        <w:tab/>
      </w:r>
      <w:r>
        <w:rPr>
          <w:b/>
          <w:bCs/>
        </w:rPr>
        <w:t>Комитет настоятельно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  <w:r>
        <w:t xml:space="preserve"> </w:t>
      </w:r>
    </w:p>
    <w:p w14:paraId="315C7659" w14:textId="77777777" w:rsidR="00243007" w:rsidRPr="0057221E" w:rsidRDefault="00243007" w:rsidP="00243007">
      <w:pPr>
        <w:pStyle w:val="SingleTxtG"/>
        <w:rPr>
          <w:b/>
        </w:rPr>
      </w:pPr>
      <w:r>
        <w:t>63.</w:t>
      </w:r>
      <w:r>
        <w:tab/>
      </w:r>
      <w:r>
        <w:rPr>
          <w:b/>
          <w:bCs/>
        </w:rPr>
        <w:t>Комитет призывает государство-участник рассмотреть возможность ратификации Международной конвенции для защиты всех лиц от насильственных исчезновений и Международной конвенции о защите прав всех трудящихся-мигрантов и членов их семей.</w:t>
      </w:r>
      <w:r>
        <w:t xml:space="preserve"> </w:t>
      </w:r>
    </w:p>
    <w:p w14:paraId="43350F72" w14:textId="77777777" w:rsidR="00243007" w:rsidRPr="0057221E" w:rsidRDefault="00243007" w:rsidP="00243007">
      <w:pPr>
        <w:pStyle w:val="SingleTxtG"/>
        <w:rPr>
          <w:b/>
        </w:rPr>
      </w:pPr>
      <w:r>
        <w:t>64.</w:t>
      </w:r>
      <w:r>
        <w:tab/>
      </w:r>
      <w:r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>
        <w:t xml:space="preserve"> </w:t>
      </w:r>
      <w:r>
        <w:rPr>
          <w:b/>
          <w:bCs/>
        </w:rPr>
        <w:t>Достижение Целей на основе принципов участия, подотчетности и недискриминации будет способствовать обеспечению того, чтобы никто не был забыт.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</w:t>
      </w:r>
      <w:r w:rsidRPr="000D12A8">
        <w:rPr>
          <w:rStyle w:val="a8"/>
        </w:rPr>
        <w:footnoteReference w:id="15"/>
      </w:r>
      <w:r>
        <w:t xml:space="preserve">. </w:t>
      </w:r>
    </w:p>
    <w:p w14:paraId="659E5D75" w14:textId="77777777" w:rsidR="00243007" w:rsidRPr="0057221E" w:rsidRDefault="00243007" w:rsidP="00243007">
      <w:pPr>
        <w:pStyle w:val="SingleTxtG"/>
        <w:rPr>
          <w:b/>
        </w:rPr>
      </w:pPr>
      <w:r>
        <w:t>65.</w:t>
      </w:r>
      <w:r>
        <w:tab/>
      </w:r>
      <w:r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 на национальном и провинциальном уровнях, в частности среди парламентариев, государственных должностных лиц и работников судебных органов, и в своем следующем периодическом докладе проинформировать Комитет о шагах, предпринятых для их осуществления.</w:t>
      </w:r>
      <w:r>
        <w:t xml:space="preserve"> </w:t>
      </w:r>
      <w:r>
        <w:rPr>
          <w:b/>
          <w:bCs/>
        </w:rPr>
        <w:t>Комитет призывает государство-участник перед представлением своего следующего периодического доклада привлечь Национальную комиссию по правам человека,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уровне.</w:t>
      </w:r>
      <w:r>
        <w:t xml:space="preserve"> </w:t>
      </w:r>
    </w:p>
    <w:p w14:paraId="07743191" w14:textId="56A029F3" w:rsidR="00243007" w:rsidRPr="0057221E" w:rsidRDefault="00243007" w:rsidP="00243007">
      <w:pPr>
        <w:pStyle w:val="SingleTxtG"/>
        <w:rPr>
          <w:b/>
        </w:rPr>
      </w:pPr>
      <w:r>
        <w:t>66.</w:t>
      </w:r>
      <w:r>
        <w:tab/>
      </w:r>
      <w:r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представить в течение 24 месяцев с момента принятия настоящих заключительных замечаний информацию о выполнении рекомендаций, содержащихся в пунктах 19</w:t>
      </w:r>
      <w:r w:rsidR="002F2793">
        <w:rPr>
          <w:b/>
          <w:bCs/>
        </w:rPr>
        <w:t> </w:t>
      </w:r>
      <w:r>
        <w:rPr>
          <w:b/>
          <w:bCs/>
        </w:rPr>
        <w:t>b) (предпринимательская деятельность и права человека), 39 b) (условия труда на кустарных рудниках) и 49 c) (право на питание) выше.</w:t>
      </w:r>
      <w:r>
        <w:t xml:space="preserve"> </w:t>
      </w:r>
    </w:p>
    <w:p w14:paraId="0F9E35E9" w14:textId="4666A526" w:rsidR="00243007" w:rsidRDefault="00243007" w:rsidP="00243007">
      <w:pPr>
        <w:pStyle w:val="SingleTxtG"/>
      </w:pPr>
      <w:r>
        <w:lastRenderedPageBreak/>
        <w:t>67.</w:t>
      </w:r>
      <w:r>
        <w:tab/>
      </w:r>
      <w:r>
        <w:rPr>
          <w:b/>
          <w:bCs/>
        </w:rPr>
        <w:t>Комитет просит государство-участник представить свой седьмой периодический доклад в соответствии со статьей 16 Пакта не позднее 31 марта 2027 года, если только оно не будет уведомлено об изменении цикла обзора.</w:t>
      </w:r>
      <w:r>
        <w:t xml:space="preserve"> </w:t>
      </w:r>
      <w:r>
        <w:rPr>
          <w:b/>
          <w:bCs/>
        </w:rPr>
        <w:t>В</w:t>
      </w:r>
      <w:r w:rsidR="004958AC">
        <w:rPr>
          <w:b/>
          <w:bCs/>
        </w:rPr>
        <w:t> </w:t>
      </w:r>
      <w:r>
        <w:rPr>
          <w:b/>
          <w:bCs/>
        </w:rPr>
        <w:t>соответствии с резолюцией 68/268 Генеральной Ассамблеи максимальный объем этого доклада не должен превышать 21 200 слов.</w:t>
      </w:r>
    </w:p>
    <w:p w14:paraId="5D390B51" w14:textId="77777777" w:rsidR="00243007" w:rsidRDefault="00243007" w:rsidP="002430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DB2A5E" w14:textId="6E8AC874" w:rsidR="00381C24" w:rsidRPr="00BC18B2" w:rsidRDefault="00381C24" w:rsidP="00896BA2"/>
    <w:sectPr w:rsidR="00381C24" w:rsidRPr="00BC18B2" w:rsidSect="009B65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566E" w14:textId="77777777" w:rsidR="003A5B8D" w:rsidRPr="00A312BC" w:rsidRDefault="003A5B8D" w:rsidP="00A312BC"/>
  </w:endnote>
  <w:endnote w:type="continuationSeparator" w:id="0">
    <w:p w14:paraId="79C000B8" w14:textId="77777777" w:rsidR="003A5B8D" w:rsidRPr="00A312BC" w:rsidRDefault="003A5B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4B40" w14:textId="56C822C4" w:rsidR="009B6573" w:rsidRPr="009B6573" w:rsidRDefault="009B6573">
    <w:pPr>
      <w:pStyle w:val="aa"/>
    </w:pPr>
    <w:r w:rsidRPr="009B6573">
      <w:rPr>
        <w:b/>
        <w:sz w:val="18"/>
      </w:rPr>
      <w:fldChar w:fldCharType="begin"/>
    </w:r>
    <w:r w:rsidRPr="009B6573">
      <w:rPr>
        <w:b/>
        <w:sz w:val="18"/>
      </w:rPr>
      <w:instrText xml:space="preserve"> PAGE  \* MERGEFORMAT </w:instrText>
    </w:r>
    <w:r w:rsidRPr="009B6573">
      <w:rPr>
        <w:b/>
        <w:sz w:val="18"/>
      </w:rPr>
      <w:fldChar w:fldCharType="separate"/>
    </w:r>
    <w:r w:rsidRPr="009B6573">
      <w:rPr>
        <w:b/>
        <w:noProof/>
        <w:sz w:val="18"/>
      </w:rPr>
      <w:t>2</w:t>
    </w:r>
    <w:r w:rsidRPr="009B6573">
      <w:rPr>
        <w:b/>
        <w:sz w:val="18"/>
      </w:rPr>
      <w:fldChar w:fldCharType="end"/>
    </w:r>
    <w:r>
      <w:rPr>
        <w:b/>
        <w:sz w:val="18"/>
      </w:rPr>
      <w:tab/>
    </w:r>
    <w:r>
      <w:t>GE.22-04482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DC51" w14:textId="35310980" w:rsidR="009B6573" w:rsidRPr="009B6573" w:rsidRDefault="009B6573" w:rsidP="009B6573">
    <w:pPr>
      <w:pStyle w:val="aa"/>
      <w:tabs>
        <w:tab w:val="clear" w:pos="9639"/>
        <w:tab w:val="right" w:pos="9638"/>
      </w:tabs>
      <w:rPr>
        <w:b/>
        <w:sz w:val="18"/>
      </w:rPr>
    </w:pPr>
    <w:r>
      <w:t>GE.22-04482</w:t>
    </w:r>
    <w:r>
      <w:tab/>
    </w:r>
    <w:r w:rsidRPr="009B6573">
      <w:rPr>
        <w:b/>
        <w:sz w:val="18"/>
      </w:rPr>
      <w:fldChar w:fldCharType="begin"/>
    </w:r>
    <w:r w:rsidRPr="009B6573">
      <w:rPr>
        <w:b/>
        <w:sz w:val="18"/>
      </w:rPr>
      <w:instrText xml:space="preserve"> PAGE  \* MERGEFORMAT </w:instrText>
    </w:r>
    <w:r w:rsidRPr="009B6573">
      <w:rPr>
        <w:b/>
        <w:sz w:val="18"/>
      </w:rPr>
      <w:fldChar w:fldCharType="separate"/>
    </w:r>
    <w:r w:rsidRPr="009B6573">
      <w:rPr>
        <w:b/>
        <w:noProof/>
        <w:sz w:val="18"/>
      </w:rPr>
      <w:t>3</w:t>
    </w:r>
    <w:r w:rsidRPr="009B65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105B" w14:textId="36A7DB46" w:rsidR="00042B72" w:rsidRPr="009B6573" w:rsidRDefault="009B6573" w:rsidP="009B657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645AE2" wp14:editId="77A0AD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22-04482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C25D43" wp14:editId="0A3BAF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060522  090522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AB44" w14:textId="77777777" w:rsidR="003A5B8D" w:rsidRPr="001075E9" w:rsidRDefault="003A5B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B7005D" w14:textId="77777777" w:rsidR="003A5B8D" w:rsidRDefault="003A5B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94D526" w14:textId="77777777" w:rsidR="00243007" w:rsidRPr="004C4AC7" w:rsidRDefault="00243007" w:rsidP="00243007">
      <w:pPr>
        <w:pStyle w:val="af"/>
      </w:pPr>
      <w:r>
        <w:tab/>
      </w:r>
      <w:r w:rsidRPr="00243007">
        <w:rPr>
          <w:sz w:val="20"/>
        </w:rPr>
        <w:t>*</w:t>
      </w:r>
      <w:r>
        <w:tab/>
        <w:t>Приняты Комитетом на его семьдесят первой сессии (14 февраля</w:t>
      </w:r>
      <w:r w:rsidRPr="006C4BB0">
        <w:t xml:space="preserve"> — 4</w:t>
      </w:r>
      <w:r>
        <w:t xml:space="preserve"> марта 2022 года).</w:t>
      </w:r>
    </w:p>
  </w:footnote>
  <w:footnote w:id="2">
    <w:p w14:paraId="70C1ED2A" w14:textId="6C19ACB8" w:rsidR="00243007" w:rsidRPr="00243007" w:rsidRDefault="00243007" w:rsidP="00243007">
      <w:pPr>
        <w:pStyle w:val="af"/>
        <w:rPr>
          <w:lang w:val="de-DE"/>
        </w:rPr>
      </w:pPr>
      <w:r w:rsidRPr="004C4AC7">
        <w:tab/>
      </w:r>
      <w:r w:rsidRPr="000D12A8">
        <w:rPr>
          <w:rStyle w:val="a8"/>
        </w:rPr>
        <w:footnoteRef/>
      </w:r>
      <w:r w:rsidRPr="00243007">
        <w:rPr>
          <w:lang w:val="de-DE"/>
        </w:rPr>
        <w:tab/>
      </w:r>
      <w:hyperlink r:id="rId1" w:history="1">
        <w:r w:rsidRPr="00243007">
          <w:rPr>
            <w:rStyle w:val="a7"/>
            <w:lang w:val="de-DE"/>
          </w:rPr>
          <w:t>E/C.12/COD/6</w:t>
        </w:r>
      </w:hyperlink>
      <w:r w:rsidRPr="00243007">
        <w:rPr>
          <w:lang w:val="de-DE"/>
        </w:rPr>
        <w:t>.</w:t>
      </w:r>
    </w:p>
  </w:footnote>
  <w:footnote w:id="3">
    <w:p w14:paraId="5AB466B5" w14:textId="01EA740F" w:rsidR="00243007" w:rsidRPr="00243007" w:rsidRDefault="00243007" w:rsidP="00243007">
      <w:pPr>
        <w:pStyle w:val="af"/>
        <w:rPr>
          <w:lang w:val="de-DE"/>
        </w:rPr>
      </w:pPr>
      <w:r w:rsidRPr="00243007">
        <w:rPr>
          <w:lang w:val="de-DE"/>
        </w:rPr>
        <w:tab/>
      </w:r>
      <w:r w:rsidRPr="000D12A8">
        <w:rPr>
          <w:rStyle w:val="a8"/>
        </w:rPr>
        <w:footnoteRef/>
      </w:r>
      <w:r w:rsidRPr="00243007">
        <w:rPr>
          <w:lang w:val="de-DE"/>
        </w:rPr>
        <w:tab/>
      </w:r>
      <w:r>
        <w:t>См</w:t>
      </w:r>
      <w:r w:rsidRPr="00243007">
        <w:rPr>
          <w:lang w:val="de-DE"/>
        </w:rPr>
        <w:t xml:space="preserve">. </w:t>
      </w:r>
      <w:hyperlink r:id="rId2" w:history="1">
        <w:r w:rsidRPr="00243007">
          <w:rPr>
            <w:rStyle w:val="a7"/>
            <w:lang w:val="de-DE"/>
          </w:rPr>
          <w:t>E/C.12/2022/SR.2</w:t>
        </w:r>
      </w:hyperlink>
      <w:r w:rsidRPr="00243007">
        <w:rPr>
          <w:lang w:val="de-DE"/>
        </w:rPr>
        <w:t xml:space="preserve">, </w:t>
      </w:r>
      <w:hyperlink r:id="rId3" w:history="1">
        <w:r w:rsidRPr="00243007">
          <w:rPr>
            <w:rStyle w:val="a7"/>
            <w:lang w:val="de-DE"/>
          </w:rPr>
          <w:t>E/C.12/2022/SR.4</w:t>
        </w:r>
      </w:hyperlink>
      <w:r w:rsidRPr="00243007">
        <w:rPr>
          <w:lang w:val="de-DE"/>
        </w:rPr>
        <w:t xml:space="preserve"> </w:t>
      </w:r>
      <w:r>
        <w:t>и</w:t>
      </w:r>
      <w:r w:rsidRPr="00243007">
        <w:rPr>
          <w:lang w:val="de-DE"/>
        </w:rPr>
        <w:t xml:space="preserve"> </w:t>
      </w:r>
      <w:hyperlink r:id="rId4" w:history="1">
        <w:r w:rsidRPr="00243007">
          <w:rPr>
            <w:rStyle w:val="a7"/>
            <w:lang w:val="de-DE"/>
          </w:rPr>
          <w:t>E/C.12/2022/SR.6</w:t>
        </w:r>
      </w:hyperlink>
      <w:r w:rsidRPr="00243007">
        <w:rPr>
          <w:lang w:val="de-DE"/>
        </w:rPr>
        <w:t>.</w:t>
      </w:r>
    </w:p>
  </w:footnote>
  <w:footnote w:id="4">
    <w:p w14:paraId="55D510BC" w14:textId="05F92200" w:rsidR="00243007" w:rsidRPr="00243007" w:rsidRDefault="00243007" w:rsidP="00243007">
      <w:pPr>
        <w:pStyle w:val="af"/>
        <w:rPr>
          <w:lang w:val="es-ES_tradnl"/>
        </w:rPr>
      </w:pPr>
      <w:r w:rsidRPr="00243007">
        <w:rPr>
          <w:lang w:val="de-DE"/>
        </w:rPr>
        <w:tab/>
      </w:r>
      <w:r w:rsidRPr="000D12A8">
        <w:rPr>
          <w:rStyle w:val="a8"/>
        </w:rPr>
        <w:footnoteRef/>
      </w:r>
      <w:r w:rsidRPr="00243007">
        <w:rPr>
          <w:lang w:val="es-ES_tradnl"/>
        </w:rPr>
        <w:tab/>
      </w:r>
      <w:hyperlink r:id="rId5" w:history="1">
        <w:r w:rsidRPr="00243007">
          <w:rPr>
            <w:rStyle w:val="a7"/>
            <w:lang w:val="es-ES_tradnl"/>
          </w:rPr>
          <w:t>E/C.12/COD/RQ/6</w:t>
        </w:r>
      </w:hyperlink>
      <w:r w:rsidRPr="00243007">
        <w:rPr>
          <w:lang w:val="es-ES_tradnl"/>
        </w:rPr>
        <w:t>.</w:t>
      </w:r>
    </w:p>
  </w:footnote>
  <w:footnote w:id="5">
    <w:p w14:paraId="69EFD41C" w14:textId="76CE975E" w:rsidR="00243007" w:rsidRPr="00243007" w:rsidRDefault="00243007" w:rsidP="00243007">
      <w:pPr>
        <w:pStyle w:val="af"/>
        <w:rPr>
          <w:lang w:val="es-ES_tradnl"/>
        </w:rPr>
      </w:pPr>
      <w:r w:rsidRPr="00243007">
        <w:rPr>
          <w:lang w:val="es-ES_tradnl"/>
        </w:rPr>
        <w:tab/>
      </w:r>
      <w:r w:rsidRPr="000D12A8">
        <w:rPr>
          <w:rStyle w:val="a8"/>
        </w:rPr>
        <w:footnoteRef/>
      </w:r>
      <w:r w:rsidRPr="00243007">
        <w:rPr>
          <w:lang w:val="es-ES_tradnl"/>
        </w:rPr>
        <w:tab/>
      </w:r>
      <w:hyperlink r:id="rId6" w:history="1">
        <w:r w:rsidR="00836228" w:rsidRPr="00836228">
          <w:rPr>
            <w:rStyle w:val="a7"/>
            <w:lang w:val="es-ES_tradnl"/>
          </w:rPr>
          <w:t>E/C.12/COD/CO/5</w:t>
        </w:r>
      </w:hyperlink>
      <w:r w:rsidRPr="00243007">
        <w:rPr>
          <w:lang w:val="es-ES_tradnl"/>
        </w:rPr>
        <w:t xml:space="preserve">, </w:t>
      </w:r>
      <w:r>
        <w:t>п</w:t>
      </w:r>
      <w:r w:rsidRPr="00243007">
        <w:rPr>
          <w:lang w:val="es-ES_tradnl"/>
        </w:rPr>
        <w:t>. 12.</w:t>
      </w:r>
    </w:p>
  </w:footnote>
  <w:footnote w:id="6">
    <w:p w14:paraId="30A931E1" w14:textId="339DF3C2" w:rsidR="00243007" w:rsidRPr="00243007" w:rsidRDefault="00243007" w:rsidP="00243007">
      <w:pPr>
        <w:pStyle w:val="af"/>
        <w:rPr>
          <w:lang w:val="es-ES_tradnl"/>
        </w:rPr>
      </w:pPr>
      <w:r w:rsidRPr="00243007">
        <w:rPr>
          <w:lang w:val="es-ES_tradnl"/>
        </w:rPr>
        <w:tab/>
      </w:r>
      <w:r w:rsidRPr="000D12A8">
        <w:rPr>
          <w:rStyle w:val="a8"/>
        </w:rPr>
        <w:footnoteRef/>
      </w:r>
      <w:r w:rsidRPr="00243007">
        <w:rPr>
          <w:lang w:val="es-ES_tradnl"/>
        </w:rPr>
        <w:tab/>
      </w:r>
      <w:hyperlink r:id="rId7" w:history="1">
        <w:r w:rsidRPr="00243007">
          <w:rPr>
            <w:rStyle w:val="a7"/>
            <w:lang w:val="es-ES_tradnl"/>
          </w:rPr>
          <w:t>E/C.12/2016/2</w:t>
        </w:r>
      </w:hyperlink>
      <w:r w:rsidRPr="00243007">
        <w:rPr>
          <w:lang w:val="es-ES_tradnl"/>
        </w:rPr>
        <w:t xml:space="preserve">. </w:t>
      </w:r>
    </w:p>
  </w:footnote>
  <w:footnote w:id="7">
    <w:p w14:paraId="65EB5A4E" w14:textId="1EA4ADFD" w:rsidR="00243007" w:rsidRPr="00C34454" w:rsidRDefault="00243007" w:rsidP="00243007">
      <w:pPr>
        <w:pStyle w:val="af"/>
        <w:rPr>
          <w:lang w:val="es-ES_tradnl"/>
        </w:rPr>
      </w:pPr>
      <w:r w:rsidRPr="00243007">
        <w:rPr>
          <w:lang w:val="es-ES_tradnl"/>
        </w:rPr>
        <w:tab/>
      </w:r>
      <w:r w:rsidRPr="000D12A8">
        <w:rPr>
          <w:rStyle w:val="a8"/>
        </w:rPr>
        <w:footnoteRef/>
      </w:r>
      <w:r w:rsidRPr="00C34454">
        <w:rPr>
          <w:lang w:val="es-ES_tradnl"/>
        </w:rPr>
        <w:tab/>
      </w:r>
      <w:hyperlink r:id="rId8" w:history="1">
        <w:r w:rsidRPr="00C34454">
          <w:rPr>
            <w:rStyle w:val="a7"/>
            <w:lang w:val="es-ES_tradnl"/>
          </w:rPr>
          <w:tab/>
          <w:t>E/C.12/COD/CO/5</w:t>
        </w:r>
      </w:hyperlink>
      <w:r w:rsidRPr="00C34454">
        <w:rPr>
          <w:lang w:val="es-ES_tradnl"/>
        </w:rPr>
        <w:t xml:space="preserve">, </w:t>
      </w:r>
      <w:r>
        <w:t>п</w:t>
      </w:r>
      <w:r w:rsidRPr="00C34454">
        <w:rPr>
          <w:lang w:val="es-ES_tradnl"/>
        </w:rPr>
        <w:t xml:space="preserve">. 11. </w:t>
      </w:r>
    </w:p>
  </w:footnote>
  <w:footnote w:id="8">
    <w:p w14:paraId="10F44CD0" w14:textId="3B060009" w:rsidR="00243007" w:rsidRPr="00243007" w:rsidRDefault="00243007" w:rsidP="00243007">
      <w:pPr>
        <w:pStyle w:val="af"/>
        <w:rPr>
          <w:lang w:val="en-US"/>
        </w:rPr>
      </w:pPr>
      <w:r w:rsidRPr="00C34454">
        <w:rPr>
          <w:lang w:val="es-ES_tradnl"/>
        </w:rPr>
        <w:tab/>
      </w:r>
      <w:r w:rsidRPr="000D12A8">
        <w:rPr>
          <w:rStyle w:val="a8"/>
        </w:rPr>
        <w:footnoteRef/>
      </w:r>
      <w:r w:rsidRPr="00243007">
        <w:rPr>
          <w:lang w:val="en-US"/>
        </w:rPr>
        <w:tab/>
      </w:r>
      <w:r w:rsidRPr="00243007">
        <w:rPr>
          <w:lang w:val="en-US"/>
        </w:rPr>
        <w:tab/>
      </w:r>
      <w:hyperlink r:id="rId9" w:history="1">
        <w:r w:rsidRPr="00274182">
          <w:rPr>
            <w:rStyle w:val="a7"/>
            <w:lang w:val="en-US"/>
          </w:rPr>
          <w:t>CEDAW/C/COD/CO/8</w:t>
        </w:r>
      </w:hyperlink>
      <w:r w:rsidRPr="00243007">
        <w:rPr>
          <w:lang w:val="en-US"/>
        </w:rPr>
        <w:t>.</w:t>
      </w:r>
    </w:p>
  </w:footnote>
  <w:footnote w:id="9">
    <w:p w14:paraId="07337F50" w14:textId="14E66711" w:rsidR="00243007" w:rsidRPr="00C34454" w:rsidRDefault="00243007" w:rsidP="00243007">
      <w:pPr>
        <w:pStyle w:val="af"/>
        <w:rPr>
          <w:lang w:val="en-US"/>
        </w:rPr>
      </w:pPr>
      <w:r w:rsidRPr="00243007">
        <w:rPr>
          <w:lang w:val="en-US"/>
        </w:rPr>
        <w:tab/>
      </w:r>
      <w:r w:rsidRPr="000D12A8">
        <w:rPr>
          <w:rStyle w:val="a8"/>
        </w:rPr>
        <w:footnoteRef/>
      </w:r>
      <w:r w:rsidRPr="00C34454">
        <w:rPr>
          <w:lang w:val="en-US"/>
        </w:rPr>
        <w:tab/>
      </w:r>
      <w:hyperlink r:id="rId10" w:history="1">
        <w:r w:rsidRPr="00C34454">
          <w:rPr>
            <w:rStyle w:val="a7"/>
            <w:lang w:val="en-US"/>
          </w:rPr>
          <w:tab/>
          <w:t>E/C.12/COD/CO/5</w:t>
        </w:r>
      </w:hyperlink>
      <w:r w:rsidRPr="00C34454">
        <w:rPr>
          <w:lang w:val="en-US"/>
        </w:rPr>
        <w:t xml:space="preserve">, </w:t>
      </w:r>
      <w:r>
        <w:t>п</w:t>
      </w:r>
      <w:r w:rsidRPr="00C34454">
        <w:rPr>
          <w:lang w:val="en-US"/>
        </w:rPr>
        <w:t xml:space="preserve">. 23. </w:t>
      </w:r>
    </w:p>
  </w:footnote>
  <w:footnote w:id="10">
    <w:p w14:paraId="5DA7D8EE" w14:textId="5CD28FCC" w:rsidR="00243007" w:rsidRPr="00243007" w:rsidRDefault="00243007" w:rsidP="00243007">
      <w:pPr>
        <w:pStyle w:val="af"/>
        <w:rPr>
          <w:lang w:val="es-ES_tradnl"/>
        </w:rPr>
      </w:pPr>
      <w:r w:rsidRPr="00C34454">
        <w:rPr>
          <w:lang w:val="en-US"/>
        </w:rPr>
        <w:tab/>
      </w:r>
      <w:r w:rsidRPr="000D12A8">
        <w:rPr>
          <w:rStyle w:val="a8"/>
        </w:rPr>
        <w:footnoteRef/>
      </w:r>
      <w:r w:rsidRPr="00243007">
        <w:rPr>
          <w:lang w:val="es-ES_tradnl"/>
        </w:rPr>
        <w:tab/>
      </w:r>
      <w:hyperlink r:id="rId11" w:history="1">
        <w:r w:rsidRPr="00274182">
          <w:rPr>
            <w:rStyle w:val="a7"/>
            <w:lang w:val="es-ES_tradnl"/>
          </w:rPr>
          <w:t>E/C.12/2015/1</w:t>
        </w:r>
      </w:hyperlink>
      <w:r w:rsidRPr="00243007">
        <w:rPr>
          <w:lang w:val="es-ES_tradnl"/>
        </w:rPr>
        <w:t>.</w:t>
      </w:r>
    </w:p>
  </w:footnote>
  <w:footnote w:id="11">
    <w:p w14:paraId="0B3A1D7F" w14:textId="0793B80F" w:rsidR="00243007" w:rsidRPr="00243007" w:rsidRDefault="00243007" w:rsidP="00243007">
      <w:pPr>
        <w:pStyle w:val="af"/>
        <w:rPr>
          <w:lang w:val="es-ES_tradnl"/>
        </w:rPr>
      </w:pPr>
      <w:r w:rsidRPr="00243007">
        <w:rPr>
          <w:lang w:val="es-ES_tradnl"/>
        </w:rPr>
        <w:tab/>
      </w:r>
      <w:r w:rsidRPr="000D12A8">
        <w:rPr>
          <w:rStyle w:val="a8"/>
        </w:rPr>
        <w:footnoteRef/>
      </w:r>
      <w:r w:rsidRPr="00243007">
        <w:rPr>
          <w:lang w:val="es-ES_tradnl"/>
        </w:rPr>
        <w:tab/>
      </w:r>
      <w:hyperlink r:id="rId12" w:history="1">
        <w:r w:rsidRPr="00274182">
          <w:rPr>
            <w:rStyle w:val="a7"/>
            <w:lang w:val="es-ES_tradnl"/>
          </w:rPr>
          <w:t>E/C.12/2001/10</w:t>
        </w:r>
      </w:hyperlink>
      <w:r w:rsidRPr="00243007">
        <w:rPr>
          <w:lang w:val="es-ES_tradnl"/>
        </w:rPr>
        <w:t>.</w:t>
      </w:r>
    </w:p>
  </w:footnote>
  <w:footnote w:id="12">
    <w:p w14:paraId="4F8A4E5A" w14:textId="2281DAE2" w:rsidR="00243007" w:rsidRPr="00243007" w:rsidRDefault="00243007" w:rsidP="00243007">
      <w:pPr>
        <w:pStyle w:val="af"/>
        <w:rPr>
          <w:lang w:val="es-ES_tradnl"/>
        </w:rPr>
      </w:pPr>
      <w:r w:rsidRPr="00243007">
        <w:rPr>
          <w:lang w:val="es-ES_tradnl"/>
        </w:rPr>
        <w:tab/>
      </w:r>
      <w:r w:rsidRPr="000D12A8">
        <w:rPr>
          <w:rStyle w:val="a8"/>
        </w:rPr>
        <w:footnoteRef/>
      </w:r>
      <w:r w:rsidRPr="00243007">
        <w:rPr>
          <w:lang w:val="es-ES_tradnl"/>
        </w:rPr>
        <w:tab/>
      </w:r>
      <w:hyperlink r:id="rId13" w:history="1">
        <w:r w:rsidRPr="00274182">
          <w:rPr>
            <w:rStyle w:val="a7"/>
            <w:lang w:val="es-ES_tradnl"/>
          </w:rPr>
          <w:t>E/C.12/2010/1</w:t>
        </w:r>
      </w:hyperlink>
      <w:r w:rsidRPr="00243007">
        <w:rPr>
          <w:lang w:val="es-ES_tradnl"/>
        </w:rPr>
        <w:t>.</w:t>
      </w:r>
    </w:p>
  </w:footnote>
  <w:footnote w:id="13">
    <w:p w14:paraId="07ECBBE6" w14:textId="153C6EEB" w:rsidR="00243007" w:rsidRPr="00243007" w:rsidRDefault="00243007" w:rsidP="00243007">
      <w:pPr>
        <w:pStyle w:val="af"/>
        <w:rPr>
          <w:lang w:val="es-ES_tradnl"/>
        </w:rPr>
      </w:pPr>
      <w:r w:rsidRPr="00243007">
        <w:rPr>
          <w:lang w:val="es-ES_tradnl"/>
        </w:rPr>
        <w:tab/>
      </w:r>
      <w:r w:rsidRPr="000D12A8">
        <w:rPr>
          <w:rStyle w:val="a8"/>
        </w:rPr>
        <w:footnoteRef/>
      </w:r>
      <w:r w:rsidRPr="00243007">
        <w:rPr>
          <w:lang w:val="es-ES_tradnl"/>
        </w:rPr>
        <w:tab/>
      </w:r>
      <w:r w:rsidRPr="00243007">
        <w:rPr>
          <w:lang w:val="es-ES_tradnl"/>
        </w:rPr>
        <w:tab/>
      </w:r>
      <w:hyperlink r:id="rId14" w:history="1">
        <w:r w:rsidRPr="004958AC">
          <w:rPr>
            <w:rStyle w:val="a7"/>
            <w:lang w:val="es-ES_tradnl"/>
          </w:rPr>
          <w:t>A/HRC/4/18</w:t>
        </w:r>
      </w:hyperlink>
      <w:r w:rsidRPr="00243007">
        <w:rPr>
          <w:lang w:val="es-ES_tradnl"/>
        </w:rPr>
        <w:t xml:space="preserve">, </w:t>
      </w:r>
      <w:r>
        <w:t>приложение</w:t>
      </w:r>
      <w:r w:rsidRPr="00243007">
        <w:rPr>
          <w:lang w:val="es-ES_tradnl"/>
        </w:rPr>
        <w:t xml:space="preserve"> I.</w:t>
      </w:r>
    </w:p>
  </w:footnote>
  <w:footnote w:id="14">
    <w:p w14:paraId="1FF11AEF" w14:textId="2EA9DD3E" w:rsidR="00243007" w:rsidRPr="004C4AC7" w:rsidRDefault="00243007" w:rsidP="00243007">
      <w:pPr>
        <w:pStyle w:val="af"/>
      </w:pPr>
      <w:r w:rsidRPr="00243007">
        <w:rPr>
          <w:lang w:val="es-ES_tradnl"/>
        </w:rPr>
        <w:tab/>
      </w:r>
      <w:r w:rsidRPr="000D12A8">
        <w:rPr>
          <w:rStyle w:val="a8"/>
        </w:rPr>
        <w:footnoteRef/>
      </w:r>
      <w:r>
        <w:tab/>
      </w:r>
      <w:hyperlink r:id="rId15" w:history="1">
        <w:r w:rsidRPr="004958AC">
          <w:rPr>
            <w:rStyle w:val="a7"/>
          </w:rPr>
          <w:t>E/C.12/2020/1</w:t>
        </w:r>
      </w:hyperlink>
      <w:r>
        <w:t>.</w:t>
      </w:r>
    </w:p>
  </w:footnote>
  <w:footnote w:id="15">
    <w:p w14:paraId="7FA2F506" w14:textId="02039449" w:rsidR="00243007" w:rsidRPr="004C4AC7" w:rsidRDefault="00243007" w:rsidP="00243007">
      <w:pPr>
        <w:pStyle w:val="af"/>
      </w:pPr>
      <w:r>
        <w:tab/>
      </w:r>
      <w:r w:rsidRPr="000D12A8">
        <w:rPr>
          <w:rStyle w:val="a8"/>
        </w:rPr>
        <w:footnoteRef/>
      </w:r>
      <w:r>
        <w:tab/>
      </w:r>
      <w:hyperlink r:id="rId16" w:history="1">
        <w:r w:rsidRPr="004958AC">
          <w:rPr>
            <w:rStyle w:val="a7"/>
          </w:rPr>
          <w:t>E/C.12/2019/1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DF66" w14:textId="263529BB" w:rsidR="009B6573" w:rsidRPr="009B6573" w:rsidRDefault="00074F9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E/C.12/COD/CO/6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E2A8" w14:textId="5B17EB8A" w:rsidR="009B6573" w:rsidRPr="009B6573" w:rsidRDefault="00074F90" w:rsidP="009B657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E/C.12/COD/CO/6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8D"/>
    <w:rsid w:val="00033EE1"/>
    <w:rsid w:val="00042B72"/>
    <w:rsid w:val="00043B08"/>
    <w:rsid w:val="000558BD"/>
    <w:rsid w:val="00074F90"/>
    <w:rsid w:val="000857D2"/>
    <w:rsid w:val="000B57E7"/>
    <w:rsid w:val="000B6373"/>
    <w:rsid w:val="000F09DF"/>
    <w:rsid w:val="000F61B2"/>
    <w:rsid w:val="001075E9"/>
    <w:rsid w:val="001253D8"/>
    <w:rsid w:val="00131232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43007"/>
    <w:rsid w:val="002560C0"/>
    <w:rsid w:val="00274182"/>
    <w:rsid w:val="002979E2"/>
    <w:rsid w:val="002A2EFC"/>
    <w:rsid w:val="002B74B1"/>
    <w:rsid w:val="002C0E18"/>
    <w:rsid w:val="002D5AAC"/>
    <w:rsid w:val="002E5067"/>
    <w:rsid w:val="002F2793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A5B8D"/>
    <w:rsid w:val="003B00E5"/>
    <w:rsid w:val="00407B78"/>
    <w:rsid w:val="00424203"/>
    <w:rsid w:val="0042551A"/>
    <w:rsid w:val="00452493"/>
    <w:rsid w:val="00453318"/>
    <w:rsid w:val="00454E07"/>
    <w:rsid w:val="00472C5C"/>
    <w:rsid w:val="004958AC"/>
    <w:rsid w:val="004D7B4B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1B75"/>
    <w:rsid w:val="007021FF"/>
    <w:rsid w:val="00712895"/>
    <w:rsid w:val="00734ACB"/>
    <w:rsid w:val="00757357"/>
    <w:rsid w:val="00792497"/>
    <w:rsid w:val="007D28CE"/>
    <w:rsid w:val="00806737"/>
    <w:rsid w:val="00811570"/>
    <w:rsid w:val="00825F8D"/>
    <w:rsid w:val="00834B71"/>
    <w:rsid w:val="00836228"/>
    <w:rsid w:val="0086445C"/>
    <w:rsid w:val="00881771"/>
    <w:rsid w:val="008836F3"/>
    <w:rsid w:val="0088500A"/>
    <w:rsid w:val="00894693"/>
    <w:rsid w:val="00896BA2"/>
    <w:rsid w:val="008A08D7"/>
    <w:rsid w:val="008B6909"/>
    <w:rsid w:val="008C30BC"/>
    <w:rsid w:val="00906890"/>
    <w:rsid w:val="00911BE4"/>
    <w:rsid w:val="00927F0E"/>
    <w:rsid w:val="00951972"/>
    <w:rsid w:val="009608F3"/>
    <w:rsid w:val="009A24AC"/>
    <w:rsid w:val="009B6573"/>
    <w:rsid w:val="009C4924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73E0C"/>
    <w:rsid w:val="00BC18B2"/>
    <w:rsid w:val="00BD33EE"/>
    <w:rsid w:val="00BE11CE"/>
    <w:rsid w:val="00BF21E1"/>
    <w:rsid w:val="00C106D6"/>
    <w:rsid w:val="00C34454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523C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1A84C"/>
  <w15:docId w15:val="{E9E0BBD9-810B-4D0D-A326-5FB04B9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ChGChar">
    <w:name w:val="_ H _Ch_G Char"/>
    <w:link w:val="HChG"/>
    <w:locked/>
    <w:rsid w:val="0024300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43007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4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%09E/C.12/COD/CO/5" TargetMode="External"/><Relationship Id="rId13" Type="http://schemas.openxmlformats.org/officeDocument/2006/relationships/hyperlink" Target="http://undocs.org/ru/E/C.12/2010/1" TargetMode="External"/><Relationship Id="rId3" Type="http://schemas.openxmlformats.org/officeDocument/2006/relationships/hyperlink" Target="https://documents-dds-ny.un.org/doc/UNDOC/GEN/G22/257/58/pdf/G2225758.pdf?OpenElement" TargetMode="External"/><Relationship Id="rId7" Type="http://schemas.openxmlformats.org/officeDocument/2006/relationships/hyperlink" Target="http://undocs.org/ru/E/C.12/2016/2" TargetMode="External"/><Relationship Id="rId12" Type="http://schemas.openxmlformats.org/officeDocument/2006/relationships/hyperlink" Target="http://undocs.org/ru/E/C.12/2001/10" TargetMode="External"/><Relationship Id="rId2" Type="http://schemas.openxmlformats.org/officeDocument/2006/relationships/hyperlink" Target="https://documents-dds-ny.un.org/doc/UNDOC/GEN/G22/257/56/pdf/G2225756.pdf?OpenElement" TargetMode="External"/><Relationship Id="rId16" Type="http://schemas.openxmlformats.org/officeDocument/2006/relationships/hyperlink" Target="http://undocs.org/ru/E/C.12/2019/1" TargetMode="External"/><Relationship Id="rId1" Type="http://schemas.openxmlformats.org/officeDocument/2006/relationships/hyperlink" Target="https://documents-dds-ny.un.org/doc/UNDOC/GEN/G19/314/34/pdf/G1931434.pdf?OpenElement" TargetMode="External"/><Relationship Id="rId6" Type="http://schemas.openxmlformats.org/officeDocument/2006/relationships/hyperlink" Target="http://undocs.org/ru/E/C.12/COD/CO/5" TargetMode="External"/><Relationship Id="rId11" Type="http://schemas.openxmlformats.org/officeDocument/2006/relationships/hyperlink" Target="http://undocs.org/ru/E/C.12/2015/1" TargetMode="External"/><Relationship Id="rId5" Type="http://schemas.openxmlformats.org/officeDocument/2006/relationships/hyperlink" Target="https://documents-dds-ny.un.org/doc/UNDOC/GEN/G21/359/13/pdf/G2135913.pdf?OpenElement" TargetMode="External"/><Relationship Id="rId15" Type="http://schemas.openxmlformats.org/officeDocument/2006/relationships/hyperlink" Target="http://undocs.org/ru/E/C.12/2020/1" TargetMode="External"/><Relationship Id="rId10" Type="http://schemas.openxmlformats.org/officeDocument/2006/relationships/hyperlink" Target="http://undocs.org/ru/%09E/C.12/COD/CO/5" TargetMode="External"/><Relationship Id="rId4" Type="http://schemas.openxmlformats.org/officeDocument/2006/relationships/hyperlink" Target="https://documents-dds-ny.un.org/doc/UNDOC/GEN/G22/258/84/pdf/G2225884.pdf?OpenElement" TargetMode="External"/><Relationship Id="rId9" Type="http://schemas.openxmlformats.org/officeDocument/2006/relationships/hyperlink" Target="http://undocs.org/ru/CEDAW/C/COD/CO/8" TargetMode="External"/><Relationship Id="rId14" Type="http://schemas.openxmlformats.org/officeDocument/2006/relationships/hyperlink" Target="http://undocs.org/ru/A/HRC/4/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8</TotalTime>
  <Pages>16</Pages>
  <Words>5744</Words>
  <Characters>40728</Characters>
  <Application>Microsoft Office Word</Application>
  <DocSecurity>0</DocSecurity>
  <Lines>744</Lines>
  <Paragraphs>175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E/C.12/COD/CO/6</vt:lpstr>
      <vt:lpstr>A/</vt:lpstr>
      <vt:lpstr>A/</vt:lpstr>
    </vt:vector>
  </TitlesOfParts>
  <Company>DCM</Company>
  <LinksUpToDate>false</LinksUpToDate>
  <CharactersWithSpaces>46456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E/C.12/COD/CO/6</dc:title>
  <dc:subject/>
  <dc:creator>Ekaterina SALYNSKAYA</dc:creator>
  <cp:keywords/>
  <cp:lastModifiedBy>Ioulia Goussarova</cp:lastModifiedBy>
  <cp:revision>3</cp:revision>
  <cp:lastPrinted>2022-05-09T15:30:00Z</cp:lastPrinted>
  <dcterms:created xsi:type="dcterms:W3CDTF">2022-05-09T15:30:00Z</dcterms:created>
  <dcterms:modified xsi:type="dcterms:W3CDTF">2022-05-09T15:31:00Z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