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80"/>
        <w:gridCol w:w="2273"/>
        <w:gridCol w:w="3267"/>
        <w:gridCol w:w="2819"/>
      </w:tblGrid>
      <w:tr w:rsidR="002D5AAC" w:rsidRPr="00C8762E" w:rsidTr="00A4232C">
        <w:trPr>
          <w:trHeight w:hRule="exact" w:val="851"/>
        </w:trPr>
        <w:tc>
          <w:tcPr>
            <w:tcW w:w="1280" w:type="dxa"/>
            <w:tcBorders>
              <w:bottom w:val="single" w:sz="4" w:space="0" w:color="auto"/>
            </w:tcBorders>
          </w:tcPr>
          <w:p w:rsidR="002D5AAC" w:rsidRPr="00C8762E" w:rsidRDefault="002D5AAC" w:rsidP="005A2FC9"/>
        </w:tc>
        <w:tc>
          <w:tcPr>
            <w:tcW w:w="2273" w:type="dxa"/>
            <w:tcBorders>
              <w:bottom w:val="single" w:sz="4" w:space="0" w:color="auto"/>
            </w:tcBorders>
            <w:vAlign w:val="bottom"/>
          </w:tcPr>
          <w:p w:rsidR="002D5AAC" w:rsidRPr="00C8762E" w:rsidRDefault="00BD33EE" w:rsidP="005A2FC9">
            <w:pPr>
              <w:spacing w:after="80" w:line="300" w:lineRule="exact"/>
              <w:rPr>
                <w:sz w:val="28"/>
              </w:rPr>
            </w:pPr>
            <w:r w:rsidRPr="00C8762E">
              <w:rPr>
                <w:sz w:val="28"/>
              </w:rPr>
              <w:t>Naciones Unidas</w:t>
            </w:r>
          </w:p>
        </w:tc>
        <w:tc>
          <w:tcPr>
            <w:tcW w:w="6086" w:type="dxa"/>
            <w:gridSpan w:val="2"/>
            <w:tcBorders>
              <w:bottom w:val="single" w:sz="4" w:space="0" w:color="auto"/>
            </w:tcBorders>
            <w:vAlign w:val="bottom"/>
          </w:tcPr>
          <w:p w:rsidR="002D5AAC" w:rsidRPr="00C8762E" w:rsidRDefault="004A671A" w:rsidP="004A671A">
            <w:pPr>
              <w:jc w:val="right"/>
            </w:pPr>
            <w:r w:rsidRPr="00C8762E">
              <w:rPr>
                <w:sz w:val="40"/>
              </w:rPr>
              <w:t>E</w:t>
            </w:r>
            <w:r w:rsidRPr="00C8762E">
              <w:t>/C.12/COL/Q/6/Add.1</w:t>
            </w:r>
          </w:p>
        </w:tc>
      </w:tr>
      <w:tr w:rsidR="002D5AAC" w:rsidRPr="00C8762E" w:rsidTr="00A4232C">
        <w:trPr>
          <w:trHeight w:hRule="exact" w:val="2835"/>
        </w:trPr>
        <w:tc>
          <w:tcPr>
            <w:tcW w:w="1280" w:type="dxa"/>
            <w:tcBorders>
              <w:top w:val="single" w:sz="4" w:space="0" w:color="auto"/>
              <w:bottom w:val="single" w:sz="12" w:space="0" w:color="auto"/>
            </w:tcBorders>
          </w:tcPr>
          <w:p w:rsidR="002D5AAC" w:rsidRPr="00C8762E" w:rsidRDefault="0043503C" w:rsidP="005A2FC9">
            <w:pPr>
              <w:spacing w:before="120"/>
              <w:jc w:val="center"/>
            </w:pPr>
            <w:r w:rsidRPr="00C8762E">
              <w:rPr>
                <w:noProof/>
              </w:rPr>
              <w:drawing>
                <wp:inline distT="0" distB="0" distL="0" distR="0" wp14:anchorId="033B739F" wp14:editId="1ACF409A">
                  <wp:extent cx="714375" cy="590550"/>
                  <wp:effectExtent l="0" t="0" r="9525"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C8762E" w:rsidRDefault="004B19F2" w:rsidP="005A2FC9">
            <w:pPr>
              <w:spacing w:before="120" w:line="420" w:lineRule="exact"/>
              <w:rPr>
                <w:b/>
                <w:sz w:val="40"/>
                <w:szCs w:val="40"/>
              </w:rPr>
            </w:pPr>
            <w:r w:rsidRPr="00C8762E">
              <w:rPr>
                <w:b/>
                <w:sz w:val="40"/>
                <w:szCs w:val="40"/>
              </w:rPr>
              <w:t>Consejo Económico y Social</w:t>
            </w:r>
          </w:p>
        </w:tc>
        <w:tc>
          <w:tcPr>
            <w:tcW w:w="2819" w:type="dxa"/>
            <w:tcBorders>
              <w:top w:val="single" w:sz="4" w:space="0" w:color="auto"/>
              <w:bottom w:val="single" w:sz="12" w:space="0" w:color="auto"/>
            </w:tcBorders>
          </w:tcPr>
          <w:p w:rsidR="002D5AAC" w:rsidRPr="00C8762E" w:rsidRDefault="004A671A" w:rsidP="004A671A">
            <w:pPr>
              <w:spacing w:before="240" w:line="240" w:lineRule="exact"/>
            </w:pPr>
            <w:proofErr w:type="spellStart"/>
            <w:r w:rsidRPr="00C8762E">
              <w:t>Distr</w:t>
            </w:r>
            <w:proofErr w:type="spellEnd"/>
            <w:r w:rsidRPr="00C8762E">
              <w:t>. general</w:t>
            </w:r>
          </w:p>
          <w:p w:rsidR="00753078" w:rsidRPr="00C8762E" w:rsidRDefault="00054E05" w:rsidP="004A671A">
            <w:pPr>
              <w:spacing w:line="240" w:lineRule="exact"/>
            </w:pPr>
            <w:r w:rsidRPr="00C8762E">
              <w:t>20</w:t>
            </w:r>
            <w:r w:rsidR="004A671A" w:rsidRPr="00C8762E">
              <w:t xml:space="preserve"> de julio de 2017</w:t>
            </w:r>
          </w:p>
          <w:p w:rsidR="00655A80" w:rsidRPr="00C8762E" w:rsidRDefault="00655A80" w:rsidP="004A671A">
            <w:pPr>
              <w:spacing w:line="240" w:lineRule="exact"/>
            </w:pPr>
          </w:p>
          <w:p w:rsidR="004A671A" w:rsidRPr="00C8762E" w:rsidRDefault="004A671A" w:rsidP="004A671A">
            <w:pPr>
              <w:spacing w:line="240" w:lineRule="exact"/>
            </w:pPr>
            <w:r w:rsidRPr="00C8762E">
              <w:t xml:space="preserve">Original: </w:t>
            </w:r>
            <w:r w:rsidR="00054E05" w:rsidRPr="00C8762E">
              <w:t>E</w:t>
            </w:r>
            <w:r w:rsidRPr="00C8762E">
              <w:t>spañol</w:t>
            </w:r>
          </w:p>
          <w:p w:rsidR="00A4232C" w:rsidRPr="00C8762E" w:rsidRDefault="00A4232C" w:rsidP="004A671A">
            <w:pPr>
              <w:spacing w:line="240" w:lineRule="exact"/>
            </w:pPr>
            <w:r w:rsidRPr="00C8762E">
              <w:t>Español, francés e inglés únicamente</w:t>
            </w:r>
          </w:p>
        </w:tc>
      </w:tr>
    </w:tbl>
    <w:p w:rsidR="00A4232C" w:rsidRPr="00C8762E" w:rsidRDefault="00A4232C" w:rsidP="00A4232C">
      <w:pPr>
        <w:spacing w:before="120"/>
      </w:pPr>
      <w:r w:rsidRPr="00C8762E">
        <w:rPr>
          <w:b/>
          <w:sz w:val="24"/>
        </w:rPr>
        <w:t>Comité de Derechos Económicos, Sociales y Culturales</w:t>
      </w:r>
    </w:p>
    <w:p w:rsidR="00A4232C" w:rsidRPr="00C8762E" w:rsidRDefault="00CF60F3" w:rsidP="00A4232C">
      <w:pPr>
        <w:rPr>
          <w:b/>
        </w:rPr>
      </w:pPr>
      <w:r w:rsidRPr="00C8762E">
        <w:rPr>
          <w:b/>
        </w:rPr>
        <w:t>62º</w:t>
      </w:r>
      <w:r w:rsidR="00A4232C" w:rsidRPr="00C8762E">
        <w:rPr>
          <w:b/>
        </w:rPr>
        <w:t xml:space="preserve"> período de sesiones</w:t>
      </w:r>
    </w:p>
    <w:p w:rsidR="00A4232C" w:rsidRPr="00C8762E" w:rsidRDefault="00A4232C" w:rsidP="00A4232C">
      <w:r w:rsidRPr="00C8762E">
        <w:t>18 de septiembre</w:t>
      </w:r>
      <w:r w:rsidR="00CF60F3" w:rsidRPr="00C8762E">
        <w:t xml:space="preserve"> a </w:t>
      </w:r>
      <w:r w:rsidRPr="00C8762E">
        <w:t xml:space="preserve">6 de octubre </w:t>
      </w:r>
      <w:r w:rsidR="00054E05" w:rsidRPr="00C8762E">
        <w:t xml:space="preserve">de </w:t>
      </w:r>
      <w:r w:rsidRPr="00C8762E">
        <w:t>2017</w:t>
      </w:r>
    </w:p>
    <w:p w:rsidR="00A4232C" w:rsidRPr="00C8762E" w:rsidRDefault="00A4232C" w:rsidP="00A4232C">
      <w:r w:rsidRPr="00C8762E">
        <w:t>Tema 6</w:t>
      </w:r>
      <w:r w:rsidR="00CF60F3" w:rsidRPr="00C8762E">
        <w:t xml:space="preserve"> </w:t>
      </w:r>
      <w:r w:rsidRPr="00C8762E">
        <w:t>a) del programa</w:t>
      </w:r>
    </w:p>
    <w:p w:rsidR="00A4232C" w:rsidRPr="00C8762E" w:rsidRDefault="00A4232C" w:rsidP="00A4232C">
      <w:pPr>
        <w:adjustRightInd w:val="0"/>
        <w:spacing w:line="240" w:lineRule="auto"/>
        <w:rPr>
          <w:b/>
          <w:bCs/>
        </w:rPr>
      </w:pPr>
      <w:r w:rsidRPr="00C8762E">
        <w:rPr>
          <w:b/>
        </w:rPr>
        <w:t xml:space="preserve">Examen de los informes: </w:t>
      </w:r>
      <w:r w:rsidR="00054E05" w:rsidRPr="00C8762E">
        <w:rPr>
          <w:b/>
        </w:rPr>
        <w:br/>
        <w:t xml:space="preserve">Informes </w:t>
      </w:r>
      <w:r w:rsidRPr="00C8762E">
        <w:rPr>
          <w:b/>
        </w:rPr>
        <w:t>presentados</w:t>
      </w:r>
      <w:r w:rsidR="00054E05" w:rsidRPr="00C8762E">
        <w:rPr>
          <w:b/>
        </w:rPr>
        <w:t xml:space="preserve"> </w:t>
      </w:r>
      <w:r w:rsidRPr="00C8762E">
        <w:rPr>
          <w:b/>
        </w:rPr>
        <w:t xml:space="preserve">por los Estados partes </w:t>
      </w:r>
      <w:r w:rsidR="00054E05" w:rsidRPr="00C8762E">
        <w:rPr>
          <w:b/>
        </w:rPr>
        <w:br/>
      </w:r>
      <w:r w:rsidRPr="00C8762E">
        <w:rPr>
          <w:b/>
        </w:rPr>
        <w:t>en virtud de</w:t>
      </w:r>
      <w:r w:rsidR="00054E05" w:rsidRPr="00C8762E">
        <w:rPr>
          <w:b/>
        </w:rPr>
        <w:t xml:space="preserve"> </w:t>
      </w:r>
      <w:r w:rsidRPr="00C8762E">
        <w:rPr>
          <w:b/>
        </w:rPr>
        <w:t>los artículos 16 y 17 del Pacto</w:t>
      </w:r>
    </w:p>
    <w:p w:rsidR="00381C24" w:rsidRPr="00C8762E" w:rsidRDefault="00A4232C" w:rsidP="00A4232C">
      <w:pPr>
        <w:pStyle w:val="HChG"/>
      </w:pPr>
      <w:r w:rsidRPr="00C8762E">
        <w:tab/>
      </w:r>
      <w:r w:rsidRPr="00C8762E">
        <w:tab/>
        <w:t>Lista de cuestiones relativa al sexto informe periódico de</w:t>
      </w:r>
      <w:r w:rsidR="00054E05" w:rsidRPr="00C8762E">
        <w:t> </w:t>
      </w:r>
      <w:r w:rsidRPr="00C8762E">
        <w:t>Colombia</w:t>
      </w:r>
      <w:bookmarkStart w:id="0" w:name="_GoBack"/>
      <w:bookmarkEnd w:id="0"/>
    </w:p>
    <w:p w:rsidR="00A4232C" w:rsidRPr="00C8762E" w:rsidRDefault="00A4232C" w:rsidP="00A4232C">
      <w:pPr>
        <w:keepNext/>
        <w:keepLines/>
        <w:tabs>
          <w:tab w:val="right" w:pos="851"/>
        </w:tabs>
        <w:suppressAutoHyphens/>
        <w:spacing w:before="240" w:after="120" w:line="240" w:lineRule="exact"/>
        <w:ind w:left="1134" w:right="1134" w:hanging="1134"/>
        <w:rPr>
          <w:b/>
        </w:rPr>
      </w:pPr>
      <w:r w:rsidRPr="00C8762E">
        <w:rPr>
          <w:b/>
        </w:rPr>
        <w:tab/>
      </w:r>
      <w:r w:rsidRPr="00C8762E">
        <w:rPr>
          <w:b/>
        </w:rPr>
        <w:tab/>
        <w:t>Adición</w:t>
      </w:r>
    </w:p>
    <w:p w:rsidR="00A4232C" w:rsidRPr="00C8762E" w:rsidRDefault="00A4232C" w:rsidP="00A4232C">
      <w:pPr>
        <w:keepNext/>
        <w:keepLines/>
        <w:tabs>
          <w:tab w:val="right" w:pos="851"/>
        </w:tabs>
        <w:suppressAutoHyphens/>
        <w:spacing w:before="360" w:after="240" w:line="300" w:lineRule="exact"/>
        <w:ind w:left="1134" w:right="1134" w:hanging="1134"/>
        <w:rPr>
          <w:b/>
          <w:sz w:val="28"/>
        </w:rPr>
      </w:pPr>
      <w:r w:rsidRPr="00C8762E">
        <w:rPr>
          <w:b/>
          <w:sz w:val="28"/>
        </w:rPr>
        <w:tab/>
      </w:r>
      <w:r w:rsidRPr="00C8762E">
        <w:rPr>
          <w:b/>
          <w:sz w:val="28"/>
        </w:rPr>
        <w:tab/>
        <w:t>Respuestas de Colombia a la lista de cuestiones</w:t>
      </w:r>
      <w:r w:rsidRPr="00C8762E">
        <w:footnoteReference w:customMarkFollows="1" w:id="1"/>
        <w:t>*</w:t>
      </w:r>
      <w:r w:rsidR="00054E05" w:rsidRPr="00C8762E">
        <w:t xml:space="preserve"> </w:t>
      </w:r>
      <w:r w:rsidR="00291FC0" w:rsidRPr="00C8762E">
        <w:rPr>
          <w:rStyle w:val="Refdenotaalpie"/>
          <w:sz w:val="20"/>
          <w:vertAlign w:val="baseline"/>
        </w:rPr>
        <w:footnoteReference w:customMarkFollows="1" w:id="2"/>
        <w:t>**</w:t>
      </w:r>
    </w:p>
    <w:p w:rsidR="00A4232C" w:rsidRPr="00C8762E" w:rsidRDefault="00A4232C" w:rsidP="00067975">
      <w:pPr>
        <w:pStyle w:val="SingleTxtG"/>
        <w:jc w:val="right"/>
      </w:pPr>
      <w:r w:rsidRPr="00C8762E">
        <w:t xml:space="preserve">[Fecha de recepción: </w:t>
      </w:r>
      <w:r w:rsidR="00560DE6" w:rsidRPr="00C8762E">
        <w:t>5</w:t>
      </w:r>
      <w:r w:rsidRPr="00C8762E">
        <w:t xml:space="preserve"> de </w:t>
      </w:r>
      <w:r w:rsidR="004A0FDC" w:rsidRPr="00C8762E">
        <w:t>julio</w:t>
      </w:r>
      <w:r w:rsidRPr="00C8762E">
        <w:t xml:space="preserve"> de 2017]</w:t>
      </w:r>
    </w:p>
    <w:p w:rsidR="00753078" w:rsidRPr="00C8762E" w:rsidRDefault="00A4232C" w:rsidP="00753078">
      <w:pPr>
        <w:pStyle w:val="HChG"/>
        <w:tabs>
          <w:tab w:val="clear" w:pos="851"/>
        </w:tabs>
        <w:ind w:hanging="567"/>
      </w:pPr>
      <w:r w:rsidRPr="00C8762E">
        <w:br w:type="page"/>
      </w:r>
      <w:r w:rsidR="00753078" w:rsidRPr="00C8762E">
        <w:lastRenderedPageBreak/>
        <w:t>I.</w:t>
      </w:r>
      <w:r w:rsidR="00753078" w:rsidRPr="00C8762E">
        <w:tab/>
        <w:t>Información general</w:t>
      </w:r>
    </w:p>
    <w:p w:rsidR="00753078" w:rsidRPr="00C8762E" w:rsidRDefault="00753078" w:rsidP="00067975">
      <w:pPr>
        <w:pStyle w:val="H23G"/>
      </w:pPr>
      <w:r w:rsidRPr="00C8762E">
        <w:tab/>
        <w:t>1.</w:t>
      </w:r>
      <w:r w:rsidRPr="00C8762E">
        <w:tab/>
        <w:t>Realización de los derechos económicos, sociales y culturales en el marco del</w:t>
      </w:r>
      <w:r w:rsidR="00054E05" w:rsidRPr="00C8762E">
        <w:t> </w:t>
      </w:r>
      <w:r w:rsidRPr="00C8762E">
        <w:t>Acuerdo</w:t>
      </w:r>
      <w:r w:rsidR="00054E05" w:rsidRPr="00C8762E">
        <w:t> </w:t>
      </w:r>
      <w:r w:rsidRPr="00C8762E">
        <w:t>Final para la Terminación del Conflicto y la Construcción de</w:t>
      </w:r>
      <w:r w:rsidR="00054E05" w:rsidRPr="00C8762E">
        <w:t> </w:t>
      </w:r>
      <w:r w:rsidRPr="00C8762E">
        <w:t>una</w:t>
      </w:r>
      <w:r w:rsidR="00054E05" w:rsidRPr="00C8762E">
        <w:t> </w:t>
      </w:r>
      <w:r w:rsidRPr="00C8762E">
        <w:t>Paz</w:t>
      </w:r>
      <w:r w:rsidR="00054E05" w:rsidRPr="00C8762E">
        <w:t> </w:t>
      </w:r>
      <w:r w:rsidRPr="00C8762E">
        <w:t>Estable y Duradera (</w:t>
      </w:r>
      <w:r w:rsidR="00054E05" w:rsidRPr="00C8762E">
        <w:t xml:space="preserve">en </w:t>
      </w:r>
      <w:r w:rsidRPr="00C8762E">
        <w:t xml:space="preserve">adelante Acuerdo Final) </w:t>
      </w:r>
    </w:p>
    <w:p w:rsidR="00753078" w:rsidRPr="00C8762E" w:rsidRDefault="00054E05" w:rsidP="00067975">
      <w:pPr>
        <w:pStyle w:val="SingleTxtG"/>
      </w:pPr>
      <w:r w:rsidRPr="00C8762E">
        <w:t>1.</w:t>
      </w:r>
      <w:r w:rsidRPr="00C8762E">
        <w:tab/>
      </w:r>
      <w:r w:rsidR="00753078" w:rsidRPr="00C8762E">
        <w:t xml:space="preserve">El Acuerdo Final tiene como una de sus principales apuestas el mejoramiento de la calidad de vida de los habitantes de las regiones rurales, que han sido poblaciones afectadas por el conflicto. En este sentido, fueron acordadas una serie de medidas para satisfacer los derechos de esas poblaciones es; así, que se acordó la creación de </w:t>
      </w:r>
      <w:r w:rsidRPr="00C8762E">
        <w:t>“</w:t>
      </w:r>
      <w:r w:rsidR="00753078" w:rsidRPr="00C8762E">
        <w:t>Planes Nacionales para la Reforma Rural Integral</w:t>
      </w:r>
      <w:r w:rsidRPr="00C8762E">
        <w:t>”</w:t>
      </w:r>
      <w:r w:rsidR="00753078" w:rsidRPr="00C8762E">
        <w:t>, cuyos objetivos son, por una parte, la superación de la pobreza y la desigualdad para alcanzar el bienestar de la población rural; y por otra, la integración y el cierre de la brecha entre el campo y la ciudad. Los planes son: i) infraestructura y adecuación de tierras; ii) desarrollo social: salud, educación, vivienda, erradicación de la pobreza; iii) estímulos a la producción agropecuaria y a la economía solidaria y cooperativa; y iv) un sistema para la garantía progresiva del derecho a la alimentación.</w:t>
      </w:r>
    </w:p>
    <w:p w:rsidR="00753078" w:rsidRPr="00C8762E" w:rsidRDefault="00054E05" w:rsidP="00067975">
      <w:pPr>
        <w:pStyle w:val="SingleTxtG"/>
      </w:pPr>
      <w:r w:rsidRPr="00C8762E">
        <w:t>2.</w:t>
      </w:r>
      <w:r w:rsidRPr="00C8762E">
        <w:tab/>
      </w:r>
      <w:r w:rsidR="00753078" w:rsidRPr="00C8762E">
        <w:t>Se previeron diferentes instancias de participación en la ejecución concreta de ciertos mecanismos, por ejemplo, en los Programas de Desarrollo con Enfoque Territorial (PDET); en la priorización, ejecución y seguimiento de las obras en el plan de Infraestructura y adecuación de tierras; en la definición de las soluciones de vivienda en el plan nacional de desarrollo social; en el desarrollo de los planes de alimentación y nutrición; entre otros.</w:t>
      </w:r>
    </w:p>
    <w:p w:rsidR="00753078" w:rsidRPr="00C8762E" w:rsidRDefault="00054E05" w:rsidP="00067975">
      <w:pPr>
        <w:pStyle w:val="SingleTxtG"/>
      </w:pPr>
      <w:r w:rsidRPr="00C8762E">
        <w:t>3.</w:t>
      </w:r>
      <w:r w:rsidRPr="00C8762E">
        <w:tab/>
      </w:r>
      <w:r w:rsidR="00753078" w:rsidRPr="00C8762E">
        <w:t>En el marco de la Comisión de seguimiento, impulso y verificación a la implementación del Acuerdo Final (CSIVI) se acordó la creación de dos instancias, una de pueblos étnicos y otra de mujeres, para hacer seguimiento a la implementación del Acuerdo Final, con el fin de garantizar la incorporación del enfoque étnico y de género, respectivamente. Dentro de las funciones de estas instancias está ser las interlocutoras directas con la CSIVI, hacer recomendaciones y servir de consultoras en cada uno de los temas de su competencia.</w:t>
      </w:r>
    </w:p>
    <w:p w:rsidR="00753078" w:rsidRPr="00C8762E" w:rsidRDefault="00DF5A10" w:rsidP="00DF5A10">
      <w:pPr>
        <w:pStyle w:val="H23G"/>
      </w:pPr>
      <w:r w:rsidRPr="00C8762E">
        <w:tab/>
        <w:t>2.</w:t>
      </w:r>
      <w:r w:rsidRPr="00C8762E">
        <w:tab/>
      </w:r>
      <w:r w:rsidR="00753078" w:rsidRPr="00C8762E">
        <w:t>Protección a los defensores de derechos humanos y fortalecimiento de la Unidad Nacional de Protección (UNP).</w:t>
      </w:r>
    </w:p>
    <w:p w:rsidR="00753078" w:rsidRPr="00C8762E" w:rsidRDefault="00054E05" w:rsidP="00067975">
      <w:pPr>
        <w:pStyle w:val="SingleTxtG"/>
      </w:pPr>
      <w:r w:rsidRPr="00C8762E">
        <w:t>4.</w:t>
      </w:r>
      <w:r w:rsidRPr="00C8762E">
        <w:tab/>
      </w:r>
      <w:r w:rsidR="00753078" w:rsidRPr="00C8762E">
        <w:t>Es de aclarar que en Colombia la protección a los Defensores de Derechos Humanos se realiza sin hacer distinción alguna, respecto del tipo o clase de derechos protegen, bajo el entendido que los Derechos Humanos son universales, indivisibles, interrelacionados, e interdependientes.</w:t>
      </w:r>
    </w:p>
    <w:p w:rsidR="00753078" w:rsidRPr="00C8762E" w:rsidRDefault="00054E05" w:rsidP="00067975">
      <w:pPr>
        <w:pStyle w:val="SingleTxtG"/>
      </w:pPr>
      <w:r w:rsidRPr="00C8762E">
        <w:t>5.</w:t>
      </w:r>
      <w:r w:rsidRPr="00C8762E">
        <w:tab/>
      </w:r>
      <w:r w:rsidR="00753078" w:rsidRPr="00C8762E">
        <w:t xml:space="preserve">Para el efecto, se cuenta con la Mesa Nacional de Garantías que es un espacio tripartito del más alto nivel Estado, Sociedad Civil y Comunidad Internacional- dedicado exclusivamente a diseñar y poner en marcha medidas concertadas con los defensores de derechos humanos, para que </w:t>
      </w:r>
      <w:r w:rsidR="00777999" w:rsidRPr="00C8762E">
        <w:t>e</w:t>
      </w:r>
      <w:r w:rsidR="00753078" w:rsidRPr="00C8762E">
        <w:t>stos puedan desarrollar libremente su labor.</w:t>
      </w:r>
    </w:p>
    <w:p w:rsidR="00753078" w:rsidRPr="00C8762E" w:rsidRDefault="00054E05" w:rsidP="00067975">
      <w:pPr>
        <w:pStyle w:val="SingleTxtG"/>
      </w:pPr>
      <w:r w:rsidRPr="00C8762E">
        <w:t>6.</w:t>
      </w:r>
      <w:r w:rsidRPr="00C8762E">
        <w:tab/>
      </w:r>
      <w:r w:rsidR="00753078" w:rsidRPr="00C8762E">
        <w:t xml:space="preserve">Adicionalmente, se cuenta con el Grupo de Alto Nivel de Garantía de No repetición, creado en marzo de 2016, cuya función principal es el seguimiento e impulso a las investigaciones y amenazas contra los defensores de derechos humanos, para definir las acciones de prevención y brindar las medidas de protección necesarias para garantizar su vida, integridad, libertad y seguridad personal. </w:t>
      </w:r>
    </w:p>
    <w:p w:rsidR="00753078" w:rsidRPr="00C8762E" w:rsidRDefault="00054E05" w:rsidP="00067975">
      <w:pPr>
        <w:pStyle w:val="SingleTxtG"/>
      </w:pPr>
      <w:r w:rsidRPr="00C8762E">
        <w:t>7.</w:t>
      </w:r>
      <w:r w:rsidRPr="00C8762E">
        <w:tab/>
      </w:r>
      <w:r w:rsidR="00753078" w:rsidRPr="00C8762E">
        <w:t>Como un componente clave para la implementación efectiva de los Acuerdo de Paz, se instaló en diciembre de 2016 el Puesto de Mando Unificado, para el seguimiento y análisis de agresiones contra los defensores y líderes sociales, el cual es liderado por el Ministerio de Defensa Nacional y cuenta con la participación de la Presidencia de la República, el Ministerio del Interior, la Consejería Presidencial para los derechos humanos, el Comando General de las Fuerzas Militares, la Policía Nacional, la Fiscalía General de la Nación (FGN) y la UNP.</w:t>
      </w:r>
    </w:p>
    <w:p w:rsidR="00753078" w:rsidRPr="00C8762E" w:rsidRDefault="00054E05" w:rsidP="00067975">
      <w:pPr>
        <w:pStyle w:val="SingleTxtG"/>
      </w:pPr>
      <w:r w:rsidRPr="00C8762E">
        <w:t>8.</w:t>
      </w:r>
      <w:r w:rsidRPr="00C8762E">
        <w:tab/>
      </w:r>
      <w:r w:rsidR="00753078" w:rsidRPr="00C8762E">
        <w:t xml:space="preserve">Para garantizar el funcionamiento de la UNP el Gobierno colombiano ha destinado un presupuesto superior a los 160 millones de dólares. Adicionalmente a través de la </w:t>
      </w:r>
      <w:r w:rsidR="00777999" w:rsidRPr="00C8762E">
        <w:t xml:space="preserve">Resolución núm. </w:t>
      </w:r>
      <w:r w:rsidR="00753078" w:rsidRPr="00C8762E">
        <w:t xml:space="preserve">1085 de 2015 se creó la ruta de protección colectiva que permite a esta </w:t>
      </w:r>
      <w:r w:rsidR="00753078" w:rsidRPr="00C8762E">
        <w:lastRenderedPageBreak/>
        <w:t>unidad realizar evaluaciones de riesgo a los que se encuentran expuestas las comunidades o grupos por diferentes condiciones o situaciones.</w:t>
      </w:r>
    </w:p>
    <w:p w:rsidR="00753078" w:rsidRPr="00C8762E" w:rsidRDefault="00DF5A10" w:rsidP="00DF5A10">
      <w:pPr>
        <w:pStyle w:val="H23G"/>
      </w:pPr>
      <w:r w:rsidRPr="00C8762E">
        <w:tab/>
        <w:t>3.</w:t>
      </w:r>
      <w:r w:rsidRPr="00C8762E">
        <w:tab/>
      </w:r>
      <w:r w:rsidR="00753078" w:rsidRPr="00C8762E">
        <w:t>Política pública nacional sobre empresas y derechos humanos y principio de</w:t>
      </w:r>
      <w:r w:rsidR="00777999" w:rsidRPr="00C8762E">
        <w:t> </w:t>
      </w:r>
      <w:r w:rsidR="00054E05" w:rsidRPr="00C8762E">
        <w:t>“</w:t>
      </w:r>
      <w:r w:rsidR="00753078" w:rsidRPr="00C8762E">
        <w:t>debida</w:t>
      </w:r>
      <w:r w:rsidR="00777999" w:rsidRPr="00C8762E">
        <w:t> </w:t>
      </w:r>
      <w:r w:rsidR="00753078" w:rsidRPr="00C8762E">
        <w:t>diligencia</w:t>
      </w:r>
      <w:r w:rsidR="00054E05" w:rsidRPr="00C8762E">
        <w:t>”</w:t>
      </w:r>
    </w:p>
    <w:p w:rsidR="00753078" w:rsidRPr="00C8762E" w:rsidRDefault="00054E05" w:rsidP="00067975">
      <w:pPr>
        <w:pStyle w:val="SingleTxtG"/>
      </w:pPr>
      <w:r w:rsidRPr="00C8762E">
        <w:t>9.</w:t>
      </w:r>
      <w:r w:rsidRPr="00C8762E">
        <w:tab/>
      </w:r>
      <w:r w:rsidR="00753078" w:rsidRPr="00C8762E">
        <w:t xml:space="preserve">El Plan Nacional de Empresas y Derechos Humanos, como instrumento de política pública, comprende líneas y estrategias para que las empresas mejoren su gestión con las comunidades donde operan, armonizando así la protección y garantía de los derechos humanos y el desarrollo económico. El plan contempla un trabajo interinstitucional, que abarca a todas las entidades del gobierno nacional involucradas en la materia y a la sociedad civil, y prioriza tres sectores económicos (minero-energético, agroindustria e infraestructura vial), debido a que pueden generar mayor conflictividad social por sus impactos en derechos humanos y en el medio ambiente. </w:t>
      </w:r>
    </w:p>
    <w:p w:rsidR="00753078" w:rsidRPr="00C8762E" w:rsidRDefault="00054E05" w:rsidP="00067975">
      <w:pPr>
        <w:pStyle w:val="SingleTxtG"/>
      </w:pPr>
      <w:r w:rsidRPr="00C8762E">
        <w:t>10.</w:t>
      </w:r>
      <w:r w:rsidRPr="00C8762E">
        <w:tab/>
      </w:r>
      <w:r w:rsidR="00753078" w:rsidRPr="00C8762E">
        <w:t xml:space="preserve">Las líneas de acción del Plan contienen compromisos de distinta naturaleza, y para su cumplimiento es posible que se precise desarrollar instrumentos de carácter legal o reglamentario; sin embargo, en el estado actual del Plan y sus avances no hay instrumentos de estas características. </w:t>
      </w:r>
    </w:p>
    <w:p w:rsidR="00753078" w:rsidRPr="00C8762E" w:rsidRDefault="00054E05" w:rsidP="00067975">
      <w:pPr>
        <w:pStyle w:val="SingleTxtG"/>
      </w:pPr>
      <w:r w:rsidRPr="00C8762E">
        <w:t>11.</w:t>
      </w:r>
      <w:r w:rsidRPr="00C8762E">
        <w:tab/>
      </w:r>
      <w:r w:rsidR="00753078" w:rsidRPr="00C8762E">
        <w:t xml:space="preserve">Teniendo en cuenta que el objetivo primordial del Plan es posicionar la agenda de los Principios Rectores y demás estándares internacionales en la materia en Colombia; se han ejecutado diferentes iniciativas que buscan visibilizar buenas prácticas y compartir lecciones aprendidas en la implementación del principio de debida diligencia. A través de los diferentes escenarios </w:t>
      </w:r>
      <w:proofErr w:type="spellStart"/>
      <w:r w:rsidR="00753078" w:rsidRPr="00C8762E">
        <w:t>multiactor</w:t>
      </w:r>
      <w:proofErr w:type="spellEnd"/>
      <w:r w:rsidR="00753078" w:rsidRPr="00C8762E">
        <w:t>, se ha logrado la construcción de consensos y la elaboración de guías y políticas especialmente aplicado a sectores de actividad empresarial de alto riesgo. El punto de partida para esta construcción son las herramientas de planificación del territorio, tales como los Planes de Desarrollo y Ordenamiento Departamentales y Municipales.</w:t>
      </w:r>
    </w:p>
    <w:p w:rsidR="00753078" w:rsidRPr="00C8762E" w:rsidRDefault="00753078" w:rsidP="00753078">
      <w:pPr>
        <w:pStyle w:val="HChG"/>
        <w:tabs>
          <w:tab w:val="clear" w:pos="851"/>
        </w:tabs>
        <w:ind w:hanging="567"/>
        <w:rPr>
          <w:b w:val="0"/>
        </w:rPr>
      </w:pPr>
      <w:r w:rsidRPr="00C8762E">
        <w:t>II.</w:t>
      </w:r>
      <w:r w:rsidRPr="00C8762E">
        <w:tab/>
        <w:t>Cuestiones relativas a las disposiciones generales del</w:t>
      </w:r>
      <w:r w:rsidR="00EC0040" w:rsidRPr="00C8762E">
        <w:t> </w:t>
      </w:r>
      <w:r w:rsidRPr="00C8762E">
        <w:t>Pacto</w:t>
      </w:r>
      <w:r w:rsidR="00EC0040" w:rsidRPr="00C8762E">
        <w:t> </w:t>
      </w:r>
      <w:r w:rsidRPr="00C8762E">
        <w:t>(arts</w:t>
      </w:r>
      <w:r w:rsidR="00EC0040" w:rsidRPr="00C8762E">
        <w:t>.</w:t>
      </w:r>
      <w:r w:rsidRPr="00C8762E">
        <w:t xml:space="preserve"> 1 a 5)</w:t>
      </w:r>
    </w:p>
    <w:p w:rsidR="00753078" w:rsidRPr="00C8762E" w:rsidRDefault="00DF5A10" w:rsidP="00DF5A10">
      <w:pPr>
        <w:pStyle w:val="H1G"/>
      </w:pPr>
      <w:r w:rsidRPr="00C8762E">
        <w:tab/>
      </w:r>
      <w:r w:rsidRPr="00C8762E">
        <w:tab/>
      </w:r>
      <w:r w:rsidR="00753078" w:rsidRPr="00C8762E">
        <w:t>Artículo 1, párrafo 2</w:t>
      </w:r>
    </w:p>
    <w:p w:rsidR="00753078" w:rsidRPr="00C8762E" w:rsidRDefault="00DF5A10" w:rsidP="00DF5A10">
      <w:pPr>
        <w:pStyle w:val="H23G"/>
      </w:pPr>
      <w:r w:rsidRPr="00C8762E">
        <w:tab/>
        <w:t>1.</w:t>
      </w:r>
      <w:r w:rsidRPr="00C8762E">
        <w:tab/>
      </w:r>
      <w:r w:rsidR="00753078" w:rsidRPr="00C8762E">
        <w:t>Procedimiento de consulta previa</w:t>
      </w:r>
    </w:p>
    <w:p w:rsidR="00753078" w:rsidRPr="00C8762E" w:rsidRDefault="00054E05" w:rsidP="00067975">
      <w:pPr>
        <w:pStyle w:val="SingleTxtG"/>
      </w:pPr>
      <w:r w:rsidRPr="00C8762E">
        <w:t>12.</w:t>
      </w:r>
      <w:r w:rsidRPr="00C8762E">
        <w:tab/>
      </w:r>
      <w:r w:rsidR="00753078" w:rsidRPr="00C8762E">
        <w:t>El Presidente de la República emitió la Directiva Presidencial No.10, de noviembre de 2013 con el fin de promover y proteger el derecho fundamental a la Consulta Previa de las comunidades étnicas nacionales y mediante dicho documento presentó una guía interinstitucional para el desarrollo de la misma, unificando procedimientos ya determinados por la Corte Constitucional y estableciendo pasos, resultados y evidencias a desarrollar en cada una de las etapas de la consulta, así:</w:t>
      </w:r>
    </w:p>
    <w:p w:rsidR="00753078" w:rsidRPr="00C8762E" w:rsidRDefault="00753078" w:rsidP="00DF5A10">
      <w:pPr>
        <w:pStyle w:val="Bullet1G"/>
      </w:pPr>
      <w:r w:rsidRPr="00C8762E">
        <w:rPr>
          <w:i/>
        </w:rPr>
        <w:t>Etapa de Certificación</w:t>
      </w:r>
      <w:r w:rsidR="00054E05" w:rsidRPr="00C8762E">
        <w:rPr>
          <w:i/>
        </w:rPr>
        <w:t>.</w:t>
      </w:r>
      <w:r w:rsidRPr="00C8762E">
        <w:t xml:space="preserve"> Se verifica la presencia de grupos étnicos en el área del proyecto. Ver anexo 1.</w:t>
      </w:r>
    </w:p>
    <w:p w:rsidR="00753078" w:rsidRPr="00C8762E" w:rsidRDefault="00753078" w:rsidP="00DF5A10">
      <w:pPr>
        <w:pStyle w:val="Bullet1G"/>
      </w:pPr>
      <w:r w:rsidRPr="00C8762E">
        <w:rPr>
          <w:i/>
        </w:rPr>
        <w:t xml:space="preserve">Etapa de </w:t>
      </w:r>
      <w:proofErr w:type="spellStart"/>
      <w:r w:rsidRPr="00C8762E">
        <w:rPr>
          <w:i/>
        </w:rPr>
        <w:t>Preconsulta</w:t>
      </w:r>
      <w:proofErr w:type="spellEnd"/>
      <w:r w:rsidR="00054E05" w:rsidRPr="00C8762E">
        <w:rPr>
          <w:i/>
        </w:rPr>
        <w:t>.</w:t>
      </w:r>
      <w:r w:rsidRPr="00C8762E">
        <w:t xml:space="preserve"> Se presenta a la comunidad el marco normativo de la consulta previa y se acuerda la metodología para desarrollar de conformidad a lo establecido por la Sentencia C-461 de 2008, </w:t>
      </w:r>
      <w:r w:rsidR="00054E05" w:rsidRPr="00C8762E">
        <w:t>asi</w:t>
      </w:r>
      <w:r w:rsidRPr="00C8762E">
        <w:t>mismo, durante la apertura se presenta a la comunidad el proyecto y la empresa que lo va a implementar.</w:t>
      </w:r>
    </w:p>
    <w:p w:rsidR="00753078" w:rsidRPr="00C8762E" w:rsidRDefault="00753078" w:rsidP="00DF5A10">
      <w:pPr>
        <w:pStyle w:val="Bullet1G"/>
      </w:pPr>
      <w:r w:rsidRPr="00C8762E">
        <w:rPr>
          <w:i/>
        </w:rPr>
        <w:t>Etapa de Consulta Previa</w:t>
      </w:r>
      <w:r w:rsidR="00054E05" w:rsidRPr="00C8762E">
        <w:rPr>
          <w:i/>
        </w:rPr>
        <w:t>.</w:t>
      </w:r>
      <w:r w:rsidRPr="00C8762E">
        <w:t xml:space="preserve"> En esta se analizan específicamente las actividades del proyecto y se fijan los acuerdos de consulta, mediante el desarrollo de tres instancias:</w:t>
      </w:r>
    </w:p>
    <w:p w:rsidR="00753078" w:rsidRPr="00C8762E" w:rsidRDefault="00753078" w:rsidP="00DF5A10">
      <w:pPr>
        <w:pStyle w:val="Bullet2G"/>
      </w:pPr>
      <w:r w:rsidRPr="00C8762E">
        <w:t>Momento de Análisis e Identificación de Impactos y Formulación de Medidas Manejo</w:t>
      </w:r>
      <w:r w:rsidR="00EC0040" w:rsidRPr="00C8762E">
        <w:t>.</w:t>
      </w:r>
    </w:p>
    <w:p w:rsidR="00753078" w:rsidRPr="00C8762E" w:rsidRDefault="00753078" w:rsidP="00DF5A10">
      <w:pPr>
        <w:pStyle w:val="Bullet2G"/>
      </w:pPr>
      <w:r w:rsidRPr="00C8762E">
        <w:t>Momento de Formulación de Acuerdos</w:t>
      </w:r>
      <w:r w:rsidR="00EC0040" w:rsidRPr="00C8762E">
        <w:t>.</w:t>
      </w:r>
    </w:p>
    <w:p w:rsidR="00753078" w:rsidRPr="00C8762E" w:rsidRDefault="00753078" w:rsidP="00DF5A10">
      <w:pPr>
        <w:pStyle w:val="Bullet2G"/>
      </w:pPr>
      <w:r w:rsidRPr="00C8762E">
        <w:t>Momento de Protocolización</w:t>
      </w:r>
      <w:r w:rsidR="00054E05" w:rsidRPr="00C8762E">
        <w:t>.</w:t>
      </w:r>
    </w:p>
    <w:p w:rsidR="00753078" w:rsidRPr="00C8762E" w:rsidRDefault="00753078" w:rsidP="00DF5A10">
      <w:pPr>
        <w:pStyle w:val="Bullet2G"/>
      </w:pPr>
      <w:r w:rsidRPr="00C8762E">
        <w:rPr>
          <w:i/>
        </w:rPr>
        <w:lastRenderedPageBreak/>
        <w:t>Etapa de Cierre</w:t>
      </w:r>
      <w:r w:rsidR="00054E05" w:rsidRPr="00C8762E">
        <w:rPr>
          <w:i/>
        </w:rPr>
        <w:t>.</w:t>
      </w:r>
      <w:r w:rsidR="00054E05" w:rsidRPr="00C8762E">
        <w:t xml:space="preserve"> </w:t>
      </w:r>
      <w:r w:rsidRPr="00C8762E">
        <w:t>Se verifica el cumplimiento de los compromisos adquiridos y protocolizados. Se cierra el proceso de consulta una vez se verifique el cumplimiento de la totalidad de los compromisos adquiridos.</w:t>
      </w:r>
    </w:p>
    <w:p w:rsidR="00753078" w:rsidRPr="00C8762E" w:rsidRDefault="00054E05" w:rsidP="00067975">
      <w:pPr>
        <w:pStyle w:val="SingleTxtG"/>
      </w:pPr>
      <w:r w:rsidRPr="00C8762E">
        <w:t>13.</w:t>
      </w:r>
      <w:r w:rsidRPr="00C8762E">
        <w:tab/>
      </w:r>
      <w:r w:rsidR="00753078" w:rsidRPr="00C8762E">
        <w:t xml:space="preserve">En cuanto a la Promulgación y Trámite Legislativo de la Norma Reglamentaria sobre el Derecho Fundamental de Consulta Previa, en octubre de 2016, el Gobierno Nacional radicó el Proyecto de Ley Estatutaria ante las Autoridades Representativas de la Comunidades Étnicas del País (Espacio Nacional de Comunidades Negras, Afrocolombianas, Raizales y </w:t>
      </w:r>
      <w:proofErr w:type="spellStart"/>
      <w:r w:rsidR="00753078" w:rsidRPr="00C8762E">
        <w:t>Palenqueras</w:t>
      </w:r>
      <w:proofErr w:type="spellEnd"/>
      <w:r w:rsidR="00753078" w:rsidRPr="00C8762E">
        <w:t xml:space="preserve"> </w:t>
      </w:r>
      <w:r w:rsidR="00D1717D" w:rsidRPr="00C8762E">
        <w:t xml:space="preserve">– </w:t>
      </w:r>
      <w:proofErr w:type="spellStart"/>
      <w:r w:rsidR="00753078" w:rsidRPr="00C8762E">
        <w:t>ENCPCNARP</w:t>
      </w:r>
      <w:proofErr w:type="spellEnd"/>
      <w:r w:rsidR="00753078" w:rsidRPr="00C8762E">
        <w:t>); Mesa Permanente de Concertación Indígena (MPC) y Comisión Nacional de Diálogo del Pueblo ROM. Posteriormente el Ministerio del Interior, inició el acercamiento ante los diferentes espacios para exponer el interés de iniciar la Reglamentación de Consulta Previa y se realizaron diferentes actividades que involucraron a las entidades del gobierno, gremios, partidos políticos, comunidades y la academia.</w:t>
      </w:r>
    </w:p>
    <w:p w:rsidR="00753078" w:rsidRPr="00C8762E" w:rsidRDefault="00054E05" w:rsidP="00067975">
      <w:pPr>
        <w:pStyle w:val="SingleTxtG"/>
      </w:pPr>
      <w:r w:rsidRPr="00C8762E">
        <w:t>14.</w:t>
      </w:r>
      <w:r w:rsidRPr="00C8762E">
        <w:tab/>
      </w:r>
      <w:r w:rsidR="00753078" w:rsidRPr="00C8762E">
        <w:t>No obstante, por decisión autónoma de los Delegados del ENCPCNARP, no fue posible avanzar en ese sentido, entre otras cosas porque se condicionó la Consulta al estudio de otros asuntos.</w:t>
      </w:r>
      <w:r w:rsidR="00462771" w:rsidRPr="00C8762E">
        <w:t xml:space="preserve"> </w:t>
      </w:r>
      <w:r w:rsidR="00753078" w:rsidRPr="00C8762E">
        <w:t>Finalmente, en marzo de 2017 se llevó a cabo una sesión extraordinaria de la MPC, en la cual se retiró el proyecto de Ley Estatutaria por parte del Gobierno Nacional.</w:t>
      </w:r>
    </w:p>
    <w:p w:rsidR="00753078" w:rsidRPr="00C8762E" w:rsidRDefault="00054E05" w:rsidP="00067975">
      <w:pPr>
        <w:pStyle w:val="SingleTxtG"/>
      </w:pPr>
      <w:r w:rsidRPr="00C8762E">
        <w:t>15.</w:t>
      </w:r>
      <w:r w:rsidRPr="00C8762E">
        <w:tab/>
      </w:r>
      <w:r w:rsidR="00753078" w:rsidRPr="00C8762E">
        <w:t xml:space="preserve">Actualmente, se encuentra en proceso de construcción un nuevo proyecto de norma, el cual contará con la participación de las entidades del orden nacional que tienen incidencia en el tema, se propiciaran espacios consultivos con las organizaciones representativas de los pueblos y organizaciones indígenas, así como la realización de diferentes actividades académicas como es el encuentro con los gremios económicos, sociales, educativos del país, con el fin de que este proyecto de ley cumpla con todos los estándares internacionales. </w:t>
      </w:r>
    </w:p>
    <w:p w:rsidR="00753078" w:rsidRPr="00C8762E" w:rsidRDefault="00DF5A10" w:rsidP="00DF5A10">
      <w:pPr>
        <w:pStyle w:val="H1G"/>
      </w:pPr>
      <w:r w:rsidRPr="00C8762E">
        <w:tab/>
      </w:r>
      <w:r w:rsidRPr="00C8762E">
        <w:tab/>
      </w:r>
      <w:r w:rsidR="00753078" w:rsidRPr="00C8762E">
        <w:t>Artículo 2, párrafo 1</w:t>
      </w:r>
    </w:p>
    <w:p w:rsidR="00753078" w:rsidRPr="00C8762E" w:rsidRDefault="00DF5A10" w:rsidP="00DF5A10">
      <w:pPr>
        <w:pStyle w:val="H23G"/>
      </w:pPr>
      <w:r w:rsidRPr="00C8762E">
        <w:tab/>
      </w:r>
      <w:r w:rsidR="005C379D" w:rsidRPr="00C8762E">
        <w:t>2</w:t>
      </w:r>
      <w:r w:rsidRPr="00C8762E">
        <w:t>.</w:t>
      </w:r>
      <w:r w:rsidRPr="00C8762E">
        <w:tab/>
      </w:r>
      <w:r w:rsidR="00753078" w:rsidRPr="00C8762E">
        <w:t xml:space="preserve">Recursos presupuestarios destinados al gasto social </w:t>
      </w:r>
    </w:p>
    <w:p w:rsidR="00E042CF" w:rsidRPr="00C8762E" w:rsidRDefault="00E042CF" w:rsidP="00E042CF">
      <w:pPr>
        <w:pStyle w:val="Ttulo1"/>
        <w:rPr>
          <w:b/>
          <w:lang w:val="es-ES"/>
        </w:rPr>
      </w:pPr>
      <w:r w:rsidRPr="00C8762E">
        <w:rPr>
          <w:b/>
          <w:lang w:val="es-ES"/>
        </w:rPr>
        <w:t>Ministerio de Hacienda y Crédito Público</w:t>
      </w:r>
      <w:r w:rsidR="00054E05" w:rsidRPr="00C8762E">
        <w:rPr>
          <w:b/>
          <w:lang w:val="es-ES"/>
        </w:rPr>
        <w:t xml:space="preserve"> – </w:t>
      </w:r>
      <w:r w:rsidRPr="00C8762E">
        <w:rPr>
          <w:b/>
          <w:lang w:val="es-ES"/>
        </w:rPr>
        <w:t>Distribución Gasto Social</w:t>
      </w:r>
    </w:p>
    <w:p w:rsidR="00E042CF" w:rsidRPr="00C8762E" w:rsidRDefault="00E042CF" w:rsidP="00067975">
      <w:pPr>
        <w:pStyle w:val="Ttulo1"/>
        <w:spacing w:after="120"/>
        <w:rPr>
          <w:sz w:val="16"/>
          <w:szCs w:val="16"/>
          <w:lang w:val="es-ES"/>
        </w:rPr>
      </w:pPr>
      <w:r w:rsidRPr="00C8762E">
        <w:rPr>
          <w:sz w:val="16"/>
          <w:szCs w:val="16"/>
          <w:lang w:val="es-ES"/>
        </w:rPr>
        <w:t>(</w:t>
      </w:r>
      <w:r w:rsidR="007271D6" w:rsidRPr="00C8762E">
        <w:rPr>
          <w:sz w:val="16"/>
          <w:szCs w:val="16"/>
          <w:lang w:val="es-ES"/>
        </w:rPr>
        <w:t xml:space="preserve">Cifras </w:t>
      </w:r>
      <w:r w:rsidRPr="00C8762E">
        <w:rPr>
          <w:sz w:val="16"/>
          <w:szCs w:val="16"/>
          <w:lang w:val="es-ES"/>
        </w:rPr>
        <w:t>en miles de millones de pesos)</w:t>
      </w:r>
    </w:p>
    <w:tbl>
      <w:tblPr>
        <w:tblW w:w="8504" w:type="dxa"/>
        <w:tblInd w:w="1134" w:type="dxa"/>
        <w:tblBorders>
          <w:top w:val="single" w:sz="4" w:space="0" w:color="FFFFFF" w:themeColor="background1"/>
        </w:tblBorders>
        <w:tblCellMar>
          <w:left w:w="0" w:type="dxa"/>
          <w:right w:w="0" w:type="dxa"/>
        </w:tblCellMar>
        <w:tblLook w:val="04A0" w:firstRow="1" w:lastRow="0" w:firstColumn="1" w:lastColumn="0" w:noHBand="0" w:noVBand="1"/>
      </w:tblPr>
      <w:tblGrid>
        <w:gridCol w:w="4884"/>
        <w:gridCol w:w="724"/>
        <w:gridCol w:w="724"/>
        <w:gridCol w:w="724"/>
        <w:gridCol w:w="724"/>
        <w:gridCol w:w="724"/>
      </w:tblGrid>
      <w:tr w:rsidR="003B7F0E" w:rsidRPr="00C8762E" w:rsidTr="00D1717D">
        <w:trPr>
          <w:tblHeader/>
        </w:trPr>
        <w:tc>
          <w:tcPr>
            <w:tcW w:w="0" w:type="auto"/>
            <w:tcBorders>
              <w:top w:val="single" w:sz="4" w:space="0" w:color="auto"/>
              <w:bottom w:val="single" w:sz="12" w:space="0" w:color="auto"/>
            </w:tcBorders>
            <w:shd w:val="clear" w:color="auto" w:fill="auto"/>
            <w:noWrap/>
            <w:vAlign w:val="bottom"/>
            <w:hideMark/>
          </w:tcPr>
          <w:p w:rsidR="003B7F0E" w:rsidRPr="00C8762E" w:rsidRDefault="003B7F0E" w:rsidP="00D1717D">
            <w:pPr>
              <w:pStyle w:val="SingleTxtG"/>
              <w:spacing w:before="80" w:after="80" w:line="200" w:lineRule="exact"/>
              <w:ind w:left="0" w:right="0"/>
              <w:jc w:val="left"/>
              <w:rPr>
                <w:bCs/>
                <w:i/>
                <w:sz w:val="16"/>
              </w:rPr>
            </w:pPr>
            <w:r w:rsidRPr="00C8762E">
              <w:rPr>
                <w:bCs/>
                <w:i/>
                <w:sz w:val="16"/>
              </w:rPr>
              <w:t>Concepto</w:t>
            </w:r>
          </w:p>
        </w:tc>
        <w:tc>
          <w:tcPr>
            <w:tcW w:w="0" w:type="auto"/>
            <w:tcBorders>
              <w:top w:val="single" w:sz="4" w:space="0" w:color="auto"/>
              <w:bottom w:val="single" w:sz="12" w:space="0" w:color="auto"/>
            </w:tcBorders>
            <w:shd w:val="clear" w:color="auto" w:fill="auto"/>
            <w:noWrap/>
            <w:vAlign w:val="bottom"/>
            <w:hideMark/>
          </w:tcPr>
          <w:p w:rsidR="003B7F0E" w:rsidRPr="00C8762E" w:rsidRDefault="003B7F0E" w:rsidP="00D1717D">
            <w:pPr>
              <w:pStyle w:val="SingleTxtG"/>
              <w:spacing w:before="80" w:after="80" w:line="200" w:lineRule="exact"/>
              <w:ind w:left="113" w:right="0"/>
              <w:jc w:val="right"/>
              <w:rPr>
                <w:bCs/>
                <w:i/>
                <w:sz w:val="16"/>
              </w:rPr>
            </w:pPr>
            <w:r w:rsidRPr="00C8762E">
              <w:rPr>
                <w:bCs/>
                <w:i/>
                <w:sz w:val="16"/>
              </w:rPr>
              <w:t>2013</w:t>
            </w:r>
          </w:p>
        </w:tc>
        <w:tc>
          <w:tcPr>
            <w:tcW w:w="0" w:type="auto"/>
            <w:tcBorders>
              <w:top w:val="single" w:sz="4" w:space="0" w:color="auto"/>
              <w:bottom w:val="single" w:sz="12" w:space="0" w:color="auto"/>
            </w:tcBorders>
            <w:shd w:val="clear" w:color="auto" w:fill="auto"/>
            <w:noWrap/>
            <w:vAlign w:val="bottom"/>
            <w:hideMark/>
          </w:tcPr>
          <w:p w:rsidR="003B7F0E" w:rsidRPr="00C8762E" w:rsidRDefault="003B7F0E" w:rsidP="00D1717D">
            <w:pPr>
              <w:pStyle w:val="SingleTxtG"/>
              <w:spacing w:before="80" w:after="80" w:line="200" w:lineRule="exact"/>
              <w:ind w:left="113" w:right="0"/>
              <w:jc w:val="right"/>
              <w:rPr>
                <w:bCs/>
                <w:i/>
                <w:sz w:val="16"/>
              </w:rPr>
            </w:pPr>
            <w:r w:rsidRPr="00C8762E">
              <w:rPr>
                <w:bCs/>
                <w:i/>
                <w:sz w:val="16"/>
              </w:rPr>
              <w:t>2014</w:t>
            </w:r>
          </w:p>
        </w:tc>
        <w:tc>
          <w:tcPr>
            <w:tcW w:w="0" w:type="auto"/>
            <w:tcBorders>
              <w:top w:val="single" w:sz="4" w:space="0" w:color="auto"/>
              <w:bottom w:val="single" w:sz="12" w:space="0" w:color="auto"/>
            </w:tcBorders>
            <w:shd w:val="clear" w:color="auto" w:fill="auto"/>
            <w:noWrap/>
            <w:vAlign w:val="bottom"/>
            <w:hideMark/>
          </w:tcPr>
          <w:p w:rsidR="003B7F0E" w:rsidRPr="00C8762E" w:rsidRDefault="003B7F0E" w:rsidP="00D1717D">
            <w:pPr>
              <w:pStyle w:val="SingleTxtG"/>
              <w:spacing w:before="80" w:after="80" w:line="200" w:lineRule="exact"/>
              <w:ind w:left="113" w:right="0"/>
              <w:jc w:val="right"/>
              <w:rPr>
                <w:bCs/>
                <w:i/>
                <w:sz w:val="16"/>
              </w:rPr>
            </w:pPr>
            <w:r w:rsidRPr="00C8762E">
              <w:rPr>
                <w:bCs/>
                <w:i/>
                <w:sz w:val="16"/>
              </w:rPr>
              <w:t>2015</w:t>
            </w:r>
          </w:p>
        </w:tc>
        <w:tc>
          <w:tcPr>
            <w:tcW w:w="0" w:type="auto"/>
            <w:tcBorders>
              <w:top w:val="single" w:sz="4" w:space="0" w:color="auto"/>
              <w:bottom w:val="single" w:sz="12" w:space="0" w:color="auto"/>
            </w:tcBorders>
            <w:shd w:val="clear" w:color="auto" w:fill="auto"/>
            <w:noWrap/>
            <w:vAlign w:val="bottom"/>
            <w:hideMark/>
          </w:tcPr>
          <w:p w:rsidR="003B7F0E" w:rsidRPr="00C8762E" w:rsidRDefault="003B7F0E" w:rsidP="00D1717D">
            <w:pPr>
              <w:pStyle w:val="SingleTxtG"/>
              <w:spacing w:before="80" w:after="80" w:line="200" w:lineRule="exact"/>
              <w:ind w:left="113" w:right="0"/>
              <w:jc w:val="right"/>
              <w:rPr>
                <w:bCs/>
                <w:i/>
                <w:sz w:val="16"/>
              </w:rPr>
            </w:pPr>
            <w:r w:rsidRPr="00C8762E">
              <w:rPr>
                <w:bCs/>
                <w:i/>
                <w:sz w:val="16"/>
              </w:rPr>
              <w:t>2016</w:t>
            </w:r>
          </w:p>
        </w:tc>
        <w:tc>
          <w:tcPr>
            <w:tcW w:w="0" w:type="auto"/>
            <w:tcBorders>
              <w:top w:val="single" w:sz="4" w:space="0" w:color="auto"/>
              <w:bottom w:val="single" w:sz="12" w:space="0" w:color="auto"/>
            </w:tcBorders>
            <w:shd w:val="clear" w:color="auto" w:fill="auto"/>
            <w:noWrap/>
            <w:vAlign w:val="bottom"/>
            <w:hideMark/>
          </w:tcPr>
          <w:p w:rsidR="003B7F0E" w:rsidRPr="00C8762E" w:rsidRDefault="003B7F0E" w:rsidP="00D1717D">
            <w:pPr>
              <w:pStyle w:val="SingleTxtG"/>
              <w:spacing w:before="80" w:after="80" w:line="200" w:lineRule="exact"/>
              <w:ind w:left="113" w:right="0"/>
              <w:jc w:val="right"/>
              <w:rPr>
                <w:bCs/>
                <w:i/>
                <w:sz w:val="16"/>
              </w:rPr>
            </w:pPr>
            <w:r w:rsidRPr="00C8762E">
              <w:rPr>
                <w:bCs/>
                <w:i/>
                <w:sz w:val="16"/>
              </w:rPr>
              <w:t>2017</w:t>
            </w:r>
          </w:p>
        </w:tc>
      </w:tr>
      <w:tr w:rsidR="003B7F0E" w:rsidRPr="00C8762E" w:rsidTr="00D1717D">
        <w:tc>
          <w:tcPr>
            <w:tcW w:w="0" w:type="auto"/>
            <w:tcBorders>
              <w:top w:val="single" w:sz="12" w:space="0" w:color="auto"/>
            </w:tcBorders>
            <w:shd w:val="clear" w:color="auto" w:fill="auto"/>
            <w:noWrap/>
            <w:hideMark/>
          </w:tcPr>
          <w:p w:rsidR="003B7F0E" w:rsidRPr="00C8762E" w:rsidRDefault="003B7F0E" w:rsidP="00D1717D">
            <w:pPr>
              <w:pStyle w:val="SingleTxtG"/>
              <w:spacing w:before="40" w:after="40" w:line="220" w:lineRule="exact"/>
              <w:ind w:left="0" w:right="0"/>
              <w:jc w:val="left"/>
              <w:rPr>
                <w:sz w:val="18"/>
              </w:rPr>
            </w:pPr>
            <w:r w:rsidRPr="00C8762E">
              <w:rPr>
                <w:sz w:val="18"/>
              </w:rPr>
              <w:t>Trabajo y seguridad social</w:t>
            </w:r>
          </w:p>
        </w:tc>
        <w:tc>
          <w:tcPr>
            <w:tcW w:w="0" w:type="auto"/>
            <w:tcBorders>
              <w:top w:val="single" w:sz="12" w:space="0" w:color="auto"/>
            </w:tcBorders>
            <w:shd w:val="clear" w:color="auto" w:fill="auto"/>
            <w:noWrap/>
            <w:vAlign w:val="bottom"/>
            <w:hideMark/>
          </w:tcPr>
          <w:p w:rsidR="003B7F0E" w:rsidRPr="00C8762E" w:rsidRDefault="003B7F0E" w:rsidP="00D1717D">
            <w:pPr>
              <w:pStyle w:val="SingleTxtG"/>
              <w:spacing w:before="40" w:after="40" w:line="220" w:lineRule="exact"/>
              <w:ind w:left="113" w:right="0"/>
              <w:jc w:val="right"/>
              <w:rPr>
                <w:sz w:val="18"/>
              </w:rPr>
            </w:pPr>
            <w:r w:rsidRPr="00C8762E">
              <w:rPr>
                <w:sz w:val="18"/>
              </w:rPr>
              <w:t>52 108</w:t>
            </w:r>
          </w:p>
        </w:tc>
        <w:tc>
          <w:tcPr>
            <w:tcW w:w="0" w:type="auto"/>
            <w:tcBorders>
              <w:top w:val="single" w:sz="12" w:space="0" w:color="auto"/>
            </w:tcBorders>
            <w:shd w:val="clear" w:color="auto" w:fill="auto"/>
            <w:noWrap/>
            <w:vAlign w:val="bottom"/>
            <w:hideMark/>
          </w:tcPr>
          <w:p w:rsidR="003B7F0E" w:rsidRPr="00C8762E" w:rsidRDefault="003B7F0E" w:rsidP="00D1717D">
            <w:pPr>
              <w:pStyle w:val="SingleTxtG"/>
              <w:spacing w:before="40" w:after="40" w:line="220" w:lineRule="exact"/>
              <w:ind w:left="113" w:right="0"/>
              <w:jc w:val="right"/>
              <w:rPr>
                <w:sz w:val="18"/>
              </w:rPr>
            </w:pPr>
            <w:r w:rsidRPr="00C8762E">
              <w:rPr>
                <w:sz w:val="18"/>
              </w:rPr>
              <w:t>55 977</w:t>
            </w:r>
          </w:p>
        </w:tc>
        <w:tc>
          <w:tcPr>
            <w:tcW w:w="0" w:type="auto"/>
            <w:tcBorders>
              <w:top w:val="single" w:sz="12" w:space="0" w:color="auto"/>
            </w:tcBorders>
            <w:shd w:val="clear" w:color="auto" w:fill="auto"/>
            <w:noWrap/>
            <w:vAlign w:val="bottom"/>
            <w:hideMark/>
          </w:tcPr>
          <w:p w:rsidR="003B7F0E" w:rsidRPr="00C8762E" w:rsidRDefault="003B7F0E" w:rsidP="00D1717D">
            <w:pPr>
              <w:pStyle w:val="SingleTxtG"/>
              <w:spacing w:before="40" w:after="40" w:line="220" w:lineRule="exact"/>
              <w:ind w:left="113" w:right="0"/>
              <w:jc w:val="right"/>
              <w:rPr>
                <w:sz w:val="18"/>
              </w:rPr>
            </w:pPr>
            <w:r w:rsidRPr="00C8762E">
              <w:rPr>
                <w:sz w:val="18"/>
              </w:rPr>
              <w:t>61 557</w:t>
            </w:r>
          </w:p>
        </w:tc>
        <w:tc>
          <w:tcPr>
            <w:tcW w:w="0" w:type="auto"/>
            <w:tcBorders>
              <w:top w:val="single" w:sz="12" w:space="0" w:color="auto"/>
            </w:tcBorders>
            <w:shd w:val="clear" w:color="auto" w:fill="auto"/>
            <w:noWrap/>
            <w:vAlign w:val="bottom"/>
            <w:hideMark/>
          </w:tcPr>
          <w:p w:rsidR="003B7F0E" w:rsidRPr="00C8762E" w:rsidRDefault="003B7F0E" w:rsidP="00D1717D">
            <w:pPr>
              <w:pStyle w:val="SingleTxtG"/>
              <w:spacing w:before="40" w:after="40" w:line="220" w:lineRule="exact"/>
              <w:ind w:left="113" w:right="0"/>
              <w:jc w:val="right"/>
              <w:rPr>
                <w:sz w:val="18"/>
              </w:rPr>
            </w:pPr>
            <w:r w:rsidRPr="00C8762E">
              <w:rPr>
                <w:sz w:val="18"/>
              </w:rPr>
              <w:t>59 890</w:t>
            </w:r>
          </w:p>
        </w:tc>
        <w:tc>
          <w:tcPr>
            <w:tcW w:w="0" w:type="auto"/>
            <w:tcBorders>
              <w:top w:val="single" w:sz="12" w:space="0" w:color="auto"/>
            </w:tcBorders>
            <w:shd w:val="clear" w:color="auto" w:fill="auto"/>
            <w:noWrap/>
            <w:vAlign w:val="bottom"/>
            <w:hideMark/>
          </w:tcPr>
          <w:p w:rsidR="003B7F0E" w:rsidRPr="00C8762E" w:rsidRDefault="003B7F0E" w:rsidP="00D1717D">
            <w:pPr>
              <w:pStyle w:val="SingleTxtG"/>
              <w:spacing w:before="40" w:after="40" w:line="220" w:lineRule="exact"/>
              <w:ind w:left="113" w:right="0"/>
              <w:jc w:val="right"/>
              <w:rPr>
                <w:sz w:val="18"/>
              </w:rPr>
            </w:pPr>
            <w:r w:rsidRPr="00C8762E">
              <w:rPr>
                <w:sz w:val="18"/>
              </w:rPr>
              <w:t>58 520</w:t>
            </w:r>
          </w:p>
        </w:tc>
      </w:tr>
      <w:tr w:rsidR="003B7F0E" w:rsidRPr="00C8762E" w:rsidTr="00D1717D">
        <w:tc>
          <w:tcPr>
            <w:tcW w:w="0" w:type="auto"/>
            <w:shd w:val="clear" w:color="auto" w:fill="auto"/>
            <w:noWrap/>
            <w:hideMark/>
          </w:tcPr>
          <w:p w:rsidR="003B7F0E" w:rsidRPr="00C8762E" w:rsidRDefault="003B7F0E" w:rsidP="00D1717D">
            <w:pPr>
              <w:pStyle w:val="SingleTxtG"/>
              <w:spacing w:before="40" w:after="40" w:line="220" w:lineRule="exact"/>
              <w:ind w:left="0" w:right="0"/>
              <w:jc w:val="left"/>
              <w:rPr>
                <w:sz w:val="18"/>
              </w:rPr>
            </w:pPr>
            <w:r w:rsidRPr="00C8762E">
              <w:rPr>
                <w:sz w:val="18"/>
              </w:rPr>
              <w:t>Educación</w:t>
            </w:r>
          </w:p>
        </w:tc>
        <w:tc>
          <w:tcPr>
            <w:tcW w:w="0" w:type="auto"/>
            <w:shd w:val="clear" w:color="auto" w:fill="auto"/>
            <w:noWrap/>
            <w:vAlign w:val="bottom"/>
            <w:hideMark/>
          </w:tcPr>
          <w:p w:rsidR="003B7F0E" w:rsidRPr="00C8762E" w:rsidRDefault="003B7F0E" w:rsidP="00D1717D">
            <w:pPr>
              <w:pStyle w:val="SingleTxtG"/>
              <w:spacing w:before="40" w:after="40" w:line="220" w:lineRule="exact"/>
              <w:ind w:left="113" w:right="0"/>
              <w:jc w:val="right"/>
              <w:rPr>
                <w:sz w:val="18"/>
              </w:rPr>
            </w:pPr>
            <w:r w:rsidRPr="00C8762E">
              <w:rPr>
                <w:sz w:val="18"/>
              </w:rPr>
              <w:t>22 095</w:t>
            </w:r>
          </w:p>
        </w:tc>
        <w:tc>
          <w:tcPr>
            <w:tcW w:w="0" w:type="auto"/>
            <w:shd w:val="clear" w:color="auto" w:fill="auto"/>
            <w:noWrap/>
            <w:vAlign w:val="bottom"/>
            <w:hideMark/>
          </w:tcPr>
          <w:p w:rsidR="003B7F0E" w:rsidRPr="00C8762E" w:rsidRDefault="003B7F0E" w:rsidP="00D1717D">
            <w:pPr>
              <w:pStyle w:val="SingleTxtG"/>
              <w:spacing w:before="40" w:after="40" w:line="220" w:lineRule="exact"/>
              <w:ind w:left="113" w:right="0"/>
              <w:jc w:val="right"/>
              <w:rPr>
                <w:sz w:val="18"/>
              </w:rPr>
            </w:pPr>
            <w:r w:rsidRPr="00C8762E">
              <w:rPr>
                <w:sz w:val="18"/>
              </w:rPr>
              <w:t>23 158</w:t>
            </w:r>
          </w:p>
        </w:tc>
        <w:tc>
          <w:tcPr>
            <w:tcW w:w="0" w:type="auto"/>
            <w:shd w:val="clear" w:color="auto" w:fill="auto"/>
            <w:noWrap/>
            <w:vAlign w:val="bottom"/>
            <w:hideMark/>
          </w:tcPr>
          <w:p w:rsidR="003B7F0E" w:rsidRPr="00C8762E" w:rsidRDefault="003B7F0E" w:rsidP="00D1717D">
            <w:pPr>
              <w:pStyle w:val="SingleTxtG"/>
              <w:spacing w:before="40" w:after="40" w:line="220" w:lineRule="exact"/>
              <w:ind w:left="113" w:right="0"/>
              <w:jc w:val="right"/>
              <w:rPr>
                <w:sz w:val="18"/>
              </w:rPr>
            </w:pPr>
            <w:r w:rsidRPr="00C8762E">
              <w:rPr>
                <w:sz w:val="18"/>
              </w:rPr>
              <w:t>24 767</w:t>
            </w:r>
          </w:p>
        </w:tc>
        <w:tc>
          <w:tcPr>
            <w:tcW w:w="0" w:type="auto"/>
            <w:shd w:val="clear" w:color="auto" w:fill="auto"/>
            <w:noWrap/>
            <w:vAlign w:val="bottom"/>
            <w:hideMark/>
          </w:tcPr>
          <w:p w:rsidR="003B7F0E" w:rsidRPr="00C8762E" w:rsidRDefault="003B7F0E" w:rsidP="00D1717D">
            <w:pPr>
              <w:pStyle w:val="SingleTxtG"/>
              <w:spacing w:before="40" w:after="40" w:line="220" w:lineRule="exact"/>
              <w:ind w:left="113" w:right="0"/>
              <w:jc w:val="right"/>
              <w:rPr>
                <w:sz w:val="18"/>
              </w:rPr>
            </w:pPr>
            <w:r w:rsidRPr="00C8762E">
              <w:rPr>
                <w:sz w:val="18"/>
              </w:rPr>
              <w:t>26 223</w:t>
            </w:r>
          </w:p>
        </w:tc>
        <w:tc>
          <w:tcPr>
            <w:tcW w:w="0" w:type="auto"/>
            <w:shd w:val="clear" w:color="auto" w:fill="auto"/>
            <w:noWrap/>
            <w:vAlign w:val="bottom"/>
            <w:hideMark/>
          </w:tcPr>
          <w:p w:rsidR="003B7F0E" w:rsidRPr="00C8762E" w:rsidRDefault="003B7F0E" w:rsidP="00D1717D">
            <w:pPr>
              <w:pStyle w:val="SingleTxtG"/>
              <w:spacing w:before="40" w:after="40" w:line="220" w:lineRule="exact"/>
              <w:ind w:left="113" w:right="0"/>
              <w:jc w:val="right"/>
              <w:rPr>
                <w:sz w:val="18"/>
              </w:rPr>
            </w:pPr>
            <w:r w:rsidRPr="00C8762E">
              <w:rPr>
                <w:sz w:val="18"/>
              </w:rPr>
              <w:t>28 384</w:t>
            </w:r>
          </w:p>
        </w:tc>
      </w:tr>
      <w:tr w:rsidR="003B7F0E" w:rsidRPr="00C8762E" w:rsidTr="00D1717D">
        <w:tc>
          <w:tcPr>
            <w:tcW w:w="0" w:type="auto"/>
            <w:shd w:val="clear" w:color="auto" w:fill="auto"/>
            <w:noWrap/>
            <w:hideMark/>
          </w:tcPr>
          <w:p w:rsidR="003B7F0E" w:rsidRPr="00C8762E" w:rsidRDefault="003B7F0E" w:rsidP="00D1717D">
            <w:pPr>
              <w:pStyle w:val="SingleTxtG"/>
              <w:spacing w:before="40" w:after="40" w:line="220" w:lineRule="exact"/>
              <w:ind w:left="0" w:right="0"/>
              <w:jc w:val="left"/>
              <w:rPr>
                <w:sz w:val="18"/>
              </w:rPr>
            </w:pPr>
            <w:r w:rsidRPr="00C8762E">
              <w:rPr>
                <w:sz w:val="18"/>
              </w:rPr>
              <w:t>Salud</w:t>
            </w:r>
          </w:p>
        </w:tc>
        <w:tc>
          <w:tcPr>
            <w:tcW w:w="0" w:type="auto"/>
            <w:shd w:val="clear" w:color="auto" w:fill="auto"/>
            <w:noWrap/>
            <w:vAlign w:val="bottom"/>
            <w:hideMark/>
          </w:tcPr>
          <w:p w:rsidR="003B7F0E" w:rsidRPr="00C8762E" w:rsidRDefault="003B7F0E" w:rsidP="00D1717D">
            <w:pPr>
              <w:pStyle w:val="SingleTxtG"/>
              <w:spacing w:before="40" w:after="40" w:line="220" w:lineRule="exact"/>
              <w:ind w:left="113" w:right="0"/>
              <w:jc w:val="right"/>
              <w:rPr>
                <w:sz w:val="18"/>
              </w:rPr>
            </w:pPr>
            <w:r w:rsidRPr="00C8762E">
              <w:rPr>
                <w:sz w:val="18"/>
              </w:rPr>
              <w:t>15 048</w:t>
            </w:r>
          </w:p>
        </w:tc>
        <w:tc>
          <w:tcPr>
            <w:tcW w:w="0" w:type="auto"/>
            <w:shd w:val="clear" w:color="auto" w:fill="auto"/>
            <w:noWrap/>
            <w:vAlign w:val="bottom"/>
            <w:hideMark/>
          </w:tcPr>
          <w:p w:rsidR="003B7F0E" w:rsidRPr="00C8762E" w:rsidRDefault="003B7F0E" w:rsidP="00D1717D">
            <w:pPr>
              <w:pStyle w:val="SingleTxtG"/>
              <w:spacing w:before="40" w:after="40" w:line="220" w:lineRule="exact"/>
              <w:ind w:left="113" w:right="0"/>
              <w:jc w:val="right"/>
              <w:rPr>
                <w:sz w:val="18"/>
              </w:rPr>
            </w:pPr>
            <w:r w:rsidRPr="00C8762E">
              <w:rPr>
                <w:sz w:val="18"/>
              </w:rPr>
              <w:t>21 649</w:t>
            </w:r>
          </w:p>
        </w:tc>
        <w:tc>
          <w:tcPr>
            <w:tcW w:w="0" w:type="auto"/>
            <w:shd w:val="clear" w:color="auto" w:fill="auto"/>
            <w:noWrap/>
            <w:vAlign w:val="bottom"/>
            <w:hideMark/>
          </w:tcPr>
          <w:p w:rsidR="003B7F0E" w:rsidRPr="00C8762E" w:rsidRDefault="003B7F0E" w:rsidP="00D1717D">
            <w:pPr>
              <w:pStyle w:val="SingleTxtG"/>
              <w:spacing w:before="40" w:after="40" w:line="220" w:lineRule="exact"/>
              <w:ind w:left="113" w:right="0"/>
              <w:jc w:val="right"/>
              <w:rPr>
                <w:sz w:val="18"/>
              </w:rPr>
            </w:pPr>
            <w:r w:rsidRPr="00C8762E">
              <w:rPr>
                <w:sz w:val="18"/>
              </w:rPr>
              <w:t>22 768</w:t>
            </w:r>
          </w:p>
        </w:tc>
        <w:tc>
          <w:tcPr>
            <w:tcW w:w="0" w:type="auto"/>
            <w:shd w:val="clear" w:color="auto" w:fill="auto"/>
            <w:noWrap/>
            <w:vAlign w:val="bottom"/>
            <w:hideMark/>
          </w:tcPr>
          <w:p w:rsidR="003B7F0E" w:rsidRPr="00C8762E" w:rsidRDefault="003B7F0E" w:rsidP="00D1717D">
            <w:pPr>
              <w:pStyle w:val="SingleTxtG"/>
              <w:spacing w:before="40" w:after="40" w:line="220" w:lineRule="exact"/>
              <w:ind w:left="113" w:right="0"/>
              <w:jc w:val="right"/>
              <w:rPr>
                <w:sz w:val="18"/>
              </w:rPr>
            </w:pPr>
            <w:r w:rsidRPr="00C8762E">
              <w:rPr>
                <w:sz w:val="18"/>
              </w:rPr>
              <w:t>24 844</w:t>
            </w:r>
          </w:p>
        </w:tc>
        <w:tc>
          <w:tcPr>
            <w:tcW w:w="0" w:type="auto"/>
            <w:shd w:val="clear" w:color="auto" w:fill="auto"/>
            <w:noWrap/>
            <w:vAlign w:val="bottom"/>
            <w:hideMark/>
          </w:tcPr>
          <w:p w:rsidR="003B7F0E" w:rsidRPr="00C8762E" w:rsidRDefault="003B7F0E" w:rsidP="00D1717D">
            <w:pPr>
              <w:pStyle w:val="SingleTxtG"/>
              <w:spacing w:before="40" w:after="40" w:line="220" w:lineRule="exact"/>
              <w:ind w:left="113" w:right="0"/>
              <w:jc w:val="right"/>
              <w:rPr>
                <w:sz w:val="18"/>
              </w:rPr>
            </w:pPr>
            <w:r w:rsidRPr="00C8762E">
              <w:rPr>
                <w:sz w:val="18"/>
              </w:rPr>
              <w:t>25 502</w:t>
            </w:r>
          </w:p>
        </w:tc>
      </w:tr>
      <w:tr w:rsidR="003B7F0E" w:rsidRPr="00C8762E" w:rsidTr="00D1717D">
        <w:tc>
          <w:tcPr>
            <w:tcW w:w="0" w:type="auto"/>
            <w:shd w:val="clear" w:color="auto" w:fill="auto"/>
            <w:noWrap/>
            <w:hideMark/>
          </w:tcPr>
          <w:p w:rsidR="003B7F0E" w:rsidRPr="00C8762E" w:rsidRDefault="003B7F0E" w:rsidP="00D1717D">
            <w:pPr>
              <w:pStyle w:val="SingleTxtG"/>
              <w:spacing w:before="40" w:after="40" w:line="220" w:lineRule="exact"/>
              <w:ind w:left="0" w:right="0"/>
              <w:jc w:val="left"/>
              <w:rPr>
                <w:sz w:val="18"/>
              </w:rPr>
            </w:pPr>
            <w:r w:rsidRPr="00C8762E">
              <w:rPr>
                <w:sz w:val="18"/>
              </w:rPr>
              <w:t>Agua potable y saneamiento ambiental</w:t>
            </w:r>
          </w:p>
        </w:tc>
        <w:tc>
          <w:tcPr>
            <w:tcW w:w="0" w:type="auto"/>
            <w:shd w:val="clear" w:color="auto" w:fill="auto"/>
            <w:noWrap/>
            <w:vAlign w:val="bottom"/>
            <w:hideMark/>
          </w:tcPr>
          <w:p w:rsidR="003B7F0E" w:rsidRPr="00C8762E" w:rsidRDefault="003B7F0E" w:rsidP="00D1717D">
            <w:pPr>
              <w:pStyle w:val="SingleTxtG"/>
              <w:spacing w:before="40" w:after="40" w:line="220" w:lineRule="exact"/>
              <w:ind w:left="113" w:right="0"/>
              <w:jc w:val="right"/>
              <w:rPr>
                <w:sz w:val="18"/>
              </w:rPr>
            </w:pPr>
            <w:r w:rsidRPr="00C8762E">
              <w:rPr>
                <w:sz w:val="18"/>
              </w:rPr>
              <w:t>3 278</w:t>
            </w:r>
          </w:p>
        </w:tc>
        <w:tc>
          <w:tcPr>
            <w:tcW w:w="0" w:type="auto"/>
            <w:shd w:val="clear" w:color="auto" w:fill="auto"/>
            <w:noWrap/>
            <w:vAlign w:val="bottom"/>
            <w:hideMark/>
          </w:tcPr>
          <w:p w:rsidR="003B7F0E" w:rsidRPr="00C8762E" w:rsidRDefault="003B7F0E" w:rsidP="00D1717D">
            <w:pPr>
              <w:pStyle w:val="SingleTxtG"/>
              <w:spacing w:before="40" w:after="40" w:line="220" w:lineRule="exact"/>
              <w:ind w:left="113" w:right="0"/>
              <w:jc w:val="right"/>
              <w:rPr>
                <w:sz w:val="18"/>
              </w:rPr>
            </w:pPr>
            <w:r w:rsidRPr="00C8762E">
              <w:rPr>
                <w:sz w:val="18"/>
              </w:rPr>
              <w:t>3 585</w:t>
            </w:r>
          </w:p>
        </w:tc>
        <w:tc>
          <w:tcPr>
            <w:tcW w:w="0" w:type="auto"/>
            <w:shd w:val="clear" w:color="auto" w:fill="auto"/>
            <w:noWrap/>
            <w:vAlign w:val="bottom"/>
            <w:hideMark/>
          </w:tcPr>
          <w:p w:rsidR="003B7F0E" w:rsidRPr="00C8762E" w:rsidRDefault="003B7F0E" w:rsidP="00D1717D">
            <w:pPr>
              <w:pStyle w:val="SingleTxtG"/>
              <w:spacing w:before="40" w:after="40" w:line="220" w:lineRule="exact"/>
              <w:ind w:left="113" w:right="0"/>
              <w:jc w:val="right"/>
              <w:rPr>
                <w:sz w:val="18"/>
              </w:rPr>
            </w:pPr>
            <w:r w:rsidRPr="00C8762E">
              <w:rPr>
                <w:sz w:val="18"/>
              </w:rPr>
              <w:t>3 204</w:t>
            </w:r>
          </w:p>
        </w:tc>
        <w:tc>
          <w:tcPr>
            <w:tcW w:w="0" w:type="auto"/>
            <w:shd w:val="clear" w:color="auto" w:fill="auto"/>
            <w:noWrap/>
            <w:vAlign w:val="bottom"/>
            <w:hideMark/>
          </w:tcPr>
          <w:p w:rsidR="003B7F0E" w:rsidRPr="00C8762E" w:rsidRDefault="003B7F0E" w:rsidP="00D1717D">
            <w:pPr>
              <w:pStyle w:val="SingleTxtG"/>
              <w:spacing w:before="40" w:after="40" w:line="220" w:lineRule="exact"/>
              <w:ind w:left="113" w:right="0"/>
              <w:jc w:val="right"/>
              <w:rPr>
                <w:sz w:val="18"/>
              </w:rPr>
            </w:pPr>
            <w:r w:rsidRPr="00C8762E">
              <w:rPr>
                <w:sz w:val="18"/>
              </w:rPr>
              <w:t>2 925</w:t>
            </w:r>
          </w:p>
        </w:tc>
        <w:tc>
          <w:tcPr>
            <w:tcW w:w="0" w:type="auto"/>
            <w:shd w:val="clear" w:color="auto" w:fill="auto"/>
            <w:noWrap/>
            <w:vAlign w:val="bottom"/>
            <w:hideMark/>
          </w:tcPr>
          <w:p w:rsidR="003B7F0E" w:rsidRPr="00C8762E" w:rsidRDefault="003B7F0E" w:rsidP="00D1717D">
            <w:pPr>
              <w:pStyle w:val="SingleTxtG"/>
              <w:spacing w:before="40" w:after="40" w:line="220" w:lineRule="exact"/>
              <w:ind w:left="113" w:right="0"/>
              <w:jc w:val="right"/>
              <w:rPr>
                <w:sz w:val="18"/>
              </w:rPr>
            </w:pPr>
            <w:r w:rsidRPr="00C8762E">
              <w:rPr>
                <w:sz w:val="18"/>
              </w:rPr>
              <w:t>3 015</w:t>
            </w:r>
          </w:p>
        </w:tc>
      </w:tr>
      <w:tr w:rsidR="003B7F0E" w:rsidRPr="00C8762E" w:rsidTr="00D1717D">
        <w:tc>
          <w:tcPr>
            <w:tcW w:w="0" w:type="auto"/>
            <w:shd w:val="clear" w:color="auto" w:fill="auto"/>
            <w:noWrap/>
            <w:hideMark/>
          </w:tcPr>
          <w:p w:rsidR="003B7F0E" w:rsidRPr="00C8762E" w:rsidRDefault="003B7F0E" w:rsidP="00D1717D">
            <w:pPr>
              <w:pStyle w:val="SingleTxtG"/>
              <w:spacing w:before="40" w:after="40" w:line="220" w:lineRule="exact"/>
              <w:ind w:left="0" w:right="0"/>
              <w:jc w:val="left"/>
              <w:rPr>
                <w:sz w:val="18"/>
              </w:rPr>
            </w:pPr>
            <w:r w:rsidRPr="00C8762E">
              <w:rPr>
                <w:sz w:val="18"/>
              </w:rPr>
              <w:t>Vivienda social</w:t>
            </w:r>
          </w:p>
        </w:tc>
        <w:tc>
          <w:tcPr>
            <w:tcW w:w="0" w:type="auto"/>
            <w:shd w:val="clear" w:color="auto" w:fill="auto"/>
            <w:noWrap/>
            <w:vAlign w:val="bottom"/>
            <w:hideMark/>
          </w:tcPr>
          <w:p w:rsidR="003B7F0E" w:rsidRPr="00C8762E" w:rsidRDefault="003B7F0E" w:rsidP="00D1717D">
            <w:pPr>
              <w:pStyle w:val="SingleTxtG"/>
              <w:spacing w:before="40" w:after="40" w:line="220" w:lineRule="exact"/>
              <w:ind w:left="113" w:right="0"/>
              <w:jc w:val="right"/>
              <w:rPr>
                <w:sz w:val="18"/>
              </w:rPr>
            </w:pPr>
            <w:r w:rsidRPr="00C8762E">
              <w:rPr>
                <w:sz w:val="18"/>
              </w:rPr>
              <w:t>2 396</w:t>
            </w:r>
          </w:p>
        </w:tc>
        <w:tc>
          <w:tcPr>
            <w:tcW w:w="0" w:type="auto"/>
            <w:shd w:val="clear" w:color="auto" w:fill="auto"/>
            <w:noWrap/>
            <w:vAlign w:val="bottom"/>
            <w:hideMark/>
          </w:tcPr>
          <w:p w:rsidR="003B7F0E" w:rsidRPr="00C8762E" w:rsidRDefault="003B7F0E" w:rsidP="00D1717D">
            <w:pPr>
              <w:pStyle w:val="SingleTxtG"/>
              <w:spacing w:before="40" w:after="40" w:line="220" w:lineRule="exact"/>
              <w:ind w:left="113" w:right="0"/>
              <w:jc w:val="right"/>
              <w:rPr>
                <w:sz w:val="18"/>
              </w:rPr>
            </w:pPr>
            <w:r w:rsidRPr="00C8762E">
              <w:rPr>
                <w:sz w:val="18"/>
              </w:rPr>
              <w:t>2 673</w:t>
            </w:r>
          </w:p>
        </w:tc>
        <w:tc>
          <w:tcPr>
            <w:tcW w:w="0" w:type="auto"/>
            <w:shd w:val="clear" w:color="auto" w:fill="auto"/>
            <w:noWrap/>
            <w:vAlign w:val="bottom"/>
            <w:hideMark/>
          </w:tcPr>
          <w:p w:rsidR="003B7F0E" w:rsidRPr="00C8762E" w:rsidRDefault="003B7F0E" w:rsidP="00D1717D">
            <w:pPr>
              <w:pStyle w:val="SingleTxtG"/>
              <w:spacing w:before="40" w:after="40" w:line="220" w:lineRule="exact"/>
              <w:ind w:left="113" w:right="0"/>
              <w:jc w:val="right"/>
              <w:rPr>
                <w:sz w:val="18"/>
              </w:rPr>
            </w:pPr>
            <w:r w:rsidRPr="00C8762E">
              <w:rPr>
                <w:sz w:val="18"/>
              </w:rPr>
              <w:t>3 004</w:t>
            </w:r>
          </w:p>
        </w:tc>
        <w:tc>
          <w:tcPr>
            <w:tcW w:w="0" w:type="auto"/>
            <w:shd w:val="clear" w:color="auto" w:fill="auto"/>
            <w:noWrap/>
            <w:vAlign w:val="bottom"/>
            <w:hideMark/>
          </w:tcPr>
          <w:p w:rsidR="003B7F0E" w:rsidRPr="00C8762E" w:rsidRDefault="003B7F0E" w:rsidP="00D1717D">
            <w:pPr>
              <w:pStyle w:val="SingleTxtG"/>
              <w:spacing w:before="40" w:after="40" w:line="220" w:lineRule="exact"/>
              <w:ind w:left="113" w:right="0"/>
              <w:jc w:val="right"/>
              <w:rPr>
                <w:sz w:val="18"/>
              </w:rPr>
            </w:pPr>
            <w:r w:rsidRPr="00C8762E">
              <w:rPr>
                <w:sz w:val="18"/>
              </w:rPr>
              <w:t>1 786</w:t>
            </w:r>
          </w:p>
        </w:tc>
        <w:tc>
          <w:tcPr>
            <w:tcW w:w="0" w:type="auto"/>
            <w:shd w:val="clear" w:color="auto" w:fill="auto"/>
            <w:noWrap/>
            <w:vAlign w:val="bottom"/>
            <w:hideMark/>
          </w:tcPr>
          <w:p w:rsidR="003B7F0E" w:rsidRPr="00C8762E" w:rsidRDefault="003B7F0E" w:rsidP="00D1717D">
            <w:pPr>
              <w:pStyle w:val="SingleTxtG"/>
              <w:spacing w:before="40" w:after="40" w:line="220" w:lineRule="exact"/>
              <w:ind w:left="113" w:right="0"/>
              <w:jc w:val="right"/>
              <w:rPr>
                <w:sz w:val="18"/>
              </w:rPr>
            </w:pPr>
            <w:r w:rsidRPr="00C8762E">
              <w:rPr>
                <w:sz w:val="18"/>
              </w:rPr>
              <w:t>2 204</w:t>
            </w:r>
          </w:p>
        </w:tc>
      </w:tr>
      <w:tr w:rsidR="003B7F0E" w:rsidRPr="00C8762E" w:rsidTr="00D1717D">
        <w:tc>
          <w:tcPr>
            <w:tcW w:w="0" w:type="auto"/>
            <w:tcBorders>
              <w:bottom w:val="single" w:sz="4" w:space="0" w:color="auto"/>
            </w:tcBorders>
            <w:shd w:val="clear" w:color="auto" w:fill="auto"/>
            <w:noWrap/>
            <w:hideMark/>
          </w:tcPr>
          <w:p w:rsidR="003B7F0E" w:rsidRPr="00C8762E" w:rsidRDefault="003B7F0E" w:rsidP="00D1717D">
            <w:pPr>
              <w:pStyle w:val="SingleTxtG"/>
              <w:spacing w:before="40" w:after="40" w:line="220" w:lineRule="exact"/>
              <w:ind w:left="0" w:right="0"/>
              <w:jc w:val="left"/>
              <w:rPr>
                <w:sz w:val="18"/>
              </w:rPr>
            </w:pPr>
            <w:r w:rsidRPr="00C8762E">
              <w:rPr>
                <w:sz w:val="18"/>
              </w:rPr>
              <w:t>Cultura, deporte y recreación</w:t>
            </w:r>
          </w:p>
        </w:tc>
        <w:tc>
          <w:tcPr>
            <w:tcW w:w="0" w:type="auto"/>
            <w:tcBorders>
              <w:bottom w:val="single" w:sz="4" w:space="0" w:color="auto"/>
            </w:tcBorders>
            <w:shd w:val="clear" w:color="auto" w:fill="auto"/>
            <w:noWrap/>
            <w:vAlign w:val="bottom"/>
            <w:hideMark/>
          </w:tcPr>
          <w:p w:rsidR="003B7F0E" w:rsidRPr="00C8762E" w:rsidRDefault="003B7F0E" w:rsidP="00D1717D">
            <w:pPr>
              <w:pStyle w:val="SingleTxtG"/>
              <w:spacing w:before="40" w:after="40" w:line="220" w:lineRule="exact"/>
              <w:ind w:left="113" w:right="0"/>
              <w:jc w:val="right"/>
              <w:rPr>
                <w:sz w:val="18"/>
              </w:rPr>
            </w:pPr>
            <w:r w:rsidRPr="00C8762E">
              <w:rPr>
                <w:sz w:val="18"/>
              </w:rPr>
              <w:t>1 557</w:t>
            </w:r>
          </w:p>
        </w:tc>
        <w:tc>
          <w:tcPr>
            <w:tcW w:w="0" w:type="auto"/>
            <w:tcBorders>
              <w:bottom w:val="single" w:sz="4" w:space="0" w:color="auto"/>
            </w:tcBorders>
            <w:shd w:val="clear" w:color="auto" w:fill="auto"/>
            <w:noWrap/>
            <w:vAlign w:val="bottom"/>
            <w:hideMark/>
          </w:tcPr>
          <w:p w:rsidR="003B7F0E" w:rsidRPr="00C8762E" w:rsidRDefault="003B7F0E" w:rsidP="00D1717D">
            <w:pPr>
              <w:pStyle w:val="SingleTxtG"/>
              <w:spacing w:before="40" w:after="40" w:line="220" w:lineRule="exact"/>
              <w:ind w:left="113" w:right="0"/>
              <w:jc w:val="right"/>
              <w:rPr>
                <w:sz w:val="18"/>
              </w:rPr>
            </w:pPr>
            <w:r w:rsidRPr="00C8762E">
              <w:rPr>
                <w:sz w:val="18"/>
              </w:rPr>
              <w:t>1 181</w:t>
            </w:r>
          </w:p>
        </w:tc>
        <w:tc>
          <w:tcPr>
            <w:tcW w:w="0" w:type="auto"/>
            <w:tcBorders>
              <w:bottom w:val="single" w:sz="4" w:space="0" w:color="auto"/>
            </w:tcBorders>
            <w:shd w:val="clear" w:color="auto" w:fill="auto"/>
            <w:noWrap/>
            <w:vAlign w:val="bottom"/>
            <w:hideMark/>
          </w:tcPr>
          <w:p w:rsidR="003B7F0E" w:rsidRPr="00C8762E" w:rsidRDefault="003B7F0E" w:rsidP="00D1717D">
            <w:pPr>
              <w:pStyle w:val="SingleTxtG"/>
              <w:spacing w:before="40" w:after="40" w:line="220" w:lineRule="exact"/>
              <w:ind w:left="113" w:right="0"/>
              <w:jc w:val="right"/>
              <w:rPr>
                <w:sz w:val="18"/>
              </w:rPr>
            </w:pPr>
            <w:r w:rsidRPr="00C8762E">
              <w:rPr>
                <w:sz w:val="18"/>
              </w:rPr>
              <w:t>1 169</w:t>
            </w:r>
          </w:p>
        </w:tc>
        <w:tc>
          <w:tcPr>
            <w:tcW w:w="0" w:type="auto"/>
            <w:tcBorders>
              <w:bottom w:val="single" w:sz="4" w:space="0" w:color="auto"/>
            </w:tcBorders>
            <w:shd w:val="clear" w:color="auto" w:fill="auto"/>
            <w:noWrap/>
            <w:vAlign w:val="bottom"/>
            <w:hideMark/>
          </w:tcPr>
          <w:p w:rsidR="003B7F0E" w:rsidRPr="00C8762E" w:rsidRDefault="003B7F0E" w:rsidP="00D1717D">
            <w:pPr>
              <w:pStyle w:val="SingleTxtG"/>
              <w:spacing w:before="40" w:after="40" w:line="220" w:lineRule="exact"/>
              <w:ind w:left="113" w:right="0"/>
              <w:jc w:val="right"/>
              <w:rPr>
                <w:sz w:val="18"/>
              </w:rPr>
            </w:pPr>
            <w:r w:rsidRPr="00C8762E">
              <w:rPr>
                <w:sz w:val="18"/>
              </w:rPr>
              <w:t>828</w:t>
            </w:r>
          </w:p>
        </w:tc>
        <w:tc>
          <w:tcPr>
            <w:tcW w:w="0" w:type="auto"/>
            <w:tcBorders>
              <w:bottom w:val="single" w:sz="4" w:space="0" w:color="auto"/>
            </w:tcBorders>
            <w:shd w:val="clear" w:color="auto" w:fill="auto"/>
            <w:noWrap/>
            <w:vAlign w:val="bottom"/>
            <w:hideMark/>
          </w:tcPr>
          <w:p w:rsidR="003B7F0E" w:rsidRPr="00C8762E" w:rsidRDefault="003B7F0E" w:rsidP="00D1717D">
            <w:pPr>
              <w:pStyle w:val="SingleTxtG"/>
              <w:spacing w:before="40" w:after="40" w:line="220" w:lineRule="exact"/>
              <w:ind w:left="113" w:right="0"/>
              <w:jc w:val="right"/>
              <w:rPr>
                <w:sz w:val="18"/>
              </w:rPr>
            </w:pPr>
            <w:r w:rsidRPr="00C8762E">
              <w:rPr>
                <w:sz w:val="18"/>
              </w:rPr>
              <w:t>843</w:t>
            </w:r>
          </w:p>
        </w:tc>
      </w:tr>
      <w:tr w:rsidR="003B7F0E" w:rsidRPr="00C8762E" w:rsidTr="00D1717D">
        <w:tc>
          <w:tcPr>
            <w:tcW w:w="0" w:type="auto"/>
            <w:tcBorders>
              <w:top w:val="single" w:sz="4" w:space="0" w:color="auto"/>
              <w:bottom w:val="single" w:sz="4" w:space="0" w:color="auto"/>
            </w:tcBorders>
            <w:shd w:val="clear" w:color="auto" w:fill="auto"/>
            <w:noWrap/>
            <w:hideMark/>
          </w:tcPr>
          <w:p w:rsidR="003B7F0E" w:rsidRPr="00C8762E" w:rsidRDefault="003B7F0E" w:rsidP="00D1717D">
            <w:pPr>
              <w:pStyle w:val="SingleTxtG"/>
              <w:spacing w:before="80" w:after="80" w:line="220" w:lineRule="exact"/>
              <w:ind w:left="283" w:right="0"/>
              <w:jc w:val="left"/>
              <w:rPr>
                <w:b/>
                <w:bCs/>
                <w:sz w:val="18"/>
              </w:rPr>
            </w:pPr>
            <w:r w:rsidRPr="00C8762E">
              <w:rPr>
                <w:b/>
                <w:bCs/>
                <w:sz w:val="18"/>
              </w:rPr>
              <w:t>Gasto social</w:t>
            </w:r>
          </w:p>
        </w:tc>
        <w:tc>
          <w:tcPr>
            <w:tcW w:w="0" w:type="auto"/>
            <w:tcBorders>
              <w:top w:val="single" w:sz="4" w:space="0" w:color="auto"/>
              <w:bottom w:val="single" w:sz="4" w:space="0" w:color="auto"/>
            </w:tcBorders>
            <w:shd w:val="clear" w:color="auto" w:fill="auto"/>
            <w:noWrap/>
            <w:vAlign w:val="bottom"/>
            <w:hideMark/>
          </w:tcPr>
          <w:p w:rsidR="003B7F0E" w:rsidRPr="00C8762E" w:rsidRDefault="003B7F0E" w:rsidP="00D1717D">
            <w:pPr>
              <w:pStyle w:val="SingleTxtG"/>
              <w:spacing w:before="80" w:after="80" w:line="220" w:lineRule="exact"/>
              <w:ind w:left="0" w:right="0"/>
              <w:jc w:val="right"/>
              <w:rPr>
                <w:b/>
                <w:bCs/>
                <w:sz w:val="18"/>
              </w:rPr>
            </w:pPr>
            <w:r w:rsidRPr="00C8762E">
              <w:rPr>
                <w:b/>
                <w:bCs/>
                <w:sz w:val="18"/>
              </w:rPr>
              <w:t>96 482</w:t>
            </w:r>
          </w:p>
        </w:tc>
        <w:tc>
          <w:tcPr>
            <w:tcW w:w="0" w:type="auto"/>
            <w:tcBorders>
              <w:top w:val="single" w:sz="4" w:space="0" w:color="auto"/>
              <w:bottom w:val="single" w:sz="4" w:space="0" w:color="auto"/>
            </w:tcBorders>
            <w:shd w:val="clear" w:color="auto" w:fill="auto"/>
            <w:noWrap/>
            <w:vAlign w:val="bottom"/>
            <w:hideMark/>
          </w:tcPr>
          <w:p w:rsidR="003B7F0E" w:rsidRPr="00C8762E" w:rsidRDefault="003B7F0E" w:rsidP="00D1717D">
            <w:pPr>
              <w:pStyle w:val="SingleTxtG"/>
              <w:spacing w:before="80" w:after="80" w:line="220" w:lineRule="exact"/>
              <w:ind w:left="0" w:right="0"/>
              <w:jc w:val="right"/>
              <w:rPr>
                <w:b/>
                <w:bCs/>
                <w:sz w:val="18"/>
              </w:rPr>
            </w:pPr>
            <w:r w:rsidRPr="00C8762E">
              <w:rPr>
                <w:b/>
                <w:bCs/>
                <w:sz w:val="18"/>
              </w:rPr>
              <w:t>108 222</w:t>
            </w:r>
          </w:p>
        </w:tc>
        <w:tc>
          <w:tcPr>
            <w:tcW w:w="0" w:type="auto"/>
            <w:tcBorders>
              <w:top w:val="single" w:sz="4" w:space="0" w:color="auto"/>
              <w:bottom w:val="single" w:sz="4" w:space="0" w:color="auto"/>
            </w:tcBorders>
            <w:shd w:val="clear" w:color="auto" w:fill="auto"/>
            <w:noWrap/>
            <w:vAlign w:val="bottom"/>
            <w:hideMark/>
          </w:tcPr>
          <w:p w:rsidR="003B7F0E" w:rsidRPr="00C8762E" w:rsidRDefault="003B7F0E" w:rsidP="00D1717D">
            <w:pPr>
              <w:pStyle w:val="SingleTxtG"/>
              <w:spacing w:before="80" w:after="80" w:line="220" w:lineRule="exact"/>
              <w:ind w:left="0" w:right="0"/>
              <w:jc w:val="right"/>
              <w:rPr>
                <w:b/>
                <w:bCs/>
                <w:sz w:val="18"/>
              </w:rPr>
            </w:pPr>
            <w:r w:rsidRPr="00C8762E">
              <w:rPr>
                <w:b/>
                <w:bCs/>
                <w:sz w:val="18"/>
              </w:rPr>
              <w:t>116 469</w:t>
            </w:r>
          </w:p>
        </w:tc>
        <w:tc>
          <w:tcPr>
            <w:tcW w:w="0" w:type="auto"/>
            <w:tcBorders>
              <w:top w:val="single" w:sz="4" w:space="0" w:color="auto"/>
              <w:bottom w:val="single" w:sz="4" w:space="0" w:color="auto"/>
            </w:tcBorders>
            <w:shd w:val="clear" w:color="auto" w:fill="auto"/>
            <w:noWrap/>
            <w:vAlign w:val="bottom"/>
            <w:hideMark/>
          </w:tcPr>
          <w:p w:rsidR="003B7F0E" w:rsidRPr="00C8762E" w:rsidRDefault="003B7F0E" w:rsidP="00D1717D">
            <w:pPr>
              <w:pStyle w:val="SingleTxtG"/>
              <w:spacing w:before="80" w:after="80" w:line="220" w:lineRule="exact"/>
              <w:ind w:left="0" w:right="0"/>
              <w:jc w:val="right"/>
              <w:rPr>
                <w:b/>
                <w:bCs/>
                <w:sz w:val="18"/>
              </w:rPr>
            </w:pPr>
            <w:r w:rsidRPr="00C8762E">
              <w:rPr>
                <w:b/>
                <w:bCs/>
                <w:sz w:val="18"/>
              </w:rPr>
              <w:t>116 496</w:t>
            </w:r>
          </w:p>
        </w:tc>
        <w:tc>
          <w:tcPr>
            <w:tcW w:w="0" w:type="auto"/>
            <w:tcBorders>
              <w:top w:val="single" w:sz="4" w:space="0" w:color="auto"/>
              <w:bottom w:val="single" w:sz="4" w:space="0" w:color="auto"/>
            </w:tcBorders>
            <w:shd w:val="clear" w:color="auto" w:fill="auto"/>
            <w:noWrap/>
            <w:vAlign w:val="bottom"/>
            <w:hideMark/>
          </w:tcPr>
          <w:p w:rsidR="003B7F0E" w:rsidRPr="00C8762E" w:rsidRDefault="003B7F0E" w:rsidP="00D1717D">
            <w:pPr>
              <w:pStyle w:val="SingleTxtG"/>
              <w:spacing w:before="80" w:after="80" w:line="220" w:lineRule="exact"/>
              <w:ind w:left="0" w:right="0"/>
              <w:jc w:val="right"/>
              <w:rPr>
                <w:b/>
                <w:bCs/>
                <w:sz w:val="18"/>
              </w:rPr>
            </w:pPr>
            <w:r w:rsidRPr="00C8762E">
              <w:rPr>
                <w:b/>
                <w:bCs/>
                <w:sz w:val="18"/>
              </w:rPr>
              <w:t>118 468</w:t>
            </w:r>
          </w:p>
        </w:tc>
      </w:tr>
      <w:tr w:rsidR="003B7F0E" w:rsidRPr="00C8762E" w:rsidTr="00D1717D">
        <w:tc>
          <w:tcPr>
            <w:tcW w:w="0" w:type="auto"/>
            <w:tcBorders>
              <w:top w:val="single" w:sz="4" w:space="0" w:color="auto"/>
              <w:bottom w:val="single" w:sz="4" w:space="0" w:color="auto"/>
            </w:tcBorders>
            <w:shd w:val="clear" w:color="auto" w:fill="auto"/>
            <w:noWrap/>
            <w:hideMark/>
          </w:tcPr>
          <w:p w:rsidR="003B7F0E" w:rsidRPr="00C8762E" w:rsidRDefault="003B7F0E" w:rsidP="00D1717D">
            <w:pPr>
              <w:pStyle w:val="SingleTxtG"/>
              <w:spacing w:before="80" w:after="80" w:line="220" w:lineRule="exact"/>
              <w:ind w:left="283" w:right="0"/>
              <w:jc w:val="left"/>
              <w:rPr>
                <w:b/>
                <w:bCs/>
                <w:sz w:val="18"/>
              </w:rPr>
            </w:pPr>
            <w:r w:rsidRPr="00C8762E">
              <w:rPr>
                <w:b/>
                <w:bCs/>
                <w:sz w:val="18"/>
              </w:rPr>
              <w:t>Presupuesto sin deuda</w:t>
            </w:r>
          </w:p>
        </w:tc>
        <w:tc>
          <w:tcPr>
            <w:tcW w:w="0" w:type="auto"/>
            <w:tcBorders>
              <w:top w:val="single" w:sz="4" w:space="0" w:color="auto"/>
              <w:bottom w:val="single" w:sz="4" w:space="0" w:color="auto"/>
            </w:tcBorders>
            <w:shd w:val="clear" w:color="auto" w:fill="auto"/>
            <w:noWrap/>
            <w:vAlign w:val="bottom"/>
            <w:hideMark/>
          </w:tcPr>
          <w:p w:rsidR="003B7F0E" w:rsidRPr="00C8762E" w:rsidRDefault="003B7F0E" w:rsidP="00D1717D">
            <w:pPr>
              <w:pStyle w:val="SingleTxtG"/>
              <w:spacing w:before="80" w:after="80" w:line="220" w:lineRule="exact"/>
              <w:ind w:left="0" w:right="0"/>
              <w:jc w:val="right"/>
              <w:rPr>
                <w:b/>
                <w:bCs/>
                <w:sz w:val="18"/>
              </w:rPr>
            </w:pPr>
            <w:r w:rsidRPr="00C8762E">
              <w:rPr>
                <w:b/>
                <w:bCs/>
                <w:sz w:val="18"/>
              </w:rPr>
              <w:t>138 558</w:t>
            </w:r>
          </w:p>
        </w:tc>
        <w:tc>
          <w:tcPr>
            <w:tcW w:w="0" w:type="auto"/>
            <w:tcBorders>
              <w:top w:val="single" w:sz="4" w:space="0" w:color="auto"/>
              <w:bottom w:val="single" w:sz="4" w:space="0" w:color="auto"/>
            </w:tcBorders>
            <w:shd w:val="clear" w:color="auto" w:fill="auto"/>
            <w:noWrap/>
            <w:vAlign w:val="bottom"/>
            <w:hideMark/>
          </w:tcPr>
          <w:p w:rsidR="003B7F0E" w:rsidRPr="00C8762E" w:rsidRDefault="003B7F0E" w:rsidP="00D1717D">
            <w:pPr>
              <w:pStyle w:val="SingleTxtG"/>
              <w:spacing w:before="80" w:after="80" w:line="220" w:lineRule="exact"/>
              <w:ind w:left="0" w:right="0"/>
              <w:jc w:val="right"/>
              <w:rPr>
                <w:b/>
                <w:bCs/>
                <w:sz w:val="18"/>
              </w:rPr>
            </w:pPr>
            <w:r w:rsidRPr="00C8762E">
              <w:rPr>
                <w:b/>
                <w:bCs/>
                <w:sz w:val="18"/>
              </w:rPr>
              <w:t>155 418</w:t>
            </w:r>
          </w:p>
        </w:tc>
        <w:tc>
          <w:tcPr>
            <w:tcW w:w="0" w:type="auto"/>
            <w:tcBorders>
              <w:top w:val="single" w:sz="4" w:space="0" w:color="auto"/>
              <w:bottom w:val="single" w:sz="4" w:space="0" w:color="auto"/>
            </w:tcBorders>
            <w:shd w:val="clear" w:color="auto" w:fill="auto"/>
            <w:noWrap/>
            <w:vAlign w:val="bottom"/>
            <w:hideMark/>
          </w:tcPr>
          <w:p w:rsidR="003B7F0E" w:rsidRPr="00C8762E" w:rsidRDefault="003B7F0E" w:rsidP="00D1717D">
            <w:pPr>
              <w:pStyle w:val="SingleTxtG"/>
              <w:spacing w:before="80" w:after="80" w:line="220" w:lineRule="exact"/>
              <w:ind w:left="0" w:right="0"/>
              <w:jc w:val="right"/>
              <w:rPr>
                <w:b/>
                <w:bCs/>
                <w:sz w:val="18"/>
              </w:rPr>
            </w:pPr>
            <w:r w:rsidRPr="00C8762E">
              <w:rPr>
                <w:b/>
                <w:bCs/>
                <w:sz w:val="18"/>
              </w:rPr>
              <w:t>167 255</w:t>
            </w:r>
          </w:p>
        </w:tc>
        <w:tc>
          <w:tcPr>
            <w:tcW w:w="0" w:type="auto"/>
            <w:tcBorders>
              <w:top w:val="single" w:sz="4" w:space="0" w:color="auto"/>
              <w:bottom w:val="single" w:sz="4" w:space="0" w:color="auto"/>
            </w:tcBorders>
            <w:shd w:val="clear" w:color="auto" w:fill="auto"/>
            <w:noWrap/>
            <w:vAlign w:val="bottom"/>
            <w:hideMark/>
          </w:tcPr>
          <w:p w:rsidR="003B7F0E" w:rsidRPr="00C8762E" w:rsidRDefault="003B7F0E" w:rsidP="00D1717D">
            <w:pPr>
              <w:pStyle w:val="SingleTxtG"/>
              <w:spacing w:before="80" w:after="80" w:line="220" w:lineRule="exact"/>
              <w:ind w:left="0" w:right="0"/>
              <w:jc w:val="right"/>
              <w:rPr>
                <w:b/>
                <w:bCs/>
                <w:sz w:val="18"/>
              </w:rPr>
            </w:pPr>
            <w:r w:rsidRPr="00C8762E">
              <w:rPr>
                <w:b/>
                <w:bCs/>
                <w:sz w:val="18"/>
              </w:rPr>
              <w:t>167 293</w:t>
            </w:r>
          </w:p>
        </w:tc>
        <w:tc>
          <w:tcPr>
            <w:tcW w:w="0" w:type="auto"/>
            <w:tcBorders>
              <w:top w:val="single" w:sz="4" w:space="0" w:color="auto"/>
              <w:bottom w:val="single" w:sz="4" w:space="0" w:color="auto"/>
            </w:tcBorders>
            <w:shd w:val="clear" w:color="auto" w:fill="auto"/>
            <w:noWrap/>
            <w:vAlign w:val="bottom"/>
            <w:hideMark/>
          </w:tcPr>
          <w:p w:rsidR="003B7F0E" w:rsidRPr="00C8762E" w:rsidRDefault="003B7F0E" w:rsidP="00D1717D">
            <w:pPr>
              <w:pStyle w:val="SingleTxtG"/>
              <w:spacing w:before="80" w:after="80" w:line="220" w:lineRule="exact"/>
              <w:ind w:left="0" w:right="0"/>
              <w:jc w:val="right"/>
              <w:rPr>
                <w:b/>
                <w:bCs/>
                <w:sz w:val="18"/>
              </w:rPr>
            </w:pPr>
            <w:r w:rsidRPr="00C8762E">
              <w:rPr>
                <w:b/>
                <w:bCs/>
                <w:sz w:val="18"/>
              </w:rPr>
              <w:t>170 086</w:t>
            </w:r>
          </w:p>
        </w:tc>
      </w:tr>
      <w:tr w:rsidR="003B7F0E" w:rsidRPr="00C8762E" w:rsidTr="00D1717D">
        <w:tc>
          <w:tcPr>
            <w:tcW w:w="0" w:type="auto"/>
            <w:tcBorders>
              <w:top w:val="single" w:sz="4" w:space="0" w:color="auto"/>
              <w:bottom w:val="single" w:sz="4" w:space="0" w:color="auto"/>
            </w:tcBorders>
            <w:shd w:val="clear" w:color="auto" w:fill="auto"/>
            <w:noWrap/>
            <w:hideMark/>
          </w:tcPr>
          <w:p w:rsidR="003B7F0E" w:rsidRPr="00C8762E" w:rsidRDefault="003B7F0E" w:rsidP="00D1717D">
            <w:pPr>
              <w:pStyle w:val="SingleTxtG"/>
              <w:spacing w:before="80" w:after="80" w:line="220" w:lineRule="exact"/>
              <w:ind w:left="283" w:right="0"/>
              <w:jc w:val="left"/>
              <w:rPr>
                <w:b/>
                <w:bCs/>
                <w:sz w:val="18"/>
              </w:rPr>
            </w:pPr>
            <w:r w:rsidRPr="00C8762E">
              <w:rPr>
                <w:b/>
                <w:bCs/>
                <w:sz w:val="18"/>
              </w:rPr>
              <w:t>Porcentaje de participación gasto social sin deuda</w:t>
            </w:r>
          </w:p>
        </w:tc>
        <w:tc>
          <w:tcPr>
            <w:tcW w:w="0" w:type="auto"/>
            <w:tcBorders>
              <w:top w:val="single" w:sz="4" w:space="0" w:color="auto"/>
              <w:bottom w:val="single" w:sz="4" w:space="0" w:color="auto"/>
            </w:tcBorders>
            <w:shd w:val="clear" w:color="auto" w:fill="auto"/>
            <w:noWrap/>
            <w:vAlign w:val="bottom"/>
            <w:hideMark/>
          </w:tcPr>
          <w:p w:rsidR="003B7F0E" w:rsidRPr="00C8762E" w:rsidRDefault="003B7F0E" w:rsidP="00D1717D">
            <w:pPr>
              <w:pStyle w:val="SingleTxtG"/>
              <w:spacing w:before="80" w:after="80" w:line="220" w:lineRule="exact"/>
              <w:ind w:left="0" w:right="0"/>
              <w:jc w:val="right"/>
              <w:rPr>
                <w:b/>
                <w:bCs/>
                <w:sz w:val="18"/>
              </w:rPr>
            </w:pPr>
            <w:r w:rsidRPr="00C8762E">
              <w:rPr>
                <w:b/>
                <w:bCs/>
                <w:sz w:val="18"/>
              </w:rPr>
              <w:t>69,63</w:t>
            </w:r>
          </w:p>
        </w:tc>
        <w:tc>
          <w:tcPr>
            <w:tcW w:w="0" w:type="auto"/>
            <w:tcBorders>
              <w:top w:val="single" w:sz="4" w:space="0" w:color="auto"/>
              <w:bottom w:val="single" w:sz="4" w:space="0" w:color="auto"/>
            </w:tcBorders>
            <w:shd w:val="clear" w:color="auto" w:fill="auto"/>
            <w:noWrap/>
            <w:vAlign w:val="bottom"/>
            <w:hideMark/>
          </w:tcPr>
          <w:p w:rsidR="003B7F0E" w:rsidRPr="00C8762E" w:rsidRDefault="003B7F0E" w:rsidP="00D1717D">
            <w:pPr>
              <w:pStyle w:val="SingleTxtG"/>
              <w:spacing w:before="80" w:after="80" w:line="220" w:lineRule="exact"/>
              <w:ind w:left="0" w:right="0"/>
              <w:jc w:val="right"/>
              <w:rPr>
                <w:b/>
                <w:bCs/>
                <w:sz w:val="18"/>
              </w:rPr>
            </w:pPr>
            <w:r w:rsidRPr="00C8762E">
              <w:rPr>
                <w:b/>
                <w:bCs/>
                <w:sz w:val="18"/>
              </w:rPr>
              <w:t>69,63</w:t>
            </w:r>
          </w:p>
        </w:tc>
        <w:tc>
          <w:tcPr>
            <w:tcW w:w="0" w:type="auto"/>
            <w:tcBorders>
              <w:top w:val="single" w:sz="4" w:space="0" w:color="auto"/>
              <w:bottom w:val="single" w:sz="4" w:space="0" w:color="auto"/>
            </w:tcBorders>
            <w:shd w:val="clear" w:color="auto" w:fill="auto"/>
            <w:noWrap/>
            <w:vAlign w:val="bottom"/>
            <w:hideMark/>
          </w:tcPr>
          <w:p w:rsidR="003B7F0E" w:rsidRPr="00C8762E" w:rsidRDefault="003B7F0E" w:rsidP="00D1717D">
            <w:pPr>
              <w:pStyle w:val="SingleTxtG"/>
              <w:spacing w:before="80" w:after="80" w:line="220" w:lineRule="exact"/>
              <w:ind w:left="0" w:right="0"/>
              <w:jc w:val="right"/>
              <w:rPr>
                <w:b/>
                <w:bCs/>
                <w:sz w:val="18"/>
              </w:rPr>
            </w:pPr>
            <w:r w:rsidRPr="00C8762E">
              <w:rPr>
                <w:b/>
                <w:bCs/>
                <w:sz w:val="18"/>
              </w:rPr>
              <w:t>69,64</w:t>
            </w:r>
          </w:p>
        </w:tc>
        <w:tc>
          <w:tcPr>
            <w:tcW w:w="0" w:type="auto"/>
            <w:tcBorders>
              <w:top w:val="single" w:sz="4" w:space="0" w:color="auto"/>
              <w:bottom w:val="single" w:sz="4" w:space="0" w:color="auto"/>
            </w:tcBorders>
            <w:shd w:val="clear" w:color="auto" w:fill="auto"/>
            <w:noWrap/>
            <w:vAlign w:val="bottom"/>
            <w:hideMark/>
          </w:tcPr>
          <w:p w:rsidR="003B7F0E" w:rsidRPr="00C8762E" w:rsidRDefault="003B7F0E" w:rsidP="00D1717D">
            <w:pPr>
              <w:pStyle w:val="SingleTxtG"/>
              <w:spacing w:before="80" w:after="80" w:line="220" w:lineRule="exact"/>
              <w:ind w:left="0" w:right="0"/>
              <w:jc w:val="right"/>
              <w:rPr>
                <w:b/>
                <w:bCs/>
                <w:sz w:val="18"/>
              </w:rPr>
            </w:pPr>
            <w:r w:rsidRPr="00C8762E">
              <w:rPr>
                <w:b/>
                <w:bCs/>
                <w:sz w:val="18"/>
              </w:rPr>
              <w:t>69,64</w:t>
            </w:r>
          </w:p>
        </w:tc>
        <w:tc>
          <w:tcPr>
            <w:tcW w:w="0" w:type="auto"/>
            <w:tcBorders>
              <w:top w:val="single" w:sz="4" w:space="0" w:color="auto"/>
              <w:bottom w:val="single" w:sz="4" w:space="0" w:color="auto"/>
            </w:tcBorders>
            <w:shd w:val="clear" w:color="auto" w:fill="auto"/>
            <w:noWrap/>
            <w:vAlign w:val="bottom"/>
            <w:hideMark/>
          </w:tcPr>
          <w:p w:rsidR="003B7F0E" w:rsidRPr="00C8762E" w:rsidRDefault="003B7F0E" w:rsidP="00D1717D">
            <w:pPr>
              <w:pStyle w:val="SingleTxtG"/>
              <w:spacing w:before="80" w:after="80" w:line="220" w:lineRule="exact"/>
              <w:ind w:left="0" w:right="0"/>
              <w:jc w:val="right"/>
              <w:rPr>
                <w:b/>
                <w:bCs/>
                <w:sz w:val="18"/>
              </w:rPr>
            </w:pPr>
            <w:r w:rsidRPr="00C8762E">
              <w:rPr>
                <w:b/>
                <w:bCs/>
                <w:sz w:val="18"/>
              </w:rPr>
              <w:t>69,65</w:t>
            </w:r>
          </w:p>
        </w:tc>
      </w:tr>
      <w:tr w:rsidR="003B7F0E" w:rsidRPr="00C8762E" w:rsidTr="00D1717D">
        <w:tblPrEx>
          <w:tblBorders>
            <w:top w:val="single" w:sz="4" w:space="0" w:color="auto"/>
          </w:tblBorders>
        </w:tblPrEx>
        <w:tc>
          <w:tcPr>
            <w:tcW w:w="0" w:type="auto"/>
            <w:gridSpan w:val="6"/>
            <w:tcBorders>
              <w:bottom w:val="single" w:sz="4" w:space="0" w:color="auto"/>
            </w:tcBorders>
            <w:shd w:val="clear" w:color="auto" w:fill="auto"/>
            <w:noWrap/>
            <w:hideMark/>
          </w:tcPr>
          <w:p w:rsidR="003B7F0E" w:rsidRPr="00C8762E" w:rsidRDefault="003B7F0E" w:rsidP="00D1717D">
            <w:pPr>
              <w:pStyle w:val="SingleTxtG"/>
              <w:spacing w:before="120" w:after="240" w:line="220" w:lineRule="exact"/>
              <w:ind w:left="0" w:right="0"/>
              <w:jc w:val="left"/>
              <w:rPr>
                <w:sz w:val="18"/>
              </w:rPr>
            </w:pPr>
            <w:r w:rsidRPr="00C8762E">
              <w:rPr>
                <w:sz w:val="18"/>
              </w:rPr>
              <w:t>No se incluye la deuda por corresponder a servicio sobre préstamos que financiaron gasto en el año de recepción.</w:t>
            </w:r>
          </w:p>
        </w:tc>
      </w:tr>
      <w:tr w:rsidR="003B7F0E" w:rsidRPr="00C8762E" w:rsidTr="00D1717D">
        <w:tblPrEx>
          <w:tblBorders>
            <w:top w:val="single" w:sz="4" w:space="0" w:color="auto"/>
          </w:tblBorders>
        </w:tblPrEx>
        <w:tc>
          <w:tcPr>
            <w:tcW w:w="0" w:type="auto"/>
            <w:tcBorders>
              <w:top w:val="single" w:sz="4" w:space="0" w:color="auto"/>
              <w:bottom w:val="single" w:sz="4" w:space="0" w:color="auto"/>
            </w:tcBorders>
            <w:shd w:val="clear" w:color="auto" w:fill="auto"/>
            <w:noWrap/>
            <w:hideMark/>
          </w:tcPr>
          <w:p w:rsidR="003B7F0E" w:rsidRPr="00C8762E" w:rsidRDefault="003B7F0E" w:rsidP="00D1717D">
            <w:pPr>
              <w:pStyle w:val="SingleTxtG"/>
              <w:spacing w:before="80" w:after="80" w:line="220" w:lineRule="exact"/>
              <w:ind w:left="283" w:right="0"/>
              <w:jc w:val="left"/>
              <w:rPr>
                <w:b/>
                <w:sz w:val="18"/>
              </w:rPr>
            </w:pPr>
            <w:r w:rsidRPr="00C8762E">
              <w:rPr>
                <w:b/>
                <w:sz w:val="18"/>
              </w:rPr>
              <w:t>PIB</w:t>
            </w:r>
          </w:p>
        </w:tc>
        <w:tc>
          <w:tcPr>
            <w:tcW w:w="0" w:type="auto"/>
            <w:tcBorders>
              <w:top w:val="single" w:sz="4" w:space="0" w:color="auto"/>
              <w:bottom w:val="single" w:sz="4" w:space="0" w:color="auto"/>
            </w:tcBorders>
            <w:shd w:val="clear" w:color="auto" w:fill="auto"/>
            <w:noWrap/>
            <w:vAlign w:val="bottom"/>
            <w:hideMark/>
          </w:tcPr>
          <w:p w:rsidR="003B7F0E" w:rsidRPr="00C8762E" w:rsidRDefault="003B7F0E" w:rsidP="00D1717D">
            <w:pPr>
              <w:pStyle w:val="SingleTxtG"/>
              <w:spacing w:before="80" w:after="80" w:line="220" w:lineRule="exact"/>
              <w:ind w:left="0" w:right="0"/>
              <w:jc w:val="right"/>
              <w:rPr>
                <w:b/>
                <w:sz w:val="18"/>
              </w:rPr>
            </w:pPr>
            <w:r w:rsidRPr="00C8762E">
              <w:rPr>
                <w:b/>
                <w:sz w:val="18"/>
              </w:rPr>
              <w:t>710 497</w:t>
            </w:r>
          </w:p>
        </w:tc>
        <w:tc>
          <w:tcPr>
            <w:tcW w:w="0" w:type="auto"/>
            <w:tcBorders>
              <w:top w:val="single" w:sz="4" w:space="0" w:color="auto"/>
              <w:bottom w:val="single" w:sz="4" w:space="0" w:color="auto"/>
            </w:tcBorders>
            <w:shd w:val="clear" w:color="auto" w:fill="auto"/>
            <w:noWrap/>
            <w:vAlign w:val="bottom"/>
            <w:hideMark/>
          </w:tcPr>
          <w:p w:rsidR="003B7F0E" w:rsidRPr="00C8762E" w:rsidRDefault="003B7F0E" w:rsidP="00D1717D">
            <w:pPr>
              <w:pStyle w:val="SingleTxtG"/>
              <w:spacing w:before="80" w:after="80" w:line="220" w:lineRule="exact"/>
              <w:ind w:left="0" w:right="0"/>
              <w:jc w:val="right"/>
              <w:rPr>
                <w:b/>
                <w:sz w:val="18"/>
              </w:rPr>
            </w:pPr>
            <w:r w:rsidRPr="00C8762E">
              <w:rPr>
                <w:b/>
                <w:sz w:val="18"/>
              </w:rPr>
              <w:t>757 065</w:t>
            </w:r>
          </w:p>
        </w:tc>
        <w:tc>
          <w:tcPr>
            <w:tcW w:w="0" w:type="auto"/>
            <w:tcBorders>
              <w:top w:val="single" w:sz="4" w:space="0" w:color="auto"/>
              <w:bottom w:val="single" w:sz="4" w:space="0" w:color="auto"/>
            </w:tcBorders>
            <w:shd w:val="clear" w:color="auto" w:fill="auto"/>
            <w:noWrap/>
            <w:vAlign w:val="bottom"/>
            <w:hideMark/>
          </w:tcPr>
          <w:p w:rsidR="003B7F0E" w:rsidRPr="00C8762E" w:rsidRDefault="003B7F0E" w:rsidP="00D1717D">
            <w:pPr>
              <w:pStyle w:val="SingleTxtG"/>
              <w:spacing w:before="80" w:after="80" w:line="220" w:lineRule="exact"/>
              <w:ind w:left="0" w:right="0"/>
              <w:jc w:val="right"/>
              <w:rPr>
                <w:b/>
                <w:sz w:val="18"/>
              </w:rPr>
            </w:pPr>
            <w:r w:rsidRPr="00C8762E">
              <w:rPr>
                <w:b/>
                <w:sz w:val="18"/>
              </w:rPr>
              <w:t>799 312</w:t>
            </w:r>
          </w:p>
        </w:tc>
        <w:tc>
          <w:tcPr>
            <w:tcW w:w="0" w:type="auto"/>
            <w:tcBorders>
              <w:top w:val="single" w:sz="4" w:space="0" w:color="auto"/>
              <w:bottom w:val="single" w:sz="4" w:space="0" w:color="auto"/>
            </w:tcBorders>
            <w:shd w:val="clear" w:color="auto" w:fill="auto"/>
            <w:noWrap/>
            <w:vAlign w:val="bottom"/>
            <w:hideMark/>
          </w:tcPr>
          <w:p w:rsidR="003B7F0E" w:rsidRPr="00C8762E" w:rsidRDefault="003B7F0E" w:rsidP="00D1717D">
            <w:pPr>
              <w:pStyle w:val="SingleTxtG"/>
              <w:spacing w:before="80" w:after="80" w:line="220" w:lineRule="exact"/>
              <w:ind w:left="0" w:right="0"/>
              <w:jc w:val="right"/>
              <w:rPr>
                <w:b/>
                <w:sz w:val="18"/>
              </w:rPr>
            </w:pPr>
            <w:r w:rsidRPr="00C8762E">
              <w:rPr>
                <w:b/>
                <w:sz w:val="18"/>
              </w:rPr>
              <w:t>862 675</w:t>
            </w:r>
          </w:p>
        </w:tc>
        <w:tc>
          <w:tcPr>
            <w:tcW w:w="0" w:type="auto"/>
            <w:tcBorders>
              <w:top w:val="single" w:sz="4" w:space="0" w:color="auto"/>
              <w:bottom w:val="single" w:sz="4" w:space="0" w:color="auto"/>
            </w:tcBorders>
            <w:shd w:val="clear" w:color="auto" w:fill="auto"/>
            <w:noWrap/>
            <w:vAlign w:val="bottom"/>
            <w:hideMark/>
          </w:tcPr>
          <w:p w:rsidR="003B7F0E" w:rsidRPr="00C8762E" w:rsidRDefault="003B7F0E" w:rsidP="00D1717D">
            <w:pPr>
              <w:pStyle w:val="SingleTxtG"/>
              <w:spacing w:before="80" w:after="80" w:line="220" w:lineRule="exact"/>
              <w:ind w:left="0" w:right="0"/>
              <w:jc w:val="right"/>
              <w:rPr>
                <w:b/>
                <w:sz w:val="18"/>
              </w:rPr>
            </w:pPr>
            <w:r w:rsidRPr="00C8762E">
              <w:rPr>
                <w:b/>
                <w:sz w:val="18"/>
              </w:rPr>
              <w:t>916 920</w:t>
            </w:r>
          </w:p>
        </w:tc>
      </w:tr>
      <w:tr w:rsidR="003B7F0E" w:rsidRPr="00C8762E" w:rsidTr="00D1717D">
        <w:trPr>
          <w:tblHeader/>
        </w:trPr>
        <w:tc>
          <w:tcPr>
            <w:tcW w:w="0" w:type="auto"/>
            <w:tcBorders>
              <w:top w:val="single" w:sz="4" w:space="0" w:color="auto"/>
              <w:bottom w:val="single" w:sz="12" w:space="0" w:color="auto"/>
            </w:tcBorders>
            <w:shd w:val="clear" w:color="auto" w:fill="auto"/>
            <w:noWrap/>
            <w:vAlign w:val="bottom"/>
            <w:hideMark/>
          </w:tcPr>
          <w:p w:rsidR="003B7F0E" w:rsidRPr="00C8762E" w:rsidRDefault="003B7F0E" w:rsidP="00D1717D">
            <w:pPr>
              <w:pStyle w:val="SingleTxtG"/>
              <w:spacing w:before="80" w:after="80" w:line="200" w:lineRule="exact"/>
              <w:ind w:left="0" w:right="0"/>
              <w:jc w:val="left"/>
              <w:rPr>
                <w:bCs/>
                <w:i/>
                <w:sz w:val="16"/>
              </w:rPr>
            </w:pPr>
            <w:r w:rsidRPr="00C8762E">
              <w:rPr>
                <w:bCs/>
                <w:i/>
                <w:sz w:val="16"/>
              </w:rPr>
              <w:t>Concepto</w:t>
            </w:r>
          </w:p>
        </w:tc>
        <w:tc>
          <w:tcPr>
            <w:tcW w:w="0" w:type="auto"/>
            <w:gridSpan w:val="5"/>
            <w:tcBorders>
              <w:top w:val="single" w:sz="4" w:space="0" w:color="auto"/>
              <w:bottom w:val="single" w:sz="12" w:space="0" w:color="auto"/>
            </w:tcBorders>
            <w:shd w:val="clear" w:color="auto" w:fill="auto"/>
            <w:vAlign w:val="bottom"/>
          </w:tcPr>
          <w:p w:rsidR="003B7F0E" w:rsidRPr="00C8762E" w:rsidRDefault="003B7F0E" w:rsidP="00D1717D">
            <w:pPr>
              <w:pStyle w:val="SingleTxtG"/>
              <w:spacing w:before="80" w:after="80" w:line="200" w:lineRule="exact"/>
              <w:ind w:left="113" w:right="0"/>
              <w:jc w:val="center"/>
              <w:rPr>
                <w:bCs/>
                <w:i/>
                <w:sz w:val="16"/>
              </w:rPr>
            </w:pPr>
            <w:r w:rsidRPr="00C8762E">
              <w:rPr>
                <w:bCs/>
                <w:i/>
                <w:sz w:val="16"/>
              </w:rPr>
              <w:t>Porcentaje del PIB</w:t>
            </w:r>
          </w:p>
        </w:tc>
      </w:tr>
      <w:tr w:rsidR="003B7F0E" w:rsidRPr="00C8762E" w:rsidTr="00D1717D">
        <w:tc>
          <w:tcPr>
            <w:tcW w:w="0" w:type="auto"/>
            <w:tcBorders>
              <w:top w:val="single" w:sz="12" w:space="0" w:color="auto"/>
            </w:tcBorders>
            <w:shd w:val="clear" w:color="auto" w:fill="auto"/>
            <w:noWrap/>
            <w:hideMark/>
          </w:tcPr>
          <w:p w:rsidR="003B7F0E" w:rsidRPr="00C8762E" w:rsidRDefault="003B7F0E" w:rsidP="00D1717D">
            <w:pPr>
              <w:pStyle w:val="SingleTxtG"/>
              <w:spacing w:before="40" w:after="40" w:line="220" w:lineRule="exact"/>
              <w:ind w:left="0" w:right="0"/>
              <w:jc w:val="left"/>
              <w:rPr>
                <w:sz w:val="18"/>
              </w:rPr>
            </w:pPr>
            <w:r w:rsidRPr="00C8762E">
              <w:rPr>
                <w:sz w:val="18"/>
              </w:rPr>
              <w:t>Trabajo y seguridad social</w:t>
            </w:r>
          </w:p>
        </w:tc>
        <w:tc>
          <w:tcPr>
            <w:tcW w:w="0" w:type="auto"/>
            <w:tcBorders>
              <w:top w:val="single" w:sz="12" w:space="0" w:color="auto"/>
            </w:tcBorders>
            <w:shd w:val="clear" w:color="auto" w:fill="auto"/>
            <w:noWrap/>
            <w:vAlign w:val="bottom"/>
            <w:hideMark/>
          </w:tcPr>
          <w:p w:rsidR="003B7F0E" w:rsidRPr="00C8762E" w:rsidRDefault="003B7F0E" w:rsidP="00D1717D">
            <w:pPr>
              <w:pStyle w:val="SingleTxtG"/>
              <w:spacing w:before="40" w:after="40" w:line="220" w:lineRule="exact"/>
              <w:ind w:left="113" w:right="0"/>
              <w:jc w:val="right"/>
              <w:rPr>
                <w:sz w:val="18"/>
              </w:rPr>
            </w:pPr>
            <w:r w:rsidRPr="00C8762E">
              <w:rPr>
                <w:sz w:val="18"/>
              </w:rPr>
              <w:t>7,3</w:t>
            </w:r>
          </w:p>
        </w:tc>
        <w:tc>
          <w:tcPr>
            <w:tcW w:w="0" w:type="auto"/>
            <w:tcBorders>
              <w:top w:val="single" w:sz="12" w:space="0" w:color="auto"/>
            </w:tcBorders>
            <w:shd w:val="clear" w:color="auto" w:fill="auto"/>
            <w:noWrap/>
            <w:vAlign w:val="bottom"/>
            <w:hideMark/>
          </w:tcPr>
          <w:p w:rsidR="003B7F0E" w:rsidRPr="00C8762E" w:rsidRDefault="003B7F0E" w:rsidP="00D1717D">
            <w:pPr>
              <w:pStyle w:val="SingleTxtG"/>
              <w:spacing w:before="40" w:after="40" w:line="220" w:lineRule="exact"/>
              <w:ind w:left="113" w:right="0"/>
              <w:jc w:val="right"/>
              <w:rPr>
                <w:sz w:val="18"/>
              </w:rPr>
            </w:pPr>
            <w:r w:rsidRPr="00C8762E">
              <w:rPr>
                <w:sz w:val="18"/>
              </w:rPr>
              <w:t>7,4</w:t>
            </w:r>
          </w:p>
        </w:tc>
        <w:tc>
          <w:tcPr>
            <w:tcW w:w="0" w:type="auto"/>
            <w:tcBorders>
              <w:top w:val="single" w:sz="12" w:space="0" w:color="auto"/>
            </w:tcBorders>
            <w:shd w:val="clear" w:color="auto" w:fill="auto"/>
            <w:noWrap/>
            <w:vAlign w:val="bottom"/>
            <w:hideMark/>
          </w:tcPr>
          <w:p w:rsidR="003B7F0E" w:rsidRPr="00C8762E" w:rsidRDefault="003B7F0E" w:rsidP="00D1717D">
            <w:pPr>
              <w:pStyle w:val="SingleTxtG"/>
              <w:spacing w:before="40" w:after="40" w:line="220" w:lineRule="exact"/>
              <w:ind w:left="113" w:right="0"/>
              <w:jc w:val="right"/>
              <w:rPr>
                <w:sz w:val="18"/>
              </w:rPr>
            </w:pPr>
            <w:r w:rsidRPr="00C8762E">
              <w:rPr>
                <w:sz w:val="18"/>
              </w:rPr>
              <w:t>7,7</w:t>
            </w:r>
          </w:p>
        </w:tc>
        <w:tc>
          <w:tcPr>
            <w:tcW w:w="0" w:type="auto"/>
            <w:tcBorders>
              <w:top w:val="single" w:sz="12" w:space="0" w:color="auto"/>
            </w:tcBorders>
            <w:shd w:val="clear" w:color="auto" w:fill="auto"/>
            <w:noWrap/>
            <w:vAlign w:val="bottom"/>
            <w:hideMark/>
          </w:tcPr>
          <w:p w:rsidR="003B7F0E" w:rsidRPr="00C8762E" w:rsidRDefault="003B7F0E" w:rsidP="00D1717D">
            <w:pPr>
              <w:pStyle w:val="SingleTxtG"/>
              <w:spacing w:before="40" w:after="40" w:line="220" w:lineRule="exact"/>
              <w:ind w:left="113" w:right="0"/>
              <w:jc w:val="right"/>
              <w:rPr>
                <w:sz w:val="18"/>
              </w:rPr>
            </w:pPr>
            <w:r w:rsidRPr="00C8762E">
              <w:rPr>
                <w:sz w:val="18"/>
              </w:rPr>
              <w:t>6,9</w:t>
            </w:r>
          </w:p>
        </w:tc>
        <w:tc>
          <w:tcPr>
            <w:tcW w:w="0" w:type="auto"/>
            <w:tcBorders>
              <w:top w:val="single" w:sz="12" w:space="0" w:color="auto"/>
            </w:tcBorders>
            <w:shd w:val="clear" w:color="auto" w:fill="auto"/>
            <w:noWrap/>
            <w:vAlign w:val="bottom"/>
            <w:hideMark/>
          </w:tcPr>
          <w:p w:rsidR="003B7F0E" w:rsidRPr="00C8762E" w:rsidRDefault="003B7F0E" w:rsidP="00D1717D">
            <w:pPr>
              <w:pStyle w:val="SingleTxtG"/>
              <w:spacing w:before="40" w:after="40" w:line="220" w:lineRule="exact"/>
              <w:ind w:left="113" w:right="0"/>
              <w:jc w:val="right"/>
              <w:rPr>
                <w:sz w:val="18"/>
              </w:rPr>
            </w:pPr>
            <w:r w:rsidRPr="00C8762E">
              <w:rPr>
                <w:sz w:val="18"/>
              </w:rPr>
              <w:t>6,4</w:t>
            </w:r>
          </w:p>
        </w:tc>
      </w:tr>
      <w:tr w:rsidR="003B7F0E" w:rsidRPr="00C8762E" w:rsidTr="00D1717D">
        <w:tc>
          <w:tcPr>
            <w:tcW w:w="0" w:type="auto"/>
            <w:shd w:val="clear" w:color="auto" w:fill="auto"/>
            <w:noWrap/>
            <w:hideMark/>
          </w:tcPr>
          <w:p w:rsidR="003B7F0E" w:rsidRPr="00C8762E" w:rsidRDefault="003B7F0E" w:rsidP="00D1717D">
            <w:pPr>
              <w:pStyle w:val="SingleTxtG"/>
              <w:spacing w:before="40" w:after="40" w:line="220" w:lineRule="exact"/>
              <w:ind w:left="0" w:right="0"/>
              <w:jc w:val="left"/>
              <w:rPr>
                <w:sz w:val="18"/>
              </w:rPr>
            </w:pPr>
            <w:r w:rsidRPr="00C8762E">
              <w:rPr>
                <w:sz w:val="18"/>
              </w:rPr>
              <w:t>Educación</w:t>
            </w:r>
          </w:p>
        </w:tc>
        <w:tc>
          <w:tcPr>
            <w:tcW w:w="0" w:type="auto"/>
            <w:shd w:val="clear" w:color="auto" w:fill="auto"/>
            <w:noWrap/>
            <w:vAlign w:val="bottom"/>
            <w:hideMark/>
          </w:tcPr>
          <w:p w:rsidR="003B7F0E" w:rsidRPr="00C8762E" w:rsidRDefault="003B7F0E" w:rsidP="00D1717D">
            <w:pPr>
              <w:pStyle w:val="SingleTxtG"/>
              <w:spacing w:before="40" w:after="40" w:line="220" w:lineRule="exact"/>
              <w:ind w:left="113" w:right="0"/>
              <w:jc w:val="right"/>
              <w:rPr>
                <w:sz w:val="18"/>
              </w:rPr>
            </w:pPr>
            <w:r w:rsidRPr="00C8762E">
              <w:rPr>
                <w:sz w:val="18"/>
              </w:rPr>
              <w:t>3,1</w:t>
            </w:r>
          </w:p>
        </w:tc>
        <w:tc>
          <w:tcPr>
            <w:tcW w:w="0" w:type="auto"/>
            <w:shd w:val="clear" w:color="auto" w:fill="auto"/>
            <w:noWrap/>
            <w:vAlign w:val="bottom"/>
            <w:hideMark/>
          </w:tcPr>
          <w:p w:rsidR="003B7F0E" w:rsidRPr="00C8762E" w:rsidRDefault="003B7F0E" w:rsidP="00D1717D">
            <w:pPr>
              <w:pStyle w:val="SingleTxtG"/>
              <w:spacing w:before="40" w:after="40" w:line="220" w:lineRule="exact"/>
              <w:ind w:left="113" w:right="0"/>
              <w:jc w:val="right"/>
              <w:rPr>
                <w:sz w:val="18"/>
              </w:rPr>
            </w:pPr>
            <w:r w:rsidRPr="00C8762E">
              <w:rPr>
                <w:sz w:val="18"/>
              </w:rPr>
              <w:t>3,1</w:t>
            </w:r>
          </w:p>
        </w:tc>
        <w:tc>
          <w:tcPr>
            <w:tcW w:w="0" w:type="auto"/>
            <w:shd w:val="clear" w:color="auto" w:fill="auto"/>
            <w:noWrap/>
            <w:vAlign w:val="bottom"/>
            <w:hideMark/>
          </w:tcPr>
          <w:p w:rsidR="003B7F0E" w:rsidRPr="00C8762E" w:rsidRDefault="003B7F0E" w:rsidP="00D1717D">
            <w:pPr>
              <w:pStyle w:val="SingleTxtG"/>
              <w:spacing w:before="40" w:after="40" w:line="220" w:lineRule="exact"/>
              <w:ind w:left="113" w:right="0"/>
              <w:jc w:val="right"/>
              <w:rPr>
                <w:sz w:val="18"/>
              </w:rPr>
            </w:pPr>
            <w:r w:rsidRPr="00C8762E">
              <w:rPr>
                <w:sz w:val="18"/>
              </w:rPr>
              <w:t>3,1</w:t>
            </w:r>
          </w:p>
        </w:tc>
        <w:tc>
          <w:tcPr>
            <w:tcW w:w="0" w:type="auto"/>
            <w:shd w:val="clear" w:color="auto" w:fill="auto"/>
            <w:noWrap/>
            <w:vAlign w:val="bottom"/>
            <w:hideMark/>
          </w:tcPr>
          <w:p w:rsidR="003B7F0E" w:rsidRPr="00C8762E" w:rsidRDefault="003B7F0E" w:rsidP="00D1717D">
            <w:pPr>
              <w:pStyle w:val="SingleTxtG"/>
              <w:spacing w:before="40" w:after="40" w:line="220" w:lineRule="exact"/>
              <w:ind w:left="113" w:right="0"/>
              <w:jc w:val="right"/>
              <w:rPr>
                <w:sz w:val="18"/>
              </w:rPr>
            </w:pPr>
            <w:r w:rsidRPr="00C8762E">
              <w:rPr>
                <w:sz w:val="18"/>
              </w:rPr>
              <w:t>3,0</w:t>
            </w:r>
          </w:p>
        </w:tc>
        <w:tc>
          <w:tcPr>
            <w:tcW w:w="0" w:type="auto"/>
            <w:shd w:val="clear" w:color="auto" w:fill="auto"/>
            <w:noWrap/>
            <w:vAlign w:val="bottom"/>
            <w:hideMark/>
          </w:tcPr>
          <w:p w:rsidR="003B7F0E" w:rsidRPr="00C8762E" w:rsidRDefault="003B7F0E" w:rsidP="00D1717D">
            <w:pPr>
              <w:pStyle w:val="SingleTxtG"/>
              <w:spacing w:before="40" w:after="40" w:line="220" w:lineRule="exact"/>
              <w:ind w:left="113" w:right="0"/>
              <w:jc w:val="right"/>
              <w:rPr>
                <w:sz w:val="18"/>
              </w:rPr>
            </w:pPr>
            <w:r w:rsidRPr="00C8762E">
              <w:rPr>
                <w:sz w:val="18"/>
              </w:rPr>
              <w:t>3,1</w:t>
            </w:r>
          </w:p>
        </w:tc>
      </w:tr>
      <w:tr w:rsidR="003B7F0E" w:rsidRPr="00C8762E" w:rsidTr="00D1717D">
        <w:tc>
          <w:tcPr>
            <w:tcW w:w="0" w:type="auto"/>
            <w:shd w:val="clear" w:color="auto" w:fill="auto"/>
            <w:noWrap/>
            <w:hideMark/>
          </w:tcPr>
          <w:p w:rsidR="003B7F0E" w:rsidRPr="00C8762E" w:rsidRDefault="003B7F0E" w:rsidP="00D1717D">
            <w:pPr>
              <w:pStyle w:val="SingleTxtG"/>
              <w:spacing w:before="40" w:after="40" w:line="220" w:lineRule="exact"/>
              <w:ind w:left="0" w:right="0"/>
              <w:jc w:val="left"/>
              <w:rPr>
                <w:sz w:val="18"/>
              </w:rPr>
            </w:pPr>
            <w:r w:rsidRPr="00C8762E">
              <w:rPr>
                <w:sz w:val="18"/>
              </w:rPr>
              <w:t>Salud</w:t>
            </w:r>
          </w:p>
        </w:tc>
        <w:tc>
          <w:tcPr>
            <w:tcW w:w="0" w:type="auto"/>
            <w:shd w:val="clear" w:color="auto" w:fill="auto"/>
            <w:noWrap/>
            <w:vAlign w:val="bottom"/>
            <w:hideMark/>
          </w:tcPr>
          <w:p w:rsidR="003B7F0E" w:rsidRPr="00C8762E" w:rsidRDefault="003B7F0E" w:rsidP="00D1717D">
            <w:pPr>
              <w:pStyle w:val="SingleTxtG"/>
              <w:spacing w:before="40" w:after="40" w:line="220" w:lineRule="exact"/>
              <w:ind w:left="113" w:right="0"/>
              <w:jc w:val="right"/>
              <w:rPr>
                <w:sz w:val="18"/>
              </w:rPr>
            </w:pPr>
            <w:r w:rsidRPr="00C8762E">
              <w:rPr>
                <w:sz w:val="18"/>
              </w:rPr>
              <w:t>2,1</w:t>
            </w:r>
          </w:p>
        </w:tc>
        <w:tc>
          <w:tcPr>
            <w:tcW w:w="0" w:type="auto"/>
            <w:shd w:val="clear" w:color="auto" w:fill="auto"/>
            <w:noWrap/>
            <w:vAlign w:val="bottom"/>
            <w:hideMark/>
          </w:tcPr>
          <w:p w:rsidR="003B7F0E" w:rsidRPr="00C8762E" w:rsidRDefault="003B7F0E" w:rsidP="00D1717D">
            <w:pPr>
              <w:pStyle w:val="SingleTxtG"/>
              <w:spacing w:before="40" w:after="40" w:line="220" w:lineRule="exact"/>
              <w:ind w:left="113" w:right="0"/>
              <w:jc w:val="right"/>
              <w:rPr>
                <w:sz w:val="18"/>
              </w:rPr>
            </w:pPr>
            <w:r w:rsidRPr="00C8762E">
              <w:rPr>
                <w:sz w:val="18"/>
              </w:rPr>
              <w:t>2,9</w:t>
            </w:r>
          </w:p>
        </w:tc>
        <w:tc>
          <w:tcPr>
            <w:tcW w:w="0" w:type="auto"/>
            <w:shd w:val="clear" w:color="auto" w:fill="auto"/>
            <w:noWrap/>
            <w:vAlign w:val="bottom"/>
            <w:hideMark/>
          </w:tcPr>
          <w:p w:rsidR="003B7F0E" w:rsidRPr="00C8762E" w:rsidRDefault="003B7F0E" w:rsidP="00D1717D">
            <w:pPr>
              <w:pStyle w:val="SingleTxtG"/>
              <w:spacing w:before="40" w:after="40" w:line="220" w:lineRule="exact"/>
              <w:ind w:left="113" w:right="0"/>
              <w:jc w:val="right"/>
              <w:rPr>
                <w:sz w:val="18"/>
              </w:rPr>
            </w:pPr>
            <w:r w:rsidRPr="00C8762E">
              <w:rPr>
                <w:sz w:val="18"/>
              </w:rPr>
              <w:t>2,8</w:t>
            </w:r>
          </w:p>
        </w:tc>
        <w:tc>
          <w:tcPr>
            <w:tcW w:w="0" w:type="auto"/>
            <w:shd w:val="clear" w:color="auto" w:fill="auto"/>
            <w:noWrap/>
            <w:vAlign w:val="bottom"/>
            <w:hideMark/>
          </w:tcPr>
          <w:p w:rsidR="003B7F0E" w:rsidRPr="00C8762E" w:rsidRDefault="003B7F0E" w:rsidP="00D1717D">
            <w:pPr>
              <w:pStyle w:val="SingleTxtG"/>
              <w:spacing w:before="40" w:after="40" w:line="220" w:lineRule="exact"/>
              <w:ind w:left="113" w:right="0"/>
              <w:jc w:val="right"/>
              <w:rPr>
                <w:sz w:val="18"/>
              </w:rPr>
            </w:pPr>
            <w:r w:rsidRPr="00C8762E">
              <w:rPr>
                <w:sz w:val="18"/>
              </w:rPr>
              <w:t>2,9</w:t>
            </w:r>
          </w:p>
        </w:tc>
        <w:tc>
          <w:tcPr>
            <w:tcW w:w="0" w:type="auto"/>
            <w:shd w:val="clear" w:color="auto" w:fill="auto"/>
            <w:noWrap/>
            <w:vAlign w:val="bottom"/>
            <w:hideMark/>
          </w:tcPr>
          <w:p w:rsidR="003B7F0E" w:rsidRPr="00C8762E" w:rsidRDefault="003B7F0E" w:rsidP="00D1717D">
            <w:pPr>
              <w:pStyle w:val="SingleTxtG"/>
              <w:spacing w:before="40" w:after="40" w:line="220" w:lineRule="exact"/>
              <w:ind w:left="113" w:right="0"/>
              <w:jc w:val="right"/>
              <w:rPr>
                <w:sz w:val="18"/>
              </w:rPr>
            </w:pPr>
            <w:r w:rsidRPr="00C8762E">
              <w:rPr>
                <w:sz w:val="18"/>
              </w:rPr>
              <w:t>2,8</w:t>
            </w:r>
          </w:p>
        </w:tc>
      </w:tr>
      <w:tr w:rsidR="003B7F0E" w:rsidRPr="00C8762E" w:rsidTr="00D1717D">
        <w:tc>
          <w:tcPr>
            <w:tcW w:w="0" w:type="auto"/>
            <w:shd w:val="clear" w:color="auto" w:fill="auto"/>
            <w:noWrap/>
            <w:hideMark/>
          </w:tcPr>
          <w:p w:rsidR="003B7F0E" w:rsidRPr="00C8762E" w:rsidRDefault="003B7F0E" w:rsidP="00D1717D">
            <w:pPr>
              <w:pStyle w:val="SingleTxtG"/>
              <w:spacing w:before="40" w:after="40" w:line="220" w:lineRule="exact"/>
              <w:ind w:left="0" w:right="0"/>
              <w:jc w:val="left"/>
              <w:rPr>
                <w:sz w:val="18"/>
              </w:rPr>
            </w:pPr>
            <w:r w:rsidRPr="00C8762E">
              <w:rPr>
                <w:sz w:val="18"/>
              </w:rPr>
              <w:t>Agua potable y saneamiento ambiental</w:t>
            </w:r>
          </w:p>
        </w:tc>
        <w:tc>
          <w:tcPr>
            <w:tcW w:w="0" w:type="auto"/>
            <w:shd w:val="clear" w:color="auto" w:fill="auto"/>
            <w:noWrap/>
            <w:vAlign w:val="bottom"/>
            <w:hideMark/>
          </w:tcPr>
          <w:p w:rsidR="003B7F0E" w:rsidRPr="00C8762E" w:rsidRDefault="003B7F0E" w:rsidP="00D1717D">
            <w:pPr>
              <w:pStyle w:val="SingleTxtG"/>
              <w:spacing w:before="40" w:after="40" w:line="220" w:lineRule="exact"/>
              <w:ind w:left="113" w:right="0"/>
              <w:jc w:val="right"/>
              <w:rPr>
                <w:sz w:val="18"/>
              </w:rPr>
            </w:pPr>
            <w:r w:rsidRPr="00C8762E">
              <w:rPr>
                <w:sz w:val="18"/>
              </w:rPr>
              <w:t>0,5</w:t>
            </w:r>
          </w:p>
        </w:tc>
        <w:tc>
          <w:tcPr>
            <w:tcW w:w="0" w:type="auto"/>
            <w:shd w:val="clear" w:color="auto" w:fill="auto"/>
            <w:noWrap/>
            <w:vAlign w:val="bottom"/>
            <w:hideMark/>
          </w:tcPr>
          <w:p w:rsidR="003B7F0E" w:rsidRPr="00C8762E" w:rsidRDefault="003B7F0E" w:rsidP="00D1717D">
            <w:pPr>
              <w:pStyle w:val="SingleTxtG"/>
              <w:spacing w:before="40" w:after="40" w:line="220" w:lineRule="exact"/>
              <w:ind w:left="113" w:right="0"/>
              <w:jc w:val="right"/>
              <w:rPr>
                <w:sz w:val="18"/>
              </w:rPr>
            </w:pPr>
            <w:r w:rsidRPr="00C8762E">
              <w:rPr>
                <w:sz w:val="18"/>
              </w:rPr>
              <w:t>0,5</w:t>
            </w:r>
          </w:p>
        </w:tc>
        <w:tc>
          <w:tcPr>
            <w:tcW w:w="0" w:type="auto"/>
            <w:shd w:val="clear" w:color="auto" w:fill="auto"/>
            <w:noWrap/>
            <w:vAlign w:val="bottom"/>
            <w:hideMark/>
          </w:tcPr>
          <w:p w:rsidR="003B7F0E" w:rsidRPr="00C8762E" w:rsidRDefault="003B7F0E" w:rsidP="00D1717D">
            <w:pPr>
              <w:pStyle w:val="SingleTxtG"/>
              <w:spacing w:before="40" w:after="40" w:line="220" w:lineRule="exact"/>
              <w:ind w:left="113" w:right="0"/>
              <w:jc w:val="right"/>
              <w:rPr>
                <w:sz w:val="18"/>
              </w:rPr>
            </w:pPr>
            <w:r w:rsidRPr="00C8762E">
              <w:rPr>
                <w:sz w:val="18"/>
              </w:rPr>
              <w:t>0,4</w:t>
            </w:r>
          </w:p>
        </w:tc>
        <w:tc>
          <w:tcPr>
            <w:tcW w:w="0" w:type="auto"/>
            <w:shd w:val="clear" w:color="auto" w:fill="auto"/>
            <w:noWrap/>
            <w:vAlign w:val="bottom"/>
            <w:hideMark/>
          </w:tcPr>
          <w:p w:rsidR="003B7F0E" w:rsidRPr="00C8762E" w:rsidRDefault="003B7F0E" w:rsidP="00D1717D">
            <w:pPr>
              <w:pStyle w:val="SingleTxtG"/>
              <w:spacing w:before="40" w:after="40" w:line="220" w:lineRule="exact"/>
              <w:ind w:left="113" w:right="0"/>
              <w:jc w:val="right"/>
              <w:rPr>
                <w:sz w:val="18"/>
              </w:rPr>
            </w:pPr>
            <w:r w:rsidRPr="00C8762E">
              <w:rPr>
                <w:sz w:val="18"/>
              </w:rPr>
              <w:t>0,3</w:t>
            </w:r>
          </w:p>
        </w:tc>
        <w:tc>
          <w:tcPr>
            <w:tcW w:w="0" w:type="auto"/>
            <w:shd w:val="clear" w:color="auto" w:fill="auto"/>
            <w:noWrap/>
            <w:vAlign w:val="bottom"/>
            <w:hideMark/>
          </w:tcPr>
          <w:p w:rsidR="003B7F0E" w:rsidRPr="00C8762E" w:rsidRDefault="003B7F0E" w:rsidP="00D1717D">
            <w:pPr>
              <w:pStyle w:val="SingleTxtG"/>
              <w:spacing w:before="40" w:after="40" w:line="220" w:lineRule="exact"/>
              <w:ind w:left="113" w:right="0"/>
              <w:jc w:val="right"/>
              <w:rPr>
                <w:sz w:val="18"/>
              </w:rPr>
            </w:pPr>
            <w:r w:rsidRPr="00C8762E">
              <w:rPr>
                <w:sz w:val="18"/>
              </w:rPr>
              <w:t>0,3</w:t>
            </w:r>
          </w:p>
        </w:tc>
      </w:tr>
      <w:tr w:rsidR="003B7F0E" w:rsidRPr="00C8762E" w:rsidTr="00D1717D">
        <w:tc>
          <w:tcPr>
            <w:tcW w:w="0" w:type="auto"/>
            <w:shd w:val="clear" w:color="auto" w:fill="auto"/>
            <w:noWrap/>
            <w:hideMark/>
          </w:tcPr>
          <w:p w:rsidR="003B7F0E" w:rsidRPr="00C8762E" w:rsidRDefault="003B7F0E" w:rsidP="00D1717D">
            <w:pPr>
              <w:pStyle w:val="SingleTxtG"/>
              <w:spacing w:before="40" w:after="40" w:line="220" w:lineRule="exact"/>
              <w:ind w:left="0" w:right="0"/>
              <w:jc w:val="left"/>
              <w:rPr>
                <w:sz w:val="18"/>
              </w:rPr>
            </w:pPr>
            <w:r w:rsidRPr="00C8762E">
              <w:rPr>
                <w:sz w:val="18"/>
              </w:rPr>
              <w:lastRenderedPageBreak/>
              <w:t>Vivienda social</w:t>
            </w:r>
          </w:p>
        </w:tc>
        <w:tc>
          <w:tcPr>
            <w:tcW w:w="0" w:type="auto"/>
            <w:shd w:val="clear" w:color="auto" w:fill="auto"/>
            <w:noWrap/>
            <w:vAlign w:val="bottom"/>
            <w:hideMark/>
          </w:tcPr>
          <w:p w:rsidR="003B7F0E" w:rsidRPr="00C8762E" w:rsidRDefault="003B7F0E" w:rsidP="00D1717D">
            <w:pPr>
              <w:pStyle w:val="SingleTxtG"/>
              <w:spacing w:before="40" w:after="40" w:line="220" w:lineRule="exact"/>
              <w:ind w:left="113" w:right="0"/>
              <w:jc w:val="right"/>
              <w:rPr>
                <w:sz w:val="18"/>
              </w:rPr>
            </w:pPr>
            <w:r w:rsidRPr="00C8762E">
              <w:rPr>
                <w:sz w:val="18"/>
              </w:rPr>
              <w:t>0,3</w:t>
            </w:r>
          </w:p>
        </w:tc>
        <w:tc>
          <w:tcPr>
            <w:tcW w:w="0" w:type="auto"/>
            <w:shd w:val="clear" w:color="auto" w:fill="auto"/>
            <w:noWrap/>
            <w:vAlign w:val="bottom"/>
            <w:hideMark/>
          </w:tcPr>
          <w:p w:rsidR="003B7F0E" w:rsidRPr="00C8762E" w:rsidRDefault="003B7F0E" w:rsidP="00D1717D">
            <w:pPr>
              <w:pStyle w:val="SingleTxtG"/>
              <w:spacing w:before="40" w:after="40" w:line="220" w:lineRule="exact"/>
              <w:ind w:left="113" w:right="0"/>
              <w:jc w:val="right"/>
              <w:rPr>
                <w:sz w:val="18"/>
              </w:rPr>
            </w:pPr>
            <w:r w:rsidRPr="00C8762E">
              <w:rPr>
                <w:sz w:val="18"/>
              </w:rPr>
              <w:t>0,4</w:t>
            </w:r>
          </w:p>
        </w:tc>
        <w:tc>
          <w:tcPr>
            <w:tcW w:w="0" w:type="auto"/>
            <w:shd w:val="clear" w:color="auto" w:fill="auto"/>
            <w:noWrap/>
            <w:vAlign w:val="bottom"/>
            <w:hideMark/>
          </w:tcPr>
          <w:p w:rsidR="003B7F0E" w:rsidRPr="00C8762E" w:rsidRDefault="003B7F0E" w:rsidP="00D1717D">
            <w:pPr>
              <w:pStyle w:val="SingleTxtG"/>
              <w:spacing w:before="40" w:after="40" w:line="220" w:lineRule="exact"/>
              <w:ind w:left="113" w:right="0"/>
              <w:jc w:val="right"/>
              <w:rPr>
                <w:sz w:val="18"/>
              </w:rPr>
            </w:pPr>
            <w:r w:rsidRPr="00C8762E">
              <w:rPr>
                <w:sz w:val="18"/>
              </w:rPr>
              <w:t>0,4</w:t>
            </w:r>
          </w:p>
        </w:tc>
        <w:tc>
          <w:tcPr>
            <w:tcW w:w="0" w:type="auto"/>
            <w:shd w:val="clear" w:color="auto" w:fill="auto"/>
            <w:noWrap/>
            <w:vAlign w:val="bottom"/>
            <w:hideMark/>
          </w:tcPr>
          <w:p w:rsidR="003B7F0E" w:rsidRPr="00C8762E" w:rsidRDefault="003B7F0E" w:rsidP="00D1717D">
            <w:pPr>
              <w:pStyle w:val="SingleTxtG"/>
              <w:spacing w:before="40" w:after="40" w:line="220" w:lineRule="exact"/>
              <w:ind w:left="113" w:right="0"/>
              <w:jc w:val="right"/>
              <w:rPr>
                <w:sz w:val="18"/>
              </w:rPr>
            </w:pPr>
            <w:r w:rsidRPr="00C8762E">
              <w:rPr>
                <w:sz w:val="18"/>
              </w:rPr>
              <w:t>0,2</w:t>
            </w:r>
          </w:p>
        </w:tc>
        <w:tc>
          <w:tcPr>
            <w:tcW w:w="0" w:type="auto"/>
            <w:shd w:val="clear" w:color="auto" w:fill="auto"/>
            <w:noWrap/>
            <w:vAlign w:val="bottom"/>
            <w:hideMark/>
          </w:tcPr>
          <w:p w:rsidR="003B7F0E" w:rsidRPr="00C8762E" w:rsidRDefault="003B7F0E" w:rsidP="00D1717D">
            <w:pPr>
              <w:pStyle w:val="SingleTxtG"/>
              <w:spacing w:before="40" w:after="40" w:line="220" w:lineRule="exact"/>
              <w:ind w:left="113" w:right="0"/>
              <w:jc w:val="right"/>
              <w:rPr>
                <w:sz w:val="18"/>
              </w:rPr>
            </w:pPr>
            <w:r w:rsidRPr="00C8762E">
              <w:rPr>
                <w:sz w:val="18"/>
              </w:rPr>
              <w:t>0,2</w:t>
            </w:r>
          </w:p>
        </w:tc>
      </w:tr>
      <w:tr w:rsidR="003B7F0E" w:rsidRPr="00C8762E" w:rsidTr="00D1717D">
        <w:tc>
          <w:tcPr>
            <w:tcW w:w="0" w:type="auto"/>
            <w:shd w:val="clear" w:color="auto" w:fill="auto"/>
            <w:noWrap/>
            <w:hideMark/>
          </w:tcPr>
          <w:p w:rsidR="003B7F0E" w:rsidRPr="00C8762E" w:rsidRDefault="003B7F0E" w:rsidP="00D1717D">
            <w:pPr>
              <w:pStyle w:val="SingleTxtG"/>
              <w:spacing w:before="40" w:after="40" w:line="220" w:lineRule="exact"/>
              <w:ind w:left="0" w:right="0"/>
              <w:jc w:val="left"/>
              <w:rPr>
                <w:sz w:val="18"/>
              </w:rPr>
            </w:pPr>
            <w:r w:rsidRPr="00C8762E">
              <w:rPr>
                <w:sz w:val="18"/>
              </w:rPr>
              <w:t>Cultura, deporte y recreación</w:t>
            </w:r>
          </w:p>
        </w:tc>
        <w:tc>
          <w:tcPr>
            <w:tcW w:w="0" w:type="auto"/>
            <w:shd w:val="clear" w:color="auto" w:fill="auto"/>
            <w:noWrap/>
            <w:vAlign w:val="bottom"/>
            <w:hideMark/>
          </w:tcPr>
          <w:p w:rsidR="003B7F0E" w:rsidRPr="00C8762E" w:rsidRDefault="003B7F0E" w:rsidP="00D1717D">
            <w:pPr>
              <w:pStyle w:val="SingleTxtG"/>
              <w:spacing w:before="40" w:after="40" w:line="220" w:lineRule="exact"/>
              <w:ind w:left="113" w:right="0"/>
              <w:jc w:val="right"/>
              <w:rPr>
                <w:sz w:val="18"/>
              </w:rPr>
            </w:pPr>
            <w:r w:rsidRPr="00C8762E">
              <w:rPr>
                <w:sz w:val="18"/>
              </w:rPr>
              <w:t>0,2</w:t>
            </w:r>
          </w:p>
        </w:tc>
        <w:tc>
          <w:tcPr>
            <w:tcW w:w="0" w:type="auto"/>
            <w:shd w:val="clear" w:color="auto" w:fill="auto"/>
            <w:noWrap/>
            <w:vAlign w:val="bottom"/>
            <w:hideMark/>
          </w:tcPr>
          <w:p w:rsidR="003B7F0E" w:rsidRPr="00C8762E" w:rsidRDefault="003B7F0E" w:rsidP="00D1717D">
            <w:pPr>
              <w:pStyle w:val="SingleTxtG"/>
              <w:spacing w:before="40" w:after="40" w:line="220" w:lineRule="exact"/>
              <w:ind w:left="113" w:right="0"/>
              <w:jc w:val="right"/>
              <w:rPr>
                <w:sz w:val="18"/>
              </w:rPr>
            </w:pPr>
            <w:r w:rsidRPr="00C8762E">
              <w:rPr>
                <w:sz w:val="18"/>
              </w:rPr>
              <w:t>0,2</w:t>
            </w:r>
          </w:p>
        </w:tc>
        <w:tc>
          <w:tcPr>
            <w:tcW w:w="0" w:type="auto"/>
            <w:shd w:val="clear" w:color="auto" w:fill="auto"/>
            <w:noWrap/>
            <w:vAlign w:val="bottom"/>
            <w:hideMark/>
          </w:tcPr>
          <w:p w:rsidR="003B7F0E" w:rsidRPr="00C8762E" w:rsidRDefault="003B7F0E" w:rsidP="00D1717D">
            <w:pPr>
              <w:pStyle w:val="SingleTxtG"/>
              <w:spacing w:before="40" w:after="40" w:line="220" w:lineRule="exact"/>
              <w:ind w:left="113" w:right="0"/>
              <w:jc w:val="right"/>
              <w:rPr>
                <w:sz w:val="18"/>
              </w:rPr>
            </w:pPr>
            <w:r w:rsidRPr="00C8762E">
              <w:rPr>
                <w:sz w:val="18"/>
              </w:rPr>
              <w:t>0,1</w:t>
            </w:r>
          </w:p>
        </w:tc>
        <w:tc>
          <w:tcPr>
            <w:tcW w:w="0" w:type="auto"/>
            <w:shd w:val="clear" w:color="auto" w:fill="auto"/>
            <w:noWrap/>
            <w:vAlign w:val="bottom"/>
            <w:hideMark/>
          </w:tcPr>
          <w:p w:rsidR="003B7F0E" w:rsidRPr="00C8762E" w:rsidRDefault="003B7F0E" w:rsidP="00D1717D">
            <w:pPr>
              <w:pStyle w:val="SingleTxtG"/>
              <w:spacing w:before="40" w:after="40" w:line="220" w:lineRule="exact"/>
              <w:ind w:left="113" w:right="0"/>
              <w:jc w:val="right"/>
              <w:rPr>
                <w:sz w:val="18"/>
              </w:rPr>
            </w:pPr>
            <w:r w:rsidRPr="00C8762E">
              <w:rPr>
                <w:sz w:val="18"/>
              </w:rPr>
              <w:t>0,1</w:t>
            </w:r>
          </w:p>
        </w:tc>
        <w:tc>
          <w:tcPr>
            <w:tcW w:w="0" w:type="auto"/>
            <w:shd w:val="clear" w:color="auto" w:fill="auto"/>
            <w:noWrap/>
            <w:vAlign w:val="bottom"/>
            <w:hideMark/>
          </w:tcPr>
          <w:p w:rsidR="003B7F0E" w:rsidRPr="00C8762E" w:rsidRDefault="003B7F0E" w:rsidP="00D1717D">
            <w:pPr>
              <w:pStyle w:val="SingleTxtG"/>
              <w:spacing w:before="40" w:after="40" w:line="220" w:lineRule="exact"/>
              <w:ind w:left="113" w:right="0"/>
              <w:jc w:val="right"/>
              <w:rPr>
                <w:sz w:val="18"/>
              </w:rPr>
            </w:pPr>
            <w:r w:rsidRPr="00C8762E">
              <w:rPr>
                <w:sz w:val="18"/>
              </w:rPr>
              <w:t>0,1</w:t>
            </w:r>
          </w:p>
        </w:tc>
      </w:tr>
      <w:tr w:rsidR="003B7F0E" w:rsidRPr="00C8762E" w:rsidTr="00D1717D">
        <w:tc>
          <w:tcPr>
            <w:tcW w:w="0" w:type="auto"/>
            <w:tcBorders>
              <w:bottom w:val="nil"/>
            </w:tcBorders>
            <w:shd w:val="clear" w:color="auto" w:fill="auto"/>
            <w:noWrap/>
            <w:hideMark/>
          </w:tcPr>
          <w:p w:rsidR="003B7F0E" w:rsidRPr="00C8762E" w:rsidRDefault="003B7F0E" w:rsidP="00D1717D">
            <w:pPr>
              <w:pStyle w:val="SingleTxtG"/>
              <w:spacing w:before="40" w:after="40" w:line="220" w:lineRule="exact"/>
              <w:ind w:left="0" w:right="0"/>
              <w:jc w:val="left"/>
              <w:rPr>
                <w:bCs/>
                <w:sz w:val="18"/>
              </w:rPr>
            </w:pPr>
            <w:r w:rsidRPr="00C8762E">
              <w:rPr>
                <w:bCs/>
                <w:sz w:val="18"/>
              </w:rPr>
              <w:t>Gasto social</w:t>
            </w:r>
          </w:p>
        </w:tc>
        <w:tc>
          <w:tcPr>
            <w:tcW w:w="0" w:type="auto"/>
            <w:tcBorders>
              <w:bottom w:val="nil"/>
            </w:tcBorders>
            <w:shd w:val="clear" w:color="auto" w:fill="auto"/>
            <w:noWrap/>
            <w:vAlign w:val="bottom"/>
            <w:hideMark/>
          </w:tcPr>
          <w:p w:rsidR="003B7F0E" w:rsidRPr="00C8762E" w:rsidRDefault="003B7F0E" w:rsidP="00D1717D">
            <w:pPr>
              <w:pStyle w:val="SingleTxtG"/>
              <w:spacing w:before="40" w:after="40" w:line="220" w:lineRule="exact"/>
              <w:ind w:left="113" w:right="0"/>
              <w:jc w:val="right"/>
              <w:rPr>
                <w:bCs/>
                <w:sz w:val="18"/>
              </w:rPr>
            </w:pPr>
            <w:r w:rsidRPr="00C8762E">
              <w:rPr>
                <w:bCs/>
                <w:sz w:val="18"/>
              </w:rPr>
              <w:t>13,6</w:t>
            </w:r>
          </w:p>
        </w:tc>
        <w:tc>
          <w:tcPr>
            <w:tcW w:w="0" w:type="auto"/>
            <w:tcBorders>
              <w:bottom w:val="nil"/>
            </w:tcBorders>
            <w:shd w:val="clear" w:color="auto" w:fill="auto"/>
            <w:noWrap/>
            <w:vAlign w:val="bottom"/>
            <w:hideMark/>
          </w:tcPr>
          <w:p w:rsidR="003B7F0E" w:rsidRPr="00C8762E" w:rsidRDefault="003B7F0E" w:rsidP="00D1717D">
            <w:pPr>
              <w:pStyle w:val="SingleTxtG"/>
              <w:spacing w:before="40" w:after="40" w:line="220" w:lineRule="exact"/>
              <w:ind w:left="113" w:right="0"/>
              <w:jc w:val="right"/>
              <w:rPr>
                <w:bCs/>
                <w:sz w:val="18"/>
              </w:rPr>
            </w:pPr>
            <w:r w:rsidRPr="00C8762E">
              <w:rPr>
                <w:bCs/>
                <w:sz w:val="18"/>
              </w:rPr>
              <w:t>14,3</w:t>
            </w:r>
          </w:p>
        </w:tc>
        <w:tc>
          <w:tcPr>
            <w:tcW w:w="0" w:type="auto"/>
            <w:tcBorders>
              <w:bottom w:val="nil"/>
            </w:tcBorders>
            <w:shd w:val="clear" w:color="auto" w:fill="auto"/>
            <w:noWrap/>
            <w:vAlign w:val="bottom"/>
            <w:hideMark/>
          </w:tcPr>
          <w:p w:rsidR="003B7F0E" w:rsidRPr="00C8762E" w:rsidRDefault="003B7F0E" w:rsidP="00D1717D">
            <w:pPr>
              <w:pStyle w:val="SingleTxtG"/>
              <w:spacing w:before="40" w:after="40" w:line="220" w:lineRule="exact"/>
              <w:ind w:left="113" w:right="0"/>
              <w:jc w:val="right"/>
              <w:rPr>
                <w:bCs/>
                <w:sz w:val="18"/>
              </w:rPr>
            </w:pPr>
            <w:r w:rsidRPr="00C8762E">
              <w:rPr>
                <w:bCs/>
                <w:sz w:val="18"/>
              </w:rPr>
              <w:t>14,6</w:t>
            </w:r>
          </w:p>
        </w:tc>
        <w:tc>
          <w:tcPr>
            <w:tcW w:w="0" w:type="auto"/>
            <w:tcBorders>
              <w:bottom w:val="nil"/>
            </w:tcBorders>
            <w:shd w:val="clear" w:color="auto" w:fill="auto"/>
            <w:noWrap/>
            <w:vAlign w:val="bottom"/>
            <w:hideMark/>
          </w:tcPr>
          <w:p w:rsidR="003B7F0E" w:rsidRPr="00C8762E" w:rsidRDefault="003B7F0E" w:rsidP="00D1717D">
            <w:pPr>
              <w:pStyle w:val="SingleTxtG"/>
              <w:spacing w:before="40" w:after="40" w:line="220" w:lineRule="exact"/>
              <w:ind w:left="113" w:right="0"/>
              <w:jc w:val="right"/>
              <w:rPr>
                <w:bCs/>
                <w:sz w:val="18"/>
              </w:rPr>
            </w:pPr>
            <w:r w:rsidRPr="00C8762E">
              <w:rPr>
                <w:bCs/>
                <w:sz w:val="18"/>
              </w:rPr>
              <w:t>13,5</w:t>
            </w:r>
          </w:p>
        </w:tc>
        <w:tc>
          <w:tcPr>
            <w:tcW w:w="0" w:type="auto"/>
            <w:tcBorders>
              <w:bottom w:val="nil"/>
            </w:tcBorders>
            <w:shd w:val="clear" w:color="auto" w:fill="auto"/>
            <w:noWrap/>
            <w:vAlign w:val="bottom"/>
            <w:hideMark/>
          </w:tcPr>
          <w:p w:rsidR="003B7F0E" w:rsidRPr="00C8762E" w:rsidRDefault="003B7F0E" w:rsidP="00D1717D">
            <w:pPr>
              <w:pStyle w:val="SingleTxtG"/>
              <w:spacing w:before="40" w:after="40" w:line="220" w:lineRule="exact"/>
              <w:ind w:left="113" w:right="0"/>
              <w:jc w:val="right"/>
              <w:rPr>
                <w:bCs/>
                <w:sz w:val="18"/>
              </w:rPr>
            </w:pPr>
            <w:r w:rsidRPr="00C8762E">
              <w:rPr>
                <w:bCs/>
                <w:sz w:val="18"/>
              </w:rPr>
              <w:t>12,9</w:t>
            </w:r>
          </w:p>
        </w:tc>
      </w:tr>
      <w:tr w:rsidR="003B7F0E" w:rsidRPr="00C8762E" w:rsidTr="00D1717D">
        <w:tc>
          <w:tcPr>
            <w:tcW w:w="0" w:type="auto"/>
            <w:tcBorders>
              <w:top w:val="nil"/>
              <w:bottom w:val="single" w:sz="12" w:space="0" w:color="auto"/>
            </w:tcBorders>
            <w:shd w:val="clear" w:color="auto" w:fill="auto"/>
            <w:noWrap/>
            <w:hideMark/>
          </w:tcPr>
          <w:p w:rsidR="003B7F0E" w:rsidRPr="00C8762E" w:rsidRDefault="003B7F0E" w:rsidP="00D1717D">
            <w:pPr>
              <w:pStyle w:val="SingleTxtG"/>
              <w:spacing w:before="40" w:after="40" w:line="220" w:lineRule="exact"/>
              <w:ind w:left="0" w:right="0"/>
              <w:jc w:val="left"/>
              <w:rPr>
                <w:bCs/>
                <w:sz w:val="18"/>
              </w:rPr>
            </w:pPr>
            <w:r w:rsidRPr="00C8762E">
              <w:rPr>
                <w:bCs/>
                <w:sz w:val="18"/>
              </w:rPr>
              <w:t>Presupuesto sin deuda</w:t>
            </w:r>
          </w:p>
        </w:tc>
        <w:tc>
          <w:tcPr>
            <w:tcW w:w="0" w:type="auto"/>
            <w:tcBorders>
              <w:top w:val="nil"/>
              <w:bottom w:val="single" w:sz="12" w:space="0" w:color="auto"/>
            </w:tcBorders>
            <w:shd w:val="clear" w:color="auto" w:fill="auto"/>
            <w:noWrap/>
            <w:vAlign w:val="bottom"/>
            <w:hideMark/>
          </w:tcPr>
          <w:p w:rsidR="003B7F0E" w:rsidRPr="00C8762E" w:rsidRDefault="003B7F0E" w:rsidP="00D1717D">
            <w:pPr>
              <w:pStyle w:val="SingleTxtG"/>
              <w:spacing w:before="40" w:after="40" w:line="220" w:lineRule="exact"/>
              <w:ind w:left="113" w:right="0"/>
              <w:jc w:val="right"/>
              <w:rPr>
                <w:bCs/>
                <w:sz w:val="18"/>
              </w:rPr>
            </w:pPr>
            <w:r w:rsidRPr="00C8762E">
              <w:rPr>
                <w:bCs/>
                <w:sz w:val="18"/>
              </w:rPr>
              <w:t>19,5</w:t>
            </w:r>
          </w:p>
        </w:tc>
        <w:tc>
          <w:tcPr>
            <w:tcW w:w="0" w:type="auto"/>
            <w:tcBorders>
              <w:top w:val="nil"/>
              <w:bottom w:val="single" w:sz="12" w:space="0" w:color="auto"/>
            </w:tcBorders>
            <w:shd w:val="clear" w:color="auto" w:fill="auto"/>
            <w:noWrap/>
            <w:vAlign w:val="bottom"/>
            <w:hideMark/>
          </w:tcPr>
          <w:p w:rsidR="003B7F0E" w:rsidRPr="00C8762E" w:rsidRDefault="003B7F0E" w:rsidP="00D1717D">
            <w:pPr>
              <w:pStyle w:val="SingleTxtG"/>
              <w:spacing w:before="40" w:after="40" w:line="220" w:lineRule="exact"/>
              <w:ind w:left="113" w:right="0"/>
              <w:jc w:val="right"/>
              <w:rPr>
                <w:bCs/>
                <w:sz w:val="18"/>
              </w:rPr>
            </w:pPr>
            <w:r w:rsidRPr="00C8762E">
              <w:rPr>
                <w:bCs/>
                <w:sz w:val="18"/>
              </w:rPr>
              <w:t>20,5</w:t>
            </w:r>
          </w:p>
        </w:tc>
        <w:tc>
          <w:tcPr>
            <w:tcW w:w="0" w:type="auto"/>
            <w:tcBorders>
              <w:top w:val="nil"/>
              <w:bottom w:val="single" w:sz="12" w:space="0" w:color="auto"/>
            </w:tcBorders>
            <w:shd w:val="clear" w:color="auto" w:fill="auto"/>
            <w:noWrap/>
            <w:vAlign w:val="bottom"/>
            <w:hideMark/>
          </w:tcPr>
          <w:p w:rsidR="003B7F0E" w:rsidRPr="00C8762E" w:rsidRDefault="003B7F0E" w:rsidP="00D1717D">
            <w:pPr>
              <w:pStyle w:val="SingleTxtG"/>
              <w:spacing w:before="40" w:after="40" w:line="220" w:lineRule="exact"/>
              <w:ind w:left="113" w:right="0"/>
              <w:jc w:val="right"/>
              <w:rPr>
                <w:bCs/>
                <w:sz w:val="18"/>
              </w:rPr>
            </w:pPr>
            <w:r w:rsidRPr="00C8762E">
              <w:rPr>
                <w:bCs/>
                <w:sz w:val="18"/>
              </w:rPr>
              <w:t>20,9</w:t>
            </w:r>
          </w:p>
        </w:tc>
        <w:tc>
          <w:tcPr>
            <w:tcW w:w="0" w:type="auto"/>
            <w:tcBorders>
              <w:top w:val="nil"/>
              <w:bottom w:val="single" w:sz="12" w:space="0" w:color="auto"/>
            </w:tcBorders>
            <w:shd w:val="clear" w:color="auto" w:fill="auto"/>
            <w:noWrap/>
            <w:vAlign w:val="bottom"/>
            <w:hideMark/>
          </w:tcPr>
          <w:p w:rsidR="003B7F0E" w:rsidRPr="00C8762E" w:rsidRDefault="003B7F0E" w:rsidP="00D1717D">
            <w:pPr>
              <w:pStyle w:val="SingleTxtG"/>
              <w:spacing w:before="40" w:after="40" w:line="220" w:lineRule="exact"/>
              <w:ind w:left="113" w:right="0"/>
              <w:jc w:val="right"/>
              <w:rPr>
                <w:bCs/>
                <w:sz w:val="18"/>
              </w:rPr>
            </w:pPr>
            <w:r w:rsidRPr="00C8762E">
              <w:rPr>
                <w:bCs/>
                <w:sz w:val="18"/>
              </w:rPr>
              <w:t>19,4</w:t>
            </w:r>
          </w:p>
        </w:tc>
        <w:tc>
          <w:tcPr>
            <w:tcW w:w="0" w:type="auto"/>
            <w:tcBorders>
              <w:top w:val="nil"/>
              <w:bottom w:val="single" w:sz="12" w:space="0" w:color="auto"/>
            </w:tcBorders>
            <w:shd w:val="clear" w:color="auto" w:fill="auto"/>
            <w:noWrap/>
            <w:vAlign w:val="bottom"/>
            <w:hideMark/>
          </w:tcPr>
          <w:p w:rsidR="003B7F0E" w:rsidRPr="00C8762E" w:rsidRDefault="003B7F0E" w:rsidP="00D1717D">
            <w:pPr>
              <w:pStyle w:val="SingleTxtG"/>
              <w:spacing w:before="40" w:after="40" w:line="220" w:lineRule="exact"/>
              <w:ind w:left="113" w:right="0"/>
              <w:jc w:val="right"/>
              <w:rPr>
                <w:bCs/>
                <w:sz w:val="18"/>
              </w:rPr>
            </w:pPr>
            <w:r w:rsidRPr="00C8762E">
              <w:rPr>
                <w:bCs/>
                <w:sz w:val="18"/>
              </w:rPr>
              <w:t>18,5</w:t>
            </w:r>
          </w:p>
        </w:tc>
      </w:tr>
    </w:tbl>
    <w:p w:rsidR="003B7F0E" w:rsidRPr="00C8762E" w:rsidRDefault="003B7F0E" w:rsidP="00067975">
      <w:pPr>
        <w:pStyle w:val="Textonotapie"/>
        <w:spacing w:before="120"/>
        <w:ind w:firstLine="0"/>
      </w:pPr>
      <w:r w:rsidRPr="00C8762E">
        <w:t xml:space="preserve">   </w:t>
      </w:r>
      <w:r w:rsidRPr="00C8762E">
        <w:rPr>
          <w:i/>
        </w:rPr>
        <w:t>Fuente:</w:t>
      </w:r>
      <w:r w:rsidRPr="00C8762E">
        <w:t xml:space="preserve"> M HCP DGPPN.</w:t>
      </w:r>
    </w:p>
    <w:p w:rsidR="00753078" w:rsidRPr="00C8762E" w:rsidRDefault="00DF5A10" w:rsidP="00DF5A10">
      <w:pPr>
        <w:pStyle w:val="H23G"/>
      </w:pPr>
      <w:r w:rsidRPr="00C8762E">
        <w:tab/>
      </w:r>
      <w:r w:rsidR="005C379D" w:rsidRPr="00C8762E">
        <w:t>3</w:t>
      </w:r>
      <w:r w:rsidRPr="00C8762E">
        <w:t>.</w:t>
      </w:r>
      <w:r w:rsidRPr="00C8762E">
        <w:tab/>
      </w:r>
      <w:r w:rsidR="00753078" w:rsidRPr="00C8762E">
        <w:t xml:space="preserve">Reforma Tributaria Estructural </w:t>
      </w:r>
    </w:p>
    <w:p w:rsidR="00753078" w:rsidRPr="00C8762E" w:rsidRDefault="003B7F0E" w:rsidP="00067975">
      <w:pPr>
        <w:pStyle w:val="SingleTxtG"/>
      </w:pPr>
      <w:r w:rsidRPr="00C8762E">
        <w:t>16.</w:t>
      </w:r>
      <w:r w:rsidRPr="00C8762E">
        <w:tab/>
      </w:r>
      <w:r w:rsidR="00753078" w:rsidRPr="00C8762E">
        <w:t>La reforma tributaria es el gran esfuerzo del Gobierno Nacional para modernizar el sistema tributario.</w:t>
      </w:r>
      <w:r w:rsidR="00462771" w:rsidRPr="00C8762E">
        <w:t xml:space="preserve"> </w:t>
      </w:r>
      <w:r w:rsidR="00753078" w:rsidRPr="00C8762E">
        <w:t>Le apuesta a imprimirle simplicidad, progresividad y equidad. Para ello, se eliminaron tributos, se simplificaron los trámites y las declaraciones, y se acercó la contabilidad a los impuestos. De la mano de este esfuerzo la reforma mejoró la equidad, protegiendo la capacidad de pago de los colombianos más necesitados y promoviendo igualdad en las reglas del juego para todos los contribuyentes.</w:t>
      </w:r>
    </w:p>
    <w:p w:rsidR="00753078" w:rsidRPr="00C8762E" w:rsidRDefault="003B7F0E" w:rsidP="00067975">
      <w:pPr>
        <w:pStyle w:val="SingleTxtG"/>
      </w:pPr>
      <w:r w:rsidRPr="00C8762E">
        <w:t>17.</w:t>
      </w:r>
      <w:r w:rsidRPr="00C8762E">
        <w:tab/>
      </w:r>
      <w:r w:rsidR="00753078" w:rsidRPr="00C8762E">
        <w:t>La progresividad parte de una modificación al impuesto de renta de las personas naturales. Para asegurar que quienes ganen más paguen más. La principal motivación para este cambio es la confirmación de que, sin la reforma, los beneficios tributarios favorecerían principalmente a los colombianos de mayores ingresos, que no destinan la totalidad de su ingreso a sus gastos esenciales.</w:t>
      </w:r>
    </w:p>
    <w:p w:rsidR="00753078" w:rsidRPr="00C8762E" w:rsidRDefault="003B7F0E" w:rsidP="00067975">
      <w:pPr>
        <w:pStyle w:val="SingleTxtG"/>
      </w:pPr>
      <w:r w:rsidRPr="00C8762E">
        <w:t>18.</w:t>
      </w:r>
      <w:r w:rsidRPr="00C8762E">
        <w:tab/>
      </w:r>
      <w:r w:rsidR="00753078" w:rsidRPr="00C8762E">
        <w:t xml:space="preserve">En cuanto a la redistribución de los impuestos parte del recaudo se destinará a la financiación de la educación superior pública, a programas de becas y créditos educativos a través del </w:t>
      </w:r>
      <w:proofErr w:type="spellStart"/>
      <w:r w:rsidR="00753078" w:rsidRPr="00C8762E">
        <w:t>Icetex</w:t>
      </w:r>
      <w:proofErr w:type="spellEnd"/>
      <w:r w:rsidR="00753078" w:rsidRPr="00C8762E">
        <w:t xml:space="preserve"> y al aseguramiento y mejoramiento de la calidad del servicio de la salud de los colombianos, entre otros.</w:t>
      </w:r>
    </w:p>
    <w:p w:rsidR="00753078" w:rsidRPr="00C8762E" w:rsidRDefault="00DF5A10" w:rsidP="003B7F0E">
      <w:pPr>
        <w:pStyle w:val="H23G"/>
      </w:pPr>
      <w:r w:rsidRPr="00C8762E">
        <w:tab/>
      </w:r>
      <w:r w:rsidR="005C379D" w:rsidRPr="00C8762E">
        <w:t>4</w:t>
      </w:r>
      <w:r w:rsidRPr="00C8762E">
        <w:t>.</w:t>
      </w:r>
      <w:r w:rsidRPr="00C8762E">
        <w:tab/>
      </w:r>
      <w:r w:rsidR="00753078" w:rsidRPr="00C8762E">
        <w:t>Número de denuncias por corrupción que ingresaron a la FGN desde el año 2012 hasta el 2016 y el porcentaje de estas que concluyeron en una condena</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1621"/>
        <w:gridCol w:w="2260"/>
        <w:gridCol w:w="2258"/>
        <w:gridCol w:w="1231"/>
      </w:tblGrid>
      <w:tr w:rsidR="003B7F0E" w:rsidRPr="00C8762E" w:rsidTr="00067975">
        <w:trPr>
          <w:trHeight w:val="240"/>
        </w:trPr>
        <w:tc>
          <w:tcPr>
            <w:tcW w:w="1119" w:type="dxa"/>
            <w:tcBorders>
              <w:top w:val="single" w:sz="4" w:space="0" w:color="auto"/>
              <w:bottom w:val="single" w:sz="12" w:space="0" w:color="auto"/>
            </w:tcBorders>
            <w:shd w:val="clear" w:color="auto" w:fill="auto"/>
          </w:tcPr>
          <w:p w:rsidR="003B7F0E" w:rsidRPr="00C8762E" w:rsidRDefault="003B7F0E" w:rsidP="003B7F0E">
            <w:pPr>
              <w:spacing w:before="80" w:after="80" w:line="200" w:lineRule="exact"/>
              <w:rPr>
                <w:sz w:val="14"/>
                <w:szCs w:val="14"/>
              </w:rPr>
            </w:pPr>
            <w:r w:rsidRPr="00C8762E">
              <w:rPr>
                <w:i/>
                <w:sz w:val="16"/>
              </w:rPr>
              <w:t>Año</w:t>
            </w:r>
          </w:p>
        </w:tc>
        <w:tc>
          <w:tcPr>
            <w:tcW w:w="1560" w:type="dxa"/>
            <w:tcBorders>
              <w:top w:val="single" w:sz="4" w:space="0" w:color="auto"/>
              <w:bottom w:val="single" w:sz="12" w:space="0" w:color="auto"/>
            </w:tcBorders>
            <w:shd w:val="clear" w:color="auto" w:fill="auto"/>
            <w:vAlign w:val="bottom"/>
          </w:tcPr>
          <w:p w:rsidR="003B7F0E" w:rsidRPr="00C8762E" w:rsidRDefault="003B7F0E" w:rsidP="00067975">
            <w:pPr>
              <w:spacing w:before="80" w:after="80" w:line="200" w:lineRule="exact"/>
              <w:ind w:left="113"/>
              <w:jc w:val="right"/>
              <w:rPr>
                <w:i/>
                <w:sz w:val="16"/>
              </w:rPr>
            </w:pPr>
            <w:r w:rsidRPr="00C8762E">
              <w:rPr>
                <w:i/>
                <w:sz w:val="16"/>
              </w:rPr>
              <w:t>Entradas</w:t>
            </w:r>
          </w:p>
        </w:tc>
        <w:tc>
          <w:tcPr>
            <w:tcW w:w="1559" w:type="dxa"/>
            <w:tcBorders>
              <w:top w:val="single" w:sz="4" w:space="0" w:color="auto"/>
              <w:bottom w:val="single" w:sz="12" w:space="0" w:color="auto"/>
            </w:tcBorders>
            <w:shd w:val="clear" w:color="auto" w:fill="auto"/>
            <w:vAlign w:val="bottom"/>
          </w:tcPr>
          <w:p w:rsidR="003B7F0E" w:rsidRPr="00C8762E" w:rsidRDefault="003B7F0E" w:rsidP="00067975">
            <w:pPr>
              <w:spacing w:before="80" w:after="80" w:line="200" w:lineRule="exact"/>
              <w:ind w:left="113"/>
              <w:jc w:val="right"/>
              <w:rPr>
                <w:i/>
                <w:sz w:val="16"/>
              </w:rPr>
            </w:pPr>
            <w:r w:rsidRPr="00C8762E">
              <w:rPr>
                <w:i/>
                <w:sz w:val="16"/>
              </w:rPr>
              <w:t>Condenas</w:t>
            </w:r>
          </w:p>
        </w:tc>
        <w:tc>
          <w:tcPr>
            <w:tcW w:w="850" w:type="dxa"/>
            <w:tcBorders>
              <w:top w:val="single" w:sz="4" w:space="0" w:color="auto"/>
              <w:bottom w:val="single" w:sz="12" w:space="0" w:color="auto"/>
            </w:tcBorders>
            <w:shd w:val="clear" w:color="auto" w:fill="auto"/>
            <w:vAlign w:val="bottom"/>
          </w:tcPr>
          <w:p w:rsidR="003B7F0E" w:rsidRPr="00C8762E" w:rsidRDefault="003B7F0E" w:rsidP="00067975">
            <w:pPr>
              <w:spacing w:before="80" w:after="80" w:line="200" w:lineRule="exact"/>
              <w:ind w:left="113"/>
              <w:jc w:val="right"/>
              <w:rPr>
                <w:i/>
                <w:sz w:val="16"/>
              </w:rPr>
            </w:pPr>
            <w:r w:rsidRPr="00C8762E">
              <w:rPr>
                <w:i/>
                <w:sz w:val="16"/>
              </w:rPr>
              <w:t>Porcentaje</w:t>
            </w:r>
          </w:p>
        </w:tc>
      </w:tr>
      <w:tr w:rsidR="003B7F0E" w:rsidRPr="00C8762E" w:rsidTr="00067975">
        <w:trPr>
          <w:trHeight w:val="240"/>
        </w:trPr>
        <w:tc>
          <w:tcPr>
            <w:tcW w:w="1119" w:type="dxa"/>
            <w:tcBorders>
              <w:top w:val="single" w:sz="12" w:space="0" w:color="auto"/>
            </w:tcBorders>
            <w:shd w:val="clear" w:color="auto" w:fill="auto"/>
          </w:tcPr>
          <w:p w:rsidR="003B7F0E" w:rsidRPr="00C8762E" w:rsidRDefault="003B7F0E" w:rsidP="00067975">
            <w:pPr>
              <w:spacing w:before="40" w:after="40" w:line="220" w:lineRule="exact"/>
              <w:rPr>
                <w:sz w:val="18"/>
              </w:rPr>
            </w:pPr>
            <w:r w:rsidRPr="00C8762E">
              <w:rPr>
                <w:sz w:val="18"/>
              </w:rPr>
              <w:t>2012</w:t>
            </w:r>
          </w:p>
        </w:tc>
        <w:tc>
          <w:tcPr>
            <w:tcW w:w="1560" w:type="dxa"/>
            <w:tcBorders>
              <w:top w:val="single" w:sz="12" w:space="0" w:color="auto"/>
            </w:tcBorders>
            <w:shd w:val="clear" w:color="auto" w:fill="auto"/>
            <w:vAlign w:val="bottom"/>
          </w:tcPr>
          <w:p w:rsidR="003B7F0E" w:rsidRPr="00C8762E" w:rsidRDefault="003B7F0E" w:rsidP="00067975">
            <w:pPr>
              <w:spacing w:before="40" w:after="40" w:line="220" w:lineRule="exact"/>
              <w:ind w:left="113"/>
              <w:jc w:val="right"/>
              <w:rPr>
                <w:sz w:val="18"/>
              </w:rPr>
            </w:pPr>
            <w:r w:rsidRPr="00C8762E">
              <w:rPr>
                <w:sz w:val="18"/>
              </w:rPr>
              <w:t>12 966</w:t>
            </w:r>
          </w:p>
        </w:tc>
        <w:tc>
          <w:tcPr>
            <w:tcW w:w="1559" w:type="dxa"/>
            <w:tcBorders>
              <w:top w:val="single" w:sz="12" w:space="0" w:color="auto"/>
            </w:tcBorders>
            <w:shd w:val="clear" w:color="auto" w:fill="auto"/>
            <w:vAlign w:val="bottom"/>
          </w:tcPr>
          <w:p w:rsidR="003B7F0E" w:rsidRPr="00C8762E" w:rsidRDefault="003B7F0E" w:rsidP="00067975">
            <w:pPr>
              <w:spacing w:before="40" w:after="40" w:line="220" w:lineRule="exact"/>
              <w:ind w:left="113"/>
              <w:jc w:val="right"/>
              <w:rPr>
                <w:sz w:val="18"/>
              </w:rPr>
            </w:pPr>
            <w:r w:rsidRPr="00C8762E">
              <w:rPr>
                <w:sz w:val="18"/>
              </w:rPr>
              <w:t>261</w:t>
            </w:r>
          </w:p>
        </w:tc>
        <w:tc>
          <w:tcPr>
            <w:tcW w:w="850" w:type="dxa"/>
            <w:tcBorders>
              <w:top w:val="single" w:sz="12" w:space="0" w:color="auto"/>
            </w:tcBorders>
            <w:shd w:val="clear" w:color="auto" w:fill="auto"/>
            <w:vAlign w:val="bottom"/>
          </w:tcPr>
          <w:p w:rsidR="003B7F0E" w:rsidRPr="00C8762E" w:rsidRDefault="003B7F0E" w:rsidP="00067975">
            <w:pPr>
              <w:spacing w:before="40" w:after="40" w:line="220" w:lineRule="exact"/>
              <w:ind w:left="113"/>
              <w:jc w:val="right"/>
              <w:rPr>
                <w:sz w:val="18"/>
              </w:rPr>
            </w:pPr>
            <w:r w:rsidRPr="00C8762E">
              <w:rPr>
                <w:sz w:val="18"/>
              </w:rPr>
              <w:t>2,0</w:t>
            </w:r>
          </w:p>
        </w:tc>
      </w:tr>
      <w:tr w:rsidR="003B7F0E" w:rsidRPr="00C8762E" w:rsidTr="00067975">
        <w:trPr>
          <w:trHeight w:val="240"/>
        </w:trPr>
        <w:tc>
          <w:tcPr>
            <w:tcW w:w="1119" w:type="dxa"/>
            <w:shd w:val="clear" w:color="auto" w:fill="auto"/>
          </w:tcPr>
          <w:p w:rsidR="003B7F0E" w:rsidRPr="00C8762E" w:rsidRDefault="003B7F0E" w:rsidP="00067975">
            <w:pPr>
              <w:spacing w:before="40" w:after="40" w:line="220" w:lineRule="exact"/>
              <w:rPr>
                <w:sz w:val="18"/>
              </w:rPr>
            </w:pPr>
            <w:r w:rsidRPr="00C8762E">
              <w:rPr>
                <w:sz w:val="18"/>
              </w:rPr>
              <w:t>2013</w:t>
            </w:r>
          </w:p>
        </w:tc>
        <w:tc>
          <w:tcPr>
            <w:tcW w:w="1560" w:type="dxa"/>
            <w:shd w:val="clear" w:color="auto" w:fill="auto"/>
            <w:vAlign w:val="bottom"/>
          </w:tcPr>
          <w:p w:rsidR="003B7F0E" w:rsidRPr="00C8762E" w:rsidRDefault="003B7F0E" w:rsidP="00067975">
            <w:pPr>
              <w:spacing w:before="40" w:after="40" w:line="220" w:lineRule="exact"/>
              <w:ind w:left="113"/>
              <w:jc w:val="right"/>
              <w:rPr>
                <w:sz w:val="18"/>
              </w:rPr>
            </w:pPr>
            <w:r w:rsidRPr="00C8762E">
              <w:rPr>
                <w:sz w:val="18"/>
              </w:rPr>
              <w:t>12 765</w:t>
            </w:r>
          </w:p>
        </w:tc>
        <w:tc>
          <w:tcPr>
            <w:tcW w:w="1559" w:type="dxa"/>
            <w:shd w:val="clear" w:color="auto" w:fill="auto"/>
            <w:vAlign w:val="bottom"/>
          </w:tcPr>
          <w:p w:rsidR="003B7F0E" w:rsidRPr="00C8762E" w:rsidRDefault="003B7F0E" w:rsidP="00067975">
            <w:pPr>
              <w:spacing w:before="40" w:after="40" w:line="220" w:lineRule="exact"/>
              <w:ind w:left="113"/>
              <w:jc w:val="right"/>
              <w:rPr>
                <w:sz w:val="18"/>
              </w:rPr>
            </w:pPr>
            <w:r w:rsidRPr="00C8762E">
              <w:rPr>
                <w:sz w:val="18"/>
              </w:rPr>
              <w:t>230</w:t>
            </w:r>
          </w:p>
        </w:tc>
        <w:tc>
          <w:tcPr>
            <w:tcW w:w="850" w:type="dxa"/>
            <w:shd w:val="clear" w:color="auto" w:fill="auto"/>
            <w:vAlign w:val="bottom"/>
          </w:tcPr>
          <w:p w:rsidR="003B7F0E" w:rsidRPr="00C8762E" w:rsidRDefault="003B7F0E" w:rsidP="00067975">
            <w:pPr>
              <w:spacing w:before="40" w:after="40" w:line="220" w:lineRule="exact"/>
              <w:ind w:left="113"/>
              <w:jc w:val="right"/>
              <w:rPr>
                <w:sz w:val="18"/>
              </w:rPr>
            </w:pPr>
            <w:r w:rsidRPr="00C8762E">
              <w:rPr>
                <w:sz w:val="18"/>
              </w:rPr>
              <w:t>1,8</w:t>
            </w:r>
          </w:p>
        </w:tc>
      </w:tr>
      <w:tr w:rsidR="003B7F0E" w:rsidRPr="00C8762E" w:rsidTr="00067975">
        <w:trPr>
          <w:trHeight w:val="240"/>
        </w:trPr>
        <w:tc>
          <w:tcPr>
            <w:tcW w:w="1119" w:type="dxa"/>
            <w:shd w:val="clear" w:color="auto" w:fill="auto"/>
          </w:tcPr>
          <w:p w:rsidR="003B7F0E" w:rsidRPr="00C8762E" w:rsidRDefault="003B7F0E" w:rsidP="00067975">
            <w:pPr>
              <w:spacing w:before="40" w:after="40" w:line="220" w:lineRule="exact"/>
              <w:rPr>
                <w:sz w:val="18"/>
              </w:rPr>
            </w:pPr>
            <w:r w:rsidRPr="00C8762E">
              <w:rPr>
                <w:sz w:val="18"/>
              </w:rPr>
              <w:t>2014</w:t>
            </w:r>
          </w:p>
        </w:tc>
        <w:tc>
          <w:tcPr>
            <w:tcW w:w="1560" w:type="dxa"/>
            <w:shd w:val="clear" w:color="auto" w:fill="auto"/>
            <w:vAlign w:val="bottom"/>
          </w:tcPr>
          <w:p w:rsidR="003B7F0E" w:rsidRPr="00C8762E" w:rsidRDefault="003B7F0E" w:rsidP="00067975">
            <w:pPr>
              <w:spacing w:before="40" w:after="40" w:line="220" w:lineRule="exact"/>
              <w:ind w:left="113"/>
              <w:jc w:val="right"/>
              <w:rPr>
                <w:sz w:val="18"/>
              </w:rPr>
            </w:pPr>
            <w:r w:rsidRPr="00C8762E">
              <w:rPr>
                <w:sz w:val="18"/>
              </w:rPr>
              <w:t>11 997</w:t>
            </w:r>
          </w:p>
        </w:tc>
        <w:tc>
          <w:tcPr>
            <w:tcW w:w="1559" w:type="dxa"/>
            <w:shd w:val="clear" w:color="auto" w:fill="auto"/>
            <w:vAlign w:val="bottom"/>
          </w:tcPr>
          <w:p w:rsidR="003B7F0E" w:rsidRPr="00C8762E" w:rsidRDefault="003B7F0E" w:rsidP="00067975">
            <w:pPr>
              <w:spacing w:before="40" w:after="40" w:line="220" w:lineRule="exact"/>
              <w:ind w:left="113"/>
              <w:jc w:val="right"/>
              <w:rPr>
                <w:sz w:val="18"/>
              </w:rPr>
            </w:pPr>
            <w:r w:rsidRPr="00C8762E">
              <w:rPr>
                <w:sz w:val="18"/>
              </w:rPr>
              <w:t>323</w:t>
            </w:r>
          </w:p>
        </w:tc>
        <w:tc>
          <w:tcPr>
            <w:tcW w:w="850" w:type="dxa"/>
            <w:shd w:val="clear" w:color="auto" w:fill="auto"/>
            <w:vAlign w:val="bottom"/>
          </w:tcPr>
          <w:p w:rsidR="003B7F0E" w:rsidRPr="00C8762E" w:rsidRDefault="003B7F0E" w:rsidP="00067975">
            <w:pPr>
              <w:spacing w:before="40" w:after="40" w:line="220" w:lineRule="exact"/>
              <w:ind w:left="113"/>
              <w:jc w:val="right"/>
              <w:rPr>
                <w:sz w:val="18"/>
              </w:rPr>
            </w:pPr>
            <w:r w:rsidRPr="00C8762E">
              <w:rPr>
                <w:sz w:val="18"/>
              </w:rPr>
              <w:t>2,7</w:t>
            </w:r>
          </w:p>
        </w:tc>
      </w:tr>
      <w:tr w:rsidR="003B7F0E" w:rsidRPr="00C8762E" w:rsidTr="00067975">
        <w:trPr>
          <w:trHeight w:val="240"/>
        </w:trPr>
        <w:tc>
          <w:tcPr>
            <w:tcW w:w="1119" w:type="dxa"/>
            <w:shd w:val="clear" w:color="auto" w:fill="auto"/>
          </w:tcPr>
          <w:p w:rsidR="003B7F0E" w:rsidRPr="00C8762E" w:rsidRDefault="003B7F0E" w:rsidP="00067975">
            <w:pPr>
              <w:spacing w:before="40" w:after="40" w:line="220" w:lineRule="exact"/>
              <w:rPr>
                <w:sz w:val="18"/>
              </w:rPr>
            </w:pPr>
            <w:r w:rsidRPr="00C8762E">
              <w:rPr>
                <w:sz w:val="18"/>
              </w:rPr>
              <w:t>2015</w:t>
            </w:r>
          </w:p>
        </w:tc>
        <w:tc>
          <w:tcPr>
            <w:tcW w:w="1560" w:type="dxa"/>
            <w:shd w:val="clear" w:color="auto" w:fill="auto"/>
            <w:vAlign w:val="bottom"/>
          </w:tcPr>
          <w:p w:rsidR="003B7F0E" w:rsidRPr="00C8762E" w:rsidRDefault="003B7F0E" w:rsidP="00067975">
            <w:pPr>
              <w:spacing w:before="40" w:after="40" w:line="220" w:lineRule="exact"/>
              <w:ind w:left="113"/>
              <w:jc w:val="right"/>
              <w:rPr>
                <w:sz w:val="18"/>
              </w:rPr>
            </w:pPr>
            <w:r w:rsidRPr="00C8762E">
              <w:rPr>
                <w:sz w:val="18"/>
              </w:rPr>
              <w:t>12 549</w:t>
            </w:r>
          </w:p>
        </w:tc>
        <w:tc>
          <w:tcPr>
            <w:tcW w:w="1559" w:type="dxa"/>
            <w:shd w:val="clear" w:color="auto" w:fill="auto"/>
            <w:vAlign w:val="bottom"/>
          </w:tcPr>
          <w:p w:rsidR="003B7F0E" w:rsidRPr="00C8762E" w:rsidRDefault="003B7F0E" w:rsidP="00067975">
            <w:pPr>
              <w:spacing w:before="40" w:after="40" w:line="220" w:lineRule="exact"/>
              <w:ind w:left="113"/>
              <w:jc w:val="right"/>
              <w:rPr>
                <w:sz w:val="18"/>
              </w:rPr>
            </w:pPr>
            <w:r w:rsidRPr="00C8762E">
              <w:rPr>
                <w:sz w:val="18"/>
              </w:rPr>
              <w:t>175</w:t>
            </w:r>
          </w:p>
        </w:tc>
        <w:tc>
          <w:tcPr>
            <w:tcW w:w="850" w:type="dxa"/>
            <w:shd w:val="clear" w:color="auto" w:fill="auto"/>
            <w:vAlign w:val="bottom"/>
          </w:tcPr>
          <w:p w:rsidR="003B7F0E" w:rsidRPr="00C8762E" w:rsidRDefault="003B7F0E" w:rsidP="00067975">
            <w:pPr>
              <w:spacing w:before="40" w:after="40" w:line="220" w:lineRule="exact"/>
              <w:ind w:left="113"/>
              <w:jc w:val="right"/>
              <w:rPr>
                <w:sz w:val="18"/>
              </w:rPr>
            </w:pPr>
            <w:r w:rsidRPr="00C8762E">
              <w:rPr>
                <w:sz w:val="18"/>
              </w:rPr>
              <w:t>1,4</w:t>
            </w:r>
          </w:p>
        </w:tc>
      </w:tr>
      <w:tr w:rsidR="003B7F0E" w:rsidRPr="00C8762E" w:rsidTr="00067975">
        <w:trPr>
          <w:trHeight w:val="240"/>
        </w:trPr>
        <w:tc>
          <w:tcPr>
            <w:tcW w:w="1119" w:type="dxa"/>
            <w:tcBorders>
              <w:bottom w:val="single" w:sz="4" w:space="0" w:color="auto"/>
            </w:tcBorders>
            <w:shd w:val="clear" w:color="auto" w:fill="auto"/>
          </w:tcPr>
          <w:p w:rsidR="003B7F0E" w:rsidRPr="00C8762E" w:rsidRDefault="003B7F0E" w:rsidP="00067975">
            <w:pPr>
              <w:spacing w:before="40" w:after="40" w:line="220" w:lineRule="exact"/>
              <w:rPr>
                <w:sz w:val="18"/>
              </w:rPr>
            </w:pPr>
            <w:r w:rsidRPr="00C8762E">
              <w:rPr>
                <w:sz w:val="18"/>
              </w:rPr>
              <w:t>2016</w:t>
            </w:r>
          </w:p>
        </w:tc>
        <w:tc>
          <w:tcPr>
            <w:tcW w:w="1560" w:type="dxa"/>
            <w:tcBorders>
              <w:bottom w:val="single" w:sz="4" w:space="0" w:color="auto"/>
            </w:tcBorders>
            <w:shd w:val="clear" w:color="auto" w:fill="auto"/>
            <w:vAlign w:val="bottom"/>
          </w:tcPr>
          <w:p w:rsidR="003B7F0E" w:rsidRPr="00C8762E" w:rsidRDefault="003B7F0E" w:rsidP="00067975">
            <w:pPr>
              <w:spacing w:before="40" w:after="40" w:line="220" w:lineRule="exact"/>
              <w:ind w:left="113"/>
              <w:jc w:val="right"/>
              <w:rPr>
                <w:sz w:val="18"/>
              </w:rPr>
            </w:pPr>
            <w:r w:rsidRPr="00C8762E">
              <w:rPr>
                <w:sz w:val="18"/>
              </w:rPr>
              <w:t>13 818</w:t>
            </w:r>
          </w:p>
        </w:tc>
        <w:tc>
          <w:tcPr>
            <w:tcW w:w="1559" w:type="dxa"/>
            <w:tcBorders>
              <w:bottom w:val="single" w:sz="4" w:space="0" w:color="auto"/>
            </w:tcBorders>
            <w:shd w:val="clear" w:color="auto" w:fill="auto"/>
            <w:vAlign w:val="bottom"/>
          </w:tcPr>
          <w:p w:rsidR="003B7F0E" w:rsidRPr="00C8762E" w:rsidRDefault="003B7F0E" w:rsidP="00067975">
            <w:pPr>
              <w:spacing w:before="40" w:after="40" w:line="220" w:lineRule="exact"/>
              <w:ind w:left="113"/>
              <w:jc w:val="right"/>
              <w:rPr>
                <w:sz w:val="18"/>
              </w:rPr>
            </w:pPr>
            <w:r w:rsidRPr="00C8762E">
              <w:rPr>
                <w:sz w:val="18"/>
              </w:rPr>
              <w:t>58</w:t>
            </w:r>
          </w:p>
        </w:tc>
        <w:tc>
          <w:tcPr>
            <w:tcW w:w="850" w:type="dxa"/>
            <w:tcBorders>
              <w:bottom w:val="single" w:sz="4" w:space="0" w:color="auto"/>
            </w:tcBorders>
            <w:shd w:val="clear" w:color="auto" w:fill="auto"/>
            <w:vAlign w:val="bottom"/>
          </w:tcPr>
          <w:p w:rsidR="003B7F0E" w:rsidRPr="00C8762E" w:rsidRDefault="003B7F0E" w:rsidP="00067975">
            <w:pPr>
              <w:spacing w:before="40" w:after="40" w:line="220" w:lineRule="exact"/>
              <w:ind w:left="113"/>
              <w:jc w:val="right"/>
              <w:rPr>
                <w:sz w:val="18"/>
              </w:rPr>
            </w:pPr>
            <w:r w:rsidRPr="00C8762E">
              <w:rPr>
                <w:sz w:val="18"/>
              </w:rPr>
              <w:t>0,4</w:t>
            </w:r>
          </w:p>
        </w:tc>
      </w:tr>
      <w:tr w:rsidR="003B7F0E" w:rsidRPr="00C8762E" w:rsidTr="00067975">
        <w:trPr>
          <w:trHeight w:val="240"/>
        </w:trPr>
        <w:tc>
          <w:tcPr>
            <w:tcW w:w="1119" w:type="dxa"/>
            <w:tcBorders>
              <w:top w:val="single" w:sz="4" w:space="0" w:color="auto"/>
              <w:bottom w:val="single" w:sz="12" w:space="0" w:color="auto"/>
            </w:tcBorders>
            <w:shd w:val="clear" w:color="auto" w:fill="auto"/>
          </w:tcPr>
          <w:p w:rsidR="003B7F0E" w:rsidRPr="00C8762E" w:rsidRDefault="003B7F0E" w:rsidP="00067975">
            <w:pPr>
              <w:spacing w:before="80" w:after="80" w:line="220" w:lineRule="exact"/>
              <w:ind w:left="283"/>
              <w:rPr>
                <w:b/>
                <w:sz w:val="18"/>
              </w:rPr>
            </w:pPr>
            <w:r w:rsidRPr="00C8762E">
              <w:rPr>
                <w:b/>
                <w:sz w:val="18"/>
              </w:rPr>
              <w:t>Total</w:t>
            </w:r>
          </w:p>
        </w:tc>
        <w:tc>
          <w:tcPr>
            <w:tcW w:w="1560" w:type="dxa"/>
            <w:tcBorders>
              <w:top w:val="single" w:sz="4" w:space="0" w:color="auto"/>
              <w:bottom w:val="single" w:sz="12" w:space="0" w:color="auto"/>
            </w:tcBorders>
            <w:shd w:val="clear" w:color="auto" w:fill="auto"/>
            <w:vAlign w:val="bottom"/>
          </w:tcPr>
          <w:p w:rsidR="003B7F0E" w:rsidRPr="00C8762E" w:rsidRDefault="003B7F0E" w:rsidP="00067975">
            <w:pPr>
              <w:spacing w:before="80" w:after="80" w:line="220" w:lineRule="exact"/>
              <w:jc w:val="right"/>
              <w:rPr>
                <w:b/>
                <w:sz w:val="18"/>
              </w:rPr>
            </w:pPr>
            <w:r w:rsidRPr="00C8762E">
              <w:rPr>
                <w:b/>
                <w:sz w:val="18"/>
              </w:rPr>
              <w:t>64 095</w:t>
            </w:r>
          </w:p>
        </w:tc>
        <w:tc>
          <w:tcPr>
            <w:tcW w:w="1559" w:type="dxa"/>
            <w:tcBorders>
              <w:top w:val="single" w:sz="4" w:space="0" w:color="auto"/>
              <w:bottom w:val="single" w:sz="12" w:space="0" w:color="auto"/>
            </w:tcBorders>
            <w:shd w:val="clear" w:color="auto" w:fill="auto"/>
            <w:vAlign w:val="bottom"/>
          </w:tcPr>
          <w:p w:rsidR="003B7F0E" w:rsidRPr="00C8762E" w:rsidRDefault="003B7F0E" w:rsidP="00067975">
            <w:pPr>
              <w:spacing w:before="80" w:after="80" w:line="220" w:lineRule="exact"/>
              <w:jc w:val="right"/>
              <w:rPr>
                <w:b/>
                <w:sz w:val="18"/>
              </w:rPr>
            </w:pPr>
            <w:r w:rsidRPr="00C8762E">
              <w:rPr>
                <w:b/>
                <w:sz w:val="18"/>
              </w:rPr>
              <w:t>1 021</w:t>
            </w:r>
          </w:p>
        </w:tc>
        <w:tc>
          <w:tcPr>
            <w:tcW w:w="850" w:type="dxa"/>
            <w:tcBorders>
              <w:top w:val="single" w:sz="4" w:space="0" w:color="auto"/>
              <w:bottom w:val="single" w:sz="12" w:space="0" w:color="auto"/>
            </w:tcBorders>
            <w:shd w:val="clear" w:color="auto" w:fill="auto"/>
            <w:vAlign w:val="bottom"/>
          </w:tcPr>
          <w:p w:rsidR="003B7F0E" w:rsidRPr="00C8762E" w:rsidRDefault="003B7F0E" w:rsidP="00067975">
            <w:pPr>
              <w:spacing w:before="80" w:after="80" w:line="220" w:lineRule="exact"/>
              <w:jc w:val="right"/>
              <w:rPr>
                <w:b/>
                <w:sz w:val="18"/>
              </w:rPr>
            </w:pPr>
            <w:r w:rsidRPr="00C8762E">
              <w:rPr>
                <w:b/>
                <w:sz w:val="18"/>
              </w:rPr>
              <w:t>1,6</w:t>
            </w:r>
          </w:p>
        </w:tc>
      </w:tr>
    </w:tbl>
    <w:p w:rsidR="00753078" w:rsidRPr="00C8762E" w:rsidRDefault="003B7F0E" w:rsidP="00067975">
      <w:pPr>
        <w:pStyle w:val="Textonotapie"/>
        <w:spacing w:before="120"/>
        <w:ind w:firstLine="0"/>
      </w:pPr>
      <w:r w:rsidRPr="00C8762E">
        <w:t xml:space="preserve">   </w:t>
      </w:r>
      <w:r w:rsidR="00753078" w:rsidRPr="00C8762E">
        <w:rPr>
          <w:i/>
        </w:rPr>
        <w:t>Fuente:</w:t>
      </w:r>
      <w:r w:rsidR="00753078" w:rsidRPr="00C8762E">
        <w:t xml:space="preserve"> SPOA-Consulta 10 de marzo de 2017</w:t>
      </w:r>
      <w:r w:rsidRPr="00C8762E">
        <w:t>.</w:t>
      </w:r>
    </w:p>
    <w:p w:rsidR="00753078" w:rsidRPr="00C8762E" w:rsidRDefault="00DF5A10" w:rsidP="00DF5A10">
      <w:pPr>
        <w:pStyle w:val="H1G"/>
      </w:pPr>
      <w:r w:rsidRPr="00C8762E">
        <w:tab/>
      </w:r>
      <w:r w:rsidRPr="00C8762E">
        <w:tab/>
      </w:r>
      <w:r w:rsidR="00753078" w:rsidRPr="00C8762E">
        <w:t>Artículo 2, párrafo 2</w:t>
      </w:r>
    </w:p>
    <w:p w:rsidR="00753078" w:rsidRPr="00C8762E" w:rsidRDefault="00DF5A10" w:rsidP="00DF5A10">
      <w:pPr>
        <w:pStyle w:val="H23G"/>
      </w:pPr>
      <w:r w:rsidRPr="00C8762E">
        <w:tab/>
      </w:r>
      <w:r w:rsidR="005C379D" w:rsidRPr="00C8762E">
        <w:t>5</w:t>
      </w:r>
      <w:r w:rsidRPr="00C8762E">
        <w:t>.</w:t>
      </w:r>
      <w:r w:rsidRPr="00C8762E">
        <w:tab/>
      </w:r>
      <w:r w:rsidR="00753078" w:rsidRPr="00C8762E">
        <w:t>Política integral de lucha contra la discriminación</w:t>
      </w:r>
    </w:p>
    <w:p w:rsidR="00753078" w:rsidRPr="00C8762E" w:rsidRDefault="003B7F0E" w:rsidP="00067975">
      <w:pPr>
        <w:pStyle w:val="SingleTxtG"/>
      </w:pPr>
      <w:r w:rsidRPr="00C8762E">
        <w:t>19.</w:t>
      </w:r>
      <w:r w:rsidRPr="00C8762E">
        <w:tab/>
      </w:r>
      <w:r w:rsidR="00753078" w:rsidRPr="00C8762E">
        <w:t xml:space="preserve">El Ministerio del Interior creó mediante Resolución </w:t>
      </w:r>
      <w:r w:rsidR="00EC0040" w:rsidRPr="00C8762E">
        <w:t xml:space="preserve">núm. </w:t>
      </w:r>
      <w:r w:rsidR="00753078" w:rsidRPr="00C8762E">
        <w:t xml:space="preserve">1154 de 2012, modificado por la Resolución </w:t>
      </w:r>
      <w:r w:rsidR="00EC0040" w:rsidRPr="00C8762E">
        <w:t xml:space="preserve">núm. </w:t>
      </w:r>
      <w:r w:rsidR="00753078" w:rsidRPr="00C8762E">
        <w:t xml:space="preserve">0540 de 2016, el Observatorio contra la Discriminación y el Racismo; como un mecanismo de monitoreo y seguimiento a los actos de discriminación y racismo con el fin de generar insumos para la formulación de políticas públicas en el tema. </w:t>
      </w:r>
    </w:p>
    <w:p w:rsidR="00753078" w:rsidRPr="00C8762E" w:rsidRDefault="003B7F0E" w:rsidP="00067975">
      <w:pPr>
        <w:pStyle w:val="SingleTxtG"/>
      </w:pPr>
      <w:r w:rsidRPr="00C8762E">
        <w:t>20.</w:t>
      </w:r>
      <w:r w:rsidRPr="00C8762E">
        <w:tab/>
      </w:r>
      <w:r w:rsidR="00753078" w:rsidRPr="00C8762E">
        <w:t xml:space="preserve">A través del Observatorio, el Ministerio del Interior, ha asesorado y acompañado a víctimas de los actos de discriminación racial y racismo, tipificados en la </w:t>
      </w:r>
      <w:r w:rsidR="00D1717D" w:rsidRPr="00C8762E">
        <w:t>Ley</w:t>
      </w:r>
      <w:r w:rsidR="00753078" w:rsidRPr="00C8762E">
        <w:t xml:space="preserve"> </w:t>
      </w:r>
      <w:r w:rsidR="00D1717D" w:rsidRPr="00C8762E">
        <w:t xml:space="preserve">núm. </w:t>
      </w:r>
      <w:r w:rsidR="00753078" w:rsidRPr="00C8762E">
        <w:t>1482 de</w:t>
      </w:r>
      <w:r w:rsidR="00EC0040" w:rsidRPr="00C8762E">
        <w:t> </w:t>
      </w:r>
      <w:r w:rsidR="00753078" w:rsidRPr="00C8762E">
        <w:t xml:space="preserve">2011. </w:t>
      </w:r>
      <w:r w:rsidR="00D1717D" w:rsidRPr="00C8762E">
        <w:t>Asi</w:t>
      </w:r>
      <w:r w:rsidR="00753078" w:rsidRPr="00C8762E">
        <w:t xml:space="preserve">mismo, ha realizado seguimiento a las denuncias ante las entidades competentes, con el propósito de promover la investigación y sanción, garantizando la protección de los derechos que han sido vulnerados. </w:t>
      </w:r>
    </w:p>
    <w:p w:rsidR="00753078" w:rsidRPr="00C8762E" w:rsidRDefault="003B7F0E" w:rsidP="00067975">
      <w:pPr>
        <w:pStyle w:val="SingleTxtG"/>
      </w:pPr>
      <w:r w:rsidRPr="00C8762E">
        <w:t>21.</w:t>
      </w:r>
      <w:r w:rsidRPr="00C8762E">
        <w:tab/>
      </w:r>
      <w:r w:rsidR="00753078" w:rsidRPr="00C8762E">
        <w:t xml:space="preserve">Actualmente, el Ministerio de Interior se encuentra en proceso de fortalecimiento técnico del Observatorio de Discriminación y el Racismo, para abordar desde una lógica </w:t>
      </w:r>
      <w:proofErr w:type="spellStart"/>
      <w:r w:rsidR="00753078" w:rsidRPr="00C8762E">
        <w:t>interseccional</w:t>
      </w:r>
      <w:proofErr w:type="spellEnd"/>
      <w:r w:rsidR="00753078" w:rsidRPr="00C8762E">
        <w:t xml:space="preserve"> la discriminación, de modo que permita leer otros criterios como: sexo, </w:t>
      </w:r>
      <w:r w:rsidR="00753078" w:rsidRPr="00C8762E">
        <w:lastRenderedPageBreak/>
        <w:t>género, orientación sexual, identidad de género o su expresión, pertenencia étnica, color de piel, origen nacional, familiar o social, lengua, idioma, religión, creencia, cosmovisión, opinión política, ideológica y filosófica.</w:t>
      </w:r>
    </w:p>
    <w:p w:rsidR="00753078" w:rsidRPr="00C8762E" w:rsidRDefault="00DF5A10" w:rsidP="00DF5A10">
      <w:pPr>
        <w:pStyle w:val="H23G"/>
      </w:pPr>
      <w:r w:rsidRPr="00C8762E">
        <w:tab/>
      </w:r>
      <w:r w:rsidR="005C379D" w:rsidRPr="00C8762E">
        <w:t>6</w:t>
      </w:r>
      <w:r w:rsidRPr="00C8762E">
        <w:t>.</w:t>
      </w:r>
      <w:r w:rsidRPr="00C8762E">
        <w:tab/>
      </w:r>
      <w:r w:rsidR="00753078" w:rsidRPr="00C8762E">
        <w:t xml:space="preserve">Plan Nacional de Desarrollo (PND) </w:t>
      </w:r>
    </w:p>
    <w:p w:rsidR="00753078" w:rsidRPr="00C8762E" w:rsidRDefault="003B7F0E" w:rsidP="00067975">
      <w:pPr>
        <w:pStyle w:val="SingleTxtG"/>
      </w:pPr>
      <w:r w:rsidRPr="00C8762E">
        <w:t>22.</w:t>
      </w:r>
      <w:r w:rsidRPr="00C8762E">
        <w:tab/>
      </w:r>
      <w:r w:rsidR="00753078" w:rsidRPr="00C8762E">
        <w:t>En el PND 2014</w:t>
      </w:r>
      <w:r w:rsidR="00EC0040" w:rsidRPr="00C8762E">
        <w:t>-</w:t>
      </w:r>
      <w:r w:rsidR="00753078" w:rsidRPr="00C8762E">
        <w:t xml:space="preserve">2018, el Gobierno Nacional como resultado de la Consulta Previa y por iniciativa del ejecutivo y del legislativo, incluyó un total de 258 compromisos dirigidos específicamente a la población de los Grupos Étnicos reconocidos constitucionalmente (Comunidades Negras, Afrocolombianas, Raizales y </w:t>
      </w:r>
      <w:proofErr w:type="spellStart"/>
      <w:r w:rsidR="00753078" w:rsidRPr="00C8762E">
        <w:t>Palenqueras</w:t>
      </w:r>
      <w:proofErr w:type="spellEnd"/>
      <w:r w:rsidR="00753078" w:rsidRPr="00C8762E">
        <w:t xml:space="preserve">; Pueblos Indígenas; y Pueblo </w:t>
      </w:r>
      <w:proofErr w:type="spellStart"/>
      <w:r w:rsidR="00753078" w:rsidRPr="00C8762E">
        <w:t>Rom</w:t>
      </w:r>
      <w:proofErr w:type="spellEnd"/>
      <w:r w:rsidR="00753078" w:rsidRPr="00C8762E">
        <w:t>).</w:t>
      </w:r>
    </w:p>
    <w:p w:rsidR="00753078" w:rsidRPr="00C8762E" w:rsidRDefault="003B7F0E" w:rsidP="00067975">
      <w:pPr>
        <w:pStyle w:val="SingleTxtG"/>
      </w:pPr>
      <w:r w:rsidRPr="00C8762E">
        <w:t>23.</w:t>
      </w:r>
      <w:r w:rsidRPr="00C8762E">
        <w:tab/>
      </w:r>
      <w:r w:rsidR="00753078" w:rsidRPr="00C8762E">
        <w:t xml:space="preserve">En cumplimiento de estos compromisos, el Gobierno Nacional no solo ha comprometido una gestión para la garantía de los derechos de los grupos étnicos a través de acciones para la atención diferencial, también ha destinado recursos específicos para garantizar la implementación de proyectos de inversión, con todas las fuentes de recursos públicos, de que dispone el Estado en los tres niveles de Gobierno (Nacional, Departamental y Municipal o Distrital). Es así como para la vigencia 2015 y 2016, se han ejecutado recursos por el orden de 5 billones de pesos. </w:t>
      </w:r>
    </w:p>
    <w:p w:rsidR="00753078" w:rsidRPr="00C8762E" w:rsidRDefault="003B7F0E" w:rsidP="00067975">
      <w:pPr>
        <w:pStyle w:val="SingleTxtG"/>
      </w:pPr>
      <w:r w:rsidRPr="00C8762E">
        <w:t>24.</w:t>
      </w:r>
      <w:r w:rsidRPr="00C8762E">
        <w:tab/>
      </w:r>
      <w:r w:rsidR="00753078" w:rsidRPr="00C8762E">
        <w:t>El Rol de los grupos étnicos como sujetos de derecho, a partir de lo contenido en el PND 2014</w:t>
      </w:r>
      <w:r w:rsidR="00EC0040" w:rsidRPr="00C8762E">
        <w:t>-</w:t>
      </w:r>
      <w:r w:rsidR="00753078" w:rsidRPr="00C8762E">
        <w:t>2018, ha trascendido de beneficiario y receptor de acciones, a actores relevantes en las etapas de planificación de planes, programas y proyectos, programación de recursos de inversión, ejecución de los proyectos y control social y seguimientos frente a los resultados de la gestión del sector público del país.</w:t>
      </w:r>
    </w:p>
    <w:p w:rsidR="00753078" w:rsidRPr="00C8762E" w:rsidRDefault="00DF5A10" w:rsidP="00DF5A10">
      <w:pPr>
        <w:pStyle w:val="H1G"/>
      </w:pPr>
      <w:r w:rsidRPr="00C8762E">
        <w:tab/>
      </w:r>
      <w:r w:rsidRPr="00C8762E">
        <w:tab/>
      </w:r>
      <w:r w:rsidR="00753078" w:rsidRPr="00C8762E">
        <w:t>Artículo 3</w:t>
      </w:r>
    </w:p>
    <w:p w:rsidR="00753078" w:rsidRPr="00C8762E" w:rsidRDefault="00DF5A10" w:rsidP="00DF5A10">
      <w:pPr>
        <w:pStyle w:val="H23G"/>
      </w:pPr>
      <w:r w:rsidRPr="00C8762E">
        <w:tab/>
      </w:r>
      <w:r w:rsidR="005C379D" w:rsidRPr="00C8762E">
        <w:t>7</w:t>
      </w:r>
      <w:r w:rsidRPr="00C8762E">
        <w:t>.</w:t>
      </w:r>
      <w:r w:rsidRPr="00C8762E">
        <w:tab/>
      </w:r>
      <w:r w:rsidR="00753078" w:rsidRPr="00C8762E">
        <w:t>Política Pública Nacional de Equidad de Género - Plan de acción 2013-2016</w:t>
      </w:r>
    </w:p>
    <w:p w:rsidR="00753078" w:rsidRPr="00C8762E" w:rsidRDefault="003B7F0E" w:rsidP="00067975">
      <w:pPr>
        <w:pStyle w:val="SingleTxtG"/>
      </w:pPr>
      <w:r w:rsidRPr="00C8762E">
        <w:t>25.</w:t>
      </w:r>
      <w:r w:rsidRPr="00C8762E">
        <w:tab/>
      </w:r>
      <w:r w:rsidR="00753078" w:rsidRPr="00C8762E">
        <w:t xml:space="preserve">En el anexo 2, se muestran algunos de los resultados de la Política Pública de Equidad de Género, por cada uno de sus ejes. </w:t>
      </w:r>
    </w:p>
    <w:p w:rsidR="00753078" w:rsidRPr="00C8762E" w:rsidRDefault="003B7F0E" w:rsidP="00067975">
      <w:pPr>
        <w:pStyle w:val="SingleTxtG"/>
      </w:pPr>
      <w:r w:rsidRPr="00C8762E">
        <w:t>26.</w:t>
      </w:r>
      <w:r w:rsidRPr="00C8762E">
        <w:tab/>
      </w:r>
      <w:r w:rsidR="00753078" w:rsidRPr="00C8762E">
        <w:t>Como se señaló en la respuesta No. 1, se estableció una instancia especial para contribuir a garantizar el enfoque de género en la implementación del Acuerdo Final, la cual estará conformada por siete mujeres propuestas por organizaciones de mujeres colombianas nacionales y territoriales, quienes</w:t>
      </w:r>
      <w:r w:rsidR="00462771" w:rsidRPr="00C8762E">
        <w:t xml:space="preserve"> </w:t>
      </w:r>
      <w:r w:rsidR="00753078" w:rsidRPr="00C8762E">
        <w:t>serán nombradas a título personal con el respaldo de sus organizaciones, cuatro de las cuales serán de organizaciones territoriales, una de ellas deberá ser víctima del conflicto armado, dos de carácter nacional, y una mujer propuesta por organizaciones LGBTI.</w:t>
      </w:r>
    </w:p>
    <w:p w:rsidR="00753078" w:rsidRPr="00C8762E" w:rsidRDefault="00753078" w:rsidP="00753078">
      <w:pPr>
        <w:pStyle w:val="HChG"/>
      </w:pPr>
      <w:r w:rsidRPr="00C8762E">
        <w:tab/>
        <w:t>III.</w:t>
      </w:r>
      <w:r w:rsidRPr="00C8762E">
        <w:tab/>
        <w:t>Cuestiones relativas a disposiciones específicas del Pacto (arts. 6 a 15)</w:t>
      </w:r>
    </w:p>
    <w:p w:rsidR="00753078" w:rsidRPr="00C8762E" w:rsidRDefault="00DF5A10" w:rsidP="00DF5A10">
      <w:pPr>
        <w:pStyle w:val="H1G"/>
      </w:pPr>
      <w:r w:rsidRPr="00C8762E">
        <w:tab/>
      </w:r>
      <w:r w:rsidRPr="00C8762E">
        <w:tab/>
      </w:r>
      <w:r w:rsidR="00753078" w:rsidRPr="00C8762E">
        <w:t>Artículo 6</w:t>
      </w:r>
    </w:p>
    <w:p w:rsidR="00753078" w:rsidRPr="00C8762E" w:rsidRDefault="00DF5A10" w:rsidP="00DF5A10">
      <w:pPr>
        <w:pStyle w:val="H23G"/>
      </w:pPr>
      <w:r w:rsidRPr="00C8762E">
        <w:tab/>
        <w:t>1.</w:t>
      </w:r>
      <w:r w:rsidRPr="00C8762E">
        <w:tab/>
      </w:r>
      <w:r w:rsidR="00753078" w:rsidRPr="00C8762E">
        <w:t xml:space="preserve">Tasas de desempleo </w:t>
      </w:r>
    </w:p>
    <w:p w:rsidR="002708A2" w:rsidRPr="00C8762E" w:rsidRDefault="00EC0040" w:rsidP="00067975">
      <w:pPr>
        <w:pStyle w:val="SingleTxtG"/>
      </w:pPr>
      <w:r w:rsidRPr="00C8762E">
        <w:t>27.</w:t>
      </w:r>
      <w:r w:rsidRPr="00C8762E">
        <w:tab/>
        <w:t>La disminución de la tasa de desempleo ha alcanzado los niveles más bajos en los últimos 16 años (9,2% en el 2016) con las más altas tasas de participación y ocupación. Lo anterior estuvo acompañado de la creación de 3,3 millones de empleos, de los cuales el 72% fueron empleos formales. Durante este período, el Gobierno Nacional también ha implementado políticas para la reducción de la informalidad, logrando así un aumento de 6,5 p.p. en la tasa de formalidad en los últimos 7 años.</w:t>
      </w:r>
    </w:p>
    <w:tbl>
      <w:tblPr>
        <w:tblW w:w="7770" w:type="dxa"/>
        <w:tblInd w:w="1134" w:type="dxa"/>
        <w:tblBorders>
          <w:top w:val="single" w:sz="4" w:space="0" w:color="auto"/>
        </w:tblBorders>
        <w:tblCellMar>
          <w:left w:w="0" w:type="dxa"/>
          <w:right w:w="0" w:type="dxa"/>
        </w:tblCellMar>
        <w:tblLook w:val="04A0" w:firstRow="1" w:lastRow="0" w:firstColumn="1" w:lastColumn="0" w:noHBand="0" w:noVBand="1"/>
      </w:tblPr>
      <w:tblGrid>
        <w:gridCol w:w="1700"/>
        <w:gridCol w:w="1742"/>
        <w:gridCol w:w="1404"/>
        <w:gridCol w:w="1647"/>
        <w:gridCol w:w="1357"/>
      </w:tblGrid>
      <w:tr w:rsidR="002708A2" w:rsidRPr="00C8762E" w:rsidTr="00D1717D">
        <w:trPr>
          <w:trHeight w:val="240"/>
          <w:tblHeader/>
        </w:trPr>
        <w:tc>
          <w:tcPr>
            <w:tcW w:w="1684" w:type="dxa"/>
            <w:tcBorders>
              <w:top w:val="single" w:sz="4" w:space="0" w:color="auto"/>
              <w:bottom w:val="nil"/>
            </w:tcBorders>
            <w:shd w:val="clear" w:color="auto" w:fill="auto"/>
            <w:vAlign w:val="bottom"/>
            <w:hideMark/>
          </w:tcPr>
          <w:p w:rsidR="002708A2" w:rsidRPr="00C8762E" w:rsidRDefault="002708A2" w:rsidP="00067975">
            <w:pPr>
              <w:pStyle w:val="SingleTxtG"/>
              <w:keepNext/>
              <w:keepLines/>
              <w:spacing w:before="80" w:after="80" w:line="200" w:lineRule="exact"/>
              <w:ind w:left="0" w:right="0"/>
              <w:jc w:val="left"/>
              <w:rPr>
                <w:i/>
                <w:sz w:val="16"/>
              </w:rPr>
            </w:pPr>
          </w:p>
        </w:tc>
        <w:tc>
          <w:tcPr>
            <w:tcW w:w="1726" w:type="dxa"/>
            <w:tcBorders>
              <w:top w:val="single" w:sz="4" w:space="0" w:color="auto"/>
              <w:bottom w:val="nil"/>
            </w:tcBorders>
            <w:shd w:val="clear" w:color="auto" w:fill="auto"/>
            <w:noWrap/>
            <w:vAlign w:val="bottom"/>
            <w:hideMark/>
          </w:tcPr>
          <w:p w:rsidR="002708A2" w:rsidRPr="00C8762E" w:rsidRDefault="002708A2" w:rsidP="00067975">
            <w:pPr>
              <w:pStyle w:val="SingleTxtG"/>
              <w:keepNext/>
              <w:keepLines/>
              <w:spacing w:before="80" w:after="80" w:line="200" w:lineRule="exact"/>
              <w:ind w:left="113" w:right="0"/>
              <w:jc w:val="right"/>
              <w:rPr>
                <w:i/>
                <w:sz w:val="16"/>
              </w:rPr>
            </w:pPr>
          </w:p>
        </w:tc>
        <w:tc>
          <w:tcPr>
            <w:tcW w:w="1388" w:type="dxa"/>
            <w:tcBorders>
              <w:top w:val="single" w:sz="4" w:space="0" w:color="auto"/>
              <w:bottom w:val="nil"/>
            </w:tcBorders>
            <w:shd w:val="clear" w:color="auto" w:fill="auto"/>
            <w:noWrap/>
            <w:vAlign w:val="bottom"/>
            <w:hideMark/>
          </w:tcPr>
          <w:p w:rsidR="002708A2" w:rsidRPr="00C8762E" w:rsidRDefault="002708A2" w:rsidP="00067975">
            <w:pPr>
              <w:pStyle w:val="SingleTxtG"/>
              <w:keepNext/>
              <w:keepLines/>
              <w:spacing w:before="80" w:after="80" w:line="200" w:lineRule="exact"/>
              <w:ind w:left="113" w:right="0"/>
              <w:jc w:val="right"/>
              <w:rPr>
                <w:i/>
                <w:sz w:val="16"/>
              </w:rPr>
            </w:pPr>
          </w:p>
        </w:tc>
        <w:tc>
          <w:tcPr>
            <w:tcW w:w="2972" w:type="dxa"/>
            <w:gridSpan w:val="2"/>
            <w:tcBorders>
              <w:top w:val="single" w:sz="4" w:space="0" w:color="auto"/>
              <w:bottom w:val="single" w:sz="4" w:space="0" w:color="auto"/>
            </w:tcBorders>
            <w:shd w:val="clear" w:color="auto" w:fill="auto"/>
            <w:vAlign w:val="bottom"/>
            <w:hideMark/>
          </w:tcPr>
          <w:p w:rsidR="002708A2" w:rsidRPr="00C8762E" w:rsidRDefault="002708A2" w:rsidP="00067975">
            <w:pPr>
              <w:pStyle w:val="SingleTxtG"/>
              <w:keepNext/>
              <w:keepLines/>
              <w:spacing w:before="80" w:after="80" w:line="200" w:lineRule="exact"/>
              <w:ind w:left="113" w:right="0"/>
              <w:jc w:val="center"/>
              <w:rPr>
                <w:bCs/>
                <w:i/>
                <w:sz w:val="16"/>
              </w:rPr>
            </w:pPr>
            <w:r w:rsidRPr="00C8762E">
              <w:rPr>
                <w:bCs/>
                <w:i/>
                <w:sz w:val="16"/>
              </w:rPr>
              <w:t>Tasa subempleo</w:t>
            </w:r>
          </w:p>
        </w:tc>
      </w:tr>
      <w:tr w:rsidR="002708A2" w:rsidRPr="00C8762E" w:rsidTr="00D1717D">
        <w:trPr>
          <w:trHeight w:val="240"/>
        </w:trPr>
        <w:tc>
          <w:tcPr>
            <w:tcW w:w="1684" w:type="dxa"/>
            <w:tcBorders>
              <w:top w:val="nil"/>
              <w:bottom w:val="single" w:sz="12" w:space="0" w:color="auto"/>
            </w:tcBorders>
            <w:shd w:val="clear" w:color="auto" w:fill="auto"/>
            <w:hideMark/>
          </w:tcPr>
          <w:p w:rsidR="002708A2" w:rsidRPr="00C8762E" w:rsidRDefault="002708A2" w:rsidP="00067975">
            <w:pPr>
              <w:pStyle w:val="SingleTxtG"/>
              <w:keepNext/>
              <w:keepLines/>
              <w:spacing w:before="80" w:after="80" w:line="200" w:lineRule="exact"/>
              <w:ind w:left="0" w:right="0"/>
              <w:jc w:val="left"/>
              <w:rPr>
                <w:bCs/>
                <w:sz w:val="18"/>
              </w:rPr>
            </w:pPr>
            <w:r w:rsidRPr="00C8762E">
              <w:rPr>
                <w:i/>
                <w:sz w:val="16"/>
              </w:rPr>
              <w:t>Desagregación temática</w:t>
            </w:r>
          </w:p>
        </w:tc>
        <w:tc>
          <w:tcPr>
            <w:tcW w:w="1726" w:type="dxa"/>
            <w:tcBorders>
              <w:top w:val="nil"/>
              <w:bottom w:val="single" w:sz="12" w:space="0" w:color="auto"/>
            </w:tcBorders>
            <w:shd w:val="clear" w:color="auto" w:fill="auto"/>
            <w:vAlign w:val="bottom"/>
            <w:hideMark/>
          </w:tcPr>
          <w:p w:rsidR="002708A2" w:rsidRPr="00C8762E" w:rsidRDefault="002708A2" w:rsidP="00067975">
            <w:pPr>
              <w:pStyle w:val="SingleTxtG"/>
              <w:keepNext/>
              <w:keepLines/>
              <w:spacing w:before="80" w:after="80" w:line="200" w:lineRule="exact"/>
              <w:ind w:left="113" w:right="0"/>
              <w:jc w:val="right"/>
              <w:rPr>
                <w:i/>
                <w:sz w:val="16"/>
              </w:rPr>
            </w:pPr>
            <w:r w:rsidRPr="00C8762E">
              <w:rPr>
                <w:i/>
                <w:sz w:val="16"/>
              </w:rPr>
              <w:t>Valor temático</w:t>
            </w:r>
          </w:p>
        </w:tc>
        <w:tc>
          <w:tcPr>
            <w:tcW w:w="1388" w:type="dxa"/>
            <w:tcBorders>
              <w:top w:val="nil"/>
              <w:bottom w:val="single" w:sz="12" w:space="0" w:color="auto"/>
            </w:tcBorders>
            <w:shd w:val="clear" w:color="auto" w:fill="auto"/>
            <w:vAlign w:val="bottom"/>
            <w:hideMark/>
          </w:tcPr>
          <w:p w:rsidR="002708A2" w:rsidRPr="00C8762E" w:rsidRDefault="002708A2" w:rsidP="00067975">
            <w:pPr>
              <w:pStyle w:val="SingleTxtG"/>
              <w:keepNext/>
              <w:keepLines/>
              <w:spacing w:before="80" w:after="80" w:line="200" w:lineRule="exact"/>
              <w:ind w:left="113" w:right="0"/>
              <w:jc w:val="right"/>
              <w:rPr>
                <w:i/>
                <w:sz w:val="16"/>
              </w:rPr>
            </w:pPr>
            <w:r w:rsidRPr="00C8762E">
              <w:rPr>
                <w:i/>
                <w:sz w:val="16"/>
              </w:rPr>
              <w:t>Tasa de desempleo</w:t>
            </w:r>
          </w:p>
        </w:tc>
        <w:tc>
          <w:tcPr>
            <w:tcW w:w="1631" w:type="dxa"/>
            <w:tcBorders>
              <w:top w:val="single" w:sz="4" w:space="0" w:color="auto"/>
              <w:bottom w:val="single" w:sz="12" w:space="0" w:color="auto"/>
            </w:tcBorders>
            <w:shd w:val="clear" w:color="auto" w:fill="auto"/>
            <w:noWrap/>
            <w:vAlign w:val="bottom"/>
            <w:hideMark/>
          </w:tcPr>
          <w:p w:rsidR="002708A2" w:rsidRPr="00C8762E" w:rsidRDefault="002708A2" w:rsidP="00067975">
            <w:pPr>
              <w:pStyle w:val="SingleTxtG"/>
              <w:keepNext/>
              <w:keepLines/>
              <w:spacing w:before="80" w:after="80" w:line="200" w:lineRule="exact"/>
              <w:ind w:left="113" w:right="0"/>
              <w:jc w:val="right"/>
              <w:rPr>
                <w:i/>
                <w:sz w:val="16"/>
              </w:rPr>
            </w:pPr>
            <w:r w:rsidRPr="00C8762E">
              <w:rPr>
                <w:i/>
                <w:sz w:val="16"/>
              </w:rPr>
              <w:t>Objetivo</w:t>
            </w:r>
          </w:p>
        </w:tc>
        <w:tc>
          <w:tcPr>
            <w:tcW w:w="1341" w:type="dxa"/>
            <w:tcBorders>
              <w:top w:val="single" w:sz="4" w:space="0" w:color="auto"/>
              <w:bottom w:val="single" w:sz="12" w:space="0" w:color="auto"/>
            </w:tcBorders>
            <w:shd w:val="clear" w:color="auto" w:fill="auto"/>
            <w:vAlign w:val="bottom"/>
            <w:hideMark/>
          </w:tcPr>
          <w:p w:rsidR="002708A2" w:rsidRPr="00C8762E" w:rsidRDefault="002708A2" w:rsidP="00067975">
            <w:pPr>
              <w:pStyle w:val="SingleTxtG"/>
              <w:keepNext/>
              <w:keepLines/>
              <w:spacing w:before="80" w:after="80" w:line="200" w:lineRule="exact"/>
              <w:ind w:left="113" w:right="0"/>
              <w:jc w:val="right"/>
              <w:rPr>
                <w:i/>
                <w:sz w:val="16"/>
              </w:rPr>
            </w:pPr>
            <w:r w:rsidRPr="00C8762E">
              <w:rPr>
                <w:i/>
                <w:sz w:val="16"/>
              </w:rPr>
              <w:t>Subjetivo</w:t>
            </w:r>
          </w:p>
        </w:tc>
      </w:tr>
      <w:tr w:rsidR="002708A2" w:rsidRPr="00C8762E" w:rsidTr="00D1717D">
        <w:trPr>
          <w:trHeight w:val="240"/>
        </w:trPr>
        <w:tc>
          <w:tcPr>
            <w:tcW w:w="1684" w:type="dxa"/>
            <w:tcBorders>
              <w:top w:val="single" w:sz="12" w:space="0" w:color="auto"/>
              <w:bottom w:val="single" w:sz="4" w:space="0" w:color="auto"/>
            </w:tcBorders>
            <w:shd w:val="clear" w:color="auto" w:fill="auto"/>
            <w:noWrap/>
            <w:hideMark/>
          </w:tcPr>
          <w:p w:rsidR="002708A2" w:rsidRPr="00C8762E" w:rsidRDefault="002708A2" w:rsidP="00067975">
            <w:pPr>
              <w:pStyle w:val="SingleTxtG"/>
              <w:keepNext/>
              <w:keepLines/>
              <w:spacing w:before="40" w:after="40" w:line="220" w:lineRule="exact"/>
              <w:ind w:left="0" w:right="0"/>
              <w:jc w:val="left"/>
              <w:rPr>
                <w:bCs/>
                <w:sz w:val="18"/>
              </w:rPr>
            </w:pPr>
            <w:r w:rsidRPr="00C8762E">
              <w:rPr>
                <w:bCs/>
                <w:sz w:val="18"/>
              </w:rPr>
              <w:t>Total Nacional</w:t>
            </w:r>
          </w:p>
        </w:tc>
        <w:tc>
          <w:tcPr>
            <w:tcW w:w="1726" w:type="dxa"/>
            <w:tcBorders>
              <w:top w:val="single" w:sz="12" w:space="0" w:color="auto"/>
              <w:bottom w:val="single" w:sz="4" w:space="0" w:color="auto"/>
            </w:tcBorders>
            <w:shd w:val="clear" w:color="auto" w:fill="auto"/>
            <w:noWrap/>
            <w:vAlign w:val="bottom"/>
            <w:hideMark/>
          </w:tcPr>
          <w:p w:rsidR="002708A2" w:rsidRPr="00C8762E" w:rsidRDefault="002708A2" w:rsidP="00067975">
            <w:pPr>
              <w:pStyle w:val="SingleTxtG"/>
              <w:keepNext/>
              <w:keepLines/>
              <w:spacing w:before="40" w:after="40" w:line="220" w:lineRule="exact"/>
              <w:ind w:left="0" w:right="0"/>
              <w:jc w:val="left"/>
              <w:rPr>
                <w:bCs/>
                <w:sz w:val="18"/>
              </w:rPr>
            </w:pPr>
            <w:r w:rsidRPr="00C8762E">
              <w:rPr>
                <w:bCs/>
                <w:sz w:val="18"/>
              </w:rPr>
              <w:t>Total Nacional</w:t>
            </w:r>
          </w:p>
        </w:tc>
        <w:tc>
          <w:tcPr>
            <w:tcW w:w="1388" w:type="dxa"/>
            <w:tcBorders>
              <w:top w:val="single" w:sz="12" w:space="0" w:color="auto"/>
              <w:bottom w:val="single" w:sz="4" w:space="0" w:color="auto"/>
            </w:tcBorders>
            <w:shd w:val="clear" w:color="auto" w:fill="auto"/>
            <w:noWrap/>
            <w:vAlign w:val="bottom"/>
            <w:hideMark/>
          </w:tcPr>
          <w:p w:rsidR="002708A2" w:rsidRPr="00C8762E" w:rsidRDefault="002708A2" w:rsidP="00067975">
            <w:pPr>
              <w:pStyle w:val="SingleTxtG"/>
              <w:keepNext/>
              <w:keepLines/>
              <w:spacing w:before="40" w:after="40" w:line="220" w:lineRule="exact"/>
              <w:ind w:left="113" w:right="0"/>
              <w:jc w:val="right"/>
              <w:rPr>
                <w:sz w:val="18"/>
              </w:rPr>
            </w:pPr>
            <w:r w:rsidRPr="00C8762E">
              <w:rPr>
                <w:sz w:val="18"/>
              </w:rPr>
              <w:t>9,2</w:t>
            </w:r>
          </w:p>
        </w:tc>
        <w:tc>
          <w:tcPr>
            <w:tcW w:w="1631" w:type="dxa"/>
            <w:tcBorders>
              <w:top w:val="single" w:sz="12" w:space="0" w:color="auto"/>
              <w:bottom w:val="single" w:sz="4" w:space="0" w:color="auto"/>
            </w:tcBorders>
            <w:shd w:val="clear" w:color="auto" w:fill="auto"/>
            <w:noWrap/>
            <w:vAlign w:val="bottom"/>
            <w:hideMark/>
          </w:tcPr>
          <w:p w:rsidR="002708A2" w:rsidRPr="00C8762E" w:rsidRDefault="002708A2" w:rsidP="00067975">
            <w:pPr>
              <w:pStyle w:val="SingleTxtG"/>
              <w:keepNext/>
              <w:keepLines/>
              <w:spacing w:before="40" w:after="40" w:line="220" w:lineRule="exact"/>
              <w:ind w:left="113" w:right="0"/>
              <w:jc w:val="right"/>
              <w:rPr>
                <w:sz w:val="18"/>
              </w:rPr>
            </w:pPr>
            <w:r w:rsidRPr="00C8762E">
              <w:rPr>
                <w:sz w:val="18"/>
              </w:rPr>
              <w:t>10,3</w:t>
            </w:r>
          </w:p>
        </w:tc>
        <w:tc>
          <w:tcPr>
            <w:tcW w:w="1341" w:type="dxa"/>
            <w:tcBorders>
              <w:top w:val="single" w:sz="12" w:space="0" w:color="auto"/>
              <w:bottom w:val="single" w:sz="4" w:space="0" w:color="auto"/>
            </w:tcBorders>
            <w:shd w:val="clear" w:color="auto" w:fill="auto"/>
            <w:noWrap/>
            <w:vAlign w:val="bottom"/>
            <w:hideMark/>
          </w:tcPr>
          <w:p w:rsidR="002708A2" w:rsidRPr="00C8762E" w:rsidRDefault="002708A2" w:rsidP="00067975">
            <w:pPr>
              <w:pStyle w:val="SingleTxtG"/>
              <w:keepNext/>
              <w:keepLines/>
              <w:spacing w:before="40" w:after="40" w:line="220" w:lineRule="exact"/>
              <w:ind w:left="113" w:right="0"/>
              <w:jc w:val="right"/>
              <w:rPr>
                <w:sz w:val="18"/>
              </w:rPr>
            </w:pPr>
            <w:r w:rsidRPr="00C8762E">
              <w:rPr>
                <w:sz w:val="18"/>
              </w:rPr>
              <w:t>27,9</w:t>
            </w:r>
          </w:p>
        </w:tc>
      </w:tr>
      <w:tr w:rsidR="002708A2" w:rsidRPr="00C8762E" w:rsidTr="00D1717D">
        <w:trPr>
          <w:trHeight w:val="240"/>
        </w:trPr>
        <w:tc>
          <w:tcPr>
            <w:tcW w:w="1684" w:type="dxa"/>
            <w:tcBorders>
              <w:top w:val="single" w:sz="4" w:space="0" w:color="auto"/>
            </w:tcBorders>
            <w:shd w:val="clear" w:color="auto" w:fill="auto"/>
            <w:hideMark/>
          </w:tcPr>
          <w:p w:rsidR="002708A2" w:rsidRPr="00C8762E" w:rsidRDefault="002708A2" w:rsidP="00067975">
            <w:pPr>
              <w:pStyle w:val="SingleTxtG"/>
              <w:keepNext/>
              <w:keepLines/>
              <w:spacing w:before="40" w:after="40" w:line="220" w:lineRule="exact"/>
              <w:ind w:left="0" w:right="0"/>
              <w:jc w:val="left"/>
              <w:rPr>
                <w:bCs/>
                <w:sz w:val="18"/>
              </w:rPr>
            </w:pPr>
            <w:r w:rsidRPr="00C8762E">
              <w:rPr>
                <w:bCs/>
                <w:sz w:val="18"/>
              </w:rPr>
              <w:t>Sexo</w:t>
            </w:r>
          </w:p>
        </w:tc>
        <w:tc>
          <w:tcPr>
            <w:tcW w:w="1726" w:type="dxa"/>
            <w:tcBorders>
              <w:top w:val="single" w:sz="4" w:space="0" w:color="auto"/>
            </w:tcBorders>
            <w:shd w:val="clear" w:color="auto" w:fill="auto"/>
            <w:noWrap/>
            <w:vAlign w:val="bottom"/>
            <w:hideMark/>
          </w:tcPr>
          <w:p w:rsidR="002708A2" w:rsidRPr="00C8762E" w:rsidRDefault="002708A2" w:rsidP="00067975">
            <w:pPr>
              <w:pStyle w:val="SingleTxtG"/>
              <w:keepNext/>
              <w:keepLines/>
              <w:spacing w:before="40" w:after="40" w:line="220" w:lineRule="exact"/>
              <w:ind w:left="0" w:right="0"/>
              <w:jc w:val="left"/>
              <w:rPr>
                <w:bCs/>
                <w:sz w:val="18"/>
              </w:rPr>
            </w:pPr>
            <w:r w:rsidRPr="00C8762E">
              <w:rPr>
                <w:bCs/>
                <w:sz w:val="18"/>
              </w:rPr>
              <w:t>Hombres</w:t>
            </w:r>
          </w:p>
        </w:tc>
        <w:tc>
          <w:tcPr>
            <w:tcW w:w="1388" w:type="dxa"/>
            <w:tcBorders>
              <w:top w:val="single" w:sz="4" w:space="0" w:color="auto"/>
            </w:tcBorders>
            <w:shd w:val="clear" w:color="auto" w:fill="auto"/>
            <w:noWrap/>
            <w:vAlign w:val="bottom"/>
            <w:hideMark/>
          </w:tcPr>
          <w:p w:rsidR="002708A2" w:rsidRPr="00C8762E" w:rsidRDefault="002708A2" w:rsidP="00067975">
            <w:pPr>
              <w:pStyle w:val="SingleTxtG"/>
              <w:keepNext/>
              <w:keepLines/>
              <w:spacing w:before="40" w:after="40" w:line="220" w:lineRule="exact"/>
              <w:ind w:left="113" w:right="0"/>
              <w:jc w:val="right"/>
              <w:rPr>
                <w:sz w:val="18"/>
              </w:rPr>
            </w:pPr>
            <w:r w:rsidRPr="00C8762E">
              <w:rPr>
                <w:sz w:val="18"/>
              </w:rPr>
              <w:t>7,1</w:t>
            </w:r>
          </w:p>
        </w:tc>
        <w:tc>
          <w:tcPr>
            <w:tcW w:w="1631" w:type="dxa"/>
            <w:tcBorders>
              <w:top w:val="single" w:sz="4" w:space="0" w:color="auto"/>
            </w:tcBorders>
            <w:shd w:val="clear" w:color="auto" w:fill="auto"/>
            <w:noWrap/>
            <w:vAlign w:val="bottom"/>
            <w:hideMark/>
          </w:tcPr>
          <w:p w:rsidR="002708A2" w:rsidRPr="00C8762E" w:rsidRDefault="002708A2" w:rsidP="00067975">
            <w:pPr>
              <w:pStyle w:val="SingleTxtG"/>
              <w:keepNext/>
              <w:keepLines/>
              <w:spacing w:before="40" w:after="40" w:line="220" w:lineRule="exact"/>
              <w:ind w:left="113" w:right="0"/>
              <w:jc w:val="right"/>
              <w:rPr>
                <w:sz w:val="18"/>
              </w:rPr>
            </w:pPr>
            <w:r w:rsidRPr="00C8762E">
              <w:rPr>
                <w:sz w:val="18"/>
              </w:rPr>
              <w:t>10,0</w:t>
            </w:r>
          </w:p>
        </w:tc>
        <w:tc>
          <w:tcPr>
            <w:tcW w:w="1341" w:type="dxa"/>
            <w:tcBorders>
              <w:top w:val="single" w:sz="4" w:space="0" w:color="auto"/>
            </w:tcBorders>
            <w:shd w:val="clear" w:color="auto" w:fill="auto"/>
            <w:noWrap/>
            <w:vAlign w:val="bottom"/>
            <w:hideMark/>
          </w:tcPr>
          <w:p w:rsidR="002708A2" w:rsidRPr="00C8762E" w:rsidRDefault="002708A2" w:rsidP="00067975">
            <w:pPr>
              <w:pStyle w:val="SingleTxtG"/>
              <w:keepNext/>
              <w:keepLines/>
              <w:spacing w:before="40" w:after="40" w:line="220" w:lineRule="exact"/>
              <w:ind w:left="113" w:right="0"/>
              <w:jc w:val="right"/>
              <w:rPr>
                <w:sz w:val="18"/>
              </w:rPr>
            </w:pPr>
            <w:r w:rsidRPr="00C8762E">
              <w:rPr>
                <w:sz w:val="18"/>
              </w:rPr>
              <w:t>27,3</w:t>
            </w:r>
          </w:p>
        </w:tc>
      </w:tr>
      <w:tr w:rsidR="002708A2" w:rsidRPr="00C8762E" w:rsidTr="00D1717D">
        <w:trPr>
          <w:trHeight w:val="240"/>
        </w:trPr>
        <w:tc>
          <w:tcPr>
            <w:tcW w:w="1684" w:type="dxa"/>
            <w:tcBorders>
              <w:bottom w:val="single" w:sz="4" w:space="0" w:color="auto"/>
            </w:tcBorders>
            <w:shd w:val="clear" w:color="auto" w:fill="auto"/>
            <w:hideMark/>
          </w:tcPr>
          <w:p w:rsidR="002708A2" w:rsidRPr="00C8762E" w:rsidRDefault="002708A2" w:rsidP="00067975">
            <w:pPr>
              <w:pStyle w:val="SingleTxtG"/>
              <w:keepNext/>
              <w:keepLines/>
              <w:spacing w:before="40" w:after="40" w:line="220" w:lineRule="exact"/>
              <w:ind w:left="0" w:right="0"/>
              <w:jc w:val="left"/>
              <w:rPr>
                <w:bCs/>
                <w:sz w:val="18"/>
              </w:rPr>
            </w:pPr>
          </w:p>
        </w:tc>
        <w:tc>
          <w:tcPr>
            <w:tcW w:w="1726" w:type="dxa"/>
            <w:tcBorders>
              <w:bottom w:val="single" w:sz="4" w:space="0" w:color="auto"/>
            </w:tcBorders>
            <w:shd w:val="clear" w:color="auto" w:fill="auto"/>
            <w:noWrap/>
            <w:vAlign w:val="bottom"/>
            <w:hideMark/>
          </w:tcPr>
          <w:p w:rsidR="002708A2" w:rsidRPr="00C8762E" w:rsidRDefault="002708A2" w:rsidP="00067975">
            <w:pPr>
              <w:pStyle w:val="SingleTxtG"/>
              <w:keepNext/>
              <w:keepLines/>
              <w:spacing w:before="40" w:after="40" w:line="220" w:lineRule="exact"/>
              <w:ind w:left="0" w:right="0"/>
              <w:jc w:val="left"/>
              <w:rPr>
                <w:bCs/>
                <w:sz w:val="18"/>
              </w:rPr>
            </w:pPr>
            <w:r w:rsidRPr="00C8762E">
              <w:rPr>
                <w:bCs/>
                <w:sz w:val="18"/>
              </w:rPr>
              <w:t>Mujeres</w:t>
            </w:r>
          </w:p>
        </w:tc>
        <w:tc>
          <w:tcPr>
            <w:tcW w:w="1388" w:type="dxa"/>
            <w:tcBorders>
              <w:bottom w:val="single" w:sz="4" w:space="0" w:color="auto"/>
            </w:tcBorders>
            <w:shd w:val="clear" w:color="auto" w:fill="auto"/>
            <w:noWrap/>
            <w:vAlign w:val="bottom"/>
            <w:hideMark/>
          </w:tcPr>
          <w:p w:rsidR="002708A2" w:rsidRPr="00C8762E" w:rsidRDefault="002708A2" w:rsidP="00067975">
            <w:pPr>
              <w:pStyle w:val="SingleTxtG"/>
              <w:keepNext/>
              <w:keepLines/>
              <w:spacing w:before="40" w:after="40" w:line="220" w:lineRule="exact"/>
              <w:ind w:left="113" w:right="0"/>
              <w:jc w:val="right"/>
              <w:rPr>
                <w:sz w:val="18"/>
              </w:rPr>
            </w:pPr>
            <w:r w:rsidRPr="00C8762E">
              <w:rPr>
                <w:sz w:val="18"/>
              </w:rPr>
              <w:t>12,0</w:t>
            </w:r>
          </w:p>
        </w:tc>
        <w:tc>
          <w:tcPr>
            <w:tcW w:w="1631" w:type="dxa"/>
            <w:tcBorders>
              <w:bottom w:val="single" w:sz="4" w:space="0" w:color="auto"/>
            </w:tcBorders>
            <w:shd w:val="clear" w:color="auto" w:fill="auto"/>
            <w:noWrap/>
            <w:vAlign w:val="bottom"/>
            <w:hideMark/>
          </w:tcPr>
          <w:p w:rsidR="002708A2" w:rsidRPr="00C8762E" w:rsidRDefault="002708A2" w:rsidP="00067975">
            <w:pPr>
              <w:pStyle w:val="SingleTxtG"/>
              <w:keepNext/>
              <w:keepLines/>
              <w:spacing w:before="40" w:after="40" w:line="220" w:lineRule="exact"/>
              <w:ind w:left="113" w:right="0"/>
              <w:jc w:val="right"/>
              <w:rPr>
                <w:sz w:val="18"/>
              </w:rPr>
            </w:pPr>
            <w:r w:rsidRPr="00C8762E">
              <w:rPr>
                <w:sz w:val="18"/>
              </w:rPr>
              <w:t>10,5</w:t>
            </w:r>
          </w:p>
        </w:tc>
        <w:tc>
          <w:tcPr>
            <w:tcW w:w="1341" w:type="dxa"/>
            <w:tcBorders>
              <w:bottom w:val="single" w:sz="4" w:space="0" w:color="auto"/>
            </w:tcBorders>
            <w:shd w:val="clear" w:color="auto" w:fill="auto"/>
            <w:noWrap/>
            <w:vAlign w:val="bottom"/>
            <w:hideMark/>
          </w:tcPr>
          <w:p w:rsidR="002708A2" w:rsidRPr="00C8762E" w:rsidRDefault="002708A2" w:rsidP="00067975">
            <w:pPr>
              <w:pStyle w:val="SingleTxtG"/>
              <w:keepNext/>
              <w:keepLines/>
              <w:spacing w:before="40" w:after="40" w:line="220" w:lineRule="exact"/>
              <w:ind w:left="113" w:right="0"/>
              <w:jc w:val="right"/>
              <w:rPr>
                <w:sz w:val="18"/>
              </w:rPr>
            </w:pPr>
            <w:r w:rsidRPr="00C8762E">
              <w:rPr>
                <w:sz w:val="18"/>
              </w:rPr>
              <w:t>28,6</w:t>
            </w:r>
          </w:p>
        </w:tc>
      </w:tr>
      <w:tr w:rsidR="002708A2" w:rsidRPr="00C8762E" w:rsidTr="00D1717D">
        <w:trPr>
          <w:trHeight w:val="240"/>
        </w:trPr>
        <w:tc>
          <w:tcPr>
            <w:tcW w:w="1684" w:type="dxa"/>
            <w:tcBorders>
              <w:top w:val="single" w:sz="4" w:space="0" w:color="auto"/>
            </w:tcBorders>
            <w:shd w:val="clear" w:color="auto" w:fill="auto"/>
            <w:hideMark/>
          </w:tcPr>
          <w:p w:rsidR="002708A2" w:rsidRPr="00C8762E" w:rsidRDefault="002708A2" w:rsidP="00067975">
            <w:pPr>
              <w:pStyle w:val="SingleTxtG"/>
              <w:keepNext/>
              <w:keepLines/>
              <w:spacing w:before="40" w:after="40" w:line="220" w:lineRule="exact"/>
              <w:ind w:left="0" w:right="0"/>
              <w:jc w:val="left"/>
              <w:rPr>
                <w:bCs/>
                <w:sz w:val="18"/>
              </w:rPr>
            </w:pPr>
            <w:r w:rsidRPr="00C8762E">
              <w:rPr>
                <w:bCs/>
                <w:sz w:val="18"/>
              </w:rPr>
              <w:t>Rangos de edad</w:t>
            </w:r>
          </w:p>
        </w:tc>
        <w:tc>
          <w:tcPr>
            <w:tcW w:w="1726" w:type="dxa"/>
            <w:tcBorders>
              <w:top w:val="single" w:sz="4" w:space="0" w:color="auto"/>
            </w:tcBorders>
            <w:shd w:val="clear" w:color="auto" w:fill="auto"/>
            <w:noWrap/>
            <w:vAlign w:val="bottom"/>
            <w:hideMark/>
          </w:tcPr>
          <w:p w:rsidR="002708A2" w:rsidRPr="00C8762E" w:rsidRDefault="002708A2" w:rsidP="00067975">
            <w:pPr>
              <w:pStyle w:val="SingleTxtG"/>
              <w:keepNext/>
              <w:keepLines/>
              <w:spacing w:before="40" w:after="40" w:line="220" w:lineRule="exact"/>
              <w:ind w:left="0" w:right="0"/>
              <w:jc w:val="left"/>
              <w:rPr>
                <w:bCs/>
                <w:sz w:val="18"/>
              </w:rPr>
            </w:pPr>
            <w:r w:rsidRPr="00C8762E">
              <w:rPr>
                <w:bCs/>
                <w:sz w:val="18"/>
              </w:rPr>
              <w:t>10 a 17</w:t>
            </w:r>
          </w:p>
        </w:tc>
        <w:tc>
          <w:tcPr>
            <w:tcW w:w="1388" w:type="dxa"/>
            <w:tcBorders>
              <w:top w:val="single" w:sz="4" w:space="0" w:color="auto"/>
            </w:tcBorders>
            <w:shd w:val="clear" w:color="auto" w:fill="auto"/>
            <w:noWrap/>
            <w:vAlign w:val="bottom"/>
            <w:hideMark/>
          </w:tcPr>
          <w:p w:rsidR="002708A2" w:rsidRPr="00C8762E" w:rsidRDefault="002708A2" w:rsidP="00067975">
            <w:pPr>
              <w:pStyle w:val="SingleTxtG"/>
              <w:keepNext/>
              <w:keepLines/>
              <w:spacing w:before="40" w:after="40" w:line="220" w:lineRule="exact"/>
              <w:ind w:left="113" w:right="0"/>
              <w:jc w:val="right"/>
              <w:rPr>
                <w:sz w:val="18"/>
              </w:rPr>
            </w:pPr>
            <w:r w:rsidRPr="00C8762E">
              <w:rPr>
                <w:sz w:val="18"/>
              </w:rPr>
              <w:t>11,8</w:t>
            </w:r>
          </w:p>
        </w:tc>
        <w:tc>
          <w:tcPr>
            <w:tcW w:w="1631" w:type="dxa"/>
            <w:tcBorders>
              <w:top w:val="single" w:sz="4" w:space="0" w:color="auto"/>
            </w:tcBorders>
            <w:shd w:val="clear" w:color="auto" w:fill="auto"/>
            <w:noWrap/>
            <w:vAlign w:val="bottom"/>
            <w:hideMark/>
          </w:tcPr>
          <w:p w:rsidR="002708A2" w:rsidRPr="00C8762E" w:rsidRDefault="002708A2" w:rsidP="00067975">
            <w:pPr>
              <w:pStyle w:val="SingleTxtG"/>
              <w:keepNext/>
              <w:keepLines/>
              <w:spacing w:before="40" w:after="40" w:line="220" w:lineRule="exact"/>
              <w:ind w:left="113" w:right="0"/>
              <w:jc w:val="right"/>
              <w:rPr>
                <w:sz w:val="18"/>
              </w:rPr>
            </w:pPr>
            <w:r w:rsidRPr="00C8762E">
              <w:rPr>
                <w:sz w:val="18"/>
              </w:rPr>
              <w:t>5,4</w:t>
            </w:r>
          </w:p>
        </w:tc>
        <w:tc>
          <w:tcPr>
            <w:tcW w:w="1341" w:type="dxa"/>
            <w:tcBorders>
              <w:top w:val="single" w:sz="4" w:space="0" w:color="auto"/>
            </w:tcBorders>
            <w:shd w:val="clear" w:color="auto" w:fill="auto"/>
            <w:noWrap/>
            <w:vAlign w:val="bottom"/>
            <w:hideMark/>
          </w:tcPr>
          <w:p w:rsidR="002708A2" w:rsidRPr="00C8762E" w:rsidRDefault="002708A2" w:rsidP="00067975">
            <w:pPr>
              <w:pStyle w:val="SingleTxtG"/>
              <w:keepNext/>
              <w:keepLines/>
              <w:spacing w:before="40" w:after="40" w:line="220" w:lineRule="exact"/>
              <w:ind w:left="113" w:right="0"/>
              <w:jc w:val="right"/>
              <w:rPr>
                <w:sz w:val="18"/>
              </w:rPr>
            </w:pPr>
            <w:r w:rsidRPr="00C8762E">
              <w:rPr>
                <w:sz w:val="18"/>
              </w:rPr>
              <w:t>21,0</w:t>
            </w:r>
          </w:p>
        </w:tc>
      </w:tr>
      <w:tr w:rsidR="002708A2" w:rsidRPr="00C8762E" w:rsidTr="00D1717D">
        <w:trPr>
          <w:trHeight w:val="240"/>
        </w:trPr>
        <w:tc>
          <w:tcPr>
            <w:tcW w:w="1684" w:type="dxa"/>
            <w:shd w:val="clear" w:color="auto" w:fill="auto"/>
            <w:hideMark/>
          </w:tcPr>
          <w:p w:rsidR="002708A2" w:rsidRPr="00C8762E" w:rsidRDefault="002708A2" w:rsidP="00067975">
            <w:pPr>
              <w:pStyle w:val="SingleTxtG"/>
              <w:keepNext/>
              <w:keepLines/>
              <w:spacing w:before="40" w:after="40" w:line="220" w:lineRule="exact"/>
              <w:ind w:left="0" w:right="0"/>
              <w:jc w:val="left"/>
              <w:rPr>
                <w:bCs/>
                <w:sz w:val="18"/>
              </w:rPr>
            </w:pPr>
          </w:p>
        </w:tc>
        <w:tc>
          <w:tcPr>
            <w:tcW w:w="1726" w:type="dxa"/>
            <w:shd w:val="clear" w:color="auto" w:fill="auto"/>
            <w:noWrap/>
            <w:vAlign w:val="bottom"/>
            <w:hideMark/>
          </w:tcPr>
          <w:p w:rsidR="002708A2" w:rsidRPr="00C8762E" w:rsidRDefault="002708A2" w:rsidP="00067975">
            <w:pPr>
              <w:pStyle w:val="SingleTxtG"/>
              <w:keepNext/>
              <w:keepLines/>
              <w:spacing w:before="40" w:after="40" w:line="220" w:lineRule="exact"/>
              <w:ind w:left="0" w:right="0"/>
              <w:jc w:val="left"/>
              <w:rPr>
                <w:bCs/>
                <w:sz w:val="18"/>
              </w:rPr>
            </w:pPr>
            <w:r w:rsidRPr="00C8762E">
              <w:rPr>
                <w:bCs/>
                <w:sz w:val="18"/>
              </w:rPr>
              <w:t>18 a 28</w:t>
            </w:r>
          </w:p>
        </w:tc>
        <w:tc>
          <w:tcPr>
            <w:tcW w:w="1388" w:type="dxa"/>
            <w:shd w:val="clear" w:color="auto" w:fill="auto"/>
            <w:noWrap/>
            <w:vAlign w:val="bottom"/>
            <w:hideMark/>
          </w:tcPr>
          <w:p w:rsidR="002708A2" w:rsidRPr="00C8762E" w:rsidRDefault="002708A2" w:rsidP="00067975">
            <w:pPr>
              <w:pStyle w:val="SingleTxtG"/>
              <w:keepNext/>
              <w:keepLines/>
              <w:spacing w:before="40" w:after="40" w:line="220" w:lineRule="exact"/>
              <w:ind w:left="113" w:right="0"/>
              <w:jc w:val="right"/>
              <w:rPr>
                <w:sz w:val="18"/>
              </w:rPr>
            </w:pPr>
            <w:r w:rsidRPr="00C8762E">
              <w:rPr>
                <w:sz w:val="18"/>
              </w:rPr>
              <w:t>16,1</w:t>
            </w:r>
          </w:p>
        </w:tc>
        <w:tc>
          <w:tcPr>
            <w:tcW w:w="1631" w:type="dxa"/>
            <w:shd w:val="clear" w:color="auto" w:fill="auto"/>
            <w:noWrap/>
            <w:vAlign w:val="bottom"/>
            <w:hideMark/>
          </w:tcPr>
          <w:p w:rsidR="002708A2" w:rsidRPr="00C8762E" w:rsidRDefault="002708A2" w:rsidP="00067975">
            <w:pPr>
              <w:pStyle w:val="SingleTxtG"/>
              <w:keepNext/>
              <w:keepLines/>
              <w:spacing w:before="40" w:after="40" w:line="220" w:lineRule="exact"/>
              <w:ind w:left="113" w:right="0"/>
              <w:jc w:val="right"/>
              <w:rPr>
                <w:sz w:val="18"/>
              </w:rPr>
            </w:pPr>
            <w:r w:rsidRPr="00C8762E">
              <w:rPr>
                <w:sz w:val="18"/>
              </w:rPr>
              <w:t>13,4</w:t>
            </w:r>
          </w:p>
        </w:tc>
        <w:tc>
          <w:tcPr>
            <w:tcW w:w="1341" w:type="dxa"/>
            <w:shd w:val="clear" w:color="auto" w:fill="auto"/>
            <w:noWrap/>
            <w:vAlign w:val="bottom"/>
            <w:hideMark/>
          </w:tcPr>
          <w:p w:rsidR="002708A2" w:rsidRPr="00C8762E" w:rsidRDefault="002708A2" w:rsidP="00067975">
            <w:pPr>
              <w:pStyle w:val="SingleTxtG"/>
              <w:keepNext/>
              <w:keepLines/>
              <w:spacing w:before="40" w:after="40" w:line="220" w:lineRule="exact"/>
              <w:ind w:left="113" w:right="0"/>
              <w:jc w:val="right"/>
              <w:rPr>
                <w:sz w:val="18"/>
              </w:rPr>
            </w:pPr>
            <w:r w:rsidRPr="00C8762E">
              <w:rPr>
                <w:sz w:val="18"/>
              </w:rPr>
              <w:t>32,0</w:t>
            </w:r>
          </w:p>
        </w:tc>
      </w:tr>
      <w:tr w:rsidR="002708A2" w:rsidRPr="00C8762E" w:rsidTr="00D1717D">
        <w:trPr>
          <w:trHeight w:val="240"/>
        </w:trPr>
        <w:tc>
          <w:tcPr>
            <w:tcW w:w="1684" w:type="dxa"/>
            <w:shd w:val="clear" w:color="auto" w:fill="auto"/>
            <w:hideMark/>
          </w:tcPr>
          <w:p w:rsidR="002708A2" w:rsidRPr="00C8762E" w:rsidRDefault="002708A2" w:rsidP="00067975">
            <w:pPr>
              <w:pStyle w:val="SingleTxtG"/>
              <w:keepNext/>
              <w:keepLines/>
              <w:spacing w:before="40" w:after="40" w:line="220" w:lineRule="exact"/>
              <w:ind w:left="0" w:right="0"/>
              <w:jc w:val="left"/>
              <w:rPr>
                <w:bCs/>
                <w:sz w:val="18"/>
              </w:rPr>
            </w:pPr>
          </w:p>
        </w:tc>
        <w:tc>
          <w:tcPr>
            <w:tcW w:w="1726" w:type="dxa"/>
            <w:shd w:val="clear" w:color="auto" w:fill="auto"/>
            <w:noWrap/>
            <w:vAlign w:val="bottom"/>
            <w:hideMark/>
          </w:tcPr>
          <w:p w:rsidR="002708A2" w:rsidRPr="00C8762E" w:rsidRDefault="002708A2" w:rsidP="00067975">
            <w:pPr>
              <w:pStyle w:val="SingleTxtG"/>
              <w:keepNext/>
              <w:keepLines/>
              <w:spacing w:before="40" w:after="40" w:line="220" w:lineRule="exact"/>
              <w:ind w:left="0" w:right="0"/>
              <w:jc w:val="left"/>
              <w:rPr>
                <w:bCs/>
                <w:sz w:val="18"/>
              </w:rPr>
            </w:pPr>
            <w:r w:rsidRPr="00C8762E">
              <w:rPr>
                <w:bCs/>
                <w:sz w:val="18"/>
              </w:rPr>
              <w:t>29 a 40</w:t>
            </w:r>
          </w:p>
        </w:tc>
        <w:tc>
          <w:tcPr>
            <w:tcW w:w="1388" w:type="dxa"/>
            <w:shd w:val="clear" w:color="auto" w:fill="auto"/>
            <w:noWrap/>
            <w:vAlign w:val="bottom"/>
            <w:hideMark/>
          </w:tcPr>
          <w:p w:rsidR="002708A2" w:rsidRPr="00C8762E" w:rsidRDefault="002708A2" w:rsidP="00067975">
            <w:pPr>
              <w:pStyle w:val="SingleTxtG"/>
              <w:keepNext/>
              <w:keepLines/>
              <w:spacing w:before="40" w:after="40" w:line="220" w:lineRule="exact"/>
              <w:ind w:left="113" w:right="0"/>
              <w:jc w:val="right"/>
              <w:rPr>
                <w:sz w:val="18"/>
              </w:rPr>
            </w:pPr>
            <w:r w:rsidRPr="00C8762E">
              <w:rPr>
                <w:sz w:val="18"/>
              </w:rPr>
              <w:t>8,1</w:t>
            </w:r>
          </w:p>
        </w:tc>
        <w:tc>
          <w:tcPr>
            <w:tcW w:w="1631" w:type="dxa"/>
            <w:shd w:val="clear" w:color="auto" w:fill="auto"/>
            <w:noWrap/>
            <w:vAlign w:val="bottom"/>
            <w:hideMark/>
          </w:tcPr>
          <w:p w:rsidR="002708A2" w:rsidRPr="00C8762E" w:rsidRDefault="002708A2" w:rsidP="00067975">
            <w:pPr>
              <w:pStyle w:val="SingleTxtG"/>
              <w:keepNext/>
              <w:keepLines/>
              <w:spacing w:before="40" w:after="40" w:line="220" w:lineRule="exact"/>
              <w:ind w:left="113" w:right="0"/>
              <w:jc w:val="right"/>
              <w:rPr>
                <w:sz w:val="18"/>
              </w:rPr>
            </w:pPr>
            <w:r w:rsidRPr="00C8762E">
              <w:rPr>
                <w:sz w:val="18"/>
              </w:rPr>
              <w:t>11,8</w:t>
            </w:r>
          </w:p>
        </w:tc>
        <w:tc>
          <w:tcPr>
            <w:tcW w:w="1341" w:type="dxa"/>
            <w:shd w:val="clear" w:color="auto" w:fill="auto"/>
            <w:noWrap/>
            <w:vAlign w:val="bottom"/>
            <w:hideMark/>
          </w:tcPr>
          <w:p w:rsidR="002708A2" w:rsidRPr="00C8762E" w:rsidRDefault="002708A2" w:rsidP="00067975">
            <w:pPr>
              <w:pStyle w:val="SingleTxtG"/>
              <w:keepNext/>
              <w:keepLines/>
              <w:spacing w:before="40" w:after="40" w:line="220" w:lineRule="exact"/>
              <w:ind w:left="113" w:right="0"/>
              <w:jc w:val="right"/>
              <w:rPr>
                <w:sz w:val="18"/>
              </w:rPr>
            </w:pPr>
            <w:r w:rsidRPr="00C8762E">
              <w:rPr>
                <w:sz w:val="18"/>
              </w:rPr>
              <w:t>30,1</w:t>
            </w:r>
          </w:p>
        </w:tc>
      </w:tr>
      <w:tr w:rsidR="002708A2" w:rsidRPr="00C8762E" w:rsidTr="00D1717D">
        <w:trPr>
          <w:trHeight w:val="240"/>
        </w:trPr>
        <w:tc>
          <w:tcPr>
            <w:tcW w:w="1684" w:type="dxa"/>
            <w:shd w:val="clear" w:color="auto" w:fill="auto"/>
            <w:hideMark/>
          </w:tcPr>
          <w:p w:rsidR="002708A2" w:rsidRPr="00C8762E" w:rsidRDefault="002708A2" w:rsidP="00067975">
            <w:pPr>
              <w:pStyle w:val="SingleTxtG"/>
              <w:keepNext/>
              <w:keepLines/>
              <w:spacing w:before="40" w:after="40" w:line="220" w:lineRule="exact"/>
              <w:ind w:left="0" w:right="0"/>
              <w:jc w:val="left"/>
              <w:rPr>
                <w:bCs/>
                <w:sz w:val="18"/>
              </w:rPr>
            </w:pPr>
          </w:p>
        </w:tc>
        <w:tc>
          <w:tcPr>
            <w:tcW w:w="1726" w:type="dxa"/>
            <w:shd w:val="clear" w:color="auto" w:fill="auto"/>
            <w:noWrap/>
            <w:vAlign w:val="bottom"/>
            <w:hideMark/>
          </w:tcPr>
          <w:p w:rsidR="002708A2" w:rsidRPr="00C8762E" w:rsidRDefault="002708A2" w:rsidP="00067975">
            <w:pPr>
              <w:pStyle w:val="SingleTxtG"/>
              <w:keepNext/>
              <w:keepLines/>
              <w:spacing w:before="40" w:after="40" w:line="220" w:lineRule="exact"/>
              <w:ind w:left="0" w:right="0"/>
              <w:jc w:val="left"/>
              <w:rPr>
                <w:bCs/>
                <w:sz w:val="18"/>
              </w:rPr>
            </w:pPr>
            <w:r w:rsidRPr="00C8762E">
              <w:rPr>
                <w:bCs/>
                <w:sz w:val="18"/>
              </w:rPr>
              <w:t>41 a 60</w:t>
            </w:r>
          </w:p>
        </w:tc>
        <w:tc>
          <w:tcPr>
            <w:tcW w:w="1388" w:type="dxa"/>
            <w:shd w:val="clear" w:color="auto" w:fill="auto"/>
            <w:noWrap/>
            <w:vAlign w:val="bottom"/>
            <w:hideMark/>
          </w:tcPr>
          <w:p w:rsidR="002708A2" w:rsidRPr="00C8762E" w:rsidRDefault="002708A2" w:rsidP="00067975">
            <w:pPr>
              <w:pStyle w:val="SingleTxtG"/>
              <w:keepNext/>
              <w:keepLines/>
              <w:spacing w:before="40" w:after="40" w:line="220" w:lineRule="exact"/>
              <w:ind w:left="113" w:right="0"/>
              <w:jc w:val="right"/>
              <w:rPr>
                <w:sz w:val="18"/>
              </w:rPr>
            </w:pPr>
            <w:r w:rsidRPr="00C8762E">
              <w:rPr>
                <w:sz w:val="18"/>
              </w:rPr>
              <w:t>5,7</w:t>
            </w:r>
          </w:p>
        </w:tc>
        <w:tc>
          <w:tcPr>
            <w:tcW w:w="1631" w:type="dxa"/>
            <w:shd w:val="clear" w:color="auto" w:fill="auto"/>
            <w:noWrap/>
            <w:vAlign w:val="bottom"/>
            <w:hideMark/>
          </w:tcPr>
          <w:p w:rsidR="002708A2" w:rsidRPr="00C8762E" w:rsidRDefault="002708A2" w:rsidP="00067975">
            <w:pPr>
              <w:pStyle w:val="SingleTxtG"/>
              <w:keepNext/>
              <w:keepLines/>
              <w:spacing w:before="40" w:after="40" w:line="220" w:lineRule="exact"/>
              <w:ind w:left="113" w:right="0"/>
              <w:jc w:val="right"/>
              <w:rPr>
                <w:sz w:val="18"/>
              </w:rPr>
            </w:pPr>
            <w:r w:rsidRPr="00C8762E">
              <w:rPr>
                <w:sz w:val="18"/>
              </w:rPr>
              <w:t>8,4</w:t>
            </w:r>
          </w:p>
        </w:tc>
        <w:tc>
          <w:tcPr>
            <w:tcW w:w="1341" w:type="dxa"/>
            <w:shd w:val="clear" w:color="auto" w:fill="auto"/>
            <w:noWrap/>
            <w:vAlign w:val="bottom"/>
            <w:hideMark/>
          </w:tcPr>
          <w:p w:rsidR="002708A2" w:rsidRPr="00C8762E" w:rsidRDefault="002708A2" w:rsidP="00067975">
            <w:pPr>
              <w:pStyle w:val="SingleTxtG"/>
              <w:keepNext/>
              <w:keepLines/>
              <w:spacing w:before="40" w:after="40" w:line="220" w:lineRule="exact"/>
              <w:ind w:left="113" w:right="0"/>
              <w:jc w:val="right"/>
              <w:rPr>
                <w:sz w:val="18"/>
              </w:rPr>
            </w:pPr>
            <w:r w:rsidRPr="00C8762E">
              <w:rPr>
                <w:sz w:val="18"/>
              </w:rPr>
              <w:t>26,3</w:t>
            </w:r>
          </w:p>
        </w:tc>
      </w:tr>
      <w:tr w:rsidR="002708A2" w:rsidRPr="00C8762E" w:rsidTr="00D1717D">
        <w:trPr>
          <w:trHeight w:val="240"/>
        </w:trPr>
        <w:tc>
          <w:tcPr>
            <w:tcW w:w="1684" w:type="dxa"/>
            <w:tcBorders>
              <w:bottom w:val="single" w:sz="4" w:space="0" w:color="auto"/>
            </w:tcBorders>
            <w:shd w:val="clear" w:color="auto" w:fill="auto"/>
            <w:hideMark/>
          </w:tcPr>
          <w:p w:rsidR="002708A2" w:rsidRPr="00C8762E" w:rsidRDefault="002708A2" w:rsidP="00067975">
            <w:pPr>
              <w:pStyle w:val="SingleTxtG"/>
              <w:keepNext/>
              <w:keepLines/>
              <w:spacing w:before="40" w:after="40" w:line="220" w:lineRule="exact"/>
              <w:ind w:left="0" w:right="0"/>
              <w:jc w:val="left"/>
              <w:rPr>
                <w:bCs/>
                <w:sz w:val="18"/>
              </w:rPr>
            </w:pPr>
          </w:p>
        </w:tc>
        <w:tc>
          <w:tcPr>
            <w:tcW w:w="1726" w:type="dxa"/>
            <w:tcBorders>
              <w:bottom w:val="single" w:sz="4" w:space="0" w:color="auto"/>
            </w:tcBorders>
            <w:shd w:val="clear" w:color="auto" w:fill="auto"/>
            <w:noWrap/>
            <w:vAlign w:val="bottom"/>
            <w:hideMark/>
          </w:tcPr>
          <w:p w:rsidR="002708A2" w:rsidRPr="00C8762E" w:rsidRDefault="002708A2" w:rsidP="00067975">
            <w:pPr>
              <w:pStyle w:val="SingleTxtG"/>
              <w:keepNext/>
              <w:keepLines/>
              <w:spacing w:before="40" w:after="40" w:line="220" w:lineRule="exact"/>
              <w:ind w:left="0" w:right="0"/>
              <w:jc w:val="left"/>
              <w:rPr>
                <w:bCs/>
                <w:sz w:val="18"/>
              </w:rPr>
            </w:pPr>
            <w:r w:rsidRPr="00C8762E">
              <w:rPr>
                <w:bCs/>
                <w:sz w:val="18"/>
              </w:rPr>
              <w:t>61 y más</w:t>
            </w:r>
          </w:p>
        </w:tc>
        <w:tc>
          <w:tcPr>
            <w:tcW w:w="1388" w:type="dxa"/>
            <w:tcBorders>
              <w:bottom w:val="single" w:sz="4" w:space="0" w:color="auto"/>
            </w:tcBorders>
            <w:shd w:val="clear" w:color="auto" w:fill="auto"/>
            <w:noWrap/>
            <w:vAlign w:val="bottom"/>
            <w:hideMark/>
          </w:tcPr>
          <w:p w:rsidR="002708A2" w:rsidRPr="00C8762E" w:rsidRDefault="002708A2" w:rsidP="00067975">
            <w:pPr>
              <w:pStyle w:val="SingleTxtG"/>
              <w:keepNext/>
              <w:keepLines/>
              <w:spacing w:before="40" w:after="40" w:line="220" w:lineRule="exact"/>
              <w:ind w:left="113" w:right="0"/>
              <w:jc w:val="right"/>
              <w:rPr>
                <w:sz w:val="18"/>
              </w:rPr>
            </w:pPr>
            <w:r w:rsidRPr="00C8762E">
              <w:rPr>
                <w:sz w:val="18"/>
              </w:rPr>
              <w:t>4,7</w:t>
            </w:r>
          </w:p>
        </w:tc>
        <w:tc>
          <w:tcPr>
            <w:tcW w:w="1631" w:type="dxa"/>
            <w:tcBorders>
              <w:bottom w:val="single" w:sz="4" w:space="0" w:color="auto"/>
            </w:tcBorders>
            <w:shd w:val="clear" w:color="auto" w:fill="auto"/>
            <w:noWrap/>
            <w:vAlign w:val="bottom"/>
            <w:hideMark/>
          </w:tcPr>
          <w:p w:rsidR="002708A2" w:rsidRPr="00C8762E" w:rsidRDefault="002708A2" w:rsidP="00067975">
            <w:pPr>
              <w:pStyle w:val="SingleTxtG"/>
              <w:keepNext/>
              <w:keepLines/>
              <w:spacing w:before="40" w:after="40" w:line="220" w:lineRule="exact"/>
              <w:ind w:left="113" w:right="0"/>
              <w:jc w:val="right"/>
              <w:rPr>
                <w:sz w:val="18"/>
              </w:rPr>
            </w:pPr>
            <w:r w:rsidRPr="00C8762E">
              <w:rPr>
                <w:sz w:val="18"/>
              </w:rPr>
              <w:t>4,0</w:t>
            </w:r>
          </w:p>
        </w:tc>
        <w:tc>
          <w:tcPr>
            <w:tcW w:w="1341" w:type="dxa"/>
            <w:tcBorders>
              <w:bottom w:val="single" w:sz="4" w:space="0" w:color="auto"/>
            </w:tcBorders>
            <w:shd w:val="clear" w:color="auto" w:fill="auto"/>
            <w:noWrap/>
            <w:vAlign w:val="bottom"/>
            <w:hideMark/>
          </w:tcPr>
          <w:p w:rsidR="002708A2" w:rsidRPr="00C8762E" w:rsidRDefault="002708A2" w:rsidP="00067975">
            <w:pPr>
              <w:pStyle w:val="SingleTxtG"/>
              <w:keepNext/>
              <w:keepLines/>
              <w:spacing w:before="40" w:after="40" w:line="220" w:lineRule="exact"/>
              <w:ind w:left="113" w:right="0"/>
              <w:jc w:val="right"/>
              <w:rPr>
                <w:sz w:val="18"/>
              </w:rPr>
            </w:pPr>
            <w:r w:rsidRPr="00C8762E">
              <w:rPr>
                <w:sz w:val="18"/>
              </w:rPr>
              <w:t>15,5</w:t>
            </w:r>
          </w:p>
        </w:tc>
      </w:tr>
      <w:tr w:rsidR="002708A2" w:rsidRPr="00C8762E" w:rsidTr="00D1717D">
        <w:trPr>
          <w:trHeight w:val="240"/>
        </w:trPr>
        <w:tc>
          <w:tcPr>
            <w:tcW w:w="1684" w:type="dxa"/>
            <w:tcBorders>
              <w:top w:val="single" w:sz="4" w:space="0" w:color="auto"/>
            </w:tcBorders>
            <w:shd w:val="clear" w:color="auto" w:fill="auto"/>
            <w:hideMark/>
          </w:tcPr>
          <w:p w:rsidR="002708A2" w:rsidRPr="00C8762E" w:rsidRDefault="002708A2" w:rsidP="00067975">
            <w:pPr>
              <w:pStyle w:val="SingleTxtG"/>
              <w:keepNext/>
              <w:keepLines/>
              <w:spacing w:before="40" w:after="40" w:line="220" w:lineRule="exact"/>
              <w:ind w:left="0" w:right="0"/>
              <w:jc w:val="left"/>
              <w:rPr>
                <w:bCs/>
                <w:sz w:val="18"/>
              </w:rPr>
            </w:pPr>
            <w:r w:rsidRPr="00C8762E">
              <w:rPr>
                <w:bCs/>
                <w:sz w:val="18"/>
              </w:rPr>
              <w:t>Nivel educativo</w:t>
            </w:r>
          </w:p>
        </w:tc>
        <w:tc>
          <w:tcPr>
            <w:tcW w:w="1726" w:type="dxa"/>
            <w:tcBorders>
              <w:top w:val="single" w:sz="4" w:space="0" w:color="auto"/>
            </w:tcBorders>
            <w:shd w:val="clear" w:color="auto" w:fill="auto"/>
            <w:noWrap/>
            <w:vAlign w:val="bottom"/>
            <w:hideMark/>
          </w:tcPr>
          <w:p w:rsidR="002708A2" w:rsidRPr="00C8762E" w:rsidRDefault="002708A2" w:rsidP="00067975">
            <w:pPr>
              <w:pStyle w:val="SingleTxtG"/>
              <w:keepNext/>
              <w:keepLines/>
              <w:spacing w:before="40" w:after="40" w:line="220" w:lineRule="exact"/>
              <w:ind w:left="0" w:right="0"/>
              <w:jc w:val="left"/>
              <w:rPr>
                <w:bCs/>
                <w:sz w:val="18"/>
              </w:rPr>
            </w:pPr>
            <w:r w:rsidRPr="00C8762E">
              <w:rPr>
                <w:bCs/>
                <w:sz w:val="18"/>
              </w:rPr>
              <w:t>Hasta básica primaria</w:t>
            </w:r>
          </w:p>
        </w:tc>
        <w:tc>
          <w:tcPr>
            <w:tcW w:w="1388" w:type="dxa"/>
            <w:tcBorders>
              <w:top w:val="single" w:sz="4" w:space="0" w:color="auto"/>
            </w:tcBorders>
            <w:shd w:val="clear" w:color="auto" w:fill="auto"/>
            <w:noWrap/>
            <w:vAlign w:val="bottom"/>
            <w:hideMark/>
          </w:tcPr>
          <w:p w:rsidR="002708A2" w:rsidRPr="00C8762E" w:rsidRDefault="002708A2" w:rsidP="00067975">
            <w:pPr>
              <w:pStyle w:val="SingleTxtG"/>
              <w:keepNext/>
              <w:keepLines/>
              <w:spacing w:before="40" w:after="40" w:line="220" w:lineRule="exact"/>
              <w:ind w:left="113" w:right="0"/>
              <w:jc w:val="right"/>
              <w:rPr>
                <w:sz w:val="18"/>
              </w:rPr>
            </w:pPr>
            <w:r w:rsidRPr="00C8762E">
              <w:rPr>
                <w:sz w:val="18"/>
              </w:rPr>
              <w:t>5,2</w:t>
            </w:r>
          </w:p>
        </w:tc>
        <w:tc>
          <w:tcPr>
            <w:tcW w:w="1631" w:type="dxa"/>
            <w:tcBorders>
              <w:top w:val="single" w:sz="4" w:space="0" w:color="auto"/>
            </w:tcBorders>
            <w:shd w:val="clear" w:color="auto" w:fill="auto"/>
            <w:noWrap/>
            <w:vAlign w:val="bottom"/>
            <w:hideMark/>
          </w:tcPr>
          <w:p w:rsidR="002708A2" w:rsidRPr="00C8762E" w:rsidRDefault="002708A2" w:rsidP="00067975">
            <w:pPr>
              <w:pStyle w:val="SingleTxtG"/>
              <w:keepNext/>
              <w:keepLines/>
              <w:spacing w:before="40" w:after="40" w:line="220" w:lineRule="exact"/>
              <w:ind w:left="113" w:right="0"/>
              <w:jc w:val="right"/>
              <w:rPr>
                <w:sz w:val="18"/>
              </w:rPr>
            </w:pPr>
            <w:r w:rsidRPr="00C8762E">
              <w:rPr>
                <w:sz w:val="18"/>
              </w:rPr>
              <w:t>7,8</w:t>
            </w:r>
          </w:p>
        </w:tc>
        <w:tc>
          <w:tcPr>
            <w:tcW w:w="1341" w:type="dxa"/>
            <w:tcBorders>
              <w:top w:val="single" w:sz="4" w:space="0" w:color="auto"/>
            </w:tcBorders>
            <w:shd w:val="clear" w:color="auto" w:fill="auto"/>
            <w:noWrap/>
            <w:vAlign w:val="bottom"/>
            <w:hideMark/>
          </w:tcPr>
          <w:p w:rsidR="002708A2" w:rsidRPr="00C8762E" w:rsidRDefault="002708A2" w:rsidP="00067975">
            <w:pPr>
              <w:pStyle w:val="SingleTxtG"/>
              <w:keepNext/>
              <w:keepLines/>
              <w:spacing w:before="40" w:after="40" w:line="220" w:lineRule="exact"/>
              <w:ind w:left="113" w:right="0"/>
              <w:jc w:val="right"/>
              <w:rPr>
                <w:sz w:val="18"/>
              </w:rPr>
            </w:pPr>
            <w:r w:rsidRPr="00C8762E">
              <w:rPr>
                <w:sz w:val="18"/>
              </w:rPr>
              <w:t>27,0</w:t>
            </w:r>
          </w:p>
        </w:tc>
      </w:tr>
      <w:tr w:rsidR="002708A2" w:rsidRPr="00C8762E" w:rsidTr="00D1717D">
        <w:trPr>
          <w:trHeight w:val="240"/>
        </w:trPr>
        <w:tc>
          <w:tcPr>
            <w:tcW w:w="1684" w:type="dxa"/>
            <w:shd w:val="clear" w:color="auto" w:fill="auto"/>
            <w:hideMark/>
          </w:tcPr>
          <w:p w:rsidR="002708A2" w:rsidRPr="00C8762E" w:rsidRDefault="002708A2" w:rsidP="00067975">
            <w:pPr>
              <w:pStyle w:val="SingleTxtG"/>
              <w:keepNext/>
              <w:keepLines/>
              <w:spacing w:before="40" w:after="40" w:line="220" w:lineRule="exact"/>
              <w:ind w:left="0" w:right="0"/>
              <w:jc w:val="left"/>
              <w:rPr>
                <w:bCs/>
                <w:sz w:val="18"/>
              </w:rPr>
            </w:pPr>
          </w:p>
        </w:tc>
        <w:tc>
          <w:tcPr>
            <w:tcW w:w="1726" w:type="dxa"/>
            <w:shd w:val="clear" w:color="auto" w:fill="auto"/>
            <w:noWrap/>
            <w:vAlign w:val="bottom"/>
            <w:hideMark/>
          </w:tcPr>
          <w:p w:rsidR="002708A2" w:rsidRPr="00C8762E" w:rsidRDefault="002708A2" w:rsidP="00067975">
            <w:pPr>
              <w:pStyle w:val="SingleTxtG"/>
              <w:keepNext/>
              <w:keepLines/>
              <w:spacing w:before="40" w:after="40" w:line="220" w:lineRule="exact"/>
              <w:ind w:left="0" w:right="0"/>
              <w:jc w:val="left"/>
              <w:rPr>
                <w:bCs/>
                <w:sz w:val="18"/>
              </w:rPr>
            </w:pPr>
            <w:r w:rsidRPr="00C8762E">
              <w:rPr>
                <w:bCs/>
                <w:sz w:val="18"/>
              </w:rPr>
              <w:t>Básica secundaria</w:t>
            </w:r>
          </w:p>
        </w:tc>
        <w:tc>
          <w:tcPr>
            <w:tcW w:w="1388" w:type="dxa"/>
            <w:shd w:val="clear" w:color="auto" w:fill="auto"/>
            <w:noWrap/>
            <w:vAlign w:val="bottom"/>
            <w:hideMark/>
          </w:tcPr>
          <w:p w:rsidR="002708A2" w:rsidRPr="00C8762E" w:rsidRDefault="002708A2" w:rsidP="00067975">
            <w:pPr>
              <w:pStyle w:val="SingleTxtG"/>
              <w:keepNext/>
              <w:keepLines/>
              <w:spacing w:before="40" w:after="40" w:line="220" w:lineRule="exact"/>
              <w:ind w:left="113" w:right="0"/>
              <w:jc w:val="right"/>
              <w:rPr>
                <w:sz w:val="18"/>
              </w:rPr>
            </w:pPr>
            <w:r w:rsidRPr="00C8762E">
              <w:rPr>
                <w:sz w:val="18"/>
              </w:rPr>
              <w:t>9,3</w:t>
            </w:r>
          </w:p>
        </w:tc>
        <w:tc>
          <w:tcPr>
            <w:tcW w:w="1631" w:type="dxa"/>
            <w:shd w:val="clear" w:color="auto" w:fill="auto"/>
            <w:noWrap/>
            <w:vAlign w:val="bottom"/>
            <w:hideMark/>
          </w:tcPr>
          <w:p w:rsidR="002708A2" w:rsidRPr="00C8762E" w:rsidRDefault="002708A2" w:rsidP="00067975">
            <w:pPr>
              <w:pStyle w:val="SingleTxtG"/>
              <w:keepNext/>
              <w:keepLines/>
              <w:spacing w:before="40" w:after="40" w:line="220" w:lineRule="exact"/>
              <w:ind w:left="113" w:right="0"/>
              <w:jc w:val="right"/>
              <w:rPr>
                <w:sz w:val="18"/>
              </w:rPr>
            </w:pPr>
            <w:r w:rsidRPr="00C8762E">
              <w:rPr>
                <w:sz w:val="18"/>
              </w:rPr>
              <w:t>10,1</w:t>
            </w:r>
          </w:p>
        </w:tc>
        <w:tc>
          <w:tcPr>
            <w:tcW w:w="1341" w:type="dxa"/>
            <w:shd w:val="clear" w:color="auto" w:fill="auto"/>
            <w:noWrap/>
            <w:vAlign w:val="bottom"/>
            <w:hideMark/>
          </w:tcPr>
          <w:p w:rsidR="002708A2" w:rsidRPr="00C8762E" w:rsidRDefault="002708A2" w:rsidP="00067975">
            <w:pPr>
              <w:pStyle w:val="SingleTxtG"/>
              <w:keepNext/>
              <w:keepLines/>
              <w:spacing w:before="40" w:after="40" w:line="220" w:lineRule="exact"/>
              <w:ind w:left="113" w:right="0"/>
              <w:jc w:val="right"/>
              <w:rPr>
                <w:sz w:val="18"/>
              </w:rPr>
            </w:pPr>
            <w:r w:rsidRPr="00C8762E">
              <w:rPr>
                <w:sz w:val="18"/>
              </w:rPr>
              <w:t>30,4</w:t>
            </w:r>
          </w:p>
        </w:tc>
      </w:tr>
      <w:tr w:rsidR="002708A2" w:rsidRPr="00C8762E" w:rsidTr="00D1717D">
        <w:trPr>
          <w:trHeight w:val="240"/>
        </w:trPr>
        <w:tc>
          <w:tcPr>
            <w:tcW w:w="1684" w:type="dxa"/>
            <w:shd w:val="clear" w:color="auto" w:fill="auto"/>
            <w:hideMark/>
          </w:tcPr>
          <w:p w:rsidR="002708A2" w:rsidRPr="00C8762E" w:rsidRDefault="002708A2" w:rsidP="00067975">
            <w:pPr>
              <w:pStyle w:val="SingleTxtG"/>
              <w:keepNext/>
              <w:keepLines/>
              <w:spacing w:before="40" w:after="40" w:line="220" w:lineRule="exact"/>
              <w:ind w:left="0" w:right="0"/>
              <w:jc w:val="left"/>
              <w:rPr>
                <w:bCs/>
                <w:sz w:val="18"/>
              </w:rPr>
            </w:pPr>
          </w:p>
        </w:tc>
        <w:tc>
          <w:tcPr>
            <w:tcW w:w="1726" w:type="dxa"/>
            <w:shd w:val="clear" w:color="auto" w:fill="auto"/>
            <w:noWrap/>
            <w:vAlign w:val="bottom"/>
            <w:hideMark/>
          </w:tcPr>
          <w:p w:rsidR="002708A2" w:rsidRPr="00C8762E" w:rsidRDefault="002708A2" w:rsidP="00067975">
            <w:pPr>
              <w:pStyle w:val="SingleTxtG"/>
              <w:keepNext/>
              <w:keepLines/>
              <w:spacing w:before="40" w:after="40" w:line="220" w:lineRule="exact"/>
              <w:ind w:left="0" w:right="0"/>
              <w:jc w:val="left"/>
              <w:rPr>
                <w:bCs/>
                <w:sz w:val="18"/>
              </w:rPr>
            </w:pPr>
            <w:r w:rsidRPr="00C8762E">
              <w:rPr>
                <w:bCs/>
                <w:sz w:val="18"/>
              </w:rPr>
              <w:t>Media</w:t>
            </w:r>
          </w:p>
        </w:tc>
        <w:tc>
          <w:tcPr>
            <w:tcW w:w="1388" w:type="dxa"/>
            <w:shd w:val="clear" w:color="auto" w:fill="auto"/>
            <w:noWrap/>
            <w:vAlign w:val="bottom"/>
            <w:hideMark/>
          </w:tcPr>
          <w:p w:rsidR="002708A2" w:rsidRPr="00C8762E" w:rsidRDefault="002708A2" w:rsidP="00067975">
            <w:pPr>
              <w:pStyle w:val="SingleTxtG"/>
              <w:keepNext/>
              <w:keepLines/>
              <w:spacing w:before="40" w:after="40" w:line="220" w:lineRule="exact"/>
              <w:ind w:left="113" w:right="0"/>
              <w:jc w:val="right"/>
              <w:rPr>
                <w:sz w:val="18"/>
              </w:rPr>
            </w:pPr>
            <w:r w:rsidRPr="00C8762E">
              <w:rPr>
                <w:sz w:val="18"/>
              </w:rPr>
              <w:t>10,6</w:t>
            </w:r>
          </w:p>
        </w:tc>
        <w:tc>
          <w:tcPr>
            <w:tcW w:w="1631" w:type="dxa"/>
            <w:shd w:val="clear" w:color="auto" w:fill="auto"/>
            <w:noWrap/>
            <w:vAlign w:val="bottom"/>
            <w:hideMark/>
          </w:tcPr>
          <w:p w:rsidR="002708A2" w:rsidRPr="00C8762E" w:rsidRDefault="002708A2" w:rsidP="00067975">
            <w:pPr>
              <w:pStyle w:val="SingleTxtG"/>
              <w:keepNext/>
              <w:keepLines/>
              <w:spacing w:before="40" w:after="40" w:line="220" w:lineRule="exact"/>
              <w:ind w:left="113" w:right="0"/>
              <w:jc w:val="right"/>
              <w:rPr>
                <w:sz w:val="18"/>
              </w:rPr>
            </w:pPr>
            <w:r w:rsidRPr="00C8762E">
              <w:rPr>
                <w:sz w:val="18"/>
              </w:rPr>
              <w:t>11,4</w:t>
            </w:r>
          </w:p>
        </w:tc>
        <w:tc>
          <w:tcPr>
            <w:tcW w:w="1341" w:type="dxa"/>
            <w:shd w:val="clear" w:color="auto" w:fill="auto"/>
            <w:noWrap/>
            <w:vAlign w:val="bottom"/>
            <w:hideMark/>
          </w:tcPr>
          <w:p w:rsidR="002708A2" w:rsidRPr="00C8762E" w:rsidRDefault="002708A2" w:rsidP="00067975">
            <w:pPr>
              <w:pStyle w:val="SingleTxtG"/>
              <w:keepNext/>
              <w:keepLines/>
              <w:spacing w:before="40" w:after="40" w:line="220" w:lineRule="exact"/>
              <w:ind w:left="113" w:right="0"/>
              <w:jc w:val="right"/>
              <w:rPr>
                <w:sz w:val="18"/>
              </w:rPr>
            </w:pPr>
            <w:r w:rsidRPr="00C8762E">
              <w:rPr>
                <w:sz w:val="18"/>
              </w:rPr>
              <w:t>30,1</w:t>
            </w:r>
          </w:p>
        </w:tc>
      </w:tr>
      <w:tr w:rsidR="002708A2" w:rsidRPr="00C8762E" w:rsidTr="00D1717D">
        <w:trPr>
          <w:trHeight w:val="240"/>
        </w:trPr>
        <w:tc>
          <w:tcPr>
            <w:tcW w:w="1684" w:type="dxa"/>
            <w:tcBorders>
              <w:bottom w:val="single" w:sz="4" w:space="0" w:color="auto"/>
            </w:tcBorders>
            <w:shd w:val="clear" w:color="auto" w:fill="auto"/>
            <w:hideMark/>
          </w:tcPr>
          <w:p w:rsidR="002708A2" w:rsidRPr="00C8762E" w:rsidRDefault="002708A2" w:rsidP="00067975">
            <w:pPr>
              <w:pStyle w:val="SingleTxtG"/>
              <w:keepNext/>
              <w:keepLines/>
              <w:spacing w:before="40" w:after="40" w:line="220" w:lineRule="exact"/>
              <w:ind w:left="0" w:right="0"/>
              <w:jc w:val="left"/>
              <w:rPr>
                <w:bCs/>
                <w:sz w:val="18"/>
              </w:rPr>
            </w:pPr>
          </w:p>
        </w:tc>
        <w:tc>
          <w:tcPr>
            <w:tcW w:w="1726" w:type="dxa"/>
            <w:tcBorders>
              <w:bottom w:val="single" w:sz="4" w:space="0" w:color="auto"/>
            </w:tcBorders>
            <w:shd w:val="clear" w:color="auto" w:fill="auto"/>
            <w:noWrap/>
            <w:vAlign w:val="bottom"/>
            <w:hideMark/>
          </w:tcPr>
          <w:p w:rsidR="002708A2" w:rsidRPr="00C8762E" w:rsidRDefault="002708A2" w:rsidP="00067975">
            <w:pPr>
              <w:pStyle w:val="SingleTxtG"/>
              <w:keepNext/>
              <w:keepLines/>
              <w:spacing w:before="40" w:after="40" w:line="220" w:lineRule="exact"/>
              <w:ind w:left="0" w:right="0"/>
              <w:jc w:val="left"/>
              <w:rPr>
                <w:bCs/>
                <w:sz w:val="18"/>
              </w:rPr>
            </w:pPr>
            <w:r w:rsidRPr="00C8762E">
              <w:rPr>
                <w:bCs/>
                <w:sz w:val="18"/>
              </w:rPr>
              <w:t>Superior o universitaria</w:t>
            </w:r>
          </w:p>
        </w:tc>
        <w:tc>
          <w:tcPr>
            <w:tcW w:w="1388" w:type="dxa"/>
            <w:tcBorders>
              <w:bottom w:val="single" w:sz="4" w:space="0" w:color="auto"/>
            </w:tcBorders>
            <w:shd w:val="clear" w:color="auto" w:fill="auto"/>
            <w:noWrap/>
            <w:vAlign w:val="bottom"/>
            <w:hideMark/>
          </w:tcPr>
          <w:p w:rsidR="002708A2" w:rsidRPr="00C8762E" w:rsidRDefault="002708A2" w:rsidP="00067975">
            <w:pPr>
              <w:pStyle w:val="SingleTxtG"/>
              <w:keepNext/>
              <w:keepLines/>
              <w:spacing w:before="40" w:after="40" w:line="220" w:lineRule="exact"/>
              <w:ind w:left="113" w:right="0"/>
              <w:jc w:val="right"/>
              <w:rPr>
                <w:sz w:val="18"/>
              </w:rPr>
            </w:pPr>
            <w:r w:rsidRPr="00C8762E">
              <w:rPr>
                <w:sz w:val="18"/>
              </w:rPr>
              <w:t>11,8</w:t>
            </w:r>
          </w:p>
        </w:tc>
        <w:tc>
          <w:tcPr>
            <w:tcW w:w="1631" w:type="dxa"/>
            <w:tcBorders>
              <w:bottom w:val="single" w:sz="4" w:space="0" w:color="auto"/>
            </w:tcBorders>
            <w:shd w:val="clear" w:color="auto" w:fill="auto"/>
            <w:noWrap/>
            <w:vAlign w:val="bottom"/>
            <w:hideMark/>
          </w:tcPr>
          <w:p w:rsidR="002708A2" w:rsidRPr="00C8762E" w:rsidRDefault="002708A2" w:rsidP="00067975">
            <w:pPr>
              <w:pStyle w:val="SingleTxtG"/>
              <w:keepNext/>
              <w:keepLines/>
              <w:spacing w:before="40" w:after="40" w:line="220" w:lineRule="exact"/>
              <w:ind w:left="113" w:right="0"/>
              <w:jc w:val="right"/>
              <w:rPr>
                <w:sz w:val="18"/>
              </w:rPr>
            </w:pPr>
            <w:r w:rsidRPr="00C8762E">
              <w:rPr>
                <w:sz w:val="18"/>
              </w:rPr>
              <w:t>11,6</w:t>
            </w:r>
          </w:p>
        </w:tc>
        <w:tc>
          <w:tcPr>
            <w:tcW w:w="1341" w:type="dxa"/>
            <w:tcBorders>
              <w:bottom w:val="single" w:sz="4" w:space="0" w:color="auto"/>
            </w:tcBorders>
            <w:shd w:val="clear" w:color="auto" w:fill="auto"/>
            <w:noWrap/>
            <w:vAlign w:val="bottom"/>
            <w:hideMark/>
          </w:tcPr>
          <w:p w:rsidR="002708A2" w:rsidRPr="00C8762E" w:rsidRDefault="002708A2" w:rsidP="00067975">
            <w:pPr>
              <w:pStyle w:val="SingleTxtG"/>
              <w:keepNext/>
              <w:keepLines/>
              <w:spacing w:before="40" w:after="40" w:line="220" w:lineRule="exact"/>
              <w:ind w:left="113" w:right="0"/>
              <w:jc w:val="right"/>
              <w:rPr>
                <w:sz w:val="18"/>
              </w:rPr>
            </w:pPr>
            <w:r w:rsidRPr="00C8762E">
              <w:rPr>
                <w:sz w:val="18"/>
              </w:rPr>
              <w:t>25,0</w:t>
            </w:r>
          </w:p>
        </w:tc>
      </w:tr>
      <w:tr w:rsidR="002708A2" w:rsidRPr="00C8762E" w:rsidTr="00D1717D">
        <w:trPr>
          <w:trHeight w:val="240"/>
        </w:trPr>
        <w:tc>
          <w:tcPr>
            <w:tcW w:w="1684" w:type="dxa"/>
            <w:tcBorders>
              <w:top w:val="single" w:sz="4" w:space="0" w:color="auto"/>
            </w:tcBorders>
            <w:shd w:val="clear" w:color="auto" w:fill="auto"/>
            <w:hideMark/>
          </w:tcPr>
          <w:p w:rsidR="002708A2" w:rsidRPr="00C8762E" w:rsidRDefault="002708A2" w:rsidP="00067975">
            <w:pPr>
              <w:pStyle w:val="SingleTxtG"/>
              <w:keepNext/>
              <w:keepLines/>
              <w:spacing w:before="40" w:after="40" w:line="220" w:lineRule="exact"/>
              <w:ind w:left="0" w:right="0"/>
              <w:jc w:val="left"/>
              <w:rPr>
                <w:bCs/>
                <w:sz w:val="18"/>
              </w:rPr>
            </w:pPr>
            <w:r w:rsidRPr="00C8762E">
              <w:rPr>
                <w:bCs/>
                <w:sz w:val="18"/>
              </w:rPr>
              <w:t>Área</w:t>
            </w:r>
          </w:p>
        </w:tc>
        <w:tc>
          <w:tcPr>
            <w:tcW w:w="1726" w:type="dxa"/>
            <w:tcBorders>
              <w:top w:val="single" w:sz="4" w:space="0" w:color="auto"/>
            </w:tcBorders>
            <w:shd w:val="clear" w:color="auto" w:fill="auto"/>
            <w:noWrap/>
            <w:vAlign w:val="bottom"/>
            <w:hideMark/>
          </w:tcPr>
          <w:p w:rsidR="002708A2" w:rsidRPr="00C8762E" w:rsidRDefault="002708A2" w:rsidP="00067975">
            <w:pPr>
              <w:pStyle w:val="SingleTxtG"/>
              <w:keepNext/>
              <w:keepLines/>
              <w:spacing w:before="40" w:after="40" w:line="220" w:lineRule="exact"/>
              <w:ind w:left="0" w:right="0"/>
              <w:jc w:val="left"/>
              <w:rPr>
                <w:bCs/>
                <w:sz w:val="18"/>
              </w:rPr>
            </w:pPr>
            <w:r w:rsidRPr="00C8762E">
              <w:rPr>
                <w:bCs/>
                <w:sz w:val="18"/>
              </w:rPr>
              <w:t>Cabecera</w:t>
            </w:r>
          </w:p>
        </w:tc>
        <w:tc>
          <w:tcPr>
            <w:tcW w:w="1388" w:type="dxa"/>
            <w:tcBorders>
              <w:top w:val="single" w:sz="4" w:space="0" w:color="auto"/>
            </w:tcBorders>
            <w:shd w:val="clear" w:color="auto" w:fill="auto"/>
            <w:noWrap/>
            <w:vAlign w:val="bottom"/>
            <w:hideMark/>
          </w:tcPr>
          <w:p w:rsidR="002708A2" w:rsidRPr="00C8762E" w:rsidRDefault="002708A2" w:rsidP="00067975">
            <w:pPr>
              <w:pStyle w:val="SingleTxtG"/>
              <w:keepNext/>
              <w:keepLines/>
              <w:spacing w:before="40" w:after="40" w:line="220" w:lineRule="exact"/>
              <w:ind w:left="113" w:right="0"/>
              <w:jc w:val="right"/>
              <w:rPr>
                <w:sz w:val="18"/>
              </w:rPr>
            </w:pPr>
            <w:r w:rsidRPr="00C8762E">
              <w:rPr>
                <w:sz w:val="18"/>
              </w:rPr>
              <w:t>10,3</w:t>
            </w:r>
          </w:p>
        </w:tc>
        <w:tc>
          <w:tcPr>
            <w:tcW w:w="1631" w:type="dxa"/>
            <w:tcBorders>
              <w:top w:val="single" w:sz="4" w:space="0" w:color="auto"/>
            </w:tcBorders>
            <w:shd w:val="clear" w:color="auto" w:fill="auto"/>
            <w:noWrap/>
            <w:vAlign w:val="bottom"/>
            <w:hideMark/>
          </w:tcPr>
          <w:p w:rsidR="002708A2" w:rsidRPr="00C8762E" w:rsidRDefault="002708A2" w:rsidP="00067975">
            <w:pPr>
              <w:pStyle w:val="SingleTxtG"/>
              <w:keepNext/>
              <w:keepLines/>
              <w:spacing w:before="40" w:after="40" w:line="220" w:lineRule="exact"/>
              <w:ind w:left="113" w:right="0"/>
              <w:jc w:val="right"/>
              <w:rPr>
                <w:sz w:val="18"/>
              </w:rPr>
            </w:pPr>
            <w:r w:rsidRPr="00C8762E">
              <w:rPr>
                <w:sz w:val="18"/>
              </w:rPr>
              <w:t>10,7</w:t>
            </w:r>
          </w:p>
        </w:tc>
        <w:tc>
          <w:tcPr>
            <w:tcW w:w="1341" w:type="dxa"/>
            <w:tcBorders>
              <w:top w:val="single" w:sz="4" w:space="0" w:color="auto"/>
            </w:tcBorders>
            <w:shd w:val="clear" w:color="auto" w:fill="auto"/>
            <w:noWrap/>
            <w:vAlign w:val="bottom"/>
            <w:hideMark/>
          </w:tcPr>
          <w:p w:rsidR="002708A2" w:rsidRPr="00C8762E" w:rsidRDefault="002708A2" w:rsidP="00067975">
            <w:pPr>
              <w:pStyle w:val="SingleTxtG"/>
              <w:keepNext/>
              <w:keepLines/>
              <w:spacing w:before="40" w:after="40" w:line="220" w:lineRule="exact"/>
              <w:ind w:left="113" w:right="0"/>
              <w:jc w:val="right"/>
              <w:rPr>
                <w:sz w:val="18"/>
              </w:rPr>
            </w:pPr>
            <w:r w:rsidRPr="00C8762E">
              <w:rPr>
                <w:sz w:val="18"/>
              </w:rPr>
              <w:t>27,7</w:t>
            </w:r>
          </w:p>
        </w:tc>
      </w:tr>
      <w:tr w:rsidR="002708A2" w:rsidRPr="00C8762E" w:rsidTr="00D1717D">
        <w:trPr>
          <w:trHeight w:val="240"/>
        </w:trPr>
        <w:tc>
          <w:tcPr>
            <w:tcW w:w="1684" w:type="dxa"/>
            <w:tcBorders>
              <w:bottom w:val="single" w:sz="12" w:space="0" w:color="auto"/>
            </w:tcBorders>
            <w:shd w:val="clear" w:color="auto" w:fill="auto"/>
            <w:hideMark/>
          </w:tcPr>
          <w:p w:rsidR="002708A2" w:rsidRPr="00C8762E" w:rsidRDefault="002708A2" w:rsidP="00067975">
            <w:pPr>
              <w:pStyle w:val="SingleTxtG"/>
              <w:keepNext/>
              <w:keepLines/>
              <w:spacing w:before="40" w:after="40" w:line="220" w:lineRule="exact"/>
              <w:ind w:left="0" w:right="0"/>
              <w:jc w:val="left"/>
              <w:rPr>
                <w:bCs/>
                <w:sz w:val="18"/>
              </w:rPr>
            </w:pPr>
          </w:p>
        </w:tc>
        <w:tc>
          <w:tcPr>
            <w:tcW w:w="1726" w:type="dxa"/>
            <w:tcBorders>
              <w:bottom w:val="single" w:sz="12" w:space="0" w:color="auto"/>
            </w:tcBorders>
            <w:shd w:val="clear" w:color="auto" w:fill="auto"/>
            <w:noWrap/>
            <w:vAlign w:val="bottom"/>
            <w:hideMark/>
          </w:tcPr>
          <w:p w:rsidR="002708A2" w:rsidRPr="00C8762E" w:rsidRDefault="002708A2" w:rsidP="00067975">
            <w:pPr>
              <w:pStyle w:val="SingleTxtG"/>
              <w:keepNext/>
              <w:keepLines/>
              <w:spacing w:before="40" w:after="40" w:line="220" w:lineRule="exact"/>
              <w:ind w:left="0" w:right="0"/>
              <w:jc w:val="left"/>
              <w:rPr>
                <w:bCs/>
                <w:sz w:val="18"/>
              </w:rPr>
            </w:pPr>
            <w:r w:rsidRPr="00C8762E">
              <w:rPr>
                <w:bCs/>
                <w:sz w:val="18"/>
              </w:rPr>
              <w:t>Centros poblados y rural disperso</w:t>
            </w:r>
          </w:p>
        </w:tc>
        <w:tc>
          <w:tcPr>
            <w:tcW w:w="1388" w:type="dxa"/>
            <w:tcBorders>
              <w:bottom w:val="single" w:sz="12" w:space="0" w:color="auto"/>
            </w:tcBorders>
            <w:shd w:val="clear" w:color="auto" w:fill="auto"/>
            <w:noWrap/>
            <w:vAlign w:val="bottom"/>
            <w:hideMark/>
          </w:tcPr>
          <w:p w:rsidR="002708A2" w:rsidRPr="00C8762E" w:rsidRDefault="002708A2" w:rsidP="00067975">
            <w:pPr>
              <w:pStyle w:val="SingleTxtG"/>
              <w:keepNext/>
              <w:keepLines/>
              <w:spacing w:before="40" w:after="40" w:line="220" w:lineRule="exact"/>
              <w:ind w:left="113" w:right="0"/>
              <w:jc w:val="right"/>
              <w:rPr>
                <w:sz w:val="18"/>
              </w:rPr>
            </w:pPr>
            <w:r w:rsidRPr="00C8762E">
              <w:rPr>
                <w:sz w:val="18"/>
              </w:rPr>
              <w:t>5,3</w:t>
            </w:r>
          </w:p>
        </w:tc>
        <w:tc>
          <w:tcPr>
            <w:tcW w:w="1631" w:type="dxa"/>
            <w:tcBorders>
              <w:bottom w:val="single" w:sz="12" w:space="0" w:color="auto"/>
            </w:tcBorders>
            <w:shd w:val="clear" w:color="auto" w:fill="auto"/>
            <w:noWrap/>
            <w:vAlign w:val="bottom"/>
            <w:hideMark/>
          </w:tcPr>
          <w:p w:rsidR="002708A2" w:rsidRPr="00C8762E" w:rsidRDefault="002708A2" w:rsidP="00067975">
            <w:pPr>
              <w:pStyle w:val="SingleTxtG"/>
              <w:keepNext/>
              <w:keepLines/>
              <w:spacing w:before="40" w:after="40" w:line="220" w:lineRule="exact"/>
              <w:ind w:left="113" w:right="0"/>
              <w:jc w:val="right"/>
              <w:rPr>
                <w:sz w:val="18"/>
              </w:rPr>
            </w:pPr>
            <w:r w:rsidRPr="00C8762E">
              <w:rPr>
                <w:sz w:val="18"/>
              </w:rPr>
              <w:t>8,5</w:t>
            </w:r>
          </w:p>
        </w:tc>
        <w:tc>
          <w:tcPr>
            <w:tcW w:w="1341" w:type="dxa"/>
            <w:tcBorders>
              <w:bottom w:val="single" w:sz="12" w:space="0" w:color="auto"/>
            </w:tcBorders>
            <w:shd w:val="clear" w:color="auto" w:fill="auto"/>
            <w:noWrap/>
            <w:vAlign w:val="bottom"/>
            <w:hideMark/>
          </w:tcPr>
          <w:p w:rsidR="002708A2" w:rsidRPr="00C8762E" w:rsidRDefault="002708A2" w:rsidP="00067975">
            <w:pPr>
              <w:pStyle w:val="SingleTxtG"/>
              <w:keepNext/>
              <w:keepLines/>
              <w:spacing w:before="40" w:after="40" w:line="220" w:lineRule="exact"/>
              <w:ind w:left="113" w:right="0"/>
              <w:jc w:val="right"/>
              <w:rPr>
                <w:sz w:val="18"/>
              </w:rPr>
            </w:pPr>
            <w:r w:rsidRPr="00C8762E">
              <w:rPr>
                <w:sz w:val="18"/>
              </w:rPr>
              <w:t>28,5</w:t>
            </w:r>
          </w:p>
        </w:tc>
      </w:tr>
    </w:tbl>
    <w:p w:rsidR="00753078" w:rsidRPr="00C8762E" w:rsidRDefault="002708A2" w:rsidP="00067975">
      <w:pPr>
        <w:pStyle w:val="Textonotapie"/>
        <w:spacing w:before="120"/>
        <w:ind w:firstLine="0"/>
      </w:pPr>
      <w:r w:rsidRPr="00C8762E">
        <w:t xml:space="preserve">   </w:t>
      </w:r>
      <w:r w:rsidR="00753078" w:rsidRPr="00C8762E">
        <w:t>Cálculos GIL-SAMPL-DGPESF a partir de GEIH-DANE. Disponibles en filco.mintrabajo.gov.co/FILCO</w:t>
      </w:r>
      <w:r w:rsidRPr="00C8762E">
        <w:t>.</w:t>
      </w:r>
    </w:p>
    <w:p w:rsidR="00753078" w:rsidRPr="00C8762E" w:rsidRDefault="00753078" w:rsidP="00753078">
      <w:pPr>
        <w:pStyle w:val="H1G"/>
      </w:pPr>
      <w:r w:rsidRPr="00C8762E">
        <w:tab/>
      </w:r>
      <w:r w:rsidRPr="00C8762E">
        <w:tab/>
        <w:t>Artículo 7</w:t>
      </w:r>
    </w:p>
    <w:p w:rsidR="00753078" w:rsidRPr="00C8762E" w:rsidRDefault="00DF5A10" w:rsidP="00DF5A10">
      <w:pPr>
        <w:pStyle w:val="H23G"/>
      </w:pPr>
      <w:r w:rsidRPr="00C8762E">
        <w:tab/>
      </w:r>
      <w:r w:rsidR="00753078" w:rsidRPr="00C8762E">
        <w:t>2.</w:t>
      </w:r>
      <w:r w:rsidR="00753078" w:rsidRPr="00C8762E">
        <w:tab/>
        <w:t>Condiciones de trabajo en zonas rurales</w:t>
      </w:r>
    </w:p>
    <w:p w:rsidR="00753078" w:rsidRPr="00C8762E" w:rsidRDefault="002708A2" w:rsidP="00067975">
      <w:pPr>
        <w:pStyle w:val="SingleTxtG"/>
      </w:pPr>
      <w:r w:rsidRPr="00C8762E">
        <w:t>28.</w:t>
      </w:r>
      <w:r w:rsidRPr="00C8762E">
        <w:tab/>
      </w:r>
      <w:r w:rsidR="00753078" w:rsidRPr="00C8762E">
        <w:t>Se creó la Agencia de Renovación del Territorio (ART), para articular los esfuerzos de los distintos sectores que intervienen en el campo colombiano y para servir de gerente y supervisora de los procesos participativos de planeación a nivel sub municipal, municipal y regional y las inversiones que de estos se deriven. Esta Agencia está preparando la entrada a 170 municipios priorizados en los cuales se construirán Planes de Acción para la Transformación Regional, que incluirán la construcción de una visión colectiva a largo plazo del territorio en sus dimensiones de desarrollo social y económico, según lo establecido en el Plan Marco de Implementación del Acuerdo de Paz.</w:t>
      </w:r>
    </w:p>
    <w:p w:rsidR="00753078" w:rsidRPr="00C8762E" w:rsidRDefault="002708A2" w:rsidP="00067975">
      <w:pPr>
        <w:pStyle w:val="SingleTxtG"/>
      </w:pPr>
      <w:r w:rsidRPr="00C8762E">
        <w:t>29.</w:t>
      </w:r>
      <w:r w:rsidRPr="00C8762E">
        <w:tab/>
      </w:r>
      <w:r w:rsidR="00753078" w:rsidRPr="00C8762E">
        <w:t xml:space="preserve">En el marco del Acuerdo de Paz se están trabajando dos proyectos de </w:t>
      </w:r>
      <w:r w:rsidR="00EC0040" w:rsidRPr="00C8762E">
        <w:t>decreto ley</w:t>
      </w:r>
      <w:r w:rsidR="00753078" w:rsidRPr="00C8762E">
        <w:t xml:space="preserve">: </w:t>
      </w:r>
      <w:r w:rsidR="00EC0040" w:rsidRPr="00C8762E">
        <w:t>uno</w:t>
      </w:r>
      <w:r w:rsidR="00753078" w:rsidRPr="00C8762E">
        <w:t xml:space="preserve">, </w:t>
      </w:r>
      <w:r w:rsidR="00054E05" w:rsidRPr="00C8762E">
        <w:t>“</w:t>
      </w:r>
      <w:r w:rsidR="00753078" w:rsidRPr="00C8762E">
        <w:t>Por el cual se crea el sistema de prevención, inspección, vigilancia y control del trabajo para el fortalecimiento de la inspección del trabajo fijo (SIVICO), y el programa de la inspección del trabajo móvil en las áreas rurales y se dictan otras disposiciones</w:t>
      </w:r>
      <w:r w:rsidR="00054E05" w:rsidRPr="00C8762E">
        <w:t>”</w:t>
      </w:r>
      <w:r w:rsidR="00753078" w:rsidRPr="00C8762E">
        <w:t>. Este proyecto tiene como objetivo que el Sistema se dirija como garante de los derechos fundamentales y sociales de los trabajadores en las zonas rurales en la perspectiva de la superación del conflicto y la búsqueda de la reconciliación.</w:t>
      </w:r>
    </w:p>
    <w:p w:rsidR="00753078" w:rsidRPr="00C8762E" w:rsidRDefault="002708A2" w:rsidP="00067975">
      <w:pPr>
        <w:pStyle w:val="SingleTxtG"/>
      </w:pPr>
      <w:r w:rsidRPr="00C8762E">
        <w:t>30.</w:t>
      </w:r>
      <w:r w:rsidRPr="00C8762E">
        <w:tab/>
      </w:r>
      <w:r w:rsidR="00753078" w:rsidRPr="00C8762E">
        <w:t xml:space="preserve">El otro decreto, </w:t>
      </w:r>
      <w:r w:rsidR="00054E05" w:rsidRPr="00C8762E">
        <w:t>“</w:t>
      </w:r>
      <w:r w:rsidR="00753078" w:rsidRPr="00C8762E">
        <w:t>por el cual se reglamenta lo relativo a la estrategia de emprendimiento y los Programas de Empleo Rurales</w:t>
      </w:r>
      <w:r w:rsidR="00054E05" w:rsidRPr="00C8762E">
        <w:t>”</w:t>
      </w:r>
      <w:r w:rsidR="00753078" w:rsidRPr="00C8762E">
        <w:t xml:space="preserve">. </w:t>
      </w:r>
      <w:r w:rsidR="00777999" w:rsidRPr="00C8762E">
        <w:t>E</w:t>
      </w:r>
      <w:r w:rsidR="00753078" w:rsidRPr="00C8762E">
        <w:t>ste, busca: a) Definición de líneas de programas e iniciativas a financiar para las zonas rurales con cargo al FOSFEC</w:t>
      </w:r>
      <w:r w:rsidR="00753078" w:rsidRPr="00C8762E">
        <w:rPr>
          <w:rStyle w:val="Refdenotaalpie"/>
        </w:rPr>
        <w:footnoteReference w:id="3"/>
      </w:r>
      <w:r w:rsidR="00753078" w:rsidRPr="00C8762E">
        <w:t>; b</w:t>
      </w:r>
      <w:r w:rsidR="00777999" w:rsidRPr="00C8762E">
        <w:t>) </w:t>
      </w:r>
      <w:r w:rsidR="00753078" w:rsidRPr="00C8762E">
        <w:t>Definición de mecanismos y procedimientos para el diseño y operación de estos programas; c) Promoción de esquemas de alianzas entre Cajas de Compensación u otros actores públicos o privados para la operación de los programas.</w:t>
      </w:r>
      <w:r w:rsidR="00462771" w:rsidRPr="00C8762E">
        <w:t xml:space="preserve"> </w:t>
      </w:r>
    </w:p>
    <w:p w:rsidR="00753078" w:rsidRPr="00C8762E" w:rsidRDefault="002708A2" w:rsidP="00067975">
      <w:pPr>
        <w:pStyle w:val="SingleTxtG"/>
      </w:pPr>
      <w:r w:rsidRPr="00C8762E">
        <w:t>31.</w:t>
      </w:r>
      <w:r w:rsidRPr="00C8762E">
        <w:tab/>
      </w:r>
      <w:r w:rsidR="00753078" w:rsidRPr="00C8762E">
        <w:t>De acuerdo con la Estrategia de Lucha contra el Narcotráfico del Sector Defensa en Colombia la erradicación manual de cultivos ilícitos se realiza bajo tres modalidades: i)</w:t>
      </w:r>
      <w:r w:rsidR="00777999" w:rsidRPr="00C8762E">
        <w:t> </w:t>
      </w:r>
      <w:r w:rsidR="00753078" w:rsidRPr="00C8762E">
        <w:t xml:space="preserve">mediante aspersión, ii) con Grupos Móviles de Erradicación (GME) y iii) soldado-soldado. </w:t>
      </w:r>
    </w:p>
    <w:p w:rsidR="00753078" w:rsidRPr="00C8762E" w:rsidRDefault="002708A2" w:rsidP="00067975">
      <w:pPr>
        <w:pStyle w:val="SingleTxtG"/>
      </w:pPr>
      <w:r w:rsidRPr="00C8762E">
        <w:lastRenderedPageBreak/>
        <w:t>32.</w:t>
      </w:r>
      <w:r w:rsidRPr="00C8762E">
        <w:tab/>
      </w:r>
      <w:r w:rsidR="00753078" w:rsidRPr="00C8762E">
        <w:t>Las modalidades I y III de erradicación manual, se realizan exclusivamente con personal militar. Por su parte, los GME se componen de personal civil que por voluntad propia quieren trabajar en la erradicación de cultivos ilícitos, y en el desarrollo de sus funciones reciben acompañamiento y seguridad de parte de la Fuerza Pública.</w:t>
      </w:r>
    </w:p>
    <w:p w:rsidR="00753078" w:rsidRPr="00C8762E" w:rsidRDefault="002708A2" w:rsidP="00067975">
      <w:pPr>
        <w:pStyle w:val="SingleTxtG"/>
      </w:pPr>
      <w:r w:rsidRPr="00C8762E">
        <w:t>33.</w:t>
      </w:r>
      <w:r w:rsidRPr="00C8762E">
        <w:tab/>
      </w:r>
      <w:r w:rsidR="00753078" w:rsidRPr="00C8762E">
        <w:t>La Dirección para la Acción Integral contra las Minas Antipersonal adelanta acciones de Educación en el Riesgo por MAP</w:t>
      </w:r>
      <w:r w:rsidR="00753078" w:rsidRPr="00C8762E">
        <w:rPr>
          <w:rStyle w:val="Refdenotaalpie"/>
        </w:rPr>
        <w:footnoteReference w:id="4"/>
      </w:r>
      <w:r w:rsidR="00753078" w:rsidRPr="00C8762E">
        <w:t>, MUSE</w:t>
      </w:r>
      <w:r w:rsidR="00753078" w:rsidRPr="00C8762E">
        <w:rPr>
          <w:rStyle w:val="Refdenotaalpie"/>
        </w:rPr>
        <w:footnoteReference w:id="5"/>
      </w:r>
      <w:r w:rsidR="00753078" w:rsidRPr="00C8762E">
        <w:t xml:space="preserve"> y AEI</w:t>
      </w:r>
      <w:r w:rsidR="00753078" w:rsidRPr="00C8762E">
        <w:rPr>
          <w:rStyle w:val="Refdenotaalpie"/>
        </w:rPr>
        <w:footnoteReference w:id="6"/>
      </w:r>
      <w:r w:rsidR="00753078" w:rsidRPr="00C8762E">
        <w:t xml:space="preserve">, en los territorios afectados, y que han incluido al personal civil de </w:t>
      </w:r>
      <w:proofErr w:type="spellStart"/>
      <w:r w:rsidR="00753078" w:rsidRPr="00C8762E">
        <w:t>erradicadores</w:t>
      </w:r>
      <w:proofErr w:type="spellEnd"/>
      <w:r w:rsidR="00753078" w:rsidRPr="00C8762E">
        <w:t xml:space="preserve"> manuales. Resulta pertinente anotar que desde el año 2015 no se han vuelto a registrar accidentes en este personal civil causados por MAP, MUSE y AEI.</w:t>
      </w:r>
    </w:p>
    <w:p w:rsidR="00753078" w:rsidRPr="00C8762E" w:rsidRDefault="002708A2" w:rsidP="00067975">
      <w:pPr>
        <w:pStyle w:val="SingleTxtG"/>
        <w:rPr>
          <w:bCs/>
        </w:rPr>
      </w:pPr>
      <w:r w:rsidRPr="00C8762E">
        <w:t>34.</w:t>
      </w:r>
      <w:r w:rsidRPr="00C8762E">
        <w:tab/>
      </w:r>
      <w:r w:rsidR="00753078" w:rsidRPr="00C8762E">
        <w:t xml:space="preserve">En febrero de 2017, el Gobierno Nacional expidió un </w:t>
      </w:r>
      <w:r w:rsidR="00777999" w:rsidRPr="00C8762E">
        <w:t xml:space="preserve">decreto </w:t>
      </w:r>
      <w:r w:rsidR="00753078" w:rsidRPr="00C8762E">
        <w:t>para regular la contratación para la erradicación manual de cultivos ilícitos en el marco del acuerdo final, sin embargo, la Corte Constitucional declaro inexequible este decreto por considerar que no debió ser expedido bajo el uso de las fa</w:t>
      </w:r>
      <w:r w:rsidR="00753078" w:rsidRPr="00C8762E">
        <w:rPr>
          <w:bCs/>
        </w:rPr>
        <w:t>cultades extraordinarias que le dio el Acto Legislativo para la Paz. Actualmente el Gobierno trabaja para superar esta situación.</w:t>
      </w:r>
    </w:p>
    <w:p w:rsidR="00753078" w:rsidRPr="00C8762E" w:rsidRDefault="00DF5A10" w:rsidP="00DF5A10">
      <w:pPr>
        <w:pStyle w:val="H23G"/>
      </w:pPr>
      <w:r w:rsidRPr="00C8762E">
        <w:tab/>
      </w:r>
      <w:r w:rsidR="00753078" w:rsidRPr="00C8762E">
        <w:t>3.</w:t>
      </w:r>
      <w:r w:rsidR="00753078" w:rsidRPr="00C8762E">
        <w:tab/>
        <w:t xml:space="preserve">Salario mínimo legal vigente </w:t>
      </w:r>
    </w:p>
    <w:p w:rsidR="00753078" w:rsidRPr="00C8762E" w:rsidRDefault="002708A2" w:rsidP="00067975">
      <w:pPr>
        <w:pStyle w:val="SingleTxtG"/>
      </w:pPr>
      <w:r w:rsidRPr="00C8762E">
        <w:t>35.</w:t>
      </w:r>
      <w:r w:rsidRPr="00C8762E">
        <w:tab/>
      </w:r>
      <w:r w:rsidR="00753078" w:rsidRPr="00C8762E">
        <w:t xml:space="preserve">La fijación del salario mínimo se discute al interior de la Comisión Permanente de Concertación de Políticas Salariales y Laborales, ente tripartito creado mediante el </w:t>
      </w:r>
      <w:r w:rsidR="00EC0040" w:rsidRPr="00C8762E">
        <w:t xml:space="preserve">artículo </w:t>
      </w:r>
      <w:r w:rsidR="00753078" w:rsidRPr="00C8762E">
        <w:t xml:space="preserve">56 de la Constitución Política, reglamentada mediante la Ley </w:t>
      </w:r>
      <w:r w:rsidR="00D1717D" w:rsidRPr="00C8762E">
        <w:t xml:space="preserve">núm. </w:t>
      </w:r>
      <w:r w:rsidR="00753078" w:rsidRPr="00C8762E">
        <w:t>278 de 1996, donde en el artículo 8 establece los pasos a seguir para la fijación del Salario Mínimo.</w:t>
      </w:r>
    </w:p>
    <w:p w:rsidR="00753078" w:rsidRPr="00C8762E" w:rsidRDefault="002708A2" w:rsidP="00067975">
      <w:pPr>
        <w:pStyle w:val="SingleTxtG"/>
      </w:pPr>
      <w:r w:rsidRPr="00C8762E">
        <w:t>36.</w:t>
      </w:r>
      <w:r w:rsidRPr="00C8762E">
        <w:tab/>
      </w:r>
      <w:r w:rsidR="00753078" w:rsidRPr="00C8762E">
        <w:t xml:space="preserve">Tal normatividad fue objeto de estudio de constitucionalidad mediante la </w:t>
      </w:r>
      <w:r w:rsidR="00EC0040" w:rsidRPr="00C8762E">
        <w:t xml:space="preserve">sentencia </w:t>
      </w:r>
      <w:r w:rsidR="00753078" w:rsidRPr="00C8762E">
        <w:t xml:space="preserve">C-815 de 1999, en la que la Corte Constitucional retomó los criterios contemplados en la norma, para colegir qué debe tenerse en cuenta para fijar el salario mínimo a fin de evitar una pérdida de poder adquisitivo sobre </w:t>
      </w:r>
      <w:r w:rsidR="00777999" w:rsidRPr="00C8762E">
        <w:t>e</w:t>
      </w:r>
      <w:r w:rsidR="00753078" w:rsidRPr="00C8762E">
        <w:t xml:space="preserve">ste. </w:t>
      </w:r>
    </w:p>
    <w:p w:rsidR="00753078" w:rsidRPr="00C8762E" w:rsidRDefault="002708A2" w:rsidP="00067975">
      <w:pPr>
        <w:pStyle w:val="SingleTxtG"/>
      </w:pPr>
      <w:r w:rsidRPr="00C8762E">
        <w:t>37.</w:t>
      </w:r>
      <w:r w:rsidRPr="00C8762E">
        <w:tab/>
      </w:r>
      <w:r w:rsidR="00753078" w:rsidRPr="00C8762E">
        <w:t xml:space="preserve">La fijación del salario mínimo obedece a la normatividad antes mencionada y salvaguarda el derecho al mínimo vital y móvil que debe garantizarse para los trabajadores que devengan tal asignación. </w:t>
      </w:r>
    </w:p>
    <w:p w:rsidR="00753078" w:rsidRPr="00C8762E" w:rsidRDefault="002708A2" w:rsidP="00067975">
      <w:pPr>
        <w:pStyle w:val="SingleTxtG"/>
      </w:pPr>
      <w:r w:rsidRPr="00C8762E">
        <w:t>38.</w:t>
      </w:r>
      <w:r w:rsidRPr="00C8762E">
        <w:tab/>
      </w:r>
      <w:r w:rsidR="00753078" w:rsidRPr="00C8762E">
        <w:t xml:space="preserve">En cuanto a las medidas adoptadas para garantizar que todos los trabajadores, particularmente los trabajadores de las zonas rurales, perciban el salario mínimo, el Ministerio del Trabajo junto con otras entidades establecieron la primera Academia de </w:t>
      </w:r>
      <w:r w:rsidR="00054E05" w:rsidRPr="00C8762E">
        <w:t>“</w:t>
      </w:r>
      <w:r w:rsidR="00753078" w:rsidRPr="00C8762E">
        <w:t>Desarrollo Rural y Trabajo Decente para la Construcción de la Paz</w:t>
      </w:r>
      <w:r w:rsidR="00054E05" w:rsidRPr="00C8762E">
        <w:t>”</w:t>
      </w:r>
      <w:r w:rsidR="00753078" w:rsidRPr="00C8762E">
        <w:t xml:space="preserve"> La cual tiene como objetivo dar capacitación y brindar recursos para la promoción del desarrollo del campo de manera integral con trabajo decente, en el contexto del posconflicto. Esta iniciativa forma parte del Memorándum de Entendimiento suscrito entre la OIT y el Gobierno colombiano en el año 2015 para la creación de más y mejores empleos en el sector rural. </w:t>
      </w:r>
    </w:p>
    <w:p w:rsidR="00753078" w:rsidRPr="00C8762E" w:rsidRDefault="00753078" w:rsidP="00753078">
      <w:pPr>
        <w:pStyle w:val="H1G"/>
      </w:pPr>
      <w:r w:rsidRPr="00C8762E">
        <w:tab/>
      </w:r>
      <w:r w:rsidRPr="00C8762E">
        <w:tab/>
        <w:t>Artículo 8</w:t>
      </w:r>
    </w:p>
    <w:p w:rsidR="00753078" w:rsidRPr="00C8762E" w:rsidRDefault="00DF5A10" w:rsidP="00DF5A10">
      <w:pPr>
        <w:pStyle w:val="H23G"/>
      </w:pPr>
      <w:r w:rsidRPr="00C8762E">
        <w:tab/>
      </w:r>
      <w:r w:rsidR="00753078" w:rsidRPr="00C8762E">
        <w:t>4.</w:t>
      </w:r>
      <w:r w:rsidR="00753078" w:rsidRPr="00C8762E">
        <w:tab/>
        <w:t>Medidas para garantizar el ejercicio de los derechos sindicales</w:t>
      </w:r>
    </w:p>
    <w:p w:rsidR="00753078" w:rsidRPr="00C8762E" w:rsidRDefault="002708A2" w:rsidP="00067975">
      <w:pPr>
        <w:pStyle w:val="SingleTxtG"/>
      </w:pPr>
      <w:r w:rsidRPr="00C8762E">
        <w:t>39.</w:t>
      </w:r>
      <w:r w:rsidRPr="00C8762E">
        <w:tab/>
      </w:r>
      <w:r w:rsidR="00753078" w:rsidRPr="00C8762E">
        <w:t xml:space="preserve">Colombia cuenta con la Comisión Interinstitucional para la Promoción y Protección de los Derechos Humanos de los Trabajadores, (Decreto </w:t>
      </w:r>
      <w:r w:rsidR="00777999" w:rsidRPr="00C8762E">
        <w:t xml:space="preserve">núm. </w:t>
      </w:r>
      <w:r w:rsidR="00753078" w:rsidRPr="00C8762E">
        <w:t>1413 de 1997), liderada por el Ministerio de Trabajo y en la que participan representantes de las centrales obreras CUT, CGT y CTC, delegados de la Escuela Nacional Sindical, la ANDI y la OIT.</w:t>
      </w:r>
      <w:r w:rsidR="00462771" w:rsidRPr="00C8762E">
        <w:t xml:space="preserve"> </w:t>
      </w:r>
      <w:r w:rsidR="00753078" w:rsidRPr="00C8762E">
        <w:t xml:space="preserve">En este espacio se trata temas referentes a iniciativas para el cumplimiento de los Convenios Internacionales en materia de Derechos Humanos (caso </w:t>
      </w:r>
      <w:r w:rsidR="00EC0040" w:rsidRPr="00C8762E">
        <w:t xml:space="preserve">núm. </w:t>
      </w:r>
      <w:r w:rsidR="00753078" w:rsidRPr="00C8762E">
        <w:t xml:space="preserve">1787 y al caso </w:t>
      </w:r>
      <w:r w:rsidR="00EC0040" w:rsidRPr="00C8762E">
        <w:t xml:space="preserve">núm. </w:t>
      </w:r>
      <w:r w:rsidR="00753078" w:rsidRPr="00C8762E">
        <w:t xml:space="preserve">2761) de los trabajadores, y lo relacionado con los requerimientos de la OIT sobre violaciones a la integridad y libertad personal de los dirigentes y el ejercicio del derecho de asociación sindical. </w:t>
      </w:r>
    </w:p>
    <w:p w:rsidR="00753078" w:rsidRPr="00C8762E" w:rsidRDefault="002708A2" w:rsidP="00067975">
      <w:pPr>
        <w:pStyle w:val="SingleTxtG"/>
      </w:pPr>
      <w:r w:rsidRPr="00C8762E">
        <w:t>40.</w:t>
      </w:r>
      <w:r w:rsidRPr="00C8762E">
        <w:tab/>
      </w:r>
      <w:r w:rsidR="00753078" w:rsidRPr="00C8762E">
        <w:t xml:space="preserve">Se cuenta con el Comité de Evaluación de Riesgo y Recomendaciones de Medidas (CERREM), que es un espacio interinstitucional en el que se revisan y analizan las </w:t>
      </w:r>
      <w:r w:rsidR="00753078" w:rsidRPr="00C8762E">
        <w:lastRenderedPageBreak/>
        <w:t xml:space="preserve">situaciones que presentan los trabajadores o lideres representantes de diferentes poblaciones, que han sido objeto de amenazas. El Comité solicita a la UNP, la realización de los estudios de nivel de riesgo, y cuando la situación lo amerita se decretan las medidas de protección necesarias. A mayo de 2017, la UNP tiene protegidos a 475 dirigentes y activistas sindicales. </w:t>
      </w:r>
    </w:p>
    <w:p w:rsidR="00753078" w:rsidRPr="00C8762E" w:rsidRDefault="002708A2" w:rsidP="00067975">
      <w:pPr>
        <w:pStyle w:val="SingleTxtG"/>
      </w:pPr>
      <w:r w:rsidRPr="00C8762E">
        <w:t>41.</w:t>
      </w:r>
      <w:r w:rsidRPr="00C8762E">
        <w:tab/>
      </w:r>
      <w:r w:rsidR="00753078" w:rsidRPr="00C8762E">
        <w:t xml:space="preserve">En cuanto a las investigaciones, la FGN ha recibido en el </w:t>
      </w:r>
      <w:r w:rsidR="00777999" w:rsidRPr="00C8762E">
        <w:t>período</w:t>
      </w:r>
      <w:r w:rsidR="00753078" w:rsidRPr="00C8762E">
        <w:t xml:space="preserve"> 2011-2016, 153 denuncias. De </w:t>
      </w:r>
      <w:r w:rsidR="00777999" w:rsidRPr="00C8762E">
        <w:t>e</w:t>
      </w:r>
      <w:r w:rsidR="00753078" w:rsidRPr="00C8762E">
        <w:t xml:space="preserve">stas, se encuentran actualmente activas 121 investigaciones y se han terminado 32. Se han archivado 15, (2 por imposibilidad de encontrar el sujeto activo y 13 por atipicidad de la conducta), dos (2) se </w:t>
      </w:r>
      <w:proofErr w:type="spellStart"/>
      <w:r w:rsidR="00753078" w:rsidRPr="00C8762E">
        <w:t>precluyeron</w:t>
      </w:r>
      <w:proofErr w:type="spellEnd"/>
      <w:r w:rsidR="00753078" w:rsidRPr="00C8762E">
        <w:t>, uno por muerte del indiciado y el otro por muerte del acusado, una (1) se terminó por conexidad con otro, y se han terminado 14 investigaciones con condena.</w:t>
      </w:r>
    </w:p>
    <w:tbl>
      <w:tblPr>
        <w:tblStyle w:val="Listamedia1-nfasis1"/>
        <w:tblW w:w="7370" w:type="dxa"/>
        <w:tblInd w:w="1134" w:type="dxa"/>
        <w:tblBorders>
          <w:top w:val="none" w:sz="0" w:space="0" w:color="auto"/>
          <w:bottom w:val="none" w:sz="0" w:space="0" w:color="auto"/>
        </w:tblBorders>
        <w:tblLayout w:type="fixed"/>
        <w:tblCellMar>
          <w:left w:w="0" w:type="dxa"/>
          <w:right w:w="0" w:type="dxa"/>
        </w:tblCellMar>
        <w:tblLook w:val="04A0" w:firstRow="1" w:lastRow="0" w:firstColumn="1" w:lastColumn="0" w:noHBand="0" w:noVBand="1"/>
      </w:tblPr>
      <w:tblGrid>
        <w:gridCol w:w="1699"/>
        <w:gridCol w:w="1762"/>
        <w:gridCol w:w="2060"/>
        <w:gridCol w:w="1849"/>
      </w:tblGrid>
      <w:tr w:rsidR="00753078" w:rsidRPr="00C8762E" w:rsidTr="00D5656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99" w:type="dxa"/>
            <w:tcBorders>
              <w:top w:val="single" w:sz="4" w:space="0" w:color="auto"/>
              <w:bottom w:val="single" w:sz="12" w:space="0" w:color="auto"/>
            </w:tcBorders>
            <w:shd w:val="clear" w:color="auto" w:fill="auto"/>
            <w:noWrap/>
            <w:vAlign w:val="bottom"/>
            <w:hideMark/>
          </w:tcPr>
          <w:p w:rsidR="00753078" w:rsidRPr="00C8762E" w:rsidRDefault="00753078" w:rsidP="00753078">
            <w:pPr>
              <w:pStyle w:val="SingleTxtG"/>
              <w:spacing w:before="80" w:after="80" w:line="200" w:lineRule="exact"/>
              <w:ind w:left="0" w:right="0"/>
              <w:jc w:val="left"/>
              <w:rPr>
                <w:rFonts w:ascii="Times New Roman" w:hAnsi="Times New Roman" w:cs="Times New Roman"/>
                <w:b w:val="0"/>
                <w:i/>
                <w:color w:val="auto"/>
                <w:sz w:val="16"/>
              </w:rPr>
            </w:pPr>
          </w:p>
        </w:tc>
        <w:tc>
          <w:tcPr>
            <w:tcW w:w="1762" w:type="dxa"/>
            <w:tcBorders>
              <w:top w:val="single" w:sz="4" w:space="0" w:color="auto"/>
              <w:bottom w:val="single" w:sz="12" w:space="0" w:color="auto"/>
            </w:tcBorders>
            <w:shd w:val="clear" w:color="auto" w:fill="auto"/>
            <w:noWrap/>
            <w:vAlign w:val="bottom"/>
            <w:hideMark/>
          </w:tcPr>
          <w:p w:rsidR="00753078" w:rsidRPr="00C8762E" w:rsidRDefault="002708A2" w:rsidP="00753078">
            <w:pPr>
              <w:pStyle w:val="SingleTxtG"/>
              <w:spacing w:before="80" w:after="80" w:line="200" w:lineRule="exact"/>
              <w:ind w:left="0" w:right="0"/>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i/>
                <w:color w:val="auto"/>
                <w:sz w:val="16"/>
              </w:rPr>
            </w:pPr>
            <w:r w:rsidRPr="00C8762E">
              <w:rPr>
                <w:rFonts w:ascii="Times New Roman" w:hAnsi="Times New Roman" w:cs="Times New Roman"/>
                <w:bCs/>
                <w:i/>
                <w:color w:val="auto"/>
                <w:sz w:val="16"/>
              </w:rPr>
              <w:t>Activo</w:t>
            </w:r>
          </w:p>
        </w:tc>
        <w:tc>
          <w:tcPr>
            <w:tcW w:w="2060" w:type="dxa"/>
            <w:tcBorders>
              <w:top w:val="single" w:sz="4" w:space="0" w:color="auto"/>
              <w:bottom w:val="single" w:sz="12" w:space="0" w:color="auto"/>
            </w:tcBorders>
            <w:shd w:val="clear" w:color="auto" w:fill="auto"/>
            <w:noWrap/>
            <w:vAlign w:val="bottom"/>
            <w:hideMark/>
          </w:tcPr>
          <w:p w:rsidR="00753078" w:rsidRPr="00C8762E" w:rsidRDefault="002708A2" w:rsidP="00753078">
            <w:pPr>
              <w:pStyle w:val="SingleTxtG"/>
              <w:spacing w:before="80" w:after="80" w:line="200" w:lineRule="exact"/>
              <w:ind w:left="0" w:right="0"/>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i/>
                <w:color w:val="auto"/>
                <w:sz w:val="16"/>
              </w:rPr>
            </w:pPr>
            <w:r w:rsidRPr="00C8762E">
              <w:rPr>
                <w:rFonts w:ascii="Times New Roman" w:hAnsi="Times New Roman" w:cs="Times New Roman"/>
                <w:bCs/>
                <w:i/>
                <w:color w:val="auto"/>
                <w:sz w:val="16"/>
              </w:rPr>
              <w:t>Casos terminados</w:t>
            </w:r>
          </w:p>
        </w:tc>
        <w:tc>
          <w:tcPr>
            <w:tcW w:w="1849" w:type="dxa"/>
            <w:tcBorders>
              <w:top w:val="single" w:sz="4" w:space="0" w:color="auto"/>
              <w:bottom w:val="single" w:sz="12" w:space="0" w:color="auto"/>
            </w:tcBorders>
            <w:shd w:val="clear" w:color="auto" w:fill="auto"/>
            <w:noWrap/>
            <w:vAlign w:val="bottom"/>
            <w:hideMark/>
          </w:tcPr>
          <w:p w:rsidR="00753078" w:rsidRPr="00C8762E" w:rsidRDefault="002708A2" w:rsidP="00753078">
            <w:pPr>
              <w:pStyle w:val="SingleTxtG"/>
              <w:spacing w:before="80" w:after="80" w:line="200" w:lineRule="exact"/>
              <w:ind w:left="0" w:right="0"/>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i/>
                <w:color w:val="auto"/>
                <w:sz w:val="16"/>
              </w:rPr>
            </w:pPr>
            <w:r w:rsidRPr="00C8762E">
              <w:rPr>
                <w:rFonts w:ascii="Times New Roman" w:hAnsi="Times New Roman" w:cs="Times New Roman"/>
                <w:bCs/>
                <w:i/>
                <w:color w:val="auto"/>
                <w:sz w:val="16"/>
              </w:rPr>
              <w:t>Total general</w:t>
            </w:r>
          </w:p>
        </w:tc>
      </w:tr>
      <w:tr w:rsidR="00753078" w:rsidRPr="00C8762E" w:rsidTr="00D565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9" w:type="dxa"/>
            <w:tcBorders>
              <w:top w:val="single" w:sz="12" w:space="0" w:color="auto"/>
            </w:tcBorders>
            <w:shd w:val="clear" w:color="auto" w:fill="auto"/>
            <w:noWrap/>
            <w:hideMark/>
          </w:tcPr>
          <w:p w:rsidR="00753078" w:rsidRPr="00C8762E" w:rsidRDefault="00753078" w:rsidP="00753078">
            <w:pPr>
              <w:pStyle w:val="SingleTxtG"/>
              <w:spacing w:before="40" w:after="40" w:line="220" w:lineRule="exact"/>
              <w:ind w:left="0" w:right="0"/>
              <w:jc w:val="left"/>
              <w:rPr>
                <w:b w:val="0"/>
                <w:color w:val="auto"/>
                <w:sz w:val="18"/>
              </w:rPr>
            </w:pPr>
            <w:r w:rsidRPr="00C8762E">
              <w:rPr>
                <w:b w:val="0"/>
                <w:color w:val="auto"/>
                <w:sz w:val="18"/>
              </w:rPr>
              <w:t>2011</w:t>
            </w:r>
          </w:p>
        </w:tc>
        <w:tc>
          <w:tcPr>
            <w:tcW w:w="1762" w:type="dxa"/>
            <w:tcBorders>
              <w:top w:val="single" w:sz="12" w:space="0" w:color="auto"/>
            </w:tcBorders>
            <w:shd w:val="clear" w:color="auto" w:fill="auto"/>
            <w:noWrap/>
            <w:vAlign w:val="bottom"/>
            <w:hideMark/>
          </w:tcPr>
          <w:p w:rsidR="00753078" w:rsidRPr="00C8762E" w:rsidRDefault="00753078" w:rsidP="00753078">
            <w:pPr>
              <w:pStyle w:val="SingleTxtG"/>
              <w:spacing w:before="40" w:after="40" w:line="220" w:lineRule="exact"/>
              <w:ind w:left="0" w:right="0"/>
              <w:jc w:val="right"/>
              <w:cnfStyle w:val="000000100000" w:firstRow="0" w:lastRow="0" w:firstColumn="0" w:lastColumn="0" w:oddVBand="0" w:evenVBand="0" w:oddHBand="1" w:evenHBand="0" w:firstRowFirstColumn="0" w:firstRowLastColumn="0" w:lastRowFirstColumn="0" w:lastRowLastColumn="0"/>
              <w:rPr>
                <w:color w:val="auto"/>
                <w:sz w:val="18"/>
              </w:rPr>
            </w:pPr>
            <w:r w:rsidRPr="00C8762E">
              <w:rPr>
                <w:color w:val="auto"/>
                <w:sz w:val="18"/>
              </w:rPr>
              <w:t>28</w:t>
            </w:r>
          </w:p>
        </w:tc>
        <w:tc>
          <w:tcPr>
            <w:tcW w:w="2060" w:type="dxa"/>
            <w:tcBorders>
              <w:top w:val="single" w:sz="12" w:space="0" w:color="auto"/>
            </w:tcBorders>
            <w:shd w:val="clear" w:color="auto" w:fill="auto"/>
            <w:noWrap/>
            <w:vAlign w:val="bottom"/>
            <w:hideMark/>
          </w:tcPr>
          <w:p w:rsidR="00753078" w:rsidRPr="00C8762E" w:rsidRDefault="00753078" w:rsidP="00753078">
            <w:pPr>
              <w:pStyle w:val="SingleTxtG"/>
              <w:spacing w:before="40" w:after="40" w:line="220" w:lineRule="exact"/>
              <w:ind w:left="0" w:right="0"/>
              <w:jc w:val="right"/>
              <w:cnfStyle w:val="000000100000" w:firstRow="0" w:lastRow="0" w:firstColumn="0" w:lastColumn="0" w:oddVBand="0" w:evenVBand="0" w:oddHBand="1" w:evenHBand="0" w:firstRowFirstColumn="0" w:firstRowLastColumn="0" w:lastRowFirstColumn="0" w:lastRowLastColumn="0"/>
              <w:rPr>
                <w:color w:val="auto"/>
                <w:sz w:val="18"/>
              </w:rPr>
            </w:pPr>
            <w:r w:rsidRPr="00C8762E">
              <w:rPr>
                <w:color w:val="auto"/>
                <w:sz w:val="18"/>
              </w:rPr>
              <w:t>7</w:t>
            </w:r>
          </w:p>
        </w:tc>
        <w:tc>
          <w:tcPr>
            <w:tcW w:w="1849" w:type="dxa"/>
            <w:tcBorders>
              <w:top w:val="single" w:sz="12" w:space="0" w:color="auto"/>
            </w:tcBorders>
            <w:shd w:val="clear" w:color="auto" w:fill="auto"/>
            <w:noWrap/>
            <w:vAlign w:val="bottom"/>
            <w:hideMark/>
          </w:tcPr>
          <w:p w:rsidR="00753078" w:rsidRPr="00C8762E" w:rsidRDefault="00753078" w:rsidP="00753078">
            <w:pPr>
              <w:pStyle w:val="SingleTxtG"/>
              <w:spacing w:before="40" w:after="40" w:line="220" w:lineRule="exact"/>
              <w:ind w:left="0" w:right="0"/>
              <w:jc w:val="right"/>
              <w:cnfStyle w:val="000000100000" w:firstRow="0" w:lastRow="0" w:firstColumn="0" w:lastColumn="0" w:oddVBand="0" w:evenVBand="0" w:oddHBand="1" w:evenHBand="0" w:firstRowFirstColumn="0" w:firstRowLastColumn="0" w:lastRowFirstColumn="0" w:lastRowLastColumn="0"/>
              <w:rPr>
                <w:color w:val="auto"/>
                <w:sz w:val="18"/>
              </w:rPr>
            </w:pPr>
            <w:r w:rsidRPr="00C8762E">
              <w:rPr>
                <w:color w:val="auto"/>
                <w:sz w:val="18"/>
              </w:rPr>
              <w:t>35</w:t>
            </w:r>
          </w:p>
        </w:tc>
      </w:tr>
      <w:tr w:rsidR="00753078" w:rsidRPr="00C8762E" w:rsidTr="00D56562">
        <w:tc>
          <w:tcPr>
            <w:cnfStyle w:val="001000000000" w:firstRow="0" w:lastRow="0" w:firstColumn="1" w:lastColumn="0" w:oddVBand="0" w:evenVBand="0" w:oddHBand="0" w:evenHBand="0" w:firstRowFirstColumn="0" w:firstRowLastColumn="0" w:lastRowFirstColumn="0" w:lastRowLastColumn="0"/>
            <w:tcW w:w="1699" w:type="dxa"/>
            <w:shd w:val="clear" w:color="auto" w:fill="auto"/>
            <w:noWrap/>
            <w:hideMark/>
          </w:tcPr>
          <w:p w:rsidR="00753078" w:rsidRPr="00C8762E" w:rsidRDefault="00753078" w:rsidP="00753078">
            <w:pPr>
              <w:pStyle w:val="SingleTxtG"/>
              <w:spacing w:before="40" w:after="40" w:line="220" w:lineRule="exact"/>
              <w:ind w:left="0" w:right="0"/>
              <w:jc w:val="left"/>
              <w:rPr>
                <w:b w:val="0"/>
                <w:color w:val="auto"/>
                <w:sz w:val="18"/>
              </w:rPr>
            </w:pPr>
            <w:r w:rsidRPr="00C8762E">
              <w:rPr>
                <w:b w:val="0"/>
                <w:color w:val="auto"/>
                <w:sz w:val="18"/>
              </w:rPr>
              <w:t>2012</w:t>
            </w:r>
          </w:p>
        </w:tc>
        <w:tc>
          <w:tcPr>
            <w:tcW w:w="1762" w:type="dxa"/>
            <w:shd w:val="clear" w:color="auto" w:fill="auto"/>
            <w:noWrap/>
            <w:vAlign w:val="bottom"/>
            <w:hideMark/>
          </w:tcPr>
          <w:p w:rsidR="00753078" w:rsidRPr="00C8762E" w:rsidRDefault="00753078" w:rsidP="00753078">
            <w:pPr>
              <w:pStyle w:val="SingleTxtG"/>
              <w:spacing w:before="40" w:after="40" w:line="220" w:lineRule="exact"/>
              <w:ind w:left="0" w:right="0"/>
              <w:jc w:val="right"/>
              <w:cnfStyle w:val="000000000000" w:firstRow="0" w:lastRow="0" w:firstColumn="0" w:lastColumn="0" w:oddVBand="0" w:evenVBand="0" w:oddHBand="0" w:evenHBand="0" w:firstRowFirstColumn="0" w:firstRowLastColumn="0" w:lastRowFirstColumn="0" w:lastRowLastColumn="0"/>
              <w:rPr>
                <w:color w:val="auto"/>
                <w:sz w:val="18"/>
              </w:rPr>
            </w:pPr>
            <w:r w:rsidRPr="00C8762E">
              <w:rPr>
                <w:color w:val="auto"/>
                <w:sz w:val="18"/>
              </w:rPr>
              <w:t>2</w:t>
            </w:r>
          </w:p>
        </w:tc>
        <w:tc>
          <w:tcPr>
            <w:tcW w:w="2060" w:type="dxa"/>
            <w:shd w:val="clear" w:color="auto" w:fill="auto"/>
            <w:noWrap/>
            <w:vAlign w:val="bottom"/>
            <w:hideMark/>
          </w:tcPr>
          <w:p w:rsidR="00753078" w:rsidRPr="00C8762E" w:rsidRDefault="00753078" w:rsidP="00753078">
            <w:pPr>
              <w:pStyle w:val="SingleTxtG"/>
              <w:spacing w:before="40" w:after="40" w:line="220" w:lineRule="exact"/>
              <w:ind w:left="0" w:right="0"/>
              <w:jc w:val="right"/>
              <w:cnfStyle w:val="000000000000" w:firstRow="0" w:lastRow="0" w:firstColumn="0" w:lastColumn="0" w:oddVBand="0" w:evenVBand="0" w:oddHBand="0" w:evenHBand="0" w:firstRowFirstColumn="0" w:firstRowLastColumn="0" w:lastRowFirstColumn="0" w:lastRowLastColumn="0"/>
              <w:rPr>
                <w:color w:val="auto"/>
                <w:sz w:val="18"/>
              </w:rPr>
            </w:pPr>
            <w:r w:rsidRPr="00C8762E">
              <w:rPr>
                <w:color w:val="auto"/>
                <w:sz w:val="18"/>
              </w:rPr>
              <w:t>7</w:t>
            </w:r>
          </w:p>
        </w:tc>
        <w:tc>
          <w:tcPr>
            <w:tcW w:w="1849" w:type="dxa"/>
            <w:shd w:val="clear" w:color="auto" w:fill="auto"/>
            <w:noWrap/>
            <w:vAlign w:val="bottom"/>
            <w:hideMark/>
          </w:tcPr>
          <w:p w:rsidR="00753078" w:rsidRPr="00C8762E" w:rsidRDefault="00753078" w:rsidP="00753078">
            <w:pPr>
              <w:pStyle w:val="SingleTxtG"/>
              <w:spacing w:before="40" w:after="40" w:line="220" w:lineRule="exact"/>
              <w:ind w:left="0" w:right="0"/>
              <w:jc w:val="right"/>
              <w:cnfStyle w:val="000000000000" w:firstRow="0" w:lastRow="0" w:firstColumn="0" w:lastColumn="0" w:oddVBand="0" w:evenVBand="0" w:oddHBand="0" w:evenHBand="0" w:firstRowFirstColumn="0" w:firstRowLastColumn="0" w:lastRowFirstColumn="0" w:lastRowLastColumn="0"/>
              <w:rPr>
                <w:color w:val="auto"/>
                <w:sz w:val="18"/>
              </w:rPr>
            </w:pPr>
            <w:r w:rsidRPr="00C8762E">
              <w:rPr>
                <w:color w:val="auto"/>
                <w:sz w:val="18"/>
              </w:rPr>
              <w:t>3</w:t>
            </w:r>
          </w:p>
        </w:tc>
      </w:tr>
      <w:tr w:rsidR="00753078" w:rsidRPr="00C8762E" w:rsidTr="00D565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9" w:type="dxa"/>
            <w:shd w:val="clear" w:color="auto" w:fill="auto"/>
            <w:noWrap/>
            <w:hideMark/>
          </w:tcPr>
          <w:p w:rsidR="00753078" w:rsidRPr="00C8762E" w:rsidRDefault="00753078" w:rsidP="00753078">
            <w:pPr>
              <w:pStyle w:val="SingleTxtG"/>
              <w:spacing w:before="40" w:after="40" w:line="220" w:lineRule="exact"/>
              <w:ind w:left="0" w:right="0"/>
              <w:jc w:val="left"/>
              <w:rPr>
                <w:b w:val="0"/>
                <w:color w:val="auto"/>
                <w:sz w:val="18"/>
              </w:rPr>
            </w:pPr>
            <w:r w:rsidRPr="00C8762E">
              <w:rPr>
                <w:b w:val="0"/>
                <w:color w:val="auto"/>
                <w:sz w:val="18"/>
              </w:rPr>
              <w:t>2013</w:t>
            </w:r>
          </w:p>
        </w:tc>
        <w:tc>
          <w:tcPr>
            <w:tcW w:w="1762" w:type="dxa"/>
            <w:shd w:val="clear" w:color="auto" w:fill="auto"/>
            <w:noWrap/>
            <w:vAlign w:val="bottom"/>
            <w:hideMark/>
          </w:tcPr>
          <w:p w:rsidR="00753078" w:rsidRPr="00C8762E" w:rsidRDefault="00753078" w:rsidP="00753078">
            <w:pPr>
              <w:pStyle w:val="SingleTxtG"/>
              <w:spacing w:before="40" w:after="40" w:line="220" w:lineRule="exact"/>
              <w:ind w:left="0" w:right="0"/>
              <w:jc w:val="right"/>
              <w:cnfStyle w:val="000000100000" w:firstRow="0" w:lastRow="0" w:firstColumn="0" w:lastColumn="0" w:oddVBand="0" w:evenVBand="0" w:oddHBand="1" w:evenHBand="0" w:firstRowFirstColumn="0" w:firstRowLastColumn="0" w:lastRowFirstColumn="0" w:lastRowLastColumn="0"/>
              <w:rPr>
                <w:color w:val="auto"/>
                <w:sz w:val="18"/>
              </w:rPr>
            </w:pPr>
            <w:r w:rsidRPr="00C8762E">
              <w:rPr>
                <w:color w:val="auto"/>
                <w:sz w:val="18"/>
              </w:rPr>
              <w:t>24</w:t>
            </w:r>
          </w:p>
        </w:tc>
        <w:tc>
          <w:tcPr>
            <w:tcW w:w="2060" w:type="dxa"/>
            <w:shd w:val="clear" w:color="auto" w:fill="auto"/>
            <w:noWrap/>
            <w:vAlign w:val="bottom"/>
            <w:hideMark/>
          </w:tcPr>
          <w:p w:rsidR="00753078" w:rsidRPr="00C8762E" w:rsidRDefault="00753078" w:rsidP="00753078">
            <w:pPr>
              <w:pStyle w:val="SingleTxtG"/>
              <w:spacing w:before="40" w:after="40" w:line="220" w:lineRule="exact"/>
              <w:ind w:left="0" w:right="0"/>
              <w:jc w:val="right"/>
              <w:cnfStyle w:val="000000100000" w:firstRow="0" w:lastRow="0" w:firstColumn="0" w:lastColumn="0" w:oddVBand="0" w:evenVBand="0" w:oddHBand="1" w:evenHBand="0" w:firstRowFirstColumn="0" w:firstRowLastColumn="0" w:lastRowFirstColumn="0" w:lastRowLastColumn="0"/>
              <w:rPr>
                <w:color w:val="auto"/>
                <w:sz w:val="18"/>
              </w:rPr>
            </w:pPr>
            <w:r w:rsidRPr="00C8762E">
              <w:rPr>
                <w:color w:val="auto"/>
                <w:sz w:val="18"/>
              </w:rPr>
              <w:t>9</w:t>
            </w:r>
          </w:p>
        </w:tc>
        <w:tc>
          <w:tcPr>
            <w:tcW w:w="1849" w:type="dxa"/>
            <w:shd w:val="clear" w:color="auto" w:fill="auto"/>
            <w:noWrap/>
            <w:vAlign w:val="bottom"/>
            <w:hideMark/>
          </w:tcPr>
          <w:p w:rsidR="00753078" w:rsidRPr="00C8762E" w:rsidRDefault="00753078" w:rsidP="00753078">
            <w:pPr>
              <w:pStyle w:val="SingleTxtG"/>
              <w:spacing w:before="40" w:after="40" w:line="220" w:lineRule="exact"/>
              <w:ind w:left="0" w:right="0"/>
              <w:jc w:val="right"/>
              <w:cnfStyle w:val="000000100000" w:firstRow="0" w:lastRow="0" w:firstColumn="0" w:lastColumn="0" w:oddVBand="0" w:evenVBand="0" w:oddHBand="1" w:evenHBand="0" w:firstRowFirstColumn="0" w:firstRowLastColumn="0" w:lastRowFirstColumn="0" w:lastRowLastColumn="0"/>
              <w:rPr>
                <w:color w:val="auto"/>
                <w:sz w:val="18"/>
              </w:rPr>
            </w:pPr>
            <w:r w:rsidRPr="00C8762E">
              <w:rPr>
                <w:color w:val="auto"/>
                <w:sz w:val="18"/>
              </w:rPr>
              <w:t>33</w:t>
            </w:r>
          </w:p>
        </w:tc>
      </w:tr>
      <w:tr w:rsidR="00753078" w:rsidRPr="00C8762E" w:rsidTr="00D56562">
        <w:tc>
          <w:tcPr>
            <w:cnfStyle w:val="001000000000" w:firstRow="0" w:lastRow="0" w:firstColumn="1" w:lastColumn="0" w:oddVBand="0" w:evenVBand="0" w:oddHBand="0" w:evenHBand="0" w:firstRowFirstColumn="0" w:firstRowLastColumn="0" w:lastRowFirstColumn="0" w:lastRowLastColumn="0"/>
            <w:tcW w:w="1699" w:type="dxa"/>
            <w:shd w:val="clear" w:color="auto" w:fill="auto"/>
            <w:noWrap/>
            <w:hideMark/>
          </w:tcPr>
          <w:p w:rsidR="00753078" w:rsidRPr="00C8762E" w:rsidRDefault="00753078" w:rsidP="00753078">
            <w:pPr>
              <w:pStyle w:val="SingleTxtG"/>
              <w:spacing w:before="40" w:after="40" w:line="220" w:lineRule="exact"/>
              <w:ind w:left="0" w:right="0"/>
              <w:jc w:val="left"/>
              <w:rPr>
                <w:b w:val="0"/>
                <w:color w:val="auto"/>
                <w:sz w:val="18"/>
              </w:rPr>
            </w:pPr>
            <w:r w:rsidRPr="00C8762E">
              <w:rPr>
                <w:b w:val="0"/>
                <w:color w:val="auto"/>
                <w:sz w:val="18"/>
              </w:rPr>
              <w:t>2014</w:t>
            </w:r>
          </w:p>
        </w:tc>
        <w:tc>
          <w:tcPr>
            <w:tcW w:w="1762" w:type="dxa"/>
            <w:shd w:val="clear" w:color="auto" w:fill="auto"/>
            <w:noWrap/>
            <w:vAlign w:val="bottom"/>
            <w:hideMark/>
          </w:tcPr>
          <w:p w:rsidR="00753078" w:rsidRPr="00C8762E" w:rsidRDefault="00753078" w:rsidP="00753078">
            <w:pPr>
              <w:pStyle w:val="SingleTxtG"/>
              <w:spacing w:before="40" w:after="40" w:line="220" w:lineRule="exact"/>
              <w:ind w:left="0" w:right="0"/>
              <w:jc w:val="right"/>
              <w:cnfStyle w:val="000000000000" w:firstRow="0" w:lastRow="0" w:firstColumn="0" w:lastColumn="0" w:oddVBand="0" w:evenVBand="0" w:oddHBand="0" w:evenHBand="0" w:firstRowFirstColumn="0" w:firstRowLastColumn="0" w:lastRowFirstColumn="0" w:lastRowLastColumn="0"/>
              <w:rPr>
                <w:color w:val="auto"/>
                <w:sz w:val="18"/>
              </w:rPr>
            </w:pPr>
            <w:r w:rsidRPr="00C8762E">
              <w:rPr>
                <w:color w:val="auto"/>
                <w:sz w:val="18"/>
              </w:rPr>
              <w:t>17</w:t>
            </w:r>
          </w:p>
        </w:tc>
        <w:tc>
          <w:tcPr>
            <w:tcW w:w="2060" w:type="dxa"/>
            <w:shd w:val="clear" w:color="auto" w:fill="auto"/>
            <w:noWrap/>
            <w:vAlign w:val="bottom"/>
            <w:hideMark/>
          </w:tcPr>
          <w:p w:rsidR="00753078" w:rsidRPr="00C8762E" w:rsidRDefault="00753078" w:rsidP="00753078">
            <w:pPr>
              <w:pStyle w:val="SingleTxtG"/>
              <w:spacing w:before="40" w:after="40" w:line="220" w:lineRule="exact"/>
              <w:ind w:left="0" w:right="0"/>
              <w:jc w:val="right"/>
              <w:cnfStyle w:val="000000000000" w:firstRow="0" w:lastRow="0" w:firstColumn="0" w:lastColumn="0" w:oddVBand="0" w:evenVBand="0" w:oddHBand="0" w:evenHBand="0" w:firstRowFirstColumn="0" w:firstRowLastColumn="0" w:lastRowFirstColumn="0" w:lastRowLastColumn="0"/>
              <w:rPr>
                <w:color w:val="auto"/>
                <w:sz w:val="18"/>
              </w:rPr>
            </w:pPr>
            <w:r w:rsidRPr="00C8762E">
              <w:rPr>
                <w:color w:val="auto"/>
                <w:sz w:val="18"/>
              </w:rPr>
              <w:t>2</w:t>
            </w:r>
          </w:p>
        </w:tc>
        <w:tc>
          <w:tcPr>
            <w:tcW w:w="1849" w:type="dxa"/>
            <w:shd w:val="clear" w:color="auto" w:fill="auto"/>
            <w:noWrap/>
            <w:vAlign w:val="bottom"/>
            <w:hideMark/>
          </w:tcPr>
          <w:p w:rsidR="00753078" w:rsidRPr="00C8762E" w:rsidRDefault="00753078" w:rsidP="00753078">
            <w:pPr>
              <w:pStyle w:val="SingleTxtG"/>
              <w:spacing w:before="40" w:after="40" w:line="220" w:lineRule="exact"/>
              <w:ind w:left="0" w:right="0"/>
              <w:jc w:val="right"/>
              <w:cnfStyle w:val="000000000000" w:firstRow="0" w:lastRow="0" w:firstColumn="0" w:lastColumn="0" w:oddVBand="0" w:evenVBand="0" w:oddHBand="0" w:evenHBand="0" w:firstRowFirstColumn="0" w:firstRowLastColumn="0" w:lastRowFirstColumn="0" w:lastRowLastColumn="0"/>
              <w:rPr>
                <w:color w:val="auto"/>
                <w:sz w:val="18"/>
              </w:rPr>
            </w:pPr>
            <w:r w:rsidRPr="00C8762E">
              <w:rPr>
                <w:color w:val="auto"/>
                <w:sz w:val="18"/>
              </w:rPr>
              <w:t>1</w:t>
            </w:r>
          </w:p>
        </w:tc>
      </w:tr>
      <w:tr w:rsidR="00753078" w:rsidRPr="00C8762E" w:rsidTr="00D565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9" w:type="dxa"/>
            <w:shd w:val="clear" w:color="auto" w:fill="auto"/>
            <w:noWrap/>
            <w:hideMark/>
          </w:tcPr>
          <w:p w:rsidR="00753078" w:rsidRPr="00C8762E" w:rsidRDefault="00753078" w:rsidP="00753078">
            <w:pPr>
              <w:pStyle w:val="SingleTxtG"/>
              <w:spacing w:before="40" w:after="40" w:line="220" w:lineRule="exact"/>
              <w:ind w:left="0" w:right="0"/>
              <w:jc w:val="left"/>
              <w:rPr>
                <w:b w:val="0"/>
                <w:color w:val="auto"/>
                <w:sz w:val="18"/>
              </w:rPr>
            </w:pPr>
            <w:r w:rsidRPr="00C8762E">
              <w:rPr>
                <w:b w:val="0"/>
                <w:color w:val="auto"/>
                <w:sz w:val="18"/>
              </w:rPr>
              <w:t>2015</w:t>
            </w:r>
          </w:p>
        </w:tc>
        <w:tc>
          <w:tcPr>
            <w:tcW w:w="1762" w:type="dxa"/>
            <w:shd w:val="clear" w:color="auto" w:fill="auto"/>
            <w:noWrap/>
            <w:vAlign w:val="bottom"/>
            <w:hideMark/>
          </w:tcPr>
          <w:p w:rsidR="00753078" w:rsidRPr="00C8762E" w:rsidRDefault="00753078" w:rsidP="00753078">
            <w:pPr>
              <w:pStyle w:val="SingleTxtG"/>
              <w:spacing w:before="40" w:after="40" w:line="220" w:lineRule="exact"/>
              <w:ind w:left="0" w:right="0"/>
              <w:jc w:val="right"/>
              <w:cnfStyle w:val="000000100000" w:firstRow="0" w:lastRow="0" w:firstColumn="0" w:lastColumn="0" w:oddVBand="0" w:evenVBand="0" w:oddHBand="1" w:evenHBand="0" w:firstRowFirstColumn="0" w:firstRowLastColumn="0" w:lastRowFirstColumn="0" w:lastRowLastColumn="0"/>
              <w:rPr>
                <w:color w:val="auto"/>
                <w:sz w:val="18"/>
              </w:rPr>
            </w:pPr>
            <w:r w:rsidRPr="00C8762E">
              <w:rPr>
                <w:color w:val="auto"/>
                <w:sz w:val="18"/>
              </w:rPr>
              <w:t>19</w:t>
            </w:r>
          </w:p>
        </w:tc>
        <w:tc>
          <w:tcPr>
            <w:tcW w:w="2060" w:type="dxa"/>
            <w:shd w:val="clear" w:color="auto" w:fill="auto"/>
            <w:noWrap/>
            <w:vAlign w:val="bottom"/>
            <w:hideMark/>
          </w:tcPr>
          <w:p w:rsidR="00753078" w:rsidRPr="00C8762E" w:rsidRDefault="00753078" w:rsidP="00753078">
            <w:pPr>
              <w:pStyle w:val="SingleTxtG"/>
              <w:spacing w:before="40" w:after="40" w:line="220" w:lineRule="exact"/>
              <w:ind w:left="0" w:right="0"/>
              <w:jc w:val="right"/>
              <w:cnfStyle w:val="000000100000" w:firstRow="0" w:lastRow="0" w:firstColumn="0" w:lastColumn="0" w:oddVBand="0" w:evenVBand="0" w:oddHBand="1" w:evenHBand="0" w:firstRowFirstColumn="0" w:firstRowLastColumn="0" w:lastRowFirstColumn="0" w:lastRowLastColumn="0"/>
              <w:rPr>
                <w:color w:val="auto"/>
                <w:sz w:val="18"/>
              </w:rPr>
            </w:pPr>
            <w:r w:rsidRPr="00C8762E">
              <w:rPr>
                <w:color w:val="auto"/>
                <w:sz w:val="18"/>
              </w:rPr>
              <w:t>4</w:t>
            </w:r>
          </w:p>
        </w:tc>
        <w:tc>
          <w:tcPr>
            <w:tcW w:w="1849" w:type="dxa"/>
            <w:shd w:val="clear" w:color="auto" w:fill="auto"/>
            <w:noWrap/>
            <w:vAlign w:val="bottom"/>
            <w:hideMark/>
          </w:tcPr>
          <w:p w:rsidR="00753078" w:rsidRPr="00C8762E" w:rsidRDefault="00753078" w:rsidP="00753078">
            <w:pPr>
              <w:pStyle w:val="SingleTxtG"/>
              <w:spacing w:before="40" w:after="40" w:line="220" w:lineRule="exact"/>
              <w:ind w:left="0" w:right="0"/>
              <w:jc w:val="right"/>
              <w:cnfStyle w:val="000000100000" w:firstRow="0" w:lastRow="0" w:firstColumn="0" w:lastColumn="0" w:oddVBand="0" w:evenVBand="0" w:oddHBand="1" w:evenHBand="0" w:firstRowFirstColumn="0" w:firstRowLastColumn="0" w:lastRowFirstColumn="0" w:lastRowLastColumn="0"/>
              <w:rPr>
                <w:color w:val="auto"/>
                <w:sz w:val="18"/>
              </w:rPr>
            </w:pPr>
            <w:r w:rsidRPr="00C8762E">
              <w:rPr>
                <w:color w:val="auto"/>
                <w:sz w:val="18"/>
              </w:rPr>
              <w:t>23</w:t>
            </w:r>
          </w:p>
        </w:tc>
      </w:tr>
      <w:tr w:rsidR="00753078" w:rsidRPr="00C8762E" w:rsidTr="00067975">
        <w:tc>
          <w:tcPr>
            <w:cnfStyle w:val="001000000000" w:firstRow="0" w:lastRow="0" w:firstColumn="1" w:lastColumn="0" w:oddVBand="0" w:evenVBand="0" w:oddHBand="0" w:evenHBand="0" w:firstRowFirstColumn="0" w:firstRowLastColumn="0" w:lastRowFirstColumn="0" w:lastRowLastColumn="0"/>
            <w:tcW w:w="1699" w:type="dxa"/>
            <w:tcBorders>
              <w:bottom w:val="single" w:sz="4" w:space="0" w:color="auto"/>
            </w:tcBorders>
            <w:shd w:val="clear" w:color="auto" w:fill="auto"/>
            <w:noWrap/>
            <w:hideMark/>
          </w:tcPr>
          <w:p w:rsidR="00753078" w:rsidRPr="00C8762E" w:rsidRDefault="00753078" w:rsidP="00753078">
            <w:pPr>
              <w:pStyle w:val="SingleTxtG"/>
              <w:spacing w:before="40" w:after="40" w:line="220" w:lineRule="exact"/>
              <w:ind w:left="0" w:right="0"/>
              <w:jc w:val="left"/>
              <w:rPr>
                <w:b w:val="0"/>
                <w:color w:val="auto"/>
                <w:sz w:val="18"/>
              </w:rPr>
            </w:pPr>
            <w:r w:rsidRPr="00C8762E">
              <w:rPr>
                <w:b w:val="0"/>
                <w:color w:val="auto"/>
                <w:sz w:val="18"/>
              </w:rPr>
              <w:t>2016</w:t>
            </w:r>
          </w:p>
        </w:tc>
        <w:tc>
          <w:tcPr>
            <w:tcW w:w="1762" w:type="dxa"/>
            <w:tcBorders>
              <w:bottom w:val="single" w:sz="4" w:space="0" w:color="auto"/>
            </w:tcBorders>
            <w:shd w:val="clear" w:color="auto" w:fill="auto"/>
            <w:noWrap/>
            <w:vAlign w:val="bottom"/>
            <w:hideMark/>
          </w:tcPr>
          <w:p w:rsidR="00753078" w:rsidRPr="00C8762E" w:rsidRDefault="00753078" w:rsidP="00753078">
            <w:pPr>
              <w:pStyle w:val="SingleTxtG"/>
              <w:spacing w:before="40" w:after="40" w:line="220" w:lineRule="exact"/>
              <w:ind w:left="0" w:right="0"/>
              <w:jc w:val="right"/>
              <w:cnfStyle w:val="000000000000" w:firstRow="0" w:lastRow="0" w:firstColumn="0" w:lastColumn="0" w:oddVBand="0" w:evenVBand="0" w:oddHBand="0" w:evenHBand="0" w:firstRowFirstColumn="0" w:firstRowLastColumn="0" w:lastRowFirstColumn="0" w:lastRowLastColumn="0"/>
              <w:rPr>
                <w:color w:val="auto"/>
                <w:sz w:val="18"/>
              </w:rPr>
            </w:pPr>
            <w:r w:rsidRPr="00C8762E">
              <w:rPr>
                <w:color w:val="auto"/>
                <w:sz w:val="18"/>
              </w:rPr>
              <w:t>9</w:t>
            </w:r>
          </w:p>
        </w:tc>
        <w:tc>
          <w:tcPr>
            <w:tcW w:w="2060" w:type="dxa"/>
            <w:tcBorders>
              <w:bottom w:val="single" w:sz="4" w:space="0" w:color="auto"/>
            </w:tcBorders>
            <w:shd w:val="clear" w:color="auto" w:fill="auto"/>
            <w:noWrap/>
            <w:vAlign w:val="bottom"/>
            <w:hideMark/>
          </w:tcPr>
          <w:p w:rsidR="00753078" w:rsidRPr="00C8762E" w:rsidRDefault="00753078" w:rsidP="00753078">
            <w:pPr>
              <w:pStyle w:val="SingleTxtG"/>
              <w:spacing w:before="40" w:after="40" w:line="220" w:lineRule="exact"/>
              <w:ind w:left="0" w:right="0"/>
              <w:jc w:val="right"/>
              <w:cnfStyle w:val="000000000000" w:firstRow="0" w:lastRow="0" w:firstColumn="0" w:lastColumn="0" w:oddVBand="0" w:evenVBand="0" w:oddHBand="0" w:evenHBand="0" w:firstRowFirstColumn="0" w:firstRowLastColumn="0" w:lastRowFirstColumn="0" w:lastRowLastColumn="0"/>
              <w:rPr>
                <w:color w:val="auto"/>
                <w:sz w:val="18"/>
              </w:rPr>
            </w:pPr>
            <w:r w:rsidRPr="00C8762E">
              <w:rPr>
                <w:color w:val="auto"/>
                <w:sz w:val="18"/>
              </w:rPr>
              <w:t>32</w:t>
            </w:r>
          </w:p>
        </w:tc>
        <w:tc>
          <w:tcPr>
            <w:tcW w:w="1849" w:type="dxa"/>
            <w:tcBorders>
              <w:bottom w:val="single" w:sz="4" w:space="0" w:color="auto"/>
            </w:tcBorders>
            <w:shd w:val="clear" w:color="auto" w:fill="auto"/>
            <w:noWrap/>
            <w:vAlign w:val="bottom"/>
            <w:hideMark/>
          </w:tcPr>
          <w:p w:rsidR="00753078" w:rsidRPr="00C8762E" w:rsidRDefault="00753078" w:rsidP="00753078">
            <w:pPr>
              <w:pStyle w:val="SingleTxtG"/>
              <w:spacing w:before="40" w:after="40" w:line="220" w:lineRule="exact"/>
              <w:ind w:left="0" w:right="0"/>
              <w:jc w:val="right"/>
              <w:cnfStyle w:val="000000000000" w:firstRow="0" w:lastRow="0" w:firstColumn="0" w:lastColumn="0" w:oddVBand="0" w:evenVBand="0" w:oddHBand="0" w:evenHBand="0" w:firstRowFirstColumn="0" w:firstRowLastColumn="0" w:lastRowFirstColumn="0" w:lastRowLastColumn="0"/>
              <w:rPr>
                <w:color w:val="auto"/>
                <w:sz w:val="18"/>
              </w:rPr>
            </w:pPr>
            <w:r w:rsidRPr="00C8762E">
              <w:rPr>
                <w:color w:val="auto"/>
                <w:sz w:val="18"/>
              </w:rPr>
              <w:t>12</w:t>
            </w:r>
          </w:p>
        </w:tc>
      </w:tr>
      <w:tr w:rsidR="00753078" w:rsidRPr="00C8762E" w:rsidTr="000679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9" w:type="dxa"/>
            <w:tcBorders>
              <w:top w:val="single" w:sz="4" w:space="0" w:color="auto"/>
              <w:bottom w:val="single" w:sz="12" w:space="0" w:color="auto"/>
            </w:tcBorders>
            <w:shd w:val="clear" w:color="auto" w:fill="auto"/>
            <w:noWrap/>
            <w:hideMark/>
          </w:tcPr>
          <w:p w:rsidR="00753078" w:rsidRPr="00C8762E" w:rsidRDefault="00753078" w:rsidP="00067975">
            <w:pPr>
              <w:pStyle w:val="SingleTxtG"/>
              <w:spacing w:before="80" w:after="80" w:line="220" w:lineRule="exact"/>
              <w:ind w:left="283" w:right="0"/>
              <w:jc w:val="left"/>
              <w:rPr>
                <w:color w:val="auto"/>
                <w:sz w:val="18"/>
              </w:rPr>
            </w:pPr>
            <w:r w:rsidRPr="00C8762E">
              <w:rPr>
                <w:color w:val="auto"/>
                <w:sz w:val="18"/>
              </w:rPr>
              <w:t>Total general</w:t>
            </w:r>
          </w:p>
        </w:tc>
        <w:tc>
          <w:tcPr>
            <w:tcW w:w="1762" w:type="dxa"/>
            <w:tcBorders>
              <w:top w:val="single" w:sz="4" w:space="0" w:color="auto"/>
              <w:bottom w:val="single" w:sz="12" w:space="0" w:color="auto"/>
            </w:tcBorders>
            <w:shd w:val="clear" w:color="auto" w:fill="auto"/>
            <w:noWrap/>
            <w:vAlign w:val="bottom"/>
            <w:hideMark/>
          </w:tcPr>
          <w:p w:rsidR="00753078" w:rsidRPr="00C8762E" w:rsidRDefault="00753078" w:rsidP="00067975">
            <w:pPr>
              <w:pStyle w:val="SingleTxtG"/>
              <w:spacing w:before="80" w:after="80" w:line="220" w:lineRule="exact"/>
              <w:ind w:left="0" w:right="0"/>
              <w:jc w:val="right"/>
              <w:cnfStyle w:val="000000100000" w:firstRow="0" w:lastRow="0" w:firstColumn="0" w:lastColumn="0" w:oddVBand="0" w:evenVBand="0" w:oddHBand="1" w:evenHBand="0" w:firstRowFirstColumn="0" w:firstRowLastColumn="0" w:lastRowFirstColumn="0" w:lastRowLastColumn="0"/>
              <w:rPr>
                <w:b/>
                <w:color w:val="auto"/>
                <w:sz w:val="18"/>
              </w:rPr>
            </w:pPr>
            <w:r w:rsidRPr="00C8762E">
              <w:rPr>
                <w:b/>
                <w:color w:val="auto"/>
                <w:sz w:val="18"/>
              </w:rPr>
              <w:t>121</w:t>
            </w:r>
          </w:p>
        </w:tc>
        <w:tc>
          <w:tcPr>
            <w:tcW w:w="2060" w:type="dxa"/>
            <w:tcBorders>
              <w:top w:val="single" w:sz="4" w:space="0" w:color="auto"/>
              <w:bottom w:val="single" w:sz="12" w:space="0" w:color="auto"/>
            </w:tcBorders>
            <w:shd w:val="clear" w:color="auto" w:fill="auto"/>
            <w:noWrap/>
            <w:vAlign w:val="bottom"/>
            <w:hideMark/>
          </w:tcPr>
          <w:p w:rsidR="00753078" w:rsidRPr="00C8762E" w:rsidRDefault="00753078" w:rsidP="00067975">
            <w:pPr>
              <w:pStyle w:val="SingleTxtG"/>
              <w:spacing w:before="80" w:after="80" w:line="220" w:lineRule="exact"/>
              <w:ind w:left="0" w:right="0"/>
              <w:jc w:val="right"/>
              <w:cnfStyle w:val="000000100000" w:firstRow="0" w:lastRow="0" w:firstColumn="0" w:lastColumn="0" w:oddVBand="0" w:evenVBand="0" w:oddHBand="1" w:evenHBand="0" w:firstRowFirstColumn="0" w:firstRowLastColumn="0" w:lastRowFirstColumn="0" w:lastRowLastColumn="0"/>
              <w:rPr>
                <w:b/>
                <w:color w:val="auto"/>
                <w:sz w:val="18"/>
              </w:rPr>
            </w:pPr>
            <w:r w:rsidRPr="00C8762E">
              <w:rPr>
                <w:b/>
                <w:color w:val="auto"/>
                <w:sz w:val="18"/>
              </w:rPr>
              <w:t>32</w:t>
            </w:r>
          </w:p>
        </w:tc>
        <w:tc>
          <w:tcPr>
            <w:tcW w:w="1849" w:type="dxa"/>
            <w:tcBorders>
              <w:top w:val="single" w:sz="4" w:space="0" w:color="auto"/>
              <w:bottom w:val="single" w:sz="12" w:space="0" w:color="auto"/>
            </w:tcBorders>
            <w:shd w:val="clear" w:color="auto" w:fill="auto"/>
            <w:noWrap/>
            <w:vAlign w:val="bottom"/>
            <w:hideMark/>
          </w:tcPr>
          <w:p w:rsidR="00753078" w:rsidRPr="00C8762E" w:rsidRDefault="00753078" w:rsidP="00067975">
            <w:pPr>
              <w:pStyle w:val="SingleTxtG"/>
              <w:spacing w:before="80" w:after="80" w:line="220" w:lineRule="exact"/>
              <w:ind w:left="0" w:right="0"/>
              <w:jc w:val="right"/>
              <w:cnfStyle w:val="000000100000" w:firstRow="0" w:lastRow="0" w:firstColumn="0" w:lastColumn="0" w:oddVBand="0" w:evenVBand="0" w:oddHBand="1" w:evenHBand="0" w:firstRowFirstColumn="0" w:firstRowLastColumn="0" w:lastRowFirstColumn="0" w:lastRowLastColumn="0"/>
              <w:rPr>
                <w:b/>
                <w:color w:val="auto"/>
                <w:sz w:val="18"/>
              </w:rPr>
            </w:pPr>
            <w:r w:rsidRPr="00C8762E">
              <w:rPr>
                <w:b/>
                <w:color w:val="auto"/>
                <w:sz w:val="18"/>
              </w:rPr>
              <w:t>153</w:t>
            </w:r>
          </w:p>
        </w:tc>
      </w:tr>
    </w:tbl>
    <w:p w:rsidR="00753078" w:rsidRPr="00C8762E" w:rsidRDefault="002708A2" w:rsidP="00067975">
      <w:pPr>
        <w:pStyle w:val="Textonotapie"/>
        <w:spacing w:before="120"/>
        <w:ind w:firstLine="0"/>
      </w:pPr>
      <w:r w:rsidRPr="00C8762E">
        <w:t xml:space="preserve">   </w:t>
      </w:r>
      <w:r w:rsidR="00992FBC" w:rsidRPr="00C8762E">
        <w:rPr>
          <w:i/>
        </w:rPr>
        <w:t>Fuente:</w:t>
      </w:r>
      <w:r w:rsidR="00992FBC" w:rsidRPr="00C8762E">
        <w:t xml:space="preserve"> </w:t>
      </w:r>
      <w:r w:rsidR="00753078" w:rsidRPr="00C8762E">
        <w:t>Dirección Nacional de Secciona/es y Seguridad Ciudadana Dirección Nacional</w:t>
      </w:r>
      <w:r w:rsidRPr="00C8762E">
        <w:t>.</w:t>
      </w:r>
    </w:p>
    <w:p w:rsidR="00753078" w:rsidRPr="00C8762E" w:rsidRDefault="00992FBC" w:rsidP="00992FBC">
      <w:pPr>
        <w:pStyle w:val="H23G"/>
      </w:pPr>
      <w:r w:rsidRPr="00C8762E">
        <w:tab/>
      </w:r>
      <w:r w:rsidRPr="00C8762E">
        <w:tab/>
      </w:r>
      <w:r w:rsidR="00753078" w:rsidRPr="00C8762E">
        <w:t>Especializada de Derechos Humanos</w:t>
      </w:r>
    </w:p>
    <w:p w:rsidR="00753078" w:rsidRPr="00C8762E" w:rsidRDefault="002708A2" w:rsidP="00067975">
      <w:pPr>
        <w:pStyle w:val="SingleTxtG"/>
      </w:pPr>
      <w:r w:rsidRPr="00C8762E">
        <w:t>42.</w:t>
      </w:r>
      <w:r w:rsidRPr="00C8762E">
        <w:tab/>
      </w:r>
      <w:r w:rsidR="00753078" w:rsidRPr="00C8762E">
        <w:t>Es pertinente registrar avances significativos en 53 investigaciones, que, a 31 de marzo de 2017, incluyen casos con sentencia, en etapa de juicio, de investigación, preclusiones y casos en indagación con órdenes de captura vigentes, así:</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05"/>
        <w:gridCol w:w="1297"/>
        <w:gridCol w:w="2393"/>
        <w:gridCol w:w="1575"/>
      </w:tblGrid>
      <w:tr w:rsidR="002708A2" w:rsidRPr="00C8762E" w:rsidTr="00067975">
        <w:trPr>
          <w:trHeight w:val="240"/>
          <w:tblHeader/>
        </w:trPr>
        <w:tc>
          <w:tcPr>
            <w:tcW w:w="2105" w:type="dxa"/>
            <w:tcBorders>
              <w:top w:val="single" w:sz="4" w:space="0" w:color="auto"/>
              <w:bottom w:val="single" w:sz="12" w:space="0" w:color="auto"/>
            </w:tcBorders>
            <w:shd w:val="clear" w:color="auto" w:fill="auto"/>
            <w:vAlign w:val="bottom"/>
          </w:tcPr>
          <w:p w:rsidR="00753078" w:rsidRPr="00C8762E" w:rsidRDefault="002708A2" w:rsidP="002708A2">
            <w:pPr>
              <w:pStyle w:val="SingleTxtG"/>
              <w:spacing w:before="80" w:after="80" w:line="200" w:lineRule="exact"/>
              <w:ind w:left="0" w:right="0"/>
              <w:jc w:val="left"/>
              <w:rPr>
                <w:i/>
                <w:sz w:val="16"/>
              </w:rPr>
            </w:pPr>
            <w:r w:rsidRPr="00C8762E">
              <w:rPr>
                <w:i/>
                <w:sz w:val="16"/>
              </w:rPr>
              <w:t>Etapa de investigación</w:t>
            </w:r>
          </w:p>
        </w:tc>
        <w:tc>
          <w:tcPr>
            <w:tcW w:w="1297" w:type="dxa"/>
            <w:tcBorders>
              <w:top w:val="single" w:sz="4" w:space="0" w:color="auto"/>
              <w:bottom w:val="single" w:sz="12" w:space="0" w:color="auto"/>
            </w:tcBorders>
            <w:shd w:val="clear" w:color="auto" w:fill="auto"/>
            <w:vAlign w:val="bottom"/>
          </w:tcPr>
          <w:p w:rsidR="00753078" w:rsidRPr="00C8762E" w:rsidRDefault="00753078" w:rsidP="00067975">
            <w:pPr>
              <w:pStyle w:val="SingleTxtG"/>
              <w:spacing w:before="80" w:after="80" w:line="200" w:lineRule="exact"/>
              <w:ind w:left="113" w:right="0"/>
              <w:jc w:val="right"/>
              <w:rPr>
                <w:i/>
                <w:sz w:val="16"/>
              </w:rPr>
            </w:pPr>
            <w:r w:rsidRPr="00C8762E">
              <w:rPr>
                <w:i/>
                <w:sz w:val="16"/>
              </w:rPr>
              <w:t>N</w:t>
            </w:r>
            <w:r w:rsidR="002708A2" w:rsidRPr="00C8762E">
              <w:rPr>
                <w:i/>
                <w:sz w:val="16"/>
              </w:rPr>
              <w:t>úmero</w:t>
            </w:r>
            <w:r w:rsidRPr="00C8762E">
              <w:rPr>
                <w:i/>
                <w:sz w:val="16"/>
              </w:rPr>
              <w:t xml:space="preserve"> </w:t>
            </w:r>
            <w:r w:rsidR="002708A2" w:rsidRPr="00C8762E">
              <w:rPr>
                <w:i/>
                <w:sz w:val="16"/>
              </w:rPr>
              <w:t>de casos</w:t>
            </w:r>
          </w:p>
        </w:tc>
        <w:tc>
          <w:tcPr>
            <w:tcW w:w="2393" w:type="dxa"/>
            <w:tcBorders>
              <w:top w:val="single" w:sz="4" w:space="0" w:color="auto"/>
              <w:bottom w:val="single" w:sz="12" w:space="0" w:color="auto"/>
            </w:tcBorders>
            <w:shd w:val="clear" w:color="auto" w:fill="auto"/>
            <w:vAlign w:val="bottom"/>
          </w:tcPr>
          <w:p w:rsidR="00753078" w:rsidRPr="00C8762E" w:rsidRDefault="00753078" w:rsidP="00067975">
            <w:pPr>
              <w:pStyle w:val="SingleTxtG"/>
              <w:spacing w:before="80" w:after="80" w:line="200" w:lineRule="exact"/>
              <w:ind w:left="113" w:right="0"/>
              <w:jc w:val="right"/>
              <w:rPr>
                <w:i/>
                <w:sz w:val="16"/>
              </w:rPr>
            </w:pPr>
            <w:r w:rsidRPr="00C8762E">
              <w:rPr>
                <w:i/>
                <w:sz w:val="16"/>
              </w:rPr>
              <w:t>N</w:t>
            </w:r>
            <w:r w:rsidR="002708A2" w:rsidRPr="00C8762E">
              <w:rPr>
                <w:i/>
                <w:sz w:val="16"/>
              </w:rPr>
              <w:t>úmero de vinculados</w:t>
            </w:r>
          </w:p>
        </w:tc>
        <w:tc>
          <w:tcPr>
            <w:tcW w:w="1575" w:type="dxa"/>
            <w:tcBorders>
              <w:top w:val="single" w:sz="4" w:space="0" w:color="auto"/>
              <w:bottom w:val="single" w:sz="12" w:space="0" w:color="auto"/>
            </w:tcBorders>
            <w:shd w:val="clear" w:color="auto" w:fill="auto"/>
            <w:vAlign w:val="bottom"/>
          </w:tcPr>
          <w:p w:rsidR="00753078" w:rsidRPr="00C8762E" w:rsidRDefault="00753078" w:rsidP="00067975">
            <w:pPr>
              <w:pStyle w:val="SingleTxtG"/>
              <w:spacing w:before="80" w:after="80" w:line="200" w:lineRule="exact"/>
              <w:ind w:left="113" w:right="0"/>
              <w:jc w:val="right"/>
              <w:rPr>
                <w:i/>
                <w:sz w:val="16"/>
              </w:rPr>
            </w:pPr>
            <w:r w:rsidRPr="00C8762E">
              <w:rPr>
                <w:i/>
                <w:sz w:val="16"/>
              </w:rPr>
              <w:t>N</w:t>
            </w:r>
            <w:r w:rsidR="002708A2" w:rsidRPr="00C8762E">
              <w:rPr>
                <w:i/>
                <w:sz w:val="16"/>
              </w:rPr>
              <w:t>úmero</w:t>
            </w:r>
            <w:r w:rsidRPr="00C8762E">
              <w:rPr>
                <w:i/>
                <w:sz w:val="16"/>
              </w:rPr>
              <w:t xml:space="preserve"> </w:t>
            </w:r>
            <w:r w:rsidR="002708A2" w:rsidRPr="00C8762E">
              <w:rPr>
                <w:i/>
                <w:sz w:val="16"/>
              </w:rPr>
              <w:t xml:space="preserve">de privados </w:t>
            </w:r>
            <w:r w:rsidR="002708A2" w:rsidRPr="00C8762E">
              <w:rPr>
                <w:i/>
                <w:sz w:val="16"/>
              </w:rPr>
              <w:br/>
              <w:t>de la libertad</w:t>
            </w:r>
          </w:p>
        </w:tc>
      </w:tr>
      <w:tr w:rsidR="002708A2" w:rsidRPr="00C8762E" w:rsidTr="00067975">
        <w:trPr>
          <w:trHeight w:val="240"/>
        </w:trPr>
        <w:tc>
          <w:tcPr>
            <w:tcW w:w="2105" w:type="dxa"/>
            <w:tcBorders>
              <w:top w:val="single" w:sz="12" w:space="0" w:color="auto"/>
            </w:tcBorders>
            <w:shd w:val="clear" w:color="auto" w:fill="auto"/>
          </w:tcPr>
          <w:p w:rsidR="00753078" w:rsidRPr="00C8762E" w:rsidRDefault="00753078" w:rsidP="002708A2">
            <w:pPr>
              <w:pStyle w:val="SingleTxtG"/>
              <w:spacing w:before="40" w:after="40" w:line="220" w:lineRule="exact"/>
              <w:ind w:left="0" w:right="0"/>
              <w:jc w:val="left"/>
              <w:rPr>
                <w:sz w:val="18"/>
              </w:rPr>
            </w:pPr>
            <w:r w:rsidRPr="00C8762E">
              <w:rPr>
                <w:sz w:val="18"/>
              </w:rPr>
              <w:t>Ejecución de penas</w:t>
            </w:r>
          </w:p>
        </w:tc>
        <w:tc>
          <w:tcPr>
            <w:tcW w:w="1297" w:type="dxa"/>
            <w:tcBorders>
              <w:top w:val="single" w:sz="12" w:space="0" w:color="auto"/>
            </w:tcBorders>
            <w:shd w:val="clear" w:color="auto" w:fill="auto"/>
            <w:vAlign w:val="bottom"/>
          </w:tcPr>
          <w:p w:rsidR="00753078" w:rsidRPr="00C8762E" w:rsidRDefault="00753078" w:rsidP="00067975">
            <w:pPr>
              <w:pStyle w:val="SingleTxtG"/>
              <w:spacing w:before="40" w:after="40" w:line="220" w:lineRule="exact"/>
              <w:ind w:left="113" w:right="0"/>
              <w:jc w:val="right"/>
              <w:rPr>
                <w:sz w:val="18"/>
              </w:rPr>
            </w:pPr>
            <w:r w:rsidRPr="00C8762E">
              <w:rPr>
                <w:sz w:val="18"/>
              </w:rPr>
              <w:t>20</w:t>
            </w:r>
          </w:p>
        </w:tc>
        <w:tc>
          <w:tcPr>
            <w:tcW w:w="2393" w:type="dxa"/>
            <w:tcBorders>
              <w:top w:val="single" w:sz="12" w:space="0" w:color="auto"/>
            </w:tcBorders>
            <w:shd w:val="clear" w:color="auto" w:fill="auto"/>
            <w:vAlign w:val="bottom"/>
          </w:tcPr>
          <w:p w:rsidR="00753078" w:rsidRPr="00C8762E" w:rsidRDefault="00753078" w:rsidP="00067975">
            <w:pPr>
              <w:pStyle w:val="SingleTxtG"/>
              <w:spacing w:before="40" w:after="40" w:line="220" w:lineRule="exact"/>
              <w:ind w:left="113" w:right="0"/>
              <w:jc w:val="right"/>
              <w:rPr>
                <w:sz w:val="18"/>
              </w:rPr>
            </w:pPr>
            <w:r w:rsidRPr="00C8762E">
              <w:rPr>
                <w:sz w:val="18"/>
              </w:rPr>
              <w:t>34</w:t>
            </w:r>
          </w:p>
        </w:tc>
        <w:tc>
          <w:tcPr>
            <w:tcW w:w="1575" w:type="dxa"/>
            <w:tcBorders>
              <w:top w:val="single" w:sz="12" w:space="0" w:color="auto"/>
            </w:tcBorders>
            <w:shd w:val="clear" w:color="auto" w:fill="auto"/>
            <w:vAlign w:val="bottom"/>
          </w:tcPr>
          <w:p w:rsidR="00753078" w:rsidRPr="00C8762E" w:rsidRDefault="00753078" w:rsidP="00067975">
            <w:pPr>
              <w:pStyle w:val="SingleTxtG"/>
              <w:spacing w:before="40" w:after="40" w:line="220" w:lineRule="exact"/>
              <w:ind w:left="113" w:right="0"/>
              <w:jc w:val="right"/>
              <w:rPr>
                <w:sz w:val="18"/>
              </w:rPr>
            </w:pPr>
            <w:r w:rsidRPr="00C8762E">
              <w:rPr>
                <w:sz w:val="18"/>
              </w:rPr>
              <w:t>34</w:t>
            </w:r>
          </w:p>
        </w:tc>
      </w:tr>
      <w:tr w:rsidR="002708A2" w:rsidRPr="00C8762E" w:rsidTr="00067975">
        <w:trPr>
          <w:trHeight w:val="240"/>
        </w:trPr>
        <w:tc>
          <w:tcPr>
            <w:tcW w:w="2105" w:type="dxa"/>
            <w:shd w:val="clear" w:color="auto" w:fill="auto"/>
          </w:tcPr>
          <w:p w:rsidR="00753078" w:rsidRPr="00C8762E" w:rsidRDefault="00753078" w:rsidP="002708A2">
            <w:pPr>
              <w:pStyle w:val="SingleTxtG"/>
              <w:spacing w:before="40" w:after="40" w:line="220" w:lineRule="exact"/>
              <w:ind w:left="0" w:right="0"/>
              <w:jc w:val="left"/>
              <w:rPr>
                <w:sz w:val="18"/>
              </w:rPr>
            </w:pPr>
            <w:r w:rsidRPr="00C8762E">
              <w:rPr>
                <w:sz w:val="18"/>
              </w:rPr>
              <w:t>Juicio</w:t>
            </w:r>
          </w:p>
        </w:tc>
        <w:tc>
          <w:tcPr>
            <w:tcW w:w="1297" w:type="dxa"/>
            <w:shd w:val="clear" w:color="auto" w:fill="auto"/>
            <w:vAlign w:val="bottom"/>
          </w:tcPr>
          <w:p w:rsidR="00753078" w:rsidRPr="00C8762E" w:rsidRDefault="00753078" w:rsidP="00067975">
            <w:pPr>
              <w:pStyle w:val="SingleTxtG"/>
              <w:spacing w:before="40" w:after="40" w:line="220" w:lineRule="exact"/>
              <w:ind w:left="113" w:right="0"/>
              <w:jc w:val="right"/>
              <w:rPr>
                <w:sz w:val="18"/>
              </w:rPr>
            </w:pPr>
            <w:r w:rsidRPr="00C8762E">
              <w:rPr>
                <w:sz w:val="18"/>
              </w:rPr>
              <w:t>12</w:t>
            </w:r>
          </w:p>
        </w:tc>
        <w:tc>
          <w:tcPr>
            <w:tcW w:w="2393" w:type="dxa"/>
            <w:shd w:val="clear" w:color="auto" w:fill="auto"/>
            <w:vAlign w:val="bottom"/>
          </w:tcPr>
          <w:p w:rsidR="00753078" w:rsidRPr="00C8762E" w:rsidRDefault="00753078" w:rsidP="00067975">
            <w:pPr>
              <w:pStyle w:val="SingleTxtG"/>
              <w:spacing w:before="40" w:after="40" w:line="220" w:lineRule="exact"/>
              <w:ind w:left="113" w:right="0"/>
              <w:jc w:val="right"/>
              <w:rPr>
                <w:sz w:val="18"/>
              </w:rPr>
            </w:pPr>
            <w:r w:rsidRPr="00C8762E">
              <w:rPr>
                <w:sz w:val="18"/>
              </w:rPr>
              <w:t>24</w:t>
            </w:r>
          </w:p>
        </w:tc>
        <w:tc>
          <w:tcPr>
            <w:tcW w:w="1575" w:type="dxa"/>
            <w:shd w:val="clear" w:color="auto" w:fill="auto"/>
            <w:vAlign w:val="bottom"/>
          </w:tcPr>
          <w:p w:rsidR="00753078" w:rsidRPr="00C8762E" w:rsidRDefault="00753078" w:rsidP="00067975">
            <w:pPr>
              <w:pStyle w:val="SingleTxtG"/>
              <w:spacing w:before="40" w:after="40" w:line="220" w:lineRule="exact"/>
              <w:ind w:left="113" w:right="0"/>
              <w:jc w:val="right"/>
              <w:rPr>
                <w:sz w:val="18"/>
              </w:rPr>
            </w:pPr>
            <w:r w:rsidRPr="00C8762E">
              <w:rPr>
                <w:sz w:val="18"/>
              </w:rPr>
              <w:t>23</w:t>
            </w:r>
          </w:p>
        </w:tc>
      </w:tr>
      <w:tr w:rsidR="002708A2" w:rsidRPr="00C8762E" w:rsidTr="00067975">
        <w:trPr>
          <w:trHeight w:val="240"/>
        </w:trPr>
        <w:tc>
          <w:tcPr>
            <w:tcW w:w="2105" w:type="dxa"/>
            <w:shd w:val="clear" w:color="auto" w:fill="auto"/>
          </w:tcPr>
          <w:p w:rsidR="00753078" w:rsidRPr="00C8762E" w:rsidRDefault="00753078" w:rsidP="002708A2">
            <w:pPr>
              <w:pStyle w:val="SingleTxtG"/>
              <w:spacing w:before="40" w:after="40" w:line="220" w:lineRule="exact"/>
              <w:ind w:left="0" w:right="0"/>
              <w:jc w:val="left"/>
              <w:rPr>
                <w:sz w:val="18"/>
              </w:rPr>
            </w:pPr>
            <w:r w:rsidRPr="00C8762E">
              <w:rPr>
                <w:sz w:val="18"/>
              </w:rPr>
              <w:t>Fase de investigación</w:t>
            </w:r>
          </w:p>
        </w:tc>
        <w:tc>
          <w:tcPr>
            <w:tcW w:w="1297" w:type="dxa"/>
            <w:shd w:val="clear" w:color="auto" w:fill="auto"/>
            <w:vAlign w:val="bottom"/>
          </w:tcPr>
          <w:p w:rsidR="00753078" w:rsidRPr="00C8762E" w:rsidRDefault="00753078" w:rsidP="00067975">
            <w:pPr>
              <w:pStyle w:val="SingleTxtG"/>
              <w:spacing w:before="40" w:after="40" w:line="220" w:lineRule="exact"/>
              <w:ind w:left="113" w:right="0"/>
              <w:jc w:val="right"/>
              <w:rPr>
                <w:sz w:val="18"/>
              </w:rPr>
            </w:pPr>
            <w:r w:rsidRPr="00C8762E">
              <w:rPr>
                <w:sz w:val="18"/>
              </w:rPr>
              <w:t>13</w:t>
            </w:r>
          </w:p>
        </w:tc>
        <w:tc>
          <w:tcPr>
            <w:tcW w:w="2393" w:type="dxa"/>
            <w:shd w:val="clear" w:color="auto" w:fill="auto"/>
            <w:vAlign w:val="bottom"/>
          </w:tcPr>
          <w:p w:rsidR="00753078" w:rsidRPr="00C8762E" w:rsidRDefault="00753078" w:rsidP="00067975">
            <w:pPr>
              <w:pStyle w:val="SingleTxtG"/>
              <w:spacing w:before="40" w:after="40" w:line="220" w:lineRule="exact"/>
              <w:ind w:left="113" w:right="0"/>
              <w:jc w:val="right"/>
              <w:rPr>
                <w:sz w:val="18"/>
              </w:rPr>
            </w:pPr>
            <w:r w:rsidRPr="00C8762E">
              <w:rPr>
                <w:sz w:val="18"/>
              </w:rPr>
              <w:t>26</w:t>
            </w:r>
          </w:p>
        </w:tc>
        <w:tc>
          <w:tcPr>
            <w:tcW w:w="1575" w:type="dxa"/>
            <w:shd w:val="clear" w:color="auto" w:fill="auto"/>
            <w:vAlign w:val="bottom"/>
          </w:tcPr>
          <w:p w:rsidR="00753078" w:rsidRPr="00C8762E" w:rsidRDefault="00753078" w:rsidP="00067975">
            <w:pPr>
              <w:pStyle w:val="SingleTxtG"/>
              <w:spacing w:before="40" w:after="40" w:line="220" w:lineRule="exact"/>
              <w:ind w:left="113" w:right="0"/>
              <w:jc w:val="right"/>
              <w:rPr>
                <w:sz w:val="18"/>
              </w:rPr>
            </w:pPr>
            <w:r w:rsidRPr="00C8762E">
              <w:rPr>
                <w:sz w:val="18"/>
              </w:rPr>
              <w:t>25</w:t>
            </w:r>
          </w:p>
        </w:tc>
      </w:tr>
      <w:tr w:rsidR="002708A2" w:rsidRPr="00C8762E" w:rsidTr="00067975">
        <w:trPr>
          <w:trHeight w:val="240"/>
        </w:trPr>
        <w:tc>
          <w:tcPr>
            <w:tcW w:w="2105" w:type="dxa"/>
            <w:shd w:val="clear" w:color="auto" w:fill="auto"/>
          </w:tcPr>
          <w:p w:rsidR="00753078" w:rsidRPr="00C8762E" w:rsidRDefault="00753078" w:rsidP="002708A2">
            <w:pPr>
              <w:pStyle w:val="SingleTxtG"/>
              <w:spacing w:before="40" w:after="40" w:line="220" w:lineRule="exact"/>
              <w:ind w:left="0" w:right="0"/>
              <w:jc w:val="left"/>
              <w:rPr>
                <w:sz w:val="18"/>
              </w:rPr>
            </w:pPr>
            <w:r w:rsidRPr="00C8762E">
              <w:rPr>
                <w:sz w:val="18"/>
              </w:rPr>
              <w:t>Con preclusión</w:t>
            </w:r>
          </w:p>
        </w:tc>
        <w:tc>
          <w:tcPr>
            <w:tcW w:w="1297" w:type="dxa"/>
            <w:shd w:val="clear" w:color="auto" w:fill="auto"/>
            <w:vAlign w:val="bottom"/>
          </w:tcPr>
          <w:p w:rsidR="00753078" w:rsidRPr="00C8762E" w:rsidRDefault="00753078" w:rsidP="00067975">
            <w:pPr>
              <w:pStyle w:val="SingleTxtG"/>
              <w:spacing w:before="40" w:after="40" w:line="220" w:lineRule="exact"/>
              <w:ind w:left="113" w:right="0"/>
              <w:jc w:val="right"/>
              <w:rPr>
                <w:sz w:val="18"/>
              </w:rPr>
            </w:pPr>
            <w:r w:rsidRPr="00C8762E">
              <w:rPr>
                <w:sz w:val="18"/>
              </w:rPr>
              <w:t>2</w:t>
            </w:r>
          </w:p>
        </w:tc>
        <w:tc>
          <w:tcPr>
            <w:tcW w:w="2393" w:type="dxa"/>
            <w:shd w:val="clear" w:color="auto" w:fill="auto"/>
            <w:vAlign w:val="bottom"/>
          </w:tcPr>
          <w:p w:rsidR="00753078" w:rsidRPr="00C8762E" w:rsidRDefault="00753078" w:rsidP="00067975">
            <w:pPr>
              <w:pStyle w:val="SingleTxtG"/>
              <w:spacing w:before="40" w:after="40" w:line="220" w:lineRule="exact"/>
              <w:ind w:left="113" w:right="0"/>
              <w:jc w:val="right"/>
              <w:rPr>
                <w:sz w:val="18"/>
              </w:rPr>
            </w:pPr>
          </w:p>
        </w:tc>
        <w:tc>
          <w:tcPr>
            <w:tcW w:w="1575" w:type="dxa"/>
            <w:shd w:val="clear" w:color="auto" w:fill="auto"/>
            <w:vAlign w:val="bottom"/>
          </w:tcPr>
          <w:p w:rsidR="00753078" w:rsidRPr="00C8762E" w:rsidRDefault="00753078" w:rsidP="00067975">
            <w:pPr>
              <w:pStyle w:val="SingleTxtG"/>
              <w:spacing w:before="40" w:after="40" w:line="220" w:lineRule="exact"/>
              <w:ind w:left="113" w:right="0"/>
              <w:jc w:val="right"/>
              <w:rPr>
                <w:sz w:val="18"/>
              </w:rPr>
            </w:pPr>
          </w:p>
        </w:tc>
      </w:tr>
      <w:tr w:rsidR="002708A2" w:rsidRPr="00C8762E" w:rsidTr="00067975">
        <w:trPr>
          <w:trHeight w:val="240"/>
        </w:trPr>
        <w:tc>
          <w:tcPr>
            <w:tcW w:w="2105" w:type="dxa"/>
            <w:tcBorders>
              <w:bottom w:val="single" w:sz="4" w:space="0" w:color="auto"/>
            </w:tcBorders>
            <w:shd w:val="clear" w:color="auto" w:fill="auto"/>
          </w:tcPr>
          <w:p w:rsidR="00753078" w:rsidRPr="00C8762E" w:rsidRDefault="00753078" w:rsidP="002708A2">
            <w:pPr>
              <w:pStyle w:val="SingleTxtG"/>
              <w:spacing w:before="40" w:after="40" w:line="220" w:lineRule="exact"/>
              <w:ind w:left="0" w:right="0"/>
              <w:jc w:val="left"/>
              <w:rPr>
                <w:sz w:val="18"/>
              </w:rPr>
            </w:pPr>
            <w:r w:rsidRPr="00C8762E">
              <w:rPr>
                <w:sz w:val="18"/>
              </w:rPr>
              <w:t>Indagación</w:t>
            </w:r>
          </w:p>
        </w:tc>
        <w:tc>
          <w:tcPr>
            <w:tcW w:w="1297" w:type="dxa"/>
            <w:tcBorders>
              <w:bottom w:val="single" w:sz="4" w:space="0" w:color="auto"/>
            </w:tcBorders>
            <w:shd w:val="clear" w:color="auto" w:fill="auto"/>
            <w:vAlign w:val="bottom"/>
          </w:tcPr>
          <w:p w:rsidR="00753078" w:rsidRPr="00C8762E" w:rsidRDefault="00753078" w:rsidP="00067975">
            <w:pPr>
              <w:pStyle w:val="SingleTxtG"/>
              <w:spacing w:before="40" w:after="40" w:line="220" w:lineRule="exact"/>
              <w:ind w:left="113" w:right="0"/>
              <w:jc w:val="right"/>
              <w:rPr>
                <w:sz w:val="18"/>
              </w:rPr>
            </w:pPr>
            <w:r w:rsidRPr="00C8762E">
              <w:rPr>
                <w:sz w:val="18"/>
              </w:rPr>
              <w:t>6</w:t>
            </w:r>
          </w:p>
        </w:tc>
        <w:tc>
          <w:tcPr>
            <w:tcW w:w="2393" w:type="dxa"/>
            <w:tcBorders>
              <w:bottom w:val="single" w:sz="4" w:space="0" w:color="auto"/>
            </w:tcBorders>
            <w:shd w:val="clear" w:color="auto" w:fill="auto"/>
            <w:vAlign w:val="bottom"/>
          </w:tcPr>
          <w:p w:rsidR="00753078" w:rsidRPr="00C8762E" w:rsidRDefault="00753078" w:rsidP="00067975">
            <w:pPr>
              <w:pStyle w:val="SingleTxtG"/>
              <w:spacing w:before="40" w:after="40" w:line="220" w:lineRule="exact"/>
              <w:ind w:left="113" w:right="0"/>
              <w:jc w:val="right"/>
              <w:rPr>
                <w:sz w:val="18"/>
              </w:rPr>
            </w:pPr>
            <w:r w:rsidRPr="00C8762E">
              <w:rPr>
                <w:sz w:val="18"/>
              </w:rPr>
              <w:t>6 con orden de captura vigente</w:t>
            </w:r>
          </w:p>
        </w:tc>
        <w:tc>
          <w:tcPr>
            <w:tcW w:w="1575" w:type="dxa"/>
            <w:tcBorders>
              <w:bottom w:val="single" w:sz="4" w:space="0" w:color="auto"/>
            </w:tcBorders>
            <w:shd w:val="clear" w:color="auto" w:fill="auto"/>
            <w:vAlign w:val="bottom"/>
          </w:tcPr>
          <w:p w:rsidR="00753078" w:rsidRPr="00C8762E" w:rsidRDefault="00753078" w:rsidP="00067975">
            <w:pPr>
              <w:pStyle w:val="SingleTxtG"/>
              <w:spacing w:before="40" w:after="40" w:line="220" w:lineRule="exact"/>
              <w:ind w:left="113" w:right="0"/>
              <w:jc w:val="right"/>
              <w:rPr>
                <w:sz w:val="18"/>
              </w:rPr>
            </w:pPr>
          </w:p>
        </w:tc>
      </w:tr>
      <w:tr w:rsidR="002708A2" w:rsidRPr="00C8762E" w:rsidTr="00067975">
        <w:trPr>
          <w:trHeight w:val="240"/>
        </w:trPr>
        <w:tc>
          <w:tcPr>
            <w:tcW w:w="2105" w:type="dxa"/>
            <w:tcBorders>
              <w:top w:val="single" w:sz="4" w:space="0" w:color="auto"/>
              <w:bottom w:val="single" w:sz="12" w:space="0" w:color="auto"/>
            </w:tcBorders>
            <w:shd w:val="clear" w:color="auto" w:fill="auto"/>
          </w:tcPr>
          <w:p w:rsidR="00753078" w:rsidRPr="00C8762E" w:rsidRDefault="002708A2" w:rsidP="00067975">
            <w:pPr>
              <w:pStyle w:val="SingleTxtG"/>
              <w:spacing w:before="80" w:after="80" w:line="220" w:lineRule="exact"/>
              <w:ind w:left="283" w:right="0"/>
              <w:jc w:val="left"/>
              <w:rPr>
                <w:b/>
                <w:sz w:val="18"/>
              </w:rPr>
            </w:pPr>
            <w:r w:rsidRPr="00C8762E">
              <w:rPr>
                <w:b/>
                <w:sz w:val="18"/>
              </w:rPr>
              <w:t>Total</w:t>
            </w:r>
          </w:p>
        </w:tc>
        <w:tc>
          <w:tcPr>
            <w:tcW w:w="1297" w:type="dxa"/>
            <w:tcBorders>
              <w:top w:val="single" w:sz="4" w:space="0" w:color="auto"/>
              <w:bottom w:val="single" w:sz="12" w:space="0" w:color="auto"/>
            </w:tcBorders>
            <w:shd w:val="clear" w:color="auto" w:fill="auto"/>
            <w:vAlign w:val="bottom"/>
          </w:tcPr>
          <w:p w:rsidR="00753078" w:rsidRPr="00C8762E" w:rsidRDefault="00753078" w:rsidP="00067975">
            <w:pPr>
              <w:pStyle w:val="SingleTxtG"/>
              <w:spacing w:before="80" w:after="80" w:line="220" w:lineRule="exact"/>
              <w:ind w:left="0" w:right="0"/>
              <w:jc w:val="right"/>
              <w:rPr>
                <w:b/>
                <w:sz w:val="18"/>
              </w:rPr>
            </w:pPr>
            <w:r w:rsidRPr="00C8762E">
              <w:rPr>
                <w:b/>
                <w:sz w:val="18"/>
              </w:rPr>
              <w:t>53</w:t>
            </w:r>
          </w:p>
        </w:tc>
        <w:tc>
          <w:tcPr>
            <w:tcW w:w="2393" w:type="dxa"/>
            <w:tcBorders>
              <w:top w:val="single" w:sz="4" w:space="0" w:color="auto"/>
              <w:bottom w:val="single" w:sz="12" w:space="0" w:color="auto"/>
            </w:tcBorders>
            <w:shd w:val="clear" w:color="auto" w:fill="auto"/>
            <w:vAlign w:val="bottom"/>
          </w:tcPr>
          <w:p w:rsidR="00753078" w:rsidRPr="00C8762E" w:rsidRDefault="00753078" w:rsidP="00067975">
            <w:pPr>
              <w:pStyle w:val="SingleTxtG"/>
              <w:spacing w:before="80" w:after="80" w:line="220" w:lineRule="exact"/>
              <w:ind w:left="0" w:right="0"/>
              <w:jc w:val="right"/>
              <w:rPr>
                <w:b/>
                <w:sz w:val="18"/>
              </w:rPr>
            </w:pPr>
            <w:r w:rsidRPr="00C8762E">
              <w:rPr>
                <w:b/>
                <w:sz w:val="18"/>
              </w:rPr>
              <w:t>90</w:t>
            </w:r>
          </w:p>
        </w:tc>
        <w:tc>
          <w:tcPr>
            <w:tcW w:w="1575" w:type="dxa"/>
            <w:tcBorders>
              <w:top w:val="single" w:sz="4" w:space="0" w:color="auto"/>
              <w:bottom w:val="single" w:sz="12" w:space="0" w:color="auto"/>
            </w:tcBorders>
            <w:shd w:val="clear" w:color="auto" w:fill="auto"/>
            <w:vAlign w:val="bottom"/>
          </w:tcPr>
          <w:p w:rsidR="00753078" w:rsidRPr="00C8762E" w:rsidRDefault="00753078" w:rsidP="00067975">
            <w:pPr>
              <w:pStyle w:val="SingleTxtG"/>
              <w:spacing w:before="80" w:after="80" w:line="220" w:lineRule="exact"/>
              <w:ind w:left="0" w:right="0"/>
              <w:jc w:val="right"/>
              <w:rPr>
                <w:b/>
                <w:sz w:val="18"/>
              </w:rPr>
            </w:pPr>
            <w:r w:rsidRPr="00C8762E">
              <w:rPr>
                <w:b/>
                <w:sz w:val="18"/>
              </w:rPr>
              <w:t>82</w:t>
            </w:r>
          </w:p>
        </w:tc>
      </w:tr>
    </w:tbl>
    <w:p w:rsidR="00753078" w:rsidRPr="00C8762E" w:rsidRDefault="00753078" w:rsidP="00067975">
      <w:pPr>
        <w:pStyle w:val="SingleTxtG"/>
        <w:spacing w:before="240"/>
      </w:pPr>
      <w:r w:rsidRPr="00C8762E">
        <w:t>En el per</w:t>
      </w:r>
      <w:r w:rsidR="002708A2" w:rsidRPr="00C8762E">
        <w:t>í</w:t>
      </w:r>
      <w:r w:rsidRPr="00C8762E">
        <w:t>odo de estudio sobre 20 casos se han proferido 28 sentencias condenatorias contra 34 personas, con ocasión del homicidio de 25 personas.</w:t>
      </w:r>
    </w:p>
    <w:p w:rsidR="00753078" w:rsidRPr="00C8762E" w:rsidRDefault="003A7CF5" w:rsidP="003A7CF5">
      <w:pPr>
        <w:pStyle w:val="H1G"/>
      </w:pPr>
      <w:r w:rsidRPr="00C8762E">
        <w:tab/>
      </w:r>
      <w:r w:rsidRPr="00C8762E">
        <w:tab/>
      </w:r>
      <w:r w:rsidR="00753078" w:rsidRPr="00C8762E">
        <w:t>Artículo 9</w:t>
      </w:r>
    </w:p>
    <w:p w:rsidR="00753078" w:rsidRPr="00C8762E" w:rsidRDefault="00992FBC" w:rsidP="00992FBC">
      <w:pPr>
        <w:pStyle w:val="H23G"/>
      </w:pPr>
      <w:r w:rsidRPr="00C8762E">
        <w:tab/>
      </w:r>
      <w:r w:rsidR="00753078" w:rsidRPr="00C8762E">
        <w:t>5.</w:t>
      </w:r>
      <w:r w:rsidR="00753078" w:rsidRPr="00C8762E">
        <w:tab/>
        <w:t>Medidas adoptadas en materia de seguridad social</w:t>
      </w:r>
    </w:p>
    <w:p w:rsidR="00753078" w:rsidRPr="00C8762E" w:rsidRDefault="002708A2" w:rsidP="00067975">
      <w:pPr>
        <w:pStyle w:val="SingleTxtG"/>
      </w:pPr>
      <w:r w:rsidRPr="00C8762E">
        <w:t>43.</w:t>
      </w:r>
      <w:r w:rsidRPr="00C8762E">
        <w:tab/>
      </w:r>
      <w:r w:rsidR="00753078" w:rsidRPr="00C8762E">
        <w:t>El Ministerio de Trabajo, a través de la Subdirección de Formalización Laboral y Promoción del Empleo, cuenta desde 2014, con la Red Nacional de Formalización Laboral (RNFL), que es la encargada de canalizar las acciones encaminadas a promover la formalización laboral. La RNFL busca consolidar el trabajo decente, así como extender y consolidar la cobertura del Sistema General de Seguridad Social Integral, en su modalidad contributiva, mediante la proposición y puesta en marcha de políticas activas en materia de generación de empleo y formalización laboral.</w:t>
      </w:r>
    </w:p>
    <w:p w:rsidR="00753078" w:rsidRPr="00C8762E" w:rsidRDefault="002708A2" w:rsidP="00067975">
      <w:pPr>
        <w:pStyle w:val="SingleTxtG"/>
      </w:pPr>
      <w:r w:rsidRPr="00C8762E">
        <w:t>44.</w:t>
      </w:r>
      <w:r w:rsidRPr="00C8762E">
        <w:tab/>
      </w:r>
      <w:r w:rsidR="00753078" w:rsidRPr="00C8762E">
        <w:t>Es importante resaltar algunas reformas que se han implementado para reducir las distorsiones del mercado laboral, especialmente con respecto a la informalidad de algunas poblaciones en específico:</w:t>
      </w:r>
    </w:p>
    <w:p w:rsidR="00753078" w:rsidRPr="00C8762E" w:rsidRDefault="00753078" w:rsidP="003A7CF5">
      <w:pPr>
        <w:pStyle w:val="Bullet1G"/>
      </w:pPr>
      <w:r w:rsidRPr="00C8762E">
        <w:lastRenderedPageBreak/>
        <w:t xml:space="preserve">Decreto </w:t>
      </w:r>
      <w:r w:rsidR="00777999" w:rsidRPr="00C8762E">
        <w:t xml:space="preserve">núm. </w:t>
      </w:r>
      <w:r w:rsidRPr="00C8762E">
        <w:t>2616 de 2013, que regula la cotización a seguridad social para trabajadores dependientes a tiempo parcial o que laboran por períodos inferiores a un mes, permitiendo ajustar la cotización al tiempo laborado y, de este modo, incentivar la formalización de este tipo de trabajadores. Esta medida busca proteger a muchos empleos de los sectores de servicios, comercio y agropecuario. Para 2014, el primer año de vigencia de este mecanismo, se encontraban cotizando un promedio mensual de 11.452 trabajadores, mientras que para el segundo año este número aumentó a 21.247.</w:t>
      </w:r>
    </w:p>
    <w:p w:rsidR="00753078" w:rsidRPr="00C8762E" w:rsidRDefault="00753078" w:rsidP="003A7CF5">
      <w:pPr>
        <w:pStyle w:val="Bullet1G"/>
      </w:pPr>
      <w:r w:rsidRPr="00C8762E">
        <w:t xml:space="preserve">Colombia como Estado Parte del Convenio </w:t>
      </w:r>
      <w:r w:rsidR="005B7C15" w:rsidRPr="00C8762E">
        <w:t xml:space="preserve">núm. </w:t>
      </w:r>
      <w:r w:rsidRPr="00C8762E">
        <w:t xml:space="preserve">189 de 2011 de la OIT sobre las trabajadoras y trabajadores domésticos, ha establecido dos medidas importantes para garantizar e igualar las condiciones de estos trabajadores a través de la siguiente normativa: </w:t>
      </w:r>
    </w:p>
    <w:p w:rsidR="00753078" w:rsidRPr="00C8762E" w:rsidRDefault="00753078" w:rsidP="00067975">
      <w:pPr>
        <w:pStyle w:val="Bullet2G"/>
      </w:pPr>
      <w:r w:rsidRPr="00C8762E">
        <w:t xml:space="preserve">Decreto </w:t>
      </w:r>
      <w:r w:rsidR="00777999" w:rsidRPr="00C8762E">
        <w:t xml:space="preserve">núm. </w:t>
      </w:r>
      <w:r w:rsidRPr="00C8762E">
        <w:t>721 de 2013:</w:t>
      </w:r>
      <w:r w:rsidR="00462771" w:rsidRPr="00C8762E">
        <w:t xml:space="preserve"> </w:t>
      </w:r>
      <w:r w:rsidRPr="00C8762E">
        <w:t>Reglamenta la afiliación de los trabajadores de servicio doméstico a las Cajas de Compensación Familiar, con cargo a los empleadores, a</w:t>
      </w:r>
      <w:r w:rsidR="005B7C15" w:rsidRPr="00C8762E">
        <w:t xml:space="preserve"> </w:t>
      </w:r>
      <w:r w:rsidRPr="00C8762E">
        <w:t xml:space="preserve">marzo </w:t>
      </w:r>
      <w:r w:rsidR="005B7C15" w:rsidRPr="00C8762E">
        <w:t xml:space="preserve">de </w:t>
      </w:r>
      <w:r w:rsidRPr="00C8762E">
        <w:t>2016 se contaba con 104.015 empleadas del servicio doméstico afiliadas a estas Cajas.</w:t>
      </w:r>
    </w:p>
    <w:p w:rsidR="00753078" w:rsidRPr="00C8762E" w:rsidRDefault="00753078" w:rsidP="00067975">
      <w:pPr>
        <w:pStyle w:val="Bullet2G"/>
      </w:pPr>
      <w:r w:rsidRPr="00C8762E">
        <w:t xml:space="preserve">Ley </w:t>
      </w:r>
      <w:r w:rsidR="00D1717D" w:rsidRPr="00C8762E">
        <w:t xml:space="preserve">núm. </w:t>
      </w:r>
      <w:r w:rsidRPr="00C8762E">
        <w:t>1788 de 2016: Establece la prima de servicios, correspondiente a un salario por cada año trabajado o su equivalencia, como medida obligatoria por parte de los empleadores. A partir de la vigencia de esta ley, los empleadores deberán reconocer el pago de la prima de servicios, sean estos contratados por días o permanentes.</w:t>
      </w:r>
    </w:p>
    <w:p w:rsidR="00753078" w:rsidRPr="00C8762E" w:rsidRDefault="00753078" w:rsidP="003A7CF5">
      <w:pPr>
        <w:pStyle w:val="Bullet1G"/>
      </w:pPr>
      <w:r w:rsidRPr="00C8762E">
        <w:t xml:space="preserve">El Decreto </w:t>
      </w:r>
      <w:r w:rsidR="00777999" w:rsidRPr="00C8762E">
        <w:t xml:space="preserve">núm. </w:t>
      </w:r>
      <w:r w:rsidRPr="00C8762E">
        <w:t>1047 de 2014, establece normas para asegurar la afiliación al Sistema Integral de Seguridad Social de los conductores del servicio público de transporte terrestre automotor individual de pasajeros en vehículos taxi. Con este mecanismo se exige el cubrimiento para la operación o conducción del vehículo, así como el pago y afiliación efectiva por parte de la empresa de taxis o del conductor en caso de ser independiente. Con esta medida se ha logró que para finales de 2015 un poco más de 14.000 taxistas estuvieran cubiertos en seguridad social integral.</w:t>
      </w:r>
    </w:p>
    <w:p w:rsidR="00753078" w:rsidRPr="00C8762E" w:rsidRDefault="00753078" w:rsidP="003A7CF5">
      <w:pPr>
        <w:pStyle w:val="Bullet1G"/>
      </w:pPr>
      <w:r w:rsidRPr="00C8762E">
        <w:t xml:space="preserve">En 2016 se expidió el </w:t>
      </w:r>
      <w:r w:rsidR="00777999" w:rsidRPr="00C8762E">
        <w:t xml:space="preserve">Decreto núm. </w:t>
      </w:r>
      <w:r w:rsidRPr="00C8762E">
        <w:t>1563, que permite que el trabajador independiente que gane uno o más salarios mínimos legales mensuales vigentes, puede acceder al sistema de riesgos laborales afiliándose voluntariamente, sin que medie un contrato o una relación laboral y quieran afiliarse al Sistema General de Riesgos Laborales (SGRL). Lo anterior significa que trabajadores de cerca de 327 ocupaciones, de las que más realizan trabajadores en Colombia de manera independiente, podrán afiliarse de forma directa a una Administradora de Riesgos Laborales (ARL). En la actualidad se han afiliado 1.871 trabajadores desde la expedición del Decreto.</w:t>
      </w:r>
    </w:p>
    <w:p w:rsidR="00753078" w:rsidRPr="00C8762E" w:rsidRDefault="003A7CF5" w:rsidP="003A7CF5">
      <w:pPr>
        <w:pStyle w:val="H1G"/>
      </w:pPr>
      <w:r w:rsidRPr="00C8762E">
        <w:tab/>
      </w:r>
      <w:r w:rsidRPr="00C8762E">
        <w:tab/>
      </w:r>
      <w:r w:rsidR="00753078" w:rsidRPr="00C8762E">
        <w:t>Artículo 10</w:t>
      </w:r>
    </w:p>
    <w:p w:rsidR="00753078" w:rsidRPr="00C8762E" w:rsidRDefault="00992FBC" w:rsidP="00992FBC">
      <w:pPr>
        <w:pStyle w:val="H23G"/>
      </w:pPr>
      <w:r w:rsidRPr="00C8762E">
        <w:tab/>
      </w:r>
      <w:r w:rsidR="00753078" w:rsidRPr="00C8762E">
        <w:t>6.</w:t>
      </w:r>
      <w:r w:rsidR="00753078" w:rsidRPr="00C8762E">
        <w:tab/>
        <w:t>Política de Prevención del Reclutamiento y Utilización de niños, niñas y adolescentes</w:t>
      </w:r>
      <w:r w:rsidR="002708A2" w:rsidRPr="00C8762E">
        <w:t> </w:t>
      </w:r>
      <w:r w:rsidR="00753078" w:rsidRPr="00C8762E">
        <w:t>por parte de los grupos armados al margen de la ley</w:t>
      </w:r>
    </w:p>
    <w:p w:rsidR="00753078" w:rsidRPr="00C8762E" w:rsidRDefault="002708A2" w:rsidP="00067975">
      <w:pPr>
        <w:pStyle w:val="SingleTxtG"/>
      </w:pPr>
      <w:r w:rsidRPr="00C8762E">
        <w:t>45.</w:t>
      </w:r>
      <w:r w:rsidRPr="00C8762E">
        <w:tab/>
      </w:r>
      <w:r w:rsidR="00753078" w:rsidRPr="00C8762E">
        <w:t xml:space="preserve">En primer lugar, es pertinente aclarar respecto del literal a), de la recomendación correspondiente al párrafo 16 de su informe E/C.12/COL/CO/5, que menciona: </w:t>
      </w:r>
      <w:r w:rsidR="00054E05" w:rsidRPr="00C8762E">
        <w:rPr>
          <w:i/>
        </w:rPr>
        <w:t>“</w:t>
      </w:r>
      <w:r w:rsidR="00753078" w:rsidRPr="00C8762E">
        <w:rPr>
          <w:i/>
        </w:rPr>
        <w:t xml:space="preserve">Aplicar plenamente su Directiva </w:t>
      </w:r>
      <w:r w:rsidR="005B7C15" w:rsidRPr="00C8762E">
        <w:rPr>
          <w:i/>
        </w:rPr>
        <w:t>núm</w:t>
      </w:r>
      <w:r w:rsidR="00D1717D" w:rsidRPr="00C8762E">
        <w:rPr>
          <w:i/>
        </w:rPr>
        <w:t xml:space="preserve">. </w:t>
      </w:r>
      <w:r w:rsidR="00753078" w:rsidRPr="00C8762E">
        <w:rPr>
          <w:i/>
        </w:rPr>
        <w:t>500-2 de 2005 destinada a elaborar estrategias para impedir el reclutamiento de los niños en las fuerzas armadas</w:t>
      </w:r>
      <w:r w:rsidR="00054E05" w:rsidRPr="00C8762E">
        <w:rPr>
          <w:i/>
        </w:rPr>
        <w:t>”</w:t>
      </w:r>
      <w:r w:rsidR="00753078" w:rsidRPr="00C8762E">
        <w:rPr>
          <w:i/>
        </w:rPr>
        <w:t>,</w:t>
      </w:r>
      <w:r w:rsidR="00753078" w:rsidRPr="00C8762E">
        <w:t xml:space="preserve"> que tal directiva se refiere a la función que tienen las fuerzas militares para prevenir al reclutamiento de niños por parte de grupos armados ilegales, puesto que en Colombia a partir de la Ley </w:t>
      </w:r>
      <w:r w:rsidR="00D1717D" w:rsidRPr="00C8762E">
        <w:t xml:space="preserve">núm. </w:t>
      </w:r>
      <w:r w:rsidR="00753078" w:rsidRPr="00C8762E">
        <w:t xml:space="preserve">418 de 1997, prorrogada mediante Ley </w:t>
      </w:r>
      <w:r w:rsidR="00D1717D" w:rsidRPr="00C8762E">
        <w:t xml:space="preserve">núm. </w:t>
      </w:r>
      <w:r w:rsidR="00753078" w:rsidRPr="00C8762E">
        <w:t xml:space="preserve">548 de 1999, modificada por la Ley </w:t>
      </w:r>
      <w:r w:rsidR="00D1717D" w:rsidRPr="00C8762E">
        <w:t xml:space="preserve">núm. </w:t>
      </w:r>
      <w:r w:rsidR="00753078" w:rsidRPr="00C8762E">
        <w:t>642 de 2001, se estableció que los menores de 18 años de edad no serán incorporados a las filas para la prestación del servicio militar.</w:t>
      </w:r>
    </w:p>
    <w:p w:rsidR="00753078" w:rsidRPr="00C8762E" w:rsidRDefault="002708A2" w:rsidP="00067975">
      <w:pPr>
        <w:pStyle w:val="SingleTxtG"/>
      </w:pPr>
      <w:r w:rsidRPr="00C8762E">
        <w:t>46.</w:t>
      </w:r>
      <w:r w:rsidRPr="00C8762E">
        <w:tab/>
      </w:r>
      <w:r w:rsidR="00753078" w:rsidRPr="00C8762E">
        <w:t>Respecto de los avances e impacto de la política de prevención de reclutamiento y utilización de niños, niñas y adolescentes (NNA), ejecutada desde el año 2007, se registran los siguientes:</w:t>
      </w:r>
    </w:p>
    <w:p w:rsidR="00753078" w:rsidRPr="00C8762E" w:rsidRDefault="00753078" w:rsidP="003A7CF5">
      <w:pPr>
        <w:pStyle w:val="Bullet1G"/>
      </w:pPr>
      <w:r w:rsidRPr="00C8762E">
        <w:lastRenderedPageBreak/>
        <w:t xml:space="preserve">Las acciones para la prevención del reclutamiento y utilización de NNA se continúan desarrollando en el contexto de las rutas para la prevención temprana, urgente y en protección. Frente a estas dos últimas, durante el </w:t>
      </w:r>
      <w:r w:rsidR="00777999" w:rsidRPr="00C8762E">
        <w:t>período</w:t>
      </w:r>
      <w:r w:rsidRPr="00C8762E">
        <w:t>, julio de 2010 a septiembre de 2016, se han protegido 17 niños y niñas de manera directa, 15 niños y niñas de manera indirecta y a sus núcleos familiares para evitar el reclutamiento. As</w:t>
      </w:r>
      <w:r w:rsidR="00D1717D" w:rsidRPr="00C8762E">
        <w:t>i</w:t>
      </w:r>
      <w:r w:rsidRPr="00C8762E">
        <w:t>mismo, en el marco de la ruta de prevención urgente que actúa frente a amenazas colectivas se logró la protección de 123 niños y niñas, de julio de 2010 a febrero de</w:t>
      </w:r>
      <w:r w:rsidR="005B7C15" w:rsidRPr="00C8762E">
        <w:t> </w:t>
      </w:r>
      <w:r w:rsidRPr="00C8762E">
        <w:t xml:space="preserve">2015. </w:t>
      </w:r>
    </w:p>
    <w:p w:rsidR="00753078" w:rsidRPr="00C8762E" w:rsidRDefault="00753078" w:rsidP="003A7CF5">
      <w:pPr>
        <w:pStyle w:val="Bullet1G"/>
      </w:pPr>
      <w:r w:rsidRPr="00C8762E">
        <w:t xml:space="preserve">Como resultado de esta política, mediante la implementación del </w:t>
      </w:r>
      <w:proofErr w:type="spellStart"/>
      <w:r w:rsidRPr="00C8762E">
        <w:t>Conpes</w:t>
      </w:r>
      <w:proofErr w:type="spellEnd"/>
      <w:r w:rsidRPr="00C8762E">
        <w:t xml:space="preserve"> 3673, se reportaron 85 planes, estrategias, programas, proyectos y/o acciones estratégicas permanentes y temporales, orientadas a la prevención del reclutamiento, utilización/uso y violencia sexual contra NNA, que han estado presentes en al menos 1.082 municipios, desarrollados principalmente en las áreas cultural y deportiva; atención en salud y bienestar; mejoramiento de la calidad de educación; fortalecimiento institucional y promoción de derechos de NNA.</w:t>
      </w:r>
    </w:p>
    <w:p w:rsidR="00753078" w:rsidRPr="00C8762E" w:rsidRDefault="00753078" w:rsidP="003A7CF5">
      <w:pPr>
        <w:pStyle w:val="Bullet1G"/>
      </w:pPr>
      <w:r w:rsidRPr="00C8762E">
        <w:t xml:space="preserve">Todos los NNA víctimas del conflicto armado tienen derecho al restablecimiento pleno de sus derechos, a la verdad, la justicia, la reparación integral, así como a garantías de no repetición y acciones para fortalecer su protección integral contra toda forma de violencia, tal como lo establecen la Ley </w:t>
      </w:r>
      <w:r w:rsidR="00D1717D" w:rsidRPr="00C8762E">
        <w:t xml:space="preserve">núm. </w:t>
      </w:r>
      <w:r w:rsidRPr="00C8762E">
        <w:t>1448 de 2011</w:t>
      </w:r>
      <w:r w:rsidR="00D1717D" w:rsidRPr="00C8762E">
        <w:t xml:space="preserve"> – </w:t>
      </w:r>
      <w:r w:rsidRPr="00C8762E">
        <w:t xml:space="preserve">Ley de Víctimas y la Ley </w:t>
      </w:r>
      <w:r w:rsidR="00D1717D" w:rsidRPr="00C8762E">
        <w:t xml:space="preserve">núm. </w:t>
      </w:r>
      <w:r w:rsidRPr="00C8762E">
        <w:t xml:space="preserve">1098 de 2006 </w:t>
      </w:r>
      <w:r w:rsidR="00D1717D" w:rsidRPr="00C8762E">
        <w:t xml:space="preserve">– </w:t>
      </w:r>
      <w:r w:rsidRPr="00C8762E">
        <w:t>Código de Infancia y Adolescencia.</w:t>
      </w:r>
    </w:p>
    <w:p w:rsidR="00753078" w:rsidRPr="00C8762E" w:rsidRDefault="00753078" w:rsidP="003A7CF5">
      <w:pPr>
        <w:pStyle w:val="Bullet1G"/>
      </w:pPr>
      <w:r w:rsidRPr="00C8762E">
        <w:t xml:space="preserve">El marco normativo creado, junto con el </w:t>
      </w:r>
      <w:proofErr w:type="spellStart"/>
      <w:r w:rsidRPr="00C8762E">
        <w:t>desescalamiento</w:t>
      </w:r>
      <w:proofErr w:type="spellEnd"/>
      <w:r w:rsidRPr="00C8762E">
        <w:t xml:space="preserve"> del conflicto han sido factores determinantes para reducir las cifras de NNA víctimas, por ejemplo, en lo relativo al registro de NNA víctimas de Minas antipersonal/Munición sin explotar, se reportaron 119 NNA en el año 2012, mientras que en el año 2016 esta cifra se redujo a un reporte de 3 NNA. Los casos incluidos en el registro de víctimas de delitos contra la integridad y libertad sexual de las personas menores de 18 años, pasaron de ser 55 reportados en el año 2012 a 11 en el 2016.</w:t>
      </w:r>
    </w:p>
    <w:p w:rsidR="00753078" w:rsidRPr="00C8762E" w:rsidRDefault="00753078" w:rsidP="003A7CF5">
      <w:pPr>
        <w:pStyle w:val="Bullet1G"/>
      </w:pPr>
      <w:r w:rsidRPr="00C8762E">
        <w:t>Desde 1999 se ha implementado el Programa de atención especializada para el restablecimiento de derechos a NNA víctimas de reclutamiento ilícito, que se han desvinculado de grupos organizados al margen de la ley; el cual tiene como objetivo</w:t>
      </w:r>
      <w:r w:rsidR="005B7C15" w:rsidRPr="00C8762E">
        <w:t xml:space="preserve"> </w:t>
      </w:r>
      <w:r w:rsidRPr="00C8762E">
        <w:t xml:space="preserve">garantizar la protección integral a través de medidas de restablecimiento de derechos y contribución a la reparación integral. Este programa ha permitido brindar atención a 1.909 NNA en el período comprendido entre enero de 2010 y octubre de 2016, incluyendo población afrodescendiente e indígena. </w:t>
      </w:r>
    </w:p>
    <w:p w:rsidR="00753078" w:rsidRPr="00C8762E" w:rsidRDefault="002708A2" w:rsidP="00067975">
      <w:pPr>
        <w:pStyle w:val="SingleTxtG"/>
      </w:pPr>
      <w:r w:rsidRPr="00C8762E">
        <w:t>47.</w:t>
      </w:r>
      <w:r w:rsidRPr="00C8762E">
        <w:tab/>
      </w:r>
      <w:r w:rsidR="00753078" w:rsidRPr="00C8762E">
        <w:t xml:space="preserve">El Gobierno Nacional se encuentra absolutamente comprometido con la garantía de la salida de todos los NNA que hayan sido víctimas de reclutamiento por parte de grupos armados ilegales. Es así que, en el acuerdo final, alcanzado con el grupo armado FARC en agosto de 2016 se tuvo en cuenta los estándares internacionales relativos a la protección de NNA y, en ese sentido, proscribió entre otras cosas, la posibilidad de otorgar amnistías o indultos en relación con el delito de reclutamiento de NNA. </w:t>
      </w:r>
      <w:r w:rsidR="00D1717D" w:rsidRPr="00C8762E">
        <w:t>Asi</w:t>
      </w:r>
      <w:r w:rsidR="00753078" w:rsidRPr="00C8762E">
        <w:t xml:space="preserve">mismo, se contempló la salida de menores que se encuentran en campamentos de las FARC-EP, dando inicio a ese proceso en septiembre de 2016, con una primera entrega de 13 personas, quienes fueron recibidas y atendidas en un lugar transitorio de acogida con los más altos estándares a favor de niños, niñas y adolescentes bajo la permanente supervisión de las autoridades competentes y con el irrestricto apoyo de UNICEF y OIM. Este primer grupo de adolescentes se encuentran adelantando el proceso de restablecimiento de sus derechos, así como el proceso de reparación integral e inclusión social. </w:t>
      </w:r>
    </w:p>
    <w:p w:rsidR="00753078" w:rsidRPr="00C8762E" w:rsidRDefault="002708A2" w:rsidP="00067975">
      <w:pPr>
        <w:pStyle w:val="SingleTxtG"/>
      </w:pPr>
      <w:r w:rsidRPr="00C8762E">
        <w:t>48.</w:t>
      </w:r>
      <w:r w:rsidRPr="00C8762E">
        <w:tab/>
      </w:r>
      <w:r w:rsidR="00753078" w:rsidRPr="00C8762E">
        <w:t xml:space="preserve">Tal como fue convenido en el Acuerdo final, el Consejo Nacional de Reincorporación aprobó el programa especial </w:t>
      </w:r>
      <w:r w:rsidR="00054E05" w:rsidRPr="00C8762E">
        <w:t>“</w:t>
      </w:r>
      <w:r w:rsidR="00753078" w:rsidRPr="00C8762E">
        <w:t>Camino Diferencial de Vida</w:t>
      </w:r>
      <w:r w:rsidR="00054E05" w:rsidRPr="00C8762E">
        <w:t>”</w:t>
      </w:r>
      <w:r w:rsidR="00753078" w:rsidRPr="00C8762E">
        <w:t>, que contempla especiales medidas para la reincorporación de los menores de edad que salgan de las FARC-EP hasta la finalización de la dejación de armas.</w:t>
      </w:r>
      <w:r w:rsidR="005B7C15" w:rsidRPr="00C8762E">
        <w:t xml:space="preserve"> </w:t>
      </w:r>
      <w:r w:rsidR="00753078" w:rsidRPr="00C8762E">
        <w:t>Este</w:t>
      </w:r>
      <w:r w:rsidR="005B7C15" w:rsidRPr="00C8762E">
        <w:t xml:space="preserve"> </w:t>
      </w:r>
      <w:r w:rsidR="00753078" w:rsidRPr="00C8762E">
        <w:t>programa</w:t>
      </w:r>
      <w:r w:rsidR="005B7C15" w:rsidRPr="00C8762E">
        <w:t xml:space="preserve"> </w:t>
      </w:r>
      <w:r w:rsidR="00753078" w:rsidRPr="00C8762E">
        <w:t>tiene</w:t>
      </w:r>
      <w:r w:rsidR="005B7C15" w:rsidRPr="00C8762E">
        <w:t xml:space="preserve"> </w:t>
      </w:r>
      <w:r w:rsidR="00753078" w:rsidRPr="00C8762E">
        <w:t>por</w:t>
      </w:r>
      <w:r w:rsidR="005B7C15" w:rsidRPr="00C8762E">
        <w:t xml:space="preserve"> </w:t>
      </w:r>
      <w:r w:rsidR="00753078" w:rsidRPr="00C8762E">
        <w:t>propósito garantizar que todos los menores de 18 años</w:t>
      </w:r>
      <w:r w:rsidR="005B7C15" w:rsidRPr="00C8762E">
        <w:t xml:space="preserve"> </w:t>
      </w:r>
      <w:r w:rsidR="00753078" w:rsidRPr="00C8762E">
        <w:t>que</w:t>
      </w:r>
      <w:r w:rsidR="005B7C15" w:rsidRPr="00C8762E">
        <w:t xml:space="preserve"> </w:t>
      </w:r>
      <w:r w:rsidR="00753078" w:rsidRPr="00C8762E">
        <w:t>salgan</w:t>
      </w:r>
      <w:r w:rsidR="005B7C15" w:rsidRPr="00C8762E">
        <w:t xml:space="preserve"> </w:t>
      </w:r>
      <w:r w:rsidR="00753078" w:rsidRPr="00C8762E">
        <w:t>de</w:t>
      </w:r>
      <w:r w:rsidR="005B7C15" w:rsidRPr="00C8762E">
        <w:t xml:space="preserve"> </w:t>
      </w:r>
      <w:r w:rsidR="00753078" w:rsidRPr="00C8762E">
        <w:t>las</w:t>
      </w:r>
      <w:r w:rsidR="005B7C15" w:rsidRPr="00C8762E">
        <w:t xml:space="preserve"> </w:t>
      </w:r>
      <w:r w:rsidR="00753078" w:rsidRPr="00C8762E">
        <w:t>FARC-EP cuenten</w:t>
      </w:r>
      <w:r w:rsidR="005B7C15" w:rsidRPr="00C8762E">
        <w:t xml:space="preserve"> </w:t>
      </w:r>
      <w:r w:rsidR="00753078" w:rsidRPr="00C8762E">
        <w:t>con</w:t>
      </w:r>
      <w:r w:rsidR="005B7C15" w:rsidRPr="00C8762E">
        <w:t xml:space="preserve"> </w:t>
      </w:r>
      <w:r w:rsidR="00753078" w:rsidRPr="00C8762E">
        <w:t>las herramientas</w:t>
      </w:r>
      <w:r w:rsidR="00992FBC" w:rsidRPr="00C8762E">
        <w:t xml:space="preserve"> </w:t>
      </w:r>
      <w:r w:rsidR="00753078" w:rsidRPr="00C8762E">
        <w:t>necesarias</w:t>
      </w:r>
      <w:r w:rsidR="005B7C15" w:rsidRPr="00C8762E">
        <w:t xml:space="preserve"> </w:t>
      </w:r>
      <w:r w:rsidR="00753078" w:rsidRPr="00C8762E">
        <w:t>para</w:t>
      </w:r>
      <w:r w:rsidR="005B7C15" w:rsidRPr="00C8762E">
        <w:t xml:space="preserve"> </w:t>
      </w:r>
      <w:r w:rsidR="00753078" w:rsidRPr="00C8762E">
        <w:t>la</w:t>
      </w:r>
      <w:r w:rsidR="005B7C15" w:rsidRPr="00C8762E">
        <w:t xml:space="preserve"> </w:t>
      </w:r>
      <w:r w:rsidR="00753078" w:rsidRPr="00C8762E">
        <w:t>reconstrucción</w:t>
      </w:r>
      <w:r w:rsidR="00462771" w:rsidRPr="00C8762E">
        <w:t xml:space="preserve"> </w:t>
      </w:r>
      <w:r w:rsidR="00753078" w:rsidRPr="00C8762E">
        <w:t>y</w:t>
      </w:r>
      <w:r w:rsidR="005B7C15" w:rsidRPr="00C8762E">
        <w:t xml:space="preserve"> </w:t>
      </w:r>
      <w:r w:rsidR="00753078" w:rsidRPr="00C8762E">
        <w:t>consolidación</w:t>
      </w:r>
      <w:r w:rsidR="00462771" w:rsidRPr="00C8762E">
        <w:t xml:space="preserve"> </w:t>
      </w:r>
      <w:r w:rsidR="00753078" w:rsidRPr="00C8762E">
        <w:t>de</w:t>
      </w:r>
      <w:r w:rsidR="005B7C15" w:rsidRPr="00C8762E">
        <w:t xml:space="preserve"> </w:t>
      </w:r>
      <w:r w:rsidR="00753078" w:rsidRPr="00C8762E">
        <w:t>sus</w:t>
      </w:r>
      <w:r w:rsidR="005B7C15" w:rsidRPr="00C8762E">
        <w:t xml:space="preserve"> </w:t>
      </w:r>
      <w:r w:rsidR="00753078" w:rsidRPr="00C8762E">
        <w:t>proyectos</w:t>
      </w:r>
      <w:r w:rsidR="005B7C15" w:rsidRPr="00C8762E">
        <w:t xml:space="preserve"> </w:t>
      </w:r>
      <w:r w:rsidR="00753078" w:rsidRPr="00C8762E">
        <w:t>de</w:t>
      </w:r>
      <w:r w:rsidR="005B7C15" w:rsidRPr="00C8762E">
        <w:t xml:space="preserve"> </w:t>
      </w:r>
      <w:r w:rsidR="00753078" w:rsidRPr="00C8762E">
        <w:t>vida en</w:t>
      </w:r>
      <w:r w:rsidR="005B7C15" w:rsidRPr="00C8762E">
        <w:t xml:space="preserve"> </w:t>
      </w:r>
      <w:r w:rsidR="00753078" w:rsidRPr="00C8762E">
        <w:t>el marco</w:t>
      </w:r>
      <w:r w:rsidR="005B7C15" w:rsidRPr="00C8762E">
        <w:t xml:space="preserve"> </w:t>
      </w:r>
      <w:r w:rsidR="00753078" w:rsidRPr="00C8762E">
        <w:t>del restablecimiento pleno</w:t>
      </w:r>
      <w:r w:rsidR="005B7C15" w:rsidRPr="00C8762E">
        <w:t xml:space="preserve"> </w:t>
      </w:r>
      <w:r w:rsidR="00753078" w:rsidRPr="00C8762E">
        <w:t>de</w:t>
      </w:r>
      <w:r w:rsidR="005B7C15" w:rsidRPr="00C8762E">
        <w:t xml:space="preserve"> </w:t>
      </w:r>
      <w:r w:rsidR="00753078" w:rsidRPr="00C8762E">
        <w:t>sus derechos,</w:t>
      </w:r>
      <w:r w:rsidR="005B7C15" w:rsidRPr="00C8762E">
        <w:t xml:space="preserve"> </w:t>
      </w:r>
      <w:r w:rsidR="00753078" w:rsidRPr="00C8762E">
        <w:t>la</w:t>
      </w:r>
      <w:r w:rsidR="005B7C15" w:rsidRPr="00C8762E">
        <w:t xml:space="preserve"> </w:t>
      </w:r>
      <w:r w:rsidR="00753078" w:rsidRPr="00C8762E">
        <w:t>reparación</w:t>
      </w:r>
      <w:r w:rsidR="005B7C15" w:rsidRPr="00C8762E">
        <w:t xml:space="preserve"> </w:t>
      </w:r>
      <w:r w:rsidR="00753078" w:rsidRPr="00C8762E">
        <w:t>integral,</w:t>
      </w:r>
      <w:r w:rsidR="005B7C15" w:rsidRPr="00C8762E">
        <w:t xml:space="preserve"> </w:t>
      </w:r>
      <w:r w:rsidR="00753078" w:rsidRPr="00C8762E">
        <w:t>la</w:t>
      </w:r>
      <w:r w:rsidR="005B7C15" w:rsidRPr="00C8762E">
        <w:t xml:space="preserve"> </w:t>
      </w:r>
      <w:r w:rsidR="00753078" w:rsidRPr="00C8762E">
        <w:t>reincorporación</w:t>
      </w:r>
      <w:r w:rsidR="005B7C15" w:rsidRPr="00C8762E">
        <w:t xml:space="preserve"> </w:t>
      </w:r>
      <w:r w:rsidR="00753078" w:rsidRPr="00C8762E">
        <w:t>y su inclusión social,</w:t>
      </w:r>
      <w:r w:rsidR="005B7C15" w:rsidRPr="00C8762E">
        <w:t xml:space="preserve"> </w:t>
      </w:r>
      <w:r w:rsidR="00753078" w:rsidRPr="00C8762E">
        <w:t>mediante la</w:t>
      </w:r>
      <w:r w:rsidR="005B7C15" w:rsidRPr="00C8762E">
        <w:t xml:space="preserve"> </w:t>
      </w:r>
      <w:r w:rsidR="00753078" w:rsidRPr="00C8762E">
        <w:t>articulación institucional y la participación activa</w:t>
      </w:r>
      <w:r w:rsidR="005B7C15" w:rsidRPr="00C8762E">
        <w:t xml:space="preserve"> </w:t>
      </w:r>
      <w:r w:rsidR="00753078" w:rsidRPr="00C8762E">
        <w:t>de</w:t>
      </w:r>
      <w:r w:rsidR="005B7C15" w:rsidRPr="00C8762E">
        <w:t xml:space="preserve"> </w:t>
      </w:r>
      <w:r w:rsidR="00753078" w:rsidRPr="00C8762E">
        <w:t>estos,</w:t>
      </w:r>
      <w:r w:rsidR="005B7C15" w:rsidRPr="00C8762E">
        <w:t xml:space="preserve"> </w:t>
      </w:r>
      <w:r w:rsidR="00753078" w:rsidRPr="00C8762E">
        <w:t>sus familias,</w:t>
      </w:r>
      <w:r w:rsidR="005B7C15" w:rsidRPr="00C8762E">
        <w:t xml:space="preserve"> </w:t>
      </w:r>
      <w:r w:rsidR="00753078" w:rsidRPr="00C8762E">
        <w:t>comunidades</w:t>
      </w:r>
      <w:r w:rsidR="005B7C15" w:rsidRPr="00C8762E">
        <w:t xml:space="preserve"> </w:t>
      </w:r>
      <w:r w:rsidR="00753078" w:rsidRPr="00C8762E">
        <w:t>y organizaciones</w:t>
      </w:r>
      <w:r w:rsidR="005B7C15" w:rsidRPr="00C8762E">
        <w:t xml:space="preserve"> </w:t>
      </w:r>
      <w:r w:rsidR="00753078" w:rsidRPr="00C8762E">
        <w:t>sociales</w:t>
      </w:r>
      <w:r w:rsidR="005B7C15" w:rsidRPr="00C8762E">
        <w:t xml:space="preserve"> </w:t>
      </w:r>
      <w:r w:rsidR="00753078" w:rsidRPr="00C8762E">
        <w:t xml:space="preserve">de sus </w:t>
      </w:r>
      <w:r w:rsidR="00753078" w:rsidRPr="00C8762E">
        <w:lastRenderedPageBreak/>
        <w:t>comunidades</w:t>
      </w:r>
      <w:r w:rsidR="005B7C15" w:rsidRPr="00C8762E">
        <w:t xml:space="preserve"> </w:t>
      </w:r>
      <w:r w:rsidR="00753078" w:rsidRPr="00C8762E">
        <w:t>de origen. El programa está compuesto por cuatro procesos: i) la salida de los menores de edad; ii) el restablecimiento de sus derechos</w:t>
      </w:r>
      <w:r w:rsidR="005B7C15" w:rsidRPr="00C8762E">
        <w:t>;</w:t>
      </w:r>
      <w:r w:rsidR="00753078" w:rsidRPr="00C8762E">
        <w:t xml:space="preserve"> iii) su reparación integral y su iv)</w:t>
      </w:r>
      <w:r w:rsidR="005B7C15" w:rsidRPr="00C8762E">
        <w:t> </w:t>
      </w:r>
      <w:r w:rsidR="00753078" w:rsidRPr="00C8762E">
        <w:t>reincorporación e inclusión social.</w:t>
      </w:r>
    </w:p>
    <w:p w:rsidR="00753078" w:rsidRPr="00C8762E" w:rsidRDefault="00992FBC" w:rsidP="00992FBC">
      <w:pPr>
        <w:pStyle w:val="H1G"/>
      </w:pPr>
      <w:r w:rsidRPr="00C8762E">
        <w:tab/>
      </w:r>
      <w:r w:rsidRPr="00C8762E">
        <w:tab/>
      </w:r>
      <w:r w:rsidR="00753078" w:rsidRPr="00C8762E">
        <w:t>Artículo 11</w:t>
      </w:r>
    </w:p>
    <w:p w:rsidR="00753078" w:rsidRPr="00C8762E" w:rsidRDefault="00992FBC" w:rsidP="00992FBC">
      <w:pPr>
        <w:pStyle w:val="H23G"/>
      </w:pPr>
      <w:r w:rsidRPr="00C8762E">
        <w:tab/>
      </w:r>
      <w:r w:rsidR="00753078" w:rsidRPr="00C8762E">
        <w:t>7.</w:t>
      </w:r>
      <w:r w:rsidR="00753078" w:rsidRPr="00C8762E">
        <w:tab/>
        <w:t>Plan Nacional para la Eliminación de la Pobreza</w:t>
      </w:r>
    </w:p>
    <w:p w:rsidR="00753078" w:rsidRPr="00C8762E" w:rsidRDefault="002708A2" w:rsidP="00067975">
      <w:pPr>
        <w:pStyle w:val="SingleTxtG"/>
      </w:pPr>
      <w:r w:rsidRPr="00C8762E">
        <w:t>49.</w:t>
      </w:r>
      <w:r w:rsidRPr="00C8762E">
        <w:tab/>
      </w:r>
      <w:r w:rsidR="00753078" w:rsidRPr="00C8762E">
        <w:t>Con la inversión en los programas sociales de Prosperidad Social, se ha contribuido a la superación de la pobreza por ingresos y pobreza en todas sus dimensiones. El efecto de las ayudas institucionales para mejorar las condiciones de las personas fue mayor en el área rural en comparación con el área urbana y más fuerte en la mitigación de la pobreza extrema en comparación con la pobreza moderada. Lo anterior debido a que sin las ayudas institucionales la pobreza extrema en el área urbana hubiese sido del 6,4% y no del 5,6% y la pobreza extrema en el área rural se hubiese ubicado en 21,2% y no en 18,1% como realmente sucedió.</w:t>
      </w:r>
    </w:p>
    <w:p w:rsidR="00753078" w:rsidRPr="00C8762E" w:rsidRDefault="002708A2" w:rsidP="00067975">
      <w:pPr>
        <w:pStyle w:val="SingleTxtG"/>
      </w:pPr>
      <w:r w:rsidRPr="00C8762E">
        <w:t>50.</w:t>
      </w:r>
      <w:r w:rsidRPr="00C8762E">
        <w:tab/>
      </w:r>
      <w:r w:rsidR="00753078" w:rsidRPr="00C8762E">
        <w:t>En cuanto a la atención a la población en situación de pobreza y vulnerabilidad en las áreas rurales, a través del programa Más Familias en Acción, desde 2012 se han atendido un total de 3.028.814 hogares en el país, de los cuales la cobertura en las zonas rurales es del 41% correspondiente a 1.247.479 hogares, incluyendo la clasificación centro poblado y rural disperso. En la vigencia 2016 la ejecución de este programa fue de 1.912.326 mil millones de pesos.</w:t>
      </w:r>
    </w:p>
    <w:p w:rsidR="00753078" w:rsidRPr="00C8762E" w:rsidRDefault="002708A2" w:rsidP="00067975">
      <w:pPr>
        <w:pStyle w:val="SingleTxtG"/>
      </w:pPr>
      <w:r w:rsidRPr="00C8762E">
        <w:t>51.</w:t>
      </w:r>
      <w:r w:rsidRPr="00C8762E">
        <w:tab/>
      </w:r>
      <w:r w:rsidR="00753078" w:rsidRPr="00C8762E">
        <w:t>Se están implementando programas diseñados específicamente para la población rural, a través del componente de acompañamiento familiar rural con la Red Unidos, la Entidad ha realizado la caracterización y acompañamiento en la superación de la pobreza a 359.206 hogares rurales con una meta de acompañamiento a 2018, de 650.000 hogares.</w:t>
      </w:r>
    </w:p>
    <w:p w:rsidR="00753078" w:rsidRPr="00C8762E" w:rsidRDefault="002708A2" w:rsidP="00067975">
      <w:pPr>
        <w:pStyle w:val="SingleTxtG"/>
      </w:pPr>
      <w:r w:rsidRPr="00C8762E">
        <w:t>52.</w:t>
      </w:r>
      <w:r w:rsidRPr="00C8762E">
        <w:tab/>
      </w:r>
      <w:r w:rsidR="00753078" w:rsidRPr="00C8762E">
        <w:t>El presupuesto ejecutado para las Intervenciones Rurales Integrales (</w:t>
      </w:r>
      <w:proofErr w:type="spellStart"/>
      <w:r w:rsidR="00753078" w:rsidRPr="00C8762E">
        <w:t>IRI</w:t>
      </w:r>
      <w:r w:rsidRPr="00C8762E">
        <w:t>’</w:t>
      </w:r>
      <w:r w:rsidR="00753078" w:rsidRPr="00C8762E">
        <w:t>s</w:t>
      </w:r>
      <w:proofErr w:type="spellEnd"/>
      <w:r w:rsidR="00753078" w:rsidRPr="00C8762E">
        <w:t>) en 2016 fue de aproximadamente 138</w:t>
      </w:r>
      <w:r w:rsidR="005B7C15" w:rsidRPr="00C8762E">
        <w:t>.000</w:t>
      </w:r>
      <w:r w:rsidR="00753078" w:rsidRPr="00C8762E">
        <w:t xml:space="preserve"> millones de pesos.</w:t>
      </w:r>
    </w:p>
    <w:p w:rsidR="00753078" w:rsidRPr="00C8762E" w:rsidRDefault="00992FBC" w:rsidP="00992FBC">
      <w:pPr>
        <w:pStyle w:val="H23G"/>
      </w:pPr>
      <w:r w:rsidRPr="00C8762E">
        <w:tab/>
      </w:r>
      <w:r w:rsidR="00753078" w:rsidRPr="00C8762E">
        <w:t>8.</w:t>
      </w:r>
      <w:r w:rsidR="00753078" w:rsidRPr="00C8762E">
        <w:tab/>
        <w:t>Procesos de restitución de tierras a las víctimas del conflicto armado</w:t>
      </w:r>
    </w:p>
    <w:p w:rsidR="00753078" w:rsidRPr="00C8762E" w:rsidRDefault="00C35DC4" w:rsidP="00067975">
      <w:pPr>
        <w:pStyle w:val="SingleTxtG"/>
      </w:pPr>
      <w:r w:rsidRPr="00C8762E">
        <w:t>53.</w:t>
      </w:r>
      <w:r w:rsidRPr="00C8762E">
        <w:tab/>
      </w:r>
      <w:r w:rsidR="00753078" w:rsidRPr="00C8762E">
        <w:t xml:space="preserve">La consagración de la Ley </w:t>
      </w:r>
      <w:r w:rsidR="00777999" w:rsidRPr="00C8762E">
        <w:t xml:space="preserve">núm. </w:t>
      </w:r>
      <w:r w:rsidR="00753078" w:rsidRPr="00C8762E">
        <w:t xml:space="preserve">1448 de 2011 creó un procedimiento legal y expedito para restituir y formalizar la tierra de las víctimas del despojo y abandono forzoso y resolver, de manera definitiva y eficiente, las problemáticas asociadas a la pérdida patrimonial en dos etapas: administrativa y judicial. También fueron expedidos los </w:t>
      </w:r>
      <w:r w:rsidR="00777999" w:rsidRPr="00C8762E">
        <w:t>Decretos-</w:t>
      </w:r>
      <w:r w:rsidR="00753078" w:rsidRPr="00C8762E">
        <w:t xml:space="preserve">Ley </w:t>
      </w:r>
      <w:proofErr w:type="spellStart"/>
      <w:r w:rsidR="00777999" w:rsidRPr="00C8762E">
        <w:t>núms</w:t>
      </w:r>
      <w:proofErr w:type="spellEnd"/>
      <w:r w:rsidR="00777999" w:rsidRPr="00C8762E">
        <w:t xml:space="preserve">. </w:t>
      </w:r>
      <w:r w:rsidR="00753078" w:rsidRPr="00C8762E">
        <w:t xml:space="preserve">4829, 4633, 4634 y 4635 que establecieron el procedimiento para restablecer los derechos territoriales de víctimas pertenecientes a los pueblos y comunidades indígenas, negras, afrocolombianas, raizales y </w:t>
      </w:r>
      <w:proofErr w:type="spellStart"/>
      <w:r w:rsidR="00753078" w:rsidRPr="00C8762E">
        <w:t>palenqueras</w:t>
      </w:r>
      <w:proofErr w:type="spellEnd"/>
      <w:r w:rsidR="00753078" w:rsidRPr="00C8762E">
        <w:t xml:space="preserve"> y </w:t>
      </w:r>
      <w:proofErr w:type="spellStart"/>
      <w:r w:rsidR="00753078" w:rsidRPr="00C8762E">
        <w:t>Rom</w:t>
      </w:r>
      <w:proofErr w:type="spellEnd"/>
      <w:r w:rsidR="00753078" w:rsidRPr="00C8762E">
        <w:t>.</w:t>
      </w:r>
    </w:p>
    <w:p w:rsidR="00753078" w:rsidRPr="00C8762E" w:rsidRDefault="00C35DC4" w:rsidP="00067975">
      <w:pPr>
        <w:pStyle w:val="SingleTxtG"/>
      </w:pPr>
      <w:r w:rsidRPr="00C8762E">
        <w:t>54.</w:t>
      </w:r>
      <w:r w:rsidRPr="00C8762E">
        <w:tab/>
      </w:r>
      <w:r w:rsidR="00753078" w:rsidRPr="00C8762E">
        <w:t xml:space="preserve">El Estado garantiza la sostenibilidad de la política mediante el alivio de pasivos predial, financiero y tributario asociados a los predios restituidos, así como con el Programa de Proyectos Productivos y de priorización de vivienda. </w:t>
      </w:r>
    </w:p>
    <w:p w:rsidR="00753078" w:rsidRPr="00C8762E" w:rsidRDefault="00C35DC4" w:rsidP="00067975">
      <w:pPr>
        <w:pStyle w:val="SingleTxtG"/>
      </w:pPr>
      <w:r w:rsidRPr="00C8762E">
        <w:t>55.</w:t>
      </w:r>
      <w:r w:rsidRPr="00C8762E">
        <w:tab/>
      </w:r>
      <w:r w:rsidR="00753078" w:rsidRPr="00C8762E">
        <w:t>El Ministerio de Agricultura y Desarrollo Rural expidió la Circular 8 de julio de</w:t>
      </w:r>
      <w:r w:rsidR="005B7C15" w:rsidRPr="00C8762E">
        <w:t> </w:t>
      </w:r>
      <w:r w:rsidR="00753078" w:rsidRPr="00C8762E">
        <w:t xml:space="preserve">2015, donde se solicitó a los Presidentes, Gerentes y/o Directores de las entidades adscritas y vinculadas, reportar de manera bimensual la información acerca del Fortalecimiento de la Política Pública de Restitución de Tierras del Sector Agropecuario, Pesquero y de Desarrollo Rural. </w:t>
      </w:r>
    </w:p>
    <w:p w:rsidR="00753078" w:rsidRPr="00C8762E" w:rsidRDefault="00C35DC4" w:rsidP="00067975">
      <w:pPr>
        <w:pStyle w:val="SingleTxtG"/>
      </w:pPr>
      <w:r w:rsidRPr="00C8762E">
        <w:t>56.</w:t>
      </w:r>
      <w:r w:rsidRPr="00C8762E">
        <w:tab/>
      </w:r>
      <w:r w:rsidR="00753078" w:rsidRPr="00C8762E">
        <w:t xml:space="preserve">Respecto al acceso a tierras en el marco de la Reforma Rural Integral (RRI) acordada en el punto 1 del Acuerdo Final, se convino la creación de un Fondo de tierras para distribuir a campesinos que no la tienen o la tienen de manera insuficiente. En un período de 12 años, este Fondo deberá disponer de 3 millones de hectáreas. Además, se establecieron medidas adicionales como el subsidio integral de tierras y la línea especial de compra de tierras. Otra meta importante en materia de acceso tiene que ver con la formalización de los derechos de propiedad. El Acuerdo Final establece una meta de formalizar 7 millones de hectáreas. </w:t>
      </w:r>
    </w:p>
    <w:p w:rsidR="00753078" w:rsidRPr="00C8762E" w:rsidRDefault="00C35DC4" w:rsidP="00067975">
      <w:pPr>
        <w:pStyle w:val="SingleTxtG"/>
      </w:pPr>
      <w:r w:rsidRPr="00C8762E">
        <w:t>57.</w:t>
      </w:r>
      <w:r w:rsidRPr="00C8762E">
        <w:tab/>
      </w:r>
      <w:r w:rsidR="00753078" w:rsidRPr="00C8762E">
        <w:t xml:space="preserve">En relación con la restitución de tierras como una medida de satisfacción de los derechos de las víctimas, el Acuerdo Final señala dentro de las </w:t>
      </w:r>
      <w:r w:rsidR="00054E05" w:rsidRPr="00C8762E">
        <w:t>“</w:t>
      </w:r>
      <w:r w:rsidR="00753078" w:rsidRPr="00C8762E">
        <w:t xml:space="preserve">Medidas de reparación </w:t>
      </w:r>
      <w:r w:rsidR="00753078" w:rsidRPr="00C8762E">
        <w:lastRenderedPageBreak/>
        <w:t>integral para construir la paz</w:t>
      </w:r>
      <w:r w:rsidR="00054E05" w:rsidRPr="00C8762E">
        <w:t>”</w:t>
      </w:r>
      <w:r w:rsidR="00753078" w:rsidRPr="00C8762E">
        <w:t xml:space="preserve"> (numeral 5.1.3)</w:t>
      </w:r>
      <w:r w:rsidRPr="00C8762E">
        <w:t xml:space="preserve"> </w:t>
      </w:r>
      <w:r w:rsidR="00753078" w:rsidRPr="00C8762E">
        <w:t>un apartado respecto a la restitución de tierras donde se precisa, en primer lugar, la articulación que debe haber entre el enfoque de reparación colectiva que propone el Acuerdo Final y los (PDET) con una apuesta de fortalecer y dinamizar la restitución de tierras. Para ello, se acordaron medidas que incluyen: i) la interoperabilidad del registro único de predios y tierras abandonadas (RUPTA) con el registro único de víctimas (RUV); ii) la concurrencia de las entidades territoriales en la política de restitución de tierras mediante los Planes Territoriales de Desarrollo; y iii) apoyos para que la población beneficiaria de la restitución pueda reconstruir su proyecto de vida, por ejemplo, estrategias de generación de ingresos y estrategias de reconstrucción del tejido social.</w:t>
      </w:r>
    </w:p>
    <w:p w:rsidR="00753078" w:rsidRPr="00C8762E" w:rsidRDefault="00C35DC4" w:rsidP="00067975">
      <w:pPr>
        <w:pStyle w:val="SingleTxtG"/>
      </w:pPr>
      <w:r w:rsidRPr="00C8762E">
        <w:t>58.</w:t>
      </w:r>
      <w:r w:rsidRPr="00C8762E">
        <w:tab/>
      </w:r>
      <w:r w:rsidR="00753078" w:rsidRPr="00C8762E">
        <w:t xml:space="preserve">Entre los avances normativos, se expidió el </w:t>
      </w:r>
      <w:r w:rsidR="00777999" w:rsidRPr="00C8762E">
        <w:t>Decreto</w:t>
      </w:r>
      <w:r w:rsidR="00753078" w:rsidRPr="00C8762E">
        <w:t xml:space="preserve"> </w:t>
      </w:r>
      <w:r w:rsidR="00777999" w:rsidRPr="00C8762E">
        <w:t xml:space="preserve">núm. </w:t>
      </w:r>
      <w:r w:rsidR="00753078" w:rsidRPr="00C8762E">
        <w:t xml:space="preserve">902 de 2017, por el cual se adoptan medidas para facilitar la implementación de la RRI contemplada en el Acuerdo Final en materia de tierras, específicamente el procedimiento para el acceso y formalización y el Fondo de Tierras que implica la construcción de mecanismos y garantías de acceso a tierras de hombres y mujeres sin tierra o con tierra insuficiente atendiendo el ordenamiento social de la propiedad rural. En este mismo proceso, se expidieron los siguientes decretos: </w:t>
      </w:r>
      <w:r w:rsidR="00777999" w:rsidRPr="00C8762E">
        <w:t xml:space="preserve">Decreto núm. </w:t>
      </w:r>
      <w:r w:rsidR="00753078" w:rsidRPr="00C8762E">
        <w:t xml:space="preserve">893 de 28 de mayo de 2017, PDET y </w:t>
      </w:r>
      <w:r w:rsidR="00777999" w:rsidRPr="00C8762E">
        <w:t>Decreto</w:t>
      </w:r>
      <w:r w:rsidR="00753078" w:rsidRPr="00C8762E">
        <w:t xml:space="preserve"> </w:t>
      </w:r>
      <w:r w:rsidR="00777999" w:rsidRPr="00C8762E">
        <w:t xml:space="preserve">núm. </w:t>
      </w:r>
      <w:r w:rsidR="00753078" w:rsidRPr="00C8762E">
        <w:t>890 de 28 de mayo de</w:t>
      </w:r>
      <w:r w:rsidR="005B7C15" w:rsidRPr="00C8762E">
        <w:t> </w:t>
      </w:r>
      <w:r w:rsidR="00753078" w:rsidRPr="00C8762E">
        <w:t>2017, Plan Nacional de Construcción y Mejoramiento de Vivienda Social Rural.</w:t>
      </w:r>
    </w:p>
    <w:p w:rsidR="00753078" w:rsidRPr="00C8762E" w:rsidRDefault="00C35DC4" w:rsidP="00067975">
      <w:pPr>
        <w:pStyle w:val="SingleTxtG"/>
      </w:pPr>
      <w:r w:rsidRPr="00C8762E">
        <w:t>59.</w:t>
      </w:r>
      <w:r w:rsidRPr="00C8762E">
        <w:tab/>
      </w:r>
      <w:r w:rsidR="00753078" w:rsidRPr="00C8762E">
        <w:t>También se viene construyendo el Plan Marco de Implementación, para el planteamiento de metas e indicadores que permitan desarrollar las acciones de implementación en los temas de: Acceso a tierras, Uso del Suelo, Restitución de tierras; Riego y drenaje, Asistencia técnica, Vivienda rural, Economía solidaria y mercadeo, Financiamiento y Aspectos ambientales.</w:t>
      </w:r>
    </w:p>
    <w:p w:rsidR="00753078" w:rsidRPr="00C8762E" w:rsidRDefault="00992FBC" w:rsidP="00992FBC">
      <w:pPr>
        <w:pStyle w:val="H23G"/>
      </w:pPr>
      <w:r w:rsidRPr="00C8762E">
        <w:tab/>
      </w:r>
      <w:r w:rsidR="00753078" w:rsidRPr="00C8762E">
        <w:t>9.</w:t>
      </w:r>
      <w:r w:rsidR="00753078" w:rsidRPr="00C8762E">
        <w:tab/>
        <w:t>Reinserción social y económica de personas refugiadas colombianas que han retornado al Estado</w:t>
      </w:r>
    </w:p>
    <w:p w:rsidR="00753078" w:rsidRPr="00C8762E" w:rsidRDefault="00C35DC4" w:rsidP="00067975">
      <w:pPr>
        <w:pStyle w:val="SingleTxtG"/>
      </w:pPr>
      <w:r w:rsidRPr="00C8762E">
        <w:t>60.</w:t>
      </w:r>
      <w:r w:rsidRPr="00C8762E">
        <w:tab/>
      </w:r>
      <w:r w:rsidR="00753078" w:rsidRPr="00C8762E">
        <w:t xml:space="preserve">La </w:t>
      </w:r>
      <w:r w:rsidRPr="00C8762E">
        <w:t xml:space="preserve">Ley </w:t>
      </w:r>
      <w:r w:rsidR="00777999" w:rsidRPr="00C8762E">
        <w:t xml:space="preserve">núm. </w:t>
      </w:r>
      <w:r w:rsidR="00753078" w:rsidRPr="00C8762E">
        <w:t xml:space="preserve">1565 de 2012 </w:t>
      </w:r>
      <w:r w:rsidR="00054E05" w:rsidRPr="00C8762E">
        <w:t>“</w:t>
      </w:r>
      <w:r w:rsidR="00753078" w:rsidRPr="00C8762E">
        <w:t>Por medio de la cual se dictan disposiciones y se fijan incentivos para el retorno de los colombianos residentes en el extranjero</w:t>
      </w:r>
      <w:r w:rsidR="00054E05" w:rsidRPr="00C8762E">
        <w:t>”</w:t>
      </w:r>
      <w:r w:rsidR="00753078" w:rsidRPr="00C8762E">
        <w:t xml:space="preserve">, contempla entre los tipos de retorno, el solidario, en el cual se incluye a la población colombiana víctima de conflicto armado interno que regresa a Colombia, en articulación con lo establecido en la Ley </w:t>
      </w:r>
      <w:r w:rsidR="00777999" w:rsidRPr="00C8762E">
        <w:t xml:space="preserve">núm. </w:t>
      </w:r>
      <w:r w:rsidR="00753078" w:rsidRPr="00C8762E">
        <w:t>1448 de 2011 y sus decretos reglamentarios.</w:t>
      </w:r>
    </w:p>
    <w:p w:rsidR="00753078" w:rsidRPr="00C8762E" w:rsidRDefault="00992FBC" w:rsidP="00992FBC">
      <w:pPr>
        <w:pStyle w:val="H23G"/>
      </w:pPr>
      <w:r w:rsidRPr="00C8762E">
        <w:tab/>
        <w:t>1</w:t>
      </w:r>
      <w:r w:rsidR="00753078" w:rsidRPr="00C8762E">
        <w:t>0.</w:t>
      </w:r>
      <w:r w:rsidR="00753078" w:rsidRPr="00C8762E">
        <w:tab/>
        <w:t>Medidas para que las personas víctimas de desplazamiento interno tengan acceso a</w:t>
      </w:r>
      <w:r w:rsidR="00C35DC4" w:rsidRPr="00C8762E">
        <w:t> </w:t>
      </w:r>
      <w:r w:rsidR="00753078" w:rsidRPr="00C8762E">
        <w:t>un</w:t>
      </w:r>
      <w:r w:rsidR="00C35DC4" w:rsidRPr="00C8762E">
        <w:t> </w:t>
      </w:r>
      <w:r w:rsidR="00753078" w:rsidRPr="00C8762E">
        <w:t xml:space="preserve">nivel de vida adecuado </w:t>
      </w:r>
    </w:p>
    <w:p w:rsidR="00753078" w:rsidRPr="00C8762E" w:rsidRDefault="00C35DC4" w:rsidP="00067975">
      <w:pPr>
        <w:pStyle w:val="SingleTxtG"/>
      </w:pPr>
      <w:r w:rsidRPr="00C8762E">
        <w:t>61.</w:t>
      </w:r>
      <w:r w:rsidRPr="00C8762E">
        <w:tab/>
      </w:r>
      <w:r w:rsidR="00753078" w:rsidRPr="00C8762E">
        <w:t xml:space="preserve">La Unidad para la Atención y Reparación Integral a Víctimas desarrolló un modelo de medición que permite, por un lado, identificar aquellas víctimas con carencias en su subsistencia mínima que deben recibir asistencia humanitaria, y por otro, determinar el avance en la superación de situación de vulnerabilidad asociada al hecho </w:t>
      </w:r>
      <w:proofErr w:type="spellStart"/>
      <w:r w:rsidR="00753078" w:rsidRPr="00C8762E">
        <w:t>victimizante</w:t>
      </w:r>
      <w:proofErr w:type="spellEnd"/>
      <w:r w:rsidR="00753078" w:rsidRPr="00C8762E">
        <w:t xml:space="preserve"> de desplazamiento forzado. De esta manera, existen tres criterios para establecer que una persona ha superado la situación de vulnerabilidad que se verifican a partir de 7 derechos: identificación, salud, educación, alimentación, generación de ingresos, reunificación familiar y vivienda, y una vez se ha estabilizado socioeconómicamente, no requiere del amparo de una oferta social o humanitaria particular por su estatus. </w:t>
      </w:r>
    </w:p>
    <w:p w:rsidR="00753078" w:rsidRPr="00C8762E" w:rsidRDefault="00C35DC4" w:rsidP="00067975">
      <w:pPr>
        <w:pStyle w:val="SingleTxtG"/>
      </w:pPr>
      <w:r w:rsidRPr="00C8762E">
        <w:t>62.</w:t>
      </w:r>
      <w:r w:rsidRPr="00C8762E">
        <w:tab/>
      </w:r>
      <w:r w:rsidR="00753078" w:rsidRPr="00C8762E">
        <w:t xml:space="preserve">Durante el año 2016, se identificaron 627.616 hogares víctimas de desplazamiento forzado con carencias en al menos uno de los componentes de la subsistencia mínima. De ellos han sido atendidos con por lo menos con un giro de atención humanitaria un total de 571.193 hogares. </w:t>
      </w:r>
    </w:p>
    <w:p w:rsidR="00753078" w:rsidRPr="00C8762E" w:rsidRDefault="00C35DC4" w:rsidP="00067975">
      <w:pPr>
        <w:pStyle w:val="SingleTxtG"/>
      </w:pPr>
      <w:r w:rsidRPr="00C8762E">
        <w:t>63.</w:t>
      </w:r>
      <w:r w:rsidRPr="00C8762E">
        <w:tab/>
      </w:r>
      <w:r w:rsidR="00753078" w:rsidRPr="00C8762E">
        <w:t>De las 7.359.067 víctimas de desplazamiento forzado incluidas en el Registro Único de Víctimas, 6.514.671 habían sido valoradas para abril de 2017 frente al estado de superación de su situación de vulnerabilidad asociada al desplazamiento. El Gobierno Nacional así determinó que 240.689 víctimas han superado su situación de vulnerabilidad, cifra que el 48.1% meta del Gobierno actual de 500.000 personas para el año 2018.</w:t>
      </w:r>
    </w:p>
    <w:p w:rsidR="00753078" w:rsidRPr="00C8762E" w:rsidRDefault="00992FBC" w:rsidP="00992FBC">
      <w:pPr>
        <w:pStyle w:val="H23G"/>
      </w:pPr>
      <w:r w:rsidRPr="00C8762E">
        <w:tab/>
        <w:t>1</w:t>
      </w:r>
      <w:r w:rsidR="00753078" w:rsidRPr="00C8762E">
        <w:t>1.</w:t>
      </w:r>
      <w:r w:rsidR="00753078" w:rsidRPr="00C8762E">
        <w:tab/>
        <w:t>Programas de sustitución voluntaria de cultivos ilícitos</w:t>
      </w:r>
    </w:p>
    <w:p w:rsidR="00753078" w:rsidRPr="00C8762E" w:rsidRDefault="00C35DC4" w:rsidP="00067975">
      <w:pPr>
        <w:pStyle w:val="SingleTxtG"/>
      </w:pPr>
      <w:r w:rsidRPr="00C8762E">
        <w:t>64.</w:t>
      </w:r>
      <w:r w:rsidRPr="00C8762E">
        <w:tab/>
      </w:r>
      <w:r w:rsidR="00753078" w:rsidRPr="00C8762E">
        <w:t xml:space="preserve">En el marco de la implementación del punto 4 del Acuerdo, mediante el Decreto </w:t>
      </w:r>
      <w:r w:rsidR="00777999" w:rsidRPr="00C8762E">
        <w:t xml:space="preserve">núm. </w:t>
      </w:r>
      <w:r w:rsidR="00753078" w:rsidRPr="00C8762E">
        <w:t xml:space="preserve">896 de 2017 se crea el Programa Nacional Integral de Sustitución de cultivos de uso </w:t>
      </w:r>
      <w:r w:rsidR="00753078" w:rsidRPr="00C8762E">
        <w:lastRenderedPageBreak/>
        <w:t xml:space="preserve">ilícito (PNIS), para promover la sustitución voluntaria de dichos cultivos, mediante el desarrollo de programas y proyectos que permitan superar las condiciones de vulnerabilidad de las familias campesinas. En este sentido, las familias que formalicen su compromiso con la sustitución voluntaria, la no resiembra, el no cultivar ni estar involucradas en labores asociadas a los cultivos de uso ilícito, ni de participar en la comercialización ilegal de las materias primas derivadas de </w:t>
      </w:r>
      <w:r w:rsidR="00777999" w:rsidRPr="00C8762E">
        <w:t>e</w:t>
      </w:r>
      <w:r w:rsidR="00753078" w:rsidRPr="00C8762E">
        <w:t>stos, se beneficiarán de la siguiente manera</w:t>
      </w:r>
      <w:r w:rsidR="005B7C15" w:rsidRPr="00C8762E">
        <w:t>.</w:t>
      </w:r>
    </w:p>
    <w:p w:rsidR="00753078" w:rsidRPr="00C8762E" w:rsidRDefault="00C35DC4" w:rsidP="00067975">
      <w:pPr>
        <w:pStyle w:val="SingleTxtG"/>
      </w:pPr>
      <w:r w:rsidRPr="00C8762E">
        <w:t>65.</w:t>
      </w:r>
      <w:r w:rsidRPr="00C8762E">
        <w:tab/>
      </w:r>
      <w:r w:rsidR="00753078" w:rsidRPr="00C8762E">
        <w:t>Durante el primer año:</w:t>
      </w:r>
    </w:p>
    <w:p w:rsidR="00753078" w:rsidRPr="00C8762E" w:rsidRDefault="00753078" w:rsidP="003A7CF5">
      <w:pPr>
        <w:pStyle w:val="Bullet1G"/>
      </w:pPr>
      <w:r w:rsidRPr="00C8762E">
        <w:t>1.000.000 de pesos mensuales de remuneración por actividades de sustitución de cultivos, preparación de tierras para siembras legales o trabajo en obras públicas de interés comunitario, hasta por 12 meses para campesinos.</w:t>
      </w:r>
    </w:p>
    <w:p w:rsidR="00753078" w:rsidRPr="00C8762E" w:rsidRDefault="00753078" w:rsidP="003A7CF5">
      <w:pPr>
        <w:pStyle w:val="Bullet1G"/>
      </w:pPr>
      <w:r w:rsidRPr="00C8762E">
        <w:t xml:space="preserve">1.800.000 de pesos para la implementación de proyectos de </w:t>
      </w:r>
      <w:proofErr w:type="spellStart"/>
      <w:r w:rsidRPr="00C8762E">
        <w:t>autosostenimiento</w:t>
      </w:r>
      <w:proofErr w:type="spellEnd"/>
      <w:r w:rsidRPr="00C8762E">
        <w:t xml:space="preserve"> y seguridad alimentaria por una sola vez, tales como cultivos de </w:t>
      </w:r>
      <w:proofErr w:type="spellStart"/>
      <w:r w:rsidRPr="00C8762E">
        <w:t>pancoger</w:t>
      </w:r>
      <w:proofErr w:type="spellEnd"/>
      <w:r w:rsidRPr="00C8762E">
        <w:t xml:space="preserve"> y cría de especies menores.</w:t>
      </w:r>
    </w:p>
    <w:p w:rsidR="00753078" w:rsidRPr="00C8762E" w:rsidRDefault="00753078" w:rsidP="003A7CF5">
      <w:pPr>
        <w:pStyle w:val="Bullet1G"/>
      </w:pPr>
      <w:r w:rsidRPr="00C8762E">
        <w:t>9.000.000 de pesos por una sola vez, para adecuación y ejecución de proyectos de ciclo corto e ingreso rápido como piscicultura, avicultura, entre otros.</w:t>
      </w:r>
    </w:p>
    <w:p w:rsidR="00753078" w:rsidRPr="00C8762E" w:rsidRDefault="00C35DC4" w:rsidP="00067975">
      <w:pPr>
        <w:pStyle w:val="SingleTxtG"/>
      </w:pPr>
      <w:r w:rsidRPr="00C8762E">
        <w:t>66.</w:t>
      </w:r>
      <w:r w:rsidRPr="00C8762E">
        <w:tab/>
      </w:r>
      <w:r w:rsidR="00753078" w:rsidRPr="00C8762E">
        <w:t>A partir del segundo año, para asegurar a las familias mejores ingresos y condiciones de vida dignas, el Gobierno Nacional invertirá por familia, hasta 10.000.000 de pesos en proyectos productivos y sufragar mano de obra.</w:t>
      </w:r>
      <w:r w:rsidR="00462771" w:rsidRPr="00C8762E">
        <w:t xml:space="preserve"> </w:t>
      </w:r>
      <w:r w:rsidR="00753078" w:rsidRPr="00C8762E">
        <w:t xml:space="preserve">Adicional se creará una línea de crédito especial y se contará con asistencia técnica durante todo el proceso, con un costo aproximado de 3.200.000 pesos por familia. </w:t>
      </w:r>
    </w:p>
    <w:p w:rsidR="00753078" w:rsidRPr="00C8762E" w:rsidRDefault="00C35DC4" w:rsidP="00067975">
      <w:pPr>
        <w:pStyle w:val="SingleTxtG"/>
      </w:pPr>
      <w:r w:rsidRPr="00C8762E">
        <w:t>67.</w:t>
      </w:r>
      <w:r w:rsidRPr="00C8762E">
        <w:tab/>
      </w:r>
      <w:r w:rsidR="00753078" w:rsidRPr="00C8762E">
        <w:t>Entre las instancias territoriales de coordinación y gestión del PNIS están: los Consejos Asesores Territoriales, las Comisiones Municipales de Planeación Participativa y el Consejo Municipal de Evaluación y Seguimiento.</w:t>
      </w:r>
    </w:p>
    <w:p w:rsidR="00753078" w:rsidRPr="00C8762E" w:rsidRDefault="00C35DC4" w:rsidP="00067975">
      <w:pPr>
        <w:pStyle w:val="SingleTxtG"/>
        <w:rPr>
          <w:bCs/>
        </w:rPr>
      </w:pPr>
      <w:r w:rsidRPr="00C8762E">
        <w:rPr>
          <w:bCs/>
        </w:rPr>
        <w:t>68.</w:t>
      </w:r>
      <w:r w:rsidRPr="00C8762E">
        <w:rPr>
          <w:bCs/>
        </w:rPr>
        <w:tab/>
      </w:r>
      <w:r w:rsidR="00753078" w:rsidRPr="00C8762E">
        <w:rPr>
          <w:bCs/>
        </w:rPr>
        <w:t xml:space="preserve">Es preciso indicar que las medidas para abordar la extracción de minerales tienen dos enfoques, uno de prevención y otro de control. Desde el enfoque de prevención, el sector ha desarrollado herramientas normativas tales como: 1) la definición de mecanismos bajo el amparo de un título o de </w:t>
      </w:r>
      <w:proofErr w:type="spellStart"/>
      <w:r w:rsidR="00753078" w:rsidRPr="00C8762E">
        <w:rPr>
          <w:bCs/>
        </w:rPr>
        <w:t>asociatividad</w:t>
      </w:r>
      <w:proofErr w:type="spellEnd"/>
      <w:r w:rsidR="00753078" w:rsidRPr="00C8762E">
        <w:rPr>
          <w:bCs/>
        </w:rPr>
        <w:t>; 2) definición de los tipos de minería, con el fin de focalizar las estrategias de intervención, especialmente en el caso del apoyo a los mineros de subsistencia, los cuales solo deben inscribirse ante las alcaldías; 3</w:t>
      </w:r>
      <w:r w:rsidRPr="00C8762E">
        <w:rPr>
          <w:bCs/>
        </w:rPr>
        <w:t>)</w:t>
      </w:r>
      <w:r w:rsidR="005B7C15" w:rsidRPr="00C8762E">
        <w:rPr>
          <w:bCs/>
        </w:rPr>
        <w:t xml:space="preserve"> </w:t>
      </w:r>
      <w:r w:rsidR="00753078" w:rsidRPr="00C8762E">
        <w:rPr>
          <w:bCs/>
        </w:rPr>
        <w:t>definición de topes a la producción de los mineros de subsistencia o barequeros. As</w:t>
      </w:r>
      <w:r w:rsidR="00D1717D" w:rsidRPr="00C8762E">
        <w:rPr>
          <w:bCs/>
        </w:rPr>
        <w:t>i</w:t>
      </w:r>
      <w:r w:rsidR="00753078" w:rsidRPr="00C8762E">
        <w:rPr>
          <w:bCs/>
        </w:rPr>
        <w:t>mismo, el sector se encuentra adelantando inversiones para apoyar a los pequeños mineros, a través del acompañamiento institucional y programas de capacitación, para que su actividad se desarrolle de manera competitiva, con tecnologías que aumenten la productividad y reduzcan el impacto ambiental, así como favorecer el acceso al crédito.</w:t>
      </w:r>
    </w:p>
    <w:p w:rsidR="00753078" w:rsidRPr="00C8762E" w:rsidRDefault="00992FBC" w:rsidP="00992FBC">
      <w:pPr>
        <w:pStyle w:val="H23G"/>
      </w:pPr>
      <w:r w:rsidRPr="00C8762E">
        <w:tab/>
        <w:t>1</w:t>
      </w:r>
      <w:r w:rsidR="00753078" w:rsidRPr="00C8762E">
        <w:t>2.</w:t>
      </w:r>
      <w:r w:rsidR="00753078" w:rsidRPr="00C8762E">
        <w:tab/>
        <w:t>Política Nacional de Seguridad Alimentaria y Nutricional</w:t>
      </w:r>
    </w:p>
    <w:p w:rsidR="00753078" w:rsidRPr="00C8762E" w:rsidRDefault="00C35DC4" w:rsidP="00067975">
      <w:pPr>
        <w:pStyle w:val="SingleTxtG"/>
      </w:pPr>
      <w:r w:rsidRPr="00C8762E">
        <w:t>69.</w:t>
      </w:r>
      <w:r w:rsidRPr="00C8762E">
        <w:tab/>
      </w:r>
      <w:r w:rsidR="00753078" w:rsidRPr="00C8762E">
        <w:t>En el marco de la Política Nacional de Seguridad Alimentaria y Nutricional (PSAN), a través del programa Red de Seguridad Alimentaria (</w:t>
      </w:r>
      <w:proofErr w:type="spellStart"/>
      <w:r w:rsidR="00753078" w:rsidRPr="00C8762E">
        <w:t>ReSA</w:t>
      </w:r>
      <w:proofErr w:type="spellEnd"/>
      <w:r w:rsidR="00753078" w:rsidRPr="00C8762E">
        <w:t xml:space="preserve">), se ha mejorado el acceso y consumo de alimentos promoviendo el autoconsumo mediante la siembra en pequeñas parcelas, la promoción de hábitos saludables y el uso de alimentos y productos locales para reducir el hambre y mejorar la seguridad alimentaria en el país. Para las comunidades más marginadas, se han diseñado los modelos de intervención </w:t>
      </w:r>
      <w:proofErr w:type="spellStart"/>
      <w:r w:rsidR="00753078" w:rsidRPr="00C8762E">
        <w:t>ReSA</w:t>
      </w:r>
      <w:proofErr w:type="spellEnd"/>
      <w:r w:rsidR="00753078" w:rsidRPr="00C8762E">
        <w:t xml:space="preserve"> Rural y </w:t>
      </w:r>
      <w:proofErr w:type="spellStart"/>
      <w:r w:rsidR="00753078" w:rsidRPr="00C8762E">
        <w:t>ReSA</w:t>
      </w:r>
      <w:proofErr w:type="spellEnd"/>
      <w:r w:rsidR="00753078" w:rsidRPr="00C8762E">
        <w:t xml:space="preserve"> Étnico. </w:t>
      </w:r>
    </w:p>
    <w:p w:rsidR="00753078" w:rsidRPr="00C8762E" w:rsidRDefault="00C35DC4" w:rsidP="00067975">
      <w:pPr>
        <w:pStyle w:val="SingleTxtG"/>
      </w:pPr>
      <w:r w:rsidRPr="00C8762E">
        <w:t>70.</w:t>
      </w:r>
      <w:r w:rsidRPr="00C8762E">
        <w:tab/>
      </w:r>
      <w:proofErr w:type="spellStart"/>
      <w:r w:rsidR="00753078" w:rsidRPr="00C8762E">
        <w:t>ReSA</w:t>
      </w:r>
      <w:proofErr w:type="spellEnd"/>
      <w:r w:rsidR="00753078" w:rsidRPr="00C8762E">
        <w:t xml:space="preserve"> Rural alcanza una cobertura en 15 departamentos atendiendo a 59 municipios del territorio nacional. Los departamentos con mayor inversión y atención son La Guajira, Chocó, Cauca, Nariño, considerando las regiones donde el Índice de Inseguridad Alimentaria es superior al promedio nacional y donde existe mayor concentración de municipios con elevado Índice de Pobreza Multidimensional. </w:t>
      </w:r>
      <w:proofErr w:type="spellStart"/>
      <w:r w:rsidR="00753078" w:rsidRPr="00C8762E">
        <w:t>ReSA</w:t>
      </w:r>
      <w:proofErr w:type="spellEnd"/>
      <w:r w:rsidR="00753078" w:rsidRPr="00C8762E">
        <w:t xml:space="preserve"> Étnico está presente en 13 municipios de los Departamentos de La Guajira, Chocó, Putumayo, Guainía, Vaupés y Risaralda. La inversión promedio por hogar se calcula entre 3 y 4 millones de pesos y un </w:t>
      </w:r>
      <w:r w:rsidR="00777999" w:rsidRPr="00C8762E">
        <w:t>período</w:t>
      </w:r>
      <w:r w:rsidR="00753078" w:rsidRPr="00C8762E">
        <w:t xml:space="preserve"> de intervención de 13 meses.</w:t>
      </w:r>
      <w:r w:rsidR="00462771" w:rsidRPr="00C8762E">
        <w:t xml:space="preserve"> </w:t>
      </w:r>
      <w:r w:rsidR="00753078" w:rsidRPr="00C8762E">
        <w:t>Es importante mencionar que este programa a diciembre de 2016 alcanzó una cobertura cercana a los 8.700 hogares y una ejecución presupuestal de 33 mil millones de pesos.</w:t>
      </w:r>
    </w:p>
    <w:p w:rsidR="00753078" w:rsidRPr="00C8762E" w:rsidRDefault="00C35DC4" w:rsidP="00067975">
      <w:pPr>
        <w:pStyle w:val="SingleTxtG"/>
      </w:pPr>
      <w:r w:rsidRPr="00C8762E">
        <w:t>71.</w:t>
      </w:r>
      <w:r w:rsidRPr="00C8762E">
        <w:tab/>
      </w:r>
      <w:r w:rsidR="00753078" w:rsidRPr="00C8762E">
        <w:t xml:space="preserve">La Comisión Intersectorial de Seguridad Alimentaria y Nutricional (CISAN), brinda apoyo técnico en la construcción de documentos y generación de espacios de participación </w:t>
      </w:r>
      <w:r w:rsidR="00753078" w:rsidRPr="00C8762E">
        <w:lastRenderedPageBreak/>
        <w:t>para el fortalecimiento de la política. Algunos resultados han sido el</w:t>
      </w:r>
      <w:r w:rsidR="00462771" w:rsidRPr="00C8762E">
        <w:t xml:space="preserve"> </w:t>
      </w:r>
      <w:r w:rsidR="00753078" w:rsidRPr="00C8762E">
        <w:t>desarrollo del anexo Étnico y la metodología para la construcción concertada y consulta de la Política Pública Nacional de Seguridad y Autonomía Alimentaria y Nutricional para los Pueblos Indígenas, la Política Especial en Seguridad Alimentaria y Nutricional con énfasis en población rural, el rediseño del documento CONPES 113 de 2008 a partir de los acuerdos de Paz de la Habana para el postconflicto, el levantamiento de la situación de la Planeación Territorial en Seguridad Alimentaria y Nutricional de los 32 departamentos del país, y la ruta para la incorporación del tema de seguridad alimentaria en los planes de desarrollo departamentales y municipales, entre otros.</w:t>
      </w:r>
    </w:p>
    <w:p w:rsidR="00753078" w:rsidRPr="00C8762E" w:rsidRDefault="00992FBC" w:rsidP="00992FBC">
      <w:pPr>
        <w:pStyle w:val="H23G"/>
      </w:pPr>
      <w:r w:rsidRPr="00C8762E">
        <w:tab/>
        <w:t>1</w:t>
      </w:r>
      <w:r w:rsidR="00753078" w:rsidRPr="00C8762E">
        <w:t>3.</w:t>
      </w:r>
      <w:r w:rsidR="00753078" w:rsidRPr="00C8762E">
        <w:tab/>
        <w:t>Política de suministro de agua y saneamiento básico en la zona del Pacífico colombiano</w:t>
      </w:r>
    </w:p>
    <w:p w:rsidR="00753078" w:rsidRPr="00C8762E" w:rsidRDefault="00C35DC4" w:rsidP="00067975">
      <w:pPr>
        <w:pStyle w:val="SingleTxtG"/>
      </w:pPr>
      <w:r w:rsidRPr="00C8762E">
        <w:t>72.</w:t>
      </w:r>
      <w:r w:rsidRPr="00C8762E">
        <w:tab/>
      </w:r>
      <w:r w:rsidR="00753078" w:rsidRPr="00C8762E">
        <w:t xml:space="preserve">Mediante el CONPES 3810 de julio de 2014, se expidió la </w:t>
      </w:r>
      <w:r w:rsidR="00054E05" w:rsidRPr="00C8762E">
        <w:t>“</w:t>
      </w:r>
      <w:r w:rsidR="00753078" w:rsidRPr="00C8762E">
        <w:t>Política para el Suministro de Agua potable y saneamiento básico en zonas rurales de Colombia</w:t>
      </w:r>
      <w:r w:rsidR="00054E05" w:rsidRPr="00C8762E">
        <w:t>”</w:t>
      </w:r>
      <w:r w:rsidR="00753078" w:rsidRPr="00C8762E">
        <w:t xml:space="preserve">. Este instrumento estableció varias líneas de acción, haciendo énfasis en la necesidad de ajustes normativos que tuviesen en cuenta las condiciones particulares de las zonas rurales. Así, la Ley </w:t>
      </w:r>
      <w:r w:rsidR="00777999" w:rsidRPr="00C8762E">
        <w:t xml:space="preserve">núm. </w:t>
      </w:r>
      <w:r w:rsidR="00753078" w:rsidRPr="00C8762E">
        <w:t xml:space="preserve">1753 de 2015, en su artículo 18, facultó al Gobierno Nacional para definir esquemas diferenciales en materia de agua potable y saneamiento básico, y, en consecuencia, se expidió el Decreto </w:t>
      </w:r>
      <w:r w:rsidR="00777999" w:rsidRPr="00C8762E">
        <w:t xml:space="preserve">núm. </w:t>
      </w:r>
      <w:r w:rsidR="00753078" w:rsidRPr="00C8762E">
        <w:t xml:space="preserve">1898 de noviembre de 2016, con el cual se establece un esquema diferencial para la prestación de los servicios de acueducto, alcantarillado y aseo, y otro esquema diferencial para el aprovisionamiento de agua para consumo humano y saneamiento básico con soluciones alternativas. </w:t>
      </w:r>
    </w:p>
    <w:p w:rsidR="00753078" w:rsidRPr="00C8762E" w:rsidRDefault="00C35DC4" w:rsidP="00067975">
      <w:pPr>
        <w:pStyle w:val="SingleTxtG"/>
      </w:pPr>
      <w:r w:rsidRPr="00C8762E">
        <w:t>73.</w:t>
      </w:r>
      <w:r w:rsidRPr="00C8762E">
        <w:tab/>
      </w:r>
      <w:r w:rsidR="00753078" w:rsidRPr="00C8762E">
        <w:t xml:space="preserve">Para mejorar las condiciones de acceso a agua potable y saneamiento básico en el Pacífico colombiano, el Ministerio de Vivienda, Ciudad y Territorio presta asistencia técnica permanente a los departamentos de Nariño, Cauca, Valle del Cauca y Chocó, a través de los Planes Departamentales de Agua, para que mejoren progresivamente la oferta de servicios públicos domiciliarios en los municipios de su jurisdicción, y también acompaña la formulación de proyectos de infraestructura con recursos del Gobierno Nacional y otros de Cooperación Internacional. En particular, el programa </w:t>
      </w:r>
      <w:r w:rsidR="00054E05" w:rsidRPr="00C8762E">
        <w:t>“</w:t>
      </w:r>
      <w:r w:rsidR="00753078" w:rsidRPr="00C8762E">
        <w:t xml:space="preserve">Todos por el </w:t>
      </w:r>
      <w:proofErr w:type="spellStart"/>
      <w:r w:rsidR="00753078" w:rsidRPr="00C8762E">
        <w:t>Pazcífico</w:t>
      </w:r>
      <w:proofErr w:type="spellEnd"/>
      <w:r w:rsidR="00054E05" w:rsidRPr="00C8762E">
        <w:t>”</w:t>
      </w:r>
      <w:r w:rsidR="00753078" w:rsidRPr="00C8762E">
        <w:t xml:space="preserve">, financiado con recursos del Banco Mundial, contiene un componente de fortalecimiento institucional para apoyar el suministro de agua y saneamiento básico en el municipio de Tumaco; también se encuentra en ejecución el proyecto </w:t>
      </w:r>
      <w:r w:rsidR="00054E05" w:rsidRPr="00C8762E">
        <w:t>“</w:t>
      </w:r>
      <w:r w:rsidR="00753078" w:rsidRPr="00C8762E">
        <w:t>Somos Pacífico</w:t>
      </w:r>
      <w:r w:rsidR="00054E05" w:rsidRPr="00C8762E">
        <w:t>”</w:t>
      </w:r>
      <w:r w:rsidR="00753078" w:rsidRPr="00C8762E">
        <w:t xml:space="preserve"> en cofinanciamiento con AECID donde se priorizaron </w:t>
      </w:r>
      <w:r w:rsidR="005B7C15" w:rsidRPr="00C8762E">
        <w:t xml:space="preserve">diez </w:t>
      </w:r>
      <w:r w:rsidR="00753078" w:rsidRPr="00C8762E">
        <w:t>municipios de Chocó para ser beneficiarios de infraestructura con soluciones integrales.</w:t>
      </w:r>
    </w:p>
    <w:p w:rsidR="00753078" w:rsidRPr="00C8762E" w:rsidRDefault="00C35DC4" w:rsidP="00067975">
      <w:pPr>
        <w:pStyle w:val="SingleTxtG"/>
      </w:pPr>
      <w:r w:rsidRPr="00C8762E">
        <w:t>74.</w:t>
      </w:r>
      <w:r w:rsidRPr="00C8762E">
        <w:tab/>
      </w:r>
      <w:r w:rsidR="00753078" w:rsidRPr="00C8762E">
        <w:t xml:space="preserve">Mediante Resolución </w:t>
      </w:r>
      <w:r w:rsidR="005B7C15" w:rsidRPr="00C8762E">
        <w:t>núm.</w:t>
      </w:r>
      <w:r w:rsidR="00753078" w:rsidRPr="00C8762E">
        <w:t xml:space="preserve"> 40391 de abril de 2016, se adoptó la </w:t>
      </w:r>
      <w:r w:rsidR="00054E05" w:rsidRPr="00C8762E">
        <w:t>“</w:t>
      </w:r>
      <w:r w:rsidR="00753078" w:rsidRPr="00C8762E">
        <w:t>Política Minera Nacional</w:t>
      </w:r>
      <w:r w:rsidR="00054E05" w:rsidRPr="00C8762E">
        <w:t>”</w:t>
      </w:r>
      <w:r w:rsidR="00753078" w:rsidRPr="00C8762E">
        <w:t xml:space="preserve">, en el marco de la implementación de la mencionada política se ha establecido el Programa de Formalización, el cual tiene como objetivo que las comunidades mineras que vienen ejerciendo la actividad a pequeña escala trabajen bajo el amparo de un título, y en condiciones de formalidad técnica, laboral, ambiental y empresarial. </w:t>
      </w:r>
    </w:p>
    <w:p w:rsidR="00753078" w:rsidRPr="00C8762E" w:rsidRDefault="00C35DC4" w:rsidP="00067975">
      <w:pPr>
        <w:pStyle w:val="SingleTxtG"/>
      </w:pPr>
      <w:r w:rsidRPr="00C8762E">
        <w:t>75.</w:t>
      </w:r>
      <w:r w:rsidRPr="00C8762E">
        <w:tab/>
      </w:r>
      <w:r w:rsidR="00753078" w:rsidRPr="00C8762E">
        <w:t xml:space="preserve">Bajo este escenario aquellas Unidades de Producción Minera, que cuentan con título minero e instrumento ambiental son acompañadas con formación teórico práctica in-situ diseñada a la medida de las características de la unidad de producción de manera que sean identificadas y subsanadas las falencias de nivel técnico minero, ambiental, social, empresarial y económico entre otros. Cabe mencionar que la asesoría ambiental incluye temas de producción más limpia, a través de la cual se espera que en el ámbito minero se desarrollen operaciones con un consumo racional del recurso hídrico y generando la menor contaminación posible al mismo. </w:t>
      </w:r>
    </w:p>
    <w:p w:rsidR="00753078" w:rsidRPr="00C8762E" w:rsidRDefault="00C35DC4" w:rsidP="00067975">
      <w:pPr>
        <w:pStyle w:val="SingleTxtG"/>
      </w:pPr>
      <w:r w:rsidRPr="00C8762E">
        <w:t>76.</w:t>
      </w:r>
      <w:r w:rsidRPr="00C8762E">
        <w:tab/>
      </w:r>
      <w:r w:rsidR="00753078" w:rsidRPr="00C8762E">
        <w:t xml:space="preserve">Desde el año 2011 se vienen adelantando acciones encaminadas a la eliminación del uso de mercurio en la actividad minera de oro en los Departamentos productores de este mineral metálico, a través de la ejecución del proyecto de inversión: </w:t>
      </w:r>
      <w:r w:rsidR="00054E05" w:rsidRPr="00C8762E">
        <w:t>“</w:t>
      </w:r>
      <w:r w:rsidR="00753078" w:rsidRPr="00C8762E">
        <w:t>Capacitación teórico – práctico para la reducción o eliminación del mercurio en los procesos de beneficio de oro en el territorio nacional</w:t>
      </w:r>
      <w:r w:rsidR="00054E05" w:rsidRPr="00C8762E">
        <w:t>”</w:t>
      </w:r>
      <w:r w:rsidR="00753078" w:rsidRPr="00C8762E">
        <w:t>.</w:t>
      </w:r>
    </w:p>
    <w:p w:rsidR="00753078" w:rsidRPr="00C8762E" w:rsidRDefault="00C35DC4" w:rsidP="00067975">
      <w:pPr>
        <w:pStyle w:val="SingleTxtG"/>
      </w:pPr>
      <w:r w:rsidRPr="00C8762E">
        <w:t>77.</w:t>
      </w:r>
      <w:r w:rsidRPr="00C8762E">
        <w:tab/>
      </w:r>
      <w:r w:rsidR="00753078" w:rsidRPr="00C8762E">
        <w:t xml:space="preserve">El Departamento Nacional de Planeación en articulación con el Ministerio de Minas y Energía, se encuentra levantando una Línea Base de Áreas Mineras en Estado de Abandono, proyecto en el cual se logrará identificar y caracterizar los ecosistemas que se encuentran degradados por minas abandonadas, incluyendo la identificación y valoración </w:t>
      </w:r>
      <w:r w:rsidR="00753078" w:rsidRPr="00C8762E">
        <w:lastRenderedPageBreak/>
        <w:t>de los riesgos ambientales y sociales, tales como la contaminación de ríos y su impacto en los riesgos de salud sobre comunidades dentro del área de influencia.</w:t>
      </w:r>
    </w:p>
    <w:p w:rsidR="00753078" w:rsidRPr="00C8762E" w:rsidRDefault="003A7CF5" w:rsidP="003A7CF5">
      <w:pPr>
        <w:pStyle w:val="H1G"/>
      </w:pPr>
      <w:r w:rsidRPr="00C8762E">
        <w:tab/>
      </w:r>
      <w:r w:rsidRPr="00C8762E">
        <w:tab/>
      </w:r>
      <w:r w:rsidR="00753078" w:rsidRPr="00C8762E">
        <w:t>Artículo 12</w:t>
      </w:r>
    </w:p>
    <w:p w:rsidR="00753078" w:rsidRPr="00C8762E" w:rsidRDefault="00992FBC" w:rsidP="00992FBC">
      <w:pPr>
        <w:pStyle w:val="H23G"/>
      </w:pPr>
      <w:r w:rsidRPr="00C8762E">
        <w:tab/>
        <w:t>1</w:t>
      </w:r>
      <w:r w:rsidR="00753078" w:rsidRPr="00C8762E">
        <w:t>4.</w:t>
      </w:r>
      <w:r w:rsidR="00753078" w:rsidRPr="00C8762E">
        <w:tab/>
      </w:r>
      <w:bookmarkStart w:id="1" w:name="_Hlk486147019"/>
      <w:r w:rsidR="00753078" w:rsidRPr="00C8762E">
        <w:t>Plan Decenal de Salud Pública - Datos estadísticos</w:t>
      </w:r>
      <w:bookmarkEnd w:id="1"/>
    </w:p>
    <w:p w:rsidR="00753078" w:rsidRPr="00C8762E" w:rsidRDefault="00C35DC4" w:rsidP="00067975">
      <w:pPr>
        <w:pStyle w:val="SingleTxtG"/>
      </w:pPr>
      <w:r w:rsidRPr="00C8762E">
        <w:t>78.</w:t>
      </w:r>
      <w:r w:rsidRPr="00C8762E">
        <w:tab/>
      </w:r>
      <w:r w:rsidR="00753078" w:rsidRPr="00C8762E">
        <w:t xml:space="preserve">La Encuesta de Calidad de Vida del DANE, es el instrumento empleado en Colombia para medir y caracterizar las condiciones de vida de la población, con variables relacionadas con vivienda, salud, educación y demás. De conformidad con la evolución histórica del comportamiento de los indicadores en la materia, el acceso a los servicios de salud en el país muestra mejoras evidentes. Según la citada encuesta, se observa un incremento en la atención en salud de aquellos que presentaron una necesidad (uso institucional de los servicios de salud) y en la disminución en las razones para no solicitar atención médica (tales como: no lo atendieron, mal servicio, oportunidad en cita de medicina general u odontología, entre otras). En el Anexo No. 3 a esta respuesta se pueden revisar los datos estadísticos. </w:t>
      </w:r>
    </w:p>
    <w:p w:rsidR="00753078" w:rsidRPr="00C8762E" w:rsidRDefault="00C35DC4" w:rsidP="00067975">
      <w:pPr>
        <w:pStyle w:val="SingleTxtG"/>
      </w:pPr>
      <w:r w:rsidRPr="00C8762E">
        <w:t>79.</w:t>
      </w:r>
      <w:r w:rsidRPr="00C8762E">
        <w:tab/>
      </w:r>
      <w:r w:rsidR="00753078" w:rsidRPr="00C8762E">
        <w:t>En las zonas geográficas con mayor densidad de población y mercados más dinámicos, se localiza una mayor oferta de servicios, mientras en las zonas con alta dispersión poblacional (alejadas y con problemas de accesibilidad) la oferta es limitada y provista especialmente por prestadores de servicios de salud de naturaleza pública, encargados de la atención en salud de estas poblaciones (</w:t>
      </w:r>
      <w:r w:rsidRPr="00C8762E">
        <w:t>v</w:t>
      </w:r>
      <w:r w:rsidR="00753078" w:rsidRPr="00C8762E">
        <w:t>er anexo 3).</w:t>
      </w:r>
    </w:p>
    <w:p w:rsidR="00753078" w:rsidRPr="00C8762E" w:rsidRDefault="00992FBC" w:rsidP="00992FBC">
      <w:pPr>
        <w:pStyle w:val="H23G"/>
      </w:pPr>
      <w:r w:rsidRPr="00C8762E">
        <w:tab/>
        <w:t>1</w:t>
      </w:r>
      <w:r w:rsidR="00753078" w:rsidRPr="00C8762E">
        <w:t>5.</w:t>
      </w:r>
      <w:r w:rsidR="00753078" w:rsidRPr="00C8762E">
        <w:tab/>
        <w:t>Medidas para garantizar el acceso a servicios de salud para mujeres y niñas, particularmente las víctimas de violencia de género y violencia sexual, así como</w:t>
      </w:r>
      <w:r w:rsidR="005B7C15" w:rsidRPr="00C8762E">
        <w:t> </w:t>
      </w:r>
      <w:r w:rsidR="00753078" w:rsidRPr="00C8762E">
        <w:t>las</w:t>
      </w:r>
      <w:r w:rsidR="005B7C15" w:rsidRPr="00C8762E">
        <w:t> </w:t>
      </w:r>
      <w:r w:rsidR="00753078" w:rsidRPr="00C8762E">
        <w:t>víctimas de desplazamiento forzoso</w:t>
      </w:r>
    </w:p>
    <w:p w:rsidR="00753078" w:rsidRPr="00C8762E" w:rsidRDefault="00C35DC4" w:rsidP="00067975">
      <w:pPr>
        <w:pStyle w:val="SingleTxtG"/>
      </w:pPr>
      <w:r w:rsidRPr="00C8762E">
        <w:t>80.</w:t>
      </w:r>
      <w:r w:rsidRPr="00C8762E">
        <w:tab/>
      </w:r>
      <w:r w:rsidR="00753078" w:rsidRPr="00C8762E">
        <w:t xml:space="preserve">En cumplimiento de la Resolución </w:t>
      </w:r>
      <w:r w:rsidR="005B7C15" w:rsidRPr="00C8762E">
        <w:t xml:space="preserve">núm. </w:t>
      </w:r>
      <w:r w:rsidR="00753078" w:rsidRPr="00C8762E">
        <w:t>459 de 2012, el Ministerio de Salud y Protección Social (MSPS) ha diseñado e implementado diferentes estrategias que abordan en su conjunto los 15 pasos incluidos en el Protocolo de Atención Integral en Salud para Víctimas de Violencia Sexual.</w:t>
      </w:r>
    </w:p>
    <w:p w:rsidR="00753078" w:rsidRPr="00C8762E" w:rsidRDefault="00C35DC4" w:rsidP="00067975">
      <w:pPr>
        <w:pStyle w:val="SingleTxtG"/>
      </w:pPr>
      <w:r w:rsidRPr="00C8762E">
        <w:t>81.</w:t>
      </w:r>
      <w:r w:rsidRPr="00C8762E">
        <w:tab/>
      </w:r>
      <w:r w:rsidR="00753078" w:rsidRPr="00C8762E">
        <w:t>En cuanto a la promoción de los derechos sexuales, derechos reproductivos y el derecho a una vida libre de violencias, desde el año 2010, el MSPS ha realizado talleres de capacitación sobre DSDR y una vida libre de violencias para su exigibilidad, dirigidos a organizaciones de base comunitarias, veedurías y asociaciones de usuarios de salud, en los cuales se ha formado a 1.505 personas de 22 departamentos del país.</w:t>
      </w:r>
    </w:p>
    <w:p w:rsidR="00753078" w:rsidRPr="00C8762E" w:rsidRDefault="00C35DC4" w:rsidP="00067975">
      <w:pPr>
        <w:pStyle w:val="SingleTxtG"/>
      </w:pPr>
      <w:r w:rsidRPr="00C8762E">
        <w:t>82.</w:t>
      </w:r>
      <w:r w:rsidRPr="00C8762E">
        <w:tab/>
      </w:r>
      <w:r w:rsidR="00753078" w:rsidRPr="00C8762E">
        <w:t xml:space="preserve">Se hizo divulgación de una estrategia con el mensaje sombrilla de </w:t>
      </w:r>
      <w:r w:rsidR="00054E05" w:rsidRPr="00C8762E">
        <w:t>“</w:t>
      </w:r>
      <w:r w:rsidR="00753078" w:rsidRPr="00C8762E">
        <w:t>En violencias de género, la salud es primero</w:t>
      </w:r>
      <w:r w:rsidR="00054E05" w:rsidRPr="00C8762E">
        <w:t>”</w:t>
      </w:r>
      <w:r w:rsidR="00753078" w:rsidRPr="00C8762E">
        <w:t xml:space="preserve"> que se distribuyó a las Direcciones Territoriales de Salud, con el propósito de posicionar tanto en los gestores del sector salud, como en la comunidad en general, la importancia de la atención integral en salud, como parte fundamental de la restitución de los derechos de las víctimas de violencias de género, principalmente de violencias sexuales y de ataques con agentes químicos.</w:t>
      </w:r>
    </w:p>
    <w:p w:rsidR="00753078" w:rsidRPr="00C8762E" w:rsidRDefault="00C35DC4" w:rsidP="00067975">
      <w:pPr>
        <w:pStyle w:val="SingleTxtG"/>
      </w:pPr>
      <w:r w:rsidRPr="00C8762E">
        <w:t>83.</w:t>
      </w:r>
      <w:r w:rsidRPr="00C8762E">
        <w:tab/>
      </w:r>
      <w:r w:rsidR="00753078" w:rsidRPr="00C8762E">
        <w:t xml:space="preserve">En cabeza del MSPS a través de Programa de Atención Psicosocial y Salud integral a Víctimas (PAPSIVI), se garantiza la atención psicosocial de las víctimas del conflicto armado en 23 departamentos del país; entre el año 2013 y el 2016, se ha brindado atención psicosocial en la modalidad individual, familiar y comunitaria a 324.244 víctimas, de las cuales 202.439 son mujeres, y de estas, se han atendido en una o varias de estas modalidades a 660 mujeres víctimas de violencia sexual en el marco del conflicto armado. La Atención Psicosocial es realizada por equipos interdisciplinarios con entrenamiento y experiencia en atención psicosocial a víctimas, los cuales a través del momento de acercamiento y reconocimiento identifican las afectaciones psicosociales y los recursos que posibilitaron a las personas, familias y comunidades seguir después de los hechos vividos, posibilitando procesos de mitigación y recuperación emocional de los impactos y afectaciones generados por las graves violaciones a los Derechos Humanos. </w:t>
      </w:r>
    </w:p>
    <w:p w:rsidR="00753078" w:rsidRPr="00C8762E" w:rsidRDefault="00992FBC" w:rsidP="00992FBC">
      <w:pPr>
        <w:pStyle w:val="H23G"/>
      </w:pPr>
      <w:r w:rsidRPr="00C8762E">
        <w:lastRenderedPageBreak/>
        <w:tab/>
        <w:t>1</w:t>
      </w:r>
      <w:r w:rsidR="00753078" w:rsidRPr="00C8762E">
        <w:t>6.</w:t>
      </w:r>
      <w:r w:rsidR="00753078" w:rsidRPr="00C8762E">
        <w:tab/>
        <w:t>Medidas para contrarrestar los efectos negativos en el medio ambiente y en</w:t>
      </w:r>
      <w:r w:rsidR="00C35DC4" w:rsidRPr="00C8762E">
        <w:t> </w:t>
      </w:r>
      <w:r w:rsidR="00753078" w:rsidRPr="00C8762E">
        <w:t>la</w:t>
      </w:r>
      <w:r w:rsidR="00C35DC4" w:rsidRPr="00C8762E">
        <w:t> </w:t>
      </w:r>
      <w:r w:rsidR="00753078" w:rsidRPr="00C8762E">
        <w:t>salud</w:t>
      </w:r>
      <w:r w:rsidR="00C35DC4" w:rsidRPr="00C8762E">
        <w:t> </w:t>
      </w:r>
      <w:r w:rsidR="00753078" w:rsidRPr="00C8762E">
        <w:t>ocasionados por el desarrollo de proyectos de explotación de</w:t>
      </w:r>
      <w:r w:rsidR="00C35DC4" w:rsidRPr="00C8762E">
        <w:t> </w:t>
      </w:r>
      <w:r w:rsidR="00753078" w:rsidRPr="00C8762E">
        <w:t>recursos</w:t>
      </w:r>
      <w:r w:rsidR="00C35DC4" w:rsidRPr="00C8762E">
        <w:t> </w:t>
      </w:r>
      <w:r w:rsidR="00753078" w:rsidRPr="00C8762E">
        <w:t>naturales</w:t>
      </w:r>
    </w:p>
    <w:p w:rsidR="00753078" w:rsidRPr="00C8762E" w:rsidRDefault="00C35DC4" w:rsidP="00067975">
      <w:pPr>
        <w:pStyle w:val="SingleTxtG"/>
      </w:pPr>
      <w:r w:rsidRPr="00C8762E">
        <w:t>84.</w:t>
      </w:r>
      <w:r w:rsidRPr="00C8762E">
        <w:tab/>
      </w:r>
      <w:r w:rsidR="00753078" w:rsidRPr="00C8762E">
        <w:t xml:space="preserve">Las medidas adaptadas por Colombia para contrarrestar los impactos ambientales y sus efectos sobre la salud, se centran en la orientación de política pública; para lo cual se cuenta desde 2012 con el plan decenal de salud pública el cual define metas y estrategias en salud ambiental que orientan el accionar a </w:t>
      </w:r>
      <w:r w:rsidR="005B7C15" w:rsidRPr="00C8762E">
        <w:t xml:space="preserve">diez </w:t>
      </w:r>
      <w:r w:rsidR="00753078" w:rsidRPr="00C8762E">
        <w:t>años. As</w:t>
      </w:r>
      <w:r w:rsidR="00D1717D" w:rsidRPr="00C8762E">
        <w:t>i</w:t>
      </w:r>
      <w:r w:rsidR="00753078" w:rsidRPr="00C8762E">
        <w:t>mismo se encuentra en expedición la política integral de salud ambiental (PISA 2017-2027) la cual incluye desde sus objetivos el abordaje de la vulnerabilidad social y ambiental y desarrollar estrategias de reducción de la carga ambiental de la enfermedad, esta política entra en proceso de adaptación y adopción por cada entidad territorial en el marco de los consejos territoriales de salud ambiental. De manera complementaria, se cuenta con avances en la estructura del sistema unificado de información de salud ambientas, desde el cual se ha definido los indicadores que a Nivel Nacional se van a priorizar según los resultados para la debida gestión e intervención intersectorial</w:t>
      </w:r>
      <w:r w:rsidR="005B7C15" w:rsidRPr="00C8762E">
        <w:t xml:space="preserve"> </w:t>
      </w:r>
      <w:r w:rsidR="00753078" w:rsidRPr="00C8762E">
        <w:t>de los mismos.</w:t>
      </w:r>
    </w:p>
    <w:p w:rsidR="00753078" w:rsidRPr="00C8762E" w:rsidRDefault="00C35DC4" w:rsidP="00067975">
      <w:pPr>
        <w:pStyle w:val="SingleTxtG"/>
      </w:pPr>
      <w:r w:rsidRPr="00C8762E">
        <w:t>85.</w:t>
      </w:r>
      <w:r w:rsidRPr="00C8762E">
        <w:tab/>
      </w:r>
      <w:r w:rsidR="00753078" w:rsidRPr="00C8762E">
        <w:t xml:space="preserve">Adicionalmente, por medio del Decreto Único </w:t>
      </w:r>
      <w:r w:rsidR="00777999" w:rsidRPr="00C8762E">
        <w:t xml:space="preserve">núm. </w:t>
      </w:r>
      <w:r w:rsidR="00753078" w:rsidRPr="00C8762E">
        <w:t xml:space="preserve">1076 de 2015 se reglamenta el licenciamiento ambiental de actividades que puedan producir deterioro grave a los recursos naturales renovables o al medio ambiente o introducir modificaciones considerables o notorias al paisaje. La licencia ambiental, sujeta al beneficiario de esta, al cumplimiento de los requisitos, términos, condiciones y obligaciones que la misma establezca en relación con la prevención, mitigación, corrección, compensación y manejo de los efectos ambientales del proyecto, obra o actividad autorizada. </w:t>
      </w:r>
    </w:p>
    <w:p w:rsidR="00753078" w:rsidRPr="00C8762E" w:rsidRDefault="00C35DC4" w:rsidP="00067975">
      <w:pPr>
        <w:pStyle w:val="SingleTxtG"/>
      </w:pPr>
      <w:r w:rsidRPr="00C8762E">
        <w:t>86.</w:t>
      </w:r>
      <w:r w:rsidRPr="00C8762E">
        <w:tab/>
      </w:r>
      <w:r w:rsidR="00753078" w:rsidRPr="00C8762E">
        <w:t>Este Decreto establece que el solicitante de una licencia debe realizar un estudio de impacto ambiental, y que las Autoridades Ambientales competentes —la Autoridad Nacional de Licencias Ambientales (</w:t>
      </w:r>
      <w:proofErr w:type="spellStart"/>
      <w:r w:rsidR="00753078" w:rsidRPr="00C8762E">
        <w:t>ANLA</w:t>
      </w:r>
      <w:proofErr w:type="spellEnd"/>
      <w:r w:rsidR="00753078" w:rsidRPr="00C8762E">
        <w:t xml:space="preserve">) y </w:t>
      </w:r>
      <w:proofErr w:type="spellStart"/>
      <w:r w:rsidR="00753078" w:rsidRPr="00C8762E">
        <w:t>CARs</w:t>
      </w:r>
      <w:proofErr w:type="spellEnd"/>
      <w:r w:rsidR="00753078" w:rsidRPr="00C8762E">
        <w:t>— realizarán el control y seguimiento del plan de manejo ambiental con el objetivo de verificar el cumplimiento de los términos pactados, así como constatar el cumplimiento de la normativa ambiental.</w:t>
      </w:r>
    </w:p>
    <w:p w:rsidR="00753078" w:rsidRPr="00C8762E" w:rsidRDefault="00C35DC4" w:rsidP="00067975">
      <w:pPr>
        <w:pStyle w:val="SingleTxtG"/>
      </w:pPr>
      <w:r w:rsidRPr="00C8762E">
        <w:t>87.</w:t>
      </w:r>
      <w:r w:rsidRPr="00C8762E">
        <w:tab/>
      </w:r>
      <w:r w:rsidR="00753078" w:rsidRPr="00C8762E">
        <w:t xml:space="preserve">La Ley </w:t>
      </w:r>
      <w:r w:rsidR="00777999" w:rsidRPr="00C8762E">
        <w:t xml:space="preserve">núm. </w:t>
      </w:r>
      <w:r w:rsidR="00753078" w:rsidRPr="00C8762E">
        <w:t>1333 de 2009, establece la potestad de las Autoridades Ambientales de adelantar investigación preventiva y procesos sancionatorio en materia ambiental. En virtud de la anterior, desde su fecha de creación la ANLA ha impuesto alrededor de 49 sanciones por infringir la normatividad ambiental o por violar las obligaciones establecidas en la Licencia Ambiental o en el respectivo Instrumento de Control y Manejo Ambiental.</w:t>
      </w:r>
    </w:p>
    <w:p w:rsidR="00753078" w:rsidRPr="00C8762E" w:rsidRDefault="00C35DC4" w:rsidP="00067975">
      <w:pPr>
        <w:pStyle w:val="SingleTxtG"/>
      </w:pPr>
      <w:r w:rsidRPr="00C8762E">
        <w:t>88.</w:t>
      </w:r>
      <w:r w:rsidRPr="00C8762E">
        <w:tab/>
      </w:r>
      <w:r w:rsidR="00753078" w:rsidRPr="00C8762E">
        <w:t>A continuación, se presentan las cifras concernientes a los casos investigados, judicializados y sancionados por delitos que impactan de manera negativa el medio ambiente y la salud y que a su vez son generados por la explotación de recursos naturales.</w:t>
      </w:r>
      <w:r w:rsidR="00462771" w:rsidRPr="00C8762E">
        <w:t xml:space="preserve"> </w:t>
      </w:r>
      <w:r w:rsidR="00753078" w:rsidRPr="00C8762E">
        <w:t>Para tal fin la FGN tuvo en cuenta solo aquellos radicados que en su tipificación incluyen elementos que permiten inferir razonablemente que cumplen con los elementos descritos en la solicitud</w:t>
      </w:r>
      <w:r w:rsidR="00753078" w:rsidRPr="00C8762E">
        <w:rPr>
          <w:rStyle w:val="Refdenotaalpie"/>
        </w:rPr>
        <w:footnoteReference w:id="7"/>
      </w:r>
      <w:r w:rsidR="00753078" w:rsidRPr="00C8762E">
        <w:t>.</w:t>
      </w:r>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12"/>
        <w:gridCol w:w="1104"/>
        <w:gridCol w:w="1199"/>
        <w:gridCol w:w="913"/>
        <w:gridCol w:w="1057"/>
        <w:gridCol w:w="1151"/>
        <w:gridCol w:w="1034"/>
      </w:tblGrid>
      <w:tr w:rsidR="00D1717D" w:rsidRPr="00C8762E" w:rsidTr="00D1717D">
        <w:trPr>
          <w:trHeight w:val="240"/>
          <w:tblHeader/>
        </w:trPr>
        <w:tc>
          <w:tcPr>
            <w:tcW w:w="912" w:type="dxa"/>
            <w:tcBorders>
              <w:top w:val="single" w:sz="4" w:space="0" w:color="auto"/>
              <w:bottom w:val="single" w:sz="12" w:space="0" w:color="auto"/>
            </w:tcBorders>
            <w:shd w:val="clear" w:color="auto" w:fill="auto"/>
            <w:vAlign w:val="bottom"/>
          </w:tcPr>
          <w:p w:rsidR="00753078" w:rsidRPr="00C8762E" w:rsidRDefault="00D1717D" w:rsidP="00D1717D">
            <w:pPr>
              <w:pStyle w:val="SingleTxtG"/>
              <w:spacing w:before="80" w:after="80" w:line="200" w:lineRule="exact"/>
              <w:ind w:left="0" w:right="0"/>
              <w:jc w:val="left"/>
              <w:rPr>
                <w:i/>
                <w:sz w:val="16"/>
              </w:rPr>
            </w:pPr>
            <w:r w:rsidRPr="00C8762E">
              <w:rPr>
                <w:i/>
                <w:sz w:val="16"/>
              </w:rPr>
              <w:t>Año</w:t>
            </w:r>
          </w:p>
        </w:tc>
        <w:tc>
          <w:tcPr>
            <w:tcW w:w="1104" w:type="dxa"/>
            <w:tcBorders>
              <w:top w:val="single" w:sz="4" w:space="0" w:color="auto"/>
              <w:bottom w:val="single" w:sz="12" w:space="0" w:color="auto"/>
            </w:tcBorders>
            <w:shd w:val="clear" w:color="auto" w:fill="auto"/>
            <w:vAlign w:val="bottom"/>
          </w:tcPr>
          <w:p w:rsidR="00753078" w:rsidRPr="00C8762E" w:rsidRDefault="00D1717D" w:rsidP="00067975">
            <w:pPr>
              <w:pStyle w:val="SingleTxtG"/>
              <w:spacing w:before="80" w:after="80" w:line="200" w:lineRule="exact"/>
              <w:ind w:left="113" w:right="0"/>
              <w:jc w:val="right"/>
              <w:rPr>
                <w:i/>
                <w:sz w:val="16"/>
              </w:rPr>
            </w:pPr>
            <w:r w:rsidRPr="00C8762E">
              <w:rPr>
                <w:i/>
                <w:sz w:val="16"/>
              </w:rPr>
              <w:t>Indagación</w:t>
            </w:r>
          </w:p>
        </w:tc>
        <w:tc>
          <w:tcPr>
            <w:tcW w:w="1199" w:type="dxa"/>
            <w:tcBorders>
              <w:top w:val="single" w:sz="4" w:space="0" w:color="auto"/>
              <w:bottom w:val="single" w:sz="12" w:space="0" w:color="auto"/>
            </w:tcBorders>
            <w:shd w:val="clear" w:color="auto" w:fill="auto"/>
            <w:vAlign w:val="bottom"/>
          </w:tcPr>
          <w:p w:rsidR="00753078" w:rsidRPr="00C8762E" w:rsidRDefault="00D1717D" w:rsidP="00067975">
            <w:pPr>
              <w:pStyle w:val="SingleTxtG"/>
              <w:spacing w:before="80" w:after="80" w:line="200" w:lineRule="exact"/>
              <w:ind w:left="113" w:right="0"/>
              <w:jc w:val="right"/>
              <w:rPr>
                <w:i/>
                <w:sz w:val="16"/>
              </w:rPr>
            </w:pPr>
            <w:r w:rsidRPr="00C8762E">
              <w:rPr>
                <w:i/>
                <w:sz w:val="16"/>
              </w:rPr>
              <w:t>Investigación</w:t>
            </w:r>
          </w:p>
        </w:tc>
        <w:tc>
          <w:tcPr>
            <w:tcW w:w="913" w:type="dxa"/>
            <w:tcBorders>
              <w:top w:val="single" w:sz="4" w:space="0" w:color="auto"/>
              <w:bottom w:val="single" w:sz="12" w:space="0" w:color="auto"/>
            </w:tcBorders>
            <w:shd w:val="clear" w:color="auto" w:fill="auto"/>
            <w:vAlign w:val="bottom"/>
          </w:tcPr>
          <w:p w:rsidR="00753078" w:rsidRPr="00C8762E" w:rsidRDefault="00D1717D" w:rsidP="00067975">
            <w:pPr>
              <w:pStyle w:val="SingleTxtG"/>
              <w:spacing w:before="80" w:after="80" w:line="200" w:lineRule="exact"/>
              <w:ind w:left="113" w:right="0"/>
              <w:jc w:val="right"/>
              <w:rPr>
                <w:i/>
                <w:sz w:val="16"/>
              </w:rPr>
            </w:pPr>
            <w:r w:rsidRPr="00C8762E">
              <w:rPr>
                <w:i/>
                <w:sz w:val="16"/>
              </w:rPr>
              <w:t>Juicio</w:t>
            </w:r>
          </w:p>
        </w:tc>
        <w:tc>
          <w:tcPr>
            <w:tcW w:w="1057" w:type="dxa"/>
            <w:tcBorders>
              <w:top w:val="single" w:sz="4" w:space="0" w:color="auto"/>
              <w:bottom w:val="single" w:sz="12" w:space="0" w:color="auto"/>
            </w:tcBorders>
            <w:shd w:val="clear" w:color="auto" w:fill="auto"/>
            <w:vAlign w:val="bottom"/>
          </w:tcPr>
          <w:p w:rsidR="00753078" w:rsidRPr="00C8762E" w:rsidRDefault="00D1717D" w:rsidP="00067975">
            <w:pPr>
              <w:pStyle w:val="SingleTxtG"/>
              <w:spacing w:before="80" w:after="80" w:line="200" w:lineRule="exact"/>
              <w:ind w:left="113" w:right="0"/>
              <w:jc w:val="right"/>
              <w:rPr>
                <w:i/>
                <w:sz w:val="16"/>
              </w:rPr>
            </w:pPr>
            <w:r w:rsidRPr="00C8762E">
              <w:rPr>
                <w:i/>
                <w:sz w:val="16"/>
              </w:rPr>
              <w:t>Ejecución de penas</w:t>
            </w:r>
          </w:p>
        </w:tc>
        <w:tc>
          <w:tcPr>
            <w:tcW w:w="1151" w:type="dxa"/>
            <w:tcBorders>
              <w:top w:val="single" w:sz="4" w:space="0" w:color="auto"/>
              <w:bottom w:val="single" w:sz="12" w:space="0" w:color="auto"/>
            </w:tcBorders>
            <w:shd w:val="clear" w:color="auto" w:fill="auto"/>
            <w:vAlign w:val="bottom"/>
          </w:tcPr>
          <w:p w:rsidR="00753078" w:rsidRPr="00C8762E" w:rsidRDefault="00D1717D" w:rsidP="00067975">
            <w:pPr>
              <w:pStyle w:val="SingleTxtG"/>
              <w:spacing w:before="80" w:after="80" w:line="200" w:lineRule="exact"/>
              <w:ind w:left="113" w:right="0"/>
              <w:jc w:val="right"/>
              <w:rPr>
                <w:i/>
                <w:sz w:val="16"/>
              </w:rPr>
            </w:pPr>
            <w:r w:rsidRPr="00C8762E">
              <w:rPr>
                <w:i/>
                <w:sz w:val="16"/>
              </w:rPr>
              <w:t>Terminación anticipada</w:t>
            </w:r>
          </w:p>
        </w:tc>
        <w:tc>
          <w:tcPr>
            <w:tcW w:w="1034" w:type="dxa"/>
            <w:tcBorders>
              <w:top w:val="single" w:sz="4" w:space="0" w:color="auto"/>
              <w:bottom w:val="single" w:sz="12" w:space="0" w:color="auto"/>
            </w:tcBorders>
            <w:shd w:val="clear" w:color="auto" w:fill="auto"/>
            <w:vAlign w:val="bottom"/>
          </w:tcPr>
          <w:p w:rsidR="00753078" w:rsidRPr="00C8762E" w:rsidRDefault="00D1717D" w:rsidP="00067975">
            <w:pPr>
              <w:pStyle w:val="SingleTxtG"/>
              <w:spacing w:before="80" w:after="80" w:line="200" w:lineRule="exact"/>
              <w:ind w:left="113" w:right="0"/>
              <w:jc w:val="right"/>
              <w:rPr>
                <w:i/>
                <w:sz w:val="16"/>
              </w:rPr>
            </w:pPr>
            <w:r w:rsidRPr="00C8762E">
              <w:rPr>
                <w:i/>
                <w:sz w:val="16"/>
              </w:rPr>
              <w:t>Entradas</w:t>
            </w:r>
          </w:p>
        </w:tc>
      </w:tr>
      <w:tr w:rsidR="00D1717D" w:rsidRPr="00C8762E" w:rsidTr="00067975">
        <w:trPr>
          <w:trHeight w:val="240"/>
        </w:trPr>
        <w:tc>
          <w:tcPr>
            <w:tcW w:w="912" w:type="dxa"/>
            <w:tcBorders>
              <w:top w:val="single" w:sz="12" w:space="0" w:color="auto"/>
            </w:tcBorders>
            <w:shd w:val="clear" w:color="auto" w:fill="auto"/>
          </w:tcPr>
          <w:p w:rsidR="00753078" w:rsidRPr="00C8762E" w:rsidRDefault="00753078" w:rsidP="00D1717D">
            <w:pPr>
              <w:pStyle w:val="SingleTxtG"/>
              <w:spacing w:before="40" w:after="40" w:line="220" w:lineRule="exact"/>
              <w:ind w:left="0" w:right="0"/>
              <w:jc w:val="left"/>
              <w:rPr>
                <w:sz w:val="18"/>
              </w:rPr>
            </w:pPr>
            <w:r w:rsidRPr="00C8762E">
              <w:rPr>
                <w:sz w:val="18"/>
              </w:rPr>
              <w:t>2012</w:t>
            </w:r>
          </w:p>
        </w:tc>
        <w:tc>
          <w:tcPr>
            <w:tcW w:w="1104" w:type="dxa"/>
            <w:tcBorders>
              <w:top w:val="single" w:sz="12" w:space="0" w:color="auto"/>
            </w:tcBorders>
            <w:shd w:val="clear" w:color="auto" w:fill="auto"/>
            <w:vAlign w:val="bottom"/>
          </w:tcPr>
          <w:p w:rsidR="00753078" w:rsidRPr="00C8762E" w:rsidRDefault="00753078" w:rsidP="00067975">
            <w:pPr>
              <w:pStyle w:val="SingleTxtG"/>
              <w:spacing w:before="40" w:after="40" w:line="220" w:lineRule="exact"/>
              <w:ind w:left="113" w:right="0"/>
              <w:jc w:val="right"/>
              <w:rPr>
                <w:sz w:val="18"/>
              </w:rPr>
            </w:pPr>
            <w:r w:rsidRPr="00C8762E">
              <w:rPr>
                <w:sz w:val="18"/>
              </w:rPr>
              <w:t>2</w:t>
            </w:r>
            <w:r w:rsidR="0084198B" w:rsidRPr="00C8762E">
              <w:rPr>
                <w:sz w:val="18"/>
              </w:rPr>
              <w:t xml:space="preserve"> </w:t>
            </w:r>
            <w:r w:rsidRPr="00C8762E">
              <w:rPr>
                <w:sz w:val="18"/>
              </w:rPr>
              <w:t>052</w:t>
            </w:r>
          </w:p>
        </w:tc>
        <w:tc>
          <w:tcPr>
            <w:tcW w:w="1199" w:type="dxa"/>
            <w:tcBorders>
              <w:top w:val="single" w:sz="12" w:space="0" w:color="auto"/>
            </w:tcBorders>
            <w:shd w:val="clear" w:color="auto" w:fill="auto"/>
            <w:vAlign w:val="bottom"/>
          </w:tcPr>
          <w:p w:rsidR="00753078" w:rsidRPr="00C8762E" w:rsidRDefault="00753078" w:rsidP="00067975">
            <w:pPr>
              <w:pStyle w:val="SingleTxtG"/>
              <w:spacing w:before="40" w:after="40" w:line="220" w:lineRule="exact"/>
              <w:ind w:left="113" w:right="0"/>
              <w:jc w:val="right"/>
              <w:rPr>
                <w:sz w:val="18"/>
              </w:rPr>
            </w:pPr>
            <w:r w:rsidRPr="00C8762E">
              <w:rPr>
                <w:sz w:val="18"/>
              </w:rPr>
              <w:t>46</w:t>
            </w:r>
          </w:p>
        </w:tc>
        <w:tc>
          <w:tcPr>
            <w:tcW w:w="913" w:type="dxa"/>
            <w:tcBorders>
              <w:top w:val="single" w:sz="12" w:space="0" w:color="auto"/>
            </w:tcBorders>
            <w:shd w:val="clear" w:color="auto" w:fill="auto"/>
            <w:vAlign w:val="bottom"/>
          </w:tcPr>
          <w:p w:rsidR="00753078" w:rsidRPr="00C8762E" w:rsidRDefault="00753078" w:rsidP="00067975">
            <w:pPr>
              <w:pStyle w:val="SingleTxtG"/>
              <w:spacing w:before="40" w:after="40" w:line="220" w:lineRule="exact"/>
              <w:ind w:left="113" w:right="0"/>
              <w:jc w:val="right"/>
              <w:rPr>
                <w:sz w:val="18"/>
              </w:rPr>
            </w:pPr>
            <w:r w:rsidRPr="00C8762E">
              <w:rPr>
                <w:sz w:val="18"/>
              </w:rPr>
              <w:t>99</w:t>
            </w:r>
          </w:p>
        </w:tc>
        <w:tc>
          <w:tcPr>
            <w:tcW w:w="1057" w:type="dxa"/>
            <w:tcBorders>
              <w:top w:val="single" w:sz="12" w:space="0" w:color="auto"/>
            </w:tcBorders>
            <w:shd w:val="clear" w:color="auto" w:fill="auto"/>
            <w:vAlign w:val="bottom"/>
          </w:tcPr>
          <w:p w:rsidR="00753078" w:rsidRPr="00C8762E" w:rsidRDefault="00753078" w:rsidP="00067975">
            <w:pPr>
              <w:pStyle w:val="SingleTxtG"/>
              <w:spacing w:before="40" w:after="40" w:line="220" w:lineRule="exact"/>
              <w:ind w:left="113" w:right="0"/>
              <w:jc w:val="right"/>
              <w:rPr>
                <w:sz w:val="18"/>
              </w:rPr>
            </w:pPr>
            <w:r w:rsidRPr="00C8762E">
              <w:rPr>
                <w:sz w:val="18"/>
              </w:rPr>
              <w:t>136</w:t>
            </w:r>
          </w:p>
        </w:tc>
        <w:tc>
          <w:tcPr>
            <w:tcW w:w="1151" w:type="dxa"/>
            <w:tcBorders>
              <w:top w:val="single" w:sz="12" w:space="0" w:color="auto"/>
            </w:tcBorders>
            <w:shd w:val="clear" w:color="auto" w:fill="auto"/>
            <w:vAlign w:val="bottom"/>
          </w:tcPr>
          <w:p w:rsidR="00753078" w:rsidRPr="00C8762E" w:rsidRDefault="00753078" w:rsidP="00067975">
            <w:pPr>
              <w:pStyle w:val="SingleTxtG"/>
              <w:spacing w:before="40" w:after="40" w:line="220" w:lineRule="exact"/>
              <w:ind w:left="113" w:right="0"/>
              <w:jc w:val="right"/>
              <w:rPr>
                <w:sz w:val="18"/>
              </w:rPr>
            </w:pPr>
            <w:r w:rsidRPr="00C8762E">
              <w:rPr>
                <w:sz w:val="18"/>
              </w:rPr>
              <w:t>10</w:t>
            </w:r>
          </w:p>
        </w:tc>
        <w:tc>
          <w:tcPr>
            <w:tcW w:w="1034" w:type="dxa"/>
            <w:tcBorders>
              <w:top w:val="single" w:sz="12" w:space="0" w:color="auto"/>
            </w:tcBorders>
            <w:shd w:val="clear" w:color="auto" w:fill="auto"/>
            <w:vAlign w:val="bottom"/>
          </w:tcPr>
          <w:p w:rsidR="00753078" w:rsidRPr="00C8762E" w:rsidRDefault="00753078" w:rsidP="00067975">
            <w:pPr>
              <w:pStyle w:val="SingleTxtG"/>
              <w:spacing w:before="40" w:after="40" w:line="220" w:lineRule="exact"/>
              <w:ind w:left="113" w:right="0"/>
              <w:jc w:val="right"/>
              <w:rPr>
                <w:sz w:val="18"/>
              </w:rPr>
            </w:pPr>
            <w:r w:rsidRPr="00C8762E">
              <w:rPr>
                <w:sz w:val="18"/>
              </w:rPr>
              <w:t>2</w:t>
            </w:r>
            <w:r w:rsidR="0084198B" w:rsidRPr="00C8762E">
              <w:rPr>
                <w:sz w:val="18"/>
              </w:rPr>
              <w:t xml:space="preserve"> </w:t>
            </w:r>
            <w:r w:rsidRPr="00C8762E">
              <w:rPr>
                <w:sz w:val="18"/>
              </w:rPr>
              <w:t>343</w:t>
            </w:r>
          </w:p>
        </w:tc>
      </w:tr>
      <w:tr w:rsidR="00D1717D" w:rsidRPr="00C8762E" w:rsidTr="00067975">
        <w:trPr>
          <w:trHeight w:val="240"/>
        </w:trPr>
        <w:tc>
          <w:tcPr>
            <w:tcW w:w="912" w:type="dxa"/>
            <w:shd w:val="clear" w:color="auto" w:fill="auto"/>
          </w:tcPr>
          <w:p w:rsidR="00753078" w:rsidRPr="00C8762E" w:rsidRDefault="00753078" w:rsidP="00D1717D">
            <w:pPr>
              <w:pStyle w:val="SingleTxtG"/>
              <w:spacing w:before="40" w:after="40" w:line="220" w:lineRule="exact"/>
              <w:ind w:left="0" w:right="0"/>
              <w:jc w:val="left"/>
              <w:rPr>
                <w:sz w:val="18"/>
              </w:rPr>
            </w:pPr>
            <w:r w:rsidRPr="00C8762E">
              <w:rPr>
                <w:sz w:val="18"/>
              </w:rPr>
              <w:t>2013</w:t>
            </w:r>
          </w:p>
        </w:tc>
        <w:tc>
          <w:tcPr>
            <w:tcW w:w="1104" w:type="dxa"/>
            <w:shd w:val="clear" w:color="auto" w:fill="auto"/>
            <w:vAlign w:val="bottom"/>
          </w:tcPr>
          <w:p w:rsidR="00753078" w:rsidRPr="00C8762E" w:rsidRDefault="00753078" w:rsidP="00067975">
            <w:pPr>
              <w:pStyle w:val="SingleTxtG"/>
              <w:spacing w:before="40" w:after="40" w:line="220" w:lineRule="exact"/>
              <w:ind w:left="113" w:right="0"/>
              <w:jc w:val="right"/>
              <w:rPr>
                <w:sz w:val="18"/>
              </w:rPr>
            </w:pPr>
            <w:r w:rsidRPr="00C8762E">
              <w:rPr>
                <w:sz w:val="18"/>
              </w:rPr>
              <w:t>2</w:t>
            </w:r>
            <w:r w:rsidR="0084198B" w:rsidRPr="00C8762E">
              <w:rPr>
                <w:sz w:val="18"/>
              </w:rPr>
              <w:t xml:space="preserve"> </w:t>
            </w:r>
            <w:r w:rsidRPr="00C8762E">
              <w:rPr>
                <w:sz w:val="18"/>
              </w:rPr>
              <w:t>342</w:t>
            </w:r>
          </w:p>
        </w:tc>
        <w:tc>
          <w:tcPr>
            <w:tcW w:w="1199" w:type="dxa"/>
            <w:shd w:val="clear" w:color="auto" w:fill="auto"/>
            <w:vAlign w:val="bottom"/>
          </w:tcPr>
          <w:p w:rsidR="00753078" w:rsidRPr="00C8762E" w:rsidRDefault="00753078" w:rsidP="00067975">
            <w:pPr>
              <w:pStyle w:val="SingleTxtG"/>
              <w:spacing w:before="40" w:after="40" w:line="220" w:lineRule="exact"/>
              <w:ind w:left="113" w:right="0"/>
              <w:jc w:val="right"/>
              <w:rPr>
                <w:sz w:val="18"/>
              </w:rPr>
            </w:pPr>
            <w:r w:rsidRPr="00C8762E">
              <w:rPr>
                <w:sz w:val="18"/>
              </w:rPr>
              <w:t>57</w:t>
            </w:r>
          </w:p>
        </w:tc>
        <w:tc>
          <w:tcPr>
            <w:tcW w:w="913" w:type="dxa"/>
            <w:shd w:val="clear" w:color="auto" w:fill="auto"/>
            <w:vAlign w:val="bottom"/>
          </w:tcPr>
          <w:p w:rsidR="00753078" w:rsidRPr="00C8762E" w:rsidRDefault="00753078" w:rsidP="00067975">
            <w:pPr>
              <w:pStyle w:val="SingleTxtG"/>
              <w:spacing w:before="40" w:after="40" w:line="220" w:lineRule="exact"/>
              <w:ind w:left="113" w:right="0"/>
              <w:jc w:val="right"/>
              <w:rPr>
                <w:sz w:val="18"/>
              </w:rPr>
            </w:pPr>
            <w:r w:rsidRPr="00C8762E">
              <w:rPr>
                <w:sz w:val="18"/>
              </w:rPr>
              <w:t>92</w:t>
            </w:r>
          </w:p>
        </w:tc>
        <w:tc>
          <w:tcPr>
            <w:tcW w:w="1057" w:type="dxa"/>
            <w:shd w:val="clear" w:color="auto" w:fill="auto"/>
            <w:vAlign w:val="bottom"/>
          </w:tcPr>
          <w:p w:rsidR="00753078" w:rsidRPr="00C8762E" w:rsidRDefault="00753078" w:rsidP="00067975">
            <w:pPr>
              <w:pStyle w:val="SingleTxtG"/>
              <w:spacing w:before="40" w:after="40" w:line="220" w:lineRule="exact"/>
              <w:ind w:left="113" w:right="0"/>
              <w:jc w:val="right"/>
              <w:rPr>
                <w:sz w:val="18"/>
              </w:rPr>
            </w:pPr>
            <w:r w:rsidRPr="00C8762E">
              <w:rPr>
                <w:sz w:val="18"/>
              </w:rPr>
              <w:t>145</w:t>
            </w:r>
          </w:p>
        </w:tc>
        <w:tc>
          <w:tcPr>
            <w:tcW w:w="1151" w:type="dxa"/>
            <w:shd w:val="clear" w:color="auto" w:fill="auto"/>
            <w:vAlign w:val="bottom"/>
          </w:tcPr>
          <w:p w:rsidR="00753078" w:rsidRPr="00C8762E" w:rsidRDefault="00753078" w:rsidP="00067975">
            <w:pPr>
              <w:pStyle w:val="SingleTxtG"/>
              <w:spacing w:before="40" w:after="40" w:line="220" w:lineRule="exact"/>
              <w:ind w:left="113" w:right="0"/>
              <w:jc w:val="right"/>
              <w:rPr>
                <w:sz w:val="18"/>
              </w:rPr>
            </w:pPr>
            <w:r w:rsidRPr="00C8762E">
              <w:rPr>
                <w:sz w:val="18"/>
              </w:rPr>
              <w:t>11</w:t>
            </w:r>
          </w:p>
        </w:tc>
        <w:tc>
          <w:tcPr>
            <w:tcW w:w="1034" w:type="dxa"/>
            <w:shd w:val="clear" w:color="auto" w:fill="auto"/>
            <w:vAlign w:val="bottom"/>
          </w:tcPr>
          <w:p w:rsidR="00753078" w:rsidRPr="00C8762E" w:rsidRDefault="00753078" w:rsidP="00067975">
            <w:pPr>
              <w:pStyle w:val="SingleTxtG"/>
              <w:spacing w:before="40" w:after="40" w:line="220" w:lineRule="exact"/>
              <w:ind w:left="113" w:right="0"/>
              <w:jc w:val="right"/>
              <w:rPr>
                <w:sz w:val="18"/>
              </w:rPr>
            </w:pPr>
            <w:r w:rsidRPr="00C8762E">
              <w:rPr>
                <w:sz w:val="18"/>
              </w:rPr>
              <w:t>2</w:t>
            </w:r>
            <w:r w:rsidR="0084198B" w:rsidRPr="00C8762E">
              <w:rPr>
                <w:sz w:val="18"/>
              </w:rPr>
              <w:t xml:space="preserve"> </w:t>
            </w:r>
            <w:r w:rsidRPr="00C8762E">
              <w:rPr>
                <w:sz w:val="18"/>
              </w:rPr>
              <w:t>647</w:t>
            </w:r>
          </w:p>
        </w:tc>
      </w:tr>
      <w:tr w:rsidR="00D1717D" w:rsidRPr="00C8762E" w:rsidTr="00067975">
        <w:trPr>
          <w:trHeight w:val="240"/>
        </w:trPr>
        <w:tc>
          <w:tcPr>
            <w:tcW w:w="912" w:type="dxa"/>
            <w:shd w:val="clear" w:color="auto" w:fill="auto"/>
          </w:tcPr>
          <w:p w:rsidR="00753078" w:rsidRPr="00C8762E" w:rsidRDefault="00753078" w:rsidP="00D1717D">
            <w:pPr>
              <w:pStyle w:val="SingleTxtG"/>
              <w:spacing w:before="40" w:after="40" w:line="220" w:lineRule="exact"/>
              <w:ind w:left="0" w:right="0"/>
              <w:jc w:val="left"/>
              <w:rPr>
                <w:sz w:val="18"/>
              </w:rPr>
            </w:pPr>
            <w:r w:rsidRPr="00C8762E">
              <w:rPr>
                <w:sz w:val="18"/>
              </w:rPr>
              <w:t>2014</w:t>
            </w:r>
          </w:p>
        </w:tc>
        <w:tc>
          <w:tcPr>
            <w:tcW w:w="1104" w:type="dxa"/>
            <w:shd w:val="clear" w:color="auto" w:fill="auto"/>
            <w:vAlign w:val="bottom"/>
          </w:tcPr>
          <w:p w:rsidR="00753078" w:rsidRPr="00C8762E" w:rsidRDefault="00753078" w:rsidP="00067975">
            <w:pPr>
              <w:pStyle w:val="SingleTxtG"/>
              <w:spacing w:before="40" w:after="40" w:line="220" w:lineRule="exact"/>
              <w:ind w:left="113" w:right="0"/>
              <w:jc w:val="right"/>
              <w:rPr>
                <w:sz w:val="18"/>
              </w:rPr>
            </w:pPr>
            <w:r w:rsidRPr="00C8762E">
              <w:rPr>
                <w:sz w:val="18"/>
              </w:rPr>
              <w:t>2</w:t>
            </w:r>
            <w:r w:rsidR="0084198B" w:rsidRPr="00C8762E">
              <w:rPr>
                <w:sz w:val="18"/>
              </w:rPr>
              <w:t xml:space="preserve"> </w:t>
            </w:r>
            <w:r w:rsidRPr="00C8762E">
              <w:rPr>
                <w:sz w:val="18"/>
              </w:rPr>
              <w:t>158</w:t>
            </w:r>
          </w:p>
        </w:tc>
        <w:tc>
          <w:tcPr>
            <w:tcW w:w="1199" w:type="dxa"/>
            <w:shd w:val="clear" w:color="auto" w:fill="auto"/>
            <w:vAlign w:val="bottom"/>
          </w:tcPr>
          <w:p w:rsidR="00753078" w:rsidRPr="00C8762E" w:rsidRDefault="00753078" w:rsidP="00067975">
            <w:pPr>
              <w:pStyle w:val="SingleTxtG"/>
              <w:spacing w:before="40" w:after="40" w:line="220" w:lineRule="exact"/>
              <w:ind w:left="113" w:right="0"/>
              <w:jc w:val="right"/>
              <w:rPr>
                <w:sz w:val="18"/>
              </w:rPr>
            </w:pPr>
            <w:r w:rsidRPr="00C8762E">
              <w:rPr>
                <w:sz w:val="18"/>
              </w:rPr>
              <w:t>82</w:t>
            </w:r>
          </w:p>
        </w:tc>
        <w:tc>
          <w:tcPr>
            <w:tcW w:w="913" w:type="dxa"/>
            <w:shd w:val="clear" w:color="auto" w:fill="auto"/>
            <w:vAlign w:val="bottom"/>
          </w:tcPr>
          <w:p w:rsidR="00753078" w:rsidRPr="00C8762E" w:rsidRDefault="00753078" w:rsidP="00067975">
            <w:pPr>
              <w:pStyle w:val="SingleTxtG"/>
              <w:spacing w:before="40" w:after="40" w:line="220" w:lineRule="exact"/>
              <w:ind w:left="113" w:right="0"/>
              <w:jc w:val="right"/>
              <w:rPr>
                <w:sz w:val="18"/>
              </w:rPr>
            </w:pPr>
            <w:r w:rsidRPr="00C8762E">
              <w:rPr>
                <w:sz w:val="18"/>
              </w:rPr>
              <w:t>84</w:t>
            </w:r>
          </w:p>
        </w:tc>
        <w:tc>
          <w:tcPr>
            <w:tcW w:w="1057" w:type="dxa"/>
            <w:shd w:val="clear" w:color="auto" w:fill="auto"/>
            <w:vAlign w:val="bottom"/>
          </w:tcPr>
          <w:p w:rsidR="00753078" w:rsidRPr="00C8762E" w:rsidRDefault="00753078" w:rsidP="00067975">
            <w:pPr>
              <w:pStyle w:val="SingleTxtG"/>
              <w:spacing w:before="40" w:after="40" w:line="220" w:lineRule="exact"/>
              <w:ind w:left="113" w:right="0"/>
              <w:jc w:val="right"/>
              <w:rPr>
                <w:sz w:val="18"/>
              </w:rPr>
            </w:pPr>
            <w:r w:rsidRPr="00C8762E">
              <w:rPr>
                <w:sz w:val="18"/>
              </w:rPr>
              <w:t>101</w:t>
            </w:r>
          </w:p>
        </w:tc>
        <w:tc>
          <w:tcPr>
            <w:tcW w:w="1151" w:type="dxa"/>
            <w:shd w:val="clear" w:color="auto" w:fill="auto"/>
            <w:vAlign w:val="bottom"/>
          </w:tcPr>
          <w:p w:rsidR="00753078" w:rsidRPr="00C8762E" w:rsidRDefault="00753078" w:rsidP="00067975">
            <w:pPr>
              <w:pStyle w:val="SingleTxtG"/>
              <w:spacing w:before="40" w:after="40" w:line="220" w:lineRule="exact"/>
              <w:ind w:left="113" w:right="0"/>
              <w:jc w:val="right"/>
              <w:rPr>
                <w:sz w:val="18"/>
              </w:rPr>
            </w:pPr>
            <w:r w:rsidRPr="00C8762E">
              <w:rPr>
                <w:sz w:val="18"/>
              </w:rPr>
              <w:t>3</w:t>
            </w:r>
          </w:p>
        </w:tc>
        <w:tc>
          <w:tcPr>
            <w:tcW w:w="1034" w:type="dxa"/>
            <w:shd w:val="clear" w:color="auto" w:fill="auto"/>
            <w:vAlign w:val="bottom"/>
          </w:tcPr>
          <w:p w:rsidR="00753078" w:rsidRPr="00C8762E" w:rsidRDefault="00753078" w:rsidP="00067975">
            <w:pPr>
              <w:pStyle w:val="SingleTxtG"/>
              <w:spacing w:before="40" w:after="40" w:line="220" w:lineRule="exact"/>
              <w:ind w:left="113" w:right="0"/>
              <w:jc w:val="right"/>
              <w:rPr>
                <w:sz w:val="18"/>
              </w:rPr>
            </w:pPr>
            <w:r w:rsidRPr="00C8762E">
              <w:rPr>
                <w:sz w:val="18"/>
              </w:rPr>
              <w:t>2</w:t>
            </w:r>
            <w:r w:rsidR="0084198B" w:rsidRPr="00C8762E">
              <w:rPr>
                <w:sz w:val="18"/>
              </w:rPr>
              <w:t xml:space="preserve"> </w:t>
            </w:r>
            <w:r w:rsidRPr="00C8762E">
              <w:rPr>
                <w:sz w:val="18"/>
              </w:rPr>
              <w:t>428</w:t>
            </w:r>
          </w:p>
        </w:tc>
      </w:tr>
      <w:tr w:rsidR="00D1717D" w:rsidRPr="00C8762E" w:rsidTr="00067975">
        <w:trPr>
          <w:trHeight w:val="240"/>
        </w:trPr>
        <w:tc>
          <w:tcPr>
            <w:tcW w:w="912" w:type="dxa"/>
            <w:shd w:val="clear" w:color="auto" w:fill="auto"/>
          </w:tcPr>
          <w:p w:rsidR="00753078" w:rsidRPr="00C8762E" w:rsidRDefault="00753078" w:rsidP="00D1717D">
            <w:pPr>
              <w:pStyle w:val="SingleTxtG"/>
              <w:spacing w:before="40" w:after="40" w:line="220" w:lineRule="exact"/>
              <w:ind w:left="0" w:right="0"/>
              <w:jc w:val="left"/>
              <w:rPr>
                <w:sz w:val="18"/>
              </w:rPr>
            </w:pPr>
            <w:r w:rsidRPr="00C8762E">
              <w:rPr>
                <w:sz w:val="18"/>
              </w:rPr>
              <w:t>2015</w:t>
            </w:r>
          </w:p>
        </w:tc>
        <w:tc>
          <w:tcPr>
            <w:tcW w:w="1104" w:type="dxa"/>
            <w:shd w:val="clear" w:color="auto" w:fill="auto"/>
            <w:vAlign w:val="bottom"/>
          </w:tcPr>
          <w:p w:rsidR="00753078" w:rsidRPr="00C8762E" w:rsidRDefault="00753078" w:rsidP="00067975">
            <w:pPr>
              <w:pStyle w:val="SingleTxtG"/>
              <w:spacing w:before="40" w:after="40" w:line="220" w:lineRule="exact"/>
              <w:ind w:left="113" w:right="0"/>
              <w:jc w:val="right"/>
              <w:rPr>
                <w:sz w:val="18"/>
              </w:rPr>
            </w:pPr>
            <w:r w:rsidRPr="00C8762E">
              <w:rPr>
                <w:sz w:val="18"/>
              </w:rPr>
              <w:t>2</w:t>
            </w:r>
            <w:r w:rsidR="0084198B" w:rsidRPr="00C8762E">
              <w:rPr>
                <w:sz w:val="18"/>
              </w:rPr>
              <w:t xml:space="preserve"> </w:t>
            </w:r>
            <w:r w:rsidRPr="00C8762E">
              <w:rPr>
                <w:sz w:val="18"/>
              </w:rPr>
              <w:t>315</w:t>
            </w:r>
          </w:p>
        </w:tc>
        <w:tc>
          <w:tcPr>
            <w:tcW w:w="1199" w:type="dxa"/>
            <w:shd w:val="clear" w:color="auto" w:fill="auto"/>
            <w:vAlign w:val="bottom"/>
          </w:tcPr>
          <w:p w:rsidR="00753078" w:rsidRPr="00C8762E" w:rsidRDefault="00753078" w:rsidP="00067975">
            <w:pPr>
              <w:pStyle w:val="SingleTxtG"/>
              <w:spacing w:before="40" w:after="40" w:line="220" w:lineRule="exact"/>
              <w:ind w:left="113" w:right="0"/>
              <w:jc w:val="right"/>
              <w:rPr>
                <w:sz w:val="18"/>
              </w:rPr>
            </w:pPr>
            <w:r w:rsidRPr="00C8762E">
              <w:rPr>
                <w:sz w:val="18"/>
              </w:rPr>
              <w:t>113</w:t>
            </w:r>
          </w:p>
        </w:tc>
        <w:tc>
          <w:tcPr>
            <w:tcW w:w="913" w:type="dxa"/>
            <w:shd w:val="clear" w:color="auto" w:fill="auto"/>
            <w:vAlign w:val="bottom"/>
          </w:tcPr>
          <w:p w:rsidR="00753078" w:rsidRPr="00C8762E" w:rsidRDefault="00753078" w:rsidP="00067975">
            <w:pPr>
              <w:pStyle w:val="SingleTxtG"/>
              <w:spacing w:before="40" w:after="40" w:line="220" w:lineRule="exact"/>
              <w:ind w:left="113" w:right="0"/>
              <w:jc w:val="right"/>
              <w:rPr>
                <w:sz w:val="18"/>
              </w:rPr>
            </w:pPr>
            <w:r w:rsidRPr="00C8762E">
              <w:rPr>
                <w:sz w:val="18"/>
              </w:rPr>
              <w:t>127</w:t>
            </w:r>
          </w:p>
        </w:tc>
        <w:tc>
          <w:tcPr>
            <w:tcW w:w="1057" w:type="dxa"/>
            <w:shd w:val="clear" w:color="auto" w:fill="auto"/>
            <w:vAlign w:val="bottom"/>
          </w:tcPr>
          <w:p w:rsidR="00753078" w:rsidRPr="00C8762E" w:rsidRDefault="00753078" w:rsidP="00067975">
            <w:pPr>
              <w:pStyle w:val="SingleTxtG"/>
              <w:spacing w:before="40" w:after="40" w:line="220" w:lineRule="exact"/>
              <w:ind w:left="113" w:right="0"/>
              <w:jc w:val="right"/>
              <w:rPr>
                <w:sz w:val="18"/>
              </w:rPr>
            </w:pPr>
            <w:r w:rsidRPr="00C8762E">
              <w:rPr>
                <w:sz w:val="18"/>
              </w:rPr>
              <w:t>80</w:t>
            </w:r>
          </w:p>
        </w:tc>
        <w:tc>
          <w:tcPr>
            <w:tcW w:w="1151" w:type="dxa"/>
            <w:shd w:val="clear" w:color="auto" w:fill="auto"/>
            <w:vAlign w:val="bottom"/>
          </w:tcPr>
          <w:p w:rsidR="00753078" w:rsidRPr="00C8762E" w:rsidRDefault="00753078" w:rsidP="00067975">
            <w:pPr>
              <w:pStyle w:val="SingleTxtG"/>
              <w:spacing w:before="40" w:after="40" w:line="220" w:lineRule="exact"/>
              <w:ind w:left="113" w:right="0"/>
              <w:jc w:val="right"/>
              <w:rPr>
                <w:sz w:val="18"/>
              </w:rPr>
            </w:pPr>
            <w:r w:rsidRPr="00C8762E">
              <w:rPr>
                <w:sz w:val="18"/>
              </w:rPr>
              <w:t>7</w:t>
            </w:r>
          </w:p>
        </w:tc>
        <w:tc>
          <w:tcPr>
            <w:tcW w:w="1034" w:type="dxa"/>
            <w:shd w:val="clear" w:color="auto" w:fill="auto"/>
            <w:vAlign w:val="bottom"/>
          </w:tcPr>
          <w:p w:rsidR="00753078" w:rsidRPr="00C8762E" w:rsidRDefault="00753078" w:rsidP="00067975">
            <w:pPr>
              <w:pStyle w:val="SingleTxtG"/>
              <w:spacing w:before="40" w:after="40" w:line="220" w:lineRule="exact"/>
              <w:ind w:left="113" w:right="0"/>
              <w:jc w:val="right"/>
              <w:rPr>
                <w:sz w:val="18"/>
              </w:rPr>
            </w:pPr>
            <w:r w:rsidRPr="00C8762E">
              <w:rPr>
                <w:sz w:val="18"/>
              </w:rPr>
              <w:t>2</w:t>
            </w:r>
            <w:r w:rsidR="0084198B" w:rsidRPr="00C8762E">
              <w:rPr>
                <w:sz w:val="18"/>
              </w:rPr>
              <w:t xml:space="preserve"> </w:t>
            </w:r>
            <w:r w:rsidRPr="00C8762E">
              <w:rPr>
                <w:sz w:val="18"/>
              </w:rPr>
              <w:t>642</w:t>
            </w:r>
          </w:p>
        </w:tc>
      </w:tr>
      <w:tr w:rsidR="00D1717D" w:rsidRPr="00C8762E" w:rsidTr="00067975">
        <w:trPr>
          <w:trHeight w:val="240"/>
        </w:trPr>
        <w:tc>
          <w:tcPr>
            <w:tcW w:w="912" w:type="dxa"/>
            <w:tcBorders>
              <w:bottom w:val="single" w:sz="4" w:space="0" w:color="auto"/>
            </w:tcBorders>
            <w:shd w:val="clear" w:color="auto" w:fill="auto"/>
          </w:tcPr>
          <w:p w:rsidR="00753078" w:rsidRPr="00C8762E" w:rsidRDefault="00753078" w:rsidP="00D1717D">
            <w:pPr>
              <w:pStyle w:val="SingleTxtG"/>
              <w:spacing w:before="40" w:after="40" w:line="220" w:lineRule="exact"/>
              <w:ind w:left="0" w:right="0"/>
              <w:jc w:val="left"/>
              <w:rPr>
                <w:sz w:val="18"/>
              </w:rPr>
            </w:pPr>
            <w:r w:rsidRPr="00C8762E">
              <w:rPr>
                <w:sz w:val="18"/>
              </w:rPr>
              <w:t>2016</w:t>
            </w:r>
          </w:p>
        </w:tc>
        <w:tc>
          <w:tcPr>
            <w:tcW w:w="1104" w:type="dxa"/>
            <w:tcBorders>
              <w:bottom w:val="single" w:sz="4" w:space="0" w:color="auto"/>
            </w:tcBorders>
            <w:shd w:val="clear" w:color="auto" w:fill="auto"/>
            <w:vAlign w:val="bottom"/>
          </w:tcPr>
          <w:p w:rsidR="00753078" w:rsidRPr="00C8762E" w:rsidRDefault="00753078" w:rsidP="00067975">
            <w:pPr>
              <w:pStyle w:val="SingleTxtG"/>
              <w:spacing w:before="40" w:after="40" w:line="220" w:lineRule="exact"/>
              <w:ind w:left="113" w:right="0"/>
              <w:jc w:val="right"/>
              <w:rPr>
                <w:sz w:val="18"/>
              </w:rPr>
            </w:pPr>
            <w:r w:rsidRPr="00C8762E">
              <w:rPr>
                <w:sz w:val="18"/>
              </w:rPr>
              <w:t>2</w:t>
            </w:r>
            <w:r w:rsidR="0084198B" w:rsidRPr="00C8762E">
              <w:rPr>
                <w:sz w:val="18"/>
              </w:rPr>
              <w:t xml:space="preserve"> </w:t>
            </w:r>
            <w:r w:rsidRPr="00C8762E">
              <w:rPr>
                <w:sz w:val="18"/>
              </w:rPr>
              <w:t>809</w:t>
            </w:r>
          </w:p>
        </w:tc>
        <w:tc>
          <w:tcPr>
            <w:tcW w:w="1199" w:type="dxa"/>
            <w:tcBorders>
              <w:bottom w:val="single" w:sz="4" w:space="0" w:color="auto"/>
            </w:tcBorders>
            <w:shd w:val="clear" w:color="auto" w:fill="auto"/>
            <w:vAlign w:val="bottom"/>
          </w:tcPr>
          <w:p w:rsidR="00753078" w:rsidRPr="00C8762E" w:rsidRDefault="00753078" w:rsidP="00067975">
            <w:pPr>
              <w:pStyle w:val="SingleTxtG"/>
              <w:spacing w:before="40" w:after="40" w:line="220" w:lineRule="exact"/>
              <w:ind w:left="113" w:right="0"/>
              <w:jc w:val="right"/>
              <w:rPr>
                <w:sz w:val="18"/>
              </w:rPr>
            </w:pPr>
            <w:r w:rsidRPr="00C8762E">
              <w:rPr>
                <w:sz w:val="18"/>
              </w:rPr>
              <w:t>216</w:t>
            </w:r>
          </w:p>
        </w:tc>
        <w:tc>
          <w:tcPr>
            <w:tcW w:w="913" w:type="dxa"/>
            <w:tcBorders>
              <w:bottom w:val="single" w:sz="4" w:space="0" w:color="auto"/>
            </w:tcBorders>
            <w:shd w:val="clear" w:color="auto" w:fill="auto"/>
            <w:vAlign w:val="bottom"/>
          </w:tcPr>
          <w:p w:rsidR="00753078" w:rsidRPr="00C8762E" w:rsidRDefault="00753078" w:rsidP="00067975">
            <w:pPr>
              <w:pStyle w:val="SingleTxtG"/>
              <w:spacing w:before="40" w:after="40" w:line="220" w:lineRule="exact"/>
              <w:ind w:left="113" w:right="0"/>
              <w:jc w:val="right"/>
              <w:rPr>
                <w:sz w:val="18"/>
              </w:rPr>
            </w:pPr>
            <w:r w:rsidRPr="00C8762E">
              <w:rPr>
                <w:sz w:val="18"/>
              </w:rPr>
              <w:t>191</w:t>
            </w:r>
          </w:p>
        </w:tc>
        <w:tc>
          <w:tcPr>
            <w:tcW w:w="1057" w:type="dxa"/>
            <w:tcBorders>
              <w:bottom w:val="single" w:sz="4" w:space="0" w:color="auto"/>
            </w:tcBorders>
            <w:shd w:val="clear" w:color="auto" w:fill="auto"/>
            <w:vAlign w:val="bottom"/>
          </w:tcPr>
          <w:p w:rsidR="00753078" w:rsidRPr="00C8762E" w:rsidRDefault="00753078" w:rsidP="00067975">
            <w:pPr>
              <w:pStyle w:val="SingleTxtG"/>
              <w:spacing w:before="40" w:after="40" w:line="220" w:lineRule="exact"/>
              <w:ind w:left="113" w:right="0"/>
              <w:jc w:val="right"/>
              <w:rPr>
                <w:sz w:val="18"/>
              </w:rPr>
            </w:pPr>
            <w:r w:rsidRPr="00C8762E">
              <w:rPr>
                <w:sz w:val="18"/>
              </w:rPr>
              <w:t>73</w:t>
            </w:r>
          </w:p>
        </w:tc>
        <w:tc>
          <w:tcPr>
            <w:tcW w:w="1151" w:type="dxa"/>
            <w:tcBorders>
              <w:bottom w:val="single" w:sz="4" w:space="0" w:color="auto"/>
            </w:tcBorders>
            <w:shd w:val="clear" w:color="auto" w:fill="auto"/>
            <w:vAlign w:val="bottom"/>
          </w:tcPr>
          <w:p w:rsidR="00753078" w:rsidRPr="00C8762E" w:rsidRDefault="00753078" w:rsidP="00067975">
            <w:pPr>
              <w:pStyle w:val="SingleTxtG"/>
              <w:spacing w:before="40" w:after="40" w:line="220" w:lineRule="exact"/>
              <w:ind w:left="113" w:right="0"/>
              <w:jc w:val="right"/>
              <w:rPr>
                <w:sz w:val="18"/>
              </w:rPr>
            </w:pPr>
            <w:r w:rsidRPr="00C8762E">
              <w:rPr>
                <w:sz w:val="18"/>
              </w:rPr>
              <w:t>12</w:t>
            </w:r>
          </w:p>
        </w:tc>
        <w:tc>
          <w:tcPr>
            <w:tcW w:w="1034" w:type="dxa"/>
            <w:tcBorders>
              <w:bottom w:val="single" w:sz="4" w:space="0" w:color="auto"/>
            </w:tcBorders>
            <w:shd w:val="clear" w:color="auto" w:fill="auto"/>
            <w:vAlign w:val="bottom"/>
          </w:tcPr>
          <w:p w:rsidR="00753078" w:rsidRPr="00C8762E" w:rsidRDefault="00753078" w:rsidP="00067975">
            <w:pPr>
              <w:pStyle w:val="SingleTxtG"/>
              <w:spacing w:before="40" w:after="40" w:line="220" w:lineRule="exact"/>
              <w:ind w:left="113" w:right="0"/>
              <w:jc w:val="right"/>
              <w:rPr>
                <w:sz w:val="18"/>
              </w:rPr>
            </w:pPr>
            <w:r w:rsidRPr="00C8762E">
              <w:rPr>
                <w:sz w:val="18"/>
              </w:rPr>
              <w:t>3</w:t>
            </w:r>
            <w:r w:rsidR="0084198B" w:rsidRPr="00C8762E">
              <w:rPr>
                <w:sz w:val="18"/>
              </w:rPr>
              <w:t xml:space="preserve"> </w:t>
            </w:r>
            <w:r w:rsidRPr="00C8762E">
              <w:rPr>
                <w:sz w:val="18"/>
              </w:rPr>
              <w:t>301</w:t>
            </w:r>
          </w:p>
        </w:tc>
      </w:tr>
      <w:tr w:rsidR="00D1717D" w:rsidRPr="00C8762E" w:rsidTr="00067975">
        <w:trPr>
          <w:trHeight w:val="240"/>
        </w:trPr>
        <w:tc>
          <w:tcPr>
            <w:tcW w:w="912" w:type="dxa"/>
            <w:tcBorders>
              <w:top w:val="single" w:sz="4" w:space="0" w:color="auto"/>
              <w:bottom w:val="single" w:sz="12" w:space="0" w:color="auto"/>
            </w:tcBorders>
            <w:shd w:val="clear" w:color="auto" w:fill="auto"/>
          </w:tcPr>
          <w:p w:rsidR="00753078" w:rsidRPr="00C8762E" w:rsidRDefault="00D1717D" w:rsidP="00067975">
            <w:pPr>
              <w:pStyle w:val="SingleTxtG"/>
              <w:spacing w:before="80" w:after="80" w:line="220" w:lineRule="exact"/>
              <w:ind w:left="283" w:right="0"/>
              <w:jc w:val="left"/>
              <w:rPr>
                <w:b/>
                <w:sz w:val="18"/>
              </w:rPr>
            </w:pPr>
            <w:r w:rsidRPr="00C8762E">
              <w:rPr>
                <w:b/>
                <w:sz w:val="18"/>
              </w:rPr>
              <w:t>Total</w:t>
            </w:r>
          </w:p>
        </w:tc>
        <w:tc>
          <w:tcPr>
            <w:tcW w:w="1104" w:type="dxa"/>
            <w:tcBorders>
              <w:top w:val="single" w:sz="4" w:space="0" w:color="auto"/>
              <w:bottom w:val="single" w:sz="12" w:space="0" w:color="auto"/>
            </w:tcBorders>
            <w:shd w:val="clear" w:color="auto" w:fill="auto"/>
            <w:vAlign w:val="bottom"/>
          </w:tcPr>
          <w:p w:rsidR="00753078" w:rsidRPr="00C8762E" w:rsidRDefault="00753078" w:rsidP="00067975">
            <w:pPr>
              <w:pStyle w:val="SingleTxtG"/>
              <w:spacing w:before="80" w:after="80" w:line="220" w:lineRule="exact"/>
              <w:ind w:left="0" w:right="0"/>
              <w:jc w:val="right"/>
              <w:rPr>
                <w:b/>
                <w:sz w:val="18"/>
              </w:rPr>
            </w:pPr>
            <w:r w:rsidRPr="00C8762E">
              <w:rPr>
                <w:b/>
                <w:sz w:val="18"/>
              </w:rPr>
              <w:t>11</w:t>
            </w:r>
            <w:r w:rsidR="0084198B" w:rsidRPr="00C8762E">
              <w:rPr>
                <w:b/>
                <w:sz w:val="18"/>
              </w:rPr>
              <w:t xml:space="preserve"> </w:t>
            </w:r>
            <w:r w:rsidRPr="00C8762E">
              <w:rPr>
                <w:b/>
                <w:sz w:val="18"/>
              </w:rPr>
              <w:t>676</w:t>
            </w:r>
          </w:p>
        </w:tc>
        <w:tc>
          <w:tcPr>
            <w:tcW w:w="1199" w:type="dxa"/>
            <w:tcBorders>
              <w:top w:val="single" w:sz="4" w:space="0" w:color="auto"/>
              <w:bottom w:val="single" w:sz="12" w:space="0" w:color="auto"/>
            </w:tcBorders>
            <w:shd w:val="clear" w:color="auto" w:fill="auto"/>
            <w:vAlign w:val="bottom"/>
          </w:tcPr>
          <w:p w:rsidR="00753078" w:rsidRPr="00C8762E" w:rsidRDefault="00753078" w:rsidP="00067975">
            <w:pPr>
              <w:pStyle w:val="SingleTxtG"/>
              <w:spacing w:before="80" w:after="80" w:line="220" w:lineRule="exact"/>
              <w:ind w:left="0" w:right="0"/>
              <w:jc w:val="right"/>
              <w:rPr>
                <w:b/>
                <w:sz w:val="18"/>
              </w:rPr>
            </w:pPr>
            <w:r w:rsidRPr="00C8762E">
              <w:rPr>
                <w:b/>
                <w:sz w:val="18"/>
              </w:rPr>
              <w:t>514</w:t>
            </w:r>
          </w:p>
        </w:tc>
        <w:tc>
          <w:tcPr>
            <w:tcW w:w="913" w:type="dxa"/>
            <w:tcBorders>
              <w:top w:val="single" w:sz="4" w:space="0" w:color="auto"/>
              <w:bottom w:val="single" w:sz="12" w:space="0" w:color="auto"/>
            </w:tcBorders>
            <w:shd w:val="clear" w:color="auto" w:fill="auto"/>
            <w:vAlign w:val="bottom"/>
          </w:tcPr>
          <w:p w:rsidR="00753078" w:rsidRPr="00C8762E" w:rsidRDefault="00753078" w:rsidP="00067975">
            <w:pPr>
              <w:pStyle w:val="SingleTxtG"/>
              <w:spacing w:before="80" w:after="80" w:line="220" w:lineRule="exact"/>
              <w:ind w:left="0" w:right="0"/>
              <w:jc w:val="right"/>
              <w:rPr>
                <w:b/>
                <w:sz w:val="18"/>
              </w:rPr>
            </w:pPr>
            <w:r w:rsidRPr="00C8762E">
              <w:rPr>
                <w:b/>
                <w:sz w:val="18"/>
              </w:rPr>
              <w:t>593</w:t>
            </w:r>
          </w:p>
        </w:tc>
        <w:tc>
          <w:tcPr>
            <w:tcW w:w="1057" w:type="dxa"/>
            <w:tcBorders>
              <w:top w:val="single" w:sz="4" w:space="0" w:color="auto"/>
              <w:bottom w:val="single" w:sz="12" w:space="0" w:color="auto"/>
            </w:tcBorders>
            <w:shd w:val="clear" w:color="auto" w:fill="auto"/>
            <w:vAlign w:val="bottom"/>
          </w:tcPr>
          <w:p w:rsidR="00753078" w:rsidRPr="00C8762E" w:rsidRDefault="00753078" w:rsidP="00067975">
            <w:pPr>
              <w:pStyle w:val="SingleTxtG"/>
              <w:spacing w:before="80" w:after="80" w:line="220" w:lineRule="exact"/>
              <w:ind w:left="0" w:right="0"/>
              <w:jc w:val="right"/>
              <w:rPr>
                <w:b/>
                <w:sz w:val="18"/>
              </w:rPr>
            </w:pPr>
            <w:r w:rsidRPr="00C8762E">
              <w:rPr>
                <w:b/>
                <w:sz w:val="18"/>
              </w:rPr>
              <w:t>535</w:t>
            </w:r>
          </w:p>
        </w:tc>
        <w:tc>
          <w:tcPr>
            <w:tcW w:w="1151" w:type="dxa"/>
            <w:tcBorders>
              <w:top w:val="single" w:sz="4" w:space="0" w:color="auto"/>
              <w:bottom w:val="single" w:sz="12" w:space="0" w:color="auto"/>
            </w:tcBorders>
            <w:shd w:val="clear" w:color="auto" w:fill="auto"/>
            <w:vAlign w:val="bottom"/>
          </w:tcPr>
          <w:p w:rsidR="00753078" w:rsidRPr="00C8762E" w:rsidRDefault="00753078" w:rsidP="00067975">
            <w:pPr>
              <w:pStyle w:val="SingleTxtG"/>
              <w:spacing w:before="80" w:after="80" w:line="220" w:lineRule="exact"/>
              <w:ind w:left="0" w:right="0"/>
              <w:jc w:val="right"/>
              <w:rPr>
                <w:b/>
                <w:sz w:val="18"/>
              </w:rPr>
            </w:pPr>
            <w:r w:rsidRPr="00C8762E">
              <w:rPr>
                <w:b/>
                <w:sz w:val="18"/>
              </w:rPr>
              <w:t>43</w:t>
            </w:r>
          </w:p>
        </w:tc>
        <w:tc>
          <w:tcPr>
            <w:tcW w:w="1034" w:type="dxa"/>
            <w:tcBorders>
              <w:top w:val="single" w:sz="4" w:space="0" w:color="auto"/>
              <w:bottom w:val="single" w:sz="12" w:space="0" w:color="auto"/>
            </w:tcBorders>
            <w:shd w:val="clear" w:color="auto" w:fill="auto"/>
            <w:vAlign w:val="bottom"/>
          </w:tcPr>
          <w:p w:rsidR="00753078" w:rsidRPr="00C8762E" w:rsidRDefault="00753078" w:rsidP="00067975">
            <w:pPr>
              <w:pStyle w:val="SingleTxtG"/>
              <w:spacing w:before="80" w:after="80" w:line="220" w:lineRule="exact"/>
              <w:ind w:left="0" w:right="0"/>
              <w:jc w:val="right"/>
              <w:rPr>
                <w:b/>
                <w:sz w:val="18"/>
              </w:rPr>
            </w:pPr>
            <w:r w:rsidRPr="00C8762E">
              <w:rPr>
                <w:b/>
                <w:sz w:val="18"/>
              </w:rPr>
              <w:t>13</w:t>
            </w:r>
            <w:r w:rsidR="0084198B" w:rsidRPr="00C8762E">
              <w:rPr>
                <w:b/>
                <w:sz w:val="18"/>
              </w:rPr>
              <w:t xml:space="preserve"> </w:t>
            </w:r>
            <w:r w:rsidRPr="00C8762E">
              <w:rPr>
                <w:b/>
                <w:sz w:val="18"/>
              </w:rPr>
              <w:t>361</w:t>
            </w:r>
          </w:p>
        </w:tc>
      </w:tr>
    </w:tbl>
    <w:p w:rsidR="00753078" w:rsidRPr="00C8762E" w:rsidRDefault="00462771" w:rsidP="00067975">
      <w:pPr>
        <w:pStyle w:val="Textonotapie"/>
        <w:spacing w:before="120"/>
        <w:ind w:firstLine="0"/>
      </w:pPr>
      <w:r w:rsidRPr="00C8762E">
        <w:t xml:space="preserve">  </w:t>
      </w:r>
      <w:r w:rsidR="00D1717D" w:rsidRPr="00C8762E">
        <w:t xml:space="preserve"> </w:t>
      </w:r>
      <w:r w:rsidR="00753078" w:rsidRPr="00C8762E">
        <w:rPr>
          <w:i/>
        </w:rPr>
        <w:t>Fuente:</w:t>
      </w:r>
      <w:r w:rsidR="00753078" w:rsidRPr="00C8762E">
        <w:t xml:space="preserve"> SPOA </w:t>
      </w:r>
      <w:r w:rsidR="00D1717D" w:rsidRPr="00C8762E">
        <w:t>–</w:t>
      </w:r>
      <w:r w:rsidR="00753078" w:rsidRPr="00C8762E">
        <w:t xml:space="preserve"> Consulta 10 de marzo de 2017</w:t>
      </w:r>
      <w:r w:rsidR="00D1717D" w:rsidRPr="00C8762E">
        <w:t>.</w:t>
      </w:r>
    </w:p>
    <w:p w:rsidR="00753078" w:rsidRPr="00C8762E" w:rsidRDefault="00992FBC" w:rsidP="00992FBC">
      <w:pPr>
        <w:pStyle w:val="H23G"/>
      </w:pPr>
      <w:r w:rsidRPr="00C8762E">
        <w:lastRenderedPageBreak/>
        <w:tab/>
        <w:t>1</w:t>
      </w:r>
      <w:r w:rsidR="00753078" w:rsidRPr="00C8762E">
        <w:t>7.</w:t>
      </w:r>
      <w:r w:rsidR="00753078" w:rsidRPr="00C8762E">
        <w:tab/>
        <w:t>Efectos negativos del uso de glifosato o de otras sustancias nocivas en el combate del</w:t>
      </w:r>
      <w:r w:rsidR="00D1717D" w:rsidRPr="00C8762E">
        <w:t> </w:t>
      </w:r>
      <w:r w:rsidR="00753078" w:rsidRPr="00C8762E">
        <w:t>cultivo ilícito de coca en campesinos y comunidades afectadas</w:t>
      </w:r>
    </w:p>
    <w:p w:rsidR="00753078" w:rsidRPr="00C8762E" w:rsidRDefault="00D1717D" w:rsidP="00067975">
      <w:pPr>
        <w:pStyle w:val="SingleTxtG"/>
      </w:pPr>
      <w:r w:rsidRPr="00C8762E">
        <w:t>89.</w:t>
      </w:r>
      <w:r w:rsidRPr="00C8762E">
        <w:tab/>
      </w:r>
      <w:r w:rsidR="00753078" w:rsidRPr="00C8762E">
        <w:t xml:space="preserve">Ante el anuncio emitido por la Agencia Internacional para la Investigación en Cáncer (IARC), el 20 de marzo de 2015 que concluyó: </w:t>
      </w:r>
      <w:r w:rsidR="00054E05" w:rsidRPr="00C8762E">
        <w:t>“</w:t>
      </w:r>
      <w:r w:rsidR="00753078" w:rsidRPr="00C8762E">
        <w:t>la sustancia denominada Glifosato es un probable carcinogénico para humanos</w:t>
      </w:r>
      <w:r w:rsidR="00054E05" w:rsidRPr="00C8762E">
        <w:t>”</w:t>
      </w:r>
      <w:r w:rsidR="00753078" w:rsidRPr="00C8762E">
        <w:t xml:space="preserve"> y la incluyó dentro del Grupo 2A, el 28 de abril de 2015, el MSPS en el marco de sus obligaciones de protección de la salud pública y acatando las órdenes emitidas por la Corte Constitucional, recomendó al Consejo Nacional de Estupefacientes (CNE) suspender el uso del glifosato en las operaciones de aspersión aérea para la Erradicación de Cultivos Ilícitos. En sesión del CNE de </w:t>
      </w:r>
      <w:r w:rsidR="005B7C15" w:rsidRPr="00C8762E">
        <w:t xml:space="preserve">14 de </w:t>
      </w:r>
      <w:r w:rsidR="00753078" w:rsidRPr="00C8762E">
        <w:t xml:space="preserve">mayo de 2015, una vez analizados los mencionados pronunciamientos dispuso la suspensión del uso del herbicida glifosato en el </w:t>
      </w:r>
      <w:r w:rsidR="00054E05" w:rsidRPr="00C8762E">
        <w:rPr>
          <w:i/>
        </w:rPr>
        <w:t>“</w:t>
      </w:r>
      <w:r w:rsidR="00753078" w:rsidRPr="00C8762E">
        <w:rPr>
          <w:i/>
        </w:rPr>
        <w:t>Programa de Erradicación de Cultivos Ilícitos mediante Aspersión Aérea con el Herbicida Glifosato (PECIG)</w:t>
      </w:r>
      <w:r w:rsidR="00054E05" w:rsidRPr="00C8762E">
        <w:rPr>
          <w:i/>
        </w:rPr>
        <w:t>”</w:t>
      </w:r>
      <w:r w:rsidR="00753078" w:rsidRPr="00C8762E">
        <w:t xml:space="preserve"> a través de la Resolución </w:t>
      </w:r>
      <w:r w:rsidR="005B7C15" w:rsidRPr="00C8762E">
        <w:t xml:space="preserve">núm. </w:t>
      </w:r>
      <w:r w:rsidR="00753078" w:rsidRPr="00C8762E">
        <w:t xml:space="preserve">0006 de 2015. De acuerdo con lo anterior, la ANLA, igualmente ordenó la suspensión, mediante la Resolución </w:t>
      </w:r>
      <w:r w:rsidR="005B7C15" w:rsidRPr="00C8762E">
        <w:t xml:space="preserve">núm. </w:t>
      </w:r>
      <w:r w:rsidR="00753078" w:rsidRPr="00C8762E">
        <w:t>1214 del 30 de septiembre de 2015.</w:t>
      </w:r>
    </w:p>
    <w:p w:rsidR="00753078" w:rsidRPr="00C8762E" w:rsidRDefault="00D1717D" w:rsidP="00067975">
      <w:pPr>
        <w:pStyle w:val="SingleTxtG"/>
      </w:pPr>
      <w:r w:rsidRPr="00C8762E">
        <w:t>90.</w:t>
      </w:r>
      <w:r w:rsidRPr="00C8762E">
        <w:tab/>
      </w:r>
      <w:r w:rsidR="00753078" w:rsidRPr="00C8762E">
        <w:t xml:space="preserve">En la actualidad, la Dirección de Antinarcóticos de la Policía Nacional, planea y ejecuta operaciones de erradicación de cultivos ilícitos mediante aspersión terrestre con glifosato empleando equipos agrícolas estacionarios y de espalda, de acuerdo a lo contemplado en la Resolución </w:t>
      </w:r>
      <w:r w:rsidR="005B7C15" w:rsidRPr="00C8762E">
        <w:t xml:space="preserve">núm. </w:t>
      </w:r>
      <w:r w:rsidR="00753078" w:rsidRPr="00C8762E">
        <w:t xml:space="preserve">708 de 11 de julio de 2016. Se autorizó modificar el PECIG, cuyas actividades se encuentran actualmente suspendidas y se autorizó la inclusión de una intervención inicial piloto del Programa de Erradicación de Cultivos Ilícitos mediante Aspersión Terrestre con el Herbicida Glifosato (PECAT), en los departamentos de Nariño y Chocó. </w:t>
      </w:r>
    </w:p>
    <w:p w:rsidR="00753078" w:rsidRPr="00C8762E" w:rsidRDefault="00D1717D" w:rsidP="00067975">
      <w:pPr>
        <w:pStyle w:val="SingleTxtG"/>
      </w:pPr>
      <w:r w:rsidRPr="00C8762E">
        <w:t>91.</w:t>
      </w:r>
      <w:r w:rsidRPr="00C8762E">
        <w:tab/>
      </w:r>
      <w:r w:rsidR="00753078" w:rsidRPr="00C8762E">
        <w:t>Con relación a la afectación de cultivos lícitos, cuando se comprobó la relación entre el daño existente reportado por el cultivador y el desarrollo de operaciones de erradicación de cultivos ilícitos mediante aspersión aérea con glifosato, se realizaron compensaciones económicas para resarcir el efecto colateral de dichas operaciones.</w:t>
      </w:r>
    </w:p>
    <w:p w:rsidR="00753078" w:rsidRPr="00C8762E" w:rsidRDefault="00DF5A10" w:rsidP="00DF5A10">
      <w:pPr>
        <w:pStyle w:val="HChG"/>
      </w:pPr>
      <w:r w:rsidRPr="00C8762E">
        <w:tab/>
      </w:r>
      <w:r w:rsidRPr="00C8762E">
        <w:tab/>
      </w:r>
      <w:r w:rsidR="00753078" w:rsidRPr="00C8762E">
        <w:t>Artículos 13 y 14</w:t>
      </w:r>
    </w:p>
    <w:p w:rsidR="00753078" w:rsidRPr="00C8762E" w:rsidRDefault="00992FBC" w:rsidP="00992FBC">
      <w:pPr>
        <w:pStyle w:val="H23G"/>
      </w:pPr>
      <w:r w:rsidRPr="00C8762E">
        <w:tab/>
        <w:t>1</w:t>
      </w:r>
      <w:r w:rsidR="00753078" w:rsidRPr="00C8762E">
        <w:t>8.</w:t>
      </w:r>
      <w:r w:rsidRPr="00C8762E">
        <w:tab/>
      </w:r>
      <w:r w:rsidR="00753078" w:rsidRPr="00C8762E">
        <w:t>Acceso a la educación preescolar y a la educación primaria gratuita</w:t>
      </w:r>
    </w:p>
    <w:p w:rsidR="00753078" w:rsidRPr="00C8762E" w:rsidRDefault="00D1717D" w:rsidP="00067975">
      <w:pPr>
        <w:pStyle w:val="SingleTxtG"/>
      </w:pPr>
      <w:r w:rsidRPr="00C8762E">
        <w:t>92.</w:t>
      </w:r>
      <w:r w:rsidRPr="00C8762E">
        <w:tab/>
      </w:r>
      <w:r w:rsidR="00753078" w:rsidRPr="00C8762E">
        <w:t xml:space="preserve">De conformidad la Ley </w:t>
      </w:r>
      <w:r w:rsidR="00777999" w:rsidRPr="00C8762E">
        <w:t xml:space="preserve">núm. </w:t>
      </w:r>
      <w:r w:rsidR="00753078" w:rsidRPr="00C8762E">
        <w:t xml:space="preserve">1804 de 2016 </w:t>
      </w:r>
      <w:r w:rsidR="00054E05" w:rsidRPr="00C8762E">
        <w:t>“</w:t>
      </w:r>
      <w:r w:rsidR="00753078" w:rsidRPr="00C8762E">
        <w:t>Por la cual se estable la Política de Estado para el desarrollo integral de la Primera Infancia de Cero a Siempre y se dictan otras disposiciones</w:t>
      </w:r>
      <w:r w:rsidR="00054E05" w:rsidRPr="00C8762E">
        <w:t>”</w:t>
      </w:r>
      <w:r w:rsidR="00753078" w:rsidRPr="00C8762E">
        <w:t>, al Ministerio de Educación Nacional (MEN) a través de la Dirección de Primera Infancia, le compete entre otras funciones, la orientación de la ejecución de la política educativa para la primera infancia y la promoción de su correcta implementación a través de la asistencia técnica brindada a las entidades territoriales.</w:t>
      </w:r>
    </w:p>
    <w:p w:rsidR="00753078" w:rsidRPr="00C8762E" w:rsidRDefault="00D1717D" w:rsidP="00067975">
      <w:pPr>
        <w:pStyle w:val="SingleTxtG"/>
      </w:pPr>
      <w:r w:rsidRPr="00C8762E">
        <w:t>93.</w:t>
      </w:r>
      <w:r w:rsidRPr="00C8762E">
        <w:tab/>
      </w:r>
      <w:r w:rsidR="00753078" w:rsidRPr="00C8762E">
        <w:t xml:space="preserve">Algunas de las gestiones desarrolladas por el MEN en relación a la política de educación inicial con grupos étnicos son: i) la Formulación de referentes que orientan la construcción de propuestas pedagógicas para una educación inicial incluyente y con enfoque de atención diferencial para las comunidades étnicas, ii) el apoyo en la construcción de los referentes técnicos y orientaciones para la modalidad propia e intercultural, en específico en la elaboración del manual operativo servicio de educación inicial, cuidado y nutrición en el marco de la atención integral para la primera infancia, modalidad propia en territorios étnicos, iii) construcción del capítulo de </w:t>
      </w:r>
      <w:r w:rsidR="00054E05" w:rsidRPr="00C8762E">
        <w:t>“</w:t>
      </w:r>
      <w:r w:rsidR="00753078" w:rsidRPr="00C8762E">
        <w:t>Semillas de Vida</w:t>
      </w:r>
      <w:r w:rsidR="00054E05" w:rsidRPr="00C8762E">
        <w:t>”</w:t>
      </w:r>
      <w:r w:rsidR="00753078" w:rsidRPr="00C8762E">
        <w:t xml:space="preserve"> del Sistema Indígena Propio construido en el ámbito del Decreto </w:t>
      </w:r>
      <w:r w:rsidR="00777999" w:rsidRPr="00C8762E">
        <w:t xml:space="preserve">núm. </w:t>
      </w:r>
      <w:r w:rsidR="00753078" w:rsidRPr="00C8762E">
        <w:t>2406 de 2007.</w:t>
      </w:r>
    </w:p>
    <w:p w:rsidR="00753078" w:rsidRPr="00C8762E" w:rsidRDefault="00D1717D" w:rsidP="00067975">
      <w:pPr>
        <w:pStyle w:val="SingleTxtG"/>
      </w:pPr>
      <w:r w:rsidRPr="00C8762E">
        <w:t>94.</w:t>
      </w:r>
      <w:r w:rsidRPr="00C8762E">
        <w:tab/>
      </w:r>
      <w:r w:rsidR="00753078" w:rsidRPr="00C8762E">
        <w:t>En cuanto a las víctimas de desplazamiento forzado, las cifras presentadas en los resultados de la Encuesta de Goce Efectivo de Derecho, publicada en el año 2014 por la Unidad para las Víctimas, señala que el Ministerio de Educación registró una atención del 87,8% de los niños, niñas y adolescentes víctimas de desplazamiento, con edades comprendidas entre 5 y 17 años, quienes están vinculados a alguno de los niveles de educación preescolar, básica o media, encontrando que la mayor parte de esa población registró altos niveles de permanencia escolar.</w:t>
      </w:r>
    </w:p>
    <w:p w:rsidR="00753078" w:rsidRPr="00C8762E" w:rsidRDefault="00D1717D" w:rsidP="00067975">
      <w:pPr>
        <w:pStyle w:val="SingleTxtG"/>
      </w:pPr>
      <w:r w:rsidRPr="00C8762E">
        <w:t>95.</w:t>
      </w:r>
      <w:r w:rsidRPr="00C8762E">
        <w:tab/>
      </w:r>
      <w:r w:rsidR="00753078" w:rsidRPr="00C8762E">
        <w:t xml:space="preserve">El Decreto </w:t>
      </w:r>
      <w:r w:rsidR="00777999" w:rsidRPr="00C8762E">
        <w:t xml:space="preserve">núm. </w:t>
      </w:r>
      <w:r w:rsidR="00753078" w:rsidRPr="00C8762E">
        <w:t xml:space="preserve">1075 de 2015, Único del Sector Educación (el cual compiló el Decreto </w:t>
      </w:r>
      <w:r w:rsidR="00777999" w:rsidRPr="00C8762E">
        <w:t xml:space="preserve">núm. </w:t>
      </w:r>
      <w:r w:rsidR="00753078" w:rsidRPr="00C8762E">
        <w:t xml:space="preserve">4807 de 2011) reglamentó la gratuidad educativa para todos los estudiantes de los establecimientos educativos estatales matriculados en los grados de transición a </w:t>
      </w:r>
      <w:r w:rsidR="00753078" w:rsidRPr="00C8762E">
        <w:lastRenderedPageBreak/>
        <w:t>undécimo. De acuerdo con el artículo 2.3.1.6.4.2</w:t>
      </w:r>
      <w:r w:rsidR="005B7C15" w:rsidRPr="00C8762E">
        <w:t xml:space="preserve">: </w:t>
      </w:r>
      <w:r w:rsidR="00054E05" w:rsidRPr="00C8762E">
        <w:t>“</w:t>
      </w:r>
      <w:r w:rsidR="00753078" w:rsidRPr="00C8762E">
        <w:t>la gratuidad educativa se entiende como la exención del pago de derechos académicos y servicios complementarios. En consecuencia, las instituciones educativas estatales no podrán realizar ningún cobro por derechos académicos o servicios complementarios</w:t>
      </w:r>
      <w:r w:rsidR="00054E05" w:rsidRPr="00C8762E">
        <w:t>”</w:t>
      </w:r>
      <w:r w:rsidR="00753078" w:rsidRPr="00C8762E">
        <w:t xml:space="preserve">. Los recursos girados directamente a los Fondos de Servicios Educativos de los establecimientos, deben destinarse a las siguientes actividades, de acuerdo a lo establecido en el artículo 11 del Decreto </w:t>
      </w:r>
      <w:r w:rsidR="00777999" w:rsidRPr="00C8762E">
        <w:t xml:space="preserve">núm. </w:t>
      </w:r>
      <w:r w:rsidR="00753078" w:rsidRPr="00C8762E">
        <w:t xml:space="preserve">4791 de 2008: </w:t>
      </w:r>
    </w:p>
    <w:p w:rsidR="00753078" w:rsidRPr="00C8762E" w:rsidRDefault="00753078" w:rsidP="00DF5A10">
      <w:pPr>
        <w:pStyle w:val="Bullet1G"/>
      </w:pPr>
      <w:r w:rsidRPr="00C8762E">
        <w:t>Dotaciones pedagógicas del establecimiento educativo tales como mobiliario, textos, libros, materiales didácticos y audiovisuales, etc.</w:t>
      </w:r>
    </w:p>
    <w:p w:rsidR="00753078" w:rsidRPr="00C8762E" w:rsidRDefault="00753078" w:rsidP="00DF5A10">
      <w:pPr>
        <w:pStyle w:val="Bullet1G"/>
      </w:pPr>
      <w:r w:rsidRPr="00C8762E">
        <w:t>Contratación de los servicios de transporte escolar.</w:t>
      </w:r>
    </w:p>
    <w:p w:rsidR="00753078" w:rsidRPr="00C8762E" w:rsidRDefault="00753078" w:rsidP="00DF5A10">
      <w:pPr>
        <w:pStyle w:val="Bullet1G"/>
      </w:pPr>
      <w:r w:rsidRPr="00C8762E">
        <w:t>Costos asociados a la elaboración de certificaciones de estudio solicitadas por los estudiantes, boletines, agenda y manual de convivencia, carné escolar.</w:t>
      </w:r>
    </w:p>
    <w:p w:rsidR="00753078" w:rsidRPr="00C8762E" w:rsidRDefault="00D1717D" w:rsidP="00067975">
      <w:pPr>
        <w:pStyle w:val="SingleTxtG"/>
      </w:pPr>
      <w:r w:rsidRPr="00C8762E">
        <w:t>96.</w:t>
      </w:r>
      <w:r w:rsidRPr="00C8762E">
        <w:tab/>
      </w:r>
      <w:r w:rsidR="00753078" w:rsidRPr="00C8762E">
        <w:t>Respecto del componente de alimentación, actualmente el MEN tiene a su cargo el Programa de Alimentación Escolar, definido como una de las estrategias para fortalecer la política de acceso con permanencia, a través de la cual se facilita el acceso de la población objetivo, fomentando estilos de vida saludables y mejorando su capacidad de aprendizaje, a través del suministro de un complemento alimentario</w:t>
      </w:r>
      <w:r w:rsidR="00753078" w:rsidRPr="00C8762E">
        <w:rPr>
          <w:rStyle w:val="Refdenotaalpie"/>
        </w:rPr>
        <w:footnoteReference w:id="8"/>
      </w:r>
      <w:r w:rsidR="00753078" w:rsidRPr="00C8762E">
        <w:t>. El programa está dirigido a atender</w:t>
      </w:r>
      <w:r w:rsidR="00753078" w:rsidRPr="00C8762E">
        <w:rPr>
          <w:i/>
        </w:rPr>
        <w:t xml:space="preserve"> </w:t>
      </w:r>
      <w:r w:rsidR="00054E05" w:rsidRPr="00C8762E">
        <w:t>“</w:t>
      </w:r>
      <w:r w:rsidR="00753078" w:rsidRPr="00C8762E">
        <w:t>NNA y jóvenes focalizados, registrados en el Sistema de Matrícula (SIMAT)…</w:t>
      </w:r>
      <w:r w:rsidR="00054E05" w:rsidRPr="00C8762E">
        <w:t>”</w:t>
      </w:r>
      <w:r w:rsidR="005B7C15" w:rsidRPr="00C8762E">
        <w:t>.</w:t>
      </w:r>
    </w:p>
    <w:p w:rsidR="00753078" w:rsidRPr="00C8762E" w:rsidRDefault="00D1717D" w:rsidP="00067975">
      <w:pPr>
        <w:pStyle w:val="SingleTxtG"/>
      </w:pPr>
      <w:r w:rsidRPr="00C8762E">
        <w:t>97.</w:t>
      </w:r>
      <w:r w:rsidRPr="00C8762E">
        <w:tab/>
      </w:r>
      <w:r w:rsidR="00753078" w:rsidRPr="00C8762E">
        <w:t>La apuesta en infraestructura educativa es lograr la implementación del Plan Nacional de Infraestructura Educativa (PNIE), el cual busca disminuir el déficit de aulas y promover la implementación de la jornada única en el país. Para 2018, se espera que a través del PNIE se reduzca este déficit en 60% —31</w:t>
      </w:r>
      <w:r w:rsidR="005B7C15" w:rsidRPr="00C8762E">
        <w:t>.000</w:t>
      </w:r>
      <w:r w:rsidR="00753078" w:rsidRPr="00C8762E">
        <w:t xml:space="preserve"> aulas— con una inversión de 3,9 billones, y la meta de largo plazo es lograr el 100% de jornada única a 2025 en zonas urbanas y a 2030 en zonas rurales.</w:t>
      </w:r>
    </w:p>
    <w:p w:rsidR="00753078" w:rsidRPr="00C8762E" w:rsidRDefault="00992FBC" w:rsidP="00992FBC">
      <w:pPr>
        <w:pStyle w:val="H23G"/>
      </w:pPr>
      <w:r w:rsidRPr="00C8762E">
        <w:tab/>
        <w:t>1</w:t>
      </w:r>
      <w:r w:rsidR="00753078" w:rsidRPr="00C8762E">
        <w:t>9.</w:t>
      </w:r>
      <w:r w:rsidR="00753078" w:rsidRPr="00C8762E">
        <w:tab/>
        <w:t xml:space="preserve">Calidad de la educación </w:t>
      </w:r>
    </w:p>
    <w:p w:rsidR="00753078" w:rsidRPr="00C8762E" w:rsidRDefault="00D1717D" w:rsidP="00067975">
      <w:pPr>
        <w:pStyle w:val="SingleTxtG"/>
      </w:pPr>
      <w:r w:rsidRPr="00C8762E">
        <w:t>98.</w:t>
      </w:r>
      <w:r w:rsidRPr="00C8762E">
        <w:tab/>
      </w:r>
      <w:r w:rsidR="00753078" w:rsidRPr="00C8762E">
        <w:t xml:space="preserve">El MEN en su compromiso por lograr el mejoramiento de la calidad y cerrar brechas, ha desarrollado el </w:t>
      </w:r>
      <w:r w:rsidR="00054E05" w:rsidRPr="00C8762E">
        <w:t>“</w:t>
      </w:r>
      <w:r w:rsidR="00753078" w:rsidRPr="00C8762E">
        <w:t>Día E</w:t>
      </w:r>
      <w:r w:rsidR="00054E05" w:rsidRPr="00C8762E">
        <w:t>”</w:t>
      </w:r>
      <w:r w:rsidR="00753078" w:rsidRPr="00C8762E">
        <w:t xml:space="preserve"> y la Estrategia </w:t>
      </w:r>
      <w:r w:rsidR="00054E05" w:rsidRPr="00C8762E">
        <w:t>“</w:t>
      </w:r>
      <w:r w:rsidR="00753078" w:rsidRPr="00C8762E">
        <w:t>Siempre Día E</w:t>
      </w:r>
      <w:r w:rsidR="00054E05" w:rsidRPr="00C8762E">
        <w:t>”</w:t>
      </w:r>
      <w:r w:rsidR="00753078" w:rsidRPr="00C8762E">
        <w:t xml:space="preserve">, iniciativas de carácter nacional a través de las cuales se ofrecen herramientas concretas para la mejora de los aprendizajes de los estudiantes, el fortalecimiento curricular y las prácticas de aula de los docentes. Las dos estrategias cuentan con un componente de materiales pedagógicos como son: los Derechos Básicos de Aprendizaje; el reporte del Índice Sintético de Calidad Educativa; el informe de aprendizajes por mejorar por colegio; orientaciones pedagógicas, entre otros. </w:t>
      </w:r>
    </w:p>
    <w:p w:rsidR="00753078" w:rsidRPr="00C8762E" w:rsidRDefault="00D1717D" w:rsidP="00067975">
      <w:pPr>
        <w:pStyle w:val="SingleTxtG"/>
      </w:pPr>
      <w:r w:rsidRPr="00C8762E">
        <w:t>99.</w:t>
      </w:r>
      <w:r w:rsidRPr="00C8762E">
        <w:tab/>
      </w:r>
      <w:r w:rsidR="00753078" w:rsidRPr="00C8762E">
        <w:t>En el marco de estas estrategias, se ha diseñado la ruta de acompañamiento pedagógico desde la cual se orienta y apoya a nivel nacional, el proceso de uso contextualizado de estos materiales en los colegios (a través de programas como el Programa Todos A Aprender y la Jornada Única).</w:t>
      </w:r>
    </w:p>
    <w:p w:rsidR="00753078" w:rsidRPr="00C8762E" w:rsidRDefault="00D1717D" w:rsidP="00067975">
      <w:pPr>
        <w:pStyle w:val="SingleTxtG"/>
      </w:pPr>
      <w:r w:rsidRPr="00C8762E">
        <w:t>100.</w:t>
      </w:r>
      <w:r w:rsidRPr="00C8762E">
        <w:tab/>
      </w:r>
      <w:r w:rsidR="00753078" w:rsidRPr="00C8762E">
        <w:t xml:space="preserve">En cuanto a las medidas adoptadas para aumentar del número de maestros calificados y para asegurar que </w:t>
      </w:r>
      <w:r w:rsidR="00777999" w:rsidRPr="00C8762E">
        <w:t>e</w:t>
      </w:r>
      <w:r w:rsidR="00753078" w:rsidRPr="00C8762E">
        <w:t xml:space="preserve">stos cuenten con prestaciones laborales adecuadas y una formación y capacitación continua de calidad, el MEN expidió la Resolución </w:t>
      </w:r>
      <w:r w:rsidR="00777999" w:rsidRPr="00C8762E">
        <w:t xml:space="preserve">núm. </w:t>
      </w:r>
      <w:r w:rsidR="00753078" w:rsidRPr="00C8762E">
        <w:t>15683 de 2016, por la cual se estableció el Manual de Funciones, Requisitos y Competencias para los cargos de directivos docentes y docentes. Con dicha herramienta se procedió a dar apertura a las convocatorias 339 a 425 de 2016, mediante las cuales se convocó un nuevo concurso abierto de méritos para proveer 21.342 vacantes de directivos docentes, docentes y líderes de apoyo en instituciones educativas oficiales, buscando de esta forma fortalecer la carrera docente y la calidad de la educación.</w:t>
      </w:r>
    </w:p>
    <w:p w:rsidR="00753078" w:rsidRPr="00C8762E" w:rsidRDefault="00D1717D" w:rsidP="00067975">
      <w:pPr>
        <w:pStyle w:val="SingleTxtG"/>
      </w:pPr>
      <w:r w:rsidRPr="00C8762E">
        <w:t>101.</w:t>
      </w:r>
      <w:r w:rsidRPr="00C8762E">
        <w:tab/>
      </w:r>
      <w:r w:rsidR="00753078" w:rsidRPr="00C8762E">
        <w:t xml:space="preserve">Se implementó el Programa </w:t>
      </w:r>
      <w:r w:rsidR="00054E05" w:rsidRPr="00C8762E">
        <w:t>“</w:t>
      </w:r>
      <w:r w:rsidR="00753078" w:rsidRPr="00C8762E">
        <w:t>Becas para la Excelencia Docente</w:t>
      </w:r>
      <w:r w:rsidR="00054E05" w:rsidRPr="00C8762E">
        <w:t>”</w:t>
      </w:r>
      <w:r w:rsidR="00753078" w:rsidRPr="00C8762E">
        <w:t xml:space="preserve"> que consiste en otorgar créditos beca, </w:t>
      </w:r>
      <w:proofErr w:type="spellStart"/>
      <w:r w:rsidR="00753078" w:rsidRPr="00C8762E">
        <w:t>condonables</w:t>
      </w:r>
      <w:proofErr w:type="spellEnd"/>
      <w:r w:rsidR="00753078" w:rsidRPr="00C8762E">
        <w:t xml:space="preserve"> en un 100%, para fortalecer académicamente a los establecimientos educativos y cualificar el desempeño de los docentes en servicio, a través del desarrollo de programas de maestría en universidades con acreditación de alta calidad del país. </w:t>
      </w:r>
    </w:p>
    <w:p w:rsidR="00753078" w:rsidRPr="00C8762E" w:rsidRDefault="00D1717D" w:rsidP="00067975">
      <w:pPr>
        <w:pStyle w:val="SingleTxtG"/>
      </w:pPr>
      <w:r w:rsidRPr="00C8762E">
        <w:lastRenderedPageBreak/>
        <w:t>102.</w:t>
      </w:r>
      <w:r w:rsidRPr="00C8762E">
        <w:tab/>
      </w:r>
      <w:r w:rsidR="00753078" w:rsidRPr="00C8762E">
        <w:t>La Nación viene garantizando el pago de las prestaciones sociales a los educadores, e igualmente dispuso bonificaciones adicionales a la inflación entre los años 2014 y 2016, creó la prima de servicios para los docentes y directivos docentes del servicio educativo oficial, y una bonificación por retiro del servicio para los educadores del grado 14 del escalafón.</w:t>
      </w:r>
    </w:p>
    <w:p w:rsidR="00753078" w:rsidRPr="00C8762E" w:rsidRDefault="00DF5A10" w:rsidP="00DF5A10">
      <w:pPr>
        <w:pStyle w:val="H1G"/>
      </w:pPr>
      <w:r w:rsidRPr="00C8762E">
        <w:tab/>
      </w:r>
      <w:r w:rsidRPr="00C8762E">
        <w:tab/>
      </w:r>
      <w:r w:rsidR="00753078" w:rsidRPr="00C8762E">
        <w:t>Artículo 15</w:t>
      </w:r>
    </w:p>
    <w:p w:rsidR="00753078" w:rsidRPr="00C8762E" w:rsidRDefault="00992FBC" w:rsidP="00992FBC">
      <w:pPr>
        <w:pStyle w:val="H23G"/>
      </w:pPr>
      <w:r w:rsidRPr="00C8762E">
        <w:tab/>
        <w:t>2</w:t>
      </w:r>
      <w:r w:rsidR="00753078" w:rsidRPr="00C8762E">
        <w:t>0.</w:t>
      </w:r>
      <w:r w:rsidR="00753078" w:rsidRPr="00C8762E">
        <w:tab/>
        <w:t xml:space="preserve">Diversidad cultural y la protección del patrimonio cultural y educación </w:t>
      </w:r>
      <w:r w:rsidR="00D1717D" w:rsidRPr="00C8762E">
        <w:br/>
      </w:r>
      <w:r w:rsidR="00753078" w:rsidRPr="00C8762E">
        <w:t>intercultural</w:t>
      </w:r>
    </w:p>
    <w:p w:rsidR="00753078" w:rsidRPr="00C8762E" w:rsidRDefault="00D1717D" w:rsidP="00067975">
      <w:pPr>
        <w:pStyle w:val="SingleTxtG"/>
      </w:pPr>
      <w:r w:rsidRPr="00C8762E">
        <w:t>103.</w:t>
      </w:r>
      <w:r w:rsidRPr="00C8762E">
        <w:tab/>
      </w:r>
      <w:r w:rsidR="00753078" w:rsidRPr="00C8762E">
        <w:t xml:space="preserve">El Ministerio de Cultura ha consolidado una política que busca garantizar los derechos culturales de los distintos grupos poblacionales que constituyen la diversidad étnica y cultural de Colombia. En este sentido, y bajo el programa de enfoque diferencial y acción sin daño, se ha avanzado en un trabajo de reconocimiento de la diversidad cultural de los grupos étnicos, así como en la </w:t>
      </w:r>
      <w:proofErr w:type="spellStart"/>
      <w:r w:rsidR="00753078" w:rsidRPr="00C8762E">
        <w:t>visibilización</w:t>
      </w:r>
      <w:proofErr w:type="spellEnd"/>
      <w:r w:rsidR="00753078" w:rsidRPr="00C8762E">
        <w:t xml:space="preserve"> y la creación de conocimiento social sobre otros grupos poblacionales. </w:t>
      </w:r>
    </w:p>
    <w:p w:rsidR="00753078" w:rsidRPr="00C8762E" w:rsidRDefault="00D1717D" w:rsidP="00067975">
      <w:pPr>
        <w:pStyle w:val="SingleTxtG"/>
      </w:pPr>
      <w:r w:rsidRPr="00C8762E">
        <w:t>104.</w:t>
      </w:r>
      <w:r w:rsidRPr="00C8762E">
        <w:tab/>
      </w:r>
      <w:r w:rsidR="00753078" w:rsidRPr="00C8762E">
        <w:t xml:space="preserve">Para el caso de los pueblos indígenas, la agenda de trabajo concertada con las organizaciones representativas se centra en las líneas de 1) protección de la diversidad lingüística, 2) protección del patrimonio cultural, 3) fortalecimiento de la participación indígena en el Sistema Nacional de Cultura, 4) revitalización y preservación de la memoria, y 5) fortalecimiento de procesos organizativos locales para acceder a las fuentes de financiación para la cultura. </w:t>
      </w:r>
    </w:p>
    <w:p w:rsidR="00753078" w:rsidRPr="00C8762E" w:rsidRDefault="00D1717D" w:rsidP="00067975">
      <w:pPr>
        <w:pStyle w:val="SingleTxtG"/>
      </w:pPr>
      <w:r w:rsidRPr="00C8762E">
        <w:t>105.</w:t>
      </w:r>
      <w:r w:rsidRPr="00C8762E">
        <w:tab/>
      </w:r>
      <w:r w:rsidR="00753078" w:rsidRPr="00C8762E">
        <w:t xml:space="preserve">Con respecto a las comunidades negras, afrocolombianas, raizales y </w:t>
      </w:r>
      <w:proofErr w:type="spellStart"/>
      <w:r w:rsidR="00753078" w:rsidRPr="00C8762E">
        <w:t>palenqueras</w:t>
      </w:r>
      <w:proofErr w:type="spellEnd"/>
      <w:r w:rsidR="00753078" w:rsidRPr="00C8762E">
        <w:t xml:space="preserve">, se ha trabajado en el reconocimiento de la herencia africana de estas poblaciones, estableciendo una agenda de diálogo cultural y una oferta pertinente en el marco del Decenio Internacional de los Afrodescendientes, la cual permite garantizar su identidad cultural de acuerdo a sus iniciativas propias y a sus manifestaciones culturales y artísticas. </w:t>
      </w:r>
    </w:p>
    <w:p w:rsidR="00A4232C" w:rsidRPr="00C8762E" w:rsidRDefault="00D1717D" w:rsidP="00067975">
      <w:pPr>
        <w:pStyle w:val="SingleTxtG"/>
      </w:pPr>
      <w:r w:rsidRPr="00C8762E">
        <w:t>106.</w:t>
      </w:r>
      <w:r w:rsidRPr="00C8762E">
        <w:tab/>
      </w:r>
      <w:r w:rsidR="00753078" w:rsidRPr="00C8762E">
        <w:t xml:space="preserve">Las medidas adoptadas para mejorar la calidad de la educación en los Establecimientos </w:t>
      </w:r>
      <w:proofErr w:type="spellStart"/>
      <w:r w:rsidR="00753078" w:rsidRPr="00C8762E">
        <w:t>Etnoeducativos</w:t>
      </w:r>
      <w:proofErr w:type="spellEnd"/>
      <w:r w:rsidR="00753078" w:rsidRPr="00C8762E">
        <w:t xml:space="preserve">, muestran un avance significativo en la política de atención educativa a los Grupos Étnicos, la cual está transitando de la </w:t>
      </w:r>
      <w:r w:rsidR="00054E05" w:rsidRPr="00C8762E">
        <w:t>“</w:t>
      </w:r>
      <w:proofErr w:type="spellStart"/>
      <w:r w:rsidR="00753078" w:rsidRPr="00C8762E">
        <w:t>Etnoeducación</w:t>
      </w:r>
      <w:proofErr w:type="spellEnd"/>
      <w:r w:rsidR="00054E05" w:rsidRPr="00C8762E">
        <w:t>”</w:t>
      </w:r>
      <w:r w:rsidR="00753078" w:rsidRPr="00C8762E">
        <w:t xml:space="preserve"> a la construcción de una política participativa en el marco del reconocimiento de los sistemas educativos propios, comunitarios e interculturales</w:t>
      </w:r>
      <w:r w:rsidR="00DF5A10" w:rsidRPr="00C8762E">
        <w:t>.</w:t>
      </w:r>
    </w:p>
    <w:p w:rsidR="00DF5A10" w:rsidRPr="00C8762E" w:rsidRDefault="00DF5A10" w:rsidP="00DF5A10">
      <w:pPr>
        <w:pStyle w:val="SingleTxtG"/>
        <w:spacing w:before="240" w:after="0"/>
        <w:jc w:val="center"/>
        <w:rPr>
          <w:u w:val="single"/>
        </w:rPr>
      </w:pPr>
      <w:r w:rsidRPr="00C8762E">
        <w:rPr>
          <w:u w:val="single"/>
        </w:rPr>
        <w:tab/>
      </w:r>
      <w:r w:rsidRPr="00C8762E">
        <w:rPr>
          <w:u w:val="single"/>
        </w:rPr>
        <w:tab/>
      </w:r>
      <w:r w:rsidRPr="00C8762E">
        <w:rPr>
          <w:u w:val="single"/>
        </w:rPr>
        <w:tab/>
      </w:r>
    </w:p>
    <w:sectPr w:rsidR="00DF5A10" w:rsidRPr="00C8762E" w:rsidSect="00067975">
      <w:headerReference w:type="even" r:id="rId9"/>
      <w:headerReference w:type="default" r:id="rId10"/>
      <w:footerReference w:type="even" r:id="rId11"/>
      <w:footerReference w:type="default" r:id="rId12"/>
      <w:footerReference w:type="first" r:id="rId13"/>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17D" w:rsidRDefault="00D1717D">
      <w:r>
        <w:separator/>
      </w:r>
    </w:p>
  </w:endnote>
  <w:endnote w:type="continuationSeparator" w:id="0">
    <w:p w:rsidR="00D1717D" w:rsidRDefault="00D17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roid Sans Fallback">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7D" w:rsidRPr="004A671A" w:rsidRDefault="00D1717D" w:rsidP="004A671A">
    <w:pPr>
      <w:pStyle w:val="Piedepgina"/>
      <w:tabs>
        <w:tab w:val="right" w:pos="9638"/>
      </w:tabs>
    </w:pPr>
    <w:r w:rsidRPr="004A671A">
      <w:rPr>
        <w:b/>
        <w:sz w:val="18"/>
      </w:rPr>
      <w:fldChar w:fldCharType="begin"/>
    </w:r>
    <w:r w:rsidRPr="004A671A">
      <w:rPr>
        <w:b/>
        <w:sz w:val="18"/>
      </w:rPr>
      <w:instrText xml:space="preserve"> PAGE  \* MERGEFORMAT </w:instrText>
    </w:r>
    <w:r w:rsidRPr="004A671A">
      <w:rPr>
        <w:b/>
        <w:sz w:val="18"/>
      </w:rPr>
      <w:fldChar w:fldCharType="separate"/>
    </w:r>
    <w:r w:rsidR="004D698C">
      <w:rPr>
        <w:b/>
        <w:noProof/>
        <w:sz w:val="18"/>
      </w:rPr>
      <w:t>20</w:t>
    </w:r>
    <w:r w:rsidRPr="004A671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7D" w:rsidRPr="004A671A" w:rsidRDefault="00D1717D" w:rsidP="004A671A">
    <w:pPr>
      <w:pStyle w:val="Piedepgina"/>
      <w:tabs>
        <w:tab w:val="right" w:pos="9638"/>
      </w:tabs>
      <w:rPr>
        <w:b/>
        <w:sz w:val="18"/>
      </w:rPr>
    </w:pPr>
    <w:r>
      <w:tab/>
    </w:r>
    <w:r w:rsidRPr="004A671A">
      <w:rPr>
        <w:b/>
        <w:sz w:val="18"/>
      </w:rPr>
      <w:fldChar w:fldCharType="begin"/>
    </w:r>
    <w:r w:rsidRPr="004A671A">
      <w:rPr>
        <w:b/>
        <w:sz w:val="18"/>
      </w:rPr>
      <w:instrText xml:space="preserve"> PAGE  \* MERGEFORMAT </w:instrText>
    </w:r>
    <w:r w:rsidRPr="004A671A">
      <w:rPr>
        <w:b/>
        <w:sz w:val="18"/>
      </w:rPr>
      <w:fldChar w:fldCharType="separate"/>
    </w:r>
    <w:r w:rsidR="004D698C">
      <w:rPr>
        <w:b/>
        <w:noProof/>
        <w:sz w:val="18"/>
      </w:rPr>
      <w:t>19</w:t>
    </w:r>
    <w:r w:rsidRPr="004A671A">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591" w:rsidRPr="006A7591" w:rsidRDefault="006A7591" w:rsidP="006A7591">
    <w:pPr>
      <w:pStyle w:val="Piedepgina"/>
      <w:spacing w:before="120" w:line="240" w:lineRule="auto"/>
      <w:rPr>
        <w:sz w:val="20"/>
      </w:rPr>
    </w:pPr>
    <w:r>
      <w:rPr>
        <w:noProof/>
        <w:sz w:val="20"/>
      </w:rPr>
      <w:drawing>
        <wp:anchor distT="0" distB="0" distL="114300" distR="114300" simplePos="0" relativeHeight="251657216" behindDoc="0" locked="0" layoutInCell="1" allowOverlap="1" wp14:anchorId="43F48FF7" wp14:editId="1843BCA4">
          <wp:simplePos x="0" y="0"/>
          <wp:positionH relativeFrom="margin">
            <wp:posOffset>5402232</wp:posOffset>
          </wp:positionH>
          <wp:positionV relativeFrom="margin">
            <wp:posOffset>8881685</wp:posOffset>
          </wp:positionV>
          <wp:extent cx="638175" cy="638175"/>
          <wp:effectExtent l="0" t="0" r="9525" b="9525"/>
          <wp:wrapNone/>
          <wp:docPr id="1" name="Imagen 1" descr="https://undocs.org/m2/QRCode.ashx?DS=E/C.12/COL/Q/6/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COL/Q/6/Add.1&amp;Size=2&amp;Lang=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rPr>
      <w:t>GE.17</w:t>
    </w:r>
    <w:proofErr w:type="spellEnd"/>
    <w:r>
      <w:rPr>
        <w:sz w:val="20"/>
      </w:rPr>
      <w:t>-12305  (S)</w:t>
    </w:r>
    <w:r>
      <w:rPr>
        <w:sz w:val="20"/>
      </w:rPr>
      <w:br/>
    </w:r>
    <w:r w:rsidRPr="006A7591">
      <w:rPr>
        <w:rFonts w:ascii="C39T30Lfz" w:hAnsi="C39T30Lfz"/>
        <w:sz w:val="56"/>
      </w:rPr>
      <w:t></w:t>
    </w:r>
    <w:r w:rsidRPr="006A7591">
      <w:rPr>
        <w:rFonts w:ascii="C39T30Lfz" w:hAnsi="C39T30Lfz"/>
        <w:sz w:val="56"/>
      </w:rPr>
      <w:t></w:t>
    </w:r>
    <w:r w:rsidRPr="006A7591">
      <w:rPr>
        <w:rFonts w:ascii="C39T30Lfz" w:hAnsi="C39T30Lfz"/>
        <w:sz w:val="56"/>
      </w:rPr>
      <w:t></w:t>
    </w:r>
    <w:r w:rsidRPr="006A7591">
      <w:rPr>
        <w:rFonts w:ascii="C39T30Lfz" w:hAnsi="C39T30Lfz"/>
        <w:sz w:val="56"/>
      </w:rPr>
      <w:t></w:t>
    </w:r>
    <w:r w:rsidRPr="006A7591">
      <w:rPr>
        <w:rFonts w:ascii="C39T30Lfz" w:hAnsi="C39T30Lfz"/>
        <w:sz w:val="56"/>
      </w:rPr>
      <w:t></w:t>
    </w:r>
    <w:r w:rsidRPr="006A7591">
      <w:rPr>
        <w:rFonts w:ascii="C39T30Lfz" w:hAnsi="C39T30Lfz"/>
        <w:sz w:val="56"/>
      </w:rPr>
      <w:t></w:t>
    </w:r>
    <w:r w:rsidRPr="006A7591">
      <w:rPr>
        <w:rFonts w:ascii="C39T30Lfz" w:hAnsi="C39T30Lfz"/>
        <w:sz w:val="56"/>
      </w:rPr>
      <w:t></w:t>
    </w:r>
    <w:r w:rsidRPr="006A7591">
      <w:rPr>
        <w:rFonts w:ascii="C39T30Lfz" w:hAnsi="C39T30Lfz"/>
        <w:sz w:val="56"/>
      </w:rPr>
      <w:t></w:t>
    </w:r>
    <w:r w:rsidRPr="006A7591">
      <w:rPr>
        <w:rFonts w:ascii="C39T30Lfz" w:hAnsi="C39T30Lfz"/>
        <w:sz w:val="56"/>
      </w:rPr>
      <w:t></w:t>
    </w:r>
    <w:r w:rsidRPr="006A7591">
      <w:rPr>
        <w:rFonts w:ascii="C39T30Lfz" w:hAnsi="C39T30Lfz"/>
        <w:noProof/>
        <w:sz w:val="56"/>
      </w:rPr>
      <w:drawing>
        <wp:anchor distT="0" distB="0" distL="114300" distR="114300" simplePos="0" relativeHeight="251659264" behindDoc="0" locked="1" layoutInCell="1" allowOverlap="1" wp14:anchorId="2B68B450" wp14:editId="6ADA2D43">
          <wp:simplePos x="0" y="0"/>
          <wp:positionH relativeFrom="margin">
            <wp:posOffset>4258945</wp:posOffset>
          </wp:positionH>
          <wp:positionV relativeFrom="margin">
            <wp:posOffset>9211310</wp:posOffset>
          </wp:positionV>
          <wp:extent cx="1085850" cy="2286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17D" w:rsidRPr="001075E9" w:rsidRDefault="00D1717D" w:rsidP="001075E9">
      <w:pPr>
        <w:tabs>
          <w:tab w:val="right" w:pos="2155"/>
        </w:tabs>
        <w:spacing w:after="80" w:line="240" w:lineRule="auto"/>
        <w:ind w:left="680"/>
        <w:rPr>
          <w:u w:val="single"/>
        </w:rPr>
      </w:pPr>
      <w:r>
        <w:rPr>
          <w:u w:val="single"/>
        </w:rPr>
        <w:tab/>
      </w:r>
    </w:p>
  </w:footnote>
  <w:footnote w:type="continuationSeparator" w:id="0">
    <w:p w:rsidR="00D1717D" w:rsidRDefault="00D1717D">
      <w:r>
        <w:continuationSeparator/>
      </w:r>
    </w:p>
  </w:footnote>
  <w:footnote w:id="1">
    <w:p w:rsidR="00D1717D" w:rsidRPr="00DF5A10" w:rsidRDefault="00D1717D" w:rsidP="00054E05">
      <w:pPr>
        <w:pStyle w:val="Textonotapie"/>
      </w:pPr>
      <w:r w:rsidRPr="00DF5A10">
        <w:tab/>
      </w:r>
      <w:r w:rsidRPr="00067975">
        <w:rPr>
          <w:rStyle w:val="Refdenotaalpie"/>
          <w:sz w:val="20"/>
          <w:vertAlign w:val="baseline"/>
        </w:rPr>
        <w:t>*</w:t>
      </w:r>
      <w:r w:rsidRPr="00DF5A10">
        <w:rPr>
          <w:rStyle w:val="Refdenotaalpie"/>
          <w:vertAlign w:val="baseline"/>
        </w:rPr>
        <w:tab/>
        <w:t xml:space="preserve">El presente documento se </w:t>
      </w:r>
      <w:r w:rsidRPr="00054E05">
        <w:rPr>
          <w:rStyle w:val="Refdenotaalpie"/>
          <w:vertAlign w:val="baseline"/>
        </w:rPr>
        <w:t>publica</w:t>
      </w:r>
      <w:r w:rsidRPr="00DF5A10">
        <w:rPr>
          <w:rStyle w:val="Refdenotaalpie"/>
          <w:vertAlign w:val="baseline"/>
        </w:rPr>
        <w:t xml:space="preserve"> sin haber sido objeto de revisión editorial oficial.</w:t>
      </w:r>
    </w:p>
  </w:footnote>
  <w:footnote w:id="2">
    <w:p w:rsidR="00D1717D" w:rsidRPr="00665FA6" w:rsidRDefault="00D1717D" w:rsidP="00291FC0">
      <w:pPr>
        <w:pStyle w:val="Textonotapie"/>
      </w:pPr>
      <w:r>
        <w:tab/>
      </w:r>
      <w:r w:rsidRPr="00067975">
        <w:rPr>
          <w:rStyle w:val="Refdenotaalpie"/>
          <w:sz w:val="20"/>
          <w:vertAlign w:val="baseline"/>
        </w:rPr>
        <w:t>**</w:t>
      </w:r>
      <w:r w:rsidRPr="00665FA6">
        <w:t xml:space="preserve"> </w:t>
      </w:r>
      <w:r w:rsidRPr="00665FA6">
        <w:tab/>
      </w:r>
      <w:r w:rsidRPr="00665FA6">
        <w:rPr>
          <w:lang w:eastAsia="fr-FR"/>
        </w:rPr>
        <w:t>Los anexos del presente informe están disponibles en la Secretaría para su consulta. También se puede acceder a estos desde la página web del Comité.</w:t>
      </w:r>
    </w:p>
  </w:footnote>
  <w:footnote w:id="3">
    <w:p w:rsidR="00D1717D" w:rsidRPr="00054E05" w:rsidRDefault="00D1717D" w:rsidP="00054E05">
      <w:pPr>
        <w:pStyle w:val="Textonotapie"/>
      </w:pPr>
      <w:r w:rsidRPr="00054E05">
        <w:tab/>
      </w:r>
      <w:r w:rsidRPr="00067975">
        <w:rPr>
          <w:rStyle w:val="Refdenotaalpie"/>
        </w:rPr>
        <w:footnoteRef/>
      </w:r>
      <w:r w:rsidRPr="00054E05">
        <w:tab/>
        <w:t>Fondo de Solidaridad y Fomento al empleo y protección al cesante.</w:t>
      </w:r>
    </w:p>
  </w:footnote>
  <w:footnote w:id="4">
    <w:p w:rsidR="00D1717D" w:rsidRPr="00054E05" w:rsidRDefault="00D1717D" w:rsidP="00054E05">
      <w:pPr>
        <w:pStyle w:val="Textonotapie"/>
      </w:pPr>
      <w:r w:rsidRPr="00054E05">
        <w:tab/>
      </w:r>
      <w:r w:rsidRPr="00067975">
        <w:rPr>
          <w:rStyle w:val="Refdenotaalpie"/>
        </w:rPr>
        <w:footnoteRef/>
      </w:r>
      <w:r w:rsidRPr="00054E05">
        <w:tab/>
        <w:t>Minas sin explotar</w:t>
      </w:r>
    </w:p>
  </w:footnote>
  <w:footnote w:id="5">
    <w:p w:rsidR="00D1717D" w:rsidRPr="00054E05" w:rsidRDefault="00D1717D" w:rsidP="00054E05">
      <w:pPr>
        <w:pStyle w:val="Textonotapie"/>
      </w:pPr>
      <w:r w:rsidRPr="00054E05">
        <w:tab/>
      </w:r>
      <w:r w:rsidRPr="00067975">
        <w:rPr>
          <w:rStyle w:val="Refdenotaalpie"/>
        </w:rPr>
        <w:footnoteRef/>
      </w:r>
      <w:r w:rsidRPr="00054E05">
        <w:tab/>
        <w:t>Municiones sin explotar</w:t>
      </w:r>
    </w:p>
  </w:footnote>
  <w:footnote w:id="6">
    <w:p w:rsidR="00D1717D" w:rsidRPr="00054E05" w:rsidRDefault="00D1717D" w:rsidP="00054E05">
      <w:pPr>
        <w:pStyle w:val="Textonotapie"/>
      </w:pPr>
      <w:r w:rsidRPr="00054E05">
        <w:tab/>
      </w:r>
      <w:r w:rsidRPr="00067975">
        <w:rPr>
          <w:rStyle w:val="Refdenotaalpie"/>
        </w:rPr>
        <w:footnoteRef/>
      </w:r>
      <w:r w:rsidRPr="00054E05">
        <w:tab/>
        <w:t>Artefactos explosivos improvisados</w:t>
      </w:r>
    </w:p>
  </w:footnote>
  <w:footnote w:id="7">
    <w:p w:rsidR="00D1717D" w:rsidRPr="00054E05" w:rsidRDefault="00D1717D" w:rsidP="00054E05">
      <w:pPr>
        <w:pStyle w:val="Textonotapie"/>
      </w:pPr>
      <w:r w:rsidRPr="00054E05">
        <w:tab/>
      </w:r>
      <w:r w:rsidRPr="00067975">
        <w:rPr>
          <w:rStyle w:val="Refdenotaalpie"/>
        </w:rPr>
        <w:footnoteRef/>
      </w:r>
      <w:r w:rsidRPr="00054E05">
        <w:tab/>
        <w:t xml:space="preserve">Estos delitos son: Contaminación ambiental culposa por explotación de yacimiento minero o hidrocarburo art. 333. explotación ilícita de yacimiento minero y otros materiales art. 338, ilícito aprovechamiento de los recursos naturales renovables art. 328, invasión de áreas de especial importancia ecológica art. 337, manejo ilícito de especies exóticas art.330a </w:t>
      </w:r>
      <w:r w:rsidR="00777999" w:rsidRPr="00054E05">
        <w:t>Ley</w:t>
      </w:r>
      <w:r w:rsidRPr="00054E05">
        <w:t xml:space="preserve"> </w:t>
      </w:r>
      <w:r w:rsidR="00777999">
        <w:rPr>
          <w:lang w:val="es-CO"/>
        </w:rPr>
        <w:t xml:space="preserve">núm. </w:t>
      </w:r>
      <w:r w:rsidRPr="00054E05">
        <w:t>1453 de 2011, pesca ilegal art. 335 y violación de fronteras para la explotación de recursos naturales art. 329.</w:t>
      </w:r>
    </w:p>
  </w:footnote>
  <w:footnote w:id="8">
    <w:p w:rsidR="00D1717D" w:rsidRPr="00054E05" w:rsidRDefault="00D1717D" w:rsidP="00054E05">
      <w:pPr>
        <w:pStyle w:val="Textonotapie"/>
      </w:pPr>
      <w:r w:rsidRPr="00054E05">
        <w:tab/>
      </w:r>
      <w:r w:rsidRPr="00067975">
        <w:rPr>
          <w:rStyle w:val="Refdenotaalpie"/>
        </w:rPr>
        <w:footnoteRef/>
      </w:r>
      <w:r w:rsidRPr="00054E05">
        <w:tab/>
        <w:t xml:space="preserve">Ministerio de Educación Nacional, Decreto </w:t>
      </w:r>
      <w:r w:rsidR="005B7C15">
        <w:rPr>
          <w:lang w:val="es-CO"/>
        </w:rPr>
        <w:t>núm.</w:t>
      </w:r>
      <w:r w:rsidR="005B7C15" w:rsidRPr="00753078">
        <w:rPr>
          <w:lang w:val="es-CO"/>
        </w:rPr>
        <w:t xml:space="preserve"> </w:t>
      </w:r>
      <w:r w:rsidRPr="00054E05">
        <w:t>1852 de 2015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7D" w:rsidRPr="004A671A" w:rsidRDefault="00B52E84">
    <w:pPr>
      <w:pStyle w:val="Encabezado"/>
    </w:pPr>
    <w:r>
      <w:fldChar w:fldCharType="begin"/>
    </w:r>
    <w:r>
      <w:instrText xml:space="preserve"> TITLE  \* MERGEFORMAT </w:instrText>
    </w:r>
    <w:r>
      <w:fldChar w:fldCharType="separate"/>
    </w:r>
    <w:r w:rsidR="004D698C">
      <w:t>E/</w:t>
    </w:r>
    <w:proofErr w:type="spellStart"/>
    <w:r w:rsidR="004D698C">
      <w:t>C.12</w:t>
    </w:r>
    <w:proofErr w:type="spellEnd"/>
    <w:r w:rsidR="004D698C">
      <w:t>/COL/Q/6/</w:t>
    </w:r>
    <w:proofErr w:type="spellStart"/>
    <w:r w:rsidR="004D698C">
      <w:t>Add.1</w:t>
    </w:r>
    <w:proofErr w:type="spellEnd"/>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7D" w:rsidRPr="004A671A" w:rsidRDefault="00B52E84" w:rsidP="004A671A">
    <w:pPr>
      <w:pStyle w:val="Encabezado"/>
      <w:jc w:val="right"/>
    </w:pPr>
    <w:r>
      <w:fldChar w:fldCharType="begin"/>
    </w:r>
    <w:r>
      <w:instrText xml:space="preserve"> TITLE  \* MERGEFORMAT </w:instrText>
    </w:r>
    <w:r>
      <w:fldChar w:fldCharType="separate"/>
    </w:r>
    <w:r w:rsidR="004D698C">
      <w:t>E/</w:t>
    </w:r>
    <w:proofErr w:type="spellStart"/>
    <w:r w:rsidR="004D698C">
      <w:t>C.12</w:t>
    </w:r>
    <w:proofErr w:type="spellEnd"/>
    <w:r w:rsidR="004D698C">
      <w:t>/COL/Q/6/</w:t>
    </w:r>
    <w:proofErr w:type="spellStart"/>
    <w:r w:rsidR="004D698C">
      <w:t>Add.1</w:t>
    </w:r>
    <w:proofErr w:type="spellEnd"/>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4544001"/>
    <w:multiLevelType w:val="hybridMultilevel"/>
    <w:tmpl w:val="549AF366"/>
    <w:lvl w:ilvl="0" w:tplc="A13CE4FE">
      <w:numFmt w:val="bullet"/>
      <w:lvlText w:val="-"/>
      <w:lvlJc w:val="left"/>
      <w:pPr>
        <w:ind w:left="1146" w:hanging="360"/>
      </w:pPr>
      <w:rPr>
        <w:rFonts w:ascii="Calibri" w:eastAsia="Calibri" w:hAnsi="Calibri" w:cs="Arial" w:hint="default"/>
      </w:rPr>
    </w:lvl>
    <w:lvl w:ilvl="1" w:tplc="58A057C4">
      <w:numFmt w:val="bullet"/>
      <w:lvlText w:val="•"/>
      <w:lvlJc w:val="left"/>
      <w:pPr>
        <w:ind w:left="1866" w:hanging="360"/>
      </w:pPr>
      <w:rPr>
        <w:rFonts w:ascii="Calibri" w:eastAsiaTheme="minorHAnsi" w:hAnsi="Calibri" w:cs="Calibri"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11" w15:restartNumberingAfterBreak="0">
    <w:nsid w:val="098A1BC2"/>
    <w:multiLevelType w:val="hybridMultilevel"/>
    <w:tmpl w:val="228485CE"/>
    <w:lvl w:ilvl="0" w:tplc="A13CE4FE">
      <w:numFmt w:val="bullet"/>
      <w:lvlText w:val="-"/>
      <w:lvlJc w:val="left"/>
      <w:pPr>
        <w:ind w:left="1146" w:hanging="360"/>
      </w:pPr>
      <w:rPr>
        <w:rFonts w:ascii="Calibri" w:eastAsia="Calibri" w:hAnsi="Calibri" w:cs="Arial" w:hint="default"/>
      </w:rPr>
    </w:lvl>
    <w:lvl w:ilvl="1" w:tplc="58A057C4">
      <w:numFmt w:val="bullet"/>
      <w:lvlText w:val="•"/>
      <w:lvlJc w:val="left"/>
      <w:pPr>
        <w:ind w:left="1866" w:hanging="360"/>
      </w:pPr>
      <w:rPr>
        <w:rFonts w:ascii="Calibri" w:eastAsiaTheme="minorHAnsi" w:hAnsi="Calibri" w:cs="Calibri"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12" w15:restartNumberingAfterBreak="0">
    <w:nsid w:val="0D0A590B"/>
    <w:multiLevelType w:val="hybridMultilevel"/>
    <w:tmpl w:val="71D0CCEE"/>
    <w:lvl w:ilvl="0" w:tplc="A13CE4FE">
      <w:numFmt w:val="bullet"/>
      <w:lvlText w:val="-"/>
      <w:lvlJc w:val="left"/>
      <w:pPr>
        <w:ind w:left="1146" w:hanging="360"/>
      </w:pPr>
      <w:rPr>
        <w:rFonts w:ascii="Calibri" w:eastAsia="Calibri" w:hAnsi="Calibri" w:cs="Aria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13" w15:restartNumberingAfterBreak="0">
    <w:nsid w:val="143F6A39"/>
    <w:multiLevelType w:val="hybridMultilevel"/>
    <w:tmpl w:val="B690277E"/>
    <w:lvl w:ilvl="0" w:tplc="A13CE4FE">
      <w:numFmt w:val="bullet"/>
      <w:lvlText w:val="-"/>
      <w:lvlJc w:val="left"/>
      <w:pPr>
        <w:ind w:left="720" w:hanging="360"/>
      </w:pPr>
      <w:rPr>
        <w:rFonts w:ascii="Calibri" w:eastAsia="Calibri" w:hAnsi="Calibri"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4943039"/>
    <w:multiLevelType w:val="hybridMultilevel"/>
    <w:tmpl w:val="5C22E84A"/>
    <w:lvl w:ilvl="0" w:tplc="A13CE4FE">
      <w:numFmt w:val="bullet"/>
      <w:lvlText w:val="-"/>
      <w:lvlJc w:val="left"/>
      <w:pPr>
        <w:ind w:left="1146" w:hanging="360"/>
      </w:pPr>
      <w:rPr>
        <w:rFonts w:ascii="Calibri" w:eastAsia="Calibri" w:hAnsi="Calibri" w:cs="Arial" w:hint="default"/>
      </w:rPr>
    </w:lvl>
    <w:lvl w:ilvl="1" w:tplc="58A057C4">
      <w:numFmt w:val="bullet"/>
      <w:lvlText w:val="•"/>
      <w:lvlJc w:val="left"/>
      <w:pPr>
        <w:ind w:left="1866" w:hanging="360"/>
      </w:pPr>
      <w:rPr>
        <w:rFonts w:ascii="Calibri" w:eastAsiaTheme="minorHAnsi" w:hAnsi="Calibri" w:cs="Calibri"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15" w15:restartNumberingAfterBreak="0">
    <w:nsid w:val="1E5D7A64"/>
    <w:multiLevelType w:val="hybridMultilevel"/>
    <w:tmpl w:val="3CDE6740"/>
    <w:lvl w:ilvl="0" w:tplc="240A0001">
      <w:start w:val="1"/>
      <w:numFmt w:val="bullet"/>
      <w:lvlText w:val=""/>
      <w:lvlJc w:val="left"/>
      <w:pPr>
        <w:ind w:left="1146" w:hanging="360"/>
      </w:pPr>
      <w:rPr>
        <w:rFonts w:ascii="Symbol" w:hAnsi="Symbol" w:hint="default"/>
      </w:rPr>
    </w:lvl>
    <w:lvl w:ilvl="1" w:tplc="58A057C4">
      <w:numFmt w:val="bullet"/>
      <w:lvlText w:val="•"/>
      <w:lvlJc w:val="left"/>
      <w:pPr>
        <w:ind w:left="1866" w:hanging="360"/>
      </w:pPr>
      <w:rPr>
        <w:rFonts w:ascii="Calibri" w:eastAsiaTheme="minorHAnsi" w:hAnsi="Calibri" w:cs="Calibri"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16" w15:restartNumberingAfterBreak="0">
    <w:nsid w:val="1EC81773"/>
    <w:multiLevelType w:val="hybridMultilevel"/>
    <w:tmpl w:val="ECD2EE46"/>
    <w:lvl w:ilvl="0" w:tplc="240A0001">
      <w:start w:val="1"/>
      <w:numFmt w:val="bullet"/>
      <w:lvlText w:val=""/>
      <w:lvlJc w:val="left"/>
      <w:pPr>
        <w:ind w:left="360" w:hanging="360"/>
      </w:pPr>
      <w:rPr>
        <w:rFonts w:ascii="Symbol" w:hAnsi="Symbol" w:hint="default"/>
      </w:rPr>
    </w:lvl>
    <w:lvl w:ilvl="1" w:tplc="9136514C">
      <w:start w:val="1"/>
      <w:numFmt w:val="bullet"/>
      <w:lvlText w:val="•"/>
      <w:lvlJc w:val="left"/>
      <w:pPr>
        <w:ind w:left="1428" w:hanging="708"/>
      </w:pPr>
      <w:rPr>
        <w:rFonts w:ascii="Times New Roman" w:eastAsiaTheme="minorHAnsi" w:hAnsi="Times New Roman" w:cs="Times New Roman"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258925B9"/>
    <w:multiLevelType w:val="hybridMultilevel"/>
    <w:tmpl w:val="C430E29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26FA0D8F"/>
    <w:multiLevelType w:val="hybridMultilevel"/>
    <w:tmpl w:val="96BE89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29E61C74"/>
    <w:multiLevelType w:val="hybridMultilevel"/>
    <w:tmpl w:val="81E24F98"/>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0" w15:restartNumberingAfterBreak="0">
    <w:nsid w:val="2DE72131"/>
    <w:multiLevelType w:val="hybridMultilevel"/>
    <w:tmpl w:val="F5DC9B3C"/>
    <w:lvl w:ilvl="0" w:tplc="A13CE4FE">
      <w:numFmt w:val="bullet"/>
      <w:lvlText w:val="-"/>
      <w:lvlJc w:val="left"/>
      <w:pPr>
        <w:ind w:left="720" w:hanging="360"/>
      </w:pPr>
      <w:rPr>
        <w:rFonts w:ascii="Calibri" w:eastAsia="Calibri" w:hAnsi="Calibri"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0D9401C"/>
    <w:multiLevelType w:val="hybridMultilevel"/>
    <w:tmpl w:val="7568941A"/>
    <w:lvl w:ilvl="0" w:tplc="A13CE4FE">
      <w:numFmt w:val="bullet"/>
      <w:lvlText w:val="-"/>
      <w:lvlJc w:val="left"/>
      <w:pPr>
        <w:ind w:left="1146" w:hanging="360"/>
      </w:pPr>
      <w:rPr>
        <w:rFonts w:ascii="Calibri" w:eastAsia="Calibri" w:hAnsi="Calibri" w:cs="Arial" w:hint="default"/>
      </w:rPr>
    </w:lvl>
    <w:lvl w:ilvl="1" w:tplc="58A057C4">
      <w:numFmt w:val="bullet"/>
      <w:lvlText w:val="•"/>
      <w:lvlJc w:val="left"/>
      <w:pPr>
        <w:ind w:left="1866" w:hanging="360"/>
      </w:pPr>
      <w:rPr>
        <w:rFonts w:ascii="Calibri" w:eastAsiaTheme="minorHAnsi" w:hAnsi="Calibri" w:cs="Calibri"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2" w15:restartNumberingAfterBreak="0">
    <w:nsid w:val="312F15AB"/>
    <w:multiLevelType w:val="hybridMultilevel"/>
    <w:tmpl w:val="B2947120"/>
    <w:lvl w:ilvl="0" w:tplc="240A000F">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1E556E4"/>
    <w:multiLevelType w:val="hybridMultilevel"/>
    <w:tmpl w:val="6D3058E2"/>
    <w:lvl w:ilvl="0" w:tplc="A13CE4FE">
      <w:numFmt w:val="bullet"/>
      <w:lvlText w:val="-"/>
      <w:lvlJc w:val="left"/>
      <w:pPr>
        <w:ind w:left="1146" w:hanging="360"/>
      </w:pPr>
      <w:rPr>
        <w:rFonts w:ascii="Calibri" w:eastAsia="Calibri" w:hAnsi="Calibri" w:cs="Arial" w:hint="default"/>
      </w:rPr>
    </w:lvl>
    <w:lvl w:ilvl="1" w:tplc="58A057C4">
      <w:numFmt w:val="bullet"/>
      <w:lvlText w:val="•"/>
      <w:lvlJc w:val="left"/>
      <w:pPr>
        <w:ind w:left="1866" w:hanging="360"/>
      </w:pPr>
      <w:rPr>
        <w:rFonts w:ascii="Calibri" w:eastAsiaTheme="minorHAnsi" w:hAnsi="Calibri" w:cs="Calibri"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4"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6" w15:restartNumberingAfterBreak="0">
    <w:nsid w:val="3AD40F04"/>
    <w:multiLevelType w:val="hybridMultilevel"/>
    <w:tmpl w:val="ABB6F34C"/>
    <w:lvl w:ilvl="0" w:tplc="240A000F">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3C73465E"/>
    <w:multiLevelType w:val="hybridMultilevel"/>
    <w:tmpl w:val="87764FEC"/>
    <w:lvl w:ilvl="0" w:tplc="B15CAF7A">
      <w:start w:val="15"/>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41B6338C"/>
    <w:multiLevelType w:val="hybridMultilevel"/>
    <w:tmpl w:val="28B8831C"/>
    <w:lvl w:ilvl="0" w:tplc="EE62EA10">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5D66DB3"/>
    <w:multiLevelType w:val="hybridMultilevel"/>
    <w:tmpl w:val="ADE6FB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46974228"/>
    <w:multiLevelType w:val="hybridMultilevel"/>
    <w:tmpl w:val="508A33C4"/>
    <w:lvl w:ilvl="0" w:tplc="A13CE4FE">
      <w:numFmt w:val="bullet"/>
      <w:lvlText w:val="-"/>
      <w:lvlJc w:val="left"/>
      <w:pPr>
        <w:ind w:left="1146" w:hanging="360"/>
      </w:pPr>
      <w:rPr>
        <w:rFonts w:ascii="Calibri" w:eastAsia="Calibri" w:hAnsi="Calibri" w:cs="Arial" w:hint="default"/>
      </w:rPr>
    </w:lvl>
    <w:lvl w:ilvl="1" w:tplc="58A057C4">
      <w:numFmt w:val="bullet"/>
      <w:lvlText w:val="•"/>
      <w:lvlJc w:val="left"/>
      <w:pPr>
        <w:ind w:left="1866" w:hanging="360"/>
      </w:pPr>
      <w:rPr>
        <w:rFonts w:ascii="Calibri" w:eastAsiaTheme="minorHAnsi" w:hAnsi="Calibri" w:cs="Calibri"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31" w15:restartNumberingAfterBreak="0">
    <w:nsid w:val="4EAB476F"/>
    <w:multiLevelType w:val="hybridMultilevel"/>
    <w:tmpl w:val="BFEEA23C"/>
    <w:lvl w:ilvl="0" w:tplc="7C263E98">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1C665A2"/>
    <w:multiLevelType w:val="hybridMultilevel"/>
    <w:tmpl w:val="9010622E"/>
    <w:lvl w:ilvl="0" w:tplc="240A0001">
      <w:start w:val="1"/>
      <w:numFmt w:val="bullet"/>
      <w:lvlText w:val=""/>
      <w:lvlJc w:val="left"/>
      <w:pPr>
        <w:ind w:left="720" w:hanging="360"/>
      </w:pPr>
      <w:rPr>
        <w:rFonts w:ascii="Symbol" w:hAnsi="Symbol" w:hint="default"/>
      </w:rPr>
    </w:lvl>
    <w:lvl w:ilvl="1" w:tplc="1ABCE3F6">
      <w:start w:val="1"/>
      <w:numFmt w:val="bullet"/>
      <w:lvlText w:val="-"/>
      <w:lvlJc w:val="left"/>
      <w:pPr>
        <w:ind w:left="1440" w:hanging="360"/>
      </w:pPr>
      <w:rPr>
        <w:rFonts w:ascii="Times New Roman" w:eastAsiaTheme="minorHAnsi" w:hAnsi="Times New Roman" w:cs="Times New Roman"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82B2776"/>
    <w:multiLevelType w:val="hybridMultilevel"/>
    <w:tmpl w:val="3544C0D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4" w15:restartNumberingAfterBreak="0">
    <w:nsid w:val="58690A40"/>
    <w:multiLevelType w:val="hybridMultilevel"/>
    <w:tmpl w:val="127EC580"/>
    <w:lvl w:ilvl="0" w:tplc="E7C4E8E4">
      <w:start w:val="1"/>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5"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60FF6C14"/>
    <w:multiLevelType w:val="hybridMultilevel"/>
    <w:tmpl w:val="293C49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1891EEC"/>
    <w:multiLevelType w:val="hybridMultilevel"/>
    <w:tmpl w:val="9CE0A864"/>
    <w:lvl w:ilvl="0" w:tplc="7D84923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7656C24"/>
    <w:multiLevelType w:val="hybridMultilevel"/>
    <w:tmpl w:val="F93AAE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0"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6C2C1B"/>
    <w:multiLevelType w:val="hybridMultilevel"/>
    <w:tmpl w:val="F6F83934"/>
    <w:lvl w:ilvl="0" w:tplc="E024476E">
      <w:start w:val="1"/>
      <w:numFmt w:val="decimal"/>
      <w:lvlText w:val="%1."/>
      <w:lvlJc w:val="left"/>
      <w:pPr>
        <w:ind w:left="24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6D0F260D"/>
    <w:multiLevelType w:val="hybridMultilevel"/>
    <w:tmpl w:val="DD8022DE"/>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start w:val="1"/>
      <w:numFmt w:val="bullet"/>
      <w:lvlText w:val=""/>
      <w:lvlJc w:val="left"/>
      <w:pPr>
        <w:ind w:left="2520" w:hanging="360"/>
      </w:pPr>
      <w:rPr>
        <w:rFonts w:ascii="Wingdings" w:hAnsi="Wingdings" w:hint="default"/>
      </w:rPr>
    </w:lvl>
    <w:lvl w:ilvl="3" w:tplc="240A0001">
      <w:start w:val="1"/>
      <w:numFmt w:val="bullet"/>
      <w:lvlText w:val=""/>
      <w:lvlJc w:val="left"/>
      <w:pPr>
        <w:ind w:left="3240" w:hanging="360"/>
      </w:pPr>
      <w:rPr>
        <w:rFonts w:ascii="Symbol" w:hAnsi="Symbol" w:hint="default"/>
      </w:rPr>
    </w:lvl>
    <w:lvl w:ilvl="4" w:tplc="240A0003">
      <w:start w:val="1"/>
      <w:numFmt w:val="bullet"/>
      <w:lvlText w:val="o"/>
      <w:lvlJc w:val="left"/>
      <w:pPr>
        <w:ind w:left="3960" w:hanging="360"/>
      </w:pPr>
      <w:rPr>
        <w:rFonts w:ascii="Courier New" w:hAnsi="Courier New" w:cs="Courier New" w:hint="default"/>
      </w:rPr>
    </w:lvl>
    <w:lvl w:ilvl="5" w:tplc="240A0005">
      <w:start w:val="1"/>
      <w:numFmt w:val="bullet"/>
      <w:lvlText w:val=""/>
      <w:lvlJc w:val="left"/>
      <w:pPr>
        <w:ind w:left="4680" w:hanging="360"/>
      </w:pPr>
      <w:rPr>
        <w:rFonts w:ascii="Wingdings" w:hAnsi="Wingdings" w:hint="default"/>
      </w:rPr>
    </w:lvl>
    <w:lvl w:ilvl="6" w:tplc="240A0001">
      <w:start w:val="1"/>
      <w:numFmt w:val="bullet"/>
      <w:lvlText w:val=""/>
      <w:lvlJc w:val="left"/>
      <w:pPr>
        <w:ind w:left="5400" w:hanging="360"/>
      </w:pPr>
      <w:rPr>
        <w:rFonts w:ascii="Symbol" w:hAnsi="Symbol" w:hint="default"/>
      </w:rPr>
    </w:lvl>
    <w:lvl w:ilvl="7" w:tplc="240A0003">
      <w:start w:val="1"/>
      <w:numFmt w:val="bullet"/>
      <w:lvlText w:val="o"/>
      <w:lvlJc w:val="left"/>
      <w:pPr>
        <w:ind w:left="6120" w:hanging="360"/>
      </w:pPr>
      <w:rPr>
        <w:rFonts w:ascii="Courier New" w:hAnsi="Courier New" w:cs="Courier New" w:hint="default"/>
      </w:rPr>
    </w:lvl>
    <w:lvl w:ilvl="8" w:tplc="240A0005">
      <w:start w:val="1"/>
      <w:numFmt w:val="bullet"/>
      <w:lvlText w:val=""/>
      <w:lvlJc w:val="left"/>
      <w:pPr>
        <w:ind w:left="6840" w:hanging="360"/>
      </w:pPr>
      <w:rPr>
        <w:rFonts w:ascii="Wingdings" w:hAnsi="Wingdings" w:hint="default"/>
      </w:rPr>
    </w:lvl>
  </w:abstractNum>
  <w:abstractNum w:abstractNumId="4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5" w15:restartNumberingAfterBreak="0">
    <w:nsid w:val="7C0824E6"/>
    <w:multiLevelType w:val="hybridMultilevel"/>
    <w:tmpl w:val="BA746CC0"/>
    <w:lvl w:ilvl="0" w:tplc="C6B004FC">
      <w:start w:val="1"/>
      <w:numFmt w:val="decimal"/>
      <w:lvlText w:val="%1."/>
      <w:lvlJc w:val="left"/>
      <w:pPr>
        <w:ind w:left="1275" w:hanging="708"/>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46" w15:restartNumberingAfterBreak="0">
    <w:nsid w:val="7F0070C6"/>
    <w:multiLevelType w:val="hybridMultilevel"/>
    <w:tmpl w:val="86304C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0"/>
  </w:num>
  <w:num w:numId="2">
    <w:abstractNumId w:val="24"/>
  </w:num>
  <w:num w:numId="3">
    <w:abstractNumId w:val="44"/>
  </w:num>
  <w:num w:numId="4">
    <w:abstractNumId w:val="43"/>
  </w:num>
  <w:num w:numId="5">
    <w:abstractNumId w:val="3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9"/>
  </w:num>
  <w:num w:numId="17">
    <w:abstractNumId w:val="25"/>
  </w:num>
  <w:num w:numId="18">
    <w:abstractNumId w:val="28"/>
  </w:num>
  <w:num w:numId="19">
    <w:abstractNumId w:val="18"/>
  </w:num>
  <w:num w:numId="20">
    <w:abstractNumId w:val="29"/>
  </w:num>
  <w:num w:numId="21">
    <w:abstractNumId w:val="41"/>
  </w:num>
  <w:num w:numId="22">
    <w:abstractNumId w:val="15"/>
  </w:num>
  <w:num w:numId="23">
    <w:abstractNumId w:val="19"/>
  </w:num>
  <w:num w:numId="24">
    <w:abstractNumId w:val="31"/>
  </w:num>
  <w:num w:numId="25">
    <w:abstractNumId w:val="37"/>
  </w:num>
  <w:num w:numId="26">
    <w:abstractNumId w:val="36"/>
  </w:num>
  <w:num w:numId="27">
    <w:abstractNumId w:val="17"/>
  </w:num>
  <w:num w:numId="28">
    <w:abstractNumId w:val="27"/>
  </w:num>
  <w:num w:numId="29">
    <w:abstractNumId w:val="46"/>
  </w:num>
  <w:num w:numId="30">
    <w:abstractNumId w:val="42"/>
  </w:num>
  <w:num w:numId="31">
    <w:abstractNumId w:val="16"/>
  </w:num>
  <w:num w:numId="32">
    <w:abstractNumId w:val="38"/>
  </w:num>
  <w:num w:numId="33">
    <w:abstractNumId w:val="20"/>
  </w:num>
  <w:num w:numId="34">
    <w:abstractNumId w:val="34"/>
  </w:num>
  <w:num w:numId="35">
    <w:abstractNumId w:val="45"/>
  </w:num>
  <w:num w:numId="36">
    <w:abstractNumId w:val="32"/>
  </w:num>
  <w:num w:numId="37">
    <w:abstractNumId w:val="26"/>
  </w:num>
  <w:num w:numId="38">
    <w:abstractNumId w:val="22"/>
  </w:num>
  <w:num w:numId="39">
    <w:abstractNumId w:val="14"/>
  </w:num>
  <w:num w:numId="40">
    <w:abstractNumId w:val="10"/>
  </w:num>
  <w:num w:numId="41">
    <w:abstractNumId w:val="30"/>
  </w:num>
  <w:num w:numId="42">
    <w:abstractNumId w:val="23"/>
  </w:num>
  <w:num w:numId="43">
    <w:abstractNumId w:val="11"/>
  </w:num>
  <w:num w:numId="44">
    <w:abstractNumId w:val="21"/>
  </w:num>
  <w:num w:numId="45">
    <w:abstractNumId w:val="12"/>
  </w:num>
  <w:num w:numId="46">
    <w:abstractNumId w:val="13"/>
  </w:num>
  <w:num w:numId="47">
    <w:abstractNumId w:val="33"/>
  </w:num>
  <w:num w:numId="48">
    <w:abstractNumId w:val="40"/>
  </w:num>
  <w:num w:numId="49">
    <w:abstractNumId w:val="24"/>
  </w:num>
  <w:num w:numId="50">
    <w:abstractNumId w:val="44"/>
  </w:num>
  <w:num w:numId="51">
    <w:abstractNumId w:val="43"/>
  </w:num>
  <w:num w:numId="52">
    <w:abstractNumId w:val="35"/>
  </w:num>
  <w:num w:numId="53">
    <w:abstractNumId w:val="8"/>
  </w:num>
  <w:num w:numId="54">
    <w:abstractNumId w:val="3"/>
  </w:num>
  <w:num w:numId="55">
    <w:abstractNumId w:val="2"/>
  </w:num>
  <w:num w:numId="56">
    <w:abstractNumId w:val="1"/>
  </w:num>
  <w:num w:numId="57">
    <w:abstractNumId w:val="0"/>
  </w:num>
  <w:num w:numId="58">
    <w:abstractNumId w:val="9"/>
  </w:num>
  <w:num w:numId="59">
    <w:abstractNumId w:val="7"/>
  </w:num>
  <w:num w:numId="60">
    <w:abstractNumId w:val="6"/>
  </w:num>
  <w:num w:numId="61">
    <w:abstractNumId w:val="5"/>
  </w:num>
  <w:num w:numId="62">
    <w:abstractNumId w:val="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482"/>
  </w:hdrShapeDefaults>
  <w:footnotePr>
    <w:footnote w:id="-1"/>
    <w:footnote w:id="0"/>
  </w:footnotePr>
  <w:endnotePr>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71A"/>
    <w:rsid w:val="00054E05"/>
    <w:rsid w:val="00067975"/>
    <w:rsid w:val="0008650D"/>
    <w:rsid w:val="000B57E7"/>
    <w:rsid w:val="000E51B9"/>
    <w:rsid w:val="000F09DF"/>
    <w:rsid w:val="000F61B2"/>
    <w:rsid w:val="001075E9"/>
    <w:rsid w:val="00162149"/>
    <w:rsid w:val="00163DCD"/>
    <w:rsid w:val="00180183"/>
    <w:rsid w:val="00196389"/>
    <w:rsid w:val="001C7A89"/>
    <w:rsid w:val="002708A2"/>
    <w:rsid w:val="00291FC0"/>
    <w:rsid w:val="002A2EFC"/>
    <w:rsid w:val="002D16F0"/>
    <w:rsid w:val="002D5AAC"/>
    <w:rsid w:val="002E71A5"/>
    <w:rsid w:val="00301299"/>
    <w:rsid w:val="00313431"/>
    <w:rsid w:val="00322004"/>
    <w:rsid w:val="003402C2"/>
    <w:rsid w:val="00381C24"/>
    <w:rsid w:val="003958D0"/>
    <w:rsid w:val="003A7CF5"/>
    <w:rsid w:val="003B7F0E"/>
    <w:rsid w:val="003D064D"/>
    <w:rsid w:val="0041031F"/>
    <w:rsid w:val="00422B8B"/>
    <w:rsid w:val="0043503C"/>
    <w:rsid w:val="00454E07"/>
    <w:rsid w:val="00462771"/>
    <w:rsid w:val="004A0FDC"/>
    <w:rsid w:val="004A671A"/>
    <w:rsid w:val="004B19F2"/>
    <w:rsid w:val="004D698C"/>
    <w:rsid w:val="004D7AA2"/>
    <w:rsid w:val="0050108D"/>
    <w:rsid w:val="005016AF"/>
    <w:rsid w:val="005076AF"/>
    <w:rsid w:val="0052159C"/>
    <w:rsid w:val="00560DE6"/>
    <w:rsid w:val="00572E19"/>
    <w:rsid w:val="0058101C"/>
    <w:rsid w:val="005A2FC9"/>
    <w:rsid w:val="005B7C15"/>
    <w:rsid w:val="005C379D"/>
    <w:rsid w:val="005F0B42"/>
    <w:rsid w:val="0064421C"/>
    <w:rsid w:val="00655A80"/>
    <w:rsid w:val="00665FA6"/>
    <w:rsid w:val="006A7591"/>
    <w:rsid w:val="006F35EE"/>
    <w:rsid w:val="00710CF8"/>
    <w:rsid w:val="0071378A"/>
    <w:rsid w:val="00716C6F"/>
    <w:rsid w:val="007271D6"/>
    <w:rsid w:val="007464CC"/>
    <w:rsid w:val="00753078"/>
    <w:rsid w:val="00777999"/>
    <w:rsid w:val="007D6339"/>
    <w:rsid w:val="00802199"/>
    <w:rsid w:val="00830923"/>
    <w:rsid w:val="00834B71"/>
    <w:rsid w:val="0084198B"/>
    <w:rsid w:val="0086445C"/>
    <w:rsid w:val="008A08D7"/>
    <w:rsid w:val="008A4B6C"/>
    <w:rsid w:val="008A664C"/>
    <w:rsid w:val="008D5406"/>
    <w:rsid w:val="00906890"/>
    <w:rsid w:val="00951972"/>
    <w:rsid w:val="00967D40"/>
    <w:rsid w:val="00992FBC"/>
    <w:rsid w:val="009D4F52"/>
    <w:rsid w:val="009E78C4"/>
    <w:rsid w:val="00A00CB2"/>
    <w:rsid w:val="00A4232C"/>
    <w:rsid w:val="00A500CE"/>
    <w:rsid w:val="00A62709"/>
    <w:rsid w:val="00A72794"/>
    <w:rsid w:val="00A917B3"/>
    <w:rsid w:val="00AB4B51"/>
    <w:rsid w:val="00AB4EB2"/>
    <w:rsid w:val="00B10CC7"/>
    <w:rsid w:val="00B34C53"/>
    <w:rsid w:val="00B52E84"/>
    <w:rsid w:val="00B62458"/>
    <w:rsid w:val="00B6350A"/>
    <w:rsid w:val="00BC161C"/>
    <w:rsid w:val="00BD33EE"/>
    <w:rsid w:val="00C35DC4"/>
    <w:rsid w:val="00C60F0C"/>
    <w:rsid w:val="00C805C9"/>
    <w:rsid w:val="00C8762E"/>
    <w:rsid w:val="00CA1679"/>
    <w:rsid w:val="00CE34F5"/>
    <w:rsid w:val="00CF60F3"/>
    <w:rsid w:val="00D1717D"/>
    <w:rsid w:val="00D56562"/>
    <w:rsid w:val="00D738F9"/>
    <w:rsid w:val="00D90138"/>
    <w:rsid w:val="00D97076"/>
    <w:rsid w:val="00DF5A10"/>
    <w:rsid w:val="00E042CF"/>
    <w:rsid w:val="00E20E3B"/>
    <w:rsid w:val="00E63458"/>
    <w:rsid w:val="00E73F76"/>
    <w:rsid w:val="00EC0040"/>
    <w:rsid w:val="00EF1360"/>
    <w:rsid w:val="00EF3220"/>
    <w:rsid w:val="00F05238"/>
    <w:rsid w:val="00F07661"/>
    <w:rsid w:val="00F11028"/>
    <w:rsid w:val="00F33585"/>
    <w:rsid w:val="00F71F0C"/>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5:docId w15:val="{19049A50-4338-4544-A796-EBA54B8A1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E05"/>
    <w:pPr>
      <w:spacing w:line="240" w:lineRule="atLeast"/>
    </w:pPr>
    <w:rPr>
      <w:rFonts w:eastAsiaTheme="minorHAnsi"/>
      <w:lang w:val="es-ES" w:eastAsia="es-ES"/>
    </w:rPr>
  </w:style>
  <w:style w:type="paragraph" w:styleId="Ttulo1">
    <w:name w:val="heading 1"/>
    <w:aliases w:val="Cuadro_G"/>
    <w:basedOn w:val="SingleTxtG"/>
    <w:next w:val="SingleTxtG"/>
    <w:link w:val="Ttulo1Car"/>
    <w:qFormat/>
    <w:rsid w:val="00054E05"/>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054E05"/>
    <w:pPr>
      <w:keepNext/>
      <w:outlineLvl w:val="1"/>
    </w:pPr>
    <w:rPr>
      <w:rFonts w:cs="Arial"/>
      <w:bCs/>
      <w:iCs/>
      <w:szCs w:val="28"/>
    </w:rPr>
  </w:style>
  <w:style w:type="paragraph" w:styleId="Ttulo3">
    <w:name w:val="heading 3"/>
    <w:basedOn w:val="Normal"/>
    <w:next w:val="Normal"/>
    <w:semiHidden/>
    <w:rsid w:val="00054E05"/>
    <w:pPr>
      <w:keepNext/>
      <w:spacing w:before="240" w:after="60"/>
      <w:outlineLvl w:val="2"/>
    </w:pPr>
    <w:rPr>
      <w:rFonts w:ascii="Arial" w:hAnsi="Arial" w:cs="Arial"/>
      <w:b/>
      <w:bCs/>
      <w:sz w:val="26"/>
      <w:szCs w:val="26"/>
    </w:rPr>
  </w:style>
  <w:style w:type="paragraph" w:styleId="Ttulo4">
    <w:name w:val="heading 4"/>
    <w:basedOn w:val="Normal"/>
    <w:next w:val="Normal"/>
    <w:semiHidden/>
    <w:rsid w:val="00054E05"/>
    <w:pPr>
      <w:keepNext/>
      <w:spacing w:before="240" w:after="60"/>
      <w:outlineLvl w:val="3"/>
    </w:pPr>
    <w:rPr>
      <w:b/>
      <w:bCs/>
      <w:sz w:val="28"/>
      <w:szCs w:val="28"/>
    </w:rPr>
  </w:style>
  <w:style w:type="paragraph" w:styleId="Ttulo5">
    <w:name w:val="heading 5"/>
    <w:basedOn w:val="Normal"/>
    <w:next w:val="Normal"/>
    <w:semiHidden/>
    <w:rsid w:val="00054E05"/>
    <w:pPr>
      <w:spacing w:before="240" w:after="60"/>
      <w:outlineLvl w:val="4"/>
    </w:pPr>
    <w:rPr>
      <w:b/>
      <w:bCs/>
      <w:i/>
      <w:iCs/>
      <w:sz w:val="26"/>
      <w:szCs w:val="26"/>
    </w:rPr>
  </w:style>
  <w:style w:type="paragraph" w:styleId="Ttulo6">
    <w:name w:val="heading 6"/>
    <w:basedOn w:val="Normal"/>
    <w:next w:val="Normal"/>
    <w:semiHidden/>
    <w:rsid w:val="00054E05"/>
    <w:pPr>
      <w:spacing w:before="240" w:after="60"/>
      <w:outlineLvl w:val="5"/>
    </w:pPr>
    <w:rPr>
      <w:b/>
      <w:bCs/>
      <w:sz w:val="22"/>
      <w:szCs w:val="22"/>
    </w:rPr>
  </w:style>
  <w:style w:type="paragraph" w:styleId="Ttulo7">
    <w:name w:val="heading 7"/>
    <w:basedOn w:val="Normal"/>
    <w:next w:val="Normal"/>
    <w:semiHidden/>
    <w:rsid w:val="00054E05"/>
    <w:pPr>
      <w:spacing w:before="240" w:after="60"/>
      <w:outlineLvl w:val="6"/>
    </w:pPr>
    <w:rPr>
      <w:sz w:val="24"/>
      <w:szCs w:val="24"/>
    </w:rPr>
  </w:style>
  <w:style w:type="paragraph" w:styleId="Ttulo8">
    <w:name w:val="heading 8"/>
    <w:basedOn w:val="Normal"/>
    <w:next w:val="Normal"/>
    <w:semiHidden/>
    <w:rsid w:val="00054E05"/>
    <w:pPr>
      <w:spacing w:before="240" w:after="60"/>
      <w:outlineLvl w:val="7"/>
    </w:pPr>
    <w:rPr>
      <w:i/>
      <w:iCs/>
      <w:sz w:val="24"/>
      <w:szCs w:val="24"/>
    </w:rPr>
  </w:style>
  <w:style w:type="paragraph" w:styleId="Ttulo9">
    <w:name w:val="heading 9"/>
    <w:basedOn w:val="Normal"/>
    <w:next w:val="Normal"/>
    <w:semiHidden/>
    <w:rsid w:val="00054E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qFormat/>
    <w:rsid w:val="00054E05"/>
    <w:rPr>
      <w:rFonts w:ascii="Times New Roman" w:hAnsi="Times New Roman"/>
      <w:sz w:val="18"/>
      <w:vertAlign w:val="superscript"/>
    </w:rPr>
  </w:style>
  <w:style w:type="paragraph" w:customStyle="1" w:styleId="HMG">
    <w:name w:val="_ H __M_G"/>
    <w:basedOn w:val="Normal"/>
    <w:next w:val="Normal"/>
    <w:qFormat/>
    <w:rsid w:val="00054E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054E05"/>
    <w:pPr>
      <w:keepNext/>
      <w:keepLines/>
      <w:tabs>
        <w:tab w:val="right" w:pos="851"/>
      </w:tabs>
      <w:suppressAutoHyphens/>
      <w:spacing w:before="360" w:after="240" w:line="300" w:lineRule="exact"/>
      <w:ind w:left="1134" w:right="1134" w:hanging="1134"/>
    </w:pPr>
    <w:rPr>
      <w:b/>
      <w:sz w:val="28"/>
    </w:rPr>
  </w:style>
  <w:style w:type="paragraph" w:styleId="Textodeglobo">
    <w:name w:val="Balloon Text"/>
    <w:basedOn w:val="Normal"/>
    <w:link w:val="TextodegloboCar"/>
    <w:rsid w:val="00162149"/>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162149"/>
    <w:rPr>
      <w:rFonts w:ascii="Tahoma" w:hAnsi="Tahoma" w:cs="Tahoma"/>
      <w:sz w:val="16"/>
      <w:szCs w:val="16"/>
      <w:lang w:val="es-ES" w:eastAsia="es-ES"/>
    </w:rPr>
  </w:style>
  <w:style w:type="paragraph" w:customStyle="1" w:styleId="H1G">
    <w:name w:val="_ H_1_G"/>
    <w:basedOn w:val="Normal"/>
    <w:next w:val="Normal"/>
    <w:qFormat/>
    <w:rsid w:val="00054E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054E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054E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054E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054E05"/>
    <w:pPr>
      <w:pBdr>
        <w:bottom w:val="single" w:sz="4" w:space="4" w:color="auto"/>
      </w:pBdr>
      <w:spacing w:line="240" w:lineRule="auto"/>
    </w:pPr>
    <w:rPr>
      <w:b/>
      <w:sz w:val="18"/>
    </w:rPr>
  </w:style>
  <w:style w:type="paragraph" w:customStyle="1" w:styleId="SingleTxtG">
    <w:name w:val="_ Single Txt_G"/>
    <w:basedOn w:val="Normal"/>
    <w:qFormat/>
    <w:rsid w:val="00054E05"/>
    <w:pPr>
      <w:spacing w:after="120"/>
      <w:ind w:left="1134" w:right="1134"/>
      <w:jc w:val="both"/>
    </w:pPr>
  </w:style>
  <w:style w:type="paragraph" w:customStyle="1" w:styleId="SMG">
    <w:name w:val="__S_M_G"/>
    <w:basedOn w:val="Normal"/>
    <w:next w:val="Normal"/>
    <w:rsid w:val="00054E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054E05"/>
    <w:pPr>
      <w:keepNext/>
      <w:keepLines/>
      <w:spacing w:before="240" w:after="240" w:line="580" w:lineRule="exact"/>
      <w:ind w:left="1134" w:right="1134"/>
    </w:pPr>
    <w:rPr>
      <w:b/>
      <w:sz w:val="56"/>
    </w:rPr>
  </w:style>
  <w:style w:type="paragraph" w:customStyle="1" w:styleId="SSG">
    <w:name w:val="__S_S_G"/>
    <w:basedOn w:val="Normal"/>
    <w:next w:val="Normal"/>
    <w:rsid w:val="00054E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054E05"/>
    <w:rPr>
      <w:sz w:val="16"/>
    </w:rPr>
  </w:style>
  <w:style w:type="paragraph" w:customStyle="1" w:styleId="XLargeG">
    <w:name w:val="__XLarge_G"/>
    <w:basedOn w:val="Normal"/>
    <w:next w:val="Normal"/>
    <w:rsid w:val="00054E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054E05"/>
    <w:pPr>
      <w:tabs>
        <w:tab w:val="right" w:pos="1021"/>
      </w:tabs>
      <w:spacing w:line="220" w:lineRule="exact"/>
      <w:ind w:left="1134" w:right="1134" w:hanging="1134"/>
    </w:pPr>
    <w:rPr>
      <w:sz w:val="18"/>
    </w:rPr>
  </w:style>
  <w:style w:type="table" w:styleId="Tablaconcuadrcula">
    <w:name w:val="Table Grid"/>
    <w:basedOn w:val="Tablanormal"/>
    <w:rsid w:val="00054E05"/>
    <w:pPr>
      <w:spacing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054E05"/>
    <w:pPr>
      <w:numPr>
        <w:numId w:val="3"/>
      </w:numPr>
    </w:pPr>
  </w:style>
  <w:style w:type="numbering" w:styleId="1ai">
    <w:name w:val="Outline List 1"/>
    <w:basedOn w:val="Sinlista"/>
    <w:semiHidden/>
    <w:rsid w:val="00054E05"/>
    <w:pPr>
      <w:numPr>
        <w:numId w:val="4"/>
      </w:numPr>
    </w:pPr>
  </w:style>
  <w:style w:type="character" w:styleId="AcrnimoHTML">
    <w:name w:val="HTML Acronym"/>
    <w:basedOn w:val="Fuentedeprrafopredeter"/>
    <w:semiHidden/>
    <w:rsid w:val="00054E05"/>
  </w:style>
  <w:style w:type="numbering" w:styleId="ArtculoSeccin">
    <w:name w:val="Outline List 3"/>
    <w:basedOn w:val="Sinlista"/>
    <w:semiHidden/>
    <w:rsid w:val="00054E05"/>
    <w:pPr>
      <w:numPr>
        <w:numId w:val="5"/>
      </w:numPr>
    </w:pPr>
  </w:style>
  <w:style w:type="paragraph" w:styleId="Cierre">
    <w:name w:val="Closing"/>
    <w:basedOn w:val="Normal"/>
    <w:semiHidden/>
    <w:rsid w:val="00054E05"/>
    <w:pPr>
      <w:ind w:left="4252"/>
    </w:pPr>
  </w:style>
  <w:style w:type="character" w:styleId="CitaHTML">
    <w:name w:val="HTML Cite"/>
    <w:semiHidden/>
    <w:rsid w:val="00054E05"/>
    <w:rPr>
      <w:i/>
      <w:iCs/>
    </w:rPr>
  </w:style>
  <w:style w:type="character" w:styleId="CdigoHTML">
    <w:name w:val="HTML Code"/>
    <w:semiHidden/>
    <w:rsid w:val="00054E05"/>
    <w:rPr>
      <w:rFonts w:ascii="Courier New" w:hAnsi="Courier New" w:cs="Courier New"/>
      <w:sz w:val="20"/>
      <w:szCs w:val="20"/>
    </w:rPr>
  </w:style>
  <w:style w:type="paragraph" w:styleId="Continuarlista">
    <w:name w:val="List Continue"/>
    <w:basedOn w:val="Normal"/>
    <w:semiHidden/>
    <w:rsid w:val="00054E05"/>
    <w:pPr>
      <w:spacing w:after="120"/>
      <w:ind w:left="283"/>
    </w:pPr>
  </w:style>
  <w:style w:type="paragraph" w:styleId="Continuarlista2">
    <w:name w:val="List Continue 2"/>
    <w:basedOn w:val="Normal"/>
    <w:semiHidden/>
    <w:rsid w:val="00054E05"/>
    <w:pPr>
      <w:spacing w:after="120"/>
      <w:ind w:left="566"/>
    </w:pPr>
  </w:style>
  <w:style w:type="paragraph" w:styleId="Continuarlista3">
    <w:name w:val="List Continue 3"/>
    <w:basedOn w:val="Normal"/>
    <w:semiHidden/>
    <w:rsid w:val="00054E05"/>
    <w:pPr>
      <w:spacing w:after="120"/>
      <w:ind w:left="849"/>
    </w:pPr>
  </w:style>
  <w:style w:type="paragraph" w:styleId="Continuarlista4">
    <w:name w:val="List Continue 4"/>
    <w:basedOn w:val="Normal"/>
    <w:semiHidden/>
    <w:rsid w:val="00054E05"/>
    <w:pPr>
      <w:spacing w:after="120"/>
      <w:ind w:left="1132"/>
    </w:pPr>
  </w:style>
  <w:style w:type="paragraph" w:styleId="Continuarlista5">
    <w:name w:val="List Continue 5"/>
    <w:basedOn w:val="Normal"/>
    <w:semiHidden/>
    <w:rsid w:val="00054E05"/>
    <w:pPr>
      <w:spacing w:after="120"/>
      <w:ind w:left="1415"/>
    </w:pPr>
  </w:style>
  <w:style w:type="character" w:styleId="DefinicinHTML">
    <w:name w:val="HTML Definition"/>
    <w:semiHidden/>
    <w:rsid w:val="00054E05"/>
    <w:rPr>
      <w:i/>
      <w:iCs/>
    </w:rPr>
  </w:style>
  <w:style w:type="paragraph" w:styleId="DireccinHTML">
    <w:name w:val="HTML Address"/>
    <w:basedOn w:val="Normal"/>
    <w:semiHidden/>
    <w:rsid w:val="00054E05"/>
    <w:rPr>
      <w:i/>
      <w:iCs/>
    </w:rPr>
  </w:style>
  <w:style w:type="paragraph" w:styleId="Direccinsobre">
    <w:name w:val="envelope address"/>
    <w:basedOn w:val="Normal"/>
    <w:semiHidden/>
    <w:rsid w:val="00054E05"/>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054E05"/>
    <w:rPr>
      <w:rFonts w:ascii="Courier New" w:hAnsi="Courier New" w:cs="Courier New"/>
    </w:rPr>
  </w:style>
  <w:style w:type="paragraph" w:styleId="Encabezadodemensaje">
    <w:name w:val="Message Header"/>
    <w:basedOn w:val="Normal"/>
    <w:semiHidden/>
    <w:rsid w:val="00054E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054E05"/>
  </w:style>
  <w:style w:type="character" w:styleId="nfasis">
    <w:name w:val="Emphasis"/>
    <w:semiHidden/>
    <w:rsid w:val="00054E05"/>
    <w:rPr>
      <w:i/>
      <w:iCs/>
    </w:rPr>
  </w:style>
  <w:style w:type="paragraph" w:styleId="Fecha">
    <w:name w:val="Date"/>
    <w:basedOn w:val="Normal"/>
    <w:next w:val="Normal"/>
    <w:semiHidden/>
    <w:rsid w:val="00054E05"/>
  </w:style>
  <w:style w:type="paragraph" w:styleId="Firma">
    <w:name w:val="Signature"/>
    <w:basedOn w:val="Normal"/>
    <w:semiHidden/>
    <w:rsid w:val="00054E05"/>
    <w:pPr>
      <w:ind w:left="4252"/>
    </w:pPr>
  </w:style>
  <w:style w:type="paragraph" w:styleId="Firmadecorreoelectrnico">
    <w:name w:val="E-mail Signature"/>
    <w:basedOn w:val="Normal"/>
    <w:semiHidden/>
    <w:rsid w:val="00054E05"/>
  </w:style>
  <w:style w:type="character" w:styleId="Hipervnculo">
    <w:name w:val="Hyperlink"/>
    <w:rsid w:val="00054E05"/>
    <w:rPr>
      <w:color w:val="0000FF"/>
      <w:u w:val="none"/>
    </w:rPr>
  </w:style>
  <w:style w:type="character" w:styleId="Hipervnculovisitado">
    <w:name w:val="FollowedHyperlink"/>
    <w:rsid w:val="00054E05"/>
    <w:rPr>
      <w:color w:val="0000FF"/>
      <w:u w:val="none"/>
    </w:rPr>
  </w:style>
  <w:style w:type="paragraph" w:styleId="HTMLconformatoprevio">
    <w:name w:val="HTML Preformatted"/>
    <w:basedOn w:val="Normal"/>
    <w:semiHidden/>
    <w:rsid w:val="00054E05"/>
    <w:rPr>
      <w:rFonts w:ascii="Courier New" w:hAnsi="Courier New" w:cs="Courier New"/>
    </w:rPr>
  </w:style>
  <w:style w:type="paragraph" w:styleId="Lista">
    <w:name w:val="List"/>
    <w:basedOn w:val="Normal"/>
    <w:semiHidden/>
    <w:rsid w:val="00054E05"/>
    <w:pPr>
      <w:ind w:left="283" w:hanging="283"/>
    </w:pPr>
  </w:style>
  <w:style w:type="paragraph" w:styleId="Lista2">
    <w:name w:val="List 2"/>
    <w:basedOn w:val="Normal"/>
    <w:semiHidden/>
    <w:rsid w:val="00054E05"/>
    <w:pPr>
      <w:ind w:left="566" w:hanging="283"/>
    </w:pPr>
  </w:style>
  <w:style w:type="paragraph" w:styleId="Lista3">
    <w:name w:val="List 3"/>
    <w:basedOn w:val="Normal"/>
    <w:semiHidden/>
    <w:rsid w:val="00054E05"/>
    <w:pPr>
      <w:ind w:left="849" w:hanging="283"/>
    </w:pPr>
  </w:style>
  <w:style w:type="paragraph" w:styleId="Lista4">
    <w:name w:val="List 4"/>
    <w:basedOn w:val="Normal"/>
    <w:semiHidden/>
    <w:rsid w:val="00054E05"/>
    <w:pPr>
      <w:ind w:left="1132" w:hanging="283"/>
    </w:pPr>
  </w:style>
  <w:style w:type="paragraph" w:styleId="Lista5">
    <w:name w:val="List 5"/>
    <w:basedOn w:val="Normal"/>
    <w:semiHidden/>
    <w:rsid w:val="00054E05"/>
    <w:pPr>
      <w:ind w:left="1415" w:hanging="283"/>
    </w:pPr>
  </w:style>
  <w:style w:type="paragraph" w:styleId="Listaconnmeros">
    <w:name w:val="List Number"/>
    <w:basedOn w:val="Normal"/>
    <w:semiHidden/>
    <w:rsid w:val="00054E05"/>
    <w:pPr>
      <w:numPr>
        <w:numId w:val="53"/>
      </w:numPr>
    </w:pPr>
  </w:style>
  <w:style w:type="paragraph" w:styleId="Listaconnmeros2">
    <w:name w:val="List Number 2"/>
    <w:basedOn w:val="Normal"/>
    <w:semiHidden/>
    <w:rsid w:val="00054E05"/>
    <w:pPr>
      <w:numPr>
        <w:numId w:val="54"/>
      </w:numPr>
    </w:pPr>
  </w:style>
  <w:style w:type="paragraph" w:styleId="Listaconnmeros3">
    <w:name w:val="List Number 3"/>
    <w:basedOn w:val="Normal"/>
    <w:semiHidden/>
    <w:rsid w:val="00054E05"/>
    <w:pPr>
      <w:numPr>
        <w:numId w:val="55"/>
      </w:numPr>
    </w:pPr>
  </w:style>
  <w:style w:type="paragraph" w:styleId="Listaconnmeros4">
    <w:name w:val="List Number 4"/>
    <w:basedOn w:val="Normal"/>
    <w:semiHidden/>
    <w:rsid w:val="00054E05"/>
    <w:pPr>
      <w:numPr>
        <w:numId w:val="56"/>
      </w:numPr>
    </w:pPr>
  </w:style>
  <w:style w:type="paragraph" w:styleId="Listaconnmeros5">
    <w:name w:val="List Number 5"/>
    <w:basedOn w:val="Normal"/>
    <w:semiHidden/>
    <w:rsid w:val="00054E05"/>
    <w:pPr>
      <w:numPr>
        <w:numId w:val="57"/>
      </w:numPr>
    </w:pPr>
  </w:style>
  <w:style w:type="paragraph" w:styleId="Listaconvietas">
    <w:name w:val="List Bullet"/>
    <w:basedOn w:val="Normal"/>
    <w:semiHidden/>
    <w:rsid w:val="00054E05"/>
    <w:pPr>
      <w:numPr>
        <w:numId w:val="58"/>
      </w:numPr>
    </w:pPr>
  </w:style>
  <w:style w:type="paragraph" w:styleId="Listaconvietas2">
    <w:name w:val="List Bullet 2"/>
    <w:basedOn w:val="Normal"/>
    <w:semiHidden/>
    <w:rsid w:val="00054E05"/>
    <w:pPr>
      <w:numPr>
        <w:numId w:val="59"/>
      </w:numPr>
    </w:pPr>
  </w:style>
  <w:style w:type="paragraph" w:styleId="Listaconvietas3">
    <w:name w:val="List Bullet 3"/>
    <w:basedOn w:val="Normal"/>
    <w:semiHidden/>
    <w:rsid w:val="00054E05"/>
    <w:pPr>
      <w:numPr>
        <w:numId w:val="60"/>
      </w:numPr>
    </w:pPr>
  </w:style>
  <w:style w:type="paragraph" w:styleId="Listaconvietas4">
    <w:name w:val="List Bullet 4"/>
    <w:basedOn w:val="Normal"/>
    <w:semiHidden/>
    <w:rsid w:val="00054E05"/>
    <w:pPr>
      <w:numPr>
        <w:numId w:val="61"/>
      </w:numPr>
    </w:pPr>
  </w:style>
  <w:style w:type="paragraph" w:styleId="Listaconvietas5">
    <w:name w:val="List Bullet 5"/>
    <w:basedOn w:val="Normal"/>
    <w:semiHidden/>
    <w:rsid w:val="00054E05"/>
    <w:pPr>
      <w:numPr>
        <w:numId w:val="62"/>
      </w:numPr>
    </w:pPr>
  </w:style>
  <w:style w:type="character" w:styleId="MquinadeescribirHTML">
    <w:name w:val="HTML Typewriter"/>
    <w:semiHidden/>
    <w:rsid w:val="00054E05"/>
    <w:rPr>
      <w:rFonts w:ascii="Courier New" w:hAnsi="Courier New" w:cs="Courier New"/>
      <w:sz w:val="20"/>
      <w:szCs w:val="20"/>
    </w:rPr>
  </w:style>
  <w:style w:type="paragraph" w:styleId="NormalWeb">
    <w:name w:val="Normal (Web)"/>
    <w:basedOn w:val="Normal"/>
    <w:rsid w:val="00054E05"/>
    <w:rPr>
      <w:sz w:val="24"/>
      <w:szCs w:val="24"/>
    </w:rPr>
  </w:style>
  <w:style w:type="character" w:styleId="Nmerodelnea">
    <w:name w:val="line number"/>
    <w:basedOn w:val="Fuentedeprrafopredeter"/>
    <w:semiHidden/>
    <w:rsid w:val="00054E05"/>
  </w:style>
  <w:style w:type="character" w:styleId="Nmerodepgina">
    <w:name w:val="page number"/>
    <w:aliases w:val="7_G"/>
    <w:qFormat/>
    <w:rsid w:val="00054E05"/>
    <w:rPr>
      <w:b/>
      <w:sz w:val="18"/>
    </w:rPr>
  </w:style>
  <w:style w:type="character" w:styleId="Refdenotaalfinal">
    <w:name w:val="endnote reference"/>
    <w:aliases w:val="1_G"/>
    <w:qFormat/>
    <w:rsid w:val="00054E05"/>
    <w:rPr>
      <w:rFonts w:ascii="Times New Roman" w:hAnsi="Times New Roman"/>
      <w:sz w:val="18"/>
      <w:vertAlign w:val="superscript"/>
    </w:rPr>
  </w:style>
  <w:style w:type="paragraph" w:styleId="Remitedesobre">
    <w:name w:val="envelope return"/>
    <w:basedOn w:val="Normal"/>
    <w:semiHidden/>
    <w:rsid w:val="00054E05"/>
    <w:rPr>
      <w:rFonts w:ascii="Arial" w:hAnsi="Arial" w:cs="Arial"/>
    </w:rPr>
  </w:style>
  <w:style w:type="paragraph" w:styleId="Saludo">
    <w:name w:val="Salutation"/>
    <w:basedOn w:val="Normal"/>
    <w:next w:val="Normal"/>
    <w:semiHidden/>
    <w:rsid w:val="00054E05"/>
  </w:style>
  <w:style w:type="paragraph" w:styleId="Sangra2detindependiente">
    <w:name w:val="Body Text Indent 2"/>
    <w:basedOn w:val="Normal"/>
    <w:semiHidden/>
    <w:rsid w:val="00054E05"/>
    <w:pPr>
      <w:spacing w:after="120" w:line="480" w:lineRule="auto"/>
      <w:ind w:left="283"/>
    </w:pPr>
  </w:style>
  <w:style w:type="paragraph" w:styleId="Sangra3detindependiente">
    <w:name w:val="Body Text Indent 3"/>
    <w:basedOn w:val="Normal"/>
    <w:semiHidden/>
    <w:rsid w:val="00054E05"/>
    <w:pPr>
      <w:spacing w:after="120"/>
      <w:ind w:left="283"/>
    </w:pPr>
    <w:rPr>
      <w:sz w:val="16"/>
      <w:szCs w:val="16"/>
    </w:rPr>
  </w:style>
  <w:style w:type="paragraph" w:styleId="Sangradetextonormal">
    <w:name w:val="Body Text Indent"/>
    <w:basedOn w:val="Normal"/>
    <w:semiHidden/>
    <w:rsid w:val="00054E05"/>
    <w:pPr>
      <w:spacing w:after="120"/>
      <w:ind w:left="283"/>
    </w:pPr>
  </w:style>
  <w:style w:type="paragraph" w:styleId="Sangranormal">
    <w:name w:val="Normal Indent"/>
    <w:basedOn w:val="Normal"/>
    <w:semiHidden/>
    <w:rsid w:val="00054E05"/>
    <w:pPr>
      <w:ind w:left="567"/>
    </w:pPr>
  </w:style>
  <w:style w:type="paragraph" w:styleId="Subttulo">
    <w:name w:val="Subtitle"/>
    <w:basedOn w:val="Normal"/>
    <w:semiHidden/>
    <w:rsid w:val="00054E05"/>
    <w:pPr>
      <w:spacing w:after="60"/>
      <w:jc w:val="center"/>
      <w:outlineLvl w:val="1"/>
    </w:pPr>
    <w:rPr>
      <w:rFonts w:ascii="Arial" w:hAnsi="Arial" w:cs="Arial"/>
      <w:sz w:val="24"/>
      <w:szCs w:val="24"/>
    </w:rPr>
  </w:style>
  <w:style w:type="table" w:styleId="Tablabsica1">
    <w:name w:val="Table Simple 1"/>
    <w:basedOn w:val="Tablanormal"/>
    <w:semiHidden/>
    <w:rsid w:val="00054E05"/>
    <w:pPr>
      <w:spacing w:line="240" w:lineRule="atLeast"/>
    </w:pPr>
    <w:rPr>
      <w:rFonts w:eastAsiaTheme="minorHAnsi"/>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054E05"/>
    <w:pPr>
      <w:spacing w:line="240" w:lineRule="atLeast"/>
    </w:pPr>
    <w:rPr>
      <w:rFonts w:eastAsiaTheme="minorHAnsi"/>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054E05"/>
    <w:pPr>
      <w:spacing w:line="240" w:lineRule="atLeast"/>
    </w:pPr>
    <w:rPr>
      <w:rFonts w:eastAsiaTheme="minorHAnsi"/>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054E05"/>
    <w:pPr>
      <w:spacing w:line="240" w:lineRule="atLeast"/>
    </w:pPr>
    <w:rPr>
      <w:rFonts w:eastAsiaTheme="minorHAnsi"/>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054E05"/>
    <w:pPr>
      <w:spacing w:line="240" w:lineRule="atLeast"/>
    </w:pPr>
    <w:rPr>
      <w:rFonts w:eastAsiaTheme="minorHAnsi"/>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054E05"/>
    <w:pPr>
      <w:spacing w:line="240" w:lineRule="atLeast"/>
    </w:pPr>
    <w:rPr>
      <w:rFonts w:eastAsiaTheme="minorHAnsi"/>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054E05"/>
    <w:pPr>
      <w:spacing w:line="240" w:lineRule="atLeast"/>
    </w:pPr>
    <w:rPr>
      <w:rFonts w:eastAsiaTheme="minorHAnsi"/>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054E05"/>
    <w:pPr>
      <w:spacing w:line="240" w:lineRule="atLeast"/>
    </w:pPr>
    <w:rPr>
      <w:rFonts w:eastAsiaTheme="minorHAnsi"/>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054E05"/>
    <w:pPr>
      <w:spacing w:line="240" w:lineRule="atLeast"/>
    </w:pPr>
    <w:rPr>
      <w:rFonts w:eastAsiaTheme="minorHAnsi"/>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054E05"/>
    <w:pPr>
      <w:spacing w:line="240" w:lineRule="atLeast"/>
    </w:pPr>
    <w:rPr>
      <w:rFonts w:eastAsiaTheme="minorHAnsi"/>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054E05"/>
    <w:pPr>
      <w:spacing w:line="240" w:lineRule="atLeast"/>
    </w:pPr>
    <w:rPr>
      <w:rFonts w:eastAsiaTheme="minorHAnsi"/>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054E05"/>
    <w:pPr>
      <w:spacing w:line="240" w:lineRule="atLeast"/>
    </w:pPr>
    <w:rPr>
      <w:rFonts w:eastAsiaTheme="minorHAnsi"/>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054E05"/>
    <w:pPr>
      <w:spacing w:line="240" w:lineRule="atLeast"/>
    </w:pPr>
    <w:rPr>
      <w:rFonts w:eastAsiaTheme="minorHAnsi"/>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054E05"/>
    <w:pPr>
      <w:spacing w:line="240" w:lineRule="atLeast"/>
    </w:pPr>
    <w:rPr>
      <w:rFonts w:eastAsiaTheme="minorHAnsi"/>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054E05"/>
    <w:pPr>
      <w:spacing w:line="240" w:lineRule="atLeast"/>
    </w:pPr>
    <w:rPr>
      <w:rFonts w:eastAsiaTheme="minorHAnsi"/>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054E05"/>
    <w:pPr>
      <w:spacing w:line="240" w:lineRule="atLeast"/>
    </w:pPr>
    <w:rPr>
      <w:rFonts w:eastAsiaTheme="minorHAnsi"/>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054E05"/>
    <w:pPr>
      <w:spacing w:line="240" w:lineRule="atLeast"/>
    </w:pPr>
    <w:rPr>
      <w:rFonts w:eastAsiaTheme="minorHAnsi"/>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054E05"/>
    <w:pPr>
      <w:spacing w:line="240" w:lineRule="atLeast"/>
    </w:pPr>
    <w:rPr>
      <w:rFonts w:eastAsiaTheme="minorHAnsi"/>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054E05"/>
    <w:pPr>
      <w:spacing w:line="240" w:lineRule="atLeast"/>
    </w:pPr>
    <w:rPr>
      <w:rFonts w:eastAsiaTheme="minorHAnsi"/>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054E05"/>
    <w:pPr>
      <w:spacing w:line="240" w:lineRule="atLeast"/>
    </w:pPr>
    <w:rPr>
      <w:rFonts w:eastAsiaTheme="minorHAnsi"/>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054E05"/>
    <w:pPr>
      <w:spacing w:line="240" w:lineRule="atLeast"/>
    </w:pPr>
    <w:rPr>
      <w:rFonts w:eastAsiaTheme="minorHAnsi"/>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054E05"/>
    <w:pPr>
      <w:spacing w:line="240" w:lineRule="atLeast"/>
    </w:pPr>
    <w:rPr>
      <w:rFonts w:eastAsiaTheme="minorHAnsi"/>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054E05"/>
    <w:pPr>
      <w:spacing w:line="240" w:lineRule="atLeast"/>
    </w:pPr>
    <w:rPr>
      <w:rFonts w:eastAsiaTheme="minorHAnsi"/>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054E05"/>
    <w:pPr>
      <w:spacing w:line="240" w:lineRule="atLeast"/>
    </w:pPr>
    <w:rPr>
      <w:rFonts w:eastAsiaTheme="minorHAnsi"/>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054E05"/>
    <w:pPr>
      <w:spacing w:line="240" w:lineRule="atLeast"/>
    </w:pPr>
    <w:rPr>
      <w:rFonts w:eastAsiaTheme="minorHAnsi"/>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054E05"/>
    <w:pPr>
      <w:spacing w:line="240" w:lineRule="atLeast"/>
    </w:pPr>
    <w:rPr>
      <w:rFonts w:eastAsiaTheme="minorHAnsi"/>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054E05"/>
    <w:pPr>
      <w:spacing w:line="240" w:lineRule="atLeast"/>
    </w:pPr>
    <w:rPr>
      <w:rFonts w:eastAsiaTheme="minorHAnsi"/>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054E05"/>
    <w:pPr>
      <w:spacing w:line="240" w:lineRule="atLeast"/>
    </w:pPr>
    <w:rPr>
      <w:rFonts w:eastAsiaTheme="minorHAnsi"/>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054E05"/>
    <w:pPr>
      <w:spacing w:line="240" w:lineRule="atLeast"/>
    </w:pPr>
    <w:rPr>
      <w:rFonts w:eastAsiaTheme="minorHAnsi"/>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054E05"/>
    <w:pPr>
      <w:spacing w:line="240" w:lineRule="atLeast"/>
    </w:pPr>
    <w:rPr>
      <w:rFonts w:eastAsiaTheme="minorHAnsi"/>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054E05"/>
    <w:pPr>
      <w:spacing w:line="240" w:lineRule="atLeast"/>
    </w:pPr>
    <w:rPr>
      <w:rFonts w:eastAsiaTheme="minorHAnsi"/>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054E05"/>
    <w:pPr>
      <w:spacing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054E05"/>
    <w:pPr>
      <w:spacing w:line="240" w:lineRule="atLeast"/>
    </w:pPr>
    <w:rPr>
      <w:rFonts w:eastAsiaTheme="minorHAnsi"/>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054E05"/>
    <w:pPr>
      <w:spacing w:line="240" w:lineRule="atLeast"/>
    </w:pPr>
    <w:rPr>
      <w:rFonts w:eastAsiaTheme="minorHAnsi"/>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054E05"/>
    <w:pPr>
      <w:spacing w:line="240" w:lineRule="atLeast"/>
    </w:pPr>
    <w:rPr>
      <w:rFonts w:eastAsiaTheme="minorHAnsi"/>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054E05"/>
    <w:pPr>
      <w:spacing w:line="240" w:lineRule="atLeast"/>
    </w:pPr>
    <w:rPr>
      <w:rFonts w:eastAsiaTheme="minorHAnsi"/>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054E05"/>
    <w:pPr>
      <w:spacing w:line="240" w:lineRule="atLeast"/>
    </w:pPr>
    <w:rPr>
      <w:rFonts w:eastAsiaTheme="minorHAnsi"/>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054E05"/>
    <w:pPr>
      <w:spacing w:line="240" w:lineRule="atLeast"/>
    </w:pPr>
    <w:rPr>
      <w:rFonts w:eastAsiaTheme="minorHAnsi"/>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054E05"/>
    <w:pPr>
      <w:spacing w:line="240" w:lineRule="atLeast"/>
    </w:pPr>
    <w:rPr>
      <w:rFonts w:eastAsiaTheme="minorHAnsi"/>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054E05"/>
    <w:pPr>
      <w:spacing w:line="240" w:lineRule="atLeast"/>
    </w:pPr>
    <w:rPr>
      <w:rFonts w:eastAsiaTheme="minorHAnsi"/>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054E05"/>
    <w:pPr>
      <w:spacing w:line="240" w:lineRule="atLeast"/>
    </w:pPr>
    <w:rPr>
      <w:rFonts w:eastAsiaTheme="minorHAnsi"/>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054E05"/>
    <w:pPr>
      <w:spacing w:line="240" w:lineRule="atLeast"/>
    </w:pPr>
    <w:rPr>
      <w:rFonts w:eastAsiaTheme="minorHAnsi"/>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054E05"/>
    <w:pPr>
      <w:spacing w:line="240" w:lineRule="atLeast"/>
    </w:pPr>
    <w:rPr>
      <w:rFonts w:eastAsiaTheme="minorHAnsi"/>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054E05"/>
    <w:rPr>
      <w:rFonts w:ascii="Courier New" w:hAnsi="Courier New" w:cs="Courier New"/>
      <w:sz w:val="20"/>
      <w:szCs w:val="20"/>
    </w:rPr>
  </w:style>
  <w:style w:type="paragraph" w:styleId="Textodebloque">
    <w:name w:val="Block Text"/>
    <w:basedOn w:val="Normal"/>
    <w:semiHidden/>
    <w:rsid w:val="00054E05"/>
    <w:pPr>
      <w:spacing w:after="120"/>
      <w:ind w:left="1440" w:right="1440"/>
    </w:pPr>
  </w:style>
  <w:style w:type="character" w:styleId="Textoennegrita">
    <w:name w:val="Strong"/>
    <w:semiHidden/>
    <w:rsid w:val="00054E05"/>
    <w:rPr>
      <w:b/>
      <w:bCs/>
    </w:rPr>
  </w:style>
  <w:style w:type="paragraph" w:styleId="Textoindependiente">
    <w:name w:val="Body Text"/>
    <w:basedOn w:val="Normal"/>
    <w:link w:val="TextoindependienteCar"/>
    <w:rsid w:val="00054E05"/>
    <w:pPr>
      <w:spacing w:after="120"/>
    </w:pPr>
  </w:style>
  <w:style w:type="paragraph" w:styleId="Textoindependiente2">
    <w:name w:val="Body Text 2"/>
    <w:basedOn w:val="Normal"/>
    <w:semiHidden/>
    <w:rsid w:val="00054E05"/>
    <w:pPr>
      <w:spacing w:after="120" w:line="480" w:lineRule="auto"/>
    </w:pPr>
  </w:style>
  <w:style w:type="paragraph" w:styleId="Textoindependiente3">
    <w:name w:val="Body Text 3"/>
    <w:basedOn w:val="Normal"/>
    <w:semiHidden/>
    <w:rsid w:val="00054E05"/>
    <w:pPr>
      <w:spacing w:after="120"/>
    </w:pPr>
    <w:rPr>
      <w:sz w:val="16"/>
      <w:szCs w:val="16"/>
    </w:rPr>
  </w:style>
  <w:style w:type="paragraph" w:styleId="Textoindependienteprimerasangra">
    <w:name w:val="Body Text First Indent"/>
    <w:basedOn w:val="Textoindependiente"/>
    <w:semiHidden/>
    <w:rsid w:val="00054E05"/>
    <w:pPr>
      <w:ind w:firstLine="210"/>
    </w:pPr>
  </w:style>
  <w:style w:type="paragraph" w:styleId="Textoindependienteprimerasangra2">
    <w:name w:val="Body Text First Indent 2"/>
    <w:basedOn w:val="Sangradetextonormal"/>
    <w:semiHidden/>
    <w:rsid w:val="00054E05"/>
    <w:pPr>
      <w:ind w:firstLine="210"/>
    </w:pPr>
  </w:style>
  <w:style w:type="paragraph" w:styleId="Textonotaalfinal">
    <w:name w:val="endnote text"/>
    <w:aliases w:val="2_G"/>
    <w:basedOn w:val="Textonotapie"/>
    <w:qFormat/>
    <w:rsid w:val="00054E05"/>
  </w:style>
  <w:style w:type="paragraph" w:styleId="Textosinformato">
    <w:name w:val="Plain Text"/>
    <w:basedOn w:val="Normal"/>
    <w:link w:val="TextosinformatoCar"/>
    <w:semiHidden/>
    <w:rsid w:val="00054E05"/>
    <w:rPr>
      <w:rFonts w:ascii="Courier New" w:hAnsi="Courier New" w:cs="Courier New"/>
    </w:rPr>
  </w:style>
  <w:style w:type="paragraph" w:styleId="Ttulo">
    <w:name w:val="Title"/>
    <w:basedOn w:val="Normal"/>
    <w:semiHidden/>
    <w:rsid w:val="00054E05"/>
    <w:pPr>
      <w:spacing w:before="240" w:after="60"/>
      <w:jc w:val="center"/>
      <w:outlineLvl w:val="0"/>
    </w:pPr>
    <w:rPr>
      <w:rFonts w:ascii="Arial" w:hAnsi="Arial" w:cs="Arial"/>
      <w:b/>
      <w:bCs/>
      <w:kern w:val="28"/>
      <w:sz w:val="32"/>
      <w:szCs w:val="32"/>
    </w:rPr>
  </w:style>
  <w:style w:type="character" w:styleId="VariableHTML">
    <w:name w:val="HTML Variable"/>
    <w:semiHidden/>
    <w:rsid w:val="00054E05"/>
    <w:rPr>
      <w:i/>
      <w:iCs/>
    </w:rPr>
  </w:style>
  <w:style w:type="paragraph" w:customStyle="1" w:styleId="Bullet1G">
    <w:name w:val="_Bullet 1_G"/>
    <w:basedOn w:val="Normal"/>
    <w:qFormat/>
    <w:rsid w:val="00054E05"/>
    <w:pPr>
      <w:numPr>
        <w:numId w:val="48"/>
      </w:numPr>
      <w:spacing w:after="120"/>
      <w:ind w:right="1134"/>
      <w:jc w:val="both"/>
    </w:pPr>
    <w:rPr>
      <w:lang w:eastAsia="en-US"/>
    </w:rPr>
  </w:style>
  <w:style w:type="paragraph" w:customStyle="1" w:styleId="Bullet2G">
    <w:name w:val="_Bullet 2_G"/>
    <w:basedOn w:val="Normal"/>
    <w:qFormat/>
    <w:rsid w:val="00054E05"/>
    <w:pPr>
      <w:numPr>
        <w:numId w:val="49"/>
      </w:numPr>
      <w:spacing w:after="120"/>
      <w:ind w:right="1134"/>
      <w:jc w:val="both"/>
    </w:pPr>
  </w:style>
  <w:style w:type="table" w:styleId="Listamedia1-nfasis1">
    <w:name w:val="Medium List 1 Accent 1"/>
    <w:basedOn w:val="Tablanormal"/>
    <w:uiPriority w:val="65"/>
    <w:rsid w:val="00753078"/>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Prrafodelista">
    <w:name w:val="List Paragraph"/>
    <w:aliases w:val="titulo 3,Table Heading,Segundo nivel de viñetas,List Paragraph1,Párrafo de lista1,Lista vistosa - Énfasis 11,Segundo nivel de vi–etas,Ha,HOJA,Bolita,Párrafo de lista4,BOLADEF,Párrafo de lista3,Párrafo de lista21,BOLA,Nivel 1 OS"/>
    <w:basedOn w:val="Normal"/>
    <w:link w:val="PrrafodelistaCar"/>
    <w:uiPriority w:val="34"/>
    <w:qFormat/>
    <w:rsid w:val="00753078"/>
    <w:pPr>
      <w:spacing w:line="240" w:lineRule="auto"/>
      <w:ind w:left="708"/>
    </w:pPr>
    <w:rPr>
      <w:lang w:val="es-CO"/>
    </w:rPr>
  </w:style>
  <w:style w:type="paragraph" w:customStyle="1" w:styleId="Style1">
    <w:name w:val="Style 1"/>
    <w:basedOn w:val="Normal"/>
    <w:uiPriority w:val="99"/>
    <w:rsid w:val="00753078"/>
    <w:pPr>
      <w:widowControl w:val="0"/>
      <w:autoSpaceDE w:val="0"/>
      <w:autoSpaceDN w:val="0"/>
      <w:adjustRightInd w:val="0"/>
      <w:spacing w:line="240" w:lineRule="auto"/>
    </w:pPr>
    <w:rPr>
      <w:lang w:val="en-US" w:eastAsia="es-CO"/>
    </w:rPr>
  </w:style>
  <w:style w:type="table" w:customStyle="1" w:styleId="TableNormal1">
    <w:name w:val="Table Normal1"/>
    <w:uiPriority w:val="2"/>
    <w:semiHidden/>
    <w:unhideWhenUsed/>
    <w:qFormat/>
    <w:rsid w:val="0075307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53078"/>
    <w:pPr>
      <w:widowControl w:val="0"/>
      <w:autoSpaceDE w:val="0"/>
      <w:autoSpaceDN w:val="0"/>
      <w:spacing w:line="240" w:lineRule="auto"/>
    </w:pPr>
    <w:rPr>
      <w:rFonts w:ascii="Arial" w:eastAsia="Arial" w:hAnsi="Arial" w:cs="Arial"/>
      <w:sz w:val="22"/>
      <w:szCs w:val="22"/>
      <w:lang w:val="en-US" w:eastAsia="en-US"/>
    </w:rPr>
  </w:style>
  <w:style w:type="character" w:customStyle="1" w:styleId="PrrafodelistaCar">
    <w:name w:val="Párrafo de lista Car"/>
    <w:aliases w:val="titulo 3 Car,Table Heading Car,Segundo nivel de viñetas Car,List Paragraph1 Car,Párrafo de lista1 Car,Lista vistosa - Énfasis 11 Car,Segundo nivel de vi–etas Car,Ha Car,HOJA Car,Bolita Car,Párrafo de lista4 Car,BOLADEF Car,BOLA Car"/>
    <w:link w:val="Prrafodelista"/>
    <w:uiPriority w:val="34"/>
    <w:rsid w:val="00753078"/>
    <w:rPr>
      <w:lang w:val="es-CO" w:eastAsia="es-ES"/>
    </w:rPr>
  </w:style>
  <w:style w:type="character" w:customStyle="1" w:styleId="TextonotapieCar">
    <w:name w:val="Texto nota pie Car"/>
    <w:aliases w:val="5_G Car"/>
    <w:basedOn w:val="Fuentedeprrafopredeter"/>
    <w:link w:val="Textonotapie"/>
    <w:rsid w:val="00753078"/>
    <w:rPr>
      <w:rFonts w:eastAsiaTheme="minorHAnsi"/>
      <w:sz w:val="18"/>
      <w:lang w:val="es-ES" w:eastAsia="es-ES"/>
    </w:rPr>
  </w:style>
  <w:style w:type="paragraph" w:customStyle="1" w:styleId="xmsonormal">
    <w:name w:val="x_msonormal"/>
    <w:basedOn w:val="Normal"/>
    <w:rsid w:val="00753078"/>
    <w:pPr>
      <w:spacing w:before="100" w:beforeAutospacing="1" w:after="100" w:afterAutospacing="1" w:line="240" w:lineRule="auto"/>
    </w:pPr>
    <w:rPr>
      <w:sz w:val="24"/>
      <w:szCs w:val="24"/>
      <w:lang w:val="es-CO" w:eastAsia="es-CO"/>
    </w:rPr>
  </w:style>
  <w:style w:type="character" w:customStyle="1" w:styleId="EncabezadoCar">
    <w:name w:val="Encabezado Car"/>
    <w:aliases w:val="6_G Car"/>
    <w:basedOn w:val="Fuentedeprrafopredeter"/>
    <w:link w:val="Encabezado"/>
    <w:rsid w:val="00753078"/>
    <w:rPr>
      <w:rFonts w:eastAsiaTheme="minorHAnsi"/>
      <w:b/>
      <w:sz w:val="18"/>
      <w:lang w:val="es-ES" w:eastAsia="es-ES"/>
    </w:rPr>
  </w:style>
  <w:style w:type="character" w:customStyle="1" w:styleId="HeaderChar">
    <w:name w:val="Header Char"/>
    <w:basedOn w:val="Fuentedeprrafopredeter"/>
    <w:rsid w:val="00753078"/>
    <w:rPr>
      <w:rFonts w:ascii="Times New Roman" w:hAnsi="Times New Roman"/>
      <w:sz w:val="24"/>
      <w:szCs w:val="24"/>
      <w:lang w:val="es-CO" w:eastAsia="es-ES"/>
    </w:rPr>
  </w:style>
  <w:style w:type="character" w:customStyle="1" w:styleId="PiedepginaCar">
    <w:name w:val="Pie de página Car"/>
    <w:aliases w:val="3_G Car"/>
    <w:basedOn w:val="Fuentedeprrafopredeter"/>
    <w:link w:val="Piedepgina"/>
    <w:rsid w:val="00753078"/>
    <w:rPr>
      <w:rFonts w:eastAsiaTheme="minorHAnsi"/>
      <w:sz w:val="16"/>
      <w:lang w:val="es-ES" w:eastAsia="es-ES"/>
    </w:rPr>
  </w:style>
  <w:style w:type="character" w:customStyle="1" w:styleId="FooterChar">
    <w:name w:val="Footer Char"/>
    <w:basedOn w:val="Fuentedeprrafopredeter"/>
    <w:rsid w:val="00753078"/>
    <w:rPr>
      <w:rFonts w:ascii="Times New Roman" w:hAnsi="Times New Roman"/>
      <w:sz w:val="24"/>
      <w:szCs w:val="24"/>
      <w:lang w:val="es-CO" w:eastAsia="es-ES"/>
    </w:rPr>
  </w:style>
  <w:style w:type="character" w:customStyle="1" w:styleId="BalloonTextChar1">
    <w:name w:val="Balloon Text Char1"/>
    <w:basedOn w:val="Fuentedeprrafopredeter"/>
    <w:rsid w:val="00753078"/>
    <w:rPr>
      <w:rFonts w:ascii="Tahoma" w:eastAsia="Times New Roman" w:hAnsi="Tahoma" w:cs="Tahoma"/>
      <w:sz w:val="16"/>
      <w:szCs w:val="16"/>
    </w:rPr>
  </w:style>
  <w:style w:type="character" w:customStyle="1" w:styleId="Absatz-Standardschriftart">
    <w:name w:val="Absatz-Standardschriftart"/>
    <w:rsid w:val="00753078"/>
  </w:style>
  <w:style w:type="paragraph" w:customStyle="1" w:styleId="Standard">
    <w:name w:val="Standard"/>
    <w:uiPriority w:val="99"/>
    <w:rsid w:val="00753078"/>
    <w:pPr>
      <w:widowControl w:val="0"/>
      <w:suppressAutoHyphens/>
      <w:autoSpaceDN w:val="0"/>
      <w:textAlignment w:val="baseline"/>
    </w:pPr>
    <w:rPr>
      <w:rFonts w:ascii="Arial" w:eastAsia="Droid Sans Fallback" w:hAnsi="Arial" w:cs="Arial"/>
      <w:kern w:val="3"/>
      <w:sz w:val="22"/>
      <w:szCs w:val="22"/>
      <w:lang w:val="es-ES" w:eastAsia="zh-CN"/>
    </w:rPr>
  </w:style>
  <w:style w:type="paragraph" w:styleId="Sinespaciado">
    <w:name w:val="No Spacing"/>
    <w:link w:val="SinespaciadoCar"/>
    <w:uiPriority w:val="1"/>
    <w:qFormat/>
    <w:rsid w:val="00753078"/>
    <w:pPr>
      <w:suppressAutoHyphens/>
      <w:autoSpaceDN w:val="0"/>
      <w:textAlignment w:val="baseline"/>
    </w:pPr>
    <w:rPr>
      <w:rFonts w:eastAsia="Calibri"/>
      <w:sz w:val="24"/>
      <w:szCs w:val="24"/>
      <w:lang w:val="es-CO" w:eastAsia="es-ES"/>
    </w:rPr>
  </w:style>
  <w:style w:type="paragraph" w:customStyle="1" w:styleId="Style11">
    <w:name w:val="Style 11"/>
    <w:basedOn w:val="Normal"/>
    <w:uiPriority w:val="99"/>
    <w:rsid w:val="00753078"/>
    <w:pPr>
      <w:autoSpaceDE w:val="0"/>
      <w:autoSpaceDN w:val="0"/>
      <w:spacing w:before="36" w:line="264" w:lineRule="exact"/>
      <w:ind w:left="144"/>
    </w:pPr>
    <w:rPr>
      <w:rFonts w:ascii="Arial Narrow" w:hAnsi="Arial Narrow"/>
      <w:sz w:val="28"/>
      <w:szCs w:val="28"/>
      <w:lang w:val="es-CO"/>
    </w:rPr>
  </w:style>
  <w:style w:type="character" w:customStyle="1" w:styleId="apple-converted-space">
    <w:name w:val="apple-converted-space"/>
    <w:basedOn w:val="Fuentedeprrafopredeter"/>
    <w:rsid w:val="00753078"/>
  </w:style>
  <w:style w:type="paragraph" w:customStyle="1" w:styleId="Default">
    <w:name w:val="Default"/>
    <w:rsid w:val="00753078"/>
    <w:pPr>
      <w:autoSpaceDE w:val="0"/>
      <w:autoSpaceDN w:val="0"/>
      <w:adjustRightInd w:val="0"/>
    </w:pPr>
    <w:rPr>
      <w:rFonts w:ascii="Arial" w:eastAsia="Calibri" w:hAnsi="Arial" w:cs="Arial"/>
      <w:color w:val="000000"/>
      <w:sz w:val="24"/>
      <w:szCs w:val="24"/>
      <w:lang w:val="es-CO" w:eastAsia="en-US"/>
    </w:rPr>
  </w:style>
  <w:style w:type="paragraph" w:customStyle="1" w:styleId="CM31">
    <w:name w:val="CM31"/>
    <w:basedOn w:val="Default"/>
    <w:next w:val="Default"/>
    <w:uiPriority w:val="99"/>
    <w:rsid w:val="00753078"/>
    <w:rPr>
      <w:color w:val="auto"/>
    </w:rPr>
  </w:style>
  <w:style w:type="character" w:customStyle="1" w:styleId="TextocomentarioCar">
    <w:name w:val="Texto comentario Car"/>
    <w:basedOn w:val="Fuentedeprrafopredeter"/>
    <w:link w:val="Textocomentario"/>
    <w:rsid w:val="00753078"/>
    <w:rPr>
      <w:rFonts w:eastAsia="Calibri"/>
      <w:lang w:eastAsia="es-ES"/>
    </w:rPr>
  </w:style>
  <w:style w:type="paragraph" w:styleId="Textocomentario">
    <w:name w:val="annotation text"/>
    <w:basedOn w:val="Normal"/>
    <w:link w:val="TextocomentarioCar"/>
    <w:unhideWhenUsed/>
    <w:rsid w:val="00753078"/>
    <w:pPr>
      <w:suppressAutoHyphens/>
      <w:autoSpaceDN w:val="0"/>
      <w:spacing w:line="240" w:lineRule="auto"/>
      <w:textAlignment w:val="baseline"/>
    </w:pPr>
    <w:rPr>
      <w:rFonts w:eastAsia="Calibri"/>
      <w:lang w:val="fr-FR"/>
    </w:rPr>
  </w:style>
  <w:style w:type="character" w:customStyle="1" w:styleId="CommentTextChar1">
    <w:name w:val="Comment Text Char1"/>
    <w:basedOn w:val="Fuentedeprrafopredeter"/>
    <w:semiHidden/>
    <w:rsid w:val="00753078"/>
    <w:rPr>
      <w:lang w:val="es-ES" w:eastAsia="es-ES"/>
    </w:rPr>
  </w:style>
  <w:style w:type="character" w:customStyle="1" w:styleId="TextocomentarioCar1">
    <w:name w:val="Texto comentario Car1"/>
    <w:basedOn w:val="Fuentedeprrafopredeter"/>
    <w:uiPriority w:val="99"/>
    <w:semiHidden/>
    <w:rsid w:val="00753078"/>
    <w:rPr>
      <w:sz w:val="20"/>
      <w:szCs w:val="20"/>
    </w:rPr>
  </w:style>
  <w:style w:type="character" w:customStyle="1" w:styleId="AsuntodelcomentarioCar">
    <w:name w:val="Asunto del comentario Car"/>
    <w:basedOn w:val="TextocomentarioCar"/>
    <w:link w:val="Asuntodelcomentario"/>
    <w:uiPriority w:val="99"/>
    <w:semiHidden/>
    <w:rsid w:val="00753078"/>
    <w:rPr>
      <w:rFonts w:eastAsia="Calibri"/>
      <w:b/>
      <w:bCs/>
      <w:lang w:eastAsia="es-ES"/>
    </w:rPr>
  </w:style>
  <w:style w:type="paragraph" w:styleId="Asuntodelcomentario">
    <w:name w:val="annotation subject"/>
    <w:basedOn w:val="Textocomentario"/>
    <w:next w:val="Textocomentario"/>
    <w:link w:val="AsuntodelcomentarioCar"/>
    <w:uiPriority w:val="99"/>
    <w:semiHidden/>
    <w:unhideWhenUsed/>
    <w:rsid w:val="00753078"/>
    <w:rPr>
      <w:b/>
      <w:bCs/>
    </w:rPr>
  </w:style>
  <w:style w:type="character" w:customStyle="1" w:styleId="CommentSubjectChar1">
    <w:name w:val="Comment Subject Char1"/>
    <w:basedOn w:val="CommentTextChar1"/>
    <w:semiHidden/>
    <w:rsid w:val="00753078"/>
    <w:rPr>
      <w:b/>
      <w:bCs/>
      <w:lang w:val="es-ES" w:eastAsia="es-ES"/>
    </w:rPr>
  </w:style>
  <w:style w:type="character" w:customStyle="1" w:styleId="AsuntodelcomentarioCar1">
    <w:name w:val="Asunto del comentario Car1"/>
    <w:basedOn w:val="TextocomentarioCar1"/>
    <w:uiPriority w:val="99"/>
    <w:semiHidden/>
    <w:rsid w:val="00753078"/>
    <w:rPr>
      <w:b/>
      <w:bCs/>
      <w:sz w:val="20"/>
      <w:szCs w:val="20"/>
    </w:rPr>
  </w:style>
  <w:style w:type="character" w:customStyle="1" w:styleId="SinespaciadoCar">
    <w:name w:val="Sin espaciado Car"/>
    <w:basedOn w:val="Fuentedeprrafopredeter"/>
    <w:link w:val="Sinespaciado"/>
    <w:uiPriority w:val="1"/>
    <w:rsid w:val="00753078"/>
    <w:rPr>
      <w:rFonts w:eastAsia="Calibri"/>
      <w:sz w:val="24"/>
      <w:szCs w:val="24"/>
      <w:lang w:val="es-CO" w:eastAsia="es-ES"/>
    </w:rPr>
  </w:style>
  <w:style w:type="character" w:customStyle="1" w:styleId="TextosinformatoCar">
    <w:name w:val="Texto sin formato Car"/>
    <w:basedOn w:val="Fuentedeprrafopredeter"/>
    <w:link w:val="Textosinformato"/>
    <w:semiHidden/>
    <w:rsid w:val="00753078"/>
    <w:rPr>
      <w:rFonts w:ascii="Courier New" w:eastAsiaTheme="minorHAnsi" w:hAnsi="Courier New" w:cs="Courier New"/>
      <w:lang w:val="es-ES" w:eastAsia="es-ES"/>
    </w:rPr>
  </w:style>
  <w:style w:type="character" w:customStyle="1" w:styleId="TextoindependienteCar">
    <w:name w:val="Texto independiente Car"/>
    <w:basedOn w:val="Fuentedeprrafopredeter"/>
    <w:link w:val="Textoindependiente"/>
    <w:rsid w:val="00753078"/>
    <w:rPr>
      <w:rFonts w:eastAsiaTheme="minorHAnsi"/>
      <w:lang w:val="es-ES" w:eastAsia="es-ES"/>
    </w:rPr>
  </w:style>
  <w:style w:type="character" w:customStyle="1" w:styleId="Ttulo1Car">
    <w:name w:val="Título 1 Car"/>
    <w:aliases w:val="Cuadro_G Car"/>
    <w:basedOn w:val="Fuentedeprrafopredeter"/>
    <w:link w:val="Ttulo1"/>
    <w:rsid w:val="00054E05"/>
    <w:rPr>
      <w:rFonts w:eastAsiaTheme="minorHAnsi"/>
      <w:lang w:val="fr-CH" w:eastAsia="en-US"/>
    </w:rPr>
  </w:style>
  <w:style w:type="paragraph" w:styleId="Citadestacada">
    <w:name w:val="Intense Quote"/>
    <w:basedOn w:val="Normal"/>
    <w:next w:val="Normal"/>
    <w:link w:val="CitadestacadaCar"/>
    <w:uiPriority w:val="30"/>
    <w:semiHidden/>
    <w:rsid w:val="00054E05"/>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054E05"/>
    <w:rPr>
      <w:rFonts w:eastAsiaTheme="minorHAnsi"/>
      <w:b/>
      <w:bCs/>
      <w:i/>
      <w:iCs/>
      <w:color w:val="4F81BD"/>
      <w:lang w:val="es-ES" w:eastAsia="es-ES"/>
    </w:rPr>
  </w:style>
  <w:style w:type="character" w:styleId="nfasisintenso">
    <w:name w:val="Intense Emphasis"/>
    <w:uiPriority w:val="21"/>
    <w:semiHidden/>
    <w:rsid w:val="00054E05"/>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E_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44D8-E1CB-41AE-9573-E8E1FFE81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E_S.dotm</Template>
  <TotalTime>0</TotalTime>
  <Pages>20</Pages>
  <Words>10571</Words>
  <Characters>58141</Characters>
  <Application>Microsoft Office Word</Application>
  <DocSecurity>0</DocSecurity>
  <Lines>484</Lines>
  <Paragraphs>137</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E/C.12/COL/Q/6/Add.1</vt:lpstr>
      <vt:lpstr>E/C.12/COL/Q/6/Add.1</vt:lpstr>
      <vt:lpstr>Naciones Unidas</vt:lpstr>
    </vt:vector>
  </TitlesOfParts>
  <Company>DCM</Company>
  <LinksUpToDate>false</LinksUpToDate>
  <CharactersWithSpaces>68575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E/C.12/COL/Q/6/Add.1</dc:title>
  <dc:subject>E/C.12/COL/Q/6/Add.1</dc:subject>
  <dc:creator>Maria Luisa ZEBALLOS MORENO</dc:creator>
  <cp:keywords/>
  <dc:description/>
  <cp:lastModifiedBy>Maria Luisa ZEBALLOS MORENO</cp:lastModifiedBy>
  <cp:revision>3</cp:revision>
  <cp:lastPrinted>2017-07-20T14:45:00Z</cp:lastPrinted>
  <dcterms:created xsi:type="dcterms:W3CDTF">2017-07-20T14:45:00Z</dcterms:created>
  <dcterms:modified xsi:type="dcterms:W3CDTF">2017-07-20T14:45:00Z</dcterms:modified>
</cp:coreProperties>
</file>