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0AEF6E09" w14:textId="77777777" w:rsidTr="00EE2AFF">
        <w:trPr>
          <w:trHeight w:hRule="exact" w:val="851"/>
        </w:trPr>
        <w:tc>
          <w:tcPr>
            <w:tcW w:w="1274" w:type="dxa"/>
            <w:tcBorders>
              <w:bottom w:val="single" w:sz="4" w:space="0" w:color="auto"/>
            </w:tcBorders>
          </w:tcPr>
          <w:p w14:paraId="1BBCEF63" w14:textId="77777777" w:rsidR="006B3E27" w:rsidRPr="00D20D41" w:rsidRDefault="006B3E27" w:rsidP="00E734AD">
            <w:pPr>
              <w:pStyle w:val="H4GA"/>
              <w:kinsoku w:val="0"/>
              <w:overflowPunct w:val="0"/>
              <w:autoSpaceDE w:val="0"/>
              <w:autoSpaceDN w:val="0"/>
              <w:adjustRightInd w:val="0"/>
              <w:snapToGrid w:val="0"/>
              <w:rPr>
                <w:rFonts w:asciiTheme="minorHAnsi" w:hAnsiTheme="minorHAnsi" w:hint="cs"/>
                <w:rtl/>
                <w:lang w:val="en-US"/>
              </w:rPr>
            </w:pPr>
          </w:p>
        </w:tc>
        <w:tc>
          <w:tcPr>
            <w:tcW w:w="4963" w:type="dxa"/>
            <w:tcBorders>
              <w:bottom w:val="single" w:sz="4" w:space="0" w:color="auto"/>
            </w:tcBorders>
            <w:vAlign w:val="bottom"/>
          </w:tcPr>
          <w:p w14:paraId="3A385759"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1E7BB585" w14:textId="084D928E" w:rsidR="006B3E27" w:rsidRPr="0057713D" w:rsidRDefault="0057713D" w:rsidP="0057713D">
            <w:pPr>
              <w:bidi w:val="0"/>
              <w:jc w:val="left"/>
            </w:pPr>
            <w:r w:rsidRPr="0057713D">
              <w:rPr>
                <w:sz w:val="40"/>
              </w:rPr>
              <w:t>E</w:t>
            </w:r>
            <w:r>
              <w:t>/C.</w:t>
            </w:r>
            <w:r w:rsidRPr="00D20D41">
              <w:t>12</w:t>
            </w:r>
            <w:r>
              <w:t>/</w:t>
            </w:r>
            <w:r w:rsidRPr="00D20D41">
              <w:t>69</w:t>
            </w:r>
            <w:r>
              <w:t>/D/</w:t>
            </w:r>
            <w:r w:rsidRPr="00D20D41">
              <w:t>54</w:t>
            </w:r>
            <w:r>
              <w:t>/</w:t>
            </w:r>
            <w:r w:rsidRPr="00D20D41">
              <w:t>2018</w:t>
            </w:r>
          </w:p>
        </w:tc>
      </w:tr>
      <w:tr w:rsidR="006B3E27" w:rsidRPr="00ED7442" w14:paraId="07A1D4EE" w14:textId="77777777" w:rsidTr="00EE2AFF">
        <w:trPr>
          <w:trHeight w:hRule="exact" w:val="2835"/>
        </w:trPr>
        <w:tc>
          <w:tcPr>
            <w:tcW w:w="1274" w:type="dxa"/>
            <w:tcBorders>
              <w:top w:val="single" w:sz="4" w:space="0" w:color="auto"/>
              <w:bottom w:val="single" w:sz="12" w:space="0" w:color="auto"/>
            </w:tcBorders>
          </w:tcPr>
          <w:p w14:paraId="1E5D0405" w14:textId="77777777" w:rsidR="006B3E27" w:rsidRPr="00ED7442" w:rsidRDefault="0059622A" w:rsidP="00EE2AFF">
            <w:pPr>
              <w:jc w:val="center"/>
              <w:rPr>
                <w:sz w:val="56"/>
                <w:szCs w:val="56"/>
                <w:rtl/>
              </w:rPr>
            </w:pPr>
            <w:r w:rsidRPr="00ED7442">
              <w:rPr>
                <w:noProof/>
                <w:sz w:val="56"/>
                <w:szCs w:val="56"/>
              </w:rPr>
              <w:drawing>
                <wp:inline distT="0" distB="0" distL="0" distR="0" wp14:anchorId="4FA7E8E4" wp14:editId="779E49D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717008DB" w14:textId="77777777" w:rsidR="006B3E27" w:rsidRPr="00D20D41" w:rsidRDefault="00606EDF" w:rsidP="009E0EDE">
            <w:pPr>
              <w:spacing w:before="120" w:after="40" w:line="640" w:lineRule="exact"/>
              <w:ind w:left="57"/>
              <w:jc w:val="left"/>
              <w:rPr>
                <w:rFonts w:ascii="Times New Roman Bold" w:hAnsi="Times New Roman Bold" w:hint="eastAsia"/>
                <w:b/>
                <w:bCs/>
                <w:spacing w:val="-4"/>
                <w:sz w:val="48"/>
                <w:szCs w:val="48"/>
              </w:rPr>
            </w:pPr>
            <w:r w:rsidRPr="00D20D41">
              <w:rPr>
                <w:rFonts w:ascii="Times New Roman Bold" w:hAnsi="Times New Roman Bold" w:hint="cs"/>
                <w:b/>
                <w:bCs/>
                <w:spacing w:val="-4"/>
                <w:sz w:val="48"/>
                <w:szCs w:val="48"/>
                <w:rtl/>
              </w:rPr>
              <w:t>ا</w:t>
            </w:r>
            <w:r w:rsidR="008930DB" w:rsidRPr="00D20D41">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475AE35" w14:textId="77777777" w:rsidR="00664CDC" w:rsidRPr="00664CDC" w:rsidRDefault="00664CDC" w:rsidP="00664CDC">
            <w:pPr>
              <w:suppressAutoHyphens/>
              <w:bidi w:val="0"/>
              <w:spacing w:before="240"/>
              <w:jc w:val="left"/>
              <w:rPr>
                <w:rFonts w:eastAsia="Times New Roman" w:cs="Times New Roman"/>
                <w:lang w:val="en-GB"/>
              </w:rPr>
            </w:pPr>
            <w:r w:rsidRPr="00664CDC">
              <w:rPr>
                <w:rFonts w:eastAsia="Times New Roman" w:cs="Times New Roman"/>
                <w:lang w:val="en-GB"/>
              </w:rPr>
              <w:t>Distr.: General</w:t>
            </w:r>
          </w:p>
          <w:p w14:paraId="51A8F973" w14:textId="77777777" w:rsidR="00664CDC" w:rsidRPr="00664CDC" w:rsidRDefault="00664CDC" w:rsidP="00664CDC">
            <w:pPr>
              <w:bidi w:val="0"/>
              <w:jc w:val="left"/>
              <w:rPr>
                <w:rFonts w:eastAsia="Times New Roman" w:cs="Times New Roman"/>
                <w:lang w:val="en-GB"/>
              </w:rPr>
            </w:pPr>
            <w:r w:rsidRPr="00D20D41">
              <w:rPr>
                <w:rFonts w:eastAsia="Times New Roman" w:cs="Times New Roman"/>
                <w:lang w:val="en-GB"/>
              </w:rPr>
              <w:t>23</w:t>
            </w:r>
            <w:r w:rsidRPr="00664CDC">
              <w:rPr>
                <w:rFonts w:eastAsia="Times New Roman" w:cs="Times New Roman"/>
                <w:lang w:val="en-GB"/>
              </w:rPr>
              <w:t xml:space="preserve"> March </w:t>
            </w:r>
            <w:r w:rsidRPr="00D20D41">
              <w:rPr>
                <w:rFonts w:eastAsia="Times New Roman" w:cs="Times New Roman"/>
                <w:lang w:val="en-GB"/>
              </w:rPr>
              <w:t>2021</w:t>
            </w:r>
          </w:p>
          <w:p w14:paraId="5A769495" w14:textId="079F83BB" w:rsidR="00664CDC" w:rsidRPr="00664CDC" w:rsidRDefault="00664CDC" w:rsidP="00664CDC">
            <w:pPr>
              <w:bidi w:val="0"/>
              <w:jc w:val="left"/>
              <w:rPr>
                <w:rFonts w:eastAsia="Times New Roman" w:cs="Times New Roman"/>
                <w:lang w:val="en-GB"/>
              </w:rPr>
            </w:pPr>
            <w:r>
              <w:rPr>
                <w:rFonts w:eastAsia="Times New Roman" w:cs="Times New Roman"/>
                <w:lang w:val="en-GB"/>
              </w:rPr>
              <w:t>Arabic</w:t>
            </w:r>
          </w:p>
          <w:p w14:paraId="122EEFE0" w14:textId="77777777" w:rsidR="00664CDC" w:rsidRPr="00664CDC" w:rsidRDefault="00664CDC" w:rsidP="00664CDC">
            <w:pPr>
              <w:bidi w:val="0"/>
              <w:jc w:val="left"/>
              <w:rPr>
                <w:rFonts w:eastAsia="Times New Roman" w:cs="Times New Roman"/>
                <w:lang w:val="en-GB"/>
              </w:rPr>
            </w:pPr>
            <w:r w:rsidRPr="00664CDC">
              <w:rPr>
                <w:rFonts w:eastAsia="Times New Roman" w:cs="Times New Roman"/>
                <w:lang w:val="en-GB"/>
              </w:rPr>
              <w:t>Original: Spanish</w:t>
            </w:r>
          </w:p>
          <w:p w14:paraId="7210BFFA" w14:textId="2DB50C63" w:rsidR="0057713D" w:rsidRPr="00664CDC" w:rsidRDefault="00664CDC" w:rsidP="00664CDC">
            <w:pPr>
              <w:bidi w:val="0"/>
              <w:spacing w:line="240" w:lineRule="exact"/>
              <w:jc w:val="left"/>
              <w:rPr>
                <w:lang w:val="en-GB"/>
              </w:rPr>
            </w:pPr>
            <w:r w:rsidRPr="00664CDC">
              <w:rPr>
                <w:rFonts w:eastAsia="Times New Roman" w:cs="Times New Roman"/>
                <w:lang w:val="en-GB" w:eastAsia="en-US"/>
              </w:rPr>
              <w:t>English, French and Spanish only</w:t>
            </w:r>
          </w:p>
        </w:tc>
      </w:tr>
    </w:tbl>
    <w:p w14:paraId="231D8E86" w14:textId="4A82874F" w:rsidR="00664CDC" w:rsidRPr="00D20D41" w:rsidRDefault="00664CDC" w:rsidP="00664CDC">
      <w:pPr>
        <w:pStyle w:val="SingleTxtGA"/>
        <w:spacing w:before="120" w:after="0"/>
        <w:ind w:left="0" w:right="0"/>
        <w:rPr>
          <w:rFonts w:ascii="Times New Roman Bold" w:hAnsi="Times New Roman Bold"/>
          <w:b/>
          <w:bCs/>
          <w:sz w:val="26"/>
          <w:szCs w:val="26"/>
          <w:lang w:eastAsia="zh-TW"/>
        </w:rPr>
      </w:pPr>
      <w:r w:rsidRPr="00D20D41">
        <w:rPr>
          <w:rFonts w:ascii="Times New Roman Bold" w:hAnsi="Times New Roman Bold"/>
          <w:b/>
          <w:bCs/>
          <w:sz w:val="26"/>
          <w:szCs w:val="26"/>
          <w:rtl/>
          <w:lang w:eastAsia="zh-TW"/>
        </w:rPr>
        <w:t>اللجنة المعنية بالحقوق الاقتصادية والاجتماعية والثقافية‏‏</w:t>
      </w:r>
    </w:p>
    <w:p w14:paraId="3FF17F46" w14:textId="2444ED9A" w:rsidR="00664CDC" w:rsidRPr="00D20D41" w:rsidRDefault="00664CDC" w:rsidP="00664CDC">
      <w:pPr>
        <w:pStyle w:val="HChGA"/>
      </w:pPr>
      <w:r w:rsidRPr="00D20D41">
        <w:rPr>
          <w:rtl/>
        </w:rPr>
        <w:tab/>
      </w:r>
      <w:r w:rsidRPr="00D20D41">
        <w:rPr>
          <w:rtl/>
        </w:rPr>
        <w:tab/>
        <w:t>الآراء التي اعتمدتها اللجنة بموجب البروتوكول الاختياري الملحق بالعهد الدولي الخاص بالحقوق الاقتصادية والاجتماعية والثقافية بشأن البلاغ رقم</w:t>
      </w:r>
      <w:r w:rsidRPr="00D20D41">
        <w:rPr>
          <w:rFonts w:hint="cs"/>
          <w:rtl/>
        </w:rPr>
        <w:t> </w:t>
      </w:r>
      <w:r w:rsidRPr="00D20D41">
        <w:rPr>
          <w:rtl/>
        </w:rPr>
        <w:t>54</w:t>
      </w:r>
      <w:r w:rsidR="00E00155" w:rsidRPr="00D20D41">
        <w:rPr>
          <w:rStyle w:val="FootnoteReference"/>
          <w:rFonts w:hint="cs"/>
          <w:sz w:val="28"/>
          <w:szCs w:val="28"/>
          <w:vertAlign w:val="baseline"/>
          <w:rtl/>
        </w:rPr>
        <w:t>/</w:t>
      </w:r>
      <w:r w:rsidR="00E00155" w:rsidRPr="00D20D41">
        <w:rPr>
          <w:rtl/>
        </w:rPr>
        <w:t>2018</w:t>
      </w:r>
      <w:r w:rsidRPr="00D20D41">
        <w:rPr>
          <w:rStyle w:val="FootnoteReference"/>
          <w:sz w:val="28"/>
          <w:szCs w:val="28"/>
          <w:vertAlign w:val="baseline"/>
          <w:rtl/>
        </w:rPr>
        <w:footnoteReference w:customMarkFollows="1" w:id="1"/>
        <w:t>*</w:t>
      </w:r>
    </w:p>
    <w:p w14:paraId="2EAC7D0B" w14:textId="03EFDB2C"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بلاغ مقدم من:</w:t>
      </w:r>
      <w:r>
        <w:rPr>
          <w:rtl/>
        </w:rPr>
        <w:tab/>
      </w:r>
      <w:r w:rsidRPr="00664CDC">
        <w:rPr>
          <w:rtl/>
        </w:rPr>
        <w:t xml:space="preserve">فاطمة الأيوبي ومحمد العزوان عزوز </w:t>
      </w:r>
    </w:p>
    <w:p w14:paraId="2A45D5F4" w14:textId="4FA280AD"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الأشخاص المدعى أنهم ضحايا:</w:t>
      </w:r>
      <w:r>
        <w:rPr>
          <w:rtl/>
        </w:rPr>
        <w:tab/>
      </w:r>
      <w:r w:rsidRPr="00664CDC">
        <w:rPr>
          <w:rtl/>
        </w:rPr>
        <w:t>صاحبا البلاغ وصغيرهما</w:t>
      </w:r>
    </w:p>
    <w:p w14:paraId="542DCC01" w14:textId="32DDF44D"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الدولة الطرف:</w:t>
      </w:r>
      <w:r>
        <w:rPr>
          <w:rtl/>
        </w:rPr>
        <w:tab/>
      </w:r>
      <w:r w:rsidRPr="00664CDC">
        <w:rPr>
          <w:rtl/>
        </w:rPr>
        <w:t>إسبانيا</w:t>
      </w:r>
    </w:p>
    <w:p w14:paraId="7BF81E72" w14:textId="523AF05A"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تاريخ تقديم البلاغ:</w:t>
      </w:r>
      <w:r>
        <w:rPr>
          <w:rtl/>
        </w:rPr>
        <w:tab/>
      </w:r>
      <w:r w:rsidRPr="00D20D41">
        <w:rPr>
          <w:rtl/>
        </w:rPr>
        <w:t>17</w:t>
      </w:r>
      <w:r w:rsidRPr="00664CDC">
        <w:rPr>
          <w:rtl/>
        </w:rPr>
        <w:t xml:space="preserve"> أيلول/سبتمبر </w:t>
      </w:r>
      <w:r w:rsidRPr="00D20D41">
        <w:rPr>
          <w:rtl/>
        </w:rPr>
        <w:t>2018</w:t>
      </w:r>
    </w:p>
    <w:p w14:paraId="78B504AE" w14:textId="1610C9AF"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تاريخ اعتماد الآراء:</w:t>
      </w:r>
      <w:r>
        <w:rPr>
          <w:rtl/>
        </w:rPr>
        <w:tab/>
      </w:r>
      <w:r w:rsidRPr="00D20D41">
        <w:rPr>
          <w:rtl/>
        </w:rPr>
        <w:t>19</w:t>
      </w:r>
      <w:r w:rsidRPr="00664CDC">
        <w:rPr>
          <w:rtl/>
        </w:rPr>
        <w:t xml:space="preserve"> شباط/فبراير </w:t>
      </w:r>
      <w:r w:rsidRPr="00D20D41">
        <w:rPr>
          <w:rtl/>
        </w:rPr>
        <w:t>2021</w:t>
      </w:r>
    </w:p>
    <w:p w14:paraId="53817E6C" w14:textId="192EC788"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الموضوع:</w:t>
      </w:r>
      <w:r>
        <w:rPr>
          <w:rtl/>
        </w:rPr>
        <w:tab/>
      </w:r>
      <w:r w:rsidRPr="00664CDC">
        <w:rPr>
          <w:rtl/>
        </w:rPr>
        <w:t>الإخلاء بسبب الإشغال غير القانوني</w:t>
      </w:r>
    </w:p>
    <w:p w14:paraId="29DBCEC6" w14:textId="245D384F"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المسائل الإجرائية:</w:t>
      </w:r>
      <w:r>
        <w:rPr>
          <w:rtl/>
        </w:rPr>
        <w:tab/>
      </w:r>
      <w:r w:rsidRPr="00664CDC">
        <w:rPr>
          <w:rtl/>
        </w:rPr>
        <w:t>عدم استنفاد سبل الانتصاف المحلية</w:t>
      </w:r>
    </w:p>
    <w:p w14:paraId="70985E17" w14:textId="77B6F8BF"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المسائل الموضوعية:</w:t>
      </w:r>
      <w:r>
        <w:rPr>
          <w:rtl/>
        </w:rPr>
        <w:tab/>
      </w:r>
      <w:r w:rsidRPr="00664CDC">
        <w:rPr>
          <w:rtl/>
        </w:rPr>
        <w:t>الحق في سكن لائق</w:t>
      </w:r>
    </w:p>
    <w:p w14:paraId="205E823B" w14:textId="77B40B0B"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مادة العهد:</w:t>
      </w:r>
      <w:r>
        <w:rPr>
          <w:rtl/>
        </w:rPr>
        <w:tab/>
      </w:r>
      <w:r w:rsidRPr="00D20D41">
        <w:rPr>
          <w:rtl/>
        </w:rPr>
        <w:t>11</w:t>
      </w:r>
      <w:r w:rsidRPr="00664CDC">
        <w:rPr>
          <w:rtl/>
        </w:rPr>
        <w:t>(</w:t>
      </w:r>
      <w:r w:rsidRPr="00D20D41">
        <w:rPr>
          <w:rtl/>
        </w:rPr>
        <w:t>1</w:t>
      </w:r>
      <w:r w:rsidRPr="00664CDC">
        <w:rPr>
          <w:rtl/>
        </w:rPr>
        <w:t>)</w:t>
      </w:r>
    </w:p>
    <w:p w14:paraId="64B6DE3C" w14:textId="29C6CE50" w:rsidR="00664CDC" w:rsidRPr="00664CDC" w:rsidRDefault="00664CDC" w:rsidP="00664CDC">
      <w:pPr>
        <w:pStyle w:val="SingleTxtGA"/>
        <w:tabs>
          <w:tab w:val="clear" w:pos="1928"/>
          <w:tab w:val="clear" w:pos="2608"/>
          <w:tab w:val="clear" w:pos="3289"/>
          <w:tab w:val="clear" w:pos="3969"/>
          <w:tab w:val="clear" w:pos="4649"/>
          <w:tab w:val="clear" w:pos="5330"/>
        </w:tabs>
        <w:ind w:left="4649" w:hanging="2721"/>
      </w:pPr>
      <w:r w:rsidRPr="00D20D41">
        <w:rPr>
          <w:i/>
          <w:iCs/>
          <w:rtl/>
        </w:rPr>
        <w:t>مادة البروتوكول الاختياري:</w:t>
      </w:r>
      <w:r>
        <w:rPr>
          <w:rtl/>
        </w:rPr>
        <w:tab/>
      </w:r>
      <w:r w:rsidRPr="00D20D41">
        <w:rPr>
          <w:rtl/>
        </w:rPr>
        <w:t>3</w:t>
      </w:r>
      <w:r w:rsidRPr="00664CDC">
        <w:rPr>
          <w:rtl/>
        </w:rPr>
        <w:t>(</w:t>
      </w:r>
      <w:r w:rsidRPr="00D20D41">
        <w:rPr>
          <w:rtl/>
        </w:rPr>
        <w:t>1</w:t>
      </w:r>
      <w:r w:rsidRPr="00664CDC">
        <w:rPr>
          <w:rtl/>
        </w:rPr>
        <w:t>)</w:t>
      </w:r>
    </w:p>
    <w:p w14:paraId="221AEC08" w14:textId="77777777" w:rsidR="006670EA" w:rsidRDefault="006670EA">
      <w:pPr>
        <w:bidi w:val="0"/>
        <w:spacing w:after="200" w:line="276" w:lineRule="auto"/>
        <w:jc w:val="left"/>
        <w:rPr>
          <w:sz w:val="22"/>
          <w:rtl/>
          <w:lang w:val="fr-CH"/>
        </w:rPr>
      </w:pPr>
      <w:r>
        <w:rPr>
          <w:rtl/>
          <w:lang w:val="fr-CH"/>
        </w:rPr>
        <w:br w:type="page"/>
      </w:r>
    </w:p>
    <w:p w14:paraId="6883FBDB" w14:textId="60015D36" w:rsidR="00664CDC" w:rsidRPr="00664CDC" w:rsidRDefault="00664CDC" w:rsidP="00664CDC">
      <w:pPr>
        <w:pStyle w:val="SingleTxtGA"/>
        <w:rPr>
          <w:lang w:val="fr-CH"/>
        </w:rPr>
      </w:pPr>
      <w:r w:rsidRPr="00D20D41">
        <w:rPr>
          <w:rtl/>
          <w:lang w:val="fr-CH"/>
        </w:rPr>
        <w:lastRenderedPageBreak/>
        <w:t>1</w:t>
      </w:r>
      <w:r w:rsidRPr="00664CDC">
        <w:rPr>
          <w:rtl/>
          <w:lang w:val="fr-CH"/>
        </w:rPr>
        <w:t>-</w:t>
      </w:r>
      <w:r w:rsidRPr="00D20D41">
        <w:rPr>
          <w:rtl/>
          <w:lang w:val="fr-CH"/>
        </w:rPr>
        <w:t>1</w:t>
      </w:r>
      <w:r w:rsidRPr="00664CDC">
        <w:rPr>
          <w:rtl/>
          <w:lang w:val="fr-CH"/>
        </w:rPr>
        <w:tab/>
        <w:t xml:space="preserve">صاحبا البلاغ هما فاطمة الأيوبي، وهي مواطنة مغربية ولدت في </w:t>
      </w:r>
      <w:r w:rsidRPr="00D20D41">
        <w:rPr>
          <w:rtl/>
          <w:lang w:val="fr-CH"/>
        </w:rPr>
        <w:t>1</w:t>
      </w:r>
      <w:r w:rsidRPr="00664CDC">
        <w:rPr>
          <w:rtl/>
          <w:lang w:val="fr-CH"/>
        </w:rPr>
        <w:t xml:space="preserve"> كانون الثاني/يناير </w:t>
      </w:r>
      <w:r w:rsidRPr="00D20D41">
        <w:rPr>
          <w:rtl/>
          <w:lang w:val="fr-CH"/>
        </w:rPr>
        <w:t>1983</w:t>
      </w:r>
      <w:r w:rsidRPr="00664CDC">
        <w:rPr>
          <w:rtl/>
          <w:lang w:val="fr-CH"/>
        </w:rPr>
        <w:t xml:space="preserve">، </w:t>
      </w:r>
      <w:r w:rsidRPr="00D61FBF">
        <w:rPr>
          <w:spacing w:val="-2"/>
          <w:rtl/>
          <w:lang w:val="fr-CH"/>
        </w:rPr>
        <w:t xml:space="preserve">ومحمد العزوان عزوز، وهو مواطن إسباني ولد في </w:t>
      </w:r>
      <w:r w:rsidRPr="00D20D41">
        <w:rPr>
          <w:spacing w:val="-2"/>
          <w:rtl/>
          <w:lang w:val="fr-CH"/>
        </w:rPr>
        <w:t>2</w:t>
      </w:r>
      <w:r w:rsidRPr="00D61FBF">
        <w:rPr>
          <w:spacing w:val="-2"/>
          <w:rtl/>
          <w:lang w:val="fr-CH"/>
        </w:rPr>
        <w:t xml:space="preserve"> أيار/مايو </w:t>
      </w:r>
      <w:r w:rsidRPr="00D20D41">
        <w:rPr>
          <w:spacing w:val="-2"/>
          <w:rtl/>
          <w:lang w:val="fr-CH"/>
        </w:rPr>
        <w:t>1972</w:t>
      </w:r>
      <w:r w:rsidRPr="00D61FBF">
        <w:rPr>
          <w:spacing w:val="-2"/>
          <w:rtl/>
          <w:lang w:val="fr-CH"/>
        </w:rPr>
        <w:t>. وهما يتصرفان بالنيابة عن نفسيهما</w:t>
      </w:r>
      <w:r w:rsidRPr="00664CDC">
        <w:rPr>
          <w:rtl/>
          <w:lang w:val="fr-CH"/>
        </w:rPr>
        <w:t xml:space="preserve"> </w:t>
      </w:r>
      <w:r w:rsidRPr="00D61FBF">
        <w:rPr>
          <w:spacing w:val="-2"/>
          <w:rtl/>
          <w:lang w:val="fr-CH"/>
        </w:rPr>
        <w:t xml:space="preserve">وعن صغيرهما هارون العزوان الأيوبي، المولود في </w:t>
      </w:r>
      <w:r w:rsidRPr="00D20D41">
        <w:rPr>
          <w:spacing w:val="-2"/>
          <w:rtl/>
          <w:lang w:val="fr-CH"/>
        </w:rPr>
        <w:t>30</w:t>
      </w:r>
      <w:r w:rsidRPr="00D61FBF">
        <w:rPr>
          <w:spacing w:val="-2"/>
          <w:rtl/>
          <w:lang w:val="fr-CH"/>
        </w:rPr>
        <w:t xml:space="preserve"> تشرين الثاني/نوفمبر </w:t>
      </w:r>
      <w:r w:rsidRPr="00D20D41">
        <w:rPr>
          <w:spacing w:val="-2"/>
          <w:rtl/>
          <w:lang w:val="fr-CH"/>
        </w:rPr>
        <w:t>2013</w:t>
      </w:r>
      <w:r w:rsidRPr="00D61FBF">
        <w:rPr>
          <w:spacing w:val="-2"/>
          <w:rtl/>
          <w:lang w:val="fr-CH"/>
        </w:rPr>
        <w:t>. ويدَّعي صاحبا البلاغ</w:t>
      </w:r>
      <w:r w:rsidRPr="00664CDC">
        <w:rPr>
          <w:rtl/>
          <w:lang w:val="fr-CH"/>
        </w:rPr>
        <w:t xml:space="preserve"> </w:t>
      </w:r>
      <w:r w:rsidRPr="00D61FBF">
        <w:rPr>
          <w:spacing w:val="-2"/>
          <w:rtl/>
          <w:lang w:val="fr-CH"/>
        </w:rPr>
        <w:t xml:space="preserve">أن حقوقهما بموجب المادة </w:t>
      </w:r>
      <w:r w:rsidRPr="00D20D41">
        <w:rPr>
          <w:spacing w:val="-2"/>
          <w:rtl/>
          <w:lang w:val="fr-CH"/>
        </w:rPr>
        <w:t>11</w:t>
      </w:r>
      <w:r w:rsidRPr="00D61FBF">
        <w:rPr>
          <w:spacing w:val="-2"/>
          <w:rtl/>
          <w:lang w:val="fr-CH"/>
        </w:rPr>
        <w:t>(</w:t>
      </w:r>
      <w:r w:rsidRPr="00D20D41">
        <w:rPr>
          <w:spacing w:val="-2"/>
          <w:rtl/>
          <w:lang w:val="fr-CH"/>
        </w:rPr>
        <w:t>1</w:t>
      </w:r>
      <w:r w:rsidRPr="00D61FBF">
        <w:rPr>
          <w:spacing w:val="-2"/>
          <w:rtl/>
          <w:lang w:val="fr-CH"/>
        </w:rPr>
        <w:t>) من العهد قد انتُهكت لأنهما تلقيا أمر</w:t>
      </w:r>
      <w:r w:rsidR="00D61FBF">
        <w:rPr>
          <w:spacing w:val="-2"/>
          <w:rtl/>
          <w:lang w:val="fr-CH"/>
        </w:rPr>
        <w:t xml:space="preserve">اً </w:t>
      </w:r>
      <w:r w:rsidRPr="00D61FBF">
        <w:rPr>
          <w:spacing w:val="-2"/>
          <w:rtl/>
          <w:lang w:val="fr-CH"/>
        </w:rPr>
        <w:t>بإخلائهما من العقار الذي يعيشون</w:t>
      </w:r>
      <w:r w:rsidRPr="00664CDC">
        <w:rPr>
          <w:rtl/>
          <w:lang w:val="fr-CH"/>
        </w:rPr>
        <w:t xml:space="preserve"> </w:t>
      </w:r>
      <w:r w:rsidRPr="00D61FBF">
        <w:rPr>
          <w:spacing w:val="-2"/>
          <w:rtl/>
          <w:lang w:val="fr-CH"/>
        </w:rPr>
        <w:t xml:space="preserve">فيه منذ عام </w:t>
      </w:r>
      <w:r w:rsidRPr="00D20D41">
        <w:rPr>
          <w:spacing w:val="-2"/>
          <w:rtl/>
          <w:lang w:val="fr-CH"/>
        </w:rPr>
        <w:t>2016</w:t>
      </w:r>
      <w:r w:rsidRPr="00D61FBF">
        <w:rPr>
          <w:spacing w:val="-2"/>
          <w:rtl/>
          <w:lang w:val="fr-CH"/>
        </w:rPr>
        <w:t xml:space="preserve"> دون أن يكون لهما سكن بديل. وقد دخل البروتوكول الاختياري حيز النفاذ بالنسبة للدولة</w:t>
      </w:r>
      <w:r w:rsidRPr="00664CDC">
        <w:rPr>
          <w:rtl/>
          <w:lang w:val="fr-CH"/>
        </w:rPr>
        <w:t xml:space="preserve"> الطرف في </w:t>
      </w:r>
      <w:r w:rsidRPr="00D20D41">
        <w:rPr>
          <w:rtl/>
          <w:lang w:val="fr-CH"/>
        </w:rPr>
        <w:t>5</w:t>
      </w:r>
      <w:r w:rsidRPr="00664CDC">
        <w:rPr>
          <w:rtl/>
          <w:lang w:val="fr-CH"/>
        </w:rPr>
        <w:t xml:space="preserve"> أيار/مايو </w:t>
      </w:r>
      <w:r w:rsidRPr="00D20D41">
        <w:rPr>
          <w:rtl/>
          <w:lang w:val="fr-CH"/>
        </w:rPr>
        <w:t>2013</w:t>
      </w:r>
      <w:r w:rsidRPr="00664CDC">
        <w:rPr>
          <w:rtl/>
          <w:lang w:val="fr-CH"/>
        </w:rPr>
        <w:t>. ولا يمثل صاحبي البلاغ محام.</w:t>
      </w:r>
    </w:p>
    <w:p w14:paraId="2A6200B0" w14:textId="56F8211C" w:rsidR="00664CDC" w:rsidRPr="00664CDC" w:rsidRDefault="00664CDC" w:rsidP="00664CDC">
      <w:pPr>
        <w:pStyle w:val="SingleTxtGA"/>
        <w:rPr>
          <w:lang w:val="fr-CH"/>
        </w:rPr>
      </w:pPr>
      <w:r w:rsidRPr="00D20D41">
        <w:rPr>
          <w:rtl/>
          <w:lang w:val="fr-CH"/>
        </w:rPr>
        <w:t>1</w:t>
      </w:r>
      <w:r w:rsidRPr="00664CDC">
        <w:rPr>
          <w:rtl/>
          <w:lang w:val="fr-CH"/>
        </w:rPr>
        <w:t>-</w:t>
      </w:r>
      <w:r w:rsidRPr="00D20D41">
        <w:rPr>
          <w:rtl/>
          <w:lang w:val="fr-CH"/>
        </w:rPr>
        <w:t>2</w:t>
      </w:r>
      <w:r w:rsidRPr="00664CDC">
        <w:rPr>
          <w:rtl/>
          <w:lang w:val="fr-CH"/>
        </w:rPr>
        <w:tab/>
      </w:r>
      <w:r w:rsidRPr="00E00155">
        <w:rPr>
          <w:spacing w:val="-4"/>
          <w:rtl/>
          <w:lang w:val="fr-CH"/>
        </w:rPr>
        <w:t xml:space="preserve">وقد سجلت اللجنة، من خلال فريقها العامل المعني بالبلاغات، البلاغ في </w:t>
      </w:r>
      <w:r w:rsidRPr="00D20D41">
        <w:rPr>
          <w:spacing w:val="-4"/>
          <w:rtl/>
          <w:lang w:val="fr-CH"/>
        </w:rPr>
        <w:t>19</w:t>
      </w:r>
      <w:r w:rsidRPr="00E00155">
        <w:rPr>
          <w:spacing w:val="-4"/>
          <w:rtl/>
          <w:lang w:val="fr-CH"/>
        </w:rPr>
        <w:t xml:space="preserve"> أيلول/سبتمبر </w:t>
      </w:r>
      <w:r w:rsidRPr="00D20D41">
        <w:rPr>
          <w:spacing w:val="-4"/>
          <w:rtl/>
          <w:lang w:val="fr-CH"/>
        </w:rPr>
        <w:t>2018</w:t>
      </w:r>
      <w:r w:rsidRPr="00E00155">
        <w:rPr>
          <w:spacing w:val="-4"/>
          <w:rtl/>
          <w:lang w:val="fr-CH"/>
        </w:rPr>
        <w:t>،</w:t>
      </w:r>
      <w:r w:rsidRPr="00664CDC">
        <w:rPr>
          <w:rtl/>
          <w:lang w:val="fr-CH"/>
        </w:rPr>
        <w:t xml:space="preserve"> </w:t>
      </w:r>
      <w:r w:rsidRPr="00E00155">
        <w:rPr>
          <w:spacing w:val="-4"/>
          <w:rtl/>
          <w:lang w:val="fr-CH"/>
        </w:rPr>
        <w:t>وطلبت إلى الدولة الطرف وقف إخلاء صاحبي البلاغ أثناء النظر في البلاغ، أو، بدل</w:t>
      </w:r>
      <w:r w:rsidR="00D61FBF">
        <w:rPr>
          <w:spacing w:val="-4"/>
          <w:rtl/>
          <w:lang w:val="fr-CH"/>
        </w:rPr>
        <w:t xml:space="preserve">اً </w:t>
      </w:r>
      <w:r w:rsidRPr="00E00155">
        <w:rPr>
          <w:spacing w:val="-4"/>
          <w:rtl/>
          <w:lang w:val="fr-CH"/>
        </w:rPr>
        <w:t>من ذلك، إيجاد سكن</w:t>
      </w:r>
      <w:r w:rsidRPr="00664CDC">
        <w:rPr>
          <w:rtl/>
          <w:lang w:val="fr-CH"/>
        </w:rPr>
        <w:t xml:space="preserve"> ملائم لهما، والتشاور معهما بحسن نية لمنع إلحاق ضرر لا يمكن إصلاحه بهما وبطفليهما.</w:t>
      </w:r>
    </w:p>
    <w:p w14:paraId="0CC12AA5" w14:textId="11749B69" w:rsidR="00664CDC" w:rsidRPr="00664CDC" w:rsidRDefault="00664CDC" w:rsidP="00664CDC">
      <w:pPr>
        <w:pStyle w:val="SingleTxtGA"/>
        <w:rPr>
          <w:lang w:val="fr-CH"/>
        </w:rPr>
      </w:pPr>
      <w:r w:rsidRPr="00D20D41">
        <w:rPr>
          <w:rtl/>
          <w:lang w:val="fr-CH"/>
        </w:rPr>
        <w:t>1</w:t>
      </w:r>
      <w:r w:rsidRPr="00664CDC">
        <w:rPr>
          <w:rtl/>
          <w:lang w:val="fr-CH"/>
        </w:rPr>
        <w:t>-</w:t>
      </w:r>
      <w:r w:rsidRPr="00D20D41">
        <w:rPr>
          <w:rtl/>
          <w:lang w:val="fr-CH"/>
        </w:rPr>
        <w:t>3</w:t>
      </w:r>
      <w:r w:rsidRPr="00664CDC">
        <w:rPr>
          <w:rtl/>
          <w:lang w:val="fr-CH"/>
        </w:rPr>
        <w:tab/>
        <w:t>وفي هذه الآراء، توجز اللجنة أول</w:t>
      </w:r>
      <w:r w:rsidR="00D61FBF">
        <w:rPr>
          <w:rtl/>
          <w:lang w:val="fr-CH"/>
        </w:rPr>
        <w:t xml:space="preserve">اً </w:t>
      </w:r>
      <w:r w:rsidRPr="00664CDC">
        <w:rPr>
          <w:rtl/>
          <w:lang w:val="fr-CH"/>
        </w:rPr>
        <w:t>المعلومات والحجج التي قدمها الطرفان، دون اتخاذ موقف. ثم</w:t>
      </w:r>
      <w:r w:rsidR="00E00155">
        <w:rPr>
          <w:rFonts w:hint="cs"/>
          <w:rtl/>
          <w:lang w:val="fr-CH"/>
        </w:rPr>
        <w:t> </w:t>
      </w:r>
      <w:r w:rsidRPr="00664CDC">
        <w:rPr>
          <w:rtl/>
          <w:lang w:val="fr-CH"/>
        </w:rPr>
        <w:t>تنظر في مسائل مقبولية البلاغ؛ وتعرض في الأخير استنتاجاتها.</w:t>
      </w:r>
    </w:p>
    <w:p w14:paraId="698DB316" w14:textId="7DDDBB2E" w:rsidR="00664CDC" w:rsidRPr="00D20D41" w:rsidRDefault="006670EA" w:rsidP="006670EA">
      <w:pPr>
        <w:pStyle w:val="H1GA"/>
      </w:pPr>
      <w:r w:rsidRPr="00D20D41">
        <w:rPr>
          <w:rtl/>
        </w:rPr>
        <w:tab/>
      </w:r>
      <w:r w:rsidR="00664CDC" w:rsidRPr="00D20D41">
        <w:rPr>
          <w:rtl/>
        </w:rPr>
        <w:t>ألف-</w:t>
      </w:r>
      <w:r w:rsidR="00664CDC" w:rsidRPr="00D20D41">
        <w:rPr>
          <w:rtl/>
        </w:rPr>
        <w:tab/>
        <w:t>موجز المعلومات والحجج المقدمة من الطرفين</w:t>
      </w:r>
    </w:p>
    <w:p w14:paraId="7C1C4734" w14:textId="77777777" w:rsidR="00664CDC" w:rsidRPr="00D20D41" w:rsidRDefault="00664CDC" w:rsidP="006670EA">
      <w:pPr>
        <w:pStyle w:val="H23GA"/>
      </w:pPr>
      <w:r w:rsidRPr="00D20D41">
        <w:rPr>
          <w:rtl/>
        </w:rPr>
        <w:tab/>
      </w:r>
      <w:r w:rsidRPr="00D20D41">
        <w:rPr>
          <w:rtl/>
        </w:rPr>
        <w:tab/>
        <w:t>الوقائع الأساسية</w:t>
      </w:r>
    </w:p>
    <w:p w14:paraId="63E48B87" w14:textId="77777777" w:rsidR="00664CDC" w:rsidRPr="00D20D41" w:rsidRDefault="00664CDC" w:rsidP="006670EA">
      <w:pPr>
        <w:pStyle w:val="H4GA"/>
      </w:pPr>
      <w:r w:rsidRPr="00D20D41">
        <w:rPr>
          <w:rtl/>
        </w:rPr>
        <w:tab/>
      </w:r>
      <w:r w:rsidRPr="00D20D41">
        <w:rPr>
          <w:rtl/>
        </w:rPr>
        <w:tab/>
        <w:t>قبل تسجيل البلاغ</w:t>
      </w:r>
    </w:p>
    <w:p w14:paraId="51C99AC6" w14:textId="643BD21E"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w:t>
      </w:r>
      <w:r w:rsidRPr="00664CDC">
        <w:rPr>
          <w:rtl/>
          <w:lang w:val="fr-CH"/>
        </w:rPr>
        <w:tab/>
        <w:t xml:space="preserve">في الفترة بين عامي </w:t>
      </w:r>
      <w:r w:rsidRPr="00D20D41">
        <w:rPr>
          <w:rtl/>
          <w:lang w:val="fr-CH"/>
        </w:rPr>
        <w:t>2003</w:t>
      </w:r>
      <w:r w:rsidR="006670EA">
        <w:rPr>
          <w:rtl/>
          <w:lang w:val="fr-CH"/>
        </w:rPr>
        <w:t xml:space="preserve"> و</w:t>
      </w:r>
      <w:r w:rsidRPr="00D20D41">
        <w:rPr>
          <w:rtl/>
          <w:lang w:val="fr-CH"/>
        </w:rPr>
        <w:t>2007</w:t>
      </w:r>
      <w:r w:rsidRPr="00664CDC">
        <w:rPr>
          <w:rtl/>
          <w:lang w:val="fr-CH"/>
        </w:rPr>
        <w:t xml:space="preserve">، كان السيد العزوان عزوز يعيش في سكن اجتماعي خصص له بموجب خطة إسكان الشباب التابعة لحكومة منطقة مدريد. ومع ذلك، في بداية عام </w:t>
      </w:r>
      <w:r w:rsidRPr="00D20D41">
        <w:rPr>
          <w:rtl/>
          <w:lang w:val="fr-CH"/>
        </w:rPr>
        <w:t>2007</w:t>
      </w:r>
      <w:r w:rsidRPr="00664CDC">
        <w:rPr>
          <w:rtl/>
          <w:lang w:val="fr-CH"/>
        </w:rPr>
        <w:t>، فقد وظيفته بسبب الأزمة الاقتصادية ولم يعد قادر</w:t>
      </w:r>
      <w:r w:rsidR="00D61FBF">
        <w:rPr>
          <w:rtl/>
          <w:lang w:val="fr-CH"/>
        </w:rPr>
        <w:t xml:space="preserve">اً </w:t>
      </w:r>
      <w:r w:rsidRPr="00664CDC">
        <w:rPr>
          <w:rtl/>
          <w:lang w:val="fr-CH"/>
        </w:rPr>
        <w:t xml:space="preserve">على دفع إيجاره. ولهذا السبب، طُرد من مسكنه في </w:t>
      </w:r>
      <w:r w:rsidRPr="00E00155">
        <w:rPr>
          <w:rtl/>
          <w:lang w:val="fr-CH"/>
        </w:rPr>
        <w:t>عام</w:t>
      </w:r>
      <w:r w:rsidRPr="00E00155">
        <w:rPr>
          <w:spacing w:val="-2"/>
          <w:rtl/>
          <w:lang w:val="fr-CH"/>
        </w:rPr>
        <w:t xml:space="preserve"> </w:t>
      </w:r>
      <w:r w:rsidRPr="00D20D41">
        <w:rPr>
          <w:spacing w:val="-2"/>
          <w:rtl/>
          <w:lang w:val="fr-CH"/>
        </w:rPr>
        <w:t>2008</w:t>
      </w:r>
      <w:r w:rsidRPr="00E00155">
        <w:rPr>
          <w:spacing w:val="-2"/>
          <w:rtl/>
          <w:lang w:val="fr-CH"/>
        </w:rPr>
        <w:t xml:space="preserve"> وأجبر على العودة إلى منزل والديه اللذين خصصت لهما هيئة الإسكان في مدريد سكن</w:t>
      </w:r>
      <w:r w:rsidR="00D61FBF">
        <w:rPr>
          <w:spacing w:val="-2"/>
          <w:rtl/>
          <w:lang w:val="fr-CH"/>
        </w:rPr>
        <w:t xml:space="preserve">اً </w:t>
      </w:r>
      <w:r w:rsidRPr="00E00155">
        <w:rPr>
          <w:spacing w:val="-2"/>
          <w:rtl/>
          <w:lang w:val="fr-CH"/>
        </w:rPr>
        <w:t>اجتماعي</w:t>
      </w:r>
      <w:r w:rsidR="00D61FBF">
        <w:rPr>
          <w:spacing w:val="-2"/>
          <w:rtl/>
          <w:lang w:val="fr-CH"/>
        </w:rPr>
        <w:t xml:space="preserve">اً </w:t>
      </w:r>
      <w:r w:rsidRPr="00E00155">
        <w:rPr>
          <w:spacing w:val="-2"/>
          <w:rtl/>
          <w:lang w:val="fr-CH"/>
        </w:rPr>
        <w:t xml:space="preserve">في عام </w:t>
      </w:r>
      <w:r w:rsidRPr="00D20D41">
        <w:rPr>
          <w:spacing w:val="-2"/>
          <w:rtl/>
          <w:lang w:val="fr-CH"/>
        </w:rPr>
        <w:t>2007</w:t>
      </w:r>
      <w:r w:rsidRPr="00E00155">
        <w:rPr>
          <w:spacing w:val="-2"/>
          <w:rtl/>
          <w:lang w:val="fr-CH"/>
        </w:rPr>
        <w:t xml:space="preserve">. وفي عام </w:t>
      </w:r>
      <w:r w:rsidRPr="00D20D41">
        <w:rPr>
          <w:spacing w:val="-2"/>
          <w:rtl/>
          <w:lang w:val="fr-CH"/>
        </w:rPr>
        <w:t>2012</w:t>
      </w:r>
      <w:r w:rsidRPr="00E00155">
        <w:rPr>
          <w:spacing w:val="-2"/>
          <w:rtl/>
          <w:lang w:val="fr-CH"/>
        </w:rPr>
        <w:t>، التقى السيد العزوان عزوز بالسيدة الأيوبي. وعاش معها في منزل والديه</w:t>
      </w:r>
      <w:r w:rsidRPr="00664CDC">
        <w:rPr>
          <w:rtl/>
          <w:lang w:val="fr-CH"/>
        </w:rPr>
        <w:t xml:space="preserve"> </w:t>
      </w:r>
      <w:r w:rsidRPr="00E00155">
        <w:rPr>
          <w:spacing w:val="-2"/>
          <w:rtl/>
          <w:lang w:val="fr-CH"/>
        </w:rPr>
        <w:t xml:space="preserve">حتى عام </w:t>
      </w:r>
      <w:r w:rsidRPr="00D20D41">
        <w:rPr>
          <w:spacing w:val="-2"/>
          <w:rtl/>
          <w:lang w:val="fr-CH"/>
        </w:rPr>
        <w:t>2013</w:t>
      </w:r>
      <w:r w:rsidRPr="00E00155">
        <w:rPr>
          <w:spacing w:val="-2"/>
          <w:rtl/>
          <w:lang w:val="fr-CH"/>
        </w:rPr>
        <w:t>، أي إلى تاريخ طرد والديه من سكنهما لأن حكومة مدريد الإقليمية باعت العقار الذي كانا</w:t>
      </w:r>
      <w:r w:rsidRPr="00664CDC">
        <w:rPr>
          <w:rtl/>
          <w:lang w:val="fr-CH"/>
        </w:rPr>
        <w:t xml:space="preserve"> يعيشان فيه إلى صندوق استثماري.</w:t>
      </w:r>
    </w:p>
    <w:p w14:paraId="3E438AE0" w14:textId="340D128E"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2</w:t>
      </w:r>
      <w:r w:rsidRPr="00664CDC">
        <w:rPr>
          <w:rtl/>
          <w:lang w:val="fr-CH"/>
        </w:rPr>
        <w:tab/>
      </w:r>
      <w:r w:rsidRPr="00E00155">
        <w:rPr>
          <w:spacing w:val="-4"/>
          <w:rtl/>
          <w:lang w:val="fr-CH"/>
        </w:rPr>
        <w:t xml:space="preserve">وفي </w:t>
      </w:r>
      <w:r w:rsidRPr="00D20D41">
        <w:rPr>
          <w:spacing w:val="-4"/>
          <w:rtl/>
          <w:lang w:val="fr-CH"/>
        </w:rPr>
        <w:t>30</w:t>
      </w:r>
      <w:r w:rsidRPr="00E00155">
        <w:rPr>
          <w:spacing w:val="-4"/>
          <w:rtl/>
          <w:lang w:val="fr-CH"/>
        </w:rPr>
        <w:t xml:space="preserve"> تشرين الثاني/نوفمبر </w:t>
      </w:r>
      <w:r w:rsidRPr="00D20D41">
        <w:rPr>
          <w:spacing w:val="-4"/>
          <w:rtl/>
          <w:lang w:val="fr-CH"/>
        </w:rPr>
        <w:t>2013</w:t>
      </w:r>
      <w:r w:rsidRPr="00E00155">
        <w:rPr>
          <w:spacing w:val="-4"/>
          <w:rtl/>
          <w:lang w:val="fr-CH"/>
        </w:rPr>
        <w:t>، ولد هارون العزوان الأيوبي، ابن صاحبي البلاغ. وهو يعاني</w:t>
      </w:r>
      <w:r w:rsidRPr="00664CDC">
        <w:rPr>
          <w:rtl/>
          <w:lang w:val="fr-CH"/>
        </w:rPr>
        <w:t xml:space="preserve"> من مشاكل صحية خطيرة منذ ولادته، بسبب تأخر </w:t>
      </w:r>
      <w:proofErr w:type="gramStart"/>
      <w:r w:rsidRPr="00664CDC">
        <w:rPr>
          <w:rtl/>
          <w:lang w:val="fr-CH"/>
        </w:rPr>
        <w:t>نموه</w:t>
      </w:r>
      <w:r w:rsidRPr="00664CDC">
        <w:rPr>
          <w:vertAlign w:val="superscript"/>
          <w:rtl/>
          <w:lang w:val="fr-CH"/>
        </w:rPr>
        <w:t>(</w:t>
      </w:r>
      <w:proofErr w:type="gramEnd"/>
      <w:r w:rsidRPr="00D20D41">
        <w:rPr>
          <w:rStyle w:val="FootnoteReference"/>
          <w:szCs w:val="22"/>
          <w:lang w:val="en-US"/>
        </w:rPr>
        <w:footnoteReference w:id="2"/>
      </w:r>
      <w:r w:rsidRPr="00664CDC">
        <w:rPr>
          <w:vertAlign w:val="superscript"/>
          <w:rtl/>
          <w:lang w:val="fr-CH"/>
        </w:rPr>
        <w:t>)</w:t>
      </w:r>
      <w:r>
        <w:rPr>
          <w:rtl/>
          <w:lang w:val="fr-CH"/>
        </w:rPr>
        <w:t>.</w:t>
      </w:r>
      <w:r w:rsidRPr="00664CDC">
        <w:rPr>
          <w:rtl/>
          <w:lang w:val="fr-CH"/>
        </w:rPr>
        <w:t xml:space="preserve"> </w:t>
      </w:r>
    </w:p>
    <w:p w14:paraId="40339143" w14:textId="37BF8B11"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3</w:t>
      </w:r>
      <w:r w:rsidRPr="00664CDC">
        <w:rPr>
          <w:rtl/>
          <w:lang w:val="fr-CH"/>
        </w:rPr>
        <w:tab/>
        <w:t>ولم يكن لدى صاحبي البلاغ خيار استئجار مسكن لأن دخلهما لم يكن كافي</w:t>
      </w:r>
      <w:r w:rsidR="00FD03FB">
        <w:rPr>
          <w:rtl/>
          <w:lang w:val="fr-CH"/>
        </w:rPr>
        <w:t>اً،</w:t>
      </w:r>
      <w:r w:rsidRPr="00664CDC">
        <w:rPr>
          <w:rtl/>
          <w:lang w:val="fr-CH"/>
        </w:rPr>
        <w:t xml:space="preserve"> نظر</w:t>
      </w:r>
      <w:r w:rsidR="00D61FBF">
        <w:rPr>
          <w:rtl/>
          <w:lang w:val="fr-CH"/>
        </w:rPr>
        <w:t xml:space="preserve">اً </w:t>
      </w:r>
      <w:r w:rsidRPr="00664CDC">
        <w:rPr>
          <w:rtl/>
          <w:lang w:val="fr-CH"/>
        </w:rPr>
        <w:t>لأن السيد العزوان عزوز كان عاطل</w:t>
      </w:r>
      <w:r w:rsidR="00D61FBF">
        <w:rPr>
          <w:rtl/>
          <w:lang w:val="fr-CH"/>
        </w:rPr>
        <w:t xml:space="preserve">اً </w:t>
      </w:r>
      <w:r w:rsidRPr="00664CDC">
        <w:rPr>
          <w:rtl/>
          <w:lang w:val="fr-CH"/>
        </w:rPr>
        <w:t xml:space="preserve">عن العمل فيما لم تتمكن السيدة الأيوبي من العمل لأن المشاكل الصحية التي </w:t>
      </w:r>
      <w:r w:rsidRPr="00E00155">
        <w:rPr>
          <w:spacing w:val="-4"/>
          <w:rtl/>
          <w:lang w:val="fr-CH"/>
        </w:rPr>
        <w:t xml:space="preserve">تعرض لها ابنها اضطرتها إلى تكريس نفسها بالكامل لرعايته. ولذلك، قررا في كانون الأول/ديسمبر </w:t>
      </w:r>
      <w:r w:rsidRPr="00D20D41">
        <w:rPr>
          <w:spacing w:val="-4"/>
          <w:rtl/>
          <w:lang w:val="fr-CH"/>
        </w:rPr>
        <w:t>2016</w:t>
      </w:r>
      <w:r w:rsidRPr="00664CDC">
        <w:rPr>
          <w:rtl/>
          <w:lang w:val="fr-CH"/>
        </w:rPr>
        <w:t xml:space="preserve"> الانتقال إلى شقة متداعية في إل </w:t>
      </w:r>
      <w:proofErr w:type="spellStart"/>
      <w:r w:rsidRPr="00664CDC">
        <w:rPr>
          <w:rtl/>
          <w:lang w:val="fr-CH"/>
        </w:rPr>
        <w:t>ألامو</w:t>
      </w:r>
      <w:proofErr w:type="spellEnd"/>
      <w:r w:rsidRPr="00664CDC">
        <w:rPr>
          <w:rtl/>
          <w:lang w:val="fr-CH"/>
        </w:rPr>
        <w:t xml:space="preserve">، وهي بلدية تقع على مشارف مدريد. ويفيد صاحبا البلاغ بأن هذه </w:t>
      </w:r>
      <w:r w:rsidRPr="00E00155">
        <w:rPr>
          <w:spacing w:val="-4"/>
          <w:rtl/>
          <w:lang w:val="fr-CH"/>
        </w:rPr>
        <w:t>الشقة، التي يملكها مصرف، كانت فارغة لأكثر من سبع سنوات. وبمساعدة الأصدقاء والعائلة، أصلح صاحبا</w:t>
      </w:r>
      <w:r w:rsidRPr="00664CDC">
        <w:rPr>
          <w:rtl/>
          <w:lang w:val="fr-CH"/>
        </w:rPr>
        <w:t xml:space="preserve"> البلاغ الشقة لجعلها صالحة للسكن. </w:t>
      </w:r>
    </w:p>
    <w:p w14:paraId="155881AC" w14:textId="77777777"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4</w:t>
      </w:r>
      <w:r w:rsidRPr="00664CDC">
        <w:rPr>
          <w:rtl/>
          <w:lang w:val="fr-CH"/>
        </w:rPr>
        <w:tab/>
      </w:r>
      <w:r w:rsidRPr="00E00155">
        <w:rPr>
          <w:spacing w:val="-4"/>
          <w:rtl/>
          <w:lang w:val="fr-CH"/>
        </w:rPr>
        <w:t xml:space="preserve">وفي </w:t>
      </w:r>
      <w:r w:rsidRPr="00D20D41">
        <w:rPr>
          <w:spacing w:val="-4"/>
          <w:rtl/>
          <w:lang w:val="fr-CH"/>
        </w:rPr>
        <w:t>14</w:t>
      </w:r>
      <w:r w:rsidRPr="00E00155">
        <w:rPr>
          <w:spacing w:val="-4"/>
          <w:rtl/>
          <w:lang w:val="fr-CH"/>
        </w:rPr>
        <w:t xml:space="preserve"> شباط/فبراير </w:t>
      </w:r>
      <w:r w:rsidRPr="00D20D41">
        <w:rPr>
          <w:spacing w:val="-4"/>
          <w:rtl/>
          <w:lang w:val="fr-CH"/>
        </w:rPr>
        <w:t>2017</w:t>
      </w:r>
      <w:r w:rsidRPr="00E00155">
        <w:rPr>
          <w:spacing w:val="-4"/>
          <w:rtl/>
          <w:lang w:val="fr-CH"/>
        </w:rPr>
        <w:t>، تقدم صاحبا البلاغ بطلب إلى إدارة الإسكان التابعة لحكومة مدريد الإقليمية للحصول على أحد المساكن المخصصة لذوي الاحتياجات الخاصة. غير أنهما يدعيان أنهما لم يتلقيا</w:t>
      </w:r>
      <w:r w:rsidRPr="00664CDC">
        <w:rPr>
          <w:rtl/>
          <w:lang w:val="fr-CH"/>
        </w:rPr>
        <w:t xml:space="preserve"> أي رد على ذلك الطلب. </w:t>
      </w:r>
    </w:p>
    <w:p w14:paraId="7F735E26" w14:textId="2192CA24" w:rsidR="00664CDC" w:rsidRPr="00664CDC" w:rsidRDefault="00664CDC" w:rsidP="00664CDC">
      <w:pPr>
        <w:pStyle w:val="SingleTxtGA"/>
        <w:rPr>
          <w:lang w:val="fr-CH"/>
        </w:rPr>
      </w:pPr>
      <w:r w:rsidRPr="00D20D41">
        <w:rPr>
          <w:rtl/>
          <w:lang w:val="fr-CH"/>
        </w:rPr>
        <w:lastRenderedPageBreak/>
        <w:t>2</w:t>
      </w:r>
      <w:r w:rsidRPr="00664CDC">
        <w:rPr>
          <w:rtl/>
          <w:lang w:val="fr-CH"/>
        </w:rPr>
        <w:t>-</w:t>
      </w:r>
      <w:r w:rsidRPr="00D20D41">
        <w:rPr>
          <w:rtl/>
          <w:lang w:val="fr-CH"/>
        </w:rPr>
        <w:t>5</w:t>
      </w:r>
      <w:r w:rsidRPr="00664CDC">
        <w:rPr>
          <w:rtl/>
          <w:lang w:val="fr-CH"/>
        </w:rPr>
        <w:tab/>
      </w:r>
      <w:r w:rsidRPr="00E00155">
        <w:rPr>
          <w:spacing w:val="-4"/>
          <w:rtl/>
          <w:lang w:val="fr-CH"/>
        </w:rPr>
        <w:t xml:space="preserve">ويشير صاحبا البلاغ إلى أنهما طلبا، في </w:t>
      </w:r>
      <w:r w:rsidRPr="00D20D41">
        <w:rPr>
          <w:spacing w:val="-4"/>
          <w:rtl/>
          <w:lang w:val="fr-CH"/>
        </w:rPr>
        <w:t>24</w:t>
      </w:r>
      <w:r w:rsidRPr="00E00155">
        <w:rPr>
          <w:spacing w:val="-4"/>
          <w:rtl/>
          <w:lang w:val="fr-CH"/>
        </w:rPr>
        <w:t xml:space="preserve"> أيار/مايو </w:t>
      </w:r>
      <w:r w:rsidRPr="00D20D41">
        <w:rPr>
          <w:spacing w:val="-4"/>
          <w:rtl/>
          <w:lang w:val="fr-CH"/>
        </w:rPr>
        <w:t>2016</w:t>
      </w:r>
      <w:r w:rsidRPr="00E00155">
        <w:rPr>
          <w:spacing w:val="-4"/>
          <w:rtl/>
          <w:lang w:val="fr-CH"/>
        </w:rPr>
        <w:t xml:space="preserve">، ومرة أخرى في </w:t>
      </w:r>
      <w:r w:rsidRPr="00D20D41">
        <w:rPr>
          <w:spacing w:val="-4"/>
          <w:rtl/>
          <w:lang w:val="fr-CH"/>
        </w:rPr>
        <w:t>12</w:t>
      </w:r>
      <w:r w:rsidRPr="00E00155">
        <w:rPr>
          <w:spacing w:val="-4"/>
          <w:rtl/>
          <w:lang w:val="fr-CH"/>
        </w:rPr>
        <w:t xml:space="preserve"> كانون الثاني/</w:t>
      </w:r>
      <w:r w:rsidR="00E00155">
        <w:rPr>
          <w:rFonts w:hint="cs"/>
          <w:rtl/>
          <w:lang w:val="fr-CH"/>
        </w:rPr>
        <w:t xml:space="preserve"> </w:t>
      </w:r>
      <w:r w:rsidRPr="00664CDC">
        <w:rPr>
          <w:rtl/>
          <w:lang w:val="fr-CH"/>
        </w:rPr>
        <w:t xml:space="preserve">يناير </w:t>
      </w:r>
      <w:r w:rsidRPr="00D20D41">
        <w:rPr>
          <w:rtl/>
          <w:lang w:val="fr-CH"/>
        </w:rPr>
        <w:t>2017</w:t>
      </w:r>
      <w:r w:rsidRPr="00664CDC">
        <w:rPr>
          <w:rtl/>
          <w:lang w:val="fr-CH"/>
        </w:rPr>
        <w:t xml:space="preserve">، إعانة تعادل الحد الأدنى للدخل بسبب سوء وضعهما المالي </w:t>
      </w:r>
      <w:proofErr w:type="gramStart"/>
      <w:r w:rsidRPr="00664CDC">
        <w:rPr>
          <w:rtl/>
          <w:lang w:val="fr-CH"/>
        </w:rPr>
        <w:t>وبطالتهما</w:t>
      </w:r>
      <w:r w:rsidRPr="00664CDC">
        <w:rPr>
          <w:vertAlign w:val="superscript"/>
          <w:rtl/>
          <w:lang w:val="fr-CH"/>
        </w:rPr>
        <w:t>(</w:t>
      </w:r>
      <w:proofErr w:type="gramEnd"/>
      <w:r w:rsidRPr="00D20D41">
        <w:rPr>
          <w:rStyle w:val="FootnoteReference"/>
          <w:szCs w:val="22"/>
          <w:lang w:val="en-US"/>
        </w:rPr>
        <w:footnoteReference w:id="3"/>
      </w:r>
      <w:r w:rsidRPr="00664CDC">
        <w:rPr>
          <w:vertAlign w:val="superscript"/>
          <w:rtl/>
          <w:lang w:val="fr-CH"/>
        </w:rPr>
        <w:t>)</w:t>
      </w:r>
      <w:r>
        <w:rPr>
          <w:rtl/>
          <w:lang w:val="fr-CH"/>
        </w:rPr>
        <w:t>.</w:t>
      </w:r>
      <w:r w:rsidRPr="00664CDC">
        <w:rPr>
          <w:rtl/>
          <w:lang w:val="fr-CH"/>
        </w:rPr>
        <w:t xml:space="preserve"> وفي تاريخ غير محدد، اعتُرف بالسيدة الأيوبي كراعية رئيسية لابنها وحصلت على مساعدة مالية قدرها </w:t>
      </w:r>
      <w:r w:rsidRPr="00D20D41">
        <w:rPr>
          <w:rtl/>
          <w:lang w:val="fr-CH"/>
        </w:rPr>
        <w:t>268</w:t>
      </w:r>
      <w:r w:rsidR="00E00155">
        <w:rPr>
          <w:rFonts w:hint="cs"/>
          <w:sz w:val="24"/>
          <w:szCs w:val="24"/>
          <w:rtl/>
        </w:rPr>
        <w:t>,</w:t>
      </w:r>
      <w:r w:rsidRPr="00D20D41">
        <w:rPr>
          <w:rtl/>
          <w:lang w:val="fr-CH"/>
        </w:rPr>
        <w:t>79</w:t>
      </w:r>
      <w:r w:rsidRPr="00664CDC">
        <w:rPr>
          <w:rtl/>
          <w:lang w:val="fr-CH"/>
        </w:rPr>
        <w:t xml:space="preserve"> يورو </w:t>
      </w:r>
      <w:proofErr w:type="gramStart"/>
      <w:r w:rsidRPr="00664CDC">
        <w:rPr>
          <w:rtl/>
          <w:lang w:val="fr-CH"/>
        </w:rPr>
        <w:t>شهريا</w:t>
      </w:r>
      <w:r w:rsidR="00D61FBF">
        <w:rPr>
          <w:rFonts w:hint="cs"/>
          <w:rtl/>
          <w:lang w:val="fr-CH"/>
        </w:rPr>
        <w:t>ً</w:t>
      </w:r>
      <w:r w:rsidRPr="00664CDC">
        <w:rPr>
          <w:vertAlign w:val="superscript"/>
          <w:rtl/>
          <w:lang w:val="fr-CH"/>
        </w:rPr>
        <w:t>(</w:t>
      </w:r>
      <w:proofErr w:type="gramEnd"/>
      <w:r w:rsidRPr="00D20D41">
        <w:rPr>
          <w:rStyle w:val="FootnoteReference"/>
          <w:szCs w:val="22"/>
          <w:lang w:val="en-US"/>
        </w:rPr>
        <w:footnoteReference w:id="4"/>
      </w:r>
      <w:r w:rsidRPr="00664CDC">
        <w:rPr>
          <w:vertAlign w:val="superscript"/>
          <w:rtl/>
          <w:lang w:val="fr-CH"/>
        </w:rPr>
        <w:t>)</w:t>
      </w:r>
      <w:r>
        <w:rPr>
          <w:rtl/>
          <w:lang w:val="fr-CH"/>
        </w:rPr>
        <w:t>.</w:t>
      </w:r>
      <w:r w:rsidRPr="00664CDC">
        <w:rPr>
          <w:rtl/>
          <w:lang w:val="fr-CH"/>
        </w:rPr>
        <w:t xml:space="preserve"> وبعد فترة طويلة من البطالة، حصل السيد العزوان عزوز في </w:t>
      </w:r>
      <w:r w:rsidRPr="00D20D41">
        <w:rPr>
          <w:rtl/>
          <w:lang w:val="fr-CH"/>
        </w:rPr>
        <w:t>7</w:t>
      </w:r>
      <w:r w:rsidRPr="00664CDC">
        <w:rPr>
          <w:rtl/>
          <w:lang w:val="fr-CH"/>
        </w:rPr>
        <w:t xml:space="preserve"> آذار/مارس </w:t>
      </w:r>
      <w:r w:rsidRPr="00D20D41">
        <w:rPr>
          <w:rtl/>
          <w:lang w:val="fr-CH"/>
        </w:rPr>
        <w:t>2018</w:t>
      </w:r>
      <w:r w:rsidRPr="00664CDC">
        <w:rPr>
          <w:rtl/>
          <w:lang w:val="fr-CH"/>
        </w:rPr>
        <w:t xml:space="preserve"> على عمل في مجال البناء، بأجر شهري قدره </w:t>
      </w:r>
      <w:r w:rsidRPr="00D20D41">
        <w:rPr>
          <w:rtl/>
          <w:lang w:val="fr-CH"/>
        </w:rPr>
        <w:t>940</w:t>
      </w:r>
      <w:r w:rsidRPr="00664CDC">
        <w:rPr>
          <w:rtl/>
          <w:lang w:val="fr-CH"/>
        </w:rPr>
        <w:t xml:space="preserve"> يورو. ويوضح صاحبا البلاغ أن تلك الوظيفة مؤقتة ولن توفر سوى القليل من الاستقرار لأنها ستنتهي بانتهاء أعمال البناء. بالإضافة إلى ذلك، تقدم صاحبا البلاغ، في</w:t>
      </w:r>
      <w:r w:rsidR="00E00155">
        <w:rPr>
          <w:rFonts w:hint="cs"/>
          <w:rtl/>
          <w:lang w:val="fr-CH"/>
        </w:rPr>
        <w:t> </w:t>
      </w:r>
      <w:r w:rsidRPr="00D20D41">
        <w:rPr>
          <w:rtl/>
          <w:lang w:val="fr-CH"/>
        </w:rPr>
        <w:t>28</w:t>
      </w:r>
      <w:r w:rsidRPr="00664CDC">
        <w:rPr>
          <w:rtl/>
          <w:lang w:val="fr-CH"/>
        </w:rPr>
        <w:t xml:space="preserve"> أيلول/سبتمبر </w:t>
      </w:r>
      <w:r w:rsidRPr="00D20D41">
        <w:rPr>
          <w:rtl/>
          <w:lang w:val="fr-CH"/>
        </w:rPr>
        <w:t>2017</w:t>
      </w:r>
      <w:r w:rsidRPr="00664CDC">
        <w:rPr>
          <w:rtl/>
          <w:lang w:val="fr-CH"/>
        </w:rPr>
        <w:t>، نظر</w:t>
      </w:r>
      <w:r w:rsidR="00D61FBF">
        <w:rPr>
          <w:rtl/>
          <w:lang w:val="fr-CH"/>
        </w:rPr>
        <w:t xml:space="preserve">اً </w:t>
      </w:r>
      <w:r w:rsidRPr="00664CDC">
        <w:rPr>
          <w:rtl/>
          <w:lang w:val="fr-CH"/>
        </w:rPr>
        <w:t xml:space="preserve">لمشاكل ابنهما الصحية، بطلب للاعتراف بحالة العجز الشديد التي يعاني منها، وهو ما أقرت به السلطات المختصة على النحو الواجب. ونتيجة لذلك، حصل هارون العزوان الأيوبي، في </w:t>
      </w:r>
      <w:r w:rsidRPr="00D20D41">
        <w:rPr>
          <w:rtl/>
          <w:lang w:val="fr-CH"/>
        </w:rPr>
        <w:t>1</w:t>
      </w:r>
      <w:r w:rsidRPr="00664CDC">
        <w:rPr>
          <w:rtl/>
          <w:lang w:val="fr-CH"/>
        </w:rPr>
        <w:t xml:space="preserve"> تموز/يوليه </w:t>
      </w:r>
      <w:r w:rsidRPr="00D20D41">
        <w:rPr>
          <w:rtl/>
          <w:lang w:val="fr-CH"/>
        </w:rPr>
        <w:t>2018</w:t>
      </w:r>
      <w:r w:rsidRPr="00664CDC">
        <w:rPr>
          <w:rtl/>
          <w:lang w:val="fr-CH"/>
        </w:rPr>
        <w:t xml:space="preserve">، على مكان في مركز للرعاية المبكرة وإعادة التأهيل. </w:t>
      </w:r>
    </w:p>
    <w:p w14:paraId="07EFE0A1" w14:textId="72C5AE61"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6</w:t>
      </w:r>
      <w:r w:rsidRPr="00664CDC">
        <w:rPr>
          <w:rtl/>
          <w:lang w:val="fr-CH"/>
        </w:rPr>
        <w:tab/>
        <w:t xml:space="preserve">وفي </w:t>
      </w:r>
      <w:r w:rsidRPr="00D20D41">
        <w:rPr>
          <w:rtl/>
          <w:lang w:val="fr-CH"/>
        </w:rPr>
        <w:t>21</w:t>
      </w:r>
      <w:r w:rsidRPr="00664CDC">
        <w:rPr>
          <w:rtl/>
          <w:lang w:val="fr-CH"/>
        </w:rPr>
        <w:t xml:space="preserve"> حزيران/يونيه </w:t>
      </w:r>
      <w:r w:rsidRPr="00D20D41">
        <w:rPr>
          <w:rtl/>
          <w:lang w:val="fr-CH"/>
        </w:rPr>
        <w:t>2016</w:t>
      </w:r>
      <w:r w:rsidRPr="00664CDC">
        <w:rPr>
          <w:rtl/>
          <w:lang w:val="fr-CH"/>
        </w:rPr>
        <w:t xml:space="preserve">، بدأ المصرف الذي يملك العقار إجراءات قضائية مدنية يلتمس </w:t>
      </w:r>
      <w:r w:rsidRPr="00E00155">
        <w:rPr>
          <w:spacing w:val="-4"/>
          <w:rtl/>
          <w:lang w:val="fr-CH"/>
        </w:rPr>
        <w:t xml:space="preserve">فيها إصدار أمر بإخلاء الشقة على أساس الإشغال غير </w:t>
      </w:r>
      <w:proofErr w:type="gramStart"/>
      <w:r w:rsidRPr="00E00155">
        <w:rPr>
          <w:spacing w:val="-4"/>
          <w:rtl/>
          <w:lang w:val="fr-CH"/>
        </w:rPr>
        <w:t>القانوني</w:t>
      </w:r>
      <w:r w:rsidRPr="00E00155">
        <w:rPr>
          <w:spacing w:val="-4"/>
          <w:vertAlign w:val="superscript"/>
          <w:rtl/>
          <w:lang w:val="fr-CH"/>
        </w:rPr>
        <w:t>(</w:t>
      </w:r>
      <w:proofErr w:type="gramEnd"/>
      <w:r w:rsidRPr="00D20D41">
        <w:rPr>
          <w:rStyle w:val="FootnoteReference"/>
          <w:spacing w:val="-4"/>
          <w:szCs w:val="22"/>
          <w:lang w:val="en-US"/>
        </w:rPr>
        <w:footnoteReference w:id="5"/>
      </w:r>
      <w:r w:rsidRPr="00E00155">
        <w:rPr>
          <w:spacing w:val="-4"/>
          <w:vertAlign w:val="superscript"/>
          <w:rtl/>
          <w:lang w:val="fr-CH"/>
        </w:rPr>
        <w:t>)</w:t>
      </w:r>
      <w:r w:rsidRPr="00E00155">
        <w:rPr>
          <w:spacing w:val="-4"/>
          <w:rtl/>
          <w:lang w:val="fr-CH"/>
        </w:rPr>
        <w:t xml:space="preserve"> بهدف استعادة حيازة الشقة التي يعيش</w:t>
      </w:r>
      <w:r w:rsidRPr="00664CDC">
        <w:rPr>
          <w:rtl/>
          <w:lang w:val="fr-CH"/>
        </w:rPr>
        <w:t xml:space="preserve"> فيها صاحبا البلاغ. وفي </w:t>
      </w:r>
      <w:r w:rsidRPr="00D20D41">
        <w:rPr>
          <w:rtl/>
          <w:lang w:val="fr-CH"/>
        </w:rPr>
        <w:t>1</w:t>
      </w:r>
      <w:r w:rsidRPr="00664CDC">
        <w:rPr>
          <w:rtl/>
          <w:lang w:val="fr-CH"/>
        </w:rPr>
        <w:t xml:space="preserve"> آذار/مارس </w:t>
      </w:r>
      <w:r w:rsidRPr="00D20D41">
        <w:rPr>
          <w:rtl/>
          <w:lang w:val="fr-CH"/>
        </w:rPr>
        <w:t>2017</w:t>
      </w:r>
      <w:r w:rsidRPr="00664CDC">
        <w:rPr>
          <w:rtl/>
          <w:lang w:val="fr-CH"/>
        </w:rPr>
        <w:t xml:space="preserve">، أصدرت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حكم</w:t>
      </w:r>
      <w:r w:rsidR="00D61FBF">
        <w:rPr>
          <w:rtl/>
          <w:lang w:val="fr-CH"/>
        </w:rPr>
        <w:t xml:space="preserve">اً </w:t>
      </w:r>
      <w:r w:rsidRPr="00664CDC">
        <w:rPr>
          <w:rtl/>
          <w:lang w:val="fr-CH"/>
        </w:rPr>
        <w:t>يأمر السيدة الأيوبي وسكان</w:t>
      </w:r>
      <w:r w:rsidR="00D61FBF">
        <w:rPr>
          <w:rtl/>
          <w:lang w:val="fr-CH"/>
        </w:rPr>
        <w:t xml:space="preserve">اً </w:t>
      </w:r>
      <w:r w:rsidRPr="00664CDC">
        <w:rPr>
          <w:rtl/>
          <w:lang w:val="fr-CH"/>
        </w:rPr>
        <w:t>آخرين مجهولين في العنوان نفسه بإخلاء المبنى. وقضت المحكمة بأن السيدة الأيوبي تشغل الشقة بصورة غير قانونية لأنها لا تملك عقد إشغال. وقضت أيض</w:t>
      </w:r>
      <w:r w:rsidR="00D61FBF">
        <w:rPr>
          <w:rtl/>
          <w:lang w:val="fr-CH"/>
        </w:rPr>
        <w:t xml:space="preserve">اً </w:t>
      </w:r>
      <w:r w:rsidRPr="00664CDC">
        <w:rPr>
          <w:rtl/>
          <w:lang w:val="fr-CH"/>
        </w:rPr>
        <w:t>بأن تفسيرات السيدة الأيوبي لحالة العوز، التي عزتها إلى وضعهما المالي الهش وصحة ابنهما، لا تشكل سبب</w:t>
      </w:r>
      <w:r w:rsidR="00D61FBF">
        <w:rPr>
          <w:rtl/>
          <w:lang w:val="fr-CH"/>
        </w:rPr>
        <w:t xml:space="preserve">اً </w:t>
      </w:r>
      <w:r w:rsidRPr="00664CDC">
        <w:rPr>
          <w:rtl/>
          <w:lang w:val="fr-CH"/>
        </w:rPr>
        <w:t>وجيه</w:t>
      </w:r>
      <w:r w:rsidR="00D61FBF">
        <w:rPr>
          <w:rtl/>
          <w:lang w:val="fr-CH"/>
        </w:rPr>
        <w:t xml:space="preserve">اً </w:t>
      </w:r>
      <w:r w:rsidRPr="00E00155">
        <w:rPr>
          <w:spacing w:val="-4"/>
          <w:rtl/>
          <w:lang w:val="fr-CH"/>
        </w:rPr>
        <w:t xml:space="preserve">لإشغال العقار بصورة غير قانونية. وفي </w:t>
      </w:r>
      <w:r w:rsidRPr="00D20D41">
        <w:rPr>
          <w:spacing w:val="-4"/>
          <w:rtl/>
          <w:lang w:val="fr-CH"/>
        </w:rPr>
        <w:t>15</w:t>
      </w:r>
      <w:r w:rsidRPr="00E00155">
        <w:rPr>
          <w:spacing w:val="-4"/>
          <w:rtl/>
          <w:lang w:val="fr-CH"/>
        </w:rPr>
        <w:t xml:space="preserve"> آذار/مارس </w:t>
      </w:r>
      <w:r w:rsidRPr="00D20D41">
        <w:rPr>
          <w:spacing w:val="-4"/>
          <w:rtl/>
          <w:lang w:val="fr-CH"/>
        </w:rPr>
        <w:t>2017</w:t>
      </w:r>
      <w:r w:rsidRPr="00E00155">
        <w:rPr>
          <w:spacing w:val="-4"/>
          <w:rtl/>
          <w:lang w:val="fr-CH"/>
        </w:rPr>
        <w:t>، استأنف صاحبا البلاغ الحكم أمام المحكمة</w:t>
      </w:r>
      <w:r w:rsidRPr="00664CDC">
        <w:rPr>
          <w:rtl/>
          <w:lang w:val="fr-CH"/>
        </w:rPr>
        <w:t xml:space="preserve"> </w:t>
      </w:r>
      <w:r w:rsidRPr="00E00155">
        <w:rPr>
          <w:spacing w:val="-4"/>
          <w:rtl/>
          <w:lang w:val="fr-CH"/>
        </w:rPr>
        <w:t xml:space="preserve">المدنية لمقاطعة مدريد، التي أيدت حكم المحكمة الابتدائية برمته في </w:t>
      </w:r>
      <w:r w:rsidRPr="00D20D41">
        <w:rPr>
          <w:spacing w:val="-4"/>
          <w:rtl/>
          <w:lang w:val="fr-CH"/>
        </w:rPr>
        <w:t>4</w:t>
      </w:r>
      <w:r w:rsidRPr="00E00155">
        <w:rPr>
          <w:spacing w:val="-4"/>
          <w:rtl/>
          <w:lang w:val="fr-CH"/>
        </w:rPr>
        <w:t xml:space="preserve"> تشرين الأول/أكتوبر </w:t>
      </w:r>
      <w:r w:rsidRPr="00D20D41">
        <w:rPr>
          <w:spacing w:val="-4"/>
          <w:rtl/>
          <w:lang w:val="fr-CH"/>
        </w:rPr>
        <w:t>2017</w:t>
      </w:r>
      <w:r w:rsidRPr="00E00155">
        <w:rPr>
          <w:spacing w:val="-4"/>
          <w:rtl/>
          <w:lang w:val="fr-CH"/>
        </w:rPr>
        <w:t>، مؤكديْن</w:t>
      </w:r>
      <w:r w:rsidRPr="00664CDC">
        <w:rPr>
          <w:rtl/>
          <w:lang w:val="fr-CH"/>
        </w:rPr>
        <w:t xml:space="preserve"> من جديد الحجج التي ذكرتها المحكمة الابتدائية. </w:t>
      </w:r>
    </w:p>
    <w:p w14:paraId="188927AE" w14:textId="1DFA6E8C"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7</w:t>
      </w:r>
      <w:r w:rsidRPr="00664CDC">
        <w:rPr>
          <w:rtl/>
          <w:lang w:val="fr-CH"/>
        </w:rPr>
        <w:tab/>
        <w:t xml:space="preserve">وفي </w:t>
      </w:r>
      <w:r w:rsidRPr="00D20D41">
        <w:rPr>
          <w:rtl/>
          <w:lang w:val="fr-CH"/>
        </w:rPr>
        <w:t>7</w:t>
      </w:r>
      <w:r w:rsidRPr="00664CDC">
        <w:rPr>
          <w:rtl/>
          <w:lang w:val="fr-CH"/>
        </w:rPr>
        <w:t xml:space="preserve"> حزيران/</w:t>
      </w:r>
      <w:proofErr w:type="gramStart"/>
      <w:r w:rsidRPr="00664CDC">
        <w:rPr>
          <w:rtl/>
          <w:lang w:val="fr-CH"/>
        </w:rPr>
        <w:t>يونيه</w:t>
      </w:r>
      <w:proofErr w:type="gramEnd"/>
      <w:r w:rsidRPr="00664CDC">
        <w:rPr>
          <w:rtl/>
          <w:lang w:val="fr-CH"/>
        </w:rPr>
        <w:t xml:space="preserve"> </w:t>
      </w:r>
      <w:r w:rsidRPr="00D20D41">
        <w:rPr>
          <w:rtl/>
          <w:lang w:val="fr-CH"/>
        </w:rPr>
        <w:t>2017</w:t>
      </w:r>
      <w:r w:rsidRPr="00664CDC">
        <w:rPr>
          <w:rtl/>
          <w:lang w:val="fr-CH"/>
        </w:rPr>
        <w:t>، تقدم البنك بطلب لإنفاذ الحكم مؤقت</w:t>
      </w:r>
      <w:r w:rsidR="00FD03FB">
        <w:rPr>
          <w:rtl/>
          <w:lang w:val="fr-CH"/>
        </w:rPr>
        <w:t>اً،</w:t>
      </w:r>
      <w:r w:rsidRPr="00664CDC">
        <w:rPr>
          <w:rtl/>
          <w:lang w:val="fr-CH"/>
        </w:rPr>
        <w:t xml:space="preserve"> وطلب الإخلاء الفوري لصاحبي البلاغ. ورفض صاحبا البلاغ تنفيذ الحكم، مشيريْن إلى تردي وضع الأسرة. وفي </w:t>
      </w:r>
      <w:r w:rsidRPr="00D20D41">
        <w:rPr>
          <w:rtl/>
          <w:lang w:val="fr-CH"/>
        </w:rPr>
        <w:t>14</w:t>
      </w:r>
      <w:r w:rsidRPr="00664CDC">
        <w:rPr>
          <w:rtl/>
          <w:lang w:val="fr-CH"/>
        </w:rPr>
        <w:t xml:space="preserve"> كانون الأول/ديسمبر </w:t>
      </w:r>
      <w:r w:rsidRPr="00D20D41">
        <w:rPr>
          <w:rtl/>
          <w:lang w:val="fr-CH"/>
        </w:rPr>
        <w:t>2017</w:t>
      </w:r>
      <w:r w:rsidRPr="00664CDC">
        <w:rPr>
          <w:rtl/>
          <w:lang w:val="fr-CH"/>
        </w:rPr>
        <w:t xml:space="preserve">، أيدت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طلب البنك وحددت تاريخ الإخلاء في </w:t>
      </w:r>
      <w:r w:rsidRPr="00D20D41">
        <w:rPr>
          <w:rtl/>
          <w:lang w:val="fr-CH"/>
        </w:rPr>
        <w:t>2</w:t>
      </w:r>
      <w:r w:rsidRPr="00664CDC">
        <w:rPr>
          <w:rtl/>
          <w:lang w:val="fr-CH"/>
        </w:rPr>
        <w:t xml:space="preserve"> آذار/مارس </w:t>
      </w:r>
      <w:r w:rsidRPr="00D20D41">
        <w:rPr>
          <w:rtl/>
          <w:lang w:val="fr-CH"/>
        </w:rPr>
        <w:t>2018</w:t>
      </w:r>
      <w:r w:rsidRPr="00664CDC">
        <w:rPr>
          <w:rtl/>
          <w:lang w:val="fr-CH"/>
        </w:rPr>
        <w:t>.</w:t>
      </w:r>
    </w:p>
    <w:p w14:paraId="60C3F19C" w14:textId="77777777" w:rsidR="00664CDC" w:rsidRPr="00EC0AB8" w:rsidRDefault="00664CDC" w:rsidP="00664CDC">
      <w:pPr>
        <w:pStyle w:val="SingleTxtGA"/>
        <w:rPr>
          <w:spacing w:val="4"/>
          <w:lang w:val="fr-CH"/>
        </w:rPr>
      </w:pPr>
      <w:r w:rsidRPr="00D20D41">
        <w:rPr>
          <w:spacing w:val="4"/>
          <w:rtl/>
          <w:lang w:val="fr-CH"/>
        </w:rPr>
        <w:t>2</w:t>
      </w:r>
      <w:r w:rsidRPr="00EC0AB8">
        <w:rPr>
          <w:spacing w:val="4"/>
          <w:rtl/>
          <w:lang w:val="fr-CH"/>
        </w:rPr>
        <w:t>-</w:t>
      </w:r>
      <w:r w:rsidRPr="00D20D41">
        <w:rPr>
          <w:spacing w:val="4"/>
          <w:rtl/>
          <w:lang w:val="fr-CH"/>
        </w:rPr>
        <w:t>8</w:t>
      </w:r>
      <w:r w:rsidRPr="00EC0AB8">
        <w:rPr>
          <w:spacing w:val="4"/>
          <w:rtl/>
          <w:lang w:val="fr-CH"/>
        </w:rPr>
        <w:tab/>
      </w:r>
      <w:r w:rsidRPr="00EC0AB8">
        <w:rPr>
          <w:rtl/>
          <w:lang w:val="fr-CH"/>
        </w:rPr>
        <w:t xml:space="preserve">وفي </w:t>
      </w:r>
      <w:r w:rsidRPr="00D20D41">
        <w:rPr>
          <w:rtl/>
          <w:lang w:val="fr-CH"/>
        </w:rPr>
        <w:t>2</w:t>
      </w:r>
      <w:r w:rsidRPr="00EC0AB8">
        <w:rPr>
          <w:rtl/>
          <w:lang w:val="fr-CH"/>
        </w:rPr>
        <w:t xml:space="preserve"> آذار/مارس </w:t>
      </w:r>
      <w:r w:rsidRPr="00D20D41">
        <w:rPr>
          <w:rtl/>
          <w:lang w:val="fr-CH"/>
        </w:rPr>
        <w:t>2018</w:t>
      </w:r>
      <w:r w:rsidRPr="00EC0AB8">
        <w:rPr>
          <w:rtl/>
          <w:lang w:val="fr-CH"/>
        </w:rPr>
        <w:t>، ذهبت السلطات المختصة إلى منزل صاحبي البلاغ لتنفيذ عملية</w:t>
      </w:r>
      <w:r w:rsidRPr="00EC0AB8">
        <w:rPr>
          <w:spacing w:val="4"/>
          <w:rtl/>
          <w:lang w:val="fr-CH"/>
        </w:rPr>
        <w:t xml:space="preserve"> الإخلاء. ويدعي صاحبا البلاغ أنهما لم يكونا على علم بوجوب تنفيذ الأمر. ولم تتم عملية الإخلاء المقررة في هذا التاريخ، ومُنح صاحبا البلاغ </w:t>
      </w:r>
      <w:r w:rsidRPr="00D20D41">
        <w:rPr>
          <w:spacing w:val="4"/>
          <w:rtl/>
          <w:lang w:val="fr-CH"/>
        </w:rPr>
        <w:t>10</w:t>
      </w:r>
      <w:r w:rsidRPr="00EC0AB8">
        <w:rPr>
          <w:spacing w:val="4"/>
          <w:rtl/>
          <w:lang w:val="fr-CH"/>
        </w:rPr>
        <w:t xml:space="preserve"> أيام كحد أقصى لإخلاء العقار، بسبب احتياجات ابنهما وقسوة الطقس. </w:t>
      </w:r>
    </w:p>
    <w:p w14:paraId="5818DEBD" w14:textId="41F3E158"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9</w:t>
      </w:r>
      <w:r w:rsidRPr="00664CDC">
        <w:rPr>
          <w:rtl/>
          <w:lang w:val="fr-CH"/>
        </w:rPr>
        <w:tab/>
        <w:t xml:space="preserve">وفي </w:t>
      </w:r>
      <w:r w:rsidRPr="00D20D41">
        <w:rPr>
          <w:rtl/>
          <w:lang w:val="fr-CH"/>
        </w:rPr>
        <w:t>6</w:t>
      </w:r>
      <w:r w:rsidRPr="00664CDC">
        <w:rPr>
          <w:rtl/>
          <w:lang w:val="fr-CH"/>
        </w:rPr>
        <w:t xml:space="preserve"> آذار/مارس </w:t>
      </w:r>
      <w:r w:rsidRPr="00D20D41">
        <w:rPr>
          <w:rtl/>
          <w:lang w:val="fr-CH"/>
        </w:rPr>
        <w:t>2018</w:t>
      </w:r>
      <w:r w:rsidRPr="00664CDC">
        <w:rPr>
          <w:rtl/>
          <w:lang w:val="fr-CH"/>
        </w:rPr>
        <w:t>، قدم صاحبا البلاغ طلب</w:t>
      </w:r>
      <w:r w:rsidR="00D61FBF">
        <w:rPr>
          <w:rtl/>
          <w:lang w:val="fr-CH"/>
        </w:rPr>
        <w:t xml:space="preserve">اً </w:t>
      </w:r>
      <w:r w:rsidRPr="00664CDC">
        <w:rPr>
          <w:rtl/>
          <w:lang w:val="fr-CH"/>
        </w:rPr>
        <w:t>خطي</w:t>
      </w:r>
      <w:r w:rsidR="00D61FBF">
        <w:rPr>
          <w:rtl/>
          <w:lang w:val="fr-CH"/>
        </w:rPr>
        <w:t xml:space="preserve">اً </w:t>
      </w:r>
      <w:r w:rsidRPr="00664CDC">
        <w:rPr>
          <w:rtl/>
          <w:lang w:val="fr-CH"/>
        </w:rPr>
        <w:t xml:space="preserve">بوقف الإخلاء إلى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وذكرا أن دخلهما لا يسمح لهما باستئجار سكن، وأن ابنهما يعاني من إعاقة بنسبة </w:t>
      </w:r>
      <w:r w:rsidRPr="00D20D41">
        <w:rPr>
          <w:rtl/>
          <w:lang w:val="fr-CH"/>
        </w:rPr>
        <w:t>33</w:t>
      </w:r>
      <w:r w:rsidRPr="00664CDC">
        <w:rPr>
          <w:rtl/>
          <w:lang w:val="fr-CH"/>
        </w:rPr>
        <w:t xml:space="preserve"> في المائة ومن أمراض مختلفة، وأنهما قررا، لهذه الأسباب، وبسبب عدم وجود مكان يعيشان فيه، الانتقال إلى شقة ظلت غير مأهولة لعدة سنوات. وذكر صاحبا البلاغ أيض</w:t>
      </w:r>
      <w:r w:rsidR="00D61FBF">
        <w:rPr>
          <w:rtl/>
          <w:lang w:val="fr-CH"/>
        </w:rPr>
        <w:t xml:space="preserve">اً </w:t>
      </w:r>
      <w:r w:rsidRPr="00664CDC">
        <w:rPr>
          <w:rtl/>
          <w:lang w:val="fr-CH"/>
        </w:rPr>
        <w:t xml:space="preserve">أن الخدمات </w:t>
      </w:r>
      <w:r w:rsidRPr="00E00155">
        <w:rPr>
          <w:spacing w:val="-4"/>
          <w:rtl/>
          <w:lang w:val="fr-CH"/>
        </w:rPr>
        <w:t>الاجتماعية تتابع وضعهما، ويمكنها أن تشهد على استعدادهما لإيجاد عمل. وأشارا إلى الالتزامات الدستورية</w:t>
      </w:r>
      <w:r w:rsidRPr="00664CDC">
        <w:rPr>
          <w:rtl/>
          <w:lang w:val="fr-CH"/>
        </w:rPr>
        <w:t xml:space="preserve"> والدولية للدولة الطرف فيما يتعلق بالحق في السكن، والتي لم تف بها بسبب السياسات العامة التي أعطت </w:t>
      </w:r>
      <w:r w:rsidRPr="00664CDC">
        <w:rPr>
          <w:rtl/>
          <w:lang w:val="fr-CH"/>
        </w:rPr>
        <w:lastRenderedPageBreak/>
        <w:t xml:space="preserve">المصالح الاقتصادية الأسبقية على الحق في </w:t>
      </w:r>
      <w:proofErr w:type="gramStart"/>
      <w:r w:rsidRPr="00664CDC">
        <w:rPr>
          <w:rtl/>
          <w:lang w:val="fr-CH"/>
        </w:rPr>
        <w:t>السكن</w:t>
      </w:r>
      <w:r w:rsidRPr="00664CDC">
        <w:rPr>
          <w:vertAlign w:val="superscript"/>
          <w:rtl/>
          <w:lang w:val="fr-CH"/>
        </w:rPr>
        <w:t>(</w:t>
      </w:r>
      <w:proofErr w:type="gramEnd"/>
      <w:r w:rsidRPr="00D20D41">
        <w:rPr>
          <w:rStyle w:val="FootnoteReference"/>
          <w:szCs w:val="22"/>
          <w:lang w:val="en-US"/>
        </w:rPr>
        <w:footnoteReference w:id="6"/>
      </w:r>
      <w:r w:rsidRPr="00664CDC">
        <w:rPr>
          <w:vertAlign w:val="superscript"/>
          <w:rtl/>
          <w:lang w:val="fr-CH"/>
        </w:rPr>
        <w:t>)</w:t>
      </w:r>
      <w:r>
        <w:rPr>
          <w:rtl/>
          <w:lang w:val="fr-CH"/>
        </w:rPr>
        <w:t>،</w:t>
      </w:r>
      <w:r w:rsidRPr="00664CDC">
        <w:rPr>
          <w:rtl/>
          <w:lang w:val="fr-CH"/>
        </w:rPr>
        <w:t xml:space="preserve"> وشملت بيع المساكن الاجتماعية للمصارف و"عرقلة" التشريعات الرامية إلى حماية الحق في السكن، وهذه النقطة الأخيرة هي إشارة إلى قرار المحكمة الدستورية بوقف محاولات تحسين قوانين الإسكان التي تقودها المناطق المتمتعة بالحكم الذاتي. وعارض المصرف الذي يملك العقار وقف الإخلاء، بحجة أنه ينبغي رفض طلب صاحبي البلاغ لأن هذه مسائل سياسية لا صلة لها بإنفاذ حكم بسبب الإشغال غير القانوني للعقار. </w:t>
      </w:r>
    </w:p>
    <w:p w14:paraId="4D25D62C" w14:textId="0AD23D51"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10</w:t>
      </w:r>
      <w:r w:rsidRPr="00664CDC">
        <w:rPr>
          <w:rtl/>
          <w:lang w:val="fr-CH"/>
        </w:rPr>
        <w:tab/>
        <w:t xml:space="preserve">وفي </w:t>
      </w:r>
      <w:r w:rsidRPr="00D20D41">
        <w:rPr>
          <w:rtl/>
          <w:lang w:val="fr-CH"/>
        </w:rPr>
        <w:t>4</w:t>
      </w:r>
      <w:r w:rsidRPr="00664CDC">
        <w:rPr>
          <w:rtl/>
          <w:lang w:val="fr-CH"/>
        </w:rPr>
        <w:t xml:space="preserve"> حزيران/</w:t>
      </w:r>
      <w:proofErr w:type="gramStart"/>
      <w:r w:rsidRPr="00664CDC">
        <w:rPr>
          <w:rtl/>
          <w:lang w:val="fr-CH"/>
        </w:rPr>
        <w:t>يونيه</w:t>
      </w:r>
      <w:proofErr w:type="gramEnd"/>
      <w:r w:rsidRPr="00664CDC">
        <w:rPr>
          <w:rtl/>
          <w:lang w:val="fr-CH"/>
        </w:rPr>
        <w:t xml:space="preserve"> </w:t>
      </w:r>
      <w:r w:rsidRPr="00D20D41">
        <w:rPr>
          <w:rtl/>
          <w:lang w:val="fr-CH"/>
        </w:rPr>
        <w:t>2018</w:t>
      </w:r>
      <w:r w:rsidRPr="00664CDC">
        <w:rPr>
          <w:rtl/>
          <w:lang w:val="fr-CH"/>
        </w:rPr>
        <w:t xml:space="preserve">، رفضت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طلب </w:t>
      </w:r>
      <w:r w:rsidRPr="00D61FBF">
        <w:rPr>
          <w:spacing w:val="-2"/>
          <w:rtl/>
          <w:lang w:val="fr-CH"/>
        </w:rPr>
        <w:t>وقف الإخلاء، وقضت بعدم إمكانية الاحتجاج بالحجج التي قدمها صاحبا البلاغ في "إجراء من هذا النوع"،</w:t>
      </w:r>
      <w:r w:rsidRPr="00664CDC">
        <w:rPr>
          <w:rtl/>
          <w:lang w:val="fr-CH"/>
        </w:rPr>
        <w:t xml:space="preserve"> وحددت موعد</w:t>
      </w:r>
      <w:r w:rsidR="00D61FBF">
        <w:rPr>
          <w:rtl/>
          <w:lang w:val="fr-CH"/>
        </w:rPr>
        <w:t xml:space="preserve">اً </w:t>
      </w:r>
      <w:r w:rsidRPr="00664CDC">
        <w:rPr>
          <w:rtl/>
          <w:lang w:val="fr-CH"/>
        </w:rPr>
        <w:t>جديد</w:t>
      </w:r>
      <w:r w:rsidR="00D61FBF">
        <w:rPr>
          <w:rtl/>
          <w:lang w:val="fr-CH"/>
        </w:rPr>
        <w:t xml:space="preserve">اً </w:t>
      </w:r>
      <w:r w:rsidRPr="00664CDC">
        <w:rPr>
          <w:rtl/>
          <w:lang w:val="fr-CH"/>
        </w:rPr>
        <w:t xml:space="preserve">للإخلاء في </w:t>
      </w:r>
      <w:r w:rsidRPr="00D20D41">
        <w:rPr>
          <w:rtl/>
          <w:lang w:val="fr-CH"/>
        </w:rPr>
        <w:t>21</w:t>
      </w:r>
      <w:r w:rsidRPr="00664CDC">
        <w:rPr>
          <w:rtl/>
          <w:lang w:val="fr-CH"/>
        </w:rPr>
        <w:t xml:space="preserve"> أيلول/سبتمبر </w:t>
      </w:r>
      <w:r w:rsidRPr="00D20D41">
        <w:rPr>
          <w:rtl/>
          <w:lang w:val="fr-CH"/>
        </w:rPr>
        <w:t>2018</w:t>
      </w:r>
      <w:r w:rsidRPr="00664CDC">
        <w:rPr>
          <w:rtl/>
          <w:lang w:val="fr-CH"/>
        </w:rPr>
        <w:t>.</w:t>
      </w:r>
    </w:p>
    <w:p w14:paraId="3F9623D6" w14:textId="5A0EA9DE"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11</w:t>
      </w:r>
      <w:r w:rsidRPr="00664CDC">
        <w:rPr>
          <w:rtl/>
          <w:lang w:val="fr-CH"/>
        </w:rPr>
        <w:tab/>
      </w:r>
      <w:r w:rsidRPr="00D61FBF">
        <w:rPr>
          <w:spacing w:val="-4"/>
          <w:rtl/>
          <w:lang w:val="fr-CH"/>
        </w:rPr>
        <w:t xml:space="preserve">وفي </w:t>
      </w:r>
      <w:r w:rsidRPr="00D20D41">
        <w:rPr>
          <w:spacing w:val="-4"/>
          <w:rtl/>
          <w:lang w:val="fr-CH"/>
        </w:rPr>
        <w:t>31</w:t>
      </w:r>
      <w:r w:rsidRPr="00D61FBF">
        <w:rPr>
          <w:spacing w:val="-4"/>
          <w:rtl/>
          <w:lang w:val="fr-CH"/>
        </w:rPr>
        <w:t xml:space="preserve"> تموز/يوليه </w:t>
      </w:r>
      <w:r w:rsidRPr="00D20D41">
        <w:rPr>
          <w:spacing w:val="-4"/>
          <w:rtl/>
          <w:lang w:val="fr-CH"/>
        </w:rPr>
        <w:t>2018</w:t>
      </w:r>
      <w:r w:rsidRPr="00D61FBF">
        <w:rPr>
          <w:spacing w:val="-4"/>
          <w:rtl/>
          <w:lang w:val="fr-CH"/>
        </w:rPr>
        <w:t>، تقدم صاحبا البلاغ مرة أخرى بطلب إلى محكمة التحقيقات الابتدائية</w:t>
      </w:r>
      <w:r w:rsidRPr="00664CDC">
        <w:rPr>
          <w:rtl/>
          <w:lang w:val="fr-CH"/>
        </w:rPr>
        <w:t xml:space="preserve"> </w:t>
      </w:r>
      <w:r w:rsidRPr="00D61FBF">
        <w:rPr>
          <w:spacing w:val="-4"/>
          <w:rtl/>
          <w:lang w:val="fr-CH"/>
        </w:rPr>
        <w:t xml:space="preserve">رقم </w:t>
      </w:r>
      <w:r w:rsidRPr="00D20D41">
        <w:rPr>
          <w:spacing w:val="-4"/>
          <w:rtl/>
          <w:lang w:val="fr-CH"/>
        </w:rPr>
        <w:t>3</w:t>
      </w:r>
      <w:r w:rsidRPr="00D61FBF">
        <w:rPr>
          <w:spacing w:val="-4"/>
          <w:rtl/>
          <w:lang w:val="fr-CH"/>
        </w:rPr>
        <w:t xml:space="preserve"> في </w:t>
      </w:r>
      <w:proofErr w:type="spellStart"/>
      <w:r w:rsidRPr="00D61FBF">
        <w:rPr>
          <w:spacing w:val="-4"/>
          <w:rtl/>
          <w:lang w:val="fr-CH"/>
        </w:rPr>
        <w:t>نافالكارنيرو</w:t>
      </w:r>
      <w:proofErr w:type="spellEnd"/>
      <w:r w:rsidRPr="00D61FBF">
        <w:rPr>
          <w:spacing w:val="-4"/>
          <w:rtl/>
          <w:lang w:val="fr-CH"/>
        </w:rPr>
        <w:t xml:space="preserve"> لوقف الإخلاء بسبب الوضع غير المستقر للأسرة، الذي عزوه إلى محدودية إمكانياتهما</w:t>
      </w:r>
      <w:r w:rsidRPr="00664CDC">
        <w:rPr>
          <w:rtl/>
          <w:lang w:val="fr-CH"/>
        </w:rPr>
        <w:t xml:space="preserve"> </w:t>
      </w:r>
      <w:r w:rsidRPr="00D61FBF">
        <w:rPr>
          <w:spacing w:val="-4"/>
          <w:rtl/>
          <w:lang w:val="fr-CH"/>
        </w:rPr>
        <w:t>المالية واستحالة الحصول على سكن في السوق المفتوحة بسبب ارتفاع الإيجارات والمشاكل الصحية لابنهما.</w:t>
      </w:r>
      <w:r w:rsidRPr="00664CDC">
        <w:rPr>
          <w:rtl/>
          <w:lang w:val="fr-CH"/>
        </w:rPr>
        <w:t xml:space="preserve"> وأشار صاحبا البلاغ أيض</w:t>
      </w:r>
      <w:r w:rsidR="00D61FBF">
        <w:rPr>
          <w:rtl/>
          <w:lang w:val="fr-CH"/>
        </w:rPr>
        <w:t xml:space="preserve">اً </w:t>
      </w:r>
      <w:r w:rsidRPr="00664CDC">
        <w:rPr>
          <w:rtl/>
          <w:lang w:val="fr-CH"/>
        </w:rPr>
        <w:t xml:space="preserve">إلى عدم استجابة السلطات المختصة لطلباتهما التي تقدما بها للحصول على سكن اجتماعي. </w:t>
      </w:r>
    </w:p>
    <w:p w14:paraId="7DE99803" w14:textId="29D6E81F"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12</w:t>
      </w:r>
      <w:r w:rsidRPr="00664CDC">
        <w:rPr>
          <w:rtl/>
          <w:lang w:val="fr-CH"/>
        </w:rPr>
        <w:tab/>
        <w:t xml:space="preserve">وفي </w:t>
      </w:r>
      <w:r w:rsidRPr="00D20D41">
        <w:rPr>
          <w:rtl/>
          <w:lang w:val="fr-CH"/>
        </w:rPr>
        <w:t>7</w:t>
      </w:r>
      <w:r w:rsidRPr="00664CDC">
        <w:rPr>
          <w:rtl/>
          <w:lang w:val="fr-CH"/>
        </w:rPr>
        <w:t xml:space="preserve"> أيلول/سبتمبر </w:t>
      </w:r>
      <w:r w:rsidRPr="00D20D41">
        <w:rPr>
          <w:rtl/>
          <w:lang w:val="fr-CH"/>
        </w:rPr>
        <w:t>2018</w:t>
      </w:r>
      <w:r w:rsidRPr="00664CDC">
        <w:rPr>
          <w:rtl/>
          <w:lang w:val="fr-CH"/>
        </w:rPr>
        <w:t xml:space="preserve">، أقرت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بتلقي طلب صاحبي البلاغ وأمرت بإضافته إلى الملف. ومع ذلك، ذكرت أن إجراءات الإخلاء المقررة في </w:t>
      </w:r>
      <w:r w:rsidRPr="00D20D41">
        <w:rPr>
          <w:rtl/>
          <w:lang w:val="fr-CH"/>
        </w:rPr>
        <w:t>21</w:t>
      </w:r>
      <w:r w:rsidRPr="00664CDC">
        <w:rPr>
          <w:rtl/>
          <w:lang w:val="fr-CH"/>
        </w:rPr>
        <w:t xml:space="preserve"> أيلول/سبتمبر </w:t>
      </w:r>
      <w:r w:rsidRPr="00D20D41">
        <w:rPr>
          <w:rtl/>
          <w:lang w:val="fr-CH"/>
        </w:rPr>
        <w:t>2018</w:t>
      </w:r>
      <w:r w:rsidRPr="00664CDC">
        <w:rPr>
          <w:rtl/>
          <w:lang w:val="fr-CH"/>
        </w:rPr>
        <w:t xml:space="preserve"> ستمضي قدم</w:t>
      </w:r>
      <w:r w:rsidR="00FD03FB">
        <w:rPr>
          <w:rtl/>
          <w:lang w:val="fr-CH"/>
        </w:rPr>
        <w:t>اً.</w:t>
      </w:r>
      <w:r w:rsidRPr="00664CDC">
        <w:rPr>
          <w:rtl/>
          <w:lang w:val="fr-CH"/>
        </w:rPr>
        <w:t xml:space="preserve"> </w:t>
      </w:r>
    </w:p>
    <w:p w14:paraId="0579B20A" w14:textId="77777777"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13</w:t>
      </w:r>
      <w:r w:rsidRPr="00664CDC">
        <w:rPr>
          <w:rtl/>
          <w:lang w:val="fr-CH"/>
        </w:rPr>
        <w:tab/>
        <w:t xml:space="preserve">ويقول صاحبا البلاغ إنهما سألا في </w:t>
      </w:r>
      <w:r w:rsidRPr="00D20D41">
        <w:rPr>
          <w:rtl/>
          <w:lang w:val="fr-CH"/>
        </w:rPr>
        <w:t>17</w:t>
      </w:r>
      <w:r w:rsidRPr="00664CDC">
        <w:rPr>
          <w:rtl/>
          <w:lang w:val="fr-CH"/>
        </w:rPr>
        <w:t xml:space="preserve"> أيلول/سبتمبر </w:t>
      </w:r>
      <w:r w:rsidRPr="00D20D41">
        <w:rPr>
          <w:rtl/>
          <w:lang w:val="fr-CH"/>
        </w:rPr>
        <w:t>2018</w:t>
      </w:r>
      <w:r w:rsidRPr="00664CDC">
        <w:rPr>
          <w:rtl/>
          <w:lang w:val="fr-CH"/>
        </w:rPr>
        <w:t xml:space="preserve"> المصرف الذي يملك الشقة عن إمكانية التفاوض على اتفاق إيجار اجتماعي، لكنهما لم يتلقيا أي رد. </w:t>
      </w:r>
    </w:p>
    <w:p w14:paraId="28AFE25B" w14:textId="77777777" w:rsidR="00664CDC" w:rsidRPr="00D20D41" w:rsidRDefault="00664CDC" w:rsidP="006670EA">
      <w:pPr>
        <w:pStyle w:val="H4GA"/>
      </w:pPr>
      <w:r w:rsidRPr="00D20D41">
        <w:rPr>
          <w:rtl/>
        </w:rPr>
        <w:tab/>
      </w:r>
      <w:r w:rsidRPr="00D20D41">
        <w:rPr>
          <w:rtl/>
        </w:rPr>
        <w:tab/>
        <w:t>بعد تسجيل البلاغ</w:t>
      </w:r>
    </w:p>
    <w:p w14:paraId="7E8B83CA" w14:textId="77777777"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14</w:t>
      </w:r>
      <w:r w:rsidRPr="00664CDC">
        <w:rPr>
          <w:rtl/>
          <w:lang w:val="fr-CH"/>
        </w:rPr>
        <w:tab/>
        <w:t xml:space="preserve">وفي </w:t>
      </w:r>
      <w:r w:rsidRPr="00D20D41">
        <w:rPr>
          <w:rtl/>
          <w:lang w:val="fr-CH"/>
        </w:rPr>
        <w:t>19</w:t>
      </w:r>
      <w:r w:rsidRPr="00664CDC">
        <w:rPr>
          <w:rtl/>
          <w:lang w:val="fr-CH"/>
        </w:rPr>
        <w:t xml:space="preserve"> أيلول/سبتمبر </w:t>
      </w:r>
      <w:r w:rsidRPr="00D20D41">
        <w:rPr>
          <w:rtl/>
          <w:lang w:val="fr-CH"/>
        </w:rPr>
        <w:t>2018</w:t>
      </w:r>
      <w:r w:rsidRPr="00664CDC">
        <w:rPr>
          <w:rtl/>
          <w:lang w:val="fr-CH"/>
        </w:rPr>
        <w:t xml:space="preserve">، سجلت اللجنة البلاغ، من خلال فريقها العامل المعني بالبلاغات، وطلبت إلى الدولة الطرف اتخاذ تدابير مؤقتة لمنع الضرر المحتمل الذي يتعذر إصلاحه على صاحبي البلاغ وطفلهما أثناء نظر اللجنة في القضية، إما بوقف الإخلاء أو بإيجاد مسكن بديل يناسب احتياجاتهما عن طريق إجراء حوار بناء، وبحسن نية، معهما. </w:t>
      </w:r>
    </w:p>
    <w:p w14:paraId="494BC834" w14:textId="125F76C7"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15</w:t>
      </w:r>
      <w:r w:rsidRPr="00664CDC">
        <w:rPr>
          <w:rtl/>
          <w:lang w:val="fr-CH"/>
        </w:rPr>
        <w:tab/>
        <w:t xml:space="preserve">وفي التاريخ نفسه، أبلغ صاحبا البلاغ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بأن بلاغهما قد سجل لدى اللجنة وأن اللجنة طلبت اتخاذ تدابير مؤقتة. وأمرت المحكمة بإضافة طلب خطي </w:t>
      </w:r>
      <w:r w:rsidRPr="00D61FBF">
        <w:rPr>
          <w:spacing w:val="-2"/>
          <w:rtl/>
          <w:lang w:val="fr-CH"/>
        </w:rPr>
        <w:t xml:space="preserve">إلى الملف، لكنها أيدت أمر الإخلاء الصادر في </w:t>
      </w:r>
      <w:r w:rsidRPr="00D20D41">
        <w:rPr>
          <w:spacing w:val="-2"/>
          <w:rtl/>
          <w:lang w:val="fr-CH"/>
        </w:rPr>
        <w:t>21</w:t>
      </w:r>
      <w:r w:rsidRPr="00D61FBF">
        <w:rPr>
          <w:spacing w:val="-2"/>
          <w:rtl/>
          <w:lang w:val="fr-CH"/>
        </w:rPr>
        <w:t xml:space="preserve"> أيلول/سبتمبر </w:t>
      </w:r>
      <w:r w:rsidRPr="00D20D41">
        <w:rPr>
          <w:spacing w:val="-2"/>
          <w:rtl/>
          <w:lang w:val="fr-CH"/>
        </w:rPr>
        <w:t>2018</w:t>
      </w:r>
      <w:r w:rsidRPr="00D61FBF">
        <w:rPr>
          <w:spacing w:val="-2"/>
          <w:rtl/>
          <w:lang w:val="fr-CH"/>
        </w:rPr>
        <w:t>. غير أن المحكمة أجلت الإخلاء</w:t>
      </w:r>
      <w:r w:rsidRPr="00664CDC">
        <w:rPr>
          <w:rtl/>
          <w:lang w:val="fr-CH"/>
        </w:rPr>
        <w:t xml:space="preserve"> المقرر في هذا التاريخ بأمر صادر في </w:t>
      </w:r>
      <w:r w:rsidRPr="00D20D41">
        <w:rPr>
          <w:rtl/>
          <w:lang w:val="fr-CH"/>
        </w:rPr>
        <w:t>20</w:t>
      </w:r>
      <w:r w:rsidRPr="00664CDC">
        <w:rPr>
          <w:rtl/>
          <w:lang w:val="fr-CH"/>
        </w:rPr>
        <w:t xml:space="preserve"> أيلول/سبتمبر </w:t>
      </w:r>
      <w:r w:rsidRPr="00D20D41">
        <w:rPr>
          <w:rtl/>
          <w:lang w:val="fr-CH"/>
        </w:rPr>
        <w:t>2018</w:t>
      </w:r>
      <w:r w:rsidRPr="00664CDC">
        <w:rPr>
          <w:rtl/>
          <w:lang w:val="fr-CH"/>
        </w:rPr>
        <w:t>، لأن ممثل المصرف الذي يملك الشقة طلب وقف</w:t>
      </w:r>
      <w:r w:rsidR="00D61FBF">
        <w:rPr>
          <w:rtl/>
          <w:lang w:val="fr-CH"/>
        </w:rPr>
        <w:t xml:space="preserve">اً </w:t>
      </w:r>
      <w:r w:rsidRPr="00664CDC">
        <w:rPr>
          <w:rtl/>
          <w:lang w:val="fr-CH"/>
        </w:rPr>
        <w:t>مؤقت</w:t>
      </w:r>
      <w:r w:rsidR="00D61FBF">
        <w:rPr>
          <w:rtl/>
          <w:lang w:val="fr-CH"/>
        </w:rPr>
        <w:t xml:space="preserve">اً </w:t>
      </w:r>
      <w:r w:rsidRPr="00664CDC">
        <w:rPr>
          <w:rtl/>
          <w:lang w:val="fr-CH"/>
        </w:rPr>
        <w:t>لعملية الإخلاء بسبب وضع صاحبي البلاغ ومنحهم الوقت لإيجاد سكن بديل.</w:t>
      </w:r>
    </w:p>
    <w:p w14:paraId="7B4C5B6A" w14:textId="14E4FB19"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16</w:t>
      </w:r>
      <w:r w:rsidRPr="00664CDC">
        <w:rPr>
          <w:rtl/>
          <w:lang w:val="fr-CH"/>
        </w:rPr>
        <w:tab/>
        <w:t xml:space="preserve">وفي </w:t>
      </w:r>
      <w:r w:rsidRPr="00D20D41">
        <w:rPr>
          <w:rtl/>
          <w:lang w:val="fr-CH"/>
        </w:rPr>
        <w:t>21</w:t>
      </w:r>
      <w:r w:rsidRPr="00664CDC">
        <w:rPr>
          <w:rtl/>
          <w:lang w:val="fr-CH"/>
        </w:rPr>
        <w:t xml:space="preserve"> آذار/مارس </w:t>
      </w:r>
      <w:r w:rsidRPr="00D20D41">
        <w:rPr>
          <w:rtl/>
          <w:lang w:val="fr-CH"/>
        </w:rPr>
        <w:t>2019</w:t>
      </w:r>
      <w:r w:rsidRPr="00664CDC">
        <w:rPr>
          <w:rtl/>
          <w:lang w:val="fr-CH"/>
        </w:rPr>
        <w:t xml:space="preserve">، حددت محكمة التحقيق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يوم </w:t>
      </w:r>
      <w:r w:rsidRPr="00D20D41">
        <w:rPr>
          <w:rtl/>
          <w:lang w:val="fr-CH"/>
        </w:rPr>
        <w:t>31</w:t>
      </w:r>
      <w:r w:rsidRPr="00664CDC">
        <w:rPr>
          <w:rtl/>
          <w:lang w:val="fr-CH"/>
        </w:rPr>
        <w:t xml:space="preserve"> أيار/مايو </w:t>
      </w:r>
      <w:r w:rsidRPr="00D20D41">
        <w:rPr>
          <w:rtl/>
          <w:lang w:val="fr-CH"/>
        </w:rPr>
        <w:t>2019</w:t>
      </w:r>
      <w:r w:rsidRPr="00664CDC">
        <w:rPr>
          <w:rtl/>
          <w:lang w:val="fr-CH"/>
        </w:rPr>
        <w:t xml:space="preserve"> موعد</w:t>
      </w:r>
      <w:r w:rsidR="00D61FBF">
        <w:rPr>
          <w:rtl/>
          <w:lang w:val="fr-CH"/>
        </w:rPr>
        <w:t xml:space="preserve">اً </w:t>
      </w:r>
      <w:r w:rsidRPr="00664CDC">
        <w:rPr>
          <w:rtl/>
          <w:lang w:val="fr-CH"/>
        </w:rPr>
        <w:t>جديد</w:t>
      </w:r>
      <w:r w:rsidR="00D61FBF">
        <w:rPr>
          <w:rtl/>
          <w:lang w:val="fr-CH"/>
        </w:rPr>
        <w:t xml:space="preserve">اً </w:t>
      </w:r>
      <w:r w:rsidRPr="00664CDC">
        <w:rPr>
          <w:rtl/>
          <w:lang w:val="fr-CH"/>
        </w:rPr>
        <w:t xml:space="preserve">للإخلاء. وفي </w:t>
      </w:r>
      <w:r w:rsidRPr="00D20D41">
        <w:rPr>
          <w:rtl/>
          <w:lang w:val="fr-CH"/>
        </w:rPr>
        <w:t>23</w:t>
      </w:r>
      <w:r w:rsidRPr="00664CDC">
        <w:rPr>
          <w:rtl/>
          <w:lang w:val="fr-CH"/>
        </w:rPr>
        <w:t xml:space="preserve"> أيار/مايو </w:t>
      </w:r>
      <w:r w:rsidRPr="00D20D41">
        <w:rPr>
          <w:rtl/>
          <w:lang w:val="fr-CH"/>
        </w:rPr>
        <w:t>2019</w:t>
      </w:r>
      <w:r w:rsidRPr="00664CDC">
        <w:rPr>
          <w:rtl/>
          <w:lang w:val="fr-CH"/>
        </w:rPr>
        <w:t xml:space="preserve">، أبلغ صاحبا البلاغ اللجنة بأن وضعهما لم يتغير وأنه لا يوجد حتى الآن سكن بديل. وبالإضافة إلى ذلك، أفادا بأن السيدة الأيوبي حامل وعلى وشك </w:t>
      </w:r>
      <w:proofErr w:type="gramStart"/>
      <w:r w:rsidRPr="00664CDC">
        <w:rPr>
          <w:rtl/>
          <w:lang w:val="fr-CH"/>
        </w:rPr>
        <w:t>الولادة</w:t>
      </w:r>
      <w:r w:rsidRPr="00664CDC">
        <w:rPr>
          <w:vertAlign w:val="superscript"/>
          <w:rtl/>
          <w:lang w:val="fr-CH"/>
        </w:rPr>
        <w:t>(</w:t>
      </w:r>
      <w:proofErr w:type="gramEnd"/>
      <w:r w:rsidRPr="00D20D41">
        <w:rPr>
          <w:rStyle w:val="FootnoteReference"/>
          <w:szCs w:val="22"/>
          <w:lang w:val="en-US"/>
        </w:rPr>
        <w:footnoteReference w:id="7"/>
      </w:r>
      <w:r w:rsidRPr="00664CDC">
        <w:rPr>
          <w:vertAlign w:val="superscript"/>
          <w:rtl/>
          <w:lang w:val="fr-CH"/>
        </w:rPr>
        <w:t>)</w:t>
      </w:r>
      <w:r>
        <w:rPr>
          <w:rtl/>
          <w:lang w:val="fr-CH"/>
        </w:rPr>
        <w:t>.</w:t>
      </w:r>
      <w:r w:rsidRPr="00664CDC">
        <w:rPr>
          <w:rtl/>
          <w:lang w:val="fr-CH"/>
        </w:rPr>
        <w:t xml:space="preserve"> وفي التاريخ نفسه، ذكَّرت اللجنة الدولة الطرف بأنه ما لم تُبلَّغ الدولة الطرف بأن اللجنة قررت رفع التدابير المؤقتة، فإنها تظل سارية المفعول في الوقت الذي تنظر فيه اللجنة في القضية </w:t>
      </w:r>
      <w:r w:rsidRPr="00664CDC">
        <w:rPr>
          <w:rtl/>
          <w:lang w:val="fr-CH"/>
        </w:rPr>
        <w:lastRenderedPageBreak/>
        <w:t xml:space="preserve">وإلى أن تبلغ اللجنة الدولة الطرف بقرارها. وكررت اللجنة قرارها المؤرخ </w:t>
      </w:r>
      <w:r w:rsidRPr="00D20D41">
        <w:rPr>
          <w:rtl/>
          <w:lang w:val="fr-CH"/>
        </w:rPr>
        <w:t>19</w:t>
      </w:r>
      <w:r w:rsidRPr="00664CDC">
        <w:rPr>
          <w:rtl/>
          <w:lang w:val="fr-CH"/>
        </w:rPr>
        <w:t xml:space="preserve"> أيلول/سبتمبر </w:t>
      </w:r>
      <w:r w:rsidRPr="00D20D41">
        <w:rPr>
          <w:rtl/>
          <w:lang w:val="fr-CH"/>
        </w:rPr>
        <w:t>2018</w:t>
      </w:r>
      <w:r w:rsidRPr="00664CDC">
        <w:rPr>
          <w:rtl/>
          <w:lang w:val="fr-CH"/>
        </w:rPr>
        <w:t xml:space="preserve"> بمنح تدابير مؤقتة، وطلبت إلى الدولة الطرف إما وقف طرد صاحبي البلاغ من العقار الذي يعيشان فيه حالي</w:t>
      </w:r>
      <w:r w:rsidR="00D61FBF">
        <w:rPr>
          <w:rtl/>
          <w:lang w:val="fr-CH"/>
        </w:rPr>
        <w:t xml:space="preserve">اً </w:t>
      </w:r>
      <w:r w:rsidRPr="00664CDC">
        <w:rPr>
          <w:rtl/>
          <w:lang w:val="fr-CH"/>
        </w:rPr>
        <w:t>أثناء نظر اللجنة في البلاغ أو إيجاد سكن بديل مناسب لهما بالتشاور الفعلي معهما، وبحسن نية.</w:t>
      </w:r>
    </w:p>
    <w:p w14:paraId="3B5BDA42" w14:textId="77777777"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17</w:t>
      </w:r>
      <w:r w:rsidRPr="00664CDC">
        <w:rPr>
          <w:rtl/>
          <w:lang w:val="fr-CH"/>
        </w:rPr>
        <w:tab/>
        <w:t xml:space="preserve">وفي </w:t>
      </w:r>
      <w:r w:rsidRPr="00D20D41">
        <w:rPr>
          <w:rtl/>
          <w:lang w:val="fr-CH"/>
        </w:rPr>
        <w:t>11</w:t>
      </w:r>
      <w:r w:rsidRPr="00664CDC">
        <w:rPr>
          <w:rtl/>
          <w:lang w:val="fr-CH"/>
        </w:rPr>
        <w:t xml:space="preserve"> حزيران/</w:t>
      </w:r>
      <w:proofErr w:type="gramStart"/>
      <w:r w:rsidRPr="00664CDC">
        <w:rPr>
          <w:rtl/>
          <w:lang w:val="fr-CH"/>
        </w:rPr>
        <w:t>يونيه</w:t>
      </w:r>
      <w:proofErr w:type="gramEnd"/>
      <w:r w:rsidRPr="00664CDC">
        <w:rPr>
          <w:rtl/>
          <w:lang w:val="fr-CH"/>
        </w:rPr>
        <w:t xml:space="preserve"> </w:t>
      </w:r>
      <w:r w:rsidRPr="00D20D41">
        <w:rPr>
          <w:rtl/>
          <w:lang w:val="fr-CH"/>
        </w:rPr>
        <w:t>2019</w:t>
      </w:r>
      <w:r w:rsidRPr="00664CDC">
        <w:rPr>
          <w:rtl/>
          <w:lang w:val="fr-CH"/>
        </w:rPr>
        <w:t>، ولد الطفل الثاني لصاحبي البلاغ.</w:t>
      </w:r>
    </w:p>
    <w:p w14:paraId="4DD0ED6B" w14:textId="63F2CA6F"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18</w:t>
      </w:r>
      <w:r w:rsidRPr="00664CDC">
        <w:rPr>
          <w:rtl/>
          <w:lang w:val="fr-CH"/>
        </w:rPr>
        <w:tab/>
        <w:t xml:space="preserve">وتم وقف الإخلاء المقرر في </w:t>
      </w:r>
      <w:r w:rsidRPr="00D20D41">
        <w:rPr>
          <w:rtl/>
          <w:lang w:val="fr-CH"/>
        </w:rPr>
        <w:t>31</w:t>
      </w:r>
      <w:r w:rsidRPr="00664CDC">
        <w:rPr>
          <w:rtl/>
          <w:lang w:val="fr-CH"/>
        </w:rPr>
        <w:t xml:space="preserve"> أيار/مايو </w:t>
      </w:r>
      <w:r w:rsidRPr="00D20D41">
        <w:rPr>
          <w:rtl/>
          <w:lang w:val="fr-CH"/>
        </w:rPr>
        <w:t>2019</w:t>
      </w:r>
      <w:r w:rsidRPr="00664CDC">
        <w:rPr>
          <w:rtl/>
          <w:lang w:val="fr-CH"/>
        </w:rPr>
        <w:t xml:space="preserve">. ويفيد صاحبا البلاغ بأن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حددت، في </w:t>
      </w:r>
      <w:r w:rsidRPr="00D20D41">
        <w:rPr>
          <w:rtl/>
          <w:lang w:val="fr-CH"/>
        </w:rPr>
        <w:t>31</w:t>
      </w:r>
      <w:r w:rsidRPr="00664CDC">
        <w:rPr>
          <w:rtl/>
          <w:lang w:val="fr-CH"/>
        </w:rPr>
        <w:t xml:space="preserve"> آب/أغسطس </w:t>
      </w:r>
      <w:r w:rsidRPr="00D20D41">
        <w:rPr>
          <w:rtl/>
          <w:lang w:val="fr-CH"/>
        </w:rPr>
        <w:t>2020</w:t>
      </w:r>
      <w:r w:rsidRPr="00664CDC">
        <w:rPr>
          <w:rtl/>
          <w:lang w:val="fr-CH"/>
        </w:rPr>
        <w:t>، موعد</w:t>
      </w:r>
      <w:r w:rsidR="00D61FBF">
        <w:rPr>
          <w:rtl/>
          <w:lang w:val="fr-CH"/>
        </w:rPr>
        <w:t xml:space="preserve">اً </w:t>
      </w:r>
      <w:r w:rsidRPr="00664CDC">
        <w:rPr>
          <w:rtl/>
          <w:lang w:val="fr-CH"/>
        </w:rPr>
        <w:t>جديد</w:t>
      </w:r>
      <w:r w:rsidR="00D61FBF">
        <w:rPr>
          <w:rtl/>
          <w:lang w:val="fr-CH"/>
        </w:rPr>
        <w:t xml:space="preserve">اً </w:t>
      </w:r>
      <w:r w:rsidRPr="00664CDC">
        <w:rPr>
          <w:rtl/>
          <w:lang w:val="fr-CH"/>
        </w:rPr>
        <w:t xml:space="preserve">للإخلاء هو </w:t>
      </w:r>
      <w:r w:rsidRPr="00D20D41">
        <w:rPr>
          <w:rtl/>
          <w:lang w:val="fr-CH"/>
        </w:rPr>
        <w:t>13</w:t>
      </w:r>
      <w:r w:rsidRPr="00664CDC">
        <w:rPr>
          <w:rtl/>
          <w:lang w:val="fr-CH"/>
        </w:rPr>
        <w:t xml:space="preserve"> كانون الثاني/يناير </w:t>
      </w:r>
      <w:r w:rsidRPr="00D20D41">
        <w:rPr>
          <w:rtl/>
          <w:lang w:val="fr-CH"/>
        </w:rPr>
        <w:t>2021</w:t>
      </w:r>
      <w:r w:rsidRPr="00664CDC">
        <w:rPr>
          <w:rtl/>
          <w:lang w:val="fr-CH"/>
        </w:rPr>
        <w:t>.</w:t>
      </w:r>
    </w:p>
    <w:p w14:paraId="6330FABC" w14:textId="5FD5F471" w:rsidR="00664CDC" w:rsidRPr="00664CDC" w:rsidRDefault="00664CDC" w:rsidP="00664CDC">
      <w:pPr>
        <w:pStyle w:val="SingleTxtGA"/>
        <w:rPr>
          <w:lang w:val="fr-CH"/>
        </w:rPr>
      </w:pPr>
      <w:r w:rsidRPr="00D20D41">
        <w:rPr>
          <w:rtl/>
          <w:lang w:val="fr-CH"/>
        </w:rPr>
        <w:t>2</w:t>
      </w:r>
      <w:r w:rsidRPr="00664CDC">
        <w:rPr>
          <w:rtl/>
          <w:lang w:val="fr-CH"/>
        </w:rPr>
        <w:t>-</w:t>
      </w:r>
      <w:r w:rsidRPr="00D20D41">
        <w:rPr>
          <w:rtl/>
          <w:lang w:val="fr-CH"/>
        </w:rPr>
        <w:t>19</w:t>
      </w:r>
      <w:r w:rsidRPr="00664CDC">
        <w:rPr>
          <w:rtl/>
          <w:lang w:val="fr-CH"/>
        </w:rPr>
        <w:tab/>
        <w:t>ويفيد صاحبا البلاغ أيض</w:t>
      </w:r>
      <w:r w:rsidR="00D61FBF">
        <w:rPr>
          <w:rtl/>
          <w:lang w:val="fr-CH"/>
        </w:rPr>
        <w:t xml:space="preserve">اً </w:t>
      </w:r>
      <w:r w:rsidRPr="00664CDC">
        <w:rPr>
          <w:rtl/>
          <w:lang w:val="fr-CH"/>
        </w:rPr>
        <w:t xml:space="preserve">بأن السيد عزوان عزوز عمل حتى نهاية عام </w:t>
      </w:r>
      <w:r w:rsidRPr="00D20D41">
        <w:rPr>
          <w:rtl/>
          <w:lang w:val="fr-CH"/>
        </w:rPr>
        <w:t>2019</w:t>
      </w:r>
      <w:r w:rsidRPr="00664CDC">
        <w:rPr>
          <w:rtl/>
          <w:lang w:val="fr-CH"/>
        </w:rPr>
        <w:t xml:space="preserve">، تاريخ نهاية عقده. وحصل على بدل بطالة حتى آب/أغسطس </w:t>
      </w:r>
      <w:r w:rsidRPr="00D20D41">
        <w:rPr>
          <w:rtl/>
          <w:lang w:val="fr-CH"/>
        </w:rPr>
        <w:t>2020</w:t>
      </w:r>
      <w:r w:rsidRPr="00664CDC">
        <w:rPr>
          <w:rtl/>
          <w:lang w:val="fr-CH"/>
        </w:rPr>
        <w:t>، ويجري حالي</w:t>
      </w:r>
      <w:r w:rsidR="00D61FBF">
        <w:rPr>
          <w:rtl/>
          <w:lang w:val="fr-CH"/>
        </w:rPr>
        <w:t xml:space="preserve">اً </w:t>
      </w:r>
      <w:r w:rsidRPr="00664CDC">
        <w:rPr>
          <w:rtl/>
          <w:lang w:val="fr-CH"/>
        </w:rPr>
        <w:t xml:space="preserve">النظر في طلبه الحصول على إعانة بطالة وعلى دعم يعادل الحد الأدنى للدخل. ويضيف صاحبا البلاغ أن السيدة الأيوبي لا تزال تتلقى إعانة قدرها </w:t>
      </w:r>
      <w:r w:rsidRPr="00D20D41">
        <w:rPr>
          <w:rtl/>
          <w:lang w:val="fr-CH"/>
        </w:rPr>
        <w:t>268</w:t>
      </w:r>
      <w:r w:rsidR="00D61FBF">
        <w:rPr>
          <w:rFonts w:hint="cs"/>
          <w:sz w:val="24"/>
          <w:szCs w:val="24"/>
          <w:rtl/>
        </w:rPr>
        <w:t>,</w:t>
      </w:r>
      <w:r w:rsidRPr="00D20D41">
        <w:rPr>
          <w:rtl/>
          <w:lang w:val="fr-CH"/>
        </w:rPr>
        <w:t>79</w:t>
      </w:r>
      <w:r w:rsidRPr="00664CDC">
        <w:rPr>
          <w:rtl/>
          <w:lang w:val="fr-CH"/>
        </w:rPr>
        <w:t xml:space="preserve"> يورو شهري</w:t>
      </w:r>
      <w:r w:rsidR="00D61FBF">
        <w:rPr>
          <w:rtl/>
          <w:lang w:val="fr-CH"/>
        </w:rPr>
        <w:t xml:space="preserve">اً </w:t>
      </w:r>
      <w:r w:rsidRPr="00664CDC">
        <w:rPr>
          <w:rtl/>
          <w:lang w:val="fr-CH"/>
        </w:rPr>
        <w:t xml:space="preserve">بوصفها الراعي الرئيسي لابنها. </w:t>
      </w:r>
    </w:p>
    <w:p w14:paraId="690FE878" w14:textId="77777777" w:rsidR="00664CDC" w:rsidRPr="00D20D41" w:rsidRDefault="00664CDC" w:rsidP="006670EA">
      <w:pPr>
        <w:pStyle w:val="H23GA"/>
      </w:pPr>
      <w:r w:rsidRPr="00D20D41">
        <w:rPr>
          <w:rtl/>
        </w:rPr>
        <w:tab/>
      </w:r>
      <w:r w:rsidRPr="00D20D41">
        <w:rPr>
          <w:rtl/>
        </w:rPr>
        <w:tab/>
        <w:t>الشكوى</w:t>
      </w:r>
      <w:r w:rsidRPr="00D20D41">
        <w:rPr>
          <w:rFonts w:cs="Times New Roman" w:hint="cs"/>
          <w:rtl/>
        </w:rPr>
        <w:t>‬</w:t>
      </w:r>
    </w:p>
    <w:p w14:paraId="22562C32" w14:textId="7913B9F7" w:rsidR="00664CDC" w:rsidRPr="00664CDC" w:rsidRDefault="00664CDC" w:rsidP="00664CDC">
      <w:pPr>
        <w:pStyle w:val="SingleTxtGA"/>
        <w:rPr>
          <w:lang w:val="fr-CH"/>
        </w:rPr>
      </w:pPr>
      <w:r w:rsidRPr="00D20D41">
        <w:rPr>
          <w:rtl/>
          <w:lang w:val="fr-CH"/>
        </w:rPr>
        <w:t>3</w:t>
      </w:r>
      <w:r w:rsidRPr="00664CDC">
        <w:rPr>
          <w:rtl/>
          <w:lang w:val="fr-CH"/>
        </w:rPr>
        <w:t>-</w:t>
      </w:r>
      <w:r w:rsidRPr="00664CDC">
        <w:rPr>
          <w:rtl/>
          <w:lang w:val="fr-CH"/>
        </w:rPr>
        <w:tab/>
        <w:t>يدعي صاحبا البلاغ أنه في ظل عدم توفير سكن بديل، ونظر</w:t>
      </w:r>
      <w:r w:rsidR="00D61FBF">
        <w:rPr>
          <w:rtl/>
          <w:lang w:val="fr-CH"/>
        </w:rPr>
        <w:t xml:space="preserve">اً </w:t>
      </w:r>
      <w:r w:rsidRPr="00664CDC">
        <w:rPr>
          <w:rtl/>
          <w:lang w:val="fr-CH"/>
        </w:rPr>
        <w:t>لأن دخلهما المحدود يجعل من الحصول على سكن خاص أمر</w:t>
      </w:r>
      <w:r w:rsidR="00D61FBF">
        <w:rPr>
          <w:rtl/>
          <w:lang w:val="fr-CH"/>
        </w:rPr>
        <w:t xml:space="preserve">اً </w:t>
      </w:r>
      <w:r w:rsidRPr="00664CDC">
        <w:rPr>
          <w:rtl/>
          <w:lang w:val="fr-CH"/>
        </w:rPr>
        <w:t>مستحيل</w:t>
      </w:r>
      <w:r w:rsidR="00FD03FB">
        <w:rPr>
          <w:rtl/>
          <w:lang w:val="fr-CH"/>
        </w:rPr>
        <w:t>اً،</w:t>
      </w:r>
      <w:r w:rsidRPr="00664CDC">
        <w:rPr>
          <w:rtl/>
          <w:lang w:val="fr-CH"/>
        </w:rPr>
        <w:t xml:space="preserve"> فإن طردهم من الشقة التي يعيشان فيها حالي</w:t>
      </w:r>
      <w:r w:rsidR="00D61FBF">
        <w:rPr>
          <w:rtl/>
          <w:lang w:val="fr-CH"/>
        </w:rPr>
        <w:t xml:space="preserve">اً </w:t>
      </w:r>
      <w:r w:rsidRPr="00664CDC">
        <w:rPr>
          <w:rtl/>
          <w:lang w:val="fr-CH"/>
        </w:rPr>
        <w:t xml:space="preserve">من شأنه أن ينتهك حقوقهما بموجب المادة </w:t>
      </w:r>
      <w:r w:rsidRPr="00D20D41">
        <w:rPr>
          <w:rtl/>
          <w:lang w:val="fr-CH"/>
        </w:rPr>
        <w:t>11</w:t>
      </w:r>
      <w:r w:rsidRPr="00664CDC">
        <w:rPr>
          <w:rtl/>
          <w:lang w:val="fr-CH"/>
        </w:rPr>
        <w:t xml:space="preserve"> من العهد. </w:t>
      </w:r>
    </w:p>
    <w:p w14:paraId="5EEA4384" w14:textId="77777777" w:rsidR="00664CDC" w:rsidRPr="00D20D41" w:rsidRDefault="00664CDC" w:rsidP="006670EA">
      <w:pPr>
        <w:pStyle w:val="H23GA"/>
      </w:pPr>
      <w:r w:rsidRPr="00D20D41">
        <w:rPr>
          <w:rtl/>
        </w:rPr>
        <w:tab/>
      </w:r>
      <w:r w:rsidRPr="00D20D41">
        <w:rPr>
          <w:rtl/>
        </w:rPr>
        <w:tab/>
        <w:t>طلب الدولة الطرف رفع التدابير المؤقتة وحفظ البلاغ</w:t>
      </w:r>
    </w:p>
    <w:p w14:paraId="5C2D187C" w14:textId="1F66FF0A" w:rsidR="00664CDC" w:rsidRPr="00664CDC" w:rsidRDefault="00664CDC" w:rsidP="00664CDC">
      <w:pPr>
        <w:pStyle w:val="SingleTxtGA"/>
        <w:rPr>
          <w:lang w:val="fr-CH"/>
        </w:rPr>
      </w:pPr>
      <w:r w:rsidRPr="00D20D41">
        <w:rPr>
          <w:rtl/>
          <w:lang w:val="fr-CH"/>
        </w:rPr>
        <w:t>4</w:t>
      </w:r>
      <w:r w:rsidRPr="00664CDC">
        <w:rPr>
          <w:rtl/>
          <w:lang w:val="fr-CH"/>
        </w:rPr>
        <w:t>-</w:t>
      </w:r>
      <w:r w:rsidRPr="00D20D41">
        <w:rPr>
          <w:rtl/>
          <w:lang w:val="fr-CH"/>
        </w:rPr>
        <w:t>1</w:t>
      </w:r>
      <w:r w:rsidRPr="00664CDC">
        <w:rPr>
          <w:rtl/>
          <w:lang w:val="fr-CH"/>
        </w:rPr>
        <w:tab/>
        <w:t xml:space="preserve">في </w:t>
      </w:r>
      <w:r w:rsidRPr="00D20D41">
        <w:rPr>
          <w:rtl/>
          <w:lang w:val="fr-CH"/>
        </w:rPr>
        <w:t>27</w:t>
      </w:r>
      <w:r w:rsidRPr="00664CDC">
        <w:rPr>
          <w:rtl/>
          <w:lang w:val="fr-CH"/>
        </w:rPr>
        <w:t xml:space="preserve"> آذار/مارس </w:t>
      </w:r>
      <w:r w:rsidRPr="00D20D41">
        <w:rPr>
          <w:rtl/>
          <w:lang w:val="fr-CH"/>
        </w:rPr>
        <w:t>2019</w:t>
      </w:r>
      <w:r w:rsidRPr="00664CDC">
        <w:rPr>
          <w:rtl/>
          <w:lang w:val="fr-CH"/>
        </w:rPr>
        <w:t xml:space="preserve">، طلبت الدولة الطرف رفع التدابير المؤقتة. ورفضت اللجنة هذا الطلب في </w:t>
      </w:r>
      <w:r w:rsidRPr="00D20D41">
        <w:rPr>
          <w:rtl/>
          <w:lang w:val="fr-CH"/>
        </w:rPr>
        <w:t>31</w:t>
      </w:r>
      <w:r w:rsidRPr="00664CDC">
        <w:rPr>
          <w:rtl/>
          <w:lang w:val="fr-CH"/>
        </w:rPr>
        <w:t xml:space="preserve"> تشرين الأول/أكتوبر </w:t>
      </w:r>
      <w:r w:rsidRPr="00D20D41">
        <w:rPr>
          <w:rtl/>
          <w:lang w:val="fr-CH"/>
        </w:rPr>
        <w:t>2019</w:t>
      </w:r>
      <w:r w:rsidRPr="00664CDC">
        <w:rPr>
          <w:rtl/>
          <w:lang w:val="fr-CH"/>
        </w:rPr>
        <w:t xml:space="preserve">. وتفيد الدولة الطرف بأن أمر الإخلاء المقرر في </w:t>
      </w:r>
      <w:r w:rsidRPr="00D20D41">
        <w:rPr>
          <w:rtl/>
          <w:lang w:val="fr-CH"/>
        </w:rPr>
        <w:t>21</w:t>
      </w:r>
      <w:r w:rsidRPr="00664CDC">
        <w:rPr>
          <w:rtl/>
          <w:lang w:val="fr-CH"/>
        </w:rPr>
        <w:t xml:space="preserve"> أيلول/</w:t>
      </w:r>
      <w:r w:rsidR="00E00155">
        <w:rPr>
          <w:rFonts w:hint="cs"/>
          <w:rtl/>
          <w:lang w:val="fr-CH"/>
        </w:rPr>
        <w:t xml:space="preserve"> </w:t>
      </w:r>
      <w:r w:rsidRPr="00664CDC">
        <w:rPr>
          <w:rtl/>
          <w:lang w:val="fr-CH"/>
        </w:rPr>
        <w:t xml:space="preserve">سبتمبر </w:t>
      </w:r>
      <w:r w:rsidRPr="00D20D41">
        <w:rPr>
          <w:rtl/>
          <w:lang w:val="fr-CH"/>
        </w:rPr>
        <w:t>2018</w:t>
      </w:r>
      <w:r w:rsidRPr="00664CDC">
        <w:rPr>
          <w:rtl/>
          <w:lang w:val="fr-CH"/>
        </w:rPr>
        <w:t xml:space="preserve"> قد تم وقفه، دون تحديد أي موعد جديد للإخلاء. </w:t>
      </w:r>
    </w:p>
    <w:p w14:paraId="49113EB6" w14:textId="0A76B3B8" w:rsidR="00664CDC" w:rsidRPr="00664CDC" w:rsidRDefault="00664CDC" w:rsidP="00664CDC">
      <w:pPr>
        <w:pStyle w:val="SingleTxtGA"/>
        <w:rPr>
          <w:lang w:val="fr-CH"/>
        </w:rPr>
      </w:pPr>
      <w:r w:rsidRPr="00D20D41">
        <w:rPr>
          <w:rtl/>
          <w:lang w:val="fr-CH"/>
        </w:rPr>
        <w:t>4</w:t>
      </w:r>
      <w:r w:rsidRPr="00664CDC">
        <w:rPr>
          <w:rtl/>
          <w:lang w:val="fr-CH"/>
        </w:rPr>
        <w:t>-</w:t>
      </w:r>
      <w:r w:rsidRPr="00D20D41">
        <w:rPr>
          <w:rtl/>
          <w:lang w:val="fr-CH"/>
        </w:rPr>
        <w:t>2</w:t>
      </w:r>
      <w:r w:rsidRPr="00664CDC">
        <w:rPr>
          <w:rtl/>
          <w:lang w:val="fr-CH"/>
        </w:rPr>
        <w:tab/>
        <w:t>وتفيد الدولة الطرف أيض</w:t>
      </w:r>
      <w:r w:rsidR="00D61FBF">
        <w:rPr>
          <w:rtl/>
          <w:lang w:val="fr-CH"/>
        </w:rPr>
        <w:t xml:space="preserve">اً </w:t>
      </w:r>
      <w:r w:rsidRPr="00664CDC">
        <w:rPr>
          <w:rtl/>
          <w:lang w:val="fr-CH"/>
        </w:rPr>
        <w:t>بأن المديرية العامة للإسكان والتأهيل طلبت من صاحبي البلاغ، في ردها على طلبهما المتعلق بالحصول على مسكن من مساكن ذوي الاحتياجات الخاصة، والذي قُدم في</w:t>
      </w:r>
      <w:r w:rsidR="00D61FBF">
        <w:rPr>
          <w:rFonts w:hint="cs"/>
          <w:rtl/>
          <w:lang w:val="fr-CH"/>
        </w:rPr>
        <w:t> </w:t>
      </w:r>
      <w:r w:rsidRPr="00D20D41">
        <w:rPr>
          <w:rtl/>
          <w:lang w:val="fr-CH"/>
        </w:rPr>
        <w:t>14</w:t>
      </w:r>
      <w:r w:rsidRPr="00664CDC">
        <w:rPr>
          <w:rtl/>
          <w:lang w:val="fr-CH"/>
        </w:rPr>
        <w:t xml:space="preserve"> شباط/فبراير </w:t>
      </w:r>
      <w:r w:rsidRPr="00D20D41">
        <w:rPr>
          <w:rtl/>
          <w:lang w:val="fr-CH"/>
        </w:rPr>
        <w:t>2017</w:t>
      </w:r>
      <w:r w:rsidRPr="00664CDC">
        <w:rPr>
          <w:rtl/>
          <w:lang w:val="fr-CH"/>
        </w:rPr>
        <w:t>، عدد</w:t>
      </w:r>
      <w:r w:rsidR="00D61FBF">
        <w:rPr>
          <w:rtl/>
          <w:lang w:val="fr-CH"/>
        </w:rPr>
        <w:t xml:space="preserve">اً </w:t>
      </w:r>
      <w:r w:rsidRPr="00664CDC">
        <w:rPr>
          <w:rtl/>
          <w:lang w:val="fr-CH"/>
        </w:rPr>
        <w:t xml:space="preserve">من الوثائق لاستكمال طلبهما. إلا أن صاحبي البلاغ لم يقدما الوثائق المطلوبة قبل الموعد النهائي المحدد في المرسوم رقم </w:t>
      </w:r>
      <w:r w:rsidRPr="00D20D41">
        <w:rPr>
          <w:rtl/>
          <w:lang w:val="fr-CH"/>
        </w:rPr>
        <w:t>52</w:t>
      </w:r>
      <w:r w:rsidR="004D60D1">
        <w:rPr>
          <w:rFonts w:hint="cs"/>
          <w:rtl/>
          <w:lang w:val="fr-CH"/>
        </w:rPr>
        <w:t>/</w:t>
      </w:r>
      <w:r w:rsidR="004D60D1" w:rsidRPr="00D20D41">
        <w:rPr>
          <w:rtl/>
          <w:lang w:val="fr-CH"/>
        </w:rPr>
        <w:t>2016</w:t>
      </w:r>
      <w:r w:rsidRPr="00664CDC">
        <w:rPr>
          <w:vertAlign w:val="superscript"/>
          <w:rtl/>
          <w:lang w:val="fr-CH"/>
        </w:rPr>
        <w:t>(</w:t>
      </w:r>
      <w:r w:rsidRPr="00D20D41">
        <w:rPr>
          <w:rStyle w:val="FootnoteReference"/>
          <w:szCs w:val="22"/>
          <w:lang w:val="en-US"/>
        </w:rPr>
        <w:footnoteReference w:id="8"/>
      </w:r>
      <w:r w:rsidRPr="00664CDC">
        <w:rPr>
          <w:vertAlign w:val="superscript"/>
          <w:rtl/>
          <w:lang w:val="fr-CH"/>
        </w:rPr>
        <w:t>)</w:t>
      </w:r>
      <w:r w:rsidRPr="00664CDC">
        <w:rPr>
          <w:rtl/>
          <w:lang w:val="fr-CH"/>
        </w:rPr>
        <w:t xml:space="preserve"> على الرغم من إخطارهما بالبريد وفي</w:t>
      </w:r>
      <w:r w:rsidR="004D60D1">
        <w:rPr>
          <w:rFonts w:hint="cs"/>
          <w:rtl/>
          <w:lang w:val="fr-CH"/>
        </w:rPr>
        <w:t> </w:t>
      </w:r>
      <w:r w:rsidRPr="00664CDC">
        <w:rPr>
          <w:rtl/>
          <w:lang w:val="fr-CH"/>
        </w:rPr>
        <w:t xml:space="preserve">الجريدة الرسمية المؤرخة </w:t>
      </w:r>
      <w:r w:rsidRPr="00D20D41">
        <w:rPr>
          <w:rtl/>
          <w:lang w:val="fr-CH"/>
        </w:rPr>
        <w:t>11</w:t>
      </w:r>
      <w:r w:rsidRPr="00664CDC">
        <w:rPr>
          <w:rtl/>
          <w:lang w:val="fr-CH"/>
        </w:rPr>
        <w:t xml:space="preserve"> تشرين الأول/أكتوبر </w:t>
      </w:r>
      <w:r w:rsidRPr="00D20D41">
        <w:rPr>
          <w:rtl/>
          <w:lang w:val="fr-CH"/>
        </w:rPr>
        <w:t>2017</w:t>
      </w:r>
      <w:r w:rsidRPr="00664CDC">
        <w:rPr>
          <w:rtl/>
          <w:lang w:val="fr-CH"/>
        </w:rPr>
        <w:t xml:space="preserve">. وبناء على ذلك، قررت المديرية العامة للإسكان والتأهيل في </w:t>
      </w:r>
      <w:r w:rsidRPr="00D20D41">
        <w:rPr>
          <w:rtl/>
          <w:lang w:val="fr-CH"/>
        </w:rPr>
        <w:t>31</w:t>
      </w:r>
      <w:r w:rsidRPr="00664CDC">
        <w:rPr>
          <w:rtl/>
          <w:lang w:val="fr-CH"/>
        </w:rPr>
        <w:t xml:space="preserve"> كانون الثاني/يناير </w:t>
      </w:r>
      <w:r w:rsidRPr="00D20D41">
        <w:rPr>
          <w:rtl/>
          <w:lang w:val="fr-CH"/>
        </w:rPr>
        <w:t>2019</w:t>
      </w:r>
      <w:r w:rsidRPr="00664CDC">
        <w:rPr>
          <w:rtl/>
          <w:lang w:val="fr-CH"/>
        </w:rPr>
        <w:t xml:space="preserve"> إغلاق طلب صاحبي البلاغ للحصول على سكن. </w:t>
      </w:r>
    </w:p>
    <w:p w14:paraId="359FBB03" w14:textId="57198FBF" w:rsidR="00664CDC" w:rsidRPr="00664CDC" w:rsidRDefault="00664CDC" w:rsidP="00664CDC">
      <w:pPr>
        <w:pStyle w:val="SingleTxtGA"/>
        <w:rPr>
          <w:lang w:val="fr-CH"/>
        </w:rPr>
      </w:pPr>
      <w:r w:rsidRPr="00D20D41">
        <w:rPr>
          <w:rtl/>
          <w:lang w:val="fr-CH"/>
        </w:rPr>
        <w:t>4</w:t>
      </w:r>
      <w:r w:rsidRPr="00664CDC">
        <w:rPr>
          <w:rtl/>
          <w:lang w:val="fr-CH"/>
        </w:rPr>
        <w:t>-</w:t>
      </w:r>
      <w:r w:rsidRPr="00D20D41">
        <w:rPr>
          <w:rtl/>
          <w:lang w:val="fr-CH"/>
        </w:rPr>
        <w:t>3</w:t>
      </w:r>
      <w:r w:rsidRPr="00664CDC">
        <w:rPr>
          <w:rtl/>
          <w:lang w:val="fr-CH"/>
        </w:rPr>
        <w:tab/>
        <w:t>ووفق</w:t>
      </w:r>
      <w:r w:rsidR="00D61FBF">
        <w:rPr>
          <w:rtl/>
          <w:lang w:val="fr-CH"/>
        </w:rPr>
        <w:t xml:space="preserve">اً </w:t>
      </w:r>
      <w:r w:rsidRPr="00664CDC">
        <w:rPr>
          <w:rtl/>
          <w:lang w:val="fr-CH"/>
        </w:rPr>
        <w:t>للدولة الطرف، بما أن الغرض من أمر الإخلاء هو حماية المالك الشرعي للعقار الذي يشغله صاحبا البلاغ وبما أن صاحبي البلاغ لم يبديا أي اهتمام بالحصول على سكن بديل ولم يبذلا أي</w:t>
      </w:r>
      <w:r w:rsidR="004D60D1">
        <w:rPr>
          <w:rFonts w:hint="cs"/>
          <w:rtl/>
          <w:lang w:val="fr-CH"/>
        </w:rPr>
        <w:t> </w:t>
      </w:r>
      <w:r w:rsidRPr="00664CDC">
        <w:rPr>
          <w:rtl/>
          <w:lang w:val="fr-CH"/>
        </w:rPr>
        <w:t>جهد للحصول على سكن بديل، فإنهما لم يقدما الوثائق المطلوبة من المديرية العامة للإسكان والتأهيل، ولذلك، ينبغي رفع التدابير المؤقتة ووقف النظر في البلاغ.</w:t>
      </w:r>
    </w:p>
    <w:p w14:paraId="4BD63556" w14:textId="77777777" w:rsidR="00664CDC" w:rsidRPr="00D20D41" w:rsidRDefault="00664CDC" w:rsidP="006670EA">
      <w:pPr>
        <w:pStyle w:val="H23GA"/>
      </w:pPr>
      <w:r w:rsidRPr="00D20D41">
        <w:rPr>
          <w:rtl/>
        </w:rPr>
        <w:tab/>
      </w:r>
      <w:r w:rsidRPr="00D20D41">
        <w:rPr>
          <w:rtl/>
        </w:rPr>
        <w:tab/>
        <w:t>تعليقات صاحبي البلاغ على طلب الدولة الطرف رفع التدابير المؤقتة وحفظ البلاغ</w:t>
      </w:r>
    </w:p>
    <w:p w14:paraId="73C8F683" w14:textId="0B727350" w:rsidR="00664CDC" w:rsidRPr="00664CDC" w:rsidRDefault="00664CDC" w:rsidP="00664CDC">
      <w:pPr>
        <w:pStyle w:val="SingleTxtGA"/>
        <w:rPr>
          <w:lang w:val="fr-CH"/>
        </w:rPr>
      </w:pPr>
      <w:r w:rsidRPr="00D20D41">
        <w:rPr>
          <w:rtl/>
          <w:lang w:val="fr-CH"/>
        </w:rPr>
        <w:t>5</w:t>
      </w:r>
      <w:r w:rsidRPr="00664CDC">
        <w:rPr>
          <w:rtl/>
          <w:lang w:val="fr-CH"/>
        </w:rPr>
        <w:t>-</w:t>
      </w:r>
      <w:r w:rsidRPr="00D20D41">
        <w:rPr>
          <w:rtl/>
          <w:lang w:val="fr-CH"/>
        </w:rPr>
        <w:t>1</w:t>
      </w:r>
      <w:r w:rsidRPr="00664CDC">
        <w:rPr>
          <w:rtl/>
          <w:lang w:val="fr-CH"/>
        </w:rPr>
        <w:tab/>
      </w:r>
      <w:r w:rsidRPr="00E00155">
        <w:rPr>
          <w:spacing w:val="-2"/>
          <w:rtl/>
          <w:lang w:val="fr-CH"/>
        </w:rPr>
        <w:t xml:space="preserve">في </w:t>
      </w:r>
      <w:r w:rsidRPr="00D20D41">
        <w:rPr>
          <w:spacing w:val="-2"/>
          <w:rtl/>
          <w:lang w:val="fr-CH"/>
        </w:rPr>
        <w:t>23</w:t>
      </w:r>
      <w:r w:rsidRPr="00E00155">
        <w:rPr>
          <w:spacing w:val="-2"/>
          <w:rtl/>
          <w:lang w:val="fr-CH"/>
        </w:rPr>
        <w:t xml:space="preserve"> أيار/مايو </w:t>
      </w:r>
      <w:r w:rsidRPr="00D20D41">
        <w:rPr>
          <w:spacing w:val="-2"/>
          <w:rtl/>
          <w:lang w:val="fr-CH"/>
        </w:rPr>
        <w:t>2019</w:t>
      </w:r>
      <w:r w:rsidRPr="00E00155">
        <w:rPr>
          <w:spacing w:val="-2"/>
          <w:rtl/>
          <w:lang w:val="fr-CH"/>
        </w:rPr>
        <w:t>، أفاد صاحبا البلاغ بأنهما لا يستطيعان التقدم بطلب إلى حكومة مدريد</w:t>
      </w:r>
      <w:r w:rsidRPr="00664CDC">
        <w:rPr>
          <w:rtl/>
          <w:lang w:val="fr-CH"/>
        </w:rPr>
        <w:t xml:space="preserve"> الإقليمية للحصول على سكن من مساكن ذوي الاحتياجات الخاصة لأنهما غير مشردين. ومن الشروط </w:t>
      </w:r>
      <w:r w:rsidRPr="00664CDC">
        <w:rPr>
          <w:rtl/>
          <w:lang w:val="fr-CH"/>
        </w:rPr>
        <w:lastRenderedPageBreak/>
        <w:t xml:space="preserve">الأساسية لهذه الطلبات عدم وجود سكن لأي من أفراد الوحدة الأسرية. ومن ثم تعذر على صاحبي البلاغ تقديم الوثائق المطلوبة من المديرية العامة للإسكان </w:t>
      </w:r>
      <w:proofErr w:type="gramStart"/>
      <w:r w:rsidRPr="00664CDC">
        <w:rPr>
          <w:rtl/>
          <w:lang w:val="fr-CH"/>
        </w:rPr>
        <w:t>والتأهيل</w:t>
      </w:r>
      <w:r w:rsidRPr="00664CDC">
        <w:rPr>
          <w:vertAlign w:val="superscript"/>
          <w:rtl/>
          <w:lang w:val="fr-CH"/>
        </w:rPr>
        <w:t>(</w:t>
      </w:r>
      <w:proofErr w:type="gramEnd"/>
      <w:r w:rsidRPr="00D20D41">
        <w:rPr>
          <w:rStyle w:val="FootnoteReference"/>
          <w:szCs w:val="22"/>
          <w:lang w:val="en-US"/>
        </w:rPr>
        <w:footnoteReference w:id="9"/>
      </w:r>
      <w:r w:rsidRPr="00664CDC">
        <w:rPr>
          <w:vertAlign w:val="superscript"/>
          <w:rtl/>
          <w:lang w:val="fr-CH"/>
        </w:rPr>
        <w:t>)</w:t>
      </w:r>
      <w:r>
        <w:rPr>
          <w:rtl/>
          <w:lang w:val="fr-CH"/>
        </w:rPr>
        <w:t>.</w:t>
      </w:r>
      <w:r w:rsidRPr="00664CDC">
        <w:rPr>
          <w:rtl/>
          <w:lang w:val="fr-CH"/>
        </w:rPr>
        <w:t xml:space="preserve"> </w:t>
      </w:r>
    </w:p>
    <w:p w14:paraId="7FA5EA5C" w14:textId="09099158" w:rsidR="00664CDC" w:rsidRPr="00664CDC" w:rsidRDefault="00664CDC" w:rsidP="00664CDC">
      <w:pPr>
        <w:pStyle w:val="SingleTxtGA"/>
        <w:rPr>
          <w:lang w:val="fr-CH"/>
        </w:rPr>
      </w:pPr>
      <w:r w:rsidRPr="00D20D41">
        <w:rPr>
          <w:rtl/>
          <w:lang w:val="fr-CH"/>
        </w:rPr>
        <w:t>5</w:t>
      </w:r>
      <w:r w:rsidRPr="00664CDC">
        <w:rPr>
          <w:rtl/>
          <w:lang w:val="fr-CH"/>
        </w:rPr>
        <w:t>-</w:t>
      </w:r>
      <w:r w:rsidRPr="00D20D41">
        <w:rPr>
          <w:rtl/>
          <w:lang w:val="fr-CH"/>
        </w:rPr>
        <w:t>2</w:t>
      </w:r>
      <w:r w:rsidRPr="00664CDC">
        <w:rPr>
          <w:rtl/>
          <w:lang w:val="fr-CH"/>
        </w:rPr>
        <w:tab/>
        <w:t>وأشار صاحبا البلاغ، فيما يتعلق بظروفهما الخاصة، إلى عدم توفر أي سكن بديل لهما ويدعيان أنه على الرغم من أن السيد العزوان عزوز كان يتقاضى راتب</w:t>
      </w:r>
      <w:r w:rsidR="00D61FBF">
        <w:rPr>
          <w:rtl/>
          <w:lang w:val="fr-CH"/>
        </w:rPr>
        <w:t xml:space="preserve">اً </w:t>
      </w:r>
      <w:r w:rsidRPr="00664CDC">
        <w:rPr>
          <w:rtl/>
          <w:lang w:val="fr-CH"/>
        </w:rPr>
        <w:t xml:space="preserve">قدره </w:t>
      </w:r>
      <w:r w:rsidRPr="00D20D41">
        <w:rPr>
          <w:rtl/>
          <w:lang w:val="fr-CH"/>
        </w:rPr>
        <w:t>940</w:t>
      </w:r>
      <w:r w:rsidRPr="00664CDC">
        <w:rPr>
          <w:rtl/>
          <w:lang w:val="fr-CH"/>
        </w:rPr>
        <w:t xml:space="preserve"> يورو شهري</w:t>
      </w:r>
      <w:r w:rsidR="00D61FBF">
        <w:rPr>
          <w:rtl/>
          <w:lang w:val="fr-CH"/>
        </w:rPr>
        <w:t xml:space="preserve">اً </w:t>
      </w:r>
      <w:r w:rsidRPr="00664CDC">
        <w:rPr>
          <w:rtl/>
          <w:lang w:val="fr-CH"/>
        </w:rPr>
        <w:t xml:space="preserve">منذ آذار/مارس </w:t>
      </w:r>
      <w:r w:rsidRPr="00D20D41">
        <w:rPr>
          <w:rtl/>
          <w:lang w:val="fr-CH"/>
        </w:rPr>
        <w:t>2018</w:t>
      </w:r>
      <w:r w:rsidRPr="00664CDC">
        <w:rPr>
          <w:rtl/>
          <w:lang w:val="fr-CH"/>
        </w:rPr>
        <w:t xml:space="preserve">، فإن هذه المبالغ غير كافية لاستئجار مسكن من المساكن المملوكة للقطاع الخاص. </w:t>
      </w:r>
    </w:p>
    <w:p w14:paraId="1B1CC57C" w14:textId="1C658579" w:rsidR="00664CDC" w:rsidRPr="00664CDC" w:rsidRDefault="00664CDC" w:rsidP="00664CDC">
      <w:pPr>
        <w:pStyle w:val="SingleTxtGA"/>
        <w:rPr>
          <w:lang w:val="fr-CH"/>
        </w:rPr>
      </w:pPr>
      <w:r w:rsidRPr="00D20D41">
        <w:rPr>
          <w:rtl/>
          <w:lang w:val="fr-CH"/>
        </w:rPr>
        <w:t>5</w:t>
      </w:r>
      <w:r w:rsidRPr="00664CDC">
        <w:rPr>
          <w:rtl/>
          <w:lang w:val="fr-CH"/>
        </w:rPr>
        <w:t>-</w:t>
      </w:r>
      <w:r w:rsidRPr="00D20D41">
        <w:rPr>
          <w:rtl/>
          <w:lang w:val="fr-CH"/>
        </w:rPr>
        <w:t>3</w:t>
      </w:r>
      <w:r w:rsidRPr="00664CDC">
        <w:rPr>
          <w:rtl/>
          <w:lang w:val="fr-CH"/>
        </w:rPr>
        <w:tab/>
        <w:t>وقدم صاحبا البلاغ أيض</w:t>
      </w:r>
      <w:r w:rsidR="00D61FBF">
        <w:rPr>
          <w:rtl/>
          <w:lang w:val="fr-CH"/>
        </w:rPr>
        <w:t xml:space="preserve">اً </w:t>
      </w:r>
      <w:r w:rsidRPr="00664CDC">
        <w:rPr>
          <w:rtl/>
          <w:lang w:val="fr-CH"/>
        </w:rPr>
        <w:t>تقرير</w:t>
      </w:r>
      <w:r w:rsidR="00D61FBF">
        <w:rPr>
          <w:rtl/>
          <w:lang w:val="fr-CH"/>
        </w:rPr>
        <w:t xml:space="preserve">اً </w:t>
      </w:r>
      <w:r w:rsidRPr="00664CDC">
        <w:rPr>
          <w:rtl/>
          <w:lang w:val="fr-CH"/>
        </w:rPr>
        <w:t>صادر</w:t>
      </w:r>
      <w:r w:rsidR="00D61FBF">
        <w:rPr>
          <w:rtl/>
          <w:lang w:val="fr-CH"/>
        </w:rPr>
        <w:t xml:space="preserve">اً </w:t>
      </w:r>
      <w:r w:rsidRPr="00664CDC">
        <w:rPr>
          <w:rtl/>
          <w:lang w:val="fr-CH"/>
        </w:rPr>
        <w:t xml:space="preserve">عن إدارة الخدمات الاجتماعية في إل </w:t>
      </w:r>
      <w:proofErr w:type="spellStart"/>
      <w:r w:rsidRPr="00664CDC">
        <w:rPr>
          <w:rtl/>
          <w:lang w:val="fr-CH"/>
        </w:rPr>
        <w:t>ألامو</w:t>
      </w:r>
      <w:proofErr w:type="spellEnd"/>
      <w:r w:rsidRPr="00664CDC">
        <w:rPr>
          <w:rtl/>
          <w:lang w:val="fr-CH"/>
        </w:rPr>
        <w:t xml:space="preserve"> يذكر أنهما أظهرا اهتمام</w:t>
      </w:r>
      <w:r w:rsidR="00D61FBF">
        <w:rPr>
          <w:rtl/>
          <w:lang w:val="fr-CH"/>
        </w:rPr>
        <w:t xml:space="preserve">اً </w:t>
      </w:r>
      <w:r w:rsidRPr="00664CDC">
        <w:rPr>
          <w:rtl/>
          <w:lang w:val="fr-CH"/>
        </w:rPr>
        <w:t xml:space="preserve">بإيجاد سكن بديل، وأنه بالنظر إلى أن طلبهما للحصول على سكن قد أغلق لأن وضعهما </w:t>
      </w:r>
      <w:proofErr w:type="spellStart"/>
      <w:r w:rsidRPr="00664CDC">
        <w:rPr>
          <w:rtl/>
          <w:lang w:val="fr-CH"/>
        </w:rPr>
        <w:t>كمستقطنين</w:t>
      </w:r>
      <w:proofErr w:type="spellEnd"/>
      <w:r w:rsidRPr="00664CDC">
        <w:rPr>
          <w:rtl/>
          <w:lang w:val="fr-CH"/>
        </w:rPr>
        <w:t xml:space="preserve"> يشغلان عقار</w:t>
      </w:r>
      <w:r w:rsidR="00D61FBF">
        <w:rPr>
          <w:rtl/>
          <w:lang w:val="fr-CH"/>
        </w:rPr>
        <w:t xml:space="preserve">اً </w:t>
      </w:r>
      <w:r w:rsidRPr="00664CDC">
        <w:rPr>
          <w:rtl/>
          <w:lang w:val="fr-CH"/>
        </w:rPr>
        <w:t xml:space="preserve">بصورة غير قانونية لا يتفق مع التشريع ذي الصلة (المرسوم رقم </w:t>
      </w:r>
      <w:r w:rsidR="004D60D1" w:rsidRPr="00D20D41">
        <w:rPr>
          <w:rtl/>
          <w:lang w:val="fr-CH"/>
        </w:rPr>
        <w:t>19</w:t>
      </w:r>
      <w:r w:rsidR="004D60D1" w:rsidRPr="00664CDC">
        <w:rPr>
          <w:rtl/>
          <w:lang w:val="fr-CH"/>
        </w:rPr>
        <w:t>/</w:t>
      </w:r>
      <w:r w:rsidR="004D60D1" w:rsidRPr="00D20D41">
        <w:rPr>
          <w:rtl/>
          <w:lang w:val="fr-CH"/>
        </w:rPr>
        <w:t>2006</w:t>
      </w:r>
      <w:r w:rsidRPr="00664CDC">
        <w:rPr>
          <w:rtl/>
          <w:lang w:val="fr-CH"/>
        </w:rPr>
        <w:t>)، فإن إيجاد سكن بديل لهما يعتبر أمر</w:t>
      </w:r>
      <w:r w:rsidR="00D61FBF">
        <w:rPr>
          <w:rtl/>
          <w:lang w:val="fr-CH"/>
        </w:rPr>
        <w:t xml:space="preserve">اً </w:t>
      </w:r>
      <w:proofErr w:type="gramStart"/>
      <w:r w:rsidRPr="00664CDC">
        <w:rPr>
          <w:rtl/>
          <w:lang w:val="fr-CH"/>
        </w:rPr>
        <w:t>ضروريا</w:t>
      </w:r>
      <w:r w:rsidR="00D61FBF">
        <w:rPr>
          <w:rFonts w:hint="cs"/>
          <w:rtl/>
          <w:lang w:val="fr-CH"/>
        </w:rPr>
        <w:t>ً</w:t>
      </w:r>
      <w:r w:rsidRPr="00664CDC">
        <w:rPr>
          <w:vertAlign w:val="superscript"/>
          <w:rtl/>
          <w:lang w:val="fr-CH"/>
        </w:rPr>
        <w:t>(</w:t>
      </w:r>
      <w:proofErr w:type="gramEnd"/>
      <w:r w:rsidRPr="00D20D41">
        <w:rPr>
          <w:rStyle w:val="FootnoteReference"/>
          <w:szCs w:val="22"/>
          <w:lang w:val="en-US"/>
        </w:rPr>
        <w:footnoteReference w:id="10"/>
      </w:r>
      <w:r w:rsidRPr="00664CDC">
        <w:rPr>
          <w:vertAlign w:val="superscript"/>
          <w:rtl/>
          <w:lang w:val="fr-CH"/>
        </w:rPr>
        <w:t>)</w:t>
      </w:r>
      <w:r>
        <w:rPr>
          <w:rtl/>
          <w:lang w:val="fr-CH"/>
        </w:rPr>
        <w:t>.</w:t>
      </w:r>
      <w:r w:rsidRPr="00664CDC">
        <w:rPr>
          <w:rtl/>
          <w:lang w:val="fr-CH"/>
        </w:rPr>
        <w:t xml:space="preserve"> وما لم يتم ذلك، ستترك الأسرة، التي تضم ابن صاحبي البلاغ، الذي يعاني من إعاقة بنسبة </w:t>
      </w:r>
      <w:r w:rsidRPr="00D20D41">
        <w:rPr>
          <w:rtl/>
          <w:lang w:val="fr-CH"/>
        </w:rPr>
        <w:t>33</w:t>
      </w:r>
      <w:r w:rsidRPr="00664CDC">
        <w:rPr>
          <w:rtl/>
          <w:lang w:val="fr-CH"/>
        </w:rPr>
        <w:t xml:space="preserve"> في المائة، في الشارع ولن يكون الطفل محمي</w:t>
      </w:r>
      <w:r w:rsidR="00FD03FB">
        <w:rPr>
          <w:rtl/>
          <w:lang w:val="fr-CH"/>
        </w:rPr>
        <w:t>اً.</w:t>
      </w:r>
      <w:r w:rsidRPr="00664CDC">
        <w:rPr>
          <w:rtl/>
          <w:lang w:val="fr-CH"/>
        </w:rPr>
        <w:t xml:space="preserve"> </w:t>
      </w:r>
    </w:p>
    <w:p w14:paraId="39D0D57A" w14:textId="77777777" w:rsidR="00664CDC" w:rsidRPr="00D20D41" w:rsidRDefault="00664CDC" w:rsidP="006670EA">
      <w:pPr>
        <w:pStyle w:val="H23GA"/>
      </w:pPr>
      <w:r w:rsidRPr="00D20D41">
        <w:rPr>
          <w:rtl/>
        </w:rPr>
        <w:tab/>
      </w:r>
      <w:r w:rsidRPr="00D20D41">
        <w:rPr>
          <w:rtl/>
        </w:rPr>
        <w:tab/>
        <w:t>نظر اللجنة في طلب الدولة الطرف</w:t>
      </w:r>
    </w:p>
    <w:p w14:paraId="1B9A8256" w14:textId="64804436" w:rsidR="00664CDC" w:rsidRPr="00664CDC" w:rsidRDefault="00664CDC" w:rsidP="00664CDC">
      <w:pPr>
        <w:pStyle w:val="SingleTxtGA"/>
        <w:rPr>
          <w:lang w:val="fr-CH"/>
        </w:rPr>
      </w:pPr>
      <w:r w:rsidRPr="00D20D41">
        <w:rPr>
          <w:rtl/>
          <w:lang w:val="fr-CH"/>
        </w:rPr>
        <w:t>6</w:t>
      </w:r>
      <w:r w:rsidRPr="00664CDC">
        <w:rPr>
          <w:rtl/>
          <w:lang w:val="fr-CH"/>
        </w:rPr>
        <w:t>-</w:t>
      </w:r>
      <w:r w:rsidRPr="00664CDC">
        <w:rPr>
          <w:rtl/>
          <w:lang w:val="fr-CH"/>
        </w:rPr>
        <w:tab/>
        <w:t xml:space="preserve">في </w:t>
      </w:r>
      <w:r w:rsidRPr="00D20D41">
        <w:rPr>
          <w:rtl/>
          <w:lang w:val="fr-CH"/>
        </w:rPr>
        <w:t>18</w:t>
      </w:r>
      <w:r w:rsidRPr="00664CDC">
        <w:rPr>
          <w:rtl/>
          <w:lang w:val="fr-CH"/>
        </w:rPr>
        <w:t xml:space="preserve"> أيلول/سبتمبر </w:t>
      </w:r>
      <w:r w:rsidRPr="00D20D41">
        <w:rPr>
          <w:rtl/>
          <w:lang w:val="fr-CH"/>
        </w:rPr>
        <w:t>2019</w:t>
      </w:r>
      <w:r w:rsidRPr="00664CDC">
        <w:rPr>
          <w:rtl/>
          <w:lang w:val="fr-CH"/>
        </w:rPr>
        <w:t>، وبالنظر إلى المعلومات الواردة من الدولة الطرف ومن صاحبي البلاغ، قررت اللجنة رفض طلب رفع التدابير المؤقتة لعدم ثبوت زوال خطر إلحاق ضرر لا يمكن إصلاحه بصاحبي البلاغ وابنهما. وقررت اللجنة أيض</w:t>
      </w:r>
      <w:r w:rsidR="00D61FBF">
        <w:rPr>
          <w:rtl/>
          <w:lang w:val="fr-CH"/>
        </w:rPr>
        <w:t xml:space="preserve">اً </w:t>
      </w:r>
      <w:r w:rsidRPr="00664CDC">
        <w:rPr>
          <w:rtl/>
          <w:lang w:val="fr-CH"/>
        </w:rPr>
        <w:t>عدم وقف النظر في البلاغ، لأن ذلك لا يمكن أن يتم إلا إذا كانت المعلومات المقدمة من الطرفين تعطي أسباب</w:t>
      </w:r>
      <w:r w:rsidR="00D61FBF">
        <w:rPr>
          <w:rtl/>
          <w:lang w:val="fr-CH"/>
        </w:rPr>
        <w:t xml:space="preserve">اً </w:t>
      </w:r>
      <w:r w:rsidRPr="00664CDC">
        <w:rPr>
          <w:rtl/>
          <w:lang w:val="fr-CH"/>
        </w:rPr>
        <w:t xml:space="preserve">للاعتقاد بأنه قد يتم التوصل إلى حل للنزاع، وهو ما لم يحدث في الحالة قيد الدرس. </w:t>
      </w:r>
    </w:p>
    <w:p w14:paraId="1186EEFE" w14:textId="77777777" w:rsidR="00664CDC" w:rsidRPr="00D20D41" w:rsidRDefault="00664CDC" w:rsidP="006670EA">
      <w:pPr>
        <w:pStyle w:val="H23GA"/>
      </w:pPr>
      <w:r w:rsidRPr="00D20D41">
        <w:rPr>
          <w:rtl/>
        </w:rPr>
        <w:tab/>
      </w:r>
      <w:r w:rsidRPr="00D20D41">
        <w:rPr>
          <w:rtl/>
        </w:rPr>
        <w:tab/>
        <w:t xml:space="preserve">ملاحظات الدولة الطرف بشأن مقبولية البلاغ وأسسه الموضوعية </w:t>
      </w:r>
    </w:p>
    <w:p w14:paraId="008B4046" w14:textId="0FD65AE3"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1</w:t>
      </w:r>
      <w:r w:rsidRPr="00664CDC">
        <w:rPr>
          <w:rtl/>
          <w:lang w:val="fr-CH"/>
        </w:rPr>
        <w:tab/>
        <w:t xml:space="preserve">في </w:t>
      </w:r>
      <w:r w:rsidRPr="00D20D41">
        <w:rPr>
          <w:rtl/>
          <w:lang w:val="fr-CH"/>
        </w:rPr>
        <w:t>18</w:t>
      </w:r>
      <w:r w:rsidRPr="00664CDC">
        <w:rPr>
          <w:rtl/>
          <w:lang w:val="fr-CH"/>
        </w:rPr>
        <w:t xml:space="preserve"> تشرين الأول/أكتوبر </w:t>
      </w:r>
      <w:r w:rsidRPr="00D20D41">
        <w:rPr>
          <w:rtl/>
          <w:lang w:val="fr-CH"/>
        </w:rPr>
        <w:t>2019</w:t>
      </w:r>
      <w:r w:rsidRPr="00664CDC">
        <w:rPr>
          <w:rtl/>
          <w:lang w:val="fr-CH"/>
        </w:rPr>
        <w:t xml:space="preserve">، قدمت الدولة الطرف ملاحظاتها بشأن البلاغ. فقد أعربت الدولة الطرف عن عدم موافقتها على قرار اللجنة بعدم التوقف عن النظر في البلاغ (انظر الفقرة </w:t>
      </w:r>
      <w:r w:rsidRPr="00D20D41">
        <w:rPr>
          <w:rtl/>
          <w:lang w:val="fr-CH"/>
        </w:rPr>
        <w:t>6</w:t>
      </w:r>
      <w:r w:rsidRPr="00664CDC">
        <w:rPr>
          <w:rtl/>
          <w:lang w:val="fr-CH"/>
        </w:rPr>
        <w:t xml:space="preserve"> أعلاه)، لأن هذا القرار يعني أنه يلزمها تقديم ملاحظات بشأن الأسس الموضوعية لنزاع لا يزال قائم</w:t>
      </w:r>
      <w:r w:rsidR="00FD03FB">
        <w:rPr>
          <w:rtl/>
          <w:lang w:val="fr-CH"/>
        </w:rPr>
        <w:t>اً،</w:t>
      </w:r>
      <w:r w:rsidRPr="00664CDC">
        <w:rPr>
          <w:rtl/>
          <w:lang w:val="fr-CH"/>
        </w:rPr>
        <w:t xml:space="preserve"> وبالتالي خارج نطاق البروتوكول الاختياري، ولا سيما المادة </w:t>
      </w:r>
      <w:r w:rsidRPr="00D20D41">
        <w:rPr>
          <w:rtl/>
          <w:lang w:val="fr-CH"/>
        </w:rPr>
        <w:t>3</w:t>
      </w:r>
      <w:r w:rsidRPr="00664CDC">
        <w:rPr>
          <w:rtl/>
          <w:lang w:val="fr-CH"/>
        </w:rPr>
        <w:t>(</w:t>
      </w:r>
      <w:r w:rsidRPr="00D20D41">
        <w:rPr>
          <w:rtl/>
          <w:lang w:val="fr-CH"/>
        </w:rPr>
        <w:t>1</w:t>
      </w:r>
      <w:r w:rsidRPr="00664CDC">
        <w:rPr>
          <w:rtl/>
          <w:lang w:val="fr-CH"/>
        </w:rPr>
        <w:t>)، انتهاك</w:t>
      </w:r>
      <w:r w:rsidR="00D61FBF">
        <w:rPr>
          <w:rtl/>
          <w:lang w:val="fr-CH"/>
        </w:rPr>
        <w:t xml:space="preserve">اً </w:t>
      </w:r>
      <w:r w:rsidRPr="00664CDC">
        <w:rPr>
          <w:rtl/>
          <w:lang w:val="fr-CH"/>
        </w:rPr>
        <w:t>للقاعدة التي تحصر الولاية القضائية في المحاكم المحلية. وترى الدولة الطرف تناقض</w:t>
      </w:r>
      <w:r w:rsidR="00D61FBF">
        <w:rPr>
          <w:rtl/>
          <w:lang w:val="fr-CH"/>
        </w:rPr>
        <w:t xml:space="preserve">اً </w:t>
      </w:r>
      <w:r w:rsidRPr="00664CDC">
        <w:rPr>
          <w:rtl/>
          <w:lang w:val="fr-CH"/>
        </w:rPr>
        <w:t xml:space="preserve">في حقيقة أن صاحبي البلاغ مطالبان باستنفاد سبل الانتصاف المحلية بينما تطلب من الدولة الطرف الإبلاغ عن إجراء مستمر، لا سيما عندما يوفر النظام القانوني للدولة الطرف آليات مختلفة للطعن في القرارات القضائية والإدارية في حالة الخلاف، وهي آليات قد تؤدي إلى مسارات مختلفة في الإجراءات المتبعة. لكن الدولة الطرف، ولتجنب المساس بحق الدفاع، تقدم فيما يلي ملاحظاتها بشأن مقبولية البلاغ وأسسه الموضوعية. </w:t>
      </w:r>
    </w:p>
    <w:p w14:paraId="792D612B" w14:textId="4467412B"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2</w:t>
      </w:r>
      <w:r w:rsidRPr="00664CDC">
        <w:rPr>
          <w:rtl/>
          <w:lang w:val="fr-CH"/>
        </w:rPr>
        <w:tab/>
        <w:t xml:space="preserve">وتشير الدولة الطرف إلى الإجراء الذي اتخذته السلطات المحلية والإقليمية فيما يتعلق بصاحبي البلاغ. وتؤكد أن المسؤولية عن الإسكان والرعاية الاجتماعية، ولا سيما إدارة وتخصيص المساكن الاجتماعية الطارئة، تقع على عاتق المناطق المتمتعة بالحكم </w:t>
      </w:r>
      <w:proofErr w:type="gramStart"/>
      <w:r w:rsidRPr="00664CDC">
        <w:rPr>
          <w:rtl/>
          <w:lang w:val="fr-CH"/>
        </w:rPr>
        <w:t>الذاتي</w:t>
      </w:r>
      <w:r w:rsidRPr="00664CDC">
        <w:rPr>
          <w:vertAlign w:val="superscript"/>
          <w:rtl/>
          <w:lang w:val="fr-CH"/>
        </w:rPr>
        <w:t>(</w:t>
      </w:r>
      <w:proofErr w:type="gramEnd"/>
      <w:r w:rsidRPr="00D20D41">
        <w:rPr>
          <w:rStyle w:val="FootnoteReference"/>
          <w:szCs w:val="22"/>
          <w:lang w:val="en-US"/>
        </w:rPr>
        <w:footnoteReference w:id="11"/>
      </w:r>
      <w:r w:rsidRPr="00664CDC">
        <w:rPr>
          <w:vertAlign w:val="superscript"/>
          <w:rtl/>
          <w:lang w:val="fr-CH"/>
        </w:rPr>
        <w:t>)</w:t>
      </w:r>
      <w:r>
        <w:rPr>
          <w:rtl/>
          <w:lang w:val="fr-CH"/>
        </w:rPr>
        <w:t>.</w:t>
      </w:r>
      <w:r w:rsidRPr="00664CDC">
        <w:rPr>
          <w:rtl/>
          <w:lang w:val="fr-CH"/>
        </w:rPr>
        <w:t xml:space="preserve"> وفي منطقة مدريد، حيث يعيش صاحبا البلاغ، ينظم هذه المسألة المرسوم رقم </w:t>
      </w:r>
      <w:r w:rsidR="00D61FBF" w:rsidRPr="00D20D41">
        <w:rPr>
          <w:rtl/>
          <w:lang w:val="fr-CH"/>
        </w:rPr>
        <w:t>52</w:t>
      </w:r>
      <w:r w:rsidR="00D61FBF" w:rsidRPr="00664CDC">
        <w:rPr>
          <w:rtl/>
          <w:lang w:val="fr-CH"/>
        </w:rPr>
        <w:t>/</w:t>
      </w:r>
      <w:r w:rsidR="00D61FBF" w:rsidRPr="00D20D41">
        <w:rPr>
          <w:rtl/>
          <w:lang w:val="fr-CH"/>
        </w:rPr>
        <w:t>2016</w:t>
      </w:r>
      <w:r w:rsidRPr="00664CDC">
        <w:rPr>
          <w:rtl/>
          <w:lang w:val="fr-CH"/>
        </w:rPr>
        <w:t xml:space="preserve"> الذي يحدد عدد المساكن الاجتماعية وينظم </w:t>
      </w:r>
      <w:r w:rsidRPr="00664CDC">
        <w:rPr>
          <w:rtl/>
          <w:lang w:val="fr-CH"/>
        </w:rPr>
        <w:lastRenderedPageBreak/>
        <w:t xml:space="preserve">تخصيص المساكن. وعلى غرار ذلك، ينظم القانون رقم </w:t>
      </w:r>
      <w:r w:rsidR="00E00155" w:rsidRPr="00D20D41">
        <w:rPr>
          <w:rtl/>
          <w:lang w:val="fr-CH"/>
        </w:rPr>
        <w:t>11</w:t>
      </w:r>
      <w:r w:rsidR="00E00155" w:rsidRPr="00664CDC">
        <w:rPr>
          <w:rtl/>
          <w:lang w:val="fr-CH"/>
        </w:rPr>
        <w:t>/</w:t>
      </w:r>
      <w:r w:rsidR="00E00155" w:rsidRPr="00D20D41">
        <w:rPr>
          <w:rtl/>
          <w:lang w:val="fr-CH"/>
        </w:rPr>
        <w:t>2003</w:t>
      </w:r>
      <w:r w:rsidRPr="00664CDC">
        <w:rPr>
          <w:rtl/>
          <w:lang w:val="fr-CH"/>
        </w:rPr>
        <w:t xml:space="preserve"> بشأن الخدمات الاجتماعية في منطقة مدريد المساعدة الاجتماعية المتاحة من خلال الخدمات الاجتماعية. وتدفع الدولة الطرف بأن السلطات امتثلت لهذا التشريع في جميع الإجراءات المتخذة فيما يتعلق بصاحبي البلاغ. </w:t>
      </w:r>
    </w:p>
    <w:p w14:paraId="5CF5A11C" w14:textId="3593E082"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3</w:t>
      </w:r>
      <w:r w:rsidRPr="00664CDC">
        <w:rPr>
          <w:rtl/>
          <w:lang w:val="fr-CH"/>
        </w:rPr>
        <w:tab/>
      </w:r>
      <w:r w:rsidRPr="00B46B92">
        <w:rPr>
          <w:spacing w:val="-6"/>
          <w:rtl/>
          <w:lang w:val="fr-CH"/>
        </w:rPr>
        <w:t xml:space="preserve">وتلاحظ الدولة الطرف أنه عندما قدم صاحبا البلاغ بلاغهما إلى اللجنة في </w:t>
      </w:r>
      <w:r w:rsidRPr="00D20D41">
        <w:rPr>
          <w:spacing w:val="-6"/>
          <w:rtl/>
          <w:lang w:val="fr-CH"/>
        </w:rPr>
        <w:t>19</w:t>
      </w:r>
      <w:r w:rsidRPr="00B46B92">
        <w:rPr>
          <w:spacing w:val="-6"/>
          <w:rtl/>
          <w:lang w:val="fr-CH"/>
        </w:rPr>
        <w:t xml:space="preserve"> أيلول/سبتمبر </w:t>
      </w:r>
      <w:r w:rsidRPr="00D20D41">
        <w:rPr>
          <w:spacing w:val="-6"/>
          <w:rtl/>
          <w:lang w:val="fr-CH"/>
        </w:rPr>
        <w:t>2018</w:t>
      </w:r>
      <w:r w:rsidRPr="00B46B92">
        <w:rPr>
          <w:spacing w:val="-6"/>
          <w:rtl/>
          <w:lang w:val="fr-CH"/>
        </w:rPr>
        <w:t>،</w:t>
      </w:r>
      <w:r w:rsidRPr="00664CDC">
        <w:rPr>
          <w:rtl/>
          <w:lang w:val="fr-CH"/>
        </w:rPr>
        <w:t xml:space="preserve"> كان قد مر أكثر من عام على صدور الحكم المؤرخ </w:t>
      </w:r>
      <w:r w:rsidRPr="00D20D41">
        <w:rPr>
          <w:rtl/>
          <w:lang w:val="fr-CH"/>
        </w:rPr>
        <w:t>1</w:t>
      </w:r>
      <w:r w:rsidRPr="00664CDC">
        <w:rPr>
          <w:rtl/>
          <w:lang w:val="fr-CH"/>
        </w:rPr>
        <w:t xml:space="preserve"> آذار/مارس </w:t>
      </w:r>
      <w:r w:rsidRPr="00D20D41">
        <w:rPr>
          <w:rtl/>
          <w:lang w:val="fr-CH"/>
        </w:rPr>
        <w:t>2017</w:t>
      </w:r>
      <w:r w:rsidRPr="00664CDC">
        <w:rPr>
          <w:rtl/>
          <w:lang w:val="fr-CH"/>
        </w:rPr>
        <w:t xml:space="preserve"> الذي أمرهما بإخلاء الشقة، وكان طردهما قد أوقف مرة واحدة (في </w:t>
      </w:r>
      <w:r w:rsidRPr="00D20D41">
        <w:rPr>
          <w:rtl/>
          <w:lang w:val="fr-CH"/>
        </w:rPr>
        <w:t>2</w:t>
      </w:r>
      <w:r w:rsidRPr="00664CDC">
        <w:rPr>
          <w:rtl/>
          <w:lang w:val="fr-CH"/>
        </w:rPr>
        <w:t xml:space="preserve"> آذار/مارس </w:t>
      </w:r>
      <w:r w:rsidRPr="00D20D41">
        <w:rPr>
          <w:rtl/>
          <w:lang w:val="fr-CH"/>
        </w:rPr>
        <w:t>2018</w:t>
      </w:r>
      <w:r w:rsidRPr="00664CDC">
        <w:rPr>
          <w:rtl/>
          <w:lang w:val="fr-CH"/>
        </w:rPr>
        <w:t xml:space="preserve">). وترى الدولة الطرف أن النية الحقيقية </w:t>
      </w:r>
      <w:r w:rsidRPr="00B46B92">
        <w:rPr>
          <w:spacing w:val="-4"/>
          <w:rtl/>
          <w:lang w:val="fr-CH"/>
        </w:rPr>
        <w:t>لصاحبي البلاغ هي البقاء في الشقة التي يشغلانها، لأنهما لم يمارسا حقهما في التقدم بطلب للحصول على</w:t>
      </w:r>
      <w:r w:rsidRPr="00664CDC">
        <w:rPr>
          <w:rtl/>
          <w:lang w:val="fr-CH"/>
        </w:rPr>
        <w:t xml:space="preserve"> سكن اجتماعي؛ وأنهما قدما آخر طلب للحصول على هذا النوع من المساكن في </w:t>
      </w:r>
      <w:r w:rsidRPr="00D20D41">
        <w:rPr>
          <w:rtl/>
          <w:lang w:val="fr-CH"/>
        </w:rPr>
        <w:t>14</w:t>
      </w:r>
      <w:r w:rsidRPr="00664CDC">
        <w:rPr>
          <w:rtl/>
          <w:lang w:val="fr-CH"/>
        </w:rPr>
        <w:t xml:space="preserve"> شباط/فبراير </w:t>
      </w:r>
      <w:r w:rsidRPr="00D20D41">
        <w:rPr>
          <w:rtl/>
          <w:lang w:val="fr-CH"/>
        </w:rPr>
        <w:t>2017</w:t>
      </w:r>
      <w:r w:rsidRPr="00664CDC">
        <w:rPr>
          <w:rtl/>
          <w:lang w:val="fr-CH"/>
        </w:rPr>
        <w:t xml:space="preserve"> وهو طلب أُغلق في </w:t>
      </w:r>
      <w:r w:rsidRPr="00D20D41">
        <w:rPr>
          <w:rtl/>
          <w:lang w:val="fr-CH"/>
        </w:rPr>
        <w:t>31</w:t>
      </w:r>
      <w:r w:rsidRPr="00664CDC">
        <w:rPr>
          <w:rtl/>
          <w:lang w:val="fr-CH"/>
        </w:rPr>
        <w:t xml:space="preserve"> كانون الثاني/يناير </w:t>
      </w:r>
      <w:r w:rsidRPr="00D20D41">
        <w:rPr>
          <w:rtl/>
          <w:lang w:val="fr-CH"/>
        </w:rPr>
        <w:t>2019</w:t>
      </w:r>
      <w:r w:rsidRPr="00664CDC">
        <w:rPr>
          <w:rtl/>
          <w:lang w:val="fr-CH"/>
        </w:rPr>
        <w:t>، وفق</w:t>
      </w:r>
      <w:r w:rsidR="008137B9">
        <w:rPr>
          <w:rtl/>
          <w:lang w:val="fr-CH"/>
        </w:rPr>
        <w:t xml:space="preserve">اً </w:t>
      </w:r>
      <w:r w:rsidRPr="00664CDC">
        <w:rPr>
          <w:rtl/>
          <w:lang w:val="fr-CH"/>
        </w:rPr>
        <w:t>للتشريع المذكور أعلاه، لأنه لم يكن مكتمل</w:t>
      </w:r>
      <w:r w:rsidR="00FD03FB">
        <w:rPr>
          <w:rtl/>
          <w:lang w:val="fr-CH"/>
        </w:rPr>
        <w:t>اً.</w:t>
      </w:r>
      <w:r w:rsidRPr="00664CDC">
        <w:rPr>
          <w:rtl/>
          <w:lang w:val="fr-CH"/>
        </w:rPr>
        <w:t xml:space="preserve"> وتفيد الدولة الطرف بعدم تسجيل أي طلبات جديدة من صاحبي البلاغ للحصول على سكن اجتماعي لدى أي من السلطات المختصة في مجال الإسكان. وتشير الدولة الطرف إلى أن صاحبي البلاغ لم يتقدما بطلب للحصول على سكن عام بعد أن شغلا مسكنهما الحالي، إلا قبل أيام قليلة من صدور الحكم الذي </w:t>
      </w:r>
      <w:r w:rsidRPr="00B46B92">
        <w:rPr>
          <w:spacing w:val="-4"/>
          <w:rtl/>
          <w:lang w:val="fr-CH"/>
        </w:rPr>
        <w:t>يأمر بطردهما، لكنهما أيض</w:t>
      </w:r>
      <w:r w:rsidR="008137B9">
        <w:rPr>
          <w:spacing w:val="-4"/>
          <w:rtl/>
          <w:lang w:val="fr-CH"/>
        </w:rPr>
        <w:t xml:space="preserve">اً </w:t>
      </w:r>
      <w:r w:rsidRPr="00B46B92">
        <w:rPr>
          <w:spacing w:val="-4"/>
          <w:rtl/>
          <w:lang w:val="fr-CH"/>
        </w:rPr>
        <w:t>لم يقدما الوثائق المطلوبة من المديرية العامة للإسكان والتأهيل. وعلاوة على ذلك،</w:t>
      </w:r>
      <w:r w:rsidRPr="00664CDC">
        <w:rPr>
          <w:rtl/>
          <w:lang w:val="fr-CH"/>
        </w:rPr>
        <w:t xml:space="preserve"> لم يتخذ صاحبا البلاغ أي إجراء للطعن في قرار إغلاق طلبهما، رغم إخطارهما بذلك على النحو الواجب. </w:t>
      </w:r>
    </w:p>
    <w:p w14:paraId="5632A987" w14:textId="5F17E613"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4</w:t>
      </w:r>
      <w:r w:rsidRPr="00664CDC">
        <w:rPr>
          <w:rtl/>
          <w:lang w:val="fr-CH"/>
        </w:rPr>
        <w:tab/>
        <w:t>ولذلك ترى الدولة الطرف أن "النزاع" المعروض على اللجنة ليس أن صاحبي البلاغ طلبا الحصول على سكن اجتماعي ورفض طلبهما، ولذلك اضطرا إلى البقاء في الشقة التي يشغلانها حالي</w:t>
      </w:r>
      <w:r w:rsidR="00FD03FB">
        <w:rPr>
          <w:rtl/>
          <w:lang w:val="fr-CH"/>
        </w:rPr>
        <w:t>اً.</w:t>
      </w:r>
      <w:r w:rsidRPr="00664CDC">
        <w:rPr>
          <w:rtl/>
          <w:lang w:val="fr-CH"/>
        </w:rPr>
        <w:t xml:space="preserve"> بل</w:t>
      </w:r>
      <w:r w:rsidR="00FD03FB">
        <w:rPr>
          <w:rFonts w:hint="cs"/>
          <w:rtl/>
          <w:lang w:val="fr-CH"/>
        </w:rPr>
        <w:t> </w:t>
      </w:r>
      <w:r w:rsidRPr="00664CDC">
        <w:rPr>
          <w:rtl/>
          <w:lang w:val="fr-CH"/>
        </w:rPr>
        <w:t>إن "النزاع" يتعلق بحقيقة مفادها أن صاحبي البلاغ لم يكملا طلب الحصول على سكن اجتماعي على النحو الصحيح، وأن ما يسعيان إليه حق</w:t>
      </w:r>
      <w:r w:rsidR="00C96977">
        <w:rPr>
          <w:rtl/>
          <w:lang w:val="fr-CH"/>
        </w:rPr>
        <w:t xml:space="preserve">اً </w:t>
      </w:r>
      <w:r w:rsidRPr="00664CDC">
        <w:rPr>
          <w:rtl/>
          <w:lang w:val="fr-CH"/>
        </w:rPr>
        <w:t>هو الحصول على اتفاق إيجار اجتماعي للعقار الذي يشغلانه حالي</w:t>
      </w:r>
      <w:r w:rsidR="00FD03FB">
        <w:rPr>
          <w:rtl/>
          <w:lang w:val="fr-CH"/>
        </w:rPr>
        <w:t>اً،</w:t>
      </w:r>
      <w:r w:rsidRPr="00664CDC">
        <w:rPr>
          <w:rtl/>
          <w:lang w:val="fr-CH"/>
        </w:rPr>
        <w:t xml:space="preserve"> وهي رغبة يعربان عنها في بلاغهما. </w:t>
      </w:r>
    </w:p>
    <w:p w14:paraId="709E91A2" w14:textId="36423976" w:rsidR="00664CDC" w:rsidRPr="00B46B92" w:rsidRDefault="00664CDC" w:rsidP="00664CDC">
      <w:pPr>
        <w:pStyle w:val="SingleTxtGA"/>
        <w:rPr>
          <w:spacing w:val="-4"/>
          <w:lang w:val="fr-CH"/>
        </w:rPr>
      </w:pPr>
      <w:r w:rsidRPr="00D20D41">
        <w:rPr>
          <w:rtl/>
          <w:lang w:val="fr-CH"/>
        </w:rPr>
        <w:t>7</w:t>
      </w:r>
      <w:r w:rsidRPr="00664CDC">
        <w:rPr>
          <w:rtl/>
          <w:lang w:val="fr-CH"/>
        </w:rPr>
        <w:t>-</w:t>
      </w:r>
      <w:r w:rsidRPr="00D20D41">
        <w:rPr>
          <w:rtl/>
          <w:lang w:val="fr-CH"/>
        </w:rPr>
        <w:t>5</w:t>
      </w:r>
      <w:r w:rsidRPr="00664CDC">
        <w:rPr>
          <w:rtl/>
          <w:lang w:val="fr-CH"/>
        </w:rPr>
        <w:tab/>
        <w:t xml:space="preserve">وتفيد الدولة الطرف كذلك بأن طرد صاحبي البلاغ قد أوقف عدة مرات: في </w:t>
      </w:r>
      <w:r w:rsidRPr="00D20D41">
        <w:rPr>
          <w:rtl/>
          <w:lang w:val="fr-CH"/>
        </w:rPr>
        <w:t>2</w:t>
      </w:r>
      <w:r w:rsidRPr="00664CDC">
        <w:rPr>
          <w:rtl/>
          <w:lang w:val="fr-CH"/>
        </w:rPr>
        <w:t xml:space="preserve"> آذار/مارس</w:t>
      </w:r>
      <w:r w:rsidR="006670EA">
        <w:rPr>
          <w:rtl/>
          <w:lang w:val="fr-CH"/>
        </w:rPr>
        <w:t xml:space="preserve"> و</w:t>
      </w:r>
      <w:r w:rsidRPr="00D20D41">
        <w:rPr>
          <w:rtl/>
          <w:lang w:val="fr-CH"/>
        </w:rPr>
        <w:t>21</w:t>
      </w:r>
      <w:r w:rsidRPr="00664CDC">
        <w:rPr>
          <w:rtl/>
          <w:lang w:val="fr-CH"/>
        </w:rPr>
        <w:t xml:space="preserve"> أيلول/سبتمبر </w:t>
      </w:r>
      <w:r w:rsidRPr="00D20D41">
        <w:rPr>
          <w:rtl/>
          <w:lang w:val="fr-CH"/>
        </w:rPr>
        <w:t>2018</w:t>
      </w:r>
      <w:r w:rsidRPr="00664CDC">
        <w:rPr>
          <w:rtl/>
          <w:lang w:val="fr-CH"/>
        </w:rPr>
        <w:t xml:space="preserve">؛ وفي </w:t>
      </w:r>
      <w:r w:rsidRPr="00D20D41">
        <w:rPr>
          <w:rtl/>
          <w:lang w:val="fr-CH"/>
        </w:rPr>
        <w:t>31</w:t>
      </w:r>
      <w:r w:rsidRPr="00664CDC">
        <w:rPr>
          <w:rtl/>
          <w:lang w:val="fr-CH"/>
        </w:rPr>
        <w:t xml:space="preserve"> أيار/مايو </w:t>
      </w:r>
      <w:r w:rsidRPr="00D20D41">
        <w:rPr>
          <w:rtl/>
          <w:lang w:val="fr-CH"/>
        </w:rPr>
        <w:t>2019</w:t>
      </w:r>
      <w:r w:rsidRPr="00664CDC">
        <w:rPr>
          <w:rtl/>
          <w:lang w:val="fr-CH"/>
        </w:rPr>
        <w:t>. وتشدد على أن المصرف الذي يملك العقار وافق في التاريخين الأولين على وقف التنفيذ لإتاحة الوقت لصاحبي البلاغ لإيجاد حل. ووفق</w:t>
      </w:r>
      <w:r w:rsidR="00C96977">
        <w:rPr>
          <w:rtl/>
          <w:lang w:val="fr-CH"/>
        </w:rPr>
        <w:t xml:space="preserve">اً </w:t>
      </w:r>
      <w:r w:rsidRPr="00664CDC">
        <w:rPr>
          <w:rtl/>
          <w:lang w:val="fr-CH"/>
        </w:rPr>
        <w:t xml:space="preserve">للدولة الطرف، أوقفت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أيض</w:t>
      </w:r>
      <w:r w:rsidR="00C96977">
        <w:rPr>
          <w:rtl/>
          <w:lang w:val="fr-CH"/>
        </w:rPr>
        <w:t xml:space="preserve">اً </w:t>
      </w:r>
      <w:r w:rsidRPr="00664CDC">
        <w:rPr>
          <w:rtl/>
          <w:lang w:val="fr-CH"/>
        </w:rPr>
        <w:t xml:space="preserve">أمر الإخلاء الصادر في </w:t>
      </w:r>
      <w:r w:rsidRPr="00D20D41">
        <w:rPr>
          <w:rtl/>
          <w:lang w:val="fr-CH"/>
        </w:rPr>
        <w:t>31</w:t>
      </w:r>
      <w:r w:rsidRPr="00664CDC">
        <w:rPr>
          <w:rtl/>
          <w:lang w:val="fr-CH"/>
        </w:rPr>
        <w:t xml:space="preserve"> أيار/مايو </w:t>
      </w:r>
      <w:r w:rsidRPr="00D20D41">
        <w:rPr>
          <w:rtl/>
          <w:lang w:val="fr-CH"/>
        </w:rPr>
        <w:t>2019</w:t>
      </w:r>
      <w:r w:rsidRPr="00664CDC">
        <w:rPr>
          <w:rtl/>
          <w:lang w:val="fr-CH"/>
        </w:rPr>
        <w:t xml:space="preserve">، </w:t>
      </w:r>
      <w:r w:rsidRPr="00C63F94">
        <w:rPr>
          <w:spacing w:val="-2"/>
          <w:rtl/>
          <w:lang w:val="fr-CH"/>
        </w:rPr>
        <w:t>ولا تزال المحكمة تنظر في طلب المراجعة المقدم من المصرف للطعن في قرار وقف الإخلاء. وعليه، تؤكد</w:t>
      </w:r>
      <w:r w:rsidRPr="00664CDC">
        <w:rPr>
          <w:rtl/>
          <w:lang w:val="fr-CH"/>
        </w:rPr>
        <w:t xml:space="preserve"> الدولة الطرف أن صاحبي البلاغ لم يُطردا ولم يحدد أي موعد جديد لطردهما. وترى الدولة الطرف ضرورة أن يقدم صاحبا البلاغ معلومات عن حالتهما المالية الراهنة حتى يتسنى لها أن تحدد ما إذا كانت </w:t>
      </w:r>
      <w:r w:rsidRPr="00B46B92">
        <w:rPr>
          <w:spacing w:val="-4"/>
          <w:rtl/>
          <w:lang w:val="fr-CH"/>
        </w:rPr>
        <w:t xml:space="preserve">هناك أي إمكانية في الوقت الراهن لتوصلهما إلى اتفاق إيجار يتطابق مع دخلهما، ومن ثم تسوية وضعهما. </w:t>
      </w:r>
    </w:p>
    <w:p w14:paraId="0E45DBC8" w14:textId="0371AFB2"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6</w:t>
      </w:r>
      <w:r w:rsidRPr="00664CDC">
        <w:rPr>
          <w:rtl/>
          <w:lang w:val="fr-CH"/>
        </w:rPr>
        <w:tab/>
      </w:r>
      <w:r w:rsidRPr="00C63F94">
        <w:rPr>
          <w:spacing w:val="-2"/>
          <w:rtl/>
          <w:lang w:val="fr-CH"/>
        </w:rPr>
        <w:t>وترى الدولة الطرف أيض</w:t>
      </w:r>
      <w:r w:rsidR="00C96977" w:rsidRPr="00C63F94">
        <w:rPr>
          <w:spacing w:val="-2"/>
          <w:rtl/>
          <w:lang w:val="fr-CH"/>
        </w:rPr>
        <w:t xml:space="preserve">اً </w:t>
      </w:r>
      <w:r w:rsidRPr="00C63F94">
        <w:rPr>
          <w:spacing w:val="-2"/>
          <w:rtl/>
          <w:lang w:val="fr-CH"/>
        </w:rPr>
        <w:t>ضرورة إعلان عدم مقبولية البلاغ لعدم استنفاد سبل الانتصاف المحلية،</w:t>
      </w:r>
      <w:r w:rsidRPr="00664CDC">
        <w:rPr>
          <w:rtl/>
          <w:lang w:val="fr-CH"/>
        </w:rPr>
        <w:t xml:space="preserve"> </w:t>
      </w:r>
      <w:r w:rsidRPr="00C63F94">
        <w:rPr>
          <w:spacing w:val="-2"/>
          <w:rtl/>
          <w:lang w:val="fr-CH"/>
        </w:rPr>
        <w:t>لأن الإجراء القضائي الذي أدى إلى إصدار أمر بإخلاء صاحبي البلاغ لم ينفذ بعد ولا يزال صاحبا البلاغ</w:t>
      </w:r>
      <w:r w:rsidRPr="00664CDC">
        <w:rPr>
          <w:rtl/>
          <w:lang w:val="fr-CH"/>
        </w:rPr>
        <w:t xml:space="preserve"> يشغلان العقار. </w:t>
      </w:r>
    </w:p>
    <w:p w14:paraId="290D38BC" w14:textId="02FAF199"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7</w:t>
      </w:r>
      <w:r w:rsidRPr="00664CDC">
        <w:rPr>
          <w:rtl/>
          <w:lang w:val="fr-CH"/>
        </w:rPr>
        <w:tab/>
        <w:t xml:space="preserve">وتؤكد الدولة الطرف أن انتقال صاحبي البلاغ إلى الشقة قبل التقدم بطلب للحصول على سكن اجتماعي يوحي بأن سبل الانتصاف المتاحة لم تستنفد، وأن ما فعله صاحبا البلاغ هو "اختيار </w:t>
      </w:r>
      <w:proofErr w:type="spellStart"/>
      <w:r w:rsidRPr="00664CDC">
        <w:rPr>
          <w:rtl/>
          <w:lang w:val="fr-CH"/>
        </w:rPr>
        <w:t>الاستقطان</w:t>
      </w:r>
      <w:proofErr w:type="spellEnd"/>
      <w:r w:rsidRPr="00664CDC">
        <w:rPr>
          <w:rtl/>
          <w:lang w:val="fr-CH"/>
        </w:rPr>
        <w:t xml:space="preserve"> </w:t>
      </w:r>
      <w:r w:rsidRPr="00B46B92">
        <w:rPr>
          <w:spacing w:val="-4"/>
          <w:rtl/>
          <w:lang w:val="fr-CH"/>
        </w:rPr>
        <w:t>على الفور". والواقع أن صاحبي البلاغ اللذين لم يقدما طلب مراجعة إلى وزارة النقل والإسكان والبنية التحتية</w:t>
      </w:r>
      <w:r w:rsidRPr="00664CDC">
        <w:rPr>
          <w:rtl/>
          <w:lang w:val="fr-CH"/>
        </w:rPr>
        <w:t xml:space="preserve"> في </w:t>
      </w:r>
      <w:r w:rsidRPr="00B46B92">
        <w:rPr>
          <w:spacing w:val="-4"/>
          <w:rtl/>
          <w:lang w:val="fr-CH"/>
        </w:rPr>
        <w:t xml:space="preserve">حكومة مدريد الإقليمية للطعن في قرار إغلاق طلبهما الحصول على سكن، والذي صدر في </w:t>
      </w:r>
      <w:r w:rsidRPr="00D20D41">
        <w:rPr>
          <w:spacing w:val="-4"/>
          <w:rtl/>
          <w:lang w:val="fr-CH"/>
        </w:rPr>
        <w:t>31</w:t>
      </w:r>
      <w:r w:rsidRPr="00B46B92">
        <w:rPr>
          <w:spacing w:val="-4"/>
          <w:rtl/>
          <w:lang w:val="fr-CH"/>
        </w:rPr>
        <w:t xml:space="preserve"> كانون الثاني/</w:t>
      </w:r>
      <w:r w:rsidR="00B46B92">
        <w:rPr>
          <w:rFonts w:hint="cs"/>
          <w:rtl/>
          <w:lang w:val="fr-CH"/>
        </w:rPr>
        <w:t xml:space="preserve"> </w:t>
      </w:r>
      <w:r w:rsidRPr="008137B9">
        <w:rPr>
          <w:spacing w:val="-2"/>
          <w:rtl/>
          <w:lang w:val="fr-CH"/>
        </w:rPr>
        <w:t xml:space="preserve">يناير </w:t>
      </w:r>
      <w:r w:rsidRPr="00D20D41">
        <w:rPr>
          <w:spacing w:val="-2"/>
          <w:rtl/>
          <w:lang w:val="fr-CH"/>
        </w:rPr>
        <w:t>2019</w:t>
      </w:r>
      <w:r w:rsidRPr="008137B9">
        <w:rPr>
          <w:spacing w:val="-2"/>
          <w:rtl/>
          <w:lang w:val="fr-CH"/>
        </w:rPr>
        <w:t xml:space="preserve">، لم يستنفدا سبل الانتصاف المحلية </w:t>
      </w:r>
      <w:proofErr w:type="gramStart"/>
      <w:r w:rsidRPr="008137B9">
        <w:rPr>
          <w:spacing w:val="-2"/>
          <w:rtl/>
          <w:lang w:val="fr-CH"/>
        </w:rPr>
        <w:t>المتاحة</w:t>
      </w:r>
      <w:r w:rsidRPr="008137B9">
        <w:rPr>
          <w:spacing w:val="-2"/>
          <w:vertAlign w:val="superscript"/>
          <w:rtl/>
          <w:lang w:val="fr-CH"/>
        </w:rPr>
        <w:t>(</w:t>
      </w:r>
      <w:proofErr w:type="gramEnd"/>
      <w:r w:rsidRPr="00D20D41">
        <w:rPr>
          <w:rStyle w:val="FootnoteReference"/>
          <w:spacing w:val="-2"/>
          <w:szCs w:val="22"/>
          <w:lang w:val="en-US"/>
        </w:rPr>
        <w:footnoteReference w:id="12"/>
      </w:r>
      <w:r w:rsidRPr="008137B9">
        <w:rPr>
          <w:spacing w:val="-2"/>
          <w:vertAlign w:val="superscript"/>
          <w:rtl/>
          <w:lang w:val="fr-CH"/>
        </w:rPr>
        <w:t>)</w:t>
      </w:r>
      <w:r w:rsidRPr="008137B9">
        <w:rPr>
          <w:spacing w:val="-2"/>
          <w:rtl/>
          <w:lang w:val="fr-CH"/>
        </w:rPr>
        <w:t>. وقد ألغى صاحبا البلاغ، بإخفاقهما في</w:t>
      </w:r>
      <w:r w:rsidR="008137B9" w:rsidRPr="008137B9">
        <w:rPr>
          <w:rFonts w:hint="cs"/>
          <w:spacing w:val="-2"/>
          <w:rtl/>
          <w:lang w:val="fr-CH"/>
        </w:rPr>
        <w:t> </w:t>
      </w:r>
      <w:r w:rsidRPr="008137B9">
        <w:rPr>
          <w:spacing w:val="-2"/>
          <w:rtl/>
          <w:lang w:val="fr-CH"/>
        </w:rPr>
        <w:t>استنفاد</w:t>
      </w:r>
      <w:r w:rsidRPr="00664CDC">
        <w:rPr>
          <w:rtl/>
          <w:lang w:val="fr-CH"/>
        </w:rPr>
        <w:t xml:space="preserve"> </w:t>
      </w:r>
      <w:r w:rsidRPr="008137B9">
        <w:rPr>
          <w:spacing w:val="-2"/>
          <w:rtl/>
          <w:lang w:val="fr-CH"/>
        </w:rPr>
        <w:lastRenderedPageBreak/>
        <w:t>سبل الانتصاف الإدارية، أي إمكانية لاستنفاد سبل الانتصاف القضائية عن طريق الاستئناف أمام المحكمة</w:t>
      </w:r>
      <w:r w:rsidRPr="00664CDC">
        <w:rPr>
          <w:rtl/>
          <w:lang w:val="fr-CH"/>
        </w:rPr>
        <w:t xml:space="preserve"> الإدارية. وبالمثل، لم يستفد صاحبا البلاغ من التدابير الوقائية التي كان يمكن طلبها من خلال الإجراءات </w:t>
      </w:r>
      <w:proofErr w:type="gramStart"/>
      <w:r w:rsidRPr="00664CDC">
        <w:rPr>
          <w:rtl/>
          <w:lang w:val="fr-CH"/>
        </w:rPr>
        <w:t>الإدارية</w:t>
      </w:r>
      <w:r w:rsidRPr="00664CDC">
        <w:rPr>
          <w:vertAlign w:val="superscript"/>
          <w:rtl/>
          <w:lang w:val="fr-CH"/>
        </w:rPr>
        <w:t>(</w:t>
      </w:r>
      <w:proofErr w:type="gramEnd"/>
      <w:r w:rsidRPr="00D20D41">
        <w:rPr>
          <w:rStyle w:val="FootnoteReference"/>
          <w:szCs w:val="22"/>
          <w:lang w:val="en-US"/>
        </w:rPr>
        <w:footnoteReference w:id="13"/>
      </w:r>
      <w:r w:rsidRPr="00664CDC">
        <w:rPr>
          <w:vertAlign w:val="superscript"/>
          <w:rtl/>
          <w:lang w:val="fr-CH"/>
        </w:rPr>
        <w:t>)</w:t>
      </w:r>
      <w:r w:rsidR="008137B9">
        <w:rPr>
          <w:rFonts w:hint="cs"/>
          <w:rtl/>
          <w:lang w:val="fr-CH"/>
        </w:rPr>
        <w:t xml:space="preserve"> </w:t>
      </w:r>
      <w:r w:rsidRPr="00664CDC">
        <w:rPr>
          <w:rtl/>
          <w:lang w:val="fr-CH"/>
        </w:rPr>
        <w:t>أو القضائية</w:t>
      </w:r>
      <w:r w:rsidRPr="00664CDC">
        <w:rPr>
          <w:vertAlign w:val="superscript"/>
          <w:rtl/>
          <w:lang w:val="fr-CH"/>
        </w:rPr>
        <w:t>(</w:t>
      </w:r>
      <w:r w:rsidRPr="00D20D41">
        <w:rPr>
          <w:rStyle w:val="FootnoteReference"/>
          <w:szCs w:val="22"/>
          <w:lang w:val="en-US"/>
        </w:rPr>
        <w:footnoteReference w:id="14"/>
      </w:r>
      <w:r w:rsidRPr="00664CDC">
        <w:rPr>
          <w:vertAlign w:val="superscript"/>
          <w:rtl/>
          <w:lang w:val="fr-CH"/>
        </w:rPr>
        <w:t>)</w:t>
      </w:r>
      <w:r>
        <w:rPr>
          <w:rtl/>
          <w:lang w:val="fr-CH"/>
        </w:rPr>
        <w:t>.</w:t>
      </w:r>
      <w:r w:rsidRPr="00664CDC">
        <w:rPr>
          <w:rtl/>
          <w:lang w:val="fr-CH"/>
        </w:rPr>
        <w:t xml:space="preserve"> </w:t>
      </w:r>
    </w:p>
    <w:p w14:paraId="7B465D29" w14:textId="3E09658C"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8</w:t>
      </w:r>
      <w:r w:rsidRPr="00664CDC">
        <w:rPr>
          <w:rtl/>
          <w:lang w:val="fr-CH"/>
        </w:rPr>
        <w:tab/>
        <w:t xml:space="preserve">وتؤكد الدولة الطرف أنه لا يحق لأحد أن يشغل منزل شخص آخر وأن الحق في الملكية حق </w:t>
      </w:r>
      <w:r w:rsidRPr="00C63F94">
        <w:rPr>
          <w:spacing w:val="-2"/>
          <w:rtl/>
          <w:lang w:val="fr-CH"/>
        </w:rPr>
        <w:t xml:space="preserve">أساسي من حقوق الإنسان، وهو حق مكرس في المادة </w:t>
      </w:r>
      <w:r w:rsidRPr="00D20D41">
        <w:rPr>
          <w:spacing w:val="-2"/>
          <w:rtl/>
          <w:lang w:val="fr-CH"/>
        </w:rPr>
        <w:t>17</w:t>
      </w:r>
      <w:r w:rsidRPr="00C63F94">
        <w:rPr>
          <w:spacing w:val="-2"/>
          <w:rtl/>
          <w:lang w:val="fr-CH"/>
        </w:rPr>
        <w:t xml:space="preserve"> من الإعلان العالمي لحقوق الإنسان والمادة </w:t>
      </w:r>
      <w:r w:rsidRPr="00D20D41">
        <w:rPr>
          <w:spacing w:val="-2"/>
          <w:rtl/>
          <w:lang w:val="fr-CH"/>
        </w:rPr>
        <w:t>33</w:t>
      </w:r>
      <w:r w:rsidRPr="00C63F94">
        <w:rPr>
          <w:spacing w:val="-2"/>
          <w:rtl/>
          <w:lang w:val="fr-CH"/>
        </w:rPr>
        <w:t xml:space="preserve"> </w:t>
      </w:r>
      <w:r w:rsidRPr="00664CDC">
        <w:rPr>
          <w:rtl/>
          <w:lang w:val="fr-CH"/>
        </w:rPr>
        <w:t xml:space="preserve">من الدستور. ولهذه الأسباب، لا يجوز استخدام الحقوق المنصوص عليها في المادة </w:t>
      </w:r>
      <w:r w:rsidRPr="00D20D41">
        <w:rPr>
          <w:rtl/>
          <w:lang w:val="fr-CH"/>
        </w:rPr>
        <w:t>11</w:t>
      </w:r>
      <w:r w:rsidRPr="00664CDC">
        <w:rPr>
          <w:rtl/>
          <w:lang w:val="fr-CH"/>
        </w:rPr>
        <w:t>(</w:t>
      </w:r>
      <w:r w:rsidRPr="00D20D41">
        <w:rPr>
          <w:rtl/>
          <w:lang w:val="fr-CH"/>
        </w:rPr>
        <w:t>1</w:t>
      </w:r>
      <w:r w:rsidRPr="00664CDC">
        <w:rPr>
          <w:rtl/>
          <w:lang w:val="fr-CH"/>
        </w:rPr>
        <w:t xml:space="preserve">) من العهد لإضفاء الشرعية على شغل ممتلكات الآخرين. وقد اعترفت اللجنة بذلك في تعليقها العام رقم </w:t>
      </w:r>
      <w:r w:rsidRPr="00D20D41">
        <w:rPr>
          <w:rtl/>
          <w:lang w:val="fr-CH"/>
        </w:rPr>
        <w:t>7</w:t>
      </w:r>
      <w:r w:rsidRPr="00664CDC">
        <w:rPr>
          <w:rtl/>
          <w:lang w:val="fr-CH"/>
        </w:rPr>
        <w:t>(</w:t>
      </w:r>
      <w:r w:rsidRPr="00D20D41">
        <w:rPr>
          <w:rtl/>
          <w:lang w:val="fr-CH"/>
        </w:rPr>
        <w:t>1997</w:t>
      </w:r>
      <w:r w:rsidRPr="00664CDC">
        <w:rPr>
          <w:rtl/>
          <w:lang w:val="fr-CH"/>
        </w:rPr>
        <w:t>)، الذي تعترف فيه اللجنة بأن عمليات الإخلاء لها ما يبررها أحيان</w:t>
      </w:r>
      <w:r w:rsidR="00FD03FB">
        <w:rPr>
          <w:rtl/>
          <w:lang w:val="fr-CH"/>
        </w:rPr>
        <w:t>اً،</w:t>
      </w:r>
      <w:r w:rsidRPr="00664CDC">
        <w:rPr>
          <w:rtl/>
          <w:lang w:val="fr-CH"/>
        </w:rPr>
        <w:t xml:space="preserve"> بما في ذلك عندما يكون الشخص يشغل ممتلكات شخص آخر، ولكن يجب أن تتم بطريقة يبررها القانون، مع توفير سبل انتصاف قانونية كافية للمتضررين، في الوقت المناسب وفي حضور المسؤولين </w:t>
      </w:r>
      <w:proofErr w:type="gramStart"/>
      <w:r w:rsidRPr="00664CDC">
        <w:rPr>
          <w:rtl/>
          <w:lang w:val="fr-CH"/>
        </w:rPr>
        <w:t>المختصين</w:t>
      </w:r>
      <w:r w:rsidRPr="00664CDC">
        <w:rPr>
          <w:vertAlign w:val="superscript"/>
          <w:rtl/>
          <w:lang w:val="fr-CH"/>
        </w:rPr>
        <w:t>(</w:t>
      </w:r>
      <w:proofErr w:type="gramEnd"/>
      <w:r w:rsidRPr="00D20D41">
        <w:rPr>
          <w:rStyle w:val="FootnoteReference"/>
          <w:szCs w:val="22"/>
          <w:lang w:val="en-US"/>
        </w:rPr>
        <w:footnoteReference w:id="15"/>
      </w:r>
      <w:r w:rsidRPr="00664CDC">
        <w:rPr>
          <w:vertAlign w:val="superscript"/>
          <w:rtl/>
          <w:lang w:val="fr-CH"/>
        </w:rPr>
        <w:t>)</w:t>
      </w:r>
      <w:r>
        <w:rPr>
          <w:rtl/>
          <w:lang w:val="fr-CH"/>
        </w:rPr>
        <w:t>.</w:t>
      </w:r>
    </w:p>
    <w:p w14:paraId="5570D811" w14:textId="75FAB2CD"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9</w:t>
      </w:r>
      <w:r w:rsidRPr="00664CDC">
        <w:rPr>
          <w:rtl/>
          <w:lang w:val="fr-CH"/>
        </w:rPr>
        <w:tab/>
        <w:t>وفي منطقة مدريد، حيث يعيش صاحبا البلاغ، تدير الإسكان الاجتماعي هيئة الإسكان في مدريد، المنشأة عمل</w:t>
      </w:r>
      <w:r w:rsidR="00C96977">
        <w:rPr>
          <w:rtl/>
          <w:lang w:val="fr-CH"/>
        </w:rPr>
        <w:t xml:space="preserve">اً </w:t>
      </w:r>
      <w:r w:rsidRPr="00664CDC">
        <w:rPr>
          <w:rtl/>
          <w:lang w:val="fr-CH"/>
        </w:rPr>
        <w:t xml:space="preserve">بالمرسوم رقم </w:t>
      </w:r>
      <w:r w:rsidR="00E00155" w:rsidRPr="00D20D41">
        <w:rPr>
          <w:rtl/>
          <w:lang w:val="fr-CH"/>
        </w:rPr>
        <w:t>19</w:t>
      </w:r>
      <w:r w:rsidR="00E00155" w:rsidRPr="00664CDC">
        <w:rPr>
          <w:rtl/>
          <w:lang w:val="fr-CH"/>
        </w:rPr>
        <w:t>/</w:t>
      </w:r>
      <w:r w:rsidR="00E00155" w:rsidRPr="00D20D41">
        <w:rPr>
          <w:rtl/>
          <w:lang w:val="fr-CH"/>
        </w:rPr>
        <w:t>2006</w:t>
      </w:r>
      <w:r w:rsidRPr="00664CDC">
        <w:rPr>
          <w:rtl/>
          <w:lang w:val="fr-CH"/>
        </w:rPr>
        <w:t>. وكما هو محدد في ديباجة هذا المرسوم، فإن أولوية حكومة مدريد الإقليمية هي تقديم حل فوري للأفراد والأسر الذين يواجهون، لأسباب ظرفية، صعوبات خطيرة في تلبية احتياجاتهم السكنية. ويشمل ذلك الأشخاص الذين يواجهون الطرد الوشيك من المسكن الذي يشكل إقامتهم الدائمة المعتادة والذين ليس لديهم أي وسيلة أخرى للحصول على سكن. ولهذا السبب، رأت حكومة مدريد الإقليمية أنه من الضروري إنشاء مجموعة من المساكن الاجتماعية الطارئة التي يمكن تخصيصها بسرعة كبيرة لأولئك الذين عانوا من تدهور خطير في وضعهم الاجتماعي والاقتصادي، بما</w:t>
      </w:r>
      <w:r w:rsidR="00C96977">
        <w:rPr>
          <w:rFonts w:hint="cs"/>
          <w:rtl/>
          <w:lang w:val="fr-CH"/>
        </w:rPr>
        <w:t> </w:t>
      </w:r>
      <w:r w:rsidRPr="00664CDC">
        <w:rPr>
          <w:rtl/>
          <w:lang w:val="fr-CH"/>
        </w:rPr>
        <w:t>في ذلك الأسر التي تأثرت حالتها الاجتماعية والاقتصادية بشكل خاص في السنوات الأخيرة، من أجل دعم تعافيها واندماجها الاجتماعي.</w:t>
      </w:r>
    </w:p>
    <w:p w14:paraId="651DECD9" w14:textId="7DF428DE" w:rsidR="00664CDC" w:rsidRPr="00C63F94" w:rsidRDefault="00664CDC" w:rsidP="00664CDC">
      <w:pPr>
        <w:pStyle w:val="SingleTxtGA"/>
        <w:rPr>
          <w:lang w:val="fr-CH"/>
        </w:rPr>
      </w:pPr>
      <w:r w:rsidRPr="00D20D41">
        <w:rPr>
          <w:rtl/>
          <w:lang w:val="fr-CH"/>
        </w:rPr>
        <w:t>7</w:t>
      </w:r>
      <w:r w:rsidRPr="00664CDC">
        <w:rPr>
          <w:rtl/>
          <w:lang w:val="fr-CH"/>
        </w:rPr>
        <w:t>-</w:t>
      </w:r>
      <w:r w:rsidRPr="00D20D41">
        <w:rPr>
          <w:rtl/>
          <w:lang w:val="fr-CH"/>
        </w:rPr>
        <w:t>10</w:t>
      </w:r>
      <w:r w:rsidRPr="00664CDC">
        <w:rPr>
          <w:rtl/>
          <w:lang w:val="fr-CH"/>
        </w:rPr>
        <w:tab/>
        <w:t xml:space="preserve">ويخصص السكن في حالات الطوارئ عن طريق الإجراء الموحد المستخدم لتخصيص المساكن </w:t>
      </w:r>
      <w:r w:rsidRPr="00E00155">
        <w:rPr>
          <w:spacing w:val="-4"/>
          <w:rtl/>
          <w:lang w:val="fr-CH"/>
        </w:rPr>
        <w:t>(بالاستناد إلى جدول)، وفق</w:t>
      </w:r>
      <w:r w:rsidR="00C96977">
        <w:rPr>
          <w:spacing w:val="-4"/>
          <w:rtl/>
          <w:lang w:val="fr-CH"/>
        </w:rPr>
        <w:t xml:space="preserve">اً </w:t>
      </w:r>
      <w:r w:rsidRPr="00E00155">
        <w:rPr>
          <w:spacing w:val="-4"/>
          <w:rtl/>
          <w:lang w:val="fr-CH"/>
        </w:rPr>
        <w:t>لاحتياجات مقدمي الطلبات وإعطاء الأولوية لمن هم في حالات ضعف اجتماعي</w:t>
      </w:r>
      <w:r w:rsidRPr="00E00155">
        <w:rPr>
          <w:spacing w:val="-2"/>
          <w:rtl/>
          <w:lang w:val="fr-CH"/>
        </w:rPr>
        <w:t xml:space="preserve"> خاص. وتشمل حالات مراعاة الاحتياجات الخاصة التي يُنظر فيها لدى تخصيص مساكن الطوارئ، على </w:t>
      </w:r>
      <w:r w:rsidRPr="00C63F94">
        <w:rPr>
          <w:rtl/>
          <w:lang w:val="fr-CH"/>
        </w:rPr>
        <w:t>سبيل المثال لا الحصر: الإخلاء الوشيك من المسكن الحالي؛ والوقوع ضحية عنف جنساني أو عرقي أو</w:t>
      </w:r>
      <w:r w:rsidR="00E00155" w:rsidRPr="00C63F94">
        <w:rPr>
          <w:rFonts w:hint="cs"/>
          <w:rtl/>
          <w:lang w:val="fr-CH"/>
        </w:rPr>
        <w:t> </w:t>
      </w:r>
      <w:r w:rsidRPr="00C63F94">
        <w:rPr>
          <w:rtl/>
          <w:lang w:val="fr-CH"/>
        </w:rPr>
        <w:t xml:space="preserve">ضحية عنف على أساس الميل الجنسي أو الهوية الجنسية أو الدين أو المعتقد أو الإعاقة؛ والعيش في ظروف سكنية سيئة أو في مساكن دون المستوى اللائق؛ والعيش في مكان صغير جداً أو يعادل إيجاره أكثر من </w:t>
      </w:r>
      <w:r w:rsidRPr="00D20D41">
        <w:rPr>
          <w:rtl/>
          <w:lang w:val="fr-CH"/>
        </w:rPr>
        <w:t>30</w:t>
      </w:r>
      <w:r w:rsidRPr="00C63F94">
        <w:rPr>
          <w:rtl/>
          <w:lang w:val="fr-CH"/>
        </w:rPr>
        <w:t xml:space="preserve"> في المائة من مجموع دخل الأسرة؛ والعيش في مساكن متهالكة بموافقة صاحب العقار.</w:t>
      </w:r>
    </w:p>
    <w:p w14:paraId="48143785" w14:textId="701F4A6F" w:rsidR="00664CDC" w:rsidRPr="00664CDC" w:rsidRDefault="00664CDC" w:rsidP="00664CDC">
      <w:pPr>
        <w:pStyle w:val="SingleTxtGA"/>
        <w:rPr>
          <w:lang w:val="fr-CH"/>
        </w:rPr>
      </w:pPr>
      <w:r w:rsidRPr="00D20D41">
        <w:rPr>
          <w:rtl/>
          <w:lang w:val="fr-CH"/>
        </w:rPr>
        <w:t>7</w:t>
      </w:r>
      <w:r w:rsidRPr="00664CDC">
        <w:rPr>
          <w:rtl/>
          <w:lang w:val="fr-CH"/>
        </w:rPr>
        <w:t>-</w:t>
      </w:r>
      <w:r w:rsidRPr="00D20D41">
        <w:rPr>
          <w:rtl/>
          <w:lang w:val="fr-CH"/>
        </w:rPr>
        <w:t>11</w:t>
      </w:r>
      <w:r w:rsidRPr="00664CDC">
        <w:rPr>
          <w:rtl/>
          <w:lang w:val="fr-CH"/>
        </w:rPr>
        <w:tab/>
        <w:t>والشروط المتعلقة بالحصول على سكن ذوي الاحتياجات الخاصة هي: أن يكون المتقدم بالطلب في سن قانونية أو قاصر</w:t>
      </w:r>
      <w:r w:rsidR="00C96977">
        <w:rPr>
          <w:rtl/>
          <w:lang w:val="fr-CH"/>
        </w:rPr>
        <w:t xml:space="preserve">اً </w:t>
      </w:r>
      <w:r w:rsidRPr="00664CDC">
        <w:rPr>
          <w:rtl/>
          <w:lang w:val="fr-CH"/>
        </w:rPr>
        <w:t xml:space="preserve">متحررا؛ أن يكون الدخل لا يتجاوز </w:t>
      </w:r>
      <w:r w:rsidRPr="00D20D41">
        <w:rPr>
          <w:rtl/>
          <w:lang w:val="fr-CH"/>
        </w:rPr>
        <w:t>3</w:t>
      </w:r>
      <w:r w:rsidR="00C63F94">
        <w:rPr>
          <w:rFonts w:hint="cs"/>
          <w:sz w:val="24"/>
          <w:szCs w:val="24"/>
          <w:rtl/>
        </w:rPr>
        <w:t>,</w:t>
      </w:r>
      <w:r w:rsidRPr="00D20D41">
        <w:rPr>
          <w:rtl/>
          <w:lang w:val="fr-CH"/>
        </w:rPr>
        <w:t>5</w:t>
      </w:r>
      <w:r w:rsidRPr="00664CDC">
        <w:rPr>
          <w:rtl/>
          <w:lang w:val="fr-CH"/>
        </w:rPr>
        <w:t xml:space="preserve"> أضعاف المؤشر العام للدخل المتعدد الآثار (</w:t>
      </w:r>
      <w:r w:rsidRPr="00D20D41">
        <w:rPr>
          <w:rtl/>
          <w:lang w:val="fr-CH"/>
        </w:rPr>
        <w:t>537</w:t>
      </w:r>
      <w:r w:rsidR="00C96977">
        <w:rPr>
          <w:rFonts w:hint="cs"/>
          <w:sz w:val="24"/>
          <w:szCs w:val="24"/>
          <w:rtl/>
        </w:rPr>
        <w:t>,</w:t>
      </w:r>
      <w:r w:rsidRPr="00D20D41">
        <w:rPr>
          <w:rtl/>
          <w:lang w:val="fr-CH"/>
        </w:rPr>
        <w:t>84</w:t>
      </w:r>
      <w:r w:rsidRPr="00664CDC">
        <w:rPr>
          <w:rtl/>
          <w:lang w:val="fr-CH"/>
        </w:rPr>
        <w:t xml:space="preserve"> يورو شهري</w:t>
      </w:r>
      <w:r w:rsidR="00C96977">
        <w:rPr>
          <w:rtl/>
          <w:lang w:val="fr-CH"/>
        </w:rPr>
        <w:t xml:space="preserve">اً </w:t>
      </w:r>
      <w:r w:rsidRPr="00664CDC">
        <w:rPr>
          <w:rtl/>
          <w:lang w:val="fr-CH"/>
        </w:rPr>
        <w:t xml:space="preserve">في عام </w:t>
      </w:r>
      <w:r w:rsidRPr="00D20D41">
        <w:rPr>
          <w:rtl/>
          <w:lang w:val="fr-CH"/>
        </w:rPr>
        <w:t>2018</w:t>
      </w:r>
      <w:r w:rsidRPr="00664CDC">
        <w:rPr>
          <w:rtl/>
          <w:lang w:val="fr-CH"/>
        </w:rPr>
        <w:t>)؛ وألا يكون قد حصل على أي مسكن عام في السنوات العشر الماضية؛ وألا يكون مالك</w:t>
      </w:r>
      <w:r w:rsidR="00C96977">
        <w:rPr>
          <w:rtl/>
          <w:lang w:val="fr-CH"/>
        </w:rPr>
        <w:t xml:space="preserve">اً </w:t>
      </w:r>
      <w:r w:rsidRPr="00664CDC">
        <w:rPr>
          <w:rtl/>
          <w:lang w:val="fr-CH"/>
        </w:rPr>
        <w:t>مباشر</w:t>
      </w:r>
      <w:r w:rsidR="00C96977">
        <w:rPr>
          <w:rtl/>
          <w:lang w:val="fr-CH"/>
        </w:rPr>
        <w:t xml:space="preserve">اً </w:t>
      </w:r>
      <w:r w:rsidRPr="00664CDC">
        <w:rPr>
          <w:rtl/>
          <w:lang w:val="fr-CH"/>
        </w:rPr>
        <w:t xml:space="preserve">لمسكن آخر؛ وأن يكون من سكان منطقة مدريد والعاملين فيها؛ </w:t>
      </w:r>
      <w:r w:rsidRPr="00C63F94">
        <w:rPr>
          <w:spacing w:val="-2"/>
          <w:rtl/>
          <w:lang w:val="fr-CH"/>
        </w:rPr>
        <w:t>وألا يكون من محتلي أي عقار بشكل غير قانوني، دون موافقة المالك. ولن تقبل الطلبات إلا من ذوي حاجة أو أكثر من الاحتياجات الخاصة، بالإضافة إلى استيفاء شروط الحصول على هذه المساكن، المنصوص</w:t>
      </w:r>
      <w:r w:rsidRPr="00664CDC">
        <w:rPr>
          <w:rtl/>
          <w:lang w:val="fr-CH"/>
        </w:rPr>
        <w:t xml:space="preserve"> عليها في المرسوم. وتخصص المساكن بحسب التوافر الفعلي لها ووفقا لترتيب الحصول عليها وكذلك وفق</w:t>
      </w:r>
      <w:r w:rsidR="00C96977">
        <w:rPr>
          <w:rtl/>
          <w:lang w:val="fr-CH"/>
        </w:rPr>
        <w:t xml:space="preserve">اً </w:t>
      </w:r>
      <w:r w:rsidRPr="00664CDC">
        <w:rPr>
          <w:rtl/>
          <w:lang w:val="fr-CH"/>
        </w:rPr>
        <w:t xml:space="preserve">لتقييم الظروف الاقتصادية والشخصية والاجتماعية للأسر مقدمة الطلب. </w:t>
      </w:r>
    </w:p>
    <w:p w14:paraId="4AA2B85E" w14:textId="77777777" w:rsidR="00664CDC" w:rsidRPr="00D20D41" w:rsidRDefault="00664CDC" w:rsidP="006670EA">
      <w:pPr>
        <w:pStyle w:val="H23GA"/>
      </w:pPr>
      <w:r w:rsidRPr="00D20D41">
        <w:rPr>
          <w:rtl/>
        </w:rPr>
        <w:lastRenderedPageBreak/>
        <w:tab/>
      </w:r>
      <w:r w:rsidRPr="00D20D41">
        <w:rPr>
          <w:rtl/>
        </w:rPr>
        <w:tab/>
        <w:t>تعليقات صاحب البلاغ على ملاحظات الدولة الطرف</w:t>
      </w:r>
    </w:p>
    <w:p w14:paraId="5F87B9D3" w14:textId="44376BBE" w:rsidR="00664CDC" w:rsidRPr="00664CDC" w:rsidRDefault="00664CDC" w:rsidP="00664CDC">
      <w:pPr>
        <w:pStyle w:val="SingleTxtGA"/>
        <w:rPr>
          <w:lang w:val="fr-CH"/>
        </w:rPr>
      </w:pPr>
      <w:r w:rsidRPr="00D20D41">
        <w:rPr>
          <w:rtl/>
          <w:lang w:val="fr-CH"/>
        </w:rPr>
        <w:t>8</w:t>
      </w:r>
      <w:r w:rsidRPr="00664CDC">
        <w:rPr>
          <w:rtl/>
          <w:lang w:val="fr-CH"/>
        </w:rPr>
        <w:t>-</w:t>
      </w:r>
      <w:r w:rsidRPr="00D20D41">
        <w:rPr>
          <w:rtl/>
          <w:lang w:val="fr-CH"/>
        </w:rPr>
        <w:t>1</w:t>
      </w:r>
      <w:r w:rsidRPr="00664CDC">
        <w:rPr>
          <w:rtl/>
          <w:lang w:val="fr-CH"/>
        </w:rPr>
        <w:tab/>
      </w:r>
      <w:r w:rsidRPr="00B11601">
        <w:rPr>
          <w:spacing w:val="-2"/>
          <w:rtl/>
          <w:lang w:val="fr-CH"/>
        </w:rPr>
        <w:t xml:space="preserve">في </w:t>
      </w:r>
      <w:r w:rsidRPr="00D20D41">
        <w:rPr>
          <w:spacing w:val="-2"/>
          <w:rtl/>
          <w:lang w:val="fr-CH"/>
        </w:rPr>
        <w:t>9</w:t>
      </w:r>
      <w:r w:rsidRPr="00B11601">
        <w:rPr>
          <w:spacing w:val="-2"/>
          <w:rtl/>
          <w:lang w:val="fr-CH"/>
        </w:rPr>
        <w:t xml:space="preserve"> كانون الأول/ديسمبر </w:t>
      </w:r>
      <w:r w:rsidRPr="00D20D41">
        <w:rPr>
          <w:spacing w:val="-2"/>
          <w:rtl/>
          <w:lang w:val="fr-CH"/>
        </w:rPr>
        <w:t>2019</w:t>
      </w:r>
      <w:r w:rsidRPr="00B11601">
        <w:rPr>
          <w:spacing w:val="-2"/>
          <w:rtl/>
          <w:lang w:val="fr-CH"/>
        </w:rPr>
        <w:t>، قدّم صاحبا البلاغ تعليقاتهما على ملاحظات الدولة الطرف.</w:t>
      </w:r>
      <w:r w:rsidRPr="00664CDC">
        <w:rPr>
          <w:rtl/>
          <w:lang w:val="fr-CH"/>
        </w:rPr>
        <w:t xml:space="preserve"> ويدعي صاحبا البلاغ أن الدولة الطرف لم تكن صادقة تمام</w:t>
      </w:r>
      <w:r w:rsidR="00C96977">
        <w:rPr>
          <w:rtl/>
          <w:lang w:val="fr-CH"/>
        </w:rPr>
        <w:t xml:space="preserve">اً </w:t>
      </w:r>
      <w:r w:rsidRPr="00664CDC">
        <w:rPr>
          <w:rtl/>
          <w:lang w:val="fr-CH"/>
        </w:rPr>
        <w:t xml:space="preserve">عندما ذكرت أنهما لم يتقدما بطلب للحصول على سكن عام، لأنهما، كما جاء في مختلف تقارير الخدمات الاجتماعية </w:t>
      </w:r>
      <w:proofErr w:type="gramStart"/>
      <w:r w:rsidRPr="00664CDC">
        <w:rPr>
          <w:rtl/>
          <w:lang w:val="fr-CH"/>
        </w:rPr>
        <w:t>المقدمة</w:t>
      </w:r>
      <w:r w:rsidRPr="00664CDC">
        <w:rPr>
          <w:vertAlign w:val="superscript"/>
          <w:rtl/>
          <w:lang w:val="fr-CH"/>
        </w:rPr>
        <w:t>(</w:t>
      </w:r>
      <w:proofErr w:type="gramEnd"/>
      <w:r w:rsidRPr="00D20D41">
        <w:rPr>
          <w:rStyle w:val="FootnoteReference"/>
          <w:szCs w:val="22"/>
          <w:lang w:val="en-US"/>
        </w:rPr>
        <w:footnoteReference w:id="16"/>
      </w:r>
      <w:r w:rsidRPr="00664CDC">
        <w:rPr>
          <w:vertAlign w:val="superscript"/>
          <w:rtl/>
          <w:lang w:val="fr-CH"/>
        </w:rPr>
        <w:t>)</w:t>
      </w:r>
      <w:r w:rsidR="00087A06">
        <w:rPr>
          <w:rFonts w:hint="cs"/>
          <w:rtl/>
          <w:lang w:val="fr-CH"/>
        </w:rPr>
        <w:t xml:space="preserve">، </w:t>
      </w:r>
      <w:r w:rsidRPr="00664CDC">
        <w:rPr>
          <w:rtl/>
          <w:lang w:val="fr-CH"/>
        </w:rPr>
        <w:t xml:space="preserve">طلبا الحصول على سكن اجتماعي في عام </w:t>
      </w:r>
      <w:r w:rsidRPr="00D20D41">
        <w:rPr>
          <w:rtl/>
          <w:lang w:val="fr-CH"/>
        </w:rPr>
        <w:t>2017</w:t>
      </w:r>
      <w:r w:rsidRPr="00664CDC">
        <w:rPr>
          <w:rtl/>
          <w:lang w:val="fr-CH"/>
        </w:rPr>
        <w:t>، لكنهما لم يتمكنا من تقديم جميع الوثائق المطلوبة من السلطات المختصة لأنهما كانا يعيشان بالفعل في مسكنهما الحالي. ويؤكد صاحبا البلاغ من جديد أن اشتراط أن يكون مقدمو الطلبات بلا مأوى من أجل الحصول على سكن اجتماعي، وهو اشتراط منصوص عليه في التشريعات ذات الصلة يمنع الأسر التي تعاني من حالة مشابهة من التقدم بطلب للحصول على سكن اجتماعي، وهو</w:t>
      </w:r>
      <w:r w:rsidR="00B11601">
        <w:rPr>
          <w:rFonts w:hint="cs"/>
          <w:rtl/>
          <w:lang w:val="fr-CH"/>
        </w:rPr>
        <w:t> </w:t>
      </w:r>
      <w:r w:rsidRPr="00664CDC">
        <w:rPr>
          <w:rtl/>
          <w:lang w:val="fr-CH"/>
        </w:rPr>
        <w:t>ما يعتبرونه غير عادل.</w:t>
      </w:r>
    </w:p>
    <w:p w14:paraId="74F0BF06" w14:textId="5FB39F4B" w:rsidR="00664CDC" w:rsidRPr="00664CDC" w:rsidRDefault="00664CDC" w:rsidP="00664CDC">
      <w:pPr>
        <w:pStyle w:val="SingleTxtGA"/>
        <w:rPr>
          <w:lang w:val="fr-CH"/>
        </w:rPr>
      </w:pPr>
      <w:r w:rsidRPr="00D20D41">
        <w:rPr>
          <w:rtl/>
          <w:lang w:val="fr-CH"/>
        </w:rPr>
        <w:t>8</w:t>
      </w:r>
      <w:r w:rsidRPr="00664CDC">
        <w:rPr>
          <w:rtl/>
          <w:lang w:val="fr-CH"/>
        </w:rPr>
        <w:t>-</w:t>
      </w:r>
      <w:r w:rsidRPr="00D20D41">
        <w:rPr>
          <w:rtl/>
          <w:lang w:val="fr-CH"/>
        </w:rPr>
        <w:t>2</w:t>
      </w:r>
      <w:r w:rsidRPr="00664CDC">
        <w:rPr>
          <w:rtl/>
          <w:lang w:val="fr-CH"/>
        </w:rPr>
        <w:tab/>
        <w:t>ويدعي صاحبا البلاغ أيض</w:t>
      </w:r>
      <w:r w:rsidR="00C96977">
        <w:rPr>
          <w:rtl/>
          <w:lang w:val="fr-CH"/>
        </w:rPr>
        <w:t xml:space="preserve">اً </w:t>
      </w:r>
      <w:r w:rsidRPr="00664CDC">
        <w:rPr>
          <w:rtl/>
          <w:lang w:val="fr-CH"/>
        </w:rPr>
        <w:t>أنهما حاولا التفاوض على وضعهما مع المصرف الذي يملك الشقة وتسويته، ولكن المصرف لم يستجب أبد</w:t>
      </w:r>
      <w:r w:rsidR="00C96977">
        <w:rPr>
          <w:rtl/>
          <w:lang w:val="fr-CH"/>
        </w:rPr>
        <w:t xml:space="preserve">اً </w:t>
      </w:r>
      <w:r w:rsidRPr="00664CDC">
        <w:rPr>
          <w:rtl/>
          <w:lang w:val="fr-CH"/>
        </w:rPr>
        <w:t xml:space="preserve">لمحاولاتهما. ويذكِّر صاحبا البلاغ أن الشقة التي يعيشان فيها كانت فارغة لأكثر من </w:t>
      </w:r>
      <w:r w:rsidRPr="00D20D41">
        <w:rPr>
          <w:rtl/>
          <w:lang w:val="fr-CH"/>
        </w:rPr>
        <w:t>10</w:t>
      </w:r>
      <w:r w:rsidRPr="00664CDC">
        <w:rPr>
          <w:rtl/>
          <w:lang w:val="fr-CH"/>
        </w:rPr>
        <w:t xml:space="preserve"> سنوات وكانت متداعية تمام</w:t>
      </w:r>
      <w:r w:rsidR="00C96977">
        <w:rPr>
          <w:rtl/>
          <w:lang w:val="fr-CH"/>
        </w:rPr>
        <w:t xml:space="preserve">اً </w:t>
      </w:r>
      <w:r w:rsidRPr="00664CDC">
        <w:rPr>
          <w:rtl/>
          <w:lang w:val="fr-CH"/>
        </w:rPr>
        <w:t>إلى أن جعلوها صالحة للسكن.</w:t>
      </w:r>
    </w:p>
    <w:p w14:paraId="52DD2E2F" w14:textId="309DB252" w:rsidR="00664CDC" w:rsidRPr="00664CDC" w:rsidRDefault="00664CDC" w:rsidP="00664CDC">
      <w:pPr>
        <w:pStyle w:val="SingleTxtGA"/>
        <w:rPr>
          <w:lang w:val="fr-CH"/>
        </w:rPr>
      </w:pPr>
      <w:r w:rsidRPr="00D20D41">
        <w:rPr>
          <w:rtl/>
          <w:lang w:val="fr-CH"/>
        </w:rPr>
        <w:t>8</w:t>
      </w:r>
      <w:r w:rsidRPr="00664CDC">
        <w:rPr>
          <w:rtl/>
          <w:lang w:val="fr-CH"/>
        </w:rPr>
        <w:t>-</w:t>
      </w:r>
      <w:r w:rsidRPr="00D20D41">
        <w:rPr>
          <w:rtl/>
          <w:lang w:val="fr-CH"/>
        </w:rPr>
        <w:t>3</w:t>
      </w:r>
      <w:r w:rsidRPr="00664CDC">
        <w:rPr>
          <w:rtl/>
          <w:lang w:val="fr-CH"/>
        </w:rPr>
        <w:tab/>
        <w:t xml:space="preserve">ويضيف صاحبا البلاغ أن الدولة الطرف "أنقذت" المصرف الذي يملك العقار، وكذلك المصارف الأخرى، التي تلقت استثمارات تزيد قيمتها على </w:t>
      </w:r>
      <w:r w:rsidRPr="00D20D41">
        <w:rPr>
          <w:rtl/>
          <w:lang w:val="fr-CH"/>
        </w:rPr>
        <w:t>28</w:t>
      </w:r>
      <w:r w:rsidRPr="00664CDC">
        <w:rPr>
          <w:rtl/>
          <w:lang w:val="fr-CH"/>
        </w:rPr>
        <w:t xml:space="preserve"> بليون يورو من الخزائن العامة. ولذلك فهما لا يفهمان لماذا تدافع الدولة الطرف بقوة عن الممتلكات الخاصة لهذا المصرف "الذي أنقذته" بينما تترك مواطنيها </w:t>
      </w:r>
      <w:r w:rsidRPr="00B11601">
        <w:rPr>
          <w:spacing w:val="2"/>
          <w:rtl/>
          <w:lang w:val="fr-CH"/>
        </w:rPr>
        <w:t xml:space="preserve">دون حماية. وفي هذا الصدد، يشير صاحبا البلاغ إلى المادة </w:t>
      </w:r>
      <w:r w:rsidRPr="00D20D41">
        <w:rPr>
          <w:spacing w:val="2"/>
          <w:rtl/>
          <w:lang w:val="fr-CH"/>
        </w:rPr>
        <w:t>47</w:t>
      </w:r>
      <w:r w:rsidRPr="00B11601">
        <w:rPr>
          <w:spacing w:val="2"/>
          <w:rtl/>
          <w:lang w:val="fr-CH"/>
        </w:rPr>
        <w:t xml:space="preserve"> من الدستور، التي تنص على أن</w:t>
      </w:r>
      <w:r w:rsidRPr="00664CDC">
        <w:rPr>
          <w:rtl/>
          <w:lang w:val="fr-CH"/>
        </w:rPr>
        <w:t xml:space="preserve"> "لجميع الإسبان الحق في التمتع بسكن لائق ومناسب" وأن على السلطات العامة "أن تُعمل هذا الحق، وأن</w:t>
      </w:r>
      <w:r w:rsidR="00C96977">
        <w:rPr>
          <w:rFonts w:hint="cs"/>
          <w:rtl/>
          <w:lang w:val="fr-CH"/>
        </w:rPr>
        <w:t> </w:t>
      </w:r>
      <w:r w:rsidRPr="00664CDC">
        <w:rPr>
          <w:rtl/>
          <w:lang w:val="fr-CH"/>
        </w:rPr>
        <w:t>تنظم استخدام الأراضي وفق</w:t>
      </w:r>
      <w:r w:rsidR="00C96977">
        <w:rPr>
          <w:rtl/>
          <w:lang w:val="fr-CH"/>
        </w:rPr>
        <w:t xml:space="preserve">اً </w:t>
      </w:r>
      <w:r w:rsidRPr="00664CDC">
        <w:rPr>
          <w:rtl/>
          <w:lang w:val="fr-CH"/>
        </w:rPr>
        <w:t>للصالح العام من أجل منع المضاربة". ويشير صاحبا البلاغ أيض</w:t>
      </w:r>
      <w:r w:rsidR="00C96977">
        <w:rPr>
          <w:rtl/>
          <w:lang w:val="fr-CH"/>
        </w:rPr>
        <w:t xml:space="preserve">اً </w:t>
      </w:r>
      <w:r w:rsidRPr="00664CDC">
        <w:rPr>
          <w:rtl/>
          <w:lang w:val="fr-CH"/>
        </w:rPr>
        <w:t xml:space="preserve">إلى المادة </w:t>
      </w:r>
      <w:r w:rsidRPr="00D20D41">
        <w:rPr>
          <w:rtl/>
          <w:lang w:val="fr-CH"/>
        </w:rPr>
        <w:t>128</w:t>
      </w:r>
      <w:r w:rsidRPr="00664CDC">
        <w:rPr>
          <w:rtl/>
          <w:lang w:val="fr-CH"/>
        </w:rPr>
        <w:t xml:space="preserve"> من الدستور، التي تنص على أن الصالح العام له الأسبقية على المصالح الفردية. </w:t>
      </w:r>
    </w:p>
    <w:p w14:paraId="0A419539" w14:textId="3E62D078" w:rsidR="00664CDC" w:rsidRPr="00D20D41" w:rsidRDefault="006670EA" w:rsidP="006670EA">
      <w:pPr>
        <w:pStyle w:val="H1GA"/>
      </w:pPr>
      <w:r w:rsidRPr="00D20D41">
        <w:rPr>
          <w:rtl/>
        </w:rPr>
        <w:tab/>
      </w:r>
      <w:r w:rsidR="00664CDC" w:rsidRPr="00D20D41">
        <w:rPr>
          <w:rtl/>
        </w:rPr>
        <w:t>باء-</w:t>
      </w:r>
      <w:r w:rsidR="00664CDC" w:rsidRPr="00D20D41">
        <w:rPr>
          <w:rtl/>
        </w:rPr>
        <w:tab/>
        <w:t>نظر اللجنة في المقبولية</w:t>
      </w:r>
    </w:p>
    <w:p w14:paraId="11065E83" w14:textId="77777777" w:rsidR="00664CDC" w:rsidRPr="00C96977" w:rsidRDefault="00664CDC" w:rsidP="00664CDC">
      <w:pPr>
        <w:pStyle w:val="SingleTxtGA"/>
        <w:rPr>
          <w:spacing w:val="2"/>
          <w:lang w:val="fr-CH"/>
        </w:rPr>
      </w:pPr>
      <w:r w:rsidRPr="00D20D41">
        <w:rPr>
          <w:rtl/>
          <w:lang w:val="fr-CH"/>
        </w:rPr>
        <w:t>9</w:t>
      </w:r>
      <w:r w:rsidRPr="00664CDC">
        <w:rPr>
          <w:rtl/>
          <w:lang w:val="fr-CH"/>
        </w:rPr>
        <w:t>-</w:t>
      </w:r>
      <w:r w:rsidRPr="00D20D41">
        <w:rPr>
          <w:rtl/>
          <w:lang w:val="fr-CH"/>
        </w:rPr>
        <w:t>1</w:t>
      </w:r>
      <w:r w:rsidRPr="00664CDC">
        <w:rPr>
          <w:rtl/>
          <w:lang w:val="fr-CH"/>
        </w:rPr>
        <w:tab/>
        <w:t xml:space="preserve">قبل النظر في أي ادعاء يرد في بلاغ ما، يجب على اللجنة أن تقرر، وفقاً للمادة </w:t>
      </w:r>
      <w:r w:rsidRPr="00D20D41">
        <w:rPr>
          <w:rtl/>
          <w:lang w:val="fr-CH"/>
        </w:rPr>
        <w:t>9</w:t>
      </w:r>
      <w:r w:rsidRPr="00664CDC">
        <w:rPr>
          <w:rtl/>
          <w:lang w:val="fr-CH"/>
        </w:rPr>
        <w:t xml:space="preserve"> من نظامها </w:t>
      </w:r>
      <w:r w:rsidRPr="00C96977">
        <w:rPr>
          <w:spacing w:val="2"/>
          <w:rtl/>
          <w:lang w:val="fr-CH"/>
        </w:rPr>
        <w:t>الداخلي المؤقت، ما إذا كان البلاغ مقبولاً أم لا بموجب البروتوكول الاختياري الملحق بالعهد.</w:t>
      </w:r>
    </w:p>
    <w:p w14:paraId="3C6480E9" w14:textId="64753E9B" w:rsidR="00664CDC" w:rsidRPr="00664CDC" w:rsidRDefault="00664CDC" w:rsidP="00664CDC">
      <w:pPr>
        <w:pStyle w:val="SingleTxtGA"/>
        <w:rPr>
          <w:lang w:val="fr-CH"/>
        </w:rPr>
      </w:pPr>
      <w:r w:rsidRPr="00D20D41">
        <w:rPr>
          <w:rtl/>
          <w:lang w:val="fr-CH"/>
        </w:rPr>
        <w:t>9</w:t>
      </w:r>
      <w:r w:rsidRPr="00664CDC">
        <w:rPr>
          <w:rtl/>
          <w:lang w:val="fr-CH"/>
        </w:rPr>
        <w:t>-</w:t>
      </w:r>
      <w:r w:rsidRPr="00D20D41">
        <w:rPr>
          <w:rtl/>
          <w:lang w:val="fr-CH"/>
        </w:rPr>
        <w:t>2</w:t>
      </w:r>
      <w:r w:rsidRPr="00664CDC">
        <w:rPr>
          <w:rtl/>
          <w:lang w:val="fr-CH"/>
        </w:rPr>
        <w:tab/>
        <w:t xml:space="preserve">وتذكِّر اللجنة بأن الفقرة </w:t>
      </w:r>
      <w:r w:rsidRPr="00D20D41">
        <w:rPr>
          <w:rtl/>
          <w:lang w:val="fr-CH"/>
        </w:rPr>
        <w:t>1</w:t>
      </w:r>
      <w:r w:rsidRPr="00664CDC">
        <w:rPr>
          <w:rtl/>
          <w:lang w:val="fr-CH"/>
        </w:rPr>
        <w:t xml:space="preserve"> من المادة </w:t>
      </w:r>
      <w:r w:rsidRPr="00D20D41">
        <w:rPr>
          <w:rtl/>
          <w:lang w:val="fr-CH"/>
        </w:rPr>
        <w:t>3</w:t>
      </w:r>
      <w:r w:rsidRPr="00664CDC">
        <w:rPr>
          <w:rtl/>
          <w:lang w:val="fr-CH"/>
        </w:rPr>
        <w:t xml:space="preserve"> من البروتوكول الاختياري للعهد لا تجيز لها النظر في </w:t>
      </w:r>
      <w:r w:rsidRPr="00C96977">
        <w:rPr>
          <w:spacing w:val="-2"/>
          <w:rtl/>
          <w:lang w:val="fr-CH"/>
        </w:rPr>
        <w:t>أي بلاغ ما لم تتحقق من أن صاحبي البلاغ قد استنفدا جميع سُبُل الانتصاف المحلية المتاحة. وتدفع الدولة</w:t>
      </w:r>
      <w:r w:rsidRPr="00664CDC">
        <w:rPr>
          <w:rtl/>
          <w:lang w:val="fr-CH"/>
        </w:rPr>
        <w:t xml:space="preserve"> </w:t>
      </w:r>
      <w:r w:rsidRPr="00C96977">
        <w:rPr>
          <w:spacing w:val="-2"/>
          <w:rtl/>
          <w:lang w:val="fr-CH"/>
        </w:rPr>
        <w:t>الطرف بأن صاحبي البلاغ لم يستنفدا جميع سبل الانتصاف المحلية لأنهما لم يتقدما بطلب للحصول على</w:t>
      </w:r>
      <w:r w:rsidRPr="00664CDC">
        <w:rPr>
          <w:rtl/>
          <w:lang w:val="fr-CH"/>
        </w:rPr>
        <w:t xml:space="preserve"> سكن اجتماعي قبل شغل الشقة بصورة غير قانونية ولم يقدما الوثائق التي طلبتها حكومة</w:t>
      </w:r>
      <w:r w:rsidR="006670EA">
        <w:rPr>
          <w:rtl/>
          <w:lang w:val="fr-CH"/>
        </w:rPr>
        <w:t xml:space="preserve"> </w:t>
      </w:r>
      <w:r w:rsidRPr="00664CDC">
        <w:rPr>
          <w:rtl/>
          <w:lang w:val="fr-CH"/>
        </w:rPr>
        <w:t xml:space="preserve">مدريد الإقليمية لاستكمال طلبهما للحصول على سكن اجتماعي بعد الإشغال غير القانوني. وفيما يتعلق بالمادة </w:t>
      </w:r>
      <w:r w:rsidRPr="00D20D41">
        <w:rPr>
          <w:rtl/>
          <w:lang w:val="fr-CH"/>
        </w:rPr>
        <w:t>3</w:t>
      </w:r>
      <w:r w:rsidRPr="00664CDC">
        <w:rPr>
          <w:rtl/>
          <w:lang w:val="fr-CH"/>
        </w:rPr>
        <w:t>(</w:t>
      </w:r>
      <w:r w:rsidRPr="00D20D41">
        <w:rPr>
          <w:rtl/>
          <w:lang w:val="fr-CH"/>
        </w:rPr>
        <w:t>1</w:t>
      </w:r>
      <w:r w:rsidRPr="00664CDC">
        <w:rPr>
          <w:rtl/>
          <w:lang w:val="fr-CH"/>
        </w:rPr>
        <w:t>) من البروتوكول الاختياري، ترى اللجنة أن "سبل الانتصاف المحلية" هي كل ما هو متاح فيما يتصل مباشرةً بالوقائع الأصلية المسبِّبة للانتهاكات المدّعاة لأحكام العهد، ويمكن، ظاهرياً، أن تعتبر إلى حد معقول فعالة في جبر هذه الانتهاكات. وتلاحظ اللجنة أن الشكوى الرئيسية الواردة في بلاغ صاحبي البلاغ هي أن طردهما سيكون مخالف</w:t>
      </w:r>
      <w:r w:rsidR="00C96977">
        <w:rPr>
          <w:rtl/>
          <w:lang w:val="fr-CH"/>
        </w:rPr>
        <w:t xml:space="preserve">اً </w:t>
      </w:r>
      <w:r w:rsidRPr="00664CDC">
        <w:rPr>
          <w:rtl/>
          <w:lang w:val="fr-CH"/>
        </w:rPr>
        <w:t xml:space="preserve">للعهد لأنه ليس لديهما سكن بديل. ولذلك، فإن الموارد التي يجب استنفادها </w:t>
      </w:r>
      <w:r w:rsidRPr="00B11601">
        <w:rPr>
          <w:spacing w:val="2"/>
          <w:rtl/>
          <w:lang w:val="fr-CH"/>
        </w:rPr>
        <w:t>هي، أول</w:t>
      </w:r>
      <w:r w:rsidR="00C96977" w:rsidRPr="00B11601">
        <w:rPr>
          <w:spacing w:val="2"/>
          <w:rtl/>
          <w:lang w:val="fr-CH"/>
        </w:rPr>
        <w:t xml:space="preserve">اً </w:t>
      </w:r>
      <w:r w:rsidRPr="00B11601">
        <w:rPr>
          <w:spacing w:val="2"/>
          <w:rtl/>
          <w:lang w:val="fr-CH"/>
        </w:rPr>
        <w:t>وقبل كل شيء، تلك المتعلقة مباشرة بالإخلاء، مثل تلك التي تهدف إلى منع أو</w:t>
      </w:r>
      <w:r w:rsidR="00087A06" w:rsidRPr="00B11601">
        <w:rPr>
          <w:rFonts w:hint="cs"/>
          <w:spacing w:val="2"/>
          <w:rtl/>
          <w:lang w:val="fr-CH"/>
        </w:rPr>
        <w:t> </w:t>
      </w:r>
      <w:r w:rsidRPr="00B11601">
        <w:rPr>
          <w:spacing w:val="2"/>
          <w:rtl/>
          <w:lang w:val="fr-CH"/>
        </w:rPr>
        <w:t>تأخير إنفاذ</w:t>
      </w:r>
      <w:r w:rsidRPr="00664CDC">
        <w:rPr>
          <w:rtl/>
          <w:lang w:val="fr-CH"/>
        </w:rPr>
        <w:t xml:space="preserve"> أمر</w:t>
      </w:r>
      <w:r w:rsidR="00C96977">
        <w:rPr>
          <w:rFonts w:hint="cs"/>
          <w:rtl/>
          <w:lang w:val="fr-CH"/>
        </w:rPr>
        <w:t> </w:t>
      </w:r>
      <w:r w:rsidRPr="00664CDC">
        <w:rPr>
          <w:rtl/>
          <w:lang w:val="fr-CH"/>
        </w:rPr>
        <w:t xml:space="preserve">الإخلاء، وكذلك تلك التي يمكن من خلالها إطلاع الهيئات القضائية على افتقارهما </w:t>
      </w:r>
      <w:r w:rsidRPr="00087A06">
        <w:rPr>
          <w:spacing w:val="-2"/>
          <w:rtl/>
          <w:lang w:val="fr-CH"/>
        </w:rPr>
        <w:t xml:space="preserve">إلى سكن بديل. </w:t>
      </w:r>
      <w:r w:rsidRPr="00087A06">
        <w:rPr>
          <w:spacing w:val="-2"/>
          <w:rtl/>
          <w:lang w:val="fr-CH"/>
        </w:rPr>
        <w:lastRenderedPageBreak/>
        <w:t>وفي هذا الصدد، تلاحظ اللجنة أن صاحبي البلاغ قد استنفدا جميع سبل الانتصاف المتاحة</w:t>
      </w:r>
      <w:r w:rsidRPr="00664CDC">
        <w:rPr>
          <w:rtl/>
          <w:lang w:val="fr-CH"/>
        </w:rPr>
        <w:t xml:space="preserve"> </w:t>
      </w:r>
      <w:r w:rsidRPr="00087A06">
        <w:rPr>
          <w:spacing w:val="-2"/>
          <w:rtl/>
          <w:lang w:val="fr-CH"/>
        </w:rPr>
        <w:t xml:space="preserve">التي تهدف إلى </w:t>
      </w:r>
      <w:r w:rsidRPr="00C96977">
        <w:rPr>
          <w:spacing w:val="-4"/>
          <w:rtl/>
          <w:lang w:val="fr-CH"/>
        </w:rPr>
        <w:t xml:space="preserve">منع الإخلاء أو تأخيره، لأنهما، وقت تقديم بلاغهما، كانا قد طعنا في الحكم الصادر في </w:t>
      </w:r>
      <w:r w:rsidRPr="00D20D41">
        <w:rPr>
          <w:spacing w:val="-4"/>
          <w:rtl/>
          <w:lang w:val="fr-CH"/>
        </w:rPr>
        <w:t>1</w:t>
      </w:r>
      <w:r w:rsidRPr="00C96977">
        <w:rPr>
          <w:spacing w:val="-4"/>
          <w:rtl/>
          <w:lang w:val="fr-CH"/>
        </w:rPr>
        <w:t xml:space="preserve"> آذار/مارس </w:t>
      </w:r>
      <w:r w:rsidRPr="00D20D41">
        <w:rPr>
          <w:spacing w:val="-4"/>
          <w:rtl/>
          <w:lang w:val="fr-CH"/>
        </w:rPr>
        <w:t>2017</w:t>
      </w:r>
      <w:r w:rsidRPr="00C96977">
        <w:rPr>
          <w:spacing w:val="-4"/>
          <w:rtl/>
          <w:lang w:val="fr-CH"/>
        </w:rPr>
        <w:t>،</w:t>
      </w:r>
      <w:r w:rsidRPr="00087A06">
        <w:rPr>
          <w:spacing w:val="-2"/>
          <w:rtl/>
          <w:lang w:val="fr-CH"/>
        </w:rPr>
        <w:t xml:space="preserve"> الذي أمرهما بإخلاء العقار، وعليه فهما استنفدا سبيل الانتصاف هذا، وطلبا وقف تنفيذ</w:t>
      </w:r>
      <w:r w:rsidRPr="00664CDC">
        <w:rPr>
          <w:rtl/>
          <w:lang w:val="fr-CH"/>
        </w:rPr>
        <w:t xml:space="preserve"> أمر الإخلاء مرتين، مشيرين إلى وضعهما الاقتصادي الهش وعدم وجود سكن بديل. </w:t>
      </w:r>
    </w:p>
    <w:p w14:paraId="76B242C2" w14:textId="7C11933D" w:rsidR="00664CDC" w:rsidRPr="00664CDC" w:rsidRDefault="00664CDC" w:rsidP="00664CDC">
      <w:pPr>
        <w:pStyle w:val="SingleTxtGA"/>
        <w:rPr>
          <w:lang w:val="fr-CH"/>
        </w:rPr>
      </w:pPr>
      <w:r w:rsidRPr="00D20D41">
        <w:rPr>
          <w:rtl/>
          <w:lang w:val="fr-CH"/>
        </w:rPr>
        <w:t>9</w:t>
      </w:r>
      <w:r w:rsidRPr="00664CDC">
        <w:rPr>
          <w:rtl/>
          <w:lang w:val="fr-CH"/>
        </w:rPr>
        <w:t>-</w:t>
      </w:r>
      <w:r w:rsidRPr="00D20D41">
        <w:rPr>
          <w:rtl/>
          <w:lang w:val="fr-CH"/>
        </w:rPr>
        <w:t>3</w:t>
      </w:r>
      <w:r w:rsidRPr="00664CDC">
        <w:rPr>
          <w:rtl/>
          <w:lang w:val="fr-CH"/>
        </w:rPr>
        <w:tab/>
        <w:t xml:space="preserve">وفيما يتعلق بطلب الإسكان الاجتماعي المقدم إلى حكومة مدريد الإقليمية، تلاحظ اللجنة أنه، كما ذكر الطرفان، لا يمكن للأشخاص الذين يشغلون مساكن بصورة غير قانونية، كما هو الحال بالنسبة </w:t>
      </w:r>
      <w:r w:rsidRPr="00B11601">
        <w:rPr>
          <w:spacing w:val="2"/>
          <w:rtl/>
          <w:lang w:val="fr-CH"/>
        </w:rPr>
        <w:t>لصاحبي البلاغ، أن يتقدموا بطلب للحصول على سكن اجتماعي من هذه الهيئة. ولذلك، ترى اللجنة أن الدولة الطرف لم تقدم تبرير</w:t>
      </w:r>
      <w:r w:rsidR="00C96977" w:rsidRPr="00B11601">
        <w:rPr>
          <w:spacing w:val="2"/>
          <w:rtl/>
          <w:lang w:val="fr-CH"/>
        </w:rPr>
        <w:t xml:space="preserve">اً </w:t>
      </w:r>
      <w:r w:rsidRPr="00B11601">
        <w:rPr>
          <w:spacing w:val="2"/>
          <w:rtl/>
          <w:lang w:val="fr-CH"/>
        </w:rPr>
        <w:t>كافي</w:t>
      </w:r>
      <w:r w:rsidR="00C96977" w:rsidRPr="00B11601">
        <w:rPr>
          <w:spacing w:val="2"/>
          <w:rtl/>
          <w:lang w:val="fr-CH"/>
        </w:rPr>
        <w:t xml:space="preserve">اً </w:t>
      </w:r>
      <w:r w:rsidRPr="00B11601">
        <w:rPr>
          <w:spacing w:val="2"/>
          <w:rtl/>
          <w:lang w:val="fr-CH"/>
        </w:rPr>
        <w:t>بأن هذا الانتصاف سيكون فعال</w:t>
      </w:r>
      <w:r w:rsidR="00C96977" w:rsidRPr="00B11601">
        <w:rPr>
          <w:spacing w:val="2"/>
          <w:rtl/>
          <w:lang w:val="fr-CH"/>
        </w:rPr>
        <w:t xml:space="preserve">اً </w:t>
      </w:r>
      <w:r w:rsidRPr="00B11601">
        <w:rPr>
          <w:spacing w:val="2"/>
          <w:rtl/>
          <w:lang w:val="fr-CH"/>
        </w:rPr>
        <w:t>ومتاح</w:t>
      </w:r>
      <w:r w:rsidR="00C96977" w:rsidRPr="00B11601">
        <w:rPr>
          <w:spacing w:val="2"/>
          <w:rtl/>
          <w:lang w:val="fr-CH"/>
        </w:rPr>
        <w:t xml:space="preserve">اً </w:t>
      </w:r>
      <w:r w:rsidRPr="00B11601">
        <w:rPr>
          <w:spacing w:val="2"/>
          <w:rtl/>
          <w:lang w:val="fr-CH"/>
        </w:rPr>
        <w:t>في ظروف هذه القضية.</w:t>
      </w:r>
      <w:r w:rsidRPr="00664CDC">
        <w:rPr>
          <w:rtl/>
          <w:lang w:val="fr-CH"/>
        </w:rPr>
        <w:t xml:space="preserve"> لذا،</w:t>
      </w:r>
      <w:r w:rsidR="00FD03FB">
        <w:rPr>
          <w:rFonts w:hint="cs"/>
          <w:rtl/>
          <w:lang w:val="fr-CH"/>
        </w:rPr>
        <w:t> </w:t>
      </w:r>
      <w:r w:rsidRPr="00664CDC">
        <w:rPr>
          <w:rtl/>
          <w:lang w:val="fr-CH"/>
        </w:rPr>
        <w:t xml:space="preserve">ترى اللجنة أن صاحبي البلاغ استنفدا سبل الانتصاف المتاحة المتلقة بدعواهما، وأن بلاغهما مقبول وفقاً للفقرة </w:t>
      </w:r>
      <w:r w:rsidRPr="00D20D41">
        <w:rPr>
          <w:rtl/>
          <w:lang w:val="fr-CH"/>
        </w:rPr>
        <w:t>1</w:t>
      </w:r>
      <w:r w:rsidRPr="00664CDC">
        <w:rPr>
          <w:rtl/>
          <w:lang w:val="fr-CH"/>
        </w:rPr>
        <w:t xml:space="preserve"> من المادة </w:t>
      </w:r>
      <w:r w:rsidRPr="00D20D41">
        <w:rPr>
          <w:rtl/>
          <w:lang w:val="fr-CH"/>
        </w:rPr>
        <w:t>3</w:t>
      </w:r>
      <w:r w:rsidRPr="00664CDC">
        <w:rPr>
          <w:rtl/>
          <w:lang w:val="fr-CH"/>
        </w:rPr>
        <w:t xml:space="preserve"> من البروتوكول الاختياري.</w:t>
      </w:r>
    </w:p>
    <w:p w14:paraId="2FB7FDB2" w14:textId="7F1C3AEB" w:rsidR="00664CDC" w:rsidRPr="00664CDC" w:rsidRDefault="00664CDC" w:rsidP="00664CDC">
      <w:pPr>
        <w:pStyle w:val="SingleTxtGA"/>
        <w:rPr>
          <w:lang w:val="fr-CH"/>
        </w:rPr>
      </w:pPr>
      <w:r w:rsidRPr="00D20D41">
        <w:rPr>
          <w:rtl/>
          <w:lang w:val="fr-CH"/>
        </w:rPr>
        <w:t>9</w:t>
      </w:r>
      <w:r w:rsidRPr="00664CDC">
        <w:rPr>
          <w:rtl/>
          <w:lang w:val="fr-CH"/>
        </w:rPr>
        <w:t>-</w:t>
      </w:r>
      <w:r w:rsidRPr="00D20D41">
        <w:rPr>
          <w:rtl/>
          <w:lang w:val="fr-CH"/>
        </w:rPr>
        <w:t>4</w:t>
      </w:r>
      <w:r w:rsidRPr="00664CDC">
        <w:rPr>
          <w:rtl/>
          <w:lang w:val="fr-CH"/>
        </w:rPr>
        <w:tab/>
      </w:r>
      <w:r w:rsidRPr="00087A06">
        <w:rPr>
          <w:spacing w:val="-2"/>
          <w:rtl/>
          <w:lang w:val="fr-CH"/>
        </w:rPr>
        <w:t xml:space="preserve">وتلاحظ اللجنة أن بقية البلاغ يستوفي شروط المقبولية الأخرى المنصوص عليها في المادتين </w:t>
      </w:r>
      <w:r w:rsidRPr="00D20D41">
        <w:rPr>
          <w:spacing w:val="-2"/>
          <w:rtl/>
          <w:lang w:val="fr-CH"/>
        </w:rPr>
        <w:t>2</w:t>
      </w:r>
      <w:r w:rsidRPr="00087A06">
        <w:rPr>
          <w:spacing w:val="-2"/>
          <w:rtl/>
          <w:lang w:val="fr-CH"/>
        </w:rPr>
        <w:t xml:space="preserve"> و</w:t>
      </w:r>
      <w:r w:rsidRPr="00D20D41">
        <w:rPr>
          <w:spacing w:val="-2"/>
          <w:rtl/>
          <w:lang w:val="fr-CH"/>
        </w:rPr>
        <w:t>3</w:t>
      </w:r>
      <w:r w:rsidRPr="00087A06">
        <w:rPr>
          <w:spacing w:val="-2"/>
          <w:rtl/>
          <w:lang w:val="fr-CH"/>
        </w:rPr>
        <w:t xml:space="preserve"> من البروتوكول الاختياري، وتعلن وفق</w:t>
      </w:r>
      <w:r w:rsidR="00C96977">
        <w:rPr>
          <w:spacing w:val="-2"/>
          <w:rtl/>
          <w:lang w:val="fr-CH"/>
        </w:rPr>
        <w:t xml:space="preserve">اً </w:t>
      </w:r>
      <w:r w:rsidRPr="00087A06">
        <w:rPr>
          <w:spacing w:val="-2"/>
          <w:rtl/>
          <w:lang w:val="fr-CH"/>
        </w:rPr>
        <w:t>لذلك قبول البلاغ وتباشر النظر فيه بناء على أسسه الموضوعية</w:t>
      </w:r>
      <w:r w:rsidRPr="00664CDC">
        <w:rPr>
          <w:rtl/>
          <w:lang w:val="fr-CH"/>
        </w:rPr>
        <w:t xml:space="preserve">. </w:t>
      </w:r>
    </w:p>
    <w:p w14:paraId="408C5AD3" w14:textId="6FE44FB3" w:rsidR="00664CDC" w:rsidRPr="00D20D41" w:rsidRDefault="006670EA" w:rsidP="006670EA">
      <w:pPr>
        <w:pStyle w:val="H1GA"/>
      </w:pPr>
      <w:r w:rsidRPr="00D20D41">
        <w:rPr>
          <w:rtl/>
        </w:rPr>
        <w:tab/>
      </w:r>
      <w:r w:rsidR="00664CDC" w:rsidRPr="00D20D41">
        <w:rPr>
          <w:rtl/>
        </w:rPr>
        <w:t>جيم-</w:t>
      </w:r>
      <w:r w:rsidR="00664CDC" w:rsidRPr="00D20D41">
        <w:rPr>
          <w:rtl/>
        </w:rPr>
        <w:tab/>
        <w:t>النظر في الأسس الموضوعية</w:t>
      </w:r>
    </w:p>
    <w:p w14:paraId="63851D3A" w14:textId="77777777" w:rsidR="00664CDC" w:rsidRPr="00D20D41" w:rsidRDefault="00664CDC" w:rsidP="006670EA">
      <w:pPr>
        <w:pStyle w:val="H23GA"/>
      </w:pPr>
      <w:r w:rsidRPr="00D20D41">
        <w:rPr>
          <w:rtl/>
        </w:rPr>
        <w:tab/>
      </w:r>
      <w:r w:rsidRPr="00D20D41">
        <w:rPr>
          <w:rtl/>
        </w:rPr>
        <w:tab/>
        <w:t>حقائق ومسائل قانونية</w:t>
      </w:r>
    </w:p>
    <w:p w14:paraId="04BF2C57" w14:textId="77777777" w:rsidR="00664CDC" w:rsidRPr="00664CDC" w:rsidRDefault="00664CDC" w:rsidP="00664CDC">
      <w:pPr>
        <w:pStyle w:val="SingleTxtGA"/>
        <w:rPr>
          <w:lang w:val="fr-CH"/>
        </w:rPr>
      </w:pPr>
      <w:r w:rsidRPr="00D20D41">
        <w:rPr>
          <w:rtl/>
          <w:lang w:val="fr-CH"/>
        </w:rPr>
        <w:t>10</w:t>
      </w:r>
      <w:r w:rsidRPr="00664CDC">
        <w:rPr>
          <w:rtl/>
          <w:lang w:val="fr-CH"/>
        </w:rPr>
        <w:t>-</w:t>
      </w:r>
      <w:r w:rsidRPr="00D20D41">
        <w:rPr>
          <w:rtl/>
          <w:lang w:val="fr-CH"/>
        </w:rPr>
        <w:t>1</w:t>
      </w:r>
      <w:r w:rsidRPr="00664CDC">
        <w:rPr>
          <w:rtl/>
          <w:lang w:val="fr-CH"/>
        </w:rPr>
        <w:tab/>
        <w:t xml:space="preserve">نظرت اللجنة في هذا البلاغ وراعت أثناء نظرها فيه جميع المعلومات المقدمة إليها وفقاً لأحكام المادة </w:t>
      </w:r>
      <w:r w:rsidRPr="00D20D41">
        <w:rPr>
          <w:rtl/>
          <w:lang w:val="fr-CH"/>
        </w:rPr>
        <w:t>8</w:t>
      </w:r>
      <w:r w:rsidRPr="00664CDC">
        <w:rPr>
          <w:rtl/>
          <w:lang w:val="fr-CH"/>
        </w:rPr>
        <w:t xml:space="preserve"> من البروتوكول الاختياري.</w:t>
      </w:r>
    </w:p>
    <w:p w14:paraId="3514B928" w14:textId="77777777" w:rsidR="00664CDC" w:rsidRPr="00664CDC" w:rsidRDefault="00664CDC" w:rsidP="00664CDC">
      <w:pPr>
        <w:pStyle w:val="SingleTxtGA"/>
        <w:rPr>
          <w:lang w:val="fr-CH"/>
        </w:rPr>
      </w:pPr>
      <w:r w:rsidRPr="00D20D41">
        <w:rPr>
          <w:rtl/>
          <w:lang w:val="fr-CH"/>
        </w:rPr>
        <w:t>10</w:t>
      </w:r>
      <w:r w:rsidRPr="00664CDC">
        <w:rPr>
          <w:rtl/>
          <w:lang w:val="fr-CH"/>
        </w:rPr>
        <w:t>-</w:t>
      </w:r>
      <w:r w:rsidRPr="00D20D41">
        <w:rPr>
          <w:rtl/>
          <w:lang w:val="fr-CH"/>
        </w:rPr>
        <w:t>2</w:t>
      </w:r>
      <w:r w:rsidRPr="00664CDC">
        <w:rPr>
          <w:rtl/>
          <w:lang w:val="fr-CH"/>
        </w:rPr>
        <w:tab/>
        <w:t>وتشرع اللجنة في دراسة الوقائع التي يمكن اعتبارها مدعومة بأدلة ووثيقة الصلة بالشكوى.</w:t>
      </w:r>
    </w:p>
    <w:p w14:paraId="77100C2B" w14:textId="0BAA36B9" w:rsidR="00664CDC" w:rsidRPr="00664CDC" w:rsidRDefault="00664CDC" w:rsidP="00664CDC">
      <w:pPr>
        <w:pStyle w:val="SingleTxtGA"/>
        <w:rPr>
          <w:lang w:val="fr-CH"/>
        </w:rPr>
      </w:pPr>
      <w:r w:rsidRPr="00D20D41">
        <w:rPr>
          <w:rtl/>
          <w:lang w:val="fr-CH"/>
        </w:rPr>
        <w:t>10</w:t>
      </w:r>
      <w:r w:rsidRPr="00664CDC">
        <w:rPr>
          <w:rtl/>
          <w:lang w:val="fr-CH"/>
        </w:rPr>
        <w:t>-</w:t>
      </w:r>
      <w:r w:rsidRPr="00D20D41">
        <w:rPr>
          <w:rtl/>
          <w:lang w:val="fr-CH"/>
        </w:rPr>
        <w:t>3</w:t>
      </w:r>
      <w:r w:rsidRPr="00664CDC">
        <w:rPr>
          <w:rtl/>
          <w:lang w:val="fr-CH"/>
        </w:rPr>
        <w:tab/>
        <w:t xml:space="preserve">ففي كانون الأول/ديسمبر </w:t>
      </w:r>
      <w:r w:rsidRPr="00D20D41">
        <w:rPr>
          <w:rtl/>
          <w:lang w:val="fr-CH"/>
        </w:rPr>
        <w:t>2016</w:t>
      </w:r>
      <w:r w:rsidRPr="00664CDC">
        <w:rPr>
          <w:rtl/>
          <w:lang w:val="fr-CH"/>
        </w:rPr>
        <w:t>، قرر صاحبا البلاغ شغل شقة مهجورة لأنهما كانا في وضع اقتصادي غير مستقر، لأن السيد العزوان عزوز كان عاطل</w:t>
      </w:r>
      <w:r w:rsidR="00C96977">
        <w:rPr>
          <w:rtl/>
          <w:lang w:val="fr-CH"/>
        </w:rPr>
        <w:t xml:space="preserve">اً </w:t>
      </w:r>
      <w:r w:rsidRPr="00664CDC">
        <w:rPr>
          <w:rtl/>
          <w:lang w:val="fr-CH"/>
        </w:rPr>
        <w:t xml:space="preserve">عن العمل وكرست السيدة الأيوبي نفسها بالكامل لرعاية ابنهما الذي يعاني من مشاكل صحية. </w:t>
      </w:r>
    </w:p>
    <w:p w14:paraId="3DAFC941" w14:textId="2E4A7A25" w:rsidR="00664CDC" w:rsidRPr="00B11601" w:rsidRDefault="00664CDC" w:rsidP="00664CDC">
      <w:pPr>
        <w:pStyle w:val="SingleTxtGA"/>
      </w:pPr>
      <w:r w:rsidRPr="00D20D41">
        <w:rPr>
          <w:rtl/>
          <w:lang w:val="fr-CH"/>
        </w:rPr>
        <w:t>10</w:t>
      </w:r>
      <w:r w:rsidRPr="00664CDC">
        <w:rPr>
          <w:rtl/>
          <w:lang w:val="fr-CH"/>
        </w:rPr>
        <w:t>-</w:t>
      </w:r>
      <w:r w:rsidRPr="00D20D41">
        <w:rPr>
          <w:rtl/>
          <w:lang w:val="fr-CH"/>
        </w:rPr>
        <w:t>4</w:t>
      </w:r>
      <w:r w:rsidRPr="00664CDC">
        <w:rPr>
          <w:rtl/>
          <w:lang w:val="fr-CH"/>
        </w:rPr>
        <w:tab/>
      </w:r>
      <w:r w:rsidRPr="00B11601">
        <w:rPr>
          <w:rtl/>
        </w:rPr>
        <w:t xml:space="preserve">وفي </w:t>
      </w:r>
      <w:r w:rsidRPr="00D20D41">
        <w:rPr>
          <w:rtl/>
        </w:rPr>
        <w:t>1</w:t>
      </w:r>
      <w:r w:rsidRPr="00B11601">
        <w:rPr>
          <w:rtl/>
        </w:rPr>
        <w:t xml:space="preserve"> آذار/مارس </w:t>
      </w:r>
      <w:r w:rsidRPr="00D20D41">
        <w:rPr>
          <w:rtl/>
        </w:rPr>
        <w:t>2017</w:t>
      </w:r>
      <w:r w:rsidRPr="00B11601">
        <w:rPr>
          <w:rtl/>
        </w:rPr>
        <w:t xml:space="preserve">، أصدرت محكمة التحقيقات الابتدائية رقم </w:t>
      </w:r>
      <w:r w:rsidRPr="00D20D41">
        <w:rPr>
          <w:rtl/>
        </w:rPr>
        <w:t>3</w:t>
      </w:r>
      <w:r w:rsidRPr="00B11601">
        <w:rPr>
          <w:rtl/>
        </w:rPr>
        <w:t xml:space="preserve"> في </w:t>
      </w:r>
      <w:proofErr w:type="spellStart"/>
      <w:r w:rsidRPr="00B11601">
        <w:rPr>
          <w:rtl/>
        </w:rPr>
        <w:t>نافالكارنيرو</w:t>
      </w:r>
      <w:proofErr w:type="spellEnd"/>
      <w:r w:rsidRPr="00B11601">
        <w:rPr>
          <w:rtl/>
        </w:rPr>
        <w:t xml:space="preserve"> حكم</w:t>
      </w:r>
      <w:r w:rsidR="00C96977" w:rsidRPr="00B11601">
        <w:rPr>
          <w:rtl/>
        </w:rPr>
        <w:t xml:space="preserve">اً </w:t>
      </w:r>
      <w:r w:rsidRPr="00B11601">
        <w:rPr>
          <w:rtl/>
        </w:rPr>
        <w:t>يأمر السيدة الأيوبي وسكان</w:t>
      </w:r>
      <w:r w:rsidR="00C96977" w:rsidRPr="00B11601">
        <w:rPr>
          <w:rtl/>
        </w:rPr>
        <w:t xml:space="preserve">اً </w:t>
      </w:r>
      <w:r w:rsidRPr="00B11601">
        <w:rPr>
          <w:rtl/>
        </w:rPr>
        <w:t>آخرين في العنوان نفسه بإخلاء المبنى. وعندما لم يخلِ السكان العقار، تقدم المصرف بطلب لإنفاذ الحكم، وطلب إخلاء صاحبي البلاغ فور</w:t>
      </w:r>
      <w:r w:rsidR="00FD03FB" w:rsidRPr="00B11601">
        <w:rPr>
          <w:rtl/>
        </w:rPr>
        <w:t>اً.</w:t>
      </w:r>
      <w:r w:rsidRPr="00B11601">
        <w:rPr>
          <w:rtl/>
        </w:rPr>
        <w:t xml:space="preserve"> </w:t>
      </w:r>
    </w:p>
    <w:p w14:paraId="1BC8915E" w14:textId="44143F23" w:rsidR="00664CDC" w:rsidRPr="00664CDC" w:rsidRDefault="00664CDC" w:rsidP="00664CDC">
      <w:pPr>
        <w:pStyle w:val="SingleTxtGA"/>
        <w:rPr>
          <w:lang w:val="fr-CH"/>
        </w:rPr>
      </w:pPr>
      <w:r w:rsidRPr="00D20D41">
        <w:rPr>
          <w:rtl/>
          <w:lang w:val="fr-CH"/>
        </w:rPr>
        <w:t>10</w:t>
      </w:r>
      <w:r w:rsidRPr="00664CDC">
        <w:rPr>
          <w:rtl/>
          <w:lang w:val="fr-CH"/>
        </w:rPr>
        <w:t>-</w:t>
      </w:r>
      <w:r w:rsidRPr="00D20D41">
        <w:rPr>
          <w:rtl/>
          <w:lang w:val="fr-CH"/>
        </w:rPr>
        <w:t>5</w:t>
      </w:r>
      <w:r w:rsidRPr="00664CDC">
        <w:rPr>
          <w:rtl/>
          <w:lang w:val="fr-CH"/>
        </w:rPr>
        <w:tab/>
      </w:r>
      <w:r w:rsidRPr="00C96977">
        <w:rPr>
          <w:spacing w:val="-2"/>
          <w:rtl/>
          <w:lang w:val="fr-CH"/>
        </w:rPr>
        <w:t xml:space="preserve">وفي </w:t>
      </w:r>
      <w:r w:rsidRPr="00D20D41">
        <w:rPr>
          <w:spacing w:val="-2"/>
          <w:rtl/>
          <w:lang w:val="fr-CH"/>
        </w:rPr>
        <w:t>14</w:t>
      </w:r>
      <w:r w:rsidRPr="00C96977">
        <w:rPr>
          <w:spacing w:val="-2"/>
          <w:rtl/>
          <w:lang w:val="fr-CH"/>
        </w:rPr>
        <w:t xml:space="preserve"> كانون الأول/ديسمبر </w:t>
      </w:r>
      <w:r w:rsidRPr="00D20D41">
        <w:rPr>
          <w:spacing w:val="-2"/>
          <w:rtl/>
          <w:lang w:val="fr-CH"/>
        </w:rPr>
        <w:t>2017</w:t>
      </w:r>
      <w:r w:rsidRPr="00C96977">
        <w:rPr>
          <w:spacing w:val="-2"/>
          <w:rtl/>
          <w:lang w:val="fr-CH"/>
        </w:rPr>
        <w:t xml:space="preserve">، حددت المحكمة </w:t>
      </w:r>
      <w:r w:rsidRPr="00D20D41">
        <w:rPr>
          <w:spacing w:val="-2"/>
          <w:rtl/>
          <w:lang w:val="fr-CH"/>
        </w:rPr>
        <w:t>2</w:t>
      </w:r>
      <w:r w:rsidRPr="00C96977">
        <w:rPr>
          <w:spacing w:val="-2"/>
          <w:rtl/>
          <w:lang w:val="fr-CH"/>
        </w:rPr>
        <w:t xml:space="preserve"> آذار/مارس </w:t>
      </w:r>
      <w:r w:rsidRPr="00D20D41">
        <w:rPr>
          <w:spacing w:val="-2"/>
          <w:rtl/>
          <w:lang w:val="fr-CH"/>
        </w:rPr>
        <w:t>2018</w:t>
      </w:r>
      <w:r w:rsidRPr="00C96977">
        <w:rPr>
          <w:spacing w:val="-2"/>
          <w:rtl/>
          <w:lang w:val="fr-CH"/>
        </w:rPr>
        <w:t xml:space="preserve"> كموعد أول للإخلاء.</w:t>
      </w:r>
      <w:r w:rsidRPr="00664CDC">
        <w:rPr>
          <w:rtl/>
          <w:lang w:val="fr-CH"/>
        </w:rPr>
        <w:t xml:space="preserve"> وفي </w:t>
      </w:r>
      <w:r w:rsidRPr="00D20D41">
        <w:rPr>
          <w:rtl/>
          <w:lang w:val="fr-CH"/>
        </w:rPr>
        <w:t>2</w:t>
      </w:r>
      <w:r w:rsidRPr="00664CDC">
        <w:rPr>
          <w:rtl/>
          <w:lang w:val="fr-CH"/>
        </w:rPr>
        <w:t xml:space="preserve"> آذار/مارس </w:t>
      </w:r>
      <w:r w:rsidRPr="00D20D41">
        <w:rPr>
          <w:rtl/>
          <w:lang w:val="fr-CH"/>
        </w:rPr>
        <w:t>2018</w:t>
      </w:r>
      <w:r w:rsidRPr="00664CDC">
        <w:rPr>
          <w:rtl/>
          <w:lang w:val="fr-CH"/>
        </w:rPr>
        <w:t>، ذهبت السلطات المختصة إلى المبني الذي يقطنه صاحبا البلاغ لتنفيذ عملية الإخلاء. غير أن عملية الإخلاء لم تنفذ ومُنح صاحبا البلاغ مزيد</w:t>
      </w:r>
      <w:r w:rsidR="00C96977">
        <w:rPr>
          <w:rtl/>
          <w:lang w:val="fr-CH"/>
        </w:rPr>
        <w:t xml:space="preserve">اً </w:t>
      </w:r>
      <w:r w:rsidRPr="00664CDC">
        <w:rPr>
          <w:rtl/>
          <w:lang w:val="fr-CH"/>
        </w:rPr>
        <w:t xml:space="preserve">من الوقت لإخلاء المبنى. </w:t>
      </w:r>
    </w:p>
    <w:p w14:paraId="787D72F3" w14:textId="3F1679CC" w:rsidR="00664CDC" w:rsidRPr="00087A06" w:rsidRDefault="00664CDC" w:rsidP="00664CDC">
      <w:pPr>
        <w:pStyle w:val="SingleTxtGA"/>
        <w:rPr>
          <w:spacing w:val="-2"/>
          <w:lang w:val="fr-CH"/>
        </w:rPr>
      </w:pPr>
      <w:r w:rsidRPr="00D20D41">
        <w:rPr>
          <w:rtl/>
          <w:lang w:val="fr-CH"/>
        </w:rPr>
        <w:t>10</w:t>
      </w:r>
      <w:r w:rsidRPr="00664CDC">
        <w:rPr>
          <w:rtl/>
          <w:lang w:val="fr-CH"/>
        </w:rPr>
        <w:t>-</w:t>
      </w:r>
      <w:r w:rsidRPr="00D20D41">
        <w:rPr>
          <w:rtl/>
          <w:lang w:val="fr-CH"/>
        </w:rPr>
        <w:t>6</w:t>
      </w:r>
      <w:r w:rsidRPr="00664CDC">
        <w:rPr>
          <w:rtl/>
          <w:lang w:val="fr-CH"/>
        </w:rPr>
        <w:tab/>
        <w:t xml:space="preserve">ورغم أن صاحبي البلاغ طلبا مرتين وقف الإخلاء بسبب تردي أوضاعهما، ورغم أن الخدمات </w:t>
      </w:r>
      <w:r w:rsidRPr="00087A06">
        <w:rPr>
          <w:spacing w:val="-2"/>
          <w:rtl/>
          <w:lang w:val="fr-CH"/>
        </w:rPr>
        <w:t>الاجتماعية أصدرت تقريرين تطلب فيهما وقف تنفيذ الإخلاء، حددت المحكمة موعد</w:t>
      </w:r>
      <w:r w:rsidR="00C96977">
        <w:rPr>
          <w:spacing w:val="-2"/>
          <w:rtl/>
          <w:lang w:val="fr-CH"/>
        </w:rPr>
        <w:t xml:space="preserve">اً </w:t>
      </w:r>
      <w:r w:rsidRPr="00087A06">
        <w:rPr>
          <w:spacing w:val="-2"/>
          <w:rtl/>
          <w:lang w:val="fr-CH"/>
        </w:rPr>
        <w:t>جديد</w:t>
      </w:r>
      <w:r w:rsidR="00C96977">
        <w:rPr>
          <w:spacing w:val="-2"/>
          <w:rtl/>
          <w:lang w:val="fr-CH"/>
        </w:rPr>
        <w:t xml:space="preserve">اً </w:t>
      </w:r>
      <w:r w:rsidRPr="00087A06">
        <w:rPr>
          <w:spacing w:val="-2"/>
          <w:rtl/>
          <w:lang w:val="fr-CH"/>
        </w:rPr>
        <w:t xml:space="preserve">للإخلاء هو </w:t>
      </w:r>
      <w:r w:rsidRPr="00D20D41">
        <w:rPr>
          <w:spacing w:val="-2"/>
          <w:rtl/>
          <w:lang w:val="fr-CH"/>
        </w:rPr>
        <w:t>21</w:t>
      </w:r>
      <w:r w:rsidRPr="00087A06">
        <w:rPr>
          <w:spacing w:val="-2"/>
          <w:rtl/>
          <w:lang w:val="fr-CH"/>
        </w:rPr>
        <w:t xml:space="preserve"> أيلول/سبتمبر </w:t>
      </w:r>
      <w:r w:rsidRPr="00D20D41">
        <w:rPr>
          <w:spacing w:val="-2"/>
          <w:rtl/>
          <w:lang w:val="fr-CH"/>
        </w:rPr>
        <w:t>2018</w:t>
      </w:r>
      <w:r w:rsidRPr="00087A06">
        <w:rPr>
          <w:spacing w:val="-2"/>
          <w:rtl/>
          <w:lang w:val="fr-CH"/>
        </w:rPr>
        <w:t xml:space="preserve">. ومع ذلك، أوقفت المحكمة الإخلاء المقرر في ذلك التاريخ بأمر أصدرته في </w:t>
      </w:r>
      <w:r w:rsidRPr="00D20D41">
        <w:rPr>
          <w:spacing w:val="-2"/>
          <w:rtl/>
          <w:lang w:val="fr-CH"/>
        </w:rPr>
        <w:t>20</w:t>
      </w:r>
      <w:r w:rsidRPr="00087A06">
        <w:rPr>
          <w:spacing w:val="-2"/>
          <w:rtl/>
          <w:lang w:val="fr-CH"/>
        </w:rPr>
        <w:t xml:space="preserve"> أيلول/سبتمبر </w:t>
      </w:r>
      <w:r w:rsidRPr="00D20D41">
        <w:rPr>
          <w:spacing w:val="-2"/>
          <w:rtl/>
          <w:lang w:val="fr-CH"/>
        </w:rPr>
        <w:t>2018</w:t>
      </w:r>
      <w:r w:rsidRPr="00087A06">
        <w:rPr>
          <w:spacing w:val="-2"/>
          <w:rtl/>
          <w:lang w:val="fr-CH"/>
        </w:rPr>
        <w:t xml:space="preserve">، بالنظر إلى أن ممثل البنك الذي يملك الشقة طلب تعليق الإخلاء مراعاة لوضع صاحبي البلاغ. </w:t>
      </w:r>
    </w:p>
    <w:p w14:paraId="7FAFD021" w14:textId="6617216F" w:rsidR="00664CDC" w:rsidRPr="00664CDC" w:rsidRDefault="00664CDC" w:rsidP="00664CDC">
      <w:pPr>
        <w:pStyle w:val="SingleTxtGA"/>
        <w:rPr>
          <w:lang w:val="fr-CH"/>
        </w:rPr>
      </w:pPr>
      <w:r w:rsidRPr="00D20D41">
        <w:rPr>
          <w:rtl/>
          <w:lang w:val="fr-CH"/>
        </w:rPr>
        <w:t>10</w:t>
      </w:r>
      <w:r w:rsidRPr="00664CDC">
        <w:rPr>
          <w:rtl/>
          <w:lang w:val="fr-CH"/>
        </w:rPr>
        <w:t>-</w:t>
      </w:r>
      <w:r w:rsidRPr="00D20D41">
        <w:rPr>
          <w:rtl/>
          <w:lang w:val="fr-CH"/>
        </w:rPr>
        <w:t>7</w:t>
      </w:r>
      <w:r w:rsidRPr="00664CDC">
        <w:rPr>
          <w:rtl/>
          <w:lang w:val="fr-CH"/>
        </w:rPr>
        <w:tab/>
        <w:t xml:space="preserve">وفي </w:t>
      </w:r>
      <w:r w:rsidRPr="00D20D41">
        <w:rPr>
          <w:rtl/>
          <w:lang w:val="fr-CH"/>
        </w:rPr>
        <w:t>21</w:t>
      </w:r>
      <w:r w:rsidRPr="00664CDC">
        <w:rPr>
          <w:rtl/>
          <w:lang w:val="fr-CH"/>
        </w:rPr>
        <w:t xml:space="preserve"> آذار/مارس </w:t>
      </w:r>
      <w:r w:rsidRPr="00D20D41">
        <w:rPr>
          <w:rtl/>
          <w:lang w:val="fr-CH"/>
        </w:rPr>
        <w:t>2019</w:t>
      </w:r>
      <w:r w:rsidRPr="00664CDC">
        <w:rPr>
          <w:rtl/>
          <w:lang w:val="fr-CH"/>
        </w:rPr>
        <w:t xml:space="preserve">، حددت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موعد</w:t>
      </w:r>
      <w:r w:rsidR="00C96977">
        <w:rPr>
          <w:rtl/>
          <w:lang w:val="fr-CH"/>
        </w:rPr>
        <w:t xml:space="preserve">اً </w:t>
      </w:r>
      <w:r w:rsidRPr="00664CDC">
        <w:rPr>
          <w:rtl/>
          <w:lang w:val="fr-CH"/>
        </w:rPr>
        <w:t>جديد</w:t>
      </w:r>
      <w:r w:rsidR="00C96977">
        <w:rPr>
          <w:rtl/>
          <w:lang w:val="fr-CH"/>
        </w:rPr>
        <w:t xml:space="preserve">اً </w:t>
      </w:r>
      <w:r w:rsidRPr="00664CDC">
        <w:rPr>
          <w:rtl/>
          <w:lang w:val="fr-CH"/>
        </w:rPr>
        <w:t>للإخلاء هو</w:t>
      </w:r>
      <w:r w:rsidR="005E677D">
        <w:rPr>
          <w:rFonts w:hint="cs"/>
          <w:rtl/>
          <w:lang w:val="fr-CH"/>
        </w:rPr>
        <w:t xml:space="preserve"> </w:t>
      </w:r>
      <w:r w:rsidRPr="00D20D41">
        <w:rPr>
          <w:rtl/>
          <w:lang w:val="fr-CH"/>
        </w:rPr>
        <w:t>31</w:t>
      </w:r>
      <w:r w:rsidRPr="00664CDC">
        <w:rPr>
          <w:rtl/>
          <w:lang w:val="fr-CH"/>
        </w:rPr>
        <w:t xml:space="preserve"> أيار/مايو </w:t>
      </w:r>
      <w:r w:rsidRPr="00D20D41">
        <w:rPr>
          <w:rtl/>
          <w:lang w:val="fr-CH"/>
        </w:rPr>
        <w:t>2019</w:t>
      </w:r>
      <w:r w:rsidRPr="00664CDC">
        <w:rPr>
          <w:rtl/>
          <w:lang w:val="fr-CH"/>
        </w:rPr>
        <w:t>، لكن الإخلاء المقرر في ذلك التاريخ لم يحدث أيض</w:t>
      </w:r>
      <w:r w:rsidR="00FD03FB">
        <w:rPr>
          <w:rtl/>
          <w:lang w:val="fr-CH"/>
        </w:rPr>
        <w:t>اً.</w:t>
      </w:r>
      <w:r w:rsidRPr="00664CDC">
        <w:rPr>
          <w:rtl/>
          <w:lang w:val="fr-CH"/>
        </w:rPr>
        <w:t xml:space="preserve"> وفي </w:t>
      </w:r>
      <w:r w:rsidRPr="00D20D41">
        <w:rPr>
          <w:rtl/>
          <w:lang w:val="fr-CH"/>
        </w:rPr>
        <w:t>31</w:t>
      </w:r>
      <w:r w:rsidRPr="00664CDC">
        <w:rPr>
          <w:rtl/>
          <w:lang w:val="fr-CH"/>
        </w:rPr>
        <w:t xml:space="preserve"> آب/أغسطس </w:t>
      </w:r>
      <w:r w:rsidRPr="00D20D41">
        <w:rPr>
          <w:rtl/>
          <w:lang w:val="fr-CH"/>
        </w:rPr>
        <w:t>2020</w:t>
      </w:r>
      <w:r w:rsidRPr="00664CDC">
        <w:rPr>
          <w:rtl/>
          <w:lang w:val="fr-CH"/>
        </w:rPr>
        <w:t>، حددت المحكمة موعد</w:t>
      </w:r>
      <w:r w:rsidR="00C96977">
        <w:rPr>
          <w:rtl/>
          <w:lang w:val="fr-CH"/>
        </w:rPr>
        <w:t xml:space="preserve">اً </w:t>
      </w:r>
      <w:r w:rsidRPr="00664CDC">
        <w:rPr>
          <w:rtl/>
          <w:lang w:val="fr-CH"/>
        </w:rPr>
        <w:t>جديد</w:t>
      </w:r>
      <w:r w:rsidR="00C96977">
        <w:rPr>
          <w:rtl/>
          <w:lang w:val="fr-CH"/>
        </w:rPr>
        <w:t xml:space="preserve">اً </w:t>
      </w:r>
      <w:r w:rsidRPr="00664CDC">
        <w:rPr>
          <w:rtl/>
          <w:lang w:val="fr-CH"/>
        </w:rPr>
        <w:t xml:space="preserve">للإخلاء هو </w:t>
      </w:r>
      <w:r w:rsidRPr="00D20D41">
        <w:rPr>
          <w:rtl/>
          <w:lang w:val="fr-CH"/>
        </w:rPr>
        <w:t>13</w:t>
      </w:r>
      <w:r w:rsidRPr="00664CDC">
        <w:rPr>
          <w:rtl/>
          <w:lang w:val="fr-CH"/>
        </w:rPr>
        <w:t xml:space="preserve"> كانون الثاني/يناير </w:t>
      </w:r>
      <w:r w:rsidRPr="00D20D41">
        <w:rPr>
          <w:rtl/>
          <w:lang w:val="fr-CH"/>
        </w:rPr>
        <w:t>2021</w:t>
      </w:r>
      <w:r w:rsidRPr="00664CDC">
        <w:rPr>
          <w:rtl/>
          <w:lang w:val="fr-CH"/>
        </w:rPr>
        <w:t>.</w:t>
      </w:r>
    </w:p>
    <w:p w14:paraId="16D08BEF" w14:textId="4B83A3F3" w:rsidR="00664CDC" w:rsidRPr="00664CDC" w:rsidRDefault="00664CDC" w:rsidP="005E677D">
      <w:pPr>
        <w:pStyle w:val="SingleTxtGA"/>
        <w:spacing w:line="346" w:lineRule="exact"/>
        <w:rPr>
          <w:lang w:val="fr-CH"/>
        </w:rPr>
      </w:pPr>
      <w:r w:rsidRPr="00D20D41">
        <w:rPr>
          <w:rtl/>
          <w:lang w:val="fr-CH"/>
        </w:rPr>
        <w:lastRenderedPageBreak/>
        <w:t>10</w:t>
      </w:r>
      <w:r w:rsidRPr="00664CDC">
        <w:rPr>
          <w:rtl/>
          <w:lang w:val="fr-CH"/>
        </w:rPr>
        <w:t>-</w:t>
      </w:r>
      <w:r w:rsidRPr="00D20D41">
        <w:rPr>
          <w:rtl/>
          <w:lang w:val="fr-CH"/>
        </w:rPr>
        <w:t>8</w:t>
      </w:r>
      <w:r w:rsidRPr="00664CDC">
        <w:rPr>
          <w:rtl/>
          <w:lang w:val="fr-CH"/>
        </w:rPr>
        <w:tab/>
        <w:t>ويرى صاحبا البلاغ أن قرار السلطات القضائية طردهما من مسكنهما، دون توفير سكن بديل مناسب لهما، يشكل انتهاك</w:t>
      </w:r>
      <w:r w:rsidR="00C96977">
        <w:rPr>
          <w:rtl/>
          <w:lang w:val="fr-CH"/>
        </w:rPr>
        <w:t xml:space="preserve">اً </w:t>
      </w:r>
      <w:r w:rsidRPr="00664CDC">
        <w:rPr>
          <w:rtl/>
          <w:lang w:val="fr-CH"/>
        </w:rPr>
        <w:t xml:space="preserve">للمادة </w:t>
      </w:r>
      <w:r w:rsidRPr="00D20D41">
        <w:rPr>
          <w:rtl/>
          <w:lang w:val="fr-CH"/>
        </w:rPr>
        <w:t>11</w:t>
      </w:r>
      <w:r w:rsidRPr="00664CDC">
        <w:rPr>
          <w:rtl/>
          <w:lang w:val="fr-CH"/>
        </w:rPr>
        <w:t>(</w:t>
      </w:r>
      <w:r w:rsidRPr="00D20D41">
        <w:rPr>
          <w:rtl/>
          <w:lang w:val="fr-CH"/>
        </w:rPr>
        <w:t>1</w:t>
      </w:r>
      <w:r w:rsidRPr="00664CDC">
        <w:rPr>
          <w:rtl/>
          <w:lang w:val="fr-CH"/>
        </w:rPr>
        <w:t>) من العهد لأنه لم يأخذ في الحسبان حاجتهما ووضعهما المالي الهش. ويشير صاحبا البلاغ إلى أن قرار الإخلاء، ورغم وقف تنفيذه عدة مرات، لا يزال ساري</w:t>
      </w:r>
      <w:r w:rsidR="00FD03FB">
        <w:rPr>
          <w:rtl/>
          <w:lang w:val="fr-CH"/>
        </w:rPr>
        <w:t>اً،</w:t>
      </w:r>
      <w:r w:rsidRPr="00664CDC">
        <w:rPr>
          <w:rtl/>
          <w:lang w:val="fr-CH"/>
        </w:rPr>
        <w:t xml:space="preserve"> بالنظر إلى أن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حددت موعد</w:t>
      </w:r>
      <w:r w:rsidR="00C96977">
        <w:rPr>
          <w:rtl/>
          <w:lang w:val="fr-CH"/>
        </w:rPr>
        <w:t xml:space="preserve">اً </w:t>
      </w:r>
      <w:r w:rsidRPr="00664CDC">
        <w:rPr>
          <w:rtl/>
          <w:lang w:val="fr-CH"/>
        </w:rPr>
        <w:t>جديد</w:t>
      </w:r>
      <w:r w:rsidR="00C96977">
        <w:rPr>
          <w:rtl/>
          <w:lang w:val="fr-CH"/>
        </w:rPr>
        <w:t xml:space="preserve">اً </w:t>
      </w:r>
      <w:r w:rsidRPr="00664CDC">
        <w:rPr>
          <w:rtl/>
          <w:lang w:val="fr-CH"/>
        </w:rPr>
        <w:t xml:space="preserve">للإخلاء هو </w:t>
      </w:r>
      <w:r w:rsidRPr="00D20D41">
        <w:rPr>
          <w:rtl/>
          <w:lang w:val="fr-CH"/>
        </w:rPr>
        <w:t>13</w:t>
      </w:r>
      <w:r w:rsidRPr="00664CDC">
        <w:rPr>
          <w:rtl/>
          <w:lang w:val="fr-CH"/>
        </w:rPr>
        <w:t xml:space="preserve"> كانون الثاني/يناير </w:t>
      </w:r>
      <w:r w:rsidRPr="00D20D41">
        <w:rPr>
          <w:rtl/>
          <w:lang w:val="fr-CH"/>
        </w:rPr>
        <w:t>2021</w:t>
      </w:r>
      <w:r w:rsidRPr="00664CDC">
        <w:rPr>
          <w:rtl/>
          <w:lang w:val="fr-CH"/>
        </w:rPr>
        <w:t xml:space="preserve">. وتدفع الدولة الطرف بأن أحكام العهد لا تشمل عمليات الإخلاء في حالات الإشغال غير القانوني. </w:t>
      </w:r>
    </w:p>
    <w:p w14:paraId="599512BC" w14:textId="77777777" w:rsidR="00664CDC" w:rsidRPr="00664CDC" w:rsidRDefault="00664CDC" w:rsidP="005E677D">
      <w:pPr>
        <w:pStyle w:val="SingleTxtGA"/>
        <w:spacing w:line="346" w:lineRule="exact"/>
        <w:rPr>
          <w:lang w:val="fr-CH"/>
        </w:rPr>
      </w:pPr>
      <w:r w:rsidRPr="00D20D41">
        <w:rPr>
          <w:rtl/>
          <w:lang w:val="fr-CH"/>
        </w:rPr>
        <w:t>10</w:t>
      </w:r>
      <w:r w:rsidRPr="00664CDC">
        <w:rPr>
          <w:rtl/>
          <w:lang w:val="fr-CH"/>
        </w:rPr>
        <w:t>-</w:t>
      </w:r>
      <w:r w:rsidRPr="00D20D41">
        <w:rPr>
          <w:rtl/>
          <w:lang w:val="fr-CH"/>
        </w:rPr>
        <w:t>9</w:t>
      </w:r>
      <w:r w:rsidRPr="00664CDC">
        <w:rPr>
          <w:rtl/>
          <w:lang w:val="fr-CH"/>
        </w:rPr>
        <w:tab/>
        <w:t xml:space="preserve">وفي ضوء الوقائع التي رأت اللجنة أنها ذات صلة، والحجج التي قدمها الطرفان، فإن السؤال الرئيسي الذي أثاره البلاغ هو ما إذا كان طرد صاحبي البلاغ يشكل انتهاكاً للحق في السكن اللائق بموجب المادة </w:t>
      </w:r>
      <w:r w:rsidRPr="00D20D41">
        <w:rPr>
          <w:rtl/>
          <w:lang w:val="fr-CH"/>
        </w:rPr>
        <w:t>11</w:t>
      </w:r>
      <w:r w:rsidRPr="00664CDC">
        <w:rPr>
          <w:rtl/>
          <w:lang w:val="fr-CH"/>
        </w:rPr>
        <w:t>(</w:t>
      </w:r>
      <w:r w:rsidRPr="00D20D41">
        <w:rPr>
          <w:rtl/>
          <w:lang w:val="fr-CH"/>
        </w:rPr>
        <w:t>1</w:t>
      </w:r>
      <w:r w:rsidRPr="00664CDC">
        <w:rPr>
          <w:rtl/>
          <w:lang w:val="fr-CH"/>
        </w:rPr>
        <w:t>) من العهد. وللإجابة على هذا السؤال، ستبدأ اللجنة بالتذكير بسوابقها القضائية المتعلقة بالحماية من الإخلاء القسري. وستنظر بعد ذلك في الحالة المحددة لإخلاء صاحبي البلاغ وستتناول المسائل المثارة في البلاغ.</w:t>
      </w:r>
    </w:p>
    <w:p w14:paraId="46FC9801" w14:textId="77777777" w:rsidR="00664CDC" w:rsidRPr="00D20D41" w:rsidRDefault="00664CDC" w:rsidP="005E677D">
      <w:pPr>
        <w:pStyle w:val="H23GA"/>
        <w:spacing w:line="346" w:lineRule="exact"/>
      </w:pPr>
      <w:r w:rsidRPr="00D20D41">
        <w:rPr>
          <w:rtl/>
        </w:rPr>
        <w:tab/>
      </w:r>
      <w:r w:rsidRPr="00D20D41">
        <w:rPr>
          <w:rtl/>
        </w:rPr>
        <w:tab/>
        <w:t xml:space="preserve">الحماية من الإخلاء بالإكراه </w:t>
      </w:r>
    </w:p>
    <w:p w14:paraId="636032CE" w14:textId="41331DDF" w:rsidR="00664CDC" w:rsidRPr="00664CDC" w:rsidRDefault="00664CDC" w:rsidP="005E677D">
      <w:pPr>
        <w:pStyle w:val="SingleTxtGA"/>
        <w:spacing w:line="346" w:lineRule="exact"/>
        <w:rPr>
          <w:lang w:val="fr-CH"/>
        </w:rPr>
      </w:pPr>
      <w:r w:rsidRPr="00D20D41">
        <w:rPr>
          <w:rtl/>
          <w:lang w:val="fr-CH"/>
        </w:rPr>
        <w:t>11</w:t>
      </w:r>
      <w:r w:rsidRPr="00664CDC">
        <w:rPr>
          <w:rtl/>
          <w:lang w:val="fr-CH"/>
        </w:rPr>
        <w:t>-</w:t>
      </w:r>
      <w:r w:rsidRPr="00D20D41">
        <w:rPr>
          <w:rtl/>
          <w:lang w:val="fr-CH"/>
        </w:rPr>
        <w:t>1</w:t>
      </w:r>
      <w:r w:rsidRPr="00664CDC">
        <w:rPr>
          <w:rtl/>
          <w:lang w:val="fr-CH"/>
        </w:rPr>
        <w:tab/>
        <w:t xml:space="preserve">حقُّ الإنسان في سكن لائق حقٌّ أساسي لا بد منه للتمتع بجميع الحقوق الاقتصادية والاجتماعية </w:t>
      </w:r>
      <w:proofErr w:type="gramStart"/>
      <w:r w:rsidRPr="00664CDC">
        <w:rPr>
          <w:rtl/>
          <w:lang w:val="fr-CH"/>
        </w:rPr>
        <w:t>والثقافية</w:t>
      </w:r>
      <w:r w:rsidRPr="00664CDC">
        <w:rPr>
          <w:vertAlign w:val="superscript"/>
          <w:rtl/>
          <w:lang w:val="fr-CH"/>
        </w:rPr>
        <w:t>(</w:t>
      </w:r>
      <w:proofErr w:type="gramEnd"/>
      <w:r w:rsidRPr="00D20D41">
        <w:rPr>
          <w:rStyle w:val="FootnoteReference"/>
          <w:szCs w:val="22"/>
          <w:lang w:val="en-US"/>
        </w:rPr>
        <w:footnoteReference w:id="17"/>
      </w:r>
      <w:r w:rsidRPr="00664CDC">
        <w:rPr>
          <w:vertAlign w:val="superscript"/>
          <w:rtl/>
          <w:lang w:val="fr-CH"/>
        </w:rPr>
        <w:t>)</w:t>
      </w:r>
      <w:r w:rsidRPr="00664CDC">
        <w:rPr>
          <w:rtl/>
          <w:lang w:val="fr-CH"/>
        </w:rPr>
        <w:t xml:space="preserve"> ويرتبط ارتباطاً وثيقاً بحقوق الإنسان الأخرى، بما في ذلك الحقوق المنصوص عليها في العهد الدولي الخاص بالحقوق المدنية والسياسية</w:t>
      </w:r>
      <w:r w:rsidRPr="00664CDC">
        <w:rPr>
          <w:vertAlign w:val="superscript"/>
          <w:rtl/>
          <w:lang w:val="fr-CH"/>
        </w:rPr>
        <w:t>(</w:t>
      </w:r>
      <w:r w:rsidRPr="00D20D41">
        <w:rPr>
          <w:rStyle w:val="FootnoteReference"/>
          <w:szCs w:val="22"/>
          <w:lang w:val="en-US"/>
        </w:rPr>
        <w:footnoteReference w:id="18"/>
      </w:r>
      <w:r w:rsidRPr="00664CDC">
        <w:rPr>
          <w:vertAlign w:val="superscript"/>
          <w:rtl/>
          <w:lang w:val="fr-CH"/>
        </w:rPr>
        <w:t>)</w:t>
      </w:r>
      <w:r>
        <w:rPr>
          <w:rtl/>
          <w:lang w:val="fr-CH"/>
        </w:rPr>
        <w:t>.</w:t>
      </w:r>
      <w:r w:rsidRPr="00664CDC">
        <w:rPr>
          <w:rtl/>
          <w:lang w:val="fr-CH"/>
        </w:rPr>
        <w:t xml:space="preserve"> وينبغي كفالة الحق في السكن لجميع الأشخاص بغض </w:t>
      </w:r>
      <w:r w:rsidRPr="00FD03FB">
        <w:rPr>
          <w:spacing w:val="-2"/>
          <w:rtl/>
          <w:lang w:val="fr-CH"/>
        </w:rPr>
        <w:t xml:space="preserve">النظر عن دخلهم أو حيازتهم لموارد </w:t>
      </w:r>
      <w:proofErr w:type="gramStart"/>
      <w:r w:rsidRPr="00FD03FB">
        <w:rPr>
          <w:spacing w:val="-2"/>
          <w:rtl/>
          <w:lang w:val="fr-CH"/>
        </w:rPr>
        <w:t>اقتصادية</w:t>
      </w:r>
      <w:r w:rsidRPr="00FD03FB">
        <w:rPr>
          <w:spacing w:val="-2"/>
          <w:vertAlign w:val="superscript"/>
          <w:rtl/>
          <w:lang w:val="fr-CH"/>
        </w:rPr>
        <w:t>(</w:t>
      </w:r>
      <w:proofErr w:type="gramEnd"/>
      <w:r w:rsidRPr="00D20D41">
        <w:rPr>
          <w:rStyle w:val="FootnoteReference"/>
          <w:spacing w:val="-2"/>
          <w:szCs w:val="22"/>
          <w:lang w:val="en-US"/>
        </w:rPr>
        <w:footnoteReference w:id="19"/>
      </w:r>
      <w:r w:rsidRPr="00FD03FB">
        <w:rPr>
          <w:spacing w:val="-2"/>
          <w:vertAlign w:val="superscript"/>
          <w:rtl/>
          <w:lang w:val="fr-CH"/>
        </w:rPr>
        <w:t>)</w:t>
      </w:r>
      <w:r w:rsidR="00087A06" w:rsidRPr="00FD03FB">
        <w:rPr>
          <w:rFonts w:hint="cs"/>
          <w:spacing w:val="-2"/>
          <w:rtl/>
          <w:lang w:val="fr-CH"/>
        </w:rPr>
        <w:t xml:space="preserve"> </w:t>
      </w:r>
      <w:r w:rsidRPr="00FD03FB">
        <w:rPr>
          <w:spacing w:val="-2"/>
          <w:rtl/>
          <w:lang w:val="fr-CH"/>
        </w:rPr>
        <w:t>وينبغي للدول الأطراف أن تتخذ ما يلزم من تدابير لتحقيق</w:t>
      </w:r>
      <w:r w:rsidRPr="00664CDC">
        <w:rPr>
          <w:rtl/>
          <w:lang w:val="fr-CH"/>
        </w:rPr>
        <w:t xml:space="preserve"> الإعمال الكامل لهذا الحق إلى أقصى حدود مواردها المتاحة</w:t>
      </w:r>
      <w:r w:rsidRPr="00664CDC">
        <w:rPr>
          <w:vertAlign w:val="superscript"/>
          <w:rtl/>
          <w:lang w:val="fr-CH"/>
        </w:rPr>
        <w:t>(</w:t>
      </w:r>
      <w:r w:rsidRPr="00D20D41">
        <w:rPr>
          <w:rStyle w:val="FootnoteReference"/>
          <w:szCs w:val="22"/>
          <w:lang w:val="en-US"/>
        </w:rPr>
        <w:footnoteReference w:id="20"/>
      </w:r>
      <w:r w:rsidRPr="00664CDC">
        <w:rPr>
          <w:vertAlign w:val="superscript"/>
          <w:rtl/>
          <w:lang w:val="fr-CH"/>
        </w:rPr>
        <w:t>)</w:t>
      </w:r>
      <w:r>
        <w:rPr>
          <w:rtl/>
          <w:lang w:val="fr-CH"/>
        </w:rPr>
        <w:t>.</w:t>
      </w:r>
    </w:p>
    <w:p w14:paraId="7C89FDDF" w14:textId="2720EB0D" w:rsidR="00664CDC" w:rsidRPr="00664CDC" w:rsidRDefault="00664CDC" w:rsidP="005E677D">
      <w:pPr>
        <w:pStyle w:val="SingleTxtGA"/>
        <w:spacing w:line="346" w:lineRule="exact"/>
        <w:rPr>
          <w:lang w:val="fr-CH"/>
        </w:rPr>
      </w:pPr>
      <w:r w:rsidRPr="00D20D41">
        <w:rPr>
          <w:rtl/>
          <w:lang w:val="fr-CH"/>
        </w:rPr>
        <w:t>11</w:t>
      </w:r>
      <w:r w:rsidRPr="00664CDC">
        <w:rPr>
          <w:rtl/>
          <w:lang w:val="fr-CH"/>
        </w:rPr>
        <w:t>-</w:t>
      </w:r>
      <w:r w:rsidRPr="00D20D41">
        <w:rPr>
          <w:rtl/>
          <w:lang w:val="fr-CH"/>
        </w:rPr>
        <w:t>2</w:t>
      </w:r>
      <w:r w:rsidRPr="00664CDC">
        <w:rPr>
          <w:rtl/>
          <w:lang w:val="fr-CH"/>
        </w:rPr>
        <w:tab/>
        <w:t xml:space="preserve">وعمليات الإخلاء القسري لا تتفق في الظاهر مع العهد ولا يمكن تبريرها إلا في أكثر الظروف </w:t>
      </w:r>
      <w:proofErr w:type="gramStart"/>
      <w:r w:rsidRPr="00664CDC">
        <w:rPr>
          <w:rtl/>
          <w:lang w:val="fr-CH"/>
        </w:rPr>
        <w:t>استثنائية</w:t>
      </w:r>
      <w:r w:rsidRPr="00664CDC">
        <w:rPr>
          <w:vertAlign w:val="superscript"/>
          <w:rtl/>
          <w:lang w:val="fr-CH"/>
        </w:rPr>
        <w:t>(</w:t>
      </w:r>
      <w:proofErr w:type="gramEnd"/>
      <w:r w:rsidRPr="00D20D41">
        <w:rPr>
          <w:rStyle w:val="FootnoteReference"/>
          <w:szCs w:val="22"/>
          <w:lang w:val="en-US"/>
        </w:rPr>
        <w:footnoteReference w:id="21"/>
      </w:r>
      <w:r w:rsidRPr="00664CDC">
        <w:rPr>
          <w:vertAlign w:val="superscript"/>
          <w:rtl/>
          <w:lang w:val="fr-CH"/>
        </w:rPr>
        <w:t>)</w:t>
      </w:r>
      <w:r>
        <w:rPr>
          <w:rtl/>
          <w:lang w:val="fr-CH"/>
        </w:rPr>
        <w:t>.</w:t>
      </w:r>
      <w:r w:rsidRPr="00664CDC">
        <w:rPr>
          <w:rtl/>
          <w:lang w:val="fr-CH"/>
        </w:rPr>
        <w:t xml:space="preserve"> ويجب على السلطات المختصة أن تكفل تنفيذها وفقاً للتشريعات المتوافقة مع العهد ووفقاً للمبادئ العامة للمعقولية والتناسب بين الهدف المشروع للإخلاء وعواقبه التي تصيب الأشخاص الذين جرى </w:t>
      </w:r>
      <w:proofErr w:type="gramStart"/>
      <w:r w:rsidRPr="00664CDC">
        <w:rPr>
          <w:rtl/>
          <w:lang w:val="fr-CH"/>
        </w:rPr>
        <w:t>إخلاؤهم</w:t>
      </w:r>
      <w:r w:rsidRPr="00664CDC">
        <w:rPr>
          <w:vertAlign w:val="superscript"/>
          <w:rtl/>
          <w:lang w:val="fr-CH"/>
        </w:rPr>
        <w:t>(</w:t>
      </w:r>
      <w:proofErr w:type="gramEnd"/>
      <w:r w:rsidRPr="00D20D41">
        <w:rPr>
          <w:rStyle w:val="FootnoteReference"/>
          <w:szCs w:val="22"/>
          <w:lang w:val="en-US"/>
        </w:rPr>
        <w:footnoteReference w:id="22"/>
      </w:r>
      <w:r w:rsidRPr="00664CDC">
        <w:rPr>
          <w:vertAlign w:val="superscript"/>
          <w:rtl/>
          <w:lang w:val="fr-CH"/>
        </w:rPr>
        <w:t>)</w:t>
      </w:r>
      <w:r>
        <w:rPr>
          <w:rtl/>
          <w:lang w:val="fr-CH"/>
        </w:rPr>
        <w:t>.</w:t>
      </w:r>
      <w:r w:rsidRPr="00664CDC">
        <w:rPr>
          <w:rtl/>
          <w:lang w:val="fr-CH"/>
        </w:rPr>
        <w:t xml:space="preserve"> وينشأ هذا الالتزام عن تفسير التزامات الدولة الطرف بموجب المادة </w:t>
      </w:r>
      <w:r w:rsidRPr="00D20D41">
        <w:rPr>
          <w:rtl/>
          <w:lang w:val="fr-CH"/>
        </w:rPr>
        <w:t>2</w:t>
      </w:r>
      <w:r w:rsidRPr="00664CDC">
        <w:rPr>
          <w:rtl/>
          <w:lang w:val="fr-CH"/>
        </w:rPr>
        <w:t>(</w:t>
      </w:r>
      <w:r w:rsidRPr="00D20D41">
        <w:rPr>
          <w:rtl/>
          <w:lang w:val="fr-CH"/>
        </w:rPr>
        <w:t>1</w:t>
      </w:r>
      <w:r w:rsidRPr="00664CDC">
        <w:rPr>
          <w:rtl/>
          <w:lang w:val="fr-CH"/>
        </w:rPr>
        <w:t xml:space="preserve">) من العهد، مقروءة بالاقتران مع المادة </w:t>
      </w:r>
      <w:r w:rsidRPr="00D20D41">
        <w:rPr>
          <w:rtl/>
          <w:lang w:val="fr-CH"/>
        </w:rPr>
        <w:t>11</w:t>
      </w:r>
      <w:r w:rsidRPr="00664CDC">
        <w:rPr>
          <w:rtl/>
          <w:lang w:val="fr-CH"/>
        </w:rPr>
        <w:t>، ووفق</w:t>
      </w:r>
      <w:r w:rsidR="00FD03FB">
        <w:rPr>
          <w:rtl/>
          <w:lang w:val="fr-CH"/>
        </w:rPr>
        <w:t xml:space="preserve">اً </w:t>
      </w:r>
      <w:r w:rsidRPr="00664CDC">
        <w:rPr>
          <w:rtl/>
          <w:lang w:val="fr-CH"/>
        </w:rPr>
        <w:t xml:space="preserve">لمقتضيات المادة </w:t>
      </w:r>
      <w:r w:rsidRPr="00D20D41">
        <w:rPr>
          <w:rtl/>
          <w:lang w:val="fr-CH"/>
        </w:rPr>
        <w:t>4</w:t>
      </w:r>
      <w:r w:rsidRPr="00664CDC">
        <w:rPr>
          <w:rtl/>
          <w:lang w:val="fr-CH"/>
        </w:rPr>
        <w:t xml:space="preserve">، التي تنص على الشروط التي يسمح بموجبها بهذه القيود على التمتع بالحقوق المنصوص عليها في </w:t>
      </w:r>
      <w:proofErr w:type="gramStart"/>
      <w:r w:rsidRPr="00664CDC">
        <w:rPr>
          <w:rtl/>
          <w:lang w:val="fr-CH"/>
        </w:rPr>
        <w:t>العهد</w:t>
      </w:r>
      <w:r w:rsidRPr="00664CDC">
        <w:rPr>
          <w:vertAlign w:val="superscript"/>
          <w:rtl/>
          <w:lang w:val="fr-CH"/>
        </w:rPr>
        <w:t>(</w:t>
      </w:r>
      <w:proofErr w:type="gramEnd"/>
      <w:r w:rsidRPr="00D20D41">
        <w:rPr>
          <w:rStyle w:val="FootnoteReference"/>
          <w:szCs w:val="22"/>
          <w:lang w:val="en-US"/>
        </w:rPr>
        <w:footnoteReference w:id="23"/>
      </w:r>
      <w:r w:rsidRPr="00664CDC">
        <w:rPr>
          <w:vertAlign w:val="superscript"/>
          <w:rtl/>
          <w:lang w:val="fr-CH"/>
        </w:rPr>
        <w:t>)</w:t>
      </w:r>
      <w:r>
        <w:rPr>
          <w:rtl/>
          <w:lang w:val="fr-CH"/>
        </w:rPr>
        <w:t>.</w:t>
      </w:r>
    </w:p>
    <w:p w14:paraId="54DD4993" w14:textId="292437A1" w:rsidR="00664CDC" w:rsidRPr="00664CDC" w:rsidRDefault="00664CDC" w:rsidP="00664CDC">
      <w:pPr>
        <w:pStyle w:val="SingleTxtGA"/>
        <w:rPr>
          <w:lang w:val="fr-CH"/>
        </w:rPr>
      </w:pPr>
      <w:r w:rsidRPr="00D20D41">
        <w:rPr>
          <w:rtl/>
          <w:lang w:val="fr-CH"/>
        </w:rPr>
        <w:t>11</w:t>
      </w:r>
      <w:r w:rsidRPr="00664CDC">
        <w:rPr>
          <w:rtl/>
          <w:lang w:val="fr-CH"/>
        </w:rPr>
        <w:t>-</w:t>
      </w:r>
      <w:r w:rsidRPr="00D20D41">
        <w:rPr>
          <w:rtl/>
          <w:lang w:val="fr-CH"/>
        </w:rPr>
        <w:t>3</w:t>
      </w:r>
      <w:r w:rsidRPr="00664CDC">
        <w:rPr>
          <w:rtl/>
          <w:lang w:val="fr-CH"/>
        </w:rPr>
        <w:tab/>
        <w:t>وعليه، كي يكون الطرد مبرر</w:t>
      </w:r>
      <w:r w:rsidR="00FD03FB">
        <w:rPr>
          <w:rtl/>
          <w:lang w:val="fr-CH"/>
        </w:rPr>
        <w:t>اً،</w:t>
      </w:r>
      <w:r w:rsidRPr="00664CDC">
        <w:rPr>
          <w:rtl/>
          <w:lang w:val="fr-CH"/>
        </w:rPr>
        <w:t xml:space="preserve"> يجب أن يستوفي الشروط التالية: أول</w:t>
      </w:r>
      <w:r w:rsidR="00FD03FB">
        <w:rPr>
          <w:rtl/>
          <w:lang w:val="fr-CH"/>
        </w:rPr>
        <w:t>اً،</w:t>
      </w:r>
      <w:r w:rsidRPr="00664CDC">
        <w:rPr>
          <w:rtl/>
          <w:lang w:val="fr-CH"/>
        </w:rPr>
        <w:t xml:space="preserve"> يجب أن تكون القيود المفروضة على التمتع بالحقوق منصوص</w:t>
      </w:r>
      <w:r w:rsidR="00FD03FB">
        <w:rPr>
          <w:rtl/>
          <w:lang w:val="fr-CH"/>
        </w:rPr>
        <w:t xml:space="preserve">اً </w:t>
      </w:r>
      <w:r w:rsidRPr="00664CDC">
        <w:rPr>
          <w:rtl/>
          <w:lang w:val="fr-CH"/>
        </w:rPr>
        <w:t>عليها بموجب القانون؛ ثانياً، يجب أن تعزز القيود الصالح العام في المجتمعات الديمقراطية. ثالثاً، يجب أن يكون التقييد مناسب</w:t>
      </w:r>
      <w:r w:rsidR="00FD03FB">
        <w:rPr>
          <w:rtl/>
          <w:lang w:val="fr-CH"/>
        </w:rPr>
        <w:t xml:space="preserve">اً </w:t>
      </w:r>
      <w:r w:rsidRPr="00664CDC">
        <w:rPr>
          <w:rtl/>
          <w:lang w:val="fr-CH"/>
        </w:rPr>
        <w:t xml:space="preserve">للغرض المشروع المذكور. رابعاً، يجب أن تكون ضرورية، بمعنى أنه إذا كان هناك أكثر من تدبير واحد يتوقع، على نحو معقول، أن يخدم الغرض من التقييد، فلا بد من اختيار أقل التدابير تقييداً. وأخيراً، يجب أن تفوق فوائد التقييد في تعزيز الصالح العام آثارَه على التمتع المحدود بالحق. وكلما زاد الأثر على حقوق صاحبة البلاغ المنصوص عليها في العهد، زادت ضرورة التدقيق في الأسباب </w:t>
      </w:r>
      <w:proofErr w:type="spellStart"/>
      <w:r w:rsidRPr="00664CDC">
        <w:rPr>
          <w:rtl/>
          <w:lang w:val="fr-CH"/>
        </w:rPr>
        <w:t>المتذرع</w:t>
      </w:r>
      <w:proofErr w:type="spellEnd"/>
      <w:r w:rsidRPr="00664CDC">
        <w:rPr>
          <w:rtl/>
          <w:lang w:val="fr-CH"/>
        </w:rPr>
        <w:t xml:space="preserve"> بها لهذا التقييد. ومن العوامل الحاسمة في هذا التحليل </w:t>
      </w:r>
      <w:r w:rsidRPr="00087A06">
        <w:rPr>
          <w:spacing w:val="-2"/>
          <w:rtl/>
          <w:lang w:val="fr-CH"/>
        </w:rPr>
        <w:t xml:space="preserve">توافر مكان إقامة بديل مناسب، والظروف الشخصية لشاغلي المسكن ومُعاليهم، ومدى تعاونهم مع السلطات </w:t>
      </w:r>
      <w:r w:rsidRPr="00087A06">
        <w:rPr>
          <w:spacing w:val="-2"/>
          <w:rtl/>
          <w:lang w:val="fr-CH"/>
        </w:rPr>
        <w:lastRenderedPageBreak/>
        <w:t xml:space="preserve">في البحث عن حلول مناسبة. وينطوي ذلك حتماً على التمييز بين العقارات المملوكة لأفراد يحتاجون إليها كمسكن أو لتوفير دخل حيوي والعقارات المملوكة للمصارف أو الكيانات </w:t>
      </w:r>
      <w:proofErr w:type="gramStart"/>
      <w:r w:rsidRPr="00087A06">
        <w:rPr>
          <w:spacing w:val="-2"/>
          <w:rtl/>
          <w:lang w:val="fr-CH"/>
        </w:rPr>
        <w:t>الأخرى</w:t>
      </w:r>
      <w:r w:rsidRPr="00087A06">
        <w:rPr>
          <w:spacing w:val="-2"/>
          <w:vertAlign w:val="superscript"/>
          <w:rtl/>
          <w:lang w:val="fr-CH"/>
        </w:rPr>
        <w:t>(</w:t>
      </w:r>
      <w:proofErr w:type="gramEnd"/>
      <w:r w:rsidRPr="00D20D41">
        <w:rPr>
          <w:rStyle w:val="FootnoteReference"/>
          <w:spacing w:val="-2"/>
          <w:szCs w:val="22"/>
          <w:lang w:val="en-US"/>
        </w:rPr>
        <w:footnoteReference w:id="24"/>
      </w:r>
      <w:r w:rsidRPr="00087A06">
        <w:rPr>
          <w:spacing w:val="-2"/>
          <w:vertAlign w:val="superscript"/>
          <w:rtl/>
          <w:lang w:val="fr-CH"/>
        </w:rPr>
        <w:t>)</w:t>
      </w:r>
      <w:r w:rsidRPr="00087A06">
        <w:rPr>
          <w:spacing w:val="-2"/>
          <w:rtl/>
          <w:lang w:val="fr-CH"/>
        </w:rPr>
        <w:t xml:space="preserve">. وسترتكب الدولة الطرف انتهاكاً للحق في السكن اللائق إذا نصت على وجوب إخلاء الشخص الذي يشغل عقاراً بصورة غير قانونية فوراً بغض النظر عن الظروف التي سينفذ فيها أمر </w:t>
      </w:r>
      <w:proofErr w:type="gramStart"/>
      <w:r w:rsidRPr="00087A06">
        <w:rPr>
          <w:spacing w:val="-2"/>
          <w:rtl/>
          <w:lang w:val="fr-CH"/>
        </w:rPr>
        <w:t>الإخلاء</w:t>
      </w:r>
      <w:r w:rsidRPr="00087A06">
        <w:rPr>
          <w:spacing w:val="-2"/>
          <w:vertAlign w:val="superscript"/>
          <w:rtl/>
          <w:lang w:val="fr-CH"/>
        </w:rPr>
        <w:t>(</w:t>
      </w:r>
      <w:proofErr w:type="gramEnd"/>
      <w:r w:rsidRPr="00D20D41">
        <w:rPr>
          <w:rStyle w:val="FootnoteReference"/>
          <w:spacing w:val="-2"/>
          <w:szCs w:val="22"/>
          <w:lang w:val="en-US"/>
        </w:rPr>
        <w:footnoteReference w:id="25"/>
      </w:r>
      <w:r w:rsidRPr="00087A06">
        <w:rPr>
          <w:spacing w:val="-2"/>
          <w:vertAlign w:val="superscript"/>
          <w:rtl/>
          <w:lang w:val="fr-CH"/>
        </w:rPr>
        <w:t>)</w:t>
      </w:r>
      <w:r w:rsidRPr="00087A06">
        <w:rPr>
          <w:spacing w:val="-2"/>
          <w:rtl/>
          <w:lang w:val="fr-CH"/>
        </w:rPr>
        <w:t>. ويجب أن تحلل تناسب التدبير</w:t>
      </w:r>
      <w:r w:rsidRPr="00664CDC">
        <w:rPr>
          <w:rtl/>
          <w:lang w:val="fr-CH"/>
        </w:rPr>
        <w:t xml:space="preserve"> سلطةٌ </w:t>
      </w:r>
      <w:r w:rsidRPr="00087A06">
        <w:rPr>
          <w:spacing w:val="-2"/>
          <w:rtl/>
          <w:lang w:val="fr-CH"/>
        </w:rPr>
        <w:t>قضائية أو سلطةٌ محايدة ومستقلة أخرى تتمتع بصلاحية الأمر بوقف الانتهاك وتوفير سبيل انتصاف فعال</w:t>
      </w:r>
      <w:r w:rsidRPr="00664CDC">
        <w:rPr>
          <w:rtl/>
          <w:lang w:val="fr-CH"/>
        </w:rPr>
        <w:t xml:space="preserve">. </w:t>
      </w:r>
      <w:r w:rsidRPr="00087A06">
        <w:rPr>
          <w:spacing w:val="-2"/>
          <w:rtl/>
          <w:lang w:val="fr-CH"/>
        </w:rPr>
        <w:t>ويجب على هذه السلطة أن تحلل ما إذا كان الإخلاء متوافقاً مع العهد، بما في ذلك ما يتعلق بعناصر معيار التناسب</w:t>
      </w:r>
      <w:r w:rsidRPr="00664CDC">
        <w:rPr>
          <w:rtl/>
          <w:lang w:val="fr-CH"/>
        </w:rPr>
        <w:t xml:space="preserve"> الذي تقتضيه المادة </w:t>
      </w:r>
      <w:r w:rsidRPr="00D20D41">
        <w:rPr>
          <w:rtl/>
          <w:lang w:val="fr-CH"/>
        </w:rPr>
        <w:t>4</w:t>
      </w:r>
      <w:r w:rsidRPr="00664CDC">
        <w:rPr>
          <w:rtl/>
          <w:lang w:val="fr-CH"/>
        </w:rPr>
        <w:t xml:space="preserve"> من العهد على النحو المبين </w:t>
      </w:r>
      <w:proofErr w:type="gramStart"/>
      <w:r w:rsidRPr="00664CDC">
        <w:rPr>
          <w:rtl/>
          <w:lang w:val="fr-CH"/>
        </w:rPr>
        <w:t>أعلاه</w:t>
      </w:r>
      <w:r w:rsidRPr="00664CDC">
        <w:rPr>
          <w:vertAlign w:val="superscript"/>
          <w:rtl/>
          <w:lang w:val="fr-CH"/>
        </w:rPr>
        <w:t>(</w:t>
      </w:r>
      <w:proofErr w:type="gramEnd"/>
      <w:r w:rsidRPr="00D20D41">
        <w:rPr>
          <w:rStyle w:val="FootnoteReference"/>
          <w:szCs w:val="22"/>
          <w:lang w:val="en-US"/>
        </w:rPr>
        <w:footnoteReference w:id="26"/>
      </w:r>
      <w:r w:rsidRPr="00664CDC">
        <w:rPr>
          <w:vertAlign w:val="superscript"/>
          <w:rtl/>
          <w:lang w:val="fr-CH"/>
        </w:rPr>
        <w:t>)</w:t>
      </w:r>
      <w:r>
        <w:rPr>
          <w:rtl/>
          <w:lang w:val="fr-CH"/>
        </w:rPr>
        <w:t>.</w:t>
      </w:r>
      <w:r w:rsidRPr="00664CDC">
        <w:rPr>
          <w:rtl/>
          <w:lang w:val="fr-CH"/>
        </w:rPr>
        <w:t xml:space="preserve"> </w:t>
      </w:r>
    </w:p>
    <w:p w14:paraId="485C6617" w14:textId="4529364E" w:rsidR="00664CDC" w:rsidRPr="00664CDC" w:rsidRDefault="00664CDC" w:rsidP="00664CDC">
      <w:pPr>
        <w:pStyle w:val="SingleTxtGA"/>
        <w:rPr>
          <w:lang w:val="fr-CH"/>
        </w:rPr>
      </w:pPr>
      <w:r w:rsidRPr="00D20D41">
        <w:rPr>
          <w:rtl/>
          <w:lang w:val="fr-CH"/>
        </w:rPr>
        <w:t>11</w:t>
      </w:r>
      <w:r w:rsidRPr="00664CDC">
        <w:rPr>
          <w:rtl/>
          <w:lang w:val="fr-CH"/>
        </w:rPr>
        <w:t>-</w:t>
      </w:r>
      <w:r w:rsidRPr="00D20D41">
        <w:rPr>
          <w:rtl/>
          <w:lang w:val="fr-CH"/>
        </w:rPr>
        <w:t>4</w:t>
      </w:r>
      <w:r w:rsidRPr="00664CDC">
        <w:rPr>
          <w:rtl/>
          <w:lang w:val="fr-CH"/>
        </w:rPr>
        <w:tab/>
        <w:t xml:space="preserve">وبالإضافة إلى ذلك، يجب أن تكون هناك فرصة حقيقية لإجراء مشاورات مسبقة فعالة وبحسن نية بين السلطات والأشخاص المعنيين، ويجب ألا تكون هناك وسيلة بديلة أو تدبير أقل ضرراً للحق في السكن المتاح، والأشخاص المعنيين، ويجب ألا تكون هناك وسيلة بديلة متاحة أو إجراء بديل متاح أقل ضرراً بالحق في السكن، وألا يُترك الأشخاص المعنيون في وضع أو معرضين لوضع يشكل انتهاكاً لحقوق أخرى بموجب العهد أو انتهاكاً لحقوق </w:t>
      </w:r>
      <w:proofErr w:type="gramStart"/>
      <w:r w:rsidRPr="00664CDC">
        <w:rPr>
          <w:rtl/>
          <w:lang w:val="fr-CH"/>
        </w:rPr>
        <w:t>الإنسان</w:t>
      </w:r>
      <w:r w:rsidRPr="00664CDC">
        <w:rPr>
          <w:vertAlign w:val="superscript"/>
          <w:rtl/>
          <w:lang w:val="fr-CH"/>
        </w:rPr>
        <w:t>(</w:t>
      </w:r>
      <w:proofErr w:type="gramEnd"/>
      <w:r w:rsidRPr="00D20D41">
        <w:rPr>
          <w:rStyle w:val="FootnoteReference"/>
          <w:szCs w:val="22"/>
          <w:lang w:val="en-US"/>
        </w:rPr>
        <w:footnoteReference w:id="27"/>
      </w:r>
      <w:r w:rsidRPr="00664CDC">
        <w:rPr>
          <w:vertAlign w:val="superscript"/>
          <w:rtl/>
          <w:lang w:val="fr-CH"/>
        </w:rPr>
        <w:t>)</w:t>
      </w:r>
      <w:r>
        <w:rPr>
          <w:rtl/>
          <w:lang w:val="fr-CH"/>
        </w:rPr>
        <w:t>.</w:t>
      </w:r>
      <w:r w:rsidRPr="00664CDC">
        <w:rPr>
          <w:rtl/>
          <w:lang w:val="fr-CH"/>
        </w:rPr>
        <w:t xml:space="preserve"> </w:t>
      </w:r>
    </w:p>
    <w:p w14:paraId="1BC56A75" w14:textId="77777777" w:rsidR="00664CDC" w:rsidRPr="00D20D41" w:rsidRDefault="00664CDC" w:rsidP="006670EA">
      <w:pPr>
        <w:pStyle w:val="H23GA"/>
      </w:pPr>
      <w:r w:rsidRPr="00D20D41">
        <w:rPr>
          <w:rtl/>
        </w:rPr>
        <w:tab/>
      </w:r>
      <w:r w:rsidRPr="00D20D41">
        <w:rPr>
          <w:rtl/>
        </w:rPr>
        <w:tab/>
        <w:t>واجب الدول في توفير سكن بديل للأشخاص المحتاجين</w:t>
      </w:r>
    </w:p>
    <w:p w14:paraId="7F91C5C5" w14:textId="1E73C3AB" w:rsidR="00664CDC" w:rsidRPr="00664CDC" w:rsidRDefault="00664CDC" w:rsidP="00664CDC">
      <w:pPr>
        <w:pStyle w:val="SingleTxtGA"/>
        <w:rPr>
          <w:lang w:val="fr-CH"/>
        </w:rPr>
      </w:pPr>
      <w:r w:rsidRPr="00D20D41">
        <w:rPr>
          <w:rtl/>
          <w:lang w:val="fr-CH"/>
        </w:rPr>
        <w:t>12</w:t>
      </w:r>
      <w:r w:rsidRPr="00664CDC">
        <w:rPr>
          <w:rtl/>
          <w:lang w:val="fr-CH"/>
        </w:rPr>
        <w:t>-</w:t>
      </w:r>
      <w:r w:rsidRPr="00D20D41">
        <w:rPr>
          <w:rtl/>
          <w:lang w:val="fr-CH"/>
        </w:rPr>
        <w:t>1</w:t>
      </w:r>
      <w:r w:rsidRPr="00664CDC">
        <w:rPr>
          <w:rtl/>
          <w:lang w:val="fr-CH"/>
        </w:rPr>
        <w:tab/>
        <w:t xml:space="preserve">ينبغي ألا تؤدي عمليات الإخلاء إلى تشريد الأفراد أو جعلهم عرضةً لمزيد من انتهاكات حقوق الإنسان. وفي الحالات التي لا يستطيع فيها المتضررون إعالة أنفسهم، يجب على الدولة الطرف أن تتخذ جميع التدابير المناسبة، إلى أقصى حدود مواردها المتاحة، لضمان توفير سكن بديل لائق لهم، أو إعادة توطينهم، أو حصولهم على أراض منتجة، حسبما يقتضي واقع </w:t>
      </w:r>
      <w:proofErr w:type="gramStart"/>
      <w:r w:rsidRPr="00664CDC">
        <w:rPr>
          <w:rtl/>
          <w:lang w:val="fr-CH"/>
        </w:rPr>
        <w:t>الحال</w:t>
      </w:r>
      <w:r w:rsidRPr="00664CDC">
        <w:rPr>
          <w:vertAlign w:val="superscript"/>
          <w:rtl/>
          <w:lang w:val="fr-CH"/>
        </w:rPr>
        <w:t>(</w:t>
      </w:r>
      <w:proofErr w:type="gramEnd"/>
      <w:r w:rsidRPr="00D20D41">
        <w:rPr>
          <w:rStyle w:val="FootnoteReference"/>
          <w:szCs w:val="22"/>
          <w:lang w:val="en-US"/>
        </w:rPr>
        <w:footnoteReference w:id="28"/>
      </w:r>
      <w:r w:rsidRPr="00664CDC">
        <w:rPr>
          <w:vertAlign w:val="superscript"/>
          <w:rtl/>
          <w:lang w:val="fr-CH"/>
        </w:rPr>
        <w:t>)</w:t>
      </w:r>
      <w:r>
        <w:rPr>
          <w:rtl/>
          <w:lang w:val="fr-CH"/>
        </w:rPr>
        <w:t>.</w:t>
      </w:r>
      <w:r w:rsidRPr="00664CDC">
        <w:rPr>
          <w:rtl/>
          <w:lang w:val="fr-CH"/>
        </w:rPr>
        <w:t xml:space="preserve"> ويقع على عاتق الدولة الطرف واجب اتخاذ تدابير معقولة لتوفير سكن بديل للأشخاص الذين لم يعد لهم مأوى نتيجة للإخلاء، بصرف النظر عما إذا كانت سلطاتها هي التي بدأت عملية الإخلاء أو بدأتها كيانات خاصة مثل مالك </w:t>
      </w:r>
      <w:proofErr w:type="gramStart"/>
      <w:r w:rsidRPr="00664CDC">
        <w:rPr>
          <w:rtl/>
          <w:lang w:val="fr-CH"/>
        </w:rPr>
        <w:t>العقار</w:t>
      </w:r>
      <w:r w:rsidRPr="00664CDC">
        <w:rPr>
          <w:vertAlign w:val="superscript"/>
          <w:rtl/>
          <w:lang w:val="fr-CH"/>
        </w:rPr>
        <w:t>(</w:t>
      </w:r>
      <w:proofErr w:type="gramEnd"/>
      <w:r w:rsidRPr="00D20D41">
        <w:rPr>
          <w:rStyle w:val="FootnoteReference"/>
          <w:szCs w:val="22"/>
          <w:lang w:val="en-US"/>
        </w:rPr>
        <w:footnoteReference w:id="29"/>
      </w:r>
      <w:r w:rsidRPr="00664CDC">
        <w:rPr>
          <w:vertAlign w:val="superscript"/>
          <w:rtl/>
          <w:lang w:val="fr-CH"/>
        </w:rPr>
        <w:t>)</w:t>
      </w:r>
      <w:r>
        <w:rPr>
          <w:rtl/>
          <w:lang w:val="fr-CH"/>
        </w:rPr>
        <w:t>.</w:t>
      </w:r>
      <w:r w:rsidRPr="00664CDC">
        <w:rPr>
          <w:rtl/>
          <w:lang w:val="fr-CH"/>
        </w:rPr>
        <w:t xml:space="preserve"> وفي حالة إخلاء شخص من منزله دون أن تمنحه الدولة الطرف أو تضمن له إقامة بديلة، يجب على الدولة الطرف أن تثبت أنها نظرت في الظروف المحددة للقضية وأنها على الرغم من اتخاذها كل التدابير المعقولة، إلى أقصى حدود مواردها المتاحة، فإنها لم تتمكن من صون حق الشخص المعني في السكن. وينبغي أن تمكن المعلومات التي قدمتها الدولة الطرف اللجنةَ من النظر في معقولية التدابير المتخذة وفقاً للمادة </w:t>
      </w:r>
      <w:r w:rsidRPr="00D20D41">
        <w:rPr>
          <w:rtl/>
          <w:lang w:val="fr-CH"/>
        </w:rPr>
        <w:t>8</w:t>
      </w:r>
      <w:r w:rsidRPr="00664CDC">
        <w:rPr>
          <w:rtl/>
          <w:lang w:val="fr-CH"/>
        </w:rPr>
        <w:t>(</w:t>
      </w:r>
      <w:r w:rsidRPr="00D20D41">
        <w:rPr>
          <w:rtl/>
          <w:lang w:val="fr-CH"/>
        </w:rPr>
        <w:t>4</w:t>
      </w:r>
      <w:r w:rsidRPr="00664CDC">
        <w:rPr>
          <w:rtl/>
          <w:lang w:val="fr-CH"/>
        </w:rPr>
        <w:t xml:space="preserve">) من البروتوكول </w:t>
      </w:r>
      <w:proofErr w:type="gramStart"/>
      <w:r w:rsidRPr="00664CDC">
        <w:rPr>
          <w:rtl/>
          <w:lang w:val="fr-CH"/>
        </w:rPr>
        <w:t>الاختياري</w:t>
      </w:r>
      <w:r w:rsidRPr="00664CDC">
        <w:rPr>
          <w:vertAlign w:val="superscript"/>
          <w:rtl/>
          <w:lang w:val="fr-CH"/>
        </w:rPr>
        <w:t>(</w:t>
      </w:r>
      <w:proofErr w:type="gramEnd"/>
      <w:r w:rsidRPr="00D20D41">
        <w:rPr>
          <w:rStyle w:val="FootnoteReference"/>
          <w:szCs w:val="22"/>
          <w:lang w:val="en-US"/>
        </w:rPr>
        <w:footnoteReference w:id="30"/>
      </w:r>
      <w:r w:rsidRPr="00664CDC">
        <w:rPr>
          <w:vertAlign w:val="superscript"/>
          <w:rtl/>
          <w:lang w:val="fr-CH"/>
        </w:rPr>
        <w:t>)</w:t>
      </w:r>
      <w:r>
        <w:rPr>
          <w:rtl/>
          <w:lang w:val="fr-CH"/>
        </w:rPr>
        <w:t>.</w:t>
      </w:r>
    </w:p>
    <w:p w14:paraId="165D0A69" w14:textId="760982EA" w:rsidR="00664CDC" w:rsidRPr="00664CDC" w:rsidRDefault="00664CDC" w:rsidP="00664CDC">
      <w:pPr>
        <w:pStyle w:val="SingleTxtGA"/>
        <w:rPr>
          <w:lang w:val="fr-CH"/>
        </w:rPr>
      </w:pPr>
      <w:r w:rsidRPr="00D20D41">
        <w:rPr>
          <w:rtl/>
          <w:lang w:val="fr-CH"/>
        </w:rPr>
        <w:t>12</w:t>
      </w:r>
      <w:r w:rsidRPr="00664CDC">
        <w:rPr>
          <w:rtl/>
          <w:lang w:val="fr-CH"/>
        </w:rPr>
        <w:t>-</w:t>
      </w:r>
      <w:r w:rsidRPr="00D20D41">
        <w:rPr>
          <w:rtl/>
          <w:lang w:val="fr-CH"/>
        </w:rPr>
        <w:t>2</w:t>
      </w:r>
      <w:r w:rsidRPr="00664CDC">
        <w:rPr>
          <w:rtl/>
          <w:lang w:val="fr-CH"/>
        </w:rPr>
        <w:tab/>
        <w:t xml:space="preserve">ويعني الالتزام بتوفير سكن بديل للأشخاص الذين يجري إخلاؤهم والذين يحتاجون إليه أنه يجب على الدول الأطراف، بموجب المادة </w:t>
      </w:r>
      <w:r w:rsidRPr="00D20D41">
        <w:rPr>
          <w:rtl/>
          <w:lang w:val="fr-CH"/>
        </w:rPr>
        <w:t>2</w:t>
      </w:r>
      <w:r w:rsidRPr="00664CDC">
        <w:rPr>
          <w:rtl/>
          <w:lang w:val="fr-CH"/>
        </w:rPr>
        <w:t>(</w:t>
      </w:r>
      <w:r w:rsidRPr="00D20D41">
        <w:rPr>
          <w:rtl/>
          <w:lang w:val="fr-CH"/>
        </w:rPr>
        <w:t>1</w:t>
      </w:r>
      <w:r w:rsidRPr="00664CDC">
        <w:rPr>
          <w:rtl/>
          <w:lang w:val="fr-CH"/>
        </w:rPr>
        <w:t xml:space="preserve">) من العهد، أن تتخذ جميع الخطوات اللازمة لصون هذا الحق </w:t>
      </w:r>
      <w:r w:rsidRPr="00087A06">
        <w:rPr>
          <w:spacing w:val="-2"/>
          <w:rtl/>
          <w:lang w:val="fr-CH"/>
        </w:rPr>
        <w:t>إلى أقصى حدود مواردها المتاحة. ويجوز للدول الأطراف أن تختار مجموعة متنوعة من السياسات لتحقيق</w:t>
      </w:r>
      <w:r w:rsidRPr="00664CDC">
        <w:rPr>
          <w:rtl/>
          <w:lang w:val="fr-CH"/>
        </w:rPr>
        <w:t xml:space="preserve"> هذا </w:t>
      </w:r>
      <w:proofErr w:type="gramStart"/>
      <w:r w:rsidRPr="00664CDC">
        <w:rPr>
          <w:rtl/>
          <w:lang w:val="fr-CH"/>
        </w:rPr>
        <w:t>الغرض</w:t>
      </w:r>
      <w:r w:rsidRPr="00664CDC">
        <w:rPr>
          <w:vertAlign w:val="superscript"/>
          <w:rtl/>
          <w:lang w:val="fr-CH"/>
        </w:rPr>
        <w:t>(</w:t>
      </w:r>
      <w:proofErr w:type="gramEnd"/>
      <w:r w:rsidRPr="00D20D41">
        <w:rPr>
          <w:rStyle w:val="FootnoteReference"/>
          <w:szCs w:val="22"/>
          <w:lang w:val="en-US"/>
        </w:rPr>
        <w:footnoteReference w:id="31"/>
      </w:r>
      <w:r w:rsidRPr="00664CDC">
        <w:rPr>
          <w:vertAlign w:val="superscript"/>
          <w:rtl/>
          <w:lang w:val="fr-CH"/>
        </w:rPr>
        <w:t>)</w:t>
      </w:r>
      <w:r>
        <w:rPr>
          <w:rtl/>
          <w:lang w:val="fr-CH"/>
        </w:rPr>
        <w:t>.</w:t>
      </w:r>
      <w:r w:rsidRPr="00664CDC">
        <w:rPr>
          <w:rtl/>
          <w:lang w:val="fr-CH"/>
        </w:rPr>
        <w:t xml:space="preserve"> وينبغي أن تكون جميع التدابير المعتمدة متبصرة وملموسة ومحددة الهدف وأن تستهدف </w:t>
      </w:r>
      <w:r w:rsidRPr="00664CDC">
        <w:rPr>
          <w:rtl/>
          <w:lang w:val="fr-CH"/>
        </w:rPr>
        <w:lastRenderedPageBreak/>
        <w:t xml:space="preserve">بأكبر قدر ممكن من الوضوح إعمال هذا الحق بأسرع وقت ممكن </w:t>
      </w:r>
      <w:proofErr w:type="gramStart"/>
      <w:r w:rsidRPr="00664CDC">
        <w:rPr>
          <w:rtl/>
          <w:lang w:val="fr-CH"/>
        </w:rPr>
        <w:t>وبفعالية</w:t>
      </w:r>
      <w:r w:rsidRPr="00664CDC">
        <w:rPr>
          <w:vertAlign w:val="superscript"/>
          <w:rtl/>
          <w:lang w:val="fr-CH"/>
        </w:rPr>
        <w:t>(</w:t>
      </w:r>
      <w:proofErr w:type="gramEnd"/>
      <w:r w:rsidRPr="00D20D41">
        <w:rPr>
          <w:rStyle w:val="FootnoteReference"/>
          <w:szCs w:val="22"/>
          <w:lang w:val="en-US"/>
        </w:rPr>
        <w:footnoteReference w:id="32"/>
      </w:r>
      <w:r w:rsidRPr="00664CDC">
        <w:rPr>
          <w:vertAlign w:val="superscript"/>
          <w:rtl/>
          <w:lang w:val="fr-CH"/>
        </w:rPr>
        <w:t>)</w:t>
      </w:r>
      <w:r>
        <w:rPr>
          <w:rtl/>
          <w:lang w:val="fr-CH"/>
        </w:rPr>
        <w:t>.</w:t>
      </w:r>
      <w:r w:rsidRPr="00664CDC">
        <w:rPr>
          <w:rtl/>
          <w:lang w:val="fr-CH"/>
        </w:rPr>
        <w:t xml:space="preserve"> وينبغي أن تكون السياسات المتعلقة بالسكن البديل في حالات الإخلاء متناسبة مع حاجة المعنيين وإلحاح الحالة، وينبغي أن تُحترم كرامة الشخص. علاوة على ذلك، ينبغي للدول الأطراف أن تتخذ تدابير متسقة ومنسقة لحل أوجه القصور المؤسسي والأسباب الهيكلية لنقص </w:t>
      </w:r>
      <w:proofErr w:type="gramStart"/>
      <w:r w:rsidRPr="00664CDC">
        <w:rPr>
          <w:rtl/>
          <w:lang w:val="fr-CH"/>
        </w:rPr>
        <w:t>المساكن</w:t>
      </w:r>
      <w:r w:rsidRPr="00664CDC">
        <w:rPr>
          <w:vertAlign w:val="superscript"/>
          <w:rtl/>
          <w:lang w:val="fr-CH"/>
        </w:rPr>
        <w:t>(</w:t>
      </w:r>
      <w:proofErr w:type="gramEnd"/>
      <w:r w:rsidRPr="00D20D41">
        <w:rPr>
          <w:rStyle w:val="FootnoteReference"/>
          <w:szCs w:val="22"/>
          <w:lang w:val="en-US"/>
        </w:rPr>
        <w:footnoteReference w:id="33"/>
      </w:r>
      <w:r w:rsidRPr="00664CDC">
        <w:rPr>
          <w:vertAlign w:val="superscript"/>
          <w:rtl/>
          <w:lang w:val="fr-CH"/>
        </w:rPr>
        <w:t>)</w:t>
      </w:r>
      <w:r>
        <w:rPr>
          <w:rtl/>
          <w:lang w:val="fr-CH"/>
        </w:rPr>
        <w:t>.</w:t>
      </w:r>
    </w:p>
    <w:p w14:paraId="0A650ABB" w14:textId="16750CB5" w:rsidR="00664CDC" w:rsidRPr="00664CDC" w:rsidRDefault="00664CDC" w:rsidP="00664CDC">
      <w:pPr>
        <w:pStyle w:val="SingleTxtGA"/>
        <w:rPr>
          <w:lang w:val="fr-CH"/>
        </w:rPr>
      </w:pPr>
      <w:r w:rsidRPr="00D20D41">
        <w:rPr>
          <w:rtl/>
          <w:lang w:val="fr-CH"/>
        </w:rPr>
        <w:t>12</w:t>
      </w:r>
      <w:r w:rsidRPr="00664CDC">
        <w:rPr>
          <w:rtl/>
          <w:lang w:val="fr-CH"/>
        </w:rPr>
        <w:t>-</w:t>
      </w:r>
      <w:r w:rsidRPr="00D20D41">
        <w:rPr>
          <w:rtl/>
          <w:lang w:val="fr-CH"/>
        </w:rPr>
        <w:t>3</w:t>
      </w:r>
      <w:r w:rsidRPr="00664CDC">
        <w:rPr>
          <w:rtl/>
          <w:lang w:val="fr-CH"/>
        </w:rPr>
        <w:tab/>
        <w:t xml:space="preserve">ويجب أن يكون مكان الإقامة البديل لائقاً. وفي حين أن ما هو لائق تحدده جزئياً عواملُ اجتماعية واقتصادية وثقافية ومناخية وإيكولوجية وغيرها من العوامل، فإن اللجنة تعتقد أنه من الممكن مع ذلك تحديد جوانب معينة من الحق الذي يجب أن يؤخذ في الاعتبار لهذا الغرض في أي سياق معين. </w:t>
      </w:r>
      <w:r w:rsidRPr="005E677D">
        <w:rPr>
          <w:spacing w:val="2"/>
          <w:rtl/>
          <w:lang w:val="fr-CH"/>
        </w:rPr>
        <w:t>وهي تشمل ما يلي: الأمن القانوني لشغل المسكن؛ وتوافر الخدمات والمواد والمرافق والبنية التحتية</w:t>
      </w:r>
      <w:r w:rsidRPr="00664CDC">
        <w:rPr>
          <w:rtl/>
          <w:lang w:val="fr-CH"/>
        </w:rPr>
        <w:t>؛ والقدرة</w:t>
      </w:r>
      <w:r w:rsidR="005E677D">
        <w:rPr>
          <w:rFonts w:hint="cs"/>
          <w:rtl/>
          <w:lang w:val="fr-CH"/>
        </w:rPr>
        <w:t> </w:t>
      </w:r>
      <w:r w:rsidRPr="00087A06">
        <w:rPr>
          <w:spacing w:val="-4"/>
          <w:rtl/>
          <w:lang w:val="fr-CH"/>
        </w:rPr>
        <w:t>على تحمل الكُلفة؛ والصلاحية للسكن؛ وإمكانية الوصول؛ والموقع الذي يسمح بالوصول إلى المرافق الاجتماعية</w:t>
      </w:r>
      <w:r w:rsidRPr="00087A06">
        <w:rPr>
          <w:spacing w:val="-2"/>
          <w:rtl/>
          <w:lang w:val="fr-CH"/>
        </w:rPr>
        <w:t xml:space="preserve"> </w:t>
      </w:r>
      <w:r w:rsidRPr="00087A06">
        <w:rPr>
          <w:spacing w:val="-4"/>
          <w:rtl/>
          <w:lang w:val="fr-CH"/>
        </w:rPr>
        <w:t>(التعليم وخيارات العمالة وخدمات الرعاية الصحية)؛ والملاءمة الثقافية، بحيث يمكن احترام مظاهر التعبير عن</w:t>
      </w:r>
      <w:r w:rsidRPr="00664CDC">
        <w:rPr>
          <w:rtl/>
          <w:lang w:val="fr-CH"/>
        </w:rPr>
        <w:t xml:space="preserve"> الهوية الثقافية </w:t>
      </w:r>
      <w:proofErr w:type="gramStart"/>
      <w:r w:rsidRPr="00664CDC">
        <w:rPr>
          <w:rtl/>
          <w:lang w:val="fr-CH"/>
        </w:rPr>
        <w:t>والتنوع</w:t>
      </w:r>
      <w:r w:rsidRPr="00664CDC">
        <w:rPr>
          <w:vertAlign w:val="superscript"/>
          <w:rtl/>
          <w:lang w:val="fr-CH"/>
        </w:rPr>
        <w:t>(</w:t>
      </w:r>
      <w:proofErr w:type="gramEnd"/>
      <w:r w:rsidRPr="00D20D41">
        <w:rPr>
          <w:rStyle w:val="FootnoteReference"/>
          <w:szCs w:val="22"/>
          <w:lang w:val="en-US"/>
        </w:rPr>
        <w:footnoteReference w:id="34"/>
      </w:r>
      <w:r w:rsidRPr="00664CDC">
        <w:rPr>
          <w:vertAlign w:val="superscript"/>
          <w:rtl/>
          <w:lang w:val="fr-CH"/>
        </w:rPr>
        <w:t>)</w:t>
      </w:r>
      <w:r>
        <w:rPr>
          <w:rtl/>
          <w:lang w:val="fr-CH"/>
        </w:rPr>
        <w:t>.</w:t>
      </w:r>
      <w:r w:rsidRPr="00664CDC">
        <w:rPr>
          <w:rtl/>
          <w:lang w:val="fr-CH"/>
        </w:rPr>
        <w:t xml:space="preserve"> كما يجب أن تأخذ في الاعتبار حق أفراد الأسرة في عدم الانفصال.</w:t>
      </w:r>
    </w:p>
    <w:p w14:paraId="61595E54" w14:textId="1DC37C07" w:rsidR="00664CDC" w:rsidRPr="00664CDC" w:rsidRDefault="00664CDC" w:rsidP="00664CDC">
      <w:pPr>
        <w:pStyle w:val="SingleTxtGA"/>
        <w:rPr>
          <w:lang w:val="fr-CH"/>
        </w:rPr>
      </w:pPr>
      <w:r w:rsidRPr="00D20D41">
        <w:rPr>
          <w:rtl/>
          <w:lang w:val="fr-CH"/>
        </w:rPr>
        <w:t>12</w:t>
      </w:r>
      <w:r w:rsidRPr="00664CDC">
        <w:rPr>
          <w:rtl/>
          <w:lang w:val="fr-CH"/>
        </w:rPr>
        <w:t>-</w:t>
      </w:r>
      <w:r w:rsidRPr="00D20D41">
        <w:rPr>
          <w:rtl/>
          <w:lang w:val="fr-CH"/>
        </w:rPr>
        <w:t>4</w:t>
      </w:r>
      <w:r w:rsidRPr="00664CDC">
        <w:rPr>
          <w:rtl/>
          <w:lang w:val="fr-CH"/>
        </w:rPr>
        <w:tab/>
        <w:t xml:space="preserve">وفي ظروف معينة، قد تتمكن الدول الأطراف من إثبات أنها على الرغم من بذل قصارى </w:t>
      </w:r>
      <w:r w:rsidRPr="00087A06">
        <w:rPr>
          <w:spacing w:val="-4"/>
          <w:rtl/>
          <w:lang w:val="fr-CH"/>
        </w:rPr>
        <w:t>جهدها، إلى أقصى حدود مواردها المتاحة، فقد تعذر عليها توفير إقامة بديلة دائمة للشخص الذي جرى إخلاؤه ويحتاج إلى سكن بديل. وفي مثل هذه الظروف، يمكن استخدام أماكن إقامة مؤقتة لا تفي بجميع متطلبات</w:t>
      </w:r>
      <w:r w:rsidRPr="00664CDC">
        <w:rPr>
          <w:rtl/>
          <w:lang w:val="fr-CH"/>
        </w:rPr>
        <w:t xml:space="preserve"> المسكن </w:t>
      </w:r>
      <w:r w:rsidRPr="00087A06">
        <w:rPr>
          <w:spacing w:val="-4"/>
          <w:rtl/>
          <w:lang w:val="fr-CH"/>
        </w:rPr>
        <w:t>البديل اللائق. ومع ذلك، يجب على الدول أن تسعى إلى ضمان أن يحمي السكن المؤقت الكرامة الإنسانية</w:t>
      </w:r>
      <w:r w:rsidRPr="00664CDC">
        <w:rPr>
          <w:rtl/>
          <w:lang w:val="fr-CH"/>
        </w:rPr>
        <w:t xml:space="preserve"> للأشخاص الذين جرى إخلاؤهم، وأن يفي بجميع متطلبات السلامة والأمن، وألا يصبح حلاً دائماً، بل أن يكون خطوة نحو الحصول على سكن </w:t>
      </w:r>
      <w:proofErr w:type="gramStart"/>
      <w:r w:rsidRPr="00664CDC">
        <w:rPr>
          <w:rtl/>
          <w:lang w:val="fr-CH"/>
        </w:rPr>
        <w:t>لائق</w:t>
      </w:r>
      <w:r w:rsidRPr="00664CDC">
        <w:rPr>
          <w:vertAlign w:val="superscript"/>
          <w:rtl/>
          <w:lang w:val="fr-CH"/>
        </w:rPr>
        <w:t>(</w:t>
      </w:r>
      <w:proofErr w:type="gramEnd"/>
      <w:r w:rsidRPr="00D20D41">
        <w:rPr>
          <w:rStyle w:val="FootnoteReference"/>
          <w:szCs w:val="22"/>
          <w:lang w:val="en-US"/>
        </w:rPr>
        <w:footnoteReference w:id="35"/>
      </w:r>
      <w:r w:rsidRPr="00664CDC">
        <w:rPr>
          <w:vertAlign w:val="superscript"/>
          <w:rtl/>
          <w:lang w:val="fr-CH"/>
        </w:rPr>
        <w:t>)</w:t>
      </w:r>
      <w:r>
        <w:rPr>
          <w:rtl/>
          <w:lang w:val="fr-CH"/>
        </w:rPr>
        <w:t>.</w:t>
      </w:r>
    </w:p>
    <w:p w14:paraId="3C84B7C6" w14:textId="77777777" w:rsidR="00664CDC" w:rsidRPr="00D20D41" w:rsidRDefault="00664CDC" w:rsidP="006670EA">
      <w:pPr>
        <w:pStyle w:val="H23GA"/>
      </w:pPr>
      <w:r w:rsidRPr="00D20D41">
        <w:rPr>
          <w:rtl/>
        </w:rPr>
        <w:tab/>
      </w:r>
      <w:r w:rsidRPr="00D20D41">
        <w:rPr>
          <w:rtl/>
        </w:rPr>
        <w:tab/>
        <w:t>متطلبات الحصول على سكن بديل وشغل سكن بصورة غير قانونية</w:t>
      </w:r>
    </w:p>
    <w:p w14:paraId="4A8AF90D" w14:textId="1716766D" w:rsidR="00664CDC" w:rsidRPr="00664CDC" w:rsidRDefault="00664CDC" w:rsidP="00664CDC">
      <w:pPr>
        <w:pStyle w:val="SingleTxtGA"/>
        <w:rPr>
          <w:lang w:val="fr-CH"/>
        </w:rPr>
      </w:pPr>
      <w:r w:rsidRPr="00D20D41">
        <w:rPr>
          <w:rtl/>
          <w:lang w:val="fr-CH"/>
        </w:rPr>
        <w:t>13</w:t>
      </w:r>
      <w:r w:rsidRPr="00664CDC">
        <w:rPr>
          <w:rtl/>
          <w:lang w:val="fr-CH"/>
        </w:rPr>
        <w:t>-</w:t>
      </w:r>
      <w:r w:rsidRPr="00D20D41">
        <w:rPr>
          <w:rtl/>
          <w:lang w:val="fr-CH"/>
        </w:rPr>
        <w:t>1</w:t>
      </w:r>
      <w:r w:rsidRPr="00664CDC">
        <w:rPr>
          <w:rtl/>
          <w:lang w:val="fr-CH"/>
        </w:rPr>
        <w:tab/>
        <w:t xml:space="preserve">ترى اللجنة أنه يجوز للدول الأطراف، بغية استخدام موارد خدماتها الاجتماعية استخداماً فعالاً، أن تضع معايير أو شروطاً يجب على مقدمي الطلبات الوفاء بها من أجل الحصول على استحقاقات اجتماعية مثل السكن البديل. وبالمثل، يجوز للدول الأطراف أن تتخذ تدابير لحماية الممتلكات الخاصة ومنع الاحتلال غير المشروع للممتلكات بسوء </w:t>
      </w:r>
      <w:proofErr w:type="gramStart"/>
      <w:r w:rsidRPr="00664CDC">
        <w:rPr>
          <w:rtl/>
          <w:lang w:val="fr-CH"/>
        </w:rPr>
        <w:t>نية</w:t>
      </w:r>
      <w:r w:rsidRPr="00664CDC">
        <w:rPr>
          <w:vertAlign w:val="superscript"/>
          <w:rtl/>
          <w:lang w:val="fr-CH"/>
        </w:rPr>
        <w:t>(</w:t>
      </w:r>
      <w:proofErr w:type="gramEnd"/>
      <w:r w:rsidRPr="00D20D41">
        <w:rPr>
          <w:rStyle w:val="FootnoteReference"/>
          <w:szCs w:val="22"/>
          <w:lang w:val="en-US"/>
        </w:rPr>
        <w:footnoteReference w:id="36"/>
      </w:r>
      <w:r w:rsidRPr="00664CDC">
        <w:rPr>
          <w:vertAlign w:val="superscript"/>
          <w:rtl/>
          <w:lang w:val="fr-CH"/>
        </w:rPr>
        <w:t>)</w:t>
      </w:r>
      <w:r>
        <w:rPr>
          <w:rtl/>
          <w:lang w:val="fr-CH"/>
        </w:rPr>
        <w:t>.</w:t>
      </w:r>
      <w:r w:rsidRPr="00664CDC">
        <w:rPr>
          <w:rtl/>
          <w:lang w:val="fr-CH"/>
        </w:rPr>
        <w:t xml:space="preserve"> غير أن الشروط التي تحكم الحصول على الخدمات الاجتماعية يجب أن تكون معقولة ومصممة بعناية، ليس فقط لمنع الوصم المحتمل ولكن أيض</w:t>
      </w:r>
      <w:r w:rsidR="00FD03FB">
        <w:rPr>
          <w:rtl/>
          <w:lang w:val="fr-CH"/>
        </w:rPr>
        <w:t xml:space="preserve">اً </w:t>
      </w:r>
      <w:r w:rsidRPr="00664CDC">
        <w:rPr>
          <w:rtl/>
          <w:lang w:val="fr-CH"/>
        </w:rPr>
        <w:t xml:space="preserve">لضمان عدم استخدام الدولة لسلوك الشخص الذي يحتاج إلى سكن بديل كتبرير لرفض </w:t>
      </w:r>
      <w:proofErr w:type="gramStart"/>
      <w:r w:rsidRPr="00664CDC">
        <w:rPr>
          <w:rtl/>
          <w:lang w:val="fr-CH"/>
        </w:rPr>
        <w:t>طلبه</w:t>
      </w:r>
      <w:r w:rsidRPr="00664CDC">
        <w:rPr>
          <w:vertAlign w:val="superscript"/>
          <w:rtl/>
          <w:lang w:val="fr-CH"/>
        </w:rPr>
        <w:t>(</w:t>
      </w:r>
      <w:proofErr w:type="gramEnd"/>
      <w:r w:rsidRPr="00D20D41">
        <w:rPr>
          <w:rStyle w:val="FootnoteReference"/>
          <w:szCs w:val="22"/>
          <w:lang w:val="en-US"/>
        </w:rPr>
        <w:footnoteReference w:id="37"/>
      </w:r>
      <w:r w:rsidRPr="00664CDC">
        <w:rPr>
          <w:vertAlign w:val="superscript"/>
          <w:rtl/>
          <w:lang w:val="fr-CH"/>
        </w:rPr>
        <w:t>)</w:t>
      </w:r>
      <w:r w:rsidR="00087A06">
        <w:rPr>
          <w:rFonts w:hint="cs"/>
          <w:rtl/>
          <w:lang w:val="fr-CH"/>
        </w:rPr>
        <w:t>.</w:t>
      </w:r>
      <w:r w:rsidRPr="00664CDC">
        <w:rPr>
          <w:rtl/>
          <w:lang w:val="fr-CH"/>
        </w:rPr>
        <w:t xml:space="preserve"> وبالإضافة إلى ذلك، يجب على المحاكم والسلطات الإدارية أن تتجنب تفسير وتطبيق قواعد الحصول على السكن الاجتماعي أو السكن البديل على نحو يديم التمييز المنهجي ويصم الفقراء الذين يشغلون عقارات بصورة غير قانونية بدافع الضرورة وبحسن </w:t>
      </w:r>
      <w:proofErr w:type="gramStart"/>
      <w:r w:rsidRPr="00664CDC">
        <w:rPr>
          <w:rtl/>
          <w:lang w:val="fr-CH"/>
        </w:rPr>
        <w:t>نية</w:t>
      </w:r>
      <w:r w:rsidRPr="00664CDC">
        <w:rPr>
          <w:vertAlign w:val="superscript"/>
          <w:rtl/>
          <w:lang w:val="fr-CH"/>
        </w:rPr>
        <w:t>(</w:t>
      </w:r>
      <w:proofErr w:type="gramEnd"/>
      <w:r w:rsidRPr="00D20D41">
        <w:rPr>
          <w:rStyle w:val="FootnoteReference"/>
          <w:szCs w:val="22"/>
          <w:lang w:val="en-US"/>
        </w:rPr>
        <w:footnoteReference w:id="38"/>
      </w:r>
      <w:r w:rsidRPr="00664CDC">
        <w:rPr>
          <w:vertAlign w:val="superscript"/>
          <w:rtl/>
          <w:lang w:val="fr-CH"/>
        </w:rPr>
        <w:t>)</w:t>
      </w:r>
      <w:r>
        <w:rPr>
          <w:rtl/>
          <w:lang w:val="fr-CH"/>
        </w:rPr>
        <w:t>.</w:t>
      </w:r>
    </w:p>
    <w:p w14:paraId="5081448F" w14:textId="370B21C3" w:rsidR="00664CDC" w:rsidRPr="00664CDC" w:rsidRDefault="00664CDC" w:rsidP="00664CDC">
      <w:pPr>
        <w:pStyle w:val="SingleTxtGA"/>
        <w:rPr>
          <w:lang w:val="fr-CH"/>
        </w:rPr>
      </w:pPr>
      <w:r w:rsidRPr="00D20D41">
        <w:rPr>
          <w:rtl/>
          <w:lang w:val="fr-CH"/>
        </w:rPr>
        <w:lastRenderedPageBreak/>
        <w:t>13</w:t>
      </w:r>
      <w:r w:rsidRPr="00664CDC">
        <w:rPr>
          <w:rtl/>
          <w:lang w:val="fr-CH"/>
        </w:rPr>
        <w:t>-</w:t>
      </w:r>
      <w:r w:rsidRPr="00D20D41">
        <w:rPr>
          <w:rtl/>
          <w:lang w:val="fr-CH"/>
        </w:rPr>
        <w:t>2</w:t>
      </w:r>
      <w:r w:rsidRPr="00664CDC">
        <w:rPr>
          <w:rtl/>
          <w:lang w:val="fr-CH"/>
        </w:rPr>
        <w:tab/>
        <w:t xml:space="preserve">علاوة على ذلك، بما أن الافتقار إلى المساكن الميسورة التكلفة والمتاحة يعود سببه إلى عدم المساواة والمضاربة في أسواق الإسكان، فإن الدول الأطراف ملزمة بحل هذه المشاكل الهيكلية من خلال استجابات مناسبة ومنسقة وفي حينها، إلى أقصى حدود مواردها </w:t>
      </w:r>
      <w:proofErr w:type="gramStart"/>
      <w:r w:rsidRPr="00664CDC">
        <w:rPr>
          <w:rtl/>
          <w:lang w:val="fr-CH"/>
        </w:rPr>
        <w:t>المتاحة</w:t>
      </w:r>
      <w:r w:rsidRPr="00664CDC">
        <w:rPr>
          <w:vertAlign w:val="superscript"/>
          <w:rtl/>
          <w:lang w:val="fr-CH"/>
        </w:rPr>
        <w:t>(</w:t>
      </w:r>
      <w:proofErr w:type="gramEnd"/>
      <w:r w:rsidRPr="00D20D41">
        <w:rPr>
          <w:rStyle w:val="FootnoteReference"/>
          <w:szCs w:val="22"/>
          <w:lang w:val="en-US"/>
        </w:rPr>
        <w:footnoteReference w:id="39"/>
      </w:r>
      <w:r w:rsidRPr="00664CDC">
        <w:rPr>
          <w:vertAlign w:val="superscript"/>
          <w:rtl/>
          <w:lang w:val="fr-CH"/>
        </w:rPr>
        <w:t>)</w:t>
      </w:r>
      <w:r>
        <w:rPr>
          <w:rtl/>
          <w:lang w:val="fr-CH"/>
        </w:rPr>
        <w:t>.</w:t>
      </w:r>
    </w:p>
    <w:p w14:paraId="0A2FFDD1" w14:textId="24D28A81" w:rsidR="00664CDC" w:rsidRPr="00D20D41" w:rsidRDefault="00664CDC" w:rsidP="006670EA">
      <w:pPr>
        <w:pStyle w:val="H23GA"/>
      </w:pPr>
      <w:r w:rsidRPr="00D20D41">
        <w:rPr>
          <w:rtl/>
        </w:rPr>
        <w:tab/>
      </w:r>
      <w:r w:rsidRPr="00D20D41">
        <w:rPr>
          <w:rtl/>
        </w:rPr>
        <w:tab/>
        <w:t>تحليل التناسب في إخلاء صاحبي البلاغ</w:t>
      </w:r>
    </w:p>
    <w:p w14:paraId="6E28E28F" w14:textId="23753B12"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1</w:t>
      </w:r>
      <w:r w:rsidRPr="00664CDC">
        <w:rPr>
          <w:rtl/>
          <w:lang w:val="fr-CH"/>
        </w:rPr>
        <w:tab/>
      </w:r>
      <w:r w:rsidRPr="00087A06">
        <w:rPr>
          <w:spacing w:val="-4"/>
          <w:rtl/>
          <w:lang w:val="fr-CH"/>
        </w:rPr>
        <w:t xml:space="preserve">ستنظر اللجنة فيما إذا كان قرار الأمر بإخلاء صاحبي البلاغ من الشقة التي يشغلانها يشكل انتهاكاً لحقهما في سكن لائق أو ما إذا كان تدخل السلطات يشكل قيداً مبرراً على حقهما في السكن وفقاً للمادة </w:t>
      </w:r>
      <w:r w:rsidRPr="00D20D41">
        <w:rPr>
          <w:spacing w:val="-4"/>
          <w:rtl/>
          <w:lang w:val="fr-CH"/>
        </w:rPr>
        <w:t>4</w:t>
      </w:r>
      <w:r w:rsidRPr="00087A06">
        <w:rPr>
          <w:spacing w:val="-4"/>
          <w:rtl/>
          <w:lang w:val="fr-CH"/>
        </w:rPr>
        <w:t xml:space="preserve"> من العهد</w:t>
      </w:r>
      <w:r w:rsidRPr="00664CDC">
        <w:rPr>
          <w:rtl/>
          <w:lang w:val="fr-CH"/>
        </w:rPr>
        <w:t xml:space="preserve">. ويقيم صاحبا البلاغ في الشقة منذ كانون الأول/ديسمبر </w:t>
      </w:r>
      <w:r w:rsidRPr="00D20D41">
        <w:rPr>
          <w:rtl/>
          <w:lang w:val="fr-CH"/>
        </w:rPr>
        <w:t>2016</w:t>
      </w:r>
      <w:r w:rsidRPr="00664CDC">
        <w:rPr>
          <w:rtl/>
          <w:lang w:val="fr-CH"/>
        </w:rPr>
        <w:t xml:space="preserve">. وفي </w:t>
      </w:r>
      <w:r w:rsidRPr="00D20D41">
        <w:rPr>
          <w:rtl/>
          <w:lang w:val="fr-CH"/>
        </w:rPr>
        <w:t>1</w:t>
      </w:r>
      <w:r w:rsidRPr="00664CDC">
        <w:rPr>
          <w:rtl/>
          <w:lang w:val="fr-CH"/>
        </w:rPr>
        <w:t xml:space="preserve"> آذار/مارس </w:t>
      </w:r>
      <w:r w:rsidRPr="00D20D41">
        <w:rPr>
          <w:rtl/>
          <w:lang w:val="fr-CH"/>
        </w:rPr>
        <w:t>2017</w:t>
      </w:r>
      <w:r w:rsidRPr="00664CDC">
        <w:rPr>
          <w:rtl/>
          <w:lang w:val="fr-CH"/>
        </w:rPr>
        <w:t xml:space="preserve">، وفي أعقاب شكوى من المصرف الذي يملك الشقة، أمرت محكمة التحقيقات الابتدائية رقم </w:t>
      </w:r>
      <w:r w:rsidRPr="00D20D41">
        <w:rPr>
          <w:rtl/>
          <w:lang w:val="fr-CH"/>
        </w:rPr>
        <w:t>3</w:t>
      </w:r>
      <w:r w:rsidRPr="00664CDC">
        <w:rPr>
          <w:rtl/>
          <w:lang w:val="fr-CH"/>
        </w:rPr>
        <w:t xml:space="preserve"> في </w:t>
      </w:r>
      <w:proofErr w:type="spellStart"/>
      <w:r w:rsidRPr="00664CDC">
        <w:rPr>
          <w:rtl/>
          <w:lang w:val="fr-CH"/>
        </w:rPr>
        <w:t>نافالكارنيرو</w:t>
      </w:r>
      <w:proofErr w:type="spellEnd"/>
      <w:r w:rsidRPr="00664CDC">
        <w:rPr>
          <w:rtl/>
          <w:lang w:val="fr-CH"/>
        </w:rPr>
        <w:t xml:space="preserve"> صاحبي البلاغ بإخلاء العقار المعني، لأنهما كانا يشغلانه بصورة غير مشروعة ودون أي اتفاق قانوني. أيدت محكمة مقاطعة مدريد هذا الحكم في </w:t>
      </w:r>
      <w:r w:rsidRPr="00D20D41">
        <w:rPr>
          <w:rtl/>
          <w:lang w:val="fr-CH"/>
        </w:rPr>
        <w:t>4</w:t>
      </w:r>
      <w:r w:rsidRPr="00664CDC">
        <w:rPr>
          <w:rtl/>
          <w:lang w:val="fr-CH"/>
        </w:rPr>
        <w:t xml:space="preserve"> تشرين الأول/أكتوبر </w:t>
      </w:r>
      <w:r w:rsidRPr="00D20D41">
        <w:rPr>
          <w:rtl/>
          <w:lang w:val="fr-CH"/>
        </w:rPr>
        <w:t>2017</w:t>
      </w:r>
      <w:r w:rsidRPr="00664CDC">
        <w:rPr>
          <w:rtl/>
          <w:lang w:val="fr-CH"/>
        </w:rPr>
        <w:t>.</w:t>
      </w:r>
    </w:p>
    <w:p w14:paraId="31888B86" w14:textId="123B1F16"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2</w:t>
      </w:r>
      <w:r w:rsidRPr="00664CDC">
        <w:rPr>
          <w:rtl/>
          <w:lang w:val="fr-CH"/>
        </w:rPr>
        <w:tab/>
        <w:t xml:space="preserve">وتلاحظ اللجنة أن صاحبي البلاغ بقيا في الشقة بفضل وقف تنفيذ ثلاثة أوامر بالإخلاء. ويفيد </w:t>
      </w:r>
      <w:r w:rsidRPr="00087A06">
        <w:rPr>
          <w:spacing w:val="-2"/>
          <w:rtl/>
          <w:lang w:val="fr-CH"/>
        </w:rPr>
        <w:t xml:space="preserve">صاحبا البلاغ بأن محكمة التحقيقات الابتدائية رقم </w:t>
      </w:r>
      <w:r w:rsidRPr="00D20D41">
        <w:rPr>
          <w:spacing w:val="-2"/>
          <w:rtl/>
          <w:lang w:val="fr-CH"/>
        </w:rPr>
        <w:t>3</w:t>
      </w:r>
      <w:r w:rsidRPr="00087A06">
        <w:rPr>
          <w:spacing w:val="-2"/>
          <w:rtl/>
          <w:lang w:val="fr-CH"/>
        </w:rPr>
        <w:t xml:space="preserve"> في </w:t>
      </w:r>
      <w:proofErr w:type="spellStart"/>
      <w:r w:rsidRPr="00087A06">
        <w:rPr>
          <w:spacing w:val="-2"/>
          <w:rtl/>
          <w:lang w:val="fr-CH"/>
        </w:rPr>
        <w:t>نافالكارنيرو</w:t>
      </w:r>
      <w:proofErr w:type="spellEnd"/>
      <w:r w:rsidRPr="00087A06">
        <w:rPr>
          <w:spacing w:val="-2"/>
          <w:rtl/>
          <w:lang w:val="fr-CH"/>
        </w:rPr>
        <w:t xml:space="preserve"> حددت، في </w:t>
      </w:r>
      <w:r w:rsidRPr="00D20D41">
        <w:rPr>
          <w:spacing w:val="-2"/>
          <w:rtl/>
          <w:lang w:val="fr-CH"/>
        </w:rPr>
        <w:t>31</w:t>
      </w:r>
      <w:r w:rsidRPr="00087A06">
        <w:rPr>
          <w:spacing w:val="-2"/>
          <w:rtl/>
          <w:lang w:val="fr-CH"/>
        </w:rPr>
        <w:t xml:space="preserve"> آب/أغسطس </w:t>
      </w:r>
      <w:r w:rsidRPr="00D20D41">
        <w:rPr>
          <w:spacing w:val="-2"/>
          <w:rtl/>
          <w:lang w:val="fr-CH"/>
        </w:rPr>
        <w:t>2020</w:t>
      </w:r>
      <w:r w:rsidRPr="00087A06">
        <w:rPr>
          <w:spacing w:val="-2"/>
          <w:rtl/>
          <w:lang w:val="fr-CH"/>
        </w:rPr>
        <w:t>،</w:t>
      </w:r>
      <w:r w:rsidRPr="00664CDC">
        <w:rPr>
          <w:rtl/>
          <w:lang w:val="fr-CH"/>
        </w:rPr>
        <w:t xml:space="preserve"> موعد</w:t>
      </w:r>
      <w:r w:rsidR="00FD03FB">
        <w:rPr>
          <w:rtl/>
          <w:lang w:val="fr-CH"/>
        </w:rPr>
        <w:t xml:space="preserve">اً </w:t>
      </w:r>
      <w:r w:rsidRPr="00664CDC">
        <w:rPr>
          <w:rtl/>
          <w:lang w:val="fr-CH"/>
        </w:rPr>
        <w:t>جديد</w:t>
      </w:r>
      <w:r w:rsidR="00FD03FB">
        <w:rPr>
          <w:rtl/>
          <w:lang w:val="fr-CH"/>
        </w:rPr>
        <w:t xml:space="preserve">اً </w:t>
      </w:r>
      <w:r w:rsidRPr="00664CDC">
        <w:rPr>
          <w:rtl/>
          <w:lang w:val="fr-CH"/>
        </w:rPr>
        <w:t xml:space="preserve">للإخلاء هو </w:t>
      </w:r>
      <w:r w:rsidRPr="00D20D41">
        <w:rPr>
          <w:rtl/>
          <w:lang w:val="fr-CH"/>
        </w:rPr>
        <w:t>13</w:t>
      </w:r>
      <w:r w:rsidRPr="00664CDC">
        <w:rPr>
          <w:rtl/>
          <w:lang w:val="fr-CH"/>
        </w:rPr>
        <w:t xml:space="preserve"> كانون الثاني/يناير </w:t>
      </w:r>
      <w:r w:rsidRPr="00D20D41">
        <w:rPr>
          <w:rtl/>
          <w:lang w:val="fr-CH"/>
        </w:rPr>
        <w:t>2021</w:t>
      </w:r>
      <w:r w:rsidRPr="00664CDC">
        <w:rPr>
          <w:rtl/>
          <w:lang w:val="fr-CH"/>
        </w:rPr>
        <w:t>.</w:t>
      </w:r>
    </w:p>
    <w:p w14:paraId="5E5D6C05" w14:textId="242F8BED"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3</w:t>
      </w:r>
      <w:r w:rsidRPr="00664CDC">
        <w:rPr>
          <w:rtl/>
          <w:lang w:val="fr-CH"/>
        </w:rPr>
        <w:tab/>
      </w:r>
      <w:r w:rsidRPr="00FD03FB">
        <w:rPr>
          <w:spacing w:val="-2"/>
          <w:rtl/>
          <w:lang w:val="fr-CH"/>
        </w:rPr>
        <w:t>وقدم صاحبا البلاغ، في طلبهما لوقف الإخلاء، تفاصيل عن حالتهما الاقتصادية الضعيفة بشكل</w:t>
      </w:r>
      <w:r w:rsidRPr="00664CDC">
        <w:rPr>
          <w:rtl/>
          <w:lang w:val="fr-CH"/>
        </w:rPr>
        <w:t xml:space="preserve"> خاص والمشاكل الصحية لابنهما، بما في ذلك إعاقته البالغة </w:t>
      </w:r>
      <w:r w:rsidRPr="00D20D41">
        <w:rPr>
          <w:rtl/>
          <w:lang w:val="fr-CH"/>
        </w:rPr>
        <w:t>33</w:t>
      </w:r>
      <w:r w:rsidRPr="00664CDC">
        <w:rPr>
          <w:rtl/>
          <w:lang w:val="fr-CH"/>
        </w:rPr>
        <w:t xml:space="preserve"> في المائة، وأشارا إلى أنهما لا يملكان مسكن</w:t>
      </w:r>
      <w:r w:rsidR="00FD03FB">
        <w:rPr>
          <w:rtl/>
          <w:lang w:val="fr-CH"/>
        </w:rPr>
        <w:t xml:space="preserve">اً </w:t>
      </w:r>
      <w:r w:rsidRPr="00664CDC">
        <w:rPr>
          <w:rtl/>
          <w:lang w:val="fr-CH"/>
        </w:rPr>
        <w:t>بديل</w:t>
      </w:r>
      <w:r w:rsidR="00FD03FB">
        <w:rPr>
          <w:rtl/>
          <w:lang w:val="fr-CH"/>
        </w:rPr>
        <w:t xml:space="preserve">اً </w:t>
      </w:r>
      <w:r w:rsidRPr="00664CDC">
        <w:rPr>
          <w:rtl/>
          <w:lang w:val="fr-CH"/>
        </w:rPr>
        <w:t xml:space="preserve">للعيش في حالة طردهما. وبالإضافة إلى ذلك، أصدرت الخدمات الاجتماعية التابعة لسلطة الحكم المحلي في إل </w:t>
      </w:r>
      <w:proofErr w:type="spellStart"/>
      <w:r w:rsidRPr="00664CDC">
        <w:rPr>
          <w:rtl/>
          <w:lang w:val="fr-CH"/>
        </w:rPr>
        <w:t>ألامو</w:t>
      </w:r>
      <w:proofErr w:type="spellEnd"/>
      <w:r w:rsidRPr="00664CDC">
        <w:rPr>
          <w:rtl/>
          <w:lang w:val="fr-CH"/>
        </w:rPr>
        <w:t xml:space="preserve"> عدة تقارير تفيد بأن الأسرة في وضع ضعيف بسبب هشاشة وضعها المالي وأن السلطات المختصة لم تجد حل</w:t>
      </w:r>
      <w:r w:rsidR="00FD03FB">
        <w:rPr>
          <w:rtl/>
          <w:lang w:val="fr-CH"/>
        </w:rPr>
        <w:t xml:space="preserve">اً </w:t>
      </w:r>
      <w:r w:rsidRPr="00664CDC">
        <w:rPr>
          <w:rtl/>
          <w:lang w:val="fr-CH"/>
        </w:rPr>
        <w:t xml:space="preserve">لوضع الأسرة، الأمر الذي يتطلب تخصيص سكن بديل. وتلاحظ اللجنة أن السلطات القضائية لم تتناول ادعاءات صاحبي البلاغ بشأن حقهما في السكن. وفي هذا الصدد، تلاحظ اللجنة أن أمر الإخلاء لم ينفذ رغم رفض طلبات وقف الإخلاء في </w:t>
      </w:r>
      <w:r w:rsidRPr="00D20D41">
        <w:rPr>
          <w:rtl/>
          <w:lang w:val="fr-CH"/>
        </w:rPr>
        <w:t>4</w:t>
      </w:r>
      <w:r w:rsidRPr="00664CDC">
        <w:rPr>
          <w:rtl/>
          <w:lang w:val="fr-CH"/>
        </w:rPr>
        <w:t xml:space="preserve"> حزيران/</w:t>
      </w:r>
      <w:proofErr w:type="gramStart"/>
      <w:r w:rsidRPr="00664CDC">
        <w:rPr>
          <w:rtl/>
          <w:lang w:val="fr-CH"/>
        </w:rPr>
        <w:t>يونيه</w:t>
      </w:r>
      <w:proofErr w:type="gramEnd"/>
      <w:r w:rsidRPr="00664CDC">
        <w:rPr>
          <w:rtl/>
          <w:lang w:val="fr-CH"/>
        </w:rPr>
        <w:t xml:space="preserve"> و</w:t>
      </w:r>
      <w:r w:rsidRPr="00D20D41">
        <w:rPr>
          <w:rtl/>
          <w:lang w:val="fr-CH"/>
        </w:rPr>
        <w:t>7</w:t>
      </w:r>
      <w:r w:rsidR="005E677D">
        <w:rPr>
          <w:rFonts w:hint="cs"/>
          <w:rtl/>
          <w:lang w:val="fr-CH"/>
        </w:rPr>
        <w:t> </w:t>
      </w:r>
      <w:r w:rsidRPr="00664CDC">
        <w:rPr>
          <w:rtl/>
          <w:lang w:val="fr-CH"/>
        </w:rPr>
        <w:t xml:space="preserve">أيلول/سبتمبر </w:t>
      </w:r>
      <w:r w:rsidRPr="00D20D41">
        <w:rPr>
          <w:rtl/>
          <w:lang w:val="fr-CH"/>
        </w:rPr>
        <w:t>2018</w:t>
      </w:r>
      <w:r w:rsidRPr="00664CDC">
        <w:rPr>
          <w:rtl/>
          <w:lang w:val="fr-CH"/>
        </w:rPr>
        <w:t>.</w:t>
      </w:r>
    </w:p>
    <w:p w14:paraId="4105DB93" w14:textId="41ECDBD4" w:rsidR="00664CDC" w:rsidRPr="00087A06" w:rsidRDefault="00664CDC" w:rsidP="00664CDC">
      <w:pPr>
        <w:pStyle w:val="SingleTxtGA"/>
        <w:rPr>
          <w:spacing w:val="-4"/>
          <w:lang w:val="fr-CH"/>
        </w:rPr>
      </w:pPr>
      <w:r w:rsidRPr="00D20D41">
        <w:rPr>
          <w:rtl/>
          <w:lang w:val="fr-CH"/>
        </w:rPr>
        <w:t>14</w:t>
      </w:r>
      <w:r w:rsidRPr="00664CDC">
        <w:rPr>
          <w:rtl/>
          <w:lang w:val="fr-CH"/>
        </w:rPr>
        <w:t>-</w:t>
      </w:r>
      <w:r w:rsidRPr="00D20D41">
        <w:rPr>
          <w:rtl/>
          <w:lang w:val="fr-CH"/>
        </w:rPr>
        <w:t>4</w:t>
      </w:r>
      <w:r w:rsidRPr="00664CDC">
        <w:rPr>
          <w:rtl/>
          <w:lang w:val="fr-CH"/>
        </w:rPr>
        <w:tab/>
        <w:t>وتلاحظ اللجنة أن صاحبي البلاغ تمكنا من الطعن في القرارات المتخذة في المحكمة الابتدائية وأن محاميهما ساعدهما في ذلك. وتلاحظ اللجنة أيض</w:t>
      </w:r>
      <w:r w:rsidR="00FD03FB">
        <w:rPr>
          <w:rtl/>
          <w:lang w:val="fr-CH"/>
        </w:rPr>
        <w:t xml:space="preserve">اً </w:t>
      </w:r>
      <w:r w:rsidRPr="00664CDC">
        <w:rPr>
          <w:rtl/>
          <w:lang w:val="fr-CH"/>
        </w:rPr>
        <w:t xml:space="preserve">أن صاحبي البلاغ لم يدعيا عدم احترام ضمانات </w:t>
      </w:r>
      <w:r w:rsidRPr="00087A06">
        <w:rPr>
          <w:spacing w:val="-4"/>
          <w:rtl/>
          <w:lang w:val="fr-CH"/>
        </w:rPr>
        <w:t>الإجراءات القانونية الواجبة، ولم تشر أي من المعلومات المعروضة على اللجنة إلى أن العملية كانت تعسفية.</w:t>
      </w:r>
    </w:p>
    <w:p w14:paraId="18C5757D" w14:textId="14986DFD"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5</w:t>
      </w:r>
      <w:r w:rsidRPr="00664CDC">
        <w:rPr>
          <w:rtl/>
          <w:lang w:val="fr-CH"/>
        </w:rPr>
        <w:tab/>
        <w:t xml:space="preserve">وتلاحظ اللجنة أيضاً أن الدولة الطرف تعتبر السماح لصاحبي البلاغ بالبقاء في الشقة بمثابة تصديق على صحة سلوك غير قانوني من الناحية الجنائية بحجة الحق في السكن، وسيشكل انتهاكاً لحق </w:t>
      </w:r>
      <w:r w:rsidRPr="00087A06">
        <w:rPr>
          <w:spacing w:val="-4"/>
          <w:rtl/>
          <w:lang w:val="fr-CH"/>
        </w:rPr>
        <w:t>المالك في عقاره بموجب القانون الوطني. وتلاحظ اللجنة أن الحق في الملكية الخاصة ليس حقاً من الحقوق</w:t>
      </w:r>
      <w:r w:rsidRPr="00664CDC">
        <w:rPr>
          <w:rtl/>
          <w:lang w:val="fr-CH"/>
        </w:rPr>
        <w:t xml:space="preserve"> المنصوص عليها في العهد، ولكنها تعترف بأن للدولة الطرف مصلحة مشروعة في ضمان حماية جميع الحقوق المنصوص عليها في نظامها القانوني ما دام ذلك لا يتعارض مع الحقوق المنصوص عليها في العهد. وبالنظر إلى أن صاحبي البلاغ أُمرا بإخلاء العقار في إطار إجراء قضائي مدني، ترى اللجنة أن </w:t>
      </w:r>
      <w:r w:rsidRPr="00087A06">
        <w:rPr>
          <w:spacing w:val="-4"/>
          <w:rtl/>
          <w:lang w:val="fr-CH"/>
        </w:rPr>
        <w:t>هناك أسباباً مشروعة لإخلائهما وأنه يمكن بالتالي تبرير ذلك. ومع ذلك، تلاحظ اللجنة أن محكمة التحقيقات</w:t>
      </w:r>
      <w:r w:rsidRPr="00664CDC">
        <w:rPr>
          <w:rtl/>
          <w:lang w:val="fr-CH"/>
        </w:rPr>
        <w:t xml:space="preserve"> </w:t>
      </w:r>
      <w:r w:rsidRPr="00087A06">
        <w:rPr>
          <w:spacing w:val="-4"/>
          <w:rtl/>
          <w:lang w:val="fr-CH"/>
        </w:rPr>
        <w:t xml:space="preserve">الابتدائية رقم </w:t>
      </w:r>
      <w:r w:rsidRPr="00D20D41">
        <w:rPr>
          <w:spacing w:val="-4"/>
          <w:rtl/>
          <w:lang w:val="fr-CH"/>
        </w:rPr>
        <w:t>3</w:t>
      </w:r>
      <w:r w:rsidRPr="00087A06">
        <w:rPr>
          <w:spacing w:val="-4"/>
          <w:rtl/>
          <w:lang w:val="fr-CH"/>
        </w:rPr>
        <w:t xml:space="preserve"> في </w:t>
      </w:r>
      <w:proofErr w:type="spellStart"/>
      <w:r w:rsidRPr="00087A06">
        <w:rPr>
          <w:spacing w:val="-4"/>
          <w:rtl/>
          <w:lang w:val="fr-CH"/>
        </w:rPr>
        <w:t>نافالكارنيرو</w:t>
      </w:r>
      <w:proofErr w:type="spellEnd"/>
      <w:r w:rsidRPr="00087A06">
        <w:rPr>
          <w:spacing w:val="-4"/>
          <w:rtl/>
          <w:lang w:val="fr-CH"/>
        </w:rPr>
        <w:t xml:space="preserve"> لم تجر تحليلاً لتناسب الهدف المشروع للإخلاء مع عواقبه على الأشخاص</w:t>
      </w:r>
      <w:r w:rsidRPr="00664CDC">
        <w:rPr>
          <w:rtl/>
          <w:lang w:val="fr-CH"/>
        </w:rPr>
        <w:t xml:space="preserve"> </w:t>
      </w:r>
      <w:r w:rsidRPr="00FD03FB">
        <w:rPr>
          <w:spacing w:val="-2"/>
          <w:rtl/>
          <w:lang w:val="fr-CH"/>
        </w:rPr>
        <w:t>الذين جرى إخلاؤهم. وعلى وجه التحديد، لم تفاضل المحكمة بين فوائد هذا الإجراء - في هذه الحالة، حماية</w:t>
      </w:r>
      <w:r w:rsidRPr="00087A06">
        <w:rPr>
          <w:spacing w:val="-4"/>
          <w:rtl/>
          <w:lang w:val="fr-CH"/>
        </w:rPr>
        <w:t xml:space="preserve"> حق المصرف الذي يملك الشقة في العقار - وعواقبه المحتملة على حقوق الأشخاص الذين جرى إخلاؤهم. </w:t>
      </w:r>
      <w:r w:rsidRPr="00087A06">
        <w:rPr>
          <w:spacing w:val="-4"/>
          <w:rtl/>
          <w:lang w:val="fr-CH"/>
        </w:rPr>
        <w:lastRenderedPageBreak/>
        <w:t>ولا</w:t>
      </w:r>
      <w:r w:rsidR="00FD03FB">
        <w:rPr>
          <w:rFonts w:hint="cs"/>
          <w:spacing w:val="-4"/>
          <w:rtl/>
          <w:lang w:val="fr-CH"/>
        </w:rPr>
        <w:t> </w:t>
      </w:r>
      <w:r w:rsidRPr="00087A06">
        <w:rPr>
          <w:spacing w:val="-4"/>
          <w:rtl/>
          <w:lang w:val="fr-CH"/>
        </w:rPr>
        <w:t>ينطوي تحليل تناسب الإخلاء على دراسة عواقب التدابير على الأشخاص الذين جرى إخلاؤهم</w:t>
      </w:r>
      <w:r w:rsidRPr="00664CDC">
        <w:rPr>
          <w:rtl/>
          <w:lang w:val="fr-CH"/>
        </w:rPr>
        <w:t xml:space="preserve"> </w:t>
      </w:r>
      <w:r w:rsidRPr="00087A06">
        <w:rPr>
          <w:spacing w:val="-4"/>
          <w:rtl/>
          <w:lang w:val="fr-CH"/>
        </w:rPr>
        <w:t>فحسب، بل</w:t>
      </w:r>
      <w:r w:rsidR="00FD03FB">
        <w:rPr>
          <w:rFonts w:hint="cs"/>
          <w:spacing w:val="-4"/>
          <w:rtl/>
          <w:lang w:val="fr-CH"/>
        </w:rPr>
        <w:t> </w:t>
      </w:r>
      <w:r w:rsidRPr="00087A06">
        <w:rPr>
          <w:spacing w:val="-4"/>
          <w:rtl/>
          <w:lang w:val="fr-CH"/>
        </w:rPr>
        <w:t>أيضاً على حاجة المالك إلى استعادة حيازة ملكه. وينطوي ذلك حتماً على التمييز بين العقارات</w:t>
      </w:r>
      <w:r w:rsidRPr="00664CDC">
        <w:rPr>
          <w:rtl/>
          <w:lang w:val="fr-CH"/>
        </w:rPr>
        <w:t xml:space="preserve"> المملوكة لأفراد يحتاجون إليها كمسكن أو لتوفير دخل حيوي والعقارات المملوكة للمصارف، كما هو الحال في هذه </w:t>
      </w:r>
      <w:proofErr w:type="gramStart"/>
      <w:r w:rsidRPr="00664CDC">
        <w:rPr>
          <w:rtl/>
          <w:lang w:val="fr-CH"/>
        </w:rPr>
        <w:t>القضية</w:t>
      </w:r>
      <w:r w:rsidRPr="00664CDC">
        <w:rPr>
          <w:vertAlign w:val="superscript"/>
          <w:rtl/>
          <w:lang w:val="fr-CH"/>
        </w:rPr>
        <w:t>(</w:t>
      </w:r>
      <w:proofErr w:type="gramEnd"/>
      <w:r w:rsidRPr="00D20D41">
        <w:rPr>
          <w:rStyle w:val="FootnoteReference"/>
          <w:szCs w:val="22"/>
          <w:lang w:val="en-US"/>
        </w:rPr>
        <w:footnoteReference w:id="40"/>
      </w:r>
      <w:r w:rsidRPr="00664CDC">
        <w:rPr>
          <w:vertAlign w:val="superscript"/>
          <w:rtl/>
          <w:lang w:val="fr-CH"/>
        </w:rPr>
        <w:t>)</w:t>
      </w:r>
      <w:r>
        <w:rPr>
          <w:rtl/>
          <w:lang w:val="fr-CH"/>
        </w:rPr>
        <w:t>.</w:t>
      </w:r>
      <w:r w:rsidRPr="00664CDC">
        <w:rPr>
          <w:rtl/>
          <w:lang w:val="fr-CH"/>
        </w:rPr>
        <w:t xml:space="preserve"> واعتبارُ الإخلاء تدبير</w:t>
      </w:r>
      <w:r w:rsidR="00FD03FB">
        <w:rPr>
          <w:rtl/>
          <w:lang w:val="fr-CH"/>
        </w:rPr>
        <w:t xml:space="preserve">اً </w:t>
      </w:r>
      <w:r w:rsidRPr="00664CDC">
        <w:rPr>
          <w:rtl/>
          <w:lang w:val="fr-CH"/>
        </w:rPr>
        <w:t>غير معقول في لحظة زمنية محددة لا يعني بالضرورة أنه لا</w:t>
      </w:r>
      <w:r w:rsidR="00FD03FB">
        <w:rPr>
          <w:rFonts w:hint="cs"/>
          <w:rtl/>
          <w:lang w:val="fr-CH"/>
        </w:rPr>
        <w:t> </w:t>
      </w:r>
      <w:r w:rsidRPr="00087A06">
        <w:rPr>
          <w:spacing w:val="-2"/>
          <w:rtl/>
          <w:lang w:val="fr-CH"/>
        </w:rPr>
        <w:t>يمكن إصدار أمر بالإخلاء ضد شاغلي مسكن. غير أن مبدأي المعقولية والتناسب قد يجعلان من الضروري</w:t>
      </w:r>
      <w:r w:rsidRPr="00664CDC">
        <w:rPr>
          <w:rtl/>
          <w:lang w:val="fr-CH"/>
        </w:rPr>
        <w:t xml:space="preserve"> </w:t>
      </w:r>
      <w:r w:rsidRPr="00087A06">
        <w:rPr>
          <w:spacing w:val="-2"/>
          <w:rtl/>
          <w:lang w:val="fr-CH"/>
        </w:rPr>
        <w:t xml:space="preserve">وقف </w:t>
      </w:r>
      <w:r w:rsidRPr="00FD03FB">
        <w:rPr>
          <w:spacing w:val="-4"/>
          <w:rtl/>
          <w:lang w:val="fr-CH"/>
        </w:rPr>
        <w:t>أو تأجيل أمر الإخلاء لتجنب تعريض الأشخاص الذين جرى إخلاؤهم لحالات عوز أو انتهاك حقوقهم الأخرى</w:t>
      </w:r>
      <w:r w:rsidRPr="00087A06">
        <w:rPr>
          <w:spacing w:val="-2"/>
          <w:rtl/>
          <w:lang w:val="fr-CH"/>
        </w:rPr>
        <w:t xml:space="preserve"> المنصوص عليها في العهد. وقد يتوقف أمر الإخلاء أيضاً على عوامل أخرى، مثل التزام السلطات</w:t>
      </w:r>
      <w:r w:rsidRPr="00664CDC">
        <w:rPr>
          <w:rtl/>
          <w:lang w:val="fr-CH"/>
        </w:rPr>
        <w:t xml:space="preserve"> الإدارية بالتدخل لمساعدة شاغلي المسكن على تخفيف حدة العواقب التي يرتبها الإخلاء عليهم.</w:t>
      </w:r>
    </w:p>
    <w:p w14:paraId="6A390324" w14:textId="06130FBA"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6</w:t>
      </w:r>
      <w:r w:rsidRPr="00664CDC">
        <w:rPr>
          <w:rtl/>
          <w:lang w:val="fr-CH"/>
        </w:rPr>
        <w:tab/>
        <w:t xml:space="preserve">وفي هذه القضية، وعلى الرغم من أن صاحبي البلاغ ادعيا أن التدبير سيؤثر على حقهما في </w:t>
      </w:r>
      <w:r w:rsidRPr="00087A06">
        <w:rPr>
          <w:spacing w:val="-2"/>
          <w:rtl/>
          <w:lang w:val="fr-CH"/>
        </w:rPr>
        <w:t xml:space="preserve">السكن اللائق، فإن محكمة التحقيقات الابتدائية رقم </w:t>
      </w:r>
      <w:r w:rsidRPr="00D20D41">
        <w:rPr>
          <w:spacing w:val="-2"/>
          <w:rtl/>
          <w:lang w:val="fr-CH"/>
        </w:rPr>
        <w:t>3</w:t>
      </w:r>
      <w:r w:rsidRPr="00087A06">
        <w:rPr>
          <w:spacing w:val="-2"/>
          <w:rtl/>
          <w:lang w:val="fr-CH"/>
        </w:rPr>
        <w:t xml:space="preserve"> في </w:t>
      </w:r>
      <w:proofErr w:type="spellStart"/>
      <w:r w:rsidRPr="00087A06">
        <w:rPr>
          <w:spacing w:val="-2"/>
          <w:rtl/>
          <w:lang w:val="fr-CH"/>
        </w:rPr>
        <w:t>نافالكارنيرو</w:t>
      </w:r>
      <w:proofErr w:type="spellEnd"/>
      <w:r w:rsidRPr="00087A06">
        <w:rPr>
          <w:spacing w:val="-2"/>
          <w:rtl/>
          <w:lang w:val="fr-CH"/>
        </w:rPr>
        <w:t xml:space="preserve"> لم تجر أي تحليل للتناسب بين الضرر</w:t>
      </w:r>
      <w:r w:rsidRPr="00664CDC">
        <w:rPr>
          <w:rtl/>
          <w:lang w:val="fr-CH"/>
        </w:rPr>
        <w:t xml:space="preserve"> </w:t>
      </w:r>
      <w:r w:rsidRPr="00087A06">
        <w:rPr>
          <w:spacing w:val="-2"/>
          <w:rtl/>
          <w:lang w:val="fr-CH"/>
        </w:rPr>
        <w:t>الذي تسبب فيه صاحبا البلاغ باحتلالهما للشقة والضرر الذي كانا يسعيان إلى تجنبه من جراء هذا الاحتلال</w:t>
      </w:r>
      <w:r w:rsidRPr="00664CDC">
        <w:rPr>
          <w:rtl/>
          <w:lang w:val="fr-CH"/>
        </w:rPr>
        <w:t xml:space="preserve"> عندما وجدا نفسيهما بلا مأوى. وتلاحظ اللجنة أن المحكمة خلصت إلى أن الأسباب التي قدمها صاحبا البلاغ بشأن حالة حاجتهما بسبب حالتهما المالية غير المستقرة وصحة ابنهما لا تشكل أسباب</w:t>
      </w:r>
      <w:r w:rsidR="00FD03FB">
        <w:rPr>
          <w:rtl/>
          <w:lang w:val="fr-CH"/>
        </w:rPr>
        <w:t xml:space="preserve">اً </w:t>
      </w:r>
      <w:r w:rsidRPr="00664CDC">
        <w:rPr>
          <w:rtl/>
          <w:lang w:val="fr-CH"/>
        </w:rPr>
        <w:t xml:space="preserve">وجيهة لاحتلال الممتلكات (انظر الفقرة </w:t>
      </w:r>
      <w:r w:rsidRPr="00D20D41">
        <w:rPr>
          <w:rtl/>
          <w:lang w:val="fr-CH"/>
        </w:rPr>
        <w:t>2</w:t>
      </w:r>
      <w:r w:rsidRPr="00664CDC">
        <w:rPr>
          <w:rtl/>
          <w:lang w:val="fr-CH"/>
        </w:rPr>
        <w:t>-</w:t>
      </w:r>
      <w:r w:rsidRPr="00D20D41">
        <w:rPr>
          <w:rtl/>
          <w:lang w:val="fr-CH"/>
        </w:rPr>
        <w:t>6</w:t>
      </w:r>
      <w:r w:rsidRPr="00664CDC">
        <w:rPr>
          <w:rtl/>
          <w:lang w:val="fr-CH"/>
        </w:rPr>
        <w:t xml:space="preserve"> أعلاه)، وأنه استجابة لأحد طلبات وقف الإخلاء التي قدمها صاحبا البلاغ، أشارت المحكمة ببساطة إلى أنه لا يمكن التذرع بالحجج التي قدمها صاحبا البلاغ في "إجراء من هذا النوع" (انظر الفقرة </w:t>
      </w:r>
      <w:r w:rsidRPr="00D20D41">
        <w:rPr>
          <w:rtl/>
          <w:lang w:val="fr-CH"/>
        </w:rPr>
        <w:t>2</w:t>
      </w:r>
      <w:r w:rsidRPr="00664CDC">
        <w:rPr>
          <w:rtl/>
          <w:lang w:val="fr-CH"/>
        </w:rPr>
        <w:t>-</w:t>
      </w:r>
      <w:r w:rsidRPr="00D20D41">
        <w:rPr>
          <w:rtl/>
          <w:lang w:val="fr-CH"/>
        </w:rPr>
        <w:t>10</w:t>
      </w:r>
      <w:r w:rsidRPr="00664CDC">
        <w:rPr>
          <w:rtl/>
          <w:lang w:val="fr-CH"/>
        </w:rPr>
        <w:t xml:space="preserve"> أعلاه). وعلاوة على ذلك، فإن تشريعات الدولة الطرف لم توفر لصاحبي البلاغ أية آلية قضائية أخرى يمكن من خلالها الطعن في أوامر الإخلاء، مما كان من شأنه أن يتيح لسلطة قضائية أخرى فرصة تحليل تناسب الإخلاء والظروف التي كان سينفذ فيها. ولذلك، ترى اللجنة أن عدم إجراء هذا التقييم هو انتهاك من الدولة الطرف لحق صاحبي البلاغ في السكن بموجب المادة </w:t>
      </w:r>
      <w:r w:rsidRPr="00D20D41">
        <w:rPr>
          <w:rtl/>
          <w:lang w:val="fr-CH"/>
        </w:rPr>
        <w:t>11</w:t>
      </w:r>
      <w:r w:rsidRPr="00664CDC">
        <w:rPr>
          <w:rtl/>
          <w:lang w:val="fr-CH"/>
        </w:rPr>
        <w:t>(</w:t>
      </w:r>
      <w:r w:rsidRPr="00D20D41">
        <w:rPr>
          <w:rtl/>
          <w:lang w:val="fr-CH"/>
        </w:rPr>
        <w:t>1</w:t>
      </w:r>
      <w:r w:rsidRPr="00664CDC">
        <w:rPr>
          <w:rtl/>
          <w:lang w:val="fr-CH"/>
        </w:rPr>
        <w:t xml:space="preserve">) من العهد، مقروءة بالاقتران مع المادة </w:t>
      </w:r>
      <w:r w:rsidRPr="00D20D41">
        <w:rPr>
          <w:rtl/>
          <w:lang w:val="fr-CH"/>
        </w:rPr>
        <w:t>2</w:t>
      </w:r>
      <w:r w:rsidRPr="00664CDC">
        <w:rPr>
          <w:rtl/>
          <w:lang w:val="fr-CH"/>
        </w:rPr>
        <w:t>(</w:t>
      </w:r>
      <w:r w:rsidRPr="00D20D41">
        <w:rPr>
          <w:rtl/>
          <w:lang w:val="fr-CH"/>
        </w:rPr>
        <w:t>1</w:t>
      </w:r>
      <w:r w:rsidRPr="00664CDC">
        <w:rPr>
          <w:rtl/>
          <w:lang w:val="fr-CH"/>
        </w:rPr>
        <w:t>).</w:t>
      </w:r>
    </w:p>
    <w:p w14:paraId="283A67E7" w14:textId="06E8121D" w:rsidR="00664CDC" w:rsidRPr="00664CDC" w:rsidRDefault="00664CDC" w:rsidP="00664CDC">
      <w:pPr>
        <w:pStyle w:val="SingleTxtGA"/>
        <w:rPr>
          <w:lang w:val="fr-CH"/>
        </w:rPr>
      </w:pPr>
      <w:r w:rsidRPr="00D20D41">
        <w:rPr>
          <w:rtl/>
          <w:lang w:val="fr-CH"/>
        </w:rPr>
        <w:t>14</w:t>
      </w:r>
      <w:r w:rsidRPr="00664CDC">
        <w:rPr>
          <w:rtl/>
          <w:lang w:val="fr-CH"/>
        </w:rPr>
        <w:t>-</w:t>
      </w:r>
      <w:r w:rsidRPr="00D20D41">
        <w:rPr>
          <w:rtl/>
          <w:lang w:val="fr-CH"/>
        </w:rPr>
        <w:t>7</w:t>
      </w:r>
      <w:r w:rsidRPr="00664CDC">
        <w:rPr>
          <w:rtl/>
          <w:lang w:val="fr-CH"/>
        </w:rPr>
        <w:tab/>
        <w:t>وتلاحظ اللجنة أن الدولة الطرف أصدرت، عقب الأحداث الموصوفة في هذا البلاغ، تشريع</w:t>
      </w:r>
      <w:r w:rsidR="00FD03FB">
        <w:rPr>
          <w:rtl/>
          <w:lang w:val="fr-CH"/>
        </w:rPr>
        <w:t xml:space="preserve">اً </w:t>
      </w:r>
      <w:r w:rsidRPr="00664CDC">
        <w:rPr>
          <w:rtl/>
          <w:lang w:val="fr-CH"/>
        </w:rPr>
        <w:t>جديد</w:t>
      </w:r>
      <w:r w:rsidR="00FD03FB">
        <w:rPr>
          <w:rtl/>
          <w:lang w:val="fr-CH"/>
        </w:rPr>
        <w:t xml:space="preserve">اً </w:t>
      </w:r>
      <w:r w:rsidRPr="00664CDC">
        <w:rPr>
          <w:rtl/>
          <w:lang w:val="fr-CH"/>
        </w:rPr>
        <w:t>يهدف إلى كفالة أن تبلغ المحاكم الخدمات الاجتماعية بإخلاء الأشخاص الذين هم في أوضاع هشة حتى يتسنى للخدمات الاجتماعية تقييم حالة الأشخاص الذين يواجهون الطرد. وعمل</w:t>
      </w:r>
      <w:r w:rsidR="00FD03FB">
        <w:rPr>
          <w:rtl/>
          <w:lang w:val="fr-CH"/>
        </w:rPr>
        <w:t xml:space="preserve">اً </w:t>
      </w:r>
      <w:r w:rsidRPr="00664CDC">
        <w:rPr>
          <w:rtl/>
          <w:lang w:val="fr-CH"/>
        </w:rPr>
        <w:t>بهذا التشريع، إذا خلصت الخدمات الاجتماعية إلى أن الأشخاص في حالة ضعف، يجوز تأجيل الإخلاء لمدة تصل إلى شهر، أو لمدة ثلاثة أشهر إذا كان الطرف المطرود كيان</w:t>
      </w:r>
      <w:r w:rsidR="00FD03FB">
        <w:rPr>
          <w:rtl/>
          <w:lang w:val="fr-CH"/>
        </w:rPr>
        <w:t xml:space="preserve">اً </w:t>
      </w:r>
      <w:r w:rsidRPr="00664CDC">
        <w:rPr>
          <w:rtl/>
          <w:lang w:val="fr-CH"/>
        </w:rPr>
        <w:t>قانوني</w:t>
      </w:r>
      <w:r w:rsidR="00FD03FB">
        <w:rPr>
          <w:rtl/>
          <w:lang w:val="fr-CH"/>
        </w:rPr>
        <w:t>اً،</w:t>
      </w:r>
      <w:r w:rsidRPr="00664CDC">
        <w:rPr>
          <w:rtl/>
          <w:lang w:val="fr-CH"/>
        </w:rPr>
        <w:t xml:space="preserve"> لإعطاء الخدمات الاجتماعية وقت</w:t>
      </w:r>
      <w:r w:rsidR="00FD03FB">
        <w:rPr>
          <w:rtl/>
          <w:lang w:val="fr-CH"/>
        </w:rPr>
        <w:t xml:space="preserve">اً </w:t>
      </w:r>
      <w:r w:rsidRPr="00664CDC">
        <w:rPr>
          <w:rtl/>
          <w:lang w:val="fr-CH"/>
        </w:rPr>
        <w:t xml:space="preserve">لتقديم </w:t>
      </w:r>
      <w:proofErr w:type="gramStart"/>
      <w:r w:rsidRPr="00664CDC">
        <w:rPr>
          <w:rtl/>
          <w:lang w:val="fr-CH"/>
        </w:rPr>
        <w:t>المساعدة</w:t>
      </w:r>
      <w:r w:rsidRPr="00664CDC">
        <w:rPr>
          <w:vertAlign w:val="superscript"/>
          <w:rtl/>
          <w:lang w:val="fr-CH"/>
        </w:rPr>
        <w:t>(</w:t>
      </w:r>
      <w:proofErr w:type="gramEnd"/>
      <w:r w:rsidRPr="00D20D41">
        <w:rPr>
          <w:rStyle w:val="FootnoteReference"/>
          <w:szCs w:val="22"/>
          <w:lang w:val="en-US"/>
        </w:rPr>
        <w:footnoteReference w:id="41"/>
      </w:r>
      <w:r w:rsidRPr="00664CDC">
        <w:rPr>
          <w:vertAlign w:val="superscript"/>
          <w:rtl/>
          <w:lang w:val="fr-CH"/>
        </w:rPr>
        <w:t>)</w:t>
      </w:r>
      <w:r>
        <w:rPr>
          <w:rtl/>
          <w:lang w:val="fr-CH"/>
        </w:rPr>
        <w:t>.</w:t>
      </w:r>
      <w:r w:rsidRPr="00664CDC">
        <w:rPr>
          <w:rtl/>
          <w:lang w:val="fr-CH"/>
        </w:rPr>
        <w:t xml:space="preserve"> وهذا التشريع، بحسب فهم اللجنة،</w:t>
      </w:r>
      <w:r w:rsidR="006670EA">
        <w:rPr>
          <w:rtl/>
          <w:lang w:val="fr-CH"/>
        </w:rPr>
        <w:t xml:space="preserve"> </w:t>
      </w:r>
      <w:r w:rsidRPr="00664CDC">
        <w:rPr>
          <w:rtl/>
          <w:lang w:val="fr-CH"/>
        </w:rPr>
        <w:t xml:space="preserve">يمكن أن يمنع انتهاكات الحق في السكن، مثل تلك المبينة في هذا القرار، بقدر ما يسمح للسلطات القضائية، أو غيرها من السلطات المحايدة والمستقلة، </w:t>
      </w:r>
      <w:r w:rsidRPr="00087A06">
        <w:rPr>
          <w:spacing w:val="-2"/>
          <w:rtl/>
          <w:lang w:val="fr-CH"/>
        </w:rPr>
        <w:t>بسلطة الأمر بوقف الانتهاك وتوفير سبيل انتصاف فعال، وتقييم مدى تناسب طلبات الإخلاء وفق</w:t>
      </w:r>
      <w:r w:rsidR="00FD03FB">
        <w:rPr>
          <w:spacing w:val="-2"/>
          <w:rtl/>
          <w:lang w:val="fr-CH"/>
        </w:rPr>
        <w:t xml:space="preserve">اً </w:t>
      </w:r>
      <w:r w:rsidRPr="00087A06">
        <w:rPr>
          <w:spacing w:val="-2"/>
          <w:rtl/>
          <w:lang w:val="fr-CH"/>
        </w:rPr>
        <w:t>للشروط</w:t>
      </w:r>
      <w:r w:rsidRPr="00664CDC">
        <w:rPr>
          <w:rtl/>
          <w:lang w:val="fr-CH"/>
        </w:rPr>
        <w:t xml:space="preserve"> المذكورة سابقا</w:t>
      </w:r>
      <w:r w:rsidR="00087A06">
        <w:rPr>
          <w:rFonts w:hint="cs"/>
          <w:rtl/>
          <w:lang w:val="fr-CH"/>
        </w:rPr>
        <w:t>ً</w:t>
      </w:r>
      <w:r w:rsidRPr="00664CDC">
        <w:rPr>
          <w:rtl/>
          <w:lang w:val="fr-CH"/>
        </w:rPr>
        <w:t>.</w:t>
      </w:r>
    </w:p>
    <w:p w14:paraId="63B0CB01" w14:textId="3C182FBC" w:rsidR="00664CDC" w:rsidRPr="00D20D41" w:rsidRDefault="006670EA" w:rsidP="006670EA">
      <w:pPr>
        <w:pStyle w:val="H1GA"/>
      </w:pPr>
      <w:r w:rsidRPr="00D20D41">
        <w:rPr>
          <w:rtl/>
        </w:rPr>
        <w:tab/>
      </w:r>
      <w:r w:rsidR="00664CDC" w:rsidRPr="00D20D41">
        <w:rPr>
          <w:rtl/>
        </w:rPr>
        <w:t>دال-</w:t>
      </w:r>
      <w:r w:rsidR="00664CDC" w:rsidRPr="00D20D41">
        <w:rPr>
          <w:rtl/>
        </w:rPr>
        <w:tab/>
        <w:t>الاستنتاجات والتوصيات</w:t>
      </w:r>
    </w:p>
    <w:p w14:paraId="1068C726" w14:textId="77777777" w:rsidR="00664CDC" w:rsidRPr="00664CDC" w:rsidRDefault="00664CDC" w:rsidP="00664CDC">
      <w:pPr>
        <w:pStyle w:val="SingleTxtGA"/>
        <w:rPr>
          <w:lang w:val="fr-CH"/>
        </w:rPr>
      </w:pPr>
      <w:r w:rsidRPr="00D20D41">
        <w:rPr>
          <w:rtl/>
          <w:lang w:val="fr-CH"/>
        </w:rPr>
        <w:t>15</w:t>
      </w:r>
      <w:r w:rsidRPr="00664CDC">
        <w:rPr>
          <w:rtl/>
          <w:lang w:val="fr-CH"/>
        </w:rPr>
        <w:t>-</w:t>
      </w:r>
      <w:r w:rsidRPr="00664CDC">
        <w:rPr>
          <w:rtl/>
          <w:lang w:val="fr-CH"/>
        </w:rPr>
        <w:tab/>
        <w:t xml:space="preserve">واللجنة، إذ تتصرف بموجب المادة </w:t>
      </w:r>
      <w:r w:rsidRPr="00D20D41">
        <w:rPr>
          <w:rtl/>
          <w:lang w:val="fr-CH"/>
        </w:rPr>
        <w:t>9</w:t>
      </w:r>
      <w:r w:rsidRPr="00664CDC">
        <w:rPr>
          <w:rtl/>
          <w:lang w:val="fr-CH"/>
        </w:rPr>
        <w:t>(</w:t>
      </w:r>
      <w:r w:rsidRPr="00D20D41">
        <w:rPr>
          <w:rtl/>
          <w:lang w:val="fr-CH"/>
        </w:rPr>
        <w:t>1</w:t>
      </w:r>
      <w:r w:rsidRPr="00664CDC">
        <w:rPr>
          <w:rtl/>
          <w:lang w:val="fr-CH"/>
        </w:rPr>
        <w:t xml:space="preserve">) من البروتوكول الاختياري، ترى أن الدولة الطرف انتهكت حق صاحبي البلاغ بموجب المادة </w:t>
      </w:r>
      <w:r w:rsidRPr="00D20D41">
        <w:rPr>
          <w:rtl/>
          <w:lang w:val="fr-CH"/>
        </w:rPr>
        <w:t>11</w:t>
      </w:r>
      <w:r w:rsidRPr="00664CDC">
        <w:rPr>
          <w:rtl/>
          <w:lang w:val="fr-CH"/>
        </w:rPr>
        <w:t>(</w:t>
      </w:r>
      <w:r w:rsidRPr="00D20D41">
        <w:rPr>
          <w:rtl/>
          <w:lang w:val="fr-CH"/>
        </w:rPr>
        <w:t>1</w:t>
      </w:r>
      <w:r w:rsidRPr="00664CDC">
        <w:rPr>
          <w:rtl/>
          <w:lang w:val="fr-CH"/>
        </w:rPr>
        <w:t>) من العهد. وفي ضوء الآراء الواردة في هذا البلاغ، تقدم اللجنة إلى الدولة الطرف التوصيات التالية.</w:t>
      </w:r>
    </w:p>
    <w:p w14:paraId="1EACB1DB" w14:textId="77777777" w:rsidR="00664CDC" w:rsidRPr="00D20D41" w:rsidRDefault="00664CDC" w:rsidP="006670EA">
      <w:pPr>
        <w:pStyle w:val="H23GA"/>
      </w:pPr>
      <w:r w:rsidRPr="00D20D41">
        <w:rPr>
          <w:rtl/>
        </w:rPr>
        <w:lastRenderedPageBreak/>
        <w:tab/>
      </w:r>
      <w:r w:rsidRPr="00D20D41">
        <w:rPr>
          <w:rtl/>
        </w:rPr>
        <w:tab/>
        <w:t>توصيات بشأن صاحبي البلاغ وطفليهما</w:t>
      </w:r>
    </w:p>
    <w:p w14:paraId="622FE91C" w14:textId="3F373842" w:rsidR="00664CDC" w:rsidRPr="00664CDC" w:rsidRDefault="00664CDC" w:rsidP="00664CDC">
      <w:pPr>
        <w:pStyle w:val="SingleTxtGA"/>
        <w:rPr>
          <w:lang w:val="fr-CH"/>
        </w:rPr>
      </w:pPr>
      <w:r w:rsidRPr="00D20D41">
        <w:rPr>
          <w:rtl/>
          <w:lang w:val="fr-CH"/>
        </w:rPr>
        <w:t>16</w:t>
      </w:r>
      <w:r w:rsidRPr="00664CDC">
        <w:rPr>
          <w:rtl/>
          <w:lang w:val="fr-CH"/>
        </w:rPr>
        <w:t>-</w:t>
      </w:r>
      <w:r w:rsidRPr="00664CDC">
        <w:rPr>
          <w:rtl/>
          <w:lang w:val="fr-CH"/>
        </w:rPr>
        <w:tab/>
        <w:t>إن الدولة الطرف ملزمة بتوفير سبيل انتصاف فعال لصاحبي البلاغ وطفليهما، وينبغي لها على وجه الخصوص: (أ) أن تعيد تقييم حالتهما، وحالة الضرورة، ومستوى أولويتهما في قائمة الانتظار، إذا</w:t>
      </w:r>
      <w:r w:rsidR="00FD03FB">
        <w:rPr>
          <w:rFonts w:hint="cs"/>
          <w:rtl/>
          <w:lang w:val="fr-CH"/>
        </w:rPr>
        <w:t> </w:t>
      </w:r>
      <w:r w:rsidRPr="00664CDC">
        <w:rPr>
          <w:rtl/>
          <w:lang w:val="fr-CH"/>
        </w:rPr>
        <w:t>لم</w:t>
      </w:r>
      <w:r w:rsidR="00087A06">
        <w:rPr>
          <w:rFonts w:hint="cs"/>
          <w:rtl/>
          <w:lang w:val="fr-CH"/>
        </w:rPr>
        <w:t> </w:t>
      </w:r>
      <w:r w:rsidRPr="00664CDC">
        <w:rPr>
          <w:rtl/>
          <w:lang w:val="fr-CH"/>
        </w:rPr>
        <w:t>يكونا في سكن لائق حالياً، مع مراعاة طول الفترة الزمنية التي مرت على تسجيل طلبهما للحصول على سكن لدى مجلس منطقة مدريد المتمتعة بالحكم الذاتي، ابتداء من تاريخ تقديم الطلب، بهدف توفير سكن عام لهما أو اتخاذ تدبير آخر يمكنهما من العيش في سكن لائق، مع مراعاة المعايير الواردة في هذه</w:t>
      </w:r>
      <w:r w:rsidR="00FD03FB">
        <w:rPr>
          <w:rFonts w:hint="cs"/>
          <w:rtl/>
          <w:lang w:val="fr-CH"/>
        </w:rPr>
        <w:t> </w:t>
      </w:r>
      <w:r w:rsidRPr="00664CDC">
        <w:rPr>
          <w:rtl/>
          <w:lang w:val="fr-CH"/>
        </w:rPr>
        <w:t>الآراء؛ (ب) إعطاء صاحبي البلاغ وطفليهما تعويض</w:t>
      </w:r>
      <w:r w:rsidR="00FD03FB">
        <w:rPr>
          <w:rtl/>
          <w:lang w:val="fr-CH"/>
        </w:rPr>
        <w:t xml:space="preserve">اً </w:t>
      </w:r>
      <w:r w:rsidRPr="00664CDC">
        <w:rPr>
          <w:rtl/>
          <w:lang w:val="fr-CH"/>
        </w:rPr>
        <w:t>مالي</w:t>
      </w:r>
      <w:r w:rsidR="00FD03FB">
        <w:rPr>
          <w:rtl/>
          <w:lang w:val="fr-CH"/>
        </w:rPr>
        <w:t xml:space="preserve">اً </w:t>
      </w:r>
      <w:r w:rsidRPr="00664CDC">
        <w:rPr>
          <w:rtl/>
          <w:lang w:val="fr-CH"/>
        </w:rPr>
        <w:t>عن الانتهاكات التي تعرضوا لها؛ (ج)</w:t>
      </w:r>
      <w:r w:rsidR="00FD03FB">
        <w:rPr>
          <w:rFonts w:hint="cs"/>
          <w:rtl/>
          <w:lang w:val="fr-CH"/>
        </w:rPr>
        <w:t> </w:t>
      </w:r>
      <w:r w:rsidRPr="00664CDC">
        <w:rPr>
          <w:rtl/>
          <w:lang w:val="fr-CH"/>
        </w:rPr>
        <w:t>تعويض صاحبي البلاغ عن التكاليف القانونية التي تكبداها بشكل معقول نتيجة تقديم هذا البلاغ على الصعيدين المحلي والدولي.</w:t>
      </w:r>
    </w:p>
    <w:p w14:paraId="630ECD1B" w14:textId="77777777" w:rsidR="00664CDC" w:rsidRPr="00D20D41" w:rsidRDefault="00664CDC" w:rsidP="006670EA">
      <w:pPr>
        <w:pStyle w:val="H23GA"/>
      </w:pPr>
      <w:r w:rsidRPr="00D20D41">
        <w:rPr>
          <w:rtl/>
        </w:rPr>
        <w:tab/>
      </w:r>
      <w:r w:rsidRPr="00D20D41">
        <w:rPr>
          <w:rtl/>
        </w:rPr>
        <w:tab/>
        <w:t>توصيات عامة</w:t>
      </w:r>
    </w:p>
    <w:p w14:paraId="49DF8144" w14:textId="77777777" w:rsidR="00664CDC" w:rsidRPr="00664CDC" w:rsidRDefault="00664CDC" w:rsidP="00664CDC">
      <w:pPr>
        <w:pStyle w:val="SingleTxtGA"/>
        <w:rPr>
          <w:lang w:val="fr-CH"/>
        </w:rPr>
      </w:pPr>
      <w:r w:rsidRPr="00D20D41">
        <w:rPr>
          <w:rtl/>
          <w:lang w:val="fr-CH"/>
        </w:rPr>
        <w:t>17</w:t>
      </w:r>
      <w:r w:rsidRPr="00664CDC">
        <w:rPr>
          <w:rtl/>
          <w:lang w:val="fr-CH"/>
        </w:rPr>
        <w:t>-</w:t>
      </w:r>
      <w:r w:rsidRPr="00664CDC">
        <w:rPr>
          <w:rtl/>
          <w:lang w:val="fr-CH"/>
        </w:rPr>
        <w:tab/>
        <w:t xml:space="preserve">ترى اللجنة أن سبل الانتصاف </w:t>
      </w:r>
      <w:proofErr w:type="spellStart"/>
      <w:r w:rsidRPr="00664CDC">
        <w:rPr>
          <w:rtl/>
          <w:lang w:val="fr-CH"/>
        </w:rPr>
        <w:t>الموصى</w:t>
      </w:r>
      <w:proofErr w:type="spellEnd"/>
      <w:r w:rsidRPr="00664CDC">
        <w:rPr>
          <w:rtl/>
          <w:lang w:val="fr-CH"/>
        </w:rPr>
        <w:t xml:space="preserve"> بها في سياق البلاغات الفردية قد تشمل ضمانات بعدم </w:t>
      </w:r>
      <w:r w:rsidRPr="006670EA">
        <w:rPr>
          <w:spacing w:val="-2"/>
          <w:rtl/>
          <w:lang w:val="fr-CH"/>
        </w:rPr>
        <w:t>التكرار، وتشير إلى أن الدولة الطرف ملزمة بمنع وقوع انتهاكات مماثلة في المستقبل. وينبغي للدولة الطرف</w:t>
      </w:r>
      <w:r w:rsidRPr="00664CDC">
        <w:rPr>
          <w:rtl/>
          <w:lang w:val="fr-CH"/>
        </w:rPr>
        <w:t xml:space="preserve"> أن تكفل اتساق تشريعاتها وإنفاذ هذه التشريعات مع الالتزامات المنصوص عليها في العهد. والدولة الطرف ملزمة، على وجه الخصوص، بما يلي:</w:t>
      </w:r>
    </w:p>
    <w:p w14:paraId="1E6EDC3B" w14:textId="0357ABC5" w:rsidR="00664CDC" w:rsidRPr="005E677D" w:rsidRDefault="00664CDC" w:rsidP="00664CDC">
      <w:pPr>
        <w:pStyle w:val="SingleTxtGA"/>
        <w:rPr>
          <w:spacing w:val="2"/>
          <w:lang w:val="fr-CH"/>
        </w:rPr>
      </w:pPr>
      <w:r w:rsidRPr="005E677D">
        <w:rPr>
          <w:spacing w:val="2"/>
          <w:rtl/>
          <w:lang w:val="fr-CH"/>
        </w:rPr>
        <w:tab/>
        <w:t>(أ)</w:t>
      </w:r>
      <w:r w:rsidRPr="005E677D">
        <w:rPr>
          <w:spacing w:val="2"/>
          <w:rtl/>
          <w:lang w:val="fr-CH"/>
        </w:rPr>
        <w:tab/>
        <w:t>ضمان أن يسمح الإطار المعياري للأشخاص الذين صدر أمر إخلاء بشأنهم والذين قد يتعرضون بالتالي لخطر العوز أو انتهاك حقوقهم المكفولة بموجب العهد، بما في ذلك الأشخاص الذين يشغلون عقار</w:t>
      </w:r>
      <w:r w:rsidR="00FD03FB" w:rsidRPr="005E677D">
        <w:rPr>
          <w:spacing w:val="2"/>
          <w:rtl/>
          <w:lang w:val="fr-CH"/>
        </w:rPr>
        <w:t xml:space="preserve">اً </w:t>
      </w:r>
      <w:r w:rsidRPr="005E677D">
        <w:rPr>
          <w:spacing w:val="2"/>
          <w:rtl/>
          <w:lang w:val="fr-CH"/>
        </w:rPr>
        <w:t>ما بصورة غير قانو</w:t>
      </w:r>
      <w:r w:rsidR="00087A06" w:rsidRPr="005E677D">
        <w:rPr>
          <w:rFonts w:hint="cs"/>
          <w:spacing w:val="2"/>
          <w:rtl/>
          <w:lang w:val="fr-CH"/>
        </w:rPr>
        <w:t>ن</w:t>
      </w:r>
      <w:r w:rsidRPr="005E677D">
        <w:rPr>
          <w:spacing w:val="2"/>
          <w:rtl/>
          <w:lang w:val="fr-CH"/>
        </w:rPr>
        <w:t>ية،</w:t>
      </w:r>
      <w:r w:rsidR="006670EA" w:rsidRPr="005E677D">
        <w:rPr>
          <w:spacing w:val="2"/>
          <w:rtl/>
          <w:lang w:val="fr-CH"/>
        </w:rPr>
        <w:t xml:space="preserve"> </w:t>
      </w:r>
      <w:r w:rsidRPr="005E677D">
        <w:rPr>
          <w:spacing w:val="2"/>
          <w:rtl/>
          <w:lang w:val="fr-CH"/>
        </w:rPr>
        <w:t xml:space="preserve">بالطعن في القرار أمام سلطة قضائية أو سلطة محايدة ومستقلة أخرى تتمتع بسلطة الأمر بوقف الانتهاك وتوفير سبيل انتصاف فعال حتى تتمكن هذه السلطات من دراسة مدى تناسب التدبير في ضوء معايير تقييد الحقوق المنصوص عليها في العهد بموجب أحكام المادة </w:t>
      </w:r>
      <w:r w:rsidRPr="00D20D41">
        <w:rPr>
          <w:spacing w:val="2"/>
          <w:rtl/>
          <w:lang w:val="fr-CH"/>
        </w:rPr>
        <w:t>4</w:t>
      </w:r>
      <w:r w:rsidRPr="005E677D">
        <w:rPr>
          <w:spacing w:val="2"/>
          <w:rtl/>
          <w:lang w:val="fr-CH"/>
        </w:rPr>
        <w:t>؛</w:t>
      </w:r>
    </w:p>
    <w:p w14:paraId="1E0384B3" w14:textId="2E06179D" w:rsidR="00664CDC" w:rsidRPr="00664CDC" w:rsidRDefault="00664CDC" w:rsidP="00664CDC">
      <w:pPr>
        <w:pStyle w:val="SingleTxtGA"/>
        <w:rPr>
          <w:lang w:val="fr-CH"/>
        </w:rPr>
      </w:pPr>
      <w:r w:rsidRPr="00664CDC">
        <w:rPr>
          <w:rtl/>
          <w:lang w:val="fr-CH"/>
        </w:rPr>
        <w:tab/>
        <w:t>(ب)</w:t>
      </w:r>
      <w:r w:rsidRPr="00664CDC">
        <w:rPr>
          <w:rtl/>
          <w:lang w:val="fr-CH"/>
        </w:rPr>
        <w:tab/>
        <w:t xml:space="preserve">اعتماد التدابير اللازمة لوضع حد لممارسة الاستبعاد التلقائي من قوائم مقدمي طلبات </w:t>
      </w:r>
      <w:r w:rsidRPr="00087A06">
        <w:rPr>
          <w:spacing w:val="-2"/>
          <w:rtl/>
          <w:lang w:val="fr-CH"/>
        </w:rPr>
        <w:t>الإسكان لجميع الأشخاص الذين يجدون أنفسهم يشغلون عقار</w:t>
      </w:r>
      <w:r w:rsidR="00FD03FB">
        <w:rPr>
          <w:spacing w:val="-2"/>
          <w:rtl/>
          <w:lang w:val="fr-CH"/>
        </w:rPr>
        <w:t xml:space="preserve">اً </w:t>
      </w:r>
      <w:r w:rsidRPr="00087A06">
        <w:rPr>
          <w:spacing w:val="-2"/>
          <w:rtl/>
          <w:lang w:val="fr-CH"/>
        </w:rPr>
        <w:t>بصورة غير قانونية، لأنهم في حالة ضرورة</w:t>
      </w:r>
      <w:r w:rsidRPr="00664CDC">
        <w:rPr>
          <w:rtl/>
          <w:lang w:val="fr-CH"/>
        </w:rPr>
        <w:t>، بحيث تتاح لجميع هؤلاء الأشخاص فرص متساوية في الحصول على رصيد السكن الاجتماعي، وإزالة أي شرط غير معقول قد يستبعد الأشخاص المعرضين لخطر العوز؛</w:t>
      </w:r>
    </w:p>
    <w:p w14:paraId="08068286" w14:textId="5D205844" w:rsidR="00664CDC" w:rsidRPr="00664CDC" w:rsidRDefault="00664CDC" w:rsidP="00664CDC">
      <w:pPr>
        <w:pStyle w:val="SingleTxtGA"/>
        <w:rPr>
          <w:lang w:val="fr-CH"/>
        </w:rPr>
      </w:pPr>
      <w:r w:rsidRPr="00664CDC">
        <w:rPr>
          <w:rtl/>
          <w:lang w:val="fr-CH"/>
        </w:rPr>
        <w:tab/>
        <w:t>(ج)</w:t>
      </w:r>
      <w:r w:rsidRPr="00664CDC">
        <w:rPr>
          <w:rtl/>
          <w:lang w:val="fr-CH"/>
        </w:rPr>
        <w:tab/>
      </w:r>
      <w:r w:rsidRPr="00183C2C">
        <w:rPr>
          <w:spacing w:val="-3"/>
          <w:rtl/>
          <w:lang w:val="fr-CH"/>
        </w:rPr>
        <w:t>اتخاذ التدابير اللازمة لضمان عدم تنفيذ عمليات الإخلاء التي تشمل أشخاصاً لا يملكون</w:t>
      </w:r>
      <w:r w:rsidRPr="00664CDC">
        <w:rPr>
          <w:rtl/>
          <w:lang w:val="fr-CH"/>
        </w:rPr>
        <w:t xml:space="preserve"> </w:t>
      </w:r>
      <w:r w:rsidRPr="00183C2C">
        <w:rPr>
          <w:spacing w:val="-3"/>
          <w:rtl/>
          <w:lang w:val="fr-CH"/>
        </w:rPr>
        <w:t xml:space="preserve">وسائل الحصول على سكن بديل إلا بعد التشاور الحقيقي مع الأشخاص </w:t>
      </w:r>
      <w:proofErr w:type="gramStart"/>
      <w:r w:rsidRPr="00183C2C">
        <w:rPr>
          <w:spacing w:val="-3"/>
          <w:rtl/>
          <w:lang w:val="fr-CH"/>
        </w:rPr>
        <w:t>المعنيين</w:t>
      </w:r>
      <w:r w:rsidRPr="00664CDC">
        <w:rPr>
          <w:vertAlign w:val="superscript"/>
          <w:rtl/>
          <w:lang w:val="fr-CH"/>
        </w:rPr>
        <w:t>(</w:t>
      </w:r>
      <w:proofErr w:type="gramEnd"/>
      <w:r w:rsidRPr="00D20D41">
        <w:rPr>
          <w:rStyle w:val="FootnoteReference"/>
          <w:szCs w:val="22"/>
          <w:lang w:val="en-US"/>
        </w:rPr>
        <w:footnoteReference w:id="42"/>
      </w:r>
      <w:r w:rsidRPr="00664CDC">
        <w:rPr>
          <w:vertAlign w:val="superscript"/>
          <w:rtl/>
          <w:lang w:val="fr-CH"/>
        </w:rPr>
        <w:t>)</w:t>
      </w:r>
      <w:r>
        <w:rPr>
          <w:rtl/>
          <w:lang w:val="fr-CH"/>
        </w:rPr>
        <w:t>،</w:t>
      </w:r>
      <w:r w:rsidRPr="00664CDC">
        <w:rPr>
          <w:rtl/>
          <w:lang w:val="fr-CH"/>
        </w:rPr>
        <w:t xml:space="preserve"> وبعد أن تتخذ الدولة جميع الخطوات الأساسية، إلى أقصى حدود مواردها المتاحة، لضمان حصول الأشخاص الذين جرى إخلاؤهم على سكن بديل، لا سيما في الحالات التي تشمل الأسر أو كبار السن أو الأطفال أو غيرهم من الأشخاص في حالات ضعف؛</w:t>
      </w:r>
    </w:p>
    <w:p w14:paraId="7CCA0AB2" w14:textId="2873D188" w:rsidR="00664CDC" w:rsidRPr="00664CDC" w:rsidRDefault="00664CDC" w:rsidP="00664CDC">
      <w:pPr>
        <w:pStyle w:val="SingleTxtGA"/>
        <w:rPr>
          <w:lang w:val="fr-CH"/>
        </w:rPr>
      </w:pPr>
      <w:r w:rsidRPr="00664CDC">
        <w:rPr>
          <w:rtl/>
          <w:lang w:val="fr-CH"/>
        </w:rPr>
        <w:tab/>
        <w:t>(د)</w:t>
      </w:r>
      <w:r w:rsidRPr="00664CDC">
        <w:rPr>
          <w:rtl/>
          <w:lang w:val="fr-CH"/>
        </w:rPr>
        <w:tab/>
        <w:t>وضع وتنفيذ خطة شاملة، بالتنسيق مع المناطق المتمتعة بالحكم الذاتي وبأقصى قدر من مواردها المتاحة، لضمان الحق في السكن اللائق لذوي الدخل المنخفض، تمشي</w:t>
      </w:r>
      <w:r w:rsidR="00FD03FB">
        <w:rPr>
          <w:rtl/>
          <w:lang w:val="fr-CH"/>
        </w:rPr>
        <w:t xml:space="preserve">اً </w:t>
      </w:r>
      <w:r w:rsidRPr="00664CDC">
        <w:rPr>
          <w:rtl/>
          <w:lang w:val="fr-CH"/>
        </w:rPr>
        <w:t>مع التعليق العام رقم</w:t>
      </w:r>
      <w:r w:rsidR="00183C2C">
        <w:rPr>
          <w:rFonts w:hint="cs"/>
          <w:rtl/>
          <w:lang w:val="fr-CH"/>
        </w:rPr>
        <w:t> </w:t>
      </w:r>
      <w:r w:rsidRPr="00D20D41">
        <w:rPr>
          <w:rtl/>
          <w:lang w:val="fr-CH"/>
        </w:rPr>
        <w:t>4</w:t>
      </w:r>
      <w:r w:rsidRPr="00664CDC">
        <w:rPr>
          <w:rtl/>
          <w:lang w:val="fr-CH"/>
        </w:rPr>
        <w:t>(</w:t>
      </w:r>
      <w:proofErr w:type="gramStart"/>
      <w:r w:rsidRPr="00D20D41">
        <w:rPr>
          <w:rtl/>
          <w:lang w:val="fr-CH"/>
        </w:rPr>
        <w:t>1991</w:t>
      </w:r>
      <w:r w:rsidRPr="00664CDC">
        <w:rPr>
          <w:rtl/>
          <w:lang w:val="fr-CH"/>
        </w:rPr>
        <w:t>)</w:t>
      </w:r>
      <w:r w:rsidRPr="00664CDC">
        <w:rPr>
          <w:vertAlign w:val="superscript"/>
          <w:rtl/>
          <w:lang w:val="fr-CH"/>
        </w:rPr>
        <w:t>(</w:t>
      </w:r>
      <w:proofErr w:type="gramEnd"/>
      <w:r w:rsidRPr="00D20D41">
        <w:rPr>
          <w:rStyle w:val="FootnoteReference"/>
          <w:szCs w:val="22"/>
          <w:lang w:val="en-US"/>
        </w:rPr>
        <w:footnoteReference w:id="43"/>
      </w:r>
      <w:r w:rsidRPr="00664CDC">
        <w:rPr>
          <w:vertAlign w:val="superscript"/>
          <w:rtl/>
          <w:lang w:val="fr-CH"/>
        </w:rPr>
        <w:t>)</w:t>
      </w:r>
      <w:r>
        <w:rPr>
          <w:rtl/>
          <w:lang w:val="fr-CH"/>
        </w:rPr>
        <w:t>.</w:t>
      </w:r>
      <w:r w:rsidRPr="00664CDC">
        <w:rPr>
          <w:rtl/>
          <w:lang w:val="fr-CH"/>
        </w:rPr>
        <w:t xml:space="preserve"> وينبغي أن تحدد هذه الخطة الموارد والتدابير والمؤشرات والأطر الزمنية ومعايير التقييم اللازمة لضمان حق هؤلاء الأفراد في السكن بطريقة معقولة وقابلة للقياس.</w:t>
      </w:r>
    </w:p>
    <w:p w14:paraId="6E093B75" w14:textId="77777777" w:rsidR="00664CDC" w:rsidRPr="00664CDC" w:rsidRDefault="00664CDC" w:rsidP="00664CDC">
      <w:pPr>
        <w:pStyle w:val="SingleTxtGA"/>
        <w:rPr>
          <w:lang w:val="fr-CH"/>
        </w:rPr>
      </w:pPr>
      <w:r w:rsidRPr="00D20D41">
        <w:rPr>
          <w:rtl/>
          <w:lang w:val="fr-CH"/>
        </w:rPr>
        <w:lastRenderedPageBreak/>
        <w:t>18</w:t>
      </w:r>
      <w:r w:rsidRPr="00664CDC">
        <w:rPr>
          <w:rtl/>
          <w:lang w:val="fr-CH"/>
        </w:rPr>
        <w:t>-</w:t>
      </w:r>
      <w:r w:rsidRPr="00664CDC">
        <w:rPr>
          <w:rtl/>
          <w:lang w:val="fr-CH"/>
        </w:rPr>
        <w:tab/>
        <w:t xml:space="preserve">ووفقاً للمادة </w:t>
      </w:r>
      <w:r w:rsidRPr="00D20D41">
        <w:rPr>
          <w:rtl/>
          <w:lang w:val="fr-CH"/>
        </w:rPr>
        <w:t>9</w:t>
      </w:r>
      <w:r w:rsidRPr="00664CDC">
        <w:rPr>
          <w:rtl/>
          <w:lang w:val="fr-CH"/>
        </w:rPr>
        <w:t>(</w:t>
      </w:r>
      <w:r w:rsidRPr="00D20D41">
        <w:rPr>
          <w:rtl/>
          <w:lang w:val="fr-CH"/>
        </w:rPr>
        <w:t>2</w:t>
      </w:r>
      <w:r w:rsidRPr="00664CDC">
        <w:rPr>
          <w:rtl/>
          <w:lang w:val="fr-CH"/>
        </w:rPr>
        <w:t xml:space="preserve">) من البروتوكول الاختياري والمادة </w:t>
      </w:r>
      <w:r w:rsidRPr="00D20D41">
        <w:rPr>
          <w:rtl/>
          <w:lang w:val="fr-CH"/>
        </w:rPr>
        <w:t>18</w:t>
      </w:r>
      <w:r w:rsidRPr="00664CDC">
        <w:rPr>
          <w:rtl/>
          <w:lang w:val="fr-CH"/>
        </w:rPr>
        <w:t>(</w:t>
      </w:r>
      <w:r w:rsidRPr="00D20D41">
        <w:rPr>
          <w:rtl/>
          <w:lang w:val="fr-CH"/>
        </w:rPr>
        <w:t>1</w:t>
      </w:r>
      <w:r w:rsidRPr="00664CDC">
        <w:rPr>
          <w:rtl/>
          <w:lang w:val="fr-CH"/>
        </w:rPr>
        <w:t>) من النظام الداخلي المؤقت بموجب البروتوكول الاختياري، يُطلب إلى الدولة الطرف أن تقدم إلى اللجنة، في غضون ستة أشهر، رداً خطياً يتضمن أي معلومات بخصوص أي إجراءات اتُخذت متابعة لآراء اللجنة وتوصياتها. ويُطلب من الدولة الطرف أيضاً نشر آراء اللجنة وتوزيعها على نطاق واسع، في شكل يسهل الوصول إليه، بحيث تصل إلى جميع قطاعات السكان.</w:t>
      </w:r>
    </w:p>
    <w:p w14:paraId="63763088" w14:textId="6014DB7E" w:rsidR="00B54045" w:rsidRPr="00664CDC" w:rsidRDefault="00664CDC" w:rsidP="00664CDC">
      <w:pPr>
        <w:pStyle w:val="SingleTxtGA"/>
        <w:jc w:val="center"/>
        <w:rPr>
          <w:u w:val="single"/>
        </w:rPr>
      </w:pPr>
      <w:r>
        <w:rPr>
          <w:u w:val="single"/>
          <w:rtl/>
        </w:rPr>
        <w:tab/>
      </w:r>
      <w:r>
        <w:rPr>
          <w:u w:val="single"/>
          <w:rtl/>
        </w:rPr>
        <w:tab/>
      </w:r>
      <w:r>
        <w:rPr>
          <w:u w:val="single"/>
          <w:rtl/>
        </w:rPr>
        <w:tab/>
      </w:r>
    </w:p>
    <w:sectPr w:rsidR="00B54045" w:rsidRPr="00664CDC" w:rsidSect="0057713D">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294DF" w14:textId="77777777" w:rsidR="00E00155" w:rsidRPr="002901D9" w:rsidRDefault="00E00155" w:rsidP="00485999">
      <w:pPr>
        <w:spacing w:after="60" w:line="240" w:lineRule="auto"/>
        <w:ind w:left="57"/>
        <w:rPr>
          <w:i/>
          <w:iCs/>
        </w:rPr>
      </w:pPr>
      <w:r>
        <w:rPr>
          <w:rFonts w:hint="cs"/>
          <w:i/>
          <w:iCs/>
          <w:rtl/>
        </w:rPr>
        <w:t>الحواشي</w:t>
      </w:r>
    </w:p>
  </w:endnote>
  <w:endnote w:type="continuationSeparator" w:id="0">
    <w:p w14:paraId="17C1915C" w14:textId="77777777" w:rsidR="00E00155" w:rsidRDefault="00E0015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F710" w14:textId="233741CE" w:rsidR="00E00155" w:rsidRPr="00E734AD" w:rsidRDefault="00E00155" w:rsidP="00E734AD">
    <w:pPr>
      <w:pStyle w:val="Footer"/>
      <w:tabs>
        <w:tab w:val="right" w:pos="9638"/>
      </w:tabs>
      <w:rPr>
        <w:b/>
        <w:sz w:val="18"/>
        <w:lang w:val="en-US"/>
      </w:rPr>
    </w:pPr>
    <w:r>
      <w:rPr>
        <w:lang w:val="en-US"/>
      </w:rPr>
      <w:t>GE.21-03889</w:t>
    </w:r>
    <w:r>
      <w:rPr>
        <w:lang w:val="en-US"/>
      </w:rPr>
      <w:tab/>
    </w:r>
    <w:r w:rsidRPr="00E734AD">
      <w:rPr>
        <w:b/>
        <w:sz w:val="18"/>
        <w:lang w:val="en-US"/>
      </w:rPr>
      <w:fldChar w:fldCharType="begin"/>
    </w:r>
    <w:r w:rsidRPr="00E734AD">
      <w:rPr>
        <w:b/>
        <w:sz w:val="18"/>
        <w:lang w:val="en-US"/>
      </w:rPr>
      <w:instrText xml:space="preserve"> PAGE  \* MERGEFORMAT </w:instrText>
    </w:r>
    <w:r w:rsidRPr="00E734AD">
      <w:rPr>
        <w:b/>
        <w:sz w:val="18"/>
        <w:lang w:val="en-US"/>
      </w:rPr>
      <w:fldChar w:fldCharType="separate"/>
    </w:r>
    <w:r w:rsidRPr="00E734AD">
      <w:rPr>
        <w:b/>
        <w:noProof/>
        <w:sz w:val="18"/>
        <w:lang w:val="en-US"/>
      </w:rPr>
      <w:t>2</w:t>
    </w:r>
    <w:r w:rsidRPr="00E734AD">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F21C" w14:textId="5F64ED53" w:rsidR="00E00155" w:rsidRPr="00E734AD" w:rsidRDefault="00E00155" w:rsidP="00E734AD">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GE.21-03889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5702" w14:textId="29FB661B" w:rsidR="00E00155" w:rsidRPr="00E734AD" w:rsidRDefault="00E00155" w:rsidP="00E734AD">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4937B13" wp14:editId="38F2060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21-03889 (A)</w:t>
    </w:r>
    <w:r>
      <w:rPr>
        <w:noProof/>
        <w:sz w:val="20"/>
        <w:lang w:val="en-US"/>
      </w:rPr>
      <w:drawing>
        <wp:anchor distT="0" distB="0" distL="114300" distR="114300" simplePos="0" relativeHeight="251659264" behindDoc="0" locked="0" layoutInCell="1" allowOverlap="1" wp14:anchorId="1BD4ADD7" wp14:editId="7831AFAC">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D2B6" w14:textId="77777777" w:rsidR="00E00155" w:rsidRPr="0054762C" w:rsidRDefault="00E00155" w:rsidP="004C7897">
      <w:pPr>
        <w:pStyle w:val="Footer"/>
        <w:bidi/>
        <w:spacing w:after="80" w:line="200" w:lineRule="exact"/>
        <w:ind w:left="680"/>
      </w:pPr>
      <w:r>
        <w:rPr>
          <w:rtl/>
        </w:rPr>
        <w:t>__________</w:t>
      </w:r>
    </w:p>
  </w:footnote>
  <w:footnote w:type="continuationSeparator" w:id="0">
    <w:p w14:paraId="0FC76B3D" w14:textId="77777777" w:rsidR="00E00155" w:rsidRDefault="00E00155" w:rsidP="00656392">
      <w:pPr>
        <w:spacing w:line="240" w:lineRule="auto"/>
      </w:pPr>
      <w:r>
        <w:continuationSeparator/>
      </w:r>
    </w:p>
  </w:footnote>
  <w:footnote w:id="1">
    <w:p w14:paraId="010829AD" w14:textId="507C0CA1" w:rsidR="00E00155" w:rsidRPr="00664CDC" w:rsidRDefault="00E00155" w:rsidP="00664CDC">
      <w:pPr>
        <w:pStyle w:val="FootnoteText1"/>
        <w:rPr>
          <w:rFonts w:hint="cs"/>
          <w:rtl/>
        </w:rPr>
      </w:pPr>
      <w:r>
        <w:rPr>
          <w:rtl/>
        </w:rPr>
        <w:t>*</w:t>
      </w:r>
      <w:r>
        <w:rPr>
          <w:rtl/>
        </w:rPr>
        <w:tab/>
      </w:r>
      <w:r w:rsidRPr="00664CDC">
        <w:rPr>
          <w:rtl/>
        </w:rPr>
        <w:t xml:space="preserve">اعتمدتها اللجنة خلال دورتها التاسعة والستين (من </w:t>
      </w:r>
      <w:r w:rsidRPr="00D20D41">
        <w:rPr>
          <w:rtl/>
        </w:rPr>
        <w:t>15</w:t>
      </w:r>
      <w:r w:rsidRPr="00664CDC">
        <w:rPr>
          <w:rtl/>
        </w:rPr>
        <w:t xml:space="preserve"> شباط/فبراير إلى </w:t>
      </w:r>
      <w:r w:rsidRPr="00D20D41">
        <w:rPr>
          <w:rtl/>
        </w:rPr>
        <w:t>5</w:t>
      </w:r>
      <w:r w:rsidRPr="00664CDC">
        <w:rPr>
          <w:rtl/>
        </w:rPr>
        <w:t xml:space="preserve"> آذار/مارس </w:t>
      </w:r>
      <w:r w:rsidRPr="00D20D41">
        <w:rPr>
          <w:rtl/>
        </w:rPr>
        <w:t>2021</w:t>
      </w:r>
      <w:r w:rsidRPr="00664CDC">
        <w:rPr>
          <w:rtl/>
        </w:rPr>
        <w:t>).</w:t>
      </w:r>
    </w:p>
  </w:footnote>
  <w:footnote w:id="2">
    <w:p w14:paraId="748DAF65" w14:textId="734F6F01"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E00155">
        <w:rPr>
          <w:spacing w:val="-4"/>
          <w:rtl/>
        </w:rPr>
        <w:t>يقدم صاحبا البلاغ رأي</w:t>
      </w:r>
      <w:r w:rsidR="00FD03FB">
        <w:rPr>
          <w:spacing w:val="-4"/>
          <w:rtl/>
        </w:rPr>
        <w:t xml:space="preserve">اً </w:t>
      </w:r>
      <w:r w:rsidRPr="00E00155">
        <w:rPr>
          <w:spacing w:val="-4"/>
          <w:rtl/>
        </w:rPr>
        <w:t>اختياري</w:t>
      </w:r>
      <w:r w:rsidR="00FD03FB">
        <w:rPr>
          <w:spacing w:val="-4"/>
          <w:rtl/>
        </w:rPr>
        <w:t xml:space="preserve">اً </w:t>
      </w:r>
      <w:r w:rsidRPr="00E00155">
        <w:rPr>
          <w:spacing w:val="-4"/>
          <w:rtl/>
        </w:rPr>
        <w:t xml:space="preserve">أصدرته المديرية العامة للخدمات الاجتماعية في حكومة مدريد الإقليمية في </w:t>
      </w:r>
      <w:r w:rsidRPr="00D20D41">
        <w:rPr>
          <w:spacing w:val="-4"/>
          <w:rtl/>
        </w:rPr>
        <w:t>22</w:t>
      </w:r>
      <w:r w:rsidRPr="00E00155">
        <w:rPr>
          <w:spacing w:val="-4"/>
          <w:rtl/>
        </w:rPr>
        <w:t xml:space="preserve"> أيلول/سبتمبر </w:t>
      </w:r>
      <w:r w:rsidRPr="00D20D41">
        <w:rPr>
          <w:spacing w:val="-4"/>
          <w:rtl/>
        </w:rPr>
        <w:t>2019</w:t>
      </w:r>
      <w:r w:rsidRPr="00E00155">
        <w:rPr>
          <w:spacing w:val="-4"/>
          <w:rtl/>
        </w:rPr>
        <w:t>،</w:t>
      </w:r>
      <w:r w:rsidRPr="00664CDC">
        <w:rPr>
          <w:rtl/>
        </w:rPr>
        <w:t xml:space="preserve"> يشير فيه الخبراء إلى أن هارون العزوان الأيوبي يعاني من درجة إعاقة إجمالية تبلغ </w:t>
      </w:r>
      <w:r w:rsidRPr="00D20D41">
        <w:rPr>
          <w:rtl/>
        </w:rPr>
        <w:t>33</w:t>
      </w:r>
      <w:r w:rsidRPr="00664CDC">
        <w:rPr>
          <w:rtl/>
        </w:rPr>
        <w:t xml:space="preserve"> في المائة.</w:t>
      </w:r>
    </w:p>
  </w:footnote>
  <w:footnote w:id="3">
    <w:p w14:paraId="6085376B" w14:textId="5A6D3588"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لم يقدم صاحبا البلاغ أي تفاصيل عن رد السلطات على هذه الطلبات.</w:t>
      </w:r>
    </w:p>
  </w:footnote>
  <w:footnote w:id="4">
    <w:p w14:paraId="19CB45BA" w14:textId="1D32BCC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وترد هذه المعلومات في تقرير صادر عن إدارة الخدمات الاجتماعية التابعة للسلطة الحكومية المحلية في إل </w:t>
      </w:r>
      <w:proofErr w:type="spellStart"/>
      <w:r w:rsidRPr="00664CDC">
        <w:rPr>
          <w:rtl/>
        </w:rPr>
        <w:t>ألامو</w:t>
      </w:r>
      <w:proofErr w:type="spellEnd"/>
      <w:r w:rsidRPr="00664CDC">
        <w:rPr>
          <w:rtl/>
        </w:rPr>
        <w:t xml:space="preserve"> في </w:t>
      </w:r>
      <w:r w:rsidRPr="00D20D41">
        <w:rPr>
          <w:rtl/>
        </w:rPr>
        <w:t>31</w:t>
      </w:r>
      <w:r w:rsidRPr="00664CDC">
        <w:rPr>
          <w:rtl/>
        </w:rPr>
        <w:t xml:space="preserve"> تموز/يوليه </w:t>
      </w:r>
      <w:r w:rsidRPr="00D20D41">
        <w:rPr>
          <w:rtl/>
        </w:rPr>
        <w:t>2018</w:t>
      </w:r>
      <w:r w:rsidRPr="00664CDC">
        <w:rPr>
          <w:rtl/>
        </w:rPr>
        <w:t>.</w:t>
      </w:r>
    </w:p>
  </w:footnote>
  <w:footnote w:id="5">
    <w:p w14:paraId="0DBB3D45" w14:textId="38594E74"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هذا إجراء يَشرع فيه المالك، أو صاحب حق الانتفاع أو أي شخص آخر لديه الحق في شغل العقار، عندما يكون شخص آخر يشغل العقار أو يستخدمه دون دفع الإيجار. لا يملك </w:t>
      </w:r>
      <w:proofErr w:type="spellStart"/>
      <w:r w:rsidRPr="00664CDC">
        <w:rPr>
          <w:rtl/>
        </w:rPr>
        <w:t>المستقطن</w:t>
      </w:r>
      <w:proofErr w:type="spellEnd"/>
      <w:r w:rsidRPr="00664CDC">
        <w:rPr>
          <w:rtl/>
        </w:rPr>
        <w:t xml:space="preserve"> أي اتفاق إشغال قانوني، أو أي اتفاق لاغ وباطل أو انتهت صلاحيته، ولا يدفع الإيجار أو أي بدل آخر. ويتم هذا الإجراء شفويا</w:t>
      </w:r>
      <w:r>
        <w:rPr>
          <w:rFonts w:hint="cs"/>
          <w:rtl/>
        </w:rPr>
        <w:t>ً</w:t>
      </w:r>
      <w:r w:rsidRPr="00664CDC">
        <w:rPr>
          <w:rtl/>
        </w:rPr>
        <w:t xml:space="preserve"> (المادة </w:t>
      </w:r>
      <w:r w:rsidRPr="00D20D41">
        <w:rPr>
          <w:rtl/>
        </w:rPr>
        <w:t>250</w:t>
      </w:r>
      <w:r w:rsidRPr="00664CDC">
        <w:rPr>
          <w:rtl/>
        </w:rPr>
        <w:t>-</w:t>
      </w:r>
      <w:r w:rsidRPr="00D20D41">
        <w:rPr>
          <w:rtl/>
        </w:rPr>
        <w:t>1</w:t>
      </w:r>
      <w:r w:rsidRPr="00664CDC">
        <w:rPr>
          <w:rtl/>
        </w:rPr>
        <w:t>-</w:t>
      </w:r>
      <w:r w:rsidRPr="00D20D41">
        <w:rPr>
          <w:rtl/>
        </w:rPr>
        <w:t>2</w:t>
      </w:r>
      <w:r w:rsidRPr="00664CDC">
        <w:rPr>
          <w:rtl/>
        </w:rPr>
        <w:t xml:space="preserve"> من قانون الإجراءات المدنية).</w:t>
      </w:r>
    </w:p>
  </w:footnote>
  <w:footnote w:id="6">
    <w:p w14:paraId="545AA9CF" w14:textId="641D2C8D"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ويستشهد صاحبا البلاغ بقضية </w:t>
      </w:r>
      <w:r w:rsidRPr="00D20D41">
        <w:rPr>
          <w:i/>
          <w:iCs/>
          <w:rtl/>
        </w:rPr>
        <w:t xml:space="preserve">بن </w:t>
      </w:r>
      <w:proofErr w:type="spellStart"/>
      <w:r w:rsidRPr="00D20D41">
        <w:rPr>
          <w:i/>
          <w:iCs/>
          <w:rtl/>
        </w:rPr>
        <w:t>دجازيا</w:t>
      </w:r>
      <w:proofErr w:type="spellEnd"/>
      <w:r w:rsidRPr="00D20D41">
        <w:rPr>
          <w:i/>
          <w:iCs/>
          <w:rtl/>
        </w:rPr>
        <w:t xml:space="preserve"> وآخرون ضد إسبانيا</w:t>
      </w:r>
      <w:r w:rsidRPr="00664CDC">
        <w:rPr>
          <w:rtl/>
        </w:rPr>
        <w:t xml:space="preserve"> (</w:t>
      </w:r>
      <w:r w:rsidRPr="00664CDC">
        <w:t>E/C.</w:t>
      </w:r>
      <w:r w:rsidRPr="00D20D41">
        <w:t>12</w:t>
      </w:r>
      <w:r w:rsidRPr="00664CDC">
        <w:t>/</w:t>
      </w:r>
      <w:r w:rsidRPr="00D20D41">
        <w:t>61</w:t>
      </w:r>
      <w:r w:rsidRPr="00664CDC">
        <w:t>/D/</w:t>
      </w:r>
      <w:r w:rsidRPr="00D20D41">
        <w:t>5</w:t>
      </w:r>
      <w:r w:rsidRPr="00664CDC">
        <w:t>/</w:t>
      </w:r>
      <w:r w:rsidRPr="00D20D41">
        <w:t>2015</w:t>
      </w:r>
      <w:r w:rsidRPr="00664CDC">
        <w:rPr>
          <w:rtl/>
        </w:rPr>
        <w:t>) وبحكم المحكمة العليا الصادر في</w:t>
      </w:r>
      <w:r w:rsidR="009B30C2">
        <w:rPr>
          <w:rFonts w:hint="cs"/>
          <w:rtl/>
        </w:rPr>
        <w:t> </w:t>
      </w:r>
      <w:r w:rsidRPr="00D20D41">
        <w:rPr>
          <w:rtl/>
        </w:rPr>
        <w:t>23</w:t>
      </w:r>
      <w:r w:rsidRPr="00664CDC">
        <w:rPr>
          <w:rtl/>
        </w:rPr>
        <w:t xml:space="preserve"> تشرين الثاني/نوفمبر </w:t>
      </w:r>
      <w:r w:rsidRPr="00D20D41">
        <w:rPr>
          <w:rtl/>
        </w:rPr>
        <w:t>2017</w:t>
      </w:r>
      <w:r w:rsidRPr="00664CDC">
        <w:rPr>
          <w:rtl/>
        </w:rPr>
        <w:t xml:space="preserve"> بشأن دخول المنازل ومعايير التناسب.</w:t>
      </w:r>
    </w:p>
  </w:footnote>
  <w:footnote w:id="7">
    <w:p w14:paraId="32B75AAC" w14:textId="6198BCD5"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قدم صاحبا البلاغ شهادة طبية صادرة في </w:t>
      </w:r>
      <w:r w:rsidRPr="00D20D41">
        <w:rPr>
          <w:rtl/>
        </w:rPr>
        <w:t>19</w:t>
      </w:r>
      <w:r w:rsidRPr="00664CDC">
        <w:rPr>
          <w:rtl/>
        </w:rPr>
        <w:t xml:space="preserve"> آذار/مارس </w:t>
      </w:r>
      <w:r w:rsidRPr="00D20D41">
        <w:rPr>
          <w:rtl/>
        </w:rPr>
        <w:t>2019</w:t>
      </w:r>
      <w:r w:rsidRPr="00664CDC">
        <w:rPr>
          <w:rtl/>
        </w:rPr>
        <w:t xml:space="preserve"> تؤكد حمل السيدة الأيوبي.</w:t>
      </w:r>
    </w:p>
  </w:footnote>
  <w:footnote w:id="8">
    <w:p w14:paraId="4A9CC9AE" w14:textId="7065471A"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تحدد المادة </w:t>
      </w:r>
      <w:r w:rsidRPr="00D20D41">
        <w:rPr>
          <w:rtl/>
        </w:rPr>
        <w:t>15</w:t>
      </w:r>
      <w:r w:rsidRPr="00664CDC">
        <w:rPr>
          <w:rtl/>
        </w:rPr>
        <w:t>-</w:t>
      </w:r>
      <w:r w:rsidRPr="00D20D41">
        <w:rPr>
          <w:rtl/>
        </w:rPr>
        <w:t>4</w:t>
      </w:r>
      <w:r w:rsidRPr="00664CDC">
        <w:rPr>
          <w:rtl/>
        </w:rPr>
        <w:t xml:space="preserve"> من المرسوم، التي تنظم تخصيص الإسكان من قبل هيئة الإسكان في مدريد، فترة أقصاها </w:t>
      </w:r>
      <w:r w:rsidRPr="00D20D41">
        <w:rPr>
          <w:rtl/>
        </w:rPr>
        <w:t>10</w:t>
      </w:r>
      <w:r w:rsidRPr="00664CDC">
        <w:rPr>
          <w:rtl/>
        </w:rPr>
        <w:t xml:space="preserve"> أيام لتصحيح و/أو استكمال طلب السكن. فإذا انتهت المهلة قبل تقديم المستندات المطلوبة، يُغلق الطلب.</w:t>
      </w:r>
    </w:p>
  </w:footnote>
  <w:footnote w:id="9">
    <w:p w14:paraId="40BE7A3C" w14:textId="01A3EEEA"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قدم صاحبا البلاغ تقرير</w:t>
      </w:r>
      <w:r w:rsidR="00FD03FB">
        <w:rPr>
          <w:rtl/>
        </w:rPr>
        <w:t xml:space="preserve">اً </w:t>
      </w:r>
      <w:r w:rsidRPr="00664CDC">
        <w:rPr>
          <w:rtl/>
        </w:rPr>
        <w:t>مؤرخ</w:t>
      </w:r>
      <w:r w:rsidR="00FD03FB">
        <w:rPr>
          <w:rtl/>
        </w:rPr>
        <w:t xml:space="preserve">اً </w:t>
      </w:r>
      <w:r w:rsidRPr="00D20D41">
        <w:rPr>
          <w:rtl/>
        </w:rPr>
        <w:t>22</w:t>
      </w:r>
      <w:r w:rsidRPr="00664CDC">
        <w:rPr>
          <w:rtl/>
        </w:rPr>
        <w:t xml:space="preserve"> أيار/مايو </w:t>
      </w:r>
      <w:r w:rsidRPr="00D20D41">
        <w:rPr>
          <w:rtl/>
        </w:rPr>
        <w:t>2019</w:t>
      </w:r>
      <w:r w:rsidRPr="00664CDC">
        <w:rPr>
          <w:rtl/>
        </w:rPr>
        <w:t xml:space="preserve"> يؤكد ذلك، وهو تقرير صادر عن إدارة الخدمات الاجتماعية في سلطة الحكومة المحلية في إل </w:t>
      </w:r>
      <w:proofErr w:type="spellStart"/>
      <w:r w:rsidRPr="00664CDC">
        <w:rPr>
          <w:rtl/>
        </w:rPr>
        <w:t>ألامو</w:t>
      </w:r>
      <w:proofErr w:type="spellEnd"/>
      <w:r w:rsidRPr="00664CDC">
        <w:rPr>
          <w:rtl/>
        </w:rPr>
        <w:t>. ووفق</w:t>
      </w:r>
      <w:r w:rsidR="00FD03FB">
        <w:rPr>
          <w:rtl/>
        </w:rPr>
        <w:t xml:space="preserve">اً </w:t>
      </w:r>
      <w:r w:rsidRPr="00664CDC">
        <w:rPr>
          <w:rtl/>
        </w:rPr>
        <w:t>للمادة (</w:t>
      </w:r>
      <w:r w:rsidRPr="00D20D41">
        <w:rPr>
          <w:rtl/>
        </w:rPr>
        <w:t>7</w:t>
      </w:r>
      <w:r w:rsidRPr="00664CDC">
        <w:rPr>
          <w:rtl/>
        </w:rPr>
        <w:t>) (</w:t>
      </w:r>
      <w:r w:rsidRPr="00D20D41">
        <w:rPr>
          <w:rtl/>
        </w:rPr>
        <w:t>1</w:t>
      </w:r>
      <w:r w:rsidRPr="00664CDC">
        <w:rPr>
          <w:rtl/>
        </w:rPr>
        <w:t xml:space="preserve">) (و) من المرسوم رقم </w:t>
      </w:r>
      <w:r w:rsidRPr="00D20D41">
        <w:rPr>
          <w:rtl/>
        </w:rPr>
        <w:t>19</w:t>
      </w:r>
      <w:r>
        <w:rPr>
          <w:rFonts w:hint="cs"/>
          <w:rtl/>
        </w:rPr>
        <w:t>/</w:t>
      </w:r>
      <w:r w:rsidRPr="00D20D41">
        <w:rPr>
          <w:rtl/>
        </w:rPr>
        <w:t>2006</w:t>
      </w:r>
      <w:r w:rsidRPr="00664CDC">
        <w:rPr>
          <w:rtl/>
        </w:rPr>
        <w:t>، فإن أحد الشروط الأساسية لتقديم طلبات السكن هو "عدم شغل مسكن أو عقار دون حق قانوني كاف للقيام بذلك. فشغل عقار من دون حق قانوني يجعل أي طلب إسكان غير مقبول لمدة سنتين اعتبار</w:t>
      </w:r>
      <w:r w:rsidR="00FD03FB">
        <w:rPr>
          <w:rtl/>
        </w:rPr>
        <w:t xml:space="preserve">اً </w:t>
      </w:r>
      <w:r w:rsidRPr="00664CDC">
        <w:rPr>
          <w:rtl/>
        </w:rPr>
        <w:t>من تاريخ الإخلاء، ما لم يقدم دليل مثبت على النحو الواجب على إخلاء العقار طوعا</w:t>
      </w:r>
      <w:r>
        <w:rPr>
          <w:rFonts w:hint="cs"/>
          <w:rtl/>
        </w:rPr>
        <w:t>ً</w:t>
      </w:r>
      <w:r w:rsidRPr="00664CDC">
        <w:rPr>
          <w:rtl/>
        </w:rPr>
        <w:t>".</w:t>
      </w:r>
    </w:p>
  </w:footnote>
  <w:footnote w:id="10">
    <w:p w14:paraId="5CC2A898" w14:textId="34AC87FD"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المرجع نفسه</w:t>
      </w:r>
      <w:r>
        <w:rPr>
          <w:rFonts w:hint="cs"/>
          <w:rtl/>
        </w:rPr>
        <w:t>.</w:t>
      </w:r>
    </w:p>
  </w:footnote>
  <w:footnote w:id="11">
    <w:p w14:paraId="2129DA49" w14:textId="430CD25C"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تشير إلى المواد </w:t>
      </w:r>
      <w:r w:rsidRPr="00D20D41">
        <w:rPr>
          <w:rtl/>
        </w:rPr>
        <w:t>148</w:t>
      </w:r>
      <w:r w:rsidRPr="00664CDC">
        <w:rPr>
          <w:rtl/>
        </w:rPr>
        <w:t>-</w:t>
      </w:r>
      <w:r w:rsidRPr="00D20D41">
        <w:rPr>
          <w:rtl/>
        </w:rPr>
        <w:t>1</w:t>
      </w:r>
      <w:r w:rsidRPr="00664CDC">
        <w:rPr>
          <w:rtl/>
        </w:rPr>
        <w:t xml:space="preserve"> و</w:t>
      </w:r>
      <w:r w:rsidRPr="00D20D41">
        <w:rPr>
          <w:rtl/>
        </w:rPr>
        <w:t>148</w:t>
      </w:r>
      <w:r w:rsidRPr="00664CDC">
        <w:rPr>
          <w:rtl/>
        </w:rPr>
        <w:t>-</w:t>
      </w:r>
      <w:r w:rsidRPr="00D20D41">
        <w:rPr>
          <w:rtl/>
        </w:rPr>
        <w:t>3</w:t>
      </w:r>
      <w:r w:rsidRPr="00664CDC">
        <w:rPr>
          <w:rtl/>
        </w:rPr>
        <w:t xml:space="preserve"> و</w:t>
      </w:r>
      <w:r w:rsidRPr="00D20D41">
        <w:rPr>
          <w:rtl/>
        </w:rPr>
        <w:t>148</w:t>
      </w:r>
      <w:r w:rsidRPr="00664CDC">
        <w:rPr>
          <w:rtl/>
        </w:rPr>
        <w:t>-</w:t>
      </w:r>
      <w:r w:rsidRPr="00D20D41">
        <w:rPr>
          <w:rtl/>
        </w:rPr>
        <w:t>20</w:t>
      </w:r>
      <w:r w:rsidRPr="00664CDC">
        <w:rPr>
          <w:rtl/>
        </w:rPr>
        <w:t xml:space="preserve"> من الدستور.</w:t>
      </w:r>
    </w:p>
  </w:footnote>
  <w:footnote w:id="12">
    <w:p w14:paraId="716F642C" w14:textId="748AC5F9"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تشير الدولة الطرف إلى المادة </w:t>
      </w:r>
      <w:r w:rsidRPr="00D20D41">
        <w:rPr>
          <w:rtl/>
        </w:rPr>
        <w:t>144</w:t>
      </w:r>
      <w:r w:rsidRPr="00664CDC">
        <w:rPr>
          <w:rtl/>
        </w:rPr>
        <w:t xml:space="preserve"> المتعلقة بإنهاء الإجراءات الإدارية من القانون رقم </w:t>
      </w:r>
      <w:r w:rsidRPr="00D20D41">
        <w:rPr>
          <w:rtl/>
        </w:rPr>
        <w:t>39</w:t>
      </w:r>
      <w:r w:rsidRPr="00664CDC">
        <w:rPr>
          <w:rtl/>
        </w:rPr>
        <w:t>/</w:t>
      </w:r>
      <w:r w:rsidRPr="00D20D41">
        <w:rPr>
          <w:rtl/>
        </w:rPr>
        <w:t>2015</w:t>
      </w:r>
      <w:r w:rsidRPr="00664CDC">
        <w:rPr>
          <w:rtl/>
        </w:rPr>
        <w:t xml:space="preserve"> بشأن الإجراءات الإدارية المشتركة للإدارات العامة.</w:t>
      </w:r>
    </w:p>
  </w:footnote>
  <w:footnote w:id="13">
    <w:p w14:paraId="72546CC3" w14:textId="7DBCF574"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المادة </w:t>
      </w:r>
      <w:r w:rsidRPr="00D20D41">
        <w:rPr>
          <w:rtl/>
        </w:rPr>
        <w:t>117</w:t>
      </w:r>
      <w:r w:rsidRPr="00664CDC">
        <w:rPr>
          <w:rtl/>
        </w:rPr>
        <w:t xml:space="preserve"> من القانون نفسه، بشأن وقف تنفيذ أمر إداري مطعون فيه.</w:t>
      </w:r>
    </w:p>
  </w:footnote>
  <w:footnote w:id="14">
    <w:p w14:paraId="3539840F" w14:textId="76427A6F"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المادة </w:t>
      </w:r>
      <w:r w:rsidRPr="00D20D41">
        <w:rPr>
          <w:rtl/>
        </w:rPr>
        <w:t>129</w:t>
      </w:r>
      <w:r w:rsidRPr="00664CDC">
        <w:rPr>
          <w:rtl/>
        </w:rPr>
        <w:t xml:space="preserve"> وما بعدها، بشأن التدابير الوقائية، من القانون رقم </w:t>
      </w:r>
      <w:r w:rsidR="00087A06" w:rsidRPr="00D20D41">
        <w:rPr>
          <w:rtl/>
        </w:rPr>
        <w:t>29</w:t>
      </w:r>
      <w:r w:rsidR="00087A06" w:rsidRPr="00664CDC">
        <w:rPr>
          <w:rtl/>
        </w:rPr>
        <w:t>/</w:t>
      </w:r>
      <w:r w:rsidR="00087A06" w:rsidRPr="00D20D41">
        <w:rPr>
          <w:rtl/>
        </w:rPr>
        <w:t>1988</w:t>
      </w:r>
      <w:r w:rsidRPr="00664CDC">
        <w:rPr>
          <w:rtl/>
        </w:rPr>
        <w:t>، الذي ينظم الولاية الإدارية.</w:t>
      </w:r>
    </w:p>
  </w:footnote>
  <w:footnote w:id="15">
    <w:p w14:paraId="78F87662" w14:textId="53CCA576"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الفقرة </w:t>
      </w:r>
      <w:r w:rsidRPr="00D20D41">
        <w:rPr>
          <w:rtl/>
        </w:rPr>
        <w:t>11</w:t>
      </w:r>
      <w:r w:rsidRPr="00664CDC">
        <w:rPr>
          <w:rtl/>
        </w:rPr>
        <w:t>.</w:t>
      </w:r>
    </w:p>
  </w:footnote>
  <w:footnote w:id="16">
    <w:p w14:paraId="65B3986E" w14:textId="7509BEB7"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يشير صاحبا البلاغ إلى تقارير الخدمات الاجتماعية المذكورة أعلاه ويقدمان تقرير</w:t>
      </w:r>
      <w:r w:rsidR="00FD03FB">
        <w:rPr>
          <w:rtl/>
        </w:rPr>
        <w:t xml:space="preserve">اً </w:t>
      </w:r>
      <w:r w:rsidRPr="00664CDC">
        <w:rPr>
          <w:rtl/>
        </w:rPr>
        <w:t>مؤرخ</w:t>
      </w:r>
      <w:r w:rsidR="00FD03FB">
        <w:rPr>
          <w:rtl/>
        </w:rPr>
        <w:t xml:space="preserve">اً </w:t>
      </w:r>
      <w:r w:rsidRPr="00D20D41">
        <w:rPr>
          <w:rtl/>
        </w:rPr>
        <w:t>16</w:t>
      </w:r>
      <w:r w:rsidRPr="00664CDC">
        <w:rPr>
          <w:rtl/>
        </w:rPr>
        <w:t xml:space="preserve"> تشرين الأول/أكتوبر </w:t>
      </w:r>
      <w:r w:rsidRPr="00D20D41">
        <w:rPr>
          <w:rtl/>
        </w:rPr>
        <w:t>2019</w:t>
      </w:r>
      <w:r w:rsidRPr="00664CDC">
        <w:rPr>
          <w:rtl/>
        </w:rPr>
        <w:t>، يؤكد مجدد</w:t>
      </w:r>
      <w:r w:rsidR="00FD03FB">
        <w:rPr>
          <w:rtl/>
        </w:rPr>
        <w:t xml:space="preserve">اً </w:t>
      </w:r>
      <w:r w:rsidRPr="00664CDC">
        <w:rPr>
          <w:rtl/>
        </w:rPr>
        <w:t>أنهما أظهرا اهتمام</w:t>
      </w:r>
      <w:r w:rsidR="00FD03FB">
        <w:rPr>
          <w:rtl/>
        </w:rPr>
        <w:t xml:space="preserve">اً </w:t>
      </w:r>
      <w:r w:rsidRPr="00664CDC">
        <w:rPr>
          <w:rtl/>
        </w:rPr>
        <w:t xml:space="preserve">بإيجاد سكن بديل منذ تقديم طلبهما للحصول على سكن اجتماعي في شباط/فبراير </w:t>
      </w:r>
      <w:r w:rsidRPr="00D20D41">
        <w:rPr>
          <w:rtl/>
        </w:rPr>
        <w:t>2017</w:t>
      </w:r>
      <w:r w:rsidRPr="00664CDC">
        <w:rPr>
          <w:rtl/>
        </w:rPr>
        <w:t xml:space="preserve">، وهو طلب أغلق في عام </w:t>
      </w:r>
      <w:r w:rsidRPr="00D20D41">
        <w:rPr>
          <w:rtl/>
        </w:rPr>
        <w:t>2019</w:t>
      </w:r>
      <w:r w:rsidRPr="00664CDC">
        <w:rPr>
          <w:rtl/>
        </w:rPr>
        <w:t xml:space="preserve"> لأنهما لم يتمكنا من تقديم الوثائق المطلوبة، بسبب سكنهما الحالي.</w:t>
      </w:r>
    </w:p>
  </w:footnote>
  <w:footnote w:id="17">
    <w:p w14:paraId="2C4C994F" w14:textId="6D647717"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التعليق العام رقم </w:t>
      </w:r>
      <w:r w:rsidRPr="00D20D41">
        <w:rPr>
          <w:rtl/>
        </w:rPr>
        <w:t>4</w:t>
      </w:r>
      <w:r w:rsidRPr="00664CDC">
        <w:rPr>
          <w:rtl/>
        </w:rPr>
        <w:t>(</w:t>
      </w:r>
      <w:r w:rsidRPr="00D20D41">
        <w:rPr>
          <w:rtl/>
        </w:rPr>
        <w:t>1991</w:t>
      </w:r>
      <w:r w:rsidRPr="00664CDC">
        <w:rPr>
          <w:rtl/>
        </w:rPr>
        <w:t xml:space="preserve">)، الفقرة </w:t>
      </w:r>
      <w:r w:rsidRPr="00D20D41">
        <w:rPr>
          <w:rtl/>
        </w:rPr>
        <w:t>1</w:t>
      </w:r>
      <w:r w:rsidRPr="00664CDC">
        <w:rPr>
          <w:rtl/>
        </w:rPr>
        <w:t>.</w:t>
      </w:r>
    </w:p>
  </w:footnote>
  <w:footnote w:id="18">
    <w:p w14:paraId="587661D5" w14:textId="71FD882B"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المرجع نفسه، الفقرتان </w:t>
      </w:r>
      <w:r w:rsidRPr="00D20D41">
        <w:rPr>
          <w:rtl/>
        </w:rPr>
        <w:t>7</w:t>
      </w:r>
      <w:r>
        <w:rPr>
          <w:rtl/>
        </w:rPr>
        <w:t xml:space="preserve"> و</w:t>
      </w:r>
      <w:r w:rsidRPr="00D20D41">
        <w:rPr>
          <w:rtl/>
        </w:rPr>
        <w:t>9</w:t>
      </w:r>
      <w:r w:rsidRPr="00664CDC">
        <w:rPr>
          <w:rtl/>
        </w:rPr>
        <w:t>.</w:t>
      </w:r>
    </w:p>
  </w:footnote>
  <w:footnote w:id="19">
    <w:p w14:paraId="54450DD9" w14:textId="60E44169"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المرجع نفسه، الفقرة </w:t>
      </w:r>
      <w:r w:rsidRPr="00D20D41">
        <w:rPr>
          <w:rtl/>
        </w:rPr>
        <w:t>7</w:t>
      </w:r>
      <w:r w:rsidRPr="00664CDC">
        <w:rPr>
          <w:rtl/>
        </w:rPr>
        <w:t>.</w:t>
      </w:r>
    </w:p>
  </w:footnote>
  <w:footnote w:id="20">
    <w:p w14:paraId="2EC550F6" w14:textId="5EC4A40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المرجع نفسه، الفقرة </w:t>
      </w:r>
      <w:r w:rsidRPr="00D20D41">
        <w:rPr>
          <w:rFonts w:hint="cs"/>
          <w:rtl/>
        </w:rPr>
        <w:t>12</w:t>
      </w:r>
      <w:r w:rsidRPr="00664CDC">
        <w:rPr>
          <w:rtl/>
        </w:rPr>
        <w:t>.</w:t>
      </w:r>
    </w:p>
  </w:footnote>
  <w:footnote w:id="21">
    <w:p w14:paraId="53701307" w14:textId="0FB5751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664CDC">
        <w:rPr>
          <w:rtl/>
        </w:rPr>
        <w:t xml:space="preserve">المرجع نفسه، الفقرة </w:t>
      </w:r>
      <w:r w:rsidRPr="00D20D41">
        <w:rPr>
          <w:rtl/>
        </w:rPr>
        <w:t>18</w:t>
      </w:r>
      <w:r w:rsidRPr="00664CDC">
        <w:rPr>
          <w:rtl/>
        </w:rPr>
        <w:t xml:space="preserve"> والتعليق العام رقم </w:t>
      </w:r>
      <w:r w:rsidRPr="00D20D41">
        <w:rPr>
          <w:rtl/>
        </w:rPr>
        <w:t>7</w:t>
      </w:r>
      <w:r w:rsidRPr="00664CDC">
        <w:rPr>
          <w:rtl/>
        </w:rPr>
        <w:t xml:space="preserve">، الفقرة </w:t>
      </w:r>
      <w:r w:rsidRPr="00D20D41">
        <w:rPr>
          <w:rtl/>
        </w:rPr>
        <w:t>1</w:t>
      </w:r>
      <w:r w:rsidRPr="00664CDC">
        <w:rPr>
          <w:rtl/>
        </w:rPr>
        <w:t>.</w:t>
      </w:r>
    </w:p>
  </w:footnote>
  <w:footnote w:id="22">
    <w:p w14:paraId="5D178A83" w14:textId="0850B835"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D20D41">
        <w:rPr>
          <w:i/>
          <w:iCs/>
          <w:rtl/>
        </w:rPr>
        <w:t>بن جازية وآخرون ضد إسبانيا</w:t>
      </w:r>
      <w:r w:rsidRPr="008A1FDF">
        <w:rPr>
          <w:rtl/>
        </w:rPr>
        <w:t xml:space="preserve">، الفقرة </w:t>
      </w:r>
      <w:r w:rsidRPr="00D20D41">
        <w:rPr>
          <w:rtl/>
        </w:rPr>
        <w:t>13</w:t>
      </w:r>
      <w:r w:rsidRPr="008A1FDF">
        <w:rPr>
          <w:rtl/>
        </w:rPr>
        <w:t>-</w:t>
      </w:r>
      <w:r w:rsidRPr="00D20D41">
        <w:rPr>
          <w:rtl/>
        </w:rPr>
        <w:t>4</w:t>
      </w:r>
      <w:r w:rsidRPr="008A1FDF">
        <w:rPr>
          <w:rtl/>
        </w:rPr>
        <w:t>.</w:t>
      </w:r>
    </w:p>
  </w:footnote>
  <w:footnote w:id="23">
    <w:p w14:paraId="4B2BCB89" w14:textId="1895E9FD"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D20D41">
        <w:rPr>
          <w:i/>
          <w:iCs/>
          <w:rtl/>
        </w:rPr>
        <w:t>غوميز - ليمون باردو ضد إسبانيا</w:t>
      </w:r>
      <w:r w:rsidRPr="008A1FDF">
        <w:rPr>
          <w:rtl/>
        </w:rPr>
        <w:t xml:space="preserve"> (</w:t>
      </w:r>
      <w:r w:rsidRPr="008A1FDF">
        <w:t>E/C.</w:t>
      </w:r>
      <w:r w:rsidRPr="00D20D41">
        <w:t>12</w:t>
      </w:r>
      <w:r w:rsidRPr="008A1FDF">
        <w:t>/</w:t>
      </w:r>
      <w:r w:rsidRPr="00D20D41">
        <w:t>67</w:t>
      </w:r>
      <w:r w:rsidRPr="008A1FDF">
        <w:t>/D/</w:t>
      </w:r>
      <w:r w:rsidRPr="00D20D41">
        <w:t>52</w:t>
      </w:r>
      <w:r w:rsidRPr="008A1FDF">
        <w:t>/</w:t>
      </w:r>
      <w:r w:rsidRPr="00D20D41">
        <w:t>2018</w:t>
      </w:r>
      <w:r w:rsidRPr="008A1FDF">
        <w:rPr>
          <w:rtl/>
        </w:rPr>
        <w:t xml:space="preserve">)، الفقرة </w:t>
      </w:r>
      <w:r w:rsidRPr="00D20D41">
        <w:rPr>
          <w:rtl/>
        </w:rPr>
        <w:t>9</w:t>
      </w:r>
      <w:r w:rsidRPr="008A1FDF">
        <w:rPr>
          <w:rtl/>
        </w:rPr>
        <w:t>-</w:t>
      </w:r>
      <w:r w:rsidRPr="00D20D41">
        <w:rPr>
          <w:rtl/>
        </w:rPr>
        <w:t>4</w:t>
      </w:r>
      <w:r w:rsidRPr="008A1FDF">
        <w:rPr>
          <w:rtl/>
        </w:rPr>
        <w:t>.</w:t>
      </w:r>
    </w:p>
  </w:footnote>
  <w:footnote w:id="24">
    <w:p w14:paraId="2EAC00B9" w14:textId="56BDD240"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proofErr w:type="spellStart"/>
      <w:r w:rsidRPr="00D20D41">
        <w:rPr>
          <w:i/>
          <w:iCs/>
          <w:rtl/>
        </w:rPr>
        <w:t>لوبيس</w:t>
      </w:r>
      <w:proofErr w:type="spellEnd"/>
      <w:r w:rsidRPr="00D20D41">
        <w:rPr>
          <w:i/>
          <w:iCs/>
          <w:rtl/>
        </w:rPr>
        <w:t xml:space="preserve"> ألبان ضد إسبانيا</w:t>
      </w:r>
      <w:r w:rsidRPr="008A1FDF">
        <w:rPr>
          <w:rtl/>
        </w:rPr>
        <w:t xml:space="preserve"> (</w:t>
      </w:r>
      <w:r w:rsidRPr="008A1FDF">
        <w:t>E/C.</w:t>
      </w:r>
      <w:r w:rsidRPr="00D20D41">
        <w:t>12</w:t>
      </w:r>
      <w:r w:rsidRPr="008A1FDF">
        <w:t>/</w:t>
      </w:r>
      <w:r w:rsidRPr="00D20D41">
        <w:t>66</w:t>
      </w:r>
      <w:r w:rsidRPr="008A1FDF">
        <w:t>/D/</w:t>
      </w:r>
      <w:r w:rsidRPr="00D20D41">
        <w:t>37</w:t>
      </w:r>
      <w:r w:rsidRPr="008A1FDF">
        <w:t>/</w:t>
      </w:r>
      <w:r w:rsidRPr="00D20D41">
        <w:t>2018</w:t>
      </w:r>
      <w:r w:rsidRPr="008A1FDF">
        <w:rPr>
          <w:rtl/>
        </w:rPr>
        <w:t xml:space="preserve">)، الفقرة </w:t>
      </w:r>
      <w:r w:rsidRPr="00D20D41">
        <w:rPr>
          <w:rtl/>
        </w:rPr>
        <w:t>11</w:t>
      </w:r>
      <w:r w:rsidRPr="008A1FDF">
        <w:rPr>
          <w:rtl/>
        </w:rPr>
        <w:t>-</w:t>
      </w:r>
      <w:r w:rsidRPr="00D20D41">
        <w:rPr>
          <w:rtl/>
        </w:rPr>
        <w:t>5</w:t>
      </w:r>
      <w:r w:rsidRPr="008A1FDF">
        <w:rPr>
          <w:rtl/>
        </w:rPr>
        <w:t>.</w:t>
      </w:r>
    </w:p>
  </w:footnote>
  <w:footnote w:id="25">
    <w:p w14:paraId="2DBF5B09" w14:textId="0CA6B71B"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المرجع نفسه، الفقرة </w:t>
      </w:r>
      <w:r w:rsidRPr="00D20D41">
        <w:rPr>
          <w:rtl/>
        </w:rPr>
        <w:t>11</w:t>
      </w:r>
      <w:r w:rsidRPr="008A1FDF">
        <w:rPr>
          <w:rtl/>
        </w:rPr>
        <w:t>.</w:t>
      </w:r>
    </w:p>
  </w:footnote>
  <w:footnote w:id="26">
    <w:p w14:paraId="2E35D090" w14:textId="39E801C7"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المرجع نفسه</w:t>
      </w:r>
      <w:r>
        <w:rPr>
          <w:rFonts w:hint="cs"/>
          <w:rtl/>
        </w:rPr>
        <w:t>.</w:t>
      </w:r>
    </w:p>
  </w:footnote>
  <w:footnote w:id="27">
    <w:p w14:paraId="591535F6" w14:textId="2E8A9CA8"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المرجع نفسه، الفقرة </w:t>
      </w:r>
      <w:r w:rsidRPr="00D20D41">
        <w:rPr>
          <w:rtl/>
        </w:rPr>
        <w:t>151</w:t>
      </w:r>
      <w:r w:rsidRPr="008A1FDF">
        <w:rPr>
          <w:rtl/>
        </w:rPr>
        <w:t>.</w:t>
      </w:r>
    </w:p>
  </w:footnote>
  <w:footnote w:id="28">
    <w:p w14:paraId="32EAD1CA" w14:textId="75B80A72"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التعليق العام رقم </w:t>
      </w:r>
      <w:r w:rsidRPr="00D20D41">
        <w:rPr>
          <w:rtl/>
        </w:rPr>
        <w:t>7</w:t>
      </w:r>
      <w:r w:rsidRPr="008A1FDF">
        <w:rPr>
          <w:rtl/>
        </w:rPr>
        <w:t xml:space="preserve">، الفقرة </w:t>
      </w:r>
      <w:r w:rsidRPr="00D20D41">
        <w:rPr>
          <w:rtl/>
        </w:rPr>
        <w:t>16</w:t>
      </w:r>
      <w:r w:rsidRPr="008A1FDF">
        <w:rPr>
          <w:rtl/>
        </w:rPr>
        <w:t>.</w:t>
      </w:r>
    </w:p>
  </w:footnote>
  <w:footnote w:id="29">
    <w:p w14:paraId="4546196F" w14:textId="0481C391"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D20D41">
        <w:rPr>
          <w:i/>
          <w:iCs/>
          <w:rtl/>
        </w:rPr>
        <w:t>بن جازية وآخرون ضد إسبانيا</w:t>
      </w:r>
      <w:r w:rsidRPr="008A1FDF">
        <w:rPr>
          <w:rtl/>
        </w:rPr>
        <w:t xml:space="preserve">، الفقرة </w:t>
      </w:r>
      <w:r w:rsidRPr="00D20D41">
        <w:rPr>
          <w:rtl/>
        </w:rPr>
        <w:t>15</w:t>
      </w:r>
      <w:r w:rsidRPr="008A1FDF">
        <w:rPr>
          <w:rtl/>
        </w:rPr>
        <w:t>.</w:t>
      </w:r>
      <w:r w:rsidRPr="00D20D41">
        <w:rPr>
          <w:rtl/>
        </w:rPr>
        <w:t>2</w:t>
      </w:r>
      <w:r w:rsidRPr="008A1FDF">
        <w:rPr>
          <w:rtl/>
        </w:rPr>
        <w:t>.</w:t>
      </w:r>
    </w:p>
  </w:footnote>
  <w:footnote w:id="30">
    <w:p w14:paraId="5A26389B" w14:textId="333B9B49"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المرجع نفسه، الفقرة </w:t>
      </w:r>
      <w:r w:rsidRPr="00D20D41">
        <w:rPr>
          <w:rtl/>
        </w:rPr>
        <w:t>155</w:t>
      </w:r>
      <w:r w:rsidRPr="008A1FDF">
        <w:rPr>
          <w:rtl/>
        </w:rPr>
        <w:t>. انظر أيضاً بيان اللجنة بشأن تقييم الالتزام باتخاذ خطوات "إلى أقصى حدود مواردها المتاحة" بموجب بروتوكول اختياري للعهد (</w:t>
      </w:r>
      <w:r w:rsidRPr="008A1FDF">
        <w:t>E/C.</w:t>
      </w:r>
      <w:r w:rsidRPr="00D20D41">
        <w:t>12</w:t>
      </w:r>
      <w:r w:rsidRPr="008A1FDF">
        <w:t>/</w:t>
      </w:r>
      <w:r w:rsidRPr="00D20D41">
        <w:t>2007</w:t>
      </w:r>
      <w:r w:rsidRPr="008A1FDF">
        <w:t>/</w:t>
      </w:r>
      <w:r w:rsidRPr="00D20D41">
        <w:t>1</w:t>
      </w:r>
      <w:r w:rsidRPr="008A1FDF">
        <w:rPr>
          <w:rtl/>
        </w:rPr>
        <w:t>).</w:t>
      </w:r>
    </w:p>
  </w:footnote>
  <w:footnote w:id="31">
    <w:p w14:paraId="1B0D2E82" w14:textId="1D9EE5DD"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التعليق العام رقم </w:t>
      </w:r>
      <w:r w:rsidRPr="00D20D41">
        <w:rPr>
          <w:rtl/>
        </w:rPr>
        <w:t>4</w:t>
      </w:r>
      <w:r w:rsidRPr="008A1FDF">
        <w:rPr>
          <w:rtl/>
        </w:rPr>
        <w:t xml:space="preserve">، الفقرة </w:t>
      </w:r>
      <w:r w:rsidRPr="00D20D41">
        <w:rPr>
          <w:rtl/>
        </w:rPr>
        <w:t>8</w:t>
      </w:r>
      <w:r w:rsidRPr="008A1FDF">
        <w:rPr>
          <w:rtl/>
        </w:rPr>
        <w:t xml:space="preserve">(ج). انظر أيضاً الفقرة </w:t>
      </w:r>
      <w:r w:rsidRPr="00D20D41">
        <w:rPr>
          <w:rtl/>
        </w:rPr>
        <w:t>13</w:t>
      </w:r>
      <w:r w:rsidRPr="008A1FDF">
        <w:rPr>
          <w:rtl/>
        </w:rPr>
        <w:t>.</w:t>
      </w:r>
    </w:p>
  </w:footnote>
  <w:footnote w:id="32">
    <w:p w14:paraId="71CEDE11" w14:textId="73E52214"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التعليق العام رقم </w:t>
      </w:r>
      <w:r w:rsidRPr="00D20D41">
        <w:rPr>
          <w:rtl/>
        </w:rPr>
        <w:t>3</w:t>
      </w:r>
      <w:r w:rsidRPr="008A1FDF">
        <w:rPr>
          <w:rtl/>
        </w:rPr>
        <w:t>(</w:t>
      </w:r>
      <w:r w:rsidRPr="00D20D41">
        <w:rPr>
          <w:rtl/>
        </w:rPr>
        <w:t>1990</w:t>
      </w:r>
      <w:r w:rsidRPr="008A1FDF">
        <w:rPr>
          <w:rtl/>
        </w:rPr>
        <w:t xml:space="preserve">)، الفقرة </w:t>
      </w:r>
      <w:r w:rsidRPr="00D20D41">
        <w:rPr>
          <w:rtl/>
        </w:rPr>
        <w:t>2</w:t>
      </w:r>
      <w:r w:rsidRPr="008A1FDF">
        <w:rPr>
          <w:rtl/>
        </w:rPr>
        <w:t xml:space="preserve">. انظر أيضاً الرسالة المؤرخة </w:t>
      </w:r>
      <w:r w:rsidRPr="00D20D41">
        <w:rPr>
          <w:rtl/>
        </w:rPr>
        <w:t>16</w:t>
      </w:r>
      <w:r w:rsidRPr="008A1FDF">
        <w:rPr>
          <w:rtl/>
        </w:rPr>
        <w:t xml:space="preserve"> أيار/مايو </w:t>
      </w:r>
      <w:r w:rsidRPr="00D20D41">
        <w:rPr>
          <w:rtl/>
        </w:rPr>
        <w:t>2012</w:t>
      </w:r>
      <w:r w:rsidRPr="008A1FDF">
        <w:rPr>
          <w:rtl/>
        </w:rPr>
        <w:t xml:space="preserve"> الموجهة من رئيس اللجنة إلى الدول الأطراف في العهد.</w:t>
      </w:r>
    </w:p>
  </w:footnote>
  <w:footnote w:id="33">
    <w:p w14:paraId="65F03627" w14:textId="5524A71B"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انظر، على سبيل المثال، تقرير المقررة الخاصة المعنية بالسكن اللائق كعنصر من عناصر الحق في مستوى معيشي مناسب وبالحق في عدم التمييز في هذا السياق لعام </w:t>
      </w:r>
      <w:r w:rsidRPr="00D20D41">
        <w:rPr>
          <w:rtl/>
        </w:rPr>
        <w:t>2015</w:t>
      </w:r>
      <w:r w:rsidRPr="008A1FDF">
        <w:rPr>
          <w:rtl/>
        </w:rPr>
        <w:t xml:space="preserve"> (</w:t>
      </w:r>
      <w:r w:rsidRPr="008A1FDF">
        <w:t>A/HRC/</w:t>
      </w:r>
      <w:r w:rsidRPr="00D20D41">
        <w:t>31</w:t>
      </w:r>
      <w:r w:rsidRPr="008A1FDF">
        <w:t>/</w:t>
      </w:r>
      <w:r w:rsidRPr="00D20D41">
        <w:t>54</w:t>
      </w:r>
      <w:r w:rsidRPr="008A1FDF">
        <w:rPr>
          <w:rtl/>
        </w:rPr>
        <w:t xml:space="preserve">، الفقرات </w:t>
      </w:r>
      <w:r w:rsidRPr="00D20D41">
        <w:rPr>
          <w:rtl/>
        </w:rPr>
        <w:t>28</w:t>
      </w:r>
      <w:r w:rsidRPr="008A1FDF">
        <w:rPr>
          <w:rtl/>
        </w:rPr>
        <w:t>-</w:t>
      </w:r>
      <w:r w:rsidRPr="00D20D41">
        <w:rPr>
          <w:rtl/>
        </w:rPr>
        <w:t>38</w:t>
      </w:r>
      <w:r w:rsidRPr="008A1FDF">
        <w:rPr>
          <w:rtl/>
        </w:rPr>
        <w:t>).</w:t>
      </w:r>
    </w:p>
  </w:footnote>
  <w:footnote w:id="34">
    <w:p w14:paraId="51EBAE75" w14:textId="6A43E811"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التعليق العام رقم </w:t>
      </w:r>
      <w:r w:rsidRPr="00D20D41">
        <w:rPr>
          <w:rtl/>
        </w:rPr>
        <w:t>4</w:t>
      </w:r>
      <w:r w:rsidRPr="008A1FDF">
        <w:rPr>
          <w:rtl/>
        </w:rPr>
        <w:t xml:space="preserve">، الفقرة </w:t>
      </w:r>
      <w:r w:rsidRPr="00D20D41">
        <w:rPr>
          <w:rtl/>
        </w:rPr>
        <w:t>8</w:t>
      </w:r>
      <w:r w:rsidRPr="008A1FDF">
        <w:rPr>
          <w:rtl/>
        </w:rPr>
        <w:t>.</w:t>
      </w:r>
    </w:p>
  </w:footnote>
  <w:footnote w:id="35">
    <w:p w14:paraId="6F79DAED" w14:textId="46BC57F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D20D41">
        <w:rPr>
          <w:i/>
          <w:iCs/>
          <w:rtl/>
        </w:rPr>
        <w:t>لوبيز ألبان ضد إسبانيا</w:t>
      </w:r>
      <w:r w:rsidRPr="008A1FDF">
        <w:rPr>
          <w:rtl/>
        </w:rPr>
        <w:t xml:space="preserve">، الفقرات </w:t>
      </w:r>
      <w:r w:rsidRPr="00D20D41">
        <w:rPr>
          <w:rtl/>
        </w:rPr>
        <w:t>9</w:t>
      </w:r>
      <w:r w:rsidRPr="008A1FDF">
        <w:rPr>
          <w:rtl/>
        </w:rPr>
        <w:t>-</w:t>
      </w:r>
      <w:r w:rsidRPr="00D20D41">
        <w:rPr>
          <w:rtl/>
        </w:rPr>
        <w:t>1</w:t>
      </w:r>
      <w:r w:rsidRPr="008A1FDF">
        <w:rPr>
          <w:rtl/>
        </w:rPr>
        <w:t xml:space="preserve"> إلى </w:t>
      </w:r>
      <w:r w:rsidRPr="00D20D41">
        <w:rPr>
          <w:rtl/>
        </w:rPr>
        <w:t>9</w:t>
      </w:r>
      <w:r w:rsidRPr="008A1FDF">
        <w:rPr>
          <w:rtl/>
        </w:rPr>
        <w:t>-</w:t>
      </w:r>
      <w:r w:rsidRPr="00D20D41">
        <w:rPr>
          <w:rtl/>
        </w:rPr>
        <w:t>4</w:t>
      </w:r>
      <w:r w:rsidRPr="008A1FDF">
        <w:rPr>
          <w:rtl/>
        </w:rPr>
        <w:t>.</w:t>
      </w:r>
    </w:p>
  </w:footnote>
  <w:footnote w:id="36">
    <w:p w14:paraId="1F6657EC" w14:textId="06BEB427"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المرجع نفسه، الفقرة </w:t>
      </w:r>
      <w:r w:rsidRPr="00D20D41">
        <w:rPr>
          <w:rtl/>
        </w:rPr>
        <w:t>10</w:t>
      </w:r>
      <w:r w:rsidRPr="008A1FDF">
        <w:rPr>
          <w:rtl/>
        </w:rPr>
        <w:t>.</w:t>
      </w:r>
      <w:r w:rsidRPr="00D20D41">
        <w:rPr>
          <w:rtl/>
        </w:rPr>
        <w:t>1</w:t>
      </w:r>
      <w:r w:rsidRPr="008A1FDF">
        <w:rPr>
          <w:rtl/>
        </w:rPr>
        <w:t>.</w:t>
      </w:r>
    </w:p>
  </w:footnote>
  <w:footnote w:id="37">
    <w:p w14:paraId="32D73AD7" w14:textId="4FFB7EA2" w:rsidR="00E00155" w:rsidRPr="008A1FDF" w:rsidRDefault="00E00155" w:rsidP="00664CDC">
      <w:pPr>
        <w:pStyle w:val="FootnoteText1"/>
        <w:rPr>
          <w:rFonts w:hint="cs"/>
          <w:spacing w:val="-2"/>
          <w:rtl/>
        </w:rPr>
      </w:pPr>
      <w:r w:rsidRPr="00664CDC">
        <w:rPr>
          <w:rtl/>
        </w:rPr>
        <w:t>(</w:t>
      </w:r>
      <w:r w:rsidRPr="00D20D41">
        <w:rPr>
          <w:rStyle w:val="FootnoteReference"/>
          <w:vertAlign w:val="baseline"/>
        </w:rPr>
        <w:footnoteRef/>
      </w:r>
      <w:r w:rsidRPr="00664CDC">
        <w:rPr>
          <w:rtl/>
        </w:rPr>
        <w:t>)</w:t>
      </w:r>
      <w:r>
        <w:tab/>
      </w:r>
      <w:r w:rsidRPr="008A1FDF">
        <w:rPr>
          <w:rtl/>
        </w:rPr>
        <w:t>المرجع نفسه. انظر أيض</w:t>
      </w:r>
      <w:r w:rsidR="00FD03FB">
        <w:rPr>
          <w:rtl/>
        </w:rPr>
        <w:t xml:space="preserve">اً </w:t>
      </w:r>
      <w:r w:rsidRPr="00D20D41">
        <w:rPr>
          <w:i/>
          <w:iCs/>
          <w:rtl/>
        </w:rPr>
        <w:t xml:space="preserve">بن </w:t>
      </w:r>
      <w:proofErr w:type="spellStart"/>
      <w:r w:rsidRPr="00D20D41">
        <w:rPr>
          <w:i/>
          <w:iCs/>
          <w:rtl/>
        </w:rPr>
        <w:t>دجازيا</w:t>
      </w:r>
      <w:proofErr w:type="spellEnd"/>
      <w:r w:rsidRPr="00D20D41">
        <w:rPr>
          <w:i/>
          <w:iCs/>
          <w:rtl/>
        </w:rPr>
        <w:t xml:space="preserve"> وآخرون ضد إسبانيا</w:t>
      </w:r>
      <w:r w:rsidRPr="008A1FDF">
        <w:rPr>
          <w:rtl/>
        </w:rPr>
        <w:t xml:space="preserve">، الفقرة </w:t>
      </w:r>
      <w:r w:rsidRPr="00D20D41">
        <w:rPr>
          <w:rtl/>
        </w:rPr>
        <w:t>17</w:t>
      </w:r>
      <w:r w:rsidRPr="008A1FDF">
        <w:rPr>
          <w:rtl/>
        </w:rPr>
        <w:t>-</w:t>
      </w:r>
      <w:r w:rsidRPr="00D20D41">
        <w:rPr>
          <w:rtl/>
        </w:rPr>
        <w:t>2</w:t>
      </w:r>
      <w:r w:rsidRPr="008A1FDF">
        <w:rPr>
          <w:rtl/>
        </w:rPr>
        <w:t xml:space="preserve">، وتقرير المقررة الخاصة المعنية بالسكن اللائق كعنصر </w:t>
      </w:r>
      <w:r w:rsidRPr="008A1FDF">
        <w:rPr>
          <w:spacing w:val="-2"/>
          <w:rtl/>
        </w:rPr>
        <w:t xml:space="preserve">من عناصر الحق في مستوى معيشي مناسب وبالحق في عدم التمييز في هذا السياق لعام </w:t>
      </w:r>
      <w:r w:rsidRPr="00D20D41">
        <w:rPr>
          <w:spacing w:val="-2"/>
          <w:rtl/>
        </w:rPr>
        <w:t>2019</w:t>
      </w:r>
      <w:r w:rsidRPr="008A1FDF">
        <w:rPr>
          <w:spacing w:val="-2"/>
          <w:rtl/>
        </w:rPr>
        <w:t xml:space="preserve"> (</w:t>
      </w:r>
      <w:r w:rsidRPr="008A1FDF">
        <w:rPr>
          <w:spacing w:val="-2"/>
        </w:rPr>
        <w:t>A/HRC/</w:t>
      </w:r>
      <w:r w:rsidRPr="00D20D41">
        <w:rPr>
          <w:spacing w:val="-2"/>
        </w:rPr>
        <w:t>40</w:t>
      </w:r>
      <w:r w:rsidRPr="008A1FDF">
        <w:rPr>
          <w:spacing w:val="-2"/>
        </w:rPr>
        <w:t>/</w:t>
      </w:r>
      <w:r w:rsidRPr="00D20D41">
        <w:rPr>
          <w:spacing w:val="-2"/>
        </w:rPr>
        <w:t>61</w:t>
      </w:r>
      <w:r w:rsidRPr="008A1FDF">
        <w:rPr>
          <w:spacing w:val="-2"/>
          <w:rtl/>
        </w:rPr>
        <w:t xml:space="preserve">)، الفقرة </w:t>
      </w:r>
      <w:r w:rsidRPr="00D20D41">
        <w:rPr>
          <w:spacing w:val="-2"/>
          <w:rtl/>
        </w:rPr>
        <w:t>41</w:t>
      </w:r>
      <w:r w:rsidRPr="008A1FDF">
        <w:rPr>
          <w:spacing w:val="-2"/>
          <w:rtl/>
        </w:rPr>
        <w:t>.</w:t>
      </w:r>
    </w:p>
  </w:footnote>
  <w:footnote w:id="38">
    <w:p w14:paraId="7D9C8AA5" w14:textId="454BC48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t>A/HRC/</w:t>
      </w:r>
      <w:r w:rsidRPr="00D20D41">
        <w:t>40</w:t>
      </w:r>
      <w:r w:rsidRPr="008A1FDF">
        <w:t>/</w:t>
      </w:r>
      <w:r w:rsidRPr="00D20D41">
        <w:t>61</w:t>
      </w:r>
      <w:r w:rsidRPr="008A1FDF">
        <w:rPr>
          <w:rtl/>
        </w:rPr>
        <w:t xml:space="preserve">، الفقرة </w:t>
      </w:r>
      <w:r w:rsidRPr="00D20D41">
        <w:rPr>
          <w:rtl/>
        </w:rPr>
        <w:t>41</w:t>
      </w:r>
      <w:r w:rsidRPr="008A1FDF">
        <w:rPr>
          <w:rtl/>
        </w:rPr>
        <w:t>.</w:t>
      </w:r>
    </w:p>
  </w:footnote>
  <w:footnote w:id="39">
    <w:p w14:paraId="411AFFA5" w14:textId="6426F32C"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انظر </w:t>
      </w:r>
      <w:r w:rsidRPr="00D20D41">
        <w:rPr>
          <w:i/>
          <w:iCs/>
          <w:rtl/>
        </w:rPr>
        <w:t xml:space="preserve">بن </w:t>
      </w:r>
      <w:proofErr w:type="spellStart"/>
      <w:r w:rsidRPr="00D20D41">
        <w:rPr>
          <w:i/>
          <w:iCs/>
          <w:rtl/>
        </w:rPr>
        <w:t>دجازيا</w:t>
      </w:r>
      <w:proofErr w:type="spellEnd"/>
      <w:r w:rsidRPr="00D20D41">
        <w:rPr>
          <w:i/>
          <w:iCs/>
          <w:rtl/>
        </w:rPr>
        <w:t xml:space="preserve"> وآخرون ضد إسبانيا</w:t>
      </w:r>
      <w:r w:rsidRPr="008A1FDF">
        <w:rPr>
          <w:rtl/>
        </w:rPr>
        <w:t xml:space="preserve">، الفقرة </w:t>
      </w:r>
      <w:r w:rsidRPr="00D20D41">
        <w:rPr>
          <w:rtl/>
        </w:rPr>
        <w:t>17</w:t>
      </w:r>
      <w:r w:rsidRPr="008A1FDF">
        <w:rPr>
          <w:rtl/>
        </w:rPr>
        <w:t>-</w:t>
      </w:r>
      <w:r w:rsidRPr="00D20D41">
        <w:rPr>
          <w:rtl/>
        </w:rPr>
        <w:t>2</w:t>
      </w:r>
      <w:r w:rsidRPr="008A1FDF">
        <w:rPr>
          <w:rtl/>
        </w:rPr>
        <w:t xml:space="preserve">، وتقرير المقررة الخاصة المعنية بالسكن اللائق كعنصر من عناصر الحق في مستوى معيشي لائق لعام </w:t>
      </w:r>
      <w:r w:rsidRPr="00D20D41">
        <w:rPr>
          <w:rtl/>
        </w:rPr>
        <w:t>2017</w:t>
      </w:r>
      <w:r w:rsidRPr="008A1FDF">
        <w:rPr>
          <w:rtl/>
        </w:rPr>
        <w:t>، وفيما يتعلق بالحق في عدم التمييز في هذا السياق (</w:t>
      </w:r>
      <w:r w:rsidRPr="008A1FDF">
        <w:t>A/HRC/</w:t>
      </w:r>
      <w:r w:rsidRPr="00D20D41">
        <w:t>34</w:t>
      </w:r>
      <w:r w:rsidRPr="008A1FDF">
        <w:t>/</w:t>
      </w:r>
      <w:r w:rsidRPr="00D20D41">
        <w:t>51</w:t>
      </w:r>
      <w:r w:rsidRPr="008A1FDF">
        <w:rPr>
          <w:rtl/>
        </w:rPr>
        <w:t xml:space="preserve">، الفقرات من </w:t>
      </w:r>
      <w:r w:rsidRPr="00D20D41">
        <w:rPr>
          <w:rtl/>
        </w:rPr>
        <w:t>27</w:t>
      </w:r>
      <w:r w:rsidRPr="008A1FDF">
        <w:rPr>
          <w:rtl/>
        </w:rPr>
        <w:t xml:space="preserve"> إلى </w:t>
      </w:r>
      <w:r w:rsidRPr="00D20D41">
        <w:rPr>
          <w:rtl/>
        </w:rPr>
        <w:t>29</w:t>
      </w:r>
      <w:r w:rsidRPr="008A1FDF">
        <w:rPr>
          <w:rtl/>
        </w:rPr>
        <w:t>).</w:t>
      </w:r>
    </w:p>
  </w:footnote>
  <w:footnote w:id="40">
    <w:p w14:paraId="12936E9C" w14:textId="70A424DC"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D20D41">
        <w:rPr>
          <w:i/>
          <w:iCs/>
          <w:rtl/>
        </w:rPr>
        <w:t>لوبيز ألبان ضد إسبانيا</w:t>
      </w:r>
      <w:r w:rsidRPr="008A1FDF">
        <w:rPr>
          <w:rtl/>
        </w:rPr>
        <w:t xml:space="preserve">، الفقرة </w:t>
      </w:r>
      <w:r w:rsidRPr="00D20D41">
        <w:rPr>
          <w:rtl/>
        </w:rPr>
        <w:t>11</w:t>
      </w:r>
      <w:r w:rsidRPr="008A1FDF">
        <w:rPr>
          <w:rtl/>
        </w:rPr>
        <w:t>-</w:t>
      </w:r>
      <w:r w:rsidRPr="00D20D41">
        <w:rPr>
          <w:rtl/>
        </w:rPr>
        <w:t>5</w:t>
      </w:r>
      <w:r w:rsidRPr="008A1FDF">
        <w:rPr>
          <w:rtl/>
        </w:rPr>
        <w:t>.</w:t>
      </w:r>
    </w:p>
  </w:footnote>
  <w:footnote w:id="41">
    <w:p w14:paraId="6E424F2E" w14:textId="232229A3"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انظر المادة </w:t>
      </w:r>
      <w:r w:rsidRPr="00D20D41">
        <w:rPr>
          <w:rtl/>
        </w:rPr>
        <w:t>441</w:t>
      </w:r>
      <w:r w:rsidRPr="008A1FDF">
        <w:rPr>
          <w:rtl/>
        </w:rPr>
        <w:t xml:space="preserve"> من قانون الإجراءات المدنية رقم </w:t>
      </w:r>
      <w:r w:rsidRPr="00D20D41">
        <w:rPr>
          <w:rtl/>
        </w:rPr>
        <w:t>1</w:t>
      </w:r>
      <w:r w:rsidRPr="008A1FDF">
        <w:rPr>
          <w:rtl/>
        </w:rPr>
        <w:t>/</w:t>
      </w:r>
      <w:r w:rsidRPr="00D20D41">
        <w:rPr>
          <w:rtl/>
        </w:rPr>
        <w:t>2000</w:t>
      </w:r>
      <w:r w:rsidRPr="008A1FDF">
        <w:rPr>
          <w:rtl/>
        </w:rPr>
        <w:t xml:space="preserve">، المؤرخ </w:t>
      </w:r>
      <w:r w:rsidRPr="00D20D41">
        <w:rPr>
          <w:rtl/>
        </w:rPr>
        <w:t>7</w:t>
      </w:r>
      <w:r w:rsidRPr="008A1FDF">
        <w:rPr>
          <w:rtl/>
        </w:rPr>
        <w:t xml:space="preserve"> كانون الثاني/يناير، المعدل للمرسوم الملكي - القانون رقم </w:t>
      </w:r>
      <w:r w:rsidRPr="00D20D41">
        <w:rPr>
          <w:rtl/>
        </w:rPr>
        <w:t>7</w:t>
      </w:r>
      <w:r w:rsidRPr="008A1FDF">
        <w:rPr>
          <w:rtl/>
        </w:rPr>
        <w:t>/</w:t>
      </w:r>
      <w:r w:rsidRPr="00D20D41">
        <w:rPr>
          <w:rtl/>
        </w:rPr>
        <w:t>2019</w:t>
      </w:r>
      <w:r w:rsidRPr="008A1FDF">
        <w:rPr>
          <w:rtl/>
        </w:rPr>
        <w:t xml:space="preserve">، المؤرخ </w:t>
      </w:r>
      <w:r w:rsidRPr="00D20D41">
        <w:rPr>
          <w:rtl/>
        </w:rPr>
        <w:t>1</w:t>
      </w:r>
      <w:r w:rsidRPr="008A1FDF">
        <w:rPr>
          <w:rtl/>
        </w:rPr>
        <w:t xml:space="preserve"> آذار/مارس، بشأن التدابير العاجلة المتعلقة بالسكن والإيجار.</w:t>
      </w:r>
    </w:p>
  </w:footnote>
  <w:footnote w:id="42">
    <w:p w14:paraId="3CE71EA4" w14:textId="0FBDD8A1"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 xml:space="preserve">انظر قضية </w:t>
      </w:r>
      <w:r w:rsidRPr="00D20D41">
        <w:rPr>
          <w:i/>
          <w:iCs/>
          <w:rtl/>
        </w:rPr>
        <w:t>بن جازيا ضد إسبانيا</w:t>
      </w:r>
      <w:r w:rsidRPr="008A1FDF">
        <w:rPr>
          <w:rtl/>
        </w:rPr>
        <w:t xml:space="preserve">، الفقرة </w:t>
      </w:r>
      <w:r w:rsidRPr="00D20D41">
        <w:rPr>
          <w:rtl/>
        </w:rPr>
        <w:t>21</w:t>
      </w:r>
      <w:r w:rsidRPr="008A1FDF">
        <w:rPr>
          <w:rtl/>
        </w:rPr>
        <w:t>(ج).</w:t>
      </w:r>
    </w:p>
  </w:footnote>
  <w:footnote w:id="43">
    <w:p w14:paraId="5A1CA59F" w14:textId="74530C4F" w:rsidR="00E00155" w:rsidRPr="00664CDC" w:rsidRDefault="00E00155" w:rsidP="00664CDC">
      <w:pPr>
        <w:pStyle w:val="FootnoteText1"/>
        <w:rPr>
          <w:rFonts w:hint="cs"/>
          <w:rtl/>
        </w:rPr>
      </w:pPr>
      <w:r w:rsidRPr="00664CDC">
        <w:rPr>
          <w:rtl/>
        </w:rPr>
        <w:t>(</w:t>
      </w:r>
      <w:r w:rsidRPr="00D20D41">
        <w:rPr>
          <w:rStyle w:val="FootnoteReference"/>
          <w:vertAlign w:val="baseline"/>
        </w:rPr>
        <w:footnoteRef/>
      </w:r>
      <w:r w:rsidRPr="00664CDC">
        <w:rPr>
          <w:rtl/>
        </w:rPr>
        <w:t>)</w:t>
      </w:r>
      <w:r>
        <w:tab/>
      </w:r>
      <w:r w:rsidRPr="008A1FDF">
        <w:rPr>
          <w:rtl/>
        </w:rPr>
        <w:t>انظر أيض</w:t>
      </w:r>
      <w:r w:rsidR="00FD03FB">
        <w:rPr>
          <w:rtl/>
        </w:rPr>
        <w:t xml:space="preserve">اً </w:t>
      </w:r>
      <w:r w:rsidRPr="008A1FDF">
        <w:rPr>
          <w:rtl/>
        </w:rPr>
        <w:t>الملاحظات الختامية للجنة على التقرير الدوري السادس لإسبانيا (</w:t>
      </w:r>
      <w:r w:rsidRPr="008A1FDF">
        <w:t>E/C.</w:t>
      </w:r>
      <w:r w:rsidRPr="00D20D41">
        <w:t>12</w:t>
      </w:r>
      <w:r w:rsidRPr="008A1FDF">
        <w:t>/ESP/CO/</w:t>
      </w:r>
      <w:r w:rsidRPr="00D20D41">
        <w:t>6</w:t>
      </w:r>
      <w:r w:rsidRPr="008A1FDF">
        <w:rPr>
          <w:rtl/>
        </w:rPr>
        <w:t xml:space="preserve">، الفقرة </w:t>
      </w:r>
      <w:r w:rsidRPr="00D20D41">
        <w:rPr>
          <w:rtl/>
        </w:rPr>
        <w:t>36</w:t>
      </w:r>
      <w:r w:rsidRPr="008A1FD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4C01" w14:textId="41CA46FE" w:rsidR="00E00155" w:rsidRPr="00E734AD" w:rsidRDefault="00E00155" w:rsidP="00E734AD">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E/C.12/69/D/54/2018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5322" w14:textId="6B5CABB1" w:rsidR="00E00155" w:rsidRPr="00E734AD" w:rsidRDefault="00E00155" w:rsidP="00E734AD">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E/C.12/69/D/54/2018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4"/>
  </w:num>
  <w:num w:numId="13">
    <w:abstractNumId w:val="3"/>
  </w:num>
  <w:num w:numId="14">
    <w:abstractNumId w:val="16"/>
  </w:num>
  <w:num w:numId="15">
    <w:abstractNumId w:val="13"/>
  </w:num>
  <w:num w:numId="16">
    <w:abstractNumId w:val="1"/>
  </w:num>
  <w:num w:numId="17">
    <w:abstractNumId w:val="14"/>
  </w:num>
  <w:num w:numId="18">
    <w:abstractNumId w:val="0"/>
  </w:num>
  <w:num w:numId="19">
    <w:abstractNumId w:val="9"/>
  </w:num>
  <w:num w:numId="20">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7"/>
  </w:num>
  <w:num w:numId="26">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FF"/>
    <w:rsid w:val="000076D5"/>
    <w:rsid w:val="000148E3"/>
    <w:rsid w:val="00043663"/>
    <w:rsid w:val="000505CF"/>
    <w:rsid w:val="00087A06"/>
    <w:rsid w:val="000D63FC"/>
    <w:rsid w:val="000D701C"/>
    <w:rsid w:val="000E2A71"/>
    <w:rsid w:val="000E524A"/>
    <w:rsid w:val="00140389"/>
    <w:rsid w:val="00147B99"/>
    <w:rsid w:val="00160263"/>
    <w:rsid w:val="0017461F"/>
    <w:rsid w:val="00181F96"/>
    <w:rsid w:val="00183C2C"/>
    <w:rsid w:val="001A1371"/>
    <w:rsid w:val="001A58AC"/>
    <w:rsid w:val="001B346A"/>
    <w:rsid w:val="001D1FE9"/>
    <w:rsid w:val="001E1CAD"/>
    <w:rsid w:val="001E290D"/>
    <w:rsid w:val="002144FA"/>
    <w:rsid w:val="0023469A"/>
    <w:rsid w:val="00242AA9"/>
    <w:rsid w:val="00243C8A"/>
    <w:rsid w:val="00267A0E"/>
    <w:rsid w:val="002901D9"/>
    <w:rsid w:val="002976C2"/>
    <w:rsid w:val="00310E12"/>
    <w:rsid w:val="00325CC1"/>
    <w:rsid w:val="003260FF"/>
    <w:rsid w:val="00343D95"/>
    <w:rsid w:val="00360ABA"/>
    <w:rsid w:val="00374341"/>
    <w:rsid w:val="003D1062"/>
    <w:rsid w:val="003E159A"/>
    <w:rsid w:val="003F4B0C"/>
    <w:rsid w:val="004205C7"/>
    <w:rsid w:val="00420D7B"/>
    <w:rsid w:val="00450B21"/>
    <w:rsid w:val="00453B63"/>
    <w:rsid w:val="00455780"/>
    <w:rsid w:val="00485999"/>
    <w:rsid w:val="004B0A1C"/>
    <w:rsid w:val="004C7897"/>
    <w:rsid w:val="004D298E"/>
    <w:rsid w:val="004D60D1"/>
    <w:rsid w:val="004E32F4"/>
    <w:rsid w:val="00501FD1"/>
    <w:rsid w:val="005174F0"/>
    <w:rsid w:val="00517BC9"/>
    <w:rsid w:val="00527E4C"/>
    <w:rsid w:val="0053172A"/>
    <w:rsid w:val="0054472E"/>
    <w:rsid w:val="0054762C"/>
    <w:rsid w:val="005662A9"/>
    <w:rsid w:val="0057713D"/>
    <w:rsid w:val="005817D9"/>
    <w:rsid w:val="005827D4"/>
    <w:rsid w:val="0059622A"/>
    <w:rsid w:val="005A5A78"/>
    <w:rsid w:val="005A7535"/>
    <w:rsid w:val="005C5878"/>
    <w:rsid w:val="005C7CEA"/>
    <w:rsid w:val="005D3C0B"/>
    <w:rsid w:val="005D57FB"/>
    <w:rsid w:val="005E5217"/>
    <w:rsid w:val="005E677D"/>
    <w:rsid w:val="005F0FA4"/>
    <w:rsid w:val="005F30EE"/>
    <w:rsid w:val="0060473A"/>
    <w:rsid w:val="00606EDF"/>
    <w:rsid w:val="00634937"/>
    <w:rsid w:val="00656392"/>
    <w:rsid w:val="00664CDC"/>
    <w:rsid w:val="006670EA"/>
    <w:rsid w:val="00682790"/>
    <w:rsid w:val="0068781D"/>
    <w:rsid w:val="006959B0"/>
    <w:rsid w:val="006B3E27"/>
    <w:rsid w:val="006B6507"/>
    <w:rsid w:val="006C104C"/>
    <w:rsid w:val="006E1F50"/>
    <w:rsid w:val="006F5600"/>
    <w:rsid w:val="00733704"/>
    <w:rsid w:val="00740188"/>
    <w:rsid w:val="0078071A"/>
    <w:rsid w:val="007A70BB"/>
    <w:rsid w:val="007C1C49"/>
    <w:rsid w:val="008137B9"/>
    <w:rsid w:val="00852A9A"/>
    <w:rsid w:val="00871544"/>
    <w:rsid w:val="008864E6"/>
    <w:rsid w:val="008930DB"/>
    <w:rsid w:val="00895D16"/>
    <w:rsid w:val="008A1FDF"/>
    <w:rsid w:val="008F49E1"/>
    <w:rsid w:val="0090370F"/>
    <w:rsid w:val="009269D2"/>
    <w:rsid w:val="00942135"/>
    <w:rsid w:val="009521B0"/>
    <w:rsid w:val="009A7E9F"/>
    <w:rsid w:val="009B30C2"/>
    <w:rsid w:val="009E0EDE"/>
    <w:rsid w:val="009E5018"/>
    <w:rsid w:val="009E57B6"/>
    <w:rsid w:val="00A072C6"/>
    <w:rsid w:val="00A12B37"/>
    <w:rsid w:val="00A15998"/>
    <w:rsid w:val="00A50EC0"/>
    <w:rsid w:val="00A74331"/>
    <w:rsid w:val="00A862CC"/>
    <w:rsid w:val="00AB6758"/>
    <w:rsid w:val="00AF4CFF"/>
    <w:rsid w:val="00B11601"/>
    <w:rsid w:val="00B13763"/>
    <w:rsid w:val="00B24420"/>
    <w:rsid w:val="00B46B92"/>
    <w:rsid w:val="00B477A4"/>
    <w:rsid w:val="00B54045"/>
    <w:rsid w:val="00BA1F0F"/>
    <w:rsid w:val="00BA641F"/>
    <w:rsid w:val="00C022F5"/>
    <w:rsid w:val="00C438D7"/>
    <w:rsid w:val="00C53FE8"/>
    <w:rsid w:val="00C63F94"/>
    <w:rsid w:val="00C81B50"/>
    <w:rsid w:val="00C96977"/>
    <w:rsid w:val="00CA655B"/>
    <w:rsid w:val="00CB3C3C"/>
    <w:rsid w:val="00CD1801"/>
    <w:rsid w:val="00CE29BB"/>
    <w:rsid w:val="00D10EF1"/>
    <w:rsid w:val="00D20D41"/>
    <w:rsid w:val="00D42810"/>
    <w:rsid w:val="00D61FBF"/>
    <w:rsid w:val="00D67201"/>
    <w:rsid w:val="00D914A7"/>
    <w:rsid w:val="00DD13C3"/>
    <w:rsid w:val="00DD596E"/>
    <w:rsid w:val="00DD621E"/>
    <w:rsid w:val="00DF0575"/>
    <w:rsid w:val="00E00155"/>
    <w:rsid w:val="00E049EC"/>
    <w:rsid w:val="00E3601B"/>
    <w:rsid w:val="00E70E04"/>
    <w:rsid w:val="00E734AD"/>
    <w:rsid w:val="00EC05A7"/>
    <w:rsid w:val="00EC0AB8"/>
    <w:rsid w:val="00EC4B6B"/>
    <w:rsid w:val="00EC7D11"/>
    <w:rsid w:val="00ED7442"/>
    <w:rsid w:val="00EE0B18"/>
    <w:rsid w:val="00EE2AFF"/>
    <w:rsid w:val="00EF1EE5"/>
    <w:rsid w:val="00F6423C"/>
    <w:rsid w:val="00F763B4"/>
    <w:rsid w:val="00F900C3"/>
    <w:rsid w:val="00FA0CD3"/>
    <w:rsid w:val="00FA57AB"/>
    <w:rsid w:val="00FC75D1"/>
    <w:rsid w:val="00FD03FB"/>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DD63B8"/>
  <w15:docId w15:val="{50037B1D-53F5-48D5-9EA3-D1F40E26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uiPriority w:val="99"/>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8864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numPr>
        <w:numId w:val="5"/>
      </w:numPr>
      <w:bidi w:val="0"/>
    </w:pPr>
    <w:rPr>
      <w:lang w:val="en-US"/>
    </w:rPr>
  </w:style>
  <w:style w:type="paragraph" w:customStyle="1" w:styleId="Roman1GA">
    <w:name w:val="_Roman 1_GA"/>
    <w:basedOn w:val="Bullet1GA"/>
    <w:qFormat/>
    <w:rsid w:val="008864E6"/>
    <w:pPr>
      <w:numPr>
        <w:numId w:val="6"/>
      </w:numPr>
      <w:tabs>
        <w:tab w:val="clear" w:pos="2310"/>
        <w:tab w:val="left" w:pos="2486"/>
      </w:tabs>
      <w:ind w:left="2486" w:hanging="378"/>
    </w:pPr>
  </w:style>
  <w:style w:type="paragraph" w:customStyle="1" w:styleId="Roman2GA">
    <w:name w:val="_Roman 2_GA"/>
    <w:basedOn w:val="Bullet2GA"/>
    <w:qFormat/>
    <w:rsid w:val="008864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numPr>
        <w:numId w:val="14"/>
      </w:numPr>
      <w:spacing w:after="120" w:line="360" w:lineRule="exact"/>
      <w:ind w:right="1264"/>
    </w:pPr>
    <w:rPr>
      <w:kern w:val="14"/>
      <w:szCs w:val="28"/>
    </w:rPr>
  </w:style>
  <w:style w:type="paragraph" w:customStyle="1" w:styleId="Bullet3">
    <w:name w:val="Bullet 3"/>
    <w:basedOn w:val="SingleTxt"/>
    <w:qFormat/>
    <w:rsid w:val="008864E6"/>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numPr>
        <w:numId w:val="16"/>
      </w:numPr>
      <w:bidi w:val="0"/>
      <w:spacing w:after="120"/>
      <w:ind w:right="1134"/>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numPr>
        <w:numId w:val="23"/>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17</Pages>
  <Words>4284</Words>
  <Characters>37102</Characters>
  <Application>Microsoft Office Word</Application>
  <DocSecurity>0</DocSecurity>
  <Lines>4637</Lines>
  <Paragraphs>2956</Paragraphs>
  <ScaleCrop>false</ScaleCrop>
  <HeadingPairs>
    <vt:vector size="2" baseType="variant">
      <vt:variant>
        <vt:lpstr>Title</vt:lpstr>
      </vt:variant>
      <vt:variant>
        <vt:i4>1</vt:i4>
      </vt:variant>
    </vt:vector>
  </HeadingPairs>
  <TitlesOfParts>
    <vt:vector size="1" baseType="lpstr">
      <vt:lpstr>E/C.12/69/D/54/2018</vt:lpstr>
    </vt:vector>
  </TitlesOfParts>
  <Company>DCM</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E/C.12/69/D/54/2018</dc:title>
  <dc:subject>GE.2103889(A)</dc:subject>
  <dc:creator>Gamal MAHMOUD - M. Bazounne</dc:creator>
  <cp:keywords>GE.2106956(A)</cp:keywords>
  <dc:description>Distr.: General_x000d_
23 March 2021_x000d_
Original: Spanish_x000d_
English, French and Spanish only</dc:description>
  <cp:lastModifiedBy>Gamal MAHMOUD</cp:lastModifiedBy>
  <cp:revision>2</cp:revision>
  <dcterms:created xsi:type="dcterms:W3CDTF">2021-04-30T12:59:00Z</dcterms:created>
  <dcterms:modified xsi:type="dcterms:W3CDTF">2021-04-30T12:59:00Z</dcterms:modified>
  <cp:category>Final</cp:category>
</cp:coreProperties>
</file>