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0DA37E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A3B3D3" w14:textId="77777777" w:rsidR="002D5AAC" w:rsidRDefault="002D5AAC" w:rsidP="005409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368065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E854E4" w14:textId="0CF5FB1B" w:rsidR="002D5AAC" w:rsidRDefault="00540992" w:rsidP="00540992">
            <w:pPr>
              <w:jc w:val="right"/>
            </w:pPr>
            <w:r w:rsidRPr="00540992">
              <w:rPr>
                <w:sz w:val="40"/>
              </w:rPr>
              <w:t>E</w:t>
            </w:r>
            <w:r>
              <w:t>/C.12/YEM/CO/3</w:t>
            </w:r>
          </w:p>
        </w:tc>
      </w:tr>
      <w:tr w:rsidR="002D5AAC" w:rsidRPr="00DB75F1" w14:paraId="21AF0BBB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460280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F4AE68" wp14:editId="0DD3BA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AA749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D5B9C1" w14:textId="77777777" w:rsidR="002D5AAC" w:rsidRDefault="0054099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77FCC7" w14:textId="77777777" w:rsidR="00540992" w:rsidRDefault="00540992" w:rsidP="005409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2023</w:t>
            </w:r>
          </w:p>
          <w:p w14:paraId="1B5A3F82" w14:textId="77777777" w:rsidR="00540992" w:rsidRDefault="00540992" w:rsidP="005409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50A3F7" w14:textId="5861342E" w:rsidR="00540992" w:rsidRPr="00D62A45" w:rsidRDefault="00540992" w:rsidP="005409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4DA00B" w14:textId="2D681096" w:rsidR="00540992" w:rsidRPr="00540992" w:rsidRDefault="00540992" w:rsidP="00540992">
      <w:pPr>
        <w:spacing w:before="120"/>
        <w:rPr>
          <w:b/>
          <w:sz w:val="24"/>
          <w:szCs w:val="24"/>
        </w:rPr>
      </w:pPr>
      <w:r w:rsidRPr="00540992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540992">
        <w:rPr>
          <w:b/>
          <w:bCs/>
          <w:sz w:val="24"/>
          <w:szCs w:val="24"/>
        </w:rPr>
        <w:t>и культурным правам</w:t>
      </w:r>
    </w:p>
    <w:p w14:paraId="6001B929" w14:textId="77777777" w:rsidR="00540992" w:rsidRPr="00A93BC7" w:rsidRDefault="00540992" w:rsidP="00540992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Йемена</w:t>
      </w:r>
      <w:r w:rsidRPr="00390832">
        <w:rPr>
          <w:b w:val="0"/>
          <w:sz w:val="20"/>
        </w:rPr>
        <w:footnoteReference w:customMarkFollows="1" w:id="1"/>
        <w:t>*</w:t>
      </w:r>
    </w:p>
    <w:p w14:paraId="3D293AC7" w14:textId="078F66F8" w:rsidR="00540992" w:rsidRPr="00A93BC7" w:rsidRDefault="00540992" w:rsidP="00540992">
      <w:pPr>
        <w:pStyle w:val="SingleTxtG"/>
      </w:pPr>
      <w:r>
        <w:t>1.</w:t>
      </w:r>
      <w:r>
        <w:tab/>
        <w:t>Комитет рассмотрел третий периодический доклад Йемена</w:t>
      </w:r>
      <w:r w:rsidRPr="00390832">
        <w:rPr>
          <w:rStyle w:val="a8"/>
        </w:rPr>
        <w:footnoteReference w:id="2"/>
      </w:r>
      <w:r>
        <w:t xml:space="preserve"> на своих 12, 14 и</w:t>
      </w:r>
      <w:r w:rsidR="00DE4FDA">
        <w:rPr>
          <w:lang w:val="en-US"/>
        </w:rPr>
        <w:t> </w:t>
      </w:r>
      <w:r>
        <w:t>17-м заседаниях</w:t>
      </w:r>
      <w:r w:rsidRPr="00390832">
        <w:rPr>
          <w:rStyle w:val="a8"/>
        </w:rPr>
        <w:footnoteReference w:id="3"/>
      </w:r>
      <w:r>
        <w:t>, состоявшихся 20, 21 и 23 февраля 2023 года, и принял настоящие заключительные замечания на своем 30-м заседании, состоявшемся 3 марта 2023 года</w:t>
      </w:r>
      <w:r w:rsidRPr="00390832">
        <w:rPr>
          <w:rStyle w:val="a8"/>
        </w:rPr>
        <w:footnoteReference w:id="4"/>
      </w:r>
      <w:r>
        <w:t>.</w:t>
      </w:r>
      <w:bookmarkStart w:id="0" w:name="_Hlk122024628"/>
      <w:bookmarkStart w:id="1" w:name="_Hlk122024849"/>
      <w:bookmarkEnd w:id="0"/>
      <w:bookmarkEnd w:id="1"/>
    </w:p>
    <w:p w14:paraId="71C0B8CF" w14:textId="4FD5B7B2" w:rsidR="00540992" w:rsidRPr="00A93BC7" w:rsidRDefault="002E1416" w:rsidP="00540992">
      <w:pPr>
        <w:pStyle w:val="H1G"/>
      </w:pPr>
      <w:r>
        <w:rPr>
          <w:bCs/>
        </w:rPr>
        <w:tab/>
      </w:r>
      <w:r w:rsidR="00540992">
        <w:rPr>
          <w:bCs/>
        </w:rPr>
        <w:t>A.</w:t>
      </w:r>
      <w:r w:rsidR="00540992">
        <w:tab/>
      </w:r>
      <w:r w:rsidR="00540992">
        <w:rPr>
          <w:bCs/>
        </w:rPr>
        <w:t>Введение</w:t>
      </w:r>
    </w:p>
    <w:p w14:paraId="097ED936" w14:textId="77777777" w:rsidR="00540992" w:rsidRPr="00A93BC7" w:rsidRDefault="00540992" w:rsidP="00540992">
      <w:pPr>
        <w:pStyle w:val="SingleTxtG"/>
      </w:pPr>
      <w:r>
        <w:t>2.</w:t>
      </w:r>
      <w:r>
        <w:tab/>
        <w:t>Комитет приветствует представление государством-участником третьего периодического доклада и дополнительной информации, содержащейся в его ответах на перечень вопросов</w:t>
      </w:r>
      <w:r w:rsidRPr="00390832">
        <w:rPr>
          <w:rStyle w:val="a8"/>
        </w:rPr>
        <w:footnoteReference w:id="5"/>
      </w:r>
      <w:r>
        <w:t>. Комитет высоко оценивает конструктивный диалог с делегацией государства-участника, который по исключительным причинам был проведен в виртуальном формате.</w:t>
      </w:r>
    </w:p>
    <w:p w14:paraId="625F9168" w14:textId="54F51356" w:rsidR="00540992" w:rsidRPr="00A93BC7" w:rsidRDefault="002E1416" w:rsidP="00540992">
      <w:pPr>
        <w:pStyle w:val="H1G"/>
      </w:pPr>
      <w:r>
        <w:rPr>
          <w:bCs/>
        </w:rPr>
        <w:tab/>
      </w:r>
      <w:r w:rsidR="00540992">
        <w:rPr>
          <w:bCs/>
        </w:rPr>
        <w:t>B.</w:t>
      </w:r>
      <w:r w:rsidR="00540992">
        <w:tab/>
      </w:r>
      <w:r w:rsidR="00540992">
        <w:rPr>
          <w:bCs/>
        </w:rPr>
        <w:t>Позитивные аспекты</w:t>
      </w:r>
    </w:p>
    <w:p w14:paraId="075A23BE" w14:textId="1F92DFB0" w:rsidR="00540992" w:rsidRPr="00A93BC7" w:rsidRDefault="00540992" w:rsidP="00540992">
      <w:pPr>
        <w:pStyle w:val="SingleTxtG"/>
      </w:pPr>
      <w:r>
        <w:t>3.</w:t>
      </w:r>
      <w:r>
        <w:tab/>
        <w:t>Комитет приветствует законодательные, институциональные и политические меры, принятые для усиления защиты экономических, социальных и культурных прав в государстве-участнике, такие как создание Национального комитета по борьбе с торговлей людьми в соответствии с постановлением Совета министров № 46 от 2012</w:t>
      </w:r>
      <w:r w:rsidR="001D0709">
        <w:rPr>
          <w:lang w:val="en-US"/>
        </w:rPr>
        <w:t> </w:t>
      </w:r>
      <w:r>
        <w:t>года, учреждение указом президента в 2012 году Национальной комиссии по расследованию для расследования всех утверждений о нарушениях прав человека, имевших место с 2011 года, и меры, упомянутые в настоящих заключительных замечаниях.</w:t>
      </w:r>
    </w:p>
    <w:p w14:paraId="2819E526" w14:textId="52E31B35" w:rsidR="00540992" w:rsidRPr="00A93BC7" w:rsidRDefault="001D0709" w:rsidP="00540992">
      <w:pPr>
        <w:pStyle w:val="H1G"/>
      </w:pPr>
      <w:r>
        <w:rPr>
          <w:bCs/>
        </w:rPr>
        <w:tab/>
      </w:r>
      <w:r w:rsidR="00540992">
        <w:rPr>
          <w:bCs/>
        </w:rPr>
        <w:t>C.</w:t>
      </w:r>
      <w:r w:rsidR="00540992">
        <w:tab/>
      </w:r>
      <w:r w:rsidR="00540992"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 w:rsidR="00540992">
        <w:rPr>
          <w:bCs/>
        </w:rPr>
        <w:t>рекомендации</w:t>
      </w:r>
      <w:r w:rsidR="00540992">
        <w:t xml:space="preserve"> </w:t>
      </w:r>
    </w:p>
    <w:p w14:paraId="0478B45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Применение Пакта в контексте вооруженного конфликта</w:t>
      </w:r>
    </w:p>
    <w:p w14:paraId="25AAC5F8" w14:textId="510BCFB5" w:rsidR="00540992" w:rsidRPr="00A93BC7" w:rsidRDefault="00540992" w:rsidP="00540992">
      <w:pPr>
        <w:pStyle w:val="SingleTxtG"/>
      </w:pPr>
      <w:r>
        <w:t>4.</w:t>
      </w:r>
      <w:r>
        <w:tab/>
        <w:t xml:space="preserve">Комитет рассматривает третий периодический доклад Йемена в то время, когда страна находится в ситуации вооруженного конфликта, </w:t>
      </w:r>
      <w:r w:rsidRPr="00E54064">
        <w:t xml:space="preserve">который </w:t>
      </w:r>
      <w:r>
        <w:t>обостряется с 2015</w:t>
      </w:r>
      <w:r w:rsidR="002E167F">
        <w:rPr>
          <w:lang w:val="en-US"/>
        </w:rPr>
        <w:t> </w:t>
      </w:r>
      <w:r>
        <w:t xml:space="preserve">года. </w:t>
      </w:r>
      <w:r w:rsidRPr="00813CE7">
        <w:t>На момент рассмотрения доклада в Йемене продолжается</w:t>
      </w:r>
      <w:r>
        <w:t xml:space="preserve"> крупнейший гуманитарный кризис в мире: 21,6 </w:t>
      </w:r>
      <w:r w:rsidR="002E167F">
        <w:t>млн</w:t>
      </w:r>
      <w:r>
        <w:t xml:space="preserve"> человек нуждаются в гуманитарной помощи, более 4 </w:t>
      </w:r>
      <w:r w:rsidR="002E167F">
        <w:t>млн</w:t>
      </w:r>
      <w:r>
        <w:t xml:space="preserve"> человек перемещены, уровни бедности и дефицита продовольствия крайне </w:t>
      </w:r>
      <w:r>
        <w:lastRenderedPageBreak/>
        <w:t xml:space="preserve">высоки, и более половины медицинских учреждений по всей стране прекратили свою работу. </w:t>
      </w:r>
    </w:p>
    <w:p w14:paraId="23799190" w14:textId="77777777" w:rsidR="00540992" w:rsidRPr="00A93BC7" w:rsidRDefault="00540992" w:rsidP="00540992">
      <w:pPr>
        <w:pStyle w:val="SingleTxtG"/>
      </w:pPr>
      <w:r>
        <w:t>5.</w:t>
      </w:r>
      <w:r>
        <w:tab/>
        <w:t>Комитет признает, что, поскольку вооруженный конфликт препятствует эффективному контролю государства-участника над частью своей территории, оно не в состоянии обеспечить полноценное осуществление закрепленных в Пакте прав. Однако он напоминает государству-участнику, что обязательства в области прав человека действуют по всей стране и что государство несет ответственность за защиту всех лиц на своей территории без дискриминации. В этой связи государство-участник должно стремиться, насколько это возможно, выполнять свои обязательства по Пакту, прибегая ко всем средствам, совместимым с международным правом.</w:t>
      </w:r>
    </w:p>
    <w:p w14:paraId="09D20C52" w14:textId="4D3B9162" w:rsidR="00540992" w:rsidRPr="00A93BC7" w:rsidRDefault="00540992" w:rsidP="00540992">
      <w:pPr>
        <w:pStyle w:val="SingleTxtG"/>
      </w:pPr>
      <w:r>
        <w:t>6.</w:t>
      </w:r>
      <w:r>
        <w:tab/>
        <w:t>Комитет глубоко обеспокоен систематическими и грубыми нарушениями Пакта в ситуации вооруженного конфликта, включая военные преступления, такие как нападения на объекты, необходимые для выживания гражданского населения в плане обеспечения продовольствием и водой, и уничтожение, перемещение или приведение в негодность таких объектов; нападения на медицинские учреждения и транспортные средства; преднамеренные нападения на школы и больницы; сексуальное насилие; и</w:t>
      </w:r>
      <w:r w:rsidR="00377684">
        <w:t> </w:t>
      </w:r>
      <w:r>
        <w:t xml:space="preserve">набор или вербовка детей в возрасте до </w:t>
      </w:r>
      <w:r w:rsidR="00963B95">
        <w:t>15</w:t>
      </w:r>
      <w:r>
        <w:t xml:space="preserve"> лет в состав вооруженных сил или групп или их использование для активного участия в боевых действиях. Комитет напоминает, что применимость международного гуманитарного права не исключает применения международного права прав человека, включая Пакт, которое действует независимо, и в этой связи ссылается на пункт 106 консультативного заключения Международного суда от 9 июля 2004 года о правовых последствиях строительства стены на оккупированной палестинской территории, в котором Суд постановил, что «защита, обеспечиваемая конвенциями по правам человека, не прекращается во время вооруженного конфликта».</w:t>
      </w:r>
    </w:p>
    <w:p w14:paraId="5A2F5272" w14:textId="77777777" w:rsidR="00540992" w:rsidRPr="00A93BC7" w:rsidRDefault="00540992" w:rsidP="00540992">
      <w:pPr>
        <w:pStyle w:val="SingleTxtG"/>
      </w:pPr>
      <w:r>
        <w:t>7.</w:t>
      </w:r>
      <w:r>
        <w:tab/>
        <w:t xml:space="preserve">Комитет глубоко обеспокоен серьезным и долгосрочным воздействием вооруженного конфликта на осуществление экономических, социальных и культурных прав населения Йемена, включая их права на достаточный жизненный уровень, в том числе на питание, воду, санитарию и достаточное жилище; защиту семьи и детей; здравоохранение; и образование. Комитет особенно обеспокоен нападениями всех сторон конфликта на гражданскую инфраструктуру, имеющую решающее значение для реализации экономических, социальных и культурных прав, такую как медицинские учреждения, школы, инфраструктуру снабжения продовольствием и водой, включая фермы, ирригационные сооружения и рыболовецкие суда. </w:t>
      </w:r>
    </w:p>
    <w:p w14:paraId="647AC324" w14:textId="77777777" w:rsidR="00540992" w:rsidRPr="00A93BC7" w:rsidRDefault="00540992" w:rsidP="00540992">
      <w:pPr>
        <w:pStyle w:val="SingleTxtG"/>
      </w:pPr>
      <w:r>
        <w:t>8.</w:t>
      </w:r>
      <w:r>
        <w:tab/>
      </w:r>
      <w:r>
        <w:rPr>
          <w:b/>
          <w:bCs/>
        </w:rPr>
        <w:t>В этой связи Комитет рекомендует государству-участнику:</w:t>
      </w:r>
    </w:p>
    <w:p w14:paraId="549D3337" w14:textId="77777777" w:rsidR="00540992" w:rsidRPr="00710F3C" w:rsidRDefault="00540992" w:rsidP="00710F3C">
      <w:pPr>
        <w:pStyle w:val="SingleTxtG"/>
        <w:ind w:firstLine="567"/>
        <w:rPr>
          <w:b/>
          <w:bCs/>
        </w:rPr>
      </w:pPr>
      <w:r w:rsidRPr="00710F3C">
        <w:rPr>
          <w:b/>
          <w:bCs/>
        </w:rPr>
        <w:t>a)</w:t>
      </w:r>
      <w:r w:rsidRPr="00710F3C">
        <w:rPr>
          <w:b/>
          <w:bCs/>
        </w:rPr>
        <w:tab/>
        <w:t>бороться с безнаказанностью и эффективно предотвращать и расследовать нарушения экономических, социальных и культурных прав, включая нападения на такие объекты гражданской инфраструктуры, как медицинские учреждения, инфраструктура продовольственного обеспечения и водоснабжения и школы, а также преследовать в судебном порядке и наказывать всех ответственных за такие нарушения;</w:t>
      </w:r>
    </w:p>
    <w:p w14:paraId="2DC2977A" w14:textId="77777777" w:rsidR="00540992" w:rsidRPr="00710F3C" w:rsidRDefault="00540992" w:rsidP="00710F3C">
      <w:pPr>
        <w:pStyle w:val="SingleTxtG"/>
        <w:ind w:firstLine="567"/>
        <w:rPr>
          <w:b/>
          <w:bCs/>
        </w:rPr>
      </w:pPr>
      <w:r w:rsidRPr="00710F3C">
        <w:rPr>
          <w:b/>
          <w:bCs/>
        </w:rPr>
        <w:t>b)</w:t>
      </w:r>
      <w:r w:rsidRPr="00710F3C">
        <w:rPr>
          <w:b/>
          <w:bCs/>
        </w:rPr>
        <w:tab/>
        <w:t>проводить систематическую подготовку личного состава своих вооруженных сил по обязательствам государства в области прав человека и гуманитарного права, с тем чтобы обеспечить соблюдение в контексте военных операций принципов избирательности, соразмерности и предосторожности и запрещение нападений на гражданских лиц и гражданские объекты;</w:t>
      </w:r>
    </w:p>
    <w:p w14:paraId="1D39FCA3" w14:textId="77777777" w:rsidR="00540992" w:rsidRPr="00710F3C" w:rsidRDefault="00540992" w:rsidP="00710F3C">
      <w:pPr>
        <w:pStyle w:val="SingleTxtG"/>
        <w:ind w:firstLine="567"/>
        <w:rPr>
          <w:b/>
          <w:bCs/>
        </w:rPr>
      </w:pPr>
      <w:r w:rsidRPr="00710F3C">
        <w:rPr>
          <w:b/>
          <w:bCs/>
        </w:rPr>
        <w:t>c)</w:t>
      </w:r>
      <w:r w:rsidRPr="00710F3C">
        <w:rPr>
          <w:b/>
          <w:bCs/>
        </w:rPr>
        <w:tab/>
        <w:t xml:space="preserve">обеспечить доступ к эффективным средствам правовой защиты для жертв нарушений экономических, социальных и культурных прав в контексте вооруженного конфликта и обеспечить полное возмещение причиненного вреда; </w:t>
      </w:r>
    </w:p>
    <w:p w14:paraId="549DC079" w14:textId="626A1AAF" w:rsidR="00540992" w:rsidRPr="00710F3C" w:rsidRDefault="00540992" w:rsidP="00710F3C">
      <w:pPr>
        <w:pStyle w:val="SingleTxtG"/>
        <w:ind w:firstLine="567"/>
        <w:rPr>
          <w:b/>
          <w:bCs/>
        </w:rPr>
      </w:pPr>
      <w:r w:rsidRPr="00710F3C">
        <w:rPr>
          <w:b/>
          <w:bCs/>
        </w:rPr>
        <w:t>d)</w:t>
      </w:r>
      <w:r w:rsidRPr="00710F3C">
        <w:rPr>
          <w:b/>
          <w:bCs/>
        </w:rPr>
        <w:tab/>
        <w:t>активизировать усилия по продолжению восстановления и реабилитации основных объектов инфраструктуры, включая поврежденную водохозяйственн</w:t>
      </w:r>
      <w:r w:rsidRPr="00710F3C">
        <w:rPr>
          <w:b/>
          <w:bCs/>
          <w:lang w:bidi="ar-TN"/>
        </w:rPr>
        <w:t>ую и продовольственную</w:t>
      </w:r>
      <w:r w:rsidRPr="00710F3C">
        <w:rPr>
          <w:b/>
          <w:bCs/>
        </w:rPr>
        <w:t xml:space="preserve"> инфраструктуру, разрушенные школы и медицинские учреждения, путем привлечения дополнительных ресурсов, в том числе в рамках международного сотрудничества; </w:t>
      </w:r>
    </w:p>
    <w:p w14:paraId="42EDB1D5" w14:textId="77777777" w:rsidR="00540992" w:rsidRPr="00710F3C" w:rsidRDefault="00540992" w:rsidP="00710F3C">
      <w:pPr>
        <w:pStyle w:val="SingleTxtG"/>
        <w:ind w:firstLine="567"/>
        <w:rPr>
          <w:b/>
          <w:bCs/>
        </w:rPr>
      </w:pPr>
      <w:r w:rsidRPr="00710F3C">
        <w:rPr>
          <w:b/>
          <w:bCs/>
        </w:rPr>
        <w:t>e)</w:t>
      </w:r>
      <w:r w:rsidRPr="00710F3C">
        <w:rPr>
          <w:b/>
          <w:bCs/>
        </w:rPr>
        <w:tab/>
        <w:t>в дополнение к более интенсивной мобилизации ресурсов на внутреннем уровне активизировать усилия по обращению за международным сотрудничеством и помощью. В этой связи Комитет обращает внимание государства-участника на свое замечание общего порядка № 3 (1990) о природе обязательств государств-участников.</w:t>
      </w:r>
    </w:p>
    <w:p w14:paraId="33CC03FC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Применение Пакта во внутреннем праве</w:t>
      </w:r>
    </w:p>
    <w:p w14:paraId="34C19897" w14:textId="1229A34A" w:rsidR="00540992" w:rsidRPr="00A93BC7" w:rsidRDefault="00540992" w:rsidP="00540992">
      <w:pPr>
        <w:pStyle w:val="SingleTxtG"/>
      </w:pPr>
      <w:r>
        <w:t>9.</w:t>
      </w:r>
      <w:r>
        <w:tab/>
        <w:t xml:space="preserve">Ввиду того, что Пакт не имеет прямого применения во внутренней правовой системе, Комитет обеспокоен тем, что не все предусмотренные Пактом права гарантированы Конституцией и законами государства-участника и, следовательно, не могут быть защищены в судебном порядке. </w:t>
      </w:r>
    </w:p>
    <w:p w14:paraId="02079B9F" w14:textId="320B1D8E" w:rsidR="00540992" w:rsidRPr="00A93BC7" w:rsidRDefault="00540992" w:rsidP="007E14DD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и другие соответствующие меры для включения Пакта в национальное законодательство в полном объеме, с тем чтобы обеспечить применимость всех закрепленных в Пакте прав в национальных судах.</w:t>
      </w:r>
      <w:r>
        <w:t xml:space="preserve"> </w:t>
      </w:r>
      <w:r>
        <w:rPr>
          <w:b/>
          <w:bCs/>
        </w:rPr>
        <w:t>Ему следует обеспечить, чтобы в процессе подготовки юристов и судей в полной мере учитывалась возможность защиты этих прав в судебном порядке, и содействовать использованию Пакта в качестве источника внутреннего права.</w:t>
      </w:r>
      <w:r>
        <w:t xml:space="preserve"> </w:t>
      </w:r>
      <w:r>
        <w:rPr>
          <w:b/>
          <w:bCs/>
        </w:rPr>
        <w:t xml:space="preserve">Комитет обращает внимание государства-участника на свое замечание общего </w:t>
      </w:r>
      <w:r w:rsidR="00E45947">
        <w:rPr>
          <w:b/>
          <w:bCs/>
        </w:rPr>
        <w:br/>
      </w:r>
      <w:r>
        <w:rPr>
          <w:b/>
          <w:bCs/>
        </w:rPr>
        <w:t>порядка № 9 (1998) о применении Пакта во внутреннем праве и призывает его ратифицировать Факультативный протокол к Международному пакту об экономических, социальных и культурных правах.</w:t>
      </w:r>
    </w:p>
    <w:p w14:paraId="78E9D02A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3CE3DE4F" w14:textId="77777777" w:rsidR="00540992" w:rsidRPr="00A93BC7" w:rsidRDefault="00540992" w:rsidP="00540992">
      <w:pPr>
        <w:pStyle w:val="SingleTxtG"/>
      </w:pPr>
      <w:r>
        <w:t>11.</w:t>
      </w:r>
      <w:r>
        <w:tab/>
        <w:t>Приветствуя усилия, предпринятые государством-участником для укрепления мандата Национальной комиссии по расследованию, Комитет выражает обеспокоенность отсутствием у нее независимости, необходимой для выполнения своих обязанностей.</w:t>
      </w:r>
    </w:p>
    <w:p w14:paraId="0CD461A2" w14:textId="77777777" w:rsidR="00540992" w:rsidRPr="00A93BC7" w:rsidRDefault="00540992" w:rsidP="00540992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AB22AAA" w14:textId="3B39FACE" w:rsidR="00540992" w:rsidRPr="007E14DD" w:rsidRDefault="00540992" w:rsidP="007E14DD">
      <w:pPr>
        <w:pStyle w:val="SingleTxtG"/>
        <w:ind w:firstLine="567"/>
        <w:rPr>
          <w:b/>
          <w:bCs/>
        </w:rPr>
      </w:pPr>
      <w:r w:rsidRPr="006F2C3E">
        <w:rPr>
          <w:b/>
          <w:bCs/>
        </w:rPr>
        <w:t>a)</w:t>
      </w:r>
      <w:r w:rsidRPr="006F2C3E">
        <w:rPr>
          <w:b/>
          <w:bCs/>
        </w:rPr>
        <w:tab/>
      </w:r>
      <w:r>
        <w:rPr>
          <w:b/>
          <w:bCs/>
        </w:rPr>
        <w:t xml:space="preserve">принять меры для приведения Национальной комиссии по расследованию </w:t>
      </w:r>
      <w:r w:rsidRPr="007E14DD">
        <w:rPr>
          <w:b/>
          <w:bCs/>
        </w:rPr>
        <w:t>в полное соответствие с принципами, касающимися статуса национальных учреждений, занимающихся поощрением и защитой прав человека (Парижские принципы), путем дальнейшего укрепления е</w:t>
      </w:r>
      <w:r w:rsidR="007E14DD" w:rsidRPr="007E14DD">
        <w:rPr>
          <w:b/>
          <w:bCs/>
        </w:rPr>
        <w:t>е</w:t>
      </w:r>
      <w:r w:rsidRPr="007E14DD">
        <w:rPr>
          <w:b/>
          <w:bCs/>
        </w:rPr>
        <w:t xml:space="preserve"> независимости и предоставления ей достаточных кадровых, технических и финансовых ресурсов для эффективного и независимого осуществления своего мандата, включая поощрение и защиту экономических, социальных и культурных прав;</w:t>
      </w:r>
    </w:p>
    <w:p w14:paraId="301B990B" w14:textId="77777777" w:rsidR="00540992" w:rsidRPr="007E14DD" w:rsidRDefault="00540992" w:rsidP="007E14DD">
      <w:pPr>
        <w:pStyle w:val="SingleTxtG"/>
        <w:ind w:firstLine="567"/>
        <w:rPr>
          <w:b/>
          <w:bCs/>
        </w:rPr>
      </w:pPr>
      <w:r w:rsidRPr="007E14DD">
        <w:rPr>
          <w:b/>
          <w:bCs/>
        </w:rPr>
        <w:t>b)</w:t>
      </w:r>
      <w:r w:rsidRPr="007E14DD">
        <w:rPr>
          <w:b/>
          <w:bCs/>
        </w:rPr>
        <w:tab/>
        <w:t>выполнить рекомендации, содержащиеся в докладе Верховного комиссара Организации Объединенных Наций по правам человека о реализации технической помощи, предоставленной Национальной комиссии по расследованию для расследования утверждений о нарушениях и ущемлениях, совершенных всеми сторонами конфликта в Йемене (19 сентября 2022 года)</w:t>
      </w:r>
      <w:r w:rsidRPr="00FD5A47">
        <w:rPr>
          <w:rStyle w:val="a8"/>
        </w:rPr>
        <w:footnoteReference w:id="6"/>
      </w:r>
      <w:r w:rsidRPr="007E14DD">
        <w:rPr>
          <w:b/>
          <w:bCs/>
        </w:rPr>
        <w:t>;</w:t>
      </w:r>
    </w:p>
    <w:p w14:paraId="2DCB1A4E" w14:textId="77777777" w:rsidR="00540992" w:rsidRPr="007E14DD" w:rsidRDefault="00540992" w:rsidP="007E14DD">
      <w:pPr>
        <w:pStyle w:val="SingleTxtG"/>
        <w:ind w:firstLine="567"/>
        <w:rPr>
          <w:b/>
          <w:bCs/>
        </w:rPr>
      </w:pPr>
      <w:r w:rsidRPr="007E14DD">
        <w:rPr>
          <w:b/>
          <w:bCs/>
        </w:rPr>
        <w:t>c)</w:t>
      </w:r>
      <w:r w:rsidRPr="007E14DD">
        <w:rPr>
          <w:b/>
          <w:bCs/>
        </w:rPr>
        <w:tab/>
        <w:t xml:space="preserve">представить в следующем периодическом докладе информацию о количестве и характере жалоб, полученных и рассмотренных Национальной комиссией по расследованию и касающихся нарушений экономических, социальных и культурных прав. </w:t>
      </w:r>
    </w:p>
    <w:p w14:paraId="63BCFDF9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Правозащитники</w:t>
      </w:r>
      <w:r>
        <w:t xml:space="preserve"> </w:t>
      </w:r>
    </w:p>
    <w:p w14:paraId="646818EA" w14:textId="77777777" w:rsidR="00540992" w:rsidRPr="00A93BC7" w:rsidRDefault="00540992" w:rsidP="00540992">
      <w:pPr>
        <w:pStyle w:val="SingleTxtG"/>
      </w:pPr>
      <w:r>
        <w:t>13.</w:t>
      </w:r>
      <w:r>
        <w:tab/>
        <w:t>Комитет обеспокоен заслуживающими доверия и надежными сообщениями о преследованиях, запугивании и репрессиях в отношении правозащитников, в том числе тех, кто занимается вопросами экономических, социальных и культурных прав и социальной справедливости.</w:t>
      </w:r>
    </w:p>
    <w:p w14:paraId="0890B296" w14:textId="77777777" w:rsidR="00540992" w:rsidRPr="00A93BC7" w:rsidRDefault="00540992" w:rsidP="00540992">
      <w:pPr>
        <w:pStyle w:val="SingleTxtG"/>
      </w:pPr>
      <w:r>
        <w:t>14.</w:t>
      </w:r>
      <w:r>
        <w:tab/>
      </w:r>
      <w:r>
        <w:rPr>
          <w:b/>
          <w:bCs/>
        </w:rPr>
        <w:t>Комитет просит государство-участника:</w:t>
      </w:r>
    </w:p>
    <w:p w14:paraId="321FD559" w14:textId="77777777" w:rsidR="00540992" w:rsidRPr="004F3C6E" w:rsidRDefault="00540992" w:rsidP="004F3C6E">
      <w:pPr>
        <w:pStyle w:val="SingleTxtG"/>
        <w:ind w:firstLine="567"/>
        <w:rPr>
          <w:b/>
          <w:bCs/>
        </w:rPr>
      </w:pPr>
      <w:r w:rsidRPr="00CE565D">
        <w:rPr>
          <w:b/>
          <w:bCs/>
        </w:rPr>
        <w:t>a)</w:t>
      </w:r>
      <w:r w:rsidRPr="00CE565D">
        <w:rPr>
          <w:b/>
          <w:bCs/>
        </w:rPr>
        <w:tab/>
      </w:r>
      <w:r>
        <w:rPr>
          <w:b/>
          <w:bCs/>
        </w:rPr>
        <w:t xml:space="preserve">гарантировать эффективную защиту правозащитников, включая тех, кто </w:t>
      </w:r>
      <w:r w:rsidRPr="004F3C6E">
        <w:rPr>
          <w:b/>
          <w:bCs/>
        </w:rPr>
        <w:t xml:space="preserve">занимается защитой экономических, социальных и культурных прав, от всех форм преследования, запугивания и репрессий; </w:t>
      </w:r>
    </w:p>
    <w:p w14:paraId="0A487B4C" w14:textId="77777777" w:rsidR="00540992" w:rsidRPr="004F3C6E" w:rsidRDefault="00540992" w:rsidP="004F3C6E">
      <w:pPr>
        <w:pStyle w:val="SingleTxtG"/>
        <w:ind w:firstLine="567"/>
        <w:rPr>
          <w:b/>
          <w:bCs/>
        </w:rPr>
      </w:pPr>
      <w:r w:rsidRPr="004F3C6E">
        <w:rPr>
          <w:b/>
          <w:bCs/>
        </w:rPr>
        <w:t>b)</w:t>
      </w:r>
      <w:r w:rsidRPr="004F3C6E">
        <w:rPr>
          <w:b/>
          <w:bCs/>
        </w:rPr>
        <w:tab/>
        <w:t>проводить тщательные, беспристрастные и эффективные расследования всех сообщений о посягательстве на жизнь, физическую неприкосновенность или свободу правозащитников, а также об актах насилия, угроз, преследования, запугивания, травли и клеветы, совершенных против них, и обеспечить привлечение виновных к ответственности;</w:t>
      </w:r>
    </w:p>
    <w:p w14:paraId="19AEBC6C" w14:textId="77777777" w:rsidR="00540992" w:rsidRPr="004F3C6E" w:rsidRDefault="00540992" w:rsidP="004F3C6E">
      <w:pPr>
        <w:pStyle w:val="SingleTxtG"/>
        <w:ind w:firstLine="567"/>
        <w:rPr>
          <w:b/>
          <w:bCs/>
        </w:rPr>
      </w:pPr>
      <w:r w:rsidRPr="004F3C6E">
        <w:rPr>
          <w:b/>
          <w:bCs/>
        </w:rPr>
        <w:t>c)</w:t>
      </w:r>
      <w:r w:rsidRPr="004F3C6E">
        <w:rPr>
          <w:b/>
          <w:bCs/>
        </w:rPr>
        <w:tab/>
        <w:t>проводить информационно-просветительские кампании о важности работы, осуществляемой правозащитниками, с тем чтобы создать атмосферу терпимости, позволяющую им выполнять свою миссию, не опасаясь запугивания, угроз и репрессий в какой бы то ни было форме;</w:t>
      </w:r>
    </w:p>
    <w:p w14:paraId="5F7F3C58" w14:textId="77777777" w:rsidR="00540992" w:rsidRPr="00A93BC7" w:rsidRDefault="00540992" w:rsidP="004F3C6E">
      <w:pPr>
        <w:pStyle w:val="SingleTxtG"/>
        <w:ind w:firstLine="567"/>
        <w:rPr>
          <w:b/>
          <w:bCs/>
        </w:rPr>
      </w:pPr>
      <w:r w:rsidRPr="004F3C6E">
        <w:rPr>
          <w:b/>
          <w:bCs/>
        </w:rPr>
        <w:t>d)</w:t>
      </w:r>
      <w:r w:rsidRPr="004F3C6E">
        <w:rPr>
          <w:b/>
          <w:bCs/>
        </w:rPr>
        <w:tab/>
        <w:t>обратить внимание на заявление Комитета в отношении правозащитников и экономических, социальных и культурных прав, принятое в 2016 году</w:t>
      </w:r>
      <w:r w:rsidRPr="00390832">
        <w:rPr>
          <w:rStyle w:val="a8"/>
        </w:rPr>
        <w:footnoteReference w:id="7"/>
      </w:r>
      <w:r>
        <w:rPr>
          <w:b/>
          <w:bCs/>
        </w:rPr>
        <w:t>.</w:t>
      </w:r>
    </w:p>
    <w:p w14:paraId="2F3AF641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Землевладение</w:t>
      </w:r>
      <w:r>
        <w:t xml:space="preserve"> </w:t>
      </w:r>
    </w:p>
    <w:p w14:paraId="0405DFE0" w14:textId="77777777" w:rsidR="00540992" w:rsidRPr="00A93BC7" w:rsidRDefault="00540992" w:rsidP="00540992">
      <w:pPr>
        <w:pStyle w:val="SingleTxtG"/>
      </w:pPr>
      <w:r>
        <w:t>15.</w:t>
      </w:r>
      <w:r>
        <w:tab/>
        <w:t xml:space="preserve">Комитет обеспокоен большим количеством земельных споров и случаев захвата земель в государстве-участнике вследствие отсутствия системы документирования прав собственности на землю, независимо от того, является ли землевладение официальным или традиционным. </w:t>
      </w:r>
    </w:p>
    <w:p w14:paraId="706A5A0E" w14:textId="77777777" w:rsidR="00540992" w:rsidRPr="00A93BC7" w:rsidRDefault="00540992" w:rsidP="00540992">
      <w:pPr>
        <w:pStyle w:val="SingleTxtG"/>
        <w:keepNext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B0DC871" w14:textId="77777777" w:rsidR="00540992" w:rsidRPr="008B25B3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создать учреждение для осуществления надзора за урегулированием земельных споров;</w:t>
      </w:r>
    </w:p>
    <w:p w14:paraId="1ACF6C8C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разработать и внедрить систему собственности, основанную на правах человека, и эффективную, всеобъемлющую и прозрачную систему регистрации земельных участков;</w:t>
      </w:r>
      <w:r w:rsidRPr="008B25B3">
        <w:rPr>
          <w:b/>
          <w:bCs/>
        </w:rPr>
        <w:t xml:space="preserve"> </w:t>
      </w:r>
    </w:p>
    <w:p w14:paraId="2283F401" w14:textId="3C5D4CC5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</w:t>
      </w:r>
      <w:r>
        <w:t>)</w:t>
      </w:r>
      <w:r>
        <w:tab/>
      </w:r>
      <w:r>
        <w:rPr>
          <w:b/>
          <w:bCs/>
        </w:rPr>
        <w:t>в полной мере учитывать замечание общего порядка Комитета № 26 (2022) о земельных вопросах и экономических, социальных и культурных правах.</w:t>
      </w:r>
    </w:p>
    <w:p w14:paraId="3B34863B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Международная помощь</w:t>
      </w:r>
    </w:p>
    <w:p w14:paraId="690E644A" w14:textId="77777777" w:rsidR="00540992" w:rsidRPr="00A93BC7" w:rsidRDefault="00540992" w:rsidP="00540992">
      <w:pPr>
        <w:pStyle w:val="SingleTxtG"/>
      </w:pPr>
      <w:r>
        <w:t>17.</w:t>
      </w:r>
      <w:r>
        <w:tab/>
        <w:t xml:space="preserve">Комитет обеспокоен сообщениями о препятствиях и вмешательстве в работу гуманитарных работников, включая ограничения на передвижение, неодобрение гуманитарных проектов или их одобрение с задержкой, произвольное приостановление деятельности и попытки перенаправления помощи, а также отказ или задержку в предоставлении разрешений на работу, виз или разрешений на поездки для гуманитарных работников. Комитет особенно обеспокоен сообщениями учреждений по оказанию помощи о насилии в отношении их персонала и нанесении ущерба их объектам, при этом большинство этих случаев происходит в районах, контролируемых правительством. Кроме того, Комитет обеспокоен перекрытием дорог, которое серьезно ограничивает поток товаров первой необходимости, включая медикаменты и продовольствие, и гуманитарный доступ. </w:t>
      </w:r>
    </w:p>
    <w:p w14:paraId="682A696F" w14:textId="77777777" w:rsidR="00540992" w:rsidRPr="00A93BC7" w:rsidRDefault="00540992" w:rsidP="00540992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призывает государство-участник:</w:t>
      </w:r>
    </w:p>
    <w:p w14:paraId="3E1BBF82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обеспечивать защиту всего гуманитарного персонала и имущества и проводить эффективные расследования всех нарушений, препятствующих деятельности гуманитарных работников;</w:t>
      </w:r>
      <w:r w:rsidRPr="008B25B3">
        <w:rPr>
          <w:b/>
          <w:bCs/>
        </w:rPr>
        <w:t xml:space="preserve"> </w:t>
      </w:r>
    </w:p>
    <w:p w14:paraId="498EC58D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>
        <w:tab/>
      </w:r>
      <w:r>
        <w:rPr>
          <w:b/>
          <w:bCs/>
        </w:rPr>
        <w:t>принять меры для устранения всех препятствий и вмешательства в работу гуманитарных учреждений по доставке помощи и обеспечить безопасный, быстрый и беспрепятственный проход для оказания гуманитарной помощи всем нуждающимся гражданским лицам;</w:t>
      </w:r>
      <w:r>
        <w:t xml:space="preserve"> </w:t>
      </w:r>
    </w:p>
    <w:p w14:paraId="053D9E93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вновь открыть дороги и снять все ограничения на доставку продовольствия, медикаментов и других товаров первой необходимости по всей стране.</w:t>
      </w:r>
    </w:p>
    <w:p w14:paraId="27F9138B" w14:textId="17467DEA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Предпринимательская деятельность и экономические, социальные и</w:t>
      </w:r>
      <w:r w:rsidR="008B25B3">
        <w:rPr>
          <w:bCs/>
        </w:rPr>
        <w:t> </w:t>
      </w:r>
      <w:r>
        <w:rPr>
          <w:bCs/>
        </w:rPr>
        <w:t>культурные права</w:t>
      </w:r>
    </w:p>
    <w:p w14:paraId="196F806F" w14:textId="1983283A" w:rsidR="00540992" w:rsidRPr="00A93BC7" w:rsidRDefault="00540992" w:rsidP="00540992">
      <w:pPr>
        <w:pStyle w:val="SingleTxtG"/>
      </w:pPr>
      <w:r>
        <w:t>19.</w:t>
      </w:r>
      <w:r>
        <w:tab/>
        <w:t>Комитет выражает сожаление в связи с тем, что не получил от государства-участника информации о действующей нормативной базе, обеспечивающей соблюдение субъектами предпринимательства прав, предусмотренных Пактом, и</w:t>
      </w:r>
      <w:r w:rsidR="009B5FFF">
        <w:t> </w:t>
      </w:r>
      <w:r>
        <w:t xml:space="preserve">применение ими политики должной осмотрительности в вопросах прав человека. </w:t>
      </w:r>
    </w:p>
    <w:p w14:paraId="659ED9FE" w14:textId="77777777" w:rsidR="00540992" w:rsidRPr="00A93BC7" w:rsidRDefault="00540992" w:rsidP="00540992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и административные меры, включая план действий, для обеспечения того, чтобы деятельность компаний, зарегистрированных в государстве-участнике или ведущих деятельность на его территории, не оказывала негативного влияния на осуществление экономических, социальных и культурных прав.</w:t>
      </w:r>
      <w:r>
        <w:t xml:space="preserve"> </w:t>
      </w:r>
      <w:r>
        <w:rPr>
          <w:b/>
          <w:bCs/>
        </w:rPr>
        <w:t>Кроме того, Комитет призывает государство-участник в полной мере соблюдать его замечание общего порядка № 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деятельности.</w:t>
      </w:r>
    </w:p>
    <w:p w14:paraId="1A1DE3E8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Максимальные пределы имеющихся ресурсов</w:t>
      </w:r>
      <w:r>
        <w:t xml:space="preserve"> </w:t>
      </w:r>
    </w:p>
    <w:p w14:paraId="07BCEDB6" w14:textId="290E0872" w:rsidR="00540992" w:rsidRPr="00A93BC7" w:rsidRDefault="00540992" w:rsidP="00540992">
      <w:pPr>
        <w:pStyle w:val="SingleTxtG"/>
      </w:pPr>
      <w:r>
        <w:t>21.</w:t>
      </w:r>
      <w:r>
        <w:tab/>
        <w:t>Признавая трудности, с которыми сталкивается государство-участник в связи с продолжающимся конфликтом, Комитет выражает обеспокоенность по поводу ограниченных масштабов мобилизации внутренних ресурсов для реализации экономических, социальных и культурных прав, особенно в отношении таких социальных услуг, как здравоохранение, образование и социальная защита. Комитет также обеспокоен отсутствием конкретной информации от государства-участника об использовании и распределении средств от международного сотрудничества и отсутствием консультаций с общественностью, в том числе с гражданским обществом (ст</w:t>
      </w:r>
      <w:r w:rsidR="00B86BDB">
        <w:t>.</w:t>
      </w:r>
      <w:r>
        <w:t xml:space="preserve"> 2 (п. 1)). </w:t>
      </w:r>
    </w:p>
    <w:p w14:paraId="75F81BF5" w14:textId="1F81DD6E" w:rsidR="00540992" w:rsidRPr="00A93BC7" w:rsidRDefault="00540992" w:rsidP="00540992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Ссылаясь на свое замечание общего порядка № 3 (1990) о характере обязательств государств-участников, Комитет рекомендует государству-участнику выделить бюджетные средства, необходимые для осуществления закрепленных в Пакте прав, мобилизовав для этого национальные ресурсы, в</w:t>
      </w:r>
      <w:r w:rsidR="00132FD2">
        <w:rPr>
          <w:b/>
          <w:bCs/>
        </w:rPr>
        <w:t> </w:t>
      </w:r>
      <w:r>
        <w:rPr>
          <w:b/>
          <w:bCs/>
        </w:rPr>
        <w:t>частности на социальные услуги, и обращаясь, в случае необходимости, за международной помощью и сотрудничеством.</w:t>
      </w:r>
      <w:r>
        <w:t xml:space="preserve"> </w:t>
      </w:r>
      <w:r>
        <w:rPr>
          <w:b/>
          <w:bCs/>
        </w:rPr>
        <w:t xml:space="preserve">Комитет также рекомендует государству-участнику обеспечить, чтобы составление и исполнение бюджета осуществлялись на прозрачной и </w:t>
      </w:r>
      <w:proofErr w:type="spellStart"/>
      <w:r>
        <w:rPr>
          <w:b/>
          <w:bCs/>
        </w:rPr>
        <w:t>партисипативной</w:t>
      </w:r>
      <w:proofErr w:type="spellEnd"/>
      <w:r>
        <w:rPr>
          <w:b/>
          <w:bCs/>
        </w:rPr>
        <w:t xml:space="preserve"> основе и гарантировали осуществление экономических, социальных и культурных прав всеми слоями населения, в частности наиболее маргинализированными группами и лицами и теми, кто находится в особо </w:t>
      </w:r>
      <w:r w:rsidRPr="00CD1203">
        <w:rPr>
          <w:b/>
          <w:bCs/>
        </w:rPr>
        <w:t>неблагоприятном положении</w:t>
      </w:r>
      <w:r>
        <w:rPr>
          <w:b/>
          <w:bCs/>
        </w:rPr>
        <w:t>.</w:t>
      </w:r>
      <w:r>
        <w:t xml:space="preserve"> </w:t>
      </w:r>
    </w:p>
    <w:p w14:paraId="4A5572B9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Коррупция</w:t>
      </w:r>
      <w:r>
        <w:t xml:space="preserve"> </w:t>
      </w:r>
    </w:p>
    <w:p w14:paraId="4B1F12A0" w14:textId="4CC9CDF6" w:rsidR="00540992" w:rsidRPr="00A93BC7" w:rsidRDefault="00540992" w:rsidP="00540992">
      <w:pPr>
        <w:pStyle w:val="SingleTxtG"/>
      </w:pPr>
      <w:r>
        <w:t>23.</w:t>
      </w:r>
      <w:r>
        <w:tab/>
        <w:t>Комитет обеспокоен системной коррупцией в государстве-участнике, что подтверждается 176-м местом страны среди 180 стран, включенных в Индекс восприятия коррупции 2022 года, составленный организацией «</w:t>
      </w:r>
      <w:proofErr w:type="spellStart"/>
      <w:r>
        <w:t>Транспэренси</w:t>
      </w:r>
      <w:proofErr w:type="spellEnd"/>
      <w:r>
        <w:t xml:space="preserve"> Интернэшнл»; коррупция затрагивает все аспекты государственной и частной деятельности и препятствует использованию ресурсов государства для эффективного осуществления Пакта. Комитет также обеспокоен отсутствием информации о мерах, принимаемых с целью борьбы с коррупцией, и результатах их применения </w:t>
      </w:r>
      <w:r w:rsidR="001D6B3F">
        <w:br/>
      </w:r>
      <w:r>
        <w:t>(ст</w:t>
      </w:r>
      <w:r w:rsidR="009D1D26">
        <w:t>.</w:t>
      </w:r>
      <w:r>
        <w:t xml:space="preserve"> 2 (п. 1)). </w:t>
      </w:r>
    </w:p>
    <w:p w14:paraId="021A61CA" w14:textId="77777777" w:rsidR="00540992" w:rsidRPr="00A93BC7" w:rsidRDefault="00540992" w:rsidP="00540992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92637CE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в приоритетном порядке устранить коренные причины коррупции;</w:t>
      </w:r>
    </w:p>
    <w:p w14:paraId="5A37C73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принять все необходимые законодательные и административные меры для обеспечения прозрачности и подотчетности в сфере государственного управления, как в законодательстве, так и на практике, и использования государственных ресурсов, в том числе в отношении средств, полученных в рамках международного сотрудничества;</w:t>
      </w:r>
      <w:r w:rsidRPr="008B25B3">
        <w:rPr>
          <w:b/>
          <w:bCs/>
        </w:rPr>
        <w:t xml:space="preserve"> </w:t>
      </w:r>
    </w:p>
    <w:p w14:paraId="28E31AC5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укреплять существующие антикоррупционные органы и учреждения, в том числе путем обеспечения их независимости и предоставления достаточного финансирования для программ обучения и наращивания институционального потенциала;</w:t>
      </w:r>
    </w:p>
    <w:p w14:paraId="2B86C678" w14:textId="1E078DED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обеспечить эффективное осуществление антикоррупционных мер и принять меры для эффективной защиты жертв коррупции и их адвокатов, активистов в сфере борьбы с коррупцией, лиц, сигнализирующих о нарушениях, и свидетелей.</w:t>
      </w:r>
    </w:p>
    <w:p w14:paraId="6C78A75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  <w:r>
        <w:t xml:space="preserve"> </w:t>
      </w:r>
    </w:p>
    <w:p w14:paraId="6BB85B7E" w14:textId="093F001D" w:rsidR="00540992" w:rsidRPr="00A93BC7" w:rsidRDefault="00540992" w:rsidP="00540992">
      <w:pPr>
        <w:pStyle w:val="SingleTxtG"/>
      </w:pPr>
      <w:r>
        <w:t>25.</w:t>
      </w:r>
      <w:r>
        <w:tab/>
        <w:t>Комитет обеспокоен отсутствием в государстве-участнике всеобъемлющего антидискриминационного закона, включающего все основания для дискриминации во всех областях, охватываемых Пактом, а также сохраняющейся дискриминацией, с</w:t>
      </w:r>
      <w:r w:rsidR="00782041">
        <w:t> </w:t>
      </w:r>
      <w:r>
        <w:t>которой сталкиваются лица и группы, находящиеся в неблагоприятном и маргинализированном положении, при доступе к экономическим, социальным и культурным правам (ст</w:t>
      </w:r>
      <w:r w:rsidR="00782041">
        <w:t>.</w:t>
      </w:r>
      <w:r>
        <w:t xml:space="preserve"> 2 (п. 2)).</w:t>
      </w:r>
    </w:p>
    <w:p w14:paraId="1A9AD51B" w14:textId="77777777" w:rsidR="00540992" w:rsidRPr="00A93BC7" w:rsidRDefault="00540992" w:rsidP="00540992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0EE28AD" w14:textId="106ED08A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 xml:space="preserve">принять всеобъемлющее антидискриминационное законодательство в соответствии с пунктом 2 статьи 2 Пакта и его замечанием общего </w:t>
      </w:r>
      <w:r w:rsidR="00A83893">
        <w:rPr>
          <w:b/>
          <w:bCs/>
        </w:rPr>
        <w:br/>
      </w:r>
      <w:r>
        <w:rPr>
          <w:b/>
          <w:bCs/>
        </w:rPr>
        <w:t>порядка № 20 (2009) о недискриминации при осуществлении экономических, социальных и культурных прав, запрещающее прямую и косвенную дискриминацию по всем признакам во всех областях, охватываемых Пактом;</w:t>
      </w:r>
    </w:p>
    <w:p w14:paraId="0B9B53B6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обеспечить эффективную защиту от дискриминации всех лиц, особенно находящихся в неблагоприятном или маргинализированном положении.</w:t>
      </w:r>
      <w:r>
        <w:t xml:space="preserve"> </w:t>
      </w:r>
    </w:p>
    <w:p w14:paraId="60E71EF1" w14:textId="77777777" w:rsidR="00540992" w:rsidRPr="00A93BC7" w:rsidRDefault="00540992" w:rsidP="00540992">
      <w:pPr>
        <w:pStyle w:val="H23G"/>
      </w:pPr>
      <w:r>
        <w:tab/>
      </w:r>
      <w:r>
        <w:tab/>
      </w:r>
      <w:proofErr w:type="spellStart"/>
      <w:r>
        <w:rPr>
          <w:bCs/>
        </w:rPr>
        <w:t>Мухамашин</w:t>
      </w:r>
      <w:proofErr w:type="spellEnd"/>
    </w:p>
    <w:p w14:paraId="1D9AFBBD" w14:textId="3AB964BB" w:rsidR="00540992" w:rsidRPr="00390832" w:rsidRDefault="00540992" w:rsidP="00540992">
      <w:pPr>
        <w:pStyle w:val="SingleTxtG"/>
      </w:pPr>
      <w:r>
        <w:t>27.</w:t>
      </w:r>
      <w:r>
        <w:tab/>
        <w:t xml:space="preserve">Комитет обеспокоен тем, что община </w:t>
      </w:r>
      <w:proofErr w:type="spellStart"/>
      <w:r>
        <w:t>мухамашин</w:t>
      </w:r>
      <w:proofErr w:type="spellEnd"/>
      <w:r>
        <w:t xml:space="preserve"> сталкивается с институциональной дискриминацией и препятствиями в отношении здравоохранения, образования, занятости, жилья, гражданского статуса и продовольственной безопасности, а также не имеет доступа к гуманитарной помощи и основным услугам. Комитет также обеспокоен тем, что женщины из общины </w:t>
      </w:r>
      <w:proofErr w:type="spellStart"/>
      <w:r>
        <w:t>мухамашин</w:t>
      </w:r>
      <w:proofErr w:type="spellEnd"/>
      <w:r>
        <w:t xml:space="preserve"> особо уязвимы </w:t>
      </w:r>
      <w:r>
        <w:rPr>
          <w:lang w:bidi="ar-TN"/>
        </w:rPr>
        <w:t>в плане</w:t>
      </w:r>
      <w:r>
        <w:t xml:space="preserve"> нарушения их прав по Пакту из-за практикуемой по отношению к ним многогранной дискриминации; многие из них никогда не посещали школу и подвержены гендерному насилию (ст</w:t>
      </w:r>
      <w:r w:rsidR="006650E5">
        <w:t>.</w:t>
      </w:r>
      <w:r>
        <w:t xml:space="preserve"> 2 (п. 2)). </w:t>
      </w:r>
    </w:p>
    <w:p w14:paraId="5DB8429F" w14:textId="77777777" w:rsidR="00540992" w:rsidRPr="00A93BC7" w:rsidRDefault="00540992" w:rsidP="00540992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00E0BA1D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 xml:space="preserve">принять все необходимые меры для эффективной борьбы с негативными стереотипами и систематической дискриминацией в отношении общины </w:t>
      </w:r>
      <w:proofErr w:type="spellStart"/>
      <w:r>
        <w:rPr>
          <w:b/>
          <w:bCs/>
        </w:rPr>
        <w:t>мухамашин</w:t>
      </w:r>
      <w:proofErr w:type="spellEnd"/>
      <w:r>
        <w:rPr>
          <w:b/>
          <w:bCs/>
        </w:rPr>
        <w:t>, особенно женщин из их числа;</w:t>
      </w:r>
    </w:p>
    <w:p w14:paraId="485090AC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 xml:space="preserve">принять итоги Конференции по национальному диалогу, посвященной вопросам инклюзии и интеграции общины </w:t>
      </w:r>
      <w:proofErr w:type="spellStart"/>
      <w:r>
        <w:rPr>
          <w:b/>
          <w:bCs/>
        </w:rPr>
        <w:t>мухамашин</w:t>
      </w:r>
      <w:proofErr w:type="spellEnd"/>
      <w:r>
        <w:rPr>
          <w:b/>
          <w:bCs/>
        </w:rPr>
        <w:t>, в том числе путем принятия временных специальных мер, таких как квота на участие представителей этой общины во всех органах власти и управления;</w:t>
      </w:r>
    </w:p>
    <w:p w14:paraId="55CB01C8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 xml:space="preserve">разработать и внедрить комплексную национальную стратегию для эффективного обеспечения полного доступа к образованию, здравоохранению, жилью и общественным услугам для общин </w:t>
      </w:r>
      <w:proofErr w:type="spellStart"/>
      <w:r>
        <w:rPr>
          <w:b/>
          <w:bCs/>
        </w:rPr>
        <w:t>мухамашин</w:t>
      </w:r>
      <w:proofErr w:type="spellEnd"/>
      <w:r>
        <w:rPr>
          <w:b/>
          <w:bCs/>
        </w:rPr>
        <w:t>, особенно женщин, включая возможности технического и профессионального обучения для улучшения их перспектив трудоустройства.</w:t>
      </w:r>
    </w:p>
    <w:p w14:paraId="68103F27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Дискриминация по признакам сексуальной ориентации и гендерной идентичности</w:t>
      </w:r>
    </w:p>
    <w:p w14:paraId="5253B1C7" w14:textId="3855A010" w:rsidR="00540992" w:rsidRPr="00A93BC7" w:rsidRDefault="00540992" w:rsidP="00540992">
      <w:pPr>
        <w:pStyle w:val="SingleTxtG"/>
      </w:pPr>
      <w:r>
        <w:t>29.</w:t>
      </w:r>
      <w:r>
        <w:tab/>
        <w:t xml:space="preserve">Комитет обеспокоен тем, что однополые отношения по обоюдному согласию между взрослыми </w:t>
      </w:r>
      <w:r w:rsidRPr="00723FA2">
        <w:t xml:space="preserve">людьми </w:t>
      </w:r>
      <w:r>
        <w:t>уголовно наказуемы в соответствии со статьями 264 и 268 Уголовного кодекса и что осужденные могут быть приговорены к смертной казни. Комитет выражает озабоченность в связи с распространенностью случаев запугивания, преследования, насилия и стигматизации в отношении лесбиянок, геев, бисексуальных, трансгендерных и интерсекс-людей, что препятствует осуществлению ими экономических, социальных и культурных прав (ст</w:t>
      </w:r>
      <w:r w:rsidR="004B5E2D">
        <w:t>.</w:t>
      </w:r>
      <w:r>
        <w:t xml:space="preserve"> 2 (п. 2)).</w:t>
      </w:r>
    </w:p>
    <w:p w14:paraId="6FD80DBC" w14:textId="77777777" w:rsidR="00540992" w:rsidRPr="00A93BC7" w:rsidRDefault="00540992" w:rsidP="00540992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Признавая разнообразие нравов и культур, Комитет отмечает, что национальные законы и практика должны всегда соответствовать принципам универсальности прав человека и недискриминации.</w:t>
      </w:r>
      <w:r>
        <w:t xml:space="preserve"> </w:t>
      </w:r>
      <w:r>
        <w:rPr>
          <w:b/>
          <w:bCs/>
        </w:rPr>
        <w:t>Поэтому несоблюдение предусмотренного Пактом обязательства не может быть оправдано национальными соображениями политического, социального, культурного или экономического характера.</w:t>
      </w:r>
      <w:r>
        <w:t xml:space="preserve"> </w:t>
      </w:r>
      <w:r>
        <w:rPr>
          <w:b/>
          <w:bCs/>
        </w:rPr>
        <w:t>Соответственно, Комитет просит государство-участник отменить уголовную ответственность за сексуальные отношения между взрослыми людьми одного пола по обоюдному согласию и обеспечить эффективную защиту от всех форм дискриминации по признаку сексуальной ориентации и гендерной идентичности.</w:t>
      </w:r>
      <w:r>
        <w:t xml:space="preserve"> </w:t>
      </w:r>
    </w:p>
    <w:p w14:paraId="4E93DB7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Внутренне перемещенные лица</w:t>
      </w:r>
    </w:p>
    <w:p w14:paraId="19570294" w14:textId="66025AA6" w:rsidR="00540992" w:rsidRPr="00A93BC7" w:rsidRDefault="00540992" w:rsidP="00540992">
      <w:pPr>
        <w:pStyle w:val="SingleTxtG"/>
      </w:pPr>
      <w:r>
        <w:t>31.</w:t>
      </w:r>
      <w:r>
        <w:tab/>
        <w:t>Хотя Комитет приветствует меры, принятые государством-участником для оказания помощи внутренне перемещенным лицам, такие как создание Высшего комитета по оказанию помощи, он обеспокоен тем, что эти лица продолжают сталкиваться с проблемами в реализации своих экономических, социальных и культурных прав, включая право на достаточный жизненный уровень, из-за неудовлетворительных и опасных условий жизни, угроз выселения и ограниченного доступа к основным товарам и услугам (ст</w:t>
      </w:r>
      <w:r w:rsidR="005271D6">
        <w:t>.</w:t>
      </w:r>
      <w:r>
        <w:t xml:space="preserve"> 2 (п. 2)). </w:t>
      </w:r>
    </w:p>
    <w:p w14:paraId="3A0AB0E5" w14:textId="77777777" w:rsidR="00540992" w:rsidRPr="00A93BC7" w:rsidRDefault="00540992" w:rsidP="00540992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73125D2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осуществлять сбор статистических данных в разбивке по полу, гендеру, возрасту и географическому положению о занятости, жилье и условиях жизни внутренне перемещенных лиц;</w:t>
      </w:r>
    </w:p>
    <w:p w14:paraId="4384C0F5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принять меры с целью предотвращения и сокращения продолжительности перемещения и обеспечить внутренне перемещенным лицам возможность возвращения домой в условиях безопасности и уважения их достоинства или предложить им надлежащие долгосрочные решения;</w:t>
      </w:r>
      <w:r w:rsidRPr="008B25B3">
        <w:rPr>
          <w:b/>
          <w:bCs/>
        </w:rPr>
        <w:t xml:space="preserve"> </w:t>
      </w:r>
    </w:p>
    <w:p w14:paraId="56EB3E6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обеспечить эффективную защиту внутренне перемещенных лиц в стране, с тем чтобы они имели доступ к достаточному питанию, жилью и основным услугам, включая водоснабжение и санитарию, здравоохранение, образование и социальную защиту, при необходимости обращаясь за помощью по линии</w:t>
      </w:r>
      <w:r w:rsidRPr="00A93BC7">
        <w:rPr>
          <w:b/>
          <w:bCs/>
        </w:rPr>
        <w:t xml:space="preserve"> </w:t>
      </w:r>
      <w:r>
        <w:rPr>
          <w:b/>
          <w:bCs/>
        </w:rPr>
        <w:t>международного сотрудничества.</w:t>
      </w:r>
    </w:p>
    <w:p w14:paraId="19C61FF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Равные права мужчин и женщин</w:t>
      </w:r>
      <w:r>
        <w:t xml:space="preserve"> </w:t>
      </w:r>
    </w:p>
    <w:p w14:paraId="60C4BD5D" w14:textId="5CE5C423" w:rsidR="00540992" w:rsidRPr="00A93BC7" w:rsidRDefault="00540992" w:rsidP="00540992">
      <w:pPr>
        <w:pStyle w:val="SingleTxtG"/>
      </w:pPr>
      <w:r>
        <w:t>33.</w:t>
      </w:r>
      <w:r>
        <w:tab/>
        <w:t xml:space="preserve">Комитет обеспокоен введением требования о наличии </w:t>
      </w:r>
      <w:proofErr w:type="spellStart"/>
      <w:r>
        <w:t>махрама</w:t>
      </w:r>
      <w:proofErr w:type="spellEnd"/>
      <w:r>
        <w:t xml:space="preserve"> (мужчины</w:t>
      </w:r>
      <w:r w:rsidR="00D70181">
        <w:noBreakHyphen/>
      </w:r>
      <w:r>
        <w:t xml:space="preserve">сопровождающего), которое не позволяет женщинам передвигаться между мухафазами, ездить в другие части страны или за границу без сопровождения или разрешения мужчины, что отрицательно сказывается, среди прочего, на их способности пользоваться различными услугами, работать, учиться и участвовать в общественной и политической деятельности. Комитет также обеспокоен тем, что требование о наличии </w:t>
      </w:r>
      <w:proofErr w:type="spellStart"/>
      <w:r>
        <w:t>махрама</w:t>
      </w:r>
      <w:proofErr w:type="spellEnd"/>
      <w:r>
        <w:t xml:space="preserve"> серьезно затрудняет доступ лиц, находящихся в уязвимом положении, особенно женщин и девочек, к гуманитарной помощи, ограничивая перемещения сотрудниц учреждений по оказанию помощи (ст</w:t>
      </w:r>
      <w:r w:rsidR="0035097E">
        <w:t>.</w:t>
      </w:r>
      <w:r>
        <w:t xml:space="preserve"> 3). </w:t>
      </w:r>
    </w:p>
    <w:p w14:paraId="76A17DEF" w14:textId="77777777" w:rsidR="00540992" w:rsidRPr="00A93BC7" w:rsidRDefault="00540992" w:rsidP="00540992">
      <w:pPr>
        <w:pStyle w:val="SingleTxtG"/>
        <w:keepNext/>
        <w:rPr>
          <w:b/>
          <w:bCs/>
        </w:rPr>
      </w:pPr>
      <w:r>
        <w:t>34.</w:t>
      </w:r>
      <w:r>
        <w:tab/>
      </w:r>
      <w:r>
        <w:rPr>
          <w:b/>
          <w:bCs/>
        </w:rPr>
        <w:t xml:space="preserve">Комитет призывает государство-участник отменить требование о наличии </w:t>
      </w:r>
      <w:proofErr w:type="spellStart"/>
      <w:r>
        <w:rPr>
          <w:b/>
          <w:bCs/>
        </w:rPr>
        <w:t>махрама</w:t>
      </w:r>
      <w:proofErr w:type="spellEnd"/>
      <w:r>
        <w:rPr>
          <w:b/>
          <w:bCs/>
        </w:rPr>
        <w:t xml:space="preserve"> для всех женщин по всей стране и обеспечить им полный доступ к экономическим, социальным и культурным правам.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</w:t>
      </w:r>
    </w:p>
    <w:p w14:paraId="2C69424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труд</w:t>
      </w:r>
      <w:r>
        <w:t xml:space="preserve"> </w:t>
      </w:r>
    </w:p>
    <w:p w14:paraId="5D202210" w14:textId="6016E04E" w:rsidR="00540992" w:rsidRPr="00390832" w:rsidRDefault="00540992" w:rsidP="00540992">
      <w:pPr>
        <w:pStyle w:val="SingleTxtG"/>
      </w:pPr>
      <w:r>
        <w:t>35.</w:t>
      </w:r>
      <w:r>
        <w:tab/>
        <w:t>Комитет обеспокоен высоким уровнем безработицы в государстве-участнике, особенно среди молодежи, женщин и людей с инвалидностью (ст</w:t>
      </w:r>
      <w:r w:rsidR="00BC46C2">
        <w:t>.</w:t>
      </w:r>
      <w:r>
        <w:t xml:space="preserve"> 6). </w:t>
      </w:r>
    </w:p>
    <w:p w14:paraId="34C7A737" w14:textId="77777777" w:rsidR="00540992" w:rsidRPr="00A93BC7" w:rsidRDefault="00540992" w:rsidP="00540992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уделять приоритетное внимание созданию рабочих мест, особенно для молодежи.</w:t>
      </w:r>
      <w:r>
        <w:t xml:space="preserve"> </w:t>
      </w:r>
      <w:r>
        <w:rPr>
          <w:b/>
          <w:bCs/>
        </w:rPr>
        <w:t>Он также рекомендует государству-участнику разработать программы образования и профессиональной подготовки в целях расширения трудовых навыков и возможностей трудоустройства, особенно для молодежи, женщин и людей с инвалидностью.</w:t>
      </w:r>
      <w:r>
        <w:t xml:space="preserve"> </w:t>
      </w:r>
      <w:r>
        <w:rPr>
          <w:b/>
          <w:bCs/>
        </w:rPr>
        <w:t>Комитет предлагает государству-участнику в полной мере учитывать его замечание общего порядка № 18 (2005) о праве на труд.</w:t>
      </w:r>
    </w:p>
    <w:p w14:paraId="6A66B5EE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справедливые и благоприятные условия труда</w:t>
      </w:r>
      <w:r>
        <w:t xml:space="preserve"> </w:t>
      </w:r>
    </w:p>
    <w:p w14:paraId="015E5A36" w14:textId="255E48C5" w:rsidR="00540992" w:rsidRPr="00A93BC7" w:rsidRDefault="00540992" w:rsidP="00540992">
      <w:pPr>
        <w:pStyle w:val="SingleTxtG"/>
      </w:pPr>
      <w:r>
        <w:t>37.</w:t>
      </w:r>
      <w:r>
        <w:tab/>
        <w:t>Комитет обеспокоен невыплатой или несвоевременной выплатой заработной платы многим сотрудникам государственного сектора, в частности учителям и другим работникам системы образования. Комитет также обеспокоен тем, что за зарплатами им приходится ездить в мухафазу Аден (ст</w:t>
      </w:r>
      <w:r w:rsidR="00B97DAE">
        <w:t>.</w:t>
      </w:r>
      <w:r>
        <w:t xml:space="preserve"> 7). </w:t>
      </w:r>
    </w:p>
    <w:p w14:paraId="1BB76891" w14:textId="77777777" w:rsidR="00540992" w:rsidRPr="00A93BC7" w:rsidRDefault="00540992" w:rsidP="00540992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 xml:space="preserve">Комитет рекомендует государству-участнику возобновить выплату заработной платы </w:t>
      </w:r>
      <w:r w:rsidRPr="00627279">
        <w:rPr>
          <w:b/>
          <w:bCs/>
        </w:rPr>
        <w:t xml:space="preserve">работникам </w:t>
      </w:r>
      <w:r w:rsidRPr="00A716AF">
        <w:rPr>
          <w:b/>
          <w:bCs/>
        </w:rPr>
        <w:t>государственного сектора</w:t>
      </w:r>
      <w:r>
        <w:rPr>
          <w:b/>
          <w:bCs/>
        </w:rPr>
        <w:t xml:space="preserve"> по всей стране и устранить любые процедурные препятствия для ее выплаты.</w:t>
      </w:r>
      <w:r>
        <w:t xml:space="preserve"> </w:t>
      </w:r>
    </w:p>
    <w:p w14:paraId="663336D3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Права</w:t>
      </w:r>
      <w:r>
        <w:t xml:space="preserve"> п</w:t>
      </w:r>
      <w:r>
        <w:rPr>
          <w:bCs/>
        </w:rPr>
        <w:t>рофсоюзов</w:t>
      </w:r>
    </w:p>
    <w:p w14:paraId="55CB322D" w14:textId="13F42E38" w:rsidR="00540992" w:rsidRPr="00A93BC7" w:rsidRDefault="00540992" w:rsidP="00540992">
      <w:pPr>
        <w:pStyle w:val="SingleTxtG"/>
      </w:pPr>
      <w:r>
        <w:t>39.</w:t>
      </w:r>
      <w:r>
        <w:tab/>
        <w:t>Комитет обеспокоен сообщениями о вмешательстве в деятельность профсоюзов и тем, что трудовое законодательство не предусматривает конкретной защиты профсоюзов от актов вмешательства. Комитет также обеспокоен тем, что в статьях 2, 20 и 21 Закона о профсоюзах конкретно упоминается Всеобщая федерация профсоюзов Йемена, что делает невозможным создание второй федерации для представления интересов трудящихся (ст</w:t>
      </w:r>
      <w:r w:rsidR="009079EC">
        <w:t>.</w:t>
      </w:r>
      <w:r>
        <w:t xml:space="preserve"> 8). </w:t>
      </w:r>
    </w:p>
    <w:p w14:paraId="6F50D1B2" w14:textId="77777777" w:rsidR="00540992" w:rsidRPr="00A93BC7" w:rsidRDefault="00540992" w:rsidP="00540992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обеспечить, чтобы в его законодательстве была прямо предусмотрена защита от актов вмешательства работодателей или их организаций в деятельность профсоюзов и рассмотреть все случаи вмешательства в деятельность профсоюзов.</w:t>
      </w:r>
      <w:r>
        <w:t xml:space="preserve"> </w:t>
      </w:r>
      <w:r>
        <w:rPr>
          <w:b/>
          <w:bCs/>
        </w:rPr>
        <w:t>Комитет также рекомендует государству-участнику внести изменения в Закон о профсоюзах, чтобы позволить трудящимся и их организациям создавать федерацию и вступать в нее по своему выбору.</w:t>
      </w:r>
    </w:p>
    <w:p w14:paraId="0A898258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  <w:r>
        <w:t xml:space="preserve"> </w:t>
      </w:r>
    </w:p>
    <w:p w14:paraId="585A1401" w14:textId="279CEE59" w:rsidR="00540992" w:rsidRPr="00A93BC7" w:rsidRDefault="00540992" w:rsidP="00540992">
      <w:pPr>
        <w:pStyle w:val="SingleTxtG"/>
      </w:pPr>
      <w:r>
        <w:t>41.</w:t>
      </w:r>
      <w:r>
        <w:tab/>
        <w:t>Комитет принимает к сведению информацию государства-участника о том, что эскалация конфликта привела к приостановке деятельности Фонда социального обеспечения, который был заменен проектом срочных денежных переводов под управлением ЮНИСЕФ в соответствии с параметрами Фонда социального обеспечения (ст</w:t>
      </w:r>
      <w:r w:rsidR="003A7115">
        <w:t>.</w:t>
      </w:r>
      <w:r>
        <w:t xml:space="preserve"> 9).</w:t>
      </w:r>
    </w:p>
    <w:p w14:paraId="12BE4062" w14:textId="77777777" w:rsidR="00540992" w:rsidRPr="00A93BC7" w:rsidRDefault="00540992" w:rsidP="00540992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 разработать долгосрочный план действий по возрождению и укреплению национальной системы социальной защиты.</w:t>
      </w:r>
      <w:r>
        <w:t xml:space="preserve"> </w:t>
      </w:r>
      <w:r>
        <w:rPr>
          <w:b/>
          <w:bCs/>
        </w:rPr>
        <w:t>Комитет предлагает государству-участнику в полной мере учитывать его замечание общего порядка № 19 (2007) о праве на социальное обеспечение.</w:t>
      </w:r>
    </w:p>
    <w:p w14:paraId="27B8B729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Детский труд и наихудшие формы детского труда</w:t>
      </w:r>
      <w:r>
        <w:t xml:space="preserve"> </w:t>
      </w:r>
    </w:p>
    <w:p w14:paraId="74576546" w14:textId="77777777" w:rsidR="00540992" w:rsidRPr="00A93BC7" w:rsidRDefault="00540992" w:rsidP="00540992">
      <w:pPr>
        <w:pStyle w:val="SingleTxtG"/>
      </w:pPr>
      <w:r>
        <w:t>43.</w:t>
      </w:r>
      <w:r>
        <w:tab/>
        <w:t>Отмечая усилия государства-участника по борьбе с детским трудом и наихудшими формами детского труда, включая торговлю детьми в целях сексуальной эксплуатации и вербовку детей, Комитет глубоко обеспокоен сохранением этой практики в государстве-участнике. Особую обеспокоенность Комитета вызывают:</w:t>
      </w:r>
    </w:p>
    <w:p w14:paraId="57D53646" w14:textId="77777777" w:rsidR="00540992" w:rsidRPr="00A93BC7" w:rsidRDefault="00540992" w:rsidP="003130EC">
      <w:pPr>
        <w:pStyle w:val="SingleTxtG"/>
        <w:ind w:firstLine="567"/>
      </w:pPr>
      <w:r>
        <w:t>a)</w:t>
      </w:r>
      <w:r>
        <w:tab/>
        <w:t xml:space="preserve">большое количество детей в возрасте до 14 лет, пострадавших от детского труда; </w:t>
      </w:r>
    </w:p>
    <w:p w14:paraId="29900169" w14:textId="77777777" w:rsidR="00540992" w:rsidRPr="00A93BC7" w:rsidRDefault="00540992" w:rsidP="003130EC">
      <w:pPr>
        <w:pStyle w:val="SingleTxtG"/>
        <w:ind w:firstLine="567"/>
      </w:pPr>
      <w:r>
        <w:t>b)</w:t>
      </w:r>
      <w:r>
        <w:tab/>
        <w:t xml:space="preserve">дети в возрасте от 14 до 17 лет, работающие более 30 часов в неделю и/или занятые на опасных работах, в том числе в сельском хозяйстве, рыбной промышленности, горнодобывающей отрасли и строительстве; </w:t>
      </w:r>
    </w:p>
    <w:p w14:paraId="1492D4CA" w14:textId="77777777" w:rsidR="00540992" w:rsidRPr="00A93BC7" w:rsidRDefault="00540992" w:rsidP="003130EC">
      <w:pPr>
        <w:pStyle w:val="SingleTxtG"/>
        <w:ind w:firstLine="567"/>
      </w:pPr>
      <w:r>
        <w:t>c)</w:t>
      </w:r>
      <w:r>
        <w:tab/>
        <w:t>торговля девочками с целью сексуальной эксплуатации;</w:t>
      </w:r>
    </w:p>
    <w:p w14:paraId="5FFA1356" w14:textId="6C2A2605" w:rsidR="00540992" w:rsidRPr="00A93BC7" w:rsidRDefault="00540992" w:rsidP="003130EC">
      <w:pPr>
        <w:pStyle w:val="SingleTxtG"/>
        <w:ind w:firstLine="567"/>
      </w:pPr>
      <w:r>
        <w:t>d)</w:t>
      </w:r>
      <w:r>
        <w:tab/>
        <w:t>вербовка и использование детей в военных действиях всеми сторонами конфликта (ст</w:t>
      </w:r>
      <w:r w:rsidR="00806C00">
        <w:t>.</w:t>
      </w:r>
      <w:r>
        <w:t xml:space="preserve"> 10). </w:t>
      </w:r>
    </w:p>
    <w:p w14:paraId="17C4AECC" w14:textId="77777777" w:rsidR="00540992" w:rsidRPr="00A93BC7" w:rsidRDefault="00540992" w:rsidP="00540992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призывает государство-участник:</w:t>
      </w:r>
    </w:p>
    <w:p w14:paraId="6F7298CE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предотвращать и искоренять случаи детского труда, в том числе путем принятия национального плана по борьбе с детским трудом, и повышать осведомленность о незаконности детского труда, а также о его вреде для благополучия и развития детей в образовательной и общественной среде;</w:t>
      </w:r>
      <w:r w:rsidRPr="008B25B3">
        <w:rPr>
          <w:b/>
          <w:bCs/>
        </w:rPr>
        <w:t xml:space="preserve"> </w:t>
      </w:r>
    </w:p>
    <w:p w14:paraId="1A5D08BB" w14:textId="5923921B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 xml:space="preserve">принять необходимые меры для того, чтобы ни один ребенок </w:t>
      </w:r>
      <w:r w:rsidR="0081354D">
        <w:rPr>
          <w:b/>
          <w:bCs/>
        </w:rPr>
        <w:t>моложе</w:t>
      </w:r>
      <w:r>
        <w:rPr>
          <w:b/>
          <w:bCs/>
        </w:rPr>
        <w:t xml:space="preserve"> 14 лет не участвовал в программах ученичества;</w:t>
      </w:r>
    </w:p>
    <w:p w14:paraId="7E24A501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укрепить потенциал и расширить сферу деятельности Инспекции детского труда, предоставив ей достаточные людские и финансовые ресурсы, чтобы она могла эффективно отслеживать случаи детского труда и обеспечивать выполнение министерского приказа № 11 от 2013 года об опасных работах, запрещенных для детей в возрасте до 18 лет;</w:t>
      </w:r>
      <w:r w:rsidRPr="008B25B3">
        <w:rPr>
          <w:b/>
          <w:bCs/>
        </w:rPr>
        <w:t xml:space="preserve"> </w:t>
      </w:r>
    </w:p>
    <w:p w14:paraId="5EDB049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принимать меры по борьбе с торговлей детьми и обеспечивать соблюдение статьи 26 министерского приказа № 11, расследовать случаи торговли детьми и подвергать судебному преследованию всех причастных к ним лиц и применять эффективные и сдерживающие санкции;</w:t>
      </w:r>
      <w:r w:rsidRPr="008B25B3">
        <w:rPr>
          <w:b/>
          <w:bCs/>
        </w:rPr>
        <w:t xml:space="preserve"> </w:t>
      </w:r>
    </w:p>
    <w:p w14:paraId="134CA838" w14:textId="41941D73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e)</w:t>
      </w:r>
      <w:r w:rsidRPr="008B25B3">
        <w:rPr>
          <w:b/>
          <w:bCs/>
        </w:rPr>
        <w:tab/>
      </w:r>
      <w:r>
        <w:rPr>
          <w:b/>
          <w:bCs/>
        </w:rPr>
        <w:t>ввести правовые и другие гарантии для эффективного запрещения и предотвращения вербовки детей и привлечения к ответственности всех лиц, причастных к вербовке и использованию детей в военных действиях, в</w:t>
      </w:r>
      <w:r w:rsidR="00BF75B2">
        <w:rPr>
          <w:b/>
          <w:bCs/>
        </w:rPr>
        <w:t> </w:t>
      </w:r>
      <w:r>
        <w:rPr>
          <w:b/>
          <w:bCs/>
        </w:rPr>
        <w:t>соответствии с Факультативным протоколом к Конвенции о правах ребенка, касающимся участия детей в вооруженных конфликтах, и обеспечить полное возмещение ущерба жертвам;</w:t>
      </w:r>
    </w:p>
    <w:p w14:paraId="7EDE341F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f)</w:t>
      </w:r>
      <w:r w:rsidRPr="008B25B3">
        <w:rPr>
          <w:b/>
          <w:bCs/>
        </w:rPr>
        <w:tab/>
      </w:r>
      <w:r>
        <w:rPr>
          <w:b/>
          <w:bCs/>
        </w:rPr>
        <w:t>принять меры по оказанию помощи детям, принуждаемым к труду и наихудшим формам детского труда, путем предоставления им всей необходимой помощи для восстановления и социальной реинтеграции, включая доступ к медицинскому обслуживанию, надлежащей психологической поддержке и образовательным программам.</w:t>
      </w:r>
    </w:p>
    <w:p w14:paraId="2D8289EA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Детский брак</w:t>
      </w:r>
      <w:r>
        <w:t xml:space="preserve"> </w:t>
      </w:r>
    </w:p>
    <w:p w14:paraId="03F1AB35" w14:textId="4A18935E" w:rsidR="00540992" w:rsidRPr="00A93BC7" w:rsidRDefault="00540992" w:rsidP="00540992">
      <w:pPr>
        <w:pStyle w:val="SingleTxtG"/>
      </w:pPr>
      <w:r>
        <w:t>45.</w:t>
      </w:r>
      <w:r>
        <w:tab/>
        <w:t>Комитет глубоко обеспокоен распространенностью детских браков в государстве-участнике и их разрушительными последствиями для осуществления детьми их экономических, социальных и культурных прав, включая право на здоровье и образование (ст</w:t>
      </w:r>
      <w:r w:rsidR="000000FD">
        <w:t>.</w:t>
      </w:r>
      <w:r>
        <w:t xml:space="preserve"> 10). </w:t>
      </w:r>
    </w:p>
    <w:p w14:paraId="6941B185" w14:textId="77777777" w:rsidR="00540992" w:rsidRPr="00A93BC7" w:rsidRDefault="00540992" w:rsidP="00540992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8442E0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принять срочные и эффективные меры по установлению минимального возраста вступления в брак на уровне 18 лет для женщин и мужчин, как это рекомендовано в итоговом документе Конференции по национальному диалогу 2014 года;</w:t>
      </w:r>
      <w:r w:rsidRPr="008B25B3">
        <w:rPr>
          <w:b/>
          <w:bCs/>
        </w:rPr>
        <w:t xml:space="preserve"> </w:t>
      </w:r>
    </w:p>
    <w:p w14:paraId="0AA6C645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предусмотреть наказания для тех, кто заключает или способствует заключению детских браков и обеспечить доступ к эффективным средствам правовой защиты и другим формам необходимой защиты для пострадавших;</w:t>
      </w:r>
      <w:r w:rsidRPr="008B25B3">
        <w:rPr>
          <w:b/>
          <w:bCs/>
        </w:rPr>
        <w:t xml:space="preserve"> </w:t>
      </w:r>
    </w:p>
    <w:p w14:paraId="3B1104F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повышать осведомленность о разрушительных последствиях детских браков для их жертв и обеспечивать платформы и возможности для обсуждения в сообществах и семьях преимуществ получения девочками образования.</w:t>
      </w:r>
      <w:r w:rsidRPr="008B25B3">
        <w:rPr>
          <w:b/>
          <w:bCs/>
        </w:rPr>
        <w:t xml:space="preserve"> </w:t>
      </w:r>
    </w:p>
    <w:p w14:paraId="16F8E8B4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Гендерное насилие в отношении женщин</w:t>
      </w:r>
    </w:p>
    <w:p w14:paraId="6603FADC" w14:textId="4C26131D" w:rsidR="00540992" w:rsidRPr="00A93BC7" w:rsidRDefault="00540992" w:rsidP="00540992">
      <w:pPr>
        <w:pStyle w:val="SingleTxtG"/>
      </w:pPr>
      <w:r>
        <w:t>47.</w:t>
      </w:r>
      <w:r>
        <w:tab/>
        <w:t>Комитет обеспокоен распространенностью в государстве-участнике случаев гендерного насилия в отношении женщин, включая насилие в семье и сексуальное насилие. Озабоченность Комитета также вызывает то, что такие факторы, как отсутствие эффективной правоохранительной системы и доступа к правосудию, а</w:t>
      </w:r>
      <w:r w:rsidR="00C0516E">
        <w:t> </w:t>
      </w:r>
      <w:r>
        <w:t>также приемлемость домашнего насилия в силу традиций приводят к безнаказанности виновных. В этой связи Комитет разделяет озабоченность Комитета по ликвидации дискриминации в отношении женщин (ст</w:t>
      </w:r>
      <w:r w:rsidR="00C0516E">
        <w:t>.</w:t>
      </w:r>
      <w:r>
        <w:t xml:space="preserve"> 10). </w:t>
      </w:r>
    </w:p>
    <w:p w14:paraId="41BBAFF9" w14:textId="77777777" w:rsidR="00540992" w:rsidRPr="00A93BC7" w:rsidRDefault="00540992" w:rsidP="00540992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85ACC6E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принять меры с целью введения уголовной ответственности за все формы гендерного насилия в отношении женщин, включая сексуальные домогательства, домашнее насилие и изнасилование в браке;</w:t>
      </w:r>
    </w:p>
    <w:p w14:paraId="2E61842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предотвращать гендерное насилие и обеспечивать расследование всех случаев, уголовное преследование и соответствующее наказание виновных, а также доступ пострадавших к правосудию, эффективному возмещению ущерба, приютам и службам поддержки;</w:t>
      </w:r>
      <w:r w:rsidRPr="008B25B3">
        <w:rPr>
          <w:b/>
          <w:bCs/>
        </w:rPr>
        <w:t xml:space="preserve"> </w:t>
      </w:r>
    </w:p>
    <w:p w14:paraId="6E17D775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обратить внимание на рекомендации, вынесенные Комитетом по ликвидации дискриминации в отношении женщин в связи с объединенными седьмым и восьмым периодическими докладами государства-участника</w:t>
      </w:r>
      <w:r w:rsidRPr="00390832">
        <w:rPr>
          <w:rStyle w:val="a8"/>
        </w:rPr>
        <w:footnoteReference w:id="8"/>
      </w:r>
      <w:r>
        <w:rPr>
          <w:b/>
          <w:bCs/>
        </w:rPr>
        <w:t>.</w:t>
      </w:r>
      <w:r>
        <w:t xml:space="preserve"> </w:t>
      </w:r>
    </w:p>
    <w:p w14:paraId="23B1970C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Наземные мины и неразорвавшиеся боеприпасы</w:t>
      </w:r>
      <w:r>
        <w:t xml:space="preserve"> </w:t>
      </w:r>
    </w:p>
    <w:p w14:paraId="6EFC5E6E" w14:textId="2ABA5735" w:rsidR="00540992" w:rsidRPr="00A93BC7" w:rsidRDefault="00540992" w:rsidP="00540992">
      <w:pPr>
        <w:pStyle w:val="SingleTxtG"/>
      </w:pPr>
      <w:r>
        <w:t>49.</w:t>
      </w:r>
      <w:r>
        <w:tab/>
        <w:t>Комитет выражает обеспокоенность по поводу большого числа людей, в частности</w:t>
      </w:r>
      <w:r w:rsidRPr="00C50D1B">
        <w:t xml:space="preserve"> детей, которые погибли или получили увечья в результате взрывов наземных мин</w:t>
      </w:r>
      <w:r>
        <w:t xml:space="preserve"> и </w:t>
      </w:r>
      <w:r w:rsidRPr="00A10E11">
        <w:t>срабатывания неразорвавшихся боеприпасов</w:t>
      </w:r>
      <w:r>
        <w:t>. Комитет обеспокоен также последствиями загрязнения наземными минами сельскохозяйственных угодий и источников воды и прилежащих районов, которое ставит под угрозу жизнь гражданского населения и лишает его доступа к продовольствию и воде (ст</w:t>
      </w:r>
      <w:r w:rsidR="00A15E44">
        <w:t>.</w:t>
      </w:r>
      <w:r>
        <w:t xml:space="preserve"> 10). </w:t>
      </w:r>
    </w:p>
    <w:p w14:paraId="62BF8F34" w14:textId="77777777" w:rsidR="00540992" w:rsidRPr="00A93BC7" w:rsidRDefault="00540992" w:rsidP="00540992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 xml:space="preserve">Комитет рекомендует государству-участнику незамедлительно принять меры по </w:t>
      </w:r>
      <w:r w:rsidRPr="00F40390">
        <w:rPr>
          <w:b/>
          <w:bCs/>
        </w:rPr>
        <w:t>обезвреживанию мин и неразорвавшихся боеприпасов,</w:t>
      </w:r>
      <w:r>
        <w:rPr>
          <w:b/>
          <w:bCs/>
        </w:rPr>
        <w:t xml:space="preserve"> а также практические меры по снижению воздействия таких </w:t>
      </w:r>
      <w:r w:rsidRPr="002C4E23">
        <w:rPr>
          <w:b/>
          <w:bCs/>
        </w:rPr>
        <w:t>взрывных устройств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Комитет также рекомендует государству-участнику сотрудничать с международным сообществом для обеспечения предоставления технического оборудования, необходимого для маркировки и обезвреживания неразорвавшихся боеприпасов и мин.</w:t>
      </w:r>
    </w:p>
    <w:p w14:paraId="69E5B7CC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Регистрация рождения</w:t>
      </w:r>
    </w:p>
    <w:p w14:paraId="2CC8FB41" w14:textId="3C597D18" w:rsidR="00540992" w:rsidRPr="00A93BC7" w:rsidRDefault="00540992" w:rsidP="00540992">
      <w:pPr>
        <w:pStyle w:val="SingleTxtG"/>
      </w:pPr>
      <w:r>
        <w:t>51.</w:t>
      </w:r>
      <w:r>
        <w:tab/>
        <w:t>Комитет обеспокоен низким уровнем регистрации рождений, что лишает детей возможности пользоваться своими экономическими, социальными и культурными правами, в частности правом на здравоохранение и образование (ст</w:t>
      </w:r>
      <w:r w:rsidR="000A3240">
        <w:t>.</w:t>
      </w:r>
      <w:r>
        <w:t xml:space="preserve"> 10). </w:t>
      </w:r>
    </w:p>
    <w:p w14:paraId="355BC6E7" w14:textId="77777777" w:rsidR="00540992" w:rsidRPr="00A93BC7" w:rsidRDefault="00540992" w:rsidP="00540992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повышению уровня регистрации рождений и обеспечить выдачу свидетельств о рождении.</w:t>
      </w:r>
      <w:r>
        <w:t xml:space="preserve"> </w:t>
      </w:r>
      <w:r>
        <w:rPr>
          <w:b/>
          <w:bCs/>
        </w:rPr>
        <w:t>Он, в частности просит государство-участника:</w:t>
      </w:r>
    </w:p>
    <w:p w14:paraId="1CEA610A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  <w:t>о</w:t>
      </w:r>
      <w:r>
        <w:rPr>
          <w:b/>
          <w:bCs/>
        </w:rPr>
        <w:t>беспечить доступность услуг органа регистрации актов гражданского состояния по регистрации рождений на всей территории страны;</w:t>
      </w:r>
    </w:p>
    <w:p w14:paraId="66997D4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обеспечить бесплатную регистрацию рождения и выдачу свидетельства о рождении;</w:t>
      </w:r>
    </w:p>
    <w:p w14:paraId="29689D16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проводить кампании по повышению осведомленности о важности регистрации рождения и соответствующих процедурах.</w:t>
      </w:r>
      <w:r>
        <w:t xml:space="preserve"> </w:t>
      </w:r>
    </w:p>
    <w:p w14:paraId="2D5F0B9E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Бедность</w:t>
      </w:r>
      <w:r>
        <w:t xml:space="preserve"> </w:t>
      </w:r>
    </w:p>
    <w:p w14:paraId="324D6FD6" w14:textId="728C600A" w:rsidR="00540992" w:rsidRPr="00A93BC7" w:rsidRDefault="00540992" w:rsidP="00540992">
      <w:pPr>
        <w:pStyle w:val="SingleTxtG"/>
      </w:pPr>
      <w:r>
        <w:t>53.</w:t>
      </w:r>
      <w:r>
        <w:tab/>
        <w:t>Комитет обеспокоен беспрецедентным уровнем бедности и нищеты в государстве-участнике и отсутствием комплексной стратегии по сокращению бедности (ст</w:t>
      </w:r>
      <w:r w:rsidR="001A7E16">
        <w:t>.</w:t>
      </w:r>
      <w:r>
        <w:t xml:space="preserve"> 11). </w:t>
      </w:r>
    </w:p>
    <w:p w14:paraId="5FC82A80" w14:textId="77777777" w:rsidR="00540992" w:rsidRPr="00A93BC7" w:rsidRDefault="00540992" w:rsidP="00540992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D134E76" w14:textId="38769EF6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 xml:space="preserve">активизировать свои усилия по борьбе с бедностью, особенно с нищетой, путем, среди прочего, внедрения моделей инклюзивного развития, </w:t>
      </w:r>
      <w:r w:rsidRPr="004058D0">
        <w:rPr>
          <w:b/>
          <w:bCs/>
        </w:rPr>
        <w:t>в</w:t>
      </w:r>
      <w:r w:rsidR="008B58BB">
        <w:rPr>
          <w:b/>
          <w:bCs/>
        </w:rPr>
        <w:t> </w:t>
      </w:r>
      <w:r w:rsidRPr="004058D0">
        <w:rPr>
          <w:b/>
          <w:bCs/>
        </w:rPr>
        <w:t xml:space="preserve">которых приоритет отдается беднейшим слоям населения, </w:t>
      </w:r>
      <w:r w:rsidRPr="00EB7508">
        <w:rPr>
          <w:b/>
          <w:bCs/>
        </w:rPr>
        <w:t xml:space="preserve">а также посредством всеобъемлющей оценки программ и стратегий, осуществляемых с этой целью, для выявления препятствий и внесения необходимых изменений в интересах осуществления комплексной стратегии </w:t>
      </w:r>
      <w:r w:rsidRPr="00C15E24">
        <w:rPr>
          <w:b/>
          <w:bCs/>
        </w:rPr>
        <w:t>борьбы с бедностью</w:t>
      </w:r>
      <w:r>
        <w:rPr>
          <w:b/>
          <w:bCs/>
        </w:rPr>
        <w:t>;</w:t>
      </w:r>
      <w:r w:rsidRPr="008B25B3">
        <w:rPr>
          <w:b/>
          <w:bCs/>
        </w:rPr>
        <w:t xml:space="preserve"> </w:t>
      </w:r>
    </w:p>
    <w:p w14:paraId="08B5D62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обеспечить, чтобы комплексная стратегия борьбы с бедностью включала четкие, измеримые цели, предусматривала выделение необходимых ресурсов, эффективные механизмы координации действий различных субъектов, осуществлялась в соответствии со стандартами и принципами прав человека и учитывала потребности населения, особенно наиболее обездоленных и маргинализированных групп;</w:t>
      </w:r>
      <w:r w:rsidRPr="008B25B3">
        <w:rPr>
          <w:b/>
          <w:bCs/>
        </w:rPr>
        <w:t xml:space="preserve"> </w:t>
      </w:r>
    </w:p>
    <w:p w14:paraId="42E5E62B" w14:textId="6CD359FF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обратить внимание на заявление Комитета о проблеме нищеты и Международном пакте об экономических, социальных и культурных правах, принятое в 20</w:t>
      </w:r>
      <w:r w:rsidR="005447D6">
        <w:rPr>
          <w:b/>
          <w:bCs/>
        </w:rPr>
        <w:t>0</w:t>
      </w:r>
      <w:r>
        <w:rPr>
          <w:b/>
          <w:bCs/>
        </w:rPr>
        <w:t>1 году</w:t>
      </w:r>
      <w:r w:rsidRPr="00390832">
        <w:rPr>
          <w:rStyle w:val="a8"/>
        </w:rPr>
        <w:footnoteReference w:id="9"/>
      </w:r>
      <w:r>
        <w:rPr>
          <w:b/>
          <w:bCs/>
        </w:rPr>
        <w:t>.</w:t>
      </w:r>
    </w:p>
    <w:p w14:paraId="08BBE275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питание</w:t>
      </w:r>
    </w:p>
    <w:p w14:paraId="2AEB4606" w14:textId="775F0764" w:rsidR="00540992" w:rsidRPr="00A93BC7" w:rsidRDefault="00540992" w:rsidP="00540992">
      <w:pPr>
        <w:pStyle w:val="SingleTxtG"/>
      </w:pPr>
      <w:r>
        <w:t>55.</w:t>
      </w:r>
      <w:r>
        <w:tab/>
        <w:t>Комитет глубоко обеспокоен беспрецедентными уровнями острого и хронического отсутствия продовольственной безопасности и недостаточности питания в стране, особенно среди детей, когда миллионам людей грозит прямая опасность голода, и отсутствием всеобъемлющей и эффективной стратегии борьбы с голодом и решения проблемы дефицита продовольствия (ст</w:t>
      </w:r>
      <w:r w:rsidR="00A64CCB">
        <w:t>.</w:t>
      </w:r>
      <w:r>
        <w:t xml:space="preserve"> 11). </w:t>
      </w:r>
    </w:p>
    <w:p w14:paraId="1EEA0B67" w14:textId="77777777" w:rsidR="00540992" w:rsidRPr="00A93BC7" w:rsidRDefault="00540992" w:rsidP="00540992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3C4433D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незамедлительно принять меры по решению проблемы острого недоедания, в частности среди детей, в том числе путем принятия планов чрезвычайных действий с конкретными целями по снижению показателей острого недоедания в государстве-участнике;</w:t>
      </w:r>
    </w:p>
    <w:p w14:paraId="6B544650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разработать стратегию по решению проблемы хронического недоедания;</w:t>
      </w:r>
    </w:p>
    <w:p w14:paraId="1B1A4C06" w14:textId="6E244221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 xml:space="preserve">обеспечить возможность беспрепятственного ввоза и перемещения внутри страны </w:t>
      </w:r>
      <w:r w:rsidRPr="00A93BC7">
        <w:rPr>
          <w:b/>
          <w:bCs/>
        </w:rPr>
        <w:t>гуманитарных и коммерческих грузов</w:t>
      </w:r>
      <w:r>
        <w:rPr>
          <w:b/>
          <w:bCs/>
        </w:rPr>
        <w:t xml:space="preserve"> для удовлетворения основных потребностей;</w:t>
      </w:r>
      <w:r w:rsidRPr="008B25B3">
        <w:rPr>
          <w:b/>
          <w:bCs/>
        </w:rPr>
        <w:t xml:space="preserve"> </w:t>
      </w:r>
    </w:p>
    <w:p w14:paraId="5AE33774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принять законодательные и институциональные рамки и стратегию для обеспечения права на достаточное питание и борьбы с голодом и хроническим недоеданием, и обратиться к Продовольственной и сельскохозяйственной организации Объединенных Наций</w:t>
      </w:r>
      <w:r w:rsidRPr="008C12DC">
        <w:rPr>
          <w:b/>
          <w:bCs/>
        </w:rPr>
        <w:t xml:space="preserve"> </w:t>
      </w:r>
      <w:r>
        <w:rPr>
          <w:b/>
          <w:bCs/>
        </w:rPr>
        <w:t xml:space="preserve">за технической поддержкой в деле </w:t>
      </w:r>
      <w:r w:rsidRPr="00FE78B6">
        <w:rPr>
          <w:b/>
          <w:bCs/>
        </w:rPr>
        <w:t>обеспечени</w:t>
      </w:r>
      <w:r>
        <w:rPr>
          <w:b/>
          <w:bCs/>
        </w:rPr>
        <w:t>я</w:t>
      </w:r>
      <w:r w:rsidRPr="00FE78B6">
        <w:rPr>
          <w:b/>
          <w:bCs/>
        </w:rPr>
        <w:t xml:space="preserve"> продовольственной безопасности</w:t>
      </w:r>
      <w:r>
        <w:rPr>
          <w:b/>
          <w:bCs/>
        </w:rPr>
        <w:t>;</w:t>
      </w:r>
    </w:p>
    <w:p w14:paraId="59D33C9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e)</w:t>
      </w:r>
      <w:r w:rsidRPr="008B25B3">
        <w:rPr>
          <w:b/>
          <w:bCs/>
        </w:rPr>
        <w:tab/>
      </w:r>
      <w:r>
        <w:rPr>
          <w:b/>
          <w:bCs/>
        </w:rPr>
        <w:t>обратить внимание на замечание общего порядка № 12 (1999) о праве на достаточное питание и на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безопасности, принятые в 2004 году Советом Продовольственной и сельскохозяйственной организации Объединенных Наций.</w:t>
      </w:r>
      <w:r w:rsidRPr="008B25B3">
        <w:rPr>
          <w:b/>
          <w:bCs/>
        </w:rPr>
        <w:t xml:space="preserve"> </w:t>
      </w:r>
    </w:p>
    <w:p w14:paraId="17C8A329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воду и санитарию</w:t>
      </w:r>
      <w:r>
        <w:t xml:space="preserve"> </w:t>
      </w:r>
    </w:p>
    <w:p w14:paraId="07280CC0" w14:textId="641D8DC2" w:rsidR="00540992" w:rsidRPr="00A93BC7" w:rsidRDefault="00540992" w:rsidP="00540992">
      <w:pPr>
        <w:pStyle w:val="SingleTxtG"/>
      </w:pPr>
      <w:r>
        <w:t>57.</w:t>
      </w:r>
      <w:r>
        <w:tab/>
        <w:t xml:space="preserve">Комитет глубоко обеспокоен нехваткой воды в государстве-участнике, отсутствием адекватной инфраструктуры и услуг в области водоснабжения, гигиены и санитарии, а также большим количеством людей, особенно перемещенных лиц, нуждающихся в такой инфраструктуре и услугах. Комитет обеспокоен распространением </w:t>
      </w:r>
      <w:r w:rsidRPr="00813CE7">
        <w:rPr>
          <w:i/>
          <w:iCs/>
        </w:rPr>
        <w:t>ката</w:t>
      </w:r>
      <w:r>
        <w:t xml:space="preserve"> как товарной культуры</w:t>
      </w:r>
      <w:r w:rsidRPr="00813CE7">
        <w:t xml:space="preserve">, для </w:t>
      </w:r>
      <w:r>
        <w:t>производства которого</w:t>
      </w:r>
      <w:r w:rsidRPr="00813CE7">
        <w:t xml:space="preserve"> необходимы</w:t>
      </w:r>
      <w:r>
        <w:t xml:space="preserve"> значительные объемы возобновляемых ресурсов поверхностных и подземных вод. Комитет также обеспокоен нападениями на объекты водоснабжения и санитарии в контексте вооруженного конфликта (ст</w:t>
      </w:r>
      <w:r w:rsidR="002B7105">
        <w:t>.</w:t>
      </w:r>
      <w:r>
        <w:t xml:space="preserve"> 11).</w:t>
      </w:r>
    </w:p>
    <w:p w14:paraId="267DE5B6" w14:textId="77777777" w:rsidR="00540992" w:rsidRPr="00A93BC7" w:rsidRDefault="00540992" w:rsidP="00540992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6E2474A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осуществлять мониторинг, предотвращать и смягчать последствия вооруженного конфликта для услуг в области водоснабжения и санитарии;</w:t>
      </w:r>
      <w:r w:rsidRPr="008B25B3">
        <w:rPr>
          <w:b/>
          <w:bCs/>
        </w:rPr>
        <w:t xml:space="preserve"> </w:t>
      </w:r>
    </w:p>
    <w:p w14:paraId="71D5C95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улучшить доступ к безопасной питьевой воде, инфраструктуре и услугам в области гигиены и санитарии, уделяя особое внимание внутренне перемещенным лицам;</w:t>
      </w:r>
      <w:r w:rsidRPr="008B25B3">
        <w:rPr>
          <w:b/>
          <w:bCs/>
        </w:rPr>
        <w:t xml:space="preserve"> </w:t>
      </w:r>
    </w:p>
    <w:p w14:paraId="319AA258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поощрять альтернативы производству ката, стимулируя переход фермеров на менее водоемкие культуры;</w:t>
      </w:r>
      <w:r w:rsidRPr="008B25B3">
        <w:rPr>
          <w:b/>
          <w:bCs/>
        </w:rPr>
        <w:t xml:space="preserve"> </w:t>
      </w:r>
    </w:p>
    <w:p w14:paraId="1452CE3B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в полной мере соблюдать замечание общего порядка Комитета № 15 (2002) о праве на воду.</w:t>
      </w:r>
    </w:p>
    <w:p w14:paraId="47BE731E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Охрана окружающей среды</w:t>
      </w:r>
      <w:r>
        <w:t xml:space="preserve"> </w:t>
      </w:r>
    </w:p>
    <w:p w14:paraId="70531CE3" w14:textId="32C53FAB" w:rsidR="00540992" w:rsidRPr="00A93BC7" w:rsidRDefault="00540992" w:rsidP="00540992">
      <w:pPr>
        <w:pStyle w:val="SingleTxtG"/>
      </w:pPr>
      <w:r>
        <w:t>59.</w:t>
      </w:r>
      <w:r>
        <w:tab/>
        <w:t>Комитет приветствует сотрудничество государства-участника с Организацией Объединенных Наций в рамках оперативного плана по предотвращению разлива нефти с находящегося в аварийном состоянии танкера для хранения и разгрузки нефти «</w:t>
      </w:r>
      <w:proofErr w:type="spellStart"/>
      <w:r>
        <w:t>Сейфер</w:t>
      </w:r>
      <w:proofErr w:type="spellEnd"/>
      <w:r>
        <w:t>», пришвартованного у побережья государства-участника. Комитет выражает свою обеспокоенность тем, что разлив нефти с судна нанесет колоссальный ущерб окружающей среде, что приведет к гуманитарной и экологической катастрофе (ст</w:t>
      </w:r>
      <w:r w:rsidR="00DC16C3">
        <w:t>.</w:t>
      </w:r>
      <w:r w:rsidR="000148CD">
        <w:t> </w:t>
      </w:r>
      <w:r>
        <w:t xml:space="preserve">11). </w:t>
      </w:r>
    </w:p>
    <w:p w14:paraId="3F882C3F" w14:textId="77777777" w:rsidR="00540992" w:rsidRPr="00A93BC7" w:rsidRDefault="00540992" w:rsidP="00540992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 продолжать сотрудничество со всеми сторонами, участвующими в содействии успешному проведению спасательной операции Организации Объединенных Наций для предотвращения разлива нефти в Красном море и его потенциально катастрофических экологических и гуманитарных последствий для государства-участника и региона.</w:t>
      </w:r>
    </w:p>
    <w:p w14:paraId="6616496C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Адаптация к изменению климата</w:t>
      </w:r>
      <w:r>
        <w:t xml:space="preserve"> </w:t>
      </w:r>
    </w:p>
    <w:p w14:paraId="000B9A97" w14:textId="3053F334" w:rsidR="00540992" w:rsidRPr="00A93BC7" w:rsidRDefault="00540992" w:rsidP="00540992">
      <w:pPr>
        <w:pStyle w:val="SingleTxtG"/>
      </w:pPr>
      <w:r>
        <w:t>61.</w:t>
      </w:r>
      <w:r>
        <w:tab/>
        <w:t>Комитет обеспокоен последствиями изменения климата как одного из факторов отсутствия продовольственной безопасности и перемещения населения в государстве-участнике, и разрушением имущества и потерей средств к существованию в результате наводнений и засух в сочетании с беспрецедентным повышением температуры, которое затрагивает все сельскохозяйственные регионы Йемена (ст</w:t>
      </w:r>
      <w:r w:rsidR="00AC12CD">
        <w:t>.</w:t>
      </w:r>
      <w:r>
        <w:t xml:space="preserve"> 11). </w:t>
      </w:r>
    </w:p>
    <w:p w14:paraId="58364AFA" w14:textId="77777777" w:rsidR="00540992" w:rsidRPr="00A93BC7" w:rsidRDefault="00540992" w:rsidP="00540992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5E7348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разработать национальный план адаптации с акцентом на наиболее значительные последствия изменения климата;</w:t>
      </w:r>
    </w:p>
    <w:p w14:paraId="01D7397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развивать диагностический потенциал в отношении воздействия изменения климата на группы и отдельных лиц, которые могут оказаться в особо уязвимом положении;</w:t>
      </w:r>
    </w:p>
    <w:p w14:paraId="38C4984C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обеспечить соблюдение экономических, социальных и культурных прав при принятии мер по адаптации;</w:t>
      </w:r>
    </w:p>
    <w:p w14:paraId="69135E12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учитывать заявление Комитета об изменении климата и Международном пакте об экономических, социальных и культурных правах</w:t>
      </w:r>
      <w:r w:rsidRPr="000148CD">
        <w:rPr>
          <w:sz w:val="18"/>
          <w:szCs w:val="18"/>
          <w:vertAlign w:val="superscript"/>
        </w:rPr>
        <w:footnoteReference w:id="10"/>
      </w:r>
      <w:r>
        <w:rPr>
          <w:b/>
          <w:bCs/>
        </w:rPr>
        <w:t>, принятое 8 октября 2018 года.</w:t>
      </w:r>
    </w:p>
    <w:p w14:paraId="270CCDCE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физическое и психическое здоровье</w:t>
      </w:r>
      <w:r>
        <w:t xml:space="preserve"> </w:t>
      </w:r>
    </w:p>
    <w:p w14:paraId="31401594" w14:textId="200423D1" w:rsidR="00540992" w:rsidRPr="00A93BC7" w:rsidRDefault="00540992" w:rsidP="00540992">
      <w:pPr>
        <w:pStyle w:val="SingleTxtG"/>
      </w:pPr>
      <w:r>
        <w:t>63.</w:t>
      </w:r>
      <w:r>
        <w:tab/>
        <w:t>Комитет обеспокоен тем, что в стране функционирует менее половины медицинских учреждений, а многие из тех, что продолжают свою работу, не имеют базового оборудования и не могут предоставить населению минимально необходимые услуги. Комитет особенно обеспокоен нападениями на медицинские учреждения и персонал и использованием таких объектов в военных целях, что приводит к гибели пациентов, других гражданских лиц и медицинского персонала, а также к закрытию или ухудшению работы жизненно важных медицинских учреждений. Комитет также обеспокоен высокими показателями материнской и младенческой смертности в государстве-участнике (ст</w:t>
      </w:r>
      <w:r w:rsidR="005A39BA">
        <w:t>.</w:t>
      </w:r>
      <w:r>
        <w:t xml:space="preserve"> 12). </w:t>
      </w:r>
    </w:p>
    <w:p w14:paraId="02889C05" w14:textId="77777777" w:rsidR="00540992" w:rsidRPr="00A93BC7" w:rsidRDefault="00540992" w:rsidP="00540992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DD629B5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выделять достаточные ресурсы на сектор здравоохранения и обеспечивать наличие, доступность и качество медицинских услуг, включая услуги по охране репродуктивного здоровья, путем обеспечения достаточного количества квалифицированного медицинского персонала и предоставления соответствующего медицинского оборудования, инфраструктуры и помещений;</w:t>
      </w:r>
    </w:p>
    <w:p w14:paraId="2C0ADFF2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максимально увеличить отдачу от международной помощи, принимая меры для обеспечения доставки лекарств и вакцин, особенно наиболее обездоленным и маргинализированным лицам и группам;</w:t>
      </w:r>
      <w:r w:rsidRPr="008B25B3">
        <w:rPr>
          <w:b/>
          <w:bCs/>
        </w:rPr>
        <w:t xml:space="preserve"> </w:t>
      </w:r>
    </w:p>
    <w:p w14:paraId="383E1391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обеспечить эффективное, заслуживающее доверия, беспристрастное и прозрачное расследование случаев использования медицинских учреждений в военных целях и всех нападений на медицинские учреждения и персонал, гарантируя надлежащее преследование и привлечение к ответственности</w:t>
      </w:r>
      <w:r w:rsidRPr="0044218F">
        <w:rPr>
          <w:b/>
          <w:bCs/>
        </w:rPr>
        <w:t xml:space="preserve"> </w:t>
      </w:r>
      <w:r>
        <w:rPr>
          <w:b/>
          <w:bCs/>
        </w:rPr>
        <w:t>виновных;</w:t>
      </w:r>
      <w:r w:rsidRPr="008B25B3">
        <w:rPr>
          <w:b/>
          <w:bCs/>
        </w:rPr>
        <w:t xml:space="preserve"> </w:t>
      </w:r>
    </w:p>
    <w:p w14:paraId="4081748C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усилить меры по эффективному обеспечению полной демилитаризации медицинских учреждений.</w:t>
      </w:r>
      <w:r w:rsidRPr="008B25B3">
        <w:rPr>
          <w:b/>
          <w:bCs/>
        </w:rPr>
        <w:t xml:space="preserve"> </w:t>
      </w:r>
    </w:p>
    <w:p w14:paraId="4160F4A7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Уход и услуги в области психического здоровья</w:t>
      </w:r>
      <w:r>
        <w:t xml:space="preserve"> </w:t>
      </w:r>
    </w:p>
    <w:p w14:paraId="3F9683AF" w14:textId="1D53C35F" w:rsidR="00540992" w:rsidRPr="00A93BC7" w:rsidRDefault="00540992" w:rsidP="00540992">
      <w:pPr>
        <w:pStyle w:val="SingleTxtG"/>
      </w:pPr>
      <w:r>
        <w:t>65.</w:t>
      </w:r>
      <w:r>
        <w:tab/>
        <w:t>Комитет обеспокоен влиянием войны на психическое здоровье жителей страны, из-за которого они подвергаются высокому риску депрессии, тревожности и других нарушений психического здоровья. Кроме того, Комитет обеспокоен отсутствием внимания к укреплению психического здоровья и психологического благополучия и соответствующих услуг, а также острой нехваткой квалифицированных специалистов в области психического здоровья (ст</w:t>
      </w:r>
      <w:r w:rsidR="00860919">
        <w:t>.</w:t>
      </w:r>
      <w:r>
        <w:t xml:space="preserve"> 12). </w:t>
      </w:r>
    </w:p>
    <w:p w14:paraId="0C46A253" w14:textId="77777777" w:rsidR="00540992" w:rsidRPr="00A93BC7" w:rsidRDefault="00540992" w:rsidP="00540992">
      <w:pPr>
        <w:pStyle w:val="SingleTxtG"/>
        <w:rPr>
          <w:b/>
          <w:bCs/>
        </w:rPr>
      </w:pPr>
      <w:r>
        <w:t>66.</w:t>
      </w:r>
      <w:r>
        <w:tab/>
      </w:r>
      <w:r>
        <w:rPr>
          <w:b/>
          <w:bCs/>
        </w:rPr>
        <w:t>Комитет рекомендует государству-участнику принять меры по обеспечению наличия, доступности и качества профессиональной психиатрической помощи и услуг, включая услуги на базе общин, в частности за счет надлежащей подготовки специалистов в области психического здоровья.</w:t>
      </w:r>
    </w:p>
    <w:p w14:paraId="0CCE0426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  <w:r>
        <w:t xml:space="preserve"> </w:t>
      </w:r>
    </w:p>
    <w:p w14:paraId="5681EFE8" w14:textId="77777777" w:rsidR="00540992" w:rsidRPr="00A93BC7" w:rsidRDefault="00540992" w:rsidP="00540992">
      <w:pPr>
        <w:pStyle w:val="SingleTxtG"/>
      </w:pPr>
      <w:r>
        <w:t>67.</w:t>
      </w:r>
      <w:r>
        <w:tab/>
        <w:t xml:space="preserve">Комитет обеспокоен непропорционально высоким числом детей, не посещающих школу из-за конфликта, бедности, отсутствия возможностей для получения образования и ранних браков, что усугубляется пандемией COVID-19 и различными недостатками в системе образования государства-участника. Комитет выражает особую обеспокоенность в связи с тем, что: </w:t>
      </w:r>
    </w:p>
    <w:p w14:paraId="51DD89C5" w14:textId="77777777" w:rsidR="00540992" w:rsidRPr="00A93BC7" w:rsidRDefault="00540992" w:rsidP="00CA0B7D">
      <w:pPr>
        <w:pStyle w:val="SingleTxtG"/>
        <w:ind w:firstLine="567"/>
      </w:pPr>
      <w:r>
        <w:t>a)</w:t>
      </w:r>
      <w:r>
        <w:tab/>
        <w:t>хотя государство-участник одобрило Декларацию о безопасности в школах в октябре 2017 года, школы разрушаются и повреждаются, а также используются в военных целях, превращаясь в военные объекты, подвергающиеся нападениям, что приводит к их закрытию и подвергает детей риску вербовки со стороны вооруженных групп;</w:t>
      </w:r>
    </w:p>
    <w:p w14:paraId="3AFB3963" w14:textId="77777777" w:rsidR="00540992" w:rsidRPr="00A93BC7" w:rsidRDefault="00540992" w:rsidP="00CA0B7D">
      <w:pPr>
        <w:pStyle w:val="SingleTxtG"/>
        <w:ind w:firstLine="567"/>
      </w:pPr>
      <w:r>
        <w:t>b)</w:t>
      </w:r>
      <w:r>
        <w:tab/>
        <w:t xml:space="preserve">многие учителя и другие работники системы образования не получают зарплату; </w:t>
      </w:r>
    </w:p>
    <w:p w14:paraId="52D5573E" w14:textId="4E318FE5" w:rsidR="00540992" w:rsidRPr="00A93BC7" w:rsidRDefault="00540992" w:rsidP="00CA0B7D">
      <w:pPr>
        <w:pStyle w:val="SingleTxtG"/>
        <w:ind w:firstLine="567"/>
      </w:pPr>
      <w:r>
        <w:t>c)</w:t>
      </w:r>
      <w:r>
        <w:tab/>
        <w:t>отсутствие услуг водоснабжения, санитарии и гигиены в учебных заведениях не позволяет детям, особенно девочкам-подросткам, продолжать обучение (ст</w:t>
      </w:r>
      <w:r w:rsidR="009B0787">
        <w:t>.</w:t>
      </w:r>
      <w:r>
        <w:t xml:space="preserve"> 13 и 14). </w:t>
      </w:r>
    </w:p>
    <w:p w14:paraId="5D80BBEA" w14:textId="77777777" w:rsidR="00540992" w:rsidRPr="00A93BC7" w:rsidRDefault="00540992" w:rsidP="00540992">
      <w:pPr>
        <w:pStyle w:val="SingleTxtG"/>
        <w:rPr>
          <w:b/>
          <w:bCs/>
        </w:rPr>
      </w:pPr>
      <w:r>
        <w:t>68.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EB5EA68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a)</w:t>
      </w:r>
      <w:r w:rsidRPr="008B25B3">
        <w:rPr>
          <w:b/>
          <w:bCs/>
        </w:rPr>
        <w:tab/>
      </w:r>
      <w:r>
        <w:rPr>
          <w:b/>
          <w:bCs/>
        </w:rPr>
        <w:t>обеспечить эффективное, заслуживающее доверия, беспристрастное и прозрачное расследование всех случаев нападения на школы и учебные заведения и их использования в военных целях и обеспечить незамедлительное преследование и привлечение к ответственности виновных;</w:t>
      </w:r>
    </w:p>
    <w:p w14:paraId="13EE6EED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b)</w:t>
      </w:r>
      <w:r w:rsidRPr="008B25B3">
        <w:rPr>
          <w:b/>
          <w:bCs/>
        </w:rPr>
        <w:tab/>
      </w:r>
      <w:r>
        <w:rPr>
          <w:b/>
          <w:bCs/>
        </w:rPr>
        <w:t>активизировать меры по обеспечению демилитаризации и защиты школ от любого риска милитаризации;</w:t>
      </w:r>
    </w:p>
    <w:p w14:paraId="3D223717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c)</w:t>
      </w:r>
      <w:r w:rsidRPr="008B25B3">
        <w:rPr>
          <w:b/>
          <w:bCs/>
        </w:rPr>
        <w:tab/>
      </w:r>
      <w:r>
        <w:rPr>
          <w:b/>
          <w:bCs/>
        </w:rPr>
        <w:t>существенно и с использованием адаптивного подхода увеличить ресурсы, выделяемые на сектор образования, чтобы восстановить школы, пострадавшие от конфликта, обеспечить своевременное получение заработной платы учителями и педагогическим персоналом в полном объеме, а также обеспечить все школы отвечающими необходимым стандартам объектами водоснабжения и санитарии с учетом потребностей детей;</w:t>
      </w:r>
    </w:p>
    <w:p w14:paraId="64A841A6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d)</w:t>
      </w:r>
      <w:r w:rsidRPr="008B25B3">
        <w:rPr>
          <w:b/>
          <w:bCs/>
        </w:rPr>
        <w:tab/>
      </w:r>
      <w:r>
        <w:rPr>
          <w:b/>
          <w:bCs/>
        </w:rPr>
        <w:t>полностью поддерживать, в качестве приоритетной и конкретной меры, школы, учащихся и преподавателей для эффективного обеспечения непрерывности образования;</w:t>
      </w:r>
    </w:p>
    <w:p w14:paraId="25EB6468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e)</w:t>
      </w:r>
      <w:r w:rsidRPr="008B25B3">
        <w:rPr>
          <w:b/>
          <w:bCs/>
        </w:rPr>
        <w:tab/>
      </w:r>
      <w:r>
        <w:rPr>
          <w:b/>
          <w:bCs/>
        </w:rPr>
        <w:t>принять и внедрить конкретные и рассчитанные на конкретный срок показатели распределения национальных ресурсов и ресурсов, полученных в рамках международного сотрудничества, для обеспечения доступности, непрерывности и эффективности образования, в частности в отношении реконструкции и ремонта школ и учебных заведений, найма и укрепления потенциала учителей и школьных</w:t>
      </w:r>
      <w:r w:rsidRPr="00A93BC7">
        <w:rPr>
          <w:b/>
          <w:bCs/>
        </w:rPr>
        <w:t xml:space="preserve"> </w:t>
      </w:r>
      <w:r>
        <w:rPr>
          <w:b/>
          <w:bCs/>
        </w:rPr>
        <w:t>администраторов, а также оценки реализуемых мер;</w:t>
      </w:r>
    </w:p>
    <w:p w14:paraId="5277C139" w14:textId="77777777" w:rsidR="00540992" w:rsidRPr="00A93BC7" w:rsidRDefault="00540992" w:rsidP="008B25B3">
      <w:pPr>
        <w:pStyle w:val="SingleTxtG"/>
        <w:ind w:firstLine="567"/>
        <w:rPr>
          <w:b/>
          <w:bCs/>
        </w:rPr>
      </w:pPr>
      <w:r w:rsidRPr="008B25B3">
        <w:rPr>
          <w:b/>
          <w:bCs/>
        </w:rPr>
        <w:t>f)</w:t>
      </w:r>
      <w:r w:rsidRPr="008B25B3">
        <w:rPr>
          <w:b/>
          <w:bCs/>
        </w:rPr>
        <w:tab/>
      </w:r>
      <w:r>
        <w:rPr>
          <w:b/>
          <w:bCs/>
        </w:rPr>
        <w:t>в полной мере соблюдать замечание общего порядка Комитета № 13 (1999) о праве на образование.</w:t>
      </w:r>
    </w:p>
    <w:p w14:paraId="573C8092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Телесное наказание</w:t>
      </w:r>
      <w:r>
        <w:t xml:space="preserve"> </w:t>
      </w:r>
    </w:p>
    <w:p w14:paraId="471D4B36" w14:textId="75CDF940" w:rsidR="00540992" w:rsidRPr="00A93BC7" w:rsidRDefault="00540992" w:rsidP="00540992">
      <w:pPr>
        <w:pStyle w:val="SingleTxtG"/>
      </w:pPr>
      <w:r>
        <w:t>69.</w:t>
      </w:r>
      <w:r>
        <w:tab/>
        <w:t>Комитет отмечает, что, хотя в Йемене существует несколько министерских программ, направленных на запрет телесных наказаний детей в школах и детских садах, отсутствует закон, запрещающий их. В этой связи Комитет обеспокоен тем, что телесные наказания по-прежнему широко допускаются и практикуются в местах, где взрослые имеют власть над детьми, таких как школы, учреждения альтернативного ухода, а также в семье (ст</w:t>
      </w:r>
      <w:r w:rsidR="00D84C98">
        <w:t>.</w:t>
      </w:r>
      <w:r>
        <w:t xml:space="preserve"> 13). </w:t>
      </w:r>
    </w:p>
    <w:p w14:paraId="49DB3F38" w14:textId="77777777" w:rsidR="00540992" w:rsidRPr="00A93BC7" w:rsidRDefault="00540992" w:rsidP="00540992">
      <w:pPr>
        <w:pStyle w:val="SingleTxtG"/>
        <w:rPr>
          <w:b/>
          <w:bCs/>
        </w:rPr>
      </w:pPr>
      <w:r>
        <w:t>70.</w:t>
      </w:r>
      <w:r>
        <w:tab/>
      </w:r>
      <w:r>
        <w:rPr>
          <w:b/>
          <w:bCs/>
        </w:rPr>
        <w:t>Комитет настоятельно призывает государство-участник принять законодательство, прямо запрещающее телесные наказания в местах, где взрослые имеют власть над детьми, таких как школы, учреждения альтернативного ухода, а также в семье, и принять меры для обеспечения их эффективного запрета.</w:t>
      </w:r>
      <w:r>
        <w:t xml:space="preserve"> </w:t>
      </w:r>
      <w:r>
        <w:rPr>
          <w:b/>
          <w:bCs/>
        </w:rPr>
        <w:t>Комитет также рекомендует государству-участнику установить наказания для всех, кто практикует телесные наказания, и создать механизмы правоприменения, включая механизмы подачи жалоб, учитывающие интересы детей.</w:t>
      </w:r>
      <w:r>
        <w:t xml:space="preserve"> </w:t>
      </w:r>
    </w:p>
    <w:p w14:paraId="7B1510B2" w14:textId="77777777" w:rsidR="00540992" w:rsidRPr="00A93BC7" w:rsidRDefault="00540992" w:rsidP="00540992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  <w:r>
        <w:t xml:space="preserve"> </w:t>
      </w:r>
    </w:p>
    <w:p w14:paraId="722E7632" w14:textId="42DE5F7A" w:rsidR="00540992" w:rsidRPr="00A93BC7" w:rsidRDefault="00540992" w:rsidP="00540992">
      <w:pPr>
        <w:pStyle w:val="SingleTxtG"/>
      </w:pPr>
      <w:r>
        <w:t>71.</w:t>
      </w:r>
      <w:r>
        <w:tab/>
        <w:t>Комитет обеспокоен нападениями на объекты уникального культурного наследия государства-участника и их разрушением всеми сторонами конфликта, а</w:t>
      </w:r>
      <w:r w:rsidR="00290843">
        <w:t> </w:t>
      </w:r>
      <w:r>
        <w:t>также их использованием в военных целях (ст</w:t>
      </w:r>
      <w:r w:rsidR="00B2017C">
        <w:t>.</w:t>
      </w:r>
      <w:r>
        <w:t xml:space="preserve"> 15).</w:t>
      </w:r>
    </w:p>
    <w:p w14:paraId="7B794DFA" w14:textId="020FA6D6" w:rsidR="00540992" w:rsidRPr="00A93BC7" w:rsidRDefault="00540992" w:rsidP="00540992">
      <w:pPr>
        <w:pStyle w:val="SingleTxtG"/>
        <w:rPr>
          <w:b/>
          <w:bCs/>
        </w:rPr>
      </w:pPr>
      <w:r>
        <w:t>72.</w:t>
      </w:r>
      <w:r>
        <w:tab/>
      </w:r>
      <w:r>
        <w:rPr>
          <w:b/>
          <w:bCs/>
        </w:rPr>
        <w:t>Комитет рекомендует государству-участнику эффективно расследовать и осудить все нападения на культурные ценности.</w:t>
      </w:r>
      <w:r>
        <w:t xml:space="preserve"> </w:t>
      </w:r>
      <w:r>
        <w:rPr>
          <w:b/>
          <w:bCs/>
        </w:rPr>
        <w:t>Комитет также рекомендует государству-участнику повысить осведомленность вооруженных сил, в</w:t>
      </w:r>
      <w:r w:rsidR="00315668">
        <w:rPr>
          <w:b/>
          <w:bCs/>
        </w:rPr>
        <w:t> </w:t>
      </w:r>
      <w:r>
        <w:rPr>
          <w:b/>
          <w:bCs/>
        </w:rPr>
        <w:t>частности путем обучения, о важности уважения культурного наследия.</w:t>
      </w:r>
      <w:r>
        <w:t xml:space="preserve"> </w:t>
      </w:r>
    </w:p>
    <w:p w14:paraId="77B16CB9" w14:textId="55B15B38" w:rsidR="00540992" w:rsidRPr="00A93BC7" w:rsidRDefault="00A14697" w:rsidP="00540992">
      <w:pPr>
        <w:pStyle w:val="H1G"/>
      </w:pPr>
      <w:r>
        <w:rPr>
          <w:bCs/>
        </w:rPr>
        <w:tab/>
      </w:r>
      <w:r w:rsidR="00540992">
        <w:rPr>
          <w:bCs/>
        </w:rPr>
        <w:t>D.</w:t>
      </w:r>
      <w:r w:rsidR="00540992">
        <w:tab/>
      </w:r>
      <w:r w:rsidR="00540992">
        <w:rPr>
          <w:bCs/>
        </w:rPr>
        <w:t>Прочие рекомендации</w:t>
      </w:r>
      <w:r w:rsidR="00540992">
        <w:t xml:space="preserve"> </w:t>
      </w:r>
    </w:p>
    <w:p w14:paraId="6CA4ED9D" w14:textId="77777777" w:rsidR="00540992" w:rsidRPr="00A93BC7" w:rsidRDefault="00540992" w:rsidP="00540992">
      <w:pPr>
        <w:pStyle w:val="SingleTxtG"/>
        <w:rPr>
          <w:b/>
          <w:bCs/>
        </w:rPr>
      </w:pPr>
      <w:r>
        <w:t>73.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ратификации основных договоров по правам человека, участником которых страна еще не является, включая Международную конвенцию о защите прав всех трудящихся-мигрантов и членов их семей;</w:t>
      </w:r>
      <w:r>
        <w:t xml:space="preserve"> </w:t>
      </w:r>
      <w:r>
        <w:rPr>
          <w:b/>
          <w:bCs/>
        </w:rPr>
        <w:t>Международную конвенцию для защиты всех лиц от насильственных исчезновений;</w:t>
      </w:r>
      <w:r>
        <w:t xml:space="preserve"> </w:t>
      </w:r>
      <w:r>
        <w:rPr>
          <w:b/>
          <w:bCs/>
        </w:rPr>
        <w:t>Факультативный протокол к Международному пакту о гражданских и политических правах;</w:t>
      </w:r>
      <w:r>
        <w:t xml:space="preserve"> </w:t>
      </w:r>
      <w:r>
        <w:rPr>
          <w:b/>
          <w:bCs/>
        </w:rPr>
        <w:t>второй Факультативный протокол к Международному пакту о гражданских и политических правах, направленный на отмену смертной казни;</w:t>
      </w:r>
      <w:r>
        <w:t xml:space="preserve"> </w:t>
      </w:r>
      <w:r>
        <w:rPr>
          <w:b/>
          <w:bCs/>
        </w:rPr>
        <w:t>Факультативный протокол к Конвенции о ликвидации всех форм дискриминации в отношении женщин;</w:t>
      </w:r>
      <w:r>
        <w:t xml:space="preserve"> </w:t>
      </w:r>
      <w:r>
        <w:rPr>
          <w:b/>
          <w:bCs/>
        </w:rPr>
        <w:t>Факультативный протокол к Конвенции против пыток и других жестоких, бесчеловечных или унижающих достоинство видов обращения и наказания;</w:t>
      </w:r>
      <w:r>
        <w:t xml:space="preserve"> </w:t>
      </w:r>
      <w:r>
        <w:rPr>
          <w:b/>
          <w:bCs/>
        </w:rPr>
        <w:t>и Факультативный протокол к Конвенции о правах ребенка, касающийся процедуры сообщений.</w:t>
      </w:r>
      <w:r>
        <w:t xml:space="preserve"> </w:t>
      </w:r>
      <w:r>
        <w:rPr>
          <w:b/>
          <w:bCs/>
        </w:rPr>
        <w:t>Комитет также рекомендует государству-участнику ратифицировать Римский статут Международного уголовного суда, который был подписан Йеменом в 2000 году.</w:t>
      </w:r>
      <w:r>
        <w:t xml:space="preserve"> </w:t>
      </w:r>
    </w:p>
    <w:p w14:paraId="0E3C9C58" w14:textId="77777777" w:rsidR="00540992" w:rsidRPr="00A93BC7" w:rsidRDefault="00540992" w:rsidP="00540992">
      <w:pPr>
        <w:pStyle w:val="SingleTxtG"/>
        <w:rPr>
          <w:b/>
          <w:bCs/>
        </w:rPr>
      </w:pPr>
      <w:r>
        <w:t>74.</w:t>
      </w:r>
      <w:r>
        <w:tab/>
      </w:r>
      <w:r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в том числе в рамках восстановления после пандемии COVID-19.</w:t>
      </w:r>
      <w:r>
        <w:t xml:space="preserve"> </w:t>
      </w:r>
      <w:r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по достижению целей в области устойчивого развития.</w:t>
      </w:r>
      <w:r>
        <w:t xml:space="preserve"> </w:t>
      </w:r>
      <w:r>
        <w:rPr>
          <w:b/>
          <w:bCs/>
        </w:rPr>
        <w:t>Достижение этих целей на основе принципов участия, подотчетности и недискриминации будет способствовать обеспечению того, чтобы никто не был забыт.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забыть.</w:t>
      </w:r>
    </w:p>
    <w:p w14:paraId="46469CA2" w14:textId="77777777" w:rsidR="00540992" w:rsidRPr="00A93BC7" w:rsidRDefault="00540992" w:rsidP="00540992">
      <w:pPr>
        <w:pStyle w:val="SingleTxtG"/>
        <w:rPr>
          <w:b/>
          <w:bCs/>
        </w:rPr>
      </w:pPr>
      <w:r>
        <w:t>75.</w:t>
      </w:r>
      <w:r>
        <w:tab/>
      </w:r>
      <w:r>
        <w:rPr>
          <w:b/>
          <w:bCs/>
        </w:rPr>
        <w:t>Комитет просит государство-участник широко распространить текст настоящих заключительных замечаний на всех уровнях общества, в том числе в регионах, в частности среди парламентариев, государственных должностных лиц и сотрудников судебных органов, и в своем следующем периодическом докладе проинформировать Комитет о шагах, предпринятых с целью их осуществления.</w:t>
      </w:r>
      <w:r>
        <w:t xml:space="preserve"> </w:t>
      </w:r>
      <w:r>
        <w:rPr>
          <w:b/>
          <w:bCs/>
        </w:rPr>
        <w:t>Комитет подчеркивает важнейшую роль, которую играет парламент в осуществлении настоящих заключительных замечаний, и призывает государство-участник обеспечить его участие в будущих процедурах представления докладов и последующих действий.</w:t>
      </w:r>
      <w:r>
        <w:t xml:space="preserve"> </w:t>
      </w:r>
      <w:r>
        <w:rPr>
          <w:b/>
          <w:bCs/>
        </w:rPr>
        <w:t>Комитет призывает государство-участник взаимодействовать с Национальной комиссией по расследованию, неправительственными организациями и другими членами гражданского общества в ходе последующей деятельности по реализации настоящих заключительных замечаний и в процессе консультаций на национальном уровне до представления своего следующего периодического доклада.</w:t>
      </w:r>
    </w:p>
    <w:p w14:paraId="1DF3C354" w14:textId="77777777" w:rsidR="00540992" w:rsidRPr="00A93BC7" w:rsidRDefault="00540992" w:rsidP="00540992">
      <w:pPr>
        <w:pStyle w:val="SingleTxtG"/>
        <w:rPr>
          <w:b/>
          <w:bCs/>
        </w:rPr>
      </w:pPr>
      <w:r>
        <w:t>76.</w:t>
      </w:r>
      <w:r>
        <w:tab/>
      </w:r>
      <w:r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представить в течение 24 месяцев с момента принятия настоящих заключительных замечаний информацию о выполнении рекомендаций, содержащихся в пунктах 8 (применение Пакта в контексте вооруженного конфликта), 18 (международная помощь) и 58 (право на воду и санитарию) выше.</w:t>
      </w:r>
    </w:p>
    <w:p w14:paraId="2B992424" w14:textId="684441BE" w:rsidR="00540992" w:rsidRPr="00A93BC7" w:rsidRDefault="00540992" w:rsidP="00540992">
      <w:pPr>
        <w:pStyle w:val="SingleTxtG"/>
        <w:rPr>
          <w:b/>
          <w:bCs/>
        </w:rPr>
      </w:pPr>
      <w:r>
        <w:t>77.</w:t>
      </w:r>
      <w:r>
        <w:tab/>
      </w:r>
      <w:r>
        <w:rPr>
          <w:b/>
          <w:bCs/>
        </w:rPr>
        <w:t>Комитет просит государство-участник представить четвертый периодический доклад в соответствии со статьей 16 Пакта не позднее 31 марта 2028 года, если только оно не будет уведомлено об изменении цикла обзора.</w:t>
      </w:r>
      <w:r>
        <w:t xml:space="preserve"> </w:t>
      </w:r>
      <w:r>
        <w:rPr>
          <w:b/>
          <w:bCs/>
        </w:rPr>
        <w:t>В</w:t>
      </w:r>
      <w:r w:rsidR="00114484">
        <w:rPr>
          <w:b/>
          <w:bCs/>
        </w:rPr>
        <w:t> </w:t>
      </w:r>
      <w:r>
        <w:rPr>
          <w:b/>
          <w:bCs/>
        </w:rPr>
        <w:t>соответствии с резолюцией 68/268 Генеральной Ассамблеи объем доклада не должен превышать 21 200 слов.</w:t>
      </w:r>
    </w:p>
    <w:p w14:paraId="2D0C3C84" w14:textId="77777777" w:rsidR="00540992" w:rsidRPr="00A93BC7" w:rsidRDefault="00540992" w:rsidP="00540992">
      <w:pPr>
        <w:spacing w:before="240"/>
        <w:jc w:val="center"/>
      </w:pPr>
      <w:r w:rsidRPr="00A93BC7">
        <w:rPr>
          <w:u w:val="single"/>
        </w:rPr>
        <w:tab/>
      </w:r>
      <w:r w:rsidRPr="00A93BC7">
        <w:rPr>
          <w:u w:val="single"/>
        </w:rPr>
        <w:tab/>
      </w:r>
      <w:r w:rsidRPr="00A93BC7">
        <w:rPr>
          <w:u w:val="single"/>
        </w:rPr>
        <w:tab/>
      </w:r>
    </w:p>
    <w:sectPr w:rsidR="00540992" w:rsidRPr="00A93BC7" w:rsidSect="00540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F81A" w14:textId="77777777" w:rsidR="00F5640B" w:rsidRPr="00A312BC" w:rsidRDefault="00F5640B" w:rsidP="00A312BC"/>
  </w:endnote>
  <w:endnote w:type="continuationSeparator" w:id="0">
    <w:p w14:paraId="6470C25D" w14:textId="77777777" w:rsidR="00F5640B" w:rsidRPr="00A312BC" w:rsidRDefault="00F564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1DC9" w14:textId="38962A3D" w:rsidR="00540992" w:rsidRPr="00540992" w:rsidRDefault="00540992">
    <w:pPr>
      <w:pStyle w:val="aa"/>
    </w:pPr>
    <w:r w:rsidRPr="00540992">
      <w:rPr>
        <w:b/>
        <w:sz w:val="18"/>
      </w:rPr>
      <w:fldChar w:fldCharType="begin"/>
    </w:r>
    <w:r w:rsidRPr="00540992">
      <w:rPr>
        <w:b/>
        <w:sz w:val="18"/>
      </w:rPr>
      <w:instrText xml:space="preserve"> PAGE  \* MERGEFORMAT </w:instrText>
    </w:r>
    <w:r w:rsidRPr="00540992">
      <w:rPr>
        <w:b/>
        <w:sz w:val="18"/>
      </w:rPr>
      <w:fldChar w:fldCharType="separate"/>
    </w:r>
    <w:r w:rsidRPr="00540992">
      <w:rPr>
        <w:b/>
        <w:noProof/>
        <w:sz w:val="18"/>
      </w:rPr>
      <w:t>2</w:t>
    </w:r>
    <w:r w:rsidRPr="00540992">
      <w:rPr>
        <w:b/>
        <w:sz w:val="18"/>
      </w:rPr>
      <w:fldChar w:fldCharType="end"/>
    </w:r>
    <w:r>
      <w:rPr>
        <w:b/>
        <w:sz w:val="18"/>
      </w:rPr>
      <w:tab/>
    </w:r>
    <w:r>
      <w:t>GE.23-04583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00B9" w14:textId="47B2E234" w:rsidR="00540992" w:rsidRPr="00540992" w:rsidRDefault="00540992" w:rsidP="00540992">
    <w:pPr>
      <w:pStyle w:val="aa"/>
      <w:tabs>
        <w:tab w:val="clear" w:pos="9639"/>
        <w:tab w:val="right" w:pos="9638"/>
      </w:tabs>
      <w:rPr>
        <w:b/>
        <w:sz w:val="18"/>
      </w:rPr>
    </w:pPr>
    <w:r>
      <w:t>GE.23-04583</w:t>
    </w:r>
    <w:r>
      <w:tab/>
    </w:r>
    <w:r w:rsidRPr="00540992">
      <w:rPr>
        <w:b/>
        <w:sz w:val="18"/>
      </w:rPr>
      <w:fldChar w:fldCharType="begin"/>
    </w:r>
    <w:r w:rsidRPr="00540992">
      <w:rPr>
        <w:b/>
        <w:sz w:val="18"/>
      </w:rPr>
      <w:instrText xml:space="preserve"> PAGE  \* MERGEFORMAT </w:instrText>
    </w:r>
    <w:r w:rsidRPr="00540992">
      <w:rPr>
        <w:b/>
        <w:sz w:val="18"/>
      </w:rPr>
      <w:fldChar w:fldCharType="separate"/>
    </w:r>
    <w:r w:rsidRPr="00540992">
      <w:rPr>
        <w:b/>
        <w:noProof/>
        <w:sz w:val="18"/>
      </w:rPr>
      <w:t>3</w:t>
    </w:r>
    <w:r w:rsidRPr="005409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0C17" w14:textId="1145A149" w:rsidR="00042B72" w:rsidRPr="00DB75F1" w:rsidRDefault="00540992" w:rsidP="0054099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F1C169" wp14:editId="53FEE6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04583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382C78" wp14:editId="6626C2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5F1">
      <w:rPr>
        <w:lang w:val="en-US"/>
      </w:rPr>
      <w:t xml:space="preserve">  060423  170423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25B" w14:textId="77777777" w:rsidR="00F5640B" w:rsidRPr="001075E9" w:rsidRDefault="00F564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EC1848" w14:textId="77777777" w:rsidR="00F5640B" w:rsidRDefault="00F564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7A59B6" w14:textId="0D42BF93" w:rsidR="00540992" w:rsidRPr="00A93BC7" w:rsidRDefault="00540992" w:rsidP="00540992">
      <w:pPr>
        <w:pStyle w:val="af"/>
      </w:pPr>
      <w:r>
        <w:tab/>
        <w:t>*</w:t>
      </w:r>
      <w:r>
        <w:tab/>
        <w:t xml:space="preserve">Приняты Комитетом на его семьдесят третьей сессии (13 февраля </w:t>
      </w:r>
      <w:r w:rsidR="00C35AAC" w:rsidRPr="00C35AAC">
        <w:t>—</w:t>
      </w:r>
      <w:r>
        <w:t xml:space="preserve"> 3 марта 2023 года).</w:t>
      </w:r>
    </w:p>
  </w:footnote>
  <w:footnote w:id="2">
    <w:p w14:paraId="75D07913" w14:textId="3F72AF47" w:rsidR="00540992" w:rsidRPr="00540992" w:rsidRDefault="00540992" w:rsidP="00540992">
      <w:pPr>
        <w:pStyle w:val="af"/>
        <w:rPr>
          <w:lang w:val="en-US"/>
        </w:rPr>
      </w:pPr>
      <w:r>
        <w:tab/>
      </w:r>
      <w:r w:rsidRPr="002623D4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1" w:history="1">
        <w:r w:rsidR="00893C7C">
          <w:rPr>
            <w:rStyle w:val="a7"/>
            <w:lang w:val="en-US"/>
          </w:rPr>
          <w:t>E/C.12/YEM/3</w:t>
        </w:r>
      </w:hyperlink>
      <w:r w:rsidRPr="00A93BC7">
        <w:rPr>
          <w:lang w:val="en-US"/>
        </w:rPr>
        <w:t>.</w:t>
      </w:r>
    </w:p>
  </w:footnote>
  <w:footnote w:id="3">
    <w:p w14:paraId="59C1C590" w14:textId="338F2C68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0C0651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2" w:history="1">
        <w:r w:rsidR="00893C7C">
          <w:rPr>
            <w:rStyle w:val="a7"/>
            <w:lang w:val="en-US"/>
          </w:rPr>
          <w:t>E/C.12/2023/SR.12</w:t>
        </w:r>
      </w:hyperlink>
      <w:r w:rsidRPr="00A93BC7">
        <w:rPr>
          <w:lang w:val="en-US"/>
        </w:rPr>
        <w:t xml:space="preserve">, </w:t>
      </w:r>
      <w:hyperlink r:id="rId3" w:history="1">
        <w:r w:rsidR="00893C7C">
          <w:rPr>
            <w:rStyle w:val="a7"/>
            <w:lang w:val="en-US"/>
          </w:rPr>
          <w:t>E/C.12/2023/SR.14</w:t>
        </w:r>
      </w:hyperlink>
      <w:r w:rsidRPr="00A93BC7">
        <w:rPr>
          <w:lang w:val="en-US"/>
        </w:rPr>
        <w:t xml:space="preserve"> </w:t>
      </w:r>
      <w:r w:rsidR="008D0BB9">
        <w:t>и</w:t>
      </w:r>
      <w:r w:rsidRPr="00A93BC7">
        <w:rPr>
          <w:lang w:val="en-US"/>
        </w:rPr>
        <w:t xml:space="preserve"> </w:t>
      </w:r>
      <w:hyperlink r:id="rId4" w:history="1">
        <w:r w:rsidR="00893C7C">
          <w:rPr>
            <w:rStyle w:val="a7"/>
            <w:lang w:val="en-US"/>
          </w:rPr>
          <w:t>E/C.12/2023/SR.17</w:t>
        </w:r>
      </w:hyperlink>
      <w:r w:rsidRPr="00A93BC7">
        <w:rPr>
          <w:lang w:val="en-US"/>
        </w:rPr>
        <w:t>.</w:t>
      </w:r>
    </w:p>
  </w:footnote>
  <w:footnote w:id="4">
    <w:p w14:paraId="79C5024C" w14:textId="505F20E5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0C0651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5" w:history="1">
        <w:r w:rsidR="00893C7C">
          <w:rPr>
            <w:rStyle w:val="a7"/>
            <w:lang w:val="en-US"/>
          </w:rPr>
          <w:t>E/C.12/2023/SR.30</w:t>
        </w:r>
      </w:hyperlink>
      <w:r w:rsidRPr="00A93BC7">
        <w:rPr>
          <w:lang w:val="en-US"/>
        </w:rPr>
        <w:t>.</w:t>
      </w:r>
    </w:p>
  </w:footnote>
  <w:footnote w:id="5">
    <w:p w14:paraId="15F60769" w14:textId="5B8B5561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0C0651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6" w:history="1">
        <w:r w:rsidR="00893C7C">
          <w:rPr>
            <w:rStyle w:val="a7"/>
            <w:lang w:val="en-US"/>
          </w:rPr>
          <w:t>E/C.12/YEM/RQ/3</w:t>
        </w:r>
      </w:hyperlink>
      <w:r w:rsidRPr="00A93BC7">
        <w:rPr>
          <w:lang w:val="en-US"/>
        </w:rPr>
        <w:t>.</w:t>
      </w:r>
    </w:p>
  </w:footnote>
  <w:footnote w:id="6">
    <w:p w14:paraId="1A870CE8" w14:textId="5DB870C7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2623D4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7" w:history="1">
        <w:r w:rsidR="00893C7C">
          <w:rPr>
            <w:rStyle w:val="a7"/>
            <w:lang w:val="en-US"/>
          </w:rPr>
          <w:t>A/HRC/51/62</w:t>
        </w:r>
      </w:hyperlink>
      <w:r w:rsidRPr="00A93BC7">
        <w:rPr>
          <w:lang w:val="en-US"/>
        </w:rPr>
        <w:t xml:space="preserve">. </w:t>
      </w:r>
    </w:p>
  </w:footnote>
  <w:footnote w:id="7">
    <w:p w14:paraId="4A06D7E1" w14:textId="411DAB57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4B0A9B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8" w:history="1">
        <w:r w:rsidRPr="00917E1A">
          <w:rPr>
            <w:rStyle w:val="a7"/>
            <w:lang w:val="en-US"/>
          </w:rPr>
          <w:t>E/C.12/2016/2</w:t>
        </w:r>
      </w:hyperlink>
      <w:r w:rsidRPr="00A93BC7">
        <w:rPr>
          <w:lang w:val="en-US"/>
        </w:rPr>
        <w:t>.</w:t>
      </w:r>
    </w:p>
  </w:footnote>
  <w:footnote w:id="8">
    <w:p w14:paraId="0394A40A" w14:textId="2735D939" w:rsidR="00540992" w:rsidRPr="00540992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2623D4">
        <w:rPr>
          <w:rStyle w:val="a8"/>
        </w:rPr>
        <w:footnoteRef/>
      </w:r>
      <w:r w:rsidRPr="00A93BC7">
        <w:rPr>
          <w:lang w:val="en-US"/>
        </w:rPr>
        <w:t xml:space="preserve"> </w:t>
      </w:r>
      <w:r w:rsidRPr="00A93BC7">
        <w:rPr>
          <w:lang w:val="en-US"/>
        </w:rPr>
        <w:tab/>
      </w:r>
      <w:hyperlink r:id="rId9" w:history="1">
        <w:r w:rsidRPr="00917E1A">
          <w:rPr>
            <w:rStyle w:val="a7"/>
            <w:lang w:val="en-US"/>
          </w:rPr>
          <w:t>CEDAW/C/YEM/CO/7-8</w:t>
        </w:r>
      </w:hyperlink>
      <w:r w:rsidRPr="00A93BC7">
        <w:rPr>
          <w:lang w:val="en-US"/>
        </w:rPr>
        <w:t>.</w:t>
      </w:r>
    </w:p>
  </w:footnote>
  <w:footnote w:id="9">
    <w:p w14:paraId="7865CA2D" w14:textId="73BAAB98" w:rsidR="00540992" w:rsidRPr="00917E1A" w:rsidRDefault="00540992" w:rsidP="00540992">
      <w:pPr>
        <w:pStyle w:val="af"/>
        <w:rPr>
          <w:lang w:val="en-US"/>
        </w:rPr>
      </w:pPr>
      <w:r w:rsidRPr="00A93BC7">
        <w:rPr>
          <w:lang w:val="en-US"/>
        </w:rPr>
        <w:tab/>
      </w:r>
      <w:r w:rsidRPr="002623D4">
        <w:rPr>
          <w:rStyle w:val="a8"/>
        </w:rPr>
        <w:footnoteRef/>
      </w:r>
      <w:r w:rsidRPr="00917E1A">
        <w:rPr>
          <w:lang w:val="en-US"/>
        </w:rPr>
        <w:t xml:space="preserve"> </w:t>
      </w:r>
      <w:r w:rsidRPr="00917E1A">
        <w:rPr>
          <w:lang w:val="en-US"/>
        </w:rPr>
        <w:tab/>
      </w:r>
      <w:hyperlink r:id="rId10" w:history="1">
        <w:r w:rsidRPr="00917E1A">
          <w:rPr>
            <w:rStyle w:val="a7"/>
            <w:lang w:val="en-US"/>
          </w:rPr>
          <w:t>E/C.12/2001/10</w:t>
        </w:r>
      </w:hyperlink>
      <w:r w:rsidRPr="00917E1A">
        <w:rPr>
          <w:lang w:val="en-US"/>
        </w:rPr>
        <w:t>.</w:t>
      </w:r>
    </w:p>
  </w:footnote>
  <w:footnote w:id="10">
    <w:p w14:paraId="740A298A" w14:textId="50E2DFCD" w:rsidR="00540992" w:rsidRPr="00917E1A" w:rsidRDefault="00540992" w:rsidP="00540992">
      <w:pPr>
        <w:pStyle w:val="af"/>
        <w:rPr>
          <w:lang w:val="en-US"/>
        </w:rPr>
      </w:pPr>
      <w:r w:rsidRPr="00917E1A">
        <w:rPr>
          <w:lang w:val="en-US"/>
        </w:rPr>
        <w:tab/>
      </w:r>
      <w:r w:rsidRPr="002623D4">
        <w:rPr>
          <w:rStyle w:val="a8"/>
        </w:rPr>
        <w:footnoteRef/>
      </w:r>
      <w:r w:rsidRPr="00917E1A">
        <w:rPr>
          <w:lang w:val="en-US"/>
        </w:rPr>
        <w:tab/>
      </w:r>
      <w:hyperlink r:id="rId11" w:history="1">
        <w:r w:rsidRPr="00917E1A">
          <w:rPr>
            <w:rStyle w:val="a7"/>
            <w:lang w:val="en-US"/>
          </w:rPr>
          <w:t>E/C.12/2018/1</w:t>
        </w:r>
      </w:hyperlink>
      <w:r w:rsidRPr="00917E1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9A20" w14:textId="5255ED2D" w:rsidR="00540992" w:rsidRPr="00540992" w:rsidRDefault="00DB75F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E4FDA">
      <w:t>E/C.12/YEM/CO/3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8A2A" w14:textId="44969490" w:rsidR="00540992" w:rsidRPr="00540992" w:rsidRDefault="00DB75F1" w:rsidP="0054099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E4FDA">
      <w:t>E/C.12/YEM/CO/3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BBC6" w14:textId="77777777" w:rsidR="00DB75F1" w:rsidRDefault="00DB75F1" w:rsidP="00DB75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25613258">
    <w:abstractNumId w:val="16"/>
  </w:num>
  <w:num w:numId="2" w16cid:durableId="780536550">
    <w:abstractNumId w:val="11"/>
  </w:num>
  <w:num w:numId="3" w16cid:durableId="193927576">
    <w:abstractNumId w:val="10"/>
  </w:num>
  <w:num w:numId="4" w16cid:durableId="1753237834">
    <w:abstractNumId w:val="17"/>
  </w:num>
  <w:num w:numId="5" w16cid:durableId="1227256324">
    <w:abstractNumId w:val="13"/>
  </w:num>
  <w:num w:numId="6" w16cid:durableId="1000616899">
    <w:abstractNumId w:val="8"/>
  </w:num>
  <w:num w:numId="7" w16cid:durableId="1294480273">
    <w:abstractNumId w:val="3"/>
  </w:num>
  <w:num w:numId="8" w16cid:durableId="128129492">
    <w:abstractNumId w:val="2"/>
  </w:num>
  <w:num w:numId="9" w16cid:durableId="556356807">
    <w:abstractNumId w:val="1"/>
  </w:num>
  <w:num w:numId="10" w16cid:durableId="174998892">
    <w:abstractNumId w:val="0"/>
  </w:num>
  <w:num w:numId="11" w16cid:durableId="901721190">
    <w:abstractNumId w:val="9"/>
  </w:num>
  <w:num w:numId="12" w16cid:durableId="699475908">
    <w:abstractNumId w:val="7"/>
  </w:num>
  <w:num w:numId="13" w16cid:durableId="2146853627">
    <w:abstractNumId w:val="6"/>
  </w:num>
  <w:num w:numId="14" w16cid:durableId="1191796573">
    <w:abstractNumId w:val="5"/>
  </w:num>
  <w:num w:numId="15" w16cid:durableId="1215046951">
    <w:abstractNumId w:val="4"/>
  </w:num>
  <w:num w:numId="16" w16cid:durableId="1972589615">
    <w:abstractNumId w:val="15"/>
  </w:num>
  <w:num w:numId="17" w16cid:durableId="1369256450">
    <w:abstractNumId w:val="12"/>
  </w:num>
  <w:num w:numId="18" w16cid:durableId="1153374262">
    <w:abstractNumId w:val="14"/>
  </w:num>
  <w:num w:numId="19" w16cid:durableId="1699887334">
    <w:abstractNumId w:val="15"/>
  </w:num>
  <w:num w:numId="20" w16cid:durableId="1099906924">
    <w:abstractNumId w:val="12"/>
  </w:num>
  <w:num w:numId="21" w16cid:durableId="473956954">
    <w:abstractNumId w:val="14"/>
  </w:num>
  <w:num w:numId="22" w16cid:durableId="73943573">
    <w:abstractNumId w:val="15"/>
  </w:num>
  <w:num w:numId="23" w16cid:durableId="1657223263">
    <w:abstractNumId w:val="12"/>
  </w:num>
  <w:num w:numId="24" w16cid:durableId="658076750">
    <w:abstractNumId w:val="14"/>
  </w:num>
  <w:num w:numId="25" w16cid:durableId="1527673323">
    <w:abstractNumId w:val="15"/>
  </w:num>
  <w:num w:numId="26" w16cid:durableId="1409577437">
    <w:abstractNumId w:val="12"/>
  </w:num>
  <w:num w:numId="27" w16cid:durableId="117233715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B"/>
    <w:rsid w:val="000000FD"/>
    <w:rsid w:val="000148CD"/>
    <w:rsid w:val="00033EE1"/>
    <w:rsid w:val="00042B72"/>
    <w:rsid w:val="00043B08"/>
    <w:rsid w:val="000558BD"/>
    <w:rsid w:val="000857D2"/>
    <w:rsid w:val="000A3240"/>
    <w:rsid w:val="000B57E7"/>
    <w:rsid w:val="000B6373"/>
    <w:rsid w:val="000F09DF"/>
    <w:rsid w:val="000F61B2"/>
    <w:rsid w:val="001075E9"/>
    <w:rsid w:val="00114484"/>
    <w:rsid w:val="001206CC"/>
    <w:rsid w:val="001253D8"/>
    <w:rsid w:val="00132FD2"/>
    <w:rsid w:val="0014152F"/>
    <w:rsid w:val="00142F5E"/>
    <w:rsid w:val="00180183"/>
    <w:rsid w:val="0018024D"/>
    <w:rsid w:val="0018649F"/>
    <w:rsid w:val="00196389"/>
    <w:rsid w:val="001A7E16"/>
    <w:rsid w:val="001B3EF6"/>
    <w:rsid w:val="001C7A89"/>
    <w:rsid w:val="001D0709"/>
    <w:rsid w:val="001D5C5A"/>
    <w:rsid w:val="001D6B3F"/>
    <w:rsid w:val="00203065"/>
    <w:rsid w:val="00290843"/>
    <w:rsid w:val="002979E2"/>
    <w:rsid w:val="002A2EFC"/>
    <w:rsid w:val="002B7105"/>
    <w:rsid w:val="002B74B1"/>
    <w:rsid w:val="002C0E18"/>
    <w:rsid w:val="002D5AAC"/>
    <w:rsid w:val="002E1416"/>
    <w:rsid w:val="002E167F"/>
    <w:rsid w:val="002E5067"/>
    <w:rsid w:val="002F405F"/>
    <w:rsid w:val="002F7011"/>
    <w:rsid w:val="002F7EEC"/>
    <w:rsid w:val="00301299"/>
    <w:rsid w:val="00305C08"/>
    <w:rsid w:val="00307FB6"/>
    <w:rsid w:val="003130EC"/>
    <w:rsid w:val="00315668"/>
    <w:rsid w:val="00317339"/>
    <w:rsid w:val="00322004"/>
    <w:rsid w:val="003402C2"/>
    <w:rsid w:val="0035097E"/>
    <w:rsid w:val="00377684"/>
    <w:rsid w:val="00381C24"/>
    <w:rsid w:val="003876C2"/>
    <w:rsid w:val="003958D0"/>
    <w:rsid w:val="003A0D43"/>
    <w:rsid w:val="003A7115"/>
    <w:rsid w:val="003B00E5"/>
    <w:rsid w:val="00407B78"/>
    <w:rsid w:val="004141E1"/>
    <w:rsid w:val="00424203"/>
    <w:rsid w:val="0042551A"/>
    <w:rsid w:val="00452493"/>
    <w:rsid w:val="00453318"/>
    <w:rsid w:val="00454E07"/>
    <w:rsid w:val="00472C5C"/>
    <w:rsid w:val="004A1C07"/>
    <w:rsid w:val="004B5E2D"/>
    <w:rsid w:val="004F3C6E"/>
    <w:rsid w:val="0050108D"/>
    <w:rsid w:val="00513081"/>
    <w:rsid w:val="00517901"/>
    <w:rsid w:val="00526683"/>
    <w:rsid w:val="005271D6"/>
    <w:rsid w:val="00540992"/>
    <w:rsid w:val="005447D6"/>
    <w:rsid w:val="005709E0"/>
    <w:rsid w:val="00572E19"/>
    <w:rsid w:val="00587696"/>
    <w:rsid w:val="005961C8"/>
    <w:rsid w:val="005966F1"/>
    <w:rsid w:val="005A39BA"/>
    <w:rsid w:val="005B2F86"/>
    <w:rsid w:val="005D7914"/>
    <w:rsid w:val="005E2B41"/>
    <w:rsid w:val="005F0B42"/>
    <w:rsid w:val="005F1707"/>
    <w:rsid w:val="00640F49"/>
    <w:rsid w:val="006650E5"/>
    <w:rsid w:val="00681A10"/>
    <w:rsid w:val="006A16E3"/>
    <w:rsid w:val="006A1ED8"/>
    <w:rsid w:val="006C2031"/>
    <w:rsid w:val="006D461A"/>
    <w:rsid w:val="006F1AAB"/>
    <w:rsid w:val="006F2C3E"/>
    <w:rsid w:val="006F35EE"/>
    <w:rsid w:val="007021FF"/>
    <w:rsid w:val="00710F3C"/>
    <w:rsid w:val="00712895"/>
    <w:rsid w:val="00720B47"/>
    <w:rsid w:val="00734ACB"/>
    <w:rsid w:val="00735144"/>
    <w:rsid w:val="00757357"/>
    <w:rsid w:val="0077721A"/>
    <w:rsid w:val="00782041"/>
    <w:rsid w:val="00792497"/>
    <w:rsid w:val="007E14DD"/>
    <w:rsid w:val="00806737"/>
    <w:rsid w:val="00806C00"/>
    <w:rsid w:val="00811570"/>
    <w:rsid w:val="0081354D"/>
    <w:rsid w:val="00825F8D"/>
    <w:rsid w:val="0083189F"/>
    <w:rsid w:val="00834B71"/>
    <w:rsid w:val="00860919"/>
    <w:rsid w:val="0086445C"/>
    <w:rsid w:val="00881771"/>
    <w:rsid w:val="00893C7C"/>
    <w:rsid w:val="00894693"/>
    <w:rsid w:val="00896BA2"/>
    <w:rsid w:val="008A08D7"/>
    <w:rsid w:val="008B25B3"/>
    <w:rsid w:val="008B58BB"/>
    <w:rsid w:val="008B6909"/>
    <w:rsid w:val="008C30BC"/>
    <w:rsid w:val="008D0BB9"/>
    <w:rsid w:val="00906890"/>
    <w:rsid w:val="009079EC"/>
    <w:rsid w:val="00911BE4"/>
    <w:rsid w:val="00917E1A"/>
    <w:rsid w:val="00951972"/>
    <w:rsid w:val="00955CE4"/>
    <w:rsid w:val="009608F3"/>
    <w:rsid w:val="00963B95"/>
    <w:rsid w:val="009A24AC"/>
    <w:rsid w:val="009B0787"/>
    <w:rsid w:val="009B5FFF"/>
    <w:rsid w:val="009D1D26"/>
    <w:rsid w:val="00A14697"/>
    <w:rsid w:val="00A14DA8"/>
    <w:rsid w:val="00A15E44"/>
    <w:rsid w:val="00A21F00"/>
    <w:rsid w:val="00A312BC"/>
    <w:rsid w:val="00A64CCB"/>
    <w:rsid w:val="00A83893"/>
    <w:rsid w:val="00A84021"/>
    <w:rsid w:val="00A84D35"/>
    <w:rsid w:val="00A917B3"/>
    <w:rsid w:val="00AB2DBD"/>
    <w:rsid w:val="00AB4B51"/>
    <w:rsid w:val="00AC12CD"/>
    <w:rsid w:val="00AC3430"/>
    <w:rsid w:val="00B10CC7"/>
    <w:rsid w:val="00B2017C"/>
    <w:rsid w:val="00B36DF7"/>
    <w:rsid w:val="00B520D9"/>
    <w:rsid w:val="00B539E7"/>
    <w:rsid w:val="00B62458"/>
    <w:rsid w:val="00B86BDB"/>
    <w:rsid w:val="00B97DAE"/>
    <w:rsid w:val="00BC18B2"/>
    <w:rsid w:val="00BC46C2"/>
    <w:rsid w:val="00BD33EE"/>
    <w:rsid w:val="00BF21E1"/>
    <w:rsid w:val="00BF75B2"/>
    <w:rsid w:val="00C0516E"/>
    <w:rsid w:val="00C106D6"/>
    <w:rsid w:val="00C35AAC"/>
    <w:rsid w:val="00C60F0C"/>
    <w:rsid w:val="00C805C9"/>
    <w:rsid w:val="00C92939"/>
    <w:rsid w:val="00CA0B7D"/>
    <w:rsid w:val="00CA1679"/>
    <w:rsid w:val="00CB151C"/>
    <w:rsid w:val="00CC1B46"/>
    <w:rsid w:val="00CD622F"/>
    <w:rsid w:val="00CE565D"/>
    <w:rsid w:val="00CE5A1A"/>
    <w:rsid w:val="00CF55F6"/>
    <w:rsid w:val="00D1565E"/>
    <w:rsid w:val="00D33D63"/>
    <w:rsid w:val="00D34308"/>
    <w:rsid w:val="00D5253A"/>
    <w:rsid w:val="00D62A45"/>
    <w:rsid w:val="00D70181"/>
    <w:rsid w:val="00D84C98"/>
    <w:rsid w:val="00D90028"/>
    <w:rsid w:val="00D90138"/>
    <w:rsid w:val="00DB75F1"/>
    <w:rsid w:val="00DC16C3"/>
    <w:rsid w:val="00DD44B1"/>
    <w:rsid w:val="00DD78D1"/>
    <w:rsid w:val="00DE32CD"/>
    <w:rsid w:val="00DE4FDA"/>
    <w:rsid w:val="00DF71B9"/>
    <w:rsid w:val="00E45947"/>
    <w:rsid w:val="00E73F76"/>
    <w:rsid w:val="00E90403"/>
    <w:rsid w:val="00EA2C9F"/>
    <w:rsid w:val="00EA420E"/>
    <w:rsid w:val="00EB6700"/>
    <w:rsid w:val="00ED0BDA"/>
    <w:rsid w:val="00EE142A"/>
    <w:rsid w:val="00EF1360"/>
    <w:rsid w:val="00EF3220"/>
    <w:rsid w:val="00F2655C"/>
    <w:rsid w:val="00F43903"/>
    <w:rsid w:val="00F5640B"/>
    <w:rsid w:val="00F77894"/>
    <w:rsid w:val="00F94155"/>
    <w:rsid w:val="00F9783F"/>
    <w:rsid w:val="00FD2EF7"/>
    <w:rsid w:val="00FD5A4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D402"/>
  <w15:docId w15:val="{CB9C2F7D-0A4A-4A0A-A04C-B19271C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54099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8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E/C.12/2016/2" TargetMode="External"/><Relationship Id="rId3" Type="http://schemas.openxmlformats.org/officeDocument/2006/relationships/hyperlink" Target="http://undocs.org/en/E/C.12/2023/SR.14" TargetMode="External"/><Relationship Id="rId7" Type="http://schemas.openxmlformats.org/officeDocument/2006/relationships/hyperlink" Target="http://undocs.org/ru/A/HRC/51/62" TargetMode="External"/><Relationship Id="rId2" Type="http://schemas.openxmlformats.org/officeDocument/2006/relationships/hyperlink" Target="http://undocs.org/en/E/C.12/2023/SR.12" TargetMode="External"/><Relationship Id="rId1" Type="http://schemas.openxmlformats.org/officeDocument/2006/relationships/hyperlink" Target="http://undocs.org/ru/E/C.12/YEM/3" TargetMode="External"/><Relationship Id="rId6" Type="http://schemas.openxmlformats.org/officeDocument/2006/relationships/hyperlink" Target="http://undocs.org/en/E/C.12/YEM/RQ/3" TargetMode="External"/><Relationship Id="rId11" Type="http://schemas.openxmlformats.org/officeDocument/2006/relationships/hyperlink" Target="http://undocs.org/ru/E/C.12/2018/1" TargetMode="External"/><Relationship Id="rId5" Type="http://schemas.openxmlformats.org/officeDocument/2006/relationships/hyperlink" Target="http://undocs.org/en/E/C.12/2023/SR.30" TargetMode="External"/><Relationship Id="rId10" Type="http://schemas.openxmlformats.org/officeDocument/2006/relationships/hyperlink" Target="http://undocs.org/ru/E/C.12/2001/10" TargetMode="External"/><Relationship Id="rId4" Type="http://schemas.openxmlformats.org/officeDocument/2006/relationships/hyperlink" Target="http://undocs.org/en/E/C.12/2023/SR.17" TargetMode="External"/><Relationship Id="rId9" Type="http://schemas.openxmlformats.org/officeDocument/2006/relationships/hyperlink" Target="http://undocs.org/ru/CEDAW/C/YEM/CO/7-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2C61-603D-4B71-91AC-F4536C67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16</Pages>
  <Words>5710</Words>
  <Characters>40772</Characters>
  <Application>Microsoft Office Word</Application>
  <DocSecurity>0</DocSecurity>
  <Lines>755</Lines>
  <Paragraphs>228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E/C.12/YEM/CO/3</vt:lpstr>
      <vt:lpstr>A/</vt:lpstr>
      <vt:lpstr>A/</vt:lpstr>
    </vt:vector>
  </TitlesOfParts>
  <Company>DCM</Company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E/C.12/YEM/CO/3</dc:title>
  <dc:subject/>
  <dc:creator>Shuvalova NATALIA</dc:creator>
  <cp:keywords/>
  <cp:lastModifiedBy>Natalia Shuvalova</cp:lastModifiedBy>
  <cp:revision>2</cp:revision>
  <cp:lastPrinted>2023-04-17T14:50:00Z</cp:lastPrinted>
  <dcterms:created xsi:type="dcterms:W3CDTF">2023-04-17T14:57:00Z</dcterms:created>
  <dcterms:modified xsi:type="dcterms:W3CDTF">2023-04-17T14:57:00Z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