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81"/>
        <w:gridCol w:w="2780"/>
      </w:tblGrid>
      <w:tr w:rsidR="002D5AAC" w14:paraId="57C3A2FE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7972DE" w14:textId="77777777" w:rsidR="002D5AAC" w:rsidRDefault="002D5AAC" w:rsidP="003679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38A1F6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AA491D" w14:textId="1E62E5A8" w:rsidR="002D5AAC" w:rsidRDefault="00367987" w:rsidP="00367987">
            <w:pPr>
              <w:jc w:val="right"/>
            </w:pPr>
            <w:r w:rsidRPr="00367987">
              <w:rPr>
                <w:sz w:val="40"/>
              </w:rPr>
              <w:t>E</w:t>
            </w:r>
            <w:r>
              <w:t>/C.12/TJK/Q/4</w:t>
            </w:r>
          </w:p>
        </w:tc>
      </w:tr>
      <w:tr w:rsidR="002D5AAC" w:rsidRPr="0050691C" w14:paraId="16FFCFB5" w14:textId="77777777" w:rsidTr="00367987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50D2BA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C1C69C" wp14:editId="41ED1D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0E4FD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14:paraId="43F9A9AA" w14:textId="77777777" w:rsidR="002D5AAC" w:rsidRDefault="00367987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A7FB4A" w14:textId="77777777" w:rsidR="00367987" w:rsidRDefault="00367987" w:rsidP="003679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November 2020</w:t>
            </w:r>
          </w:p>
          <w:p w14:paraId="3F573D5F" w14:textId="77777777" w:rsidR="00367987" w:rsidRDefault="00367987" w:rsidP="003679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4D9953" w14:textId="76C7C50F" w:rsidR="00367987" w:rsidRPr="00367987" w:rsidRDefault="00367987" w:rsidP="003679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367987">
              <w:rPr>
                <w:lang w:val="en-US"/>
              </w:rPr>
              <w:t>English, French and Spanish only</w:t>
            </w:r>
          </w:p>
        </w:tc>
      </w:tr>
    </w:tbl>
    <w:p w14:paraId="411D1139" w14:textId="6B72D5DB" w:rsidR="00367987" w:rsidRPr="0068183D" w:rsidRDefault="00367987" w:rsidP="00367987">
      <w:pPr>
        <w:spacing w:before="120"/>
        <w:rPr>
          <w:b/>
          <w:bCs/>
          <w:sz w:val="24"/>
          <w:szCs w:val="24"/>
        </w:rPr>
      </w:pPr>
      <w:r w:rsidRPr="0068183D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68183D">
        <w:rPr>
          <w:b/>
          <w:bCs/>
          <w:sz w:val="24"/>
          <w:szCs w:val="24"/>
        </w:rPr>
        <w:t>и культурным правам</w:t>
      </w:r>
    </w:p>
    <w:p w14:paraId="132A9B24" w14:textId="77777777" w:rsidR="00367987" w:rsidRPr="0068183D" w:rsidRDefault="00367987" w:rsidP="00367987">
      <w:pPr>
        <w:pStyle w:val="HChG"/>
      </w:pPr>
      <w:r>
        <w:tab/>
      </w:r>
      <w:r>
        <w:tab/>
      </w:r>
      <w:r>
        <w:rPr>
          <w:bCs/>
        </w:rPr>
        <w:t>Перечень вопросов в связи с рассмотрением четвертого периодического доклада Таджикистана</w:t>
      </w:r>
      <w:r w:rsidRPr="000C1DF0">
        <w:rPr>
          <w:b w:val="0"/>
          <w:bCs/>
          <w:sz w:val="20"/>
          <w:szCs w:val="14"/>
        </w:rPr>
        <w:footnoteReference w:customMarkFollows="1" w:id="1"/>
        <w:t>*</w:t>
      </w:r>
    </w:p>
    <w:p w14:paraId="648E68FA" w14:textId="77777777" w:rsidR="00367987" w:rsidRPr="00CB495C" w:rsidRDefault="00367987" w:rsidP="0036798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Общая информация</w:t>
      </w:r>
    </w:p>
    <w:p w14:paraId="465E21CD" w14:textId="6E23CBDF" w:rsidR="00367987" w:rsidRPr="00D57B27" w:rsidRDefault="00367987" w:rsidP="00367987">
      <w:pPr>
        <w:pStyle w:val="SingleTxtG"/>
      </w:pPr>
      <w:r>
        <w:t>1.</w:t>
      </w:r>
      <w:r>
        <w:tab/>
        <w:t xml:space="preserve">В связи с информацией, представленной государством-участником (E/C.12/TJK/4, </w:t>
      </w:r>
      <w:proofErr w:type="spellStart"/>
      <w:r>
        <w:t>пп</w:t>
      </w:r>
      <w:proofErr w:type="spellEnd"/>
      <w:r>
        <w:t>. 4 и 5), просьба указать учебные курсы, которые посвящены положениям Пакта и возможностям их защиты в судебном порядке, и уточнить, включены ли такие курсы в учебные программы центра подготовки судей при Верховном суде. Просьба также предоставить информацию о случаях применения или ссылки на положения Пакта в судах, включая число и примеры таких случаев. Кроме того, просьба также предоставить информацию о мерах, принятых для укрепления средств судебной защиты в случае нарушения прав, закрепленных в Пакте, и в частности о шагах, предпринятых в целях распространения бесплатной юридической помощи на гражданские дела.</w:t>
      </w:r>
    </w:p>
    <w:p w14:paraId="24438D4A" w14:textId="3D43FEE7" w:rsidR="00367987" w:rsidRPr="0068183D" w:rsidRDefault="00367987" w:rsidP="00367987">
      <w:pPr>
        <w:pStyle w:val="SingleTxtG"/>
      </w:pPr>
      <w:r>
        <w:t>2.</w:t>
      </w:r>
      <w:r>
        <w:tab/>
        <w:t xml:space="preserve">В связи с информацией, представленной государством-участником относительно независимости судебной системы (E/C.12/TJK/4, </w:t>
      </w:r>
      <w:proofErr w:type="spellStart"/>
      <w:r>
        <w:t>пп</w:t>
      </w:r>
      <w:proofErr w:type="spellEnd"/>
      <w:r>
        <w:t>. 13</w:t>
      </w:r>
      <w:r w:rsidRPr="00367987">
        <w:t>–</w:t>
      </w:r>
      <w:r>
        <w:t>18), просьба предоставить информацию о последствиях третьего этапа программы судебной реформы на 2015</w:t>
      </w:r>
      <w:r w:rsidRPr="00367987">
        <w:t>–</w:t>
      </w:r>
      <w:r>
        <w:t>2017 годы. Просьба также уточнить статус реализации продолженной программы на 2019</w:t>
      </w:r>
      <w:r w:rsidRPr="00367987">
        <w:t>–</w:t>
      </w:r>
      <w:r>
        <w:t>2021 годы, в том числе по принятию Закона об исполнительном производстве; принятию Закона о доступе к информации о деятельности судов; и реформе процедуры отбора судей. Просьба также сообщить о любых мерах, принятых в целях обеспечения независимости Квалификационной комиссии Союза адвокатов.</w:t>
      </w:r>
    </w:p>
    <w:p w14:paraId="4E90253A" w14:textId="77777777" w:rsidR="00367987" w:rsidRPr="00D57B27" w:rsidRDefault="00367987" w:rsidP="00367987">
      <w:pPr>
        <w:pStyle w:val="SingleTxtG"/>
      </w:pPr>
      <w:r>
        <w:t>3.</w:t>
      </w:r>
      <w:r>
        <w:tab/>
        <w:t>Просьба разъяснить, охватывает ли мандат Уполномоченного по правам человека права, закрепленные в Пакте. Просьба также предоставить информацию о принятых или планируемых мерах, в том числе в рамках разрабатываемой национальной правозащитной стратегии, по укреплению мандата, полномочий и независимости Уполномоченного по правам человека для эффективной защиты и поощрения всех прав, закрепленных в Пакте.</w:t>
      </w:r>
    </w:p>
    <w:p w14:paraId="0AF0F7A4" w14:textId="53F2448E" w:rsidR="00367987" w:rsidRPr="00D57B27" w:rsidRDefault="00367987" w:rsidP="00367987">
      <w:pPr>
        <w:pStyle w:val="SingleTxtG"/>
      </w:pPr>
      <w:r>
        <w:t>4.</w:t>
      </w:r>
      <w:r>
        <w:tab/>
        <w:t>В свете предыдущих заключительных замечаний Комитета (E/C.12/TJK/CO/2-3, п.</w:t>
      </w:r>
      <w:r>
        <w:rPr>
          <w:lang w:val="en-US"/>
        </w:rPr>
        <w:t> </w:t>
      </w:r>
      <w:r>
        <w:t xml:space="preserve">10) просьба сообщить о мерах, принятых для обеспечения того, чтобы поправки к Закону об общественных объединениях не были неверно истолкованы либо неправильно использованы для препятствования деятельности организаций гражданского общества. Просьба также предоставить информацию о применении статьи 14 Закона об общественных объединениях и о принятых мерах, с тем чтобы не допустить злоупотреблений или неверного толкования этой статьи с целью воспрепятствовать регистрации организаций гражданского общества, особенно тех, </w:t>
      </w:r>
      <w:r>
        <w:lastRenderedPageBreak/>
        <w:t>что работают в защиту прав лесбиянок, геев, бисексуалов, трансгендеров и интерсексов. Кроме того, просьба предоставить информацию о статусе законопроекта о некоммерческих организациях и сообщить о принятых мерах, с тем чтобы организации гражданского общества и правозащитники могли работать, не опасаясь репрессий.</w:t>
      </w:r>
    </w:p>
    <w:p w14:paraId="595912B0" w14:textId="77777777" w:rsidR="00367987" w:rsidRPr="00D57B27" w:rsidRDefault="00367987" w:rsidP="00367987">
      <w:pPr>
        <w:pStyle w:val="SingleTxtG"/>
      </w:pPr>
      <w:bookmarkStart w:id="0" w:name="_Hlk55376872"/>
      <w:r>
        <w:t>5.</w:t>
      </w:r>
      <w:r>
        <w:tab/>
        <w:t xml:space="preserve">Просьба предоставить информацию о принятых мерах и эффективности таких мер для смягчения воздействия пандемии коронавирусной инфекции (COVID-19) на обездоленных и </w:t>
      </w:r>
      <w:proofErr w:type="spellStart"/>
      <w:r>
        <w:t>маргинализованных</w:t>
      </w:r>
      <w:proofErr w:type="spellEnd"/>
      <w:r>
        <w:t xml:space="preserve"> лиц и группы. Просьба также предоставить информацию о финансировании мер и о шагах, предпринятых в целях обеспечения прозрачности в использовании финансирования. Просьба также сообщить об усилиях, прилагаемых в целях предоставления общественности точной и доступной информации о пандемии, и о шагах, предпринятых для разработки мер реагирования на пандемию на основе имеющихся наилучших научных данных с целью защиты здоровья населения. Просьба также предоставить информацию о степени оснащенности всех медицинских работников средствами индивидуальной защиты от инфекции; о наличии и доступности тестирования на COVID-19; и о покрытии расходов, связанных с тестированием и лечением COVID-19 за счет государственного финансирования. Кроме того, просьба указать конкретно принятые меры по борьбе с предполагаемым значительным ростом семейно-бытового насилия в период пандемии.</w:t>
      </w:r>
      <w:bookmarkEnd w:id="0"/>
    </w:p>
    <w:p w14:paraId="492EC80C" w14:textId="77777777" w:rsidR="00367987" w:rsidRPr="00D57B27" w:rsidRDefault="00367987" w:rsidP="00367987">
      <w:pPr>
        <w:pStyle w:val="SingleTxtG"/>
      </w:pPr>
      <w:r>
        <w:t>6.</w:t>
      </w:r>
      <w:r>
        <w:tab/>
        <w:t xml:space="preserve">Просьба предоставить информацию о национальных целях по сокращению выбросов, принятых государством-участником по Парижскому соглашению, и о прогрессе в достижении климатической нейтральности к 2050 году. Просьба также предоставить информацию о мерах, принятых в рамках системы адаптации для решения проблемы негативного воздействия изменения климата на осуществление экономических, социальных и культурных прав, в частности прав на питание, жилье и работу в сельскохозяйственном секторе, обездоленными и </w:t>
      </w:r>
      <w:proofErr w:type="spellStart"/>
      <w:r>
        <w:t>маргинализованными</w:t>
      </w:r>
      <w:proofErr w:type="spellEnd"/>
      <w:r>
        <w:t xml:space="preserve"> лицами и группами, особенно проживающими в зонах, подверженных стихийным бедствиям.</w:t>
      </w:r>
    </w:p>
    <w:p w14:paraId="22BD5398" w14:textId="77777777" w:rsidR="00367987" w:rsidRPr="0068183D" w:rsidRDefault="00367987" w:rsidP="0036798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Вопросы, касающиеся общих положений Пакта (ст. 1–5)</w:t>
      </w:r>
    </w:p>
    <w:p w14:paraId="543CC2E3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Максимальные пределы имеющихся ресурсов (п. 1 ст. 2)</w:t>
      </w:r>
    </w:p>
    <w:p w14:paraId="3A0D620C" w14:textId="2F845E67" w:rsidR="00367987" w:rsidRPr="00D57B27" w:rsidRDefault="00367987" w:rsidP="00367987">
      <w:pPr>
        <w:pStyle w:val="SingleTxtG"/>
      </w:pPr>
      <w:r>
        <w:t>7.</w:t>
      </w:r>
      <w:r>
        <w:tab/>
        <w:t>Для того чтобы Комитет мог оценить, использует ли государство-участник для реализации прав, признаваемых в Пакте, максимальные пределы имеющихся ресурсов, просьба предоставить информацию о произошедших за последние 10 лет изменениях по следующим параметрам:</w:t>
      </w:r>
    </w:p>
    <w:p w14:paraId="2E772932" w14:textId="042670FC" w:rsidR="00367987" w:rsidRPr="00D57B27" w:rsidRDefault="00367987" w:rsidP="00367987">
      <w:pPr>
        <w:pStyle w:val="SingleTxtG"/>
      </w:pPr>
      <w:r>
        <w:tab/>
        <w:t>a)</w:t>
      </w:r>
      <w:r>
        <w:tab/>
        <w:t>доля населения, проживающего за чертой бедности, как это определено на национальном уровне, а также уровень неравенства, выраженный в виде соотношения между общим доходом 10 процентов наиболее состоятельных жителей страны и общим доходом 40 процентов беднейших жителей страны;</w:t>
      </w:r>
    </w:p>
    <w:p w14:paraId="2C743DE7" w14:textId="51C925AC" w:rsidR="00367987" w:rsidRPr="00D57B27" w:rsidRDefault="00367987" w:rsidP="00367987">
      <w:pPr>
        <w:pStyle w:val="SingleTxtG"/>
      </w:pPr>
      <w:r>
        <w:tab/>
        <w:t>b)</w:t>
      </w:r>
      <w:r>
        <w:tab/>
        <w:t>доля государственных доходов, получаемых за счет налогов;</w:t>
      </w:r>
    </w:p>
    <w:p w14:paraId="02779F7D" w14:textId="37EC374F" w:rsidR="00367987" w:rsidRPr="00D57B27" w:rsidRDefault="00367987" w:rsidP="00367987">
      <w:pPr>
        <w:pStyle w:val="SingleTxtG"/>
      </w:pPr>
      <w:r>
        <w:tab/>
        <w:t>c)</w:t>
      </w:r>
      <w:r>
        <w:tab/>
        <w:t>налоговые ставки, которыми облагаются прибыли компаний и личные доходы, а также ставки налога на добавленную стоимость (без учета налога на добавленную стоимость на предметы роскоши, табак, алкоголь, сахаросодержащие напитки, л</w:t>
      </w:r>
      <w:r w:rsidR="00213AA6">
        <w:t>е</w:t>
      </w:r>
      <w:r>
        <w:t>гкие закуски, автомобильное и дизельное топливо) и доля валового дохода, получаемого за счет налогов на личные доходы, собираемых с наиболее состоятельных 10</w:t>
      </w:r>
      <w:r w:rsidR="0050691C">
        <w:rPr>
          <w:lang w:val="en-US"/>
        </w:rPr>
        <w:t> </w:t>
      </w:r>
      <w:r>
        <w:t>процентов жителей страны;</w:t>
      </w:r>
    </w:p>
    <w:p w14:paraId="422E2659" w14:textId="091A2C8E" w:rsidR="00367987" w:rsidRPr="00D57B27" w:rsidRDefault="00367987" w:rsidP="00367987">
      <w:pPr>
        <w:pStyle w:val="SingleTxtG"/>
      </w:pPr>
      <w:r>
        <w:tab/>
        <w:t>d)</w:t>
      </w:r>
      <w:r>
        <w:tab/>
        <w:t>данные о государственных расходах в виде доли валового внутреннего продукта (ВВП) и, в рамках общих государственных расходов, о доле государственного бюджета, направляемой на решение приоритетных социальных задач, включая расходы на образование, продовольствие, здравоохранение, водоснабжение и санитарные услуги, социальную безопасность, обеспечение жильем и культуру);</w:t>
      </w:r>
    </w:p>
    <w:p w14:paraId="7F81F70D" w14:textId="4C2C0B11" w:rsidR="00367987" w:rsidRPr="00D57B27" w:rsidRDefault="00367987" w:rsidP="00367987">
      <w:pPr>
        <w:pStyle w:val="SingleTxtG"/>
      </w:pPr>
      <w:r>
        <w:lastRenderedPageBreak/>
        <w:tab/>
        <w:t>e)</w:t>
      </w:r>
      <w:r>
        <w:tab/>
        <w:t>объем расходов на социальные нужды в абсолютном выражении с учетом инфляции;</w:t>
      </w:r>
    </w:p>
    <w:p w14:paraId="37EFB2F2" w14:textId="50B16FF4" w:rsidR="00367987" w:rsidRPr="00D57B27" w:rsidRDefault="00367987" w:rsidP="00367987">
      <w:pPr>
        <w:pStyle w:val="SingleTxtG"/>
      </w:pPr>
      <w:r>
        <w:tab/>
        <w:t>f)</w:t>
      </w:r>
      <w:r>
        <w:tab/>
        <w:t>долг в виде процентной доли от ВВП и обслуживание долга в виде процентной доли от ВВП и от общих государственных расходов;</w:t>
      </w:r>
    </w:p>
    <w:p w14:paraId="01B0C642" w14:textId="4220C93E" w:rsidR="00367987" w:rsidRPr="0068183D" w:rsidRDefault="00367987" w:rsidP="00367987">
      <w:pPr>
        <w:pStyle w:val="SingleTxtG"/>
      </w:pPr>
      <w:r>
        <w:tab/>
        <w:t>g)</w:t>
      </w:r>
      <w:r>
        <w:tab/>
        <w:t>платежи в виде процентной доли от ВВП.</w:t>
      </w:r>
    </w:p>
    <w:p w14:paraId="75B28B5E" w14:textId="77777777" w:rsidR="00367987" w:rsidRPr="00CB495C" w:rsidRDefault="00367987" w:rsidP="00367987">
      <w:pPr>
        <w:pStyle w:val="SingleTxtG"/>
      </w:pPr>
      <w:r>
        <w:t>8.</w:t>
      </w:r>
      <w:r>
        <w:tab/>
        <w:t>Просьба предоставить информацию о:</w:t>
      </w:r>
    </w:p>
    <w:p w14:paraId="5D999A99" w14:textId="7ED5350C" w:rsidR="00367987" w:rsidRPr="00D57B27" w:rsidRDefault="00367987" w:rsidP="00367987">
      <w:pPr>
        <w:pStyle w:val="SingleTxtG"/>
      </w:pPr>
      <w:r>
        <w:tab/>
        <w:t>a)</w:t>
      </w:r>
      <w:r>
        <w:tab/>
        <w:t>принятых мерах и эффективности таких мер для борьбы с широко распространенной практикой взяточничества при получении доступа к системе правосудия и государственным услугам, включая услуги здравоохранения, а также для борьбы с коррупцией в областях, касающихся экономических, социальных и культурных прав, в частности при осуществлении процедуры закупок;</w:t>
      </w:r>
    </w:p>
    <w:p w14:paraId="68CCBD51" w14:textId="54611248" w:rsidR="00367987" w:rsidRPr="00D57B27" w:rsidRDefault="00367987" w:rsidP="00367987">
      <w:pPr>
        <w:pStyle w:val="SingleTxtG"/>
      </w:pPr>
      <w:r>
        <w:tab/>
        <w:t>b)</w:t>
      </w:r>
      <w:r>
        <w:tab/>
        <w:t>прогрессе, достигнутом в деле укрепления антикоррупционного законодательства, усиления применения антикоррупционного законодательства, поощрения сообщений о фактах коррупции и взяточничества и защиты информаторов;</w:t>
      </w:r>
    </w:p>
    <w:p w14:paraId="1187AF2F" w14:textId="2B0736FD" w:rsidR="00367987" w:rsidRPr="0068183D" w:rsidRDefault="00367987" w:rsidP="00367987">
      <w:pPr>
        <w:pStyle w:val="SingleTxtG"/>
      </w:pPr>
      <w:r>
        <w:tab/>
        <w:t>c)</w:t>
      </w:r>
      <w:r>
        <w:tab/>
        <w:t>усилиях, предпринятых в деле борьбы с коррупцией на высоком уровне, и их результатах.</w:t>
      </w:r>
    </w:p>
    <w:p w14:paraId="1D5860FD" w14:textId="77777777" w:rsidR="00367987" w:rsidRPr="0037698B" w:rsidRDefault="00367987" w:rsidP="00367987">
      <w:pPr>
        <w:pStyle w:val="H23G"/>
      </w:pPr>
      <w:r>
        <w:tab/>
      </w:r>
      <w:r>
        <w:tab/>
      </w:r>
      <w:r>
        <w:rPr>
          <w:bCs/>
        </w:rPr>
        <w:t>Недискриминация (п. 2 ст. 2)</w:t>
      </w:r>
    </w:p>
    <w:p w14:paraId="628D8540" w14:textId="77777777" w:rsidR="00367987" w:rsidRPr="00D57B27" w:rsidRDefault="00367987" w:rsidP="00367987">
      <w:pPr>
        <w:pStyle w:val="SingleTxtG"/>
      </w:pPr>
      <w:r>
        <w:t>9.</w:t>
      </w:r>
      <w:r>
        <w:tab/>
        <w:t>В связи с информацией, представленной государством-участником (E/C.12/TJK/4, п. 44), просьба уточнить, предусматривается ли в законопроекте о защите от дискриминации определение прямой, косвенной, множественной и перекрестной дискриминации, как отмечено Комитетом, и содержится ли в нем полный перечень запрещенных признаков дискриминации, включая возраст, рождение, инвалидность, сексуальную ориентацию и гендерную идентичность, а также иной статус, и указать сроки утверждения этого законопроекта. Просьба также представить информацию о прогрессе, достигнутом межведомственной рабочей группой в деле согласования положений о недискриминации в законодательстве, касающемся экономических, социальных и культурных прав. Кроме того, просьба сообщить о любых мерах, принятых в целях утверждения законодательства и процедур юридического признания пола трансгендеров, а также о прилагаемых усилиях в борьбе с социальным отчуждением, заблуждениями и дискриминацией в отношении лиц из числа лесбиянок, геев, бисексуалов, трансгендеров и интерсексов.</w:t>
      </w:r>
    </w:p>
    <w:p w14:paraId="6A3DE30E" w14:textId="77777777" w:rsidR="00367987" w:rsidRPr="00D57B27" w:rsidRDefault="00367987" w:rsidP="00367987">
      <w:pPr>
        <w:pStyle w:val="SingleTxtG"/>
      </w:pPr>
      <w:r>
        <w:t>10.</w:t>
      </w:r>
      <w:r>
        <w:tab/>
        <w:t>В связи с информацией, представленной государством-участником (E/C.12/TJK/4, п. 45), просьба предоставить подробную информацию об усилении правовой защиты инвалидов и осуществлении ими экономических, социальных и культурных прав путем пересмотра и согласования соответствующих законов и нормативных актов с Конвенцией о правах инвалидов. Просьба также конкретно сообщить о прогрессе, достигнутом в совершенствовании разумного приспособления для инвалидов, и его воздействии на осуществление инвалидами прав, закрепленных в Пакте. Кроме того, просьба предоставить информацию о мерах, принятых по сообщениям о жестоком обращении с инвалидами, включая принудительные аборты, насильственное применение лекарств и отказ в праве на семейную жизнь в полузакрытых учреждениях.</w:t>
      </w:r>
    </w:p>
    <w:p w14:paraId="633C851F" w14:textId="0E9B8A1C" w:rsidR="00367987" w:rsidRPr="0068183D" w:rsidRDefault="00367987" w:rsidP="00367987">
      <w:pPr>
        <w:pStyle w:val="SingleTxtG"/>
      </w:pPr>
      <w:r>
        <w:t>11.</w:t>
      </w:r>
      <w:r>
        <w:tab/>
        <w:t>В свете предыдущих заключительных замечаний Комитета (E/C.12/TJK/CO/2-3, п.</w:t>
      </w:r>
      <w:r>
        <w:rPr>
          <w:lang w:val="en-US"/>
        </w:rPr>
        <w:t> </w:t>
      </w:r>
      <w:r>
        <w:t xml:space="preserve">15) просьба предоставить информацию о любых шагах, предпринятых в целях отмены президентских постановлений № 325 (2000) и № 328 (2004). Просьба также предоставить информацию о мерах, принятых в целях улучшения доступа просителей убежища к рынку труда, услугам в области здравоохранения, образования, обеспечения жильем и другим услугам, а также о шагах, предпринятых для введения в действие Центра временного размещения просителей убежища. Просьба также предоставить информацию о распространенности </w:t>
      </w:r>
      <w:proofErr w:type="spellStart"/>
      <w:r>
        <w:t>безгражданства</w:t>
      </w:r>
      <w:proofErr w:type="spellEnd"/>
      <w:r>
        <w:t xml:space="preserve">, в том числе о лицах с неопределенным гражданством, и об усилиях, прилагаемых государством-участником для предотвращения ситуаций, когда лицам отказывают в доступе к основным услугам из-за отсутствия документов, удостоверяющих личность. Кроме </w:t>
      </w:r>
      <w:r>
        <w:lastRenderedPageBreak/>
        <w:t>того, просьба разъяснить, распространяются ли меры реагирования на пандемию COVID-19 на беженцев, просителей убежища и лиц без гражданства.</w:t>
      </w:r>
    </w:p>
    <w:p w14:paraId="23CBEBD4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Равенство прав мужчин и женщин (ст. 3)</w:t>
      </w:r>
    </w:p>
    <w:p w14:paraId="6122D744" w14:textId="77777777" w:rsidR="00367987" w:rsidRPr="00CB495C" w:rsidRDefault="00367987" w:rsidP="00367987">
      <w:pPr>
        <w:pStyle w:val="SingleTxtG"/>
      </w:pPr>
      <w:r>
        <w:t>12.</w:t>
      </w:r>
      <w:r>
        <w:tab/>
        <w:t>Просьба предоставить информацию о:</w:t>
      </w:r>
    </w:p>
    <w:p w14:paraId="10A92ED6" w14:textId="3232F1EA" w:rsidR="00367987" w:rsidRPr="00D57B27" w:rsidRDefault="00367987" w:rsidP="00367987">
      <w:pPr>
        <w:pStyle w:val="SingleTxtG"/>
      </w:pPr>
      <w:r>
        <w:tab/>
        <w:t>a)</w:t>
      </w:r>
      <w:r>
        <w:tab/>
        <w:t>применении Закона № 89 от 2005 года о государственных гарантиях равноправия мужчин и женщин и равных возможностей их реализации, включая основные выводы и рекомендации, а также меры, принятые в целях их выполнения;</w:t>
      </w:r>
    </w:p>
    <w:p w14:paraId="45768722" w14:textId="67776929" w:rsidR="00367987" w:rsidRPr="00D57B27" w:rsidRDefault="00367987" w:rsidP="00367987">
      <w:pPr>
        <w:pStyle w:val="SingleTxtG"/>
      </w:pPr>
      <w:r>
        <w:tab/>
        <w:t>b)</w:t>
      </w:r>
      <w:r>
        <w:tab/>
        <w:t>прогрессе, достигнутом в обеспечении равных возможностей и в обращении с женщинами на рынке труда, в частности в отношении участия на рынке труда, занятости, профессионального образования и подготовки, оплаты и условий труда, а также в решении проблем профессиональной сегрегации и сексуальных домогательств на рабочем месте;</w:t>
      </w:r>
    </w:p>
    <w:p w14:paraId="6F2AF073" w14:textId="6B0A2AD9" w:rsidR="00367987" w:rsidRPr="0068183D" w:rsidRDefault="00367987" w:rsidP="00367987">
      <w:pPr>
        <w:pStyle w:val="SingleTxtG"/>
      </w:pPr>
      <w:r>
        <w:tab/>
        <w:t>c)</w:t>
      </w:r>
      <w:r>
        <w:tab/>
        <w:t>представленности женщин на руководящих должностях в государственном и частном секторах, а также о мерах, принятых в целях улучшения положения.</w:t>
      </w:r>
    </w:p>
    <w:p w14:paraId="5D576875" w14:textId="77777777" w:rsidR="00367987" w:rsidRPr="0068183D" w:rsidRDefault="00367987" w:rsidP="0036798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Вопросы, касающиеся конкретных положений Пакта (ст. 6–15)</w:t>
      </w:r>
    </w:p>
    <w:p w14:paraId="7D4F33EE" w14:textId="77777777" w:rsidR="00367987" w:rsidRPr="00CB495C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труд (ст. 6)</w:t>
      </w:r>
    </w:p>
    <w:p w14:paraId="62883316" w14:textId="1E91B32C" w:rsidR="00367987" w:rsidRPr="00D57B27" w:rsidRDefault="00367987" w:rsidP="00367987">
      <w:pPr>
        <w:pStyle w:val="SingleTxtG"/>
      </w:pPr>
      <w:r>
        <w:t>13.</w:t>
      </w:r>
      <w:r>
        <w:tab/>
        <w:t xml:space="preserve">В свете мер, принятых государством-участником в целях укрепления профессионального образования и подготовки и содействия занятости (E/C.12/TJK/4, </w:t>
      </w:r>
      <w:proofErr w:type="spellStart"/>
      <w:r>
        <w:t>пп</w:t>
      </w:r>
      <w:proofErr w:type="spellEnd"/>
      <w:r>
        <w:t>.</w:t>
      </w:r>
      <w:r>
        <w:rPr>
          <w:lang w:val="en-US"/>
        </w:rPr>
        <w:t> </w:t>
      </w:r>
      <w:r>
        <w:t>58–66), просьба пояснить основные проблемы, с которыми сталкивается государство-участник в деле повышения уровня занятости среди молодежи, и принятые либо предусмотренные меры, направленные на их преодоление. Просьба также предоставить информацию о мерах, принятых в целях улучшения занятости инвалидов, и о применении квот на трудоустройство инвалидов. Просьба также сообщить о любом прогрессе, достигнутом в предоставлении юридического определения неформальной экономики и в обеспечении защиты экономических и социальных прав работников в сфере неформальной экономики. Кроме того, просьба предоставить ежегодные статистические данные в разбивке по полу, возрасту, инвалидности и регионам об участии на рынке труда, о занятости, безработице и неполной занятости за последние пять лет.</w:t>
      </w:r>
    </w:p>
    <w:p w14:paraId="1E1CB620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справедливые и благоприятные условия труда (ст. 7)</w:t>
      </w:r>
    </w:p>
    <w:p w14:paraId="4E83A904" w14:textId="741FA44D" w:rsidR="00367987" w:rsidRPr="0068183D" w:rsidRDefault="00367987" w:rsidP="00367987">
      <w:pPr>
        <w:pStyle w:val="SingleTxtG"/>
      </w:pPr>
      <w:r>
        <w:t>14.</w:t>
      </w:r>
      <w:r>
        <w:tab/>
        <w:t>Просьба пояснить, распространяются ли положения Трудового кодекса 2016</w:t>
      </w:r>
      <w:r>
        <w:rPr>
          <w:lang w:val="en-US"/>
        </w:rPr>
        <w:t> </w:t>
      </w:r>
      <w:r>
        <w:t xml:space="preserve">года на всех работников, включая работников сферы неформальной экономики и нетрадиционных видов занятости. Если нет, просьба указать, какие меры были приняты для защиты этих работников и какие шаги были предприняты либо планируются для расширения сферы действия Трудового кодекса. Учитывая порядок проведения государством-участником трудовой инспекции, состоящей из Государственной инспекционной службы и инспекции, созданной Федерацией независимых профсоюзов, просьба указать, имеют ли эти две группы инспекторов одинаковые полномочия и мандат; каким образом обеспечивается независимость трудовых инспекторов, учитывая, что финансирование деятельности профсоюзных инспекторов поступает от работодателей; и как осуществляется контроль и координация действий трудовых инспекций, проводимых обеими группами. Кроме того, просьба предоставить информацию о шагах, предпринятых в целях пересмотра законодательства, касающегося трудовой инспекции, с целью повышения </w:t>
      </w:r>
      <w:r>
        <w:br/>
        <w:t>его эффективности, включая Закон № 1505 от 21 февраля 2018 года и Закон о проверках деятельности хозяйствующих субъектов, принятый постановлением правительства</w:t>
      </w:r>
      <w:r>
        <w:rPr>
          <w:lang w:val="en-US"/>
        </w:rPr>
        <w:t> </w:t>
      </w:r>
      <w:r>
        <w:t>№ 518 от 2007 года, в которых соответственно предусмотрен мораторий на проведение инспекций на рабочих местах в промышленности и налагаются различные ограничения на проведение инспекций.</w:t>
      </w:r>
    </w:p>
    <w:p w14:paraId="2BF7CB8E" w14:textId="77777777" w:rsidR="00367987" w:rsidRPr="00D57B27" w:rsidRDefault="00367987" w:rsidP="00367987">
      <w:pPr>
        <w:pStyle w:val="SingleTxtG"/>
      </w:pPr>
      <w:r>
        <w:lastRenderedPageBreak/>
        <w:t>15.</w:t>
      </w:r>
      <w:r>
        <w:tab/>
        <w:t>Просьба уточнить положение с задержками заработной платы, включая число затронутых работников и длительность задержек, а также меры, принятые для решения этой проблемы и защиты тех работников, которым задерживают выплату. Просьба предоставить информацию о минимальной заработной плате, включая ее покрытие и размер, а также факторы, определяющие минимальную заработную плату, и о мерах, принятых или предусмотренных для обеспечения того, чтобы минимальная заработная плата обеспечивала работникам и их семьям достаточный уровень жизни. Просьба также предоставить информацию о безопасности и гигиене труда, включая распространенность несчастных случаев на производстве и профессиональных заболеваний, а также о проблемных областях, выявленных в ходе трудовых инспекций или по жалобам работников. В свете принятия Трудового кодекса 2016 года, которым было отменено действие Закона об охране труда от 24 декабря 1991 года, просьба сообщить об усилиях, направленных на обеспечение повышенной защиты безопасности и гигиены труда, а также укрепление законодательной и политической базы, регулирующей безопасность и гигиену труда.</w:t>
      </w:r>
    </w:p>
    <w:p w14:paraId="5C48DCE7" w14:textId="77777777" w:rsidR="00367987" w:rsidRPr="00390CA7" w:rsidRDefault="00367987" w:rsidP="00367987">
      <w:pPr>
        <w:pStyle w:val="H23G"/>
      </w:pPr>
      <w:r>
        <w:tab/>
      </w:r>
      <w:r>
        <w:tab/>
      </w:r>
      <w:r>
        <w:rPr>
          <w:bCs/>
        </w:rPr>
        <w:t>Профсоюзные права (ст. 8)</w:t>
      </w:r>
    </w:p>
    <w:p w14:paraId="724F6D58" w14:textId="00D8507D" w:rsidR="00367987" w:rsidRPr="00D57B27" w:rsidRDefault="00367987" w:rsidP="00367987">
      <w:pPr>
        <w:pStyle w:val="SingleTxtG"/>
      </w:pPr>
      <w:r>
        <w:t>16.</w:t>
      </w:r>
      <w:r>
        <w:tab/>
        <w:t>Просьба предоставить информацию о: любых шагах, предпринятых в целях пересмотра статьи 323 (2) Трудового кодекса, где содержится требование в отношении порога, который считается чрезмерным, для объявления забастовки; категорий работников, чьи права на забастовку ограничены или запрещены, и альтернатив такого же характера, предоставляемых этим работникам; и применения статьи</w:t>
      </w:r>
      <w:r>
        <w:rPr>
          <w:lang w:val="en-US"/>
        </w:rPr>
        <w:t> </w:t>
      </w:r>
      <w:r>
        <w:t>323</w:t>
      </w:r>
      <w:r>
        <w:rPr>
          <w:lang w:val="en-US"/>
        </w:rPr>
        <w:t> </w:t>
      </w:r>
      <w:r>
        <w:t>(5) Трудового кодекса. Просьба разъяснить сообщения о том, что правительство оказывает влияние на организации работников, в том числе на выбор лидеров профсоюзов. Просьба также представить разъяснения в отношении того, какие усилия прилагает государство-участник для обеспечения независимости профсоюзов и их конфедераций. Просьба разъяснить, могут ли представители, действующие помимо профсоюза, независимо от наличия профсоюза на предприятии представлять работников на переговорах о заключении коллективных трудовых договоров.</w:t>
      </w:r>
    </w:p>
    <w:p w14:paraId="6C22CA98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 (ст. 9)</w:t>
      </w:r>
    </w:p>
    <w:p w14:paraId="0DC30C5A" w14:textId="059479B8" w:rsidR="00367987" w:rsidRPr="00D57B27" w:rsidRDefault="00367987" w:rsidP="00367987">
      <w:pPr>
        <w:pStyle w:val="SingleTxtG"/>
      </w:pPr>
      <w:r>
        <w:t>17.</w:t>
      </w:r>
      <w:r>
        <w:tab/>
        <w:t>В свете предыдущих заключительных замечаний Комитета (E/C.12/TJK/CO/2-3, п.</w:t>
      </w:r>
      <w:r>
        <w:rPr>
          <w:lang w:val="en-US"/>
        </w:rPr>
        <w:t> </w:t>
      </w:r>
      <w:r>
        <w:t>22) просьба представить обновленную информацию о: покрытии, праве на получение и размере пособий по социальному обеспечению, включая пенсию, пособие по инвалидности, пособие на ребенка и пособие по безработице; мерах, принятых в целях того, чтобы пособия по социальному обеспечению предоставляли получателям возможность достойного проживания; и усилиях, предпринятых для устранения каких-либо дискриминационных последствий для женщин в рамках пенсионной системы. Просьба также разъяснить, какие имеются пробелы и препятствия в деле эффективной реализации существующих программ социальной защиты, выявленные в ходе национального диалога по социальной защите, и какие меры для их устранения включены в национальную стратегию социальной защиты на период 2019</w:t>
      </w:r>
      <w:r w:rsidRPr="00367987">
        <w:t>–</w:t>
      </w:r>
      <w:r>
        <w:t>2025 годов; а также предоставить информацию о реализации стратегии на сегодняшний день. Кроме того, просьба сообщить о прогрессе, достигнутом в установлении определенного в стране минимального уровня социальной защиты, и о предусмотренном финансировании в целях реализации и обеспечения устойчивости.</w:t>
      </w:r>
    </w:p>
    <w:p w14:paraId="0EBD982A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Защита семьи и детей (ст. 10)</w:t>
      </w:r>
    </w:p>
    <w:p w14:paraId="1A8330F7" w14:textId="3843EE90" w:rsidR="00367987" w:rsidRPr="00D57B27" w:rsidRDefault="00367987" w:rsidP="00367987">
      <w:pPr>
        <w:pStyle w:val="SingleTxtG"/>
      </w:pPr>
      <w:r>
        <w:t>18.</w:t>
      </w:r>
      <w:r>
        <w:tab/>
        <w:t>Просьба указать законодательную основу, запрещающую эксплуатацию детского труда и регулирующую условия труда работающих детей. Просьба также предоставить информацию о результатах исследования, проведенного комитетами по мониторингу детского труда (E/C.12/TJK/4, п.</w:t>
      </w:r>
      <w:r>
        <w:rPr>
          <w:lang w:val="en-US"/>
        </w:rPr>
        <w:t> </w:t>
      </w:r>
      <w:r>
        <w:t xml:space="preserve">88), и о принятых мерах по реагированию на них. Просьба также сообщить о достигнутом прогрессе и проблемах, возникших в ходе реализации национальной программы действий по искоренению наихудших форм детского труда на период 2015–2020 годов. Кроме того, просьба предоставить информацию о положении детей-работников, в том числе обновленные статистические данные в разбивке по возрасту и полу о численности таких детей-работников, посещаемости ими школ и распространенности наихудших форм труда. </w:t>
      </w:r>
      <w:r>
        <w:lastRenderedPageBreak/>
        <w:t>В</w:t>
      </w:r>
      <w:r>
        <w:rPr>
          <w:lang w:val="en-US"/>
        </w:rPr>
        <w:t> </w:t>
      </w:r>
      <w:r>
        <w:t>дополнение просьба указать любую связь между показателями отсева в школах и тенденцией к тому, что дети в ущерб школьным занятиям выходят на неформальный рынок труда.</w:t>
      </w:r>
    </w:p>
    <w:p w14:paraId="35FA45EE" w14:textId="5276BC39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достаточный жизненный уровень (ст</w:t>
      </w:r>
      <w:r w:rsidR="00953134">
        <w:rPr>
          <w:bCs/>
        </w:rPr>
        <w:t>.</w:t>
      </w:r>
      <w:r>
        <w:rPr>
          <w:bCs/>
        </w:rPr>
        <w:t xml:space="preserve"> 11)</w:t>
      </w:r>
    </w:p>
    <w:p w14:paraId="5D5978E7" w14:textId="75C70270" w:rsidR="00367987" w:rsidRPr="00D57B27" w:rsidRDefault="00367987" w:rsidP="00367987">
      <w:pPr>
        <w:pStyle w:val="SingleTxtG"/>
      </w:pPr>
      <w:r>
        <w:t>19.</w:t>
      </w:r>
      <w:r>
        <w:tab/>
        <w:t xml:space="preserve">Просьба предоставить подробную информацию о реализации программы адресной социальной помощи, включая число регионов и лиц, в частности детей, охваченных этой программой; объеме предоставляемых финансовых льгот и иной поддержки; а также о достигнутом прогрессе и проблемах, возникших на сегодняшний день при реализации этой программы. Просьба конкретно сообщить о прогрессе, достигнутом в улучшении положения с продовольственной безопасностью и безопасностью в области питания благодаря мерам, указанным государством-участником (E/C.12/TJK/4, </w:t>
      </w:r>
      <w:proofErr w:type="spellStart"/>
      <w:r>
        <w:t>пп</w:t>
      </w:r>
      <w:proofErr w:type="spellEnd"/>
      <w:r>
        <w:t>. 114–119), включая национальную стратегию развития на период 2016</w:t>
      </w:r>
      <w:r w:rsidRPr="00367987">
        <w:t>–</w:t>
      </w:r>
      <w:r>
        <w:t>2030 годов, реформу сельскохозяйственного сектора и программы школьного питания. Просьба также привести данные о рамочном законодательстве и политике в области продовольственной безопасности и безопасности в области питания. Кроме того, просьба предоставить информацию о мерах, принятых в целях решения проблем, с которыми, как сообщается, сталкивается сектор управления земельными ресурсами, в том числе о противоречивых нормативных актах, касающихся землепользования; неограниченной свободе принятия местными властями решений по своему усмотрению, в частности о предоставлении земельных участков и о цене за их использование; и отсутствии информации об имеющихся свободных земельных участках.</w:t>
      </w:r>
    </w:p>
    <w:p w14:paraId="4C800DA9" w14:textId="77777777" w:rsidR="00367987" w:rsidRPr="00D57B27" w:rsidRDefault="00367987" w:rsidP="00367987">
      <w:pPr>
        <w:pStyle w:val="SingleTxtG"/>
      </w:pPr>
      <w:r>
        <w:t>20.</w:t>
      </w:r>
      <w:r>
        <w:tab/>
        <w:t>Просьба сообщить о мерах, принятых в целях обеспечения соответствия нового проекта жилищного кодекса положениям Пакта, и предоставить информацию о его нынешнем состоянии и о принятии комплексной политики в области жилья. В свете предыдущих заключительных замечаний Комитета (E/C.12/TJK/CO/2-3, п. 27) просьба также предоставить информацию о мерах, принятых для решения проблемы серьезной нехватки жилья и ухудшения состояния жилых домов; и о предоставлении социального жилья, в том числе о распределении государственного финансирования, группах лиц, имеющих право на получение социального жилья, и количестве ежегодно предоставляемых единиц социального жилья. Кроме того, просьба предоставить информацию об определении бездомности, ее распространенности и о правовой защите, предоставляемой бездомным лицам.</w:t>
      </w:r>
    </w:p>
    <w:p w14:paraId="6798DAC4" w14:textId="40E77F21" w:rsidR="00367987" w:rsidRPr="0068183D" w:rsidRDefault="00367987" w:rsidP="00367987">
      <w:pPr>
        <w:pStyle w:val="SingleTxtG"/>
      </w:pPr>
      <w:r>
        <w:t>21.</w:t>
      </w:r>
      <w:r>
        <w:tab/>
        <w:t>Просьба предоставить информацию о правовой защите от принудительных выселений. Просьба также предоставить информацию о принудительных выселениях, проведенных за отчетный период, включая количество проведенных выселений, число пострадавших лиц и предоставленные им альтернативное жилье или компенсацию. В</w:t>
      </w:r>
      <w:r>
        <w:rPr>
          <w:lang w:val="en-US"/>
        </w:rPr>
        <w:t> </w:t>
      </w:r>
      <w:r>
        <w:t xml:space="preserve">этом контексте просьба пояснить, каким образом было осуществлено переселение жителей в целях реализации проекта </w:t>
      </w:r>
      <w:proofErr w:type="spellStart"/>
      <w:r>
        <w:t>Рогунской</w:t>
      </w:r>
      <w:proofErr w:type="spellEnd"/>
      <w:r>
        <w:t xml:space="preserve"> ГЭС в соответствии с Пактом и соответствующими международными нормами, в том числе в плане участия затрагиваемых лиц и консультаций с ними, предварительной оценки воздействия на права человека, процедурной защиты в процессе переселения и предоставления альтернативного жилья и средств к существованию переселяемым лицам.</w:t>
      </w:r>
    </w:p>
    <w:p w14:paraId="6E0D9141" w14:textId="77777777" w:rsidR="00367987" w:rsidRPr="00D57B27" w:rsidRDefault="00367987" w:rsidP="00367987">
      <w:pPr>
        <w:pStyle w:val="SingleTxtG"/>
      </w:pPr>
      <w:r>
        <w:t>22.</w:t>
      </w:r>
      <w:r>
        <w:tab/>
        <w:t xml:space="preserve">В свете замечаний Специального докладчика по вопросу о правах человека на безопасную питьевую воду и санитарные услуги (A/HRC/33/49/Add.2, </w:t>
      </w:r>
      <w:proofErr w:type="spellStart"/>
      <w:r>
        <w:t>пп</w:t>
      </w:r>
      <w:proofErr w:type="spellEnd"/>
      <w:r>
        <w:t>. 5, 13, 14, 17 и 28) просьба предоставить информацию о:</w:t>
      </w:r>
      <w:bookmarkStart w:id="1" w:name="_Hlk54863653"/>
      <w:bookmarkEnd w:id="1"/>
    </w:p>
    <w:p w14:paraId="198A54B7" w14:textId="0C04EDEF" w:rsidR="00367987" w:rsidRPr="00D57B27" w:rsidRDefault="00367987" w:rsidP="00367987">
      <w:pPr>
        <w:pStyle w:val="SingleTxtG"/>
      </w:pPr>
      <w:r>
        <w:tab/>
        <w:t>a)</w:t>
      </w:r>
      <w:r>
        <w:tab/>
        <w:t>каком-либо прогрессе, достигнутом в отношении пересмотра Водного кодекса 2000 года, реформы раздробленной системы служб водоснабжения и санитарно-бытового обеспечения и создания независимого механизма тарифного регулирования и политики в области обеспечения водой и санитарно-бытовыми услугами;</w:t>
      </w:r>
    </w:p>
    <w:p w14:paraId="6AE0ABBF" w14:textId="0BF336DA" w:rsidR="00367987" w:rsidRPr="00D57B27" w:rsidRDefault="00367987" w:rsidP="00367987">
      <w:pPr>
        <w:pStyle w:val="SingleTxtG"/>
      </w:pPr>
      <w:r>
        <w:tab/>
        <w:t>b)</w:t>
      </w:r>
      <w:r>
        <w:tab/>
        <w:t xml:space="preserve">принятых мерах и результатах применения таких мер по улучшению доступа к безопасной питьевой воде и надлежащим санитарным услугам, в частности ориентированных на обездоленных и </w:t>
      </w:r>
      <w:proofErr w:type="spellStart"/>
      <w:r>
        <w:t>маргинализованных</w:t>
      </w:r>
      <w:proofErr w:type="spellEnd"/>
      <w:r>
        <w:t xml:space="preserve"> отдельных лиц и группы, а также по устранению значительных региональных и социально-экономических </w:t>
      </w:r>
      <w:r>
        <w:lastRenderedPageBreak/>
        <w:t>различий в обеспечении наличия, доступа, ценовой доступности и качества безопасной питьевой воды и надлежащих санитарных услуг;</w:t>
      </w:r>
    </w:p>
    <w:p w14:paraId="4829B23A" w14:textId="12E59EA4" w:rsidR="00367987" w:rsidRPr="00D57B27" w:rsidRDefault="00367987" w:rsidP="00367987">
      <w:pPr>
        <w:pStyle w:val="SingleTxtG"/>
      </w:pPr>
      <w:r>
        <w:tab/>
        <w:t>c)</w:t>
      </w:r>
      <w:r>
        <w:tab/>
        <w:t>усилиях, предпринятых в целях снижения рисков для здоровья, вызванных недостаточным доступом к воде и санитарным услугам во время пандемии COVID-19;</w:t>
      </w:r>
    </w:p>
    <w:p w14:paraId="02A72E05" w14:textId="6F03CB65" w:rsidR="00367987" w:rsidRPr="0068183D" w:rsidRDefault="00367987" w:rsidP="00367987">
      <w:pPr>
        <w:pStyle w:val="SingleTxtG"/>
      </w:pPr>
      <w:r>
        <w:tab/>
        <w:t>d)</w:t>
      </w:r>
      <w:r>
        <w:tab/>
        <w:t xml:space="preserve">принятых мерах и эффективности таких мер для решения проблемы острой нехватки энергии </w:t>
      </w:r>
      <w:r w:rsidR="00874E28">
        <w:t>—</w:t>
      </w:r>
      <w:r>
        <w:t xml:space="preserve"> т</w:t>
      </w:r>
      <w:r w:rsidR="00874E28">
        <w:t>. </w:t>
      </w:r>
      <w:r>
        <w:t>е</w:t>
      </w:r>
      <w:r w:rsidR="00874E28">
        <w:t>.</w:t>
      </w:r>
      <w:r>
        <w:t xml:space="preserve"> электроэнергии и тепловой энергии </w:t>
      </w:r>
      <w:r w:rsidRPr="00367987">
        <w:t>—</w:t>
      </w:r>
      <w:r>
        <w:t xml:space="preserve"> в зимний период и для улучшения доступа к энергии населения, в частности обездоленных и </w:t>
      </w:r>
      <w:proofErr w:type="spellStart"/>
      <w:r>
        <w:t>маргинализованных</w:t>
      </w:r>
      <w:proofErr w:type="spellEnd"/>
      <w:r>
        <w:t xml:space="preserve"> лиц.</w:t>
      </w:r>
    </w:p>
    <w:p w14:paraId="629D2C36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физическое и психическое здоровье (ст. 12)</w:t>
      </w:r>
    </w:p>
    <w:p w14:paraId="42B60EE0" w14:textId="77777777" w:rsidR="00367987" w:rsidRPr="00CB495C" w:rsidRDefault="00367987" w:rsidP="00367987">
      <w:pPr>
        <w:pStyle w:val="SingleTxtG"/>
      </w:pPr>
      <w:r>
        <w:t>23.</w:t>
      </w:r>
      <w:r>
        <w:tab/>
        <w:t>Просьба предоставить информацию о:</w:t>
      </w:r>
    </w:p>
    <w:p w14:paraId="5D65907F" w14:textId="19859919" w:rsidR="00367987" w:rsidRPr="00D57B27" w:rsidRDefault="00367987" w:rsidP="00367987">
      <w:pPr>
        <w:pStyle w:val="SingleTxtG"/>
      </w:pPr>
      <w:r>
        <w:tab/>
        <w:t>a)</w:t>
      </w:r>
      <w:r>
        <w:tab/>
        <w:t>реализации программы гарантированного медицинского обслуживания, в частности в том, что касается ее охвата, объема предоставляемых медицинских услуг, финансирования и долевой оплаты пациентами, а также мер, принятых в целях расширения этой программы;</w:t>
      </w:r>
    </w:p>
    <w:p w14:paraId="1C655246" w14:textId="354F15B8" w:rsidR="00367987" w:rsidRPr="00D57B27" w:rsidRDefault="00367987" w:rsidP="00367987">
      <w:pPr>
        <w:pStyle w:val="SingleTxtG"/>
      </w:pPr>
      <w:r>
        <w:tab/>
        <w:t>b)</w:t>
      </w:r>
      <w:r>
        <w:tab/>
        <w:t>прогрессе, достигнутом в рамках программы на сегодняшний день с точки зрения наличия, доступа, ценовой доступности и качества медицинских услуг;</w:t>
      </w:r>
    </w:p>
    <w:p w14:paraId="7611FDC0" w14:textId="3601122E" w:rsidR="00367987" w:rsidRPr="0068183D" w:rsidRDefault="00367987" w:rsidP="00367987">
      <w:pPr>
        <w:pStyle w:val="SingleTxtG"/>
      </w:pPr>
      <w:r>
        <w:tab/>
        <w:t>c)</w:t>
      </w:r>
      <w:r>
        <w:tab/>
        <w:t>состоянии применения системы обязательного медицинского страхования, а также возникших до сего дня основных препятствиях и мерах, принятых в целях их устранения.</w:t>
      </w:r>
    </w:p>
    <w:p w14:paraId="2B40A30A" w14:textId="77777777" w:rsidR="00367987" w:rsidRPr="0068183D" w:rsidRDefault="00367987" w:rsidP="00367987">
      <w:pPr>
        <w:pStyle w:val="SingleTxtG"/>
      </w:pPr>
      <w:r>
        <w:t>24.</w:t>
      </w:r>
      <w:r>
        <w:tab/>
        <w:t>Просьба предоставить информацию о:</w:t>
      </w:r>
    </w:p>
    <w:p w14:paraId="69BB8CE0" w14:textId="62233C7C" w:rsidR="00367987" w:rsidRPr="0068183D" w:rsidRDefault="00367987" w:rsidP="00367987">
      <w:pPr>
        <w:pStyle w:val="SingleTxtG"/>
      </w:pPr>
      <w:r>
        <w:tab/>
        <w:t>a)</w:t>
      </w:r>
      <w:r>
        <w:tab/>
        <w:t>прогрессе достигнутом в:</w:t>
      </w:r>
    </w:p>
    <w:p w14:paraId="5B1849D6" w14:textId="77777777" w:rsidR="00367987" w:rsidRPr="00D57B27" w:rsidRDefault="00367987" w:rsidP="00367987">
      <w:pPr>
        <w:pStyle w:val="SingleTxtG"/>
        <w:ind w:left="1701"/>
      </w:pPr>
      <w:r>
        <w:t>i)</w:t>
      </w:r>
      <w:r>
        <w:tab/>
        <w:t>разработке рамочного законодательства и политики в области психического здоровья;</w:t>
      </w:r>
    </w:p>
    <w:p w14:paraId="4DD57620" w14:textId="77777777" w:rsidR="00367987" w:rsidRPr="00D57B27" w:rsidRDefault="00367987" w:rsidP="00367987">
      <w:pPr>
        <w:pStyle w:val="SingleTxtG"/>
        <w:ind w:left="1701"/>
      </w:pPr>
      <w:proofErr w:type="spellStart"/>
      <w:r>
        <w:t>ii</w:t>
      </w:r>
      <w:proofErr w:type="spellEnd"/>
      <w:r>
        <w:t>)</w:t>
      </w:r>
      <w:r>
        <w:tab/>
        <w:t>улучшении услуг в области охраны психического здоровья, в особенности тех, которые ориентированы на молодых людей;</w:t>
      </w:r>
    </w:p>
    <w:p w14:paraId="11218C3C" w14:textId="77777777" w:rsidR="00367987" w:rsidRPr="00D57B27" w:rsidRDefault="00367987" w:rsidP="00367987">
      <w:pPr>
        <w:pStyle w:val="SingleTxtG"/>
        <w:ind w:left="1701"/>
      </w:pPr>
      <w:proofErr w:type="spellStart"/>
      <w:r>
        <w:t>iii</w:t>
      </w:r>
      <w:proofErr w:type="spellEnd"/>
      <w:r>
        <w:t>)</w:t>
      </w:r>
      <w:r>
        <w:tab/>
        <w:t>улучшении общественного восприятия и осведомленности о психическом здоровье;</w:t>
      </w:r>
    </w:p>
    <w:p w14:paraId="4F0D8EC5" w14:textId="53468B81" w:rsidR="00367987" w:rsidRPr="00D57B27" w:rsidRDefault="00367987" w:rsidP="00367987">
      <w:pPr>
        <w:pStyle w:val="SingleTxtG"/>
      </w:pPr>
      <w:r>
        <w:tab/>
        <w:t>b)</w:t>
      </w:r>
      <w:r>
        <w:tab/>
        <w:t>статистических данных в разбивке по регионам, касающихся специализированных учреждений и специалистов-медиков в секторе психического здоровья;</w:t>
      </w:r>
    </w:p>
    <w:p w14:paraId="562B0584" w14:textId="5462BFD6" w:rsidR="00367987" w:rsidRPr="0068183D" w:rsidRDefault="00367987" w:rsidP="00367987">
      <w:pPr>
        <w:pStyle w:val="SingleTxtG"/>
      </w:pPr>
      <w:r>
        <w:tab/>
        <w:t>c)</w:t>
      </w:r>
      <w:r>
        <w:tab/>
        <w:t>мерах, принятых в целях профилактики самоубийств и раннего вмешательства, и соответствующих ежегодных статистических данных в разбивке по полу, возрасту и региону (городскому и сельскому) за отчетный период.</w:t>
      </w:r>
    </w:p>
    <w:p w14:paraId="4B7F6CA6" w14:textId="77777777" w:rsidR="00367987" w:rsidRPr="00CB495C" w:rsidRDefault="00367987" w:rsidP="00367987">
      <w:pPr>
        <w:pStyle w:val="SingleTxtG"/>
      </w:pPr>
      <w:r>
        <w:t>25.</w:t>
      </w:r>
      <w:r>
        <w:tab/>
        <w:t>Просьба предоставить информацию о:</w:t>
      </w:r>
    </w:p>
    <w:p w14:paraId="7277F205" w14:textId="6B6644C3" w:rsidR="00367987" w:rsidRPr="00D57B27" w:rsidRDefault="00367987" w:rsidP="00367987">
      <w:pPr>
        <w:pStyle w:val="SingleTxtG"/>
      </w:pPr>
      <w:r>
        <w:tab/>
        <w:t>a)</w:t>
      </w:r>
      <w:r>
        <w:tab/>
        <w:t>принятых мерах по улучшению образования и услуг в области сексуального и репродуктивного здоровья, включая использование современных контрацептивов;</w:t>
      </w:r>
    </w:p>
    <w:p w14:paraId="7E8CA239" w14:textId="4D68ECBE" w:rsidR="00367987" w:rsidRPr="00D57B27" w:rsidRDefault="00367987" w:rsidP="00367987">
      <w:pPr>
        <w:pStyle w:val="SingleTxtG"/>
      </w:pPr>
      <w:r>
        <w:tab/>
        <w:t>b)</w:t>
      </w:r>
      <w:r>
        <w:tab/>
        <w:t>любых шагах, предпринятых в целях пересмотра законодательства, касающегося передачи ВИЧ/СПИДа и лиц с ВИЧ/СПИДом, в том числе статьи 125 Уголовного кодекса и статьи 162 Кодекса о здравоохранении, которые, как сообщается, оказывают значительное негативное воздействие на осуществление лицами с ВИЧ/СПИДом прав, закрепленных в Пакте, в частности прав на занятость, семейную жизнь, здравоохранение и образование;</w:t>
      </w:r>
    </w:p>
    <w:p w14:paraId="74386103" w14:textId="4D4F1142" w:rsidR="00367987" w:rsidRPr="00D57B27" w:rsidRDefault="00367987" w:rsidP="00367987">
      <w:pPr>
        <w:pStyle w:val="SingleTxtG"/>
      </w:pPr>
      <w:r>
        <w:tab/>
        <w:t>c)</w:t>
      </w:r>
      <w:r>
        <w:tab/>
        <w:t>предоставлении программ снижения вреда, а также о медицинских и вспомогательных услугах, предоставляемых наркозависимым лицам, особенно тем, кто живет с ВИЧ/СПИДом и туберкулезом;</w:t>
      </w:r>
    </w:p>
    <w:p w14:paraId="31EE971E" w14:textId="6D5601D1" w:rsidR="00367987" w:rsidRPr="0068183D" w:rsidRDefault="00367987" w:rsidP="00367987">
      <w:pPr>
        <w:pStyle w:val="SingleTxtG"/>
      </w:pPr>
      <w:r>
        <w:lastRenderedPageBreak/>
        <w:tab/>
        <w:t>d)</w:t>
      </w:r>
      <w:r>
        <w:tab/>
        <w:t>прилагаемых усилиях по борьбе с дискриминацией лиц с ВИЧ/СПИДом, лиц, употребляющих инъекционные наркотики, и гомосексуалистов, особенно со стороны специалистов-медиков.</w:t>
      </w:r>
    </w:p>
    <w:p w14:paraId="29282A73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Право на образование (ст. 13–14)</w:t>
      </w:r>
    </w:p>
    <w:p w14:paraId="04F13B5F" w14:textId="77777777" w:rsidR="00367987" w:rsidRPr="0068183D" w:rsidRDefault="00367987" w:rsidP="00367987">
      <w:pPr>
        <w:pStyle w:val="SingleTxtG"/>
      </w:pPr>
      <w:r>
        <w:t>26.</w:t>
      </w:r>
      <w:r>
        <w:tab/>
        <w:t>Просьба предоставить информацию о:</w:t>
      </w:r>
    </w:p>
    <w:p w14:paraId="357F6AD4" w14:textId="0CF34C9E" w:rsidR="00367987" w:rsidRPr="00CB495C" w:rsidRDefault="00367987" w:rsidP="00367987">
      <w:pPr>
        <w:pStyle w:val="SingleTxtG"/>
      </w:pPr>
      <w:r>
        <w:tab/>
        <w:t>a)</w:t>
      </w:r>
      <w:r>
        <w:tab/>
        <w:t>прогрессе, достигнутом в:</w:t>
      </w:r>
    </w:p>
    <w:p w14:paraId="74320D25" w14:textId="77777777" w:rsidR="00367987" w:rsidRPr="00D57B27" w:rsidRDefault="00367987" w:rsidP="00367987">
      <w:pPr>
        <w:pStyle w:val="SingleTxtG"/>
        <w:ind w:left="1701"/>
      </w:pPr>
      <w:r>
        <w:t>i)</w:t>
      </w:r>
      <w:r>
        <w:tab/>
        <w:t xml:space="preserve">сокращении числа учащихся, не посещающих школу на уровне начального и среднего образования, особенно среди детей из обездоленных и </w:t>
      </w:r>
      <w:proofErr w:type="spellStart"/>
      <w:r>
        <w:t>маргинализованных</w:t>
      </w:r>
      <w:proofErr w:type="spellEnd"/>
      <w:r>
        <w:t xml:space="preserve"> семей;</w:t>
      </w:r>
    </w:p>
    <w:p w14:paraId="3F2F453E" w14:textId="77777777" w:rsidR="00367987" w:rsidRPr="00D57B27" w:rsidRDefault="00367987" w:rsidP="00367987">
      <w:pPr>
        <w:pStyle w:val="SingleTxtG"/>
        <w:ind w:left="1701"/>
      </w:pPr>
      <w:proofErr w:type="spellStart"/>
      <w:r>
        <w:t>ii</w:t>
      </w:r>
      <w:proofErr w:type="spellEnd"/>
      <w:r>
        <w:t>)</w:t>
      </w:r>
      <w:r>
        <w:tab/>
        <w:t>улучшении показателей завершения образования и перехода на второй этап среднего образования;</w:t>
      </w:r>
    </w:p>
    <w:p w14:paraId="13803EA8" w14:textId="77777777" w:rsidR="00367987" w:rsidRPr="00D57B27" w:rsidRDefault="00367987" w:rsidP="00367987">
      <w:pPr>
        <w:pStyle w:val="SingleTxtG"/>
        <w:ind w:left="1701"/>
      </w:pPr>
      <w:proofErr w:type="spellStart"/>
      <w:r>
        <w:t>iii</w:t>
      </w:r>
      <w:proofErr w:type="spellEnd"/>
      <w:r>
        <w:t>)</w:t>
      </w:r>
      <w:r>
        <w:tab/>
        <w:t>сокращении гендерного неравенства в образовании;</w:t>
      </w:r>
    </w:p>
    <w:p w14:paraId="39F0726C" w14:textId="6CCEF9CD" w:rsidR="00367987" w:rsidRPr="00D57B27" w:rsidRDefault="00367987" w:rsidP="00367987">
      <w:pPr>
        <w:pStyle w:val="SingleTxtG"/>
      </w:pPr>
      <w:r>
        <w:tab/>
        <w:t>b)</w:t>
      </w:r>
      <w:r>
        <w:tab/>
        <w:t>прилагаемых усилиях по предоставлению детям-инвалидам инклюзивного образования и постепенном отказе от обучения в интернатах;</w:t>
      </w:r>
    </w:p>
    <w:p w14:paraId="58626656" w14:textId="11313389" w:rsidR="00367987" w:rsidRPr="00D57B27" w:rsidRDefault="00367987" w:rsidP="00367987">
      <w:pPr>
        <w:pStyle w:val="SingleTxtG"/>
      </w:pPr>
      <w:r>
        <w:tab/>
        <w:t>c)</w:t>
      </w:r>
      <w:r>
        <w:tab/>
        <w:t>прогрессе в деле повышения доступности дошкольного образования за счет реализации мер, принимаемых в рамках национальной стратегии развития образования на период 2012</w:t>
      </w:r>
      <w:r w:rsidRPr="00367987">
        <w:t>–</w:t>
      </w:r>
      <w:r>
        <w:t>2020 годов;</w:t>
      </w:r>
    </w:p>
    <w:p w14:paraId="51FCC78F" w14:textId="7F9ED142" w:rsidR="00367987" w:rsidRPr="0068183D" w:rsidRDefault="00874E28" w:rsidP="00367987">
      <w:pPr>
        <w:pStyle w:val="SingleTxtG"/>
      </w:pPr>
      <w:r>
        <w:tab/>
      </w:r>
      <w:r w:rsidR="00367987">
        <w:t>d)</w:t>
      </w:r>
      <w:r w:rsidR="00367987">
        <w:tab/>
        <w:t>мерах, принятых в целях смягчения воздействия пандемии COVID-19 на образование на всех уровнях, особенно на обязательное образование.</w:t>
      </w:r>
    </w:p>
    <w:p w14:paraId="69809C60" w14:textId="77777777" w:rsidR="00367987" w:rsidRPr="00D57B27" w:rsidRDefault="00367987" w:rsidP="00367987">
      <w:pPr>
        <w:pStyle w:val="SingleTxtG"/>
      </w:pPr>
      <w:r>
        <w:t>27.</w:t>
      </w:r>
      <w:r>
        <w:tab/>
        <w:t>Просьба предоставить информацию о ресурсах, выделенных и полученных государством-участником, в том числе от его партнеров по развитию, для выполнения своих обязательств по статье 13 Пакта. Просьба также сообщить о мерах, принятых в целях обеспечения всем людям возможности эффективно участвовать в жизни свободного общества, содействия взаимопониманию, терпимости и дружбе между всеми народами и всеми расовыми, этническими или религиозными группами. В этом контексте просьба конкретно указать любые предпринятые шаги, в том числе в рамках школьной программы, нацеленные на противодействие попыткам экстремистских групп радикализировать общество.</w:t>
      </w:r>
    </w:p>
    <w:p w14:paraId="05FC1081" w14:textId="77777777" w:rsidR="00367987" w:rsidRPr="0068183D" w:rsidRDefault="00367987" w:rsidP="00367987">
      <w:pPr>
        <w:pStyle w:val="H23G"/>
      </w:pPr>
      <w:r>
        <w:tab/>
      </w:r>
      <w:r>
        <w:tab/>
      </w:r>
      <w:r>
        <w:rPr>
          <w:bCs/>
        </w:rPr>
        <w:t>Культурные права (ст. 15)</w:t>
      </w:r>
    </w:p>
    <w:p w14:paraId="3211E17B" w14:textId="77777777" w:rsidR="00367987" w:rsidRPr="0068183D" w:rsidRDefault="00367987" w:rsidP="00367987">
      <w:pPr>
        <w:pStyle w:val="SingleTxtG"/>
      </w:pPr>
      <w:r>
        <w:t>28.</w:t>
      </w:r>
      <w:r>
        <w:tab/>
        <w:t>Просьба предоставить информацию о:</w:t>
      </w:r>
    </w:p>
    <w:p w14:paraId="7304037F" w14:textId="2792CD56" w:rsidR="00367987" w:rsidRPr="00D57B27" w:rsidRDefault="00367987" w:rsidP="00367987">
      <w:pPr>
        <w:pStyle w:val="SingleTxtG"/>
      </w:pPr>
      <w:r>
        <w:tab/>
        <w:t>a)</w:t>
      </w:r>
      <w:r>
        <w:tab/>
        <w:t>статусе образования на языках меньшинств, численности учащихся, получающих образование на языках меньшинств, и мерах, принятых для обеспечения достаточного числа учителей, способных преподавать на языках меньшинств;</w:t>
      </w:r>
    </w:p>
    <w:p w14:paraId="7C071AD7" w14:textId="45DC296B" w:rsidR="00367987" w:rsidRPr="00D57B27" w:rsidRDefault="00367987" w:rsidP="00367987">
      <w:pPr>
        <w:pStyle w:val="SingleTxtG"/>
      </w:pPr>
      <w:r>
        <w:tab/>
        <w:t>b)</w:t>
      </w:r>
      <w:r>
        <w:tab/>
        <w:t>каких-либо шагах, предпринятых в целях внедрения программ многоязычного образования в систему образования;</w:t>
      </w:r>
    </w:p>
    <w:p w14:paraId="379DA61D" w14:textId="2A2DCB29" w:rsidR="00367987" w:rsidRPr="00D57B27" w:rsidRDefault="00367987" w:rsidP="00367987">
      <w:pPr>
        <w:pStyle w:val="SingleTxtG"/>
      </w:pPr>
      <w:r>
        <w:tab/>
        <w:t>c)</w:t>
      </w:r>
      <w:r>
        <w:tab/>
        <w:t xml:space="preserve">каких-либо мерах, принятых в целях обеспечения равных прав и доступа к культуре и культурной деятельности для обездоленных и </w:t>
      </w:r>
      <w:proofErr w:type="spellStart"/>
      <w:r>
        <w:t>маргинализованных</w:t>
      </w:r>
      <w:proofErr w:type="spellEnd"/>
      <w:r>
        <w:t xml:space="preserve"> лиц и групп, независимо от национальности, религии, пола, инвалидности и возраста;</w:t>
      </w:r>
    </w:p>
    <w:p w14:paraId="35FA71B0" w14:textId="39D79CD7" w:rsidR="00367987" w:rsidRPr="00D57B27" w:rsidRDefault="00367987" w:rsidP="00367987">
      <w:pPr>
        <w:pStyle w:val="SingleTxtG"/>
      </w:pPr>
      <w:r>
        <w:tab/>
        <w:t>d)</w:t>
      </w:r>
      <w:r>
        <w:tab/>
        <w:t xml:space="preserve">принятых мерах по обеспечению доступа к Интернету для всех, особенно для обездоленных и </w:t>
      </w:r>
      <w:proofErr w:type="spellStart"/>
      <w:r>
        <w:t>маргинализованных</w:t>
      </w:r>
      <w:proofErr w:type="spellEnd"/>
      <w:r>
        <w:t xml:space="preserve"> лиц и групп.</w:t>
      </w:r>
    </w:p>
    <w:p w14:paraId="63E84DE5" w14:textId="77777777" w:rsidR="00367987" w:rsidRPr="00D57B27" w:rsidRDefault="00367987" w:rsidP="00367987">
      <w:pPr>
        <w:pStyle w:val="SingleTxtG"/>
        <w:spacing w:before="240" w:after="0"/>
        <w:jc w:val="center"/>
      </w:pPr>
      <w:r w:rsidRPr="00D57B27">
        <w:rPr>
          <w:u w:val="single"/>
        </w:rPr>
        <w:tab/>
      </w:r>
      <w:r w:rsidRPr="00D57B27">
        <w:rPr>
          <w:u w:val="single"/>
        </w:rPr>
        <w:tab/>
      </w:r>
      <w:r w:rsidRPr="00D57B27">
        <w:rPr>
          <w:u w:val="single"/>
        </w:rPr>
        <w:tab/>
      </w:r>
    </w:p>
    <w:p w14:paraId="24204E2D" w14:textId="77777777" w:rsidR="00381C24" w:rsidRPr="00367987" w:rsidRDefault="00381C24" w:rsidP="00896BA2"/>
    <w:sectPr w:rsidR="00381C24" w:rsidRPr="00367987" w:rsidSect="003679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7650" w14:textId="77777777" w:rsidR="008B2288" w:rsidRPr="00A312BC" w:rsidRDefault="008B2288" w:rsidP="00A312BC"/>
  </w:endnote>
  <w:endnote w:type="continuationSeparator" w:id="0">
    <w:p w14:paraId="34EED6F3" w14:textId="77777777" w:rsidR="008B2288" w:rsidRPr="00A312BC" w:rsidRDefault="008B22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2E5D" w14:textId="6F8C9CF5" w:rsidR="00367987" w:rsidRPr="00367987" w:rsidRDefault="00367987">
    <w:pPr>
      <w:pStyle w:val="aa"/>
    </w:pPr>
    <w:r w:rsidRPr="00367987">
      <w:rPr>
        <w:b/>
        <w:sz w:val="18"/>
      </w:rPr>
      <w:fldChar w:fldCharType="begin"/>
    </w:r>
    <w:r w:rsidRPr="00367987">
      <w:rPr>
        <w:b/>
        <w:sz w:val="18"/>
      </w:rPr>
      <w:instrText xml:space="preserve"> PAGE  \* MERGEFORMAT </w:instrText>
    </w:r>
    <w:r w:rsidRPr="00367987">
      <w:rPr>
        <w:b/>
        <w:sz w:val="18"/>
      </w:rPr>
      <w:fldChar w:fldCharType="separate"/>
    </w:r>
    <w:r w:rsidRPr="00367987">
      <w:rPr>
        <w:b/>
        <w:noProof/>
        <w:sz w:val="18"/>
      </w:rPr>
      <w:t>2</w:t>
    </w:r>
    <w:r w:rsidRPr="00367987">
      <w:rPr>
        <w:b/>
        <w:sz w:val="18"/>
      </w:rPr>
      <w:fldChar w:fldCharType="end"/>
    </w:r>
    <w:r>
      <w:rPr>
        <w:b/>
        <w:sz w:val="18"/>
      </w:rPr>
      <w:tab/>
    </w:r>
    <w:r>
      <w:t>GE.20-14670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D0C" w14:textId="0B073073" w:rsidR="00367987" w:rsidRPr="00367987" w:rsidRDefault="00367987" w:rsidP="00367987">
    <w:pPr>
      <w:pStyle w:val="aa"/>
      <w:tabs>
        <w:tab w:val="clear" w:pos="9639"/>
        <w:tab w:val="right" w:pos="9638"/>
      </w:tabs>
      <w:rPr>
        <w:b/>
        <w:sz w:val="18"/>
      </w:rPr>
    </w:pPr>
    <w:r>
      <w:t>GE.20-14670</w:t>
    </w:r>
    <w:r>
      <w:tab/>
    </w:r>
    <w:r w:rsidRPr="00367987">
      <w:rPr>
        <w:b/>
        <w:sz w:val="18"/>
      </w:rPr>
      <w:fldChar w:fldCharType="begin"/>
    </w:r>
    <w:r w:rsidRPr="00367987">
      <w:rPr>
        <w:b/>
        <w:sz w:val="18"/>
      </w:rPr>
      <w:instrText xml:space="preserve"> PAGE  \* MERGEFORMAT </w:instrText>
    </w:r>
    <w:r w:rsidRPr="00367987">
      <w:rPr>
        <w:b/>
        <w:sz w:val="18"/>
      </w:rPr>
      <w:fldChar w:fldCharType="separate"/>
    </w:r>
    <w:r w:rsidRPr="00367987">
      <w:rPr>
        <w:b/>
        <w:noProof/>
        <w:sz w:val="18"/>
      </w:rPr>
      <w:t>3</w:t>
    </w:r>
    <w:r w:rsidRPr="003679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CB4A" w14:textId="1802690A" w:rsidR="00042B72" w:rsidRPr="00367987" w:rsidRDefault="00367987" w:rsidP="0036798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0442E8" wp14:editId="3E433D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14670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6B7A18" wp14:editId="761358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310522  010622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CEA9" w14:textId="77777777" w:rsidR="008B2288" w:rsidRPr="001075E9" w:rsidRDefault="008B22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B75FBF" w14:textId="77777777" w:rsidR="008B2288" w:rsidRDefault="008B22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0125AD" w14:textId="77777777" w:rsidR="00367987" w:rsidRPr="0068183D" w:rsidRDefault="00367987" w:rsidP="00367987">
      <w:pPr>
        <w:pStyle w:val="af"/>
      </w:pPr>
      <w:r>
        <w:tab/>
      </w:r>
      <w:r w:rsidRPr="00367987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шестьдесят седьмой сессии (19–23 октября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52D4" w14:textId="6BE91266" w:rsidR="00367987" w:rsidRPr="00367987" w:rsidRDefault="00343C6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E/C.12/TJK/Q/4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2965" w14:textId="5ED8DB0A" w:rsidR="00367987" w:rsidRPr="00367987" w:rsidRDefault="00343C64" w:rsidP="0036798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E/C.12/TJK/Q/4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88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13AA6"/>
    <w:rsid w:val="00236BED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43C64"/>
    <w:rsid w:val="00367987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0691C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74E28"/>
    <w:rsid w:val="00881771"/>
    <w:rsid w:val="00885767"/>
    <w:rsid w:val="00894693"/>
    <w:rsid w:val="00896BA2"/>
    <w:rsid w:val="008A08D7"/>
    <w:rsid w:val="008B2288"/>
    <w:rsid w:val="008B6909"/>
    <w:rsid w:val="008C30BC"/>
    <w:rsid w:val="00906890"/>
    <w:rsid w:val="00911BE4"/>
    <w:rsid w:val="00951972"/>
    <w:rsid w:val="00953134"/>
    <w:rsid w:val="009608F3"/>
    <w:rsid w:val="009A24AC"/>
    <w:rsid w:val="009C1725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57E7A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3069A"/>
  <w15:docId w15:val="{EBB3128F-FFC7-4202-BA6F-A338027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36798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14</TotalTime>
  <Pages>8</Pages>
  <Words>3919</Words>
  <Characters>22340</Characters>
  <Application>Microsoft Office Word</Application>
  <DocSecurity>0</DocSecurity>
  <Lines>186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E/C.12/TJK/Q/4</vt:lpstr>
      <vt:lpstr>A/</vt:lpstr>
      <vt:lpstr>A/</vt:lpstr>
    </vt:vector>
  </TitlesOfParts>
  <Company>DCM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E/C.12/TJK/Q/4</dc:title>
  <dc:subject/>
  <dc:creator>Svetlana PROKOUDINA</dc:creator>
  <cp:keywords/>
  <cp:lastModifiedBy>Svetlana Prokoudina</cp:lastModifiedBy>
  <cp:revision>3</cp:revision>
  <cp:lastPrinted>2022-06-01T06:48:00Z</cp:lastPrinted>
  <dcterms:created xsi:type="dcterms:W3CDTF">2022-06-01T06:48:00Z</dcterms:created>
  <dcterms:modified xsi:type="dcterms:W3CDTF">2022-06-01T06:57:00Z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