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840F77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95F9DFE" w14:textId="77777777" w:rsidR="002D5AAC" w:rsidRDefault="002D5AAC" w:rsidP="00D335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3CFE34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F0DE10" w14:textId="703302DF" w:rsidR="002D5AAC" w:rsidRDefault="00D33563" w:rsidP="00D33563">
            <w:pPr>
              <w:jc w:val="right"/>
            </w:pPr>
            <w:r w:rsidRPr="005E538A">
              <w:rPr>
                <w:sz w:val="40"/>
              </w:rPr>
              <w:t>E</w:t>
            </w:r>
            <w:r w:rsidRPr="005E538A">
              <w:t>/C.12/TJK/CO/4</w:t>
            </w:r>
          </w:p>
        </w:tc>
      </w:tr>
      <w:tr w:rsidR="002D5AAC" w:rsidRPr="00AE3C47" w14:paraId="70AABD23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520140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B03EB9" wp14:editId="236318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06D6DB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A78AE3" w14:textId="77777777" w:rsidR="002D5AAC" w:rsidRDefault="00D33563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2AC2FC" w14:textId="7A27FFA4" w:rsidR="00D33563" w:rsidRPr="00AE3C47" w:rsidRDefault="00D33563" w:rsidP="00D33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956CB" w:rsidRPr="003956CB">
              <w:rPr>
                <w:lang w:val="en-US"/>
              </w:rPr>
              <w:t>0</w:t>
            </w:r>
            <w:r w:rsidR="003956CB" w:rsidRPr="00AE3C47">
              <w:rPr>
                <w:lang w:val="en-US"/>
              </w:rPr>
              <w:t xml:space="preserve"> November 2022</w:t>
            </w:r>
          </w:p>
          <w:p w14:paraId="7B6941D7" w14:textId="77777777" w:rsidR="00D33563" w:rsidRDefault="00D33563" w:rsidP="00D33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6D6AE6" w14:textId="48E77B59" w:rsidR="00D33563" w:rsidRPr="00D62A45" w:rsidRDefault="00D33563" w:rsidP="00D33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94A2B3" w14:textId="6C61FF03" w:rsidR="00D33563" w:rsidRPr="00D33563" w:rsidRDefault="00D33563" w:rsidP="00D33563">
      <w:pPr>
        <w:spacing w:before="120"/>
        <w:rPr>
          <w:b/>
          <w:sz w:val="24"/>
          <w:szCs w:val="24"/>
        </w:rPr>
      </w:pPr>
      <w:r w:rsidRPr="00D33563">
        <w:rPr>
          <w:b/>
          <w:bCs/>
          <w:sz w:val="24"/>
          <w:szCs w:val="24"/>
        </w:rPr>
        <w:t>Комитет по экономическим, социальным</w:t>
      </w:r>
      <w:r>
        <w:rPr>
          <w:b/>
          <w:bCs/>
          <w:sz w:val="24"/>
          <w:szCs w:val="24"/>
        </w:rPr>
        <w:br/>
      </w:r>
      <w:r w:rsidRPr="00D33563">
        <w:rPr>
          <w:b/>
          <w:bCs/>
          <w:sz w:val="24"/>
          <w:szCs w:val="24"/>
        </w:rPr>
        <w:t>и культурным правам</w:t>
      </w:r>
    </w:p>
    <w:p w14:paraId="523269F1" w14:textId="77777777" w:rsidR="00D33563" w:rsidRPr="004813D7" w:rsidRDefault="00D33563" w:rsidP="00D33563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четвертому периодическому докладу Таджикистана</w:t>
      </w:r>
      <w:r w:rsidRPr="006732DF">
        <w:rPr>
          <w:b w:val="0"/>
          <w:bCs/>
          <w:sz w:val="20"/>
        </w:rPr>
        <w:footnoteReference w:customMarkFollows="1" w:id="1"/>
        <w:t>*</w:t>
      </w:r>
    </w:p>
    <w:p w14:paraId="7317363D" w14:textId="32744E62" w:rsidR="00D33563" w:rsidRPr="004813D7" w:rsidRDefault="00D33563" w:rsidP="00D33563">
      <w:pPr>
        <w:pStyle w:val="SingleTxtG"/>
      </w:pPr>
      <w:r>
        <w:t>1.</w:t>
      </w:r>
      <w:r>
        <w:tab/>
        <w:t>Комитет рассмотрел четвертый периодический доклад Таджикистана</w:t>
      </w:r>
      <w:r w:rsidRPr="006732DF">
        <w:rPr>
          <w:rStyle w:val="a8"/>
        </w:rPr>
        <w:footnoteReference w:id="2"/>
      </w:r>
      <w:r>
        <w:t xml:space="preserve"> на своих 45-м и 46-м заседаниях</w:t>
      </w:r>
      <w:r w:rsidRPr="006732DF">
        <w:rPr>
          <w:rStyle w:val="a8"/>
        </w:rPr>
        <w:footnoteReference w:id="3"/>
      </w:r>
      <w:r>
        <w:t>, состоявшихся 5 октября 2022 года, и на своем 60-м заседании, состоявшемся 14 октября 2022 года, принял настоящие заключительные замечания.</w:t>
      </w:r>
    </w:p>
    <w:p w14:paraId="5C88AD62" w14:textId="0680F45A" w:rsidR="00D33563" w:rsidRPr="004813D7" w:rsidRDefault="00D33563" w:rsidP="00D33563">
      <w:pPr>
        <w:pStyle w:val="H1G"/>
      </w:pPr>
      <w:r>
        <w:rPr>
          <w:bCs/>
        </w:rPr>
        <w:tab/>
        <w:t>A.</w:t>
      </w:r>
      <w:r>
        <w:tab/>
      </w:r>
      <w:r>
        <w:tab/>
      </w:r>
      <w:r>
        <w:rPr>
          <w:bCs/>
        </w:rPr>
        <w:t>Введение</w:t>
      </w:r>
    </w:p>
    <w:p w14:paraId="02705FBF" w14:textId="77777777" w:rsidR="00D33563" w:rsidRPr="004813D7" w:rsidRDefault="00D33563" w:rsidP="00D33563">
      <w:pPr>
        <w:pStyle w:val="SingleTxtG"/>
      </w:pPr>
      <w:r>
        <w:t>2.</w:t>
      </w:r>
      <w:r>
        <w:tab/>
        <w:t>Комитет приветствует представление государством-участником четвертого периодического доклада и дополнительную информацию, отраженную в письменных ответах</w:t>
      </w:r>
      <w:r w:rsidRPr="006732DF">
        <w:rPr>
          <w:rStyle w:val="a8"/>
        </w:rPr>
        <w:footnoteReference w:id="4"/>
      </w:r>
      <w:r>
        <w:t xml:space="preserve"> на перечень вопросов</w:t>
      </w:r>
      <w:r w:rsidRPr="006732DF">
        <w:rPr>
          <w:rStyle w:val="a8"/>
        </w:rPr>
        <w:footnoteReference w:id="5"/>
      </w:r>
      <w:r>
        <w:t>. Комитет высоко оценивает конструктивный диалог, проведенный с делегацией государства-участника.</w:t>
      </w:r>
    </w:p>
    <w:p w14:paraId="2C15DF61" w14:textId="1C2AE7A8" w:rsidR="00D33563" w:rsidRPr="004813D7" w:rsidRDefault="00D33563" w:rsidP="00D33563">
      <w:pPr>
        <w:pStyle w:val="H1G"/>
      </w:pPr>
      <w:r>
        <w:rPr>
          <w:bCs/>
        </w:rPr>
        <w:tab/>
        <w:t>B.</w:t>
      </w:r>
      <w:r>
        <w:tab/>
      </w:r>
      <w:r>
        <w:tab/>
      </w:r>
      <w:r>
        <w:rPr>
          <w:bCs/>
        </w:rPr>
        <w:t>Позитивные аспекты</w:t>
      </w:r>
    </w:p>
    <w:p w14:paraId="5E276089" w14:textId="6421618E" w:rsidR="00D33563" w:rsidRPr="004813D7" w:rsidRDefault="00D33563" w:rsidP="00D33563">
      <w:pPr>
        <w:pStyle w:val="SingleTxtG"/>
      </w:pPr>
      <w:r>
        <w:t>3.</w:t>
      </w:r>
      <w:r>
        <w:tab/>
        <w:t xml:space="preserve">Комитет приветствует законодательные, организационные и политические меры, принятые для усиления защиты экономических, социальных и культурных прав в государстве-участнике, такие как Национальная стратегия развития на период </w:t>
      </w:r>
      <w:r w:rsidR="002F77A8">
        <w:br/>
      </w:r>
      <w:r>
        <w:t>2016–2030 годов, Конституционный закон о гражданстве (2015 год), Закон об амнистии (2019 год) и меры, упомянутые в настоящих заключительных замечаниях.</w:t>
      </w:r>
    </w:p>
    <w:p w14:paraId="27AF3F83" w14:textId="2B7DA570" w:rsidR="00D33563" w:rsidRPr="004813D7" w:rsidRDefault="00D33563" w:rsidP="00D33563">
      <w:pPr>
        <w:pStyle w:val="H1G"/>
      </w:pPr>
      <w:r>
        <w:rPr>
          <w:bCs/>
        </w:rPr>
        <w:tab/>
        <w:t>C.</w:t>
      </w:r>
      <w:r>
        <w:tab/>
      </w:r>
      <w:r>
        <w:tab/>
      </w:r>
      <w:r>
        <w:rPr>
          <w:bCs/>
        </w:rPr>
        <w:t>Основные вопросы, вызывающие обеспокоенность, и</w:t>
      </w:r>
      <w:r w:rsidR="00FF3A06">
        <w:rPr>
          <w:bCs/>
          <w:lang w:val="fr-CH"/>
        </w:rPr>
        <w:t> </w:t>
      </w:r>
      <w:r>
        <w:rPr>
          <w:bCs/>
        </w:rPr>
        <w:t>рекомендации</w:t>
      </w:r>
    </w:p>
    <w:p w14:paraId="092452F8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Применение Пакта во внутреннем праве</w:t>
      </w:r>
      <w:r>
        <w:t xml:space="preserve"> </w:t>
      </w:r>
    </w:p>
    <w:p w14:paraId="518FA76B" w14:textId="77777777" w:rsidR="00D33563" w:rsidRPr="004813D7" w:rsidRDefault="00D33563" w:rsidP="00D33563">
      <w:pPr>
        <w:pStyle w:val="SingleTxtG"/>
      </w:pPr>
      <w:r>
        <w:t>4.</w:t>
      </w:r>
      <w:r>
        <w:tab/>
        <w:t>Отмечая представленную государством-участником информацию о том, что для адвокатов, государственных должностных лиц и работников судебной системы, включая судей Верховного суда, проводятся учебные семинары по международным стандартам в области прав человека, Комитет, тем не менее, обеспокоен тем, что эти семинары не включают в себя подготовку по положениям Пакта. Комитет обеспокоен также отсутствием судебных решений, в которых делалась бы ссылка на положения Пакта.</w:t>
      </w:r>
      <w:r w:rsidRPr="003631D8">
        <w:t xml:space="preserve"> </w:t>
      </w:r>
    </w:p>
    <w:p w14:paraId="0F169DF9" w14:textId="4A0FAF5B" w:rsidR="00D33563" w:rsidRPr="004813D7" w:rsidRDefault="00D33563" w:rsidP="00D33563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 xml:space="preserve">Комитет рекомендует государству-участнику обеспечивать регулярную подготовку по вопросам содержания прав, предусмотренных в Пакте, </w:t>
      </w:r>
      <w:r>
        <w:rPr>
          <w:b/>
          <w:bCs/>
        </w:rPr>
        <w:lastRenderedPageBreak/>
        <w:t>и</w:t>
      </w:r>
      <w:r w:rsidR="00FF3A06">
        <w:rPr>
          <w:b/>
          <w:bCs/>
          <w:lang w:val="fr-CH"/>
        </w:rPr>
        <w:t> </w:t>
      </w:r>
      <w:r>
        <w:rPr>
          <w:b/>
          <w:bCs/>
        </w:rPr>
        <w:t>возможности их защиты в судебном порядке, а также предоставлять правообладателям информацию, необходимую для отстаивания этих прав.</w:t>
      </w:r>
      <w:r>
        <w:t xml:space="preserve"> </w:t>
      </w:r>
      <w:r>
        <w:rPr>
          <w:b/>
          <w:bCs/>
        </w:rPr>
        <w:t>Он</w:t>
      </w:r>
      <w:r w:rsidR="005E538A">
        <w:rPr>
          <w:b/>
          <w:bCs/>
          <w:lang w:val="fr-CH"/>
        </w:rPr>
        <w:t> </w:t>
      </w:r>
      <w:r>
        <w:rPr>
          <w:b/>
          <w:bCs/>
        </w:rPr>
        <w:t>рекомендует также государству-участнику обеспечить, чтобы на экономические, социальные и культурные права можно было ссылаться на всех уровнях судебной системы, и включить в свой следующий периодический доклад информацию о принятых национальными судами решениях, в которых делаются ссылки на Пакт.</w:t>
      </w:r>
      <w:r>
        <w:t xml:space="preserve"> </w:t>
      </w:r>
      <w:r>
        <w:rPr>
          <w:b/>
          <w:bCs/>
        </w:rPr>
        <w:t>В этой связи Комитет ссылается на свое замечание общего порядка № 9 (1998) о применении Пакта во внутреннем праве.</w:t>
      </w:r>
    </w:p>
    <w:p w14:paraId="71B714B9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Независимость судебных органов</w:t>
      </w:r>
      <w:r>
        <w:t xml:space="preserve"> </w:t>
      </w:r>
    </w:p>
    <w:p w14:paraId="17A2F10D" w14:textId="77777777" w:rsidR="00D33563" w:rsidRPr="004813D7" w:rsidRDefault="00D33563" w:rsidP="00D33563">
      <w:pPr>
        <w:pStyle w:val="SingleTxtG"/>
      </w:pPr>
      <w:r>
        <w:t>6.</w:t>
      </w:r>
      <w:r>
        <w:tab/>
        <w:t>Комитет по-прежнему обеспокоен тем, что независимость и беспристрастность судебных органов не имеет эффективных гарантий, в том числе тем фактом, что Квалификационную комиссию Союза адвокатов, предоставляющую доступ к адвокатской практике, по-прежнему возглавляет Министерство юстиции.</w:t>
      </w:r>
    </w:p>
    <w:p w14:paraId="61062C4E" w14:textId="77777777" w:rsidR="00D33563" w:rsidRPr="004813D7" w:rsidRDefault="00D33563" w:rsidP="00D33563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Повторяя свою предыдущую рекомендацию в этом отношении</w:t>
      </w:r>
      <w:r w:rsidRPr="006732DF">
        <w:rPr>
          <w:rStyle w:val="a8"/>
        </w:rPr>
        <w:footnoteReference w:id="6"/>
      </w:r>
      <w:r>
        <w:rPr>
          <w:b/>
          <w:bCs/>
        </w:rPr>
        <w:t>, Комитет рекомендует государству-участнику обеспечить полную независимость судебных органов, в том числе путем предоставления Квалификационной комиссии Союза адвокатов независимого статуса и обеспечения соответствующих правовых гарантий.</w:t>
      </w:r>
    </w:p>
    <w:p w14:paraId="44DE8919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Национальные правозащитные учреждения</w:t>
      </w:r>
      <w:r>
        <w:t xml:space="preserve"> </w:t>
      </w:r>
    </w:p>
    <w:p w14:paraId="283E58FA" w14:textId="77777777" w:rsidR="00D33563" w:rsidRPr="004813D7" w:rsidRDefault="00D33563" w:rsidP="00D33563">
      <w:pPr>
        <w:pStyle w:val="SingleTxtG"/>
      </w:pPr>
      <w:r>
        <w:t>8.</w:t>
      </w:r>
      <w:r>
        <w:tab/>
        <w:t>Отмечая усилия, предпринятые государством-участником для укрепления мандата института Уполномоченного по правам человека, Комитет, тем не менее, обеспокоен ограниченностью прогресса, достигнутого в деле обеспечения его полного соответствия принципам, касающимся статуса национальных учреждений, занимающихся поощрением и защитой прав человека (Парижские принципы).</w:t>
      </w:r>
    </w:p>
    <w:p w14:paraId="7AE840F0" w14:textId="77777777" w:rsidR="00D33563" w:rsidRPr="004813D7" w:rsidRDefault="00D33563" w:rsidP="00D33563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принять меры для приведения института Уполномоченного по правам человека в полное соответствие с Парижскими принципами, в том числе путем дальнейшего укрепления его независимости и предоставления ему достаточных финансовых и кадровых ресурсов для эффективного и независимого осуществления им своего мандата, включая поощрение и защиту экономических, социальных и культурных прав.</w:t>
      </w:r>
    </w:p>
    <w:p w14:paraId="3B103A63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Гражданское общество</w:t>
      </w:r>
      <w:r>
        <w:t xml:space="preserve"> </w:t>
      </w:r>
    </w:p>
    <w:p w14:paraId="789CC3E6" w14:textId="77777777" w:rsidR="00D33563" w:rsidRPr="004813D7" w:rsidRDefault="00D33563" w:rsidP="00D33563">
      <w:pPr>
        <w:pStyle w:val="SingleTxtG"/>
      </w:pPr>
      <w:r>
        <w:t>10.</w:t>
      </w:r>
      <w:r>
        <w:tab/>
        <w:t>Комитет обеспокоен существующими как в законодательстве, так и на практике</w:t>
      </w:r>
      <w:r w:rsidRPr="00D76D75">
        <w:t xml:space="preserve"> </w:t>
      </w:r>
      <w:r>
        <w:t>чрезмерными ограничениями для неправительственных организаций, особенно для организаций, работающих над защитой прав лесбиянок, геев, бисексуалов, трансгендеров и интерсексов, в плане их регистрации и обязательств по отчетности в отношении внешних субсидий. Комитет отмечает, что такие ограничения препятствуют деятельности этих организаций, занимающихся защитой и поощрением всех прав человека, включая экономические, социальные и культурные права.</w:t>
      </w:r>
    </w:p>
    <w:p w14:paraId="311449E3" w14:textId="77777777" w:rsidR="00D33563" w:rsidRPr="004813D7" w:rsidRDefault="00D33563" w:rsidP="00D33563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отменить любые законодательные положения, необоснованно ограничивающие деятельность неправительственных организаций, в том числе касающиеся их регистрации и доступа к субсидиям.</w:t>
      </w:r>
      <w:r>
        <w:t xml:space="preserve"> </w:t>
      </w:r>
      <w:r>
        <w:rPr>
          <w:b/>
          <w:bCs/>
        </w:rPr>
        <w:t>Кроме того, он рекомендует государству-участнику обеспечить благоприятные условия для всех неправительственных и некоммерческих организаций, занимающихся поощрением и защитой экономических, социальных и культурных прав.</w:t>
      </w:r>
    </w:p>
    <w:p w14:paraId="726362B4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Правозащитники и правозащитницы</w:t>
      </w:r>
    </w:p>
    <w:p w14:paraId="69CE7A0A" w14:textId="343FB49E" w:rsidR="00D33563" w:rsidRPr="004813D7" w:rsidRDefault="00D33563" w:rsidP="00D33563">
      <w:pPr>
        <w:pStyle w:val="SingleTxtG"/>
      </w:pPr>
      <w:r>
        <w:t>12.</w:t>
      </w:r>
      <w:r>
        <w:tab/>
        <w:t xml:space="preserve">Комитет серьезно обеспокоен сообщениями об арестах, содержании под стражей и судебных процессах без соблюдения надлежащей правовой процедуры в </w:t>
      </w:r>
      <w:r>
        <w:lastRenderedPageBreak/>
        <w:t>отношении правозащитников и правозащитниц, в том числе занимающихся защитой экономических, социальных и культурных прав, в контексте протестов в Горно-Бадахшанской автономной области в ноябре 2021 года и мае 2022 года. Комитет особенно обеспокоен сообщениями о недостаточной прозрачности в отношении их задержания и судебных разбирательств, а также об отсутствии у них доступа к адвокатам во время судопроизводства.</w:t>
      </w:r>
    </w:p>
    <w:p w14:paraId="312CCC24" w14:textId="3195C54A" w:rsidR="00D33563" w:rsidRPr="004813D7" w:rsidRDefault="00D33563" w:rsidP="00D33563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 немедленно обеспечить все надлежащие процессуальные гарантии во время арестов, содержания под стражей и судебных процессов над правозащитниками и правозащитницами, в</w:t>
      </w:r>
      <w:r w:rsidR="004E760A">
        <w:rPr>
          <w:b/>
          <w:bCs/>
          <w:lang w:val="fr-CH"/>
        </w:rPr>
        <w:t> </w:t>
      </w:r>
      <w:r>
        <w:rPr>
          <w:b/>
          <w:bCs/>
        </w:rPr>
        <w:t>том числе занимающимися защитой экономических, социальных и культурных прав, и предоставить им доступ к независимому и эффективному юридическому представительству на каждом этапе судопроизводства.</w:t>
      </w:r>
      <w:r>
        <w:t xml:space="preserve"> </w:t>
      </w:r>
      <w:r>
        <w:rPr>
          <w:b/>
          <w:bCs/>
        </w:rPr>
        <w:t>Комитет напоминает государству-участнику о своем заявлении о правозащитниках и экономических, социальных и культурных правах, принятом в 2016 году</w:t>
      </w:r>
      <w:r w:rsidRPr="006732DF">
        <w:rPr>
          <w:rStyle w:val="a8"/>
        </w:rPr>
        <w:footnoteReference w:id="7"/>
      </w:r>
      <w:r>
        <w:rPr>
          <w:b/>
          <w:bCs/>
        </w:rPr>
        <w:t>.</w:t>
      </w:r>
      <w:r>
        <w:t xml:space="preserve"> </w:t>
      </w:r>
    </w:p>
    <w:p w14:paraId="1EA05A3F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Реагирование на пандемию коронавирусной инфекции (COVID-19)</w:t>
      </w:r>
    </w:p>
    <w:p w14:paraId="08B2DC36" w14:textId="2B32C581" w:rsidR="00D33563" w:rsidRPr="004813D7" w:rsidRDefault="00D33563" w:rsidP="00D33563">
      <w:pPr>
        <w:pStyle w:val="SingleTxtG"/>
      </w:pPr>
      <w:r>
        <w:t>14.</w:t>
      </w:r>
      <w:r>
        <w:tab/>
        <w:t>Что касается мер, принятых правительством в ответ на пандемию коронавирусной инфекции (COVID-19), то Комитет обеспокоен отсутствием прозрачности и фактической информации о развитии пандемии, доносимой до общественности, а также жестким контролем за неправительственными сообщениями о пандемии в виде наложения штрафов и уголовных наказаний за сообщения, которые считаются неточными. Комитет обеспокоен также сообщениями, указывающими на отсутствие прозрачности в распределении средств, выделенных на борьбу с COVID</w:t>
      </w:r>
      <w:r w:rsidR="004E760A">
        <w:noBreakHyphen/>
      </w:r>
      <w:r>
        <w:t>19, на непринятие адекватных мер по защите медицинских работников и пациентов, включая недостаточное обеспечение средствами индивидуальной защиты, и на невыделение достаточных ресурсов для диагностики и лечения случаев COVID</w:t>
      </w:r>
      <w:r w:rsidR="00A00334">
        <w:noBreakHyphen/>
      </w:r>
      <w:r>
        <w:t>19.</w:t>
      </w:r>
    </w:p>
    <w:p w14:paraId="50B6B55E" w14:textId="77777777" w:rsidR="00D33563" w:rsidRPr="004813D7" w:rsidRDefault="00D33563" w:rsidP="00D33563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C58C85E" w14:textId="4E96A56A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 xml:space="preserve">обеспечивать прозрачность и своевременное распространение доносимой до общественности точной информации, основанной на научных и фактических данных, при соблюдении свободы выражения мнений, в частности путем отмены положений о санкциях в отношении COVID-19; </w:t>
      </w:r>
    </w:p>
    <w:p w14:paraId="450B833B" w14:textId="3A712AFE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обеспечивать подотчетность и транспарентность в управлении средствами, выделяемыми на меры реагирования на пандемию COVID-19;</w:t>
      </w:r>
    </w:p>
    <w:p w14:paraId="65B65A67" w14:textId="228B352E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принимать адекватные меры по защите медицинских работников и пациентов, а также обеспечивать достаточный объем ресурсов для диагностики и лечения случаев COVID-19;</w:t>
      </w:r>
    </w:p>
    <w:p w14:paraId="1FB717CF" w14:textId="5183F68F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принять во внимание замечание общего порядка Комитета № 25 (2020) о науке и экономических, социальных и культурных правах</w:t>
      </w:r>
      <w:r>
        <w:rPr>
          <w:b/>
          <w:bCs/>
        </w:rPr>
        <w:t>, а также его заявление о пандемии COVID-19 и экономических, социальных и культурных правах, принятое в апреле 2020 года</w:t>
      </w:r>
      <w:r w:rsidRPr="006732DF">
        <w:rPr>
          <w:rStyle w:val="a8"/>
        </w:rPr>
        <w:footnoteReference w:id="8"/>
      </w:r>
      <w:r>
        <w:rPr>
          <w:b/>
          <w:bCs/>
        </w:rPr>
        <w:t>.</w:t>
      </w:r>
    </w:p>
    <w:p w14:paraId="4E191360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Коррупция</w:t>
      </w:r>
    </w:p>
    <w:p w14:paraId="3309260A" w14:textId="033AA643" w:rsidR="00D33563" w:rsidRPr="004813D7" w:rsidRDefault="00D33563" w:rsidP="00D33563">
      <w:pPr>
        <w:pStyle w:val="SingleTxtG"/>
      </w:pPr>
      <w:r>
        <w:t>16.</w:t>
      </w:r>
      <w:r>
        <w:tab/>
        <w:t xml:space="preserve">Комитет отмечает меры, принятые государством-участником для борьбы с коррупцией, включая принятие Закона о борьбе с коррупцией (2020 год), Стратегии противодействия коррупции на период 2021–2030 годов и плана действий в рамках этой Стратегии. Тем не менее Комитет обеспокоен сообщениями о том, что коррупция по-прежнему широко распространена во всех секторах общества, в том числе в судебной системе, а также в сферах здравоохранения и образования. Комитет обеспокоен также тем, что в национальное законодательство не было внесено </w:t>
      </w:r>
      <w:r>
        <w:lastRenderedPageBreak/>
        <w:t>существенных улучшений для введения полной уголовной ответственности за коррупцию в соответствии с международными стандартами (пункт 1 статьи 2).</w:t>
      </w:r>
    </w:p>
    <w:p w14:paraId="01051126" w14:textId="77777777" w:rsidR="00D33563" w:rsidRPr="004813D7" w:rsidRDefault="00D33563" w:rsidP="00D33563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продолжать усилия по предупреждению и искоренению коррупции на всех уровнях и решать проблему безнаказанности, в том числе путем введения уголовной ответственности за все коррупционные преступления и все элементы преступлений взяточничества.</w:t>
      </w:r>
      <w:r>
        <w:t xml:space="preserve"> </w:t>
      </w:r>
      <w:r>
        <w:rPr>
          <w:b/>
          <w:bCs/>
        </w:rPr>
        <w:t>Комитет рекомендует государству-участнику обеспечить соответствие своего законодательства требованиям Конвенции Организации Объединенных Наций против коррупции.</w:t>
      </w:r>
    </w:p>
    <w:p w14:paraId="3A6F852B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63549C76" w14:textId="42B8CB86" w:rsidR="00D33563" w:rsidRPr="004813D7" w:rsidRDefault="00D33563" w:rsidP="00D33563">
      <w:pPr>
        <w:pStyle w:val="SingleTxtG"/>
      </w:pPr>
      <w:r>
        <w:t>18.</w:t>
      </w:r>
      <w:r>
        <w:tab/>
        <w:t xml:space="preserve">Комитет приветствует принятие Закона о равенстве и ликвидации всех форм дискриминации, который вступил в силу 22 июля 2022 года. Тем не менее, хотя Комитет отмечает, что этот закон запрещает дискриминацию по признаку «других обстоятельств», он обеспокоен неэффективным применением последнего, когда речь идет о дискриминации, прямо не включенной в закон, такой как дискриминация по признаку судимостей или по признаку сексуальной ориентации, гендерной идентичности и гендерного самовыражения (пункт 2 статьи 2). </w:t>
      </w:r>
    </w:p>
    <w:p w14:paraId="40033801" w14:textId="77777777" w:rsidR="00D33563" w:rsidRPr="004813D7" w:rsidRDefault="00D33563" w:rsidP="00D33563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 обеспечивать эффективное применение Закона о равенстве и ликвидации всех форм дискриминации для всех лиц, сталкивающихся с дискриминацией.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свое замечание общего порядка № 20 (2009) о недискриминации экономических, социальных и культурных прав.</w:t>
      </w:r>
      <w:r>
        <w:t xml:space="preserve"> </w:t>
      </w:r>
    </w:p>
    <w:p w14:paraId="56884FBC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Лесбиянки, геи, бисексуалы, трансгендеры и интерсексы</w:t>
      </w:r>
    </w:p>
    <w:p w14:paraId="4667C32D" w14:textId="77777777" w:rsidR="00D33563" w:rsidRPr="004813D7" w:rsidRDefault="00D33563" w:rsidP="00D33563">
      <w:pPr>
        <w:pStyle w:val="SingleTxtG"/>
      </w:pPr>
      <w:r>
        <w:t>20.</w:t>
      </w:r>
      <w:r>
        <w:tab/>
        <w:t>Комитет обеспокоен стигматизацией и дискриминацией лесбиянок, геев, бисексуалов, трансгендеров и интерсексов, что препятствует осуществлению ими экономических, социальных и культурных прав, а также отсутствием государственной политики, программ или инициатив, направленных на противодействие такой стигматизации и дискриминации или на поощрение терпимости к сексуальным и гендерным меньшинствам (пункт 2 статьи 2).</w:t>
      </w:r>
    </w:p>
    <w:p w14:paraId="15B7740F" w14:textId="1A102ADD" w:rsidR="00D33563" w:rsidRPr="004813D7" w:rsidRDefault="00D33563" w:rsidP="00D33563">
      <w:pPr>
        <w:pStyle w:val="SingleTxtG"/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обеспечивать эффективную защиту от всех форм дискриминации и насилия по признаку сексуальной ориентации и гендерной идентичности, которые препятствуют осуществлению жертвами своих экономических, социальных и культурных прав.</w:t>
      </w:r>
      <w:r>
        <w:t xml:space="preserve"> </w:t>
      </w:r>
      <w:r>
        <w:rPr>
          <w:b/>
          <w:bCs/>
        </w:rPr>
        <w:t>Он</w:t>
      </w:r>
      <w:r w:rsidR="00890269">
        <w:rPr>
          <w:b/>
          <w:bCs/>
          <w:lang w:val="fr-CH"/>
        </w:rPr>
        <w:t> </w:t>
      </w:r>
      <w:r>
        <w:rPr>
          <w:b/>
          <w:bCs/>
        </w:rPr>
        <w:t>рекомендует также государству-участнику принимать все необходимые меры для борьбы со стигматизацией и дискриминацией, затрагивающей лесбиянок, геев, бисексуалов, трансгендеров и интерсексов, в том числе путем проведения информационно-просветительских кампаний.</w:t>
      </w:r>
    </w:p>
    <w:p w14:paraId="39EC2DB4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Беженцы и просители убежища</w:t>
      </w:r>
      <w:r>
        <w:t xml:space="preserve"> </w:t>
      </w:r>
    </w:p>
    <w:p w14:paraId="34A22C75" w14:textId="77777777" w:rsidR="00D33563" w:rsidRPr="004813D7" w:rsidRDefault="00D33563" w:rsidP="00D33563">
      <w:pPr>
        <w:pStyle w:val="SingleTxtG"/>
      </w:pPr>
      <w:r>
        <w:t>22.</w:t>
      </w:r>
      <w:r>
        <w:tab/>
        <w:t>Комитет обеспокоен тем, что беженцы и просители убежища сталкиваются с правовыми ограничениями и испытывают трудности с поиском жилья на местах, имеют ограниченный доступ в некоторые городские районы, и им запрещено проживать в крупных городских центрах, что лимитирует их доступ к рынку труда, здравоохранению, образованию, жилью и другим услугам. Кроме того, Комитет обеспокоен сообщениями о депортации из Таджикистана афганских беженцев и просителей убежища, а также других граждан Афганистана, что подвергает их опасности причинения непоправимого вреда по возвращении из-за пыток, неправомерного обращения или других нарушений прав человека, включая экономические, социальные и культурные права. Комитет обеспокоен также тем, что в результате этих депортаций были разлучены семьи, что представляет собой нарушение их права на сохранение семейной ячейки и негативно сказывается на их возможности пользоваться рядом экономических, социальных и культурных прав (пункт 2 статьи 2 и пункт 1 статьи 10).</w:t>
      </w:r>
    </w:p>
    <w:p w14:paraId="4C9044B8" w14:textId="77777777" w:rsidR="00D33563" w:rsidRPr="004813D7" w:rsidRDefault="00D33563" w:rsidP="00890269">
      <w:pPr>
        <w:pStyle w:val="SingleTxtG"/>
        <w:pageBreakBefore/>
        <w:rPr>
          <w:b/>
          <w:bCs/>
        </w:rPr>
      </w:pPr>
      <w:r>
        <w:lastRenderedPageBreak/>
        <w:t>23.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55A913DE" w14:textId="0454A8B5" w:rsidR="00D33563" w:rsidRPr="004813D7" w:rsidRDefault="00D33563" w:rsidP="00D33563">
      <w:pPr>
        <w:pStyle w:val="SingleTxtG"/>
        <w:rPr>
          <w:b/>
          <w:bCs/>
        </w:rPr>
      </w:pPr>
      <w:r>
        <w:tab/>
      </w:r>
      <w:r w:rsidRPr="00D33563">
        <w:rPr>
          <w:b/>
          <w:bCs/>
        </w:rPr>
        <w:t>a)</w:t>
      </w:r>
      <w:r>
        <w:tab/>
      </w:r>
      <w:r>
        <w:rPr>
          <w:b/>
          <w:bCs/>
        </w:rPr>
        <w:t>выполнить предыдущую рекомендацию Комитета в этом отношении, предприняв все необходимые шаги для отмены ограничений, предусмотренных постановлениями президента № 325 (2000 год) и № 328 (2004 год), с тем чтобы обеспечить осуществление беженцами и просителями убежища экономических, социальных и культурных прав, закрепленных в Пакте</w:t>
      </w:r>
      <w:r w:rsidRPr="006732DF">
        <w:rPr>
          <w:rStyle w:val="a8"/>
        </w:rPr>
        <w:footnoteReference w:id="9"/>
      </w:r>
      <w:r>
        <w:rPr>
          <w:b/>
          <w:bCs/>
        </w:rPr>
        <w:t>;</w:t>
      </w:r>
    </w:p>
    <w:p w14:paraId="526C215C" w14:textId="3ED8C906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 xml:space="preserve">как можно скорее ввести в эксплуатацию ожидаемый центр временного размещения и обеспечить его доступность для уязвимых просителей убежища; </w:t>
      </w:r>
    </w:p>
    <w:p w14:paraId="1948ADFA" w14:textId="48C8A494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обеспечивать соблюдение принципа невозвращения (non</w:t>
      </w:r>
      <w:r w:rsidR="007967AA">
        <w:rPr>
          <w:b/>
          <w:bCs/>
        </w:rPr>
        <w:noBreakHyphen/>
      </w:r>
      <w:r w:rsidRPr="00D33563">
        <w:rPr>
          <w:b/>
          <w:bCs/>
        </w:rPr>
        <w:t>refoulement), воздерживаясь от любой высылки или передачи лиц, независимо от их статуса, когда есть серьезные основания полагать, что возвращенцу грозит опасность причинения непоправимого вреда по возвращении из-за пыток, неправомерного обращения или других серьезных нарушений обязательств в области прав человека, в том числе экономических, социальных и культурных прав, и прекратить все формы возвращения и депортации, которые затрагивают права семей беженцев и просителей убежища;</w:t>
      </w:r>
    </w:p>
    <w:p w14:paraId="14470459" w14:textId="5321B9C4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принять во внимание заявление Комитета об обязанностях государств по отношению</w:t>
      </w:r>
      <w:r>
        <w:rPr>
          <w:b/>
          <w:bCs/>
        </w:rPr>
        <w:t xml:space="preserve"> к беженцам и мигрантам согласно Пакту</w:t>
      </w:r>
      <w:r w:rsidRPr="006732DF">
        <w:rPr>
          <w:rStyle w:val="a8"/>
        </w:rPr>
        <w:footnoteReference w:id="10"/>
      </w:r>
      <w:r>
        <w:rPr>
          <w:b/>
          <w:bCs/>
        </w:rPr>
        <w:t>.</w:t>
      </w:r>
    </w:p>
    <w:p w14:paraId="037E8A7A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Лица с инвалидностью</w:t>
      </w:r>
      <w:r>
        <w:t xml:space="preserve"> </w:t>
      </w:r>
    </w:p>
    <w:p w14:paraId="28930A04" w14:textId="5B91D292" w:rsidR="00D33563" w:rsidRPr="004813D7" w:rsidRDefault="00D33563" w:rsidP="00D33563">
      <w:pPr>
        <w:pStyle w:val="SingleTxtG"/>
      </w:pPr>
      <w:r>
        <w:t>24.</w:t>
      </w:r>
      <w:r>
        <w:tab/>
        <w:t>Комитет приветствует принятие национального плана действий (2020 год), государственной программы «Доступная среда» на период 2021–2025 годов и других мер, направленных на ратификацию и реализацию Конвенции о правах инвалидов. Однако Комитет по-прежнему обеспокоен тем, что лица с инвалидностью сталкиваются с препятствиями, затрудняющими осуществление ими экономических, социальных и культурных прав из-за неэффективного предоставления разумного приспособления, особенно в образовательных и медицинских учреждениях (пункт 2 статьи 2).</w:t>
      </w:r>
    </w:p>
    <w:p w14:paraId="2BF40EED" w14:textId="77777777" w:rsidR="00D33563" w:rsidRPr="004813D7" w:rsidRDefault="00D33563" w:rsidP="00D33563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ускорить свои усилия по скорейшей ратификации Конвенции о правах инвалидов.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обеспечить доступность всех учреждений и услуг и предусмотреть обязанность по предоставлению разумного приспособления для лиц с инвалидностью как в государственном, так и в частном секторе.</w:t>
      </w:r>
    </w:p>
    <w:p w14:paraId="4CED5AE9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Лица, живущие с ВИЧ/СПИДом</w:t>
      </w:r>
    </w:p>
    <w:p w14:paraId="48C57B0E" w14:textId="05271F9C" w:rsidR="00D33563" w:rsidRPr="004813D7" w:rsidRDefault="00D33563" w:rsidP="00D33563">
      <w:pPr>
        <w:pStyle w:val="SingleTxtG"/>
      </w:pPr>
      <w:r>
        <w:t>26.</w:t>
      </w:r>
      <w:r>
        <w:tab/>
        <w:t xml:space="preserve">Комитет высоко оценивает усилия государства-участника по профилактике ВИЧ, включая Национальную программу по противодействию эпидемии ВИЧ/СПИДа в Республике Таджикистан на период 2021–2025 годов. Тем не менее Комитет обеспокоен различными дискриминационными правовыми положениями, включая запрет ВИЧ-инфицированным поступать в медицинские университеты и иметь право на усыновление детей, а также обязательное тестирование на ВИЧ до вступления в брак, которые способствуют связанным с ВИЧ стигматизации и дискриминации и создают серьезные препятствия для лиц, живущих с ВИЧ/СПИДом или подверженных риску заражения, при обращении за профилактикой, лечением и поддержкой. Комитет особенно обеспокоен уголовной ответственностью за заражение и передачу ВИЧ в соответствии со статьей 125 Уголовного кодекса. Комитет обеспокоен также тем, что информация о ВИЧ-статусе не является конфиденциальной (статьи 2 и 12). </w:t>
      </w:r>
    </w:p>
    <w:p w14:paraId="5B0E9CD4" w14:textId="77777777" w:rsidR="00D33563" w:rsidRPr="004813D7" w:rsidRDefault="00D33563" w:rsidP="00620B53">
      <w:pPr>
        <w:pStyle w:val="SingleTxtG"/>
        <w:pageBreakBefore/>
        <w:rPr>
          <w:b/>
          <w:bCs/>
        </w:rPr>
      </w:pPr>
      <w:r>
        <w:lastRenderedPageBreak/>
        <w:t>27.</w:t>
      </w:r>
      <w:r>
        <w:tab/>
      </w:r>
      <w:r w:rsidRPr="001D65F7"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5AA35B90" w14:textId="4FE07A7B" w:rsidR="00D33563" w:rsidRPr="004813D7" w:rsidRDefault="00D33563" w:rsidP="00D33563">
      <w:pPr>
        <w:pStyle w:val="SingleTxtG"/>
        <w:rPr>
          <w:b/>
          <w:bCs/>
        </w:rPr>
      </w:pPr>
      <w:r>
        <w:rPr>
          <w:b/>
          <w:bCs/>
        </w:rPr>
        <w:tab/>
      </w:r>
      <w:r w:rsidRPr="00D33563">
        <w:rPr>
          <w:b/>
          <w:bCs/>
        </w:rPr>
        <w:t>a)</w:t>
      </w:r>
      <w:r>
        <w:tab/>
      </w:r>
      <w:r>
        <w:rPr>
          <w:b/>
          <w:bCs/>
        </w:rPr>
        <w:t>принять соответствующие меры для отмены статьи 125 Уголовного кодекса, что приведет к декриминализации заражения и передачи ВИЧ;</w:t>
      </w:r>
      <w:r>
        <w:t xml:space="preserve"> </w:t>
      </w:r>
    </w:p>
    <w:p w14:paraId="47FC8864" w14:textId="71C79832" w:rsidR="00D33563" w:rsidRPr="00D33563" w:rsidRDefault="00D33563" w:rsidP="00D33563">
      <w:pPr>
        <w:pStyle w:val="SingleTxtG"/>
        <w:rPr>
          <w:b/>
          <w:bCs/>
        </w:rPr>
      </w:pPr>
      <w:r>
        <w:tab/>
      </w:r>
      <w:r w:rsidRPr="00D33563">
        <w:rPr>
          <w:b/>
          <w:bCs/>
        </w:rPr>
        <w:t>b)</w:t>
      </w:r>
      <w:r w:rsidRPr="00D33563">
        <w:rPr>
          <w:b/>
          <w:bCs/>
        </w:rPr>
        <w:tab/>
        <w:t>принять соответствующие меры для отмены всех законов, дискриминирующих людей, живущих с ВИЧ, в контексте усыновления детей, брака, трудовых отношений и доступа к медицинским услугам и образованию, или для внесения в них поправок;</w:t>
      </w:r>
    </w:p>
    <w:p w14:paraId="3E093F71" w14:textId="1126BC5D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 xml:space="preserve">гарантировать информированное согласие и врачебную тайну в отношении ВИЧ-статуса физических лиц при работе с ними судебных органов, медицинского персонала, социальных работников и школьной администрации; </w:t>
      </w:r>
    </w:p>
    <w:p w14:paraId="03D3A719" w14:textId="68006F54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принять во внимание замечание общего порядка Комитета</w:t>
      </w:r>
      <w:r w:rsidR="00620B53">
        <w:rPr>
          <w:b/>
          <w:bCs/>
          <w:lang w:val="fr-CH"/>
        </w:rPr>
        <w:t> </w:t>
      </w:r>
      <w:r w:rsidRPr="00D33563">
        <w:rPr>
          <w:b/>
          <w:bCs/>
        </w:rPr>
        <w:t>№</w:t>
      </w:r>
      <w:r w:rsidR="00620B53">
        <w:rPr>
          <w:b/>
          <w:bCs/>
          <w:lang w:val="fr-CH"/>
        </w:rPr>
        <w:t> </w:t>
      </w:r>
      <w:r w:rsidRPr="00D33563">
        <w:rPr>
          <w:b/>
          <w:bCs/>
        </w:rPr>
        <w:t>22 (2016) о праве на сексуальное и репродуктивное здоровье.</w:t>
      </w:r>
    </w:p>
    <w:p w14:paraId="69BE23C6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Равенство прав мужчин и женщин</w:t>
      </w:r>
      <w:r>
        <w:t xml:space="preserve"> </w:t>
      </w:r>
    </w:p>
    <w:p w14:paraId="3E6F5DE3" w14:textId="3C5E3735" w:rsidR="00D33563" w:rsidRPr="004813D7" w:rsidRDefault="00D33563" w:rsidP="00D33563">
      <w:pPr>
        <w:pStyle w:val="SingleTxtG"/>
      </w:pPr>
      <w:r>
        <w:t>28.</w:t>
      </w:r>
      <w:r>
        <w:tab/>
        <w:t>Комитет отмечает правовые и политические меры, принятые государством-участником для достижения гендерного равенства, включая Национальную стратегию активизации роли женщин на период 2021–2030 годов. Тем не менее Комитет по</w:t>
      </w:r>
      <w:r w:rsidR="0098531D">
        <w:noBreakHyphen/>
      </w:r>
      <w:r>
        <w:t>прежнему обеспокоен укоренившимися гендерными стереотипами, которые не позволяют девочкам продолжать среднее образование и принимать активное участие в жизни общества. Комитет обеспокоен также сообщениями о том, что женщины по</w:t>
      </w:r>
      <w:r w:rsidR="0098531D">
        <w:noBreakHyphen/>
      </w:r>
      <w:r>
        <w:t>прежнему зарабатывают меньше мужчин на рынке труда, особенно в сельскохозяйственном секторе, сконцентрированы в неформальном секторе экономики и в профессиях, не требующих практически ни</w:t>
      </w:r>
      <w:r w:rsidR="0098531D">
        <w:t>к</w:t>
      </w:r>
      <w:r>
        <w:t>акой квалификации, и</w:t>
      </w:r>
      <w:r w:rsidR="005C640C">
        <w:t> </w:t>
      </w:r>
      <w:r>
        <w:t>недопредставлены на руководящих должностях и на государственной службе (статья</w:t>
      </w:r>
      <w:r w:rsidR="005C640C">
        <w:t> </w:t>
      </w:r>
      <w:r>
        <w:t xml:space="preserve">3). </w:t>
      </w:r>
    </w:p>
    <w:p w14:paraId="5171AA13" w14:textId="77777777" w:rsidR="00D33563" w:rsidRPr="004813D7" w:rsidRDefault="00D33563" w:rsidP="00D33563">
      <w:pPr>
        <w:pStyle w:val="SingleTxtG"/>
        <w:rPr>
          <w:b/>
          <w:bCs/>
        </w:rPr>
      </w:pPr>
      <w:r>
        <w:t>29.</w:t>
      </w:r>
      <w:r>
        <w:tab/>
      </w:r>
      <w:r w:rsidRPr="00163444">
        <w:rPr>
          <w:b/>
          <w:bCs/>
        </w:rPr>
        <w:t>Комитет рекомендует государству-участнику:</w:t>
      </w:r>
    </w:p>
    <w:p w14:paraId="1096883A" w14:textId="3E0319CD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 xml:space="preserve">принять конкретные меры для обеспечения эффективной реализации его законодательной и политической базы в области гендерного равенства и гарантировать равное осуществление женщинами и девочками своих экономических, социальных и культурных прав при одновременной ликвидации гендерных стереотипов; </w:t>
      </w:r>
    </w:p>
    <w:p w14:paraId="79F4CD11" w14:textId="0C53F4DB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решать проблему низкого охвата женщин и девочек средним и высшим образованием, в том числе путем проведения информационно-просветительских кампаний, ориентированных на широкую общественность, с</w:t>
      </w:r>
      <w:r w:rsidR="00980412">
        <w:rPr>
          <w:b/>
          <w:bCs/>
        </w:rPr>
        <w:t> </w:t>
      </w:r>
      <w:r w:rsidRPr="00D33563">
        <w:rPr>
          <w:b/>
          <w:bCs/>
        </w:rPr>
        <w:t>целью содействия полному участию женщин и девочек в рынке труда, образовании и других областях социальной и культурной жизни;</w:t>
      </w:r>
    </w:p>
    <w:p w14:paraId="3F6C07A0" w14:textId="149EA12A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 xml:space="preserve">активизировать усилия по сокращению гендерного разрыва в оплате труда, особенно в сельскохохяйственном секторе, а также обеспечить профессиональную подготовку женщин и наращивание их потенциала в нетрадиционных сферах занятости и в областях, которые обеспечат им равные возможности для карьерного роста; </w:t>
      </w:r>
    </w:p>
    <w:p w14:paraId="2E6D681B" w14:textId="249991EA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усилить меры по борьбе с недопредставленностью женщин на руководящих должностях и на государственной службе, в том числе путем принятия временных специальных мер, таких как квоты;</w:t>
      </w:r>
    </w:p>
    <w:p w14:paraId="363FABA0" w14:textId="327F86B0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e)</w:t>
      </w:r>
      <w:r w:rsidRPr="00D33563">
        <w:rPr>
          <w:b/>
          <w:bCs/>
        </w:rPr>
        <w:tab/>
        <w:t>в случае необходимости проводить комплексную оценку уровня реализации и результатов правовых и политических мер, направленных на достижение гендерного равенства, в консультации с Уполномоченным по правам человека и организациями гражданского общества;</w:t>
      </w:r>
    </w:p>
    <w:p w14:paraId="43A7EE78" w14:textId="615EEF1E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f)</w:t>
      </w:r>
      <w:r w:rsidRPr="00D33563">
        <w:rPr>
          <w:b/>
          <w:bCs/>
        </w:rPr>
        <w:tab/>
        <w:t>принять во внимание замечание общего порядка Комитета № 16 (2005) о равном для мужчин и женщин праве пользования всеми экономическими, социальными и культурными правами.</w:t>
      </w:r>
    </w:p>
    <w:p w14:paraId="1C74472A" w14:textId="77777777" w:rsidR="00D33563" w:rsidRPr="004813D7" w:rsidRDefault="00D33563" w:rsidP="00D33563">
      <w:pPr>
        <w:pStyle w:val="H23G"/>
      </w:pPr>
      <w:r>
        <w:lastRenderedPageBreak/>
        <w:tab/>
      </w:r>
      <w:r>
        <w:tab/>
      </w:r>
      <w:r>
        <w:rPr>
          <w:bCs/>
        </w:rPr>
        <w:t>Насилие в отношении женщин</w:t>
      </w:r>
    </w:p>
    <w:p w14:paraId="33DADA5E" w14:textId="77777777" w:rsidR="00D33563" w:rsidRPr="004813D7" w:rsidRDefault="00D33563" w:rsidP="00D33563">
      <w:pPr>
        <w:pStyle w:val="SingleTxtG"/>
      </w:pPr>
      <w:r>
        <w:t>30.</w:t>
      </w:r>
      <w:r>
        <w:tab/>
        <w:t>Признавая усилия государства-участника по решению проблемы гендерного насилия, особенно домашнего насилия, Комитет по-прежнему обеспокоен тем, что в стране до сих пор распространены различные формы гендерного насилия в отношении женщин, включая домашнее насилие. Комитет обеспокоен безнаказанностью, законодательными пробелами в системе защиты, слабостью системы уголовного правосудия и неспособностью властей систематически урегулировать эту ситуацию (статья 3).</w:t>
      </w:r>
    </w:p>
    <w:p w14:paraId="6DF82642" w14:textId="77777777" w:rsidR="00D33563" w:rsidRPr="004813D7" w:rsidRDefault="00D33563" w:rsidP="00D33563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3E09135" w14:textId="1208424B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>принять всеобъемлющее законодательство, устанавливающее уголовную ответственность за все формы гендерного насилия, включая домашнее насилие, изнасилование в браке и сексуальное насилие в браке и вне его;</w:t>
      </w:r>
    </w:p>
    <w:p w14:paraId="392F995D" w14:textId="61E3FC67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 xml:space="preserve">обеспечить расследование всех сообщений о случаях гендерного насилия в отношении женщин, а также привлечение к суду и наказание виновных; </w:t>
      </w:r>
    </w:p>
    <w:p w14:paraId="721B48F8" w14:textId="0256EE5D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обеспечивать необходимые программы обучения и наращивания потенциала для сотрудников правоохранительных органов и проводить информационно-просветительские кампании для широкой общественности;</w:t>
      </w:r>
    </w:p>
    <w:p w14:paraId="1BCB372D" w14:textId="5C030B53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обеспечить жертвам доступ ко всем необходимым услугам, таким как приюты, медицинская и психосоциальная помощь, юридическая помощь и социально-экономическая поддержка.</w:t>
      </w:r>
    </w:p>
    <w:p w14:paraId="5E106E2C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Право на труд</w:t>
      </w:r>
      <w:r>
        <w:t xml:space="preserve"> </w:t>
      </w:r>
    </w:p>
    <w:p w14:paraId="375F69FF" w14:textId="77777777" w:rsidR="00D33563" w:rsidRPr="004813D7" w:rsidRDefault="00D33563" w:rsidP="00D33563">
      <w:pPr>
        <w:pStyle w:val="SingleTxtG"/>
      </w:pPr>
      <w:r>
        <w:t>32.</w:t>
      </w:r>
      <w:r>
        <w:tab/>
        <w:t>Отмечая меры, принятые государством-участником для укрепления профессионального образования и подготовки в целях содействия занятости, Комитет, тем не менее, по-прежнему обеспокоен общим отсутствием возможностей для трудоустройства в государстве-участнике, в результате чего большое число граждан Таджикистана мигрируют в другие страны в поисках работы. Комитет особенно обеспокоен высоким уровнем безработицы, прежде всего среди молодежи, женщин и лиц с инвалидностью (статья 6).</w:t>
      </w:r>
    </w:p>
    <w:p w14:paraId="62723792" w14:textId="77777777" w:rsidR="00D33563" w:rsidRPr="004813D7" w:rsidRDefault="00D33563" w:rsidP="00D33563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52CAD75F" w14:textId="7BD64911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 xml:space="preserve">создавать возможности для трудоустройства путем реструктуризации своих предприятий и рынка труда; </w:t>
      </w:r>
    </w:p>
    <w:p w14:paraId="4AB5309A" w14:textId="66BE00D1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удерживать профессиональную рабочую силу путем повышения заработной платы;</w:t>
      </w:r>
    </w:p>
    <w:p w14:paraId="24165CAA" w14:textId="223244A5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реформировать национальную систему технического и профессионального образования и подготовки, с тем чтобы обеспечить соответствие квалификаций и навыков потребностям рынка труда;</w:t>
      </w:r>
    </w:p>
    <w:p w14:paraId="08ED9BA3" w14:textId="7D8024EF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продолжать принимать позитивные меры по оказанию помощи группам населения, наиболее пострадавшим от безработицы, особенно молодежи, женщинам и лицам</w:t>
      </w:r>
      <w:r>
        <w:rPr>
          <w:b/>
          <w:bCs/>
        </w:rPr>
        <w:t xml:space="preserve"> с инвалидностью.</w:t>
      </w:r>
      <w:r>
        <w:t xml:space="preserve"> </w:t>
      </w:r>
    </w:p>
    <w:p w14:paraId="1E786055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Задолженность по заработной плате</w:t>
      </w:r>
    </w:p>
    <w:p w14:paraId="0B14657D" w14:textId="77777777" w:rsidR="00D33563" w:rsidRPr="004813D7" w:rsidRDefault="00D33563" w:rsidP="00D33563">
      <w:pPr>
        <w:pStyle w:val="SingleTxtG"/>
      </w:pPr>
      <w:r>
        <w:t>34.</w:t>
      </w:r>
      <w:r>
        <w:tab/>
        <w:t>Комитет обеспокоен задолженностью по заработной плате работникам различных отраслей, включая горнодобывающую и обрабатывающую промышленность (статья 7).</w:t>
      </w:r>
    </w:p>
    <w:p w14:paraId="28862043" w14:textId="77777777" w:rsidR="00D33563" w:rsidRPr="004813D7" w:rsidRDefault="00D33563" w:rsidP="00D33563">
      <w:pPr>
        <w:pStyle w:val="SingleTxtG"/>
        <w:keepNext/>
        <w:keepLines/>
        <w:rPr>
          <w:b/>
          <w:bCs/>
        </w:rPr>
      </w:pPr>
      <w:r>
        <w:lastRenderedPageBreak/>
        <w:t>35.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3C90787E" w14:textId="3815F177" w:rsidR="00D33563" w:rsidRPr="00D33563" w:rsidRDefault="00D33563" w:rsidP="00D33563">
      <w:pPr>
        <w:pStyle w:val="SingleTxtG"/>
        <w:keepNext/>
        <w:keepLines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>обеспечить эффективный контроль за выплатой заработной платы и предусмотреть надлежащие сдерживающие санкции в случае нарушений;</w:t>
      </w:r>
    </w:p>
    <w:p w14:paraId="0D6B3E90" w14:textId="3CDD39D2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обеспечить наличие института гарантирования заработной платы для трудящихся, с тем чтобы обеспечивать выплату заработной платы, когда работодатель не может этого сделать из-за неплатежеспособности;</w:t>
      </w:r>
    </w:p>
    <w:p w14:paraId="664BC40C" w14:textId="0E001418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обеспечить, чтобы механизмы возмещения ущерба предусматривали не только полную</w:t>
      </w:r>
      <w:r>
        <w:rPr>
          <w:b/>
          <w:bCs/>
        </w:rPr>
        <w:t xml:space="preserve"> выплату задолженности по заработной плате, но и справедливую компенсацию за убытки, понесенные в связи с задержкой ее выплаты.</w:t>
      </w:r>
    </w:p>
    <w:p w14:paraId="03ACE0DF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Трудовая инспекция</w:t>
      </w:r>
      <w:r>
        <w:t xml:space="preserve"> </w:t>
      </w:r>
    </w:p>
    <w:p w14:paraId="1A3B7CB1" w14:textId="77777777" w:rsidR="00D33563" w:rsidRPr="004813D7" w:rsidRDefault="00D33563" w:rsidP="00D33563">
      <w:pPr>
        <w:pStyle w:val="SingleTxtG"/>
      </w:pPr>
      <w:r>
        <w:t>36.</w:t>
      </w:r>
      <w:r>
        <w:tab/>
        <w:t>Комитет обеспокоен воздействием на права человека трудящихся законодательства, предусматривающего мораторий на проведение проверок коммерческих предприятий, поскольку он предусматривает приостановление деятельности трудовых инспекций, которые являются важным механизмом защиты прав трудящихся и обеспечения надлежащих условий труда (статья 7).</w:t>
      </w:r>
    </w:p>
    <w:p w14:paraId="772B562F" w14:textId="77777777" w:rsidR="00D33563" w:rsidRPr="004813D7" w:rsidRDefault="00D33563" w:rsidP="00D33563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 обеспечить, чтобы мораторий на проведение проверок не распространялся на трудовые инспекции, чтобы трудовые инспекции проводились так часто и так тщательно, как это необходимо, и чтобы трудовые инспекторы имели право проводить посещения без предварительного уведомления, особенно при расследовании вопросов гигиены и безопасности труда.</w:t>
      </w:r>
    </w:p>
    <w:p w14:paraId="549638A4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Неформальный сектор экономики</w:t>
      </w:r>
    </w:p>
    <w:p w14:paraId="2207D741" w14:textId="51F788A2" w:rsidR="00D33563" w:rsidRPr="004813D7" w:rsidRDefault="00D33563" w:rsidP="00D33563">
      <w:pPr>
        <w:pStyle w:val="SingleTxtG"/>
      </w:pPr>
      <w:r>
        <w:t>38.</w:t>
      </w:r>
      <w:r>
        <w:tab/>
        <w:t>Принимая к сведению Государственную программу по снижению уровня незарегистрированной (неформальной) занятости на период 2019–2023 годов и план ее реализации, Комитет, тем не менее, обеспокоен тем, что эта программа не включает в себя конкретных и измеримых показателей и не содержит указаний на финансовые ресурсы, выделенные на ее цели и мероприятия. Кроме того, Комитет обеспокоен исключением трудящихся в неформальном секторе экономики и нетрадиционных формах занятости из сферы применения Трудового кодекса, что ограничивает их доступ к трудовым правам, а также отсутствием статистических данных о неформальном секторе экономики (статьи 6–8).</w:t>
      </w:r>
    </w:p>
    <w:p w14:paraId="21D98CC4" w14:textId="77777777" w:rsidR="00D33563" w:rsidRPr="00D33563" w:rsidRDefault="00D33563" w:rsidP="00D33563">
      <w:pPr>
        <w:pStyle w:val="SingleTxtG"/>
        <w:rPr>
          <w:b/>
          <w:bCs/>
        </w:rPr>
      </w:pPr>
      <w:r w:rsidRPr="00644DDD">
        <w:t>39.</w:t>
      </w:r>
      <w:r w:rsidRPr="00D33563">
        <w:rPr>
          <w:b/>
          <w:bCs/>
        </w:rPr>
        <w:tab/>
        <w:t>Комитет рекомендует государству-участнику:</w:t>
      </w:r>
    </w:p>
    <w:p w14:paraId="31F9FEDD" w14:textId="340F984A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>принять все необходимые меры для эффективной реализации Государственной программы по снижению уровня незарегистрированной (неформальной) занятости на период 2019–2023 годов;</w:t>
      </w:r>
    </w:p>
    <w:p w14:paraId="5EB33EF2" w14:textId="555211DE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 xml:space="preserve">обеспечить, чтобы работники неформального сектора экономики были включены в сферу применения Трудового кодекса и другого трудового законодательства, а также в систему социальной защиты; </w:t>
      </w:r>
    </w:p>
    <w:p w14:paraId="1D82C1E0" w14:textId="48845A53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регулярно собирать информацию о неформальном секторе экономики, в том числе о его масштабах и условиях труда в нем;</w:t>
      </w:r>
    </w:p>
    <w:p w14:paraId="3C5480CC" w14:textId="752FAAC4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принять во внимание замечание общего порядка Комитета</w:t>
      </w:r>
      <w:r w:rsidR="00980412">
        <w:rPr>
          <w:b/>
          <w:bCs/>
        </w:rPr>
        <w:t> </w:t>
      </w:r>
      <w:r w:rsidRPr="00D33563">
        <w:rPr>
          <w:b/>
          <w:bCs/>
        </w:rPr>
        <w:t>№</w:t>
      </w:r>
      <w:r w:rsidR="00980412">
        <w:rPr>
          <w:b/>
          <w:bCs/>
        </w:rPr>
        <w:t> </w:t>
      </w:r>
      <w:r w:rsidRPr="00D33563">
        <w:rPr>
          <w:b/>
          <w:bCs/>
        </w:rPr>
        <w:t>18 (2005) о праве на труд</w:t>
      </w:r>
      <w:r>
        <w:rPr>
          <w:b/>
          <w:bCs/>
        </w:rPr>
        <w:t>.</w:t>
      </w:r>
    </w:p>
    <w:p w14:paraId="10DDE475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Профсоюзные права</w:t>
      </w:r>
      <w:r>
        <w:t xml:space="preserve"> </w:t>
      </w:r>
    </w:p>
    <w:p w14:paraId="2B9227E2" w14:textId="77777777" w:rsidR="00D33563" w:rsidRPr="004813D7" w:rsidRDefault="00D33563" w:rsidP="00D33563">
      <w:pPr>
        <w:pStyle w:val="SingleTxtG"/>
      </w:pPr>
      <w:r>
        <w:t>40.</w:t>
      </w:r>
      <w:r>
        <w:tab/>
        <w:t xml:space="preserve">Комитет обеспокоен сообщениями о вмешательстве государственных органов в формирование и функционирование независимых профсоюзов. Комитет обеспокоен также: a) тем, что пункт 2 статьи 323 Трудового кодекса требует большинства в две трети голосов для объявления забастовки, что может помешать такому объявлению, поскольку кворум в две трети присутствующих на собрании может быть труднодостижим; и b) тем, что статьи 1, 290, 291, 301, 306 и 307 того же документа </w:t>
      </w:r>
      <w:r>
        <w:lastRenderedPageBreak/>
        <w:t xml:space="preserve">предусматривают, что работники могут быть представлены, в том числе для целей коллективных переговоров, представителями, не являющимися профсоюзами, независимо от того, существует ли профсоюз на предприятии или на более высоком уровне (статья 8). </w:t>
      </w:r>
    </w:p>
    <w:p w14:paraId="2110D89A" w14:textId="77777777" w:rsidR="00D33563" w:rsidRPr="004813D7" w:rsidRDefault="00D33563" w:rsidP="00D33563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E525B12" w14:textId="7F28015E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</w:r>
      <w:r>
        <w:rPr>
          <w:b/>
          <w:bCs/>
        </w:rPr>
        <w:t>принять все необходимые меры для обеспечения права всех лиц свободно создавать профсоюзы и вступать в них, а также для предотвращения произвольного вмешательства в деятельность профсоюзов;</w:t>
      </w:r>
    </w:p>
    <w:p w14:paraId="587C942F" w14:textId="3CC96531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внести в пункт 2 статьи 323 Трудового кодекса поправки, с тем чтобы снизить большинство, необходимое для объявления забастовки;</w:t>
      </w:r>
    </w:p>
    <w:p w14:paraId="3E4DB653" w14:textId="153BCDF6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внести поправки в статьи 1, 290, 291, 301, 306 и 307 Трудового кодекса, с тем чтобы право на ведение коллективных переговоров предоставлялось представителям работников только в случае отсутствия представительного профсоюза</w:t>
      </w:r>
      <w:r>
        <w:rPr>
          <w:b/>
          <w:bCs/>
        </w:rPr>
        <w:t xml:space="preserve"> на соответствующем уровне.</w:t>
      </w:r>
    </w:p>
    <w:p w14:paraId="46587388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</w:t>
      </w:r>
      <w:r>
        <w:t xml:space="preserve"> </w:t>
      </w:r>
    </w:p>
    <w:p w14:paraId="4A54F907" w14:textId="77777777" w:rsidR="00D33563" w:rsidRPr="004813D7" w:rsidRDefault="00D33563" w:rsidP="00D33563">
      <w:pPr>
        <w:pStyle w:val="SingleTxtG"/>
      </w:pPr>
      <w:r>
        <w:t>42.</w:t>
      </w:r>
      <w:r>
        <w:tab/>
        <w:t xml:space="preserve">Отмечая, что законодательство и политические цели в целом соответствуют международным стандартам социального обеспечения, Комитет, тем не менее, обеспокоен пробелами с точки зрения эффективного охвата населения социальной защитой и достаточности пособий (статья 9). </w:t>
      </w:r>
    </w:p>
    <w:p w14:paraId="38E26C77" w14:textId="77777777" w:rsidR="00D33563" w:rsidRPr="004813D7" w:rsidRDefault="00D33563" w:rsidP="00D33563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167F2C9" w14:textId="4A0E212F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>разработать систему социального обеспечения, гарантирующую всеобщий охват и предоставляющую адекватные льготы всем трудящимся, а</w:t>
      </w:r>
      <w:r w:rsidR="00980412">
        <w:rPr>
          <w:b/>
          <w:bCs/>
        </w:rPr>
        <w:t> </w:t>
      </w:r>
      <w:r w:rsidRPr="00D33563">
        <w:rPr>
          <w:b/>
          <w:bCs/>
        </w:rPr>
        <w:t>также распространить охват этой системы на работников, занятых в неформальном секторе экономики;</w:t>
      </w:r>
    </w:p>
    <w:p w14:paraId="6BD9F5E3" w14:textId="209E69D2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провести оценку системы взносов социального страхования для определения ее эффективности;</w:t>
      </w:r>
    </w:p>
    <w:p w14:paraId="23BB02BF" w14:textId="1B1BE570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улучшить охват путем увеличения пособий по социальному страхованию, например путем продвижения культуры социального страхования и обеспечения того, чтобы взносы делали как работодатели, так и работники;</w:t>
      </w:r>
    </w:p>
    <w:p w14:paraId="586527D6" w14:textId="6F8020BE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 xml:space="preserve">создать систему социального обеспечения, не предусматривающую предварительных взносов, для тех, кто не занят на рынке труда, в частности для пожилых людей, лиц с инвалидностью и других лиц, принадлежащих к маргинализированным и находящимся в неблагоприятном положении группам населения; </w:t>
      </w:r>
    </w:p>
    <w:p w14:paraId="3BB61D66" w14:textId="217514BB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e)</w:t>
      </w:r>
      <w:r w:rsidRPr="00D33563">
        <w:rPr>
          <w:b/>
          <w:bCs/>
        </w:rPr>
        <w:tab/>
        <w:t>рассмотреть</w:t>
      </w:r>
      <w:r>
        <w:rPr>
          <w:b/>
          <w:bCs/>
        </w:rPr>
        <w:t xml:space="preserve"> замечание общего порядка Комитета № 19 (2007) о праве на социальное обеспечение.</w:t>
      </w:r>
    </w:p>
    <w:p w14:paraId="5492B808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Защита семьи и детей</w:t>
      </w:r>
      <w:r>
        <w:t xml:space="preserve"> </w:t>
      </w:r>
    </w:p>
    <w:p w14:paraId="1BAAECEA" w14:textId="0F046624" w:rsidR="00D33563" w:rsidRPr="004813D7" w:rsidRDefault="00D33563" w:rsidP="00D33563">
      <w:pPr>
        <w:pStyle w:val="SingleTxtG"/>
      </w:pPr>
      <w:r>
        <w:t>44.</w:t>
      </w:r>
      <w:r>
        <w:tab/>
        <w:t xml:space="preserve">Комитет приветствует принятие в июле 2019 года первого раунда поправок к законодательству о регистрации актов гражданского состояния, которые внесли ряд позитивных изменений, включая бесплатную регистрацию рождений в течение трех месяцев со дня рождения, и высоко оценивает усилия государства-участника по решению проблемы безгражданства. Тем не менее Комитет обеспокоен отсутствием доступа к свидетельствам о регистрации рождения, что повышает риск безгражданства и создает препятствия для доступа детей без документов к бесплатным медицинским услугам, включая обязательные прививки, и к образованию (статья 10). </w:t>
      </w:r>
    </w:p>
    <w:p w14:paraId="074F96F7" w14:textId="77777777" w:rsidR="00D33563" w:rsidRPr="004813D7" w:rsidRDefault="00D33563" w:rsidP="00D33563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35F3FED" w14:textId="23A91F94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 xml:space="preserve">обеспечить, чтобы все дети, родившиеся на территории Таджикистана, имели доступ к регистрации рождений и свидетельствам о рождении независимо от правового статуса или наличия документов у их родителей, в том числе путем принятия дальнейших поправок к </w:t>
      </w:r>
      <w:r w:rsidRPr="00D33563">
        <w:rPr>
          <w:b/>
          <w:bCs/>
        </w:rPr>
        <w:lastRenderedPageBreak/>
        <w:t>законодательству о регистрации актов гражданского состояния и инструкций к нему;</w:t>
      </w:r>
    </w:p>
    <w:p w14:paraId="4824116F" w14:textId="2A2D3BD8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присоединиться к Конвенции о статусе апатридов (1954 год) и Конвенции о сокращении безгражданства (1961 год), с тем чтобы помочь обеспечить</w:t>
      </w:r>
      <w:r>
        <w:rPr>
          <w:b/>
          <w:bCs/>
        </w:rPr>
        <w:t>: i) минимальные стандарты обращения с лицами без гражданства в отношении ряда экономических, социальных и культурных прав, включая права на образование, на жилище, на государственную помощь, на удостоверение личности и на проездные документы, а также на административную поддержку;</w:t>
      </w:r>
      <w:r>
        <w:t xml:space="preserve"> </w:t>
      </w:r>
      <w:r>
        <w:rPr>
          <w:b/>
          <w:bCs/>
        </w:rPr>
        <w:t>и ii) гарантии для предотвращения безгражданства при рождении и на более поздних этапах жизни.</w:t>
      </w:r>
      <w:r>
        <w:t xml:space="preserve"> </w:t>
      </w:r>
    </w:p>
    <w:p w14:paraId="2ABD9ADB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Право на жилище</w:t>
      </w:r>
    </w:p>
    <w:p w14:paraId="46EA7AA1" w14:textId="7ADB062F" w:rsidR="00D33563" w:rsidRPr="004813D7" w:rsidRDefault="00D33563" w:rsidP="00D33563">
      <w:pPr>
        <w:pStyle w:val="SingleTxtG"/>
      </w:pPr>
      <w:r>
        <w:t>46.</w:t>
      </w:r>
      <w:r>
        <w:tab/>
        <w:t>Отмечая принятие нового Жилищного кодекса в марте 2022 года, Комитет, тем не менее, обеспокоен сообщениями о том, что принудительные выселения остаются серьезной проблемой в стране и осуществляются в основном без консультаций, без предоставления альтернативного жилья, без адекватной компенсации и с опозданием (пункт 1 статьи 11).</w:t>
      </w:r>
    </w:p>
    <w:p w14:paraId="2C6F5FBC" w14:textId="77777777" w:rsidR="00D33563" w:rsidRPr="004813D7" w:rsidRDefault="00D33563" w:rsidP="00D33563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7B882B1" w14:textId="245DA776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>обеспечивать, чтобы выселения проводились только в крайнем случае;</w:t>
      </w:r>
    </w:p>
    <w:p w14:paraId="0C7AA083" w14:textId="37EE131D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 xml:space="preserve">в тех случаях, когда выселение все же происходит, обеспечивать соблюдение процедурных мер защиты и гарантий, таких как проведение подлинных консультаций, гарантирование адекватного и разумного уведомления, обеспечение доступности альтернативного жилья в разумные сроки, а также предоставление средств правовой защиты; </w:t>
      </w:r>
    </w:p>
    <w:p w14:paraId="576C7DC2" w14:textId="436010AF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 xml:space="preserve">обеспечивать наличие и доступность недорогой юридической помощи для пострадавших жителей; </w:t>
      </w:r>
    </w:p>
    <w:p w14:paraId="78214FD8" w14:textId="576CD88C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предотвращать бездомность в случаях выселения путем обеспечения наличия достаточного альтернативного жилища;</w:t>
      </w:r>
    </w:p>
    <w:p w14:paraId="3100FF8A" w14:textId="05BC5DF0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e)</w:t>
      </w:r>
      <w:r w:rsidRPr="00D33563">
        <w:rPr>
          <w:b/>
          <w:bCs/>
        </w:rPr>
        <w:tab/>
        <w:t>принять во внимание замечание общего порядка Комитета № 7 (1997) о принудительных</w:t>
      </w:r>
      <w:r>
        <w:rPr>
          <w:b/>
          <w:bCs/>
        </w:rPr>
        <w:t xml:space="preserve"> выселениях.</w:t>
      </w:r>
    </w:p>
    <w:p w14:paraId="0E582488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Права на воду и санитарию</w:t>
      </w:r>
      <w:r>
        <w:t xml:space="preserve"> </w:t>
      </w:r>
    </w:p>
    <w:p w14:paraId="667E2F40" w14:textId="77777777" w:rsidR="00D33563" w:rsidRPr="004813D7" w:rsidRDefault="00D33563" w:rsidP="00D33563">
      <w:pPr>
        <w:pStyle w:val="SingleTxtG"/>
      </w:pPr>
      <w:r>
        <w:t>48.</w:t>
      </w:r>
      <w:r>
        <w:tab/>
        <w:t>Комитет по-прежнему обеспокоен значительными региональными и социально-экономическими различиями в наличии, доступности, ценовой доступности и качестве безопасной питьевой воды и надлежащих санитарных условий (пункт 1 статьи 11).</w:t>
      </w:r>
    </w:p>
    <w:p w14:paraId="11E78CC9" w14:textId="77777777" w:rsidR="00D33563" w:rsidRPr="004813D7" w:rsidRDefault="00D33563" w:rsidP="00D33563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B10A906" w14:textId="266C62F5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 xml:space="preserve">принять меры по сокращению неравенства в доступе к безопасной питьевой воде и надлежащим санитарным условиям, уделяя особое внимание наиболее обездоленным и маргинализированным лицам и группам населения; </w:t>
      </w:r>
    </w:p>
    <w:p w14:paraId="49313940" w14:textId="271D0F45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инвестировать в водоснабжение и санитарию, с тем чтобы гарантировать</w:t>
      </w:r>
      <w:r>
        <w:rPr>
          <w:b/>
          <w:bCs/>
        </w:rPr>
        <w:t xml:space="preserve"> качественные и доступные услуги всему населению.</w:t>
      </w:r>
    </w:p>
    <w:p w14:paraId="006E1FA6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Изменение климата</w:t>
      </w:r>
    </w:p>
    <w:p w14:paraId="1BC0DD27" w14:textId="77777777" w:rsidR="00D33563" w:rsidRPr="004813D7" w:rsidRDefault="00D33563" w:rsidP="00D33563">
      <w:pPr>
        <w:pStyle w:val="SingleTxtG"/>
      </w:pPr>
      <w:r>
        <w:t>50.</w:t>
      </w:r>
      <w:r>
        <w:tab/>
        <w:t>Комитет обеспокоен потенциальным значительным воздействием изменения климата, в частности на доступность воды, здоровье, сельскохозяйственное производство и скотоводство (статья 11).</w:t>
      </w:r>
    </w:p>
    <w:p w14:paraId="50F0DD56" w14:textId="77777777" w:rsidR="00D33563" w:rsidRPr="004813D7" w:rsidRDefault="00D33563" w:rsidP="00D33563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43680C1D" w14:textId="20DFA1BC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 xml:space="preserve">разработать национальный план адаптации с акцентом на наиболее значимые последствия изменения климата; </w:t>
      </w:r>
    </w:p>
    <w:p w14:paraId="09A58ADB" w14:textId="3E4C70B4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lastRenderedPageBreak/>
        <w:tab/>
        <w:t>b)</w:t>
      </w:r>
      <w:r w:rsidRPr="00D33563">
        <w:rPr>
          <w:b/>
          <w:bCs/>
        </w:rPr>
        <w:tab/>
        <w:t xml:space="preserve">развивать диагностический потенциал в отношении воздействия изменения климата на группы населения и отдельных лиц, которые могут быть особенно затронуты; </w:t>
      </w:r>
    </w:p>
    <w:p w14:paraId="2ECCB0A0" w14:textId="158C8734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обеспечить соблюдение экономических, социальных и культурных прав при принятии</w:t>
      </w:r>
      <w:r>
        <w:rPr>
          <w:b/>
          <w:bCs/>
        </w:rPr>
        <w:t xml:space="preserve"> мер адаптации;</w:t>
      </w:r>
    </w:p>
    <w:p w14:paraId="7DA0C562" w14:textId="4B2B9940" w:rsidR="00D33563" w:rsidRPr="004813D7" w:rsidRDefault="00D33563" w:rsidP="00D33563">
      <w:pPr>
        <w:pStyle w:val="SingleTxtG"/>
        <w:rPr>
          <w:b/>
          <w:bCs/>
        </w:rPr>
      </w:pPr>
      <w:r>
        <w:tab/>
      </w:r>
      <w:r w:rsidRPr="00D33563">
        <w:rPr>
          <w:b/>
          <w:bCs/>
        </w:rPr>
        <w:t>d)</w:t>
      </w:r>
      <w:r w:rsidRPr="00D33563">
        <w:rPr>
          <w:b/>
          <w:bCs/>
        </w:rPr>
        <w:tab/>
        <w:t>принять во внимание заявление Комитета об изменении климата и Пакте, принятое</w:t>
      </w:r>
      <w:r>
        <w:rPr>
          <w:b/>
          <w:bCs/>
        </w:rPr>
        <w:t xml:space="preserve"> в октябре 2018 года</w:t>
      </w:r>
      <w:r w:rsidRPr="006732DF">
        <w:rPr>
          <w:rStyle w:val="a8"/>
        </w:rPr>
        <w:footnoteReference w:id="11"/>
      </w:r>
      <w:r>
        <w:rPr>
          <w:b/>
          <w:bCs/>
        </w:rPr>
        <w:t>.</w:t>
      </w:r>
    </w:p>
    <w:p w14:paraId="1BC149F3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Право на физическое и психическое здоровье</w:t>
      </w:r>
      <w:r>
        <w:t xml:space="preserve"> </w:t>
      </w:r>
    </w:p>
    <w:p w14:paraId="613EA0CE" w14:textId="77777777" w:rsidR="00D33563" w:rsidRPr="004813D7" w:rsidRDefault="00D33563" w:rsidP="00D33563">
      <w:pPr>
        <w:pStyle w:val="SingleTxtG"/>
      </w:pPr>
      <w:r>
        <w:t>52.</w:t>
      </w:r>
      <w:r>
        <w:tab/>
        <w:t>Комитет обеспокоен ограничениями в доступе к медико-санитарному обслуживанию, особенно для малообеспеченных групп населения, вызванными бюджетными ограничениями, нехваткой медицинских специалистов и неудовлетворительной инфраструктурой медицинских учреждений. Комитет особенно обеспокоен ростом цен на медицинские услуги в связи с их приватизацией (статья 12).</w:t>
      </w:r>
    </w:p>
    <w:p w14:paraId="3AABDB26" w14:textId="77777777" w:rsidR="00D33563" w:rsidRPr="004813D7" w:rsidRDefault="00D33563" w:rsidP="00D33563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 выделить достаточные ресурсы для сектора здравоохранения и обеспечить наличие, доступность и качество медицинских услуг, в том числе путем обеспечения достаточного количества квалифицированного медицинского персонала и гарантирования наличия надлежащего медицинского оборудования, инфраструктуры и помещений.</w:t>
      </w:r>
      <w:r>
        <w:t xml:space="preserve"> </w:t>
      </w:r>
      <w:r>
        <w:rPr>
          <w:b/>
          <w:bCs/>
        </w:rPr>
        <w:t>Он рекомендует также государству-участнику обеспечить, чтобы любое государственно-частное партнерство не оказывало негативного влияния на ценовую доступность медицинских услуг, особенно для лиц, находящихся в наиболее неблагоприятном положении.</w:t>
      </w:r>
      <w:r>
        <w:t xml:space="preserve"> </w:t>
      </w:r>
    </w:p>
    <w:p w14:paraId="6E031240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Право на образование</w:t>
      </w:r>
      <w:r>
        <w:t xml:space="preserve"> </w:t>
      </w:r>
    </w:p>
    <w:p w14:paraId="06E00C1A" w14:textId="0D087665" w:rsidR="00D33563" w:rsidRPr="004813D7" w:rsidRDefault="00D33563" w:rsidP="00D33563">
      <w:pPr>
        <w:pStyle w:val="SingleTxtG"/>
      </w:pPr>
      <w:r>
        <w:t>54.</w:t>
      </w:r>
      <w:r>
        <w:tab/>
        <w:t>Комитет высоко оценивает принятие государством-участником Национальной стратегии развития образования на период 2021–2030 годов. Однако Комитет обеспокоен тем, что справедливому доступу к услугам дошкольного образования препятствуют региональные различия, поскольку большинство дошкольных образовательных учреждений расположены в городских районах. Комитет обеспокоен также высоким уровнем отсева в средней школе, особенно среди девочек и детей в сельских районах (статья 13).</w:t>
      </w:r>
    </w:p>
    <w:p w14:paraId="5C3CF5D2" w14:textId="77777777" w:rsidR="00D33563" w:rsidRPr="004813D7" w:rsidRDefault="00D33563" w:rsidP="00D33563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9AF51DB" w14:textId="62A31167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>принять все необходимые меры по созданию новых дошкольных образовательных учреждений в сельских районах для обеспечения равного доступа к дошкольному образованию;</w:t>
      </w:r>
    </w:p>
    <w:p w14:paraId="45E40CDC" w14:textId="24DF7E80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>обеспечить переход на второй этап среднего образования, особенно для девочек</w:t>
      </w:r>
      <w:r>
        <w:rPr>
          <w:b/>
          <w:bCs/>
        </w:rPr>
        <w:t xml:space="preserve"> и детей в сельских районах.</w:t>
      </w:r>
      <w:r>
        <w:t xml:space="preserve"> </w:t>
      </w:r>
    </w:p>
    <w:p w14:paraId="58CE26A4" w14:textId="77777777" w:rsidR="00D33563" w:rsidRPr="004813D7" w:rsidRDefault="00D33563" w:rsidP="00D33563">
      <w:pPr>
        <w:pStyle w:val="H23G"/>
      </w:pPr>
      <w:r>
        <w:tab/>
      </w:r>
      <w:r>
        <w:tab/>
      </w:r>
      <w:r>
        <w:rPr>
          <w:bCs/>
        </w:rPr>
        <w:t>Качество образования и инклюзивность</w:t>
      </w:r>
    </w:p>
    <w:p w14:paraId="77AD4FCB" w14:textId="77777777" w:rsidR="00D33563" w:rsidRPr="004813D7" w:rsidRDefault="00D33563" w:rsidP="00D33563">
      <w:pPr>
        <w:pStyle w:val="SingleTxtG"/>
      </w:pPr>
      <w:r>
        <w:t>56.</w:t>
      </w:r>
      <w:r>
        <w:tab/>
        <w:t>Комитет обеспокоен недостатками в качестве школьной инфраструктуры и оборудования, в доступе к воде и санитарно-техническим сооружениям, в содержании учебных программ и в подготовке учителей (статья 13).</w:t>
      </w:r>
    </w:p>
    <w:p w14:paraId="4EDB265E" w14:textId="08921285" w:rsidR="00D33563" w:rsidRPr="004813D7" w:rsidRDefault="00D33563" w:rsidP="00D33563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 рекомендует государству-участнику наращивать усилия по обеспечению всеобщего доступа к качественному образованию на всех уровнях, в</w:t>
      </w:r>
      <w:r w:rsidR="00DB5598">
        <w:rPr>
          <w:b/>
          <w:bCs/>
        </w:rPr>
        <w:t> </w:t>
      </w:r>
      <w:r>
        <w:rPr>
          <w:b/>
          <w:bCs/>
        </w:rPr>
        <w:t>том числе путем:</w:t>
      </w:r>
    </w:p>
    <w:p w14:paraId="485BB54C" w14:textId="2D04C56D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a)</w:t>
      </w:r>
      <w:r w:rsidRPr="00D33563">
        <w:rPr>
          <w:b/>
          <w:bCs/>
        </w:rPr>
        <w:tab/>
        <w:t>обеспечения наличия во всех школах адекватного водоснабжения и санитарно-технических сооружений с учетом потребностей всех детей;</w:t>
      </w:r>
    </w:p>
    <w:p w14:paraId="0146F397" w14:textId="2B16A0AB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b)</w:t>
      </w:r>
      <w:r w:rsidRPr="00D33563">
        <w:rPr>
          <w:b/>
          <w:bCs/>
        </w:rPr>
        <w:tab/>
        <w:t xml:space="preserve">обеспечения надлежащей подготовки учителей и педагогов, включая подготовку, специально разработанную для удовлетворения потребностей детей </w:t>
      </w:r>
      <w:r w:rsidRPr="00D33563">
        <w:rPr>
          <w:b/>
          <w:bCs/>
        </w:rPr>
        <w:lastRenderedPageBreak/>
        <w:t xml:space="preserve">с инвалидностью, и повышения осведомленности учащихся с целью создания дружественной среды для детей с инвалидностью; </w:t>
      </w:r>
    </w:p>
    <w:p w14:paraId="19FB8634" w14:textId="1E1E9132" w:rsidR="00D33563" w:rsidRPr="004813D7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c)</w:t>
      </w:r>
      <w:r w:rsidRPr="00D33563">
        <w:rPr>
          <w:b/>
          <w:bCs/>
        </w:rPr>
        <w:tab/>
        <w:t>улучшения образовательной инфраструктуры для обеспечения доступности</w:t>
      </w:r>
      <w:r>
        <w:rPr>
          <w:b/>
          <w:bCs/>
        </w:rPr>
        <w:t xml:space="preserve"> всех школ и университетов для лиц с инвалидностью;</w:t>
      </w:r>
    </w:p>
    <w:p w14:paraId="61584205" w14:textId="15B4F32C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d)</w:t>
      </w:r>
      <w:r w:rsidRPr="00D33563">
        <w:rPr>
          <w:b/>
          <w:bCs/>
        </w:rPr>
        <w:tab/>
        <w:t>пересмотра учебных программ, с тем чтобы они в большей степени отвечали развитию общества в целом и потребностям рынка труда в частности;</w:t>
      </w:r>
    </w:p>
    <w:p w14:paraId="11E9A9F3" w14:textId="5410FF99" w:rsidR="00D33563" w:rsidRPr="00D33563" w:rsidRDefault="00D33563" w:rsidP="00D33563">
      <w:pPr>
        <w:pStyle w:val="SingleTxtG"/>
        <w:rPr>
          <w:b/>
          <w:bCs/>
        </w:rPr>
      </w:pPr>
      <w:r w:rsidRPr="00D33563">
        <w:rPr>
          <w:b/>
          <w:bCs/>
        </w:rPr>
        <w:tab/>
        <w:t>e)</w:t>
      </w:r>
      <w:r w:rsidRPr="00D33563">
        <w:rPr>
          <w:b/>
          <w:bCs/>
        </w:rPr>
        <w:tab/>
        <w:t>принятия во внимание замечания общего порядка Комитета</w:t>
      </w:r>
      <w:r w:rsidR="00DB5598">
        <w:rPr>
          <w:b/>
          <w:bCs/>
        </w:rPr>
        <w:t> </w:t>
      </w:r>
      <w:r w:rsidRPr="00D33563">
        <w:rPr>
          <w:b/>
          <w:bCs/>
        </w:rPr>
        <w:t>№</w:t>
      </w:r>
      <w:r w:rsidR="00DB5598">
        <w:rPr>
          <w:b/>
          <w:bCs/>
        </w:rPr>
        <w:t> </w:t>
      </w:r>
      <w:r w:rsidRPr="00D33563">
        <w:rPr>
          <w:b/>
          <w:bCs/>
        </w:rPr>
        <w:t xml:space="preserve">13 (1999) о праве на образование. </w:t>
      </w:r>
    </w:p>
    <w:p w14:paraId="4C298F44" w14:textId="77777777" w:rsidR="00D33563" w:rsidRPr="004813D7" w:rsidRDefault="00D33563" w:rsidP="00D33563">
      <w:pPr>
        <w:pStyle w:val="H23G"/>
      </w:pPr>
      <w:r w:rsidRPr="00D33563">
        <w:rPr>
          <w:bCs/>
        </w:rPr>
        <w:tab/>
      </w:r>
      <w:r w:rsidRPr="00D33563">
        <w:rPr>
          <w:bCs/>
        </w:rPr>
        <w:tab/>
        <w:t>Культурные</w:t>
      </w:r>
      <w:r>
        <w:rPr>
          <w:bCs/>
        </w:rPr>
        <w:t xml:space="preserve"> права</w:t>
      </w:r>
    </w:p>
    <w:p w14:paraId="716A022F" w14:textId="77777777" w:rsidR="00D33563" w:rsidRPr="004813D7" w:rsidRDefault="00D33563" w:rsidP="00D33563">
      <w:pPr>
        <w:pStyle w:val="SingleTxtG"/>
      </w:pPr>
      <w:r>
        <w:t>58.</w:t>
      </w:r>
      <w:r>
        <w:tab/>
        <w:t>Комитет обеспокоен недостаточным количеством квалифицированных учителей для преподавания на языках меньшинств и нехваткой учебных материалов на этих языках на всех уровнях образования (статья 15).</w:t>
      </w:r>
    </w:p>
    <w:p w14:paraId="0AE2C727" w14:textId="14CE8815" w:rsidR="00D33563" w:rsidRPr="004813D7" w:rsidRDefault="00D33563" w:rsidP="00D33563">
      <w:pPr>
        <w:pStyle w:val="SingleTxtG"/>
        <w:rPr>
          <w:b/>
          <w:bCs/>
        </w:rPr>
      </w:pPr>
      <w:r>
        <w:t>59.</w:t>
      </w:r>
      <w:r>
        <w:tab/>
      </w:r>
      <w:r>
        <w:rPr>
          <w:b/>
          <w:bCs/>
        </w:rPr>
        <w:t>Комитет рекомендует государству-участнику принять меры, направленные на обеспечение достаточного числа квалифицированных учителей для преподавания на языках меньшинств и на увеличение доступности учебных материалов на этих языках на всех уровнях образования, в</w:t>
      </w:r>
      <w:r w:rsidR="00DB5598">
        <w:rPr>
          <w:b/>
          <w:bCs/>
        </w:rPr>
        <w:t> </w:t>
      </w:r>
      <w:r>
        <w:rPr>
          <w:b/>
          <w:bCs/>
        </w:rPr>
        <w:t>консультации с представителями соответствующих меньшинств.</w:t>
      </w:r>
    </w:p>
    <w:p w14:paraId="38FEE33B" w14:textId="40EFC5AE" w:rsidR="00D33563" w:rsidRPr="004813D7" w:rsidRDefault="00D33563" w:rsidP="00D33563">
      <w:pPr>
        <w:pStyle w:val="H1G"/>
      </w:pPr>
      <w:r>
        <w:rPr>
          <w:bCs/>
        </w:rPr>
        <w:tab/>
        <w:t>D.</w:t>
      </w:r>
      <w:r>
        <w:tab/>
      </w:r>
      <w:r>
        <w:tab/>
      </w:r>
      <w:r>
        <w:rPr>
          <w:bCs/>
        </w:rPr>
        <w:t>Рекомендации</w:t>
      </w:r>
      <w:r>
        <w:t xml:space="preserve"> </w:t>
      </w:r>
    </w:p>
    <w:p w14:paraId="256033E3" w14:textId="77777777" w:rsidR="00D33563" w:rsidRPr="004813D7" w:rsidRDefault="00D33563" w:rsidP="00D33563">
      <w:pPr>
        <w:pStyle w:val="SingleTxtG"/>
        <w:rPr>
          <w:b/>
          <w:bCs/>
        </w:rPr>
      </w:pPr>
      <w:r>
        <w:t>60.</w:t>
      </w:r>
      <w:r>
        <w:tab/>
      </w:r>
      <w:r>
        <w:rPr>
          <w:b/>
          <w:bCs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14:paraId="76B3630E" w14:textId="77777777" w:rsidR="00D33563" w:rsidRPr="004813D7" w:rsidRDefault="00D33563" w:rsidP="00D33563">
      <w:pPr>
        <w:pStyle w:val="SingleTxtG"/>
        <w:rPr>
          <w:b/>
          <w:bCs/>
        </w:rPr>
      </w:pPr>
      <w:r>
        <w:t>61.</w:t>
      </w:r>
      <w:r>
        <w:tab/>
      </w:r>
      <w:r>
        <w:rPr>
          <w:b/>
          <w:bCs/>
        </w:rPr>
        <w:t>Комитет рекомендует государству-участнику рассмотреть возможность ратификации основных договоров по правам человека, участником которых оно еще не является, а именно Международной конвенции для защиты всех лиц от насильственных исчезновений, Факультативного протокола к Конвенции против пыток и других жестоких, бесчеловечных или унижающих достоинство видов обращения и наказания и второго Факультативного протокола к Международному пакту о гражданских и политических правах, направленного на отмену смертной казни.</w:t>
      </w:r>
    </w:p>
    <w:p w14:paraId="5AEBF6E3" w14:textId="1CD5EEDA" w:rsidR="00D33563" w:rsidRPr="004813D7" w:rsidRDefault="00D33563" w:rsidP="00D33563">
      <w:pPr>
        <w:pStyle w:val="SingleTxtG"/>
        <w:rPr>
          <w:b/>
          <w:bCs/>
        </w:rPr>
      </w:pPr>
      <w:r>
        <w:t>62.</w:t>
      </w:r>
      <w:r>
        <w:tab/>
      </w:r>
      <w:r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 года, в том числе в рамках восстановления после пандемии COVID-19.</w:t>
      </w:r>
      <w:r>
        <w:t xml:space="preserve"> </w:t>
      </w:r>
      <w:r>
        <w:rPr>
          <w:b/>
          <w:bCs/>
        </w:rPr>
        <w:t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претендовать на получение причитающихся им льгот.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поддержать глобальное обязательство десятилетия действий в интересах устойчивого развития.</w:t>
      </w:r>
      <w:r>
        <w:t xml:space="preserve"> </w:t>
      </w:r>
      <w:r>
        <w:rPr>
          <w:b/>
          <w:bCs/>
        </w:rPr>
        <w:t>Достижение Целей на основе принципов участия, подотчетности и недискриминации будет способствовать обеспечению того, чтобы никто не был забыт.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</w:t>
      </w:r>
      <w:r w:rsidRPr="006732DF">
        <w:rPr>
          <w:rStyle w:val="a8"/>
        </w:rPr>
        <w:footnoteReference w:id="12"/>
      </w:r>
      <w:r>
        <w:rPr>
          <w:b/>
          <w:bCs/>
        </w:rPr>
        <w:t>.</w:t>
      </w:r>
    </w:p>
    <w:p w14:paraId="296B4466" w14:textId="143D279A" w:rsidR="00D33563" w:rsidRPr="004813D7" w:rsidRDefault="00D33563" w:rsidP="00D33563">
      <w:pPr>
        <w:pStyle w:val="SingleTxtG"/>
        <w:rPr>
          <w:b/>
          <w:bCs/>
        </w:rPr>
      </w:pPr>
      <w:r>
        <w:t>63.</w:t>
      </w:r>
      <w:r>
        <w:tab/>
      </w:r>
      <w:r>
        <w:rPr>
          <w:b/>
          <w:bCs/>
        </w:rPr>
        <w:t xml:space="preserve">Комитет просит государство-участник широко распространить настоящие заключительные замечания среди всех слоев общества, в том числе на региональном уровне, в частности среди парламентариев, государственных должностных лиц и судебных органов, и в своем следующем периодическом докладе проинформировать Комитет о мерах, принятых с целью их </w:t>
      </w:r>
      <w:r>
        <w:rPr>
          <w:b/>
          <w:bCs/>
        </w:rPr>
        <w:lastRenderedPageBreak/>
        <w:t>осуществления.</w:t>
      </w:r>
      <w:r>
        <w:t xml:space="preserve"> </w:t>
      </w:r>
      <w:r>
        <w:rPr>
          <w:b/>
          <w:bCs/>
        </w:rPr>
        <w:t>Комитет подчеркивает ключевую роль, которую играет парламент в осуществлении настоящих заключительных замечаний, и</w:t>
      </w:r>
      <w:r w:rsidR="00DB5598">
        <w:rPr>
          <w:b/>
          <w:bCs/>
        </w:rPr>
        <w:t> </w:t>
      </w:r>
      <w:r>
        <w:rPr>
          <w:b/>
          <w:bCs/>
        </w:rPr>
        <w:t>призывает государство-участник обеспечить его участие в будущих процедурах представления докладов и последующих действий.</w:t>
      </w:r>
      <w:r>
        <w:t xml:space="preserve"> </w:t>
      </w:r>
      <w:r>
        <w:rPr>
          <w:b/>
          <w:bCs/>
        </w:rPr>
        <w:t>Комитет рекомендует государству-участнику привлечь Уполномоченного по правам человека,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 перед представлением следующего периодического доклада.</w:t>
      </w:r>
      <w:r>
        <w:t xml:space="preserve"> </w:t>
      </w:r>
    </w:p>
    <w:p w14:paraId="132BC00B" w14:textId="77777777" w:rsidR="00D33563" w:rsidRPr="004813D7" w:rsidRDefault="00D33563" w:rsidP="00D33563">
      <w:pPr>
        <w:pStyle w:val="SingleTxtG"/>
        <w:rPr>
          <w:b/>
          <w:bCs/>
        </w:rPr>
      </w:pPr>
      <w:r>
        <w:t>64.</w:t>
      </w:r>
      <w:r>
        <w:tab/>
      </w:r>
      <w:r>
        <w:rPr>
          <w:b/>
          <w:bCs/>
        </w:rPr>
        <w:t>В соответствии с процедурой последующей деятельности в связи с заключительными замечаниями, принятыми Комитетом, государству-участнику предлагается в течение 24 месяцев с момента принятия настоящих заключительных замечаний представить информацию об осуществлении рекомендаций Комитета, содержащихся в пунктах 13 (правозащитники и правозащитницы), 23 а), b) и c) (беженцы и просители убежища) и 47 b) и d) (право на жилище) выше.</w:t>
      </w:r>
      <w:r>
        <w:t xml:space="preserve"> </w:t>
      </w:r>
    </w:p>
    <w:p w14:paraId="10732850" w14:textId="61348EC3" w:rsidR="00D33563" w:rsidRPr="004813D7" w:rsidRDefault="00D33563" w:rsidP="00D33563">
      <w:pPr>
        <w:pStyle w:val="SingleTxtG"/>
        <w:rPr>
          <w:b/>
          <w:bCs/>
        </w:rPr>
      </w:pPr>
      <w:r>
        <w:t>65.</w:t>
      </w:r>
      <w:r>
        <w:tab/>
      </w:r>
      <w:r>
        <w:rPr>
          <w:b/>
          <w:bCs/>
        </w:rPr>
        <w:t>Комитет просит государство-участник представить свой пятый периодический доклад в соответствии со статьей 16 Пакта к 31 октября 2027 года, если в результате изменения цикла обзора не поступит иного уведомления.</w:t>
      </w:r>
      <w:r>
        <w:t xml:space="preserve"> </w:t>
      </w:r>
      <w:r>
        <w:rPr>
          <w:b/>
          <w:bCs/>
        </w:rPr>
        <w:t>В</w:t>
      </w:r>
      <w:r>
        <w:rPr>
          <w:b/>
          <w:bCs/>
          <w:lang w:val="fr-CH"/>
        </w:rPr>
        <w:t> </w:t>
      </w:r>
      <w:r>
        <w:rPr>
          <w:b/>
          <w:bCs/>
        </w:rPr>
        <w:t>соответствии с резолюцией 68/268 Генеральной Ассамблеи объем доклада не должен превышать 21 200 слов.</w:t>
      </w:r>
    </w:p>
    <w:p w14:paraId="717DE08A" w14:textId="6A285D98" w:rsidR="00381C24" w:rsidRPr="00BC18B2" w:rsidRDefault="00D33563" w:rsidP="00D33563">
      <w:pPr>
        <w:spacing w:before="240"/>
        <w:jc w:val="center"/>
      </w:pPr>
      <w:r w:rsidRPr="004813D7">
        <w:rPr>
          <w:u w:val="single"/>
        </w:rPr>
        <w:tab/>
      </w:r>
      <w:r w:rsidRPr="004813D7">
        <w:rPr>
          <w:u w:val="single"/>
        </w:rPr>
        <w:tab/>
      </w:r>
      <w:r w:rsidRPr="004813D7">
        <w:rPr>
          <w:u w:val="single"/>
        </w:rPr>
        <w:tab/>
      </w:r>
    </w:p>
    <w:sectPr w:rsidR="00381C24" w:rsidRPr="00BC18B2" w:rsidSect="00D33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F504" w14:textId="77777777" w:rsidR="003B7A1F" w:rsidRPr="00A312BC" w:rsidRDefault="003B7A1F" w:rsidP="00A312BC"/>
  </w:endnote>
  <w:endnote w:type="continuationSeparator" w:id="0">
    <w:p w14:paraId="14DE49BD" w14:textId="77777777" w:rsidR="003B7A1F" w:rsidRPr="00A312BC" w:rsidRDefault="003B7A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1809" w14:textId="030963C6" w:rsidR="00D33563" w:rsidRPr="00D33563" w:rsidRDefault="00D33563">
    <w:pPr>
      <w:pStyle w:val="aa"/>
    </w:pPr>
    <w:r w:rsidRPr="00D33563">
      <w:rPr>
        <w:b/>
        <w:sz w:val="18"/>
      </w:rPr>
      <w:fldChar w:fldCharType="begin"/>
    </w:r>
    <w:r w:rsidRPr="00D33563">
      <w:rPr>
        <w:b/>
        <w:sz w:val="18"/>
      </w:rPr>
      <w:instrText xml:space="preserve"> PAGE  \* MERGEFORMAT </w:instrText>
    </w:r>
    <w:r w:rsidRPr="00D33563">
      <w:rPr>
        <w:b/>
        <w:sz w:val="18"/>
      </w:rPr>
      <w:fldChar w:fldCharType="separate"/>
    </w:r>
    <w:r w:rsidRPr="00D33563">
      <w:rPr>
        <w:b/>
        <w:noProof/>
        <w:sz w:val="18"/>
      </w:rPr>
      <w:t>2</w:t>
    </w:r>
    <w:r w:rsidRPr="00D33563">
      <w:rPr>
        <w:b/>
        <w:sz w:val="18"/>
      </w:rPr>
      <w:fldChar w:fldCharType="end"/>
    </w:r>
    <w:r>
      <w:rPr>
        <w:b/>
        <w:sz w:val="18"/>
      </w:rPr>
      <w:tab/>
    </w:r>
    <w:r>
      <w:t>GE.22-25357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3ED3" w14:textId="0A4801A5" w:rsidR="00D33563" w:rsidRPr="00D33563" w:rsidRDefault="00D33563" w:rsidP="00D33563">
    <w:pPr>
      <w:pStyle w:val="aa"/>
      <w:tabs>
        <w:tab w:val="clear" w:pos="9639"/>
        <w:tab w:val="right" w:pos="9638"/>
      </w:tabs>
      <w:rPr>
        <w:b/>
        <w:sz w:val="18"/>
      </w:rPr>
    </w:pPr>
    <w:r>
      <w:t>GE.22-25357</w:t>
    </w:r>
    <w:r>
      <w:tab/>
    </w:r>
    <w:r w:rsidRPr="00D33563">
      <w:rPr>
        <w:b/>
        <w:sz w:val="18"/>
      </w:rPr>
      <w:fldChar w:fldCharType="begin"/>
    </w:r>
    <w:r w:rsidRPr="00D33563">
      <w:rPr>
        <w:b/>
        <w:sz w:val="18"/>
      </w:rPr>
      <w:instrText xml:space="preserve"> PAGE  \* MERGEFORMAT </w:instrText>
    </w:r>
    <w:r w:rsidRPr="00D33563">
      <w:rPr>
        <w:b/>
        <w:sz w:val="18"/>
      </w:rPr>
      <w:fldChar w:fldCharType="separate"/>
    </w:r>
    <w:r w:rsidRPr="00D33563">
      <w:rPr>
        <w:b/>
        <w:noProof/>
        <w:sz w:val="18"/>
      </w:rPr>
      <w:t>3</w:t>
    </w:r>
    <w:r w:rsidRPr="00D335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5777" w14:textId="5CF7A9AE" w:rsidR="00042B72" w:rsidRPr="00D33563" w:rsidRDefault="00D33563" w:rsidP="00D3356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CB9E89" wp14:editId="4FA64B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22-25357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2C3E93" wp14:editId="336E4AD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191222  191222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475" w14:textId="77777777" w:rsidR="003B7A1F" w:rsidRPr="001075E9" w:rsidRDefault="003B7A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4AA69C" w14:textId="77777777" w:rsidR="003B7A1F" w:rsidRDefault="003B7A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BEC83A" w14:textId="701BC5C0" w:rsidR="00D33563" w:rsidRPr="004813D7" w:rsidRDefault="00D33563" w:rsidP="00D33563">
      <w:pPr>
        <w:pStyle w:val="af"/>
      </w:pPr>
      <w:r>
        <w:tab/>
      </w:r>
      <w:r w:rsidRPr="005E538A">
        <w:rPr>
          <w:sz w:val="20"/>
        </w:rPr>
        <w:t>*</w:t>
      </w:r>
      <w:r>
        <w:tab/>
        <w:t xml:space="preserve">Приняты Комитетом на его семьдесят второй сессии (26 сентября </w:t>
      </w:r>
      <w:r w:rsidR="00FF3A06" w:rsidRPr="005E538A">
        <w:t>—</w:t>
      </w:r>
      <w:r>
        <w:t xml:space="preserve"> 14 октября 2022 года).</w:t>
      </w:r>
    </w:p>
  </w:footnote>
  <w:footnote w:id="2">
    <w:p w14:paraId="4C144B1C" w14:textId="1D2F1680" w:rsidR="00D33563" w:rsidRPr="00026DC4" w:rsidRDefault="00D33563" w:rsidP="00D33563">
      <w:pPr>
        <w:pBdr>
          <w:top w:val="nil"/>
          <w:left w:val="nil"/>
          <w:bottom w:val="nil"/>
          <w:right w:val="nil"/>
          <w:between w:val="nil"/>
        </w:pBdr>
        <w:tabs>
          <w:tab w:val="right" w:pos="1021"/>
        </w:tabs>
        <w:spacing w:line="220" w:lineRule="auto"/>
        <w:ind w:left="1134" w:right="1134" w:hanging="1134"/>
        <w:rPr>
          <w:color w:val="000000"/>
          <w:sz w:val="18"/>
          <w:szCs w:val="18"/>
          <w:lang w:val="de-CH"/>
        </w:rPr>
      </w:pPr>
      <w:r w:rsidRPr="00350605">
        <w:rPr>
          <w:color w:val="000000"/>
          <w:sz w:val="18"/>
          <w:szCs w:val="18"/>
        </w:rPr>
        <w:tab/>
      </w:r>
      <w:r w:rsidRPr="00047D78">
        <w:rPr>
          <w:rStyle w:val="a8"/>
        </w:rPr>
        <w:footnoteRef/>
      </w:r>
      <w:r w:rsidRPr="004813D7">
        <w:rPr>
          <w:lang w:val="de-CH"/>
        </w:rPr>
        <w:t xml:space="preserve"> </w:t>
      </w:r>
      <w:r w:rsidRPr="004813D7">
        <w:rPr>
          <w:lang w:val="de-CH"/>
        </w:rPr>
        <w:tab/>
      </w:r>
      <w:r w:rsidR="00AE3C47">
        <w:fldChar w:fldCharType="begin"/>
      </w:r>
      <w:r w:rsidR="00AE3C47" w:rsidRPr="00AE3C47">
        <w:rPr>
          <w:lang w:val="es-ES"/>
        </w:rPr>
        <w:instrText xml:space="preserve"> HYPERLINK "http://undocs.org/ru/E/C.12/TJK/4" </w:instrText>
      </w:r>
      <w:r w:rsidR="00AE3C47">
        <w:fldChar w:fldCharType="separate"/>
      </w:r>
      <w:r w:rsidRPr="005E538A">
        <w:rPr>
          <w:rStyle w:val="a7"/>
          <w:sz w:val="18"/>
          <w:szCs w:val="18"/>
          <w:lang w:val="de-CH"/>
        </w:rPr>
        <w:t>E/C.12/TJK/4</w:t>
      </w:r>
      <w:r w:rsidR="00AE3C47">
        <w:rPr>
          <w:rStyle w:val="a7"/>
          <w:sz w:val="18"/>
          <w:szCs w:val="18"/>
          <w:lang w:val="de-CH"/>
        </w:rPr>
        <w:fldChar w:fldCharType="end"/>
      </w:r>
      <w:r w:rsidRPr="00026DC4">
        <w:rPr>
          <w:sz w:val="18"/>
          <w:szCs w:val="18"/>
          <w:lang w:val="de-CH"/>
        </w:rPr>
        <w:t>.</w:t>
      </w:r>
    </w:p>
  </w:footnote>
  <w:footnote w:id="3">
    <w:p w14:paraId="41925C8B" w14:textId="156CA8E8" w:rsidR="00D33563" w:rsidRPr="00026DC4" w:rsidRDefault="00D33563" w:rsidP="00D33563">
      <w:pPr>
        <w:pBdr>
          <w:top w:val="nil"/>
          <w:left w:val="nil"/>
          <w:bottom w:val="nil"/>
          <w:right w:val="nil"/>
          <w:between w:val="nil"/>
        </w:pBdr>
        <w:tabs>
          <w:tab w:val="right" w:pos="1021"/>
        </w:tabs>
        <w:spacing w:line="220" w:lineRule="auto"/>
        <w:ind w:left="1134" w:right="1134" w:hanging="1134"/>
        <w:rPr>
          <w:color w:val="000000"/>
          <w:sz w:val="18"/>
          <w:szCs w:val="18"/>
          <w:lang w:val="de-CH"/>
        </w:rPr>
      </w:pPr>
      <w:r w:rsidRPr="00026DC4">
        <w:rPr>
          <w:color w:val="000000"/>
          <w:sz w:val="18"/>
          <w:szCs w:val="18"/>
          <w:lang w:val="de-CH"/>
        </w:rPr>
        <w:tab/>
      </w:r>
      <w:r w:rsidRPr="00026DC4">
        <w:rPr>
          <w:rStyle w:val="a8"/>
          <w:szCs w:val="18"/>
        </w:rPr>
        <w:footnoteRef/>
      </w:r>
      <w:r w:rsidRPr="00026DC4">
        <w:rPr>
          <w:sz w:val="18"/>
          <w:szCs w:val="18"/>
          <w:lang w:val="de-CH"/>
        </w:rPr>
        <w:t xml:space="preserve"> </w:t>
      </w:r>
      <w:r w:rsidRPr="00026DC4">
        <w:rPr>
          <w:sz w:val="18"/>
          <w:szCs w:val="18"/>
          <w:lang w:val="de-CH"/>
        </w:rPr>
        <w:tab/>
      </w:r>
      <w:r w:rsidRPr="00026DC4">
        <w:rPr>
          <w:sz w:val="18"/>
          <w:szCs w:val="18"/>
        </w:rPr>
        <w:t>См</w:t>
      </w:r>
      <w:r w:rsidRPr="00026DC4">
        <w:rPr>
          <w:sz w:val="18"/>
          <w:szCs w:val="18"/>
          <w:lang w:val="de-CH"/>
        </w:rPr>
        <w:t xml:space="preserve">. </w:t>
      </w:r>
      <w:r w:rsidR="00AE3C47">
        <w:fldChar w:fldCharType="begin"/>
      </w:r>
      <w:r w:rsidR="00AE3C47" w:rsidRPr="00AE3C47">
        <w:rPr>
          <w:lang w:val="es-ES"/>
        </w:rPr>
        <w:instrText xml:space="preserve"> HYPERLINK "https://undocs.org/en/E/C.12/2022/SR.45" </w:instrText>
      </w:r>
      <w:r w:rsidR="00AE3C47">
        <w:fldChar w:fldCharType="separate"/>
      </w:r>
      <w:r w:rsidRPr="005E538A">
        <w:rPr>
          <w:rStyle w:val="a7"/>
          <w:sz w:val="18"/>
          <w:szCs w:val="18"/>
          <w:lang w:val="de-CH"/>
        </w:rPr>
        <w:t>E/C.12/2022/SR.45</w:t>
      </w:r>
      <w:r w:rsidR="00AE3C47">
        <w:rPr>
          <w:rStyle w:val="a7"/>
          <w:sz w:val="18"/>
          <w:szCs w:val="18"/>
          <w:lang w:val="de-CH"/>
        </w:rPr>
        <w:fldChar w:fldCharType="end"/>
      </w:r>
      <w:r w:rsidRPr="00026DC4">
        <w:rPr>
          <w:sz w:val="18"/>
          <w:szCs w:val="18"/>
          <w:lang w:val="de-CH"/>
        </w:rPr>
        <w:t xml:space="preserve"> </w:t>
      </w:r>
      <w:r w:rsidRPr="00026DC4">
        <w:rPr>
          <w:sz w:val="18"/>
          <w:szCs w:val="18"/>
        </w:rPr>
        <w:t>и</w:t>
      </w:r>
      <w:r w:rsidRPr="00026DC4">
        <w:rPr>
          <w:sz w:val="18"/>
          <w:szCs w:val="18"/>
          <w:lang w:val="de-CH"/>
        </w:rPr>
        <w:t xml:space="preserve"> </w:t>
      </w:r>
      <w:hyperlink r:id="rId1" w:history="1">
        <w:r w:rsidR="002946C6" w:rsidRPr="000D0B4F">
          <w:rPr>
            <w:rStyle w:val="a7"/>
            <w:sz w:val="18"/>
            <w:szCs w:val="18"/>
            <w:lang w:val="es-ES"/>
          </w:rPr>
          <w:t>E/C.12/2022/SR.46</w:t>
        </w:r>
      </w:hyperlink>
      <w:r w:rsidRPr="00026DC4">
        <w:rPr>
          <w:sz w:val="18"/>
          <w:szCs w:val="18"/>
          <w:lang w:val="de-CH"/>
        </w:rPr>
        <w:t>.</w:t>
      </w:r>
    </w:p>
  </w:footnote>
  <w:footnote w:id="4">
    <w:p w14:paraId="26F52580" w14:textId="62DEC2B8" w:rsidR="00D33563" w:rsidRPr="00026DC4" w:rsidRDefault="00D33563" w:rsidP="00D33563">
      <w:pPr>
        <w:pStyle w:val="af"/>
        <w:rPr>
          <w:szCs w:val="18"/>
          <w:lang w:val="de-CH"/>
        </w:rPr>
      </w:pPr>
      <w:r w:rsidRPr="00026DC4">
        <w:rPr>
          <w:szCs w:val="18"/>
          <w:lang w:val="de-CH"/>
        </w:rPr>
        <w:tab/>
      </w:r>
      <w:r w:rsidRPr="00026DC4">
        <w:rPr>
          <w:rStyle w:val="a8"/>
          <w:szCs w:val="18"/>
        </w:rPr>
        <w:footnoteRef/>
      </w:r>
      <w:r w:rsidRPr="00026DC4">
        <w:rPr>
          <w:szCs w:val="18"/>
          <w:lang w:val="de-CH"/>
        </w:rPr>
        <w:tab/>
      </w:r>
      <w:r w:rsidR="00AE3C47">
        <w:fldChar w:fldCharType="begin"/>
      </w:r>
      <w:r w:rsidR="00AE3C47" w:rsidRPr="00AE3C47">
        <w:rPr>
          <w:lang w:val="es-ES"/>
        </w:rPr>
        <w:instrText xml:space="preserve"> HYPERLINK "http://undocs.org/ru/E/C.12/TJK/RQ/4" </w:instrText>
      </w:r>
      <w:r w:rsidR="00AE3C47">
        <w:fldChar w:fldCharType="separate"/>
      </w:r>
      <w:r w:rsidRPr="005E538A">
        <w:rPr>
          <w:rStyle w:val="a7"/>
          <w:szCs w:val="18"/>
          <w:lang w:val="de-CH"/>
        </w:rPr>
        <w:t>E/C.12/TJK/RQ/4</w:t>
      </w:r>
      <w:r w:rsidR="00AE3C47">
        <w:rPr>
          <w:rStyle w:val="a7"/>
          <w:szCs w:val="18"/>
          <w:lang w:val="de-CH"/>
        </w:rPr>
        <w:fldChar w:fldCharType="end"/>
      </w:r>
      <w:r w:rsidRPr="00026DC4">
        <w:rPr>
          <w:szCs w:val="18"/>
          <w:lang w:val="de-CH"/>
        </w:rPr>
        <w:t>.</w:t>
      </w:r>
    </w:p>
  </w:footnote>
  <w:footnote w:id="5">
    <w:p w14:paraId="25AC73A5" w14:textId="3F610C93" w:rsidR="00D33563" w:rsidRPr="004813D7" w:rsidRDefault="00D33563" w:rsidP="00D33563">
      <w:pPr>
        <w:pBdr>
          <w:top w:val="nil"/>
          <w:left w:val="nil"/>
          <w:bottom w:val="nil"/>
          <w:right w:val="nil"/>
          <w:between w:val="nil"/>
        </w:pBdr>
        <w:tabs>
          <w:tab w:val="right" w:pos="1021"/>
        </w:tabs>
        <w:spacing w:line="220" w:lineRule="auto"/>
        <w:ind w:left="1134" w:right="1134" w:hanging="1134"/>
        <w:rPr>
          <w:color w:val="000000"/>
          <w:sz w:val="18"/>
          <w:szCs w:val="18"/>
          <w:lang w:val="de-CH"/>
        </w:rPr>
      </w:pPr>
      <w:r w:rsidRPr="00026DC4">
        <w:rPr>
          <w:color w:val="000000"/>
          <w:sz w:val="18"/>
          <w:szCs w:val="18"/>
          <w:lang w:val="de-CH"/>
        </w:rPr>
        <w:tab/>
      </w:r>
      <w:r w:rsidRPr="00026DC4">
        <w:rPr>
          <w:rStyle w:val="a8"/>
          <w:szCs w:val="18"/>
        </w:rPr>
        <w:footnoteRef/>
      </w:r>
      <w:r w:rsidRPr="00026DC4">
        <w:rPr>
          <w:sz w:val="18"/>
          <w:szCs w:val="18"/>
          <w:lang w:val="de-CH"/>
        </w:rPr>
        <w:t xml:space="preserve"> </w:t>
      </w:r>
      <w:r w:rsidRPr="00026DC4">
        <w:rPr>
          <w:sz w:val="18"/>
          <w:szCs w:val="18"/>
          <w:lang w:val="de-CH"/>
        </w:rPr>
        <w:tab/>
      </w:r>
      <w:r w:rsidR="00AE3C47">
        <w:fldChar w:fldCharType="begin"/>
      </w:r>
      <w:r w:rsidR="00AE3C47" w:rsidRPr="00AE3C47">
        <w:rPr>
          <w:lang w:val="es-ES"/>
        </w:rPr>
        <w:instrText xml:space="preserve"> HYPERLINK "http://undocs.org/ru/E/C.12/TJK/Q/4" </w:instrText>
      </w:r>
      <w:r w:rsidR="00AE3C47">
        <w:fldChar w:fldCharType="separate"/>
      </w:r>
      <w:r w:rsidRPr="005E538A">
        <w:rPr>
          <w:rStyle w:val="a7"/>
          <w:sz w:val="18"/>
          <w:szCs w:val="18"/>
          <w:lang w:val="de-CH"/>
        </w:rPr>
        <w:t>E/C.12/TJK/Q/4</w:t>
      </w:r>
      <w:r w:rsidR="00AE3C47">
        <w:rPr>
          <w:rStyle w:val="a7"/>
          <w:sz w:val="18"/>
          <w:szCs w:val="18"/>
          <w:lang w:val="de-CH"/>
        </w:rPr>
        <w:fldChar w:fldCharType="end"/>
      </w:r>
      <w:r w:rsidRPr="00026DC4">
        <w:rPr>
          <w:sz w:val="18"/>
          <w:szCs w:val="18"/>
          <w:lang w:val="de-CH"/>
        </w:rPr>
        <w:t xml:space="preserve"> </w:t>
      </w:r>
      <w:r w:rsidRPr="00026DC4">
        <w:rPr>
          <w:sz w:val="18"/>
          <w:szCs w:val="18"/>
        </w:rPr>
        <w:t>и</w:t>
      </w:r>
      <w:r w:rsidRPr="00026DC4">
        <w:rPr>
          <w:sz w:val="18"/>
          <w:szCs w:val="18"/>
          <w:lang w:val="de-CH"/>
        </w:rPr>
        <w:t xml:space="preserve"> </w:t>
      </w:r>
      <w:hyperlink r:id="rId2" w:history="1">
        <w:r w:rsidR="00E85EE6" w:rsidRPr="00E85EE6">
          <w:rPr>
            <w:rStyle w:val="a7"/>
            <w:sz w:val="18"/>
            <w:szCs w:val="18"/>
            <w:lang w:val="es-ES"/>
          </w:rPr>
          <w:t>E/C.12/TJK/Q/4/Corr.1</w:t>
        </w:r>
      </w:hyperlink>
      <w:r w:rsidRPr="00026DC4">
        <w:rPr>
          <w:sz w:val="18"/>
          <w:szCs w:val="18"/>
          <w:lang w:val="de-CH"/>
        </w:rPr>
        <w:t>.</w:t>
      </w:r>
    </w:p>
  </w:footnote>
  <w:footnote w:id="6">
    <w:p w14:paraId="63DD5A1B" w14:textId="45B462BC" w:rsidR="00D33563" w:rsidRPr="004813D7" w:rsidRDefault="00D33563" w:rsidP="00D33563">
      <w:pPr>
        <w:pStyle w:val="af"/>
        <w:ind w:left="0" w:firstLine="0"/>
        <w:rPr>
          <w:lang w:val="de-CH"/>
        </w:rPr>
      </w:pPr>
      <w:r w:rsidRPr="004813D7">
        <w:rPr>
          <w:lang w:val="de-CH"/>
        </w:rPr>
        <w:tab/>
      </w:r>
      <w:r w:rsidRPr="00047D78">
        <w:rPr>
          <w:rStyle w:val="a8"/>
        </w:rPr>
        <w:footnoteRef/>
      </w:r>
      <w:r w:rsidRPr="004813D7">
        <w:rPr>
          <w:lang w:val="de-CH"/>
        </w:rPr>
        <w:t xml:space="preserve"> </w:t>
      </w:r>
      <w:r w:rsidRPr="004813D7">
        <w:rPr>
          <w:lang w:val="de-CH"/>
        </w:rPr>
        <w:tab/>
      </w:r>
      <w:r w:rsidR="00AE3C47">
        <w:fldChar w:fldCharType="begin"/>
      </w:r>
      <w:r w:rsidR="00AE3C47" w:rsidRPr="00AE3C47">
        <w:rPr>
          <w:lang w:val="es-ES"/>
        </w:rPr>
        <w:instrText xml:space="preserve"> HYPERLINK "http://undocs.org/ru/E/C.12/TJK/CO/2-3" </w:instrText>
      </w:r>
      <w:r w:rsidR="00AE3C47">
        <w:fldChar w:fldCharType="separate"/>
      </w:r>
      <w:r w:rsidRPr="005E538A">
        <w:rPr>
          <w:rStyle w:val="a7"/>
          <w:lang w:val="de-CH"/>
        </w:rPr>
        <w:t>E/C.12/TJK/CO/2-3</w:t>
      </w:r>
      <w:r w:rsidR="00AE3C47">
        <w:rPr>
          <w:rStyle w:val="a7"/>
          <w:lang w:val="de-CH"/>
        </w:rPr>
        <w:fldChar w:fldCharType="end"/>
      </w:r>
      <w:r w:rsidRPr="004813D7">
        <w:rPr>
          <w:lang w:val="de-CH"/>
        </w:rPr>
        <w:t xml:space="preserve">, </w:t>
      </w:r>
      <w:r>
        <w:t>п</w:t>
      </w:r>
      <w:r w:rsidRPr="004813D7">
        <w:rPr>
          <w:lang w:val="de-CH"/>
        </w:rPr>
        <w:t>. 8.</w:t>
      </w:r>
    </w:p>
  </w:footnote>
  <w:footnote w:id="7">
    <w:p w14:paraId="3DD69D7E" w14:textId="1B584D88" w:rsidR="00D33563" w:rsidRPr="004813D7" w:rsidRDefault="00D33563" w:rsidP="00D33563">
      <w:pPr>
        <w:pStyle w:val="af"/>
        <w:rPr>
          <w:lang w:val="de-CH"/>
        </w:rPr>
      </w:pPr>
      <w:r w:rsidRPr="004813D7">
        <w:rPr>
          <w:lang w:val="de-CH"/>
        </w:rPr>
        <w:tab/>
      </w:r>
      <w:r w:rsidRPr="00E42068">
        <w:rPr>
          <w:rStyle w:val="a8"/>
        </w:rPr>
        <w:footnoteRef/>
      </w:r>
      <w:r w:rsidRPr="004813D7">
        <w:rPr>
          <w:lang w:val="de-CH"/>
        </w:rPr>
        <w:t xml:space="preserve"> </w:t>
      </w:r>
      <w:r w:rsidRPr="004813D7">
        <w:rPr>
          <w:lang w:val="de-CH"/>
        </w:rPr>
        <w:tab/>
      </w:r>
      <w:r w:rsidR="00AE3C47">
        <w:fldChar w:fldCharType="begin"/>
      </w:r>
      <w:r w:rsidR="00AE3C47" w:rsidRPr="00AE3C47">
        <w:rPr>
          <w:lang w:val="es-ES"/>
        </w:rPr>
        <w:instrText xml:space="preserve"> HYPERLINK "http://undocs.org/ru/E/C.12/2016/2" </w:instrText>
      </w:r>
      <w:r w:rsidR="00AE3C47">
        <w:fldChar w:fldCharType="separate"/>
      </w:r>
      <w:r w:rsidRPr="005E538A">
        <w:rPr>
          <w:rStyle w:val="a7"/>
          <w:lang w:val="de-CH"/>
        </w:rPr>
        <w:t>E/C.12/2016/2</w:t>
      </w:r>
      <w:r w:rsidR="00AE3C47">
        <w:rPr>
          <w:rStyle w:val="a7"/>
          <w:lang w:val="de-CH"/>
        </w:rPr>
        <w:fldChar w:fldCharType="end"/>
      </w:r>
      <w:r w:rsidRPr="004813D7">
        <w:rPr>
          <w:lang w:val="de-CH"/>
        </w:rPr>
        <w:t>.</w:t>
      </w:r>
    </w:p>
  </w:footnote>
  <w:footnote w:id="8">
    <w:p w14:paraId="6D64C2E3" w14:textId="38080A7C" w:rsidR="00D33563" w:rsidRPr="004813D7" w:rsidRDefault="00D33563" w:rsidP="00D33563">
      <w:pPr>
        <w:pStyle w:val="af"/>
        <w:rPr>
          <w:lang w:val="de-CH"/>
        </w:rPr>
      </w:pPr>
      <w:r w:rsidRPr="004813D7">
        <w:rPr>
          <w:lang w:val="de-CH"/>
        </w:rPr>
        <w:tab/>
      </w:r>
      <w:r w:rsidRPr="00047D78">
        <w:rPr>
          <w:rStyle w:val="a8"/>
        </w:rPr>
        <w:footnoteRef/>
      </w:r>
      <w:r w:rsidRPr="004813D7">
        <w:rPr>
          <w:lang w:val="de-CH"/>
        </w:rPr>
        <w:t xml:space="preserve"> </w:t>
      </w:r>
      <w:r w:rsidRPr="004813D7">
        <w:rPr>
          <w:lang w:val="de-CH"/>
        </w:rPr>
        <w:tab/>
      </w:r>
      <w:r w:rsidR="00AE3C47">
        <w:fldChar w:fldCharType="begin"/>
      </w:r>
      <w:r w:rsidR="00AE3C47" w:rsidRPr="00AE3C47">
        <w:rPr>
          <w:lang w:val="es-ES"/>
        </w:rPr>
        <w:instrText xml:space="preserve"> HYPERLINK "http://undocs.org/ru/E/C.12/2020/1" </w:instrText>
      </w:r>
      <w:r w:rsidR="00AE3C47">
        <w:fldChar w:fldCharType="separate"/>
      </w:r>
      <w:r w:rsidRPr="005E538A">
        <w:rPr>
          <w:rStyle w:val="a7"/>
          <w:lang w:val="de-CH"/>
        </w:rPr>
        <w:t>E/C.12/2020/1</w:t>
      </w:r>
      <w:r w:rsidR="00AE3C47">
        <w:rPr>
          <w:rStyle w:val="a7"/>
          <w:lang w:val="de-CH"/>
        </w:rPr>
        <w:fldChar w:fldCharType="end"/>
      </w:r>
      <w:r w:rsidRPr="004813D7">
        <w:rPr>
          <w:lang w:val="de-CH"/>
        </w:rPr>
        <w:t>.</w:t>
      </w:r>
    </w:p>
  </w:footnote>
  <w:footnote w:id="9">
    <w:p w14:paraId="4D956FAE" w14:textId="09E85593" w:rsidR="00D33563" w:rsidRPr="004813D7" w:rsidRDefault="00D33563" w:rsidP="00D33563">
      <w:pPr>
        <w:pStyle w:val="af"/>
        <w:rPr>
          <w:lang w:val="de-CH"/>
        </w:rPr>
      </w:pPr>
      <w:r w:rsidRPr="004813D7">
        <w:rPr>
          <w:lang w:val="de-CH"/>
        </w:rPr>
        <w:tab/>
      </w:r>
      <w:r w:rsidRPr="00047D78">
        <w:rPr>
          <w:rStyle w:val="a8"/>
        </w:rPr>
        <w:footnoteRef/>
      </w:r>
      <w:r w:rsidRPr="004813D7">
        <w:rPr>
          <w:lang w:val="de-CH"/>
        </w:rPr>
        <w:t xml:space="preserve"> </w:t>
      </w:r>
      <w:r w:rsidRPr="004813D7">
        <w:rPr>
          <w:lang w:val="de-CH"/>
        </w:rPr>
        <w:tab/>
      </w:r>
      <w:r w:rsidR="00AE3C47">
        <w:fldChar w:fldCharType="begin"/>
      </w:r>
      <w:r w:rsidR="00AE3C47" w:rsidRPr="00AE3C47">
        <w:rPr>
          <w:lang w:val="es-ES"/>
        </w:rPr>
        <w:instrText xml:space="preserve"> HYPERLINK "http://undocs.org/ru</w:instrText>
      </w:r>
      <w:r w:rsidR="00AE3C47" w:rsidRPr="00AE3C47">
        <w:rPr>
          <w:lang w:val="es-ES"/>
        </w:rPr>
        <w:instrText xml:space="preserve">/E/C.12/TJK/CO/2-3" </w:instrText>
      </w:r>
      <w:r w:rsidR="00AE3C47">
        <w:fldChar w:fldCharType="separate"/>
      </w:r>
      <w:r w:rsidRPr="005E538A">
        <w:rPr>
          <w:rStyle w:val="a7"/>
          <w:lang w:val="de-CH"/>
        </w:rPr>
        <w:t>E/C.12/TJK/CO/2-3</w:t>
      </w:r>
      <w:r w:rsidR="00AE3C47">
        <w:rPr>
          <w:rStyle w:val="a7"/>
          <w:lang w:val="de-CH"/>
        </w:rPr>
        <w:fldChar w:fldCharType="end"/>
      </w:r>
      <w:r w:rsidRPr="004813D7">
        <w:rPr>
          <w:lang w:val="de-CH"/>
        </w:rPr>
        <w:t xml:space="preserve">, </w:t>
      </w:r>
      <w:r>
        <w:t>п</w:t>
      </w:r>
      <w:r w:rsidRPr="004813D7">
        <w:rPr>
          <w:lang w:val="de-CH"/>
        </w:rPr>
        <w:t>. 15.</w:t>
      </w:r>
    </w:p>
  </w:footnote>
  <w:footnote w:id="10">
    <w:p w14:paraId="78EA51BB" w14:textId="701DA1DD" w:rsidR="00D33563" w:rsidRPr="00E42068" w:rsidRDefault="00D33563" w:rsidP="00D33563">
      <w:pPr>
        <w:pStyle w:val="af"/>
      </w:pPr>
      <w:r w:rsidRPr="004813D7">
        <w:rPr>
          <w:lang w:val="de-CH"/>
        </w:rPr>
        <w:tab/>
      </w:r>
      <w:r w:rsidRPr="00E42068">
        <w:rPr>
          <w:rStyle w:val="a8"/>
        </w:rPr>
        <w:footnoteRef/>
      </w:r>
      <w:r w:rsidRPr="002F77A8">
        <w:rPr>
          <w:lang w:val="es-ES"/>
        </w:rPr>
        <w:t xml:space="preserve"> </w:t>
      </w:r>
      <w:r w:rsidRPr="002F77A8">
        <w:rPr>
          <w:lang w:val="es-ES"/>
        </w:rPr>
        <w:tab/>
      </w:r>
      <w:hyperlink r:id="rId3" w:history="1">
        <w:r w:rsidRPr="005E538A">
          <w:rPr>
            <w:rStyle w:val="a7"/>
          </w:rPr>
          <w:t>E/C.12/2017/1</w:t>
        </w:r>
      </w:hyperlink>
      <w:r>
        <w:t>.</w:t>
      </w:r>
    </w:p>
  </w:footnote>
  <w:footnote w:id="11">
    <w:p w14:paraId="504E65DF" w14:textId="1B2D3546" w:rsidR="00D33563" w:rsidRPr="00E42068" w:rsidRDefault="00D33563" w:rsidP="00D33563">
      <w:pPr>
        <w:pStyle w:val="af"/>
      </w:pPr>
      <w:r w:rsidRPr="00350605">
        <w:tab/>
      </w:r>
      <w:r w:rsidRPr="00047D78">
        <w:rPr>
          <w:rStyle w:val="a8"/>
        </w:rPr>
        <w:footnoteRef/>
      </w:r>
      <w:r>
        <w:t xml:space="preserve"> </w:t>
      </w:r>
      <w:r>
        <w:tab/>
      </w:r>
      <w:hyperlink r:id="rId4" w:history="1">
        <w:r w:rsidRPr="005E538A">
          <w:rPr>
            <w:rStyle w:val="a7"/>
          </w:rPr>
          <w:t>E/C.12/2018/1</w:t>
        </w:r>
      </w:hyperlink>
      <w:r>
        <w:t>.</w:t>
      </w:r>
    </w:p>
  </w:footnote>
  <w:footnote w:id="12">
    <w:p w14:paraId="6AA70E6D" w14:textId="0EFB72FC" w:rsidR="00D33563" w:rsidRPr="008D27CC" w:rsidRDefault="00D33563" w:rsidP="00D33563">
      <w:pPr>
        <w:pStyle w:val="af"/>
        <w:widowControl w:val="0"/>
        <w:tabs>
          <w:tab w:val="clear" w:pos="1021"/>
          <w:tab w:val="right" w:pos="1020"/>
        </w:tabs>
      </w:pPr>
      <w:r w:rsidRPr="001B10F2">
        <w:tab/>
      </w:r>
      <w:r w:rsidRPr="00047D78">
        <w:rPr>
          <w:rStyle w:val="a8"/>
        </w:rPr>
        <w:footnoteRef/>
      </w:r>
      <w:r>
        <w:tab/>
      </w:r>
      <w:hyperlink r:id="rId5" w:history="1">
        <w:r w:rsidRPr="005E538A">
          <w:rPr>
            <w:rStyle w:val="a7"/>
          </w:rPr>
          <w:t>E/C.12/2019/1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050B" w14:textId="0963B7A4" w:rsidR="00D33563" w:rsidRPr="00D33563" w:rsidRDefault="00AE3C4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E/C.12/TJK/CO/4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8BC9" w14:textId="0707DF12" w:rsidR="00D33563" w:rsidRPr="00D33563" w:rsidRDefault="00AE3C47" w:rsidP="00D3356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E/C.12/TJK/CO/4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9670" w14:textId="77777777" w:rsidR="00D33563" w:rsidRDefault="00D33563" w:rsidP="00D335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1F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46C6"/>
    <w:rsid w:val="002979E2"/>
    <w:rsid w:val="002A2EFC"/>
    <w:rsid w:val="002B74B1"/>
    <w:rsid w:val="002C0E18"/>
    <w:rsid w:val="002D5AAC"/>
    <w:rsid w:val="002E5067"/>
    <w:rsid w:val="002F405F"/>
    <w:rsid w:val="002F7011"/>
    <w:rsid w:val="002F77A8"/>
    <w:rsid w:val="002F7EEC"/>
    <w:rsid w:val="00301299"/>
    <w:rsid w:val="00305C08"/>
    <w:rsid w:val="00307FB6"/>
    <w:rsid w:val="00317339"/>
    <w:rsid w:val="00322004"/>
    <w:rsid w:val="003402C2"/>
    <w:rsid w:val="00381C24"/>
    <w:rsid w:val="003956CB"/>
    <w:rsid w:val="003958D0"/>
    <w:rsid w:val="003A0D43"/>
    <w:rsid w:val="003B00E5"/>
    <w:rsid w:val="003B7A1F"/>
    <w:rsid w:val="00407B78"/>
    <w:rsid w:val="004114ED"/>
    <w:rsid w:val="00424203"/>
    <w:rsid w:val="0042551A"/>
    <w:rsid w:val="00452493"/>
    <w:rsid w:val="00453318"/>
    <w:rsid w:val="00454E07"/>
    <w:rsid w:val="00472C5C"/>
    <w:rsid w:val="004E760A"/>
    <w:rsid w:val="004F2513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C640C"/>
    <w:rsid w:val="005D7914"/>
    <w:rsid w:val="005E2B41"/>
    <w:rsid w:val="005E538A"/>
    <w:rsid w:val="005F0B42"/>
    <w:rsid w:val="005F1707"/>
    <w:rsid w:val="00620B53"/>
    <w:rsid w:val="00640F49"/>
    <w:rsid w:val="00644DDD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67AA"/>
    <w:rsid w:val="00806737"/>
    <w:rsid w:val="00811570"/>
    <w:rsid w:val="00825F8D"/>
    <w:rsid w:val="00834B71"/>
    <w:rsid w:val="0086445C"/>
    <w:rsid w:val="00881771"/>
    <w:rsid w:val="00890269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80412"/>
    <w:rsid w:val="0098531D"/>
    <w:rsid w:val="009A24AC"/>
    <w:rsid w:val="00A00334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AE3C47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563"/>
    <w:rsid w:val="00D33D63"/>
    <w:rsid w:val="00D34308"/>
    <w:rsid w:val="00D5253A"/>
    <w:rsid w:val="00D62A45"/>
    <w:rsid w:val="00D90028"/>
    <w:rsid w:val="00D90138"/>
    <w:rsid w:val="00DB5598"/>
    <w:rsid w:val="00DD44B1"/>
    <w:rsid w:val="00DD78D1"/>
    <w:rsid w:val="00DE32CD"/>
    <w:rsid w:val="00DF71B9"/>
    <w:rsid w:val="00E73F76"/>
    <w:rsid w:val="00E85EE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A5B0D"/>
  <w15:docId w15:val="{0B4DCB78-CF5B-4441-A58C-9D7233B3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D33563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5E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E/C.12/2017/1" TargetMode="External"/><Relationship Id="rId2" Type="http://schemas.openxmlformats.org/officeDocument/2006/relationships/hyperlink" Target="https://undocs.org/en/E/C.12/TJK/Q/4/Corr.1" TargetMode="External"/><Relationship Id="rId1" Type="http://schemas.openxmlformats.org/officeDocument/2006/relationships/hyperlink" Target="https://undocs.org/en/E/C.12/2022/SR.46" TargetMode="External"/><Relationship Id="rId5" Type="http://schemas.openxmlformats.org/officeDocument/2006/relationships/hyperlink" Target="http://undocs.org/ru/E/C.12/2019/1" TargetMode="External"/><Relationship Id="rId4" Type="http://schemas.openxmlformats.org/officeDocument/2006/relationships/hyperlink" Target="http://undocs.org/ru/E/C.12/2018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13</Pages>
  <Words>4570</Words>
  <Characters>32310</Characters>
  <Application>Microsoft Office Word</Application>
  <DocSecurity>0</DocSecurity>
  <Lines>609</Lines>
  <Paragraphs>191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E/C.12/TJK/CO/4</vt:lpstr>
      <vt:lpstr>A/</vt:lpstr>
      <vt:lpstr>A/</vt:lpstr>
    </vt:vector>
  </TitlesOfParts>
  <Company>DCM</Company>
  <LinksUpToDate>false</LinksUpToDate>
  <CharactersWithSpaces>36689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E/C.12/TJK/CO/4</dc:title>
  <dc:subject/>
  <dc:creator>Olga OVTCHINNIKOVA</dc:creator>
  <cp:keywords/>
  <cp:lastModifiedBy>Olga Ovchinnikova</cp:lastModifiedBy>
  <cp:revision>3</cp:revision>
  <cp:lastPrinted>2022-12-19T10:43:00Z</cp:lastPrinted>
  <dcterms:created xsi:type="dcterms:W3CDTF">2022-12-19T10:43:00Z</dcterms:created>
  <dcterms:modified xsi:type="dcterms:W3CDTF">2022-12-19T10:44:00Z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