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682" w:rsidRDefault="00DD0682">
      <w:pPr>
        <w:rPr>
          <w:lang w:val="es-ES_tradnl"/>
        </w:rPr>
      </w:pPr>
      <w:r>
        <w:rPr>
          <w:noProof/>
          <w:sz w:val="20"/>
        </w:rPr>
        <w:pict>
          <v:line id="_x0000_s1031" style="position:absolute;z-index:6;mso-wrap-edited:f;mso-position-horizontal-relative:page;mso-position-vertical-relative:page" from="85.05pt,232.45pt" to="552.75pt,232.4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5.85pt;height:41.1pt;z-index:5;mso-wrap-edited:f;mso-position-horizontal-relative:page;mso-position-vertical-relative:page" wrapcoords="-167 0 -167 21600 21767 21600 21767 0 -167 0" filled="f" stroked="f">
            <v:textbox inset="0,0,0,0">
              <w:txbxContent>
                <w:p w:rsidR="00DD0682" w:rsidRDefault="00DD0682">
                  <w:pPr>
                    <w:rPr>
                      <w:rFonts w:ascii="Arial" w:hAnsi="Arial" w:cs="Arial"/>
                      <w:b/>
                      <w:bCs/>
                      <w:sz w:val="34"/>
                      <w:lang w:val="es-ES_tradnl"/>
                    </w:rPr>
                  </w:pPr>
                  <w:r>
                    <w:rPr>
                      <w:rFonts w:ascii="Arial" w:hAnsi="Arial" w:cs="Arial"/>
                      <w:b/>
                      <w:bCs/>
                      <w:sz w:val="34"/>
                      <w:lang w:val="es-ES_tradnl"/>
                    </w:rPr>
                    <w:t>Consejo Económico</w:t>
                  </w:r>
                  <w:r>
                    <w:rPr>
                      <w:rFonts w:ascii="Arial" w:hAnsi="Arial" w:cs="Arial"/>
                      <w:b/>
                      <w:bCs/>
                      <w:sz w:val="34"/>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1.4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881582" r:id="rId8"/>
        </w:pict>
      </w:r>
      <w:r>
        <w:rPr>
          <w:noProof/>
          <w:sz w:val="20"/>
        </w:rPr>
        <w:pict>
          <v:line id="_x0000_s1028" style="position:absolute;z-index:3;mso-wrap-edited:f;mso-position-horizontal-relative:page;mso-position-vertical-relative:page" from="85.05pt,99.25pt" to="552.75pt,99.25pt" wrapcoords="-35 0 -35 0 21635 0 21635 0 -35 0">
            <w10:wrap anchorx="page" anchory="page"/>
            <w10:anchorlock/>
          </v:line>
        </w:pict>
      </w:r>
      <w:r>
        <w:rPr>
          <w:noProof/>
          <w:sz w:val="20"/>
        </w:rPr>
        <w:pict>
          <v:shape id="_x0000_s1027" type="#_x0000_t202" style="position:absolute;margin-left:530.15pt;margin-top:52.45pt;width:42.5pt;height:45.35pt;z-index:2;mso-wrap-edited:f;mso-position-horizontal-relative:page;mso-position-vertical-relative:page" wrapcoords="-167 0 -167 21600 21767 21600 21767 0 -167 0" filled="f" stroked="f">
            <v:textbox inset="0,0,0,0">
              <w:txbxContent>
                <w:p w:rsidR="00DD0682" w:rsidRDefault="00DD0682">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DD0682" w:rsidRDefault="00DD0682">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DD0682" w:rsidRDefault="00DD0682"/>
    <w:p w:rsidR="00DD0682" w:rsidRPr="00AE6E3D" w:rsidRDefault="00DD0682" w:rsidP="00DD0682">
      <w:pPr>
        <w:spacing w:after="240"/>
        <w:ind w:left="7265"/>
      </w:pPr>
      <w:r w:rsidRPr="00AE6E3D">
        <w:t>Distr</w:t>
      </w:r>
      <w:r>
        <w:t>.</w:t>
      </w:r>
      <w:r>
        <w:br/>
      </w:r>
      <w:fldSimple w:instr=" FILLIN &quot;Distr.&quot; \* MERGEFORMAT ">
        <w:r w:rsidRPr="00AE6E3D">
          <w:t>GENERAL</w:t>
        </w:r>
      </w:fldSimple>
    </w:p>
    <w:p w:rsidR="00DD0682" w:rsidRPr="00AE6E3D" w:rsidRDefault="00DD0682" w:rsidP="00DD0682">
      <w:pPr>
        <w:spacing w:after="240"/>
        <w:ind w:left="7265"/>
      </w:pPr>
      <w:fldSimple w:instr=" FILLIN &quot;Symbol&quot; \* MERGEFORMAT ">
        <w:r w:rsidRPr="00AE6E3D">
          <w:t>E/C.12/DZA/</w:t>
        </w:r>
      </w:fldSimple>
      <w:r w:rsidRPr="00AE6E3D">
        <w:t>4</w:t>
      </w:r>
      <w:r>
        <w:br/>
        <w:t>6 de enero de 2009</w:t>
      </w:r>
    </w:p>
    <w:p w:rsidR="00DD0682" w:rsidRDefault="00DD0682" w:rsidP="00DD0682">
      <w:pPr>
        <w:spacing w:after="660"/>
        <w:ind w:left="7263"/>
      </w:pPr>
      <w:r w:rsidRPr="00AE6E3D">
        <w:t>ESPAÑOL</w:t>
      </w:r>
      <w:r>
        <w:br/>
      </w:r>
      <w:r w:rsidRPr="00AE6E3D">
        <w:t>Original</w:t>
      </w:r>
      <w:r>
        <w:t xml:space="preserve">:  </w:t>
      </w:r>
      <w:r w:rsidRPr="00AE6E3D">
        <w:t>FRANCÉS</w:t>
      </w:r>
    </w:p>
    <w:p w:rsidR="00DD0682" w:rsidRPr="00AE6E3D" w:rsidRDefault="00DD0682" w:rsidP="00DD0682">
      <w:pPr>
        <w:spacing w:after="960"/>
      </w:pPr>
      <w:r w:rsidRPr="00AE6E3D">
        <w:t>Período de sesiones sustantivo de 2010</w:t>
      </w:r>
    </w:p>
    <w:p w:rsidR="00DD0682" w:rsidRPr="00AE6E3D" w:rsidRDefault="00DD0682" w:rsidP="00DD0682">
      <w:pPr>
        <w:spacing w:after="240"/>
        <w:jc w:val="center"/>
        <w:rPr>
          <w:b/>
        </w:rPr>
      </w:pPr>
      <w:r w:rsidRPr="00AE6E3D">
        <w:rPr>
          <w:b/>
        </w:rPr>
        <w:t>APLICACIÓN DEL PACTO INTERNACIONAL DE DERECHOS</w:t>
      </w:r>
      <w:r>
        <w:rPr>
          <w:b/>
        </w:rPr>
        <w:br/>
      </w:r>
      <w:r w:rsidRPr="00AE6E3D">
        <w:rPr>
          <w:b/>
        </w:rPr>
        <w:t>ECONÓMICOS, SOCIALES Y CULTURALES</w:t>
      </w:r>
    </w:p>
    <w:p w:rsidR="00DD0682" w:rsidRPr="00AE6E3D" w:rsidRDefault="00DD0682" w:rsidP="00DD0682">
      <w:pPr>
        <w:spacing w:after="240"/>
        <w:jc w:val="center"/>
        <w:rPr>
          <w:b/>
        </w:rPr>
      </w:pPr>
      <w:r w:rsidRPr="00AE6E3D">
        <w:rPr>
          <w:b/>
        </w:rPr>
        <w:t>Informes periódicos tercero y cuarto, presentados en un solo documento,</w:t>
      </w:r>
      <w:r>
        <w:rPr>
          <w:b/>
        </w:rPr>
        <w:br/>
      </w:r>
      <w:r w:rsidRPr="00AE6E3D">
        <w:rPr>
          <w:b/>
        </w:rPr>
        <w:t>de conformidad con los artículos 16 y 17 del Pacto</w:t>
      </w:r>
    </w:p>
    <w:p w:rsidR="00DD0682" w:rsidRPr="00AE6E3D" w:rsidRDefault="00DD0682" w:rsidP="00DD0682">
      <w:pPr>
        <w:spacing w:after="240"/>
        <w:jc w:val="center"/>
        <w:rPr>
          <w:b/>
        </w:rPr>
      </w:pPr>
      <w:r w:rsidRPr="00AE6E3D">
        <w:rPr>
          <w:b/>
        </w:rPr>
        <w:t>ARGELIA</w:t>
      </w:r>
      <w:r w:rsidRPr="00E923FC">
        <w:rPr>
          <w:rStyle w:val="FootnoteReference"/>
        </w:rPr>
        <w:footnoteReference w:customMarkFollows="1" w:id="1"/>
        <w:t>*</w:t>
      </w:r>
    </w:p>
    <w:p w:rsidR="00DD0682" w:rsidRPr="00AE6E3D" w:rsidRDefault="00DD0682" w:rsidP="00DD0682">
      <w:pPr>
        <w:spacing w:after="240"/>
        <w:jc w:val="right"/>
      </w:pPr>
      <w:r w:rsidRPr="00AE6E3D">
        <w:t>[31 de diciembre de 2007]</w:t>
      </w:r>
    </w:p>
    <w:p w:rsidR="00DD0682" w:rsidRDefault="00DD0682" w:rsidP="00DD0682">
      <w:pPr>
        <w:spacing w:after="240"/>
        <w:jc w:val="center"/>
      </w:pPr>
      <w:r>
        <w:br w:type="page"/>
      </w:r>
      <w:r>
        <w:rPr>
          <w:b/>
        </w:rPr>
        <w:t>ÍNDICE</w:t>
      </w:r>
    </w:p>
    <w:p w:rsidR="00DD0682" w:rsidRDefault="00DD0682" w:rsidP="00DD0682">
      <w:pPr>
        <w:spacing w:after="240"/>
        <w:jc w:val="right"/>
        <w:rPr>
          <w:i/>
        </w:rPr>
      </w:pPr>
      <w:r>
        <w:rPr>
          <w:i/>
        </w:rPr>
        <w:t>Párrafos     Página</w:t>
      </w:r>
    </w:p>
    <w:p w:rsidR="00DD0682" w:rsidRDefault="00DD0682" w:rsidP="00DD0682">
      <w:pPr>
        <w:tabs>
          <w:tab w:val="right" w:pos="567"/>
          <w:tab w:val="left" w:pos="850"/>
          <w:tab w:val="left" w:pos="1304"/>
          <w:tab w:val="left" w:pos="1701"/>
          <w:tab w:val="right" w:leader="dot" w:pos="7285"/>
          <w:tab w:val="right" w:pos="7835"/>
          <w:tab w:val="center" w:pos="7920"/>
          <w:tab w:val="right" w:pos="8357"/>
          <w:tab w:val="right" w:pos="9099"/>
        </w:tabs>
        <w:spacing w:after="240"/>
      </w:pPr>
      <w:r>
        <w:t>INTRODUCCIÓN</w:t>
      </w:r>
      <w:r>
        <w:tab/>
      </w:r>
      <w:r>
        <w:tab/>
        <w:t>1</w:t>
      </w:r>
      <w:r>
        <w:tab/>
        <w:t>-</w:t>
      </w:r>
      <w:r>
        <w:tab/>
        <w:t>6</w:t>
      </w:r>
      <w:r>
        <w:tab/>
      </w:r>
      <w:r w:rsidR="00CA0F81">
        <w:t>4</w:t>
      </w:r>
    </w:p>
    <w:p w:rsidR="00DD0682" w:rsidRDefault="00DD0682" w:rsidP="00DD0682">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t>Primera parte</w:t>
      </w:r>
    </w:p>
    <w:p w:rsidR="00DD0682" w:rsidRDefault="00DD0682" w:rsidP="00DD0682">
      <w:pPr>
        <w:tabs>
          <w:tab w:val="right" w:pos="567"/>
          <w:tab w:val="left" w:pos="850"/>
          <w:tab w:val="left" w:pos="1304"/>
          <w:tab w:val="left" w:pos="1701"/>
          <w:tab w:val="right" w:leader="dot" w:pos="7285"/>
          <w:tab w:val="right" w:pos="7835"/>
          <w:tab w:val="center" w:pos="7920"/>
          <w:tab w:val="right" w:pos="8357"/>
          <w:tab w:val="right" w:pos="9099"/>
        </w:tabs>
        <w:spacing w:after="240"/>
      </w:pPr>
      <w:r>
        <w:t>INFORMACIÓN GENERAL Y RESPUESTAS A LAS</w:t>
      </w:r>
      <w:r>
        <w:br/>
        <w:t>PREOCUPACIONES Y RECOMENDACIONES DEL COMITÉ</w:t>
      </w:r>
      <w:r>
        <w:tab/>
      </w:r>
      <w:r>
        <w:tab/>
        <w:t>7</w:t>
      </w:r>
      <w:r>
        <w:tab/>
        <w:t>-</w:t>
      </w:r>
      <w:r>
        <w:tab/>
        <w:t>106</w:t>
      </w:r>
      <w:r>
        <w:tab/>
      </w:r>
      <w:r w:rsidR="00E315E9">
        <w:t>5</w:t>
      </w:r>
    </w:p>
    <w:p w:rsidR="00DD0682" w:rsidRDefault="00DD0682" w:rsidP="00DD0682">
      <w:pPr>
        <w:tabs>
          <w:tab w:val="right" w:pos="567"/>
          <w:tab w:val="left" w:pos="850"/>
          <w:tab w:val="left" w:pos="1304"/>
          <w:tab w:val="left" w:pos="1701"/>
          <w:tab w:val="right" w:leader="dot" w:pos="7285"/>
          <w:tab w:val="right" w:pos="7835"/>
          <w:tab w:val="center" w:pos="7920"/>
          <w:tab w:val="right" w:pos="8357"/>
          <w:tab w:val="right" w:pos="9099"/>
        </w:tabs>
        <w:spacing w:after="240"/>
      </w:pPr>
      <w:r>
        <w:tab/>
        <w:t>I.</w:t>
      </w:r>
      <w:r>
        <w:tab/>
        <w:t>ESTRUCTURA POLÍTICA GENERAL</w:t>
      </w:r>
      <w:r>
        <w:tab/>
      </w:r>
      <w:r>
        <w:tab/>
        <w:t>11</w:t>
      </w:r>
      <w:r>
        <w:tab/>
        <w:t>-</w:t>
      </w:r>
      <w:r>
        <w:tab/>
        <w:t>19</w:t>
      </w:r>
      <w:r>
        <w:tab/>
      </w:r>
      <w:r w:rsidR="00E315E9">
        <w:t>5</w:t>
      </w:r>
    </w:p>
    <w:p w:rsidR="00DD0682" w:rsidRDefault="00DD0682" w:rsidP="00DD0682">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w:t>
      </w:r>
      <w:r>
        <w:tab/>
        <w:t>Territorio y población</w:t>
      </w:r>
      <w:r>
        <w:tab/>
      </w:r>
      <w:r>
        <w:tab/>
      </w:r>
      <w:r>
        <w:tab/>
        <w:t>11</w:t>
      </w:r>
      <w:r>
        <w:tab/>
      </w:r>
      <w:r>
        <w:tab/>
      </w:r>
      <w:r w:rsidR="00E315E9">
        <w:t>5</w:t>
      </w:r>
    </w:p>
    <w:p w:rsidR="00DD0682" w:rsidRDefault="00DD0682" w:rsidP="00DD0682">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B.</w:t>
      </w:r>
      <w:r>
        <w:tab/>
        <w:t>Estructura política</w:t>
      </w:r>
      <w:r>
        <w:tab/>
      </w:r>
      <w:r>
        <w:tab/>
        <w:t>12</w:t>
      </w:r>
      <w:r>
        <w:tab/>
        <w:t>-</w:t>
      </w:r>
      <w:r>
        <w:tab/>
        <w:t>19</w:t>
      </w:r>
      <w:r>
        <w:tab/>
      </w:r>
      <w:r w:rsidR="00E315E9">
        <w:t>6</w:t>
      </w:r>
    </w:p>
    <w:p w:rsidR="00DD0682" w:rsidRDefault="00DD0682" w:rsidP="00DD0682">
      <w:pPr>
        <w:tabs>
          <w:tab w:val="right" w:pos="567"/>
          <w:tab w:val="left" w:pos="850"/>
          <w:tab w:val="left" w:pos="1304"/>
          <w:tab w:val="left" w:pos="1701"/>
          <w:tab w:val="right" w:leader="dot" w:pos="7285"/>
          <w:tab w:val="right" w:pos="7835"/>
          <w:tab w:val="center" w:pos="7920"/>
          <w:tab w:val="right" w:pos="8357"/>
          <w:tab w:val="right" w:pos="9099"/>
        </w:tabs>
        <w:spacing w:after="240"/>
      </w:pPr>
      <w:r>
        <w:tab/>
        <w:t>II.</w:t>
      </w:r>
      <w:r>
        <w:tab/>
        <w:t>MARCO NORMATIVO GENERAL PARA LA PROTECCIÓN</w:t>
      </w:r>
      <w:r>
        <w:br/>
      </w:r>
      <w:r>
        <w:tab/>
      </w:r>
      <w:r>
        <w:tab/>
        <w:t>DE LOS DERECHOS HUMANOS</w:t>
      </w:r>
      <w:r>
        <w:tab/>
      </w:r>
      <w:r>
        <w:tab/>
        <w:t>20</w:t>
      </w:r>
      <w:r>
        <w:tab/>
        <w:t>-</w:t>
      </w:r>
      <w:r>
        <w:tab/>
        <w:t>39</w:t>
      </w:r>
      <w:r>
        <w:tab/>
      </w:r>
      <w:r w:rsidR="00E315E9">
        <w:t>7</w:t>
      </w:r>
    </w:p>
    <w:p w:rsidR="00DD0682" w:rsidRDefault="00DD0682" w:rsidP="00DD0682">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w:t>
      </w:r>
      <w:r>
        <w:tab/>
        <w:t>Mecanismos de derechos humanos</w:t>
      </w:r>
      <w:r>
        <w:tab/>
      </w:r>
      <w:r>
        <w:tab/>
        <w:t>20</w:t>
      </w:r>
      <w:r>
        <w:tab/>
        <w:t>-</w:t>
      </w:r>
      <w:r>
        <w:tab/>
        <w:t>36</w:t>
      </w:r>
      <w:r>
        <w:tab/>
      </w:r>
      <w:r w:rsidR="00E315E9">
        <w:t>7</w:t>
      </w:r>
    </w:p>
    <w:p w:rsidR="00DD0682" w:rsidRDefault="00DD0682" w:rsidP="00DD0682">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B.</w:t>
      </w:r>
      <w:r>
        <w:tab/>
        <w:t>Tratados internacionales y orden interno</w:t>
      </w:r>
      <w:r>
        <w:tab/>
      </w:r>
      <w:r>
        <w:tab/>
        <w:t>37</w:t>
      </w:r>
      <w:r>
        <w:tab/>
        <w:t>-</w:t>
      </w:r>
      <w:r>
        <w:tab/>
        <w:t>39</w:t>
      </w:r>
      <w:r>
        <w:tab/>
      </w:r>
      <w:r w:rsidR="0078737B">
        <w:t>10</w:t>
      </w:r>
    </w:p>
    <w:p w:rsidR="00DD0682" w:rsidRDefault="00DD0682" w:rsidP="00DD0682">
      <w:pPr>
        <w:tabs>
          <w:tab w:val="right" w:pos="567"/>
          <w:tab w:val="left" w:pos="850"/>
          <w:tab w:val="left" w:pos="1304"/>
          <w:tab w:val="left" w:pos="1701"/>
          <w:tab w:val="right" w:leader="dot" w:pos="7285"/>
          <w:tab w:val="right" w:pos="7835"/>
          <w:tab w:val="center" w:pos="7920"/>
          <w:tab w:val="right" w:pos="8357"/>
          <w:tab w:val="right" w:pos="9099"/>
        </w:tabs>
        <w:spacing w:after="240"/>
      </w:pPr>
      <w:r>
        <w:tab/>
        <w:t>III.</w:t>
      </w:r>
      <w:r>
        <w:tab/>
        <w:t>INFORMACIÓN Y PUBLICIDAD</w:t>
      </w:r>
      <w:r>
        <w:tab/>
      </w:r>
      <w:r>
        <w:tab/>
        <w:t>40</w:t>
      </w:r>
      <w:r>
        <w:tab/>
        <w:t>-</w:t>
      </w:r>
      <w:r>
        <w:tab/>
        <w:t>43</w:t>
      </w:r>
      <w:r>
        <w:tab/>
      </w:r>
      <w:r w:rsidR="0078737B">
        <w:t>10</w:t>
      </w:r>
    </w:p>
    <w:p w:rsidR="00DD0682" w:rsidRDefault="00DD0682" w:rsidP="00DD0682">
      <w:pPr>
        <w:tabs>
          <w:tab w:val="right" w:pos="567"/>
          <w:tab w:val="left" w:pos="850"/>
          <w:tab w:val="left" w:pos="1304"/>
          <w:tab w:val="left" w:pos="1701"/>
          <w:tab w:val="right" w:leader="dot" w:pos="7285"/>
          <w:tab w:val="right" w:pos="7835"/>
          <w:tab w:val="center" w:pos="7920"/>
          <w:tab w:val="right" w:pos="8357"/>
          <w:tab w:val="right" w:pos="9099"/>
        </w:tabs>
        <w:spacing w:after="240"/>
      </w:pPr>
      <w:r>
        <w:tab/>
        <w:t>IV.</w:t>
      </w:r>
      <w:r>
        <w:tab/>
        <w:t>DERECHOS HUMANOS Y LUCHA CONTRA EL</w:t>
      </w:r>
      <w:r>
        <w:br/>
      </w:r>
      <w:r>
        <w:tab/>
      </w:r>
      <w:r>
        <w:tab/>
        <w:t>TERRORISMO</w:t>
      </w:r>
      <w:r>
        <w:tab/>
      </w:r>
      <w:r>
        <w:tab/>
        <w:t>44</w:t>
      </w:r>
      <w:r>
        <w:tab/>
        <w:t>-</w:t>
      </w:r>
      <w:r>
        <w:tab/>
        <w:t>54</w:t>
      </w:r>
      <w:r>
        <w:tab/>
      </w:r>
      <w:r w:rsidR="0078737B">
        <w:t>11</w:t>
      </w:r>
    </w:p>
    <w:p w:rsidR="00DD0682" w:rsidRDefault="00DD0682" w:rsidP="009263C7">
      <w:pPr>
        <w:tabs>
          <w:tab w:val="right" w:pos="567"/>
          <w:tab w:val="left" w:pos="850"/>
          <w:tab w:val="left" w:pos="1304"/>
          <w:tab w:val="left" w:pos="1701"/>
          <w:tab w:val="right" w:leader="dot" w:pos="7285"/>
          <w:tab w:val="right" w:pos="7835"/>
          <w:tab w:val="center" w:pos="7920"/>
          <w:tab w:val="right" w:pos="8357"/>
          <w:tab w:val="right" w:pos="9099"/>
        </w:tabs>
        <w:spacing w:after="240"/>
      </w:pPr>
      <w:r>
        <w:tab/>
        <w:t>V.</w:t>
      </w:r>
      <w:r>
        <w:tab/>
        <w:t>RESPUESTAS A LAS PREOCUPACIONES DEL COMITÉ</w:t>
      </w:r>
      <w:r>
        <w:tab/>
      </w:r>
      <w:r>
        <w:tab/>
        <w:t>55</w:t>
      </w:r>
      <w:r>
        <w:tab/>
        <w:t>-</w:t>
      </w:r>
      <w:r>
        <w:tab/>
        <w:t>106</w:t>
      </w:r>
      <w:r>
        <w:tab/>
      </w:r>
      <w:r w:rsidR="0078737B">
        <w:t>13</w:t>
      </w:r>
    </w:p>
    <w:p w:rsidR="00DD0682" w:rsidRDefault="00DD0682" w:rsidP="00DD0682">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t>Segunda parte</w:t>
      </w:r>
    </w:p>
    <w:p w:rsidR="00DD0682" w:rsidRDefault="00DD0682" w:rsidP="00DD0682">
      <w:pPr>
        <w:tabs>
          <w:tab w:val="right" w:pos="567"/>
          <w:tab w:val="left" w:pos="850"/>
          <w:tab w:val="left" w:pos="1246"/>
          <w:tab w:val="right" w:leader="dot" w:pos="7285"/>
          <w:tab w:val="right" w:pos="7835"/>
          <w:tab w:val="center" w:pos="7920"/>
          <w:tab w:val="right" w:pos="8357"/>
          <w:tab w:val="right" w:pos="9099"/>
        </w:tabs>
        <w:spacing w:after="240"/>
      </w:pPr>
      <w:r>
        <w:t>INFORMACIÓN RELATIVA A LAS DISPOSICIONES DE FONDO</w:t>
      </w:r>
      <w:r>
        <w:br/>
        <w:t>DEL PACTO</w:t>
      </w:r>
      <w:r>
        <w:tab/>
      </w:r>
      <w:r>
        <w:tab/>
        <w:t>107</w:t>
      </w:r>
      <w:r>
        <w:tab/>
        <w:t>-</w:t>
      </w:r>
      <w:r>
        <w:tab/>
        <w:t>442</w:t>
      </w:r>
      <w:r>
        <w:tab/>
      </w:r>
      <w:r w:rsidR="00E315E9">
        <w:t>21</w:t>
      </w:r>
    </w:p>
    <w:p w:rsidR="00DD0682" w:rsidRDefault="0007272E" w:rsidP="009263C7">
      <w:pPr>
        <w:tabs>
          <w:tab w:val="left" w:pos="567"/>
          <w:tab w:val="left" w:pos="850"/>
          <w:tab w:val="left" w:pos="1246"/>
          <w:tab w:val="right" w:leader="dot" w:pos="7285"/>
          <w:tab w:val="right" w:pos="7835"/>
          <w:tab w:val="center" w:pos="7920"/>
          <w:tab w:val="right" w:pos="8357"/>
          <w:tab w:val="right" w:pos="9099"/>
        </w:tabs>
        <w:spacing w:after="240"/>
      </w:pPr>
      <w:r>
        <w:tab/>
        <w:t>Artículo 1.</w:t>
      </w:r>
      <w:r w:rsidR="00DD0682">
        <w:t xml:space="preserve">  Derecho de libre determinación de los pueblos</w:t>
      </w:r>
      <w:r w:rsidR="00DD0682">
        <w:tab/>
      </w:r>
      <w:r w:rsidR="00DD0682">
        <w:tab/>
        <w:t>107</w:t>
      </w:r>
      <w:r w:rsidR="00DD0682">
        <w:tab/>
        <w:t>-</w:t>
      </w:r>
      <w:r w:rsidR="00DD0682">
        <w:tab/>
        <w:t>109</w:t>
      </w:r>
      <w:r w:rsidR="00DD0682">
        <w:tab/>
      </w:r>
      <w:r w:rsidR="00E315E9">
        <w:t>21</w:t>
      </w:r>
    </w:p>
    <w:p w:rsidR="00DD0682" w:rsidRDefault="0007272E" w:rsidP="0007272E">
      <w:pPr>
        <w:tabs>
          <w:tab w:val="left" w:pos="567"/>
          <w:tab w:val="left" w:pos="850"/>
          <w:tab w:val="left" w:pos="1246"/>
          <w:tab w:val="right" w:leader="dot" w:pos="7285"/>
          <w:tab w:val="right" w:pos="7835"/>
          <w:tab w:val="center" w:pos="7920"/>
          <w:tab w:val="right" w:pos="8357"/>
          <w:tab w:val="right" w:pos="9099"/>
        </w:tabs>
        <w:spacing w:after="240"/>
      </w:pPr>
      <w:r>
        <w:tab/>
        <w:t>Artículo 2.</w:t>
      </w:r>
      <w:r w:rsidR="00DD0682">
        <w:t xml:space="preserve">  Obligaciones de los Estados partes</w:t>
      </w:r>
      <w:r w:rsidR="00DD0682">
        <w:tab/>
      </w:r>
      <w:r w:rsidR="00DD0682">
        <w:tab/>
        <w:t>110</w:t>
      </w:r>
      <w:r w:rsidR="00DD0682">
        <w:tab/>
        <w:t>-</w:t>
      </w:r>
      <w:r w:rsidR="00DD0682">
        <w:tab/>
      </w:r>
      <w:r w:rsidR="00CA0F81">
        <w:t>112</w:t>
      </w:r>
      <w:r w:rsidR="00DD0682">
        <w:tab/>
      </w:r>
      <w:r w:rsidR="00E315E9">
        <w:t>21</w:t>
      </w:r>
    </w:p>
    <w:p w:rsidR="00CA0F81" w:rsidRPr="002E122F" w:rsidRDefault="00CA0F81" w:rsidP="0007272E">
      <w:pPr>
        <w:tabs>
          <w:tab w:val="left" w:pos="567"/>
          <w:tab w:val="left" w:pos="850"/>
          <w:tab w:val="left" w:pos="1246"/>
          <w:tab w:val="right" w:leader="dot" w:pos="7285"/>
          <w:tab w:val="right" w:pos="7835"/>
          <w:tab w:val="center" w:pos="7920"/>
          <w:tab w:val="right" w:pos="8357"/>
          <w:tab w:val="right" w:pos="9099"/>
        </w:tabs>
        <w:spacing w:after="240"/>
        <w:rPr>
          <w:bCs/>
          <w:snapToGrid w:val="0"/>
        </w:rPr>
      </w:pPr>
      <w:r>
        <w:tab/>
      </w:r>
      <w:r w:rsidRPr="002E122F">
        <w:t>Artículo</w:t>
      </w:r>
      <w:r w:rsidRPr="002E122F">
        <w:rPr>
          <w:bCs/>
          <w:snapToGrid w:val="0"/>
        </w:rPr>
        <w:t xml:space="preserve"> 3.  Igualdad de derechos entre hombres y mujeres</w:t>
      </w:r>
      <w:r>
        <w:rPr>
          <w:bCs/>
          <w:snapToGrid w:val="0"/>
        </w:rPr>
        <w:tab/>
      </w:r>
      <w:r>
        <w:rPr>
          <w:bCs/>
          <w:snapToGrid w:val="0"/>
        </w:rPr>
        <w:tab/>
        <w:t>113</w:t>
      </w:r>
      <w:r>
        <w:rPr>
          <w:bCs/>
          <w:snapToGrid w:val="0"/>
        </w:rPr>
        <w:tab/>
        <w:t>-</w:t>
      </w:r>
      <w:r>
        <w:rPr>
          <w:bCs/>
          <w:snapToGrid w:val="0"/>
        </w:rPr>
        <w:tab/>
        <w:t>147</w:t>
      </w:r>
      <w:r>
        <w:rPr>
          <w:bCs/>
          <w:snapToGrid w:val="0"/>
        </w:rPr>
        <w:tab/>
      </w:r>
      <w:r w:rsidR="00E315E9">
        <w:rPr>
          <w:bCs/>
          <w:snapToGrid w:val="0"/>
        </w:rPr>
        <w:t>22</w:t>
      </w:r>
    </w:p>
    <w:p w:rsidR="00CA0F81" w:rsidRPr="002E122F" w:rsidRDefault="00CA0F81" w:rsidP="0007272E">
      <w:pPr>
        <w:tabs>
          <w:tab w:val="left" w:pos="567"/>
          <w:tab w:val="left" w:pos="850"/>
          <w:tab w:val="left" w:pos="1246"/>
          <w:tab w:val="right" w:leader="dot" w:pos="7285"/>
          <w:tab w:val="right" w:pos="7835"/>
          <w:tab w:val="center" w:pos="7920"/>
          <w:tab w:val="right" w:pos="8357"/>
          <w:tab w:val="right" w:pos="9099"/>
        </w:tabs>
        <w:spacing w:after="240"/>
        <w:rPr>
          <w:bCs/>
          <w:snapToGrid w:val="0"/>
        </w:rPr>
      </w:pPr>
      <w:r>
        <w:tab/>
      </w:r>
      <w:r w:rsidRPr="002E122F">
        <w:t>Artículos</w:t>
      </w:r>
      <w:r w:rsidRPr="002E122F">
        <w:rPr>
          <w:bCs/>
          <w:snapToGrid w:val="0"/>
        </w:rPr>
        <w:t xml:space="preserve"> 4 y 5.  </w:t>
      </w:r>
      <w:r w:rsidRPr="002E122F">
        <w:rPr>
          <w:snapToGrid w:val="0"/>
        </w:rPr>
        <w:t>Limitaciones a los derechos establecidos por</w:t>
      </w:r>
      <w:r>
        <w:rPr>
          <w:snapToGrid w:val="0"/>
        </w:rPr>
        <w:br/>
      </w:r>
      <w:r>
        <w:rPr>
          <w:snapToGrid w:val="0"/>
        </w:rPr>
        <w:tab/>
      </w:r>
      <w:r w:rsidRPr="002E122F">
        <w:rPr>
          <w:snapToGrid w:val="0"/>
        </w:rPr>
        <w:t>el Pacto</w:t>
      </w:r>
      <w:r>
        <w:rPr>
          <w:snapToGrid w:val="0"/>
        </w:rPr>
        <w:tab/>
      </w:r>
      <w:r>
        <w:rPr>
          <w:snapToGrid w:val="0"/>
        </w:rPr>
        <w:tab/>
        <w:t>148</w:t>
      </w:r>
      <w:r>
        <w:rPr>
          <w:snapToGrid w:val="0"/>
        </w:rPr>
        <w:tab/>
        <w:t>-</w:t>
      </w:r>
      <w:r>
        <w:rPr>
          <w:snapToGrid w:val="0"/>
        </w:rPr>
        <w:tab/>
        <w:t>152</w:t>
      </w:r>
      <w:r>
        <w:rPr>
          <w:snapToGrid w:val="0"/>
        </w:rPr>
        <w:tab/>
      </w:r>
      <w:r w:rsidR="00E315E9">
        <w:rPr>
          <w:snapToGrid w:val="0"/>
        </w:rPr>
        <w:t>27</w:t>
      </w:r>
    </w:p>
    <w:p w:rsidR="00CA0F81" w:rsidRPr="002E122F" w:rsidRDefault="00CA0F81" w:rsidP="0007272E">
      <w:pPr>
        <w:tabs>
          <w:tab w:val="left" w:pos="567"/>
          <w:tab w:val="left" w:pos="850"/>
          <w:tab w:val="left" w:pos="1246"/>
          <w:tab w:val="right" w:leader="dot" w:pos="7285"/>
          <w:tab w:val="right" w:pos="7835"/>
          <w:tab w:val="center" w:pos="7920"/>
          <w:tab w:val="right" w:pos="8357"/>
          <w:tab w:val="right" w:pos="9099"/>
        </w:tabs>
        <w:spacing w:after="240"/>
        <w:rPr>
          <w:bCs/>
          <w:snapToGrid w:val="0"/>
        </w:rPr>
      </w:pPr>
      <w:r>
        <w:tab/>
      </w:r>
      <w:r w:rsidRPr="002E122F">
        <w:t>Artículo</w:t>
      </w:r>
      <w:r w:rsidRPr="002E122F">
        <w:rPr>
          <w:bCs/>
          <w:snapToGrid w:val="0"/>
        </w:rPr>
        <w:t xml:space="preserve"> 6.  El derecho al trabajo</w:t>
      </w:r>
      <w:r>
        <w:rPr>
          <w:bCs/>
          <w:snapToGrid w:val="0"/>
        </w:rPr>
        <w:tab/>
      </w:r>
      <w:r>
        <w:rPr>
          <w:bCs/>
          <w:snapToGrid w:val="0"/>
        </w:rPr>
        <w:tab/>
        <w:t>153</w:t>
      </w:r>
      <w:r>
        <w:rPr>
          <w:bCs/>
          <w:snapToGrid w:val="0"/>
        </w:rPr>
        <w:tab/>
        <w:t>-</w:t>
      </w:r>
      <w:r>
        <w:rPr>
          <w:bCs/>
          <w:snapToGrid w:val="0"/>
        </w:rPr>
        <w:tab/>
        <w:t>159</w:t>
      </w:r>
      <w:r>
        <w:rPr>
          <w:bCs/>
          <w:snapToGrid w:val="0"/>
        </w:rPr>
        <w:tab/>
      </w:r>
      <w:r w:rsidR="00E315E9">
        <w:rPr>
          <w:bCs/>
          <w:snapToGrid w:val="0"/>
        </w:rPr>
        <w:t>28</w:t>
      </w:r>
    </w:p>
    <w:p w:rsidR="00CA0F81" w:rsidRPr="002E122F" w:rsidRDefault="00CA0F81" w:rsidP="0007272E">
      <w:pPr>
        <w:tabs>
          <w:tab w:val="left" w:pos="567"/>
          <w:tab w:val="left" w:pos="850"/>
          <w:tab w:val="left" w:pos="1246"/>
          <w:tab w:val="right" w:leader="dot" w:pos="7285"/>
          <w:tab w:val="right" w:pos="7835"/>
          <w:tab w:val="center" w:pos="7920"/>
          <w:tab w:val="right" w:pos="8357"/>
          <w:tab w:val="right" w:pos="9099"/>
        </w:tabs>
        <w:spacing w:after="240"/>
        <w:rPr>
          <w:snapToGrid w:val="0"/>
        </w:rPr>
      </w:pPr>
      <w:r>
        <w:tab/>
      </w:r>
      <w:r w:rsidRPr="002E122F">
        <w:t>Artículo</w:t>
      </w:r>
      <w:r w:rsidRPr="002E122F">
        <w:rPr>
          <w:snapToGrid w:val="0"/>
        </w:rPr>
        <w:t xml:space="preserve"> 7.  Derecho a condiciones de trabajo equitativas</w:t>
      </w:r>
      <w:r>
        <w:rPr>
          <w:snapToGrid w:val="0"/>
        </w:rPr>
        <w:br/>
      </w:r>
      <w:r>
        <w:rPr>
          <w:snapToGrid w:val="0"/>
        </w:rPr>
        <w:tab/>
        <w:t>y satisfactorias</w:t>
      </w:r>
      <w:r>
        <w:rPr>
          <w:snapToGrid w:val="0"/>
        </w:rPr>
        <w:tab/>
      </w:r>
      <w:r>
        <w:rPr>
          <w:snapToGrid w:val="0"/>
        </w:rPr>
        <w:tab/>
        <w:t>160</w:t>
      </w:r>
      <w:r>
        <w:rPr>
          <w:snapToGrid w:val="0"/>
        </w:rPr>
        <w:tab/>
        <w:t>-</w:t>
      </w:r>
      <w:r>
        <w:rPr>
          <w:snapToGrid w:val="0"/>
        </w:rPr>
        <w:tab/>
        <w:t>187</w:t>
      </w:r>
      <w:r>
        <w:rPr>
          <w:snapToGrid w:val="0"/>
        </w:rPr>
        <w:tab/>
      </w:r>
      <w:r w:rsidR="00E315E9">
        <w:rPr>
          <w:snapToGrid w:val="0"/>
        </w:rPr>
        <w:t>30</w:t>
      </w:r>
    </w:p>
    <w:p w:rsidR="00E315E9" w:rsidRDefault="00E315E9" w:rsidP="00E315E9">
      <w:pPr>
        <w:spacing w:after="240"/>
        <w:jc w:val="center"/>
        <w:rPr>
          <w:i/>
        </w:rPr>
      </w:pPr>
      <w:r>
        <w:rPr>
          <w:b/>
        </w:rPr>
        <w:t xml:space="preserve">ÍNDICE </w:t>
      </w:r>
      <w:r w:rsidRPr="00E315E9">
        <w:rPr>
          <w:i/>
        </w:rPr>
        <w:t>(continuación)</w:t>
      </w:r>
    </w:p>
    <w:p w:rsidR="00AE7C07" w:rsidRPr="00AE7C07" w:rsidRDefault="00AE7C07" w:rsidP="00E315E9">
      <w:pPr>
        <w:spacing w:after="240"/>
        <w:jc w:val="center"/>
      </w:pPr>
      <w:r w:rsidRPr="00AE7C07">
        <w:t>Segunda Parte</w:t>
      </w:r>
      <w:r>
        <w:t xml:space="preserve"> </w:t>
      </w:r>
      <w:r w:rsidRPr="00AE7C07">
        <w:rPr>
          <w:i/>
        </w:rPr>
        <w:t>(continuación)</w:t>
      </w:r>
    </w:p>
    <w:p w:rsidR="00E315E9" w:rsidRDefault="00E315E9" w:rsidP="00E315E9">
      <w:pPr>
        <w:spacing w:after="240"/>
        <w:jc w:val="right"/>
        <w:rPr>
          <w:i/>
        </w:rPr>
      </w:pPr>
      <w:r>
        <w:rPr>
          <w:i/>
        </w:rPr>
        <w:t>Párrafos     Página</w:t>
      </w:r>
    </w:p>
    <w:p w:rsidR="00CA0F81" w:rsidRPr="002E122F" w:rsidRDefault="00CA0F81" w:rsidP="0007272E">
      <w:pPr>
        <w:tabs>
          <w:tab w:val="left" w:pos="567"/>
          <w:tab w:val="left" w:pos="850"/>
          <w:tab w:val="left" w:pos="1246"/>
          <w:tab w:val="right" w:leader="dot" w:pos="7285"/>
          <w:tab w:val="right" w:pos="7835"/>
          <w:tab w:val="center" w:pos="7920"/>
          <w:tab w:val="right" w:pos="8357"/>
          <w:tab w:val="right" w:pos="9099"/>
        </w:tabs>
        <w:spacing w:after="240"/>
        <w:rPr>
          <w:snapToGrid w:val="0"/>
        </w:rPr>
      </w:pPr>
      <w:r>
        <w:tab/>
      </w:r>
      <w:r w:rsidRPr="002E122F">
        <w:t>Artículo</w:t>
      </w:r>
      <w:r w:rsidRPr="002E122F">
        <w:rPr>
          <w:snapToGrid w:val="0"/>
        </w:rPr>
        <w:t xml:space="preserve"> 8.  Libertad sindical y derecho de huelga</w:t>
      </w:r>
      <w:r>
        <w:rPr>
          <w:snapToGrid w:val="0"/>
        </w:rPr>
        <w:tab/>
      </w:r>
      <w:r>
        <w:rPr>
          <w:snapToGrid w:val="0"/>
        </w:rPr>
        <w:tab/>
        <w:t>188</w:t>
      </w:r>
      <w:r>
        <w:rPr>
          <w:snapToGrid w:val="0"/>
        </w:rPr>
        <w:tab/>
        <w:t>-</w:t>
      </w:r>
      <w:r>
        <w:rPr>
          <w:snapToGrid w:val="0"/>
        </w:rPr>
        <w:tab/>
        <w:t>206</w:t>
      </w:r>
      <w:r>
        <w:rPr>
          <w:snapToGrid w:val="0"/>
        </w:rPr>
        <w:tab/>
      </w:r>
      <w:r w:rsidR="00E315E9">
        <w:rPr>
          <w:snapToGrid w:val="0"/>
        </w:rPr>
        <w:t>34</w:t>
      </w:r>
    </w:p>
    <w:p w:rsidR="00CA0F81" w:rsidRPr="002E122F" w:rsidRDefault="00CA0F81" w:rsidP="0007272E">
      <w:pPr>
        <w:tabs>
          <w:tab w:val="left" w:pos="567"/>
          <w:tab w:val="left" w:pos="850"/>
          <w:tab w:val="left" w:pos="1246"/>
          <w:tab w:val="right" w:leader="dot" w:pos="7285"/>
          <w:tab w:val="right" w:pos="7835"/>
          <w:tab w:val="center" w:pos="7920"/>
          <w:tab w:val="right" w:pos="8357"/>
          <w:tab w:val="right" w:pos="9099"/>
        </w:tabs>
        <w:spacing w:after="240"/>
      </w:pPr>
      <w:r>
        <w:tab/>
      </w:r>
      <w:r w:rsidRPr="002E122F">
        <w:t>Artículo 9.  Derecho a la seguridad social y al seguro social</w:t>
      </w:r>
      <w:r>
        <w:tab/>
      </w:r>
      <w:r>
        <w:tab/>
        <w:t>207</w:t>
      </w:r>
      <w:r>
        <w:tab/>
        <w:t>-</w:t>
      </w:r>
      <w:r>
        <w:tab/>
        <w:t>223</w:t>
      </w:r>
      <w:r>
        <w:tab/>
      </w:r>
      <w:r w:rsidR="00E315E9">
        <w:t>39</w:t>
      </w:r>
    </w:p>
    <w:p w:rsidR="00CA0F81" w:rsidRPr="002E122F" w:rsidRDefault="00CA0F81" w:rsidP="0007272E">
      <w:pPr>
        <w:tabs>
          <w:tab w:val="left" w:pos="567"/>
          <w:tab w:val="left" w:pos="850"/>
          <w:tab w:val="left" w:pos="1246"/>
          <w:tab w:val="right" w:leader="dot" w:pos="7285"/>
          <w:tab w:val="right" w:pos="7835"/>
          <w:tab w:val="center" w:pos="7920"/>
          <w:tab w:val="right" w:pos="8357"/>
          <w:tab w:val="right" w:pos="9099"/>
        </w:tabs>
        <w:spacing w:after="240"/>
      </w:pPr>
      <w:r>
        <w:tab/>
      </w:r>
      <w:r w:rsidRPr="002E122F">
        <w:t>Artículo 10.  Protección de la familia, la niñez y la adolescencia</w:t>
      </w:r>
      <w:r>
        <w:tab/>
      </w:r>
      <w:r>
        <w:tab/>
        <w:t>224</w:t>
      </w:r>
      <w:r>
        <w:tab/>
        <w:t>-</w:t>
      </w:r>
      <w:r>
        <w:tab/>
        <w:t>239</w:t>
      </w:r>
      <w:r>
        <w:tab/>
      </w:r>
      <w:r w:rsidR="00E315E9">
        <w:t>41</w:t>
      </w:r>
    </w:p>
    <w:p w:rsidR="00CA0F81" w:rsidRPr="002E122F" w:rsidRDefault="00CA0F81" w:rsidP="0007272E">
      <w:pPr>
        <w:tabs>
          <w:tab w:val="left" w:pos="567"/>
          <w:tab w:val="left" w:pos="850"/>
          <w:tab w:val="left" w:pos="1246"/>
          <w:tab w:val="right" w:leader="dot" w:pos="7285"/>
          <w:tab w:val="right" w:pos="7835"/>
          <w:tab w:val="center" w:pos="7920"/>
          <w:tab w:val="right" w:pos="8357"/>
          <w:tab w:val="right" w:pos="9099"/>
        </w:tabs>
        <w:spacing w:after="240"/>
      </w:pPr>
      <w:r>
        <w:tab/>
      </w:r>
      <w:r w:rsidRPr="002E122F">
        <w:t>Artículo 11.  Derecho a la vivienda y a un nivel de vida adecuado</w:t>
      </w:r>
      <w:r w:rsidR="0007272E">
        <w:tab/>
      </w:r>
      <w:r w:rsidR="0007272E">
        <w:tab/>
        <w:t>240</w:t>
      </w:r>
      <w:r w:rsidR="0007272E">
        <w:tab/>
        <w:t>-</w:t>
      </w:r>
      <w:r w:rsidR="0007272E">
        <w:tab/>
        <w:t>251</w:t>
      </w:r>
      <w:r>
        <w:tab/>
      </w:r>
      <w:r w:rsidR="00E315E9">
        <w:t>44</w:t>
      </w:r>
    </w:p>
    <w:p w:rsidR="00CA0F81" w:rsidRPr="002E122F" w:rsidRDefault="00CA0F81" w:rsidP="0007272E">
      <w:pPr>
        <w:tabs>
          <w:tab w:val="left" w:pos="567"/>
          <w:tab w:val="left" w:pos="850"/>
          <w:tab w:val="left" w:pos="1246"/>
          <w:tab w:val="right" w:leader="dot" w:pos="7285"/>
          <w:tab w:val="right" w:pos="7835"/>
          <w:tab w:val="center" w:pos="7920"/>
          <w:tab w:val="right" w:pos="8357"/>
          <w:tab w:val="right" w:pos="9099"/>
        </w:tabs>
        <w:spacing w:after="240"/>
      </w:pPr>
      <w:r>
        <w:tab/>
      </w:r>
      <w:r w:rsidRPr="002E122F">
        <w:t>Artículo 12.  Derecho a la salud</w:t>
      </w:r>
      <w:r>
        <w:tab/>
      </w:r>
      <w:r>
        <w:tab/>
        <w:t>252</w:t>
      </w:r>
      <w:r>
        <w:tab/>
        <w:t>-</w:t>
      </w:r>
      <w:r>
        <w:tab/>
        <w:t>319</w:t>
      </w:r>
      <w:r>
        <w:tab/>
      </w:r>
      <w:r w:rsidR="00E315E9">
        <w:t>47</w:t>
      </w:r>
    </w:p>
    <w:p w:rsidR="00CA0F81" w:rsidRPr="002E122F" w:rsidRDefault="00CA0F81" w:rsidP="0007272E">
      <w:pPr>
        <w:tabs>
          <w:tab w:val="left" w:pos="567"/>
          <w:tab w:val="left" w:pos="850"/>
          <w:tab w:val="left" w:pos="1246"/>
          <w:tab w:val="right" w:leader="dot" w:pos="7285"/>
          <w:tab w:val="right" w:pos="7835"/>
          <w:tab w:val="center" w:pos="7920"/>
          <w:tab w:val="right" w:pos="8357"/>
          <w:tab w:val="right" w:pos="9099"/>
        </w:tabs>
        <w:spacing w:after="240"/>
      </w:pPr>
      <w:r>
        <w:tab/>
      </w:r>
      <w:r w:rsidRPr="002E122F">
        <w:t>Artículos 13 y 14.  Derecho a la educación y a su gratuidad</w:t>
      </w:r>
      <w:r>
        <w:tab/>
      </w:r>
      <w:r>
        <w:tab/>
        <w:t>320</w:t>
      </w:r>
      <w:r>
        <w:tab/>
        <w:t>-</w:t>
      </w:r>
      <w:r>
        <w:tab/>
        <w:t>415</w:t>
      </w:r>
      <w:r>
        <w:tab/>
      </w:r>
      <w:r w:rsidR="00CB30D2">
        <w:t>63</w:t>
      </w:r>
    </w:p>
    <w:p w:rsidR="00CA0F81" w:rsidRPr="002E122F" w:rsidRDefault="00CA0F81" w:rsidP="0007272E">
      <w:pPr>
        <w:tabs>
          <w:tab w:val="left" w:pos="567"/>
          <w:tab w:val="left" w:pos="850"/>
          <w:tab w:val="left" w:pos="1246"/>
          <w:tab w:val="right" w:leader="dot" w:pos="7285"/>
          <w:tab w:val="right" w:pos="7835"/>
          <w:tab w:val="center" w:pos="7920"/>
          <w:tab w:val="right" w:pos="8357"/>
          <w:tab w:val="right" w:pos="9099"/>
        </w:tabs>
        <w:spacing w:after="240"/>
        <w:rPr>
          <w:snapToGrid w:val="0"/>
        </w:rPr>
      </w:pPr>
      <w:r>
        <w:tab/>
      </w:r>
      <w:r w:rsidRPr="002E122F">
        <w:t>Artículo 15.  Derecho a participar en la vida cultural, a gozar de</w:t>
      </w:r>
      <w:r>
        <w:br/>
      </w:r>
      <w:r>
        <w:tab/>
      </w:r>
      <w:r w:rsidRPr="002E122F">
        <w:t>los beneficios del progreso científico y a la</w:t>
      </w:r>
      <w:r w:rsidRPr="002E122F">
        <w:rPr>
          <w:snapToGrid w:val="0"/>
        </w:rPr>
        <w:t xml:space="preserve"> protección de los</w:t>
      </w:r>
      <w:r>
        <w:rPr>
          <w:snapToGrid w:val="0"/>
        </w:rPr>
        <w:br/>
      </w:r>
      <w:r>
        <w:rPr>
          <w:snapToGrid w:val="0"/>
        </w:rPr>
        <w:tab/>
      </w:r>
      <w:r w:rsidRPr="002E122F">
        <w:rPr>
          <w:snapToGrid w:val="0"/>
        </w:rPr>
        <w:t>derechos de autor</w:t>
      </w:r>
      <w:r>
        <w:rPr>
          <w:snapToGrid w:val="0"/>
        </w:rPr>
        <w:tab/>
      </w:r>
      <w:r>
        <w:rPr>
          <w:snapToGrid w:val="0"/>
        </w:rPr>
        <w:tab/>
        <w:t>416</w:t>
      </w:r>
      <w:r>
        <w:rPr>
          <w:snapToGrid w:val="0"/>
        </w:rPr>
        <w:tab/>
        <w:t>-</w:t>
      </w:r>
      <w:r>
        <w:rPr>
          <w:snapToGrid w:val="0"/>
        </w:rPr>
        <w:tab/>
        <w:t>442</w:t>
      </w:r>
      <w:r w:rsidR="00CB30D2">
        <w:rPr>
          <w:snapToGrid w:val="0"/>
        </w:rPr>
        <w:tab/>
        <w:t>79</w:t>
      </w:r>
    </w:p>
    <w:p w:rsidR="00DD0682" w:rsidRPr="00E923FC" w:rsidRDefault="00DD0682" w:rsidP="00DD0682">
      <w:pPr>
        <w:tabs>
          <w:tab w:val="right" w:pos="567"/>
          <w:tab w:val="left" w:pos="850"/>
          <w:tab w:val="left" w:pos="1304"/>
          <w:tab w:val="left" w:pos="1701"/>
          <w:tab w:val="right" w:leader="dot" w:pos="7285"/>
          <w:tab w:val="right" w:pos="7835"/>
          <w:tab w:val="center" w:pos="7920"/>
          <w:tab w:val="right" w:pos="8357"/>
          <w:tab w:val="right" w:pos="9099"/>
        </w:tabs>
        <w:spacing w:after="240"/>
      </w:pPr>
    </w:p>
    <w:p w:rsidR="00DD0682" w:rsidRPr="00E923FC" w:rsidRDefault="00DD0682" w:rsidP="00DD0682">
      <w:pPr>
        <w:spacing w:after="240"/>
        <w:jc w:val="center"/>
        <w:rPr>
          <w:b/>
        </w:rPr>
      </w:pPr>
      <w:r>
        <w:br w:type="page"/>
      </w:r>
      <w:r w:rsidRPr="00E923FC">
        <w:rPr>
          <w:b/>
        </w:rPr>
        <w:t>INTRODUCCIÓN</w:t>
      </w:r>
    </w:p>
    <w:p w:rsidR="00DD0682" w:rsidRPr="00AE6E3D" w:rsidRDefault="00DD0682" w:rsidP="00DD0682">
      <w:pPr>
        <w:spacing w:after="240"/>
      </w:pPr>
      <w:r w:rsidRPr="00AE6E3D">
        <w:t>1.</w:t>
      </w:r>
      <w:r w:rsidRPr="00AE6E3D">
        <w:tab/>
        <w:t>Argelia ratificó el Pacto Internacional de Derechos Económicos, Sociales y Culturales el</w:t>
      </w:r>
      <w:r>
        <w:t> </w:t>
      </w:r>
      <w:r w:rsidRPr="00AE6E3D">
        <w:t>12 de diciembre de 1989</w:t>
      </w:r>
      <w:r>
        <w:t xml:space="preserve">.  </w:t>
      </w:r>
      <w:r w:rsidRPr="00AE6E3D">
        <w:t xml:space="preserve">Los días 30 de noviembre y </w:t>
      </w:r>
      <w:r>
        <w:t>1º</w:t>
      </w:r>
      <w:r w:rsidRPr="00AE6E3D">
        <w:t xml:space="preserve"> de diciembre de 1995 presentó su informe inicial al Comité (E/1990/5/Add</w:t>
      </w:r>
      <w:r>
        <w:t>.</w:t>
      </w:r>
      <w:r w:rsidRPr="00AE6E3D">
        <w:t>22), y el 15 de noviembre de 2001, su segundo informe (E/1990/6/Add</w:t>
      </w:r>
      <w:r>
        <w:t>.</w:t>
      </w:r>
      <w:r w:rsidRPr="00AE6E3D">
        <w:t>26).</w:t>
      </w:r>
    </w:p>
    <w:p w:rsidR="00DD0682" w:rsidRPr="00AE6E3D" w:rsidRDefault="00DD0682" w:rsidP="00DD0682">
      <w:pPr>
        <w:spacing w:after="240"/>
      </w:pPr>
      <w:r w:rsidRPr="00AE6E3D">
        <w:t>2.</w:t>
      </w:r>
      <w:r w:rsidRPr="00AE6E3D">
        <w:tab/>
        <w:t>Al presentar este informe, la delegación de Argelia expuso el programa de reformas iniciado tras la aprobación de la revisión constitucional de 1996, destinado a crear nuevas instituciones basadas en el pluralismo político, la separación de poderes, la independencia del poder judicial y la libertad de expresión.</w:t>
      </w:r>
    </w:p>
    <w:p w:rsidR="00DD0682" w:rsidRPr="00AE6E3D" w:rsidRDefault="00DD0682" w:rsidP="00DD0682">
      <w:pPr>
        <w:spacing w:after="240"/>
      </w:pPr>
      <w:r w:rsidRPr="00AE6E3D">
        <w:t>3.</w:t>
      </w:r>
      <w:r w:rsidRPr="00AE6E3D">
        <w:tab/>
        <w:t>La delegación de Argelia subrayó también que, a nivel internacional, las autoridades del país se habían esforzado por acelerar el proceso gradual de adhesión a los diferentes instrumentos internacionales de derechos humanos, gracias a lo cual Argelia ha firmado ya la totalidad de los principales instrumentos.</w:t>
      </w:r>
    </w:p>
    <w:p w:rsidR="00DD0682" w:rsidRPr="00AE6E3D" w:rsidRDefault="00DD0682" w:rsidP="00DD0682">
      <w:pPr>
        <w:spacing w:after="240"/>
      </w:pPr>
      <w:r w:rsidRPr="00AE6E3D">
        <w:t>4.</w:t>
      </w:r>
      <w:r w:rsidRPr="00AE6E3D">
        <w:tab/>
        <w:t>Por su parte, los miembros del Comité formularon una serie de observaciones y comentarios, a los que en el presente informe el Gobierno de Argelia da respuesta, aportando las aclaraciones necesarias sobre los cambios que se han producido posteriormente.</w:t>
      </w:r>
    </w:p>
    <w:p w:rsidR="00DD0682" w:rsidRPr="00AE6E3D" w:rsidRDefault="00DD0682" w:rsidP="00DD0682">
      <w:pPr>
        <w:spacing w:after="240"/>
      </w:pPr>
      <w:r w:rsidRPr="00AE6E3D">
        <w:t>5.</w:t>
      </w:r>
      <w:r w:rsidRPr="00AE6E3D">
        <w:tab/>
        <w:t>De conformidad con las orientaciones relativas a la presentación de los informes periódicos de los Estados partes, el presente informe, en el que se refunden en un solo documento consolidado los informes periódicos tercero y cuarto, se ha dividido a grandes rasgos en dos partes:</w:t>
      </w:r>
    </w:p>
    <w:p w:rsidR="00DD0682" w:rsidRPr="00AE6E3D" w:rsidRDefault="00DD0682" w:rsidP="00DD0682">
      <w:pPr>
        <w:spacing w:after="240"/>
        <w:ind w:left="1134" w:hanging="567"/>
      </w:pPr>
      <w:r w:rsidRPr="00AE6E3D">
        <w:t>a)</w:t>
      </w:r>
      <w:r w:rsidRPr="00AE6E3D">
        <w:tab/>
      </w:r>
      <w:r w:rsidRPr="00E923FC">
        <w:rPr>
          <w:b/>
        </w:rPr>
        <w:t>La primera</w:t>
      </w:r>
      <w:r w:rsidRPr="00AE6E3D">
        <w:t xml:space="preserve">, titulada </w:t>
      </w:r>
      <w:r>
        <w:t>"</w:t>
      </w:r>
      <w:r w:rsidRPr="00AE6E3D">
        <w:t>Información general y respuestas a las preocupaciones y recomendaciones del Comité</w:t>
      </w:r>
      <w:r>
        <w:t>",</w:t>
      </w:r>
      <w:r w:rsidRPr="00AE6E3D">
        <w:t xml:space="preserve"> presenta la estructura política general del país y recuerda el contexto general en el que se enmarca la labor de fomento y protección de los derechos humanos</w:t>
      </w:r>
      <w:r>
        <w:t xml:space="preserve">.  </w:t>
      </w:r>
      <w:r w:rsidRPr="00AE6E3D">
        <w:t>Contiene igualmente las respuestas del Gobierno de Argelia a las observaciones y comentarios formulados por los miembros del Comité con motivo de la presentación del segundo informe periódico, en noviembre de 2001.</w:t>
      </w:r>
    </w:p>
    <w:p w:rsidR="00DD0682" w:rsidRPr="00AE6E3D" w:rsidRDefault="00DD0682" w:rsidP="00DD0682">
      <w:pPr>
        <w:spacing w:after="240"/>
        <w:ind w:left="1134" w:hanging="567"/>
      </w:pPr>
      <w:r w:rsidRPr="00AE6E3D">
        <w:t>b)</w:t>
      </w:r>
      <w:r w:rsidRPr="00AE6E3D">
        <w:tab/>
      </w:r>
      <w:r w:rsidRPr="00E923FC">
        <w:rPr>
          <w:b/>
        </w:rPr>
        <w:t>La segunda</w:t>
      </w:r>
      <w:r w:rsidRPr="00AE6E3D">
        <w:t xml:space="preserve"> parte abarca la información sobre los cambios introducidos en relación con las disposiciones sustantivas del Pacto</w:t>
      </w:r>
      <w:r>
        <w:t xml:space="preserve">.  </w:t>
      </w:r>
      <w:r w:rsidRPr="00AE6E3D">
        <w:t>En ella se responde a algunas de las preocupaciones expresadas por los miembros del Comité a raíz de la presentación del segundo informe periódico.</w:t>
      </w:r>
    </w:p>
    <w:p w:rsidR="00DD0682" w:rsidRPr="00AE6E3D" w:rsidRDefault="00DD0682" w:rsidP="00DD0682">
      <w:pPr>
        <w:spacing w:after="240"/>
      </w:pPr>
      <w:r w:rsidRPr="00AE6E3D">
        <w:t>6.</w:t>
      </w:r>
      <w:r w:rsidRPr="00AE6E3D">
        <w:tab/>
        <w:t>El Gobierno de Argelia desea puntualizar que el retraso en la presentación del presente informe periódico respecto de los plazos previstos no se ha debido en absoluto a la voluntad deliberada de eludir una obligación internacional, sino que obedece de hecho al deseo de las autoridades argelinas de preparar un informe de calidad que represente un avance en relación con los anteriores y que refleje sobre todo los progresos realizados en todos los ámbitos de las disposiciones del Pacto.</w:t>
      </w:r>
    </w:p>
    <w:p w:rsidR="00DD0682" w:rsidRPr="00B3317E" w:rsidRDefault="00DD0682" w:rsidP="00DD0682">
      <w:pPr>
        <w:keepNext/>
        <w:spacing w:after="240"/>
        <w:jc w:val="center"/>
        <w:rPr>
          <w:b/>
        </w:rPr>
      </w:pPr>
      <w:r w:rsidRPr="00B3317E">
        <w:rPr>
          <w:b/>
        </w:rPr>
        <w:t>Primera parte</w:t>
      </w:r>
    </w:p>
    <w:p w:rsidR="00DD0682" w:rsidRPr="00B3317E" w:rsidRDefault="00DD0682" w:rsidP="00DD0682">
      <w:pPr>
        <w:spacing w:after="240"/>
        <w:jc w:val="center"/>
        <w:rPr>
          <w:b/>
        </w:rPr>
      </w:pPr>
      <w:r w:rsidRPr="00B3317E">
        <w:rPr>
          <w:b/>
        </w:rPr>
        <w:t>INFORMACIÓN GENERAL Y RESPUESTAS</w:t>
      </w:r>
      <w:r>
        <w:rPr>
          <w:b/>
        </w:rPr>
        <w:t xml:space="preserve"> </w:t>
      </w:r>
      <w:r w:rsidRPr="00B3317E">
        <w:rPr>
          <w:b/>
        </w:rPr>
        <w:t>A LAS PREOCUPACIONES</w:t>
      </w:r>
      <w:r>
        <w:rPr>
          <w:b/>
        </w:rPr>
        <w:br/>
      </w:r>
      <w:r w:rsidRPr="00B3317E">
        <w:rPr>
          <w:b/>
        </w:rPr>
        <w:t>Y</w:t>
      </w:r>
      <w:r>
        <w:rPr>
          <w:b/>
        </w:rPr>
        <w:t xml:space="preserve"> </w:t>
      </w:r>
      <w:r w:rsidRPr="00B3317E">
        <w:rPr>
          <w:b/>
        </w:rPr>
        <w:t>RECOMENDACIONES DEL COMITÉ</w:t>
      </w:r>
    </w:p>
    <w:p w:rsidR="00DD0682" w:rsidRPr="00AE6E3D" w:rsidRDefault="00DD0682" w:rsidP="00DD0682">
      <w:pPr>
        <w:spacing w:after="240"/>
      </w:pPr>
      <w:r w:rsidRPr="00AE6E3D">
        <w:t>7.</w:t>
      </w:r>
      <w:r w:rsidRPr="00AE6E3D">
        <w:tab/>
        <w:t>Desde la presentación del segundo informe de Argelia, los poderes pú</w:t>
      </w:r>
      <w:r>
        <w:t>b</w:t>
      </w:r>
      <w:r w:rsidRPr="00AE6E3D">
        <w:t>licos han proseguido su labor encaminada a consolidar el estado de derecho, la democracia pluralista y la promoción y protección de los derechos humanos, a pesar de las dificultades relacionadas con las secuelas de una década de criminalidad terrorista</w:t>
      </w:r>
      <w:r>
        <w:t>.</w:t>
      </w:r>
    </w:p>
    <w:p w:rsidR="00DD0682" w:rsidRPr="00AE6E3D" w:rsidRDefault="00DD0682" w:rsidP="00DD0682">
      <w:pPr>
        <w:spacing w:after="240"/>
      </w:pPr>
      <w:r w:rsidRPr="00AE6E3D">
        <w:t>8.</w:t>
      </w:r>
      <w:r w:rsidRPr="00AE6E3D">
        <w:tab/>
        <w:t>Con ese fin se han organizado nuevas consultas electorales, se han reforzado los mecanismos ya existentes para la promoción de los derechos humanos y se han adecuado a las nuevas realidades determinados aspectos de la legislación económica, social y cultural.</w:t>
      </w:r>
    </w:p>
    <w:p w:rsidR="00DD0682" w:rsidRPr="00AE6E3D" w:rsidRDefault="00DD0682" w:rsidP="00DD0682">
      <w:pPr>
        <w:spacing w:after="240"/>
      </w:pPr>
      <w:r w:rsidRPr="00AE6E3D">
        <w:t>9.</w:t>
      </w:r>
      <w:r w:rsidRPr="00AE6E3D">
        <w:tab/>
        <w:t xml:space="preserve">Se están reformando a fondo la justicia, la educación y las </w:t>
      </w:r>
      <w:r>
        <w:t>funciones</w:t>
      </w:r>
      <w:r w:rsidRPr="00AE6E3D">
        <w:t xml:space="preserve"> del Estado, recurriéndose para ello a comisiones nacionales integradas por profesionales y personalidades independientes, cuyas recomendaciones sirven de orientación par</w:t>
      </w:r>
      <w:r>
        <w:t>a</w:t>
      </w:r>
      <w:r w:rsidRPr="00AE6E3D">
        <w:t xml:space="preserve"> la acción de los poderes públicos</w:t>
      </w:r>
      <w:r>
        <w:t xml:space="preserve">.  </w:t>
      </w:r>
      <w:r w:rsidRPr="00AE6E3D">
        <w:t xml:space="preserve">Por otra parte, es de señalar el notable desarrollo del movimiento asociativo, que </w:t>
      </w:r>
      <w:r>
        <w:t xml:space="preserve">se </w:t>
      </w:r>
      <w:r w:rsidRPr="00AE6E3D">
        <w:t xml:space="preserve">está </w:t>
      </w:r>
      <w:r>
        <w:t>favoreciendo</w:t>
      </w:r>
      <w:r w:rsidRPr="00AE6E3D">
        <w:t xml:space="preserve"> de manera creciente.</w:t>
      </w:r>
    </w:p>
    <w:p w:rsidR="00DD0682" w:rsidRPr="00AE6E3D" w:rsidRDefault="00DD0682" w:rsidP="00DD0682">
      <w:pPr>
        <w:spacing w:after="480"/>
      </w:pPr>
      <w:r w:rsidRPr="00AE6E3D">
        <w:t>10.</w:t>
      </w:r>
      <w:r w:rsidRPr="00AE6E3D">
        <w:tab/>
        <w:t>Desde que recobró la independencia en 1962, Argelia se propuso instaurar un Estado basado en el respeto de los derechos humanos y las libertades fundamentales y en la participación ciudadana</w:t>
      </w:r>
      <w:r>
        <w:t xml:space="preserve">.  </w:t>
      </w:r>
      <w:r w:rsidRPr="00AE6E3D">
        <w:t xml:space="preserve">Las sucesivas constituciones de la Argelia independiente han consagrado los principios universales reconocidos en esas esferas, pero el país aceleró su proceso de adhesión a los instrumentos jurídicos internacionales a partir de 1989 aprovechando </w:t>
      </w:r>
      <w:r>
        <w:t>su</w:t>
      </w:r>
      <w:r w:rsidRPr="00AE6E3D">
        <w:t xml:space="preserve"> apertura </w:t>
      </w:r>
      <w:r>
        <w:t>al</w:t>
      </w:r>
      <w:r w:rsidRPr="00AE6E3D">
        <w:t xml:space="preserve"> pluripartidismo y desde entonces ha presentado los informes con arreglo</w:t>
      </w:r>
      <w:r>
        <w:t xml:space="preserve"> </w:t>
      </w:r>
      <w:r w:rsidRPr="00AE6E3D">
        <w:t>a sus compromisos internacionales</w:t>
      </w:r>
      <w:r>
        <w:t>.</w:t>
      </w:r>
    </w:p>
    <w:p w:rsidR="00DD0682" w:rsidRPr="00B3317E" w:rsidRDefault="00DD0682" w:rsidP="00DD0682">
      <w:pPr>
        <w:spacing w:after="240"/>
        <w:jc w:val="center"/>
        <w:rPr>
          <w:b/>
        </w:rPr>
      </w:pPr>
      <w:r w:rsidRPr="00B3317E">
        <w:rPr>
          <w:b/>
        </w:rPr>
        <w:t>I.  ESTRUCTURA POLÍTICA GENERAL</w:t>
      </w:r>
    </w:p>
    <w:p w:rsidR="00DD0682" w:rsidRPr="00B3317E" w:rsidRDefault="00DD0682" w:rsidP="00DD0682">
      <w:pPr>
        <w:spacing w:after="240"/>
        <w:jc w:val="center"/>
        <w:rPr>
          <w:b/>
        </w:rPr>
      </w:pPr>
      <w:r w:rsidRPr="00B3317E">
        <w:rPr>
          <w:b/>
        </w:rPr>
        <w:t>A.  Territorio y población</w:t>
      </w:r>
    </w:p>
    <w:p w:rsidR="00DD0682" w:rsidRPr="00AE6E3D" w:rsidRDefault="00DD0682" w:rsidP="00DD0682">
      <w:pPr>
        <w:spacing w:after="240"/>
      </w:pPr>
      <w:r w:rsidRPr="00AE6E3D">
        <w:t>11.</w:t>
      </w:r>
      <w:r w:rsidRPr="00AE6E3D">
        <w:tab/>
      </w:r>
      <w:r>
        <w:t>Se presentan a continuación</w:t>
      </w:r>
      <w:r w:rsidRPr="00AE6E3D">
        <w:t xml:space="preserve"> algunos datos estadísticos sobre cierto número de indicadores de Argelia:</w:t>
      </w:r>
    </w:p>
    <w:p w:rsidR="00DD0682" w:rsidRPr="00AE6E3D" w:rsidRDefault="00DD0682" w:rsidP="00DD0682">
      <w:pPr>
        <w:spacing w:after="240"/>
        <w:ind w:left="567"/>
      </w:pPr>
      <w:r w:rsidRPr="00AE6E3D">
        <w:t>Superficie</w:t>
      </w:r>
      <w:r>
        <w:t xml:space="preserve">:  </w:t>
      </w:r>
      <w:r w:rsidRPr="00AE6E3D">
        <w:t>2.381.741 km</w:t>
      </w:r>
      <w:r w:rsidRPr="006A5377">
        <w:rPr>
          <w:vertAlign w:val="superscript"/>
        </w:rPr>
        <w:t>2</w:t>
      </w:r>
      <w:r w:rsidRPr="00AE6E3D">
        <w:t>; Población</w:t>
      </w:r>
      <w:r>
        <w:t xml:space="preserve">:  </w:t>
      </w:r>
      <w:r w:rsidRPr="00AE6E3D">
        <w:t>33,1 millones de habitantes (enero de 2007), de los que el 50,5% eran varones y el 49</w:t>
      </w:r>
      <w:r>
        <w:t>,</w:t>
      </w:r>
      <w:r w:rsidRPr="00AE6E3D">
        <w:t>5</w:t>
      </w:r>
      <w:r>
        <w:t>%</w:t>
      </w:r>
      <w:r w:rsidRPr="00AE6E3D">
        <w:t xml:space="preserve"> mujeres</w:t>
      </w:r>
      <w:r>
        <w:t xml:space="preserve">.  </w:t>
      </w:r>
      <w:r w:rsidRPr="00AE6E3D">
        <w:t>Ingreso por habitante</w:t>
      </w:r>
      <w:r>
        <w:t xml:space="preserve">:  </w:t>
      </w:r>
      <w:r w:rsidRPr="00AE6E3D">
        <w:t>3.100 dólares de los</w:t>
      </w:r>
      <w:r>
        <w:t xml:space="preserve"> </w:t>
      </w:r>
      <w:r w:rsidRPr="00AE6E3D">
        <w:t>EE.UU</w:t>
      </w:r>
      <w:r>
        <w:t xml:space="preserve">. </w:t>
      </w:r>
      <w:r w:rsidRPr="00AE6E3D">
        <w:t>(marzo de 2006)</w:t>
      </w:r>
      <w:r>
        <w:t xml:space="preserve">.  </w:t>
      </w:r>
      <w:r w:rsidRPr="00AE6E3D">
        <w:t>Deuda externa</w:t>
      </w:r>
      <w:r>
        <w:t xml:space="preserve">:  </w:t>
      </w:r>
      <w:r w:rsidRPr="00AE6E3D">
        <w:t>5.000 millones de dólares de los EE.UU</w:t>
      </w:r>
      <w:r>
        <w:t>.</w:t>
      </w:r>
      <w:r w:rsidRPr="00AE6E3D">
        <w:t xml:space="preserve"> (enero de 2007)</w:t>
      </w:r>
      <w:r>
        <w:t xml:space="preserve">.  </w:t>
      </w:r>
      <w:r w:rsidRPr="00AE6E3D">
        <w:t>Tasa de desempleo</w:t>
      </w:r>
      <w:r>
        <w:t xml:space="preserve">:  </w:t>
      </w:r>
      <w:r w:rsidRPr="00AE6E3D">
        <w:t>12,3% (2006)</w:t>
      </w:r>
      <w:r>
        <w:t xml:space="preserve">.  </w:t>
      </w:r>
      <w:r w:rsidRPr="00AE6E3D">
        <w:t>Idioma oficial</w:t>
      </w:r>
      <w:r>
        <w:t xml:space="preserve">:  </w:t>
      </w:r>
      <w:r w:rsidRPr="00AE6E3D">
        <w:t>árabe</w:t>
      </w:r>
      <w:r>
        <w:t xml:space="preserve">.  </w:t>
      </w:r>
      <w:r w:rsidRPr="00AE6E3D">
        <w:t>Idiomas nacionales</w:t>
      </w:r>
      <w:r>
        <w:t xml:space="preserve">:  </w:t>
      </w:r>
      <w:r w:rsidRPr="00AE6E3D">
        <w:t>árabe, tamazight</w:t>
      </w:r>
      <w:r>
        <w:t xml:space="preserve">.  </w:t>
      </w:r>
      <w:r w:rsidRPr="00AE6E3D">
        <w:t>Religión</w:t>
      </w:r>
      <w:r>
        <w:t xml:space="preserve">:  </w:t>
      </w:r>
      <w:r w:rsidRPr="00AE6E3D">
        <w:t>islam</w:t>
      </w:r>
      <w:r>
        <w:t xml:space="preserve">.  </w:t>
      </w:r>
      <w:r w:rsidRPr="00AE6E3D">
        <w:t>Esperanza media de vida (2006)</w:t>
      </w:r>
      <w:r>
        <w:t xml:space="preserve">:  </w:t>
      </w:r>
      <w:r w:rsidRPr="00AE6E3D">
        <w:t>75,7 años las mujeres y 74,06 años los varones</w:t>
      </w:r>
      <w:r>
        <w:t xml:space="preserve">.  </w:t>
      </w:r>
      <w:r w:rsidRPr="00AE6E3D">
        <w:t>Tasa media de mortalidad infantil (2006)</w:t>
      </w:r>
      <w:r>
        <w:t xml:space="preserve">:  </w:t>
      </w:r>
      <w:r w:rsidRPr="00AE6E3D">
        <w:t>26,9‰</w:t>
      </w:r>
      <w:r w:rsidRPr="00AE6E3D">
        <w:rPr>
          <w:rFonts w:eastAsia="MS Mincho"/>
        </w:rPr>
        <w:t xml:space="preserve"> (niños</w:t>
      </w:r>
      <w:r>
        <w:rPr>
          <w:rFonts w:eastAsia="MS Mincho"/>
        </w:rPr>
        <w:t xml:space="preserve">:  </w:t>
      </w:r>
      <w:r w:rsidRPr="00AE6E3D">
        <w:rPr>
          <w:rFonts w:eastAsia="MS Mincho"/>
        </w:rPr>
        <w:t>28,3</w:t>
      </w:r>
      <w:r w:rsidRPr="00AE6E3D">
        <w:t>‰</w:t>
      </w:r>
      <w:r w:rsidRPr="00AE6E3D">
        <w:rPr>
          <w:rFonts w:eastAsia="MS Mincho"/>
        </w:rPr>
        <w:t>; niñas</w:t>
      </w:r>
      <w:r>
        <w:rPr>
          <w:rFonts w:eastAsia="MS Mincho"/>
        </w:rPr>
        <w:t xml:space="preserve">:  </w:t>
      </w:r>
      <w:r w:rsidRPr="00AE6E3D">
        <w:rPr>
          <w:rFonts w:eastAsia="MS Mincho"/>
        </w:rPr>
        <w:t>25,3</w:t>
      </w:r>
      <w:r w:rsidRPr="00AE6E3D">
        <w:t>‰</w:t>
      </w:r>
      <w:r w:rsidRPr="00AE6E3D">
        <w:rPr>
          <w:rFonts w:eastAsia="MS Mincho"/>
        </w:rPr>
        <w:t>)</w:t>
      </w:r>
      <w:r>
        <w:rPr>
          <w:rFonts w:eastAsia="MS Mincho"/>
        </w:rPr>
        <w:t xml:space="preserve">.  </w:t>
      </w:r>
      <w:r w:rsidRPr="00AE6E3D">
        <w:t>Tasa de mortalidad</w:t>
      </w:r>
      <w:r>
        <w:t xml:space="preserve">:  </w:t>
      </w:r>
      <w:r w:rsidRPr="00AE6E3D">
        <w:t>de madres</w:t>
      </w:r>
      <w:r>
        <w:t xml:space="preserve">:  </w:t>
      </w:r>
      <w:r w:rsidRPr="00AE6E3D">
        <w:t>88,9 defunciones por</w:t>
      </w:r>
      <w:r>
        <w:t> </w:t>
      </w:r>
      <w:r w:rsidRPr="00AE6E3D">
        <w:t>100.000 nacidos vivos (2006); de niños menores de 5 años</w:t>
      </w:r>
      <w:r>
        <w:t xml:space="preserve">:  </w:t>
      </w:r>
      <w:r w:rsidRPr="00AE6E3D">
        <w:t>9,4% (2000); de jóvenes</w:t>
      </w:r>
      <w:r>
        <w:t> </w:t>
      </w:r>
      <w:r w:rsidRPr="00AE6E3D">
        <w:t xml:space="preserve">de 15 a 24 </w:t>
      </w:r>
      <w:r>
        <w:t xml:space="preserve">años:  </w:t>
      </w:r>
      <w:r w:rsidRPr="00AE6E3D">
        <w:t>24%; de adultos de 25 a 59 años</w:t>
      </w:r>
      <w:r>
        <w:t xml:space="preserve">:  </w:t>
      </w:r>
      <w:r w:rsidRPr="00AE6E3D">
        <w:t>41,9%; de 60 años y más</w:t>
      </w:r>
      <w:r>
        <w:t>:  </w:t>
      </w:r>
      <w:r w:rsidRPr="00AE6E3D">
        <w:t>7,3%</w:t>
      </w:r>
      <w:r>
        <w:t xml:space="preserve">.  </w:t>
      </w:r>
      <w:r w:rsidRPr="00AE6E3D">
        <w:t>Población rural</w:t>
      </w:r>
      <w:r>
        <w:t xml:space="preserve">:  </w:t>
      </w:r>
      <w:r w:rsidRPr="00AE6E3D">
        <w:t>12.371.000 habitantes, el 36,6%</w:t>
      </w:r>
      <w:r>
        <w:t xml:space="preserve">.  </w:t>
      </w:r>
      <w:r w:rsidRPr="00AE6E3D">
        <w:t>Población urbana</w:t>
      </w:r>
      <w:r>
        <w:t>:  </w:t>
      </w:r>
      <w:r w:rsidRPr="00AE6E3D">
        <w:t>21.429.000</w:t>
      </w:r>
      <w:r>
        <w:t> </w:t>
      </w:r>
      <w:r w:rsidRPr="00AE6E3D">
        <w:t>habitantes, el 63,4%, Tasa de crecimiento económico</w:t>
      </w:r>
      <w:r>
        <w:t xml:space="preserve">:  </w:t>
      </w:r>
      <w:r w:rsidRPr="00AE6E3D">
        <w:t>5,1% (2005)</w:t>
      </w:r>
      <w:r>
        <w:t xml:space="preserve">.  </w:t>
      </w:r>
      <w:r w:rsidRPr="00AE6E3D">
        <w:t>Inflación</w:t>
      </w:r>
      <w:r>
        <w:t xml:space="preserve">:  </w:t>
      </w:r>
      <w:r w:rsidRPr="00AE6E3D">
        <w:t>1,6% (03/2006)</w:t>
      </w:r>
      <w:r>
        <w:t xml:space="preserve">.  </w:t>
      </w:r>
      <w:r w:rsidRPr="00AE6E3D">
        <w:t>Tasa de escolarización</w:t>
      </w:r>
      <w:r>
        <w:t xml:space="preserve">:  </w:t>
      </w:r>
      <w:r w:rsidRPr="00AE6E3D">
        <w:t>98% (2007).</w:t>
      </w:r>
    </w:p>
    <w:p w:rsidR="00DD0682" w:rsidRPr="009647ED" w:rsidRDefault="00DD0682" w:rsidP="00DD0682">
      <w:pPr>
        <w:spacing w:after="240"/>
        <w:jc w:val="center"/>
        <w:rPr>
          <w:b/>
        </w:rPr>
      </w:pPr>
      <w:r w:rsidRPr="009647ED">
        <w:rPr>
          <w:b/>
        </w:rPr>
        <w:t>B.  Estructura política</w:t>
      </w:r>
    </w:p>
    <w:p w:rsidR="00DD0682" w:rsidRPr="00AE6E3D" w:rsidRDefault="00DD0682" w:rsidP="00DD0682">
      <w:pPr>
        <w:spacing w:after="240"/>
      </w:pPr>
      <w:r w:rsidRPr="00AE6E3D">
        <w:t>12.</w:t>
      </w:r>
      <w:r w:rsidRPr="00AE6E3D">
        <w:tab/>
        <w:t>Tras la independencia, Argelia tuvo que hacer frente a múltiples desafíos</w:t>
      </w:r>
      <w:r>
        <w:t xml:space="preserve">:  </w:t>
      </w:r>
      <w:r w:rsidRPr="00AE6E3D">
        <w:t>retorno de los refugiados, responsabilidad social y moral con respecto a los derechohabientes de las víctimas de la guerra de liberación nacional, reconstrucción nacional y establecimiento de las estructuras del Estado</w:t>
      </w:r>
      <w:r>
        <w:t xml:space="preserve">.  </w:t>
      </w:r>
      <w:r w:rsidRPr="00AE6E3D">
        <w:t>De afrontar esos retos planteados a una joven nación debían ocuparse instituciones que era preciso concebir y establecer y cuya eficacia había que asegurar</w:t>
      </w:r>
      <w:r>
        <w:t xml:space="preserve">.  </w:t>
      </w:r>
      <w:r w:rsidRPr="00AE6E3D">
        <w:t>Ese esfuerzo de recuperación ha permitido garantizar una escolarización obligatoria para todos, un acceso gratuito a la asistencia sanitaria y una política de pleno empleo.</w:t>
      </w:r>
    </w:p>
    <w:p w:rsidR="00DD0682" w:rsidRPr="00AE6E3D" w:rsidRDefault="00DD0682" w:rsidP="00DD0682">
      <w:pPr>
        <w:spacing w:after="240"/>
      </w:pPr>
      <w:r w:rsidRPr="00AE6E3D">
        <w:t>13.</w:t>
      </w:r>
      <w:r w:rsidRPr="00AE6E3D">
        <w:tab/>
        <w:t>A partir de 1988 se impuso la exigencia para Argelia de una consolidación del estado de derecho y de una transición en dos dimensiones (democratización política y liberalización económica)</w:t>
      </w:r>
      <w:r>
        <w:t xml:space="preserve">.  </w:t>
      </w:r>
      <w:r w:rsidRPr="00AE6E3D">
        <w:t xml:space="preserve">Al igual que en otros países, esa evolución no </w:t>
      </w:r>
      <w:r>
        <w:t>es</w:t>
      </w:r>
      <w:r w:rsidRPr="00AE6E3D">
        <w:t>tuvo exenta de dificultades</w:t>
      </w:r>
      <w:r>
        <w:t xml:space="preserve">.  </w:t>
      </w:r>
      <w:r w:rsidRPr="00AE6E3D">
        <w:t>La</w:t>
      </w:r>
      <w:r>
        <w:t> </w:t>
      </w:r>
      <w:r w:rsidRPr="00AE6E3D">
        <w:t>construcción de un Estado moderno, democrático en su funcionamiento y transparente en su gestión se vio obstaculizada por las dificultades internas relacionadas con el sistema de part</w:t>
      </w:r>
      <w:r>
        <w:t>i</w:t>
      </w:r>
      <w:r w:rsidRPr="00AE6E3D">
        <w:t>do único y las presiones económicas y sociales</w:t>
      </w:r>
      <w:r>
        <w:t xml:space="preserve">.  </w:t>
      </w:r>
      <w:r w:rsidRPr="00AE6E3D">
        <w:t>Las reformas políticas iniciadas por los poderes públicos desde esa fecha han culminado, después de un largo proceso de diálogo con todos los partidos políticos que respetan la Constitución y las leyes de la República, con el establecimiento de instituciones elegidas por sufragio universal</w:t>
      </w:r>
      <w:r>
        <w:t xml:space="preserve">.  </w:t>
      </w:r>
      <w:r w:rsidRPr="00AE6E3D">
        <w:t>Por otra parte, la aprobación en un referéndum, el 28 de noviembre de 1996, de una Constitución revisada reforzó aún más la protección de las libertades, el pluralismo político, la separación de poderes y la independencia del poder judicial.</w:t>
      </w:r>
    </w:p>
    <w:p w:rsidR="00DD0682" w:rsidRPr="00AE6E3D" w:rsidRDefault="00DD0682" w:rsidP="00DD0682">
      <w:pPr>
        <w:spacing w:after="240"/>
      </w:pPr>
      <w:r w:rsidRPr="00AE6E3D">
        <w:t>14.</w:t>
      </w:r>
      <w:r w:rsidRPr="00AE6E3D">
        <w:tab/>
        <w:t>Además de la Constitución, hay tres textos fundamentales que favorecen actualmente la democratización de la actividad pública en Argelia:</w:t>
      </w:r>
    </w:p>
    <w:p w:rsidR="00DD0682" w:rsidRPr="00AE6E3D" w:rsidRDefault="00DD0682" w:rsidP="00DD0682">
      <w:pPr>
        <w:spacing w:after="240"/>
        <w:ind w:left="1134" w:hanging="567"/>
      </w:pPr>
      <w:r w:rsidRPr="00AE6E3D">
        <w:t>a)</w:t>
      </w:r>
      <w:r w:rsidRPr="00AE6E3D">
        <w:tab/>
        <w:t>La Ley de partidos políticos, aprobada en 1989 y modificada en 1997, la cual permitió que en el panorama político aparecieran más de 60 formaciones políticas</w:t>
      </w:r>
      <w:r>
        <w:t xml:space="preserve">.  </w:t>
      </w:r>
      <w:r w:rsidRPr="00AE6E3D">
        <w:t>Tras la decantación producida desde entonces</w:t>
      </w:r>
      <w:r>
        <w:t>,</w:t>
      </w:r>
      <w:r w:rsidRPr="00AE6E3D">
        <w:t xml:space="preserve"> se ha ido recomponiendo ese panorama y hoy día existen 28 partidos.</w:t>
      </w:r>
    </w:p>
    <w:p w:rsidR="00DD0682" w:rsidRPr="00AE6E3D" w:rsidRDefault="00DD0682" w:rsidP="00DD0682">
      <w:pPr>
        <w:spacing w:after="240"/>
        <w:ind w:left="1134" w:hanging="567"/>
      </w:pPr>
      <w:r w:rsidRPr="00AE6E3D">
        <w:t>b)</w:t>
      </w:r>
      <w:r w:rsidRPr="00AE6E3D">
        <w:tab/>
        <w:t xml:space="preserve">La Ley de asociaciones, promulgada en 1988 y modificada en 1990, la cual dispone que </w:t>
      </w:r>
      <w:r>
        <w:t>se pueden crear</w:t>
      </w:r>
      <w:r w:rsidRPr="00AE6E3D">
        <w:t xml:space="preserve"> asociaciones mediante una simple declaración de los fundadores, bien sea a la </w:t>
      </w:r>
      <w:r w:rsidRPr="00547934">
        <w:rPr>
          <w:i/>
        </w:rPr>
        <w:t>wilaya</w:t>
      </w:r>
      <w:r w:rsidRPr="00AE6E3D">
        <w:t xml:space="preserve"> (</w:t>
      </w:r>
      <w:r>
        <w:t>departamento</w:t>
      </w:r>
      <w:r w:rsidRPr="00AE6E3D">
        <w:t>) o al Ministerio del Interior (si la asociación es de ámbito nacional)</w:t>
      </w:r>
      <w:r>
        <w:t xml:space="preserve">.  </w:t>
      </w:r>
      <w:r w:rsidRPr="00AE6E3D">
        <w:t>Actualmente asciende a 79.971 el número de asociaciones con actividades en Argelia en esferas tales como la defensa de los derechos de las mujeres, la protección del medio ambiente y la promoción de los derechos de las personas con discapacidad o de los ancianos.</w:t>
      </w:r>
    </w:p>
    <w:p w:rsidR="00DD0682" w:rsidRPr="00AE6E3D" w:rsidRDefault="00DD0682" w:rsidP="00DD0682">
      <w:pPr>
        <w:spacing w:after="240"/>
        <w:ind w:left="1134" w:hanging="567"/>
      </w:pPr>
      <w:r w:rsidRPr="00AE6E3D">
        <w:t>c)</w:t>
      </w:r>
      <w:r w:rsidRPr="00AE6E3D">
        <w:tab/>
        <w:t xml:space="preserve">La Ley de información, aprobada en 1990, que ha despejado el camino para la aparición de una prensa independiente o </w:t>
      </w:r>
      <w:r>
        <w:t>de partidos</w:t>
      </w:r>
      <w:r w:rsidRPr="00AE6E3D">
        <w:t xml:space="preserve"> al lado de la prensa del servicio público.</w:t>
      </w:r>
    </w:p>
    <w:p w:rsidR="00DD0682" w:rsidRPr="00AE6E3D" w:rsidRDefault="00DD0682" w:rsidP="00DD0682">
      <w:pPr>
        <w:spacing w:after="240"/>
      </w:pPr>
      <w:r w:rsidRPr="00AE6E3D">
        <w:t>15.</w:t>
      </w:r>
      <w:r w:rsidRPr="00AE6E3D">
        <w:tab/>
        <w:t>Las primeras elecciones pluralistas a la Presidencia de la República se celebraron el 16 de noviembre de 1995</w:t>
      </w:r>
      <w:r>
        <w:t xml:space="preserve">.  </w:t>
      </w:r>
      <w:r w:rsidRPr="00AE6E3D">
        <w:t>A continuación se celebraron elecciones legislativas, en junio de 1997, y presidenciales anticipadas, el 15 de abril de 1999</w:t>
      </w:r>
      <w:r>
        <w:t>.</w:t>
      </w:r>
    </w:p>
    <w:p w:rsidR="00DD0682" w:rsidRPr="00AE6E3D" w:rsidRDefault="00DD0682" w:rsidP="00DD0682">
      <w:pPr>
        <w:spacing w:after="240"/>
      </w:pPr>
      <w:r w:rsidRPr="00AE6E3D">
        <w:t>16.</w:t>
      </w:r>
      <w:r w:rsidRPr="00AE6E3D">
        <w:tab/>
        <w:t>El Presidente de la República ejerce la magistratura suprema dentro de los límites fijados por la Constitución y su mandato no puede renovarse más de una vez</w:t>
      </w:r>
      <w:r>
        <w:t xml:space="preserve">.  </w:t>
      </w:r>
      <w:r w:rsidRPr="00AE6E3D">
        <w:t>Designa al jefe del Gobierno, que define su programa y lo somete a la aprobación de la Asamblea Popular Nacional</w:t>
      </w:r>
      <w:r>
        <w:t xml:space="preserve">.  </w:t>
      </w:r>
      <w:r w:rsidRPr="00AE6E3D">
        <w:t>La última elección presidencial tuvo lugar el 8 de abril de 2004 y dio lugar a la renovación del mandato del Presidente Abdelaziz Bouteflika.</w:t>
      </w:r>
    </w:p>
    <w:p w:rsidR="00DD0682" w:rsidRPr="00AE6E3D" w:rsidRDefault="00DD0682" w:rsidP="00DD0682">
      <w:pPr>
        <w:spacing w:after="240"/>
      </w:pPr>
      <w:r w:rsidRPr="00AE6E3D">
        <w:t>17.</w:t>
      </w:r>
      <w:r w:rsidRPr="00AE6E3D">
        <w:tab/>
        <w:t>El poder legislativo es ejercido por el Parlamento, compuesto por dos cámaras</w:t>
      </w:r>
      <w:r>
        <w:t xml:space="preserve">:  </w:t>
      </w:r>
      <w:r w:rsidRPr="00AE6E3D">
        <w:t>la Asamblea Popular Nacional (APN)</w:t>
      </w:r>
      <w:r>
        <w:t xml:space="preserve"> </w:t>
      </w:r>
      <w:r w:rsidRPr="00AE6E3D">
        <w:t>y el Consejo Nacional (Senado)</w:t>
      </w:r>
      <w:r>
        <w:t xml:space="preserve">.  </w:t>
      </w:r>
    </w:p>
    <w:p w:rsidR="00DD0682" w:rsidRPr="00AE6E3D" w:rsidRDefault="00DD0682" w:rsidP="00DD0682">
      <w:pPr>
        <w:spacing w:after="240"/>
      </w:pPr>
      <w:r w:rsidRPr="00AE6E3D">
        <w:t>18.</w:t>
      </w:r>
      <w:r w:rsidRPr="00AE6E3D">
        <w:tab/>
        <w:t>El Parlamento controla la acción del Gobierno y aprueba la legislación</w:t>
      </w:r>
      <w:r>
        <w:t xml:space="preserve">.  </w:t>
      </w:r>
      <w:r w:rsidRPr="00AE6E3D">
        <w:t>La Asamblea Popular Nacional está compuesta por 389 diputados (entre ellos 29 mujeres) tras las elecciones legislativas del 17 de mayo de 2007</w:t>
      </w:r>
      <w:r>
        <w:t xml:space="preserve">.  </w:t>
      </w:r>
      <w:r w:rsidRPr="00AE6E3D">
        <w:t>Por su parte, el Consejo Nacional tiene 144 escaños</w:t>
      </w:r>
      <w:r>
        <w:t xml:space="preserve">.  </w:t>
      </w:r>
      <w:r w:rsidRPr="00AE6E3D">
        <w:t>Dos</w:t>
      </w:r>
      <w:r>
        <w:t> </w:t>
      </w:r>
      <w:r w:rsidRPr="00AE6E3D">
        <w:t>tercios de sus miembros son elegidos por sufragio indirecto y el tercio restante, es decir, 48 miembros, es designado por el Presidente de la República.</w:t>
      </w:r>
    </w:p>
    <w:p w:rsidR="00DD0682" w:rsidRPr="00AE6E3D" w:rsidRDefault="00DD0682" w:rsidP="00DD0682">
      <w:pPr>
        <w:spacing w:after="480"/>
      </w:pPr>
      <w:r w:rsidRPr="00AE6E3D">
        <w:t>19.</w:t>
      </w:r>
      <w:r w:rsidRPr="00AE6E3D">
        <w:tab/>
        <w:t>La independencia del poder judicial está consagrada en el artículo 138 de la Constitución.</w:t>
      </w:r>
    </w:p>
    <w:p w:rsidR="00DD0682" w:rsidRPr="00547934" w:rsidRDefault="00DD0682" w:rsidP="00DD0682">
      <w:pPr>
        <w:spacing w:after="240"/>
        <w:ind w:left="392" w:hanging="392"/>
        <w:jc w:val="center"/>
        <w:rPr>
          <w:b/>
        </w:rPr>
      </w:pPr>
      <w:r w:rsidRPr="00547934">
        <w:rPr>
          <w:b/>
        </w:rPr>
        <w:t>II.  MARCO NORMATIVO GENERAL PARA LA PROTE</w:t>
      </w:r>
      <w:r>
        <w:rPr>
          <w:b/>
        </w:rPr>
        <w:t>C</w:t>
      </w:r>
      <w:r w:rsidRPr="00547934">
        <w:rPr>
          <w:b/>
        </w:rPr>
        <w:t>CIÓN</w:t>
      </w:r>
      <w:r>
        <w:rPr>
          <w:b/>
        </w:rPr>
        <w:br/>
      </w:r>
      <w:r w:rsidRPr="00547934">
        <w:rPr>
          <w:b/>
        </w:rPr>
        <w:t>DE LOS DERECHOS HUMANOS</w:t>
      </w:r>
    </w:p>
    <w:p w:rsidR="00DD0682" w:rsidRPr="00547934" w:rsidRDefault="00DD0682" w:rsidP="00DD0682">
      <w:pPr>
        <w:spacing w:after="240"/>
        <w:jc w:val="center"/>
        <w:rPr>
          <w:b/>
        </w:rPr>
      </w:pPr>
      <w:r w:rsidRPr="00547934">
        <w:rPr>
          <w:b/>
        </w:rPr>
        <w:t>A.  Mecanismos de derechos humanos</w:t>
      </w:r>
    </w:p>
    <w:p w:rsidR="00DD0682" w:rsidRPr="00AE6E3D" w:rsidRDefault="00DD0682" w:rsidP="00DD0682">
      <w:pPr>
        <w:spacing w:after="240"/>
      </w:pPr>
      <w:r w:rsidRPr="00AE6E3D">
        <w:t>20.</w:t>
      </w:r>
      <w:r w:rsidRPr="00AE6E3D">
        <w:tab/>
        <w:t>Argelia dispone ya del dispositivo esencial de alerta y vigilancia en materia de derechos humanos</w:t>
      </w:r>
      <w:r>
        <w:t xml:space="preserve">.  </w:t>
      </w:r>
      <w:r w:rsidRPr="00AE6E3D">
        <w:t>Este dispositivo abarca tanto los derechos individuales, civiles y políticos como los derechos colectivos, económicos, sociales y culturales</w:t>
      </w:r>
      <w:r>
        <w:t xml:space="preserve">.  </w:t>
      </w:r>
      <w:r w:rsidRPr="00AE6E3D">
        <w:t>Descansa en cuatro grandes categorías de mecanismos, que funcionan de forma concomitante.</w:t>
      </w:r>
    </w:p>
    <w:p w:rsidR="00DD0682" w:rsidRPr="00920865" w:rsidRDefault="00DD0682" w:rsidP="00DD0682">
      <w:pPr>
        <w:spacing w:after="240"/>
        <w:rPr>
          <w:b/>
        </w:rPr>
      </w:pPr>
      <w:r w:rsidRPr="00920865">
        <w:rPr>
          <w:b/>
        </w:rPr>
        <w:t>1.</w:t>
      </w:r>
      <w:r w:rsidRPr="00920865">
        <w:rPr>
          <w:b/>
        </w:rPr>
        <w:tab/>
        <w:t>Mecanismos políticos</w:t>
      </w:r>
    </w:p>
    <w:p w:rsidR="00DD0682" w:rsidRPr="00AE6E3D" w:rsidRDefault="00DD0682" w:rsidP="00DD0682">
      <w:pPr>
        <w:spacing w:after="240"/>
      </w:pPr>
      <w:r w:rsidRPr="00AE6E3D">
        <w:t>21.</w:t>
      </w:r>
      <w:r w:rsidRPr="00AE6E3D">
        <w:tab/>
        <w:t>Se articulan en torno al Parlamento, que con sus dos cámaras -la Asamblea Popular Nacional y el Consejo Nacional- es una tribuna para la expresión institucional de la dimensión democrática del Estado argelino</w:t>
      </w:r>
      <w:r>
        <w:t>,</w:t>
      </w:r>
      <w:r w:rsidRPr="00AE6E3D">
        <w:t xml:space="preserve"> a la vez que un receptáculo idóneo para la manifestación libre y pluralista de las preocupaciones ciudadanas</w:t>
      </w:r>
      <w:r>
        <w:t xml:space="preserve">.  </w:t>
      </w:r>
    </w:p>
    <w:p w:rsidR="00DD0682" w:rsidRPr="00AE6E3D" w:rsidRDefault="00DD0682" w:rsidP="00DD0682">
      <w:pPr>
        <w:spacing w:after="240"/>
      </w:pPr>
      <w:r w:rsidRPr="00AE6E3D">
        <w:t>22.</w:t>
      </w:r>
      <w:r w:rsidRPr="00AE6E3D">
        <w:tab/>
        <w:t>Las cuestiones relacionadas con los derechos humanos ocupan un lugar importante en los debates y se abordan en las comisiones permanentes instituidas con ese fin por las dos cámaras.</w:t>
      </w:r>
    </w:p>
    <w:p w:rsidR="00DD0682" w:rsidRPr="00AE6E3D" w:rsidRDefault="00DD0682" w:rsidP="00DD0682">
      <w:pPr>
        <w:spacing w:after="240"/>
      </w:pPr>
      <w:r w:rsidRPr="00AE6E3D">
        <w:t>23.</w:t>
      </w:r>
      <w:r w:rsidRPr="00AE6E3D">
        <w:tab/>
        <w:t>La ley considera que los partidos políticos son un elemento que debe integrarse en los mecanismos de promoción de los derechos humanos</w:t>
      </w:r>
      <w:r>
        <w:t xml:space="preserve">.  </w:t>
      </w:r>
      <w:r w:rsidRPr="00AE6E3D">
        <w:t>La Ley de 8 de julio de 1989, modificada en marzo de 1997, relativa a los partidos políticos exige,</w:t>
      </w:r>
      <w:r>
        <w:t xml:space="preserve"> </w:t>
      </w:r>
      <w:r w:rsidRPr="00AE6E3D">
        <w:t>en efecto, que los estatutos y los programas de los partidos enuncien expresamente entre sus objetivos la garantía de los derechos individuales y de las libertades fundamentales</w:t>
      </w:r>
      <w:r>
        <w:t xml:space="preserve">.  </w:t>
      </w:r>
      <w:r w:rsidRPr="00AE6E3D">
        <w:t>El artículo 3 de esa ley dispone que, en todas sus actividades, l</w:t>
      </w:r>
      <w:r>
        <w:t>os</w:t>
      </w:r>
      <w:r w:rsidRPr="00AE6E3D">
        <w:t xml:space="preserve"> partido</w:t>
      </w:r>
      <w:r>
        <w:t>s</w:t>
      </w:r>
      <w:r w:rsidRPr="00AE6E3D">
        <w:t xml:space="preserve"> político</w:t>
      </w:r>
      <w:r>
        <w:t>s</w:t>
      </w:r>
      <w:r w:rsidRPr="00AE6E3D">
        <w:t xml:space="preserve"> debe</w:t>
      </w:r>
      <w:r>
        <w:t>n</w:t>
      </w:r>
      <w:r w:rsidRPr="00AE6E3D">
        <w:t xml:space="preserve"> ajustarse a los principios y objetivos siguientes:</w:t>
      </w:r>
    </w:p>
    <w:p w:rsidR="00DD0682" w:rsidRPr="00AE6E3D" w:rsidRDefault="00DD0682" w:rsidP="00DD0682">
      <w:pPr>
        <w:spacing w:after="240"/>
        <w:ind w:left="1134" w:hanging="567"/>
      </w:pPr>
      <w:r w:rsidRPr="00AE6E3D">
        <w:t>a)</w:t>
      </w:r>
      <w:r w:rsidRPr="00AE6E3D">
        <w:tab/>
        <w:t>Respeto de las libertades individuales y colectivas y de los derechos humanos;</w:t>
      </w:r>
    </w:p>
    <w:p w:rsidR="00DD0682" w:rsidRPr="00AE6E3D" w:rsidRDefault="00DD0682" w:rsidP="00DD0682">
      <w:pPr>
        <w:spacing w:after="240"/>
        <w:ind w:left="1134" w:hanging="567"/>
      </w:pPr>
      <w:r w:rsidRPr="00AE6E3D">
        <w:t>b)</w:t>
      </w:r>
      <w:r w:rsidRPr="00AE6E3D">
        <w:tab/>
        <w:t>Fidelidad a la democracia en el respeto de los valores nacionales;</w:t>
      </w:r>
    </w:p>
    <w:p w:rsidR="00DD0682" w:rsidRPr="00AE6E3D" w:rsidRDefault="00DD0682" w:rsidP="00E315E9">
      <w:pPr>
        <w:keepNext/>
        <w:keepLines/>
        <w:spacing w:after="240"/>
        <w:ind w:left="1134" w:hanging="567"/>
      </w:pPr>
      <w:r w:rsidRPr="00AE6E3D">
        <w:t>c)</w:t>
      </w:r>
      <w:r w:rsidRPr="00AE6E3D">
        <w:tab/>
        <w:t>Adhesión al pluralismo político; y</w:t>
      </w:r>
    </w:p>
    <w:p w:rsidR="00DD0682" w:rsidRPr="00AE6E3D" w:rsidRDefault="00DD0682" w:rsidP="00DD0682">
      <w:pPr>
        <w:spacing w:after="240"/>
        <w:ind w:left="1134" w:hanging="567"/>
      </w:pPr>
      <w:r w:rsidRPr="00AE6E3D">
        <w:t>d)</w:t>
      </w:r>
      <w:r w:rsidRPr="00AE6E3D">
        <w:tab/>
        <w:t>Respeto del carácter democrático y republicano del Estado.</w:t>
      </w:r>
    </w:p>
    <w:p w:rsidR="00DD0682" w:rsidRPr="00444ABA" w:rsidRDefault="00DD0682" w:rsidP="00DD0682">
      <w:pPr>
        <w:spacing w:after="240"/>
        <w:rPr>
          <w:b/>
        </w:rPr>
      </w:pPr>
      <w:r w:rsidRPr="00444ABA">
        <w:rPr>
          <w:b/>
        </w:rPr>
        <w:t>2.</w:t>
      </w:r>
      <w:r w:rsidRPr="00444ABA">
        <w:rPr>
          <w:b/>
        </w:rPr>
        <w:tab/>
        <w:t>Mecanismos judiciales</w:t>
      </w:r>
    </w:p>
    <w:p w:rsidR="00DD0682" w:rsidRPr="00AE6E3D" w:rsidRDefault="00DD0682" w:rsidP="00DD0682">
      <w:pPr>
        <w:spacing w:after="240"/>
      </w:pPr>
      <w:r w:rsidRPr="00AE6E3D">
        <w:t>24.</w:t>
      </w:r>
      <w:r w:rsidRPr="00AE6E3D">
        <w:tab/>
        <w:t>El Estado argelino ha establecido mecanismos judiciales para garantizar, por una parte, los derechos del ciudadano y, por otra, la autonomía de decisión de la justicia</w:t>
      </w:r>
      <w:r>
        <w:t xml:space="preserve">.  </w:t>
      </w:r>
      <w:r w:rsidRPr="00AE6E3D">
        <w:t>A este respecto, el sistema judicial de Argelia está basado en los siguientes niveles:</w:t>
      </w:r>
    </w:p>
    <w:p w:rsidR="00DD0682" w:rsidRPr="00AE6E3D" w:rsidRDefault="00DD0682" w:rsidP="00DD0682">
      <w:pPr>
        <w:spacing w:after="240"/>
        <w:ind w:left="1134" w:hanging="567"/>
      </w:pPr>
      <w:r w:rsidRPr="00AE6E3D">
        <w:t>a)</w:t>
      </w:r>
      <w:r w:rsidRPr="00AE6E3D">
        <w:tab/>
        <w:t xml:space="preserve">El tribunal de primera instancia, a nivel de </w:t>
      </w:r>
      <w:r w:rsidRPr="00444ABA">
        <w:rPr>
          <w:i/>
        </w:rPr>
        <w:t>daira</w:t>
      </w:r>
      <w:r w:rsidRPr="00AE6E3D">
        <w:t xml:space="preserve"> (subprefectura);</w:t>
      </w:r>
    </w:p>
    <w:p w:rsidR="00DD0682" w:rsidRPr="00AE6E3D" w:rsidRDefault="00DD0682" w:rsidP="00DD0682">
      <w:pPr>
        <w:spacing w:after="240"/>
        <w:ind w:left="1134" w:hanging="567"/>
      </w:pPr>
      <w:r w:rsidRPr="00AE6E3D">
        <w:t>b)</w:t>
      </w:r>
      <w:r w:rsidRPr="00AE6E3D">
        <w:tab/>
        <w:t xml:space="preserve">El tribunal de apelación, a nivel de </w:t>
      </w:r>
      <w:r w:rsidRPr="00444ABA">
        <w:rPr>
          <w:i/>
        </w:rPr>
        <w:t>wilaya</w:t>
      </w:r>
      <w:r w:rsidRPr="00AE6E3D">
        <w:t xml:space="preserve"> (departamento); y</w:t>
      </w:r>
    </w:p>
    <w:p w:rsidR="00DD0682" w:rsidRPr="00AE6E3D" w:rsidRDefault="00DD0682" w:rsidP="00DD0682">
      <w:pPr>
        <w:spacing w:after="240"/>
        <w:ind w:left="1134" w:hanging="567"/>
      </w:pPr>
      <w:r w:rsidRPr="00AE6E3D">
        <w:t>c)</w:t>
      </w:r>
      <w:r w:rsidRPr="00AE6E3D">
        <w:tab/>
        <w:t>El Tribunal Supremo, a nivel nacional.</w:t>
      </w:r>
    </w:p>
    <w:p w:rsidR="00DD0682" w:rsidRPr="00AE6E3D" w:rsidRDefault="00DD0682" w:rsidP="00DD0682">
      <w:pPr>
        <w:spacing w:after="240"/>
      </w:pPr>
      <w:r w:rsidRPr="00AE6E3D">
        <w:t>25.</w:t>
      </w:r>
      <w:r w:rsidRPr="00AE6E3D">
        <w:tab/>
        <w:t>Además, la Constitución previó en su artículo 152 la creación de un Consejo de Estado, como órgano regulador de las actividades de las jurisdicciones administrativas, que fue establecido el 17 de junio de 1998 y está integrado por 44 miembros.</w:t>
      </w:r>
    </w:p>
    <w:p w:rsidR="00DD0682" w:rsidRPr="00AE6E3D" w:rsidRDefault="00DD0682" w:rsidP="00DD0682">
      <w:pPr>
        <w:spacing w:after="240"/>
      </w:pPr>
      <w:r w:rsidRPr="00AE6E3D">
        <w:t>26.</w:t>
      </w:r>
      <w:r w:rsidRPr="00AE6E3D">
        <w:tab/>
        <w:t>Por último, el Parlamento ha aprobado una ley relativa al tribunal encargado de solucionar los conflictos de competencia entre el Tribunal Supremo y el Consejo de Estado previsto por el artículo 152 de la Constitución.</w:t>
      </w:r>
    </w:p>
    <w:p w:rsidR="00DD0682" w:rsidRPr="00AE6E3D" w:rsidRDefault="00DD0682" w:rsidP="00DD0682">
      <w:pPr>
        <w:spacing w:after="240"/>
      </w:pPr>
      <w:r w:rsidRPr="00AE6E3D">
        <w:t>27.</w:t>
      </w:r>
      <w:r w:rsidRPr="00AE6E3D">
        <w:tab/>
        <w:t>Conviene subrayar que, en el marco de su iniciativa destinada a fortalecer el estado de derecho, Argelia ha emprendido una amplia reforma de la justicia con el fin de:</w:t>
      </w:r>
    </w:p>
    <w:p w:rsidR="00DD0682" w:rsidRPr="00AE6E3D" w:rsidRDefault="00DD0682" w:rsidP="00DD0682">
      <w:pPr>
        <w:spacing w:after="240"/>
        <w:ind w:left="1134" w:hanging="567"/>
      </w:pPr>
      <w:r w:rsidRPr="00AE6E3D">
        <w:t>a)</w:t>
      </w:r>
      <w:r w:rsidRPr="00AE6E3D">
        <w:tab/>
      </w:r>
      <w:r w:rsidR="00EE2FF1" w:rsidRPr="00AE6E3D">
        <w:t xml:space="preserve">Reforzar </w:t>
      </w:r>
      <w:r w:rsidRPr="00AE6E3D">
        <w:t>la independencia y la credibilidad del sistema judicial, haciéndolo más asequible y diligente en la gestión de los litigios y la ejecución de sus decisiones;</w:t>
      </w:r>
    </w:p>
    <w:p w:rsidR="00DD0682" w:rsidRPr="00AE6E3D" w:rsidRDefault="00DD0682" w:rsidP="00DD0682">
      <w:pPr>
        <w:spacing w:after="240"/>
        <w:ind w:left="1134" w:hanging="567"/>
      </w:pPr>
      <w:r w:rsidRPr="00AE6E3D">
        <w:t>b)</w:t>
      </w:r>
      <w:r w:rsidRPr="00AE6E3D">
        <w:tab/>
        <w:t>Armonizar la legislación argelina para velar por su conformidad con los compromisos internacionales de Argelia;</w:t>
      </w:r>
    </w:p>
    <w:p w:rsidR="00DD0682" w:rsidRPr="00AE6E3D" w:rsidRDefault="00DD0682" w:rsidP="00DD0682">
      <w:pPr>
        <w:spacing w:after="240"/>
        <w:ind w:left="1134" w:hanging="567"/>
      </w:pPr>
      <w:r w:rsidRPr="00AE6E3D">
        <w:t>c)</w:t>
      </w:r>
      <w:r w:rsidRPr="00AE6E3D">
        <w:tab/>
        <w:t>Consolidar la formación de los magistrados;</w:t>
      </w:r>
    </w:p>
    <w:p w:rsidR="00DD0682" w:rsidRPr="00AE6E3D" w:rsidRDefault="00DD0682" w:rsidP="00DD0682">
      <w:pPr>
        <w:spacing w:after="240"/>
        <w:ind w:left="1134" w:hanging="567"/>
      </w:pPr>
      <w:r w:rsidRPr="00AE6E3D">
        <w:t>d)</w:t>
      </w:r>
      <w:r w:rsidRPr="00AE6E3D">
        <w:tab/>
        <w:t>Aumentar la capacidad material de la red judicial;</w:t>
      </w:r>
      <w:r>
        <w:t xml:space="preserve"> y</w:t>
      </w:r>
    </w:p>
    <w:p w:rsidR="00DD0682" w:rsidRPr="00AE6E3D" w:rsidRDefault="00DD0682" w:rsidP="00DD0682">
      <w:pPr>
        <w:spacing w:after="240"/>
        <w:ind w:left="1134" w:hanging="567"/>
      </w:pPr>
      <w:r w:rsidRPr="00AE6E3D">
        <w:t>e)</w:t>
      </w:r>
      <w:r w:rsidRPr="00AE6E3D">
        <w:tab/>
        <w:t>Humanizar las condiciones de detención en las cárceles.</w:t>
      </w:r>
    </w:p>
    <w:p w:rsidR="00DD0682" w:rsidRPr="00444ABA" w:rsidRDefault="00DD0682" w:rsidP="00DD0682">
      <w:pPr>
        <w:spacing w:after="240"/>
        <w:rPr>
          <w:b/>
        </w:rPr>
      </w:pPr>
      <w:r w:rsidRPr="00444ABA">
        <w:rPr>
          <w:b/>
        </w:rPr>
        <w:t>3.</w:t>
      </w:r>
      <w:r w:rsidRPr="00444ABA">
        <w:rPr>
          <w:b/>
        </w:rPr>
        <w:tab/>
        <w:t>Libertad de prensa</w:t>
      </w:r>
    </w:p>
    <w:p w:rsidR="00DD0682" w:rsidRPr="00AE6E3D" w:rsidRDefault="00DD0682" w:rsidP="00DD0682">
      <w:pPr>
        <w:spacing w:after="240"/>
      </w:pPr>
      <w:r w:rsidRPr="00AE6E3D">
        <w:t>28.</w:t>
      </w:r>
      <w:r w:rsidRPr="00AE6E3D">
        <w:tab/>
        <w:t>El derecho a la información y la libertad de prensa están considerados por la legislación como un mecanismo esencial de vigilancia y protección de los derechos individuales</w:t>
      </w:r>
      <w:r>
        <w:t xml:space="preserve">.  </w:t>
      </w:r>
      <w:r w:rsidRPr="00AE6E3D">
        <w:t>A este respecto, el notable desarrollo de la prensa en Argelia ha representado un auténtico incentivo para la protección colectiva de los derechos humanos</w:t>
      </w:r>
      <w:r>
        <w:t xml:space="preserve">.  </w:t>
      </w:r>
      <w:r w:rsidRPr="00AE6E3D">
        <w:t>Existen actualmente 43 diarios (25 en la fecha de presentación del precedente informe), de los cuales 6 pertenecen al sector público estatal (8 en aquella fecha) y 37 al sector privado (17 en aquella fecha)</w:t>
      </w:r>
      <w:r>
        <w:t xml:space="preserve">.  </w:t>
      </w:r>
      <w:r w:rsidRPr="00AE6E3D">
        <w:t>Su tirada media asciende a un total de 1,5 millones de ejemplares diarios</w:t>
      </w:r>
      <w:r>
        <w:t xml:space="preserve">.  </w:t>
      </w:r>
      <w:r w:rsidRPr="00AE6E3D">
        <w:t>En cuanto a los semanarios, existen</w:t>
      </w:r>
      <w:r>
        <w:t> </w:t>
      </w:r>
      <w:r w:rsidRPr="00AE6E3D">
        <w:t>60</w:t>
      </w:r>
      <w:r>
        <w:t> </w:t>
      </w:r>
      <w:r w:rsidRPr="00AE6E3D">
        <w:t>portadas, con una tirada media general de 1,8 millones de ejemplares por semana</w:t>
      </w:r>
      <w:r>
        <w:t xml:space="preserve">.  </w:t>
      </w:r>
      <w:r w:rsidRPr="00AE6E3D">
        <w:t>Por</w:t>
      </w:r>
      <w:r>
        <w:t> </w:t>
      </w:r>
      <w:r w:rsidRPr="00AE6E3D">
        <w:t>último, existen otras 23 publicaciones periódicas, bimensuales o mensuales, con una tirada global de 650.000 ejemplares al mes</w:t>
      </w:r>
      <w:r>
        <w:t xml:space="preserve">.  </w:t>
      </w:r>
      <w:r w:rsidRPr="00AE6E3D">
        <w:t>El número de lectores se estima en unos 9 millones por semana.</w:t>
      </w:r>
    </w:p>
    <w:p w:rsidR="00DD0682" w:rsidRPr="00AE6E3D" w:rsidRDefault="00DD0682" w:rsidP="00DD0682">
      <w:pPr>
        <w:spacing w:after="240"/>
      </w:pPr>
      <w:r w:rsidRPr="00AE6E3D">
        <w:t>29.</w:t>
      </w:r>
      <w:r w:rsidRPr="00AE6E3D">
        <w:tab/>
        <w:t>La prensa en Argelia, según reconocen incluso las organizaciones internacionales, es una de las más libres del mundo en desarrollo</w:t>
      </w:r>
      <w:r>
        <w:t xml:space="preserve">.  </w:t>
      </w:r>
      <w:r w:rsidRPr="00AE6E3D">
        <w:t>La Federación Internacional de Periodistas, de cuyo Consejo Ejecutivo es miembro Argelia, está acreditada en Argelia; su oficina para África del Norte tiene su sede en Argel.</w:t>
      </w:r>
    </w:p>
    <w:p w:rsidR="00DD0682" w:rsidRPr="00AE6E3D" w:rsidRDefault="00DD0682" w:rsidP="00DD0682">
      <w:pPr>
        <w:spacing w:after="240"/>
      </w:pPr>
      <w:r w:rsidRPr="00AE6E3D">
        <w:t>30.</w:t>
      </w:r>
      <w:r w:rsidRPr="00AE6E3D">
        <w:tab/>
        <w:t>Además, en Argelia se acredita de manera regular a los periodistas extranjeros</w:t>
      </w:r>
      <w:r>
        <w:t xml:space="preserve">.  </w:t>
      </w:r>
      <w:r w:rsidRPr="00AE6E3D">
        <w:t>Esta acreditación se efectúa en el marco de un mecanismo específico que permite una mayor flexibilidad y rapidez en la gestión de las solicitudes</w:t>
      </w:r>
      <w:r>
        <w:t xml:space="preserve">.  </w:t>
      </w:r>
      <w:r w:rsidRPr="00AE6E3D">
        <w:t>Es de señalar, como prueba del aumento constante de la facilidad con que los periodistas extranjeros pueden ejercer su profesión en Argelia, que se han registrado 757 acreditaciones en 2005 y 795 en 2006.</w:t>
      </w:r>
    </w:p>
    <w:p w:rsidR="00DD0682" w:rsidRPr="00AE6E3D" w:rsidRDefault="00DD0682" w:rsidP="00DD0682">
      <w:pPr>
        <w:spacing w:after="240"/>
      </w:pPr>
      <w:r w:rsidRPr="00AE6E3D">
        <w:t>31.</w:t>
      </w:r>
      <w:r w:rsidRPr="00AE6E3D">
        <w:tab/>
        <w:t>Al 30 de septiembre de 2007 había 879 periodistas acreditados</w:t>
      </w:r>
      <w:r>
        <w:t xml:space="preserve">.  </w:t>
      </w:r>
      <w:r w:rsidRPr="00AE6E3D">
        <w:t xml:space="preserve">Los escritos negativos y a veces tendenciosos de algunos de ellos no han dado lugar a que se les impida permanecer en Argelia de nuevo y </w:t>
      </w:r>
      <w:r>
        <w:t xml:space="preserve">repetidamente.  </w:t>
      </w:r>
      <w:r w:rsidRPr="00AE6E3D">
        <w:t>El 5 de julio de 2006, el Presidente de la República decretó un indulto a favor de 200 periodistas contra los que se había entablado una acción judicial.</w:t>
      </w:r>
    </w:p>
    <w:p w:rsidR="00DD0682" w:rsidRPr="00642EA1" w:rsidRDefault="00DD0682" w:rsidP="00DD0682">
      <w:pPr>
        <w:spacing w:after="240"/>
        <w:rPr>
          <w:b/>
        </w:rPr>
      </w:pPr>
      <w:r w:rsidRPr="00642EA1">
        <w:rPr>
          <w:b/>
        </w:rPr>
        <w:t>4.</w:t>
      </w:r>
      <w:r w:rsidRPr="00642EA1">
        <w:rPr>
          <w:b/>
        </w:rPr>
        <w:tab/>
        <w:t>Mecanismos asociativos y sindicales</w:t>
      </w:r>
    </w:p>
    <w:p w:rsidR="00DD0682" w:rsidRPr="00AE6E3D" w:rsidRDefault="00DD0682" w:rsidP="00DD0682">
      <w:pPr>
        <w:spacing w:after="240"/>
      </w:pPr>
      <w:r w:rsidRPr="00AE6E3D">
        <w:t>32.</w:t>
      </w:r>
      <w:r w:rsidRPr="00AE6E3D">
        <w:tab/>
        <w:t>Desde 1988</w:t>
      </w:r>
      <w:r>
        <w:t>,</w:t>
      </w:r>
      <w:r w:rsidRPr="00AE6E3D">
        <w:t xml:space="preserve"> el movimiento asociativo se ha desarrollado considerablemente</w:t>
      </w:r>
      <w:r>
        <w:t xml:space="preserve">.  </w:t>
      </w:r>
      <w:r w:rsidRPr="00AE6E3D">
        <w:t>Hay actualmente a nivel nacional 78.108 asociaciones que despliegan actividades en diversas esferas</w:t>
      </w:r>
      <w:r>
        <w:t xml:space="preserve">.  </w:t>
      </w:r>
      <w:r w:rsidRPr="00AE6E3D">
        <w:t>En la Constitución argelina ocupa un lugar importante la libertad de asociación en defensa de los derechos humanos</w:t>
      </w:r>
      <w:r>
        <w:t xml:space="preserve">.  </w:t>
      </w:r>
      <w:r w:rsidRPr="00AE6E3D">
        <w:t>Su artículo 32 garantiza la defensa individual y colectiva de estos derechos y el artículo 41 determina su campo de aplicación</w:t>
      </w:r>
      <w:r>
        <w:t xml:space="preserve">:  </w:t>
      </w:r>
      <w:r w:rsidRPr="00AE6E3D">
        <w:t>libertad de expresión, de asociación y de reunión</w:t>
      </w:r>
      <w:r>
        <w:t xml:space="preserve">.  </w:t>
      </w:r>
      <w:r w:rsidRPr="00AE6E3D">
        <w:t>La libertad de asociación se extiende, naturalmente, a la esfera política, pero se ha expresado también en la protección de los derechos de determinadas categorías de personas</w:t>
      </w:r>
      <w:r>
        <w:t xml:space="preserve">:  </w:t>
      </w:r>
      <w:r w:rsidRPr="00AE6E3D">
        <w:t>las</w:t>
      </w:r>
      <w:r>
        <w:t> </w:t>
      </w:r>
      <w:r w:rsidRPr="00AE6E3D">
        <w:t>mujeres, los niños, los enfermos, los discapacitados, los consumidores y los usuarios de los servicios públicos</w:t>
      </w:r>
      <w:r>
        <w:t xml:space="preserve">.  </w:t>
      </w:r>
      <w:r w:rsidRPr="00AE6E3D">
        <w:t>Los poderes públicos fomentan la actividad asociativa mediante diversas subvenciones y facilidades</w:t>
      </w:r>
      <w:r>
        <w:t xml:space="preserve">.  </w:t>
      </w:r>
      <w:r w:rsidRPr="00AE6E3D">
        <w:t>La mayoría de las asociaciones tienen actualmente un estatuto, unas bases y una actividad que les permiten integrarse en el movimiento asociativo internacional</w:t>
      </w:r>
      <w:r>
        <w:t xml:space="preserve">.  </w:t>
      </w:r>
      <w:r w:rsidRPr="00AE6E3D">
        <w:t>Las</w:t>
      </w:r>
      <w:r>
        <w:t> </w:t>
      </w:r>
      <w:r w:rsidRPr="00AE6E3D">
        <w:t>asociaciones que se ocupan de la promoción de los derechos de la mujer, de la educación o de la lucha contra el analfabetismo han dado muestras de particular dinamismo.</w:t>
      </w:r>
    </w:p>
    <w:p w:rsidR="00DD0682" w:rsidRPr="00AE6E3D" w:rsidRDefault="00DD0682" w:rsidP="00DD0682">
      <w:pPr>
        <w:spacing w:after="240"/>
      </w:pPr>
      <w:r w:rsidRPr="00AE6E3D">
        <w:t>33.</w:t>
      </w:r>
      <w:r w:rsidRPr="00AE6E3D">
        <w:tab/>
        <w:t>La libertad sindical se ha reafirmado en la Constitución y organizado en el marco de la Ley de 6 de junio de 1990</w:t>
      </w:r>
      <w:r>
        <w:t xml:space="preserve">.  </w:t>
      </w:r>
      <w:r w:rsidRPr="00AE6E3D">
        <w:t>En la segunda parte del presente informe se facilitan datos más detallados al respecto.</w:t>
      </w:r>
    </w:p>
    <w:p w:rsidR="00DD0682" w:rsidRPr="007B06AA" w:rsidRDefault="00DD0682" w:rsidP="00DD0682">
      <w:pPr>
        <w:spacing w:after="240"/>
        <w:rPr>
          <w:b/>
        </w:rPr>
      </w:pPr>
      <w:r w:rsidRPr="007B06AA">
        <w:rPr>
          <w:b/>
        </w:rPr>
        <w:t>5.</w:t>
      </w:r>
      <w:r w:rsidRPr="007B06AA">
        <w:rPr>
          <w:b/>
        </w:rPr>
        <w:tab/>
        <w:t>Otros mecanismos de defensa y promoción de los derechos humanos</w:t>
      </w:r>
    </w:p>
    <w:p w:rsidR="00DD0682" w:rsidRPr="00AE6E3D" w:rsidRDefault="00DD0682" w:rsidP="00DD0682">
      <w:pPr>
        <w:spacing w:after="240"/>
      </w:pPr>
      <w:r w:rsidRPr="00AE6E3D">
        <w:t>34.</w:t>
      </w:r>
      <w:r w:rsidRPr="00AE6E3D">
        <w:tab/>
        <w:t>El 9 de octubre de 2001, el Presidente de la República estableció oficialmente la Comisión Nacional Consultiva de Promoción y Protección de los Derechos Humanos (CNCPPDH), enton</w:t>
      </w:r>
      <w:r>
        <w:t>c</w:t>
      </w:r>
      <w:r w:rsidRPr="00AE6E3D">
        <w:t>es integrada por 45 miembros, entre ellos 13 mujeres</w:t>
      </w:r>
      <w:r>
        <w:t xml:space="preserve">.  </w:t>
      </w:r>
      <w:r w:rsidRPr="00AE6E3D">
        <w:t>La designación de sus miembros se basa en el principio del pluralismo sociológico e institucional, al igual que su composición</w:t>
      </w:r>
      <w:r>
        <w:t>.  Ésta </w:t>
      </w:r>
      <w:r w:rsidRPr="00AE6E3D">
        <w:t>se renovó el 10 de diciembre de 2006 y cuenta entre sus miembros 19 mujeres</w:t>
      </w:r>
      <w:r>
        <w:t>.</w:t>
      </w:r>
    </w:p>
    <w:p w:rsidR="00DD0682" w:rsidRPr="00AE6E3D" w:rsidRDefault="00DD0682" w:rsidP="00DD0682">
      <w:pPr>
        <w:spacing w:after="240"/>
      </w:pPr>
      <w:r w:rsidRPr="00AE6E3D">
        <w:t>35.</w:t>
      </w:r>
      <w:r w:rsidRPr="00AE6E3D">
        <w:tab/>
        <w:t xml:space="preserve">Creada en virtud del Decreto presidencial Nº 01-71, de 25 de marzo de 2001, </w:t>
      </w:r>
      <w:r>
        <w:t>la CNCPPDH</w:t>
      </w:r>
      <w:r w:rsidRPr="00AE6E3D">
        <w:t xml:space="preserve"> sustituye al Observatorio</w:t>
      </w:r>
      <w:r>
        <w:t xml:space="preserve"> </w:t>
      </w:r>
      <w:r w:rsidRPr="00AE6E3D">
        <w:t>creado en 1992</w:t>
      </w:r>
      <w:r>
        <w:t xml:space="preserve">.  </w:t>
      </w:r>
      <w:r w:rsidRPr="00AE6E3D">
        <w:t xml:space="preserve">Es </w:t>
      </w:r>
      <w:r>
        <w:t>"</w:t>
      </w:r>
      <w:r w:rsidRPr="00AE6E3D">
        <w:t>una institución independiente, adscrita a la Presidencia de la República, garante de la Constitución, de los derechos fundamentales de los ciudadanos y de las libertades públicas</w:t>
      </w:r>
      <w:r>
        <w:t xml:space="preserve">".  </w:t>
      </w:r>
      <w:r w:rsidRPr="00AE6E3D">
        <w:t xml:space="preserve">Se trata de un órgano consultivo encargado de la vigilancia, la alerta temprana y la evaluación </w:t>
      </w:r>
      <w:r>
        <w:t xml:space="preserve">en lo que respecta a la observancia </w:t>
      </w:r>
      <w:r w:rsidRPr="00AE6E3D">
        <w:t>de los derechos humanos</w:t>
      </w:r>
      <w:r>
        <w:t xml:space="preserve">.  </w:t>
      </w:r>
      <w:r w:rsidRPr="00AE6E3D">
        <w:t>La Comisión examina las situaciones que vulneran los derechos humanos, comprobadas o que le son denunciadas, y adopta todas las medidas apropiadas al respecto</w:t>
      </w:r>
      <w:r>
        <w:t xml:space="preserve">.  </w:t>
      </w:r>
      <w:r w:rsidRPr="00AE6E3D">
        <w:t>Otra de sus misiones consiste en llevar a cabo todo tipo de actividades de sensibilización, información y comunicación social para la promoción de los derechos humanos, fomentar la investigación, la educación y la enseñanza en esa esfera y emitir dictámenes sobre la legislación nacional con miras a mejorarla</w:t>
      </w:r>
      <w:r>
        <w:t xml:space="preserve">.  </w:t>
      </w:r>
      <w:r w:rsidRPr="00AE6E3D">
        <w:t>Además, prepara un informe anual sobre la situación de los derechos humanos, que transmite al Presidente de la República.</w:t>
      </w:r>
    </w:p>
    <w:p w:rsidR="00DD0682" w:rsidRPr="00AE6E3D" w:rsidRDefault="00DD0682" w:rsidP="00DD0682">
      <w:pPr>
        <w:spacing w:after="240"/>
      </w:pPr>
      <w:r w:rsidRPr="00AE6E3D">
        <w:t>36.</w:t>
      </w:r>
      <w:r w:rsidRPr="00AE6E3D">
        <w:tab/>
        <w:t>Con el fin de armonizar es</w:t>
      </w:r>
      <w:r>
        <w:t>a</w:t>
      </w:r>
      <w:r w:rsidRPr="00AE6E3D">
        <w:t xml:space="preserve"> nueva institución con los Principios de París, por el Decreto Nº</w:t>
      </w:r>
      <w:r>
        <w:t> </w:t>
      </w:r>
      <w:r w:rsidRPr="00AE6E3D">
        <w:t>02-297, de 23 de septiembre de 2002, se modificó el Decreto Nº 01-71, de 25 de marzo de</w:t>
      </w:r>
      <w:r>
        <w:t> </w:t>
      </w:r>
      <w:r w:rsidRPr="00AE6E3D">
        <w:t>2001.</w:t>
      </w:r>
    </w:p>
    <w:p w:rsidR="00DD0682" w:rsidRPr="006D3196" w:rsidRDefault="00DD0682" w:rsidP="00DD0682">
      <w:pPr>
        <w:spacing w:after="240"/>
        <w:jc w:val="center"/>
        <w:rPr>
          <w:b/>
        </w:rPr>
      </w:pPr>
      <w:r w:rsidRPr="006D3196">
        <w:rPr>
          <w:b/>
        </w:rPr>
        <w:t>B.</w:t>
      </w:r>
      <w:r>
        <w:rPr>
          <w:b/>
        </w:rPr>
        <w:t xml:space="preserve">  </w:t>
      </w:r>
      <w:r w:rsidRPr="006D3196">
        <w:rPr>
          <w:b/>
        </w:rPr>
        <w:t>Tratados internacionales y orden interno</w:t>
      </w:r>
    </w:p>
    <w:p w:rsidR="00DD0682" w:rsidRPr="00AE6E3D" w:rsidRDefault="00DD0682" w:rsidP="00DD0682">
      <w:pPr>
        <w:spacing w:after="240"/>
      </w:pPr>
      <w:r w:rsidRPr="00AE6E3D">
        <w:t>37.</w:t>
      </w:r>
      <w:r w:rsidRPr="00AE6E3D">
        <w:tab/>
        <w:t>Los compromisos internacionales de Argelia tienen primacía sobre la ley nacional</w:t>
      </w:r>
      <w:r>
        <w:t xml:space="preserve">.  </w:t>
      </w:r>
      <w:r w:rsidRPr="00AE6E3D">
        <w:t>Así</w:t>
      </w:r>
      <w:r>
        <w:t>, </w:t>
      </w:r>
      <w:r w:rsidRPr="00AE6E3D">
        <w:t>por ejemplo, el Consejo Constitucional, en una decisión de 20 de agosto de 1989, confirmó el principio constitucional según el cual los tratados internacionales ratificados priman sobre la ley interna</w:t>
      </w:r>
      <w:r>
        <w:t xml:space="preserve">.  </w:t>
      </w:r>
      <w:r w:rsidRPr="00AE6E3D">
        <w:t xml:space="preserve">En esa decisión se dice textualmente </w:t>
      </w:r>
      <w:r>
        <w:t>"</w:t>
      </w:r>
      <w:r w:rsidRPr="00AE6E3D">
        <w:t>que después de su ratificación y publicación, todo convenio internacional se integra en el derecho nacional y, conforme al artículo 132 de la Constitución, posee un rango superior al de la ley, lo que autoriza a todo ciudadano argelino a invocar ese instrumento ante las distintas jurisdicciones</w:t>
      </w:r>
      <w:r>
        <w:t xml:space="preserve">".  </w:t>
      </w:r>
    </w:p>
    <w:p w:rsidR="00DD0682" w:rsidRPr="00AE6E3D" w:rsidRDefault="00DD0682" w:rsidP="00DD0682">
      <w:pPr>
        <w:spacing w:after="240"/>
      </w:pPr>
      <w:r w:rsidRPr="00AE6E3D">
        <w:t>38.</w:t>
      </w:r>
      <w:r w:rsidRPr="00AE6E3D">
        <w:tab/>
        <w:t>En consecuencia, una vez agotados los recursos internos previstos</w:t>
      </w:r>
      <w:r>
        <w:t>,</w:t>
      </w:r>
      <w:r w:rsidRPr="00AE6E3D">
        <w:t xml:space="preserve"> se admite el acceso de los particulares a los mecanismos de salvaguardia establecidos por el Comité de Derechos Humanos, el Comité contra la Tortura o el Comité para la Eliminación de la Discriminación Racial.</w:t>
      </w:r>
    </w:p>
    <w:p w:rsidR="00DD0682" w:rsidRPr="00AE6E3D" w:rsidRDefault="00DD0682" w:rsidP="00DD0682">
      <w:pPr>
        <w:spacing w:after="480"/>
      </w:pPr>
      <w:r w:rsidRPr="00AE6E3D">
        <w:t>39.</w:t>
      </w:r>
      <w:r w:rsidRPr="00AE6E3D">
        <w:tab/>
        <w:t>Las autoridades argelinas, la CNCPPDH, las diversas asociaciones y los medios de comunicación tienen plenamente en cuenta esas posibilidades de recurso ante los mecanismos internacionales</w:t>
      </w:r>
      <w:r>
        <w:t xml:space="preserve">.  </w:t>
      </w:r>
      <w:r w:rsidRPr="00AE6E3D">
        <w:t>En la práctica, los ciudadanos argelinos y sus abogados parecen satisfechos con las múltiples vías internas de recurso existentes (tribunales, CNCPPDH).</w:t>
      </w:r>
    </w:p>
    <w:p w:rsidR="00DD0682" w:rsidRPr="0025396D" w:rsidRDefault="00DD0682" w:rsidP="00DD0682">
      <w:pPr>
        <w:spacing w:after="240"/>
        <w:jc w:val="center"/>
        <w:rPr>
          <w:b/>
        </w:rPr>
      </w:pPr>
      <w:r w:rsidRPr="0025396D">
        <w:rPr>
          <w:b/>
        </w:rPr>
        <w:t>III.  INFORMACIÓN Y PUBLICIDAD</w:t>
      </w:r>
    </w:p>
    <w:p w:rsidR="00DD0682" w:rsidRPr="00AE6E3D" w:rsidRDefault="00DD0682" w:rsidP="00DD0682">
      <w:pPr>
        <w:spacing w:after="240"/>
      </w:pPr>
      <w:r w:rsidRPr="00AE6E3D">
        <w:t>40.</w:t>
      </w:r>
      <w:r w:rsidRPr="00AE6E3D">
        <w:tab/>
      </w:r>
      <w:r>
        <w:t>Toda</w:t>
      </w:r>
      <w:r w:rsidRPr="00AE6E3D">
        <w:t xml:space="preserve"> ratificación por Argelia de un instrumento internacional de derechos humanos es objeto de una amplia campaña de publicidad a través de los medios de comunicación nacionales en el momento de su presentación a la Asamblea </w:t>
      </w:r>
      <w:r>
        <w:t xml:space="preserve">Popular </w:t>
      </w:r>
      <w:r w:rsidRPr="00AE6E3D">
        <w:t>Nacional para su examen y aprobación</w:t>
      </w:r>
      <w:r>
        <w:t xml:space="preserve">.  </w:t>
      </w:r>
      <w:r w:rsidRPr="00AE6E3D">
        <w:t xml:space="preserve">Todos los textos ratificados se publican en </w:t>
      </w:r>
      <w:r>
        <w:t xml:space="preserve">el </w:t>
      </w:r>
      <w:r w:rsidRPr="0025396D">
        <w:rPr>
          <w:i/>
        </w:rPr>
        <w:t>Boletín Oficial</w:t>
      </w:r>
      <w:r w:rsidRPr="00AE6E3D">
        <w:t xml:space="preserve"> de la República Argelina.</w:t>
      </w:r>
    </w:p>
    <w:p w:rsidR="00DD0682" w:rsidRPr="00AE6E3D" w:rsidRDefault="00DD0682" w:rsidP="00DD0682">
      <w:pPr>
        <w:spacing w:after="240"/>
      </w:pPr>
      <w:r w:rsidRPr="00AE6E3D">
        <w:t>41.</w:t>
      </w:r>
      <w:r w:rsidRPr="00AE6E3D">
        <w:tab/>
        <w:t>Además de los coloquios y seminarios periódicamente organizados sobre este tema, la celebración, el 10 de diciembre, del Día de los derechos humanos brinda cada año una nueva oportunidad para dar a conocer los diversos instrumentos internacionales de derechos humanos a los que se ha adherido Argelia</w:t>
      </w:r>
      <w:r>
        <w:t xml:space="preserve">.  </w:t>
      </w:r>
      <w:r w:rsidRPr="00AE6E3D">
        <w:t>Asimismo, el 8 de marzo y el 1</w:t>
      </w:r>
      <w:r>
        <w:t>º</w:t>
      </w:r>
      <w:r w:rsidRPr="00AE6E3D">
        <w:t xml:space="preserve"> de junio son ocasiones para reafirmar periódicamente el lugar que ocupan y la función que desempeñan las mujeres y los niños en la sociedad.</w:t>
      </w:r>
    </w:p>
    <w:p w:rsidR="00DD0682" w:rsidRPr="00AE6E3D" w:rsidRDefault="00DD0682" w:rsidP="00DD0682">
      <w:pPr>
        <w:spacing w:after="240"/>
      </w:pPr>
      <w:r w:rsidRPr="00AE6E3D">
        <w:t>42.</w:t>
      </w:r>
      <w:r w:rsidRPr="00AE6E3D">
        <w:tab/>
        <w:t xml:space="preserve">En la universidad, el módulo titulado </w:t>
      </w:r>
      <w:r>
        <w:t>"</w:t>
      </w:r>
      <w:r w:rsidRPr="00AE6E3D">
        <w:t>Libertades públicas</w:t>
      </w:r>
      <w:r>
        <w:t>"</w:t>
      </w:r>
      <w:r w:rsidRPr="00AE6E3D">
        <w:t>, que se enseñaba en las facultades de derecho, se ha vuelto a introducir con un contenido actualizado que tiene en cuenta los acontecimientos internacionales y la adhesión a nuevos tratados</w:t>
      </w:r>
      <w:r>
        <w:t xml:space="preserve">.  </w:t>
      </w:r>
      <w:r w:rsidRPr="00AE6E3D">
        <w:t>Algunas universidades (por</w:t>
      </w:r>
      <w:r>
        <w:t> </w:t>
      </w:r>
      <w:r w:rsidRPr="00AE6E3D">
        <w:t>ejemplo, las de Orán, Tizi Ouzou y Annaba) ya han empezado a crear módulos específicos</w:t>
      </w:r>
      <w:r>
        <w:t xml:space="preserve">.  </w:t>
      </w:r>
      <w:r w:rsidRPr="00AE6E3D">
        <w:t>Los derechos humanos se enseñan a los alumnos del Instituto Nacional de la Magistratura, de la Escuela Superior de Policía y de la Escuela Nacional de Administración Penitenciaria.</w:t>
      </w:r>
    </w:p>
    <w:p w:rsidR="00DD0682" w:rsidRPr="00AE6E3D" w:rsidRDefault="00DD0682" w:rsidP="00DD0682">
      <w:pPr>
        <w:adjustRightInd w:val="0"/>
        <w:snapToGrid w:val="0"/>
        <w:spacing w:after="480"/>
      </w:pPr>
      <w:r w:rsidRPr="00AE6E3D">
        <w:t>43.</w:t>
      </w:r>
      <w:r w:rsidRPr="00AE6E3D">
        <w:tab/>
        <w:t>En la Universidad de Orán se ha creado una cátedra UNESCO</w:t>
      </w:r>
      <w:bookmarkStart w:id="0" w:name="hit1"/>
      <w:bookmarkStart w:id="1" w:name="hit2"/>
      <w:bookmarkStart w:id="2" w:name="hit3"/>
      <w:bookmarkStart w:id="3" w:name="hit_last"/>
      <w:bookmarkEnd w:id="0"/>
      <w:bookmarkEnd w:id="1"/>
      <w:bookmarkEnd w:id="2"/>
      <w:bookmarkEnd w:id="3"/>
      <w:r w:rsidRPr="00AE6E3D">
        <w:t xml:space="preserve"> de derechos humanos</w:t>
      </w:r>
      <w:r>
        <w:t xml:space="preserve">.  </w:t>
      </w:r>
      <w:r w:rsidRPr="00AE6E3D">
        <w:t>Esta estructura pedagógica, inaugurada en diciembre de 1995, tiene por objeto organizar y promover un sistema integrado de investigación, formación, información y documentación sobre los derechos humanos</w:t>
      </w:r>
      <w:r>
        <w:t xml:space="preserve">.  </w:t>
      </w:r>
      <w:r w:rsidRPr="00AE6E3D">
        <w:t>Está prevista en especial la creación de un magisterio específico de derechos humanos</w:t>
      </w:r>
      <w:r>
        <w:t xml:space="preserve">.  </w:t>
      </w:r>
      <w:r w:rsidRPr="00AE6E3D">
        <w:t>Periódicamente se organizan jornadas de estudio sobre los derechos humanos y el derecho humanitario, cuyos trabajos se publican</w:t>
      </w:r>
      <w:r>
        <w:t xml:space="preserve">.  </w:t>
      </w:r>
      <w:r w:rsidRPr="00AE6E3D">
        <w:t>Por su parte, la CNCPPDH difunde los principios de derechos humanos consagrados en la legislación nacional y los instrumentos internacionales a los que se ha adherido Argelia</w:t>
      </w:r>
      <w:r>
        <w:t xml:space="preserve">.  </w:t>
      </w:r>
      <w:r w:rsidRPr="00AE6E3D">
        <w:t>Su labor de vulgarización se realiza en particular mediante la difusión de revistas y la organización y el patrocinio de seminarios, exposiciones y jornadas de estudio conjuntamente con el movimiento asociativo.</w:t>
      </w:r>
    </w:p>
    <w:p w:rsidR="00DD0682" w:rsidRPr="001E6C05" w:rsidRDefault="00DD0682" w:rsidP="00DD0682">
      <w:pPr>
        <w:spacing w:after="240"/>
        <w:jc w:val="center"/>
        <w:rPr>
          <w:b/>
        </w:rPr>
      </w:pPr>
      <w:r w:rsidRPr="001E6C05">
        <w:rPr>
          <w:b/>
        </w:rPr>
        <w:t>IV.  DERECHOS HUMANOS Y LUCHA CONTRA EL TERRORISMO</w:t>
      </w:r>
    </w:p>
    <w:p w:rsidR="00DD0682" w:rsidRPr="00AE6E3D" w:rsidRDefault="00DD0682" w:rsidP="00DD0682">
      <w:pPr>
        <w:spacing w:after="240"/>
      </w:pPr>
      <w:r w:rsidRPr="00AE6E3D">
        <w:t>44</w:t>
      </w:r>
      <w:r>
        <w:t>.</w:t>
      </w:r>
      <w:r>
        <w:tab/>
      </w:r>
      <w:r w:rsidRPr="00AE6E3D">
        <w:t>Desde 1991, Argelia ha tenido que afrontar, en un clima de indiferencia y de desconfianza, el fenómeno del terrorismo</w:t>
      </w:r>
      <w:r>
        <w:t xml:space="preserve">.  </w:t>
      </w:r>
      <w:r w:rsidRPr="00AE6E3D">
        <w:t>La lucha contra ese flagelo, que ha requerido la adopción de medidas especiales, se ha desarrollado siempre en el marco de la legalidad y del respeto</w:t>
      </w:r>
      <w:r>
        <w:t xml:space="preserve"> </w:t>
      </w:r>
      <w:r w:rsidRPr="00AE6E3D">
        <w:t>de los derechos humanos.</w:t>
      </w:r>
    </w:p>
    <w:p w:rsidR="00DD0682" w:rsidRPr="00AE6E3D" w:rsidRDefault="00DD0682" w:rsidP="00DD0682">
      <w:pPr>
        <w:spacing w:after="240"/>
      </w:pPr>
      <w:r w:rsidRPr="00AE6E3D">
        <w:t>45</w:t>
      </w:r>
      <w:r>
        <w:t>.</w:t>
      </w:r>
      <w:r>
        <w:tab/>
      </w:r>
      <w:r w:rsidRPr="00AE6E3D">
        <w:t>Para hacer frente a esa situación excepcional, de conformidad con la Constitución, las autoridades decidieron declarar, en febrero de 1992, el estado de emergencia</w:t>
      </w:r>
      <w:r>
        <w:t xml:space="preserve">.  </w:t>
      </w:r>
      <w:r w:rsidRPr="00AE6E3D">
        <w:t xml:space="preserve">Aunque trajo aparejadas algunas restricciones al ejercicio de </w:t>
      </w:r>
      <w:r>
        <w:t>algunos</w:t>
      </w:r>
      <w:r w:rsidRPr="00AE6E3D">
        <w:t xml:space="preserve"> derechos y libertades públicos, el estado de emergencia no suspendió las obligaciones del Estado de garantizar el ejercicio de las libertades fundamentales del ciudadano plasmadas en el ordenamiento constitucional de Argelia y los instrumentos internacionales ratificados por el país.</w:t>
      </w:r>
    </w:p>
    <w:p w:rsidR="00DD0682" w:rsidRPr="00AE6E3D" w:rsidRDefault="00DD0682" w:rsidP="00DD0682">
      <w:pPr>
        <w:spacing w:after="240"/>
      </w:pPr>
      <w:r w:rsidRPr="00AE6E3D">
        <w:t>46</w:t>
      </w:r>
      <w:r>
        <w:t>.</w:t>
      </w:r>
      <w:r>
        <w:tab/>
      </w:r>
      <w:r w:rsidRPr="00AE6E3D">
        <w:t>Todas las medidas excepcionales tomadas en el contexto de la aplicación del estado de emergencia han ido acompañadas de garantías de protección de los derechos humanos</w:t>
      </w:r>
      <w:r>
        <w:t xml:space="preserve">.  </w:t>
      </w:r>
      <w:r w:rsidRPr="00AE6E3D">
        <w:t>Los</w:t>
      </w:r>
      <w:r>
        <w:t> </w:t>
      </w:r>
      <w:r w:rsidRPr="00AE6E3D">
        <w:t xml:space="preserve">derechos y libertades </w:t>
      </w:r>
      <w:r>
        <w:t>inderogables enunciados</w:t>
      </w:r>
      <w:r w:rsidRPr="00AE6E3D">
        <w:t xml:space="preserve"> en el Pacto no han sido objeto de ninguna restricción.</w:t>
      </w:r>
    </w:p>
    <w:p w:rsidR="00DD0682" w:rsidRPr="00AE6E3D" w:rsidRDefault="00DD0682" w:rsidP="00DD0682">
      <w:pPr>
        <w:spacing w:after="240"/>
      </w:pPr>
      <w:r w:rsidRPr="00AE6E3D">
        <w:t>47</w:t>
      </w:r>
      <w:r>
        <w:t>.</w:t>
      </w:r>
      <w:r>
        <w:tab/>
      </w:r>
      <w:r w:rsidRPr="00AE6E3D">
        <w:t>As</w:t>
      </w:r>
      <w:r>
        <w:t>i</w:t>
      </w:r>
      <w:r w:rsidRPr="00AE6E3D">
        <w:t xml:space="preserve">mismo, la defensa del orden público y de las personas y la protección de los bienes amenazados por el terrorismo se han desarrollado siempre en el marco de la ley y del respeto de los compromisos dimanantes de los diferentes instrumentos internacionales </w:t>
      </w:r>
      <w:r>
        <w:t>a</w:t>
      </w:r>
      <w:r w:rsidRPr="00AE6E3D">
        <w:t xml:space="preserve"> los que Argelia </w:t>
      </w:r>
      <w:r>
        <w:t>s</w:t>
      </w:r>
      <w:r w:rsidRPr="00AE6E3D">
        <w:t>e</w:t>
      </w:r>
      <w:r>
        <w:t xml:space="preserve"> ha adherido.  </w:t>
      </w:r>
      <w:r w:rsidRPr="00AE6E3D">
        <w:t xml:space="preserve">La finalidad de esas actividades reside en consolidar el estado de derecho, </w:t>
      </w:r>
      <w:r>
        <w:t>crear</w:t>
      </w:r>
      <w:r w:rsidRPr="00AE6E3D">
        <w:t xml:space="preserve"> las condiciones para la legitimación de las instituciones y restaurar un sufragio universal </w:t>
      </w:r>
      <w:r>
        <w:t>v</w:t>
      </w:r>
      <w:r w:rsidRPr="00AE6E3D">
        <w:t>erdaderamente libre, pluralista y democrático como el que Argelia disfrutó durante las diversas elecciones celebradas en 1995,1996, 1997, 1999, 2002, 2004 y 2007.</w:t>
      </w:r>
    </w:p>
    <w:p w:rsidR="00DD0682" w:rsidRPr="00AE6E3D" w:rsidRDefault="00DD0682" w:rsidP="00DD0682">
      <w:pPr>
        <w:spacing w:after="240"/>
      </w:pPr>
      <w:r w:rsidRPr="00AE6E3D">
        <w:t>48</w:t>
      </w:r>
      <w:r>
        <w:t>.</w:t>
      </w:r>
      <w:r>
        <w:tab/>
      </w:r>
      <w:r w:rsidRPr="00AE6E3D">
        <w:t xml:space="preserve">Para facilitar el retorno a la paz civil y gracias a la </w:t>
      </w:r>
      <w:r>
        <w:t>aprobación</w:t>
      </w:r>
      <w:r w:rsidRPr="00AE6E3D">
        <w:t xml:space="preserve"> de la Ley de clemencia (Ordenanza Nº 95-12, de 25 de febrero de 1995), el Estado ha aprobado medidas </w:t>
      </w:r>
      <w:r>
        <w:t>encaminadas a</w:t>
      </w:r>
      <w:r w:rsidRPr="00AE6E3D">
        <w:t xml:space="preserve"> ofrecer una salida a los terroristas que deseen optar por la vía del arrepentimiento, en las que se establecen una serie de disposiciones, desde la exención de diligencias judiciales hasta una reducción importante de la escala de las penas.</w:t>
      </w:r>
    </w:p>
    <w:p w:rsidR="00DD0682" w:rsidRPr="00AE6E3D" w:rsidRDefault="00DD0682" w:rsidP="00DD0682">
      <w:pPr>
        <w:spacing w:after="240"/>
      </w:pPr>
      <w:r w:rsidRPr="00AE6E3D">
        <w:t>49</w:t>
      </w:r>
      <w:r>
        <w:t>.</w:t>
      </w:r>
      <w:r>
        <w:tab/>
      </w:r>
      <w:r w:rsidRPr="00AE6E3D">
        <w:t xml:space="preserve">Esa ley se ha visto respaldada por la decisión del Presidente de la República de profundizar en el proceso de concordia civil, mediante la organización, el 29 de septiembre de 1999, de un referéndum sobre la </w:t>
      </w:r>
      <w:r>
        <w:t>"</w:t>
      </w:r>
      <w:r w:rsidRPr="00AE6E3D">
        <w:t>Acción global del Presidente de la República para la consecución de la paz y de la concordia civil</w:t>
      </w:r>
      <w:r>
        <w:t>"</w:t>
      </w:r>
      <w:r w:rsidRPr="00AE6E3D">
        <w:t xml:space="preserve">, aprobada por el 96,19% de los </w:t>
      </w:r>
      <w:r>
        <w:t>votantes.</w:t>
      </w:r>
    </w:p>
    <w:p w:rsidR="00DD0682" w:rsidRPr="00AE6E3D" w:rsidRDefault="00DD0682" w:rsidP="00DD0682">
      <w:pPr>
        <w:spacing w:after="240"/>
      </w:pPr>
      <w:r w:rsidRPr="00AE6E3D">
        <w:t>50</w:t>
      </w:r>
      <w:r>
        <w:t>.</w:t>
      </w:r>
      <w:r>
        <w:tab/>
      </w:r>
      <w:r w:rsidRPr="00AE6E3D">
        <w:t xml:space="preserve">Finalizada esa etapa, Argelia </w:t>
      </w:r>
      <w:r>
        <w:t>ha emprendido</w:t>
      </w:r>
      <w:r w:rsidRPr="00AE6E3D">
        <w:t xml:space="preserve"> una nueva </w:t>
      </w:r>
      <w:r>
        <w:t>acción destinada</w:t>
      </w:r>
      <w:r w:rsidRPr="00AE6E3D">
        <w:t xml:space="preserve"> a consolidar la paz civil y lograr la reconciliación nacional</w:t>
      </w:r>
      <w:r>
        <w:t xml:space="preserve">.  </w:t>
      </w:r>
      <w:r w:rsidRPr="00AE6E3D">
        <w:t xml:space="preserve">Así, para liquidar las secuelas de la crisis que había sufrido el país, el 29 de septiembre de 2005, el pueblo argelino, por una mayoría aplastante (97%), se pronunció </w:t>
      </w:r>
      <w:r>
        <w:t>por</w:t>
      </w:r>
      <w:r w:rsidRPr="00AE6E3D">
        <w:t xml:space="preserve"> referéndum a favor de la </w:t>
      </w:r>
      <w:r>
        <w:t>"</w:t>
      </w:r>
      <w:r w:rsidRPr="00AE6E3D">
        <w:t xml:space="preserve">Carta </w:t>
      </w:r>
      <w:r>
        <w:t>para</w:t>
      </w:r>
      <w:r w:rsidRPr="00AE6E3D">
        <w:t xml:space="preserve"> la paz y la reconciliación nacional</w:t>
      </w:r>
      <w:r>
        <w:t>"</w:t>
      </w:r>
      <w:r w:rsidRPr="00AE6E3D">
        <w:t xml:space="preserve">, cuyo proyecto </w:t>
      </w:r>
      <w:r>
        <w:t>le sometió el Presidente de la República el 14 de agosto de 2005</w:t>
      </w:r>
      <w:r w:rsidRPr="00AE6E3D">
        <w:t>.</w:t>
      </w:r>
    </w:p>
    <w:p w:rsidR="00DD0682" w:rsidRPr="00AE6E3D" w:rsidRDefault="00DD0682" w:rsidP="00DD0682">
      <w:pPr>
        <w:spacing w:after="240"/>
      </w:pPr>
      <w:r w:rsidRPr="00AE6E3D">
        <w:t>51</w:t>
      </w:r>
      <w:r>
        <w:t>.</w:t>
      </w:r>
      <w:r>
        <w:tab/>
        <w:t>Mediante</w:t>
      </w:r>
      <w:r w:rsidRPr="00AE6E3D">
        <w:t xml:space="preserve"> esa Carta el pueblo argelino expresó su reconocimiento a los artífices de la salvaguardia del país y se declaró a favor de que se adoptaran medidas </w:t>
      </w:r>
      <w:r>
        <w:t>para</w:t>
      </w:r>
      <w:r w:rsidRPr="00AE6E3D">
        <w:t xml:space="preserve"> consolidar la paz y la reconciliación nacional y a respaldar la política </w:t>
      </w:r>
      <w:r>
        <w:t xml:space="preserve">destinada a abrir </w:t>
      </w:r>
      <w:r w:rsidRPr="00AE6E3D">
        <w:t>el dramático expediente de los desaparecidos.</w:t>
      </w:r>
    </w:p>
    <w:p w:rsidR="00DD0682" w:rsidRPr="00AE6E3D" w:rsidRDefault="00DD0682" w:rsidP="00DD0682">
      <w:pPr>
        <w:spacing w:after="240"/>
      </w:pPr>
      <w:r w:rsidRPr="00AE6E3D">
        <w:t>52</w:t>
      </w:r>
      <w:r>
        <w:t>.</w:t>
      </w:r>
      <w:r>
        <w:tab/>
      </w:r>
      <w:r w:rsidRPr="00AE6E3D">
        <w:t xml:space="preserve">La Carta </w:t>
      </w:r>
      <w:r>
        <w:t>refleja asimismo</w:t>
      </w:r>
      <w:r w:rsidRPr="00AE6E3D">
        <w:t xml:space="preserve"> la voluntad del pueblo argelino de construir un futuro de paz y de estabilidad, así como de manifestar su convicción de que todas las víctimas de la tragedia nacional y sus derechohabientes merecen que se tomen disposiciones para garantizar el respeto de su dignidad y la satisfacción de sus necesidades sociales, en un esfuerzo común de solidaridad nacional.</w:t>
      </w:r>
    </w:p>
    <w:p w:rsidR="00DD0682" w:rsidRPr="00AE6E3D" w:rsidRDefault="00DD0682" w:rsidP="00DD0682">
      <w:pPr>
        <w:spacing w:after="240"/>
      </w:pPr>
      <w:r w:rsidRPr="00AE6E3D">
        <w:t>53</w:t>
      </w:r>
      <w:r>
        <w:t>.</w:t>
      </w:r>
      <w:r>
        <w:tab/>
      </w:r>
      <w:r w:rsidRPr="00AE6E3D">
        <w:t>Conviene recordar que, desde el 11 de septiembre de 2001, el mundo entero es consciente de la magnitud de ese fenómeno transnacional</w:t>
      </w:r>
      <w:r>
        <w:t>,</w:t>
      </w:r>
      <w:r w:rsidRPr="00AE6E3D">
        <w:t xml:space="preserve"> que puede </w:t>
      </w:r>
      <w:r>
        <w:t>menoscabar</w:t>
      </w:r>
      <w:r w:rsidRPr="00AE6E3D">
        <w:t xml:space="preserve"> la armonía de las sociedades y la estabilidad de los países, de lo que se desprende la necesidad de luchar codo con codo en el </w:t>
      </w:r>
      <w:r>
        <w:t>marco</w:t>
      </w:r>
      <w:r w:rsidRPr="00AE6E3D">
        <w:t xml:space="preserve"> de una cooperación internacional, única forma de lograr su erradicación definitiva.</w:t>
      </w:r>
    </w:p>
    <w:p w:rsidR="00DD0682" w:rsidRPr="00AE6E3D" w:rsidRDefault="00DD0682" w:rsidP="00DD0682">
      <w:pPr>
        <w:spacing w:after="480"/>
      </w:pPr>
      <w:r w:rsidRPr="00AE6E3D">
        <w:t>54</w:t>
      </w:r>
      <w:r>
        <w:t>.</w:t>
      </w:r>
      <w:r>
        <w:tab/>
      </w:r>
      <w:r w:rsidRPr="00AE6E3D">
        <w:t xml:space="preserve">Argelia, que ha </w:t>
      </w:r>
      <w:r>
        <w:t>propugnado desde hace tiempo</w:t>
      </w:r>
      <w:r w:rsidRPr="00AE6E3D">
        <w:t xml:space="preserve"> un frente unido contra el terrorismo, se ha adentrado resueltamente por esa vía</w:t>
      </w:r>
      <w:r>
        <w:t xml:space="preserve">.  </w:t>
      </w:r>
      <w:r w:rsidRPr="00AE6E3D">
        <w:t>Tras su adhesión a los tratados e instrumentos universales y regionales de lucha contra el terrorismo, se considera parte interesada en ese compromiso y no escatima ningún esfuerzo para respaldar cualquier iniciativa en ese sentido</w:t>
      </w:r>
      <w:r>
        <w:t xml:space="preserve">.  </w:t>
      </w:r>
      <w:r w:rsidRPr="00AE6E3D">
        <w:t xml:space="preserve">Sigue estando plenamente convencida de que cuestiones tan </w:t>
      </w:r>
      <w:r>
        <w:t>pertinentes</w:t>
      </w:r>
      <w:r w:rsidRPr="00AE6E3D">
        <w:t xml:space="preserve"> y actuales como la promoción de los derechos humanos ganarían mucho en ser tratadas en el </w:t>
      </w:r>
      <w:r>
        <w:t>marco</w:t>
      </w:r>
      <w:r w:rsidRPr="00AE6E3D">
        <w:t xml:space="preserve"> de un diálogo sincero entre las instituciones afectadas por esos problemas, en </w:t>
      </w:r>
      <w:r>
        <w:t>un ambiente de</w:t>
      </w:r>
      <w:r w:rsidRPr="00AE6E3D">
        <w:t xml:space="preserve"> confianza, que resultar</w:t>
      </w:r>
      <w:r>
        <w:t>í</w:t>
      </w:r>
      <w:r w:rsidRPr="00AE6E3D">
        <w:t>a mutuamente beneficioso.</w:t>
      </w:r>
    </w:p>
    <w:p w:rsidR="00DD0682" w:rsidRPr="00DB70C6" w:rsidRDefault="00DD0682" w:rsidP="00DD0682">
      <w:pPr>
        <w:keepNext/>
        <w:spacing w:after="240"/>
        <w:jc w:val="center"/>
        <w:rPr>
          <w:b/>
        </w:rPr>
      </w:pPr>
      <w:r w:rsidRPr="00DB70C6">
        <w:rPr>
          <w:b/>
        </w:rPr>
        <w:t>V.  RESPUESTAS A LAS PREOCUPACIONES DEL COMITÉ</w:t>
      </w:r>
    </w:p>
    <w:p w:rsidR="00DD0682" w:rsidRPr="00DB70C6" w:rsidRDefault="00DD0682" w:rsidP="00DD0682">
      <w:pPr>
        <w:spacing w:after="240"/>
        <w:rPr>
          <w:b/>
        </w:rPr>
      </w:pPr>
      <w:r w:rsidRPr="00DB70C6">
        <w:rPr>
          <w:b/>
        </w:rPr>
        <w:t>Respuesta 1</w:t>
      </w:r>
      <w:r w:rsidRPr="00DB70C6">
        <w:rPr>
          <w:b/>
          <w:vertAlign w:val="superscript"/>
        </w:rPr>
        <w:footnoteReference w:id="2"/>
      </w:r>
    </w:p>
    <w:p w:rsidR="00DD0682" w:rsidRPr="00AE6E3D" w:rsidRDefault="00DD0682" w:rsidP="00DD0682">
      <w:pPr>
        <w:spacing w:after="240"/>
      </w:pPr>
      <w:r w:rsidRPr="00AE6E3D">
        <w:t>55</w:t>
      </w:r>
      <w:r>
        <w:t>.</w:t>
      </w:r>
      <w:r>
        <w:tab/>
      </w:r>
      <w:r w:rsidRPr="00AE6E3D">
        <w:t xml:space="preserve">Después de haber sufrido, </w:t>
      </w:r>
      <w:r>
        <w:t>en</w:t>
      </w:r>
      <w:r w:rsidRPr="00AE6E3D">
        <w:t xml:space="preserve"> la década de 1990, un</w:t>
      </w:r>
      <w:r>
        <w:t>a</w:t>
      </w:r>
      <w:r w:rsidRPr="00AE6E3D">
        <w:t>s de l</w:t>
      </w:r>
      <w:r>
        <w:t>a</w:t>
      </w:r>
      <w:r w:rsidRPr="00AE6E3D">
        <w:t xml:space="preserve">s </w:t>
      </w:r>
      <w:r>
        <w:t>formas</w:t>
      </w:r>
      <w:r w:rsidRPr="00AE6E3D">
        <w:t xml:space="preserve"> de delincuencia más violent</w:t>
      </w:r>
      <w:r>
        <w:t>as</w:t>
      </w:r>
      <w:r w:rsidRPr="00AE6E3D">
        <w:t xml:space="preserve"> de todo el siglo por su magnitud y su barbarie, a partir de 1999 la situación de Argelia fue apaciguándose poco a poco</w:t>
      </w:r>
      <w:r>
        <w:t>.</w:t>
      </w:r>
    </w:p>
    <w:p w:rsidR="00DD0682" w:rsidRPr="00AE6E3D" w:rsidRDefault="00DD0682" w:rsidP="00DD0682">
      <w:pPr>
        <w:spacing w:after="240"/>
      </w:pPr>
      <w:r w:rsidRPr="00AE6E3D">
        <w:t>56</w:t>
      </w:r>
      <w:r>
        <w:t>.</w:t>
      </w:r>
      <w:r>
        <w:tab/>
      </w:r>
      <w:r w:rsidRPr="00AE6E3D">
        <w:t xml:space="preserve">La lucha contra </w:t>
      </w:r>
      <w:r>
        <w:t>la delincuencia</w:t>
      </w:r>
      <w:r w:rsidRPr="00AE6E3D">
        <w:t xml:space="preserve"> terroris</w:t>
      </w:r>
      <w:r>
        <w:t>ta</w:t>
      </w:r>
      <w:r w:rsidRPr="00AE6E3D">
        <w:t>, impulsada por la movilización ciudadana</w:t>
      </w:r>
      <w:r>
        <w:t>,</w:t>
      </w:r>
      <w:r w:rsidRPr="00AE6E3D">
        <w:t xml:space="preserve"> apoyada sobre el terreno por los servicios de seguridad</w:t>
      </w:r>
      <w:r>
        <w:t xml:space="preserve"> y respetando</w:t>
      </w:r>
      <w:r w:rsidRPr="00AE6E3D">
        <w:t xml:space="preserve"> los derechos humanos, consiguió reducir gradualmente </w:t>
      </w:r>
      <w:r>
        <w:t>la amplitud de los atentados.</w:t>
      </w:r>
    </w:p>
    <w:p w:rsidR="00DD0682" w:rsidRPr="00AE6E3D" w:rsidRDefault="00DD0682" w:rsidP="00DD0682">
      <w:pPr>
        <w:spacing w:after="240"/>
      </w:pPr>
      <w:r w:rsidRPr="00AE6E3D">
        <w:t>57</w:t>
      </w:r>
      <w:r>
        <w:t>.</w:t>
      </w:r>
      <w:r>
        <w:tab/>
      </w:r>
      <w:r w:rsidRPr="00AE6E3D">
        <w:t xml:space="preserve">Esa respuesta </w:t>
      </w:r>
      <w:r>
        <w:t xml:space="preserve">destinada a garantizar </w:t>
      </w:r>
      <w:r w:rsidRPr="00AE6E3D">
        <w:t xml:space="preserve">la seguridad </w:t>
      </w:r>
      <w:r>
        <w:t>fue</w:t>
      </w:r>
      <w:r w:rsidRPr="00AE6E3D">
        <w:t xml:space="preserve"> acompañada por dos iniciativa del</w:t>
      </w:r>
      <w:r>
        <w:t xml:space="preserve"> </w:t>
      </w:r>
      <w:r w:rsidRPr="00AE6E3D">
        <w:t xml:space="preserve">Presidente </w:t>
      </w:r>
      <w:r>
        <w:t xml:space="preserve">de la República </w:t>
      </w:r>
      <w:r w:rsidRPr="00AE6E3D">
        <w:t xml:space="preserve">que tuvieron por objeto poner fin a la crisis de manera definitiva y permanente; la primera de ellas fue la iniciativa </w:t>
      </w:r>
      <w:r>
        <w:t xml:space="preserve">en pro </w:t>
      </w:r>
      <w:r w:rsidRPr="00AE6E3D">
        <w:t xml:space="preserve">de la </w:t>
      </w:r>
      <w:r>
        <w:t>"</w:t>
      </w:r>
      <w:r w:rsidRPr="00AE6E3D">
        <w:t>Concordia civil</w:t>
      </w:r>
      <w:r>
        <w:t>"</w:t>
      </w:r>
      <w:r w:rsidRPr="00AE6E3D">
        <w:t xml:space="preserve">, en 1999, y la segunda, la iniciativa </w:t>
      </w:r>
      <w:r>
        <w:t xml:space="preserve">en pro de </w:t>
      </w:r>
      <w:r w:rsidRPr="00AE6E3D">
        <w:t xml:space="preserve">la </w:t>
      </w:r>
      <w:r>
        <w:t>"</w:t>
      </w:r>
      <w:r w:rsidRPr="00AE6E3D">
        <w:t>Paz y reconciliación nacional</w:t>
      </w:r>
      <w:r>
        <w:t>"</w:t>
      </w:r>
      <w:r w:rsidRPr="00AE6E3D">
        <w:t>, e</w:t>
      </w:r>
      <w:r>
        <w:t>n</w:t>
      </w:r>
      <w:r w:rsidRPr="00AE6E3D">
        <w:t xml:space="preserve"> 2005</w:t>
      </w:r>
      <w:r>
        <w:t xml:space="preserve">.  </w:t>
      </w:r>
      <w:r w:rsidRPr="00AE6E3D">
        <w:t>Actualmente, la sociedad argelina se ha reconciliado consigo misma y los principales indicadores son halagüeños</w:t>
      </w:r>
      <w:r>
        <w:t xml:space="preserve">.  En </w:t>
      </w:r>
      <w:r w:rsidRPr="00AE6E3D">
        <w:t>la labor</w:t>
      </w:r>
      <w:r>
        <w:t xml:space="preserve"> emprendida en 2000 para</w:t>
      </w:r>
      <w:r w:rsidRPr="00AE6E3D">
        <w:t xml:space="preserve"> reforma</w:t>
      </w:r>
      <w:r>
        <w:t>r</w:t>
      </w:r>
      <w:r w:rsidRPr="00AE6E3D">
        <w:t xml:space="preserve"> la justicia, la educación y las funciones del Estado y </w:t>
      </w:r>
      <w:r>
        <w:t xml:space="preserve">en </w:t>
      </w:r>
      <w:r w:rsidRPr="00AE6E3D">
        <w:t>los planes de desarrollo económico</w:t>
      </w:r>
      <w:r>
        <w:t xml:space="preserve"> se</w:t>
      </w:r>
      <w:r w:rsidRPr="00AE6E3D">
        <w:t xml:space="preserve"> han registrado avances considerables cuya repercusión </w:t>
      </w:r>
      <w:r>
        <w:t xml:space="preserve">en </w:t>
      </w:r>
      <w:r w:rsidRPr="00AE6E3D">
        <w:t xml:space="preserve">la vida de los ciudadanos es </w:t>
      </w:r>
      <w:r>
        <w:t>manifiesta.</w:t>
      </w:r>
    </w:p>
    <w:p w:rsidR="00DD0682" w:rsidRPr="00AE6E3D" w:rsidRDefault="00DD0682" w:rsidP="00DD0682">
      <w:pPr>
        <w:spacing w:after="240"/>
      </w:pPr>
      <w:r w:rsidRPr="00AE6E3D">
        <w:t>5</w:t>
      </w:r>
      <w:r>
        <w:t>8.</w:t>
      </w:r>
      <w:r>
        <w:tab/>
      </w:r>
      <w:r w:rsidRPr="00AE6E3D">
        <w:t xml:space="preserve">Los atentados esporádicos y de </w:t>
      </w:r>
      <w:r>
        <w:t>impacto</w:t>
      </w:r>
      <w:r w:rsidRPr="00AE6E3D">
        <w:t xml:space="preserve"> mediático que </w:t>
      </w:r>
      <w:r>
        <w:t>l</w:t>
      </w:r>
      <w:r w:rsidRPr="00AE6E3D">
        <w:t>a delincuencia terrorista en vías de desintegración trata de seguir cometiendo son, como en todas partes del mundo, marginales</w:t>
      </w:r>
      <w:r>
        <w:t>; no ponen en peligro ni</w:t>
      </w:r>
      <w:r w:rsidRPr="00AE6E3D">
        <w:t xml:space="preserve"> las instituciones, ni el funcionamiento </w:t>
      </w:r>
      <w:r>
        <w:t>normal</w:t>
      </w:r>
      <w:r w:rsidRPr="00AE6E3D">
        <w:t xml:space="preserve"> de los servicios públicos ni la </w:t>
      </w:r>
      <w:r>
        <w:t xml:space="preserve">vida </w:t>
      </w:r>
      <w:r w:rsidRPr="00AE6E3D">
        <w:t xml:space="preserve">cotidiana de </w:t>
      </w:r>
      <w:r>
        <w:t xml:space="preserve">los </w:t>
      </w:r>
      <w:r w:rsidRPr="00AE6E3D">
        <w:t xml:space="preserve">millones de personas que </w:t>
      </w:r>
      <w:r>
        <w:t>aspiran a</w:t>
      </w:r>
      <w:r w:rsidRPr="00AE6E3D">
        <w:t xml:space="preserve"> la paz y la tranquilidad.</w:t>
      </w:r>
    </w:p>
    <w:p w:rsidR="00DD0682" w:rsidRPr="007040C7" w:rsidRDefault="00DD0682" w:rsidP="00DD0682">
      <w:pPr>
        <w:spacing w:after="240"/>
        <w:rPr>
          <w:b/>
        </w:rPr>
      </w:pPr>
      <w:r w:rsidRPr="007040C7">
        <w:rPr>
          <w:b/>
        </w:rPr>
        <w:t>Repuesta 2</w:t>
      </w:r>
      <w:r w:rsidRPr="007040C7">
        <w:rPr>
          <w:b/>
          <w:vertAlign w:val="superscript"/>
        </w:rPr>
        <w:footnoteReference w:id="3"/>
      </w:r>
    </w:p>
    <w:p w:rsidR="00DD0682" w:rsidRPr="00AE6E3D" w:rsidRDefault="00DD0682" w:rsidP="00DD0682">
      <w:pPr>
        <w:spacing w:after="240"/>
      </w:pPr>
      <w:r w:rsidRPr="00AE6E3D">
        <w:t>59</w:t>
      </w:r>
      <w:r>
        <w:t>.</w:t>
      </w:r>
      <w:r>
        <w:tab/>
      </w:r>
      <w:r w:rsidRPr="00AE6E3D">
        <w:t xml:space="preserve">Con el fin </w:t>
      </w:r>
      <w:r>
        <w:t xml:space="preserve">de </w:t>
      </w:r>
      <w:r w:rsidRPr="00AE6E3D">
        <w:t xml:space="preserve">ampliar </w:t>
      </w:r>
      <w:r>
        <w:t>la cultura</w:t>
      </w:r>
      <w:r w:rsidRPr="00AE6E3D">
        <w:t xml:space="preserve"> de derechos humanos de los jueces, especialmente en lo tocante a los tratados internacionales </w:t>
      </w:r>
      <w:r>
        <w:t>en que se consagran esos derechos,</w:t>
      </w:r>
      <w:r w:rsidRPr="00AE6E3D">
        <w:t xml:space="preserve"> como el Pacto Internacional de Derechos Económicos, Sociales y Culturales, se </w:t>
      </w:r>
      <w:r>
        <w:t>ha incluido</w:t>
      </w:r>
      <w:r w:rsidRPr="00AE6E3D">
        <w:t xml:space="preserve"> un módulo obligatorio sobre </w:t>
      </w:r>
      <w:r>
        <w:t xml:space="preserve">los </w:t>
      </w:r>
      <w:r w:rsidRPr="00AE6E3D">
        <w:t xml:space="preserve">derechos humanos en el programa de </w:t>
      </w:r>
      <w:r>
        <w:t xml:space="preserve">formación </w:t>
      </w:r>
      <w:r w:rsidRPr="00AE6E3D">
        <w:t xml:space="preserve">que se imparte en la Escuela Superior de la Magistratura a los opositores a jueces, futuros custodios de las libertades </w:t>
      </w:r>
      <w:r>
        <w:t>públicas e individuales.</w:t>
      </w:r>
    </w:p>
    <w:p w:rsidR="00DD0682" w:rsidRPr="00AE6E3D" w:rsidRDefault="00DD0682" w:rsidP="00DD0682">
      <w:pPr>
        <w:spacing w:after="240"/>
      </w:pPr>
      <w:r w:rsidRPr="00AE6E3D">
        <w:t>60</w:t>
      </w:r>
      <w:r>
        <w:t>.</w:t>
      </w:r>
      <w:r>
        <w:tab/>
      </w:r>
      <w:r w:rsidRPr="00AE6E3D">
        <w:t>Para reforzar las enseñanzas de ese módulo de capacitación se organizan reuniones, seminarios y talleres</w:t>
      </w:r>
      <w:r>
        <w:t>.</w:t>
      </w:r>
    </w:p>
    <w:p w:rsidR="00DD0682" w:rsidRPr="00AE6E3D" w:rsidRDefault="00DD0682" w:rsidP="00DD0682">
      <w:pPr>
        <w:spacing w:after="240"/>
      </w:pPr>
      <w:r w:rsidRPr="00AE6E3D">
        <w:t>61</w:t>
      </w:r>
      <w:r>
        <w:t>.</w:t>
      </w:r>
      <w:r>
        <w:tab/>
      </w:r>
      <w:r w:rsidRPr="00AE6E3D">
        <w:t>Además, el sitio web del Ministerio de Justicia dispone de una sección</w:t>
      </w:r>
      <w:r>
        <w:t>,</w:t>
      </w:r>
      <w:r w:rsidRPr="00AE6E3D">
        <w:t xml:space="preserve"> a la que pueden acceder los ciudadanos y los profesionales de la justicia</w:t>
      </w:r>
      <w:r>
        <w:t>,</w:t>
      </w:r>
      <w:r w:rsidRPr="00AE6E3D">
        <w:t xml:space="preserve"> que contiene una lista de todos los instrumentos jurídicos universales y regionales sobre </w:t>
      </w:r>
      <w:r>
        <w:t xml:space="preserve">los </w:t>
      </w:r>
      <w:r w:rsidRPr="00AE6E3D">
        <w:t xml:space="preserve">derechos humanos ratificados por Argelia, con </w:t>
      </w:r>
      <w:r>
        <w:t xml:space="preserve">indicación de </w:t>
      </w:r>
      <w:r w:rsidRPr="00AE6E3D">
        <w:t xml:space="preserve">las fechas de firma y ratificación, así como del número y </w:t>
      </w:r>
      <w:r>
        <w:t xml:space="preserve">de la </w:t>
      </w:r>
      <w:r w:rsidRPr="00AE6E3D">
        <w:t xml:space="preserve">fecha del </w:t>
      </w:r>
      <w:r w:rsidRPr="00826384">
        <w:rPr>
          <w:i/>
        </w:rPr>
        <w:t>Boletín Oficial</w:t>
      </w:r>
      <w:r w:rsidRPr="00AE6E3D">
        <w:t xml:space="preserve"> en el que se publicó el tratado internacional en cuestión</w:t>
      </w:r>
      <w:r>
        <w:t>.</w:t>
      </w:r>
    </w:p>
    <w:p w:rsidR="00DD0682" w:rsidRPr="00AE6E3D" w:rsidRDefault="00DD0682" w:rsidP="00DD0682">
      <w:pPr>
        <w:spacing w:after="240"/>
      </w:pPr>
      <w:r w:rsidRPr="00AE6E3D">
        <w:t>62</w:t>
      </w:r>
      <w:r>
        <w:t>.</w:t>
      </w:r>
      <w:r>
        <w:tab/>
      </w:r>
      <w:r w:rsidRPr="00AE6E3D">
        <w:t xml:space="preserve">Argelia fue uno de los primeros países </w:t>
      </w:r>
      <w:r>
        <w:t>co</w:t>
      </w:r>
      <w:r w:rsidRPr="00AE6E3D">
        <w:t xml:space="preserve">patrocinadores de la resolución por la que se estableció </w:t>
      </w:r>
      <w:r>
        <w:t>el</w:t>
      </w:r>
      <w:r w:rsidRPr="00AE6E3D">
        <w:t xml:space="preserve"> Grupo de Trabajo </w:t>
      </w:r>
      <w:r>
        <w:t>sobre</w:t>
      </w:r>
      <w:r w:rsidRPr="00AE6E3D">
        <w:t xml:space="preserve"> un protocolo facultativo del Pacto Internacional de Derechos Económicos, Sociales y Culturales</w:t>
      </w:r>
      <w:r>
        <w:t xml:space="preserve">.  </w:t>
      </w:r>
      <w:r w:rsidRPr="00AE6E3D">
        <w:t>Los representantes argelinos asisten regularmente a las reuniones de ese grupo y aporta</w:t>
      </w:r>
      <w:r>
        <w:t>n su contribución</w:t>
      </w:r>
      <w:r w:rsidRPr="00AE6E3D">
        <w:t xml:space="preserve"> a los debates.</w:t>
      </w:r>
    </w:p>
    <w:p w:rsidR="00DD0682" w:rsidRPr="00A8565C" w:rsidRDefault="00DD0682" w:rsidP="00DD0682">
      <w:pPr>
        <w:spacing w:after="240"/>
        <w:rPr>
          <w:b/>
        </w:rPr>
      </w:pPr>
      <w:r w:rsidRPr="00A8565C">
        <w:rPr>
          <w:b/>
        </w:rPr>
        <w:t>Respuesta 3</w:t>
      </w:r>
      <w:r w:rsidRPr="00A8565C">
        <w:rPr>
          <w:b/>
          <w:vertAlign w:val="superscript"/>
        </w:rPr>
        <w:footnoteReference w:id="4"/>
      </w:r>
    </w:p>
    <w:p w:rsidR="00DD0682" w:rsidRPr="00AE6E3D" w:rsidRDefault="00DD0682" w:rsidP="00DD0682">
      <w:pPr>
        <w:spacing w:after="240"/>
      </w:pPr>
      <w:r w:rsidRPr="00AE6E3D">
        <w:t>63</w:t>
      </w:r>
      <w:r>
        <w:t>.</w:t>
      </w:r>
      <w:r>
        <w:tab/>
      </w:r>
      <w:r w:rsidRPr="00AE6E3D">
        <w:t>El 1</w:t>
      </w:r>
      <w:r>
        <w:t>º</w:t>
      </w:r>
      <w:r w:rsidRPr="00AE6E3D">
        <w:t xml:space="preserve"> de abril de 2002, el Presidente </w:t>
      </w:r>
      <w:r>
        <w:t xml:space="preserve">de la República </w:t>
      </w:r>
      <w:r w:rsidRPr="00AE6E3D">
        <w:t xml:space="preserve">aprobó un conjunto de directrices </w:t>
      </w:r>
      <w:r>
        <w:t>relativas a</w:t>
      </w:r>
      <w:r w:rsidRPr="00AE6E3D">
        <w:t xml:space="preserve"> la elaboración y aplicación de un plan de acción sobre </w:t>
      </w:r>
      <w:r>
        <w:t xml:space="preserve">los </w:t>
      </w:r>
      <w:r w:rsidRPr="00AE6E3D">
        <w:t xml:space="preserve">derechos humanos del que debía encargarse la </w:t>
      </w:r>
      <w:r>
        <w:t>CNCPPDH.</w:t>
      </w:r>
    </w:p>
    <w:p w:rsidR="00DD0682" w:rsidRPr="00AE6E3D" w:rsidRDefault="00DD0682" w:rsidP="00DD0682">
      <w:pPr>
        <w:spacing w:after="240"/>
      </w:pPr>
      <w:r w:rsidRPr="00AE6E3D">
        <w:t>64</w:t>
      </w:r>
      <w:r>
        <w:t>.</w:t>
      </w:r>
      <w:r>
        <w:tab/>
        <w:t>Según ese plan, permanente y sin plazo predeterminado</w:t>
      </w:r>
      <w:r w:rsidRPr="00AE6E3D">
        <w:t xml:space="preserve">, </w:t>
      </w:r>
      <w:r>
        <w:t xml:space="preserve">se </w:t>
      </w:r>
      <w:r w:rsidRPr="00AE6E3D">
        <w:t xml:space="preserve">deberá </w:t>
      </w:r>
      <w:r>
        <w:t>proceder a</w:t>
      </w:r>
      <w:r w:rsidRPr="00AE6E3D">
        <w:t xml:space="preserve"> una valoración de la situación de las libertades y los problemas que se planteen al respecto, </w:t>
      </w:r>
      <w:r>
        <w:t xml:space="preserve">de </w:t>
      </w:r>
      <w:r w:rsidRPr="00AE6E3D">
        <w:t>los tipos de medidas que se consideren oportunas y los marcos de evaluación conexos</w:t>
      </w:r>
      <w:r>
        <w:t>.</w:t>
      </w:r>
    </w:p>
    <w:p w:rsidR="00DD0682" w:rsidRPr="00AE6E3D" w:rsidRDefault="00DD0682" w:rsidP="00DD0682">
      <w:pPr>
        <w:spacing w:after="240"/>
      </w:pPr>
      <w:r w:rsidRPr="00AE6E3D">
        <w:t>65</w:t>
      </w:r>
      <w:r>
        <w:t>.</w:t>
      </w:r>
      <w:r>
        <w:tab/>
      </w:r>
      <w:r w:rsidRPr="00AE6E3D">
        <w:t xml:space="preserve">La </w:t>
      </w:r>
      <w:r>
        <w:t>CNCPPDH ha</w:t>
      </w:r>
      <w:r w:rsidRPr="00AE6E3D">
        <w:t xml:space="preserve"> centr</w:t>
      </w:r>
      <w:r>
        <w:t>ado</w:t>
      </w:r>
      <w:r w:rsidRPr="00AE6E3D">
        <w:t xml:space="preserve"> su labor </w:t>
      </w:r>
      <w:r>
        <w:t xml:space="preserve">en </w:t>
      </w:r>
      <w:r w:rsidRPr="00AE6E3D">
        <w:t>el proceso de reforma de la justicia iniciado en</w:t>
      </w:r>
      <w:r>
        <w:t> </w:t>
      </w:r>
      <w:r w:rsidRPr="00AE6E3D">
        <w:t>2000</w:t>
      </w:r>
      <w:r>
        <w:t>.  Ha participado</w:t>
      </w:r>
      <w:r w:rsidRPr="00AE6E3D">
        <w:t xml:space="preserve"> en la elaboración de nuevas leyes y la modificación de otras</w:t>
      </w:r>
      <w:r>
        <w:t xml:space="preserve">.  </w:t>
      </w:r>
      <w:r w:rsidRPr="00AE6E3D">
        <w:t>Contribuye activamente a</w:t>
      </w:r>
      <w:r>
        <w:t>l</w:t>
      </w:r>
      <w:r w:rsidRPr="00AE6E3D">
        <w:t xml:space="preserve"> cumplimiento de las recomendaciones convenidas</w:t>
      </w:r>
      <w:r>
        <w:t>,</w:t>
      </w:r>
      <w:r w:rsidRPr="00AE6E3D">
        <w:t xml:space="preserve"> que se refieren a los códigos de la familia y la nacionalidad, la pena de muerte, los derechos del niño, las condiciones de </w:t>
      </w:r>
      <w:r>
        <w:t xml:space="preserve">detención en </w:t>
      </w:r>
      <w:r w:rsidRPr="00AE6E3D">
        <w:t>los establecimientos penitenciarios, la presunción de inocencia, la detención preventiva, el juicio justo, la libertad de expresión, la</w:t>
      </w:r>
      <w:r>
        <w:t xml:space="preserve"> vida asociativa</w:t>
      </w:r>
      <w:r w:rsidRPr="00AE6E3D">
        <w:t>, el derecho de sindicación</w:t>
      </w:r>
      <w:r>
        <w:t xml:space="preserve">, </w:t>
      </w:r>
      <w:r w:rsidRPr="00AE6E3D">
        <w:t>y las personas con discapacidad</w:t>
      </w:r>
      <w:r>
        <w:t xml:space="preserve"> y los ancianos</w:t>
      </w:r>
      <w:r w:rsidRPr="00AE6E3D">
        <w:t>, entre otras cuestiones.</w:t>
      </w:r>
    </w:p>
    <w:p w:rsidR="00DD0682" w:rsidRPr="00C9752F" w:rsidRDefault="00DD0682" w:rsidP="00DD0682">
      <w:pPr>
        <w:spacing w:after="240"/>
        <w:rPr>
          <w:b/>
        </w:rPr>
      </w:pPr>
      <w:r w:rsidRPr="00C9752F">
        <w:rPr>
          <w:b/>
        </w:rPr>
        <w:t>Respuesta 4</w:t>
      </w:r>
      <w:r w:rsidRPr="00C9752F">
        <w:rPr>
          <w:b/>
          <w:vertAlign w:val="superscript"/>
        </w:rPr>
        <w:footnoteReference w:id="5"/>
      </w:r>
    </w:p>
    <w:p w:rsidR="00DD0682" w:rsidRPr="00AE6E3D" w:rsidRDefault="00DD0682" w:rsidP="00DD0682">
      <w:pPr>
        <w:spacing w:after="240"/>
      </w:pPr>
      <w:r w:rsidRPr="00AE6E3D">
        <w:t>66</w:t>
      </w:r>
      <w:r>
        <w:t>.</w:t>
      </w:r>
      <w:r>
        <w:tab/>
      </w:r>
      <w:r w:rsidRPr="00AE6E3D">
        <w:t xml:space="preserve">En el preámbulo de la Constitución de Argelia se pone de relieve </w:t>
      </w:r>
      <w:r>
        <w:t>el componente</w:t>
      </w:r>
      <w:r w:rsidRPr="00AE6E3D">
        <w:t xml:space="preserve"> amazigh de la identidad argelina, junto con </w:t>
      </w:r>
      <w:r>
        <w:t xml:space="preserve">los componentes </w:t>
      </w:r>
      <w:r w:rsidRPr="00AE6E3D">
        <w:t>árabe y musulmán</w:t>
      </w:r>
      <w:r>
        <w:t>.</w:t>
      </w:r>
    </w:p>
    <w:p w:rsidR="00DD0682" w:rsidRPr="00AE6E3D" w:rsidRDefault="00DD0682" w:rsidP="00DD0682">
      <w:pPr>
        <w:spacing w:after="240"/>
      </w:pPr>
      <w:r w:rsidRPr="00AE6E3D">
        <w:t>67</w:t>
      </w:r>
      <w:r>
        <w:t>.</w:t>
      </w:r>
      <w:r>
        <w:tab/>
      </w:r>
      <w:r w:rsidRPr="00AE6E3D">
        <w:t xml:space="preserve">Como fruto de la gradual recuperación de la identidad nacional y </w:t>
      </w:r>
      <w:r>
        <w:t xml:space="preserve">tras la modificación de </w:t>
      </w:r>
      <w:r w:rsidRPr="00AE6E3D">
        <w:t xml:space="preserve">la Constitución </w:t>
      </w:r>
      <w:r>
        <w:t xml:space="preserve">aprobada </w:t>
      </w:r>
      <w:r w:rsidRPr="00AE6E3D">
        <w:t>el 10 de abril de 2002, la lengua amazigh se ha convertido en idioma nacional.</w:t>
      </w:r>
    </w:p>
    <w:p w:rsidR="00DD0682" w:rsidRPr="00FC5FAE" w:rsidRDefault="00DD0682" w:rsidP="00DD0682">
      <w:pPr>
        <w:spacing w:after="240"/>
        <w:rPr>
          <w:b/>
        </w:rPr>
      </w:pPr>
      <w:r w:rsidRPr="00FC5FAE">
        <w:rPr>
          <w:b/>
        </w:rPr>
        <w:t>Respuesta 5</w:t>
      </w:r>
      <w:r w:rsidRPr="00FC5FAE">
        <w:rPr>
          <w:b/>
          <w:vertAlign w:val="superscript"/>
        </w:rPr>
        <w:footnoteReference w:id="6"/>
      </w:r>
    </w:p>
    <w:p w:rsidR="00DD0682" w:rsidRPr="00AE6E3D" w:rsidRDefault="00DD0682" w:rsidP="00DD0682">
      <w:pPr>
        <w:spacing w:after="240"/>
      </w:pPr>
      <w:r w:rsidRPr="00AE6E3D">
        <w:t>68</w:t>
      </w:r>
      <w:r>
        <w:t>.</w:t>
      </w:r>
      <w:r>
        <w:tab/>
      </w:r>
      <w:r w:rsidRPr="00AE6E3D">
        <w:t xml:space="preserve">Además de los instrumentos jurídicos internacionales pertinentes ratificados por Argelia, las diversas disposiciones constitucionales, legislativas y reglamentarias en vigor disponen todas ellas </w:t>
      </w:r>
      <w:r>
        <w:t>que se</w:t>
      </w:r>
      <w:r w:rsidRPr="00AE6E3D">
        <w:t xml:space="preserve"> rechaz</w:t>
      </w:r>
      <w:r>
        <w:t>ara</w:t>
      </w:r>
      <w:r w:rsidRPr="00AE6E3D">
        <w:t xml:space="preserve"> toda forma de discriminación contra la mujer, sea cual sea su fundamento</w:t>
      </w:r>
      <w:r>
        <w:t>.</w:t>
      </w:r>
    </w:p>
    <w:p w:rsidR="00DD0682" w:rsidRPr="00AE6E3D" w:rsidRDefault="00DD0682" w:rsidP="00DD0682">
      <w:pPr>
        <w:spacing w:after="240"/>
      </w:pPr>
      <w:r w:rsidRPr="00AE6E3D">
        <w:t>69</w:t>
      </w:r>
      <w:r>
        <w:t>.</w:t>
      </w:r>
      <w:r>
        <w:tab/>
      </w:r>
      <w:r w:rsidRPr="00AE6E3D">
        <w:t xml:space="preserve">Como parte del proceso de la reforma de la justicia, Argelia introdujo cambios sustantivos en el Código de la Familia en </w:t>
      </w:r>
      <w:r>
        <w:t>lo que respecta</w:t>
      </w:r>
      <w:r w:rsidRPr="00AE6E3D">
        <w:t xml:space="preserve"> en particular</w:t>
      </w:r>
      <w:r>
        <w:t xml:space="preserve"> al</w:t>
      </w:r>
      <w:r w:rsidRPr="00AE6E3D">
        <w:t xml:space="preserve"> matrimonio, </w:t>
      </w:r>
      <w:r>
        <w:t>a</w:t>
      </w:r>
      <w:r w:rsidRPr="00AE6E3D">
        <w:t xml:space="preserve">l divorcio y </w:t>
      </w:r>
      <w:r>
        <w:t xml:space="preserve">a </w:t>
      </w:r>
      <w:r w:rsidRPr="00AE6E3D">
        <w:t>sus efectos (</w:t>
      </w:r>
      <w:r>
        <w:t xml:space="preserve">derecho de </w:t>
      </w:r>
      <w:r w:rsidRPr="00AE6E3D">
        <w:t>custodia, domicilio conyugal, pensi</w:t>
      </w:r>
      <w:r>
        <w:t>ón alimenticia</w:t>
      </w:r>
      <w:r w:rsidRPr="00AE6E3D">
        <w:t xml:space="preserve">) y </w:t>
      </w:r>
      <w:r>
        <w:t xml:space="preserve">a </w:t>
      </w:r>
      <w:r w:rsidRPr="00AE6E3D">
        <w:t>las normas que regulan la tutela</w:t>
      </w:r>
      <w:r>
        <w:t xml:space="preserve">.  </w:t>
      </w:r>
      <w:r w:rsidRPr="00AE6E3D">
        <w:t xml:space="preserve">Las </w:t>
      </w:r>
      <w:r>
        <w:t xml:space="preserve">disposiciones más importantes de </w:t>
      </w:r>
      <w:r w:rsidRPr="00AE6E3D">
        <w:t>la Ley N</w:t>
      </w:r>
      <w:r>
        <w:t>º</w:t>
      </w:r>
      <w:r w:rsidRPr="00AE6E3D">
        <w:t xml:space="preserve"> 84-11, de 9 de junio de 1984, relativa al Código de la Familia, modificad</w:t>
      </w:r>
      <w:r>
        <w:t>a</w:t>
      </w:r>
      <w:r w:rsidRPr="00AE6E3D">
        <w:t xml:space="preserve"> y </w:t>
      </w:r>
      <w:r>
        <w:t>completada</w:t>
      </w:r>
      <w:r w:rsidRPr="00AE6E3D">
        <w:t xml:space="preserve">, se </w:t>
      </w:r>
      <w:r>
        <w:t>reproducen</w:t>
      </w:r>
      <w:r w:rsidRPr="00AE6E3D">
        <w:t xml:space="preserve"> en el párrafo siguiente</w:t>
      </w:r>
      <w:r>
        <w:t>.</w:t>
      </w:r>
    </w:p>
    <w:p w:rsidR="00DD0682" w:rsidRPr="00AE6E3D" w:rsidRDefault="00DD0682" w:rsidP="00DD0682">
      <w:pPr>
        <w:spacing w:after="240"/>
      </w:pPr>
      <w:r w:rsidRPr="00AE6E3D">
        <w:t>70</w:t>
      </w:r>
      <w:r>
        <w:t>.</w:t>
      </w:r>
      <w:r>
        <w:tab/>
      </w:r>
      <w:r w:rsidRPr="00AE6E3D">
        <w:t>Actualmente, el matrimonio, conforme al derecho de familia, se considera un contrato cuya celebración requiere el consentimiento de los futuros cónyuges, tal como se dispone en los artículos 9 y 10 del Código de la Familia:</w:t>
      </w:r>
    </w:p>
    <w:p w:rsidR="00DD0682" w:rsidRPr="00AE6E3D" w:rsidRDefault="00DD0682" w:rsidP="00DD0682">
      <w:pPr>
        <w:spacing w:after="240"/>
        <w:ind w:left="1134" w:hanging="567"/>
      </w:pPr>
      <w:r w:rsidRPr="00AE6E3D">
        <w:t>a)</w:t>
      </w:r>
      <w:r>
        <w:tab/>
      </w:r>
      <w:r w:rsidRPr="00AE6E3D">
        <w:t>Artículo 9</w:t>
      </w:r>
      <w:r>
        <w:t>:  "</w:t>
      </w:r>
      <w:r w:rsidRPr="00AE6E3D">
        <w:t xml:space="preserve">El matrimonio se </w:t>
      </w:r>
      <w:r>
        <w:t>contrae</w:t>
      </w:r>
      <w:r w:rsidRPr="00AE6E3D">
        <w:t xml:space="preserve"> mediante el consentimiento mutuo de </w:t>
      </w:r>
      <w:r>
        <w:t>los futuros</w:t>
      </w:r>
      <w:r w:rsidRPr="00AE6E3D">
        <w:t xml:space="preserve"> cónyuges</w:t>
      </w:r>
      <w:r>
        <w:t>".</w:t>
      </w:r>
    </w:p>
    <w:p w:rsidR="00DD0682" w:rsidRPr="00AE6E3D" w:rsidRDefault="00DD0682" w:rsidP="00DD0682">
      <w:pPr>
        <w:spacing w:after="240"/>
        <w:ind w:left="1134" w:hanging="567"/>
      </w:pPr>
      <w:r w:rsidRPr="00AE6E3D">
        <w:t>b)</w:t>
      </w:r>
      <w:r>
        <w:tab/>
      </w:r>
      <w:r w:rsidRPr="00AE6E3D">
        <w:t>Artículo 10</w:t>
      </w:r>
      <w:r>
        <w:t>:  "</w:t>
      </w:r>
      <w:r w:rsidRPr="00AE6E3D">
        <w:t xml:space="preserve">El consentimiento </w:t>
      </w:r>
      <w:r>
        <w:t xml:space="preserve">se presta mediante </w:t>
      </w:r>
      <w:r w:rsidRPr="00AE6E3D">
        <w:t xml:space="preserve">la petición </w:t>
      </w:r>
      <w:r>
        <w:t>de</w:t>
      </w:r>
      <w:r w:rsidRPr="00AE6E3D">
        <w:t xml:space="preserve"> una de las partes y </w:t>
      </w:r>
      <w:r>
        <w:t>su</w:t>
      </w:r>
      <w:r w:rsidRPr="00AE6E3D">
        <w:t xml:space="preserve"> aceptación por la otra en cual</w:t>
      </w:r>
      <w:r>
        <w:t>esquiera</w:t>
      </w:r>
      <w:r w:rsidRPr="00AE6E3D">
        <w:t xml:space="preserve"> término</w:t>
      </w:r>
      <w:r>
        <w:t>s indicativos de la intención de contraer</w:t>
      </w:r>
      <w:r w:rsidRPr="00AE6E3D">
        <w:t xml:space="preserve"> matrimonio legal</w:t>
      </w:r>
      <w:r>
        <w:t xml:space="preserve">.  </w:t>
      </w:r>
      <w:r w:rsidRPr="00AE6E3D">
        <w:t xml:space="preserve">Se consideran válidas la petición y la aceptación de </w:t>
      </w:r>
      <w:r>
        <w:t xml:space="preserve">una </w:t>
      </w:r>
      <w:r w:rsidRPr="00AE6E3D">
        <w:t xml:space="preserve">persona con discapacidad expresadas en forma escrita o por medio de gestos </w:t>
      </w:r>
      <w:r>
        <w:t xml:space="preserve">indicativos de la intención de contraer </w:t>
      </w:r>
      <w:r w:rsidRPr="00AE6E3D">
        <w:t>matrimonio</w:t>
      </w:r>
      <w:r>
        <w:t>,</w:t>
      </w:r>
      <w:r w:rsidRPr="00AE6E3D">
        <w:t xml:space="preserve"> en </w:t>
      </w:r>
      <w:r>
        <w:t>su</w:t>
      </w:r>
      <w:r w:rsidRPr="00AE6E3D">
        <w:t xml:space="preserve"> idioma o </w:t>
      </w:r>
      <w:r>
        <w:t>según los</w:t>
      </w:r>
      <w:r w:rsidRPr="00AE6E3D">
        <w:t xml:space="preserve"> uso</w:t>
      </w:r>
      <w:r>
        <w:t xml:space="preserve">s del lugar". </w:t>
      </w:r>
      <w:r w:rsidRPr="00AE6E3D">
        <w:t xml:space="preserve"> Como consecuencia lógica, se ha suprimido </w:t>
      </w:r>
      <w:r>
        <w:t xml:space="preserve">simple y llanamente </w:t>
      </w:r>
      <w:r w:rsidRPr="00AE6E3D">
        <w:t>el matrimonio por poder</w:t>
      </w:r>
      <w:r>
        <w:t xml:space="preserve">.  </w:t>
      </w:r>
      <w:r w:rsidRPr="00AE6E3D">
        <w:t xml:space="preserve">Por lo tanto, no </w:t>
      </w:r>
      <w:r>
        <w:t>puede haber</w:t>
      </w:r>
      <w:r w:rsidRPr="00AE6E3D">
        <w:t xml:space="preserve"> matrimonios </w:t>
      </w:r>
      <w:r>
        <w:t>"</w:t>
      </w:r>
      <w:r w:rsidRPr="00AE6E3D">
        <w:t>forzados</w:t>
      </w:r>
      <w:r>
        <w:t>"</w:t>
      </w:r>
      <w:r w:rsidRPr="00AE6E3D">
        <w:t xml:space="preserve"> y el Código de la Familia no </w:t>
      </w:r>
      <w:r>
        <w:t>exige</w:t>
      </w:r>
      <w:r w:rsidRPr="00AE6E3D">
        <w:t xml:space="preserve"> en ninguno de sus artículos el consentimiento del tutor (</w:t>
      </w:r>
      <w:r w:rsidRPr="005450F9">
        <w:rPr>
          <w:i/>
        </w:rPr>
        <w:t>wali</w:t>
      </w:r>
      <w:r w:rsidRPr="00AE6E3D">
        <w:t xml:space="preserve">) para la celebración del matrimonio, puesto que con la presencia del </w:t>
      </w:r>
      <w:r w:rsidRPr="005450F9">
        <w:rPr>
          <w:i/>
        </w:rPr>
        <w:t>wali</w:t>
      </w:r>
      <w:r w:rsidRPr="00AE6E3D">
        <w:t xml:space="preserve"> sólo se trata de dar solemnidad a este importante acto de la vida</w:t>
      </w:r>
      <w:r>
        <w:t xml:space="preserve">.  </w:t>
      </w:r>
      <w:r w:rsidRPr="00AE6E3D">
        <w:t xml:space="preserve">El </w:t>
      </w:r>
      <w:r w:rsidRPr="005450F9">
        <w:rPr>
          <w:i/>
        </w:rPr>
        <w:t>wali</w:t>
      </w:r>
      <w:r w:rsidRPr="00AE6E3D">
        <w:t xml:space="preserve"> no pued</w:t>
      </w:r>
      <w:r>
        <w:t>e</w:t>
      </w:r>
      <w:r w:rsidRPr="00AE6E3D">
        <w:t xml:space="preserve"> dar el consentimiento en lugar de la futura esposa</w:t>
      </w:r>
      <w:r>
        <w:t xml:space="preserve">.  </w:t>
      </w:r>
      <w:r w:rsidRPr="00AE6E3D">
        <w:t>Est</w:t>
      </w:r>
      <w:r>
        <w:t xml:space="preserve">o queda por lo demás reflejado </w:t>
      </w:r>
      <w:r w:rsidRPr="00AE6E3D">
        <w:t>claramente en los artículos 11 y 13</w:t>
      </w:r>
      <w:r>
        <w:t>.</w:t>
      </w:r>
    </w:p>
    <w:p w:rsidR="00DD0682" w:rsidRPr="00AE6E3D" w:rsidRDefault="00DD0682" w:rsidP="00DD0682">
      <w:pPr>
        <w:spacing w:after="240"/>
        <w:ind w:left="1134" w:hanging="567"/>
      </w:pPr>
      <w:r w:rsidRPr="00AE6E3D">
        <w:t>c)</w:t>
      </w:r>
      <w:r>
        <w:tab/>
      </w:r>
      <w:r w:rsidRPr="00AE6E3D">
        <w:t>Artículo 11</w:t>
      </w:r>
      <w:r>
        <w:t>:  "</w:t>
      </w:r>
      <w:r w:rsidRPr="00AE6E3D">
        <w:t>La mujer mayor de edad contra</w:t>
      </w:r>
      <w:r>
        <w:t>erá</w:t>
      </w:r>
      <w:r w:rsidRPr="00AE6E3D">
        <w:t xml:space="preserve"> matrimonio en presencia de</w:t>
      </w:r>
      <w:r>
        <w:t xml:space="preserve"> su</w:t>
      </w:r>
      <w:r w:rsidRPr="00AE6E3D">
        <w:t xml:space="preserve"> </w:t>
      </w:r>
      <w:r w:rsidRPr="005450F9">
        <w:rPr>
          <w:i/>
        </w:rPr>
        <w:t>wali</w:t>
      </w:r>
      <w:r w:rsidRPr="00AE6E3D">
        <w:t>, que es su padre, un pariente cercano u otra persona de su elección</w:t>
      </w:r>
      <w:r>
        <w:t xml:space="preserve">.  </w:t>
      </w:r>
      <w:r w:rsidRPr="00AE6E3D">
        <w:t xml:space="preserve">Sin perjuicio de lo dispuesto en el artículo 7 de la presente ley, </w:t>
      </w:r>
      <w:r>
        <w:t>el</w:t>
      </w:r>
      <w:r w:rsidRPr="00AE6E3D">
        <w:t xml:space="preserve"> menor contraerá matrimonio por </w:t>
      </w:r>
      <w:r>
        <w:t>inter</w:t>
      </w:r>
      <w:r w:rsidRPr="00AE6E3D">
        <w:t>medi</w:t>
      </w:r>
      <w:r>
        <w:t>o</w:t>
      </w:r>
      <w:r w:rsidRPr="00AE6E3D">
        <w:t xml:space="preserve"> de</w:t>
      </w:r>
      <w:r>
        <w:t xml:space="preserve"> su </w:t>
      </w:r>
      <w:r w:rsidRPr="008A5221">
        <w:rPr>
          <w:i/>
        </w:rPr>
        <w:t>wali</w:t>
      </w:r>
      <w:r w:rsidRPr="00AE6E3D">
        <w:t xml:space="preserve">, que es el padre, </w:t>
      </w:r>
      <w:r>
        <w:t>y si no lo tiene, un</w:t>
      </w:r>
      <w:r w:rsidRPr="00AE6E3D">
        <w:t xml:space="preserve"> pariente cercano</w:t>
      </w:r>
      <w:r>
        <w:t xml:space="preserve">.  </w:t>
      </w:r>
      <w:r w:rsidRPr="00AE6E3D">
        <w:t xml:space="preserve">El juez </w:t>
      </w:r>
      <w:r>
        <w:t>será el</w:t>
      </w:r>
      <w:r w:rsidRPr="00AE6E3D">
        <w:t xml:space="preserve"> tutor </w:t>
      </w:r>
      <w:r>
        <w:t>del</w:t>
      </w:r>
      <w:r w:rsidRPr="00AE6E3D">
        <w:t xml:space="preserve"> contrayente </w:t>
      </w:r>
      <w:r>
        <w:t xml:space="preserve">que no tenga </w:t>
      </w:r>
      <w:r>
        <w:rPr>
          <w:i/>
        </w:rPr>
        <w:t>wali</w:t>
      </w:r>
      <w:r>
        <w:t>".</w:t>
      </w:r>
    </w:p>
    <w:p w:rsidR="00DD0682" w:rsidRPr="00AE6E3D" w:rsidRDefault="00DD0682" w:rsidP="00DD0682">
      <w:pPr>
        <w:spacing w:after="240"/>
        <w:ind w:left="1134" w:hanging="567"/>
      </w:pPr>
      <w:r w:rsidRPr="00AE6E3D">
        <w:t>d)</w:t>
      </w:r>
      <w:r>
        <w:tab/>
      </w:r>
      <w:r w:rsidRPr="00AE6E3D">
        <w:t>Artículo 13</w:t>
      </w:r>
      <w:r>
        <w:t>:  "</w:t>
      </w:r>
      <w:r w:rsidRPr="00AE6E3D">
        <w:t xml:space="preserve">El </w:t>
      </w:r>
      <w:r w:rsidRPr="008A5221">
        <w:rPr>
          <w:i/>
        </w:rPr>
        <w:t>wali</w:t>
      </w:r>
      <w:r w:rsidRPr="00AE6E3D">
        <w:t>, ya sea el padre u otra persona, no podrá obligar al menor que esté bajo su tutela a contraer matrimonio</w:t>
      </w:r>
      <w:r>
        <w:t xml:space="preserve"> ni</w:t>
      </w:r>
      <w:r w:rsidRPr="00AE6E3D">
        <w:t xml:space="preserve"> podrá </w:t>
      </w:r>
      <w:r>
        <w:t>casarlo</w:t>
      </w:r>
      <w:r w:rsidRPr="00AE6E3D">
        <w:t xml:space="preserve"> sin </w:t>
      </w:r>
      <w:r>
        <w:t>su</w:t>
      </w:r>
      <w:r w:rsidRPr="00AE6E3D">
        <w:t xml:space="preserve"> consentimiento</w:t>
      </w:r>
      <w:r>
        <w:t>"</w:t>
      </w:r>
      <w:r w:rsidRPr="00AE6E3D">
        <w:t>.</w:t>
      </w:r>
      <w:r>
        <w:t xml:space="preserve"> </w:t>
      </w:r>
      <w:r w:rsidRPr="00AE6E3D">
        <w:t xml:space="preserve"> La</w:t>
      </w:r>
      <w:r>
        <w:t> </w:t>
      </w:r>
      <w:r w:rsidRPr="00AE6E3D">
        <w:t xml:space="preserve">edad mínima para contraer matrimonio se ha fijado en 19 años para ambos contrayentes, </w:t>
      </w:r>
      <w:r>
        <w:t>quienes</w:t>
      </w:r>
      <w:r w:rsidRPr="00AE6E3D">
        <w:t xml:space="preserve"> tienen total libertad para incluir en su contrato de matrimonio las cláusulas que consideren convenientes</w:t>
      </w:r>
      <w:r>
        <w:t xml:space="preserve">.  </w:t>
      </w:r>
      <w:r w:rsidRPr="00AE6E3D">
        <w:t>Por lo que respecta a la poligamia, en virtud de la citada Ley N</w:t>
      </w:r>
      <w:r>
        <w:t>º</w:t>
      </w:r>
      <w:r w:rsidRPr="00AE6E3D">
        <w:t xml:space="preserve"> 84-11, de 9 de junio de 1984, se han introducido nuevas condiciones que el marido está obligado a cumplir.</w:t>
      </w:r>
    </w:p>
    <w:p w:rsidR="00DD0682" w:rsidRPr="00AE6E3D" w:rsidRDefault="00DD0682" w:rsidP="00DD0682">
      <w:pPr>
        <w:spacing w:after="240"/>
        <w:ind w:left="1134" w:hanging="567"/>
      </w:pPr>
      <w:r w:rsidRPr="00AE6E3D">
        <w:t>e)</w:t>
      </w:r>
      <w:r>
        <w:tab/>
      </w:r>
      <w:r w:rsidRPr="00AE6E3D">
        <w:t>Artículo 8</w:t>
      </w:r>
      <w:r>
        <w:t>:  "</w:t>
      </w:r>
      <w:r w:rsidRPr="00AE6E3D">
        <w:t xml:space="preserve">Está permitido contraer matrimonio con más de una esposa, presentando para ello una solicitud de autorización de matrimonio al presidente del tribunal del </w:t>
      </w:r>
      <w:r>
        <w:t>lugar del</w:t>
      </w:r>
      <w:r w:rsidRPr="00AE6E3D">
        <w:t xml:space="preserve"> domicilio conyugal</w:t>
      </w:r>
      <w:r>
        <w:t xml:space="preserve">.  </w:t>
      </w:r>
      <w:r w:rsidRPr="00AE6E3D">
        <w:t xml:space="preserve">El presidente del tribunal </w:t>
      </w:r>
      <w:r>
        <w:t>podrá</w:t>
      </w:r>
      <w:r w:rsidRPr="00AE6E3D">
        <w:t xml:space="preserve"> autorizar el nuevo matrimonio </w:t>
      </w:r>
      <w:r>
        <w:t>después de verificar</w:t>
      </w:r>
      <w:r w:rsidRPr="00AE6E3D">
        <w:t xml:space="preserve"> que existe consentimiento mutuo y que el </w:t>
      </w:r>
      <w:r>
        <w:t>contrayente</w:t>
      </w:r>
      <w:r w:rsidRPr="00AE6E3D">
        <w:t xml:space="preserve"> tiene motivos justificados y es capaz de asegurar la equidad y las condiciones necesarias para la vida conyugal</w:t>
      </w:r>
      <w:r>
        <w:t>".</w:t>
      </w:r>
    </w:p>
    <w:p w:rsidR="00DD0682" w:rsidRPr="00AE6E3D" w:rsidRDefault="00DD0682" w:rsidP="00DD0682">
      <w:pPr>
        <w:spacing w:after="240"/>
      </w:pPr>
      <w:r w:rsidRPr="00AE6E3D">
        <w:t>71</w:t>
      </w:r>
      <w:r>
        <w:t>.</w:t>
      </w:r>
      <w:r>
        <w:tab/>
      </w:r>
      <w:r w:rsidRPr="00AE6E3D">
        <w:t xml:space="preserve">En caso de incumplimiento </w:t>
      </w:r>
      <w:r>
        <w:t xml:space="preserve">doloso </w:t>
      </w:r>
      <w:r w:rsidRPr="00AE6E3D">
        <w:t xml:space="preserve">del contrato matrimonial, cada </w:t>
      </w:r>
      <w:r>
        <w:t xml:space="preserve">una de las </w:t>
      </w:r>
      <w:r w:rsidRPr="00AE6E3D">
        <w:t>esposa</w:t>
      </w:r>
      <w:r>
        <w:t>s</w:t>
      </w:r>
      <w:r w:rsidRPr="00AE6E3D">
        <w:t xml:space="preserve"> podrá interponer una demanda de div</w:t>
      </w:r>
      <w:r>
        <w:t>orcio contra el marido (art.</w:t>
      </w:r>
      <w:r w:rsidRPr="00AE6E3D">
        <w:t xml:space="preserve"> 8 </w:t>
      </w:r>
      <w:r w:rsidRPr="004C23D0">
        <w:rPr>
          <w:i/>
        </w:rPr>
        <w:t>bis</w:t>
      </w:r>
      <w:r w:rsidRPr="00AE6E3D">
        <w:t>)</w:t>
      </w:r>
      <w:r>
        <w:t>.</w:t>
      </w:r>
    </w:p>
    <w:p w:rsidR="00DD0682" w:rsidRPr="00AE6E3D" w:rsidRDefault="00DD0682" w:rsidP="00DD0682">
      <w:pPr>
        <w:spacing w:after="240"/>
      </w:pPr>
      <w:r w:rsidRPr="00AE6E3D">
        <w:t>72</w:t>
      </w:r>
      <w:r>
        <w:t>.</w:t>
      </w:r>
      <w:r>
        <w:tab/>
      </w:r>
      <w:r w:rsidRPr="00AE6E3D">
        <w:t>El nuevo matrimonio se considerará nulo, antes de su consumación, si el esposo no hubiera obtenido la</w:t>
      </w:r>
      <w:r>
        <w:t xml:space="preserve"> autorización del juez (art.</w:t>
      </w:r>
      <w:r w:rsidRPr="00AE6E3D">
        <w:t xml:space="preserve"> 8 </w:t>
      </w:r>
      <w:r w:rsidRPr="00671153">
        <w:rPr>
          <w:i/>
        </w:rPr>
        <w:t>bis</w:t>
      </w:r>
      <w:r>
        <w:t xml:space="preserve"> </w:t>
      </w:r>
      <w:r w:rsidRPr="00AE6E3D">
        <w:t>1)</w:t>
      </w:r>
      <w:r>
        <w:t>.</w:t>
      </w:r>
    </w:p>
    <w:p w:rsidR="00DD0682" w:rsidRPr="00AE6E3D" w:rsidRDefault="00DD0682" w:rsidP="00DD0682">
      <w:pPr>
        <w:spacing w:after="240"/>
      </w:pPr>
      <w:r w:rsidRPr="00AE6E3D">
        <w:t>73</w:t>
      </w:r>
      <w:r>
        <w:t>.</w:t>
      </w:r>
      <w:r>
        <w:tab/>
      </w:r>
      <w:r w:rsidRPr="00AE6E3D">
        <w:t xml:space="preserve">Con </w:t>
      </w:r>
      <w:r>
        <w:t>respecto a "</w:t>
      </w:r>
      <w:r w:rsidRPr="00AE6E3D">
        <w:t>la obligación de la mujer de obedecer al marido</w:t>
      </w:r>
      <w:r>
        <w:t>"</w:t>
      </w:r>
      <w:r w:rsidRPr="00AE6E3D">
        <w:t xml:space="preserve">, </w:t>
      </w:r>
      <w:r>
        <w:t>es de señalar</w:t>
      </w:r>
      <w:r w:rsidRPr="00AE6E3D">
        <w:t xml:space="preserve"> que, de conformidad con el nuevo Código de la Familia, </w:t>
      </w:r>
      <w:r>
        <w:t>incumbe</w:t>
      </w:r>
      <w:r w:rsidRPr="00AE6E3D">
        <w:t xml:space="preserve"> tanto al marido como a la esposa la obligación de crear un clima de respeto mutuo, con el objetivo </w:t>
      </w:r>
      <w:r>
        <w:t>principal</w:t>
      </w:r>
      <w:r w:rsidRPr="00AE6E3D">
        <w:t xml:space="preserve"> de preservar los lazos conyugales y los deberes de la vida común</w:t>
      </w:r>
      <w:r>
        <w:t xml:space="preserve"> y asegurar</w:t>
      </w:r>
      <w:r w:rsidRPr="00AE6E3D">
        <w:t xml:space="preserve"> la co</w:t>
      </w:r>
      <w:r>
        <w:t>nvivencia armoniosa</w:t>
      </w:r>
      <w:r w:rsidRPr="00AE6E3D">
        <w:t xml:space="preserve"> y la co</w:t>
      </w:r>
      <w:r>
        <w:t>ncert</w:t>
      </w:r>
      <w:r w:rsidRPr="00AE6E3D">
        <w:t>ación en la gestión de los asuntos familiares (artículo 36 de la Ley Nº 84-11, de 9 de junio de 1984, relativa al Código de la Familia, modificad</w:t>
      </w:r>
      <w:r>
        <w:t>a</w:t>
      </w:r>
      <w:r w:rsidRPr="00AE6E3D">
        <w:t xml:space="preserve"> y </w:t>
      </w:r>
      <w:r>
        <w:t>complementada</w:t>
      </w:r>
      <w:r w:rsidRPr="00AE6E3D">
        <w:t>)</w:t>
      </w:r>
      <w:r>
        <w:t>.</w:t>
      </w:r>
    </w:p>
    <w:p w:rsidR="00DD0682" w:rsidRPr="00AE6E3D" w:rsidRDefault="00DD0682" w:rsidP="00DD0682">
      <w:pPr>
        <w:spacing w:after="240"/>
      </w:pPr>
      <w:r w:rsidRPr="00AE6E3D">
        <w:t>74</w:t>
      </w:r>
      <w:r>
        <w:t>.</w:t>
      </w:r>
      <w:r>
        <w:tab/>
      </w:r>
      <w:r w:rsidRPr="00AE6E3D">
        <w:t xml:space="preserve">Por lo tanto, la disposición relativa al deber de obediencia de la esposa a su marido ya no tiene cabida en el </w:t>
      </w:r>
      <w:r>
        <w:t>actual Código de la Familia.</w:t>
      </w:r>
    </w:p>
    <w:p w:rsidR="00DD0682" w:rsidRPr="00AE6E3D" w:rsidRDefault="00DD0682" w:rsidP="00DD0682">
      <w:pPr>
        <w:spacing w:after="240"/>
      </w:pPr>
      <w:r w:rsidRPr="00AE6E3D">
        <w:t>75</w:t>
      </w:r>
      <w:r>
        <w:t>.</w:t>
      </w:r>
      <w:r>
        <w:tab/>
      </w:r>
      <w:r w:rsidRPr="00AE6E3D">
        <w:t>En cuanto al divorcio, el número de causas que la esposa puede alegar para solicitar</w:t>
      </w:r>
      <w:r>
        <w:t>lo</w:t>
      </w:r>
      <w:r w:rsidRPr="00AE6E3D">
        <w:t xml:space="preserve"> se ha ampliado de manera que ésta pued</w:t>
      </w:r>
      <w:r>
        <w:t>a entablar una acción judicial</w:t>
      </w:r>
      <w:r w:rsidRPr="00AE6E3D">
        <w:t xml:space="preserve"> al respecto </w:t>
      </w:r>
      <w:r>
        <w:t xml:space="preserve">especialmente </w:t>
      </w:r>
      <w:r w:rsidRPr="00AE6E3D">
        <w:t>por desacuerdo persistente con su pareja o por violación de las cláusulas estipuladas en el contrato de matrimonio o en un contrato posterior</w:t>
      </w:r>
      <w:r>
        <w:t>.</w:t>
      </w:r>
    </w:p>
    <w:p w:rsidR="00DD0682" w:rsidRPr="00AE6E3D" w:rsidRDefault="00DD0682" w:rsidP="00DD0682">
      <w:pPr>
        <w:spacing w:after="240"/>
      </w:pPr>
      <w:r w:rsidRPr="00AE6E3D">
        <w:t>76</w:t>
      </w:r>
      <w:r>
        <w:t>.</w:t>
      </w:r>
      <w:r>
        <w:tab/>
      </w:r>
      <w:r w:rsidRPr="00AE6E3D">
        <w:t>Toda acción de divorcio da lugar necesariamente a reparación</w:t>
      </w:r>
      <w:r>
        <w:t xml:space="preserve">.  </w:t>
      </w:r>
      <w:r w:rsidRPr="00AE6E3D">
        <w:t xml:space="preserve">El incumplimiento de las medidas de reparación es motivo </w:t>
      </w:r>
      <w:r>
        <w:t xml:space="preserve">sobre todo </w:t>
      </w:r>
      <w:r w:rsidRPr="00AE6E3D">
        <w:t>para iniciar un proceso penal contra el cónyuge infractor</w:t>
      </w:r>
      <w:r>
        <w:t xml:space="preserve">.  </w:t>
      </w:r>
      <w:r w:rsidRPr="00AE6E3D">
        <w:t>La jurisprudencia de los tribunales penales de Argelia es muy estricta al respecto</w:t>
      </w:r>
      <w:r>
        <w:t>.</w:t>
      </w:r>
    </w:p>
    <w:p w:rsidR="00DD0682" w:rsidRPr="00AE6E3D" w:rsidRDefault="00DD0682" w:rsidP="00DD0682">
      <w:pPr>
        <w:spacing w:after="240"/>
      </w:pPr>
      <w:r w:rsidRPr="00AE6E3D">
        <w:t>77</w:t>
      </w:r>
      <w:r>
        <w:t>.</w:t>
      </w:r>
      <w:r>
        <w:tab/>
      </w:r>
      <w:r w:rsidRPr="00AE6E3D">
        <w:t xml:space="preserve">Para evitar el tipo de prácticas </w:t>
      </w:r>
      <w:r>
        <w:t xml:space="preserve">en las </w:t>
      </w:r>
      <w:r w:rsidRPr="00AE6E3D">
        <w:t xml:space="preserve">que años atrás </w:t>
      </w:r>
      <w:r>
        <w:t xml:space="preserve">se </w:t>
      </w:r>
      <w:r w:rsidRPr="00AE6E3D">
        <w:t>podía</w:t>
      </w:r>
      <w:r>
        <w:t xml:space="preserve"> incurrir</w:t>
      </w:r>
      <w:r w:rsidRPr="00AE6E3D">
        <w:t xml:space="preserve"> al amparo del primer Código de la Familia, como </w:t>
      </w:r>
      <w:r>
        <w:t xml:space="preserve">eran </w:t>
      </w:r>
      <w:r w:rsidRPr="00AE6E3D">
        <w:t xml:space="preserve">las insidiosas </w:t>
      </w:r>
      <w:r>
        <w:t>tácticas</w:t>
      </w:r>
      <w:r w:rsidRPr="00AE6E3D">
        <w:t xml:space="preserve"> dilatorias </w:t>
      </w:r>
      <w:r>
        <w:t>adoptadas</w:t>
      </w:r>
      <w:r w:rsidRPr="00AE6E3D">
        <w:t xml:space="preserve"> por el primer </w:t>
      </w:r>
      <w:r>
        <w:t>marido</w:t>
      </w:r>
      <w:r w:rsidRPr="00AE6E3D">
        <w:t xml:space="preserve"> para evitar que la mujer divorciada pudiera volver a casarse, las decisiones de los tribunales de primera instancia en caso de divorcio no </w:t>
      </w:r>
      <w:r>
        <w:t>podrán</w:t>
      </w:r>
      <w:r w:rsidRPr="00AE6E3D">
        <w:t xml:space="preserve"> (salvo a efectos patrimoniales) </w:t>
      </w:r>
      <w:r>
        <w:t xml:space="preserve">ser objeto </w:t>
      </w:r>
      <w:r w:rsidRPr="00AE6E3D">
        <w:t>de un</w:t>
      </w:r>
      <w:r>
        <w:t>a apelación</w:t>
      </w:r>
      <w:r w:rsidRPr="00AE6E3D">
        <w:t xml:space="preserve"> ante </w:t>
      </w:r>
      <w:r>
        <w:t>un</w:t>
      </w:r>
      <w:r w:rsidRPr="00AE6E3D">
        <w:t xml:space="preserve"> tribunal de segundo grado (tribunal de apelación)</w:t>
      </w:r>
      <w:r>
        <w:t xml:space="preserve">.  </w:t>
      </w:r>
      <w:r w:rsidRPr="00AE6E3D">
        <w:t>Sólo se admite el recurso de casación ante el Tribunal Supremo</w:t>
      </w:r>
      <w:r>
        <w:t>.</w:t>
      </w:r>
    </w:p>
    <w:p w:rsidR="00DD0682" w:rsidRPr="00AE6E3D" w:rsidRDefault="00DD0682" w:rsidP="00DD0682">
      <w:pPr>
        <w:spacing w:after="240"/>
      </w:pPr>
      <w:r w:rsidRPr="00AE6E3D">
        <w:t>78</w:t>
      </w:r>
      <w:r>
        <w:t>.</w:t>
      </w:r>
      <w:r>
        <w:tab/>
      </w:r>
      <w:r w:rsidRPr="00AE6E3D">
        <w:t>Por lo que respecta al</w:t>
      </w:r>
      <w:r>
        <w:t xml:space="preserve"> derecho de </w:t>
      </w:r>
      <w:r w:rsidRPr="00AE6E3D">
        <w:t>custodia (</w:t>
      </w:r>
      <w:r w:rsidRPr="00745FED">
        <w:rPr>
          <w:i/>
        </w:rPr>
        <w:t>hadhana</w:t>
      </w:r>
      <w:r w:rsidRPr="00AE6E3D">
        <w:t xml:space="preserve">), la modificación introducida en el Código de la Familia refleja el principio del interés del </w:t>
      </w:r>
      <w:r>
        <w:t xml:space="preserve">hijo.  </w:t>
      </w:r>
      <w:r w:rsidRPr="00AE6E3D">
        <w:t xml:space="preserve">Así pues, el padre está en segunda posición, después de la madre, en el orden de las personas </w:t>
      </w:r>
      <w:r>
        <w:t xml:space="preserve">con derecho a </w:t>
      </w:r>
      <w:r w:rsidRPr="00AE6E3D">
        <w:t>la custodia</w:t>
      </w:r>
      <w:r>
        <w:t xml:space="preserve">.  </w:t>
      </w:r>
      <w:r w:rsidRPr="00AE6E3D">
        <w:t>En general</w:t>
      </w:r>
      <w:r>
        <w:t>,</w:t>
      </w:r>
      <w:r w:rsidRPr="00AE6E3D">
        <w:t xml:space="preserve"> en la gran mayoría de los casos, los tribunales civiles argelinos conceden la custodia del </w:t>
      </w:r>
      <w:r>
        <w:t>hijo</w:t>
      </w:r>
      <w:r w:rsidRPr="00AE6E3D">
        <w:t xml:space="preserve"> o </w:t>
      </w:r>
      <w:r>
        <w:t>de los hijos</w:t>
      </w:r>
      <w:r w:rsidRPr="00AE6E3D">
        <w:t xml:space="preserve"> a su madre.</w:t>
      </w:r>
    </w:p>
    <w:p w:rsidR="00DD0682" w:rsidRPr="00AE6E3D" w:rsidRDefault="00DD0682" w:rsidP="00DD0682">
      <w:pPr>
        <w:spacing w:after="240"/>
      </w:pPr>
      <w:r w:rsidRPr="00AE6E3D">
        <w:t>79</w:t>
      </w:r>
      <w:r>
        <w:t>.</w:t>
      </w:r>
      <w:r>
        <w:tab/>
      </w:r>
      <w:r w:rsidRPr="00AE6E3D">
        <w:t xml:space="preserve">Como tal, el padre está obligado, en virtud de las nuevas disposiciones, a proporcionar una vivienda </w:t>
      </w:r>
      <w:r>
        <w:t>decente</w:t>
      </w:r>
      <w:r w:rsidRPr="00AE6E3D">
        <w:t xml:space="preserve"> o, en su defecto, </w:t>
      </w:r>
      <w:r>
        <w:t>pagar un alquiler</w:t>
      </w:r>
      <w:r w:rsidRPr="00AE6E3D">
        <w:t xml:space="preserve"> suficiente para que la madre pueda ejercer </w:t>
      </w:r>
      <w:r>
        <w:t>el derecho de</w:t>
      </w:r>
      <w:r w:rsidRPr="00AE6E3D">
        <w:t xml:space="preserve"> custodia que le ha </w:t>
      </w:r>
      <w:r>
        <w:t xml:space="preserve">sido </w:t>
      </w:r>
      <w:r w:rsidRPr="00AE6E3D">
        <w:t>conferido</w:t>
      </w:r>
      <w:r>
        <w:t xml:space="preserve">.  </w:t>
      </w:r>
      <w:r w:rsidRPr="00AE6E3D">
        <w:t>Por último, la madre trabajadora ya no puede ser privada de su derecho a la custodia (art.</w:t>
      </w:r>
      <w:r>
        <w:t xml:space="preserve"> </w:t>
      </w:r>
      <w:r w:rsidRPr="00AE6E3D">
        <w:t>67).</w:t>
      </w:r>
    </w:p>
    <w:p w:rsidR="00DD0682" w:rsidRPr="00AE6E3D" w:rsidRDefault="00DD0682" w:rsidP="00DD0682">
      <w:pPr>
        <w:spacing w:after="240"/>
      </w:pPr>
      <w:r w:rsidRPr="00AE6E3D">
        <w:t>80</w:t>
      </w:r>
      <w:r>
        <w:t>.</w:t>
      </w:r>
      <w:r>
        <w:tab/>
      </w:r>
      <w:r w:rsidRPr="00AE6E3D">
        <w:t>Por lo que respecta a la tutela, se ha registrado un avance notable</w:t>
      </w:r>
      <w:r>
        <w:t>,</w:t>
      </w:r>
      <w:r w:rsidRPr="00AE6E3D">
        <w:t xml:space="preserve"> puesto que la madre </w:t>
      </w:r>
      <w:r>
        <w:t>tendrá en adelante:</w:t>
      </w:r>
    </w:p>
    <w:p w:rsidR="00DD0682" w:rsidRPr="00AE6E3D" w:rsidRDefault="00DD0682" w:rsidP="00DD0682">
      <w:pPr>
        <w:spacing w:after="240"/>
        <w:ind w:left="1134" w:hanging="567"/>
      </w:pPr>
      <w:r w:rsidRPr="00AE6E3D">
        <w:t>a)</w:t>
      </w:r>
      <w:r>
        <w:tab/>
      </w:r>
      <w:r w:rsidRPr="00AE6E3D">
        <w:t xml:space="preserve">La facultad de sustituir al padre, en caso de </w:t>
      </w:r>
      <w:r>
        <w:t>ur</w:t>
      </w:r>
      <w:r w:rsidRPr="00AE6E3D">
        <w:t xml:space="preserve">gencia y si éste estuviera ausente o </w:t>
      </w:r>
      <w:r>
        <w:t xml:space="preserve">se viera imposibilitado, para realizar determinados </w:t>
      </w:r>
      <w:r w:rsidRPr="00AE6E3D">
        <w:t xml:space="preserve">actos de la vida civil (gestiones </w:t>
      </w:r>
      <w:r>
        <w:t>administrativas</w:t>
      </w:r>
      <w:r w:rsidRPr="00AE6E3D">
        <w:t xml:space="preserve">, escolarización de los hijos); </w:t>
      </w:r>
      <w:r>
        <w:t>y</w:t>
      </w:r>
    </w:p>
    <w:p w:rsidR="00DD0682" w:rsidRPr="00AE6E3D" w:rsidRDefault="00DD0682" w:rsidP="00DD0682">
      <w:pPr>
        <w:spacing w:after="240"/>
        <w:ind w:left="1134" w:hanging="567"/>
      </w:pPr>
      <w:r w:rsidRPr="00AE6E3D">
        <w:t>b)</w:t>
      </w:r>
      <w:r>
        <w:tab/>
      </w:r>
      <w:r w:rsidRPr="00AE6E3D">
        <w:t xml:space="preserve">El derecho de tutela, en caso de divorcio, de sus hijos cuya custodia le </w:t>
      </w:r>
      <w:r>
        <w:t>haya sido</w:t>
      </w:r>
      <w:r w:rsidRPr="00AE6E3D">
        <w:t xml:space="preserve"> encomendada</w:t>
      </w:r>
      <w:r>
        <w:t>.</w:t>
      </w:r>
    </w:p>
    <w:p w:rsidR="00DD0682" w:rsidRPr="00AE6E3D" w:rsidRDefault="00DD0682" w:rsidP="00DD0682">
      <w:pPr>
        <w:spacing w:after="240"/>
      </w:pPr>
      <w:r w:rsidRPr="00AE6E3D">
        <w:t>81</w:t>
      </w:r>
      <w:r>
        <w:t>.</w:t>
      </w:r>
      <w:r>
        <w:tab/>
      </w:r>
      <w:r w:rsidRPr="00AE6E3D">
        <w:t>En relación con el tema de la discriminación por razón de sexo en materia de herencia, cabe recordar al respecto que las leyes de sucesión y herencia dimanan de la ley islámica (</w:t>
      </w:r>
      <w:r w:rsidRPr="00FA6993">
        <w:rPr>
          <w:i/>
        </w:rPr>
        <w:t>sharia</w:t>
      </w:r>
      <w:r w:rsidRPr="00AE6E3D">
        <w:t>) y, por lo tanto, son inobjetables</w:t>
      </w:r>
      <w:r>
        <w:t xml:space="preserve">.  </w:t>
      </w:r>
      <w:r w:rsidRPr="00AE6E3D">
        <w:t>Se trata de leyes de prescripción divina que el derecho positivo no</w:t>
      </w:r>
      <w:r>
        <w:t xml:space="preserve"> </w:t>
      </w:r>
      <w:r w:rsidRPr="00AE6E3D">
        <w:t>puede contradecir en modo alguno; no obstante, existen otros procedimientos para resta</w:t>
      </w:r>
      <w:r>
        <w:t>blecer</w:t>
      </w:r>
      <w:r w:rsidRPr="00AE6E3D">
        <w:t>, en su caso, el pretendido equilibrio, bien mediante donaciones entre vivos o por testamento</w:t>
      </w:r>
      <w:r>
        <w:t>.</w:t>
      </w:r>
    </w:p>
    <w:p w:rsidR="00DD0682" w:rsidRPr="00AE6E3D" w:rsidRDefault="00DD0682" w:rsidP="00DD0682">
      <w:pPr>
        <w:spacing w:after="240"/>
      </w:pPr>
      <w:r w:rsidRPr="00AE6E3D">
        <w:t>82</w:t>
      </w:r>
      <w:r>
        <w:t>.</w:t>
      </w:r>
      <w:r>
        <w:tab/>
      </w:r>
      <w:r w:rsidRPr="00AE6E3D">
        <w:t xml:space="preserve">Por último, el Ministerio de Justicia presenta y divulga periódicamente las nuevas disposiciones contenidas en el Código de </w:t>
      </w:r>
      <w:r>
        <w:t xml:space="preserve">la </w:t>
      </w:r>
      <w:r w:rsidRPr="00AE6E3D">
        <w:t xml:space="preserve">Familia </w:t>
      </w:r>
      <w:r>
        <w:t xml:space="preserve">organizando </w:t>
      </w:r>
      <w:r w:rsidRPr="00AE6E3D">
        <w:t xml:space="preserve">reuniones y conferencias en todo el </w:t>
      </w:r>
      <w:r>
        <w:t>país</w:t>
      </w:r>
      <w:r w:rsidRPr="00AE6E3D">
        <w:t xml:space="preserve"> y dirigidas a la sociedad civil, en particular </w:t>
      </w:r>
      <w:r>
        <w:t xml:space="preserve">a </w:t>
      </w:r>
      <w:r w:rsidRPr="00AE6E3D">
        <w:t>las mujeres para que éstas puedan conocer sus derechos y ser conscientes de sus deberes.</w:t>
      </w:r>
    </w:p>
    <w:p w:rsidR="00DD0682" w:rsidRPr="001637D0" w:rsidRDefault="00DD0682" w:rsidP="00DD0682">
      <w:pPr>
        <w:spacing w:after="240"/>
        <w:rPr>
          <w:b/>
        </w:rPr>
      </w:pPr>
      <w:r w:rsidRPr="001637D0">
        <w:rPr>
          <w:b/>
        </w:rPr>
        <w:t>Respuesta 6</w:t>
      </w:r>
      <w:r w:rsidRPr="001637D0">
        <w:rPr>
          <w:b/>
          <w:vertAlign w:val="superscript"/>
        </w:rPr>
        <w:footnoteReference w:id="7"/>
      </w:r>
    </w:p>
    <w:p w:rsidR="00DD0682" w:rsidRPr="00AE6E3D" w:rsidRDefault="00DD0682" w:rsidP="00DD0682">
      <w:pPr>
        <w:spacing w:after="240"/>
      </w:pPr>
      <w:r w:rsidRPr="00AE6E3D">
        <w:t>83</w:t>
      </w:r>
      <w:r>
        <w:t>.</w:t>
      </w:r>
      <w:r>
        <w:tab/>
      </w:r>
      <w:r w:rsidRPr="00AE6E3D">
        <w:t xml:space="preserve">A comienzos del decenio de 2000 se puso en marcha una estrategia nacional de lucha contra el desempleo, que </w:t>
      </w:r>
      <w:r>
        <w:t>dio lugar</w:t>
      </w:r>
      <w:r w:rsidRPr="00AE6E3D">
        <w:t xml:space="preserve">, mediante </w:t>
      </w:r>
      <w:r>
        <w:t>el establecimiento</w:t>
      </w:r>
      <w:r w:rsidRPr="00AE6E3D">
        <w:t xml:space="preserve"> de diversos mecanismos, </w:t>
      </w:r>
      <w:r>
        <w:t xml:space="preserve">a </w:t>
      </w:r>
      <w:r w:rsidRPr="00AE6E3D">
        <w:t>la creación de 1.688.361 de puestos de trabajo y la reducción de la tasa de desempleo del 29,5 al</w:t>
      </w:r>
      <w:r>
        <w:t> </w:t>
      </w:r>
      <w:r w:rsidRPr="00AE6E3D">
        <w:t xml:space="preserve">12,3% </w:t>
      </w:r>
      <w:r>
        <w:t xml:space="preserve">durante el mismo período </w:t>
      </w:r>
      <w:r w:rsidRPr="00AE6E3D">
        <w:t xml:space="preserve">(véase más información en la sección </w:t>
      </w:r>
      <w:r>
        <w:t>relativa</w:t>
      </w:r>
      <w:r w:rsidRPr="00AE6E3D">
        <w:t xml:space="preserve"> al artículo 7 del Pacto)</w:t>
      </w:r>
      <w:r>
        <w:t>.</w:t>
      </w:r>
    </w:p>
    <w:p w:rsidR="00DD0682" w:rsidRPr="001637D0" w:rsidRDefault="00DD0682" w:rsidP="00DD0682">
      <w:pPr>
        <w:spacing w:after="240"/>
        <w:rPr>
          <w:b/>
        </w:rPr>
      </w:pPr>
      <w:r w:rsidRPr="001637D0">
        <w:rPr>
          <w:b/>
        </w:rPr>
        <w:t>Respuesta 7</w:t>
      </w:r>
      <w:r w:rsidRPr="001637D0">
        <w:rPr>
          <w:b/>
          <w:vertAlign w:val="superscript"/>
        </w:rPr>
        <w:footnoteReference w:id="8"/>
      </w:r>
    </w:p>
    <w:p w:rsidR="00DD0682" w:rsidRPr="00AE6E3D" w:rsidRDefault="00DD0682" w:rsidP="00DD0682">
      <w:pPr>
        <w:spacing w:after="240"/>
      </w:pPr>
      <w:r w:rsidRPr="00AE6E3D">
        <w:t>84</w:t>
      </w:r>
      <w:r>
        <w:t>.</w:t>
      </w:r>
      <w:r>
        <w:tab/>
      </w:r>
      <w:r w:rsidRPr="00AE6E3D">
        <w:t>La Ley N</w:t>
      </w:r>
      <w:r>
        <w:t>º</w:t>
      </w:r>
      <w:r w:rsidRPr="00AE6E3D">
        <w:t xml:space="preserve"> 90-14, de 2 de junio de 1990, sobre l</w:t>
      </w:r>
      <w:r>
        <w:t>a</w:t>
      </w:r>
      <w:r w:rsidRPr="00AE6E3D">
        <w:t xml:space="preserve">s </w:t>
      </w:r>
      <w:r>
        <w:t>modalidades del</w:t>
      </w:r>
      <w:r w:rsidRPr="00AE6E3D">
        <w:t xml:space="preserve"> ejercicio del derecho de sindicación, da pleno efecto al artículo 2 del Convenio </w:t>
      </w:r>
      <w:r>
        <w:t>sobre</w:t>
      </w:r>
      <w:r w:rsidRPr="00AE6E3D">
        <w:t xml:space="preserve"> la libertad sindical y la protección del derecho de sindicación (Nº 87) de la OIT, puesto que no establece condiciones que puedan obstaculizar o prohibir la creación de organizaciones sindicales, salvo la de ser trabajador o empleador, que se aplica </w:t>
      </w:r>
      <w:r>
        <w:t xml:space="preserve">sin distinción alguna sea cual fuere el </w:t>
      </w:r>
      <w:r w:rsidRPr="00AE6E3D">
        <w:t xml:space="preserve">sector de actividad </w:t>
      </w:r>
      <w:r>
        <w:t>al que pertenecen</w:t>
      </w:r>
      <w:r w:rsidRPr="00AE6E3D">
        <w:t xml:space="preserve"> los trabajadores o empleadores (</w:t>
      </w:r>
      <w:r>
        <w:t>sector</w:t>
      </w:r>
      <w:r w:rsidRPr="00AE6E3D">
        <w:t xml:space="preserve"> público </w:t>
      </w:r>
      <w:r>
        <w:t>o</w:t>
      </w:r>
      <w:r w:rsidRPr="00AE6E3D">
        <w:t xml:space="preserve"> sector privado)</w:t>
      </w:r>
      <w:r>
        <w:t>.</w:t>
      </w:r>
    </w:p>
    <w:p w:rsidR="00DD0682" w:rsidRDefault="00DD0682" w:rsidP="00DD0682">
      <w:pPr>
        <w:spacing w:after="240"/>
      </w:pPr>
      <w:r w:rsidRPr="00AE6E3D">
        <w:t>85</w:t>
      </w:r>
      <w:r>
        <w:t>.</w:t>
      </w:r>
      <w:r>
        <w:tab/>
        <w:t xml:space="preserve">En cuanto a la forma, </w:t>
      </w:r>
      <w:r w:rsidRPr="00AE6E3D">
        <w:t xml:space="preserve">para constituir una organización sindical </w:t>
      </w:r>
      <w:r>
        <w:t>basta con presentar una declaración de constitución,</w:t>
      </w:r>
      <w:r w:rsidRPr="00AE6E3D">
        <w:t xml:space="preserve"> adjuntando los estatutos elaborados por los miembros fundadores y el acta de la asamblea general constitutiva de la </w:t>
      </w:r>
      <w:r>
        <w:t>organización.</w:t>
      </w:r>
    </w:p>
    <w:p w:rsidR="00DD0682" w:rsidRPr="00AE6E3D" w:rsidRDefault="00DD0682" w:rsidP="00DD0682">
      <w:pPr>
        <w:spacing w:after="240"/>
      </w:pPr>
      <w:r w:rsidRPr="00AE6E3D">
        <w:t>86</w:t>
      </w:r>
      <w:r>
        <w:t>.</w:t>
      </w:r>
      <w:r>
        <w:tab/>
      </w:r>
      <w:r w:rsidRPr="00AE6E3D">
        <w:t xml:space="preserve">De conformidad con lo dispuesto por el artículo 8 de la citada Ley Nº 90-14, la solicitud de constitución de una organización sindical se presentará </w:t>
      </w:r>
      <w:r>
        <w:t>e</w:t>
      </w:r>
      <w:r w:rsidRPr="00AE6E3D">
        <w:t>n el Ministerio de Trabajo y Seguridad Social</w:t>
      </w:r>
      <w:r>
        <w:t>,</w:t>
      </w:r>
      <w:r w:rsidRPr="00AE6E3D">
        <w:t xml:space="preserve"> cuando se trate de una organización sindical de trabajadores o empleadores de ámbito nacional</w:t>
      </w:r>
      <w:r>
        <w:t>; en</w:t>
      </w:r>
      <w:r w:rsidRPr="00AE6E3D">
        <w:t xml:space="preserve"> la sede de la </w:t>
      </w:r>
      <w:r w:rsidRPr="00A63035">
        <w:rPr>
          <w:i/>
        </w:rPr>
        <w:t>wilaya</w:t>
      </w:r>
      <w:r w:rsidRPr="00AE6E3D">
        <w:t xml:space="preserve"> cuando sea de ámbito regional o departamental</w:t>
      </w:r>
      <w:r>
        <w:t>;</w:t>
      </w:r>
      <w:r w:rsidRPr="00AE6E3D">
        <w:t xml:space="preserve"> y </w:t>
      </w:r>
      <w:r>
        <w:t>e</w:t>
      </w:r>
      <w:r w:rsidRPr="00AE6E3D">
        <w:t xml:space="preserve">n la sede </w:t>
      </w:r>
      <w:r>
        <w:t>del municipio</w:t>
      </w:r>
      <w:r w:rsidRPr="00AE6E3D">
        <w:t xml:space="preserve"> cuando se trate de una organización de ámbito comunal o intercomunal</w:t>
      </w:r>
      <w:r>
        <w:t xml:space="preserve">.  </w:t>
      </w:r>
      <w:r w:rsidRPr="00AE6E3D">
        <w:t xml:space="preserve">Cabe señalar que la </w:t>
      </w:r>
      <w:r>
        <w:t>determinación</w:t>
      </w:r>
      <w:r w:rsidRPr="00AE6E3D">
        <w:t xml:space="preserve"> del ámbito territorial de la organización incumbe a los miembros fundadores, </w:t>
      </w:r>
      <w:r>
        <w:t>y</w:t>
      </w:r>
      <w:r w:rsidRPr="00AE6E3D">
        <w:t xml:space="preserve"> la autoridad competente no tiene conocimiento de la opción elegida hasta que no se presenta la solicitud</w:t>
      </w:r>
      <w:r>
        <w:t xml:space="preserve">.  </w:t>
      </w:r>
      <w:r w:rsidRPr="00AE6E3D">
        <w:t>Los miembros fundadores tienen plena libertad para elegir la configuración territorial que desean dar a la organización sindical</w:t>
      </w:r>
      <w:r>
        <w:t>.</w:t>
      </w:r>
    </w:p>
    <w:p w:rsidR="00DD0682" w:rsidRPr="00AE6E3D" w:rsidRDefault="00DD0682" w:rsidP="00DD0682">
      <w:pPr>
        <w:spacing w:after="240"/>
      </w:pPr>
      <w:r w:rsidRPr="00AE6E3D">
        <w:t>87</w:t>
      </w:r>
      <w:r>
        <w:t>.</w:t>
      </w:r>
      <w:r>
        <w:tab/>
        <w:t>Las autoridades responden</w:t>
      </w:r>
      <w:r w:rsidRPr="00AE6E3D">
        <w:t xml:space="preserve"> a la solicitud de constitución de </w:t>
      </w:r>
      <w:r>
        <w:t xml:space="preserve">una </w:t>
      </w:r>
      <w:r w:rsidRPr="00AE6E3D">
        <w:t xml:space="preserve">organización sindical </w:t>
      </w:r>
      <w:r>
        <w:t>en el plazo</w:t>
      </w:r>
      <w:r w:rsidRPr="00AE6E3D">
        <w:t xml:space="preserve"> de 30 días; en algunos casos</w:t>
      </w:r>
      <w:r>
        <w:t xml:space="preserve"> se pide a los solicitantes </w:t>
      </w:r>
      <w:r w:rsidRPr="00AE6E3D">
        <w:t xml:space="preserve">que </w:t>
      </w:r>
      <w:r>
        <w:t>corrijan el texto</w:t>
      </w:r>
      <w:r w:rsidRPr="00AE6E3D">
        <w:t xml:space="preserve"> de l</w:t>
      </w:r>
      <w:r>
        <w:t xml:space="preserve">os estatutos de la organización.  </w:t>
      </w:r>
      <w:r w:rsidRPr="00AE6E3D">
        <w:t xml:space="preserve">Una vez </w:t>
      </w:r>
      <w:r>
        <w:t>introducidas esas correcciones</w:t>
      </w:r>
      <w:r w:rsidRPr="00AE6E3D">
        <w:t xml:space="preserve">, se </w:t>
      </w:r>
      <w:r>
        <w:t>expide</w:t>
      </w:r>
      <w:r w:rsidRPr="00AE6E3D">
        <w:t xml:space="preserve"> a los interesados el justificante de </w:t>
      </w:r>
      <w:r>
        <w:t xml:space="preserve">la </w:t>
      </w:r>
      <w:r w:rsidRPr="00AE6E3D">
        <w:t>inscripción</w:t>
      </w:r>
      <w:r>
        <w:t xml:space="preserve"> de la declaración de Constitución.  Según l</w:t>
      </w:r>
      <w:r w:rsidRPr="00AE6E3D">
        <w:t>a legislación argelina</w:t>
      </w:r>
      <w:r>
        <w:t xml:space="preserve">, </w:t>
      </w:r>
      <w:r w:rsidRPr="00AE6E3D">
        <w:t>los solicitantes pued</w:t>
      </w:r>
      <w:r>
        <w:t>e</w:t>
      </w:r>
      <w:r w:rsidRPr="00AE6E3D">
        <w:t xml:space="preserve">n </w:t>
      </w:r>
      <w:r>
        <w:t xml:space="preserve">presentar un recurso </w:t>
      </w:r>
      <w:r w:rsidRPr="00AE6E3D">
        <w:t xml:space="preserve">ante los tribunales si la administración pertinente deniega </w:t>
      </w:r>
      <w:r>
        <w:t>su solicitud</w:t>
      </w:r>
      <w:r w:rsidRPr="00AE6E3D">
        <w:t>.</w:t>
      </w:r>
    </w:p>
    <w:p w:rsidR="00DD0682" w:rsidRPr="00C67FDB" w:rsidRDefault="00DD0682" w:rsidP="00DD0682">
      <w:pPr>
        <w:spacing w:after="240"/>
        <w:rPr>
          <w:b/>
        </w:rPr>
      </w:pPr>
      <w:r w:rsidRPr="00C67FDB">
        <w:rPr>
          <w:b/>
        </w:rPr>
        <w:t>Respuesta 8</w:t>
      </w:r>
      <w:r w:rsidRPr="00C67FDB">
        <w:rPr>
          <w:b/>
          <w:vertAlign w:val="superscript"/>
        </w:rPr>
        <w:footnoteReference w:id="9"/>
      </w:r>
    </w:p>
    <w:p w:rsidR="00DD0682" w:rsidRPr="00AE6E3D" w:rsidRDefault="00DD0682" w:rsidP="00DD0682">
      <w:pPr>
        <w:spacing w:after="240"/>
      </w:pPr>
      <w:r w:rsidRPr="00AE6E3D">
        <w:t>88</w:t>
      </w:r>
      <w:r>
        <w:t>.</w:t>
      </w:r>
      <w:r>
        <w:tab/>
      </w:r>
      <w:r w:rsidRPr="00AE6E3D">
        <w:t>E</w:t>
      </w:r>
      <w:r>
        <w:t xml:space="preserve">n el capítulo II del Código Penal, relativo </w:t>
      </w:r>
      <w:r w:rsidRPr="00AE6E3D">
        <w:t xml:space="preserve">a los </w:t>
      </w:r>
      <w:r>
        <w:t xml:space="preserve">"crímenes y </w:t>
      </w:r>
      <w:r w:rsidRPr="00AE6E3D">
        <w:t>delitos contra la familia y las buenas costumbres</w:t>
      </w:r>
      <w:r>
        <w:t>",</w:t>
      </w:r>
      <w:r w:rsidRPr="00AE6E3D">
        <w:t xml:space="preserve"> se penalizan en</w:t>
      </w:r>
      <w:r>
        <w:t xml:space="preserve"> particular </w:t>
      </w:r>
      <w:r w:rsidRPr="00AE6E3D">
        <w:t xml:space="preserve">las infracciones relacionadas con el aborto, el abandono </w:t>
      </w:r>
      <w:r>
        <w:t xml:space="preserve">y la </w:t>
      </w:r>
      <w:r w:rsidRPr="00AE6E3D">
        <w:t xml:space="preserve">exposición de niños y discapacitados, los </w:t>
      </w:r>
      <w:r>
        <w:t xml:space="preserve">crímenes y delitos cuyo fin es </w:t>
      </w:r>
      <w:r w:rsidRPr="00AE6E3D">
        <w:t>evitar la identificación de los niños, el infanticidio, el secuestro de menores</w:t>
      </w:r>
      <w:r>
        <w:t xml:space="preserve"> y la dejación de la patria potestad</w:t>
      </w:r>
      <w:r w:rsidRPr="00AE6E3D">
        <w:t xml:space="preserve">, el abandono de familia, </w:t>
      </w:r>
      <w:r>
        <w:t xml:space="preserve">y </w:t>
      </w:r>
      <w:r w:rsidRPr="00AE6E3D">
        <w:t>el parricidio y la violencia contra los ascendientes y descendientes</w:t>
      </w:r>
      <w:r>
        <w:t>.</w:t>
      </w:r>
    </w:p>
    <w:p w:rsidR="00DD0682" w:rsidRPr="00AE6E3D" w:rsidRDefault="00DD0682" w:rsidP="00DD0682">
      <w:pPr>
        <w:spacing w:after="240"/>
      </w:pPr>
      <w:r w:rsidRPr="00AE6E3D">
        <w:t>89</w:t>
      </w:r>
      <w:r>
        <w:t>.</w:t>
      </w:r>
      <w:r>
        <w:tab/>
      </w:r>
      <w:r w:rsidRPr="00AE6E3D">
        <w:t xml:space="preserve">La Ley Nº 06-23, de 20 de diciembre de 2006, que modifica y completa </w:t>
      </w:r>
      <w:r>
        <w:t xml:space="preserve">la ordenanza relativa al </w:t>
      </w:r>
      <w:r w:rsidRPr="00AE6E3D">
        <w:t xml:space="preserve">Código Penal, introdujo como sanción complementaria la prohibición de ejercer los derechos civiles, cívicos y familiares, </w:t>
      </w:r>
      <w:r>
        <w:t xml:space="preserve">pudiéndose imponer, entre otras sanciones, </w:t>
      </w:r>
      <w:r w:rsidRPr="00AE6E3D">
        <w:t xml:space="preserve">la </w:t>
      </w:r>
      <w:r>
        <w:t>inhabilitación</w:t>
      </w:r>
      <w:r w:rsidRPr="00AE6E3D">
        <w:t xml:space="preserve"> total o parcial </w:t>
      </w:r>
      <w:r>
        <w:t xml:space="preserve">para ejercer el </w:t>
      </w:r>
      <w:r w:rsidRPr="00AE6E3D">
        <w:t>derecho de tutela</w:t>
      </w:r>
      <w:r>
        <w:t>.</w:t>
      </w:r>
    </w:p>
    <w:p w:rsidR="00DD0682" w:rsidRPr="00AE6E3D" w:rsidRDefault="00DD0682" w:rsidP="00DD0682">
      <w:pPr>
        <w:spacing w:after="240"/>
      </w:pPr>
      <w:r w:rsidRPr="00AE6E3D">
        <w:t>90</w:t>
      </w:r>
      <w:r>
        <w:t>.</w:t>
      </w:r>
      <w:r>
        <w:tab/>
      </w:r>
      <w:r w:rsidRPr="00AE6E3D">
        <w:t>El Gobierno adoptó una estrategia para acabar con la violencia contra la mujer</w:t>
      </w:r>
      <w:r>
        <w:t xml:space="preserve">.  </w:t>
      </w:r>
      <w:r w:rsidRPr="00AE6E3D">
        <w:t>Entre 2000 y 2003 se puso en marc</w:t>
      </w:r>
      <w:r>
        <w:t>h</w:t>
      </w:r>
      <w:r w:rsidRPr="00AE6E3D">
        <w:t xml:space="preserve">a la Iniciativa regional para la igualdad de género, y entre 2003 y 2006 se llevó a cabo una consulta en colaboración con diversos </w:t>
      </w:r>
      <w:r>
        <w:t>agentes</w:t>
      </w:r>
      <w:r w:rsidRPr="00AE6E3D">
        <w:t xml:space="preserve"> institucionales y de la sociedad civil y </w:t>
      </w:r>
      <w:r>
        <w:t>d</w:t>
      </w:r>
      <w:r w:rsidRPr="00AE6E3D">
        <w:t>el sistema de las Naciones Unidas</w:t>
      </w:r>
      <w:r>
        <w:t>.</w:t>
      </w:r>
    </w:p>
    <w:p w:rsidR="00DD0682" w:rsidRPr="00AE6E3D" w:rsidRDefault="00DD0682" w:rsidP="00DD0682">
      <w:pPr>
        <w:spacing w:after="240"/>
      </w:pPr>
      <w:r w:rsidRPr="00AE6E3D">
        <w:t>91</w:t>
      </w:r>
      <w:r>
        <w:t>.</w:t>
      </w:r>
      <w:r>
        <w:tab/>
      </w:r>
      <w:r w:rsidRPr="00AE6E3D">
        <w:t xml:space="preserve">Como resultado de esa consulta, se </w:t>
      </w:r>
      <w:r>
        <w:t>ha formulado y refrendado</w:t>
      </w:r>
      <w:r w:rsidRPr="00AE6E3D">
        <w:t xml:space="preserve"> una estrategia que tiene por objetivos</w:t>
      </w:r>
      <w:r>
        <w:t>:</w:t>
      </w:r>
    </w:p>
    <w:p w:rsidR="00DD0682" w:rsidRPr="00AE6E3D" w:rsidRDefault="00DD0682" w:rsidP="00DD0682">
      <w:pPr>
        <w:spacing w:after="240"/>
        <w:ind w:left="1134" w:hanging="567"/>
      </w:pPr>
      <w:r w:rsidRPr="00AE6E3D">
        <w:t>a)</w:t>
      </w:r>
      <w:r>
        <w:tab/>
      </w:r>
      <w:r w:rsidRPr="00AE6E3D">
        <w:t xml:space="preserve">La </w:t>
      </w:r>
      <w:r>
        <w:t>creación de capacidad</w:t>
      </w:r>
      <w:r w:rsidRPr="00AE6E3D">
        <w:t xml:space="preserve"> en materia de lucha contra la violencia</w:t>
      </w:r>
      <w:r>
        <w:t xml:space="preserve"> de que son objeto las mujeres;</w:t>
      </w:r>
    </w:p>
    <w:p w:rsidR="00DD0682" w:rsidRPr="00AE6E3D" w:rsidRDefault="00DD0682" w:rsidP="00DD0682">
      <w:pPr>
        <w:spacing w:after="240"/>
        <w:ind w:left="1134" w:hanging="567"/>
      </w:pPr>
      <w:r w:rsidRPr="00AE6E3D">
        <w:t>b)</w:t>
      </w:r>
      <w:r>
        <w:tab/>
      </w:r>
      <w:r w:rsidRPr="00AE6E3D">
        <w:t xml:space="preserve">La iniciación de un proceso participativo para analizar la situación y los </w:t>
      </w:r>
      <w:r>
        <w:t>diversos sectores</w:t>
      </w:r>
      <w:r w:rsidRPr="00AE6E3D">
        <w:t xml:space="preserve"> de desarrollo en relación con la condición jurídica y social de la mujer, </w:t>
      </w:r>
      <w:r>
        <w:t xml:space="preserve">con </w:t>
      </w:r>
      <w:r w:rsidRPr="00AE6E3D">
        <w:t xml:space="preserve">sus derechos y </w:t>
      </w:r>
      <w:r>
        <w:t>con el fenómeno de la violencia;</w:t>
      </w:r>
    </w:p>
    <w:p w:rsidR="00DD0682" w:rsidRPr="00AE6E3D" w:rsidRDefault="00DD0682" w:rsidP="00DD0682">
      <w:pPr>
        <w:spacing w:after="240"/>
        <w:ind w:left="1134" w:hanging="567"/>
      </w:pPr>
      <w:r w:rsidRPr="00AE6E3D">
        <w:t>c)</w:t>
      </w:r>
      <w:r>
        <w:tab/>
      </w:r>
      <w:r w:rsidRPr="00AE6E3D">
        <w:t>El establecimiento de un marco de referencia y el balance de la situación en los distintos sectores así como la aplicación y homologación de planes intersectoriales.</w:t>
      </w:r>
    </w:p>
    <w:p w:rsidR="00DD0682" w:rsidRPr="005A617A" w:rsidRDefault="00DD0682" w:rsidP="00DD0682">
      <w:pPr>
        <w:keepNext/>
        <w:spacing w:after="240"/>
        <w:rPr>
          <w:b/>
        </w:rPr>
      </w:pPr>
      <w:r w:rsidRPr="005A617A">
        <w:rPr>
          <w:b/>
        </w:rPr>
        <w:t>Repuesta 9</w:t>
      </w:r>
      <w:r w:rsidRPr="005A617A">
        <w:rPr>
          <w:b/>
          <w:vertAlign w:val="superscript"/>
        </w:rPr>
        <w:footnoteReference w:id="10"/>
      </w:r>
    </w:p>
    <w:p w:rsidR="00DD0682" w:rsidRPr="00AE6E3D" w:rsidRDefault="00DD0682" w:rsidP="00DD0682">
      <w:pPr>
        <w:spacing w:after="240"/>
      </w:pPr>
      <w:r w:rsidRPr="00AE6E3D">
        <w:t>92</w:t>
      </w:r>
      <w:r>
        <w:t>.</w:t>
      </w:r>
      <w:r>
        <w:tab/>
      </w:r>
      <w:r w:rsidRPr="00AE6E3D">
        <w:t>La lucha contra la pobreza es una de las preocupaciones más acuciantes de</w:t>
      </w:r>
      <w:r>
        <w:t xml:space="preserve"> los poderes públicos en </w:t>
      </w:r>
      <w:r w:rsidRPr="00AE6E3D">
        <w:t>Argelia</w:t>
      </w:r>
      <w:r>
        <w:t>.</w:t>
      </w:r>
    </w:p>
    <w:p w:rsidR="00DD0682" w:rsidRPr="00AE6E3D" w:rsidRDefault="00DD0682" w:rsidP="00DD0682">
      <w:pPr>
        <w:spacing w:after="240"/>
      </w:pPr>
      <w:r>
        <w:t>93.</w:t>
      </w:r>
      <w:r>
        <w:tab/>
      </w:r>
      <w:r w:rsidRPr="00AE6E3D">
        <w:t xml:space="preserve">A ese respecto, cabe señalar que la estructura institucional se </w:t>
      </w:r>
      <w:r>
        <w:t xml:space="preserve">ha visto </w:t>
      </w:r>
      <w:r w:rsidRPr="00AE6E3D">
        <w:t>reforzada gracias al establecimiento, por decisión del Presidente de la República, del Observatorio nacional de</w:t>
      </w:r>
      <w:r>
        <w:t>l</w:t>
      </w:r>
      <w:r w:rsidRPr="00AE6E3D">
        <w:t xml:space="preserve"> empleo y de </w:t>
      </w:r>
      <w:r>
        <w:t>la l</w:t>
      </w:r>
      <w:r w:rsidRPr="00AE6E3D">
        <w:t xml:space="preserve">ucha contra la </w:t>
      </w:r>
      <w:r>
        <w:t>p</w:t>
      </w:r>
      <w:r w:rsidRPr="00AE6E3D">
        <w:t>obreza</w:t>
      </w:r>
      <w:r>
        <w:t xml:space="preserve">.  </w:t>
      </w:r>
      <w:r w:rsidRPr="00AE6E3D">
        <w:t xml:space="preserve">Este nuevo mecanismo </w:t>
      </w:r>
      <w:r>
        <w:t>constituye un</w:t>
      </w:r>
      <w:r w:rsidRPr="00AE6E3D">
        <w:t xml:space="preserve"> marco para la coordinación de todos los </w:t>
      </w:r>
      <w:r>
        <w:t>interlocutores</w:t>
      </w:r>
      <w:r w:rsidRPr="00AE6E3D">
        <w:t xml:space="preserve"> y partes interesadas en ese ámbito de actuación (funcionarios, expertos de centros de investigación, sociedad civil y empresarios)</w:t>
      </w:r>
      <w:r>
        <w:t>.</w:t>
      </w:r>
    </w:p>
    <w:p w:rsidR="00DD0682" w:rsidRPr="00AE6E3D" w:rsidRDefault="00DD0682" w:rsidP="00DD0682">
      <w:pPr>
        <w:spacing w:after="240"/>
      </w:pPr>
      <w:r w:rsidRPr="00AE6E3D">
        <w:t>94</w:t>
      </w:r>
      <w:r>
        <w:t>.</w:t>
      </w:r>
      <w:r>
        <w:tab/>
        <w:t xml:space="preserve">Esa movilización ha dado lugar asimismo a </w:t>
      </w:r>
      <w:r w:rsidRPr="00AE6E3D">
        <w:t xml:space="preserve">la realización de un estudio que </w:t>
      </w:r>
      <w:r>
        <w:t>ha permitido</w:t>
      </w:r>
      <w:r w:rsidRPr="00AE6E3D">
        <w:t xml:space="preserve"> trazar un</w:t>
      </w:r>
      <w:r>
        <w:t xml:space="preserve"> mapa</w:t>
      </w:r>
      <w:r w:rsidRPr="00AE6E3D">
        <w:t xml:space="preserve"> nacional de la pobreza, con arreglo al cual se </w:t>
      </w:r>
      <w:r>
        <w:t xml:space="preserve">han puesto </w:t>
      </w:r>
      <w:r w:rsidRPr="00AE6E3D">
        <w:t xml:space="preserve">en marcha medidas concretas </w:t>
      </w:r>
      <w:r>
        <w:t xml:space="preserve">a favor de </w:t>
      </w:r>
      <w:r w:rsidRPr="00AE6E3D">
        <w:t>las personas más afectadas</w:t>
      </w:r>
      <w:r>
        <w:t xml:space="preserve">.  </w:t>
      </w:r>
      <w:r w:rsidRPr="00AE6E3D">
        <w:t xml:space="preserve">Todo ciudadano que tenga problemas de índole física, mental, económica o social y no disponga de medios para subvenir a sus necesidades, </w:t>
      </w:r>
      <w:r>
        <w:t xml:space="preserve">ha podido recurrir </w:t>
      </w:r>
      <w:r w:rsidRPr="00AE6E3D">
        <w:t>a la comunidad</w:t>
      </w:r>
      <w:r>
        <w:t>.</w:t>
      </w:r>
    </w:p>
    <w:p w:rsidR="00DD0682" w:rsidRPr="00AE6E3D" w:rsidRDefault="00DD0682" w:rsidP="00DD0682">
      <w:pPr>
        <w:spacing w:after="240"/>
      </w:pPr>
      <w:r w:rsidRPr="00AE6E3D">
        <w:t>95</w:t>
      </w:r>
      <w:r>
        <w:t>.</w:t>
      </w:r>
      <w:r>
        <w:tab/>
      </w:r>
      <w:r w:rsidRPr="00AE6E3D">
        <w:t>La</w:t>
      </w:r>
      <w:r>
        <w:t>s medidas de ayuda</w:t>
      </w:r>
      <w:r w:rsidRPr="00AE6E3D">
        <w:t xml:space="preserve"> social, </w:t>
      </w:r>
      <w:r>
        <w:t>o más concreta</w:t>
      </w:r>
      <w:r w:rsidRPr="00AE6E3D">
        <w:t xml:space="preserve">mente las transferencias sociales, han </w:t>
      </w:r>
      <w:r>
        <w:t xml:space="preserve">contribuido de manera </w:t>
      </w:r>
      <w:r w:rsidRPr="00AE6E3D">
        <w:t xml:space="preserve">importante </w:t>
      </w:r>
      <w:r>
        <w:t>a la</w:t>
      </w:r>
      <w:r w:rsidRPr="00AE6E3D">
        <w:t xml:space="preserve"> política de apoyo a los más </w:t>
      </w:r>
      <w:r>
        <w:t>desfavorecidos.  Es de</w:t>
      </w:r>
      <w:r w:rsidRPr="00AE6E3D">
        <w:t xml:space="preserve"> señalar que el gasto social</w:t>
      </w:r>
      <w:r>
        <w:t xml:space="preserve"> de la nación</w:t>
      </w:r>
      <w:r w:rsidRPr="00AE6E3D">
        <w:t xml:space="preserve"> representa actualmente más del 12,5% del producto interno bruto (PIB), es decir</w:t>
      </w:r>
      <w:r>
        <w:t>,</w:t>
      </w:r>
      <w:r w:rsidRPr="00AE6E3D">
        <w:t xml:space="preserve"> 770.000 millones de dinares argelinos, </w:t>
      </w:r>
      <w:r>
        <w:t>y</w:t>
      </w:r>
      <w:r w:rsidRPr="00AE6E3D">
        <w:t xml:space="preserve"> permit</w:t>
      </w:r>
      <w:r>
        <w:t>e</w:t>
      </w:r>
      <w:r w:rsidRPr="00AE6E3D">
        <w:t xml:space="preserve"> reforzar la lucha contra la pobreza, la precariedad y la exclusión social.</w:t>
      </w:r>
    </w:p>
    <w:p w:rsidR="00DD0682" w:rsidRPr="00692CF8" w:rsidRDefault="00DD0682" w:rsidP="00DD0682">
      <w:pPr>
        <w:spacing w:after="240"/>
        <w:rPr>
          <w:b/>
        </w:rPr>
      </w:pPr>
      <w:r w:rsidRPr="00692CF8">
        <w:rPr>
          <w:b/>
        </w:rPr>
        <w:t>Respuesta 10</w:t>
      </w:r>
      <w:r w:rsidRPr="00692CF8">
        <w:rPr>
          <w:b/>
          <w:vertAlign w:val="superscript"/>
        </w:rPr>
        <w:footnoteReference w:id="11"/>
      </w:r>
    </w:p>
    <w:p w:rsidR="00DD0682" w:rsidRPr="00AE6E3D" w:rsidRDefault="00DD0682" w:rsidP="00DD0682">
      <w:pPr>
        <w:spacing w:after="240"/>
      </w:pPr>
      <w:r w:rsidRPr="00AE6E3D">
        <w:t>96</w:t>
      </w:r>
      <w:r>
        <w:t>.</w:t>
      </w:r>
      <w:r>
        <w:tab/>
      </w:r>
      <w:r w:rsidRPr="00AE6E3D">
        <w:t xml:space="preserve">La cuestión de la vivienda es un tema al que </w:t>
      </w:r>
      <w:r>
        <w:t xml:space="preserve">los poderes públicos </w:t>
      </w:r>
      <w:r w:rsidRPr="00AE6E3D">
        <w:t>otorga</w:t>
      </w:r>
      <w:r>
        <w:t>n</w:t>
      </w:r>
      <w:r w:rsidRPr="00AE6E3D">
        <w:t xml:space="preserve"> una alta prioridad desde 1999.</w:t>
      </w:r>
    </w:p>
    <w:p w:rsidR="00DD0682" w:rsidRPr="00AE6E3D" w:rsidRDefault="00DD0682" w:rsidP="00DD0682">
      <w:pPr>
        <w:spacing w:after="240"/>
      </w:pPr>
      <w:r w:rsidRPr="00AE6E3D">
        <w:t>97</w:t>
      </w:r>
      <w:r>
        <w:t>.</w:t>
      </w:r>
      <w:r>
        <w:tab/>
      </w:r>
      <w:r w:rsidRPr="00AE6E3D">
        <w:t xml:space="preserve">El programa especial puesto en marcha durante el período </w:t>
      </w:r>
      <w:r>
        <w:t xml:space="preserve">de </w:t>
      </w:r>
      <w:r w:rsidRPr="00AE6E3D">
        <w:t>1999</w:t>
      </w:r>
      <w:r>
        <w:t xml:space="preserve"> a </w:t>
      </w:r>
      <w:r w:rsidRPr="00AE6E3D">
        <w:t>2004 tuvo como resultado la construcción de 810.000 viviendas</w:t>
      </w:r>
      <w:r>
        <w:t xml:space="preserve">.  </w:t>
      </w:r>
      <w:r w:rsidRPr="00AE6E3D">
        <w:t>Ello alivi</w:t>
      </w:r>
      <w:r>
        <w:t>ó</w:t>
      </w:r>
      <w:r w:rsidRPr="00AE6E3D">
        <w:t xml:space="preserve"> un poco la crisis de la vivienda que sufr</w:t>
      </w:r>
      <w:r>
        <w:t>ía</w:t>
      </w:r>
      <w:r w:rsidRPr="00AE6E3D">
        <w:t xml:space="preserve"> el país, como lo demuestra el hecho de que la tasa media de ocupación por unidad de vivienda haya pasado de 7,2 personas en 1999 a 5,34 personas a finales de 2004</w:t>
      </w:r>
      <w:r>
        <w:t>.</w:t>
      </w:r>
    </w:p>
    <w:p w:rsidR="00DD0682" w:rsidRPr="00AE6E3D" w:rsidRDefault="00DD0682" w:rsidP="00DD0682">
      <w:pPr>
        <w:spacing w:after="240"/>
      </w:pPr>
      <w:r w:rsidRPr="00AE6E3D">
        <w:t>98</w:t>
      </w:r>
      <w:r>
        <w:t>.</w:t>
      </w:r>
      <w:r>
        <w:tab/>
      </w:r>
      <w:r w:rsidRPr="00AE6E3D">
        <w:t xml:space="preserve">El programa de apoyo al desarrollo económico que fue aprobado por el Gobierno para el período </w:t>
      </w:r>
      <w:r>
        <w:t xml:space="preserve">de </w:t>
      </w:r>
      <w:r w:rsidRPr="00AE6E3D">
        <w:t>2005</w:t>
      </w:r>
      <w:r>
        <w:t xml:space="preserve"> a </w:t>
      </w:r>
      <w:r w:rsidRPr="00AE6E3D">
        <w:t>2009 tiene por objetivo la construcción de 1 millón de viviendas</w:t>
      </w:r>
      <w:r>
        <w:t xml:space="preserve">.  </w:t>
      </w:r>
      <w:r w:rsidRPr="00AE6E3D">
        <w:t xml:space="preserve">La cuantía total de los fondos asignados al sector de la vivienda y </w:t>
      </w:r>
      <w:r>
        <w:t xml:space="preserve">el </w:t>
      </w:r>
      <w:r w:rsidRPr="00AE6E3D">
        <w:t>urbanismo asciende a 5.550 millones de dólares de los EE.UU.</w:t>
      </w:r>
    </w:p>
    <w:p w:rsidR="00DD0682" w:rsidRPr="00AE6E3D" w:rsidRDefault="00DD0682" w:rsidP="00DD0682">
      <w:pPr>
        <w:spacing w:after="240"/>
      </w:pPr>
      <w:r w:rsidRPr="00AE6E3D">
        <w:t>99</w:t>
      </w:r>
      <w:r>
        <w:t>.</w:t>
      </w:r>
      <w:r>
        <w:tab/>
        <w:t>Con</w:t>
      </w:r>
      <w:r w:rsidRPr="00AE6E3D">
        <w:t xml:space="preserve"> esa nueva</w:t>
      </w:r>
      <w:r>
        <w:t xml:space="preserve"> asignación de recursos</w:t>
      </w:r>
      <w:r w:rsidRPr="00AE6E3D">
        <w:t>, la tasa nacional de ocupación por unidad de vivienda será inferior a 5 personas, que es un promedio razonable.</w:t>
      </w:r>
    </w:p>
    <w:p w:rsidR="00DD0682" w:rsidRPr="00DF4A95" w:rsidRDefault="00DD0682" w:rsidP="00DD0682">
      <w:pPr>
        <w:keepNext/>
        <w:spacing w:after="240"/>
        <w:rPr>
          <w:b/>
        </w:rPr>
      </w:pPr>
      <w:r w:rsidRPr="00DF4A95">
        <w:rPr>
          <w:b/>
        </w:rPr>
        <w:t>Respuesta 11</w:t>
      </w:r>
      <w:r w:rsidRPr="00DF4A95">
        <w:rPr>
          <w:b/>
          <w:vertAlign w:val="superscript"/>
        </w:rPr>
        <w:footnoteReference w:id="12"/>
      </w:r>
    </w:p>
    <w:p w:rsidR="00DD0682" w:rsidRPr="00AE6E3D" w:rsidRDefault="00DD0682" w:rsidP="00DD0682">
      <w:pPr>
        <w:spacing w:after="240"/>
      </w:pPr>
      <w:r w:rsidRPr="00AE6E3D">
        <w:t>100</w:t>
      </w:r>
      <w:r>
        <w:t>.</w:t>
      </w:r>
      <w:r>
        <w:tab/>
        <w:t xml:space="preserve">Durante el período de 1999 a 2005 </w:t>
      </w:r>
      <w:r w:rsidRPr="00AE6E3D">
        <w:t>el porcentaje de</w:t>
      </w:r>
      <w:r>
        <w:t>l</w:t>
      </w:r>
      <w:r w:rsidRPr="00AE6E3D">
        <w:t xml:space="preserve"> gasto público en salud </w:t>
      </w:r>
      <w:r>
        <w:t>fue</w:t>
      </w:r>
      <w:r w:rsidRPr="00AE6E3D">
        <w:t xml:space="preserve"> aument</w:t>
      </w:r>
      <w:r>
        <w:t>and</w:t>
      </w:r>
      <w:r w:rsidRPr="00AE6E3D">
        <w:t>o</w:t>
      </w:r>
      <w:r>
        <w:t xml:space="preserve"> y</w:t>
      </w:r>
      <w:r w:rsidRPr="00AE6E3D">
        <w:t xml:space="preserve"> pas</w:t>
      </w:r>
      <w:r>
        <w:t>ó</w:t>
      </w:r>
      <w:r w:rsidRPr="00AE6E3D">
        <w:t xml:space="preserve"> del 7,7 al 9,1%</w:t>
      </w:r>
      <w:r>
        <w:t xml:space="preserve">.  </w:t>
      </w:r>
      <w:r w:rsidRPr="00AE6E3D">
        <w:t>El porcentaje de</w:t>
      </w:r>
      <w:r>
        <w:t>l</w:t>
      </w:r>
      <w:r w:rsidRPr="00AE6E3D">
        <w:t xml:space="preserve"> gasto de la seguridad social </w:t>
      </w:r>
      <w:r>
        <w:t xml:space="preserve">dedicado a </w:t>
      </w:r>
      <w:r w:rsidRPr="00AE6E3D">
        <w:t xml:space="preserve">la salud </w:t>
      </w:r>
      <w:r>
        <w:t>pasó</w:t>
      </w:r>
      <w:r w:rsidRPr="00AE6E3D">
        <w:t xml:space="preserve"> del 40,8% en 1999</w:t>
      </w:r>
      <w:r>
        <w:t xml:space="preserve"> al</w:t>
      </w:r>
      <w:r w:rsidRPr="00AE6E3D">
        <w:t xml:space="preserve"> 45,1% en 2005</w:t>
      </w:r>
      <w:r>
        <w:t xml:space="preserve">.  </w:t>
      </w:r>
      <w:r w:rsidRPr="00AE6E3D">
        <w:t>En la sección del presente informe relativa a la aplicación del artículo 12 del Pacto figura más información al respecto</w:t>
      </w:r>
      <w:r>
        <w:t>.</w:t>
      </w:r>
    </w:p>
    <w:p w:rsidR="00DD0682" w:rsidRPr="00AE6E3D" w:rsidRDefault="00DD0682" w:rsidP="00DD0682">
      <w:pPr>
        <w:spacing w:after="240"/>
      </w:pPr>
      <w:r w:rsidRPr="00AE6E3D">
        <w:t>101</w:t>
      </w:r>
      <w:r>
        <w:t>.</w:t>
      </w:r>
      <w:r>
        <w:tab/>
      </w:r>
      <w:r w:rsidRPr="00AE6E3D">
        <w:t>En relación con la supresión de l</w:t>
      </w:r>
      <w:r>
        <w:t>a</w:t>
      </w:r>
      <w:r w:rsidRPr="00AE6E3D">
        <w:t>s sub</w:t>
      </w:r>
      <w:r>
        <w:t>venciones</w:t>
      </w:r>
      <w:r w:rsidRPr="00AE6E3D">
        <w:t xml:space="preserve"> a l</w:t>
      </w:r>
      <w:r>
        <w:t>o</w:t>
      </w:r>
      <w:r w:rsidRPr="00AE6E3D">
        <w:t>s medic</w:t>
      </w:r>
      <w:r>
        <w:t>amentos</w:t>
      </w:r>
      <w:r w:rsidRPr="00AE6E3D">
        <w:t>, cabe mencionar que</w:t>
      </w:r>
      <w:r>
        <w:t>,</w:t>
      </w:r>
      <w:r w:rsidRPr="00AE6E3D">
        <w:t xml:space="preserve"> en el marco de la transición de</w:t>
      </w:r>
      <w:r>
        <w:t xml:space="preserve"> un</w:t>
      </w:r>
      <w:r w:rsidRPr="00AE6E3D">
        <w:t xml:space="preserve"> sistema de monopolios a una economía de mercado, se han ido </w:t>
      </w:r>
      <w:r>
        <w:t>suprimiendo</w:t>
      </w:r>
      <w:r w:rsidRPr="00AE6E3D">
        <w:t xml:space="preserve"> todas las subvenciones </w:t>
      </w:r>
      <w:r>
        <w:t xml:space="preserve">de </w:t>
      </w:r>
      <w:r w:rsidRPr="00AE6E3D">
        <w:t xml:space="preserve">que se </w:t>
      </w:r>
      <w:r>
        <w:t>beneficiaban</w:t>
      </w:r>
      <w:r w:rsidRPr="00AE6E3D">
        <w:t xml:space="preserve"> los diferentes productos</w:t>
      </w:r>
      <w:r>
        <w:t xml:space="preserve">.  </w:t>
      </w:r>
      <w:r w:rsidRPr="00AE6E3D">
        <w:t xml:space="preserve">Se han implantado nuevas modalidades de financiación que implican el establecimiento de relaciones contractuales entre los </w:t>
      </w:r>
      <w:r>
        <w:t>interlocutores</w:t>
      </w:r>
      <w:r w:rsidRPr="00AE6E3D">
        <w:t xml:space="preserve"> del Ministerio de Salud, los encargados de la reforma hospitalaria y la población (</w:t>
      </w:r>
      <w:r>
        <w:t>Caja</w:t>
      </w:r>
      <w:r w:rsidRPr="00AE6E3D">
        <w:t xml:space="preserve"> Nacional de la Seguridad Social)</w:t>
      </w:r>
      <w:r>
        <w:t xml:space="preserve">.  </w:t>
      </w:r>
    </w:p>
    <w:p w:rsidR="00DD0682" w:rsidRPr="00AE6E3D" w:rsidRDefault="00DD0682" w:rsidP="00DD0682">
      <w:pPr>
        <w:spacing w:after="240"/>
      </w:pPr>
      <w:r w:rsidRPr="00AE6E3D">
        <w:t>102</w:t>
      </w:r>
      <w:r>
        <w:t>.</w:t>
      </w:r>
      <w:r>
        <w:tab/>
        <w:t>En ese nuevo marco,</w:t>
      </w:r>
      <w:r w:rsidRPr="00AE6E3D">
        <w:t xml:space="preserve"> el paciente sólo contribuye con un pago simbólico (1,3 dólares de los</w:t>
      </w:r>
      <w:r>
        <w:t> </w:t>
      </w:r>
      <w:r w:rsidRPr="00AE6E3D">
        <w:t>EE.UU</w:t>
      </w:r>
      <w:r>
        <w:t xml:space="preserve">. </w:t>
      </w:r>
      <w:r w:rsidRPr="00AE6E3D">
        <w:t xml:space="preserve">por día) a los </w:t>
      </w:r>
      <w:r>
        <w:t>gastos</w:t>
      </w:r>
      <w:r w:rsidRPr="00AE6E3D">
        <w:t xml:space="preserve"> de hospitalización</w:t>
      </w:r>
      <w:r>
        <w:t xml:space="preserve">.  </w:t>
      </w:r>
      <w:r w:rsidRPr="00AE6E3D">
        <w:t xml:space="preserve">Todos los </w:t>
      </w:r>
      <w:r>
        <w:t>actos</w:t>
      </w:r>
      <w:r w:rsidRPr="00AE6E3D">
        <w:t xml:space="preserve"> médicos </w:t>
      </w:r>
      <w:r>
        <w:t>e intervenciones</w:t>
      </w:r>
      <w:r w:rsidRPr="00AE6E3D">
        <w:t xml:space="preserve"> quirúrgic</w:t>
      </w:r>
      <w:r>
        <w:t>a</w:t>
      </w:r>
      <w:r w:rsidRPr="00AE6E3D">
        <w:t xml:space="preserve">s están cubiertos por </w:t>
      </w:r>
      <w:r>
        <w:t>la Caja</w:t>
      </w:r>
      <w:r w:rsidRPr="00AE6E3D">
        <w:t xml:space="preserve"> Nacional de la Seguridad Social, que financia el 45% de </w:t>
      </w:r>
      <w:r>
        <w:t xml:space="preserve">los </w:t>
      </w:r>
      <w:r w:rsidRPr="00AE6E3D">
        <w:t>gasto</w:t>
      </w:r>
      <w:r>
        <w:t xml:space="preserve"> en</w:t>
      </w:r>
      <w:r w:rsidRPr="00AE6E3D">
        <w:t xml:space="preserve"> salud</w:t>
      </w:r>
      <w:r>
        <w:t>.</w:t>
      </w:r>
    </w:p>
    <w:p w:rsidR="00DD0682" w:rsidRPr="00AE6E3D" w:rsidRDefault="00DD0682" w:rsidP="00DD0682">
      <w:pPr>
        <w:spacing w:after="240"/>
      </w:pPr>
      <w:r w:rsidRPr="00AE6E3D">
        <w:t>103</w:t>
      </w:r>
      <w:r>
        <w:t>.</w:t>
      </w:r>
      <w:r>
        <w:tab/>
      </w:r>
      <w:r w:rsidRPr="00AE6E3D">
        <w:t>En virtud de</w:t>
      </w:r>
      <w:r>
        <w:t xml:space="preserve"> </w:t>
      </w:r>
      <w:r w:rsidRPr="00AE6E3D">
        <w:t>l</w:t>
      </w:r>
      <w:r>
        <w:t>os</w:t>
      </w:r>
      <w:r w:rsidRPr="00AE6E3D">
        <w:t xml:space="preserve"> Decreto</w:t>
      </w:r>
      <w:r>
        <w:t>s</w:t>
      </w:r>
      <w:r w:rsidRPr="00AE6E3D">
        <w:t xml:space="preserve"> ejecutivo</w:t>
      </w:r>
      <w:r>
        <w:t>s Nos.</w:t>
      </w:r>
      <w:r w:rsidRPr="00AE6E3D">
        <w:t xml:space="preserve"> 01-12, de 21 de enero de 2001, y 04-101, de</w:t>
      </w:r>
      <w:r>
        <w:t> </w:t>
      </w:r>
      <w:r w:rsidRPr="00AE6E3D">
        <w:t>1º</w:t>
      </w:r>
      <w:r>
        <w:t> </w:t>
      </w:r>
      <w:r w:rsidRPr="00AE6E3D">
        <w:t xml:space="preserve">de abril de 2004, el Estado corre a cargo de los gastos de los pacientes pobres </w:t>
      </w:r>
      <w:r>
        <w:t>no cubiertos por la seguridad social</w:t>
      </w:r>
      <w:r w:rsidRPr="00AE6E3D">
        <w:t>.</w:t>
      </w:r>
    </w:p>
    <w:p w:rsidR="00DD0682" w:rsidRPr="00555FC0" w:rsidRDefault="00DD0682" w:rsidP="00DD0682">
      <w:pPr>
        <w:spacing w:after="240"/>
        <w:rPr>
          <w:b/>
        </w:rPr>
      </w:pPr>
      <w:r w:rsidRPr="00555FC0">
        <w:rPr>
          <w:b/>
        </w:rPr>
        <w:t>Respuesta 12</w:t>
      </w:r>
      <w:r w:rsidRPr="00555FC0">
        <w:rPr>
          <w:b/>
          <w:vertAlign w:val="superscript"/>
        </w:rPr>
        <w:footnoteReference w:id="13"/>
      </w:r>
    </w:p>
    <w:p w:rsidR="00DD0682" w:rsidRPr="00AE6E3D" w:rsidRDefault="00DD0682" w:rsidP="00DD0682">
      <w:pPr>
        <w:spacing w:after="240"/>
      </w:pPr>
      <w:r w:rsidRPr="00AE6E3D">
        <w:t>104</w:t>
      </w:r>
      <w:r>
        <w:t>.</w:t>
      </w:r>
      <w:r>
        <w:tab/>
      </w:r>
      <w:r w:rsidRPr="00AE6E3D">
        <w:t xml:space="preserve">Véase la sección del presente informe </w:t>
      </w:r>
      <w:r>
        <w:t>relativa</w:t>
      </w:r>
      <w:r w:rsidRPr="00AE6E3D">
        <w:t xml:space="preserve"> a la aplicación del artículo 12 del Pacto (párrs</w:t>
      </w:r>
      <w:r>
        <w:t>.</w:t>
      </w:r>
      <w:r w:rsidRPr="00AE6E3D">
        <w:t xml:space="preserve"> 273 a 292).</w:t>
      </w:r>
    </w:p>
    <w:p w:rsidR="00DD0682" w:rsidRPr="00555FC0" w:rsidRDefault="00DD0682" w:rsidP="00DD0682">
      <w:pPr>
        <w:spacing w:after="240"/>
        <w:rPr>
          <w:b/>
        </w:rPr>
      </w:pPr>
      <w:r w:rsidRPr="00555FC0">
        <w:rPr>
          <w:b/>
        </w:rPr>
        <w:t>Respuesta 13</w:t>
      </w:r>
      <w:r w:rsidRPr="00555FC0">
        <w:rPr>
          <w:b/>
          <w:vertAlign w:val="superscript"/>
        </w:rPr>
        <w:footnoteReference w:id="14"/>
      </w:r>
    </w:p>
    <w:p w:rsidR="00DD0682" w:rsidRPr="00AE6E3D" w:rsidRDefault="00DD0682" w:rsidP="00DD0682">
      <w:pPr>
        <w:spacing w:after="240"/>
      </w:pPr>
      <w:r w:rsidRPr="00AE6E3D">
        <w:t>105</w:t>
      </w:r>
      <w:r>
        <w:t>.</w:t>
      </w:r>
      <w:r>
        <w:tab/>
      </w:r>
      <w:r w:rsidRPr="00AE6E3D">
        <w:t xml:space="preserve">La última encuesta estadística realizada por el Ministerio de Educación </w:t>
      </w:r>
      <w:r>
        <w:t xml:space="preserve">Nacional </w:t>
      </w:r>
      <w:r w:rsidRPr="00AE6E3D">
        <w:t>en</w:t>
      </w:r>
      <w:r>
        <w:t> </w:t>
      </w:r>
      <w:r w:rsidRPr="00AE6E3D">
        <w:t>2005</w:t>
      </w:r>
      <w:r>
        <w:t>/06</w:t>
      </w:r>
      <w:r w:rsidRPr="00AE6E3D">
        <w:t xml:space="preserve"> muestra una reducción de la tasa de deserción escolar, que pasó</w:t>
      </w:r>
      <w:r>
        <w:t>:</w:t>
      </w:r>
    </w:p>
    <w:p w:rsidR="00DD0682" w:rsidRPr="00AE6E3D" w:rsidRDefault="00DD0682" w:rsidP="00DD0682">
      <w:pPr>
        <w:spacing w:after="240"/>
        <w:ind w:left="924" w:hanging="357"/>
      </w:pPr>
      <w:r>
        <w:t>-</w:t>
      </w:r>
      <w:r>
        <w:tab/>
        <w:t>Del</w:t>
      </w:r>
      <w:r w:rsidRPr="00AE6E3D">
        <w:t xml:space="preserve"> 7,73% en 1999</w:t>
      </w:r>
      <w:r>
        <w:t>/</w:t>
      </w:r>
      <w:r w:rsidRPr="00AE6E3D">
        <w:t>00 al 6,36% en 2005</w:t>
      </w:r>
      <w:r>
        <w:t>/</w:t>
      </w:r>
      <w:r w:rsidRPr="00AE6E3D">
        <w:t>06</w:t>
      </w:r>
      <w:r>
        <w:t xml:space="preserve"> al final del ciclo primario</w:t>
      </w:r>
      <w:r w:rsidRPr="00AE6E3D">
        <w:t>;</w:t>
      </w:r>
    </w:p>
    <w:p w:rsidR="00DD0682" w:rsidRPr="00AE6E3D" w:rsidRDefault="00DD0682" w:rsidP="00DD0682">
      <w:pPr>
        <w:spacing w:after="240"/>
        <w:ind w:left="924" w:hanging="357"/>
      </w:pPr>
      <w:r>
        <w:t>-</w:t>
      </w:r>
      <w:r>
        <w:tab/>
        <w:t xml:space="preserve">Del </w:t>
      </w:r>
      <w:r w:rsidRPr="00AE6E3D">
        <w:t>23,40% en 1999</w:t>
      </w:r>
      <w:r>
        <w:t>/</w:t>
      </w:r>
      <w:r w:rsidRPr="00AE6E3D">
        <w:t>00 al 19,81% en 2005</w:t>
      </w:r>
      <w:r>
        <w:t>/</w:t>
      </w:r>
      <w:r w:rsidRPr="00AE6E3D">
        <w:t xml:space="preserve">06, </w:t>
      </w:r>
      <w:r>
        <w:t>al final del ciclo intermedio</w:t>
      </w:r>
      <w:r w:rsidRPr="00AE6E3D">
        <w:t>; y</w:t>
      </w:r>
    </w:p>
    <w:p w:rsidR="00DD0682" w:rsidRPr="00AE6E3D" w:rsidRDefault="00DD0682" w:rsidP="00DD0682">
      <w:pPr>
        <w:spacing w:after="240"/>
        <w:ind w:left="924" w:hanging="357"/>
      </w:pPr>
      <w:r>
        <w:t>-</w:t>
      </w:r>
      <w:r>
        <w:tab/>
        <w:t>Del</w:t>
      </w:r>
      <w:r w:rsidRPr="00AE6E3D">
        <w:t xml:space="preserve"> 30,03% en 1999</w:t>
      </w:r>
      <w:r>
        <w:t>/00</w:t>
      </w:r>
      <w:r w:rsidRPr="00AE6E3D">
        <w:t xml:space="preserve"> al 25,16% en 2005</w:t>
      </w:r>
      <w:r>
        <w:t>/</w:t>
      </w:r>
      <w:r w:rsidRPr="00AE6E3D">
        <w:t xml:space="preserve">06, </w:t>
      </w:r>
      <w:r>
        <w:t>al final del ciclo secundario.</w:t>
      </w:r>
    </w:p>
    <w:p w:rsidR="00DD0682" w:rsidRPr="00AE6E3D" w:rsidRDefault="00DD0682" w:rsidP="00DD0682">
      <w:pPr>
        <w:adjustRightInd w:val="0"/>
        <w:snapToGrid w:val="0"/>
        <w:spacing w:after="480"/>
      </w:pPr>
      <w:r w:rsidRPr="00AE6E3D">
        <w:t>106</w:t>
      </w:r>
      <w:r>
        <w:t>.</w:t>
      </w:r>
      <w:r>
        <w:tab/>
        <w:t>Consciente de</w:t>
      </w:r>
      <w:r w:rsidRPr="00AE6E3D">
        <w:t xml:space="preserve"> la importancia del problema, el Ministerio de Educación </w:t>
      </w:r>
      <w:r>
        <w:t xml:space="preserve">Nacional </w:t>
      </w:r>
      <w:r w:rsidRPr="00AE6E3D">
        <w:t xml:space="preserve">incluye </w:t>
      </w:r>
      <w:r>
        <w:t xml:space="preserve">la lucha contra </w:t>
      </w:r>
      <w:r w:rsidRPr="00AE6E3D">
        <w:t xml:space="preserve">la deserción escolar entre las cuestiones que </w:t>
      </w:r>
      <w:r>
        <w:t xml:space="preserve">requieren </w:t>
      </w:r>
      <w:r w:rsidRPr="00AE6E3D">
        <w:t>una atención prioritaria</w:t>
      </w:r>
      <w:r>
        <w:t xml:space="preserve">.  </w:t>
      </w:r>
      <w:r w:rsidRPr="00AE6E3D">
        <w:t>Por</w:t>
      </w:r>
      <w:r>
        <w:t> </w:t>
      </w:r>
      <w:r w:rsidRPr="00AE6E3D">
        <w:t xml:space="preserve">esa razón, ha adoptado medidas </w:t>
      </w:r>
      <w:r>
        <w:t>de apoyo a</w:t>
      </w:r>
      <w:r w:rsidRPr="00AE6E3D">
        <w:t xml:space="preserve"> la escolarización, particular</w:t>
      </w:r>
      <w:r>
        <w:t>mente</w:t>
      </w:r>
      <w:r w:rsidRPr="00AE6E3D">
        <w:t xml:space="preserve"> de las niñas</w:t>
      </w:r>
      <w:r>
        <w:t xml:space="preserve"> y en </w:t>
      </w:r>
      <w:r w:rsidRPr="00AE6E3D">
        <w:t xml:space="preserve">las regiones y </w:t>
      </w:r>
      <w:r>
        <w:t xml:space="preserve">para </w:t>
      </w:r>
      <w:r w:rsidRPr="00AE6E3D">
        <w:t>los grupos de población más des</w:t>
      </w:r>
      <w:r>
        <w:t xml:space="preserve">favorecidos.  </w:t>
      </w:r>
      <w:r w:rsidRPr="00AE6E3D">
        <w:t xml:space="preserve">En las secciones del presente informe </w:t>
      </w:r>
      <w:r>
        <w:t>relativas</w:t>
      </w:r>
      <w:r w:rsidRPr="00AE6E3D">
        <w:t xml:space="preserve"> a la aplicación de los artículos 13 y 14 del Pacto figura más información al respecto.</w:t>
      </w:r>
    </w:p>
    <w:p w:rsidR="00DD0682" w:rsidRPr="007376D8" w:rsidRDefault="00DD0682" w:rsidP="00DD0682">
      <w:pPr>
        <w:spacing w:after="240"/>
        <w:jc w:val="center"/>
        <w:rPr>
          <w:b/>
          <w:szCs w:val="28"/>
        </w:rPr>
      </w:pPr>
      <w:r w:rsidRPr="007376D8">
        <w:rPr>
          <w:b/>
          <w:szCs w:val="28"/>
        </w:rPr>
        <w:t>Segunda parte</w:t>
      </w:r>
    </w:p>
    <w:p w:rsidR="00DD0682" w:rsidRPr="007376D8" w:rsidRDefault="00DD0682" w:rsidP="00DD0682">
      <w:pPr>
        <w:spacing w:after="240"/>
        <w:jc w:val="center"/>
        <w:rPr>
          <w:b/>
          <w:szCs w:val="28"/>
        </w:rPr>
      </w:pPr>
      <w:r w:rsidRPr="007376D8">
        <w:rPr>
          <w:b/>
          <w:szCs w:val="28"/>
        </w:rPr>
        <w:t>INFORMACIÓN RELATIVA A LAS DISPOSICIONES</w:t>
      </w:r>
      <w:r>
        <w:rPr>
          <w:b/>
          <w:szCs w:val="28"/>
        </w:rPr>
        <w:br/>
      </w:r>
      <w:r w:rsidRPr="007376D8">
        <w:rPr>
          <w:b/>
          <w:szCs w:val="28"/>
        </w:rPr>
        <w:t>DE FONDO DEL PACTO</w:t>
      </w:r>
    </w:p>
    <w:p w:rsidR="00DD0682" w:rsidRPr="007376D8" w:rsidRDefault="00DD0682" w:rsidP="00DD0682">
      <w:pPr>
        <w:spacing w:after="240"/>
        <w:rPr>
          <w:b/>
          <w:bCs/>
          <w:szCs w:val="28"/>
        </w:rPr>
      </w:pPr>
      <w:r w:rsidRPr="007376D8">
        <w:rPr>
          <w:b/>
          <w:bCs/>
          <w:szCs w:val="28"/>
        </w:rPr>
        <w:t xml:space="preserve">Artículo 1.  Derecho de libre determinación de los pueblos </w:t>
      </w:r>
    </w:p>
    <w:p w:rsidR="00DD0682" w:rsidRPr="00AE6E3D" w:rsidRDefault="00DD0682" w:rsidP="00DD0682">
      <w:pPr>
        <w:spacing w:after="240"/>
        <w:rPr>
          <w:szCs w:val="28"/>
        </w:rPr>
      </w:pPr>
      <w:r w:rsidRPr="00AE6E3D">
        <w:rPr>
          <w:szCs w:val="28"/>
        </w:rPr>
        <w:t>107</w:t>
      </w:r>
      <w:r>
        <w:rPr>
          <w:szCs w:val="28"/>
        </w:rPr>
        <w:t>.</w:t>
      </w:r>
      <w:r>
        <w:rPr>
          <w:szCs w:val="28"/>
        </w:rPr>
        <w:tab/>
      </w:r>
      <w:r w:rsidRPr="00AE6E3D">
        <w:rPr>
          <w:szCs w:val="28"/>
        </w:rPr>
        <w:t xml:space="preserve">Por haber sufrido los efectos del colonialismo y </w:t>
      </w:r>
      <w:r>
        <w:rPr>
          <w:szCs w:val="28"/>
        </w:rPr>
        <w:t>librado una guerra de</w:t>
      </w:r>
      <w:r w:rsidRPr="00AE6E3D">
        <w:rPr>
          <w:szCs w:val="28"/>
        </w:rPr>
        <w:t xml:space="preserve"> liberación nacional, la Argelia independiente se ha volcado sin reservas en el apoyo a los movimientos de liberación y a los pueblos que luchan para recuperar su independencia</w:t>
      </w:r>
      <w:r>
        <w:rPr>
          <w:szCs w:val="28"/>
        </w:rPr>
        <w:t xml:space="preserve">.  </w:t>
      </w:r>
      <w:r w:rsidRPr="00AE6E3D">
        <w:rPr>
          <w:szCs w:val="28"/>
        </w:rPr>
        <w:t>Esa ayuda y ese respaldo se han plasmado en las diferentes Constituciones del país como principios constitucionales</w:t>
      </w:r>
      <w:r>
        <w:rPr>
          <w:szCs w:val="28"/>
        </w:rPr>
        <w:t xml:space="preserve">.  </w:t>
      </w:r>
      <w:r w:rsidRPr="00AE6E3D">
        <w:rPr>
          <w:szCs w:val="28"/>
        </w:rPr>
        <w:t>La</w:t>
      </w:r>
      <w:r>
        <w:rPr>
          <w:szCs w:val="28"/>
        </w:rPr>
        <w:t> </w:t>
      </w:r>
      <w:r w:rsidRPr="00AE6E3D">
        <w:rPr>
          <w:szCs w:val="28"/>
        </w:rPr>
        <w:t xml:space="preserve">Constitución actual dispone así que </w:t>
      </w:r>
      <w:r>
        <w:rPr>
          <w:szCs w:val="28"/>
        </w:rPr>
        <w:t>"</w:t>
      </w:r>
      <w:r w:rsidRPr="00AE6E3D">
        <w:rPr>
          <w:szCs w:val="28"/>
        </w:rPr>
        <w:t>Argelia es solidaria con todos los pueblos que luchan por la liberación política y económica, por el derecho a la libre determinación y contra todo tipo de discriminación racial</w:t>
      </w:r>
      <w:r>
        <w:rPr>
          <w:szCs w:val="28"/>
        </w:rPr>
        <w:t>"</w:t>
      </w:r>
      <w:r w:rsidRPr="00AE6E3D">
        <w:rPr>
          <w:szCs w:val="28"/>
        </w:rPr>
        <w:t xml:space="preserve"> (art</w:t>
      </w:r>
      <w:r>
        <w:rPr>
          <w:szCs w:val="28"/>
        </w:rPr>
        <w:t xml:space="preserve">. </w:t>
      </w:r>
      <w:r w:rsidRPr="00AE6E3D">
        <w:rPr>
          <w:szCs w:val="28"/>
        </w:rPr>
        <w:t>27)</w:t>
      </w:r>
      <w:r>
        <w:rPr>
          <w:szCs w:val="28"/>
        </w:rPr>
        <w:t>.</w:t>
      </w:r>
    </w:p>
    <w:p w:rsidR="00DD0682" w:rsidRPr="00AE6E3D" w:rsidRDefault="00DD0682" w:rsidP="00DD0682">
      <w:pPr>
        <w:spacing w:after="240"/>
        <w:rPr>
          <w:szCs w:val="28"/>
        </w:rPr>
      </w:pPr>
      <w:r w:rsidRPr="00AE6E3D">
        <w:rPr>
          <w:szCs w:val="28"/>
        </w:rPr>
        <w:t>108</w:t>
      </w:r>
      <w:r>
        <w:rPr>
          <w:szCs w:val="28"/>
        </w:rPr>
        <w:t>.</w:t>
      </w:r>
      <w:r>
        <w:rPr>
          <w:szCs w:val="28"/>
        </w:rPr>
        <w:tab/>
      </w:r>
      <w:r w:rsidRPr="00AE6E3D">
        <w:rPr>
          <w:szCs w:val="28"/>
        </w:rPr>
        <w:t xml:space="preserve">La diplomacia argelina trabaja invariablemente </w:t>
      </w:r>
      <w:r>
        <w:rPr>
          <w:szCs w:val="28"/>
        </w:rPr>
        <w:t>"</w:t>
      </w:r>
      <w:r w:rsidRPr="00AE6E3D">
        <w:rPr>
          <w:szCs w:val="28"/>
        </w:rPr>
        <w:t xml:space="preserve">en pro del fortalecimiento de la cooperación internacional y </w:t>
      </w:r>
      <w:r>
        <w:rPr>
          <w:szCs w:val="28"/>
        </w:rPr>
        <w:t>d</w:t>
      </w:r>
      <w:r w:rsidRPr="00AE6E3D">
        <w:rPr>
          <w:szCs w:val="28"/>
        </w:rPr>
        <w:t>el desarrollo de relaciones amistosas entre los Estados, sobre la base de la igualdad, el interés mutuo y la no injerencia en los asuntos internos</w:t>
      </w:r>
      <w:r>
        <w:rPr>
          <w:szCs w:val="28"/>
        </w:rPr>
        <w:t>"</w:t>
      </w:r>
      <w:r w:rsidRPr="00AE6E3D">
        <w:rPr>
          <w:szCs w:val="28"/>
        </w:rPr>
        <w:t xml:space="preserve"> (art</w:t>
      </w:r>
      <w:r>
        <w:rPr>
          <w:szCs w:val="28"/>
        </w:rPr>
        <w:t xml:space="preserve">. </w:t>
      </w:r>
      <w:r w:rsidRPr="00AE6E3D">
        <w:rPr>
          <w:szCs w:val="28"/>
        </w:rPr>
        <w:t>28)</w:t>
      </w:r>
      <w:r>
        <w:rPr>
          <w:szCs w:val="28"/>
        </w:rPr>
        <w:t xml:space="preserve">.  </w:t>
      </w:r>
      <w:r w:rsidRPr="00AE6E3D">
        <w:rPr>
          <w:szCs w:val="28"/>
        </w:rPr>
        <w:t>Se</w:t>
      </w:r>
      <w:r>
        <w:rPr>
          <w:szCs w:val="28"/>
        </w:rPr>
        <w:t> </w:t>
      </w:r>
      <w:r w:rsidRPr="00AE6E3D">
        <w:rPr>
          <w:szCs w:val="28"/>
        </w:rPr>
        <w:t xml:space="preserve">afirma explícitamente que los dirigentes del país deben abstenerse de </w:t>
      </w:r>
      <w:r>
        <w:rPr>
          <w:szCs w:val="28"/>
        </w:rPr>
        <w:t>"</w:t>
      </w:r>
      <w:r w:rsidRPr="00AE6E3D">
        <w:rPr>
          <w:szCs w:val="28"/>
        </w:rPr>
        <w:t>recurrir a la guerra para atentar contra la soberanía legítima y la libertad de otros pueblos</w:t>
      </w:r>
      <w:r>
        <w:rPr>
          <w:szCs w:val="28"/>
        </w:rPr>
        <w:t>"</w:t>
      </w:r>
      <w:r w:rsidRPr="00AE6E3D">
        <w:rPr>
          <w:szCs w:val="28"/>
        </w:rPr>
        <w:t xml:space="preserve"> (art</w:t>
      </w:r>
      <w:r>
        <w:rPr>
          <w:szCs w:val="28"/>
        </w:rPr>
        <w:t xml:space="preserve">. </w:t>
      </w:r>
      <w:r w:rsidRPr="00AE6E3D">
        <w:rPr>
          <w:szCs w:val="28"/>
        </w:rPr>
        <w:t>26)</w:t>
      </w:r>
      <w:r>
        <w:rPr>
          <w:szCs w:val="28"/>
        </w:rPr>
        <w:t>.</w:t>
      </w:r>
    </w:p>
    <w:p w:rsidR="00DD0682" w:rsidRPr="00AE6E3D" w:rsidRDefault="00DD0682" w:rsidP="00DD0682">
      <w:pPr>
        <w:spacing w:after="240"/>
        <w:rPr>
          <w:szCs w:val="28"/>
        </w:rPr>
      </w:pPr>
      <w:r w:rsidRPr="00AE6E3D">
        <w:rPr>
          <w:szCs w:val="28"/>
        </w:rPr>
        <w:t>109</w:t>
      </w:r>
      <w:r>
        <w:rPr>
          <w:szCs w:val="28"/>
        </w:rPr>
        <w:t>.</w:t>
      </w:r>
      <w:r>
        <w:rPr>
          <w:szCs w:val="28"/>
        </w:rPr>
        <w:tab/>
      </w:r>
      <w:r w:rsidRPr="00AE6E3D">
        <w:rPr>
          <w:szCs w:val="28"/>
        </w:rPr>
        <w:t>Estos elementos de la Constitución</w:t>
      </w:r>
      <w:r>
        <w:rPr>
          <w:szCs w:val="28"/>
        </w:rPr>
        <w:t>,</w:t>
      </w:r>
      <w:r w:rsidRPr="00AE6E3D">
        <w:rPr>
          <w:szCs w:val="28"/>
        </w:rPr>
        <w:t xml:space="preserve"> revisada</w:t>
      </w:r>
      <w:r>
        <w:rPr>
          <w:szCs w:val="28"/>
        </w:rPr>
        <w:t xml:space="preserve"> el</w:t>
      </w:r>
      <w:r w:rsidRPr="00AE6E3D">
        <w:rPr>
          <w:szCs w:val="28"/>
        </w:rPr>
        <w:t xml:space="preserve"> 28 de noviembre de 1996, han </w:t>
      </w:r>
      <w:r>
        <w:rPr>
          <w:szCs w:val="28"/>
        </w:rPr>
        <w:t>dado lugar a</w:t>
      </w:r>
      <w:r w:rsidRPr="00AE6E3D">
        <w:rPr>
          <w:szCs w:val="28"/>
        </w:rPr>
        <w:t xml:space="preserve"> la consagración del principio de solidaridad en el artículo 27, que debe aplicarse únicamente a los </w:t>
      </w:r>
      <w:r>
        <w:rPr>
          <w:szCs w:val="28"/>
        </w:rPr>
        <w:t xml:space="preserve">pueblos y </w:t>
      </w:r>
      <w:r w:rsidRPr="00AE6E3D">
        <w:rPr>
          <w:szCs w:val="28"/>
        </w:rPr>
        <w:t>territorios coloniales a los que se refiere la resolución 1514 (XV), de 14 de diciembre de 1960, de la Asamblea General de las Naciones Unidas</w:t>
      </w:r>
      <w:r>
        <w:rPr>
          <w:szCs w:val="28"/>
        </w:rPr>
        <w:t xml:space="preserve">.  </w:t>
      </w:r>
      <w:r w:rsidRPr="00AE6E3D">
        <w:rPr>
          <w:szCs w:val="28"/>
        </w:rPr>
        <w:t>En este marco, Argelia contin</w:t>
      </w:r>
      <w:r>
        <w:rPr>
          <w:szCs w:val="28"/>
        </w:rPr>
        <w:t>úa</w:t>
      </w:r>
      <w:r w:rsidRPr="00AE6E3D">
        <w:rPr>
          <w:szCs w:val="28"/>
        </w:rPr>
        <w:t xml:space="preserve"> </w:t>
      </w:r>
      <w:r>
        <w:rPr>
          <w:szCs w:val="28"/>
        </w:rPr>
        <w:t>prestando</w:t>
      </w:r>
      <w:r w:rsidRPr="00AE6E3D">
        <w:rPr>
          <w:szCs w:val="28"/>
        </w:rPr>
        <w:t xml:space="preserve"> ayuda a los pueblos que luchan por su liberación nacional</w:t>
      </w:r>
      <w:r>
        <w:rPr>
          <w:szCs w:val="28"/>
        </w:rPr>
        <w:t>,</w:t>
      </w:r>
      <w:r w:rsidRPr="00AE6E3D">
        <w:rPr>
          <w:szCs w:val="28"/>
        </w:rPr>
        <w:t xml:space="preserve"> especialmente a los pueblos de Palestina y el Sáhara occidental</w:t>
      </w:r>
      <w:r>
        <w:rPr>
          <w:szCs w:val="28"/>
        </w:rPr>
        <w:t xml:space="preserve">.  </w:t>
      </w:r>
      <w:r w:rsidRPr="00AE6E3D">
        <w:rPr>
          <w:szCs w:val="28"/>
        </w:rPr>
        <w:t>El Gobierno de Argelia prosigue de modo paralelo su política activa y decidida de apoyo a las medidas tendientes a combatir, en el plano internacional, todas las formas de discriminación política, racial o religiosa</w:t>
      </w:r>
      <w:r>
        <w:rPr>
          <w:szCs w:val="28"/>
        </w:rPr>
        <w:t xml:space="preserve">.  </w:t>
      </w:r>
    </w:p>
    <w:p w:rsidR="00DD0682" w:rsidRPr="000B7681" w:rsidRDefault="00DD0682" w:rsidP="00DD0682">
      <w:pPr>
        <w:spacing w:after="240"/>
        <w:rPr>
          <w:b/>
          <w:bCs/>
          <w:szCs w:val="28"/>
        </w:rPr>
      </w:pPr>
      <w:r w:rsidRPr="000B7681">
        <w:rPr>
          <w:b/>
          <w:bCs/>
          <w:szCs w:val="28"/>
        </w:rPr>
        <w:t>Artículo 2</w:t>
      </w:r>
      <w:r>
        <w:rPr>
          <w:b/>
          <w:bCs/>
          <w:szCs w:val="28"/>
        </w:rPr>
        <w:t>.</w:t>
      </w:r>
      <w:r w:rsidRPr="000B7681">
        <w:rPr>
          <w:b/>
          <w:bCs/>
          <w:szCs w:val="28"/>
        </w:rPr>
        <w:t xml:space="preserve">  Obligaciones de los Estados partes</w:t>
      </w:r>
    </w:p>
    <w:p w:rsidR="00DD0682" w:rsidRPr="00AE6E3D" w:rsidRDefault="00DD0682" w:rsidP="00DD0682">
      <w:pPr>
        <w:spacing w:after="240"/>
        <w:rPr>
          <w:szCs w:val="28"/>
        </w:rPr>
      </w:pPr>
      <w:r w:rsidRPr="00AE6E3D">
        <w:rPr>
          <w:szCs w:val="28"/>
        </w:rPr>
        <w:t>110</w:t>
      </w:r>
      <w:r>
        <w:rPr>
          <w:szCs w:val="28"/>
        </w:rPr>
        <w:t>.</w:t>
      </w:r>
      <w:r>
        <w:rPr>
          <w:szCs w:val="28"/>
        </w:rPr>
        <w:tab/>
      </w:r>
      <w:r w:rsidRPr="00AE6E3D">
        <w:rPr>
          <w:szCs w:val="28"/>
        </w:rPr>
        <w:t xml:space="preserve">Desde </w:t>
      </w:r>
      <w:r>
        <w:rPr>
          <w:szCs w:val="28"/>
        </w:rPr>
        <w:t>su</w:t>
      </w:r>
      <w:r w:rsidRPr="00AE6E3D">
        <w:rPr>
          <w:szCs w:val="28"/>
        </w:rPr>
        <w:t xml:space="preserve"> independencia</w:t>
      </w:r>
      <w:r>
        <w:rPr>
          <w:szCs w:val="28"/>
        </w:rPr>
        <w:t>,</w:t>
      </w:r>
      <w:r w:rsidRPr="00AE6E3D">
        <w:rPr>
          <w:szCs w:val="28"/>
        </w:rPr>
        <w:t xml:space="preserve"> Argelia ha respetado escrupulosamente el principio de la no discriminación entre los ciudadanos y respecto de los extranjeros</w:t>
      </w:r>
      <w:r>
        <w:rPr>
          <w:szCs w:val="28"/>
        </w:rPr>
        <w:t xml:space="preserve">.  </w:t>
      </w:r>
      <w:r w:rsidRPr="00AE6E3D">
        <w:rPr>
          <w:szCs w:val="28"/>
        </w:rPr>
        <w:t xml:space="preserve">Ha facilitado esta norma el hecho de que tradicionalmente las prácticas relativas a la discriminación racial </w:t>
      </w:r>
      <w:r>
        <w:rPr>
          <w:szCs w:val="28"/>
        </w:rPr>
        <w:t xml:space="preserve">son desconocidas en </w:t>
      </w:r>
      <w:r w:rsidRPr="00AE6E3D">
        <w:rPr>
          <w:szCs w:val="28"/>
        </w:rPr>
        <w:t>la sociedad argelina.</w:t>
      </w:r>
    </w:p>
    <w:p w:rsidR="00DD0682" w:rsidRPr="00AE6E3D" w:rsidRDefault="00DD0682" w:rsidP="00DD0682">
      <w:pPr>
        <w:spacing w:after="240"/>
        <w:rPr>
          <w:szCs w:val="28"/>
        </w:rPr>
      </w:pPr>
      <w:r w:rsidRPr="00AE6E3D">
        <w:rPr>
          <w:szCs w:val="28"/>
        </w:rPr>
        <w:t>111</w:t>
      </w:r>
      <w:r>
        <w:rPr>
          <w:szCs w:val="28"/>
        </w:rPr>
        <w:t>.</w:t>
      </w:r>
      <w:r>
        <w:rPr>
          <w:szCs w:val="28"/>
        </w:rPr>
        <w:tab/>
      </w:r>
      <w:r w:rsidRPr="00AE6E3D">
        <w:rPr>
          <w:szCs w:val="28"/>
        </w:rPr>
        <w:t>En sus artículos 27 y 42 la Constitución prohíbe toda discriminación por motivos de raza, idioma o religión</w:t>
      </w:r>
      <w:r>
        <w:rPr>
          <w:szCs w:val="28"/>
        </w:rPr>
        <w:t xml:space="preserve">.  </w:t>
      </w:r>
      <w:r w:rsidRPr="00AE6E3D">
        <w:rPr>
          <w:szCs w:val="28"/>
        </w:rPr>
        <w:t>El Código Civil, el Código Penal, el Código de Procedimiento Penal, el Código Electoral y los diferentes códigos especiales (entre otros, de comercio, de información, de salud y de aduanas) están fundados en el principio de la igualdad entre los ciudadanos</w:t>
      </w:r>
      <w:r>
        <w:rPr>
          <w:szCs w:val="28"/>
        </w:rPr>
        <w:t xml:space="preserve">.  </w:t>
      </w:r>
      <w:r w:rsidRPr="00AE6E3D">
        <w:rPr>
          <w:szCs w:val="28"/>
        </w:rPr>
        <w:t>El</w:t>
      </w:r>
      <w:r>
        <w:rPr>
          <w:szCs w:val="28"/>
        </w:rPr>
        <w:t> </w:t>
      </w:r>
      <w:r w:rsidRPr="00AE6E3D">
        <w:rPr>
          <w:szCs w:val="28"/>
        </w:rPr>
        <w:t>Consejo Constitucional no ha considerado que ninguna de sus disposiciones atente contra el espíritu o la letra del Pacto Internacional de Derechos Económicos, Sociales y Culturales</w:t>
      </w:r>
      <w:r>
        <w:rPr>
          <w:szCs w:val="28"/>
        </w:rPr>
        <w:t xml:space="preserve">.  </w:t>
      </w:r>
      <w:r w:rsidRPr="00AE6E3D">
        <w:rPr>
          <w:szCs w:val="28"/>
        </w:rPr>
        <w:t xml:space="preserve">Conviene recordar que este Consejo </w:t>
      </w:r>
      <w:r>
        <w:rPr>
          <w:szCs w:val="28"/>
        </w:rPr>
        <w:t>se</w:t>
      </w:r>
      <w:r w:rsidRPr="00AE6E3D">
        <w:rPr>
          <w:szCs w:val="28"/>
        </w:rPr>
        <w:t xml:space="preserve"> encarga principalmente de:</w:t>
      </w:r>
    </w:p>
    <w:p w:rsidR="00DD0682" w:rsidRPr="00AE6E3D" w:rsidRDefault="00DD0682" w:rsidP="00DD0682">
      <w:pPr>
        <w:spacing w:after="240"/>
        <w:ind w:left="1134" w:hanging="567"/>
        <w:rPr>
          <w:szCs w:val="28"/>
        </w:rPr>
      </w:pPr>
      <w:r w:rsidRPr="00AE6E3D">
        <w:rPr>
          <w:szCs w:val="28"/>
        </w:rPr>
        <w:t>a)</w:t>
      </w:r>
      <w:r>
        <w:rPr>
          <w:szCs w:val="28"/>
        </w:rPr>
        <w:tab/>
        <w:t>Velar por que</w:t>
      </w:r>
      <w:r w:rsidRPr="00AE6E3D">
        <w:rPr>
          <w:szCs w:val="28"/>
        </w:rPr>
        <w:t xml:space="preserve"> las leyes </w:t>
      </w:r>
      <w:r>
        <w:rPr>
          <w:szCs w:val="28"/>
        </w:rPr>
        <w:t>se ajusten a</w:t>
      </w:r>
      <w:r w:rsidRPr="00AE6E3D">
        <w:rPr>
          <w:szCs w:val="28"/>
        </w:rPr>
        <w:t xml:space="preserve"> la Constitución y </w:t>
      </w:r>
      <w:r>
        <w:rPr>
          <w:szCs w:val="28"/>
        </w:rPr>
        <w:t>a</w:t>
      </w:r>
      <w:r w:rsidRPr="00AE6E3D">
        <w:rPr>
          <w:szCs w:val="28"/>
        </w:rPr>
        <w:t xml:space="preserve"> las convenciones internacionales firmadas por Argelia; </w:t>
      </w:r>
    </w:p>
    <w:p w:rsidR="00DD0682" w:rsidRPr="00AE6E3D" w:rsidRDefault="00DD0682" w:rsidP="00DD0682">
      <w:pPr>
        <w:spacing w:after="240"/>
        <w:ind w:left="1134" w:hanging="567"/>
        <w:rPr>
          <w:szCs w:val="28"/>
        </w:rPr>
      </w:pPr>
      <w:r w:rsidRPr="00AE6E3D">
        <w:rPr>
          <w:szCs w:val="28"/>
        </w:rPr>
        <w:t>b)</w:t>
      </w:r>
      <w:r>
        <w:rPr>
          <w:szCs w:val="28"/>
        </w:rPr>
        <w:tab/>
      </w:r>
      <w:r w:rsidRPr="00AE6E3D">
        <w:rPr>
          <w:szCs w:val="28"/>
        </w:rPr>
        <w:t xml:space="preserve">Censurar toda violación del principio de igualdad entre los ciudadanos; </w:t>
      </w:r>
    </w:p>
    <w:p w:rsidR="00DD0682" w:rsidRPr="00451864" w:rsidRDefault="00DD0682" w:rsidP="00DD0682">
      <w:pPr>
        <w:adjustRightInd w:val="0"/>
        <w:snapToGrid w:val="0"/>
        <w:spacing w:after="240"/>
        <w:ind w:left="1134" w:hanging="567"/>
        <w:rPr>
          <w:snapToGrid w:val="0"/>
        </w:rPr>
      </w:pPr>
      <w:r w:rsidRPr="00451864">
        <w:rPr>
          <w:snapToGrid w:val="0"/>
        </w:rPr>
        <w:t>c)</w:t>
      </w:r>
      <w:r>
        <w:rPr>
          <w:snapToGrid w:val="0"/>
        </w:rPr>
        <w:tab/>
      </w:r>
      <w:r w:rsidRPr="00451864">
        <w:rPr>
          <w:snapToGrid w:val="0"/>
        </w:rPr>
        <w:t>Verificar que las normas legislativas y reglamentarias aplicadas a los ciudadanos extranjeros sean compatibles con la Constitución y con las convenciones internacionales ratificadas por Argelia.</w:t>
      </w:r>
    </w:p>
    <w:p w:rsidR="00DD0682" w:rsidRPr="00451864" w:rsidRDefault="00DD0682" w:rsidP="00DD0682">
      <w:pPr>
        <w:adjustRightInd w:val="0"/>
        <w:snapToGrid w:val="0"/>
        <w:spacing w:after="240"/>
        <w:rPr>
          <w:snapToGrid w:val="0"/>
        </w:rPr>
      </w:pPr>
      <w:r w:rsidRPr="00451864">
        <w:rPr>
          <w:snapToGrid w:val="0"/>
        </w:rPr>
        <w:t>112.</w:t>
      </w:r>
      <w:r>
        <w:rPr>
          <w:snapToGrid w:val="0"/>
        </w:rPr>
        <w:tab/>
      </w:r>
      <w:r w:rsidRPr="00451864">
        <w:rPr>
          <w:snapToGrid w:val="0"/>
        </w:rPr>
        <w:t xml:space="preserve">Conviene también indicar que la adhesión de Argelia a los instrumentos internacionales de derechos humanos, incluido el Pacto Internacional de Derechos Económicos, Sociales y Culturales, </w:t>
      </w:r>
      <w:r>
        <w:rPr>
          <w:snapToGrid w:val="0"/>
        </w:rPr>
        <w:t>y</w:t>
      </w:r>
      <w:r w:rsidRPr="00451864">
        <w:rPr>
          <w:snapToGrid w:val="0"/>
        </w:rPr>
        <w:t xml:space="preserve"> la cooperación con los órganos convencionales y no convencionales han contribuido a una mejor percepción de los derechos humanos. </w:t>
      </w:r>
    </w:p>
    <w:p w:rsidR="00DD0682" w:rsidRPr="00451864" w:rsidRDefault="00DD0682" w:rsidP="00DD0682">
      <w:pPr>
        <w:adjustRightInd w:val="0"/>
        <w:snapToGrid w:val="0"/>
        <w:spacing w:after="240"/>
        <w:rPr>
          <w:b/>
          <w:bCs/>
          <w:snapToGrid w:val="0"/>
        </w:rPr>
      </w:pPr>
      <w:r w:rsidRPr="00451864">
        <w:rPr>
          <w:b/>
          <w:bCs/>
          <w:snapToGrid w:val="0"/>
        </w:rPr>
        <w:t>Artículo 3</w:t>
      </w:r>
      <w:r>
        <w:rPr>
          <w:b/>
          <w:bCs/>
          <w:snapToGrid w:val="0"/>
        </w:rPr>
        <w:t xml:space="preserve">. </w:t>
      </w:r>
      <w:r w:rsidRPr="00451864">
        <w:rPr>
          <w:b/>
          <w:bCs/>
          <w:snapToGrid w:val="0"/>
        </w:rPr>
        <w:t xml:space="preserve"> Igualdad de derechos entre hombres y mujeres</w:t>
      </w:r>
    </w:p>
    <w:p w:rsidR="00DD0682" w:rsidRPr="00451864" w:rsidRDefault="00DD0682" w:rsidP="00DD0682">
      <w:pPr>
        <w:adjustRightInd w:val="0"/>
        <w:snapToGrid w:val="0"/>
        <w:spacing w:after="240"/>
        <w:rPr>
          <w:snapToGrid w:val="0"/>
        </w:rPr>
      </w:pPr>
      <w:r w:rsidRPr="00451864">
        <w:rPr>
          <w:snapToGrid w:val="0"/>
        </w:rPr>
        <w:t>113.</w:t>
      </w:r>
      <w:r>
        <w:rPr>
          <w:snapToGrid w:val="0"/>
        </w:rPr>
        <w:tab/>
      </w:r>
      <w:r w:rsidRPr="00451864">
        <w:rPr>
          <w:snapToGrid w:val="0"/>
        </w:rPr>
        <w:t xml:space="preserve">El principio de igualdad ante la ley está consagrado </w:t>
      </w:r>
      <w:r>
        <w:rPr>
          <w:snapToGrid w:val="0"/>
        </w:rPr>
        <w:t xml:space="preserve">en </w:t>
      </w:r>
      <w:r w:rsidRPr="00451864">
        <w:rPr>
          <w:snapToGrid w:val="0"/>
        </w:rPr>
        <w:t>la legislación argelina en virtud de los artículos 29, 31, 33, 34, 36 y 51 de la Constitución.</w:t>
      </w:r>
    </w:p>
    <w:p w:rsidR="00DD0682" w:rsidRPr="00451864" w:rsidRDefault="00DD0682" w:rsidP="00DD0682">
      <w:pPr>
        <w:adjustRightInd w:val="0"/>
        <w:snapToGrid w:val="0"/>
        <w:spacing w:after="240"/>
        <w:rPr>
          <w:snapToGrid w:val="0"/>
        </w:rPr>
      </w:pPr>
      <w:r w:rsidRPr="00451864">
        <w:rPr>
          <w:snapToGrid w:val="0"/>
        </w:rPr>
        <w:t>114.</w:t>
      </w:r>
      <w:r>
        <w:rPr>
          <w:snapToGrid w:val="0"/>
        </w:rPr>
        <w:tab/>
      </w:r>
      <w:r w:rsidRPr="00451864">
        <w:rPr>
          <w:snapToGrid w:val="0"/>
        </w:rPr>
        <w:t>El artículo 29 dispone que todos los ciudadanos son iguales ante la ley, sin que pueda prevalecer discriminación alguna por motivos de nacimiento, raza, sexo, opinión u otra condición o circunstancia personal o social</w:t>
      </w:r>
      <w:r>
        <w:rPr>
          <w:snapToGrid w:val="0"/>
        </w:rPr>
        <w:t xml:space="preserve">.  </w:t>
      </w:r>
      <w:r w:rsidRPr="00451864">
        <w:rPr>
          <w:snapToGrid w:val="0"/>
        </w:rPr>
        <w:t>La legislación laboral consagra también la igualdad entre el hombre y la mujer en la esfera de los salarios</w:t>
      </w:r>
      <w:r>
        <w:rPr>
          <w:snapToGrid w:val="0"/>
        </w:rPr>
        <w:t xml:space="preserve">:  a </w:t>
      </w:r>
      <w:r w:rsidRPr="00451864">
        <w:rPr>
          <w:snapToGrid w:val="0"/>
        </w:rPr>
        <w:t>trabajo igual, la mujer percibe la misma remuneración que el hombre.</w:t>
      </w:r>
    </w:p>
    <w:p w:rsidR="00DD0682" w:rsidRPr="00451864" w:rsidRDefault="00DD0682" w:rsidP="00DD0682">
      <w:pPr>
        <w:adjustRightInd w:val="0"/>
        <w:snapToGrid w:val="0"/>
        <w:spacing w:after="240"/>
        <w:rPr>
          <w:snapToGrid w:val="0"/>
        </w:rPr>
      </w:pPr>
      <w:r w:rsidRPr="00451864">
        <w:rPr>
          <w:snapToGrid w:val="0"/>
        </w:rPr>
        <w:t>115.</w:t>
      </w:r>
      <w:r>
        <w:rPr>
          <w:snapToGrid w:val="0"/>
        </w:rPr>
        <w:tab/>
      </w:r>
      <w:r w:rsidRPr="00451864">
        <w:rPr>
          <w:snapToGrid w:val="0"/>
        </w:rPr>
        <w:t xml:space="preserve">En el marco de su proceso global de adhesión a los instrumentos internacionales de derechos humanos, y </w:t>
      </w:r>
      <w:r>
        <w:rPr>
          <w:snapToGrid w:val="0"/>
        </w:rPr>
        <w:t xml:space="preserve">más </w:t>
      </w:r>
      <w:r w:rsidRPr="00451864">
        <w:rPr>
          <w:snapToGrid w:val="0"/>
        </w:rPr>
        <w:t xml:space="preserve">particularmente a los que </w:t>
      </w:r>
      <w:r>
        <w:rPr>
          <w:snapToGrid w:val="0"/>
        </w:rPr>
        <w:t>tienen por objeto</w:t>
      </w:r>
      <w:r w:rsidRPr="00451864">
        <w:rPr>
          <w:snapToGrid w:val="0"/>
        </w:rPr>
        <w:t xml:space="preserve"> consolida</w:t>
      </w:r>
      <w:r>
        <w:rPr>
          <w:snapToGrid w:val="0"/>
        </w:rPr>
        <w:t>r</w:t>
      </w:r>
      <w:r w:rsidRPr="00451864">
        <w:rPr>
          <w:snapToGrid w:val="0"/>
        </w:rPr>
        <w:t xml:space="preserve"> los derechos de la mujer, Argelia ratificó el 8 de marzo de 2004 la Convención sobre los Derechos Políticos de la Mujer, aprobada por la Asamblea General de las Naciones Unidas en su resolución 640 (VII), de</w:t>
      </w:r>
      <w:r>
        <w:rPr>
          <w:snapToGrid w:val="0"/>
        </w:rPr>
        <w:t> </w:t>
      </w:r>
      <w:r w:rsidRPr="00451864">
        <w:rPr>
          <w:snapToGrid w:val="0"/>
        </w:rPr>
        <w:t>20 de diciembre de 1952</w:t>
      </w:r>
      <w:r>
        <w:rPr>
          <w:snapToGrid w:val="0"/>
        </w:rPr>
        <w:t xml:space="preserve">.  </w:t>
      </w:r>
      <w:r w:rsidRPr="00451864">
        <w:rPr>
          <w:snapToGrid w:val="0"/>
        </w:rPr>
        <w:t xml:space="preserve">El 4 de agosto de 2004 se depositó el instrumento de ratificación ante el Secretario General de las Naciones Unidas. </w:t>
      </w:r>
    </w:p>
    <w:p w:rsidR="00DD0682" w:rsidRPr="00451864" w:rsidRDefault="00DD0682" w:rsidP="00DD0682">
      <w:pPr>
        <w:adjustRightInd w:val="0"/>
        <w:snapToGrid w:val="0"/>
        <w:spacing w:after="240"/>
        <w:rPr>
          <w:snapToGrid w:val="0"/>
        </w:rPr>
      </w:pPr>
      <w:r w:rsidRPr="00451864">
        <w:rPr>
          <w:snapToGrid w:val="0"/>
        </w:rPr>
        <w:t>116.</w:t>
      </w:r>
      <w:r>
        <w:rPr>
          <w:snapToGrid w:val="0"/>
        </w:rPr>
        <w:tab/>
      </w:r>
      <w:r w:rsidRPr="00451864">
        <w:rPr>
          <w:snapToGrid w:val="0"/>
        </w:rPr>
        <w:t>La Constitución y la ley garantizan la participación de la mujer en la adopción de decisiones</w:t>
      </w:r>
      <w:r>
        <w:rPr>
          <w:snapToGrid w:val="0"/>
        </w:rPr>
        <w:t xml:space="preserve">.  </w:t>
      </w:r>
      <w:r w:rsidRPr="00451864">
        <w:rPr>
          <w:snapToGrid w:val="0"/>
        </w:rPr>
        <w:t>Si bien en comparación con la de los hombres</w:t>
      </w:r>
      <w:r>
        <w:rPr>
          <w:snapToGrid w:val="0"/>
        </w:rPr>
        <w:t>, esa participación de la mujer parece aún modesta,</w:t>
      </w:r>
      <w:r w:rsidRPr="00451864">
        <w:rPr>
          <w:snapToGrid w:val="0"/>
        </w:rPr>
        <w:t xml:space="preserve"> no es menos cierto que se </w:t>
      </w:r>
      <w:r>
        <w:rPr>
          <w:snapToGrid w:val="0"/>
        </w:rPr>
        <w:t xml:space="preserve">están </w:t>
      </w:r>
      <w:r w:rsidRPr="00451864">
        <w:rPr>
          <w:snapToGrid w:val="0"/>
        </w:rPr>
        <w:t>realizan</w:t>
      </w:r>
      <w:r>
        <w:rPr>
          <w:snapToGrid w:val="0"/>
        </w:rPr>
        <w:t>do</w:t>
      </w:r>
      <w:r w:rsidRPr="00451864">
        <w:rPr>
          <w:snapToGrid w:val="0"/>
        </w:rPr>
        <w:t xml:space="preserve"> progresos constantes en l</w:t>
      </w:r>
      <w:r>
        <w:rPr>
          <w:snapToGrid w:val="0"/>
        </w:rPr>
        <w:t>o que respecta a su</w:t>
      </w:r>
      <w:r w:rsidRPr="00451864">
        <w:rPr>
          <w:snapToGrid w:val="0"/>
        </w:rPr>
        <w:t xml:space="preserve"> participación en la adopción de decisiones y </w:t>
      </w:r>
      <w:r>
        <w:rPr>
          <w:snapToGrid w:val="0"/>
        </w:rPr>
        <w:t>a</w:t>
      </w:r>
      <w:r w:rsidRPr="00451864">
        <w:rPr>
          <w:snapToGrid w:val="0"/>
        </w:rPr>
        <w:t xml:space="preserve"> su acceso a </w:t>
      </w:r>
      <w:r>
        <w:rPr>
          <w:snapToGrid w:val="0"/>
        </w:rPr>
        <w:t xml:space="preserve">los </w:t>
      </w:r>
      <w:r w:rsidRPr="00451864">
        <w:rPr>
          <w:snapToGrid w:val="0"/>
        </w:rPr>
        <w:t>altos puestos del Estado.</w:t>
      </w:r>
    </w:p>
    <w:p w:rsidR="00DD0682" w:rsidRPr="00451864" w:rsidRDefault="00DD0682" w:rsidP="00DD0682">
      <w:pPr>
        <w:adjustRightInd w:val="0"/>
        <w:snapToGrid w:val="0"/>
        <w:spacing w:after="240"/>
        <w:rPr>
          <w:snapToGrid w:val="0"/>
        </w:rPr>
      </w:pPr>
      <w:r w:rsidRPr="00451864">
        <w:rPr>
          <w:snapToGrid w:val="0"/>
        </w:rPr>
        <w:t>117.</w:t>
      </w:r>
      <w:r>
        <w:rPr>
          <w:snapToGrid w:val="0"/>
        </w:rPr>
        <w:tab/>
      </w:r>
      <w:r w:rsidRPr="00451864">
        <w:rPr>
          <w:snapToGrid w:val="0"/>
        </w:rPr>
        <w:t>Ninguna disposición legislativa o reglamentaria prohíbe ni restringe la participación de la mujer en la vida política del país.  La Constitución y la Ordenanza Nº 97-07, de 6 de marzo de</w:t>
      </w:r>
      <w:r>
        <w:rPr>
          <w:snapToGrid w:val="0"/>
        </w:rPr>
        <w:t> </w:t>
      </w:r>
      <w:r w:rsidRPr="00451864">
        <w:rPr>
          <w:snapToGrid w:val="0"/>
        </w:rPr>
        <w:t>1997, relativa a la Ley orgánica del régimen electoral</w:t>
      </w:r>
      <w:r>
        <w:rPr>
          <w:snapToGrid w:val="0"/>
        </w:rPr>
        <w:t>,</w:t>
      </w:r>
      <w:r w:rsidRPr="00451864">
        <w:rPr>
          <w:snapToGrid w:val="0"/>
        </w:rPr>
        <w:t xml:space="preserve"> garantiza</w:t>
      </w:r>
      <w:r>
        <w:rPr>
          <w:snapToGrid w:val="0"/>
        </w:rPr>
        <w:t>n</w:t>
      </w:r>
      <w:r w:rsidRPr="00451864">
        <w:rPr>
          <w:snapToGrid w:val="0"/>
        </w:rPr>
        <w:t xml:space="preserve"> a la mujer el derecho a votar y a presentarse a las elecciones.</w:t>
      </w:r>
    </w:p>
    <w:p w:rsidR="00DD0682" w:rsidRPr="00451864" w:rsidRDefault="00DD0682" w:rsidP="00DD0682">
      <w:pPr>
        <w:adjustRightInd w:val="0"/>
        <w:snapToGrid w:val="0"/>
        <w:spacing w:after="240"/>
        <w:rPr>
          <w:snapToGrid w:val="0"/>
        </w:rPr>
      </w:pPr>
      <w:r w:rsidRPr="00451864">
        <w:rPr>
          <w:snapToGrid w:val="0"/>
        </w:rPr>
        <w:t>118.</w:t>
      </w:r>
      <w:r>
        <w:rPr>
          <w:snapToGrid w:val="0"/>
        </w:rPr>
        <w:tab/>
      </w:r>
      <w:r w:rsidRPr="00451864">
        <w:rPr>
          <w:snapToGrid w:val="0"/>
        </w:rPr>
        <w:t xml:space="preserve">En ese mismo texto </w:t>
      </w:r>
      <w:r>
        <w:rPr>
          <w:snapToGrid w:val="0"/>
        </w:rPr>
        <w:t xml:space="preserve">legal </w:t>
      </w:r>
      <w:r w:rsidRPr="00451864">
        <w:rPr>
          <w:snapToGrid w:val="0"/>
        </w:rPr>
        <w:t xml:space="preserve">se establecen los requisitos para ser elector y no se hace ninguna distinción entre </w:t>
      </w:r>
      <w:r>
        <w:rPr>
          <w:snapToGrid w:val="0"/>
        </w:rPr>
        <w:t xml:space="preserve">el </w:t>
      </w:r>
      <w:r w:rsidRPr="00451864">
        <w:rPr>
          <w:snapToGrid w:val="0"/>
        </w:rPr>
        <w:t xml:space="preserve">hombre y </w:t>
      </w:r>
      <w:r>
        <w:rPr>
          <w:snapToGrid w:val="0"/>
        </w:rPr>
        <w:t xml:space="preserve">la </w:t>
      </w:r>
      <w:r w:rsidRPr="00451864">
        <w:rPr>
          <w:snapToGrid w:val="0"/>
        </w:rPr>
        <w:t xml:space="preserve">mujer.  Las estadísticas que figuran a continuación permiten </w:t>
      </w:r>
      <w:r>
        <w:rPr>
          <w:snapToGrid w:val="0"/>
        </w:rPr>
        <w:t xml:space="preserve">deducir el grado de </w:t>
      </w:r>
      <w:r w:rsidRPr="00451864">
        <w:rPr>
          <w:snapToGrid w:val="0"/>
        </w:rPr>
        <w:t>participación de las mujeres en las elecciones locales celebradas en 2002.  Cabe observar que, sobre una cifra de 18.094.555 electores, 8.349.770 eran mujeres, es decir</w:t>
      </w:r>
      <w:r>
        <w:rPr>
          <w:snapToGrid w:val="0"/>
        </w:rPr>
        <w:t>,</w:t>
      </w:r>
      <w:r w:rsidRPr="00451864">
        <w:rPr>
          <w:snapToGrid w:val="0"/>
        </w:rPr>
        <w:t xml:space="preserve"> el</w:t>
      </w:r>
      <w:r>
        <w:rPr>
          <w:snapToGrid w:val="0"/>
        </w:rPr>
        <w:t> </w:t>
      </w:r>
      <w:r w:rsidRPr="00451864">
        <w:rPr>
          <w:snapToGrid w:val="0"/>
        </w:rPr>
        <w:t>46,14%.</w:t>
      </w:r>
    </w:p>
    <w:p w:rsidR="00DD0682" w:rsidRPr="00451864" w:rsidRDefault="00DD0682" w:rsidP="00DD0682">
      <w:pPr>
        <w:adjustRightInd w:val="0"/>
        <w:snapToGrid w:val="0"/>
        <w:spacing w:after="240"/>
        <w:rPr>
          <w:bCs/>
          <w:snapToGrid w:val="0"/>
        </w:rPr>
      </w:pPr>
      <w:r w:rsidRPr="00451864">
        <w:rPr>
          <w:bCs/>
          <w:snapToGrid w:val="0"/>
        </w:rPr>
        <w:t>119.</w:t>
      </w:r>
      <w:r>
        <w:rPr>
          <w:bCs/>
          <w:snapToGrid w:val="0"/>
        </w:rPr>
        <w:tab/>
      </w:r>
      <w:r w:rsidRPr="00451864">
        <w:rPr>
          <w:bCs/>
          <w:snapToGrid w:val="0"/>
        </w:rPr>
        <w:t xml:space="preserve">Número de mujeres en las diferentes asambleas: </w:t>
      </w:r>
    </w:p>
    <w:p w:rsidR="00DD0682" w:rsidRPr="00451864" w:rsidRDefault="00DD0682" w:rsidP="00DD0682">
      <w:pPr>
        <w:adjustRightInd w:val="0"/>
        <w:snapToGrid w:val="0"/>
        <w:spacing w:after="240"/>
        <w:ind w:left="1134" w:hanging="567"/>
        <w:rPr>
          <w:snapToGrid w:val="0"/>
        </w:rPr>
      </w:pPr>
      <w:r>
        <w:rPr>
          <w:snapToGrid w:val="0"/>
        </w:rPr>
        <w:t>a)</w:t>
      </w:r>
      <w:r>
        <w:rPr>
          <w:snapToGrid w:val="0"/>
        </w:rPr>
        <w:tab/>
      </w:r>
      <w:r w:rsidRPr="00451864">
        <w:rPr>
          <w:snapToGrid w:val="0"/>
        </w:rPr>
        <w:t>Asamblea Popular Nacional (mandato 2004</w:t>
      </w:r>
      <w:r>
        <w:rPr>
          <w:snapToGrid w:val="0"/>
        </w:rPr>
        <w:t>-</w:t>
      </w:r>
      <w:r w:rsidRPr="00451864">
        <w:rPr>
          <w:snapToGrid w:val="0"/>
        </w:rPr>
        <w:t>2007)</w:t>
      </w:r>
      <w:r>
        <w:rPr>
          <w:snapToGrid w:val="0"/>
        </w:rPr>
        <w:t xml:space="preserve">:  </w:t>
      </w:r>
      <w:r w:rsidRPr="00451864">
        <w:rPr>
          <w:snapToGrid w:val="0"/>
        </w:rPr>
        <w:t>30;</w:t>
      </w:r>
    </w:p>
    <w:p w:rsidR="00DD0682" w:rsidRPr="00451864" w:rsidRDefault="00DD0682" w:rsidP="00DD0682">
      <w:pPr>
        <w:tabs>
          <w:tab w:val="num" w:pos="1440"/>
        </w:tabs>
        <w:adjustRightInd w:val="0"/>
        <w:snapToGrid w:val="0"/>
        <w:spacing w:after="240"/>
        <w:ind w:left="1134" w:hanging="567"/>
        <w:rPr>
          <w:snapToGrid w:val="0"/>
        </w:rPr>
      </w:pPr>
      <w:r>
        <w:rPr>
          <w:snapToGrid w:val="0"/>
        </w:rPr>
        <w:t>b)</w:t>
      </w:r>
      <w:r>
        <w:rPr>
          <w:snapToGrid w:val="0"/>
        </w:rPr>
        <w:tab/>
      </w:r>
      <w:r w:rsidRPr="00451864">
        <w:rPr>
          <w:snapToGrid w:val="0"/>
        </w:rPr>
        <w:t xml:space="preserve">Asambleas populares de </w:t>
      </w:r>
      <w:r w:rsidRPr="00451864">
        <w:rPr>
          <w:i/>
          <w:snapToGrid w:val="0"/>
        </w:rPr>
        <w:t>wilaya</w:t>
      </w:r>
      <w:r w:rsidRPr="00451864">
        <w:rPr>
          <w:snapToGrid w:val="0"/>
        </w:rPr>
        <w:t> (mandato 2002</w:t>
      </w:r>
      <w:r>
        <w:rPr>
          <w:snapToGrid w:val="0"/>
        </w:rPr>
        <w:t>-</w:t>
      </w:r>
      <w:r w:rsidRPr="00451864">
        <w:rPr>
          <w:snapToGrid w:val="0"/>
        </w:rPr>
        <w:t>2007)</w:t>
      </w:r>
      <w:r>
        <w:rPr>
          <w:snapToGrid w:val="0"/>
        </w:rPr>
        <w:t xml:space="preserve">:  </w:t>
      </w:r>
      <w:r w:rsidRPr="00451864">
        <w:rPr>
          <w:snapToGrid w:val="0"/>
        </w:rPr>
        <w:t>119;</w:t>
      </w:r>
    </w:p>
    <w:p w:rsidR="00DD0682" w:rsidRPr="00451864" w:rsidRDefault="00DD0682" w:rsidP="00DD0682">
      <w:pPr>
        <w:tabs>
          <w:tab w:val="num" w:pos="1440"/>
        </w:tabs>
        <w:adjustRightInd w:val="0"/>
        <w:snapToGrid w:val="0"/>
        <w:spacing w:after="240"/>
        <w:ind w:left="1134" w:hanging="567"/>
        <w:rPr>
          <w:snapToGrid w:val="0"/>
        </w:rPr>
      </w:pPr>
      <w:r>
        <w:rPr>
          <w:snapToGrid w:val="0"/>
        </w:rPr>
        <w:t>c)</w:t>
      </w:r>
      <w:r>
        <w:rPr>
          <w:snapToGrid w:val="0"/>
        </w:rPr>
        <w:tab/>
      </w:r>
      <w:r w:rsidRPr="00451864">
        <w:rPr>
          <w:snapToGrid w:val="0"/>
        </w:rPr>
        <w:t>Asambleas populares municipales (mandato 2002</w:t>
      </w:r>
      <w:r>
        <w:rPr>
          <w:snapToGrid w:val="0"/>
        </w:rPr>
        <w:t>-</w:t>
      </w:r>
      <w:r w:rsidRPr="00451864">
        <w:rPr>
          <w:snapToGrid w:val="0"/>
        </w:rPr>
        <w:t>2007):145.</w:t>
      </w:r>
    </w:p>
    <w:p w:rsidR="00DD0682" w:rsidRPr="00451864" w:rsidRDefault="00DD0682" w:rsidP="00DD0682">
      <w:pPr>
        <w:adjustRightInd w:val="0"/>
        <w:snapToGrid w:val="0"/>
        <w:spacing w:after="240"/>
        <w:rPr>
          <w:snapToGrid w:val="0"/>
        </w:rPr>
      </w:pPr>
      <w:r w:rsidRPr="00451864">
        <w:rPr>
          <w:snapToGrid w:val="0"/>
        </w:rPr>
        <w:t>120.</w:t>
      </w:r>
      <w:r>
        <w:rPr>
          <w:snapToGrid w:val="0"/>
        </w:rPr>
        <w:tab/>
      </w:r>
      <w:r w:rsidRPr="00451864">
        <w:rPr>
          <w:snapToGrid w:val="0"/>
        </w:rPr>
        <w:t xml:space="preserve">Cabe destacar, </w:t>
      </w:r>
      <w:r>
        <w:rPr>
          <w:snapToGrid w:val="0"/>
        </w:rPr>
        <w:t xml:space="preserve">a este respecto </w:t>
      </w:r>
      <w:r w:rsidRPr="00451864">
        <w:rPr>
          <w:snapToGrid w:val="0"/>
        </w:rPr>
        <w:t>que una mujer</w:t>
      </w:r>
      <w:r>
        <w:rPr>
          <w:snapToGrid w:val="0"/>
        </w:rPr>
        <w:t>,</w:t>
      </w:r>
      <w:r w:rsidRPr="00451864">
        <w:rPr>
          <w:snapToGrid w:val="0"/>
        </w:rPr>
        <w:t xml:space="preserve"> </w:t>
      </w:r>
      <w:r>
        <w:rPr>
          <w:snapToGrid w:val="0"/>
        </w:rPr>
        <w:t xml:space="preserve">la </w:t>
      </w:r>
      <w:r w:rsidRPr="00451864">
        <w:rPr>
          <w:snapToGrid w:val="0"/>
        </w:rPr>
        <w:t>Presidenta del Partido de los Trabajadores, se presentó como candidata a las elecciones presidenciales de</w:t>
      </w:r>
      <w:r>
        <w:rPr>
          <w:snapToGrid w:val="0"/>
        </w:rPr>
        <w:t>l</w:t>
      </w:r>
      <w:r w:rsidRPr="00451864">
        <w:rPr>
          <w:snapToGrid w:val="0"/>
        </w:rPr>
        <w:t xml:space="preserve"> 8 de abril de 2004.</w:t>
      </w:r>
    </w:p>
    <w:p w:rsidR="00DD0682" w:rsidRPr="00451864" w:rsidRDefault="00DD0682" w:rsidP="00DD0682">
      <w:pPr>
        <w:adjustRightInd w:val="0"/>
        <w:snapToGrid w:val="0"/>
        <w:spacing w:after="240"/>
        <w:rPr>
          <w:snapToGrid w:val="0"/>
        </w:rPr>
      </w:pPr>
      <w:r w:rsidRPr="00451864">
        <w:rPr>
          <w:snapToGrid w:val="0"/>
        </w:rPr>
        <w:t>121</w:t>
      </w:r>
      <w:r w:rsidRPr="00451864">
        <w:rPr>
          <w:i/>
          <w:snapToGrid w:val="0"/>
        </w:rPr>
        <w:t>.</w:t>
      </w:r>
      <w:r>
        <w:rPr>
          <w:i/>
          <w:snapToGrid w:val="0"/>
        </w:rPr>
        <w:tab/>
      </w:r>
      <w:r w:rsidRPr="00997606">
        <w:rPr>
          <w:snapToGrid w:val="0"/>
        </w:rPr>
        <w:t>En los altos puestos del Estado</w:t>
      </w:r>
      <w:r w:rsidRPr="00451864">
        <w:rPr>
          <w:snapToGrid w:val="0"/>
        </w:rPr>
        <w:t xml:space="preserve">, la mujer está representada </w:t>
      </w:r>
      <w:r>
        <w:rPr>
          <w:snapToGrid w:val="0"/>
        </w:rPr>
        <w:t xml:space="preserve">del siguiente modo:  4 </w:t>
      </w:r>
      <w:r w:rsidRPr="00451864">
        <w:rPr>
          <w:snapToGrid w:val="0"/>
        </w:rPr>
        <w:t xml:space="preserve">mujeres en el Gobierno, </w:t>
      </w:r>
      <w:r>
        <w:rPr>
          <w:snapToGrid w:val="0"/>
        </w:rPr>
        <w:t>2</w:t>
      </w:r>
      <w:r w:rsidRPr="00451864">
        <w:rPr>
          <w:snapToGrid w:val="0"/>
        </w:rPr>
        <w:t xml:space="preserve"> embajadoras, </w:t>
      </w:r>
      <w:r>
        <w:rPr>
          <w:snapToGrid w:val="0"/>
        </w:rPr>
        <w:t>1</w:t>
      </w:r>
      <w:r w:rsidRPr="00451864">
        <w:rPr>
          <w:snapToGrid w:val="0"/>
        </w:rPr>
        <w:t xml:space="preserve"> secretaria general de un ministerio, </w:t>
      </w:r>
      <w:r>
        <w:rPr>
          <w:snapToGrid w:val="0"/>
        </w:rPr>
        <w:t>4</w:t>
      </w:r>
      <w:r w:rsidRPr="00451864">
        <w:rPr>
          <w:snapToGrid w:val="0"/>
        </w:rPr>
        <w:t xml:space="preserve"> jefas de gabinete ministeri</w:t>
      </w:r>
      <w:r>
        <w:rPr>
          <w:snapToGrid w:val="0"/>
        </w:rPr>
        <w:t>al</w:t>
      </w:r>
      <w:r w:rsidRPr="00451864">
        <w:rPr>
          <w:snapToGrid w:val="0"/>
        </w:rPr>
        <w:t xml:space="preserve">, </w:t>
      </w:r>
      <w:r>
        <w:rPr>
          <w:snapToGrid w:val="0"/>
        </w:rPr>
        <w:t>1</w:t>
      </w:r>
      <w:r w:rsidRPr="00451864">
        <w:rPr>
          <w:snapToGrid w:val="0"/>
        </w:rPr>
        <w:t xml:space="preserve"> mujer </w:t>
      </w:r>
      <w:r w:rsidRPr="00997606">
        <w:rPr>
          <w:iCs/>
          <w:snapToGrid w:val="0"/>
        </w:rPr>
        <w:t>wali</w:t>
      </w:r>
      <w:r w:rsidRPr="00451864">
        <w:rPr>
          <w:snapToGrid w:val="0"/>
        </w:rPr>
        <w:t xml:space="preserve"> nombrada en</w:t>
      </w:r>
      <w:r>
        <w:rPr>
          <w:snapToGrid w:val="0"/>
        </w:rPr>
        <w:t xml:space="preserve"> </w:t>
      </w:r>
      <w:r w:rsidRPr="00451864">
        <w:rPr>
          <w:snapToGrid w:val="0"/>
        </w:rPr>
        <w:t xml:space="preserve">1999, </w:t>
      </w:r>
      <w:r>
        <w:rPr>
          <w:snapToGrid w:val="0"/>
        </w:rPr>
        <w:t>2</w:t>
      </w:r>
      <w:r w:rsidRPr="00451864">
        <w:rPr>
          <w:snapToGrid w:val="0"/>
        </w:rPr>
        <w:t xml:space="preserve"> </w:t>
      </w:r>
      <w:r w:rsidRPr="00997606">
        <w:rPr>
          <w:iCs/>
          <w:snapToGrid w:val="0"/>
        </w:rPr>
        <w:t>wali</w:t>
      </w:r>
      <w:r w:rsidRPr="00451864">
        <w:rPr>
          <w:snapToGrid w:val="0"/>
        </w:rPr>
        <w:t xml:space="preserve"> supernumerarias, </w:t>
      </w:r>
      <w:r>
        <w:rPr>
          <w:snapToGrid w:val="0"/>
        </w:rPr>
        <w:t>2</w:t>
      </w:r>
      <w:r w:rsidRPr="00451864">
        <w:rPr>
          <w:snapToGrid w:val="0"/>
        </w:rPr>
        <w:t xml:space="preserve"> secretarias generales de </w:t>
      </w:r>
      <w:r w:rsidRPr="00451864">
        <w:rPr>
          <w:i/>
          <w:iCs/>
          <w:snapToGrid w:val="0"/>
        </w:rPr>
        <w:t>wilaya</w:t>
      </w:r>
      <w:r w:rsidRPr="00997606">
        <w:rPr>
          <w:iCs/>
          <w:snapToGrid w:val="0"/>
        </w:rPr>
        <w:t>,</w:t>
      </w:r>
      <w:r w:rsidRPr="00451864">
        <w:rPr>
          <w:i/>
          <w:iCs/>
          <w:snapToGrid w:val="0"/>
        </w:rPr>
        <w:t xml:space="preserve"> </w:t>
      </w:r>
      <w:r>
        <w:rPr>
          <w:iCs/>
          <w:snapToGrid w:val="0"/>
        </w:rPr>
        <w:t>2</w:t>
      </w:r>
      <w:r w:rsidRPr="00451864">
        <w:rPr>
          <w:i/>
          <w:iCs/>
          <w:snapToGrid w:val="0"/>
        </w:rPr>
        <w:t xml:space="preserve"> </w:t>
      </w:r>
      <w:r w:rsidRPr="00451864">
        <w:rPr>
          <w:snapToGrid w:val="0"/>
        </w:rPr>
        <w:t xml:space="preserve">inspectoras generales de </w:t>
      </w:r>
      <w:r w:rsidRPr="00451864">
        <w:rPr>
          <w:i/>
          <w:iCs/>
          <w:snapToGrid w:val="0"/>
        </w:rPr>
        <w:t>wilaya</w:t>
      </w:r>
      <w:r w:rsidRPr="00451864">
        <w:rPr>
          <w:snapToGrid w:val="0"/>
        </w:rPr>
        <w:t xml:space="preserve"> y 11 jefas de </w:t>
      </w:r>
      <w:r w:rsidRPr="00451864">
        <w:rPr>
          <w:i/>
          <w:iCs/>
          <w:snapToGrid w:val="0"/>
        </w:rPr>
        <w:t>daïra.</w:t>
      </w:r>
    </w:p>
    <w:p w:rsidR="00DD0682" w:rsidRPr="00451864" w:rsidRDefault="00DD0682" w:rsidP="00DD0682">
      <w:pPr>
        <w:adjustRightInd w:val="0"/>
        <w:snapToGrid w:val="0"/>
        <w:spacing w:after="240"/>
        <w:rPr>
          <w:snapToGrid w:val="0"/>
        </w:rPr>
      </w:pPr>
      <w:r w:rsidRPr="00451864">
        <w:rPr>
          <w:snapToGrid w:val="0"/>
        </w:rPr>
        <w:t>122.</w:t>
      </w:r>
      <w:r>
        <w:rPr>
          <w:snapToGrid w:val="0"/>
        </w:rPr>
        <w:tab/>
      </w:r>
      <w:r w:rsidRPr="00451864">
        <w:rPr>
          <w:snapToGrid w:val="0"/>
        </w:rPr>
        <w:t xml:space="preserve">Respecto de la no discriminación son ilustrativos los datos </w:t>
      </w:r>
      <w:r>
        <w:rPr>
          <w:snapToGrid w:val="0"/>
        </w:rPr>
        <w:t xml:space="preserve">relativos a </w:t>
      </w:r>
      <w:r w:rsidRPr="00451864">
        <w:rPr>
          <w:snapToGrid w:val="0"/>
        </w:rPr>
        <w:t>tres grandes sectores</w:t>
      </w:r>
      <w:r>
        <w:rPr>
          <w:snapToGrid w:val="0"/>
        </w:rPr>
        <w:t xml:space="preserve">:  </w:t>
      </w:r>
      <w:r w:rsidRPr="00451864">
        <w:rPr>
          <w:snapToGrid w:val="0"/>
        </w:rPr>
        <w:t>la educación, la justicia y los servicios de salud</w:t>
      </w:r>
      <w:r>
        <w:rPr>
          <w:snapToGrid w:val="0"/>
        </w:rPr>
        <w:t>.</w:t>
      </w:r>
    </w:p>
    <w:p w:rsidR="00DD0682" w:rsidRPr="00451864" w:rsidRDefault="00DD0682" w:rsidP="00DD0682">
      <w:pPr>
        <w:adjustRightInd w:val="0"/>
        <w:snapToGrid w:val="0"/>
        <w:spacing w:after="240"/>
        <w:rPr>
          <w:snapToGrid w:val="0"/>
        </w:rPr>
      </w:pPr>
      <w:r w:rsidRPr="00674EF1">
        <w:rPr>
          <w:bCs/>
          <w:iCs/>
          <w:snapToGrid w:val="0"/>
        </w:rPr>
        <w:t>123.</w:t>
      </w:r>
      <w:r>
        <w:rPr>
          <w:bCs/>
          <w:iCs/>
          <w:snapToGrid w:val="0"/>
        </w:rPr>
        <w:tab/>
      </w:r>
      <w:r w:rsidRPr="00582C85">
        <w:rPr>
          <w:bCs/>
          <w:iCs/>
          <w:snapToGrid w:val="0"/>
        </w:rPr>
        <w:t>El número total de docentes</w:t>
      </w:r>
      <w:r w:rsidRPr="00451864">
        <w:rPr>
          <w:bCs/>
          <w:iCs/>
          <w:snapToGrid w:val="0"/>
        </w:rPr>
        <w:t xml:space="preserve"> asciende a </w:t>
      </w:r>
      <w:r w:rsidRPr="00451864">
        <w:rPr>
          <w:snapToGrid w:val="0"/>
        </w:rPr>
        <w:t>339.430, de los cuales 172.905 son mujeres, es decir, el 50,793</w:t>
      </w:r>
      <w:r>
        <w:rPr>
          <w:snapToGrid w:val="0"/>
        </w:rPr>
        <w:t>%</w:t>
      </w:r>
      <w:r w:rsidRPr="00451864">
        <w:rPr>
          <w:snapToGrid w:val="0"/>
        </w:rPr>
        <w:t>:</w:t>
      </w:r>
    </w:p>
    <w:p w:rsidR="00DD0682" w:rsidRPr="00451864" w:rsidRDefault="00DD0682" w:rsidP="00DD0682">
      <w:pPr>
        <w:adjustRightInd w:val="0"/>
        <w:snapToGrid w:val="0"/>
        <w:spacing w:after="240"/>
        <w:ind w:left="924" w:hanging="357"/>
        <w:rPr>
          <w:snapToGrid w:val="0"/>
        </w:rPr>
      </w:pPr>
      <w:r>
        <w:rPr>
          <w:snapToGrid w:val="0"/>
        </w:rPr>
        <w:t>-</w:t>
      </w:r>
      <w:r>
        <w:rPr>
          <w:snapToGrid w:val="0"/>
        </w:rPr>
        <w:tab/>
      </w:r>
      <w:r w:rsidRPr="00451864">
        <w:rPr>
          <w:snapToGrid w:val="0"/>
        </w:rPr>
        <w:t>De los 171.402 maestros de</w:t>
      </w:r>
      <w:r>
        <w:rPr>
          <w:snapToGrid w:val="0"/>
        </w:rPr>
        <w:t>l</w:t>
      </w:r>
      <w:r w:rsidRPr="00451864">
        <w:rPr>
          <w:snapToGrid w:val="0"/>
        </w:rPr>
        <w:t xml:space="preserve"> </w:t>
      </w:r>
      <w:r>
        <w:rPr>
          <w:snapToGrid w:val="0"/>
        </w:rPr>
        <w:t xml:space="preserve">ciclo </w:t>
      </w:r>
      <w:r w:rsidRPr="00451864">
        <w:rPr>
          <w:snapToGrid w:val="0"/>
        </w:rPr>
        <w:t>primari</w:t>
      </w:r>
      <w:r>
        <w:rPr>
          <w:snapToGrid w:val="0"/>
        </w:rPr>
        <w:t>o</w:t>
      </w:r>
      <w:r w:rsidRPr="00451864">
        <w:rPr>
          <w:snapToGrid w:val="0"/>
        </w:rPr>
        <w:t xml:space="preserve"> 88.295 son mujeres, es decir el</w:t>
      </w:r>
      <w:r>
        <w:rPr>
          <w:snapToGrid w:val="0"/>
        </w:rPr>
        <w:t> </w:t>
      </w:r>
      <w:r w:rsidRPr="00451864">
        <w:rPr>
          <w:snapToGrid w:val="0"/>
        </w:rPr>
        <w:t>51,51%</w:t>
      </w:r>
      <w:r>
        <w:rPr>
          <w:snapToGrid w:val="0"/>
        </w:rPr>
        <w:t>;</w:t>
      </w:r>
    </w:p>
    <w:p w:rsidR="00DD0682" w:rsidRPr="00451864" w:rsidRDefault="00DD0682" w:rsidP="00DD0682">
      <w:pPr>
        <w:adjustRightInd w:val="0"/>
        <w:snapToGrid w:val="0"/>
        <w:spacing w:after="240"/>
        <w:ind w:left="924" w:hanging="357"/>
        <w:rPr>
          <w:snapToGrid w:val="0"/>
        </w:rPr>
      </w:pPr>
      <w:r>
        <w:rPr>
          <w:snapToGrid w:val="0"/>
        </w:rPr>
        <w:t>-</w:t>
      </w:r>
      <w:r>
        <w:rPr>
          <w:snapToGrid w:val="0"/>
        </w:rPr>
        <w:tab/>
      </w:r>
      <w:r w:rsidRPr="00451864">
        <w:rPr>
          <w:snapToGrid w:val="0"/>
        </w:rPr>
        <w:t>De los 109.578 maestros de</w:t>
      </w:r>
      <w:r>
        <w:rPr>
          <w:snapToGrid w:val="0"/>
        </w:rPr>
        <w:t>l</w:t>
      </w:r>
      <w:r w:rsidRPr="00451864">
        <w:rPr>
          <w:snapToGrid w:val="0"/>
        </w:rPr>
        <w:t xml:space="preserve"> </w:t>
      </w:r>
      <w:r>
        <w:rPr>
          <w:snapToGrid w:val="0"/>
        </w:rPr>
        <w:t>ciclo inter</w:t>
      </w:r>
      <w:r w:rsidRPr="00451864">
        <w:rPr>
          <w:snapToGrid w:val="0"/>
        </w:rPr>
        <w:t>medi</w:t>
      </w:r>
      <w:r>
        <w:rPr>
          <w:snapToGrid w:val="0"/>
        </w:rPr>
        <w:t>o</w:t>
      </w:r>
      <w:r w:rsidRPr="00451864">
        <w:rPr>
          <w:snapToGrid w:val="0"/>
        </w:rPr>
        <w:t>, 58.293 son mujeres, es decir, el</w:t>
      </w:r>
      <w:r>
        <w:rPr>
          <w:snapToGrid w:val="0"/>
        </w:rPr>
        <w:t> </w:t>
      </w:r>
      <w:r w:rsidRPr="00451864">
        <w:rPr>
          <w:snapToGrid w:val="0"/>
        </w:rPr>
        <w:t>53,19%</w:t>
      </w:r>
      <w:r>
        <w:rPr>
          <w:snapToGrid w:val="0"/>
        </w:rPr>
        <w:t>;</w:t>
      </w:r>
    </w:p>
    <w:p w:rsidR="00DD0682" w:rsidRPr="00451864" w:rsidRDefault="00DD0682" w:rsidP="00DD0682">
      <w:pPr>
        <w:adjustRightInd w:val="0"/>
        <w:snapToGrid w:val="0"/>
        <w:spacing w:after="240"/>
        <w:ind w:left="924" w:hanging="357"/>
        <w:rPr>
          <w:snapToGrid w:val="0"/>
        </w:rPr>
      </w:pPr>
      <w:r>
        <w:rPr>
          <w:snapToGrid w:val="0"/>
        </w:rPr>
        <w:t>-</w:t>
      </w:r>
      <w:r>
        <w:rPr>
          <w:snapToGrid w:val="0"/>
        </w:rPr>
        <w:tab/>
      </w:r>
      <w:r w:rsidRPr="00451864">
        <w:rPr>
          <w:snapToGrid w:val="0"/>
        </w:rPr>
        <w:t>De los 62.330 maestros de</w:t>
      </w:r>
      <w:r>
        <w:rPr>
          <w:snapToGrid w:val="0"/>
        </w:rPr>
        <w:t>l</w:t>
      </w:r>
      <w:r w:rsidRPr="00451864">
        <w:rPr>
          <w:snapToGrid w:val="0"/>
        </w:rPr>
        <w:t xml:space="preserve"> </w:t>
      </w:r>
      <w:r>
        <w:rPr>
          <w:snapToGrid w:val="0"/>
        </w:rPr>
        <w:t xml:space="preserve">ciclo </w:t>
      </w:r>
      <w:r w:rsidRPr="00451864">
        <w:rPr>
          <w:snapToGrid w:val="0"/>
        </w:rPr>
        <w:t>secundari</w:t>
      </w:r>
      <w:r>
        <w:rPr>
          <w:snapToGrid w:val="0"/>
        </w:rPr>
        <w:t>o</w:t>
      </w:r>
      <w:r w:rsidRPr="00451864">
        <w:rPr>
          <w:snapToGrid w:val="0"/>
        </w:rPr>
        <w:t>, 30.514 son mujeres, es decir, el</w:t>
      </w:r>
      <w:r>
        <w:rPr>
          <w:snapToGrid w:val="0"/>
        </w:rPr>
        <w:t> </w:t>
      </w:r>
      <w:r w:rsidRPr="00451864">
        <w:rPr>
          <w:snapToGrid w:val="0"/>
        </w:rPr>
        <w:t>48,95%</w:t>
      </w:r>
      <w:r>
        <w:rPr>
          <w:snapToGrid w:val="0"/>
        </w:rPr>
        <w:t>;</w:t>
      </w:r>
    </w:p>
    <w:p w:rsidR="00DD0682" w:rsidRPr="00451864" w:rsidRDefault="00DD0682" w:rsidP="00DD0682">
      <w:pPr>
        <w:adjustRightInd w:val="0"/>
        <w:snapToGrid w:val="0"/>
        <w:spacing w:after="240"/>
        <w:ind w:left="924" w:hanging="357"/>
        <w:rPr>
          <w:snapToGrid w:val="0"/>
        </w:rPr>
      </w:pPr>
      <w:r>
        <w:rPr>
          <w:snapToGrid w:val="0"/>
        </w:rPr>
        <w:t>-</w:t>
      </w:r>
      <w:r>
        <w:rPr>
          <w:snapToGrid w:val="0"/>
        </w:rPr>
        <w:tab/>
      </w:r>
      <w:r w:rsidRPr="00451864">
        <w:rPr>
          <w:snapToGrid w:val="0"/>
        </w:rPr>
        <w:t xml:space="preserve">De los 22.650 docentes </w:t>
      </w:r>
      <w:r>
        <w:rPr>
          <w:snapToGrid w:val="0"/>
        </w:rPr>
        <w:t xml:space="preserve">del ciclo </w:t>
      </w:r>
      <w:r w:rsidRPr="00451864">
        <w:rPr>
          <w:snapToGrid w:val="0"/>
        </w:rPr>
        <w:t>de enseñanza superior, 7.309 son mujeres, es decir, el</w:t>
      </w:r>
      <w:r>
        <w:rPr>
          <w:snapToGrid w:val="0"/>
        </w:rPr>
        <w:t> </w:t>
      </w:r>
      <w:r w:rsidRPr="00451864">
        <w:rPr>
          <w:snapToGrid w:val="0"/>
        </w:rPr>
        <w:t>32,6%.</w:t>
      </w:r>
    </w:p>
    <w:p w:rsidR="00DD0682" w:rsidRPr="00451864" w:rsidRDefault="00DD0682" w:rsidP="00DD0682">
      <w:pPr>
        <w:adjustRightInd w:val="0"/>
        <w:snapToGrid w:val="0"/>
        <w:spacing w:after="240"/>
        <w:rPr>
          <w:snapToGrid w:val="0"/>
        </w:rPr>
      </w:pPr>
      <w:r w:rsidRPr="00451864">
        <w:rPr>
          <w:bCs/>
          <w:snapToGrid w:val="0"/>
        </w:rPr>
        <w:t>124</w:t>
      </w:r>
      <w:r w:rsidRPr="00451864">
        <w:rPr>
          <w:bCs/>
          <w:i/>
          <w:snapToGrid w:val="0"/>
        </w:rPr>
        <w:t>.</w:t>
      </w:r>
      <w:r w:rsidRPr="00CC3C0C">
        <w:rPr>
          <w:bCs/>
          <w:snapToGrid w:val="0"/>
        </w:rPr>
        <w:tab/>
      </w:r>
      <w:r w:rsidRPr="00582C85">
        <w:rPr>
          <w:bCs/>
          <w:snapToGrid w:val="0"/>
        </w:rPr>
        <w:t>En el sector de la magistratura,</w:t>
      </w:r>
      <w:r w:rsidRPr="00451864">
        <w:rPr>
          <w:bCs/>
          <w:i/>
          <w:snapToGrid w:val="0"/>
        </w:rPr>
        <w:t xml:space="preserve"> </w:t>
      </w:r>
      <w:r w:rsidRPr="00451864">
        <w:rPr>
          <w:snapToGrid w:val="0"/>
        </w:rPr>
        <w:t>de 3.339 magistrados, 1.187 son mujeres, es decir, el</w:t>
      </w:r>
      <w:r>
        <w:rPr>
          <w:snapToGrid w:val="0"/>
        </w:rPr>
        <w:t> </w:t>
      </w:r>
      <w:r w:rsidRPr="00451864">
        <w:rPr>
          <w:snapToGrid w:val="0"/>
        </w:rPr>
        <w:t>35,55% del total</w:t>
      </w:r>
      <w:r>
        <w:rPr>
          <w:snapToGrid w:val="0"/>
        </w:rPr>
        <w:t xml:space="preserve">.  </w:t>
      </w:r>
      <w:r w:rsidRPr="00451864">
        <w:rPr>
          <w:snapToGrid w:val="0"/>
        </w:rPr>
        <w:t xml:space="preserve">Cabe mencionar que hay </w:t>
      </w:r>
      <w:r>
        <w:rPr>
          <w:snapToGrid w:val="0"/>
        </w:rPr>
        <w:t>1</w:t>
      </w:r>
      <w:r w:rsidRPr="00451864">
        <w:rPr>
          <w:snapToGrid w:val="0"/>
        </w:rPr>
        <w:t xml:space="preserve"> Presidenta del Consejo de Estado, </w:t>
      </w:r>
      <w:r>
        <w:rPr>
          <w:snapToGrid w:val="0"/>
        </w:rPr>
        <w:t>3</w:t>
      </w:r>
      <w:r w:rsidRPr="00451864">
        <w:rPr>
          <w:snapToGrid w:val="0"/>
        </w:rPr>
        <w:t xml:space="preserve"> presidentas de </w:t>
      </w:r>
      <w:r>
        <w:rPr>
          <w:snapToGrid w:val="0"/>
        </w:rPr>
        <w:t>tribunales de primera instancia</w:t>
      </w:r>
      <w:r w:rsidRPr="00451864">
        <w:rPr>
          <w:snapToGrid w:val="0"/>
        </w:rPr>
        <w:t>, 31 presidentas de tribunales</w:t>
      </w:r>
      <w:r>
        <w:rPr>
          <w:snapToGrid w:val="0"/>
        </w:rPr>
        <w:t xml:space="preserve"> de segunda instancia</w:t>
      </w:r>
      <w:r w:rsidRPr="00451864">
        <w:rPr>
          <w:snapToGrid w:val="0"/>
        </w:rPr>
        <w:t>, 75 juezas de instrucción y 867 magistradas</w:t>
      </w:r>
      <w:r>
        <w:rPr>
          <w:snapToGrid w:val="0"/>
        </w:rPr>
        <w:t xml:space="preserve">.  </w:t>
      </w:r>
      <w:r w:rsidRPr="00451864">
        <w:rPr>
          <w:snapToGrid w:val="0"/>
        </w:rPr>
        <w:t xml:space="preserve">Debe destacarse igualmente que las mujeres ocupan </w:t>
      </w:r>
      <w:r>
        <w:rPr>
          <w:snapToGrid w:val="0"/>
        </w:rPr>
        <w:t>6</w:t>
      </w:r>
      <w:r w:rsidRPr="00451864">
        <w:rPr>
          <w:snapToGrid w:val="0"/>
        </w:rPr>
        <w:t xml:space="preserve"> de l</w:t>
      </w:r>
      <w:r>
        <w:rPr>
          <w:snapToGrid w:val="0"/>
        </w:rPr>
        <w:t>a</w:t>
      </w:r>
      <w:r w:rsidRPr="00451864">
        <w:rPr>
          <w:snapToGrid w:val="0"/>
        </w:rPr>
        <w:t>s</w:t>
      </w:r>
      <w:r>
        <w:rPr>
          <w:snapToGrid w:val="0"/>
        </w:rPr>
        <w:t> </w:t>
      </w:r>
      <w:r w:rsidRPr="00451864">
        <w:rPr>
          <w:snapToGrid w:val="0"/>
        </w:rPr>
        <w:t>15 presiden</w:t>
      </w:r>
      <w:r>
        <w:rPr>
          <w:snapToGrid w:val="0"/>
        </w:rPr>
        <w:t>cias</w:t>
      </w:r>
      <w:r w:rsidRPr="00451864">
        <w:rPr>
          <w:snapToGrid w:val="0"/>
        </w:rPr>
        <w:t xml:space="preserve"> de sección del Tribunal Supremo</w:t>
      </w:r>
      <w:r>
        <w:rPr>
          <w:snapToGrid w:val="0"/>
        </w:rPr>
        <w:t>, así como</w:t>
      </w:r>
      <w:r w:rsidRPr="00451864">
        <w:rPr>
          <w:snapToGrid w:val="0"/>
        </w:rPr>
        <w:t xml:space="preserve"> l</w:t>
      </w:r>
      <w:r>
        <w:rPr>
          <w:snapToGrid w:val="0"/>
        </w:rPr>
        <w:t>a</w:t>
      </w:r>
      <w:r w:rsidRPr="00451864">
        <w:rPr>
          <w:snapToGrid w:val="0"/>
        </w:rPr>
        <w:t xml:space="preserve">s </w:t>
      </w:r>
      <w:r>
        <w:rPr>
          <w:snapToGrid w:val="0"/>
        </w:rPr>
        <w:t>6</w:t>
      </w:r>
      <w:r w:rsidRPr="00451864">
        <w:rPr>
          <w:snapToGrid w:val="0"/>
        </w:rPr>
        <w:t xml:space="preserve"> </w:t>
      </w:r>
      <w:r>
        <w:rPr>
          <w:snapToGrid w:val="0"/>
        </w:rPr>
        <w:t>p</w:t>
      </w:r>
      <w:r w:rsidRPr="00451864">
        <w:rPr>
          <w:snapToGrid w:val="0"/>
        </w:rPr>
        <w:t>residen</w:t>
      </w:r>
      <w:r>
        <w:rPr>
          <w:snapToGrid w:val="0"/>
        </w:rPr>
        <w:t>cias</w:t>
      </w:r>
      <w:r w:rsidRPr="00451864">
        <w:rPr>
          <w:snapToGrid w:val="0"/>
        </w:rPr>
        <w:t xml:space="preserve"> de sección del Consejo de Estado.</w:t>
      </w:r>
    </w:p>
    <w:p w:rsidR="00DD0682" w:rsidRPr="00451864" w:rsidRDefault="00DD0682" w:rsidP="00DD0682">
      <w:pPr>
        <w:adjustRightInd w:val="0"/>
        <w:snapToGrid w:val="0"/>
        <w:spacing w:after="240"/>
        <w:rPr>
          <w:snapToGrid w:val="0"/>
        </w:rPr>
      </w:pPr>
      <w:r w:rsidRPr="00451864">
        <w:rPr>
          <w:snapToGrid w:val="0"/>
        </w:rPr>
        <w:t>125.</w:t>
      </w:r>
      <w:r>
        <w:rPr>
          <w:snapToGrid w:val="0"/>
        </w:rPr>
        <w:tab/>
      </w:r>
      <w:r w:rsidRPr="005659AB">
        <w:rPr>
          <w:snapToGrid w:val="0"/>
          <w:spacing w:val="-4"/>
        </w:rPr>
        <w:t>En la administración central del Ministerio de Justicia, de 146 puestos ejecutivos de alto nivel, las mujeres ocupan 22.  Del total de 13.737 funcionarios de todas las dependencias, 6.024 son mujeres, y de los 10.210 empleados de la secretaría judicial, 4.917 son mujeres, es decir, el 48,16%.</w:t>
      </w:r>
    </w:p>
    <w:p w:rsidR="00DD0682" w:rsidRPr="00451864" w:rsidRDefault="00DD0682" w:rsidP="00DD0682">
      <w:pPr>
        <w:adjustRightInd w:val="0"/>
        <w:snapToGrid w:val="0"/>
        <w:spacing w:after="240"/>
        <w:rPr>
          <w:snapToGrid w:val="0"/>
        </w:rPr>
      </w:pPr>
      <w:r w:rsidRPr="00674EF1">
        <w:rPr>
          <w:bCs/>
          <w:snapToGrid w:val="0"/>
        </w:rPr>
        <w:t>126.</w:t>
      </w:r>
      <w:r>
        <w:rPr>
          <w:bCs/>
          <w:snapToGrid w:val="0"/>
        </w:rPr>
        <w:tab/>
        <w:t>Los s</w:t>
      </w:r>
      <w:r w:rsidRPr="005659AB">
        <w:rPr>
          <w:bCs/>
          <w:snapToGrid w:val="0"/>
        </w:rPr>
        <w:t xml:space="preserve">ervicios de salud:  </w:t>
      </w:r>
      <w:r w:rsidRPr="00451864">
        <w:rPr>
          <w:snapToGrid w:val="0"/>
        </w:rPr>
        <w:t>las estadísticas muestran una participación creciente de la mujer en la esfera médica y farmacéutica</w:t>
      </w:r>
      <w:r>
        <w:rPr>
          <w:snapToGrid w:val="0"/>
        </w:rPr>
        <w:t xml:space="preserve">.  </w:t>
      </w:r>
      <w:r w:rsidRPr="00451864">
        <w:rPr>
          <w:snapToGrid w:val="0"/>
        </w:rPr>
        <w:t>En 1996, la tasa de participación de la mujer en estas profesiones se estimaba en el 51%; en el caso de los médicos de hospitales docentes era del</w:t>
      </w:r>
      <w:r>
        <w:rPr>
          <w:snapToGrid w:val="0"/>
        </w:rPr>
        <w:t> </w:t>
      </w:r>
      <w:r w:rsidRPr="00451864">
        <w:rPr>
          <w:snapToGrid w:val="0"/>
        </w:rPr>
        <w:t>36%;</w:t>
      </w:r>
      <w:r>
        <w:rPr>
          <w:snapToGrid w:val="0"/>
        </w:rPr>
        <w:t> </w:t>
      </w:r>
      <w:r w:rsidRPr="00451864">
        <w:rPr>
          <w:snapToGrid w:val="0"/>
        </w:rPr>
        <w:t>de los médicos especialistas, del 46,7%</w:t>
      </w:r>
      <w:r>
        <w:rPr>
          <w:snapToGrid w:val="0"/>
        </w:rPr>
        <w:t>,</w:t>
      </w:r>
      <w:r w:rsidRPr="00451864">
        <w:rPr>
          <w:snapToGrid w:val="0"/>
        </w:rPr>
        <w:t xml:space="preserve"> y de los generalistas, </w:t>
      </w:r>
      <w:r>
        <w:rPr>
          <w:snapToGrid w:val="0"/>
        </w:rPr>
        <w:t>d</w:t>
      </w:r>
      <w:r w:rsidRPr="00451864">
        <w:rPr>
          <w:snapToGrid w:val="0"/>
        </w:rPr>
        <w:t>el 48,6%</w:t>
      </w:r>
      <w:r>
        <w:rPr>
          <w:snapToGrid w:val="0"/>
        </w:rPr>
        <w:t xml:space="preserve">.  </w:t>
      </w:r>
      <w:r w:rsidRPr="00451864">
        <w:rPr>
          <w:snapToGrid w:val="0"/>
        </w:rPr>
        <w:t xml:space="preserve">Esa tasa asciende al 64,4% </w:t>
      </w:r>
      <w:r>
        <w:rPr>
          <w:snapToGrid w:val="0"/>
        </w:rPr>
        <w:t xml:space="preserve">en el caso </w:t>
      </w:r>
      <w:r w:rsidRPr="00451864">
        <w:rPr>
          <w:snapToGrid w:val="0"/>
        </w:rPr>
        <w:t xml:space="preserve">de los cirujanos dentistas y al 65,4% </w:t>
      </w:r>
      <w:r>
        <w:rPr>
          <w:snapToGrid w:val="0"/>
        </w:rPr>
        <w:t xml:space="preserve">en el </w:t>
      </w:r>
      <w:r w:rsidRPr="00451864">
        <w:rPr>
          <w:snapToGrid w:val="0"/>
        </w:rPr>
        <w:t>de los farmacéuticos.</w:t>
      </w:r>
    </w:p>
    <w:p w:rsidR="00DD0682" w:rsidRPr="00451864" w:rsidRDefault="00DD0682" w:rsidP="00DD0682">
      <w:pPr>
        <w:adjustRightInd w:val="0"/>
        <w:snapToGrid w:val="0"/>
        <w:spacing w:after="240"/>
        <w:rPr>
          <w:snapToGrid w:val="0"/>
        </w:rPr>
      </w:pPr>
      <w:r w:rsidRPr="00451864">
        <w:rPr>
          <w:snapToGrid w:val="0"/>
        </w:rPr>
        <w:t>127.</w:t>
      </w:r>
      <w:r>
        <w:rPr>
          <w:snapToGrid w:val="0"/>
        </w:rPr>
        <w:tab/>
      </w:r>
      <w:r w:rsidRPr="00451864">
        <w:rPr>
          <w:snapToGrid w:val="0"/>
        </w:rPr>
        <w:t xml:space="preserve">Es preciso citar también las medidas sumamente alentadoras tomadas por </w:t>
      </w:r>
      <w:r>
        <w:rPr>
          <w:snapToGrid w:val="0"/>
        </w:rPr>
        <w:t>e</w:t>
      </w:r>
      <w:r w:rsidRPr="00451864">
        <w:rPr>
          <w:snapToGrid w:val="0"/>
        </w:rPr>
        <w:t xml:space="preserve">l </w:t>
      </w:r>
      <w:r>
        <w:rPr>
          <w:snapToGrid w:val="0"/>
        </w:rPr>
        <w:t xml:space="preserve">Gobierno </w:t>
      </w:r>
      <w:r w:rsidRPr="00451864">
        <w:rPr>
          <w:snapToGrid w:val="0"/>
        </w:rPr>
        <w:t xml:space="preserve">para </w:t>
      </w:r>
      <w:r>
        <w:rPr>
          <w:snapToGrid w:val="0"/>
        </w:rPr>
        <w:t xml:space="preserve">aumentar la </w:t>
      </w:r>
      <w:r w:rsidRPr="00451864">
        <w:rPr>
          <w:snapToGrid w:val="0"/>
        </w:rPr>
        <w:t>presencia de la mujer en profesiones que hasta hace poco se consideraban patrimonio masculino.  La mujer argelina está cada vez más presente en los diferentes cuerpos del ejército</w:t>
      </w:r>
      <w:r>
        <w:rPr>
          <w:snapToGrid w:val="0"/>
        </w:rPr>
        <w:t>,</w:t>
      </w:r>
      <w:r w:rsidRPr="00451864">
        <w:rPr>
          <w:snapToGrid w:val="0"/>
        </w:rPr>
        <w:t xml:space="preserve"> </w:t>
      </w:r>
      <w:r>
        <w:rPr>
          <w:snapToGrid w:val="0"/>
        </w:rPr>
        <w:t>en</w:t>
      </w:r>
      <w:r w:rsidRPr="00451864">
        <w:rPr>
          <w:snapToGrid w:val="0"/>
        </w:rPr>
        <w:t xml:space="preserve"> la gendarmería nacional</w:t>
      </w:r>
      <w:r>
        <w:rPr>
          <w:snapToGrid w:val="0"/>
        </w:rPr>
        <w:t xml:space="preserve"> y</w:t>
      </w:r>
      <w:r w:rsidRPr="00451864">
        <w:rPr>
          <w:snapToGrid w:val="0"/>
        </w:rPr>
        <w:t xml:space="preserve"> en el sector de la policía nacional</w:t>
      </w:r>
      <w:r>
        <w:rPr>
          <w:snapToGrid w:val="0"/>
        </w:rPr>
        <w:t>,</w:t>
      </w:r>
      <w:r w:rsidRPr="00451864">
        <w:rPr>
          <w:snapToGrid w:val="0"/>
        </w:rPr>
        <w:t xml:space="preserve"> que a nivel de comisaría y en las unidades operativas de </w:t>
      </w:r>
      <w:r>
        <w:rPr>
          <w:snapToGrid w:val="0"/>
        </w:rPr>
        <w:t xml:space="preserve">la </w:t>
      </w:r>
      <w:r w:rsidRPr="00451864">
        <w:rPr>
          <w:snapToGrid w:val="0"/>
        </w:rPr>
        <w:t xml:space="preserve">protección civil </w:t>
      </w:r>
      <w:r>
        <w:rPr>
          <w:snapToGrid w:val="0"/>
        </w:rPr>
        <w:t xml:space="preserve">desarrolla actividades </w:t>
      </w:r>
      <w:r w:rsidRPr="00451864">
        <w:rPr>
          <w:snapToGrid w:val="0"/>
        </w:rPr>
        <w:t>y crea espacios de orientación para las mujeres en dif</w:t>
      </w:r>
      <w:r>
        <w:rPr>
          <w:snapToGrid w:val="0"/>
        </w:rPr>
        <w:t>í</w:t>
      </w:r>
      <w:r w:rsidRPr="00451864">
        <w:rPr>
          <w:snapToGrid w:val="0"/>
        </w:rPr>
        <w:t>c</w:t>
      </w:r>
      <w:r>
        <w:rPr>
          <w:snapToGrid w:val="0"/>
        </w:rPr>
        <w:t>il situación</w:t>
      </w:r>
      <w:r w:rsidRPr="00451864">
        <w:rPr>
          <w:snapToGrid w:val="0"/>
        </w:rPr>
        <w:t>.</w:t>
      </w:r>
    </w:p>
    <w:p w:rsidR="00DD0682" w:rsidRPr="00451864" w:rsidRDefault="00DD0682" w:rsidP="00DD0682">
      <w:pPr>
        <w:adjustRightInd w:val="0"/>
        <w:snapToGrid w:val="0"/>
        <w:spacing w:after="240"/>
        <w:rPr>
          <w:snapToGrid w:val="0"/>
        </w:rPr>
      </w:pPr>
      <w:r w:rsidRPr="00451864">
        <w:rPr>
          <w:snapToGrid w:val="0"/>
        </w:rPr>
        <w:t>128.</w:t>
      </w:r>
      <w:r>
        <w:rPr>
          <w:snapToGrid w:val="0"/>
        </w:rPr>
        <w:tab/>
      </w:r>
      <w:r w:rsidRPr="00451864">
        <w:rPr>
          <w:snapToGrid w:val="0"/>
        </w:rPr>
        <w:t xml:space="preserve">De ese modo y pese al carácter específico de esos cuerpos, se </w:t>
      </w:r>
      <w:r>
        <w:rPr>
          <w:snapToGrid w:val="0"/>
        </w:rPr>
        <w:t xml:space="preserve">emprenden </w:t>
      </w:r>
      <w:r w:rsidRPr="00451864">
        <w:rPr>
          <w:snapToGrid w:val="0"/>
        </w:rPr>
        <w:t xml:space="preserve">medidas para </w:t>
      </w:r>
      <w:r>
        <w:rPr>
          <w:snapToGrid w:val="0"/>
        </w:rPr>
        <w:t xml:space="preserve">superar </w:t>
      </w:r>
      <w:r w:rsidRPr="00451864">
        <w:rPr>
          <w:snapToGrid w:val="0"/>
        </w:rPr>
        <w:t xml:space="preserve">los obstáculos y barreras psicológicas que </w:t>
      </w:r>
      <w:r>
        <w:rPr>
          <w:snapToGrid w:val="0"/>
        </w:rPr>
        <w:t xml:space="preserve">dificultan </w:t>
      </w:r>
      <w:r w:rsidRPr="00451864">
        <w:rPr>
          <w:snapToGrid w:val="0"/>
        </w:rPr>
        <w:t>la contratación de personal femenino en toda</w:t>
      </w:r>
      <w:r>
        <w:rPr>
          <w:snapToGrid w:val="0"/>
        </w:rPr>
        <w:t>s</w:t>
      </w:r>
      <w:r w:rsidRPr="00451864">
        <w:rPr>
          <w:snapToGrid w:val="0"/>
        </w:rPr>
        <w:t xml:space="preserve"> las esferas y sectores.</w:t>
      </w:r>
    </w:p>
    <w:p w:rsidR="00DD0682" w:rsidRPr="00451864" w:rsidRDefault="00DD0682" w:rsidP="00DD0682">
      <w:pPr>
        <w:adjustRightInd w:val="0"/>
        <w:snapToGrid w:val="0"/>
        <w:spacing w:after="240"/>
        <w:rPr>
          <w:snapToGrid w:val="0"/>
        </w:rPr>
      </w:pPr>
      <w:r>
        <w:rPr>
          <w:b/>
          <w:snapToGrid w:val="0"/>
        </w:rPr>
        <w:tab/>
      </w:r>
      <w:r w:rsidRPr="00451864">
        <w:rPr>
          <w:b/>
          <w:snapToGrid w:val="0"/>
        </w:rPr>
        <w:t>Lucha contra los estereotipos</w:t>
      </w:r>
    </w:p>
    <w:p w:rsidR="00DD0682" w:rsidRPr="00451864" w:rsidRDefault="00DD0682" w:rsidP="00DD0682">
      <w:pPr>
        <w:adjustRightInd w:val="0"/>
        <w:snapToGrid w:val="0"/>
        <w:spacing w:after="240"/>
        <w:rPr>
          <w:snapToGrid w:val="0"/>
        </w:rPr>
      </w:pPr>
      <w:r w:rsidRPr="00451864">
        <w:rPr>
          <w:snapToGrid w:val="0"/>
        </w:rPr>
        <w:t>129.</w:t>
      </w:r>
      <w:r>
        <w:rPr>
          <w:snapToGrid w:val="0"/>
        </w:rPr>
        <w:tab/>
      </w:r>
      <w:r w:rsidRPr="00451864">
        <w:rPr>
          <w:snapToGrid w:val="0"/>
        </w:rPr>
        <w:t>En septiembre de 2003</w:t>
      </w:r>
      <w:r>
        <w:rPr>
          <w:snapToGrid w:val="0"/>
        </w:rPr>
        <w:t>,</w:t>
      </w:r>
      <w:r w:rsidRPr="00451864">
        <w:rPr>
          <w:snapToGrid w:val="0"/>
        </w:rPr>
        <w:t xml:space="preserve"> </w:t>
      </w:r>
      <w:r>
        <w:rPr>
          <w:snapToGrid w:val="0"/>
        </w:rPr>
        <w:t>e</w:t>
      </w:r>
      <w:r w:rsidRPr="00451864">
        <w:rPr>
          <w:snapToGrid w:val="0"/>
        </w:rPr>
        <w:t xml:space="preserve">l Estado argelino emprendió </w:t>
      </w:r>
      <w:r>
        <w:rPr>
          <w:snapToGrid w:val="0"/>
        </w:rPr>
        <w:t>l</w:t>
      </w:r>
      <w:r w:rsidRPr="00451864">
        <w:rPr>
          <w:snapToGrid w:val="0"/>
        </w:rPr>
        <w:t>a reforma de su sistema educativo, con objeto de fundar una escuela moderna y republicana que impartiera a los niños una enseñanza de calidad y formara a los ciudadanos del mañana.</w:t>
      </w:r>
    </w:p>
    <w:p w:rsidR="00DD0682" w:rsidRPr="00451864" w:rsidRDefault="00DD0682" w:rsidP="00DD0682">
      <w:pPr>
        <w:adjustRightInd w:val="0"/>
        <w:snapToGrid w:val="0"/>
        <w:spacing w:after="240"/>
        <w:rPr>
          <w:snapToGrid w:val="0"/>
        </w:rPr>
      </w:pPr>
      <w:r w:rsidRPr="00451864">
        <w:rPr>
          <w:snapToGrid w:val="0"/>
        </w:rPr>
        <w:t>130.</w:t>
      </w:r>
      <w:r>
        <w:rPr>
          <w:snapToGrid w:val="0"/>
        </w:rPr>
        <w:tab/>
      </w:r>
      <w:r w:rsidRPr="00451864">
        <w:rPr>
          <w:snapToGrid w:val="0"/>
        </w:rPr>
        <w:t xml:space="preserve">Se trata de una reforma profunda y radical </w:t>
      </w:r>
      <w:r>
        <w:rPr>
          <w:snapToGrid w:val="0"/>
        </w:rPr>
        <w:t>destinada a</w:t>
      </w:r>
      <w:r w:rsidRPr="00451864">
        <w:rPr>
          <w:snapToGrid w:val="0"/>
        </w:rPr>
        <w:t xml:space="preserve"> elevar la calificación del personal docente, reorganizar a fondo los programas y manuales escolares, reestructurar el sistema, modernizar el funcionamiento de los centros y </w:t>
      </w:r>
      <w:r>
        <w:rPr>
          <w:snapToGrid w:val="0"/>
        </w:rPr>
        <w:t xml:space="preserve">asignar </w:t>
      </w:r>
      <w:r w:rsidRPr="00451864">
        <w:rPr>
          <w:snapToGrid w:val="0"/>
        </w:rPr>
        <w:t>nuevas funciones a los diferentes protagonistas, desde el director de centro hasta los maest</w:t>
      </w:r>
      <w:r>
        <w:rPr>
          <w:snapToGrid w:val="0"/>
        </w:rPr>
        <w:t>r</w:t>
      </w:r>
      <w:r w:rsidRPr="00451864">
        <w:rPr>
          <w:snapToGrid w:val="0"/>
        </w:rPr>
        <w:t>os, los alumnos y sus padres.</w:t>
      </w:r>
    </w:p>
    <w:p w:rsidR="00DD0682" w:rsidRPr="00451864" w:rsidRDefault="00DD0682" w:rsidP="00DD0682">
      <w:pPr>
        <w:adjustRightInd w:val="0"/>
        <w:snapToGrid w:val="0"/>
        <w:spacing w:after="240"/>
        <w:rPr>
          <w:snapToGrid w:val="0"/>
        </w:rPr>
      </w:pPr>
      <w:r w:rsidRPr="00451864">
        <w:rPr>
          <w:snapToGrid w:val="0"/>
        </w:rPr>
        <w:t>131.</w:t>
      </w:r>
      <w:r>
        <w:rPr>
          <w:snapToGrid w:val="0"/>
        </w:rPr>
        <w:tab/>
      </w:r>
      <w:r w:rsidRPr="00451864">
        <w:rPr>
          <w:snapToGrid w:val="0"/>
        </w:rPr>
        <w:t xml:space="preserve">Se han incorporado nuevos contenidos en los programas de estudio, como la educación sobre los derechos humanos (Convención sobre los Derechos del Niño y derecho internacional humanitario, entre otros aspectos), </w:t>
      </w:r>
      <w:r>
        <w:rPr>
          <w:snapToGrid w:val="0"/>
        </w:rPr>
        <w:t xml:space="preserve">las </w:t>
      </w:r>
      <w:r w:rsidRPr="00451864">
        <w:rPr>
          <w:snapToGrid w:val="0"/>
        </w:rPr>
        <w:t xml:space="preserve">nociones de demografía, </w:t>
      </w:r>
      <w:r>
        <w:rPr>
          <w:snapToGrid w:val="0"/>
        </w:rPr>
        <w:t xml:space="preserve">la </w:t>
      </w:r>
      <w:r w:rsidRPr="00451864">
        <w:rPr>
          <w:snapToGrid w:val="0"/>
        </w:rPr>
        <w:t xml:space="preserve">educación sanitaria, </w:t>
      </w:r>
      <w:r>
        <w:rPr>
          <w:snapToGrid w:val="0"/>
        </w:rPr>
        <w:t xml:space="preserve">la </w:t>
      </w:r>
      <w:r w:rsidRPr="00451864">
        <w:rPr>
          <w:snapToGrid w:val="0"/>
        </w:rPr>
        <w:t xml:space="preserve">educación global y </w:t>
      </w:r>
      <w:r>
        <w:rPr>
          <w:snapToGrid w:val="0"/>
        </w:rPr>
        <w:t xml:space="preserve">la </w:t>
      </w:r>
      <w:r w:rsidRPr="00451864">
        <w:rPr>
          <w:snapToGrid w:val="0"/>
        </w:rPr>
        <w:t>educación sobre el medio ambiente</w:t>
      </w:r>
      <w:r>
        <w:rPr>
          <w:snapToGrid w:val="0"/>
        </w:rPr>
        <w:t xml:space="preserve">.  </w:t>
      </w:r>
      <w:r w:rsidRPr="00451864">
        <w:rPr>
          <w:snapToGrid w:val="0"/>
        </w:rPr>
        <w:t>En pocas palabras, se trata de una verdadera educación ciudadana.</w:t>
      </w:r>
    </w:p>
    <w:p w:rsidR="00DD0682" w:rsidRPr="00451864" w:rsidRDefault="00DD0682" w:rsidP="00DD0682">
      <w:pPr>
        <w:adjustRightInd w:val="0"/>
        <w:snapToGrid w:val="0"/>
        <w:spacing w:after="240"/>
        <w:rPr>
          <w:snapToGrid w:val="0"/>
        </w:rPr>
      </w:pPr>
      <w:r w:rsidRPr="00451864">
        <w:rPr>
          <w:snapToGrid w:val="0"/>
        </w:rPr>
        <w:t>132.</w:t>
      </w:r>
      <w:r>
        <w:rPr>
          <w:snapToGrid w:val="0"/>
        </w:rPr>
        <w:tab/>
      </w:r>
      <w:r w:rsidRPr="00451864">
        <w:rPr>
          <w:snapToGrid w:val="0"/>
        </w:rPr>
        <w:t xml:space="preserve">Se imparten los principios relacionados con los valores universales de paz, tolerancia, respeto a los demás, ayuda mutua y solidaridad, que se encuadran en los contenidos de la educación cívica, así como los principios de la educación islámica y otras materias, en el </w:t>
      </w:r>
      <w:r>
        <w:rPr>
          <w:snapToGrid w:val="0"/>
        </w:rPr>
        <w:t xml:space="preserve">marco </w:t>
      </w:r>
      <w:r w:rsidRPr="00451864">
        <w:rPr>
          <w:snapToGrid w:val="0"/>
        </w:rPr>
        <w:t>de programas interdisciplinarios y dis</w:t>
      </w:r>
      <w:r>
        <w:rPr>
          <w:snapToGrid w:val="0"/>
        </w:rPr>
        <w:t>c</w:t>
      </w:r>
      <w:r w:rsidRPr="00451864">
        <w:rPr>
          <w:snapToGrid w:val="0"/>
        </w:rPr>
        <w:t>iplinas complementarias.</w:t>
      </w:r>
      <w:r>
        <w:rPr>
          <w:snapToGrid w:val="0"/>
        </w:rPr>
        <w:t xml:space="preserve"> </w:t>
      </w:r>
      <w:r w:rsidRPr="00451864">
        <w:rPr>
          <w:snapToGrid w:val="0"/>
        </w:rPr>
        <w:t xml:space="preserve"> Los principios religiosos que se transmiten son, por tanto, los que se relacionan con los citados valores y forman parte del patrimonio religioso de Argelia.</w:t>
      </w:r>
    </w:p>
    <w:p w:rsidR="00DD0682" w:rsidRPr="00451864" w:rsidRDefault="00DD0682" w:rsidP="00DD0682">
      <w:pPr>
        <w:adjustRightInd w:val="0"/>
        <w:snapToGrid w:val="0"/>
        <w:spacing w:after="240"/>
        <w:rPr>
          <w:snapToGrid w:val="0"/>
        </w:rPr>
      </w:pPr>
      <w:r w:rsidRPr="00451864">
        <w:rPr>
          <w:snapToGrid w:val="0"/>
        </w:rPr>
        <w:t>133.</w:t>
      </w:r>
      <w:r>
        <w:rPr>
          <w:snapToGrid w:val="0"/>
        </w:rPr>
        <w:tab/>
      </w:r>
      <w:r w:rsidRPr="00451864">
        <w:rPr>
          <w:snapToGrid w:val="0"/>
        </w:rPr>
        <w:t xml:space="preserve">Si bien en el pasado los manuales escolares contenían ilustraciones que hacían referencia a estereotipos discriminatorios, hoy no </w:t>
      </w:r>
      <w:r>
        <w:rPr>
          <w:snapToGrid w:val="0"/>
        </w:rPr>
        <w:t xml:space="preserve">ocurre nada semejante.  </w:t>
      </w:r>
      <w:r w:rsidRPr="00451864">
        <w:rPr>
          <w:snapToGrid w:val="0"/>
        </w:rPr>
        <w:t xml:space="preserve">En efecto, todos los manuales escolares se someten a una inspección previa, sistemática y rigurosa, y su distribución en los centros de enseñanza está supeditada a una homologación </w:t>
      </w:r>
      <w:r>
        <w:rPr>
          <w:snapToGrid w:val="0"/>
        </w:rPr>
        <w:t xml:space="preserve">a cargo de </w:t>
      </w:r>
      <w:r w:rsidRPr="00451864">
        <w:rPr>
          <w:snapToGrid w:val="0"/>
        </w:rPr>
        <w:t>una comisión de expertos  en la materia</w:t>
      </w:r>
      <w:r>
        <w:rPr>
          <w:snapToGrid w:val="0"/>
        </w:rPr>
        <w:t xml:space="preserve">.  </w:t>
      </w:r>
      <w:r w:rsidRPr="00451864">
        <w:rPr>
          <w:snapToGrid w:val="0"/>
        </w:rPr>
        <w:t xml:space="preserve">Sobre la base de que la norma de derecho es general y abstracta, era lógico que ese principio rector se consagrara </w:t>
      </w:r>
      <w:r>
        <w:rPr>
          <w:snapToGrid w:val="0"/>
        </w:rPr>
        <w:t xml:space="preserve">de manera fehaciente </w:t>
      </w:r>
      <w:r w:rsidRPr="00451864">
        <w:rPr>
          <w:snapToGrid w:val="0"/>
        </w:rPr>
        <w:t>en la legislación argelina como en cualquier otra legislación.</w:t>
      </w:r>
    </w:p>
    <w:p w:rsidR="00DD0682" w:rsidRPr="00451864" w:rsidRDefault="00DD0682" w:rsidP="00DD0682">
      <w:pPr>
        <w:adjustRightInd w:val="0"/>
        <w:snapToGrid w:val="0"/>
        <w:spacing w:after="240"/>
        <w:rPr>
          <w:snapToGrid w:val="0"/>
        </w:rPr>
      </w:pPr>
      <w:r w:rsidRPr="00451864">
        <w:rPr>
          <w:snapToGrid w:val="0"/>
        </w:rPr>
        <w:t>134.</w:t>
      </w:r>
      <w:r>
        <w:rPr>
          <w:snapToGrid w:val="0"/>
        </w:rPr>
        <w:tab/>
      </w:r>
      <w:r w:rsidRPr="00451864">
        <w:rPr>
          <w:snapToGrid w:val="0"/>
        </w:rPr>
        <w:t>Resultaba aún más evidente que</w:t>
      </w:r>
      <w:r>
        <w:rPr>
          <w:snapToGrid w:val="0"/>
        </w:rPr>
        <w:t xml:space="preserve">, dada su función de regulación de la vida social, </w:t>
      </w:r>
      <w:r w:rsidRPr="00451864">
        <w:rPr>
          <w:snapToGrid w:val="0"/>
        </w:rPr>
        <w:t xml:space="preserve">las leyes internas que rigen las relaciones sociales consagraran en sus disposiciones el espíritu igualitario de la ley y garantizaran que en la solución y el </w:t>
      </w:r>
      <w:r>
        <w:rPr>
          <w:snapToGrid w:val="0"/>
        </w:rPr>
        <w:t xml:space="preserve">tratamiento </w:t>
      </w:r>
      <w:r w:rsidRPr="00451864">
        <w:rPr>
          <w:snapToGrid w:val="0"/>
        </w:rPr>
        <w:t>judicial de los litigios civiles y procedimientos penales imperara una paridad judicial libre de todo tipo de discriminación.</w:t>
      </w:r>
    </w:p>
    <w:p w:rsidR="00DD0682" w:rsidRPr="00451864" w:rsidRDefault="00DD0682" w:rsidP="00DD0682">
      <w:pPr>
        <w:adjustRightInd w:val="0"/>
        <w:snapToGrid w:val="0"/>
        <w:spacing w:after="240"/>
        <w:rPr>
          <w:snapToGrid w:val="0"/>
        </w:rPr>
      </w:pPr>
      <w:r w:rsidRPr="00451864">
        <w:rPr>
          <w:snapToGrid w:val="0"/>
        </w:rPr>
        <w:t>135.</w:t>
      </w:r>
      <w:r>
        <w:rPr>
          <w:snapToGrid w:val="0"/>
        </w:rPr>
        <w:tab/>
      </w:r>
      <w:r w:rsidRPr="00451864">
        <w:rPr>
          <w:snapToGrid w:val="0"/>
        </w:rPr>
        <w:t>En lo tocante a la legislación penal, Argelia, que proclam</w:t>
      </w:r>
      <w:r>
        <w:rPr>
          <w:snapToGrid w:val="0"/>
        </w:rPr>
        <w:t>ó en todo momento</w:t>
      </w:r>
      <w:r w:rsidRPr="00451864">
        <w:rPr>
          <w:snapToGrid w:val="0"/>
        </w:rPr>
        <w:t xml:space="preserve"> su firme respeto a los derechos y libertades individuales y al principio de la legalidad de las penas, se ha inspirado siempre en los principios universales de los derechos humanos a</w:t>
      </w:r>
      <w:r>
        <w:rPr>
          <w:snapToGrid w:val="0"/>
        </w:rPr>
        <w:t>l</w:t>
      </w:r>
      <w:r w:rsidRPr="00451864">
        <w:rPr>
          <w:snapToGrid w:val="0"/>
        </w:rPr>
        <w:t xml:space="preserve"> determinar las reglas aplicables al tratamiento de las personas sometidas a la acción de la justicia, sin ningún tipo de discriminación y/o distinción por motivos de sexo u opinión.</w:t>
      </w:r>
    </w:p>
    <w:p w:rsidR="00DD0682" w:rsidRPr="00451864" w:rsidRDefault="00DD0682" w:rsidP="00DD0682">
      <w:pPr>
        <w:adjustRightInd w:val="0"/>
        <w:snapToGrid w:val="0"/>
        <w:spacing w:after="240"/>
        <w:rPr>
          <w:snapToGrid w:val="0"/>
        </w:rPr>
      </w:pPr>
      <w:r w:rsidRPr="00451864">
        <w:rPr>
          <w:snapToGrid w:val="0"/>
        </w:rPr>
        <w:t>136.</w:t>
      </w:r>
      <w:r>
        <w:rPr>
          <w:snapToGrid w:val="0"/>
        </w:rPr>
        <w:tab/>
      </w:r>
      <w:r w:rsidRPr="00451864">
        <w:rPr>
          <w:snapToGrid w:val="0"/>
        </w:rPr>
        <w:t xml:space="preserve">Por </w:t>
      </w:r>
      <w:r>
        <w:rPr>
          <w:snapToGrid w:val="0"/>
        </w:rPr>
        <w:t>esa</w:t>
      </w:r>
      <w:r w:rsidRPr="00451864">
        <w:rPr>
          <w:snapToGrid w:val="0"/>
        </w:rPr>
        <w:t xml:space="preserve"> razón, sería </w:t>
      </w:r>
      <w:r>
        <w:rPr>
          <w:snapToGrid w:val="0"/>
        </w:rPr>
        <w:t xml:space="preserve">un </w:t>
      </w:r>
      <w:r w:rsidRPr="00451864">
        <w:rPr>
          <w:snapToGrid w:val="0"/>
        </w:rPr>
        <w:t>erro</w:t>
      </w:r>
      <w:r>
        <w:rPr>
          <w:snapToGrid w:val="0"/>
        </w:rPr>
        <w:t>r</w:t>
      </w:r>
      <w:r w:rsidRPr="00451864">
        <w:rPr>
          <w:snapToGrid w:val="0"/>
        </w:rPr>
        <w:t xml:space="preserve"> </w:t>
      </w:r>
      <w:r>
        <w:rPr>
          <w:snapToGrid w:val="0"/>
        </w:rPr>
        <w:t xml:space="preserve">deducir </w:t>
      </w:r>
      <w:r w:rsidRPr="00451864">
        <w:rPr>
          <w:snapToGrid w:val="0"/>
        </w:rPr>
        <w:t>que en el ordenamiento jurídico penal de Argelia exist</w:t>
      </w:r>
      <w:r>
        <w:rPr>
          <w:snapToGrid w:val="0"/>
        </w:rPr>
        <w:t>e</w:t>
      </w:r>
      <w:r w:rsidRPr="00451864">
        <w:rPr>
          <w:snapToGrid w:val="0"/>
        </w:rPr>
        <w:t xml:space="preserve"> </w:t>
      </w:r>
      <w:r>
        <w:rPr>
          <w:snapToGrid w:val="0"/>
        </w:rPr>
        <w:t xml:space="preserve">la menor </w:t>
      </w:r>
      <w:r w:rsidRPr="00451864">
        <w:rPr>
          <w:snapToGrid w:val="0"/>
        </w:rPr>
        <w:t xml:space="preserve">disparidad entre </w:t>
      </w:r>
      <w:r>
        <w:rPr>
          <w:snapToGrid w:val="0"/>
        </w:rPr>
        <w:t xml:space="preserve">el </w:t>
      </w:r>
      <w:r w:rsidRPr="00451864">
        <w:rPr>
          <w:snapToGrid w:val="0"/>
        </w:rPr>
        <w:t xml:space="preserve">hombre y </w:t>
      </w:r>
      <w:r>
        <w:rPr>
          <w:snapToGrid w:val="0"/>
        </w:rPr>
        <w:t xml:space="preserve">la </w:t>
      </w:r>
      <w:r w:rsidRPr="00451864">
        <w:rPr>
          <w:snapToGrid w:val="0"/>
        </w:rPr>
        <w:t>mujer o alguna situación específicamente diferente para la mujer.</w:t>
      </w:r>
    </w:p>
    <w:p w:rsidR="00DD0682" w:rsidRPr="00451864" w:rsidRDefault="00DD0682" w:rsidP="00DD0682">
      <w:pPr>
        <w:adjustRightInd w:val="0"/>
        <w:snapToGrid w:val="0"/>
        <w:spacing w:after="240"/>
        <w:rPr>
          <w:snapToGrid w:val="0"/>
        </w:rPr>
      </w:pPr>
      <w:r w:rsidRPr="00451864">
        <w:rPr>
          <w:snapToGrid w:val="0"/>
        </w:rPr>
        <w:t>137.</w:t>
      </w:r>
      <w:r>
        <w:rPr>
          <w:snapToGrid w:val="0"/>
        </w:rPr>
        <w:tab/>
        <w:t>Es innegable,</w:t>
      </w:r>
      <w:r w:rsidRPr="00451864">
        <w:rPr>
          <w:snapToGrid w:val="0"/>
        </w:rPr>
        <w:t xml:space="preserve"> en efecto, que en las disposiciones de </w:t>
      </w:r>
      <w:r>
        <w:rPr>
          <w:snapToGrid w:val="0"/>
        </w:rPr>
        <w:t xml:space="preserve">los </w:t>
      </w:r>
      <w:r w:rsidRPr="00451864">
        <w:rPr>
          <w:snapToGrid w:val="0"/>
        </w:rPr>
        <w:t xml:space="preserve">instrumentos de carácter represivo, como </w:t>
      </w:r>
      <w:r>
        <w:rPr>
          <w:snapToGrid w:val="0"/>
        </w:rPr>
        <w:t xml:space="preserve">son </w:t>
      </w:r>
      <w:r w:rsidRPr="00451864">
        <w:rPr>
          <w:snapToGrid w:val="0"/>
        </w:rPr>
        <w:t xml:space="preserve">el Código Penal, el Código de Procedimiento Penal y otros </w:t>
      </w:r>
      <w:r>
        <w:rPr>
          <w:snapToGrid w:val="0"/>
        </w:rPr>
        <w:t xml:space="preserve">textos legales </w:t>
      </w:r>
      <w:r w:rsidRPr="00451864">
        <w:rPr>
          <w:snapToGrid w:val="0"/>
        </w:rPr>
        <w:t>especiales</w:t>
      </w:r>
      <w:r>
        <w:rPr>
          <w:snapToGrid w:val="0"/>
        </w:rPr>
        <w:t>,</w:t>
      </w:r>
      <w:r w:rsidRPr="00451864">
        <w:rPr>
          <w:snapToGrid w:val="0"/>
        </w:rPr>
        <w:t xml:space="preserve"> no se menciona en modo alguno a la mujer como tal, en el entendimiento de que la ley penal, en su norma imperativa, </w:t>
      </w:r>
      <w:r>
        <w:rPr>
          <w:snapToGrid w:val="0"/>
        </w:rPr>
        <w:t>va</w:t>
      </w:r>
      <w:r w:rsidRPr="00451864">
        <w:rPr>
          <w:snapToGrid w:val="0"/>
        </w:rPr>
        <w:t xml:space="preserve"> dirigida a todas las personas de manera general, </w:t>
      </w:r>
      <w:r>
        <w:rPr>
          <w:snapToGrid w:val="0"/>
        </w:rPr>
        <w:t>"</w:t>
      </w:r>
      <w:r w:rsidRPr="00451864">
        <w:rPr>
          <w:snapToGrid w:val="0"/>
        </w:rPr>
        <w:t>impersonal</w:t>
      </w:r>
      <w:r>
        <w:rPr>
          <w:snapToGrid w:val="0"/>
        </w:rPr>
        <w:t>"</w:t>
      </w:r>
      <w:r w:rsidRPr="00451864">
        <w:rPr>
          <w:snapToGrid w:val="0"/>
        </w:rPr>
        <w:t xml:space="preserve"> y abstracta.</w:t>
      </w:r>
    </w:p>
    <w:p w:rsidR="00DD0682" w:rsidRPr="00451864" w:rsidRDefault="00DD0682" w:rsidP="00DD0682">
      <w:pPr>
        <w:adjustRightInd w:val="0"/>
        <w:snapToGrid w:val="0"/>
        <w:spacing w:after="240"/>
        <w:rPr>
          <w:snapToGrid w:val="0"/>
        </w:rPr>
      </w:pPr>
      <w:r w:rsidRPr="00451864">
        <w:rPr>
          <w:snapToGrid w:val="0"/>
        </w:rPr>
        <w:t>138.</w:t>
      </w:r>
      <w:r>
        <w:rPr>
          <w:snapToGrid w:val="0"/>
        </w:rPr>
        <w:tab/>
      </w:r>
      <w:r w:rsidRPr="00451864">
        <w:rPr>
          <w:snapToGrid w:val="0"/>
        </w:rPr>
        <w:t>Sin embargo, los legisladores argelinos, conscientes de la situación social de la mujer argelina en la sociedad en general y en el hogar en particular, ha</w:t>
      </w:r>
      <w:r>
        <w:rPr>
          <w:snapToGrid w:val="0"/>
        </w:rPr>
        <w:t>n</w:t>
      </w:r>
      <w:r w:rsidRPr="00451864">
        <w:rPr>
          <w:snapToGrid w:val="0"/>
        </w:rPr>
        <w:t xml:space="preserve"> tomado medidas para consolidar sus derechos, dotándola de garantías iguales a las de su cónyuge, que además la protegen contra toda dominación vindicativa por parte de </w:t>
      </w:r>
      <w:r>
        <w:rPr>
          <w:snapToGrid w:val="0"/>
        </w:rPr>
        <w:t xml:space="preserve">éste </w:t>
      </w:r>
      <w:r w:rsidRPr="00451864">
        <w:rPr>
          <w:snapToGrid w:val="0"/>
        </w:rPr>
        <w:t>tras la disolución legal del matrimonio, del modo que se expone a continuación:</w:t>
      </w:r>
    </w:p>
    <w:p w:rsidR="00DD0682" w:rsidRPr="00451864" w:rsidRDefault="00DD0682" w:rsidP="00DD0682">
      <w:pPr>
        <w:adjustRightInd w:val="0"/>
        <w:snapToGrid w:val="0"/>
        <w:spacing w:after="240"/>
        <w:ind w:left="567"/>
        <w:rPr>
          <w:snapToGrid w:val="0"/>
        </w:rPr>
      </w:pPr>
      <w:r w:rsidRPr="0063254D">
        <w:rPr>
          <w:bCs/>
          <w:snapToGrid w:val="0"/>
        </w:rPr>
        <w:t>1.</w:t>
      </w:r>
      <w:r w:rsidRPr="0063254D">
        <w:rPr>
          <w:snapToGrid w:val="0"/>
        </w:rPr>
        <w:tab/>
      </w:r>
      <w:r w:rsidRPr="00451864">
        <w:rPr>
          <w:snapToGrid w:val="0"/>
        </w:rPr>
        <w:t xml:space="preserve">Así, en materia de divorcio, la sentencia que sanciona la disolución del matrimonio es dictada en primera y última instancia por el tribunal de primera instancia y no es susceptible de apelación, como anteriormente ocurría, excepto por lo que hace a las disposiciones relativas a la pensión alimenticia y/o las reparaciones civiles o daños y perjuicios.  </w:t>
      </w:r>
      <w:r>
        <w:rPr>
          <w:snapToGrid w:val="0"/>
        </w:rPr>
        <w:t>(</w:t>
      </w:r>
      <w:r w:rsidRPr="00451864">
        <w:rPr>
          <w:snapToGrid w:val="0"/>
        </w:rPr>
        <w:t xml:space="preserve">El artículo 57 de la Ley Nº 84-11, de 9 de junio de 1984, modificada por la Ley Nº 05-09, de 4 de mayo de 2005, sobre el Código de la Familia dispone:  </w:t>
      </w:r>
      <w:r>
        <w:rPr>
          <w:snapToGrid w:val="0"/>
        </w:rPr>
        <w:t>"</w:t>
      </w:r>
      <w:r w:rsidRPr="00451864">
        <w:rPr>
          <w:snapToGrid w:val="0"/>
        </w:rPr>
        <w:t>Las</w:t>
      </w:r>
      <w:r>
        <w:rPr>
          <w:snapToGrid w:val="0"/>
        </w:rPr>
        <w:t> </w:t>
      </w:r>
      <w:r w:rsidRPr="00451864">
        <w:rPr>
          <w:snapToGrid w:val="0"/>
        </w:rPr>
        <w:t>sentencias de divorcio no son apelables salvo en lo tocante a los aspectos materiales</w:t>
      </w:r>
      <w:r>
        <w:rPr>
          <w:snapToGrid w:val="0"/>
        </w:rPr>
        <w:t>".)</w:t>
      </w:r>
    </w:p>
    <w:p w:rsidR="00DD0682" w:rsidRPr="00451864" w:rsidRDefault="00DD0682" w:rsidP="00DD0682">
      <w:pPr>
        <w:adjustRightInd w:val="0"/>
        <w:snapToGrid w:val="0"/>
        <w:spacing w:after="240"/>
        <w:rPr>
          <w:snapToGrid w:val="0"/>
        </w:rPr>
      </w:pPr>
      <w:r w:rsidRPr="00451864">
        <w:rPr>
          <w:snapToGrid w:val="0"/>
        </w:rPr>
        <w:t>139.</w:t>
      </w:r>
      <w:r>
        <w:rPr>
          <w:snapToGrid w:val="0"/>
        </w:rPr>
        <w:tab/>
      </w:r>
      <w:r w:rsidRPr="00451864">
        <w:rPr>
          <w:snapToGrid w:val="0"/>
        </w:rPr>
        <w:t>Los motivos que llevan a declarar inapelable la sentencia de divorcio dictada en primera instancia residen en el hecho de que la mujer divorciada no es considerada como tal, ni puede volver a casarse, mientras la sentencia de divorcio no se ha</w:t>
      </w:r>
      <w:r>
        <w:rPr>
          <w:snapToGrid w:val="0"/>
        </w:rPr>
        <w:t>ga</w:t>
      </w:r>
      <w:r w:rsidRPr="00451864">
        <w:rPr>
          <w:snapToGrid w:val="0"/>
        </w:rPr>
        <w:t xml:space="preserve"> firme, una vez agotadas todas las vías de recurso.</w:t>
      </w:r>
    </w:p>
    <w:p w:rsidR="00DD0682" w:rsidRPr="00451864" w:rsidRDefault="00DD0682" w:rsidP="00DD0682">
      <w:pPr>
        <w:adjustRightInd w:val="0"/>
        <w:snapToGrid w:val="0"/>
        <w:spacing w:after="240"/>
        <w:rPr>
          <w:snapToGrid w:val="0"/>
        </w:rPr>
      </w:pPr>
      <w:r w:rsidRPr="00451864">
        <w:rPr>
          <w:snapToGrid w:val="0"/>
        </w:rPr>
        <w:t>140.</w:t>
      </w:r>
      <w:r>
        <w:rPr>
          <w:snapToGrid w:val="0"/>
        </w:rPr>
        <w:tab/>
      </w:r>
      <w:r w:rsidRPr="00451864">
        <w:rPr>
          <w:snapToGrid w:val="0"/>
        </w:rPr>
        <w:t xml:space="preserve">En el pasado, la mayoría de las mujeres divorciadas no podía rehacer su vida contrayendo un nuevo matrimonio, pues su ex </w:t>
      </w:r>
      <w:r>
        <w:rPr>
          <w:snapToGrid w:val="0"/>
        </w:rPr>
        <w:t>marido</w:t>
      </w:r>
      <w:r w:rsidRPr="00451864">
        <w:rPr>
          <w:snapToGrid w:val="0"/>
        </w:rPr>
        <w:t xml:space="preserve">, al amparo de las vías de recurso que la ley le ofrecía y garantizaba, así como de la posibilidad de ejercer la poligamia, utilizaba los recursos de apelación como </w:t>
      </w:r>
      <w:r>
        <w:rPr>
          <w:snapToGrid w:val="0"/>
        </w:rPr>
        <w:t xml:space="preserve">táctica </w:t>
      </w:r>
      <w:r w:rsidRPr="00451864">
        <w:rPr>
          <w:snapToGrid w:val="0"/>
        </w:rPr>
        <w:t xml:space="preserve">dilatoria, con el único fin inconfesado e inconfesable de convertir a su </w:t>
      </w:r>
      <w:r>
        <w:rPr>
          <w:snapToGrid w:val="0"/>
        </w:rPr>
        <w:t>ex </w:t>
      </w:r>
      <w:r w:rsidRPr="00451864">
        <w:rPr>
          <w:snapToGrid w:val="0"/>
        </w:rPr>
        <w:t>esposa en rehén y de incrementar su fragilidad social, a sabiendas, sin ningún género de dudas, de que la ley le permitía casarse tres veces hasta que se dictara la sentencia firme de divorcio y cuatro veces a partir de ese momento, mientras que la mujer debía esperar a que la sentencia adquiriese la fuerza de cosa juzgada.</w:t>
      </w:r>
    </w:p>
    <w:p w:rsidR="00DD0682" w:rsidRPr="00451864" w:rsidRDefault="00DD0682" w:rsidP="00DD0682">
      <w:pPr>
        <w:adjustRightInd w:val="0"/>
        <w:snapToGrid w:val="0"/>
        <w:spacing w:after="240"/>
        <w:ind w:left="567"/>
        <w:rPr>
          <w:snapToGrid w:val="0"/>
        </w:rPr>
      </w:pPr>
      <w:r w:rsidRPr="0063254D">
        <w:rPr>
          <w:bCs/>
          <w:snapToGrid w:val="0"/>
        </w:rPr>
        <w:t>2.</w:t>
      </w:r>
      <w:r w:rsidRPr="0063254D">
        <w:rPr>
          <w:snapToGrid w:val="0"/>
        </w:rPr>
        <w:tab/>
      </w:r>
      <w:r w:rsidRPr="00451864">
        <w:rPr>
          <w:snapToGrid w:val="0"/>
        </w:rPr>
        <w:t>Además</w:t>
      </w:r>
      <w:r>
        <w:rPr>
          <w:snapToGrid w:val="0"/>
        </w:rPr>
        <w:t>,</w:t>
      </w:r>
      <w:r w:rsidRPr="00451864">
        <w:rPr>
          <w:snapToGrid w:val="0"/>
        </w:rPr>
        <w:t xml:space="preserve"> y en ese mismo contexto, la mujer casada y/o divorciada, en caso de abandono del hogar conyugal por el marido y de impago de la pensión aliment</w:t>
      </w:r>
      <w:r>
        <w:rPr>
          <w:snapToGrid w:val="0"/>
        </w:rPr>
        <w:t>icia</w:t>
      </w:r>
      <w:r w:rsidRPr="00451864">
        <w:rPr>
          <w:snapToGrid w:val="0"/>
        </w:rPr>
        <w:t xml:space="preserve">, tenía que interponer una demanda ante el </w:t>
      </w:r>
      <w:r>
        <w:rPr>
          <w:snapToGrid w:val="0"/>
        </w:rPr>
        <w:t>Fiscal de la República</w:t>
      </w:r>
      <w:r w:rsidRPr="00451864">
        <w:rPr>
          <w:snapToGrid w:val="0"/>
        </w:rPr>
        <w:t xml:space="preserve">, que disponía de la máxima latitud para valorar si había lugar </w:t>
      </w:r>
      <w:r>
        <w:rPr>
          <w:snapToGrid w:val="0"/>
        </w:rPr>
        <w:t>par</w:t>
      </w:r>
      <w:r w:rsidRPr="00451864">
        <w:rPr>
          <w:snapToGrid w:val="0"/>
        </w:rPr>
        <w:t>a forma</w:t>
      </w:r>
      <w:r>
        <w:rPr>
          <w:snapToGrid w:val="0"/>
        </w:rPr>
        <w:t>r una</w:t>
      </w:r>
      <w:r w:rsidRPr="00451864">
        <w:rPr>
          <w:snapToGrid w:val="0"/>
        </w:rPr>
        <w:t xml:space="preserve"> causa penal y pronunciarse así sobre la admisibilidad o el archivo de la demanda.</w:t>
      </w:r>
    </w:p>
    <w:p w:rsidR="00DD0682" w:rsidRPr="00451864" w:rsidRDefault="00DD0682" w:rsidP="00DD0682">
      <w:pPr>
        <w:adjustRightInd w:val="0"/>
        <w:snapToGrid w:val="0"/>
        <w:spacing w:after="240"/>
        <w:rPr>
          <w:snapToGrid w:val="0"/>
        </w:rPr>
      </w:pPr>
      <w:r w:rsidRPr="00451864">
        <w:rPr>
          <w:snapToGrid w:val="0"/>
        </w:rPr>
        <w:t>141.</w:t>
      </w:r>
      <w:r>
        <w:rPr>
          <w:snapToGrid w:val="0"/>
        </w:rPr>
        <w:tab/>
      </w:r>
      <w:r w:rsidRPr="00451864">
        <w:rPr>
          <w:snapToGrid w:val="0"/>
        </w:rPr>
        <w:t xml:space="preserve">En el caso de </w:t>
      </w:r>
      <w:r>
        <w:rPr>
          <w:snapToGrid w:val="0"/>
        </w:rPr>
        <w:t xml:space="preserve">una </w:t>
      </w:r>
      <w:r w:rsidRPr="00451864">
        <w:rPr>
          <w:snapToGrid w:val="0"/>
        </w:rPr>
        <w:t xml:space="preserve">causa incoada por el Fiscal de la República, se transmitía la demanda a los servicios de la policía judicial </w:t>
      </w:r>
      <w:r>
        <w:rPr>
          <w:snapToGrid w:val="0"/>
        </w:rPr>
        <w:t>con el fin</w:t>
      </w:r>
      <w:r w:rsidRPr="00451864">
        <w:rPr>
          <w:snapToGrid w:val="0"/>
        </w:rPr>
        <w:t xml:space="preserve"> de oír a las partes. </w:t>
      </w:r>
    </w:p>
    <w:p w:rsidR="00DD0682" w:rsidRPr="00451864" w:rsidRDefault="00DD0682" w:rsidP="00DD0682">
      <w:pPr>
        <w:adjustRightInd w:val="0"/>
        <w:snapToGrid w:val="0"/>
        <w:spacing w:after="240"/>
        <w:rPr>
          <w:snapToGrid w:val="0"/>
        </w:rPr>
      </w:pPr>
      <w:r w:rsidRPr="00451864">
        <w:rPr>
          <w:snapToGrid w:val="0"/>
        </w:rPr>
        <w:t>142.</w:t>
      </w:r>
      <w:r>
        <w:rPr>
          <w:snapToGrid w:val="0"/>
        </w:rPr>
        <w:tab/>
      </w:r>
      <w:r w:rsidRPr="00451864">
        <w:rPr>
          <w:snapToGrid w:val="0"/>
        </w:rPr>
        <w:t xml:space="preserve">Ese procedimiento de formalización de la demanda requería varios meses, </w:t>
      </w:r>
      <w:r>
        <w:rPr>
          <w:snapToGrid w:val="0"/>
        </w:rPr>
        <w:t xml:space="preserve">y </w:t>
      </w:r>
      <w:r w:rsidRPr="00451864">
        <w:rPr>
          <w:snapToGrid w:val="0"/>
        </w:rPr>
        <w:t xml:space="preserve">a veces </w:t>
      </w:r>
      <w:r>
        <w:rPr>
          <w:snapToGrid w:val="0"/>
        </w:rPr>
        <w:t xml:space="preserve">un año o </w:t>
      </w:r>
      <w:r w:rsidRPr="00451864">
        <w:rPr>
          <w:snapToGrid w:val="0"/>
        </w:rPr>
        <w:t xml:space="preserve">más, cuando el marido denunciado residía en el extranjero, a pesar de la dilatación de los plazos </w:t>
      </w:r>
      <w:r>
        <w:rPr>
          <w:snapToGrid w:val="0"/>
        </w:rPr>
        <w:t>a que daba luego lugar</w:t>
      </w:r>
      <w:r w:rsidRPr="00451864">
        <w:rPr>
          <w:snapToGrid w:val="0"/>
        </w:rPr>
        <w:t xml:space="preserve"> el procedimiento judicial.</w:t>
      </w:r>
    </w:p>
    <w:p w:rsidR="00DD0682" w:rsidRPr="00451864" w:rsidRDefault="00DD0682" w:rsidP="00DD0682">
      <w:pPr>
        <w:adjustRightInd w:val="0"/>
        <w:snapToGrid w:val="0"/>
        <w:spacing w:after="240"/>
        <w:rPr>
          <w:snapToGrid w:val="0"/>
        </w:rPr>
      </w:pPr>
      <w:r w:rsidRPr="00451864">
        <w:rPr>
          <w:snapToGrid w:val="0"/>
        </w:rPr>
        <w:t>143.</w:t>
      </w:r>
      <w:r>
        <w:rPr>
          <w:snapToGrid w:val="0"/>
        </w:rPr>
        <w:tab/>
      </w:r>
      <w:r w:rsidRPr="00451864">
        <w:rPr>
          <w:snapToGrid w:val="0"/>
        </w:rPr>
        <w:t xml:space="preserve">Para poner término a la injusticia de que era objeto la mujer, los legisladores argelinos, mediante la Ley Nº 90-24, de 18 de agosto de 1990, permitieron que la parte civil, es decir, uno de los cónyuges, citara directamente al cónyuge demandado ante el tribunal correccional, en los casos de abandono de la familia y de dejación de la patria potestad, en las condiciones previstas en el artículo 337 </w:t>
      </w:r>
      <w:r w:rsidRPr="00451864">
        <w:rPr>
          <w:i/>
          <w:iCs/>
          <w:snapToGrid w:val="0"/>
        </w:rPr>
        <w:t>bis</w:t>
      </w:r>
      <w:r w:rsidRPr="00451864">
        <w:rPr>
          <w:snapToGrid w:val="0"/>
        </w:rPr>
        <w:t xml:space="preserve"> del Código de Procedimiento Penal.</w:t>
      </w:r>
    </w:p>
    <w:p w:rsidR="00DD0682" w:rsidRPr="00451864" w:rsidRDefault="00DD0682" w:rsidP="00DD0682">
      <w:pPr>
        <w:adjustRightInd w:val="0"/>
        <w:snapToGrid w:val="0"/>
        <w:spacing w:after="240"/>
        <w:rPr>
          <w:snapToGrid w:val="0"/>
        </w:rPr>
      </w:pPr>
      <w:r w:rsidRPr="00451864">
        <w:rPr>
          <w:snapToGrid w:val="0"/>
        </w:rPr>
        <w:t>144.</w:t>
      </w:r>
      <w:r>
        <w:rPr>
          <w:snapToGrid w:val="0"/>
        </w:rPr>
        <w:tab/>
      </w:r>
      <w:r w:rsidRPr="00451864">
        <w:rPr>
          <w:snapToGrid w:val="0"/>
        </w:rPr>
        <w:t>Esas disposiciones se con</w:t>
      </w:r>
      <w:r>
        <w:rPr>
          <w:snapToGrid w:val="0"/>
        </w:rPr>
        <w:t>s</w:t>
      </w:r>
      <w:r w:rsidRPr="00451864">
        <w:rPr>
          <w:snapToGrid w:val="0"/>
        </w:rPr>
        <w:t>i</w:t>
      </w:r>
      <w:r>
        <w:rPr>
          <w:snapToGrid w:val="0"/>
        </w:rPr>
        <w:t>d</w:t>
      </w:r>
      <w:r w:rsidRPr="00451864">
        <w:rPr>
          <w:snapToGrid w:val="0"/>
        </w:rPr>
        <w:t xml:space="preserve">eran una innovación en materia penal y constituyen un notable avance cualitativo en el sistema de justicia penal argelino, puesto que el Fiscal de la República, que tradicionalmente inicia la acción pública y decide el curso que se dará a las demandas, se ve </w:t>
      </w:r>
      <w:r>
        <w:rPr>
          <w:snapToGrid w:val="0"/>
        </w:rPr>
        <w:t>obligado</w:t>
      </w:r>
      <w:r w:rsidRPr="00451864">
        <w:rPr>
          <w:snapToGrid w:val="0"/>
        </w:rPr>
        <w:t xml:space="preserve">, en virtud de las disposiciones del mencionado artículo 337 </w:t>
      </w:r>
      <w:r w:rsidRPr="00451864">
        <w:rPr>
          <w:i/>
          <w:iCs/>
          <w:snapToGrid w:val="0"/>
        </w:rPr>
        <w:t>bis</w:t>
      </w:r>
      <w:r w:rsidRPr="00451864">
        <w:rPr>
          <w:snapToGrid w:val="0"/>
        </w:rPr>
        <w:t xml:space="preserve">, a fijar únicamente la cuantía de la fianza que debe </w:t>
      </w:r>
      <w:r>
        <w:rPr>
          <w:snapToGrid w:val="0"/>
        </w:rPr>
        <w:t xml:space="preserve">depositar </w:t>
      </w:r>
      <w:r w:rsidRPr="00451864">
        <w:rPr>
          <w:snapToGrid w:val="0"/>
        </w:rPr>
        <w:t>la parte civil, y no tiene derecho alguno a controlar o a valorar la admisibilidad de la demanda, que en este caso concreto se ha concebido como una citación directa ante el tribunal correccional.</w:t>
      </w:r>
    </w:p>
    <w:p w:rsidR="00DD0682" w:rsidRPr="00451864" w:rsidRDefault="00DD0682" w:rsidP="00DD0682">
      <w:pPr>
        <w:adjustRightInd w:val="0"/>
        <w:snapToGrid w:val="0"/>
        <w:spacing w:after="240"/>
        <w:rPr>
          <w:snapToGrid w:val="0"/>
        </w:rPr>
      </w:pPr>
      <w:r w:rsidRPr="00451864">
        <w:rPr>
          <w:snapToGrid w:val="0"/>
        </w:rPr>
        <w:t>145.</w:t>
      </w:r>
      <w:r>
        <w:rPr>
          <w:snapToGrid w:val="0"/>
        </w:rPr>
        <w:tab/>
      </w:r>
      <w:r w:rsidRPr="00451864">
        <w:rPr>
          <w:snapToGrid w:val="0"/>
        </w:rPr>
        <w:t xml:space="preserve">El artículo 337 </w:t>
      </w:r>
      <w:r w:rsidRPr="00451864">
        <w:rPr>
          <w:i/>
          <w:iCs/>
          <w:snapToGrid w:val="0"/>
        </w:rPr>
        <w:t>bis</w:t>
      </w:r>
      <w:r w:rsidRPr="00451864">
        <w:rPr>
          <w:snapToGrid w:val="0"/>
        </w:rPr>
        <w:t xml:space="preserve"> del Código de Procedimiento Penal (Ley Nº 90-24, de 18 de agosto de 1990) estipula que </w:t>
      </w:r>
      <w:r>
        <w:rPr>
          <w:snapToGrid w:val="0"/>
        </w:rPr>
        <w:t>"</w:t>
      </w:r>
      <w:r w:rsidRPr="00451864">
        <w:rPr>
          <w:snapToGrid w:val="0"/>
        </w:rPr>
        <w:t xml:space="preserve">la parte civil puede citar directamente al procesado, ante el tribunal, en los siguientes casos:  abandono de familia, dejación de la patria potestad, violación de domicilio, difamación y emisión de cheques sin fondos.  En los demás casos, la citación directa debe ser autorizada por el </w:t>
      </w:r>
      <w:r>
        <w:rPr>
          <w:snapToGrid w:val="0"/>
        </w:rPr>
        <w:t>Fiscal de la República</w:t>
      </w:r>
      <w:r w:rsidRPr="00451864">
        <w:rPr>
          <w:snapToGrid w:val="0"/>
        </w:rPr>
        <w:t>.  La parte civil que cit</w:t>
      </w:r>
      <w:r>
        <w:rPr>
          <w:snapToGrid w:val="0"/>
        </w:rPr>
        <w:t>e</w:t>
      </w:r>
      <w:r w:rsidRPr="00451864">
        <w:rPr>
          <w:snapToGrid w:val="0"/>
        </w:rPr>
        <w:t xml:space="preserve"> directamente a un procesado, de conformidad con los apartados </w:t>
      </w:r>
      <w:r w:rsidRPr="00451864">
        <w:rPr>
          <w:i/>
          <w:snapToGrid w:val="0"/>
        </w:rPr>
        <w:t>supra</w:t>
      </w:r>
      <w:r w:rsidRPr="00451864">
        <w:rPr>
          <w:snapToGrid w:val="0"/>
        </w:rPr>
        <w:t xml:space="preserve">, ante un tribunal, ha de </w:t>
      </w:r>
      <w:r>
        <w:rPr>
          <w:snapToGrid w:val="0"/>
        </w:rPr>
        <w:t xml:space="preserve">depositar </w:t>
      </w:r>
      <w:r w:rsidRPr="00451864">
        <w:rPr>
          <w:snapToGrid w:val="0"/>
        </w:rPr>
        <w:t xml:space="preserve">previamente </w:t>
      </w:r>
      <w:r>
        <w:rPr>
          <w:snapToGrid w:val="0"/>
        </w:rPr>
        <w:t>en manos del</w:t>
      </w:r>
      <w:r w:rsidRPr="00451864">
        <w:rPr>
          <w:snapToGrid w:val="0"/>
        </w:rPr>
        <w:t xml:space="preserve"> secretario de éste una suma cuya cantidad </w:t>
      </w:r>
      <w:r>
        <w:rPr>
          <w:snapToGrid w:val="0"/>
        </w:rPr>
        <w:t>e</w:t>
      </w:r>
      <w:r w:rsidRPr="00451864">
        <w:rPr>
          <w:snapToGrid w:val="0"/>
        </w:rPr>
        <w:t>s fijada por el Fiscal de la República.  En el acto de citación, la parte civil procede a la elección de domicilio en el distrito del tribunal competente, si no está domiciliada en ese distrito, so pena de inadmisibilidad</w:t>
      </w:r>
      <w:r>
        <w:rPr>
          <w:snapToGrid w:val="0"/>
        </w:rPr>
        <w:t>"</w:t>
      </w:r>
      <w:r w:rsidRPr="00451864">
        <w:rPr>
          <w:snapToGrid w:val="0"/>
        </w:rPr>
        <w:t xml:space="preserve">.  </w:t>
      </w:r>
    </w:p>
    <w:p w:rsidR="00DD0682" w:rsidRPr="00451864" w:rsidRDefault="00DD0682" w:rsidP="00DD0682">
      <w:pPr>
        <w:adjustRightInd w:val="0"/>
        <w:snapToGrid w:val="0"/>
        <w:spacing w:after="240"/>
        <w:ind w:left="567"/>
        <w:rPr>
          <w:snapToGrid w:val="0"/>
        </w:rPr>
      </w:pPr>
      <w:r w:rsidRPr="00451864">
        <w:rPr>
          <w:snapToGrid w:val="0"/>
        </w:rPr>
        <w:t>3.</w:t>
      </w:r>
      <w:r>
        <w:rPr>
          <w:snapToGrid w:val="0"/>
        </w:rPr>
        <w:tab/>
      </w:r>
      <w:r w:rsidRPr="00451864">
        <w:rPr>
          <w:snapToGrid w:val="0"/>
        </w:rPr>
        <w:t xml:space="preserve">En otro orden de cosas, por lo que hace a la integración de la mujer en el sistema de justicia penal, aunque no como magistrada u oficial de la policía judicial, </w:t>
      </w:r>
      <w:r>
        <w:rPr>
          <w:snapToGrid w:val="0"/>
        </w:rPr>
        <w:t>la mujer puede ser llamada</w:t>
      </w:r>
      <w:r w:rsidRPr="00451864">
        <w:rPr>
          <w:snapToGrid w:val="0"/>
        </w:rPr>
        <w:t xml:space="preserve">, en su calidad de ciudadana al igual que el hombre, </w:t>
      </w:r>
      <w:r>
        <w:rPr>
          <w:snapToGrid w:val="0"/>
        </w:rPr>
        <w:t>a</w:t>
      </w:r>
      <w:r w:rsidRPr="00451864">
        <w:rPr>
          <w:snapToGrid w:val="0"/>
        </w:rPr>
        <w:t xml:space="preserve"> actuar como jurado para constituir un tribunal penal.  E</w:t>
      </w:r>
      <w:r>
        <w:rPr>
          <w:snapToGrid w:val="0"/>
        </w:rPr>
        <w:t>n efecto, e</w:t>
      </w:r>
      <w:r w:rsidRPr="00451864">
        <w:rPr>
          <w:snapToGrid w:val="0"/>
        </w:rPr>
        <w:t xml:space="preserve">l artículo 261 del Código de Procedimiento Penal establece:  </w:t>
      </w:r>
      <w:r>
        <w:rPr>
          <w:snapToGrid w:val="0"/>
        </w:rPr>
        <w:t>"</w:t>
      </w:r>
      <w:r w:rsidRPr="00451864">
        <w:rPr>
          <w:snapToGrid w:val="0"/>
        </w:rPr>
        <w:t>Sólo pueden desempeñar las funciones de asesores jurados las personas de uno u otro sexo, de nacionalidad argelina, que hayan cumplido 30 años, sepan leer y escribir y disfruten de los derechos cívicos, civiles y familia</w:t>
      </w:r>
      <w:r>
        <w:rPr>
          <w:snapToGrid w:val="0"/>
        </w:rPr>
        <w:t>res</w:t>
      </w:r>
      <w:r w:rsidRPr="00451864">
        <w:rPr>
          <w:snapToGrid w:val="0"/>
        </w:rPr>
        <w:t xml:space="preserve"> y no se encuentren en una situación de incapacidad o incompatibilidad en virtud de los artículos 262 y 263</w:t>
      </w:r>
      <w:r>
        <w:rPr>
          <w:snapToGrid w:val="0"/>
        </w:rPr>
        <w:t>".</w:t>
      </w:r>
    </w:p>
    <w:p w:rsidR="00DD0682" w:rsidRPr="00451864" w:rsidRDefault="00DD0682" w:rsidP="00DD0682">
      <w:pPr>
        <w:adjustRightInd w:val="0"/>
        <w:snapToGrid w:val="0"/>
        <w:spacing w:after="240"/>
        <w:rPr>
          <w:snapToGrid w:val="0"/>
        </w:rPr>
      </w:pPr>
      <w:r w:rsidRPr="00451864">
        <w:rPr>
          <w:snapToGrid w:val="0"/>
        </w:rPr>
        <w:t>146.</w:t>
      </w:r>
      <w:r>
        <w:rPr>
          <w:snapToGrid w:val="0"/>
        </w:rPr>
        <w:tab/>
      </w:r>
      <w:r w:rsidRPr="00451864">
        <w:rPr>
          <w:snapToGrid w:val="0"/>
        </w:rPr>
        <w:t>Los casos de incapacidad contemplados en el artículo 262 de ese mismo Código son los que afectan a las personas con antecedentes judiciales.</w:t>
      </w:r>
    </w:p>
    <w:p w:rsidR="00DD0682" w:rsidRPr="00451864" w:rsidRDefault="00DD0682" w:rsidP="00DD0682">
      <w:pPr>
        <w:adjustRightInd w:val="0"/>
        <w:snapToGrid w:val="0"/>
        <w:spacing w:after="240"/>
        <w:rPr>
          <w:b/>
          <w:snapToGrid w:val="0"/>
        </w:rPr>
      </w:pPr>
      <w:r w:rsidRPr="00451864">
        <w:rPr>
          <w:snapToGrid w:val="0"/>
        </w:rPr>
        <w:t>147.</w:t>
      </w:r>
      <w:r>
        <w:rPr>
          <w:snapToGrid w:val="0"/>
        </w:rPr>
        <w:tab/>
      </w:r>
      <w:r w:rsidRPr="00451864">
        <w:rPr>
          <w:snapToGrid w:val="0"/>
        </w:rPr>
        <w:t>En cuanto a los casos de incompatibilidad previstos en el artículo 263, son los que afectan a los miembros del Gobierno y demás funcionarios cuyas funciones son incompatibles con las de un asesor jurado</w:t>
      </w:r>
      <w:r>
        <w:rPr>
          <w:snapToGrid w:val="0"/>
        </w:rPr>
        <w:t>.</w:t>
      </w:r>
    </w:p>
    <w:p w:rsidR="00DD0682" w:rsidRPr="00451864" w:rsidRDefault="00DD0682" w:rsidP="00DD0682">
      <w:pPr>
        <w:adjustRightInd w:val="0"/>
        <w:snapToGrid w:val="0"/>
        <w:spacing w:after="240"/>
        <w:ind w:left="567"/>
        <w:rPr>
          <w:snapToGrid w:val="0"/>
        </w:rPr>
      </w:pPr>
      <w:r w:rsidRPr="0063254D">
        <w:rPr>
          <w:bCs/>
          <w:snapToGrid w:val="0"/>
        </w:rPr>
        <w:t>4.</w:t>
      </w:r>
      <w:r w:rsidRPr="0063254D">
        <w:rPr>
          <w:bCs/>
          <w:snapToGrid w:val="0"/>
        </w:rPr>
        <w:tab/>
      </w:r>
      <w:r w:rsidRPr="00451864">
        <w:rPr>
          <w:snapToGrid w:val="0"/>
        </w:rPr>
        <w:t>En ese contexto, la mujer participa en pie de igualdad en el sistema de justicia penal por conducto de los tribunales.</w:t>
      </w:r>
    </w:p>
    <w:p w:rsidR="00DD0682" w:rsidRPr="00451864" w:rsidRDefault="00DD0682" w:rsidP="00DD0682">
      <w:pPr>
        <w:keepNext/>
        <w:keepLines/>
        <w:adjustRightInd w:val="0"/>
        <w:snapToGrid w:val="0"/>
        <w:spacing w:after="240"/>
        <w:rPr>
          <w:b/>
          <w:bCs/>
          <w:snapToGrid w:val="0"/>
        </w:rPr>
      </w:pPr>
      <w:r w:rsidRPr="00451864">
        <w:rPr>
          <w:b/>
          <w:bCs/>
          <w:snapToGrid w:val="0"/>
        </w:rPr>
        <w:t>Artículos 4 y 5</w:t>
      </w:r>
      <w:r>
        <w:rPr>
          <w:b/>
          <w:bCs/>
          <w:snapToGrid w:val="0"/>
        </w:rPr>
        <w:t xml:space="preserve">. </w:t>
      </w:r>
      <w:r w:rsidRPr="00451864">
        <w:rPr>
          <w:b/>
          <w:bCs/>
          <w:snapToGrid w:val="0"/>
        </w:rPr>
        <w:t xml:space="preserve"> </w:t>
      </w:r>
      <w:r w:rsidRPr="00451864">
        <w:rPr>
          <w:b/>
          <w:snapToGrid w:val="0"/>
        </w:rPr>
        <w:t>Limitaciones a los derechos establecidos por el Pacto</w:t>
      </w:r>
    </w:p>
    <w:p w:rsidR="00DD0682" w:rsidRPr="00451864" w:rsidRDefault="00DD0682" w:rsidP="00DD0682">
      <w:pPr>
        <w:keepNext/>
        <w:keepLines/>
        <w:adjustRightInd w:val="0"/>
        <w:snapToGrid w:val="0"/>
        <w:spacing w:after="240"/>
        <w:rPr>
          <w:b/>
          <w:bCs/>
          <w:snapToGrid w:val="0"/>
        </w:rPr>
      </w:pPr>
      <w:r>
        <w:rPr>
          <w:b/>
          <w:bCs/>
          <w:snapToGrid w:val="0"/>
        </w:rPr>
        <w:tab/>
      </w:r>
      <w:r w:rsidRPr="00451864">
        <w:rPr>
          <w:b/>
          <w:bCs/>
          <w:snapToGrid w:val="0"/>
        </w:rPr>
        <w:t xml:space="preserve">Breve recordatorio de las condiciones de proclamación del estado de emergencia </w:t>
      </w:r>
    </w:p>
    <w:p w:rsidR="00DD0682" w:rsidRPr="00451864" w:rsidRDefault="00DD0682" w:rsidP="00DD0682">
      <w:pPr>
        <w:keepNext/>
        <w:keepLines/>
        <w:adjustRightInd w:val="0"/>
        <w:snapToGrid w:val="0"/>
        <w:spacing w:after="240"/>
        <w:rPr>
          <w:snapToGrid w:val="0"/>
        </w:rPr>
      </w:pPr>
      <w:r w:rsidRPr="00451864">
        <w:rPr>
          <w:snapToGrid w:val="0"/>
        </w:rPr>
        <w:t>148.</w:t>
      </w:r>
      <w:r>
        <w:rPr>
          <w:snapToGrid w:val="0"/>
        </w:rPr>
        <w:tab/>
      </w:r>
      <w:r w:rsidRPr="00451864">
        <w:rPr>
          <w:snapToGrid w:val="0"/>
        </w:rPr>
        <w:t>Habida cuenta del ambiente intolerable de subversión e insurrección que reinaba en el país desde 1991, se tomaron medidas excepcionales dictadas por el estado de necesidad apremiante y, entre ellas, la declaración en febrero de 1992 del estado de emergencia, de conformidad con el artículo 86 de la Constitución de 23 de febrero de 1989 y el artículo 4 del Pacto Internacional de Derechos Civiles y Políticos.</w:t>
      </w:r>
    </w:p>
    <w:p w:rsidR="00DD0682" w:rsidRPr="00451864" w:rsidRDefault="00DD0682" w:rsidP="00DD0682">
      <w:pPr>
        <w:adjustRightInd w:val="0"/>
        <w:snapToGrid w:val="0"/>
        <w:spacing w:after="240"/>
        <w:rPr>
          <w:snapToGrid w:val="0"/>
        </w:rPr>
      </w:pPr>
      <w:r w:rsidRPr="00451864">
        <w:rPr>
          <w:snapToGrid w:val="0"/>
        </w:rPr>
        <w:t>149.</w:t>
      </w:r>
      <w:r>
        <w:rPr>
          <w:snapToGrid w:val="0"/>
        </w:rPr>
        <w:tab/>
      </w:r>
      <w:r w:rsidRPr="00451864">
        <w:rPr>
          <w:snapToGrid w:val="0"/>
        </w:rPr>
        <w:t xml:space="preserve">De conformidad con los procedimientos previstos en el párrafo 3 del artículo 4 del Pacto, el 13 de febrero de 1992 el Gobierno argelino informó de esa proclamación al Secretario General de las Naciones Unidas.  No se ha impuesto restricción ni derogación alguna al ejercicio de los derechos mencionados en el párrafo 2 de dicho artículo.  En la declaración se afirma concretamente que </w:t>
      </w:r>
      <w:r>
        <w:rPr>
          <w:snapToGrid w:val="0"/>
        </w:rPr>
        <w:t>"</w:t>
      </w:r>
      <w:r w:rsidRPr="00451864">
        <w:rPr>
          <w:snapToGrid w:val="0"/>
        </w:rPr>
        <w:t xml:space="preserve">la instauración del estado de emergencia, que tiene la meta esencial de restablecer el orden público, salvaguardar la seguridad de las personas y los bienes y garantizar el buen funcionamiento de las instituciones y </w:t>
      </w:r>
      <w:r>
        <w:rPr>
          <w:snapToGrid w:val="0"/>
        </w:rPr>
        <w:t xml:space="preserve">los </w:t>
      </w:r>
      <w:r w:rsidRPr="00451864">
        <w:rPr>
          <w:snapToGrid w:val="0"/>
        </w:rPr>
        <w:t>servicios públicos, no interrumpe el proceso democratizador; asimismo, se sigue garantizando el ejercicio de los derechos y libertades fundamentales</w:t>
      </w:r>
      <w:r>
        <w:rPr>
          <w:snapToGrid w:val="0"/>
        </w:rPr>
        <w:t>"</w:t>
      </w:r>
      <w:r w:rsidRPr="00451864">
        <w:rPr>
          <w:snapToGrid w:val="0"/>
        </w:rPr>
        <w:t xml:space="preserve">.  En el contexto mundial, Argelia ha utilizado todos los recursos del derecho constitucional en vigor, sin crear jurisprudencia de excepción. </w:t>
      </w:r>
    </w:p>
    <w:p w:rsidR="00DD0682" w:rsidRPr="00451864" w:rsidRDefault="00DD0682" w:rsidP="00DD0682">
      <w:pPr>
        <w:adjustRightInd w:val="0"/>
        <w:snapToGrid w:val="0"/>
        <w:spacing w:after="240"/>
        <w:rPr>
          <w:snapToGrid w:val="0"/>
        </w:rPr>
      </w:pPr>
      <w:r w:rsidRPr="00451864">
        <w:rPr>
          <w:snapToGrid w:val="0"/>
        </w:rPr>
        <w:t>150.</w:t>
      </w:r>
      <w:r>
        <w:rPr>
          <w:snapToGrid w:val="0"/>
        </w:rPr>
        <w:tab/>
      </w:r>
      <w:r w:rsidRPr="00451864">
        <w:rPr>
          <w:snapToGrid w:val="0"/>
        </w:rPr>
        <w:t>A nivel práctico, los poderes públicos han velado por el respeto estricto del principio de proporcionalidad entre la gravedad de la crisis y las medidas adoptadas para afrontarla</w:t>
      </w:r>
      <w:r>
        <w:rPr>
          <w:snapToGrid w:val="0"/>
        </w:rPr>
        <w:t xml:space="preserve">.  </w:t>
      </w:r>
      <w:r w:rsidRPr="00451864">
        <w:rPr>
          <w:snapToGrid w:val="0"/>
        </w:rPr>
        <w:t xml:space="preserve">Esas medidas tuvieron por objeto </w:t>
      </w:r>
      <w:r>
        <w:rPr>
          <w:snapToGrid w:val="0"/>
        </w:rPr>
        <w:t xml:space="preserve">conjurar </w:t>
      </w:r>
      <w:r w:rsidRPr="00451864">
        <w:rPr>
          <w:snapToGrid w:val="0"/>
        </w:rPr>
        <w:t>los peligros descritos en el artículo 87 de la Constitución de</w:t>
      </w:r>
      <w:r>
        <w:rPr>
          <w:snapToGrid w:val="0"/>
        </w:rPr>
        <w:t> </w:t>
      </w:r>
      <w:r w:rsidRPr="00451864">
        <w:rPr>
          <w:snapToGrid w:val="0"/>
        </w:rPr>
        <w:t xml:space="preserve">1989 y en el artículo 91 de la Constitución revisada de 1996 (atentado grave contra las instituciones del país mediante un llamamiento público a la desobediencia de las fuerzas de seguridad lanzado por los dirigentes de un partido político, voluntad expresa de disolver las fuerzas de policía y sustituirlas por una </w:t>
      </w:r>
      <w:r>
        <w:rPr>
          <w:snapToGrid w:val="0"/>
        </w:rPr>
        <w:t>"</w:t>
      </w:r>
      <w:r w:rsidRPr="00451864">
        <w:rPr>
          <w:snapToGrid w:val="0"/>
        </w:rPr>
        <w:t>policía de vigilancia de las buenas costumbres</w:t>
      </w:r>
      <w:r>
        <w:rPr>
          <w:snapToGrid w:val="0"/>
        </w:rPr>
        <w:t>"</w:t>
      </w:r>
      <w:r w:rsidRPr="00451864">
        <w:rPr>
          <w:snapToGrid w:val="0"/>
        </w:rPr>
        <w:t xml:space="preserve">, agresiones armadas contra las fuerzas de la policía y los militares, sabotaje de las instituciones del Estado y destrucción de los bienes públicos). </w:t>
      </w:r>
    </w:p>
    <w:p w:rsidR="00DD0682" w:rsidRPr="00451864" w:rsidRDefault="00DD0682" w:rsidP="00DD0682">
      <w:pPr>
        <w:adjustRightInd w:val="0"/>
        <w:snapToGrid w:val="0"/>
        <w:spacing w:after="240"/>
        <w:rPr>
          <w:snapToGrid w:val="0"/>
        </w:rPr>
      </w:pPr>
      <w:r w:rsidRPr="00451864">
        <w:rPr>
          <w:snapToGrid w:val="0"/>
        </w:rPr>
        <w:t>151.</w:t>
      </w:r>
      <w:r>
        <w:rPr>
          <w:snapToGrid w:val="0"/>
        </w:rPr>
        <w:tab/>
      </w:r>
      <w:r w:rsidRPr="00451864">
        <w:rPr>
          <w:snapToGrid w:val="0"/>
        </w:rPr>
        <w:t>Si enumeráramos las medidas vigentes al día de hoy, en comparación con todas las que se aprobaron bajo la presión de la urgencia y de la necesidad, se podría comprobar fácilmente que no queda ninguna en pie</w:t>
      </w:r>
      <w:r>
        <w:rPr>
          <w:snapToGrid w:val="0"/>
        </w:rPr>
        <w:t xml:space="preserve">.  </w:t>
      </w:r>
      <w:r w:rsidRPr="00451864">
        <w:rPr>
          <w:snapToGrid w:val="0"/>
        </w:rPr>
        <w:t>Es decir, el estado de emergencia como dispositivo jurídico no suscita ya la menor preocupación, pues no constituye un escollo al ejercicio de las libertades individuales y colectivas establecidas en la legislación y los reglamentos que abarcan todos sus aspectos específicos, como reuniones y actos públicos, la actividad de los partidos políticos o la vitalidad del movimiento asocia</w:t>
      </w:r>
      <w:r>
        <w:rPr>
          <w:snapToGrid w:val="0"/>
        </w:rPr>
        <w:t>t</w:t>
      </w:r>
      <w:r w:rsidRPr="00451864">
        <w:rPr>
          <w:snapToGrid w:val="0"/>
        </w:rPr>
        <w:t>i</w:t>
      </w:r>
      <w:r>
        <w:rPr>
          <w:snapToGrid w:val="0"/>
        </w:rPr>
        <w:t>v</w:t>
      </w:r>
      <w:r w:rsidRPr="00451864">
        <w:rPr>
          <w:snapToGrid w:val="0"/>
        </w:rPr>
        <w:t>o, por no citar más que un</w:t>
      </w:r>
      <w:r>
        <w:rPr>
          <w:snapToGrid w:val="0"/>
        </w:rPr>
        <w:t>a</w:t>
      </w:r>
      <w:r w:rsidRPr="00451864">
        <w:rPr>
          <w:snapToGrid w:val="0"/>
        </w:rPr>
        <w:t>s cuant</w:t>
      </w:r>
      <w:r>
        <w:rPr>
          <w:snapToGrid w:val="0"/>
        </w:rPr>
        <w:t>a</w:t>
      </w:r>
      <w:r w:rsidRPr="00451864">
        <w:rPr>
          <w:snapToGrid w:val="0"/>
        </w:rPr>
        <w:t>s.</w:t>
      </w:r>
    </w:p>
    <w:p w:rsidR="00DD0682" w:rsidRPr="00451864" w:rsidRDefault="00DD0682" w:rsidP="00DD0682">
      <w:pPr>
        <w:adjustRightInd w:val="0"/>
        <w:snapToGrid w:val="0"/>
        <w:spacing w:after="240"/>
        <w:rPr>
          <w:snapToGrid w:val="0"/>
        </w:rPr>
      </w:pPr>
      <w:r w:rsidRPr="00451864">
        <w:rPr>
          <w:snapToGrid w:val="0"/>
        </w:rPr>
        <w:t>152.</w:t>
      </w:r>
      <w:r>
        <w:rPr>
          <w:snapToGrid w:val="0"/>
        </w:rPr>
        <w:tab/>
      </w:r>
      <w:r w:rsidRPr="00451864">
        <w:rPr>
          <w:snapToGrid w:val="0"/>
        </w:rPr>
        <w:t xml:space="preserve">El mantenimiento del estado de emergencia obedece únicamente a la preocupación de mejorar la coordinación entre los servicios de seguridad, con miras a eliminar definitivamente los núcleos de inseguridad que aún </w:t>
      </w:r>
      <w:r>
        <w:rPr>
          <w:snapToGrid w:val="0"/>
        </w:rPr>
        <w:t>ex</w:t>
      </w:r>
      <w:r w:rsidRPr="00451864">
        <w:rPr>
          <w:snapToGrid w:val="0"/>
        </w:rPr>
        <w:t xml:space="preserve">isten, alentados por grupos terroristas empeñados en recurrir a la violencia, a los atentados contra la vida </w:t>
      </w:r>
      <w:r>
        <w:rPr>
          <w:snapToGrid w:val="0"/>
        </w:rPr>
        <w:t xml:space="preserve">humana </w:t>
      </w:r>
      <w:r w:rsidRPr="00451864">
        <w:rPr>
          <w:snapToGrid w:val="0"/>
        </w:rPr>
        <w:t>y los bienes de las personas y de la comunidad</w:t>
      </w:r>
      <w:r>
        <w:rPr>
          <w:snapToGrid w:val="0"/>
        </w:rPr>
        <w:t xml:space="preserve">.  </w:t>
      </w:r>
      <w:r w:rsidRPr="00451864">
        <w:rPr>
          <w:snapToGrid w:val="0"/>
        </w:rPr>
        <w:t xml:space="preserve">El estado de emergencia se levantará cuando las autoridades argelinas estimen que han desaparecido totalmente las circunstancias que motivaron su </w:t>
      </w:r>
      <w:r>
        <w:rPr>
          <w:snapToGrid w:val="0"/>
        </w:rPr>
        <w:t>proclam</w:t>
      </w:r>
      <w:r w:rsidRPr="00451864">
        <w:rPr>
          <w:snapToGrid w:val="0"/>
        </w:rPr>
        <w:t xml:space="preserve">ación. </w:t>
      </w:r>
    </w:p>
    <w:p w:rsidR="00DD0682" w:rsidRPr="00451864" w:rsidRDefault="00DD0682" w:rsidP="00DD0682">
      <w:pPr>
        <w:keepNext/>
        <w:keepLines/>
        <w:adjustRightInd w:val="0"/>
        <w:snapToGrid w:val="0"/>
        <w:spacing w:after="240"/>
        <w:rPr>
          <w:b/>
          <w:bCs/>
          <w:snapToGrid w:val="0"/>
        </w:rPr>
      </w:pPr>
      <w:r w:rsidRPr="00451864">
        <w:rPr>
          <w:b/>
          <w:bCs/>
          <w:snapToGrid w:val="0"/>
        </w:rPr>
        <w:t>Artículo 6</w:t>
      </w:r>
      <w:r>
        <w:rPr>
          <w:b/>
          <w:bCs/>
          <w:snapToGrid w:val="0"/>
        </w:rPr>
        <w:t xml:space="preserve">. </w:t>
      </w:r>
      <w:r w:rsidRPr="00451864">
        <w:rPr>
          <w:b/>
          <w:bCs/>
          <w:snapToGrid w:val="0"/>
        </w:rPr>
        <w:t xml:space="preserve"> El derecho al trabajo</w:t>
      </w:r>
    </w:p>
    <w:p w:rsidR="00DD0682" w:rsidRPr="00451864" w:rsidRDefault="00DD0682" w:rsidP="00DD0682">
      <w:pPr>
        <w:keepNext/>
        <w:keepLines/>
        <w:adjustRightInd w:val="0"/>
        <w:snapToGrid w:val="0"/>
        <w:spacing w:after="240"/>
        <w:rPr>
          <w:snapToGrid w:val="0"/>
        </w:rPr>
      </w:pPr>
      <w:r w:rsidRPr="00451864">
        <w:rPr>
          <w:snapToGrid w:val="0"/>
        </w:rPr>
        <w:t>153.</w:t>
      </w:r>
      <w:r>
        <w:rPr>
          <w:snapToGrid w:val="0"/>
        </w:rPr>
        <w:tab/>
      </w:r>
      <w:r w:rsidRPr="00451864">
        <w:rPr>
          <w:snapToGrid w:val="0"/>
        </w:rPr>
        <w:t>En todas las Constituciones de la Argelia independiente se ha consagrado el derecho al trabajo.  El artículo 55 de la Constitución de 28 de noviembre de 1996 dispone</w:t>
      </w:r>
      <w:r>
        <w:rPr>
          <w:snapToGrid w:val="0"/>
        </w:rPr>
        <w:t>,</w:t>
      </w:r>
      <w:r w:rsidRPr="00451864">
        <w:rPr>
          <w:snapToGrid w:val="0"/>
        </w:rPr>
        <w:t xml:space="preserve"> en relación con ese aspecto</w:t>
      </w:r>
      <w:r>
        <w:rPr>
          <w:snapToGrid w:val="0"/>
        </w:rPr>
        <w:t>,</w:t>
      </w:r>
      <w:r w:rsidRPr="00451864">
        <w:rPr>
          <w:snapToGrid w:val="0"/>
        </w:rPr>
        <w:t xml:space="preserve"> que </w:t>
      </w:r>
      <w:r>
        <w:rPr>
          <w:snapToGrid w:val="0"/>
        </w:rPr>
        <w:t>"</w:t>
      </w:r>
      <w:r w:rsidRPr="00451864">
        <w:rPr>
          <w:snapToGrid w:val="0"/>
        </w:rPr>
        <w:t>todos los ciudadanos tienen derecho al trabajo</w:t>
      </w:r>
      <w:r>
        <w:rPr>
          <w:snapToGrid w:val="0"/>
        </w:rPr>
        <w:t>"</w:t>
      </w:r>
      <w:r w:rsidRPr="00451864">
        <w:rPr>
          <w:snapToGrid w:val="0"/>
        </w:rPr>
        <w:t>.</w:t>
      </w:r>
    </w:p>
    <w:p w:rsidR="00DD0682" w:rsidRPr="00451864" w:rsidRDefault="00DD0682" w:rsidP="00DD0682">
      <w:pPr>
        <w:adjustRightInd w:val="0"/>
        <w:snapToGrid w:val="0"/>
        <w:spacing w:after="240"/>
        <w:rPr>
          <w:snapToGrid w:val="0"/>
        </w:rPr>
      </w:pPr>
      <w:r w:rsidRPr="00451864">
        <w:rPr>
          <w:snapToGrid w:val="0"/>
        </w:rPr>
        <w:t>154.</w:t>
      </w:r>
      <w:r>
        <w:rPr>
          <w:snapToGrid w:val="0"/>
        </w:rPr>
        <w:tab/>
      </w:r>
      <w:r w:rsidRPr="00451864">
        <w:rPr>
          <w:snapToGrid w:val="0"/>
        </w:rPr>
        <w:t>Conviene recordar que</w:t>
      </w:r>
      <w:r>
        <w:rPr>
          <w:snapToGrid w:val="0"/>
        </w:rPr>
        <w:t>,</w:t>
      </w:r>
      <w:r w:rsidRPr="00451864">
        <w:rPr>
          <w:snapToGrid w:val="0"/>
        </w:rPr>
        <w:t xml:space="preserve"> de conformidad con el programa de ajuste estructural </w:t>
      </w:r>
      <w:r>
        <w:rPr>
          <w:snapToGrid w:val="0"/>
        </w:rPr>
        <w:t>y gracias a</w:t>
      </w:r>
      <w:r w:rsidRPr="00451864">
        <w:rPr>
          <w:snapToGrid w:val="0"/>
        </w:rPr>
        <w:t xml:space="preserve">l mejoramiento gradual de las empresas y </w:t>
      </w:r>
      <w:r>
        <w:rPr>
          <w:snapToGrid w:val="0"/>
        </w:rPr>
        <w:t xml:space="preserve">a </w:t>
      </w:r>
      <w:r w:rsidRPr="00451864">
        <w:rPr>
          <w:snapToGrid w:val="0"/>
        </w:rPr>
        <w:t xml:space="preserve">la privatización de algunas de ellas, la economía argelina ha </w:t>
      </w:r>
      <w:r>
        <w:rPr>
          <w:snapToGrid w:val="0"/>
        </w:rPr>
        <w:t xml:space="preserve">reanudado </w:t>
      </w:r>
      <w:r w:rsidRPr="00451864">
        <w:rPr>
          <w:snapToGrid w:val="0"/>
        </w:rPr>
        <w:t xml:space="preserve">su </w:t>
      </w:r>
      <w:r>
        <w:rPr>
          <w:snapToGrid w:val="0"/>
        </w:rPr>
        <w:t xml:space="preserve">ritmo de </w:t>
      </w:r>
      <w:r w:rsidRPr="00451864">
        <w:rPr>
          <w:snapToGrid w:val="0"/>
        </w:rPr>
        <w:t xml:space="preserve">crecimiento, lo que no ha dejado de influir en el empleo, sobre todo porque el Estado ha </w:t>
      </w:r>
      <w:r>
        <w:rPr>
          <w:snapToGrid w:val="0"/>
        </w:rPr>
        <w:t>tomado disposiciones</w:t>
      </w:r>
      <w:r w:rsidRPr="00451864">
        <w:rPr>
          <w:snapToGrid w:val="0"/>
        </w:rPr>
        <w:t xml:space="preserve"> para fomentarlo.</w:t>
      </w:r>
    </w:p>
    <w:p w:rsidR="00DD0682" w:rsidRPr="00451864" w:rsidRDefault="00DD0682" w:rsidP="00DD0682">
      <w:pPr>
        <w:adjustRightInd w:val="0"/>
        <w:snapToGrid w:val="0"/>
        <w:spacing w:after="240"/>
        <w:rPr>
          <w:snapToGrid w:val="0"/>
        </w:rPr>
      </w:pPr>
      <w:r w:rsidRPr="00451864">
        <w:rPr>
          <w:snapToGrid w:val="0"/>
        </w:rPr>
        <w:t>155.</w:t>
      </w:r>
      <w:r>
        <w:rPr>
          <w:snapToGrid w:val="0"/>
        </w:rPr>
        <w:tab/>
      </w:r>
      <w:r w:rsidRPr="00451864">
        <w:rPr>
          <w:snapToGrid w:val="0"/>
        </w:rPr>
        <w:t>Conviene recordar que la Constitución de 1989, modificada en 1996, rompió definitivamente con el sistema anterior al consagrar los principios fundamentales siguientes:</w:t>
      </w:r>
    </w:p>
    <w:p w:rsidR="00DD0682" w:rsidRPr="003F3299" w:rsidRDefault="00DD0682" w:rsidP="00DD0682">
      <w:pPr>
        <w:adjustRightInd w:val="0"/>
        <w:snapToGrid w:val="0"/>
        <w:spacing w:after="240"/>
        <w:ind w:left="924" w:hanging="357"/>
        <w:rPr>
          <w:snapToGrid w:val="0"/>
        </w:rPr>
      </w:pPr>
      <w:r>
        <w:rPr>
          <w:snapToGrid w:val="0"/>
        </w:rPr>
        <w:t>-</w:t>
      </w:r>
      <w:r>
        <w:rPr>
          <w:snapToGrid w:val="0"/>
        </w:rPr>
        <w:tab/>
      </w:r>
      <w:r w:rsidRPr="003F3299">
        <w:rPr>
          <w:snapToGrid w:val="0"/>
        </w:rPr>
        <w:t>Libertad de asociación (art</w:t>
      </w:r>
      <w:r>
        <w:rPr>
          <w:snapToGrid w:val="0"/>
        </w:rPr>
        <w:t>.</w:t>
      </w:r>
      <w:r w:rsidRPr="003F3299">
        <w:rPr>
          <w:snapToGrid w:val="0"/>
        </w:rPr>
        <w:t xml:space="preserve"> 43)</w:t>
      </w:r>
      <w:r>
        <w:rPr>
          <w:snapToGrid w:val="0"/>
        </w:rPr>
        <w:t>;</w:t>
      </w:r>
    </w:p>
    <w:p w:rsidR="00DD0682" w:rsidRPr="00451864" w:rsidRDefault="00DD0682" w:rsidP="00DD0682">
      <w:pPr>
        <w:adjustRightInd w:val="0"/>
        <w:snapToGrid w:val="0"/>
        <w:spacing w:after="240"/>
        <w:ind w:left="924" w:hanging="357"/>
        <w:rPr>
          <w:snapToGrid w:val="0"/>
        </w:rPr>
      </w:pPr>
      <w:r>
        <w:rPr>
          <w:snapToGrid w:val="0"/>
        </w:rPr>
        <w:t>-</w:t>
      </w:r>
      <w:r>
        <w:rPr>
          <w:snapToGrid w:val="0"/>
        </w:rPr>
        <w:tab/>
      </w:r>
      <w:r w:rsidRPr="00451864">
        <w:rPr>
          <w:snapToGrid w:val="0"/>
        </w:rPr>
        <w:t>Reconocimiento del derecho de sindicación de todos los ciudadanos (ar</w:t>
      </w:r>
      <w:r>
        <w:rPr>
          <w:snapToGrid w:val="0"/>
        </w:rPr>
        <w:t>.</w:t>
      </w:r>
      <w:r w:rsidRPr="00451864">
        <w:rPr>
          <w:snapToGrid w:val="0"/>
        </w:rPr>
        <w:t xml:space="preserve"> 56)</w:t>
      </w:r>
      <w:r>
        <w:rPr>
          <w:snapToGrid w:val="0"/>
        </w:rPr>
        <w:t>;</w:t>
      </w:r>
    </w:p>
    <w:p w:rsidR="00DD0682" w:rsidRPr="003F3299" w:rsidRDefault="00DD0682" w:rsidP="00DD0682">
      <w:pPr>
        <w:adjustRightInd w:val="0"/>
        <w:snapToGrid w:val="0"/>
        <w:spacing w:after="240"/>
        <w:ind w:left="924" w:hanging="357"/>
        <w:rPr>
          <w:snapToGrid w:val="0"/>
        </w:rPr>
      </w:pPr>
      <w:r>
        <w:rPr>
          <w:snapToGrid w:val="0"/>
        </w:rPr>
        <w:t>-</w:t>
      </w:r>
      <w:r>
        <w:rPr>
          <w:snapToGrid w:val="0"/>
        </w:rPr>
        <w:tab/>
      </w:r>
      <w:r w:rsidRPr="003F3299">
        <w:rPr>
          <w:snapToGrid w:val="0"/>
        </w:rPr>
        <w:t>Derecho de huelga (art</w:t>
      </w:r>
      <w:r>
        <w:rPr>
          <w:snapToGrid w:val="0"/>
        </w:rPr>
        <w:t>.</w:t>
      </w:r>
      <w:r w:rsidRPr="003F3299">
        <w:rPr>
          <w:snapToGrid w:val="0"/>
        </w:rPr>
        <w:t xml:space="preserve"> 57)</w:t>
      </w:r>
      <w:r>
        <w:rPr>
          <w:snapToGrid w:val="0"/>
        </w:rPr>
        <w:t>;</w:t>
      </w:r>
    </w:p>
    <w:p w:rsidR="00DD0682" w:rsidRPr="00451864" w:rsidRDefault="00DD0682" w:rsidP="00DD0682">
      <w:pPr>
        <w:adjustRightInd w:val="0"/>
        <w:snapToGrid w:val="0"/>
        <w:spacing w:after="240"/>
        <w:ind w:left="924" w:hanging="357"/>
        <w:rPr>
          <w:snapToGrid w:val="0"/>
        </w:rPr>
      </w:pPr>
      <w:r>
        <w:rPr>
          <w:snapToGrid w:val="0"/>
        </w:rPr>
        <w:t>-</w:t>
      </w:r>
      <w:r>
        <w:rPr>
          <w:snapToGrid w:val="0"/>
        </w:rPr>
        <w:tab/>
      </w:r>
      <w:r w:rsidRPr="00451864">
        <w:rPr>
          <w:snapToGrid w:val="0"/>
        </w:rPr>
        <w:t>Protección de la salud (art</w:t>
      </w:r>
      <w:r>
        <w:rPr>
          <w:snapToGrid w:val="0"/>
        </w:rPr>
        <w:t>.</w:t>
      </w:r>
      <w:r w:rsidRPr="00451864">
        <w:rPr>
          <w:snapToGrid w:val="0"/>
        </w:rPr>
        <w:t xml:space="preserve"> 54)</w:t>
      </w:r>
      <w:r>
        <w:rPr>
          <w:snapToGrid w:val="0"/>
        </w:rPr>
        <w:t>;</w:t>
      </w:r>
    </w:p>
    <w:p w:rsidR="00DD0682" w:rsidRPr="003F3299" w:rsidRDefault="00DD0682" w:rsidP="00DD0682">
      <w:pPr>
        <w:adjustRightInd w:val="0"/>
        <w:snapToGrid w:val="0"/>
        <w:spacing w:after="240"/>
        <w:ind w:left="924" w:hanging="357"/>
        <w:rPr>
          <w:snapToGrid w:val="0"/>
        </w:rPr>
      </w:pPr>
      <w:r>
        <w:rPr>
          <w:snapToGrid w:val="0"/>
        </w:rPr>
        <w:t>-</w:t>
      </w:r>
      <w:r>
        <w:rPr>
          <w:snapToGrid w:val="0"/>
        </w:rPr>
        <w:tab/>
      </w:r>
      <w:r w:rsidRPr="003F3299">
        <w:rPr>
          <w:snapToGrid w:val="0"/>
        </w:rPr>
        <w:t>Derecho al descanso (art</w:t>
      </w:r>
      <w:r>
        <w:rPr>
          <w:snapToGrid w:val="0"/>
        </w:rPr>
        <w:t>.</w:t>
      </w:r>
      <w:r w:rsidRPr="003F3299">
        <w:rPr>
          <w:snapToGrid w:val="0"/>
        </w:rPr>
        <w:t xml:space="preserve"> 55)</w:t>
      </w:r>
      <w:r>
        <w:rPr>
          <w:snapToGrid w:val="0"/>
        </w:rPr>
        <w:t>;</w:t>
      </w:r>
    </w:p>
    <w:p w:rsidR="00DD0682" w:rsidRPr="003F3299" w:rsidRDefault="00DD0682" w:rsidP="00DD0682">
      <w:pPr>
        <w:adjustRightInd w:val="0"/>
        <w:snapToGrid w:val="0"/>
        <w:spacing w:after="240"/>
        <w:ind w:left="924" w:hanging="357"/>
        <w:rPr>
          <w:snapToGrid w:val="0"/>
        </w:rPr>
      </w:pPr>
      <w:r>
        <w:rPr>
          <w:snapToGrid w:val="0"/>
        </w:rPr>
        <w:t>-</w:t>
      </w:r>
      <w:r>
        <w:rPr>
          <w:snapToGrid w:val="0"/>
        </w:rPr>
        <w:tab/>
      </w:r>
      <w:r w:rsidRPr="003F3299">
        <w:rPr>
          <w:snapToGrid w:val="0"/>
        </w:rPr>
        <w:t>Derecho al trabajo (art</w:t>
      </w:r>
      <w:r>
        <w:rPr>
          <w:snapToGrid w:val="0"/>
        </w:rPr>
        <w:t>.</w:t>
      </w:r>
      <w:r w:rsidRPr="003F3299">
        <w:rPr>
          <w:snapToGrid w:val="0"/>
        </w:rPr>
        <w:t xml:space="preserve"> 55)</w:t>
      </w:r>
      <w:r>
        <w:rPr>
          <w:snapToGrid w:val="0"/>
        </w:rPr>
        <w:t>;</w:t>
      </w:r>
    </w:p>
    <w:p w:rsidR="00DD0682" w:rsidRPr="00451864" w:rsidRDefault="00DD0682" w:rsidP="00DD0682">
      <w:pPr>
        <w:adjustRightInd w:val="0"/>
        <w:snapToGrid w:val="0"/>
        <w:spacing w:after="240"/>
        <w:ind w:left="924" w:hanging="357"/>
        <w:rPr>
          <w:snapToGrid w:val="0"/>
        </w:rPr>
      </w:pPr>
      <w:r>
        <w:rPr>
          <w:snapToGrid w:val="0"/>
        </w:rPr>
        <w:t>-</w:t>
      </w:r>
      <w:r>
        <w:rPr>
          <w:snapToGrid w:val="0"/>
        </w:rPr>
        <w:tab/>
      </w:r>
      <w:r w:rsidRPr="00451864">
        <w:rPr>
          <w:snapToGrid w:val="0"/>
        </w:rPr>
        <w:t>Derecho a la protección, la seguridad y la higiene en el lugar de trabajo (art</w:t>
      </w:r>
      <w:r>
        <w:rPr>
          <w:snapToGrid w:val="0"/>
        </w:rPr>
        <w:t>.</w:t>
      </w:r>
      <w:r w:rsidRPr="00451864">
        <w:rPr>
          <w:snapToGrid w:val="0"/>
        </w:rPr>
        <w:t xml:space="preserve"> 55)</w:t>
      </w:r>
      <w:r>
        <w:rPr>
          <w:snapToGrid w:val="0"/>
        </w:rPr>
        <w:t>;</w:t>
      </w:r>
    </w:p>
    <w:p w:rsidR="00DD0682" w:rsidRPr="00451864" w:rsidRDefault="00DD0682" w:rsidP="00DD0682">
      <w:pPr>
        <w:adjustRightInd w:val="0"/>
        <w:snapToGrid w:val="0"/>
        <w:spacing w:after="240"/>
        <w:ind w:left="924" w:hanging="357"/>
        <w:rPr>
          <w:snapToGrid w:val="0"/>
        </w:rPr>
      </w:pPr>
      <w:r>
        <w:rPr>
          <w:snapToGrid w:val="0"/>
        </w:rPr>
        <w:t>-</w:t>
      </w:r>
      <w:r>
        <w:rPr>
          <w:snapToGrid w:val="0"/>
        </w:rPr>
        <w:tab/>
      </w:r>
      <w:r w:rsidRPr="00451864">
        <w:rPr>
          <w:snapToGrid w:val="0"/>
        </w:rPr>
        <w:t>Derecho a la enseñanza gratuita en las condiciones establecidas en la ley (art</w:t>
      </w:r>
      <w:r>
        <w:rPr>
          <w:snapToGrid w:val="0"/>
        </w:rPr>
        <w:t>.</w:t>
      </w:r>
      <w:r w:rsidRPr="00451864">
        <w:rPr>
          <w:snapToGrid w:val="0"/>
        </w:rPr>
        <w:t xml:space="preserve"> 53)</w:t>
      </w:r>
      <w:r>
        <w:rPr>
          <w:snapToGrid w:val="0"/>
        </w:rPr>
        <w:t>;</w:t>
      </w:r>
    </w:p>
    <w:p w:rsidR="00DD0682" w:rsidRPr="00451864" w:rsidRDefault="00DD0682" w:rsidP="00DD0682">
      <w:pPr>
        <w:adjustRightInd w:val="0"/>
        <w:snapToGrid w:val="0"/>
        <w:spacing w:after="240"/>
        <w:ind w:left="924" w:hanging="357"/>
        <w:rPr>
          <w:snapToGrid w:val="0"/>
        </w:rPr>
      </w:pPr>
      <w:r>
        <w:rPr>
          <w:snapToGrid w:val="0"/>
        </w:rPr>
        <w:t>-</w:t>
      </w:r>
      <w:r>
        <w:rPr>
          <w:snapToGrid w:val="0"/>
        </w:rPr>
        <w:tab/>
      </w:r>
      <w:r w:rsidRPr="00451864">
        <w:rPr>
          <w:snapToGrid w:val="0"/>
        </w:rPr>
        <w:t xml:space="preserve">Acceso en pie de igualdad a la formación profesional gratuita en </w:t>
      </w:r>
      <w:r>
        <w:rPr>
          <w:snapToGrid w:val="0"/>
        </w:rPr>
        <w:t xml:space="preserve">los </w:t>
      </w:r>
      <w:r w:rsidRPr="00451864">
        <w:rPr>
          <w:snapToGrid w:val="0"/>
        </w:rPr>
        <w:t>establecimientos públicos de formación profesional (art</w:t>
      </w:r>
      <w:r>
        <w:rPr>
          <w:snapToGrid w:val="0"/>
        </w:rPr>
        <w:t>.</w:t>
      </w:r>
      <w:r w:rsidRPr="00451864">
        <w:rPr>
          <w:snapToGrid w:val="0"/>
        </w:rPr>
        <w:t xml:space="preserve"> 53).</w:t>
      </w:r>
    </w:p>
    <w:p w:rsidR="00DD0682" w:rsidRPr="00451864" w:rsidRDefault="00DD0682" w:rsidP="00DD0682">
      <w:pPr>
        <w:adjustRightInd w:val="0"/>
        <w:snapToGrid w:val="0"/>
        <w:spacing w:after="240"/>
        <w:rPr>
          <w:snapToGrid w:val="0"/>
        </w:rPr>
      </w:pPr>
      <w:r w:rsidRPr="00451864">
        <w:rPr>
          <w:snapToGrid w:val="0"/>
        </w:rPr>
        <w:t>156.</w:t>
      </w:r>
      <w:r>
        <w:rPr>
          <w:snapToGrid w:val="0"/>
        </w:rPr>
        <w:tab/>
      </w:r>
      <w:r w:rsidRPr="00451864">
        <w:rPr>
          <w:snapToGrid w:val="0"/>
        </w:rPr>
        <w:t>Esos principios se enuncia</w:t>
      </w:r>
      <w:r>
        <w:rPr>
          <w:snapToGrid w:val="0"/>
        </w:rPr>
        <w:t>r</w:t>
      </w:r>
      <w:r w:rsidRPr="00451864">
        <w:rPr>
          <w:snapToGrid w:val="0"/>
        </w:rPr>
        <w:t>o</w:t>
      </w:r>
      <w:r>
        <w:rPr>
          <w:snapToGrid w:val="0"/>
        </w:rPr>
        <w:t>n de nuevo y precisaron</w:t>
      </w:r>
      <w:r w:rsidRPr="00451864">
        <w:rPr>
          <w:snapToGrid w:val="0"/>
        </w:rPr>
        <w:t xml:space="preserve"> en </w:t>
      </w:r>
      <w:r>
        <w:rPr>
          <w:snapToGrid w:val="0"/>
        </w:rPr>
        <w:t>e</w:t>
      </w:r>
      <w:r w:rsidRPr="00451864">
        <w:rPr>
          <w:snapToGrid w:val="0"/>
        </w:rPr>
        <w:t>l d</w:t>
      </w:r>
      <w:r>
        <w:rPr>
          <w:snapToGrid w:val="0"/>
        </w:rPr>
        <w:t>ispositivo por el que había de regirse el mundo</w:t>
      </w:r>
      <w:r w:rsidRPr="00451864">
        <w:rPr>
          <w:snapToGrid w:val="0"/>
        </w:rPr>
        <w:t xml:space="preserve"> laboral</w:t>
      </w:r>
      <w:r>
        <w:rPr>
          <w:snapToGrid w:val="0"/>
        </w:rPr>
        <w:t>,</w:t>
      </w:r>
      <w:r w:rsidRPr="00451864">
        <w:rPr>
          <w:snapToGrid w:val="0"/>
        </w:rPr>
        <w:t xml:space="preserve"> </w:t>
      </w:r>
      <w:r>
        <w:rPr>
          <w:snapToGrid w:val="0"/>
        </w:rPr>
        <w:t>en especial con</w:t>
      </w:r>
      <w:r w:rsidRPr="00451864">
        <w:rPr>
          <w:snapToGrid w:val="0"/>
        </w:rPr>
        <w:t xml:space="preserve"> relaci</w:t>
      </w:r>
      <w:r>
        <w:rPr>
          <w:snapToGrid w:val="0"/>
        </w:rPr>
        <w:t>ó</w:t>
      </w:r>
      <w:r w:rsidRPr="00451864">
        <w:rPr>
          <w:snapToGrid w:val="0"/>
        </w:rPr>
        <w:t>n</w:t>
      </w:r>
      <w:r>
        <w:rPr>
          <w:snapToGrid w:val="0"/>
        </w:rPr>
        <w:t xml:space="preserve"> a los aspectos siguientes</w:t>
      </w:r>
      <w:r w:rsidRPr="00451864">
        <w:rPr>
          <w:snapToGrid w:val="0"/>
        </w:rPr>
        <w:t>:</w:t>
      </w:r>
    </w:p>
    <w:p w:rsidR="00DD0682" w:rsidRPr="00451864" w:rsidRDefault="00DD0682" w:rsidP="00DD0682">
      <w:pPr>
        <w:adjustRightInd w:val="0"/>
        <w:snapToGrid w:val="0"/>
        <w:spacing w:after="240"/>
        <w:ind w:left="1134" w:hanging="567"/>
        <w:rPr>
          <w:snapToGrid w:val="0"/>
        </w:rPr>
      </w:pPr>
      <w:r w:rsidRPr="00451864">
        <w:rPr>
          <w:snapToGrid w:val="0"/>
        </w:rPr>
        <w:t>a)</w:t>
      </w:r>
      <w:r>
        <w:rPr>
          <w:snapToGrid w:val="0"/>
        </w:rPr>
        <w:tab/>
      </w:r>
      <w:r w:rsidRPr="00451864">
        <w:rPr>
          <w:snapToGrid w:val="0"/>
        </w:rPr>
        <w:t xml:space="preserve">La concertación y </w:t>
      </w:r>
      <w:r>
        <w:rPr>
          <w:snapToGrid w:val="0"/>
        </w:rPr>
        <w:t xml:space="preserve">la </w:t>
      </w:r>
      <w:r w:rsidRPr="00451864">
        <w:rPr>
          <w:snapToGrid w:val="0"/>
        </w:rPr>
        <w:t xml:space="preserve">negociación </w:t>
      </w:r>
      <w:r>
        <w:rPr>
          <w:snapToGrid w:val="0"/>
        </w:rPr>
        <w:t>entre</w:t>
      </w:r>
      <w:r w:rsidRPr="00451864">
        <w:rPr>
          <w:snapToGrid w:val="0"/>
        </w:rPr>
        <w:t xml:space="preserve"> los agentes sociales para l</w:t>
      </w:r>
      <w:r>
        <w:rPr>
          <w:snapToGrid w:val="0"/>
        </w:rPr>
        <w:t>a</w:t>
      </w:r>
      <w:r w:rsidRPr="00451864">
        <w:rPr>
          <w:snapToGrid w:val="0"/>
        </w:rPr>
        <w:t xml:space="preserve"> </w:t>
      </w:r>
      <w:r>
        <w:rPr>
          <w:snapToGrid w:val="0"/>
        </w:rPr>
        <w:t xml:space="preserve">solución </w:t>
      </w:r>
      <w:r w:rsidRPr="00451864">
        <w:rPr>
          <w:snapToGrid w:val="0"/>
        </w:rPr>
        <w:t xml:space="preserve">de sus conflictos, y </w:t>
      </w:r>
      <w:r>
        <w:rPr>
          <w:snapToGrid w:val="0"/>
        </w:rPr>
        <w:t>entre</w:t>
      </w:r>
      <w:r w:rsidRPr="00451864">
        <w:rPr>
          <w:snapToGrid w:val="0"/>
        </w:rPr>
        <w:t xml:space="preserve"> los trabajadores, para </w:t>
      </w:r>
      <w:r>
        <w:rPr>
          <w:snapToGrid w:val="0"/>
        </w:rPr>
        <w:t xml:space="preserve">el </w:t>
      </w:r>
      <w:r w:rsidRPr="00451864">
        <w:rPr>
          <w:snapToGrid w:val="0"/>
        </w:rPr>
        <w:t>ejerc</w:t>
      </w:r>
      <w:r>
        <w:rPr>
          <w:snapToGrid w:val="0"/>
        </w:rPr>
        <w:t>icio</w:t>
      </w:r>
      <w:r w:rsidRPr="00451864">
        <w:rPr>
          <w:snapToGrid w:val="0"/>
        </w:rPr>
        <w:t xml:space="preserve"> </w:t>
      </w:r>
      <w:r>
        <w:rPr>
          <w:snapToGrid w:val="0"/>
        </w:rPr>
        <w:t xml:space="preserve">de </w:t>
      </w:r>
      <w:r w:rsidRPr="00451864">
        <w:rPr>
          <w:snapToGrid w:val="0"/>
        </w:rPr>
        <w:t xml:space="preserve">su derecho </w:t>
      </w:r>
      <w:r>
        <w:rPr>
          <w:snapToGrid w:val="0"/>
        </w:rPr>
        <w:t>de</w:t>
      </w:r>
      <w:r w:rsidRPr="00451864">
        <w:rPr>
          <w:snapToGrid w:val="0"/>
        </w:rPr>
        <w:t xml:space="preserve"> huelga (Ley</w:t>
      </w:r>
      <w:r>
        <w:rPr>
          <w:snapToGrid w:val="0"/>
        </w:rPr>
        <w:t> Nº </w:t>
      </w:r>
      <w:r w:rsidRPr="00451864">
        <w:rPr>
          <w:snapToGrid w:val="0"/>
        </w:rPr>
        <w:t>90-02, de 2 de febrero de 1990);</w:t>
      </w:r>
    </w:p>
    <w:p w:rsidR="00DD0682" w:rsidRPr="00451864" w:rsidRDefault="00DD0682" w:rsidP="00DD0682">
      <w:pPr>
        <w:adjustRightInd w:val="0"/>
        <w:snapToGrid w:val="0"/>
        <w:spacing w:after="240"/>
        <w:ind w:left="1134" w:hanging="567"/>
        <w:rPr>
          <w:snapToGrid w:val="0"/>
        </w:rPr>
      </w:pPr>
      <w:r w:rsidRPr="00451864">
        <w:rPr>
          <w:snapToGrid w:val="0"/>
        </w:rPr>
        <w:t>b)</w:t>
      </w:r>
      <w:r>
        <w:rPr>
          <w:snapToGrid w:val="0"/>
        </w:rPr>
        <w:tab/>
      </w:r>
      <w:r w:rsidRPr="00451864">
        <w:rPr>
          <w:snapToGrid w:val="0"/>
        </w:rPr>
        <w:t xml:space="preserve">Los derechos, obligaciones y </w:t>
      </w:r>
      <w:r>
        <w:rPr>
          <w:snapToGrid w:val="0"/>
        </w:rPr>
        <w:t xml:space="preserve">medidas </w:t>
      </w:r>
      <w:r w:rsidRPr="00451864">
        <w:rPr>
          <w:snapToGrid w:val="0"/>
        </w:rPr>
        <w:t xml:space="preserve">generales de </w:t>
      </w:r>
      <w:r>
        <w:rPr>
          <w:snapToGrid w:val="0"/>
        </w:rPr>
        <w:t>protección</w:t>
      </w:r>
      <w:r w:rsidRPr="00451864">
        <w:rPr>
          <w:snapToGrid w:val="0"/>
        </w:rPr>
        <w:t xml:space="preserve">, la organización de la negociación colectiva y la participación de los trabajadores en la vida de la empresa (Ley </w:t>
      </w:r>
      <w:r>
        <w:rPr>
          <w:snapToGrid w:val="0"/>
        </w:rPr>
        <w:t xml:space="preserve">Nº </w:t>
      </w:r>
      <w:r w:rsidRPr="00451864">
        <w:rPr>
          <w:snapToGrid w:val="0"/>
        </w:rPr>
        <w:t>90-11</w:t>
      </w:r>
      <w:r>
        <w:rPr>
          <w:snapToGrid w:val="0"/>
        </w:rPr>
        <w:t>,</w:t>
      </w:r>
      <w:r w:rsidRPr="00451864">
        <w:rPr>
          <w:snapToGrid w:val="0"/>
        </w:rPr>
        <w:t xml:space="preserve"> de 21 de abril de 1990, relativa a las relaciones laborales);</w:t>
      </w:r>
    </w:p>
    <w:p w:rsidR="00DD0682" w:rsidRPr="00451864" w:rsidRDefault="00DD0682" w:rsidP="00DD0682">
      <w:pPr>
        <w:adjustRightInd w:val="0"/>
        <w:snapToGrid w:val="0"/>
        <w:spacing w:after="240"/>
        <w:ind w:left="1134" w:hanging="567"/>
        <w:rPr>
          <w:snapToGrid w:val="0"/>
        </w:rPr>
      </w:pPr>
      <w:r w:rsidRPr="00451864">
        <w:rPr>
          <w:snapToGrid w:val="0"/>
        </w:rPr>
        <w:t>c)</w:t>
      </w:r>
      <w:r>
        <w:rPr>
          <w:snapToGrid w:val="0"/>
        </w:rPr>
        <w:tab/>
      </w:r>
      <w:r w:rsidRPr="00451864">
        <w:rPr>
          <w:snapToGrid w:val="0"/>
        </w:rPr>
        <w:t>L</w:t>
      </w:r>
      <w:r>
        <w:rPr>
          <w:snapToGrid w:val="0"/>
        </w:rPr>
        <w:t>a</w:t>
      </w:r>
      <w:r w:rsidRPr="00451864">
        <w:rPr>
          <w:snapToGrid w:val="0"/>
        </w:rPr>
        <w:t xml:space="preserve">s </w:t>
      </w:r>
      <w:r>
        <w:rPr>
          <w:snapToGrid w:val="0"/>
        </w:rPr>
        <w:t xml:space="preserve">modalidades </w:t>
      </w:r>
      <w:r w:rsidRPr="00451864">
        <w:rPr>
          <w:snapToGrid w:val="0"/>
        </w:rPr>
        <w:t>de intervención, control y arbitraje de</w:t>
      </w:r>
      <w:r>
        <w:rPr>
          <w:snapToGrid w:val="0"/>
        </w:rPr>
        <w:t xml:space="preserve"> </w:t>
      </w:r>
      <w:r w:rsidRPr="00451864">
        <w:rPr>
          <w:snapToGrid w:val="0"/>
        </w:rPr>
        <w:t>l</w:t>
      </w:r>
      <w:r>
        <w:rPr>
          <w:snapToGrid w:val="0"/>
        </w:rPr>
        <w:t>os</w:t>
      </w:r>
      <w:r w:rsidRPr="00451864">
        <w:rPr>
          <w:snapToGrid w:val="0"/>
        </w:rPr>
        <w:t xml:space="preserve"> poder</w:t>
      </w:r>
      <w:r>
        <w:rPr>
          <w:snapToGrid w:val="0"/>
        </w:rPr>
        <w:t>es</w:t>
      </w:r>
      <w:r w:rsidRPr="00451864">
        <w:rPr>
          <w:snapToGrid w:val="0"/>
        </w:rPr>
        <w:t xml:space="preserve"> público</w:t>
      </w:r>
      <w:r>
        <w:rPr>
          <w:snapToGrid w:val="0"/>
        </w:rPr>
        <w:t>s</w:t>
      </w:r>
      <w:r w:rsidRPr="00451864">
        <w:rPr>
          <w:snapToGrid w:val="0"/>
        </w:rPr>
        <w:t xml:space="preserve"> </w:t>
      </w:r>
      <w:r>
        <w:rPr>
          <w:snapToGrid w:val="0"/>
        </w:rPr>
        <w:t xml:space="preserve">previstas </w:t>
      </w:r>
      <w:r w:rsidRPr="00451864">
        <w:rPr>
          <w:snapToGrid w:val="0"/>
        </w:rPr>
        <w:t xml:space="preserve">en la Ley </w:t>
      </w:r>
      <w:r>
        <w:rPr>
          <w:snapToGrid w:val="0"/>
        </w:rPr>
        <w:t xml:space="preserve">Nº </w:t>
      </w:r>
      <w:r w:rsidRPr="00451864">
        <w:rPr>
          <w:snapToGrid w:val="0"/>
        </w:rPr>
        <w:t xml:space="preserve">90-03, de 6 de febrero de 1990, relativa a la inspección del trabajo, y </w:t>
      </w:r>
      <w:r>
        <w:rPr>
          <w:snapToGrid w:val="0"/>
        </w:rPr>
        <w:t xml:space="preserve">en </w:t>
      </w:r>
      <w:r w:rsidRPr="00451864">
        <w:rPr>
          <w:snapToGrid w:val="0"/>
        </w:rPr>
        <w:t xml:space="preserve">la Ley </w:t>
      </w:r>
      <w:r>
        <w:rPr>
          <w:snapToGrid w:val="0"/>
        </w:rPr>
        <w:t>Nº </w:t>
      </w:r>
      <w:r w:rsidRPr="00451864">
        <w:rPr>
          <w:snapToGrid w:val="0"/>
        </w:rPr>
        <w:t>90-04, de 6 de febrero de 1990, relativa a la solución de los conflictos laborales individuales;</w:t>
      </w:r>
    </w:p>
    <w:p w:rsidR="00DD0682" w:rsidRPr="00451864" w:rsidRDefault="00DD0682" w:rsidP="00DD0682">
      <w:pPr>
        <w:adjustRightInd w:val="0"/>
        <w:snapToGrid w:val="0"/>
        <w:spacing w:after="240"/>
        <w:ind w:left="1134" w:hanging="567"/>
        <w:rPr>
          <w:snapToGrid w:val="0"/>
        </w:rPr>
      </w:pPr>
      <w:r w:rsidRPr="00451864">
        <w:rPr>
          <w:snapToGrid w:val="0"/>
        </w:rPr>
        <w:t>d)</w:t>
      </w:r>
      <w:r>
        <w:rPr>
          <w:snapToGrid w:val="0"/>
        </w:rPr>
        <w:tab/>
      </w:r>
      <w:r w:rsidRPr="00451864">
        <w:rPr>
          <w:snapToGrid w:val="0"/>
        </w:rPr>
        <w:t>El marco legislativo</w:t>
      </w:r>
      <w:r>
        <w:rPr>
          <w:snapToGrid w:val="0"/>
        </w:rPr>
        <w:t xml:space="preserve"> y</w:t>
      </w:r>
      <w:r w:rsidRPr="00451864">
        <w:rPr>
          <w:snapToGrid w:val="0"/>
        </w:rPr>
        <w:t xml:space="preserve"> los mecanismos </w:t>
      </w:r>
      <w:r>
        <w:rPr>
          <w:snapToGrid w:val="0"/>
        </w:rPr>
        <w:t xml:space="preserve">en él previstos para </w:t>
      </w:r>
      <w:r w:rsidRPr="00451864">
        <w:rPr>
          <w:snapToGrid w:val="0"/>
        </w:rPr>
        <w:t xml:space="preserve">que los agentes sociales </w:t>
      </w:r>
      <w:r w:rsidRPr="00A77A53">
        <w:rPr>
          <w:snapToGrid w:val="0"/>
          <w:spacing w:val="-4"/>
        </w:rPr>
        <w:t>puedan organizarse a fin de defender sus intereses materiales y morales:  Ley Nº 90-14, de 2 de junio de 1990</w:t>
      </w:r>
      <w:r>
        <w:rPr>
          <w:snapToGrid w:val="0"/>
          <w:spacing w:val="-4"/>
        </w:rPr>
        <w:t>,</w:t>
      </w:r>
      <w:r w:rsidRPr="00A77A53">
        <w:rPr>
          <w:snapToGrid w:val="0"/>
          <w:spacing w:val="-4"/>
        </w:rPr>
        <w:t xml:space="preserve"> relativa a las modalidades de ejercicio del derecho </w:t>
      </w:r>
      <w:r>
        <w:rPr>
          <w:snapToGrid w:val="0"/>
          <w:spacing w:val="-4"/>
        </w:rPr>
        <w:t xml:space="preserve">de </w:t>
      </w:r>
      <w:r w:rsidRPr="00A77A53">
        <w:rPr>
          <w:snapToGrid w:val="0"/>
          <w:spacing w:val="-4"/>
        </w:rPr>
        <w:t>sindica</w:t>
      </w:r>
      <w:r>
        <w:rPr>
          <w:snapToGrid w:val="0"/>
          <w:spacing w:val="-4"/>
        </w:rPr>
        <w:t>ción</w:t>
      </w:r>
      <w:r w:rsidRPr="00A77A53">
        <w:rPr>
          <w:snapToGrid w:val="0"/>
          <w:spacing w:val="-4"/>
        </w:rPr>
        <w:t>.</w:t>
      </w:r>
    </w:p>
    <w:p w:rsidR="00DD0682" w:rsidRPr="00451864" w:rsidRDefault="00DD0682" w:rsidP="00DD0682">
      <w:pPr>
        <w:adjustRightInd w:val="0"/>
        <w:snapToGrid w:val="0"/>
        <w:spacing w:after="240"/>
        <w:rPr>
          <w:snapToGrid w:val="0"/>
        </w:rPr>
      </w:pPr>
      <w:r w:rsidRPr="00451864">
        <w:rPr>
          <w:snapToGrid w:val="0"/>
        </w:rPr>
        <w:t>157.</w:t>
      </w:r>
      <w:r>
        <w:rPr>
          <w:snapToGrid w:val="0"/>
        </w:rPr>
        <w:tab/>
      </w:r>
      <w:r w:rsidRPr="00451864">
        <w:rPr>
          <w:snapToGrid w:val="0"/>
        </w:rPr>
        <w:t xml:space="preserve">Ese </w:t>
      </w:r>
      <w:r>
        <w:rPr>
          <w:snapToGrid w:val="0"/>
        </w:rPr>
        <w:t xml:space="preserve">dispositivo </w:t>
      </w:r>
      <w:r w:rsidRPr="00451864">
        <w:rPr>
          <w:snapToGrid w:val="0"/>
        </w:rPr>
        <w:t xml:space="preserve">se completó en 1994 con tres </w:t>
      </w:r>
      <w:r>
        <w:rPr>
          <w:snapToGrid w:val="0"/>
        </w:rPr>
        <w:t xml:space="preserve">textos de carácter </w:t>
      </w:r>
      <w:r w:rsidRPr="00451864">
        <w:rPr>
          <w:snapToGrid w:val="0"/>
        </w:rPr>
        <w:t>legislativo destinados a ofrecer un marco para los planes sociales derivados de la reestructuración de la industria y asegurar la cobertura social de los trabajadores incluidos en dicho marco</w:t>
      </w:r>
      <w:r>
        <w:rPr>
          <w:snapToGrid w:val="0"/>
        </w:rPr>
        <w:t xml:space="preserve">.  Esos textos </w:t>
      </w:r>
      <w:r w:rsidRPr="00451864">
        <w:rPr>
          <w:snapToGrid w:val="0"/>
        </w:rPr>
        <w:t>son:</w:t>
      </w:r>
    </w:p>
    <w:p w:rsidR="00DD0682" w:rsidRPr="00451864" w:rsidRDefault="00DD0682" w:rsidP="00DD0682">
      <w:pPr>
        <w:adjustRightInd w:val="0"/>
        <w:snapToGrid w:val="0"/>
        <w:spacing w:after="240"/>
        <w:ind w:left="1134" w:hanging="567"/>
        <w:rPr>
          <w:snapToGrid w:val="0"/>
        </w:rPr>
      </w:pPr>
      <w:r w:rsidRPr="00451864">
        <w:rPr>
          <w:snapToGrid w:val="0"/>
        </w:rPr>
        <w:t>a)</w:t>
      </w:r>
      <w:r>
        <w:rPr>
          <w:snapToGrid w:val="0"/>
        </w:rPr>
        <w:tab/>
        <w:t xml:space="preserve">El </w:t>
      </w:r>
      <w:r w:rsidRPr="00451864">
        <w:rPr>
          <w:snapToGrid w:val="0"/>
        </w:rPr>
        <w:t xml:space="preserve">Decreto legislativo </w:t>
      </w:r>
      <w:r>
        <w:rPr>
          <w:snapToGrid w:val="0"/>
        </w:rPr>
        <w:t xml:space="preserve">Nº </w:t>
      </w:r>
      <w:r w:rsidRPr="00451864">
        <w:rPr>
          <w:snapToGrid w:val="0"/>
        </w:rPr>
        <w:t xml:space="preserve">94-09, de 26 de mayo de 1994, relativo a la preservación del empleo y la protección de los asalariados </w:t>
      </w:r>
      <w:r>
        <w:rPr>
          <w:snapToGrid w:val="0"/>
        </w:rPr>
        <w:t xml:space="preserve">que podían </w:t>
      </w:r>
      <w:r w:rsidRPr="00451864">
        <w:rPr>
          <w:snapToGrid w:val="0"/>
        </w:rPr>
        <w:t xml:space="preserve">perder </w:t>
      </w:r>
      <w:r>
        <w:rPr>
          <w:snapToGrid w:val="0"/>
        </w:rPr>
        <w:t xml:space="preserve">su </w:t>
      </w:r>
      <w:r w:rsidRPr="00451864">
        <w:rPr>
          <w:snapToGrid w:val="0"/>
        </w:rPr>
        <w:t>empleo de manera involuntaria;</w:t>
      </w:r>
    </w:p>
    <w:p w:rsidR="00DD0682" w:rsidRPr="00451864" w:rsidRDefault="00DD0682" w:rsidP="00DD0682">
      <w:pPr>
        <w:adjustRightInd w:val="0"/>
        <w:snapToGrid w:val="0"/>
        <w:spacing w:after="240"/>
        <w:ind w:left="1134" w:hanging="567"/>
        <w:rPr>
          <w:snapToGrid w:val="0"/>
        </w:rPr>
      </w:pPr>
      <w:r w:rsidRPr="00451864">
        <w:rPr>
          <w:snapToGrid w:val="0"/>
        </w:rPr>
        <w:t>b)</w:t>
      </w:r>
      <w:r>
        <w:rPr>
          <w:snapToGrid w:val="0"/>
        </w:rPr>
        <w:tab/>
        <w:t xml:space="preserve">El </w:t>
      </w:r>
      <w:r w:rsidRPr="00451864">
        <w:rPr>
          <w:snapToGrid w:val="0"/>
        </w:rPr>
        <w:t xml:space="preserve">Decreto legislativo </w:t>
      </w:r>
      <w:r>
        <w:rPr>
          <w:snapToGrid w:val="0"/>
        </w:rPr>
        <w:t xml:space="preserve">Nº </w:t>
      </w:r>
      <w:r w:rsidRPr="00451864">
        <w:rPr>
          <w:snapToGrid w:val="0"/>
        </w:rPr>
        <w:t>94-10, de 26 de mayo de 1994, que in</w:t>
      </w:r>
      <w:r>
        <w:rPr>
          <w:snapToGrid w:val="0"/>
        </w:rPr>
        <w:t>trodujo la jubilación</w:t>
      </w:r>
      <w:r w:rsidRPr="00451864">
        <w:rPr>
          <w:snapToGrid w:val="0"/>
        </w:rPr>
        <w:t xml:space="preserve"> anticipad</w:t>
      </w:r>
      <w:r>
        <w:rPr>
          <w:snapToGrid w:val="0"/>
        </w:rPr>
        <w:t>a</w:t>
      </w:r>
      <w:r w:rsidRPr="00451864">
        <w:rPr>
          <w:snapToGrid w:val="0"/>
        </w:rPr>
        <w:t>;</w:t>
      </w:r>
    </w:p>
    <w:p w:rsidR="00DD0682" w:rsidRPr="00451864" w:rsidRDefault="00DD0682" w:rsidP="00DD0682">
      <w:pPr>
        <w:adjustRightInd w:val="0"/>
        <w:snapToGrid w:val="0"/>
        <w:spacing w:after="240"/>
        <w:ind w:left="1134" w:hanging="567"/>
        <w:rPr>
          <w:snapToGrid w:val="0"/>
        </w:rPr>
      </w:pPr>
      <w:r w:rsidRPr="00451864">
        <w:rPr>
          <w:snapToGrid w:val="0"/>
        </w:rPr>
        <w:t>c)</w:t>
      </w:r>
      <w:r>
        <w:rPr>
          <w:snapToGrid w:val="0"/>
        </w:rPr>
        <w:tab/>
        <w:t xml:space="preserve">El </w:t>
      </w:r>
      <w:r w:rsidRPr="00451864">
        <w:rPr>
          <w:snapToGrid w:val="0"/>
        </w:rPr>
        <w:t xml:space="preserve">Decreto legislativo </w:t>
      </w:r>
      <w:r>
        <w:rPr>
          <w:snapToGrid w:val="0"/>
        </w:rPr>
        <w:t xml:space="preserve">Nº </w:t>
      </w:r>
      <w:r w:rsidRPr="00451864">
        <w:rPr>
          <w:snapToGrid w:val="0"/>
        </w:rPr>
        <w:t>94-11, de 26 de mayo de 1994, que in</w:t>
      </w:r>
      <w:r>
        <w:rPr>
          <w:snapToGrid w:val="0"/>
        </w:rPr>
        <w:t>trodujo</w:t>
      </w:r>
      <w:r w:rsidRPr="00451864">
        <w:rPr>
          <w:snapToGrid w:val="0"/>
        </w:rPr>
        <w:t xml:space="preserve"> el seguro de desempleo para los asalariados </w:t>
      </w:r>
      <w:r>
        <w:rPr>
          <w:snapToGrid w:val="0"/>
        </w:rPr>
        <w:t>que podían</w:t>
      </w:r>
      <w:r w:rsidRPr="00451864">
        <w:rPr>
          <w:snapToGrid w:val="0"/>
        </w:rPr>
        <w:t xml:space="preserve"> perder </w:t>
      </w:r>
      <w:r>
        <w:rPr>
          <w:snapToGrid w:val="0"/>
        </w:rPr>
        <w:t xml:space="preserve">su </w:t>
      </w:r>
      <w:r w:rsidRPr="00451864">
        <w:rPr>
          <w:snapToGrid w:val="0"/>
        </w:rPr>
        <w:t>empleo de manera involuntaria y/o por razones económicas.</w:t>
      </w:r>
    </w:p>
    <w:p w:rsidR="00DD0682" w:rsidRPr="00451864" w:rsidRDefault="00DD0682" w:rsidP="00DD0682">
      <w:pPr>
        <w:adjustRightInd w:val="0"/>
        <w:snapToGrid w:val="0"/>
        <w:spacing w:after="240"/>
        <w:rPr>
          <w:snapToGrid w:val="0"/>
        </w:rPr>
      </w:pPr>
      <w:r w:rsidRPr="00451864">
        <w:rPr>
          <w:snapToGrid w:val="0"/>
        </w:rPr>
        <w:t>158.</w:t>
      </w:r>
      <w:r>
        <w:rPr>
          <w:snapToGrid w:val="0"/>
        </w:rPr>
        <w:tab/>
        <w:t>Por último</w:t>
      </w:r>
      <w:r w:rsidRPr="00451864">
        <w:rPr>
          <w:snapToGrid w:val="0"/>
        </w:rPr>
        <w:t xml:space="preserve">, en 2004, la Ley </w:t>
      </w:r>
      <w:r>
        <w:rPr>
          <w:snapToGrid w:val="0"/>
        </w:rPr>
        <w:t xml:space="preserve">Nº </w:t>
      </w:r>
      <w:r w:rsidRPr="00451864">
        <w:rPr>
          <w:snapToGrid w:val="0"/>
        </w:rPr>
        <w:t xml:space="preserve">04-19, de 25 de diciembre de 2004, relativa a la </w:t>
      </w:r>
      <w:r>
        <w:rPr>
          <w:snapToGrid w:val="0"/>
        </w:rPr>
        <w:t xml:space="preserve">colocación </w:t>
      </w:r>
      <w:r w:rsidRPr="00451864">
        <w:rPr>
          <w:snapToGrid w:val="0"/>
        </w:rPr>
        <w:t xml:space="preserve">de los trabajadores y al control del empleo, </w:t>
      </w:r>
      <w:r>
        <w:rPr>
          <w:snapToGrid w:val="0"/>
        </w:rPr>
        <w:t xml:space="preserve">dotó a </w:t>
      </w:r>
      <w:r w:rsidRPr="00451864">
        <w:rPr>
          <w:snapToGrid w:val="0"/>
        </w:rPr>
        <w:t xml:space="preserve">la Agencia Nacional de Empleo </w:t>
      </w:r>
      <w:r>
        <w:rPr>
          <w:snapToGrid w:val="0"/>
        </w:rPr>
        <w:t xml:space="preserve">de </w:t>
      </w:r>
      <w:r w:rsidRPr="00451864">
        <w:rPr>
          <w:snapToGrid w:val="0"/>
        </w:rPr>
        <w:t>un</w:t>
      </w:r>
      <w:r>
        <w:rPr>
          <w:snapToGrid w:val="0"/>
        </w:rPr>
        <w:t>os</w:t>
      </w:r>
      <w:r w:rsidRPr="00451864">
        <w:rPr>
          <w:snapToGrid w:val="0"/>
        </w:rPr>
        <w:t xml:space="preserve"> estatuto</w:t>
      </w:r>
      <w:r>
        <w:rPr>
          <w:snapToGrid w:val="0"/>
        </w:rPr>
        <w:t>s</w:t>
      </w:r>
      <w:r w:rsidRPr="00451864">
        <w:rPr>
          <w:snapToGrid w:val="0"/>
        </w:rPr>
        <w:t xml:space="preserve"> más </w:t>
      </w:r>
      <w:r>
        <w:rPr>
          <w:snapToGrid w:val="0"/>
        </w:rPr>
        <w:t>adaptados a</w:t>
      </w:r>
      <w:r w:rsidRPr="00451864">
        <w:rPr>
          <w:snapToGrid w:val="0"/>
        </w:rPr>
        <w:t xml:space="preserve"> su actividad, reforzada por la posibilidad de crea</w:t>
      </w:r>
      <w:r>
        <w:rPr>
          <w:snapToGrid w:val="0"/>
        </w:rPr>
        <w:t>r</w:t>
      </w:r>
      <w:r w:rsidRPr="00451864">
        <w:rPr>
          <w:snapToGrid w:val="0"/>
        </w:rPr>
        <w:t xml:space="preserve"> </w:t>
      </w:r>
      <w:r>
        <w:rPr>
          <w:snapToGrid w:val="0"/>
        </w:rPr>
        <w:t xml:space="preserve">agencias </w:t>
      </w:r>
      <w:r w:rsidRPr="00451864">
        <w:rPr>
          <w:snapToGrid w:val="0"/>
        </w:rPr>
        <w:t xml:space="preserve">de </w:t>
      </w:r>
      <w:r>
        <w:rPr>
          <w:snapToGrid w:val="0"/>
        </w:rPr>
        <w:t xml:space="preserve">colocación privadas.  </w:t>
      </w:r>
      <w:r w:rsidRPr="00451864">
        <w:rPr>
          <w:snapToGrid w:val="0"/>
        </w:rPr>
        <w:t>Esa ley protege a l</w:t>
      </w:r>
      <w:r>
        <w:rPr>
          <w:snapToGrid w:val="0"/>
        </w:rPr>
        <w:t>o</w:t>
      </w:r>
      <w:r w:rsidRPr="00451864">
        <w:rPr>
          <w:snapToGrid w:val="0"/>
        </w:rPr>
        <w:t xml:space="preserve">s </w:t>
      </w:r>
      <w:r>
        <w:rPr>
          <w:snapToGrid w:val="0"/>
        </w:rPr>
        <w:t xml:space="preserve">solicitantes de </w:t>
      </w:r>
      <w:r w:rsidRPr="00451864">
        <w:rPr>
          <w:snapToGrid w:val="0"/>
        </w:rPr>
        <w:t xml:space="preserve">empleo contra toda forma de subcontratación de </w:t>
      </w:r>
      <w:r>
        <w:rPr>
          <w:snapToGrid w:val="0"/>
        </w:rPr>
        <w:t xml:space="preserve">mano </w:t>
      </w:r>
      <w:r w:rsidRPr="00451864">
        <w:rPr>
          <w:snapToGrid w:val="0"/>
        </w:rPr>
        <w:t xml:space="preserve">de </w:t>
      </w:r>
      <w:r>
        <w:rPr>
          <w:snapToGrid w:val="0"/>
        </w:rPr>
        <w:t>obra</w:t>
      </w:r>
      <w:r w:rsidRPr="00451864">
        <w:rPr>
          <w:snapToGrid w:val="0"/>
        </w:rPr>
        <w:t>.</w:t>
      </w:r>
    </w:p>
    <w:p w:rsidR="00DD0682" w:rsidRDefault="00DD0682" w:rsidP="00DD0682">
      <w:pPr>
        <w:adjustRightInd w:val="0"/>
        <w:snapToGrid w:val="0"/>
        <w:spacing w:after="240"/>
        <w:jc w:val="center"/>
        <w:rPr>
          <w:bCs/>
          <w:snapToGrid w:val="0"/>
        </w:rPr>
      </w:pPr>
      <w:r w:rsidRPr="00451864">
        <w:rPr>
          <w:b/>
          <w:bCs/>
          <w:snapToGrid w:val="0"/>
        </w:rPr>
        <w:t>Evolución de la tasa de desempleo</w:t>
      </w:r>
      <w:r>
        <w:rPr>
          <w:b/>
          <w:bCs/>
          <w:snapToGrid w:val="0"/>
        </w:rPr>
        <w:t>,</w:t>
      </w:r>
      <w:r w:rsidRPr="00451864">
        <w:rPr>
          <w:b/>
          <w:bCs/>
          <w:snapToGrid w:val="0"/>
        </w:rPr>
        <w:t xml:space="preserve"> 2000</w:t>
      </w:r>
      <w:r>
        <w:rPr>
          <w:b/>
          <w:bCs/>
          <w:snapToGrid w:val="0"/>
        </w:rPr>
        <w:t>-</w:t>
      </w:r>
      <w:r w:rsidRPr="00451864">
        <w:rPr>
          <w:b/>
          <w:bCs/>
          <w:snapToGrid w:val="0"/>
        </w:rPr>
        <w:t>2006</w:t>
      </w:r>
    </w:p>
    <w:tbl>
      <w:tblPr>
        <w:tblStyle w:val="TableGrid"/>
        <w:tblW w:w="5000" w:type="pct"/>
        <w:jc w:val="center"/>
        <w:tblLook w:val="01E0" w:firstRow="1" w:lastRow="1" w:firstColumn="1" w:lastColumn="1" w:noHBand="0" w:noVBand="0"/>
      </w:tblPr>
      <w:tblGrid>
        <w:gridCol w:w="2372"/>
        <w:gridCol w:w="2373"/>
        <w:gridCol w:w="2373"/>
        <w:gridCol w:w="2373"/>
      </w:tblGrid>
      <w:tr w:rsidR="00DD0682" w:rsidTr="00DD0682">
        <w:trPr>
          <w:jc w:val="center"/>
        </w:trPr>
        <w:tc>
          <w:tcPr>
            <w:tcW w:w="1250" w:type="pct"/>
            <w:vAlign w:val="center"/>
          </w:tcPr>
          <w:p w:rsidR="00DD0682" w:rsidRPr="00FE3128" w:rsidRDefault="00DD0682" w:rsidP="00DD0682">
            <w:pPr>
              <w:adjustRightInd w:val="0"/>
              <w:snapToGrid w:val="0"/>
              <w:jc w:val="center"/>
              <w:rPr>
                <w:b/>
                <w:bCs/>
                <w:snapToGrid w:val="0"/>
              </w:rPr>
            </w:pPr>
            <w:r>
              <w:rPr>
                <w:b/>
                <w:bCs/>
                <w:snapToGrid w:val="0"/>
              </w:rPr>
              <w:t>Año</w:t>
            </w:r>
          </w:p>
        </w:tc>
        <w:tc>
          <w:tcPr>
            <w:tcW w:w="1250" w:type="pct"/>
            <w:vAlign w:val="center"/>
          </w:tcPr>
          <w:p w:rsidR="00DD0682" w:rsidRPr="00FE3128" w:rsidRDefault="00DD0682" w:rsidP="00DD0682">
            <w:pPr>
              <w:adjustRightInd w:val="0"/>
              <w:snapToGrid w:val="0"/>
              <w:jc w:val="center"/>
              <w:rPr>
                <w:b/>
                <w:bCs/>
                <w:snapToGrid w:val="0"/>
              </w:rPr>
            </w:pPr>
            <w:r>
              <w:rPr>
                <w:b/>
                <w:bCs/>
                <w:snapToGrid w:val="0"/>
              </w:rPr>
              <w:t>Población activa</w:t>
            </w:r>
          </w:p>
        </w:tc>
        <w:tc>
          <w:tcPr>
            <w:tcW w:w="1250" w:type="pct"/>
            <w:vAlign w:val="center"/>
          </w:tcPr>
          <w:p w:rsidR="00DD0682" w:rsidRPr="00FE3128" w:rsidRDefault="00DD0682" w:rsidP="00DD0682">
            <w:pPr>
              <w:adjustRightInd w:val="0"/>
              <w:snapToGrid w:val="0"/>
              <w:jc w:val="center"/>
              <w:rPr>
                <w:b/>
                <w:bCs/>
                <w:snapToGrid w:val="0"/>
              </w:rPr>
            </w:pPr>
            <w:r>
              <w:rPr>
                <w:b/>
                <w:bCs/>
                <w:snapToGrid w:val="0"/>
              </w:rPr>
              <w:t>Solicitantes de empleo</w:t>
            </w:r>
          </w:p>
        </w:tc>
        <w:tc>
          <w:tcPr>
            <w:tcW w:w="1250" w:type="pct"/>
            <w:vAlign w:val="center"/>
          </w:tcPr>
          <w:p w:rsidR="00DD0682" w:rsidRPr="00FE3128" w:rsidRDefault="00DD0682" w:rsidP="00DD0682">
            <w:pPr>
              <w:adjustRightInd w:val="0"/>
              <w:snapToGrid w:val="0"/>
              <w:jc w:val="center"/>
              <w:rPr>
                <w:b/>
                <w:bCs/>
                <w:snapToGrid w:val="0"/>
              </w:rPr>
            </w:pPr>
            <w:r>
              <w:rPr>
                <w:b/>
                <w:bCs/>
                <w:snapToGrid w:val="0"/>
              </w:rPr>
              <w:t>Tasa de desempleo</w:t>
            </w:r>
            <w:r>
              <w:rPr>
                <w:b/>
                <w:bCs/>
                <w:snapToGrid w:val="0"/>
              </w:rPr>
              <w:br/>
              <w:t>(porcentaje)</w:t>
            </w:r>
          </w:p>
        </w:tc>
      </w:tr>
      <w:tr w:rsidR="00DD0682" w:rsidTr="00DD0682">
        <w:trPr>
          <w:jc w:val="center"/>
        </w:trPr>
        <w:tc>
          <w:tcPr>
            <w:tcW w:w="1250" w:type="pct"/>
            <w:vAlign w:val="center"/>
          </w:tcPr>
          <w:p w:rsidR="00DD0682" w:rsidRDefault="00DD0682" w:rsidP="00DD0682">
            <w:pPr>
              <w:adjustRightInd w:val="0"/>
              <w:snapToGrid w:val="0"/>
              <w:jc w:val="center"/>
              <w:rPr>
                <w:bCs/>
                <w:snapToGrid w:val="0"/>
              </w:rPr>
            </w:pPr>
            <w:r>
              <w:rPr>
                <w:bCs/>
                <w:snapToGrid w:val="0"/>
              </w:rPr>
              <w:t>2000</w:t>
            </w:r>
          </w:p>
        </w:tc>
        <w:tc>
          <w:tcPr>
            <w:tcW w:w="1250" w:type="pct"/>
            <w:vAlign w:val="center"/>
          </w:tcPr>
          <w:p w:rsidR="00DD0682" w:rsidRDefault="00DD0682" w:rsidP="00DD0682">
            <w:pPr>
              <w:tabs>
                <w:tab w:val="decimal" w:pos="1632"/>
              </w:tabs>
              <w:adjustRightInd w:val="0"/>
              <w:snapToGrid w:val="0"/>
              <w:rPr>
                <w:bCs/>
                <w:snapToGrid w:val="0"/>
              </w:rPr>
            </w:pPr>
            <w:r>
              <w:rPr>
                <w:bCs/>
                <w:snapToGrid w:val="0"/>
              </w:rPr>
              <w:t>8.421.284</w:t>
            </w:r>
          </w:p>
        </w:tc>
        <w:tc>
          <w:tcPr>
            <w:tcW w:w="1250" w:type="pct"/>
            <w:vAlign w:val="center"/>
          </w:tcPr>
          <w:p w:rsidR="00DD0682" w:rsidRDefault="00DD0682" w:rsidP="00DD0682">
            <w:pPr>
              <w:adjustRightInd w:val="0"/>
              <w:snapToGrid w:val="0"/>
              <w:jc w:val="center"/>
              <w:rPr>
                <w:bCs/>
                <w:snapToGrid w:val="0"/>
              </w:rPr>
            </w:pPr>
            <w:r>
              <w:rPr>
                <w:bCs/>
                <w:snapToGrid w:val="0"/>
              </w:rPr>
              <w:t>2.484.279</w:t>
            </w:r>
          </w:p>
        </w:tc>
        <w:tc>
          <w:tcPr>
            <w:tcW w:w="1250" w:type="pct"/>
            <w:vAlign w:val="center"/>
          </w:tcPr>
          <w:p w:rsidR="00DD0682" w:rsidRDefault="00DD0682" w:rsidP="00DD0682">
            <w:pPr>
              <w:adjustRightInd w:val="0"/>
              <w:snapToGrid w:val="0"/>
              <w:jc w:val="center"/>
              <w:rPr>
                <w:bCs/>
                <w:snapToGrid w:val="0"/>
              </w:rPr>
            </w:pPr>
            <w:r>
              <w:rPr>
                <w:bCs/>
                <w:snapToGrid w:val="0"/>
              </w:rPr>
              <w:t>29,5</w:t>
            </w:r>
          </w:p>
        </w:tc>
      </w:tr>
      <w:tr w:rsidR="00DD0682" w:rsidTr="00DD0682">
        <w:trPr>
          <w:jc w:val="center"/>
        </w:trPr>
        <w:tc>
          <w:tcPr>
            <w:tcW w:w="1250" w:type="pct"/>
            <w:vAlign w:val="center"/>
          </w:tcPr>
          <w:p w:rsidR="00DD0682" w:rsidRDefault="00DD0682" w:rsidP="00DD0682">
            <w:pPr>
              <w:adjustRightInd w:val="0"/>
              <w:snapToGrid w:val="0"/>
              <w:jc w:val="center"/>
              <w:rPr>
                <w:bCs/>
                <w:snapToGrid w:val="0"/>
              </w:rPr>
            </w:pPr>
            <w:r>
              <w:rPr>
                <w:bCs/>
                <w:snapToGrid w:val="0"/>
              </w:rPr>
              <w:t>2001</w:t>
            </w:r>
          </w:p>
        </w:tc>
        <w:tc>
          <w:tcPr>
            <w:tcW w:w="1250" w:type="pct"/>
            <w:vAlign w:val="center"/>
          </w:tcPr>
          <w:p w:rsidR="00DD0682" w:rsidRDefault="00DD0682" w:rsidP="00DD0682">
            <w:pPr>
              <w:tabs>
                <w:tab w:val="decimal" w:pos="1632"/>
              </w:tabs>
              <w:adjustRightInd w:val="0"/>
              <w:snapToGrid w:val="0"/>
              <w:rPr>
                <w:bCs/>
                <w:snapToGrid w:val="0"/>
              </w:rPr>
            </w:pPr>
            <w:r>
              <w:rPr>
                <w:bCs/>
                <w:snapToGrid w:val="0"/>
              </w:rPr>
              <w:t>8.568.221</w:t>
            </w:r>
          </w:p>
        </w:tc>
        <w:tc>
          <w:tcPr>
            <w:tcW w:w="1250" w:type="pct"/>
            <w:vAlign w:val="center"/>
          </w:tcPr>
          <w:p w:rsidR="00DD0682" w:rsidRDefault="00DD0682" w:rsidP="00DD0682">
            <w:pPr>
              <w:adjustRightInd w:val="0"/>
              <w:snapToGrid w:val="0"/>
              <w:jc w:val="center"/>
              <w:rPr>
                <w:bCs/>
                <w:snapToGrid w:val="0"/>
              </w:rPr>
            </w:pPr>
            <w:r>
              <w:rPr>
                <w:bCs/>
                <w:snapToGrid w:val="0"/>
              </w:rPr>
              <w:t>2.339.449</w:t>
            </w:r>
          </w:p>
        </w:tc>
        <w:tc>
          <w:tcPr>
            <w:tcW w:w="1250" w:type="pct"/>
            <w:vAlign w:val="center"/>
          </w:tcPr>
          <w:p w:rsidR="00DD0682" w:rsidRDefault="00DD0682" w:rsidP="00DD0682">
            <w:pPr>
              <w:adjustRightInd w:val="0"/>
              <w:snapToGrid w:val="0"/>
              <w:jc w:val="center"/>
              <w:rPr>
                <w:bCs/>
                <w:snapToGrid w:val="0"/>
              </w:rPr>
            </w:pPr>
            <w:r>
              <w:rPr>
                <w:bCs/>
                <w:snapToGrid w:val="0"/>
              </w:rPr>
              <w:t>27,3</w:t>
            </w:r>
          </w:p>
        </w:tc>
      </w:tr>
      <w:tr w:rsidR="00DD0682" w:rsidTr="00DD0682">
        <w:trPr>
          <w:jc w:val="center"/>
        </w:trPr>
        <w:tc>
          <w:tcPr>
            <w:tcW w:w="1250" w:type="pct"/>
            <w:vAlign w:val="center"/>
          </w:tcPr>
          <w:p w:rsidR="00DD0682" w:rsidRDefault="00DD0682" w:rsidP="00DD0682">
            <w:pPr>
              <w:adjustRightInd w:val="0"/>
              <w:snapToGrid w:val="0"/>
              <w:jc w:val="center"/>
              <w:rPr>
                <w:bCs/>
                <w:snapToGrid w:val="0"/>
              </w:rPr>
            </w:pPr>
            <w:r>
              <w:rPr>
                <w:bCs/>
                <w:snapToGrid w:val="0"/>
              </w:rPr>
              <w:t>2002</w:t>
            </w:r>
          </w:p>
        </w:tc>
        <w:tc>
          <w:tcPr>
            <w:tcW w:w="1250" w:type="pct"/>
            <w:vAlign w:val="center"/>
          </w:tcPr>
          <w:p w:rsidR="00DD0682" w:rsidRDefault="00DD0682" w:rsidP="00DD0682">
            <w:pPr>
              <w:tabs>
                <w:tab w:val="decimal" w:pos="1632"/>
              </w:tabs>
              <w:adjustRightInd w:val="0"/>
              <w:snapToGrid w:val="0"/>
              <w:rPr>
                <w:bCs/>
                <w:snapToGrid w:val="0"/>
              </w:rPr>
            </w:pPr>
            <w:r>
              <w:rPr>
                <w:bCs/>
                <w:snapToGrid w:val="0"/>
              </w:rPr>
              <w:t>8.676.770</w:t>
            </w:r>
          </w:p>
        </w:tc>
        <w:tc>
          <w:tcPr>
            <w:tcW w:w="1250" w:type="pct"/>
            <w:vAlign w:val="center"/>
          </w:tcPr>
          <w:p w:rsidR="00DD0682" w:rsidRDefault="00DD0682" w:rsidP="00DD0682">
            <w:pPr>
              <w:adjustRightInd w:val="0"/>
              <w:snapToGrid w:val="0"/>
              <w:jc w:val="center"/>
              <w:rPr>
                <w:bCs/>
                <w:snapToGrid w:val="0"/>
              </w:rPr>
            </w:pPr>
            <w:r>
              <w:rPr>
                <w:bCs/>
                <w:snapToGrid w:val="0"/>
              </w:rPr>
              <w:t>2.247.283</w:t>
            </w:r>
          </w:p>
        </w:tc>
        <w:tc>
          <w:tcPr>
            <w:tcW w:w="1250" w:type="pct"/>
            <w:vAlign w:val="center"/>
          </w:tcPr>
          <w:p w:rsidR="00DD0682" w:rsidRDefault="00DD0682" w:rsidP="00DD0682">
            <w:pPr>
              <w:adjustRightInd w:val="0"/>
              <w:snapToGrid w:val="0"/>
              <w:jc w:val="center"/>
              <w:rPr>
                <w:bCs/>
                <w:snapToGrid w:val="0"/>
              </w:rPr>
            </w:pPr>
            <w:r>
              <w:rPr>
                <w:bCs/>
                <w:snapToGrid w:val="0"/>
              </w:rPr>
              <w:t>25,9</w:t>
            </w:r>
          </w:p>
        </w:tc>
      </w:tr>
      <w:tr w:rsidR="00DD0682" w:rsidTr="00DD0682">
        <w:trPr>
          <w:jc w:val="center"/>
        </w:trPr>
        <w:tc>
          <w:tcPr>
            <w:tcW w:w="1250" w:type="pct"/>
            <w:vAlign w:val="center"/>
          </w:tcPr>
          <w:p w:rsidR="00DD0682" w:rsidRDefault="00DD0682" w:rsidP="00DD0682">
            <w:pPr>
              <w:adjustRightInd w:val="0"/>
              <w:snapToGrid w:val="0"/>
              <w:jc w:val="center"/>
              <w:rPr>
                <w:bCs/>
                <w:snapToGrid w:val="0"/>
              </w:rPr>
            </w:pPr>
            <w:r>
              <w:rPr>
                <w:bCs/>
                <w:snapToGrid w:val="0"/>
              </w:rPr>
              <w:t>2003</w:t>
            </w:r>
          </w:p>
        </w:tc>
        <w:tc>
          <w:tcPr>
            <w:tcW w:w="1250" w:type="pct"/>
            <w:vAlign w:val="center"/>
          </w:tcPr>
          <w:p w:rsidR="00DD0682" w:rsidRDefault="00DD0682" w:rsidP="00DD0682">
            <w:pPr>
              <w:tabs>
                <w:tab w:val="decimal" w:pos="1632"/>
              </w:tabs>
              <w:adjustRightInd w:val="0"/>
              <w:snapToGrid w:val="0"/>
              <w:rPr>
                <w:bCs/>
                <w:snapToGrid w:val="0"/>
              </w:rPr>
            </w:pPr>
            <w:r>
              <w:rPr>
                <w:bCs/>
                <w:snapToGrid w:val="0"/>
              </w:rPr>
              <w:t>8.762.326</w:t>
            </w:r>
          </w:p>
        </w:tc>
        <w:tc>
          <w:tcPr>
            <w:tcW w:w="1250" w:type="pct"/>
            <w:vAlign w:val="center"/>
          </w:tcPr>
          <w:p w:rsidR="00DD0682" w:rsidRDefault="00DD0682" w:rsidP="00DD0682">
            <w:pPr>
              <w:adjustRightInd w:val="0"/>
              <w:snapToGrid w:val="0"/>
              <w:jc w:val="center"/>
              <w:rPr>
                <w:bCs/>
                <w:snapToGrid w:val="0"/>
              </w:rPr>
            </w:pPr>
            <w:r>
              <w:rPr>
                <w:bCs/>
                <w:snapToGrid w:val="0"/>
              </w:rPr>
              <w:t>2.078.000</w:t>
            </w:r>
          </w:p>
        </w:tc>
        <w:tc>
          <w:tcPr>
            <w:tcW w:w="1250" w:type="pct"/>
            <w:vAlign w:val="center"/>
          </w:tcPr>
          <w:p w:rsidR="00DD0682" w:rsidRDefault="00DD0682" w:rsidP="00DD0682">
            <w:pPr>
              <w:adjustRightInd w:val="0"/>
              <w:snapToGrid w:val="0"/>
              <w:jc w:val="center"/>
              <w:rPr>
                <w:bCs/>
                <w:snapToGrid w:val="0"/>
              </w:rPr>
            </w:pPr>
            <w:r>
              <w:rPr>
                <w:bCs/>
                <w:snapToGrid w:val="0"/>
              </w:rPr>
              <w:t>23,7</w:t>
            </w:r>
          </w:p>
        </w:tc>
      </w:tr>
      <w:tr w:rsidR="00DD0682" w:rsidTr="00DD0682">
        <w:trPr>
          <w:jc w:val="center"/>
        </w:trPr>
        <w:tc>
          <w:tcPr>
            <w:tcW w:w="1250" w:type="pct"/>
            <w:vAlign w:val="center"/>
          </w:tcPr>
          <w:p w:rsidR="00DD0682" w:rsidRDefault="00DD0682" w:rsidP="00DD0682">
            <w:pPr>
              <w:adjustRightInd w:val="0"/>
              <w:snapToGrid w:val="0"/>
              <w:jc w:val="center"/>
              <w:rPr>
                <w:bCs/>
                <w:snapToGrid w:val="0"/>
              </w:rPr>
            </w:pPr>
            <w:r>
              <w:rPr>
                <w:bCs/>
                <w:snapToGrid w:val="0"/>
              </w:rPr>
              <w:t>2004</w:t>
            </w:r>
          </w:p>
        </w:tc>
        <w:tc>
          <w:tcPr>
            <w:tcW w:w="1250" w:type="pct"/>
            <w:vAlign w:val="center"/>
          </w:tcPr>
          <w:p w:rsidR="00DD0682" w:rsidRDefault="00DD0682" w:rsidP="00DD0682">
            <w:pPr>
              <w:tabs>
                <w:tab w:val="decimal" w:pos="1632"/>
              </w:tabs>
              <w:adjustRightInd w:val="0"/>
              <w:snapToGrid w:val="0"/>
              <w:rPr>
                <w:bCs/>
                <w:snapToGrid w:val="0"/>
              </w:rPr>
            </w:pPr>
            <w:r>
              <w:rPr>
                <w:bCs/>
                <w:snapToGrid w:val="0"/>
              </w:rPr>
              <w:t>9.469.946</w:t>
            </w:r>
          </w:p>
        </w:tc>
        <w:tc>
          <w:tcPr>
            <w:tcW w:w="1250" w:type="pct"/>
            <w:vAlign w:val="center"/>
          </w:tcPr>
          <w:p w:rsidR="00DD0682" w:rsidRDefault="00DD0682" w:rsidP="00DD0682">
            <w:pPr>
              <w:adjustRightInd w:val="0"/>
              <w:snapToGrid w:val="0"/>
              <w:jc w:val="center"/>
              <w:rPr>
                <w:bCs/>
                <w:snapToGrid w:val="0"/>
              </w:rPr>
            </w:pPr>
            <w:r>
              <w:rPr>
                <w:bCs/>
                <w:snapToGrid w:val="0"/>
              </w:rPr>
              <w:t>1.671.534</w:t>
            </w:r>
          </w:p>
        </w:tc>
        <w:tc>
          <w:tcPr>
            <w:tcW w:w="1250" w:type="pct"/>
            <w:vAlign w:val="center"/>
          </w:tcPr>
          <w:p w:rsidR="00DD0682" w:rsidRDefault="00DD0682" w:rsidP="00DD0682">
            <w:pPr>
              <w:adjustRightInd w:val="0"/>
              <w:snapToGrid w:val="0"/>
              <w:jc w:val="center"/>
              <w:rPr>
                <w:bCs/>
                <w:snapToGrid w:val="0"/>
              </w:rPr>
            </w:pPr>
            <w:r>
              <w:rPr>
                <w:bCs/>
                <w:snapToGrid w:val="0"/>
              </w:rPr>
              <w:t>17,7</w:t>
            </w:r>
          </w:p>
        </w:tc>
      </w:tr>
      <w:tr w:rsidR="00DD0682" w:rsidTr="00DD0682">
        <w:trPr>
          <w:jc w:val="center"/>
        </w:trPr>
        <w:tc>
          <w:tcPr>
            <w:tcW w:w="1250" w:type="pct"/>
            <w:vAlign w:val="center"/>
          </w:tcPr>
          <w:p w:rsidR="00DD0682" w:rsidRDefault="00DD0682" w:rsidP="00DD0682">
            <w:pPr>
              <w:adjustRightInd w:val="0"/>
              <w:snapToGrid w:val="0"/>
              <w:jc w:val="center"/>
              <w:rPr>
                <w:bCs/>
                <w:snapToGrid w:val="0"/>
              </w:rPr>
            </w:pPr>
            <w:r>
              <w:rPr>
                <w:bCs/>
                <w:snapToGrid w:val="0"/>
              </w:rPr>
              <w:t>2005</w:t>
            </w:r>
          </w:p>
        </w:tc>
        <w:tc>
          <w:tcPr>
            <w:tcW w:w="1250" w:type="pct"/>
            <w:vAlign w:val="center"/>
          </w:tcPr>
          <w:p w:rsidR="00DD0682" w:rsidRDefault="00DD0682" w:rsidP="00DD0682">
            <w:pPr>
              <w:tabs>
                <w:tab w:val="decimal" w:pos="1632"/>
              </w:tabs>
              <w:adjustRightInd w:val="0"/>
              <w:snapToGrid w:val="0"/>
              <w:rPr>
                <w:bCs/>
                <w:snapToGrid w:val="0"/>
              </w:rPr>
            </w:pPr>
            <w:r>
              <w:rPr>
                <w:bCs/>
                <w:snapToGrid w:val="0"/>
              </w:rPr>
              <w:t>9.656.044</w:t>
            </w:r>
          </w:p>
        </w:tc>
        <w:tc>
          <w:tcPr>
            <w:tcW w:w="1250" w:type="pct"/>
            <w:vAlign w:val="center"/>
          </w:tcPr>
          <w:p w:rsidR="00DD0682" w:rsidRDefault="00DD0682" w:rsidP="00DD0682">
            <w:pPr>
              <w:adjustRightInd w:val="0"/>
              <w:snapToGrid w:val="0"/>
              <w:jc w:val="center"/>
              <w:rPr>
                <w:bCs/>
                <w:snapToGrid w:val="0"/>
              </w:rPr>
            </w:pPr>
            <w:r>
              <w:rPr>
                <w:bCs/>
                <w:snapToGrid w:val="0"/>
              </w:rPr>
              <w:t>1.470.549</w:t>
            </w:r>
          </w:p>
        </w:tc>
        <w:tc>
          <w:tcPr>
            <w:tcW w:w="1250" w:type="pct"/>
            <w:vAlign w:val="center"/>
          </w:tcPr>
          <w:p w:rsidR="00DD0682" w:rsidRDefault="00DD0682" w:rsidP="00DD0682">
            <w:pPr>
              <w:adjustRightInd w:val="0"/>
              <w:snapToGrid w:val="0"/>
              <w:jc w:val="center"/>
              <w:rPr>
                <w:bCs/>
                <w:snapToGrid w:val="0"/>
              </w:rPr>
            </w:pPr>
            <w:r>
              <w:rPr>
                <w:bCs/>
                <w:snapToGrid w:val="0"/>
              </w:rPr>
              <w:t>15,3</w:t>
            </w:r>
          </w:p>
        </w:tc>
      </w:tr>
      <w:tr w:rsidR="00DD0682" w:rsidTr="00DD0682">
        <w:trPr>
          <w:jc w:val="center"/>
        </w:trPr>
        <w:tc>
          <w:tcPr>
            <w:tcW w:w="1250" w:type="pct"/>
            <w:vAlign w:val="center"/>
          </w:tcPr>
          <w:p w:rsidR="00DD0682" w:rsidRDefault="00DD0682" w:rsidP="00DD0682">
            <w:pPr>
              <w:adjustRightInd w:val="0"/>
              <w:snapToGrid w:val="0"/>
              <w:jc w:val="center"/>
              <w:rPr>
                <w:bCs/>
                <w:snapToGrid w:val="0"/>
              </w:rPr>
            </w:pPr>
            <w:r>
              <w:rPr>
                <w:bCs/>
                <w:snapToGrid w:val="0"/>
              </w:rPr>
              <w:t>2006</w:t>
            </w:r>
          </w:p>
        </w:tc>
        <w:tc>
          <w:tcPr>
            <w:tcW w:w="1250" w:type="pct"/>
            <w:vAlign w:val="center"/>
          </w:tcPr>
          <w:p w:rsidR="00DD0682" w:rsidRDefault="00DD0682" w:rsidP="00DD0682">
            <w:pPr>
              <w:tabs>
                <w:tab w:val="decimal" w:pos="1632"/>
              </w:tabs>
              <w:adjustRightInd w:val="0"/>
              <w:snapToGrid w:val="0"/>
              <w:rPr>
                <w:bCs/>
                <w:snapToGrid w:val="0"/>
              </w:rPr>
            </w:pPr>
            <w:r>
              <w:rPr>
                <w:bCs/>
                <w:snapToGrid w:val="0"/>
              </w:rPr>
              <w:t>10.109.645</w:t>
            </w:r>
          </w:p>
        </w:tc>
        <w:tc>
          <w:tcPr>
            <w:tcW w:w="1250" w:type="pct"/>
            <w:vAlign w:val="center"/>
          </w:tcPr>
          <w:p w:rsidR="00DD0682" w:rsidRDefault="00DD0682" w:rsidP="00DD0682">
            <w:pPr>
              <w:adjustRightInd w:val="0"/>
              <w:snapToGrid w:val="0"/>
              <w:jc w:val="center"/>
              <w:rPr>
                <w:bCs/>
                <w:snapToGrid w:val="0"/>
              </w:rPr>
            </w:pPr>
            <w:r>
              <w:rPr>
                <w:bCs/>
                <w:snapToGrid w:val="0"/>
              </w:rPr>
              <w:t>1.240.841</w:t>
            </w:r>
          </w:p>
        </w:tc>
        <w:tc>
          <w:tcPr>
            <w:tcW w:w="1250" w:type="pct"/>
            <w:vAlign w:val="center"/>
          </w:tcPr>
          <w:p w:rsidR="00DD0682" w:rsidRDefault="00DD0682" w:rsidP="00DD0682">
            <w:pPr>
              <w:adjustRightInd w:val="0"/>
              <w:snapToGrid w:val="0"/>
              <w:jc w:val="center"/>
              <w:rPr>
                <w:bCs/>
                <w:snapToGrid w:val="0"/>
              </w:rPr>
            </w:pPr>
            <w:r>
              <w:rPr>
                <w:bCs/>
                <w:snapToGrid w:val="0"/>
              </w:rPr>
              <w:t>12,3</w:t>
            </w:r>
          </w:p>
        </w:tc>
      </w:tr>
    </w:tbl>
    <w:p w:rsidR="00DD0682" w:rsidRPr="00C820BE" w:rsidRDefault="00DD0682" w:rsidP="00DD0682">
      <w:pPr>
        <w:adjustRightInd w:val="0"/>
        <w:snapToGrid w:val="0"/>
        <w:spacing w:before="480" w:after="240"/>
        <w:rPr>
          <w:snapToGrid w:val="0"/>
        </w:rPr>
      </w:pPr>
      <w:r w:rsidRPr="00451864">
        <w:rPr>
          <w:snapToGrid w:val="0"/>
        </w:rPr>
        <w:t>159.</w:t>
      </w:r>
      <w:r>
        <w:rPr>
          <w:snapToGrid w:val="0"/>
        </w:rPr>
        <w:tab/>
        <w:t>Durante el período</w:t>
      </w:r>
      <w:r w:rsidRPr="00451864">
        <w:rPr>
          <w:snapToGrid w:val="0"/>
        </w:rPr>
        <w:t xml:space="preserve"> 2000</w:t>
      </w:r>
      <w:r>
        <w:rPr>
          <w:snapToGrid w:val="0"/>
        </w:rPr>
        <w:t>-</w:t>
      </w:r>
      <w:r w:rsidRPr="00451864">
        <w:rPr>
          <w:snapToGrid w:val="0"/>
        </w:rPr>
        <w:t xml:space="preserve">2006 se crearon 1.688.361 </w:t>
      </w:r>
      <w:r>
        <w:rPr>
          <w:snapToGrid w:val="0"/>
        </w:rPr>
        <w:t>puestos de trabajo, y e</w:t>
      </w:r>
      <w:r w:rsidRPr="00451864">
        <w:rPr>
          <w:snapToGrid w:val="0"/>
        </w:rPr>
        <w:t>n 2005 y 2006, gracias al microcrédito</w:t>
      </w:r>
      <w:r>
        <w:rPr>
          <w:snapToGrid w:val="0"/>
        </w:rPr>
        <w:t>,</w:t>
      </w:r>
      <w:r w:rsidRPr="00451864">
        <w:rPr>
          <w:snapToGrid w:val="0"/>
        </w:rPr>
        <w:t xml:space="preserve"> 38.325.</w:t>
      </w:r>
    </w:p>
    <w:p w:rsidR="00DD0682" w:rsidRPr="00751479" w:rsidRDefault="00DD0682" w:rsidP="00A604E3">
      <w:pPr>
        <w:keepNext/>
        <w:keepLines/>
        <w:adjustRightInd w:val="0"/>
        <w:snapToGrid w:val="0"/>
        <w:spacing w:after="240"/>
        <w:rPr>
          <w:b/>
          <w:snapToGrid w:val="0"/>
        </w:rPr>
      </w:pPr>
      <w:r w:rsidRPr="00751479">
        <w:rPr>
          <w:b/>
          <w:snapToGrid w:val="0"/>
        </w:rPr>
        <w:t>Artículo 7</w:t>
      </w:r>
      <w:r>
        <w:rPr>
          <w:b/>
          <w:snapToGrid w:val="0"/>
        </w:rPr>
        <w:t>.</w:t>
      </w:r>
      <w:r w:rsidRPr="00751479">
        <w:rPr>
          <w:b/>
          <w:snapToGrid w:val="0"/>
        </w:rPr>
        <w:t xml:space="preserve">  Derecho a condiciones de trabajo equitativas y satisfactorias  </w:t>
      </w:r>
    </w:p>
    <w:p w:rsidR="00DD0682" w:rsidRPr="00751479" w:rsidRDefault="00DD0682" w:rsidP="00DD0682">
      <w:pPr>
        <w:adjustRightInd w:val="0"/>
        <w:snapToGrid w:val="0"/>
        <w:spacing w:after="240"/>
        <w:rPr>
          <w:snapToGrid w:val="0"/>
        </w:rPr>
      </w:pPr>
      <w:r>
        <w:rPr>
          <w:snapToGrid w:val="0"/>
        </w:rPr>
        <w:t>160.</w:t>
      </w:r>
      <w:r>
        <w:rPr>
          <w:snapToGrid w:val="0"/>
        </w:rPr>
        <w:tab/>
        <w:t xml:space="preserve">La Ley Nº </w:t>
      </w:r>
      <w:r w:rsidRPr="00751479">
        <w:rPr>
          <w:snapToGrid w:val="0"/>
        </w:rPr>
        <w:t>90-11</w:t>
      </w:r>
      <w:r>
        <w:rPr>
          <w:snapToGrid w:val="0"/>
        </w:rPr>
        <w:t>,</w:t>
      </w:r>
      <w:r w:rsidRPr="00751479">
        <w:rPr>
          <w:snapToGrid w:val="0"/>
        </w:rPr>
        <w:t xml:space="preserve"> sobre las relaciones de trabajo</w:t>
      </w:r>
      <w:r>
        <w:rPr>
          <w:snapToGrid w:val="0"/>
        </w:rPr>
        <w:t>,</w:t>
      </w:r>
      <w:r w:rsidRPr="00751479">
        <w:rPr>
          <w:snapToGrid w:val="0"/>
        </w:rPr>
        <w:t xml:space="preserve"> recuerda los derechos fundamentales de que gozan los trabajadores (ejercicio del derecho de negociación colectiva, seguridad social, jubilación, higiene, seguridad y medicina del trabajo, descanso, derecho a la huelga, etc.).  Por otra parte, confirma el derecho a la protección contra toda discriminación en materia de empleo que no sea la discriminación fundada en las aptitudes y el mérito (art. 6).</w:t>
      </w:r>
    </w:p>
    <w:p w:rsidR="00DD0682" w:rsidRPr="00751479" w:rsidRDefault="00DD0682" w:rsidP="00DD0682">
      <w:pPr>
        <w:adjustRightInd w:val="0"/>
        <w:snapToGrid w:val="0"/>
        <w:spacing w:after="240"/>
        <w:rPr>
          <w:snapToGrid w:val="0"/>
        </w:rPr>
      </w:pPr>
      <w:r w:rsidRPr="00751479">
        <w:rPr>
          <w:snapToGrid w:val="0"/>
        </w:rPr>
        <w:t>161.</w:t>
      </w:r>
      <w:r w:rsidRPr="00751479">
        <w:rPr>
          <w:snapToGrid w:val="0"/>
        </w:rPr>
        <w:tab/>
        <w:t>En</w:t>
      </w:r>
      <w:r>
        <w:rPr>
          <w:snapToGrid w:val="0"/>
        </w:rPr>
        <w:t xml:space="preserve"> el artículo 17 se dispone que </w:t>
      </w:r>
      <w:r w:rsidRPr="00751479">
        <w:rPr>
          <w:snapToGrid w:val="0"/>
        </w:rPr>
        <w:t xml:space="preserve">"se considera nula y sin valor toda disposición prevista en virtud de una convención o de un acuerdo colectivo o de un contrato de trabajo que suponga cualquier forma de discriminación en el trabajo, fundada en la edad, el sexo, la situación social o matrimonial, los vínculos familiares, las convicciones políticas, la afiliación o </w:t>
      </w:r>
      <w:r>
        <w:rPr>
          <w:snapToGrid w:val="0"/>
        </w:rPr>
        <w:t xml:space="preserve">la </w:t>
      </w:r>
      <w:r w:rsidRPr="00751479">
        <w:rPr>
          <w:snapToGrid w:val="0"/>
        </w:rPr>
        <w:t>no afiliación a un sindicato".  Estas formas de discriminación se sancionan con las penas previstas en los artículos 142 y 143 de la misma ley.</w:t>
      </w:r>
    </w:p>
    <w:p w:rsidR="00DD0682" w:rsidRPr="00751479" w:rsidRDefault="00DD0682" w:rsidP="00DD0682">
      <w:pPr>
        <w:adjustRightInd w:val="0"/>
        <w:snapToGrid w:val="0"/>
        <w:spacing w:after="240"/>
        <w:rPr>
          <w:snapToGrid w:val="0"/>
        </w:rPr>
      </w:pPr>
      <w:r w:rsidRPr="00751479">
        <w:rPr>
          <w:snapToGrid w:val="0"/>
        </w:rPr>
        <w:t>162.</w:t>
      </w:r>
      <w:r w:rsidRPr="00751479">
        <w:rPr>
          <w:snapToGrid w:val="0"/>
        </w:rPr>
        <w:tab/>
        <w:t>En el sistema de seguridad social argelino se reconoce a cada asalariado el derecho al seguro de enfermedad, a la protección contra los accidentes de trabajo y a la jubilación.</w:t>
      </w:r>
      <w:r>
        <w:rPr>
          <w:snapToGrid w:val="0"/>
        </w:rPr>
        <w:t xml:space="preserve">  El </w:t>
      </w:r>
      <w:r w:rsidRPr="00751479">
        <w:rPr>
          <w:snapToGrid w:val="0"/>
        </w:rPr>
        <w:t>Estado se hace cargo de por vida de las personas que no pueden trabajar por razones vinculadas con una discapacidad, en el marco del dispositivo de protección social.</w:t>
      </w:r>
    </w:p>
    <w:p w:rsidR="00DD0682" w:rsidRPr="00751479" w:rsidRDefault="00DD0682" w:rsidP="00DD0682">
      <w:pPr>
        <w:adjustRightInd w:val="0"/>
        <w:snapToGrid w:val="0"/>
        <w:spacing w:after="240"/>
        <w:rPr>
          <w:snapToGrid w:val="0"/>
        </w:rPr>
      </w:pPr>
      <w:r w:rsidRPr="00751479">
        <w:rPr>
          <w:snapToGrid w:val="0"/>
        </w:rPr>
        <w:t>163.</w:t>
      </w:r>
      <w:r w:rsidRPr="00751479">
        <w:rPr>
          <w:snapToGrid w:val="0"/>
        </w:rPr>
        <w:tab/>
        <w:t>Los asalariados reciben prestaciones familiares por sus hijos menores de edad, cuyo monto</w:t>
      </w:r>
      <w:r>
        <w:rPr>
          <w:snapToGrid w:val="0"/>
        </w:rPr>
        <w:t xml:space="preserve"> </w:t>
      </w:r>
      <w:r w:rsidRPr="00751479">
        <w:rPr>
          <w:snapToGrid w:val="0"/>
        </w:rPr>
        <w:t xml:space="preserve">se revaloriza periódicamente. </w:t>
      </w:r>
      <w:r>
        <w:rPr>
          <w:snapToGrid w:val="0"/>
        </w:rPr>
        <w:t xml:space="preserve"> </w:t>
      </w:r>
      <w:r w:rsidRPr="00751479">
        <w:rPr>
          <w:snapToGrid w:val="0"/>
        </w:rPr>
        <w:t>Se concede asimismo un subsidio específico cuando uno solo de</w:t>
      </w:r>
      <w:r>
        <w:rPr>
          <w:snapToGrid w:val="0"/>
        </w:rPr>
        <w:t xml:space="preserve"> </w:t>
      </w:r>
      <w:r w:rsidRPr="00751479">
        <w:rPr>
          <w:snapToGrid w:val="0"/>
        </w:rPr>
        <w:t>los cónyuges es asalariado.</w:t>
      </w:r>
    </w:p>
    <w:p w:rsidR="00DD0682" w:rsidRPr="00751479" w:rsidRDefault="00DD0682" w:rsidP="00DD0682">
      <w:pPr>
        <w:adjustRightInd w:val="0"/>
        <w:snapToGrid w:val="0"/>
        <w:spacing w:after="240"/>
        <w:rPr>
          <w:b/>
          <w:snapToGrid w:val="0"/>
        </w:rPr>
      </w:pPr>
      <w:r>
        <w:rPr>
          <w:b/>
          <w:snapToGrid w:val="0"/>
        </w:rPr>
        <w:tab/>
      </w:r>
      <w:r w:rsidRPr="00751479">
        <w:rPr>
          <w:b/>
          <w:snapToGrid w:val="0"/>
        </w:rPr>
        <w:t>La remuneración</w:t>
      </w:r>
    </w:p>
    <w:p w:rsidR="00DD0682" w:rsidRPr="00751479" w:rsidRDefault="00DD0682" w:rsidP="00DD0682">
      <w:pPr>
        <w:adjustRightInd w:val="0"/>
        <w:snapToGrid w:val="0"/>
        <w:spacing w:after="240"/>
        <w:rPr>
          <w:snapToGrid w:val="0"/>
        </w:rPr>
      </w:pPr>
      <w:r w:rsidRPr="00751479">
        <w:rPr>
          <w:snapToGrid w:val="0"/>
        </w:rPr>
        <w:t>164.</w:t>
      </w:r>
      <w:r w:rsidRPr="00751479">
        <w:rPr>
          <w:snapToGrid w:val="0"/>
        </w:rPr>
        <w:tab/>
        <w:t>El derecho a la remuneración está consagrado como un derecho fundamental del trabajador.  Este derecho se apoya en una serie de medidas:</w:t>
      </w:r>
    </w:p>
    <w:p w:rsidR="00DD0682" w:rsidRPr="00751479" w:rsidRDefault="00DD0682" w:rsidP="00DD0682">
      <w:pPr>
        <w:adjustRightInd w:val="0"/>
        <w:snapToGrid w:val="0"/>
        <w:spacing w:after="240"/>
        <w:ind w:left="1134" w:hanging="567"/>
        <w:rPr>
          <w:snapToGrid w:val="0"/>
        </w:rPr>
      </w:pPr>
      <w:r w:rsidRPr="00751479">
        <w:rPr>
          <w:snapToGrid w:val="0"/>
        </w:rPr>
        <w:t>a)</w:t>
      </w:r>
      <w:r w:rsidRPr="00751479">
        <w:rPr>
          <w:snapToGrid w:val="0"/>
        </w:rPr>
        <w:tab/>
        <w:t xml:space="preserve">La institución de un </w:t>
      </w:r>
      <w:bookmarkStart w:id="4" w:name="_Hlk222649606"/>
      <w:r w:rsidRPr="00751479">
        <w:rPr>
          <w:snapToGrid w:val="0"/>
        </w:rPr>
        <w:t xml:space="preserve">salario nacional mínimo garantizado </w:t>
      </w:r>
      <w:bookmarkEnd w:id="4"/>
      <w:r w:rsidRPr="00751479">
        <w:rPr>
          <w:snapToGrid w:val="0"/>
        </w:rPr>
        <w:t>y el derecho a una remuneración proporcion</w:t>
      </w:r>
      <w:r>
        <w:rPr>
          <w:snapToGrid w:val="0"/>
        </w:rPr>
        <w:t>al a los resultados del trabajo.</w:t>
      </w:r>
    </w:p>
    <w:p w:rsidR="00DD0682" w:rsidRPr="00751479" w:rsidRDefault="00DD0682" w:rsidP="00DD0682">
      <w:pPr>
        <w:adjustRightInd w:val="0"/>
        <w:snapToGrid w:val="0"/>
        <w:spacing w:after="240"/>
        <w:ind w:left="1134" w:hanging="567"/>
        <w:rPr>
          <w:snapToGrid w:val="0"/>
        </w:rPr>
      </w:pPr>
      <w:r w:rsidRPr="00751479">
        <w:rPr>
          <w:snapToGrid w:val="0"/>
        </w:rPr>
        <w:t>b)</w:t>
      </w:r>
      <w:r w:rsidRPr="00751479">
        <w:rPr>
          <w:snapToGrid w:val="0"/>
        </w:rPr>
        <w:tab/>
        <w:t>La igualdad de la remunera</w:t>
      </w:r>
      <w:r>
        <w:rPr>
          <w:snapToGrid w:val="0"/>
        </w:rPr>
        <w:t>ción, sin discriminación alguna.</w:t>
      </w:r>
    </w:p>
    <w:p w:rsidR="00DD0682" w:rsidRPr="00751479" w:rsidRDefault="00DD0682" w:rsidP="00DD0682">
      <w:pPr>
        <w:adjustRightInd w:val="0"/>
        <w:snapToGrid w:val="0"/>
        <w:spacing w:after="240"/>
        <w:ind w:left="1134" w:hanging="567"/>
        <w:rPr>
          <w:snapToGrid w:val="0"/>
        </w:rPr>
      </w:pPr>
      <w:r w:rsidRPr="00751479">
        <w:rPr>
          <w:snapToGrid w:val="0"/>
        </w:rPr>
        <w:t>c)</w:t>
      </w:r>
      <w:r w:rsidRPr="00751479">
        <w:rPr>
          <w:snapToGrid w:val="0"/>
        </w:rPr>
        <w:tab/>
        <w:t>La remuneración será exclu</w:t>
      </w:r>
      <w:r>
        <w:rPr>
          <w:snapToGrid w:val="0"/>
        </w:rPr>
        <w:t>sivamente de carácter monetario.</w:t>
      </w:r>
    </w:p>
    <w:p w:rsidR="00DD0682" w:rsidRPr="00751479" w:rsidRDefault="00DD0682" w:rsidP="00DD0682">
      <w:pPr>
        <w:adjustRightInd w:val="0"/>
        <w:snapToGrid w:val="0"/>
        <w:spacing w:after="240"/>
        <w:ind w:left="1134" w:hanging="567"/>
        <w:rPr>
          <w:snapToGrid w:val="0"/>
        </w:rPr>
      </w:pPr>
      <w:r w:rsidRPr="00751479">
        <w:rPr>
          <w:snapToGrid w:val="0"/>
        </w:rPr>
        <w:t>d)</w:t>
      </w:r>
      <w:r w:rsidRPr="00751479">
        <w:rPr>
          <w:snapToGrid w:val="0"/>
        </w:rPr>
        <w:tab/>
        <w:t>La remuneración se pagará con una periodicidad re</w:t>
      </w:r>
      <w:r>
        <w:rPr>
          <w:snapToGrid w:val="0"/>
        </w:rPr>
        <w:t>gular.  A este respecto, la Ley Nº 90-11 prevé una multa de 1.</w:t>
      </w:r>
      <w:r w:rsidRPr="00751479">
        <w:rPr>
          <w:snapToGrid w:val="0"/>
        </w:rPr>
        <w:t>000 a 2</w:t>
      </w:r>
      <w:r>
        <w:rPr>
          <w:snapToGrid w:val="0"/>
        </w:rPr>
        <w:t>.</w:t>
      </w:r>
      <w:r w:rsidRPr="00751479">
        <w:rPr>
          <w:snapToGrid w:val="0"/>
        </w:rPr>
        <w:t xml:space="preserve">000 </w:t>
      </w:r>
      <w:r>
        <w:rPr>
          <w:snapToGrid w:val="0"/>
        </w:rPr>
        <w:t>dinares</w:t>
      </w:r>
      <w:r w:rsidRPr="00751479">
        <w:rPr>
          <w:snapToGrid w:val="0"/>
        </w:rPr>
        <w:t>, aplicable a toda infracción de esta disposición y tantas cuantas veces se cometa la infracción.  La reincidencia se sancionará con multa de</w:t>
      </w:r>
      <w:r>
        <w:rPr>
          <w:snapToGrid w:val="0"/>
        </w:rPr>
        <w:t xml:space="preserve"> 2.</w:t>
      </w:r>
      <w:r w:rsidRPr="00751479">
        <w:rPr>
          <w:snapToGrid w:val="0"/>
        </w:rPr>
        <w:t>000 a 4</w:t>
      </w:r>
      <w:r>
        <w:rPr>
          <w:snapToGrid w:val="0"/>
        </w:rPr>
        <w:t>.</w:t>
      </w:r>
      <w:r w:rsidRPr="00751479">
        <w:rPr>
          <w:snapToGrid w:val="0"/>
        </w:rPr>
        <w:t xml:space="preserve">000 </w:t>
      </w:r>
      <w:r>
        <w:rPr>
          <w:snapToGrid w:val="0"/>
        </w:rPr>
        <w:t xml:space="preserve">dinares, </w:t>
      </w:r>
      <w:r w:rsidRPr="00751479">
        <w:rPr>
          <w:snapToGrid w:val="0"/>
        </w:rPr>
        <w:t>aplicable tantas cuantas veces se cometa la infracción</w:t>
      </w:r>
      <w:r>
        <w:rPr>
          <w:snapToGrid w:val="0"/>
        </w:rPr>
        <w:t>,</w:t>
      </w:r>
      <w:r w:rsidRPr="00751479">
        <w:rPr>
          <w:snapToGrid w:val="0"/>
        </w:rPr>
        <w:t xml:space="preserve"> y prisión de uno a tres meses ó</w:t>
      </w:r>
      <w:r>
        <w:rPr>
          <w:snapToGrid w:val="0"/>
        </w:rPr>
        <w:t xml:space="preserve"> una de las dos penas solamente.</w:t>
      </w:r>
    </w:p>
    <w:p w:rsidR="00DD0682" w:rsidRPr="00751479" w:rsidRDefault="00DD0682" w:rsidP="00DD0682">
      <w:pPr>
        <w:adjustRightInd w:val="0"/>
        <w:snapToGrid w:val="0"/>
        <w:spacing w:after="240"/>
        <w:ind w:left="1134" w:hanging="567"/>
        <w:rPr>
          <w:snapToGrid w:val="0"/>
        </w:rPr>
      </w:pPr>
      <w:r w:rsidRPr="00751479">
        <w:rPr>
          <w:snapToGrid w:val="0"/>
        </w:rPr>
        <w:t>e)</w:t>
      </w:r>
      <w:r w:rsidRPr="00751479">
        <w:rPr>
          <w:snapToGrid w:val="0"/>
        </w:rPr>
        <w:tab/>
        <w:t>Las remuneraciones contenidas en las cantidades adeudadas por el empleador estarán protegidas contra los embargos o</w:t>
      </w:r>
      <w:r>
        <w:rPr>
          <w:snapToGrid w:val="0"/>
        </w:rPr>
        <w:t xml:space="preserve"> las oposiciones de retención.</w:t>
      </w:r>
    </w:p>
    <w:p w:rsidR="00DD0682" w:rsidRPr="00751479" w:rsidRDefault="00DD0682" w:rsidP="00DD0682">
      <w:pPr>
        <w:adjustRightInd w:val="0"/>
        <w:snapToGrid w:val="0"/>
        <w:spacing w:after="240"/>
        <w:ind w:left="1134" w:hanging="567"/>
        <w:rPr>
          <w:snapToGrid w:val="0"/>
        </w:rPr>
      </w:pPr>
      <w:r w:rsidRPr="00751479">
        <w:rPr>
          <w:snapToGrid w:val="0"/>
        </w:rPr>
        <w:t>f)</w:t>
      </w:r>
      <w:r w:rsidRPr="00751479">
        <w:rPr>
          <w:snapToGrid w:val="0"/>
        </w:rPr>
        <w:tab/>
        <w:t xml:space="preserve">Las remuneraciones o los anticipos primarán sobre todo crédito, incluido </w:t>
      </w:r>
      <w:r>
        <w:rPr>
          <w:snapToGrid w:val="0"/>
        </w:rPr>
        <w:t xml:space="preserve">el </w:t>
      </w:r>
      <w:r w:rsidRPr="00751479">
        <w:rPr>
          <w:snapToGrid w:val="0"/>
        </w:rPr>
        <w:t>del Tesoro Público y de la seguridad social.</w:t>
      </w:r>
    </w:p>
    <w:p w:rsidR="00DD0682" w:rsidRPr="00751479" w:rsidRDefault="00DD0682" w:rsidP="00DD0682">
      <w:pPr>
        <w:adjustRightInd w:val="0"/>
        <w:snapToGrid w:val="0"/>
        <w:spacing w:after="240"/>
        <w:rPr>
          <w:snapToGrid w:val="0"/>
        </w:rPr>
      </w:pPr>
      <w:r w:rsidRPr="00751479">
        <w:rPr>
          <w:snapToGrid w:val="0"/>
        </w:rPr>
        <w:t>165.</w:t>
      </w:r>
      <w:r w:rsidRPr="00751479">
        <w:rPr>
          <w:snapToGrid w:val="0"/>
        </w:rPr>
        <w:tab/>
        <w:t>La parte "salario" en las empresas es uno de los elementos primordiales de la relación laboral conforme está definida en las convenciones que las empresas concluyen en el marco de las negociaciones colectivas.  Por todo trabajo realizado los trabajadores percibirán en contrapartida un salario.  La remuneración será exclusivamente de carácter monetario.</w:t>
      </w:r>
    </w:p>
    <w:p w:rsidR="00DD0682" w:rsidRPr="00751479" w:rsidRDefault="00DD0682" w:rsidP="00DD0682">
      <w:pPr>
        <w:adjustRightInd w:val="0"/>
        <w:snapToGrid w:val="0"/>
        <w:spacing w:after="240"/>
        <w:rPr>
          <w:snapToGrid w:val="0"/>
        </w:rPr>
      </w:pPr>
      <w:r w:rsidRPr="00751479">
        <w:rPr>
          <w:snapToGrid w:val="0"/>
        </w:rPr>
        <w:t>166.</w:t>
      </w:r>
      <w:r w:rsidRPr="00751479">
        <w:rPr>
          <w:snapToGrid w:val="0"/>
        </w:rPr>
        <w:tab/>
        <w:t xml:space="preserve">Todos los trabajadores, sea cual sea su posición en la jerarquía y sin discriminación alguna, perciben una remuneración por los períodos efectivamente </w:t>
      </w:r>
      <w:r>
        <w:rPr>
          <w:snapToGrid w:val="0"/>
        </w:rPr>
        <w:t>trabajados</w:t>
      </w:r>
      <w:r w:rsidRPr="00751479">
        <w:rPr>
          <w:snapToGrid w:val="0"/>
        </w:rPr>
        <w:t>.</w:t>
      </w:r>
    </w:p>
    <w:p w:rsidR="00DD0682" w:rsidRPr="00751479" w:rsidRDefault="00DD0682" w:rsidP="00DD0682">
      <w:pPr>
        <w:adjustRightInd w:val="0"/>
        <w:snapToGrid w:val="0"/>
        <w:spacing w:after="240"/>
        <w:rPr>
          <w:snapToGrid w:val="0"/>
        </w:rPr>
      </w:pPr>
      <w:r w:rsidRPr="00751479">
        <w:rPr>
          <w:snapToGrid w:val="0"/>
        </w:rPr>
        <w:t>167.</w:t>
      </w:r>
      <w:r w:rsidRPr="00751479">
        <w:rPr>
          <w:snapToGrid w:val="0"/>
        </w:rPr>
        <w:tab/>
        <w:t>Además, ningún trabajador percibirá una remuneración inferior al salario nacional mínimo garantizado, que se aplica a todos los sectores de actividad sea cual sea la situación jurídica del organismo empleador.</w:t>
      </w:r>
    </w:p>
    <w:p w:rsidR="00DD0682" w:rsidRPr="00751479" w:rsidRDefault="00DD0682" w:rsidP="00DD0682">
      <w:pPr>
        <w:adjustRightInd w:val="0"/>
        <w:snapToGrid w:val="0"/>
        <w:spacing w:after="240"/>
        <w:rPr>
          <w:snapToGrid w:val="0"/>
        </w:rPr>
      </w:pPr>
      <w:r w:rsidRPr="00751479">
        <w:rPr>
          <w:snapToGrid w:val="0"/>
        </w:rPr>
        <w:t>168.</w:t>
      </w:r>
      <w:r w:rsidRPr="00751479">
        <w:rPr>
          <w:snapToGrid w:val="0"/>
        </w:rPr>
        <w:tab/>
        <w:t xml:space="preserve">En Argelia no existe </w:t>
      </w:r>
      <w:r>
        <w:rPr>
          <w:snapToGrid w:val="0"/>
        </w:rPr>
        <w:t>ninguna distinción salarial entre los trabajadores</w:t>
      </w:r>
      <w:r w:rsidRPr="00751479">
        <w:rPr>
          <w:snapToGrid w:val="0"/>
        </w:rPr>
        <w:t xml:space="preserve"> </w:t>
      </w:r>
      <w:r>
        <w:rPr>
          <w:snapToGrid w:val="0"/>
        </w:rPr>
        <w:t xml:space="preserve">por motivos de </w:t>
      </w:r>
      <w:r w:rsidRPr="00751479">
        <w:rPr>
          <w:snapToGrid w:val="0"/>
        </w:rPr>
        <w:t xml:space="preserve">sexo o </w:t>
      </w:r>
      <w:r>
        <w:rPr>
          <w:snapToGrid w:val="0"/>
        </w:rPr>
        <w:t xml:space="preserve">por </w:t>
      </w:r>
      <w:r w:rsidRPr="00751479">
        <w:rPr>
          <w:snapToGrid w:val="0"/>
        </w:rPr>
        <w:t>cualquier otra consideración, debido a que las remuneraciones que pagan los organismos empleadores están vinculadas a los puestos de trabajo y no a los titulares de esos puestos.</w:t>
      </w:r>
    </w:p>
    <w:p w:rsidR="00DD0682" w:rsidRPr="00751479" w:rsidRDefault="00DD0682" w:rsidP="00DD0682">
      <w:pPr>
        <w:adjustRightInd w:val="0"/>
        <w:snapToGrid w:val="0"/>
        <w:spacing w:after="240"/>
        <w:rPr>
          <w:snapToGrid w:val="0"/>
        </w:rPr>
      </w:pPr>
      <w:r w:rsidRPr="00751479">
        <w:rPr>
          <w:snapToGrid w:val="0"/>
        </w:rPr>
        <w:t>169.</w:t>
      </w:r>
      <w:r w:rsidRPr="00751479">
        <w:rPr>
          <w:snapToGrid w:val="0"/>
        </w:rPr>
        <w:tab/>
        <w:t>Las disposiciones jurídicas vigentes en la materia estipulan claramente que todos los empleadores activos en el territorio nacional (de todos los sectores jurídicos, a saber, público, privado, nacional, extranjero privado, etc.), en todos los sectores de actividad, tienen la obligación de remunerar a sus trabajadores sin discriminación alguna por un trabajo de igual valor.</w:t>
      </w:r>
    </w:p>
    <w:p w:rsidR="00DD0682" w:rsidRPr="00751479" w:rsidRDefault="00DD0682" w:rsidP="00DD0682">
      <w:pPr>
        <w:adjustRightInd w:val="0"/>
        <w:snapToGrid w:val="0"/>
        <w:spacing w:after="240"/>
        <w:rPr>
          <w:snapToGrid w:val="0"/>
        </w:rPr>
      </w:pPr>
      <w:r>
        <w:rPr>
          <w:b/>
          <w:snapToGrid w:val="0"/>
        </w:rPr>
        <w:tab/>
        <w:t xml:space="preserve">Seguridad e higiene en el </w:t>
      </w:r>
      <w:r w:rsidRPr="00751479">
        <w:rPr>
          <w:b/>
          <w:snapToGrid w:val="0"/>
        </w:rPr>
        <w:t>trabajo</w:t>
      </w:r>
    </w:p>
    <w:p w:rsidR="00DD0682" w:rsidRPr="00751479" w:rsidRDefault="00DD0682" w:rsidP="00DD0682">
      <w:pPr>
        <w:adjustRightInd w:val="0"/>
        <w:snapToGrid w:val="0"/>
        <w:spacing w:after="240"/>
        <w:rPr>
          <w:snapToGrid w:val="0"/>
        </w:rPr>
      </w:pPr>
      <w:r w:rsidRPr="00751479">
        <w:rPr>
          <w:snapToGrid w:val="0"/>
        </w:rPr>
        <w:t>170.</w:t>
      </w:r>
      <w:r w:rsidRPr="00751479">
        <w:rPr>
          <w:snapToGrid w:val="0"/>
        </w:rPr>
        <w:tab/>
        <w:t xml:space="preserve">El derecho a la protección, a la seguridad y a la higiene en el trabajo está garantizado por </w:t>
      </w:r>
      <w:r>
        <w:rPr>
          <w:snapToGrid w:val="0"/>
        </w:rPr>
        <w:t>la </w:t>
      </w:r>
      <w:r w:rsidRPr="00751479">
        <w:rPr>
          <w:snapToGrid w:val="0"/>
        </w:rPr>
        <w:t>ley.  En materia de prevención de riesgos y de enfermedades profesionales, el artículo 55</w:t>
      </w:r>
      <w:r>
        <w:rPr>
          <w:snapToGrid w:val="0"/>
        </w:rPr>
        <w:t xml:space="preserve"> de la Constitución dispone que</w:t>
      </w:r>
      <w:r w:rsidRPr="00751479">
        <w:rPr>
          <w:snapToGrid w:val="0"/>
        </w:rPr>
        <w:t xml:space="preserve"> "el derecho a la protección, a la seguridad y a la higiene en el trabajo está garantizado".</w:t>
      </w:r>
    </w:p>
    <w:p w:rsidR="00DD0682" w:rsidRPr="00751479" w:rsidRDefault="00DD0682" w:rsidP="00DD0682">
      <w:pPr>
        <w:adjustRightInd w:val="0"/>
        <w:snapToGrid w:val="0"/>
        <w:spacing w:after="240"/>
        <w:rPr>
          <w:snapToGrid w:val="0"/>
        </w:rPr>
      </w:pPr>
      <w:r w:rsidRPr="00751479">
        <w:rPr>
          <w:snapToGrid w:val="0"/>
        </w:rPr>
        <w:t>171.</w:t>
      </w:r>
      <w:r w:rsidRPr="00751479">
        <w:rPr>
          <w:snapToGrid w:val="0"/>
        </w:rPr>
        <w:tab/>
        <w:t xml:space="preserve">Esta disposición constitucional se ha concretado en dos leyes autónomas:  la Ley Nº 88-07, de 26 de enero de 1988, sobre higiene, seguridad y medicina </w:t>
      </w:r>
      <w:r>
        <w:rPr>
          <w:snapToGrid w:val="0"/>
        </w:rPr>
        <w:t>del trabajo</w:t>
      </w:r>
      <w:r w:rsidRPr="00751479">
        <w:rPr>
          <w:snapToGrid w:val="0"/>
        </w:rPr>
        <w:t xml:space="preserve"> y la Ley </w:t>
      </w:r>
      <w:r>
        <w:rPr>
          <w:snapToGrid w:val="0"/>
        </w:rPr>
        <w:t>Nº 83-13, de </w:t>
      </w:r>
      <w:r w:rsidRPr="00751479">
        <w:rPr>
          <w:snapToGrid w:val="0"/>
        </w:rPr>
        <w:t>2</w:t>
      </w:r>
      <w:r>
        <w:rPr>
          <w:snapToGrid w:val="0"/>
        </w:rPr>
        <w:t> </w:t>
      </w:r>
      <w:r w:rsidRPr="00751479">
        <w:rPr>
          <w:snapToGrid w:val="0"/>
        </w:rPr>
        <w:t xml:space="preserve">de julio de 1983, relativa a los accidentes de trabajo y las enfermedades profesionales, así como en una abundante reglamentación constituida </w:t>
      </w:r>
      <w:r>
        <w:rPr>
          <w:snapToGrid w:val="0"/>
        </w:rPr>
        <w:t>por</w:t>
      </w:r>
      <w:r w:rsidRPr="00751479">
        <w:rPr>
          <w:snapToGrid w:val="0"/>
        </w:rPr>
        <w:t xml:space="preserve"> una veintena de decretos que tratan explícitamente de las cuestiones de seguridad y de salud en el trabajo.  Este conjunto de textos se apoya además en </w:t>
      </w:r>
      <w:r>
        <w:rPr>
          <w:snapToGrid w:val="0"/>
        </w:rPr>
        <w:t>muchas</w:t>
      </w:r>
      <w:r w:rsidRPr="00751479">
        <w:rPr>
          <w:snapToGrid w:val="0"/>
        </w:rPr>
        <w:t xml:space="preserve"> otras disposiciones que figuran en reglamentaciones sectoriales específicas que se refieren a temas relacionados con la seguridad en el trabajo, como son la prevención </w:t>
      </w:r>
      <w:r>
        <w:rPr>
          <w:snapToGrid w:val="0"/>
        </w:rPr>
        <w:t xml:space="preserve">de </w:t>
      </w:r>
      <w:r w:rsidRPr="00751479">
        <w:rPr>
          <w:snapToGrid w:val="0"/>
        </w:rPr>
        <w:t xml:space="preserve">incendios, los </w:t>
      </w:r>
      <w:r>
        <w:rPr>
          <w:snapToGrid w:val="0"/>
        </w:rPr>
        <w:t>grandes riesgos industriales</w:t>
      </w:r>
      <w:r w:rsidRPr="00751479">
        <w:rPr>
          <w:snapToGrid w:val="0"/>
        </w:rPr>
        <w:t xml:space="preserve">, las sustancias químicas, y </w:t>
      </w:r>
      <w:r>
        <w:rPr>
          <w:snapToGrid w:val="0"/>
        </w:rPr>
        <w:t xml:space="preserve">en </w:t>
      </w:r>
      <w:r w:rsidRPr="00751479">
        <w:rPr>
          <w:snapToGrid w:val="0"/>
        </w:rPr>
        <w:t>otr</w:t>
      </w:r>
      <w:r>
        <w:rPr>
          <w:snapToGrid w:val="0"/>
        </w:rPr>
        <w:t>a</w:t>
      </w:r>
      <w:r w:rsidRPr="00751479">
        <w:rPr>
          <w:snapToGrid w:val="0"/>
        </w:rPr>
        <w:t xml:space="preserve">s </w:t>
      </w:r>
      <w:r>
        <w:rPr>
          <w:snapToGrid w:val="0"/>
        </w:rPr>
        <w:t xml:space="preserve">disposiciones </w:t>
      </w:r>
      <w:r w:rsidRPr="00751479">
        <w:rPr>
          <w:snapToGrid w:val="0"/>
        </w:rPr>
        <w:t xml:space="preserve">sobre riesgos particulares.  Esto demuestra la gran importancia que los poderes públicos </w:t>
      </w:r>
      <w:r>
        <w:rPr>
          <w:snapToGrid w:val="0"/>
        </w:rPr>
        <w:t xml:space="preserve">conceden </w:t>
      </w:r>
      <w:r w:rsidRPr="00751479">
        <w:rPr>
          <w:snapToGrid w:val="0"/>
        </w:rPr>
        <w:t>a la cuestión de la protección de los trabajadores y de la salud.</w:t>
      </w:r>
    </w:p>
    <w:p w:rsidR="00DD0682" w:rsidRPr="00751479" w:rsidRDefault="00DD0682" w:rsidP="00DD0682">
      <w:pPr>
        <w:adjustRightInd w:val="0"/>
        <w:snapToGrid w:val="0"/>
        <w:spacing w:after="240"/>
        <w:rPr>
          <w:snapToGrid w:val="0"/>
        </w:rPr>
      </w:pPr>
      <w:r w:rsidRPr="00751479">
        <w:rPr>
          <w:snapToGrid w:val="0"/>
        </w:rPr>
        <w:t>172.</w:t>
      </w:r>
      <w:r w:rsidRPr="00751479">
        <w:rPr>
          <w:snapToGrid w:val="0"/>
        </w:rPr>
        <w:tab/>
        <w:t xml:space="preserve">La Ley Nº 88-07, de 26 de enero de 1988, sobre higiene, seguridad y medicina </w:t>
      </w:r>
      <w:r>
        <w:rPr>
          <w:snapToGrid w:val="0"/>
        </w:rPr>
        <w:t>del trabajo,</w:t>
      </w:r>
      <w:r w:rsidRPr="00751479">
        <w:rPr>
          <w:snapToGrid w:val="0"/>
        </w:rPr>
        <w:t xml:space="preserve"> prevé mecanismos para la </w:t>
      </w:r>
      <w:r>
        <w:rPr>
          <w:snapToGrid w:val="0"/>
        </w:rPr>
        <w:t>gestión</w:t>
      </w:r>
      <w:r w:rsidRPr="00751479">
        <w:rPr>
          <w:snapToGrid w:val="0"/>
        </w:rPr>
        <w:t xml:space="preserve"> de las molestias </w:t>
      </w:r>
      <w:r>
        <w:rPr>
          <w:snapToGrid w:val="0"/>
        </w:rPr>
        <w:t xml:space="preserve">ambientales </w:t>
      </w:r>
      <w:r w:rsidRPr="00751479">
        <w:rPr>
          <w:snapToGrid w:val="0"/>
        </w:rPr>
        <w:t>present</w:t>
      </w:r>
      <w:r>
        <w:rPr>
          <w:snapToGrid w:val="0"/>
        </w:rPr>
        <w:t>es</w:t>
      </w:r>
      <w:r w:rsidRPr="00751479">
        <w:rPr>
          <w:snapToGrid w:val="0"/>
        </w:rPr>
        <w:t xml:space="preserve"> en el lugar de trabajo, </w:t>
      </w:r>
      <w:r>
        <w:rPr>
          <w:snapToGrid w:val="0"/>
        </w:rPr>
        <w:t xml:space="preserve">de acuerdo con </w:t>
      </w:r>
      <w:r w:rsidRPr="00751479">
        <w:rPr>
          <w:snapToGrid w:val="0"/>
        </w:rPr>
        <w:t xml:space="preserve">las disposiciones reglamentarias incorporadas en el título I del Decreto ejecutivo </w:t>
      </w:r>
      <w:r>
        <w:rPr>
          <w:snapToGrid w:val="0"/>
        </w:rPr>
        <w:t xml:space="preserve">Nº </w:t>
      </w:r>
      <w:r w:rsidRPr="00751479">
        <w:rPr>
          <w:snapToGrid w:val="0"/>
        </w:rPr>
        <w:t>91-05</w:t>
      </w:r>
      <w:r>
        <w:rPr>
          <w:snapToGrid w:val="0"/>
        </w:rPr>
        <w:t>,</w:t>
      </w:r>
      <w:r w:rsidRPr="00751479">
        <w:rPr>
          <w:snapToGrid w:val="0"/>
        </w:rPr>
        <w:t xml:space="preserve"> de 19 de enero de 1991.</w:t>
      </w:r>
    </w:p>
    <w:p w:rsidR="00DD0682" w:rsidRPr="00751479" w:rsidRDefault="00DD0682" w:rsidP="00DD0682">
      <w:pPr>
        <w:adjustRightInd w:val="0"/>
        <w:snapToGrid w:val="0"/>
        <w:spacing w:after="240"/>
        <w:rPr>
          <w:snapToGrid w:val="0"/>
        </w:rPr>
      </w:pPr>
      <w:r w:rsidRPr="00751479">
        <w:rPr>
          <w:snapToGrid w:val="0"/>
        </w:rPr>
        <w:t>173.</w:t>
      </w:r>
      <w:r w:rsidRPr="00751479">
        <w:rPr>
          <w:snapToGrid w:val="0"/>
        </w:rPr>
        <w:tab/>
        <w:t xml:space="preserve">Además de las ventajas y la protección de que </w:t>
      </w:r>
      <w:r>
        <w:rPr>
          <w:snapToGrid w:val="0"/>
        </w:rPr>
        <w:t>se beneficia</w:t>
      </w:r>
      <w:r w:rsidRPr="00751479">
        <w:rPr>
          <w:snapToGrid w:val="0"/>
        </w:rPr>
        <w:t xml:space="preserve"> todo trabajador, la mujer trabajadora </w:t>
      </w:r>
      <w:r>
        <w:rPr>
          <w:snapToGrid w:val="0"/>
        </w:rPr>
        <w:t>se beneficia</w:t>
      </w:r>
      <w:r w:rsidRPr="00751479">
        <w:rPr>
          <w:snapToGrid w:val="0"/>
        </w:rPr>
        <w:t xml:space="preserve"> de una licencia de maternidad de 14 semanas a sueldo completo, </w:t>
      </w:r>
      <w:r>
        <w:rPr>
          <w:snapToGrid w:val="0"/>
        </w:rPr>
        <w:t>en</w:t>
      </w:r>
      <w:r w:rsidRPr="00751479">
        <w:rPr>
          <w:snapToGrid w:val="0"/>
        </w:rPr>
        <w:t xml:space="preserve"> lo que </w:t>
      </w:r>
      <w:r>
        <w:rPr>
          <w:snapToGrid w:val="0"/>
        </w:rPr>
        <w:t>respecta</w:t>
      </w:r>
      <w:r w:rsidRPr="00751479">
        <w:rPr>
          <w:snapToGrid w:val="0"/>
        </w:rPr>
        <w:t xml:space="preserve"> a sus prestaciones en metálico. </w:t>
      </w:r>
      <w:r>
        <w:rPr>
          <w:snapToGrid w:val="0"/>
        </w:rPr>
        <w:t xml:space="preserve"> Se beneficia</w:t>
      </w:r>
      <w:r w:rsidRPr="00751479">
        <w:rPr>
          <w:snapToGrid w:val="0"/>
        </w:rPr>
        <w:t xml:space="preserve"> asimismo de prestaciones en especie que consisten en el pago íntegro de los gastos médicos y farmacéuticos y de los gastos de hospitalización vinculados con el parto. </w:t>
      </w:r>
      <w:r>
        <w:rPr>
          <w:snapToGrid w:val="0"/>
        </w:rPr>
        <w:t xml:space="preserve"> </w:t>
      </w:r>
      <w:r w:rsidRPr="00751479">
        <w:rPr>
          <w:snapToGrid w:val="0"/>
        </w:rPr>
        <w:t>Las mujeres no trabajadoras, esposas de asegurados</w:t>
      </w:r>
      <w:r>
        <w:rPr>
          <w:snapToGrid w:val="0"/>
        </w:rPr>
        <w:t xml:space="preserve"> sociales</w:t>
      </w:r>
      <w:r w:rsidRPr="00751479">
        <w:rPr>
          <w:snapToGrid w:val="0"/>
        </w:rPr>
        <w:t xml:space="preserve">, </w:t>
      </w:r>
      <w:r>
        <w:rPr>
          <w:snapToGrid w:val="0"/>
        </w:rPr>
        <w:t xml:space="preserve">perciben </w:t>
      </w:r>
      <w:r w:rsidRPr="00751479">
        <w:rPr>
          <w:snapToGrid w:val="0"/>
        </w:rPr>
        <w:t xml:space="preserve">asimismo prestaciones en especie con arreglo al seguro de maternidad. </w:t>
      </w:r>
      <w:r>
        <w:rPr>
          <w:snapToGrid w:val="0"/>
        </w:rPr>
        <w:t xml:space="preserve"> Las </w:t>
      </w:r>
      <w:r w:rsidRPr="00751479">
        <w:rPr>
          <w:snapToGrid w:val="0"/>
        </w:rPr>
        <w:t xml:space="preserve">madres solteras, por su parte, </w:t>
      </w:r>
      <w:r>
        <w:rPr>
          <w:snapToGrid w:val="0"/>
        </w:rPr>
        <w:t>se benefician</w:t>
      </w:r>
      <w:r w:rsidRPr="00751479">
        <w:rPr>
          <w:snapToGrid w:val="0"/>
        </w:rPr>
        <w:t xml:space="preserve"> de la protección del Estado y reciben atención gratuita y anónima en los hospitales. Su situación social no puede constituir un i</w:t>
      </w:r>
      <w:r>
        <w:rPr>
          <w:snapToGrid w:val="0"/>
        </w:rPr>
        <w:t xml:space="preserve">mpedimento para el trabajo </w:t>
      </w:r>
      <w:r w:rsidRPr="00751479">
        <w:rPr>
          <w:snapToGrid w:val="0"/>
        </w:rPr>
        <w:t xml:space="preserve">y </w:t>
      </w:r>
      <w:r>
        <w:rPr>
          <w:snapToGrid w:val="0"/>
        </w:rPr>
        <w:t xml:space="preserve">tienen derecho a </w:t>
      </w:r>
      <w:r w:rsidRPr="00751479">
        <w:rPr>
          <w:snapToGrid w:val="0"/>
        </w:rPr>
        <w:t>los subsidios familiares a</w:t>
      </w:r>
      <w:r>
        <w:rPr>
          <w:snapToGrid w:val="0"/>
        </w:rPr>
        <w:t xml:space="preserve">l igual </w:t>
      </w:r>
      <w:r w:rsidRPr="00751479">
        <w:rPr>
          <w:snapToGrid w:val="0"/>
        </w:rPr>
        <w:t xml:space="preserve">que los </w:t>
      </w:r>
      <w:r>
        <w:rPr>
          <w:snapToGrid w:val="0"/>
        </w:rPr>
        <w:t xml:space="preserve">demás </w:t>
      </w:r>
      <w:r w:rsidRPr="00751479">
        <w:rPr>
          <w:snapToGrid w:val="0"/>
        </w:rPr>
        <w:t>trabajadores.</w:t>
      </w:r>
    </w:p>
    <w:p w:rsidR="00DD0682" w:rsidRPr="00751479" w:rsidRDefault="00DD0682" w:rsidP="00DD0682">
      <w:pPr>
        <w:adjustRightInd w:val="0"/>
        <w:snapToGrid w:val="0"/>
        <w:spacing w:after="240"/>
        <w:rPr>
          <w:snapToGrid w:val="0"/>
        </w:rPr>
      </w:pPr>
      <w:r w:rsidRPr="00751479">
        <w:rPr>
          <w:snapToGrid w:val="0"/>
        </w:rPr>
        <w:t>174.</w:t>
      </w:r>
      <w:r w:rsidRPr="00751479">
        <w:rPr>
          <w:snapToGrid w:val="0"/>
        </w:rPr>
        <w:tab/>
        <w:t>Ciertas medidas específicas de protección benefician sobre todo a la mujer</w:t>
      </w:r>
      <w:r>
        <w:rPr>
          <w:snapToGrid w:val="0"/>
        </w:rPr>
        <w:t xml:space="preserve"> e</w:t>
      </w:r>
      <w:r w:rsidRPr="00751479">
        <w:rPr>
          <w:snapToGrid w:val="0"/>
        </w:rPr>
        <w:t>n relación particularmente con la maternidad y su función en la unidad familiar.  Se pueden citar los siguientes ejemplos:  la prohibición del trabajo nocturno; la prohibición del empleo los días feriados oficiales; la prohibición del trabajo en actividades peligrosas, insalubres o nocivas para la salud; la suspensión de la relación de trabajo en período de licencia prenatal o posnatal; el derecho a las horas de lactancia (dos horas por día los seis primeros meses y una hora por día los seis meses siguientes); y el derecho al 100% del salario durante la licencia de maternidad.  Además, y con el fin de reforzar los derechos de los trabajadores, es posible concluir conve</w:t>
      </w:r>
      <w:r>
        <w:rPr>
          <w:snapToGrid w:val="0"/>
        </w:rPr>
        <w:t>n</w:t>
      </w:r>
      <w:r w:rsidRPr="00751479">
        <w:rPr>
          <w:snapToGrid w:val="0"/>
        </w:rPr>
        <w:t>io</w:t>
      </w:r>
      <w:r>
        <w:rPr>
          <w:snapToGrid w:val="0"/>
        </w:rPr>
        <w:t>s colectivo</w:t>
      </w:r>
      <w:r w:rsidRPr="00751479">
        <w:rPr>
          <w:snapToGrid w:val="0"/>
        </w:rPr>
        <w:t xml:space="preserve">s </w:t>
      </w:r>
      <w:r>
        <w:rPr>
          <w:snapToGrid w:val="0"/>
        </w:rPr>
        <w:t>d</w:t>
      </w:r>
      <w:r w:rsidRPr="00751479">
        <w:rPr>
          <w:snapToGrid w:val="0"/>
        </w:rPr>
        <w:t>en</w:t>
      </w:r>
      <w:r>
        <w:rPr>
          <w:snapToGrid w:val="0"/>
        </w:rPr>
        <w:t>tro de</w:t>
      </w:r>
      <w:r w:rsidRPr="00751479">
        <w:rPr>
          <w:snapToGrid w:val="0"/>
        </w:rPr>
        <w:t xml:space="preserve"> las empresas y </w:t>
      </w:r>
      <w:r>
        <w:rPr>
          <w:snapToGrid w:val="0"/>
        </w:rPr>
        <w:t xml:space="preserve">en ellos se </w:t>
      </w:r>
      <w:r w:rsidRPr="00751479">
        <w:rPr>
          <w:snapToGrid w:val="0"/>
        </w:rPr>
        <w:t xml:space="preserve">podrán </w:t>
      </w:r>
      <w:r>
        <w:rPr>
          <w:snapToGrid w:val="0"/>
        </w:rPr>
        <w:t xml:space="preserve">prever </w:t>
      </w:r>
      <w:r w:rsidRPr="00751479">
        <w:rPr>
          <w:snapToGrid w:val="0"/>
        </w:rPr>
        <w:t xml:space="preserve">derechos superiores a los determinados en la ley y específicos al tipo de actividad.  </w:t>
      </w:r>
      <w:r>
        <w:rPr>
          <w:snapToGrid w:val="0"/>
        </w:rPr>
        <w:t>El</w:t>
      </w:r>
      <w:r w:rsidRPr="00751479">
        <w:rPr>
          <w:snapToGrid w:val="0"/>
        </w:rPr>
        <w:t xml:space="preserve"> </w:t>
      </w:r>
      <w:r>
        <w:rPr>
          <w:snapToGrid w:val="0"/>
        </w:rPr>
        <w:t>c</w:t>
      </w:r>
      <w:r w:rsidRPr="00751479">
        <w:rPr>
          <w:snapToGrid w:val="0"/>
        </w:rPr>
        <w:t>onveni</w:t>
      </w:r>
      <w:r>
        <w:rPr>
          <w:snapToGrid w:val="0"/>
        </w:rPr>
        <w:t>o</w:t>
      </w:r>
      <w:r w:rsidRPr="00751479">
        <w:rPr>
          <w:snapToGrid w:val="0"/>
        </w:rPr>
        <w:t xml:space="preserve"> colectiv</w:t>
      </w:r>
      <w:r>
        <w:rPr>
          <w:snapToGrid w:val="0"/>
        </w:rPr>
        <w:t>o</w:t>
      </w:r>
      <w:r w:rsidRPr="00751479">
        <w:rPr>
          <w:snapToGrid w:val="0"/>
        </w:rPr>
        <w:t xml:space="preserve"> se negociará entre los representantes de los trabajadores y los del organismo empleador.</w:t>
      </w:r>
    </w:p>
    <w:p w:rsidR="00DD0682" w:rsidRPr="00751479" w:rsidRDefault="00DD0682" w:rsidP="00DD0682">
      <w:pPr>
        <w:adjustRightInd w:val="0"/>
        <w:snapToGrid w:val="0"/>
        <w:spacing w:after="240"/>
        <w:rPr>
          <w:snapToGrid w:val="0"/>
        </w:rPr>
      </w:pPr>
      <w:r w:rsidRPr="00751479">
        <w:rPr>
          <w:snapToGrid w:val="0"/>
        </w:rPr>
        <w:t>175.</w:t>
      </w:r>
      <w:r w:rsidRPr="00751479">
        <w:rPr>
          <w:snapToGrid w:val="0"/>
        </w:rPr>
        <w:tab/>
        <w:t>La mujer trabajadora casada goza de</w:t>
      </w:r>
      <w:r>
        <w:rPr>
          <w:snapToGrid w:val="0"/>
        </w:rPr>
        <w:t xml:space="preserve"> la condición de asegurada social que le confiere su </w:t>
      </w:r>
      <w:r w:rsidRPr="00751479">
        <w:rPr>
          <w:snapToGrid w:val="0"/>
        </w:rPr>
        <w:t xml:space="preserve">calidad de cotizante. </w:t>
      </w:r>
      <w:r>
        <w:rPr>
          <w:snapToGrid w:val="0"/>
        </w:rPr>
        <w:t xml:space="preserve"> </w:t>
      </w:r>
      <w:r w:rsidRPr="00751479">
        <w:rPr>
          <w:snapToGrid w:val="0"/>
        </w:rPr>
        <w:t>La situación matrimonial no influye en</w:t>
      </w:r>
      <w:r>
        <w:rPr>
          <w:snapToGrid w:val="0"/>
        </w:rPr>
        <w:t xml:space="preserve"> modo alguno sobre su derecho a</w:t>
      </w:r>
      <w:r w:rsidRPr="00751479">
        <w:rPr>
          <w:snapToGrid w:val="0"/>
        </w:rPr>
        <w:t xml:space="preserve"> </w:t>
      </w:r>
      <w:r>
        <w:rPr>
          <w:snapToGrid w:val="0"/>
        </w:rPr>
        <w:t>la </w:t>
      </w:r>
      <w:r w:rsidRPr="00751479">
        <w:rPr>
          <w:snapToGrid w:val="0"/>
        </w:rPr>
        <w:t>segur</w:t>
      </w:r>
      <w:r>
        <w:rPr>
          <w:snapToGrid w:val="0"/>
        </w:rPr>
        <w:t>idad</w:t>
      </w:r>
      <w:r w:rsidRPr="00751479">
        <w:rPr>
          <w:snapToGrid w:val="0"/>
        </w:rPr>
        <w:t xml:space="preserve"> social.</w:t>
      </w:r>
      <w:r>
        <w:rPr>
          <w:snapToGrid w:val="0"/>
        </w:rPr>
        <w:t xml:space="preserve"> </w:t>
      </w:r>
      <w:r w:rsidRPr="00751479">
        <w:rPr>
          <w:snapToGrid w:val="0"/>
        </w:rPr>
        <w:t xml:space="preserve"> Además, no existe ninguna disposición reglamentaria que constituya un </w:t>
      </w:r>
      <w:r w:rsidRPr="0039663F">
        <w:rPr>
          <w:snapToGrid w:val="0"/>
          <w:spacing w:val="-2"/>
        </w:rPr>
        <w:t>impedimento para el trabajo de las mujeres casadas.  En virtud del artículo 17 de la Ley Nº 90</w:t>
      </w:r>
      <w:r w:rsidRPr="0039663F">
        <w:rPr>
          <w:snapToGrid w:val="0"/>
          <w:spacing w:val="-2"/>
        </w:rPr>
        <w:noBreakHyphen/>
        <w:t>11</w:t>
      </w:r>
      <w:r w:rsidRPr="00751479">
        <w:rPr>
          <w:snapToGrid w:val="0"/>
        </w:rPr>
        <w:t xml:space="preserve">, de 21 de febrero de 1990, relativa a las relaciones laborales, queda prohibida toda discriminación vinculada con la situación matrimonial de la mujer. </w:t>
      </w:r>
      <w:r>
        <w:rPr>
          <w:snapToGrid w:val="0"/>
        </w:rPr>
        <w:t xml:space="preserve"> </w:t>
      </w:r>
      <w:r w:rsidRPr="00751479">
        <w:rPr>
          <w:snapToGrid w:val="0"/>
        </w:rPr>
        <w:t>Lo que es más, se le conceden facilidades como la posibilidad de acogerse a una excedencia para ocuparse de sus hijos menores de 5 años o discapacitados.</w:t>
      </w:r>
    </w:p>
    <w:p w:rsidR="00DD0682" w:rsidRPr="00751479" w:rsidRDefault="00DD0682" w:rsidP="00DD0682">
      <w:pPr>
        <w:adjustRightInd w:val="0"/>
        <w:snapToGrid w:val="0"/>
        <w:spacing w:after="240"/>
        <w:rPr>
          <w:snapToGrid w:val="0"/>
        </w:rPr>
      </w:pPr>
      <w:r>
        <w:rPr>
          <w:snapToGrid w:val="0"/>
        </w:rPr>
        <w:tab/>
      </w:r>
      <w:r w:rsidRPr="0039663F">
        <w:rPr>
          <w:b/>
          <w:snapToGrid w:val="0"/>
        </w:rPr>
        <w:t>P</w:t>
      </w:r>
      <w:r w:rsidRPr="00751479">
        <w:rPr>
          <w:b/>
          <w:snapToGrid w:val="0"/>
        </w:rPr>
        <w:t>revención</w:t>
      </w:r>
    </w:p>
    <w:p w:rsidR="00DD0682" w:rsidRPr="00751479" w:rsidRDefault="00DD0682" w:rsidP="00DD0682">
      <w:pPr>
        <w:adjustRightInd w:val="0"/>
        <w:snapToGrid w:val="0"/>
        <w:spacing w:after="240"/>
        <w:rPr>
          <w:snapToGrid w:val="0"/>
        </w:rPr>
      </w:pPr>
      <w:r w:rsidRPr="00751479">
        <w:rPr>
          <w:snapToGrid w:val="0"/>
        </w:rPr>
        <w:t>176.</w:t>
      </w:r>
      <w:r w:rsidRPr="00751479">
        <w:rPr>
          <w:snapToGrid w:val="0"/>
        </w:rPr>
        <w:tab/>
        <w:t xml:space="preserve">La legislación argelina (Ley Nº 88-07, de 26 de enero de 1988, sobre higiene, seguridad y medicina </w:t>
      </w:r>
      <w:r>
        <w:rPr>
          <w:snapToGrid w:val="0"/>
        </w:rPr>
        <w:t>del trabajo</w:t>
      </w:r>
      <w:r w:rsidRPr="00751479">
        <w:rPr>
          <w:snapToGrid w:val="0"/>
        </w:rPr>
        <w:t>) ha establecido el marco general de las medidas de prevención y el marco organizativo para su aplicación.  Se han promulgado cinco decretos ejecutivos, tres de los cuales definen el marco en el cual se aplicará la prevención en el lugar de trabajo, a saber:</w:t>
      </w:r>
    </w:p>
    <w:p w:rsidR="00DD0682" w:rsidRPr="00751479" w:rsidRDefault="00DD0682" w:rsidP="00DD0682">
      <w:pPr>
        <w:adjustRightInd w:val="0"/>
        <w:snapToGrid w:val="0"/>
        <w:spacing w:after="240"/>
        <w:ind w:left="1134" w:hanging="567"/>
        <w:rPr>
          <w:snapToGrid w:val="0"/>
        </w:rPr>
      </w:pPr>
      <w:r w:rsidRPr="00751479">
        <w:rPr>
          <w:snapToGrid w:val="0"/>
        </w:rPr>
        <w:t>a)</w:t>
      </w:r>
      <w:r>
        <w:rPr>
          <w:snapToGrid w:val="0"/>
        </w:rPr>
        <w:tab/>
      </w:r>
      <w:r w:rsidRPr="00751479">
        <w:rPr>
          <w:snapToGrid w:val="0"/>
        </w:rPr>
        <w:t xml:space="preserve">El Decreto ejecutivo </w:t>
      </w:r>
      <w:r w:rsidR="00A604E3">
        <w:rPr>
          <w:snapToGrid w:val="0"/>
        </w:rPr>
        <w:t>Nº</w:t>
      </w:r>
      <w:r w:rsidR="0072288C">
        <w:rPr>
          <w:snapToGrid w:val="0"/>
        </w:rPr>
        <w:t xml:space="preserve"> </w:t>
      </w:r>
      <w:r w:rsidRPr="00751479">
        <w:rPr>
          <w:snapToGrid w:val="0"/>
        </w:rPr>
        <w:t>05-08, de 8 de enero de 2005, relativo a las prescripciones particulares aplicables a las sustancias, productos o preparaciones peligrosas en el lugar de trabajo;</w:t>
      </w:r>
    </w:p>
    <w:p w:rsidR="00DD0682" w:rsidRPr="00751479" w:rsidRDefault="00DD0682" w:rsidP="00DD0682">
      <w:pPr>
        <w:adjustRightInd w:val="0"/>
        <w:snapToGrid w:val="0"/>
        <w:spacing w:after="240"/>
        <w:ind w:left="1134" w:hanging="567"/>
        <w:rPr>
          <w:snapToGrid w:val="0"/>
        </w:rPr>
      </w:pPr>
      <w:r w:rsidRPr="00751479">
        <w:rPr>
          <w:snapToGrid w:val="0"/>
        </w:rPr>
        <w:t>b)</w:t>
      </w:r>
      <w:r w:rsidRPr="00751479">
        <w:rPr>
          <w:snapToGrid w:val="0"/>
        </w:rPr>
        <w:tab/>
        <w:t xml:space="preserve">El Decreto ejecutivo </w:t>
      </w:r>
      <w:r w:rsidR="00A604E3">
        <w:rPr>
          <w:snapToGrid w:val="0"/>
        </w:rPr>
        <w:t>Nº</w:t>
      </w:r>
      <w:r w:rsidR="0072288C">
        <w:rPr>
          <w:snapToGrid w:val="0"/>
        </w:rPr>
        <w:t xml:space="preserve"> </w:t>
      </w:r>
      <w:r w:rsidRPr="00751479">
        <w:rPr>
          <w:snapToGrid w:val="0"/>
        </w:rPr>
        <w:t xml:space="preserve">05-09, de 8 de enero de 2005, relativo a las comisiones paritarias y a los </w:t>
      </w:r>
      <w:r>
        <w:rPr>
          <w:snapToGrid w:val="0"/>
        </w:rPr>
        <w:t>encargados</w:t>
      </w:r>
      <w:r w:rsidRPr="00751479">
        <w:rPr>
          <w:snapToGrid w:val="0"/>
        </w:rPr>
        <w:t xml:space="preserve"> de </w:t>
      </w:r>
      <w:r>
        <w:rPr>
          <w:snapToGrid w:val="0"/>
        </w:rPr>
        <w:t xml:space="preserve">la </w:t>
      </w:r>
      <w:r w:rsidRPr="00751479">
        <w:rPr>
          <w:snapToGrid w:val="0"/>
        </w:rPr>
        <w:t xml:space="preserve">higiene y </w:t>
      </w:r>
      <w:r>
        <w:rPr>
          <w:snapToGrid w:val="0"/>
        </w:rPr>
        <w:t xml:space="preserve">la </w:t>
      </w:r>
      <w:r w:rsidRPr="00751479">
        <w:rPr>
          <w:snapToGrid w:val="0"/>
        </w:rPr>
        <w:t>seguridad;</w:t>
      </w:r>
    </w:p>
    <w:p w:rsidR="00DD0682" w:rsidRPr="00751479" w:rsidRDefault="00DD0682" w:rsidP="00DD0682">
      <w:pPr>
        <w:adjustRightInd w:val="0"/>
        <w:snapToGrid w:val="0"/>
        <w:spacing w:after="240"/>
        <w:ind w:left="1134" w:hanging="567"/>
        <w:rPr>
          <w:snapToGrid w:val="0"/>
        </w:rPr>
      </w:pPr>
      <w:r w:rsidRPr="00751479">
        <w:rPr>
          <w:snapToGrid w:val="0"/>
        </w:rPr>
        <w:t>c)</w:t>
      </w:r>
      <w:r w:rsidRPr="00751479">
        <w:rPr>
          <w:snapToGrid w:val="0"/>
        </w:rPr>
        <w:tab/>
        <w:t xml:space="preserve">El Decreto ejecutivo </w:t>
      </w:r>
      <w:r w:rsidR="00A604E3">
        <w:rPr>
          <w:snapToGrid w:val="0"/>
        </w:rPr>
        <w:t>Nº</w:t>
      </w:r>
      <w:r w:rsidR="0072288C">
        <w:rPr>
          <w:snapToGrid w:val="0"/>
        </w:rPr>
        <w:t xml:space="preserve"> </w:t>
      </w:r>
      <w:r w:rsidRPr="00751479">
        <w:rPr>
          <w:snapToGrid w:val="0"/>
        </w:rPr>
        <w:t>05-10, de 8 de enero de 2005, por el que se establecen las atribuciones, la composición, la organización y el funcionamiento del comité interempresarial de higiene y seguridad;</w:t>
      </w:r>
    </w:p>
    <w:p w:rsidR="00DD0682" w:rsidRPr="00751479" w:rsidRDefault="00DD0682" w:rsidP="00DD0682">
      <w:pPr>
        <w:adjustRightInd w:val="0"/>
        <w:snapToGrid w:val="0"/>
        <w:spacing w:after="240"/>
        <w:ind w:left="1134" w:hanging="567"/>
        <w:rPr>
          <w:snapToGrid w:val="0"/>
        </w:rPr>
      </w:pPr>
      <w:r w:rsidRPr="00751479">
        <w:rPr>
          <w:snapToGrid w:val="0"/>
        </w:rPr>
        <w:t>d)</w:t>
      </w:r>
      <w:r w:rsidRPr="00751479">
        <w:rPr>
          <w:snapToGrid w:val="0"/>
        </w:rPr>
        <w:tab/>
        <w:t xml:space="preserve">El Decreto ejecutivo </w:t>
      </w:r>
      <w:r w:rsidR="00A604E3">
        <w:rPr>
          <w:snapToGrid w:val="0"/>
        </w:rPr>
        <w:t>Nº</w:t>
      </w:r>
      <w:r w:rsidR="00A263B5">
        <w:rPr>
          <w:snapToGrid w:val="0"/>
        </w:rPr>
        <w:t xml:space="preserve"> </w:t>
      </w:r>
      <w:r w:rsidRPr="00751479">
        <w:rPr>
          <w:snapToGrid w:val="0"/>
        </w:rPr>
        <w:t>05-11, de 8 de enero de 2005</w:t>
      </w:r>
      <w:r>
        <w:rPr>
          <w:snapToGrid w:val="0"/>
        </w:rPr>
        <w:t>,</w:t>
      </w:r>
      <w:r w:rsidRPr="00751479">
        <w:rPr>
          <w:snapToGrid w:val="0"/>
        </w:rPr>
        <w:t xml:space="preserve"> por el que se establecen las condiciones de creación, organización y funcionamiento del servicio de higiene y seguridad y sus atribuciones;</w:t>
      </w:r>
    </w:p>
    <w:p w:rsidR="00DD0682" w:rsidRPr="00751479" w:rsidRDefault="00DD0682" w:rsidP="00DD0682">
      <w:pPr>
        <w:adjustRightInd w:val="0"/>
        <w:snapToGrid w:val="0"/>
        <w:spacing w:after="240"/>
        <w:ind w:left="1134" w:hanging="567"/>
        <w:rPr>
          <w:snapToGrid w:val="0"/>
        </w:rPr>
      </w:pPr>
      <w:r w:rsidRPr="00751479">
        <w:rPr>
          <w:snapToGrid w:val="0"/>
        </w:rPr>
        <w:t>e)</w:t>
      </w:r>
      <w:r w:rsidRPr="00751479">
        <w:rPr>
          <w:snapToGrid w:val="0"/>
        </w:rPr>
        <w:tab/>
        <w:t xml:space="preserve">El Decreto ejecutivo </w:t>
      </w:r>
      <w:r w:rsidR="00A604E3">
        <w:rPr>
          <w:snapToGrid w:val="0"/>
        </w:rPr>
        <w:t>Nº</w:t>
      </w:r>
      <w:r w:rsidR="00A263B5">
        <w:rPr>
          <w:snapToGrid w:val="0"/>
        </w:rPr>
        <w:t xml:space="preserve"> </w:t>
      </w:r>
      <w:r w:rsidRPr="00751479">
        <w:rPr>
          <w:snapToGrid w:val="0"/>
        </w:rPr>
        <w:t xml:space="preserve">05-12, de 8 de enero de 2005, relativo a las prescripciones particulares de higiene y seguridad aplicables a los sectores de la construcción, las obras públicas </w:t>
      </w:r>
      <w:r>
        <w:rPr>
          <w:snapToGrid w:val="0"/>
        </w:rPr>
        <w:t xml:space="preserve">y los servicios </w:t>
      </w:r>
      <w:r w:rsidRPr="00751479">
        <w:rPr>
          <w:snapToGrid w:val="0"/>
        </w:rPr>
        <w:t>hidráulic</w:t>
      </w:r>
      <w:r>
        <w:rPr>
          <w:snapToGrid w:val="0"/>
        </w:rPr>
        <w:t>o</w:t>
      </w:r>
      <w:r w:rsidRPr="00751479">
        <w:rPr>
          <w:snapToGrid w:val="0"/>
        </w:rPr>
        <w:t xml:space="preserve">s.  </w:t>
      </w:r>
    </w:p>
    <w:p w:rsidR="00DD0682" w:rsidRPr="00751479" w:rsidRDefault="00DD0682" w:rsidP="00DD0682">
      <w:pPr>
        <w:adjustRightInd w:val="0"/>
        <w:snapToGrid w:val="0"/>
        <w:spacing w:after="240"/>
        <w:rPr>
          <w:b/>
          <w:snapToGrid w:val="0"/>
        </w:rPr>
      </w:pPr>
      <w:r>
        <w:rPr>
          <w:b/>
          <w:snapToGrid w:val="0"/>
        </w:rPr>
        <w:tab/>
      </w:r>
      <w:r w:rsidRPr="00751479">
        <w:rPr>
          <w:b/>
          <w:snapToGrid w:val="0"/>
        </w:rPr>
        <w:t>Reparación</w:t>
      </w:r>
    </w:p>
    <w:p w:rsidR="00DD0682" w:rsidRPr="00751479" w:rsidRDefault="00DD0682" w:rsidP="00DD0682">
      <w:pPr>
        <w:adjustRightInd w:val="0"/>
        <w:snapToGrid w:val="0"/>
        <w:spacing w:after="240"/>
        <w:rPr>
          <w:snapToGrid w:val="0"/>
        </w:rPr>
      </w:pPr>
      <w:r w:rsidRPr="00751479">
        <w:rPr>
          <w:snapToGrid w:val="0"/>
        </w:rPr>
        <w:t>177.</w:t>
      </w:r>
      <w:r w:rsidRPr="00751479">
        <w:rPr>
          <w:snapToGrid w:val="0"/>
        </w:rPr>
        <w:tab/>
        <w:t>En 1966 se promulgó una legislación, actualizada en julio de 1983, sobre los accidentes de trabajo.  Actualmente, las tasas de indemnización previstas en la Ley de 1983 se aplican según lo establecido por los poderes públicos.  La legislación de seguridad social en materia de accidentes de trabajo y de enfermedades profesionales prevé:</w:t>
      </w:r>
    </w:p>
    <w:p w:rsidR="00DD0682" w:rsidRPr="00751479" w:rsidRDefault="00DD0682" w:rsidP="00DD0682">
      <w:pPr>
        <w:adjustRightInd w:val="0"/>
        <w:snapToGrid w:val="0"/>
        <w:spacing w:after="240"/>
        <w:ind w:left="1134" w:hanging="567"/>
        <w:rPr>
          <w:snapToGrid w:val="0"/>
        </w:rPr>
      </w:pPr>
      <w:r w:rsidRPr="00751479">
        <w:rPr>
          <w:snapToGrid w:val="0"/>
        </w:rPr>
        <w:t>a)</w:t>
      </w:r>
      <w:r w:rsidRPr="00751479">
        <w:rPr>
          <w:snapToGrid w:val="0"/>
        </w:rPr>
        <w:tab/>
        <w:t>Prestaciones en especie</w:t>
      </w:r>
      <w:r>
        <w:rPr>
          <w:snapToGrid w:val="0"/>
        </w:rPr>
        <w:t>,</w:t>
      </w:r>
      <w:r w:rsidRPr="00751479">
        <w:rPr>
          <w:snapToGrid w:val="0"/>
        </w:rPr>
        <w:t xml:space="preserve"> que se reembolsan a razón del 100% de las tarifas reglamentarias</w:t>
      </w:r>
      <w:r>
        <w:rPr>
          <w:snapToGrid w:val="0"/>
        </w:rPr>
        <w:t>,</w:t>
      </w:r>
      <w:r w:rsidRPr="00751479">
        <w:rPr>
          <w:snapToGrid w:val="0"/>
        </w:rPr>
        <w:t xml:space="preserve"> haya o no interrupción del trabajo y sin límite de tiempo, siempre que estén justificadas</w:t>
      </w:r>
      <w:r>
        <w:rPr>
          <w:snapToGrid w:val="0"/>
        </w:rPr>
        <w:t xml:space="preserve"> desde el punto de vista médico.</w:t>
      </w:r>
    </w:p>
    <w:p w:rsidR="00DD0682" w:rsidRPr="00751479" w:rsidRDefault="00DD0682" w:rsidP="00DD0682">
      <w:pPr>
        <w:adjustRightInd w:val="0"/>
        <w:snapToGrid w:val="0"/>
        <w:spacing w:after="240"/>
        <w:ind w:left="1134" w:hanging="567"/>
        <w:rPr>
          <w:snapToGrid w:val="0"/>
        </w:rPr>
      </w:pPr>
      <w:r w:rsidRPr="00751479">
        <w:rPr>
          <w:snapToGrid w:val="0"/>
        </w:rPr>
        <w:t>b)</w:t>
      </w:r>
      <w:r w:rsidRPr="00751479">
        <w:rPr>
          <w:snapToGrid w:val="0"/>
        </w:rPr>
        <w:tab/>
        <w:t xml:space="preserve">Prestaciones en metálico, en caso de incapacidad temporal, que se pagan a la víctima.  Esta indemnización diaria no podrá ser inferior a la trigésima parte del salario mensual </w:t>
      </w:r>
      <w:r>
        <w:rPr>
          <w:snapToGrid w:val="0"/>
        </w:rPr>
        <w:t xml:space="preserve">una vez </w:t>
      </w:r>
      <w:r w:rsidRPr="00751479">
        <w:rPr>
          <w:snapToGrid w:val="0"/>
        </w:rPr>
        <w:t>deducid</w:t>
      </w:r>
      <w:r>
        <w:rPr>
          <w:snapToGrid w:val="0"/>
        </w:rPr>
        <w:t>as</w:t>
      </w:r>
      <w:r w:rsidRPr="00751479">
        <w:rPr>
          <w:snapToGrid w:val="0"/>
        </w:rPr>
        <w:t xml:space="preserve"> las cotizaciones de la segu</w:t>
      </w:r>
      <w:r>
        <w:rPr>
          <w:snapToGrid w:val="0"/>
        </w:rPr>
        <w:t>ridad social y el impuesto.  La </w:t>
      </w:r>
      <w:r w:rsidRPr="00751479">
        <w:rPr>
          <w:snapToGrid w:val="0"/>
        </w:rPr>
        <w:t>indemnización se pagará igualmente en caso de recaída o de agravación ocurrida con posterioridad a la reanudación del trabajo.</w:t>
      </w:r>
    </w:p>
    <w:p w:rsidR="00DD0682" w:rsidRPr="00751479" w:rsidRDefault="00DD0682" w:rsidP="00DD0682">
      <w:pPr>
        <w:adjustRightInd w:val="0"/>
        <w:snapToGrid w:val="0"/>
        <w:spacing w:after="240"/>
        <w:rPr>
          <w:snapToGrid w:val="0"/>
        </w:rPr>
      </w:pPr>
      <w:r w:rsidRPr="00751479">
        <w:rPr>
          <w:snapToGrid w:val="0"/>
        </w:rPr>
        <w:t>178.</w:t>
      </w:r>
      <w:r w:rsidRPr="00751479">
        <w:rPr>
          <w:snapToGrid w:val="0"/>
        </w:rPr>
        <w:tab/>
        <w:t>La víctima de un accidente tiene derecho a una renta por accidente de trabajo.  La renta se calculará en base al salario medio sujeto a la cotización de la seguridad social.  En caso de recaída o de agravación del estado de salud de la víctima tras un accidente, el organismo de seguridad social revisará la renta.</w:t>
      </w:r>
    </w:p>
    <w:p w:rsidR="00DD0682" w:rsidRPr="00751479" w:rsidRDefault="00DD0682" w:rsidP="00DD0682">
      <w:pPr>
        <w:adjustRightInd w:val="0"/>
        <w:snapToGrid w:val="0"/>
        <w:spacing w:after="240"/>
        <w:rPr>
          <w:snapToGrid w:val="0"/>
        </w:rPr>
      </w:pPr>
      <w:r w:rsidRPr="00751479">
        <w:rPr>
          <w:snapToGrid w:val="0"/>
        </w:rPr>
        <w:t>179.</w:t>
      </w:r>
      <w:r w:rsidRPr="00751479">
        <w:rPr>
          <w:snapToGrid w:val="0"/>
        </w:rPr>
        <w:tab/>
        <w:t xml:space="preserve">En caso de accidente de trabajo seguido del fallecimiento de la víctima, se pagará una renta a los derechohabientes (cónyuges, hijos o </w:t>
      </w:r>
      <w:r>
        <w:rPr>
          <w:snapToGrid w:val="0"/>
        </w:rPr>
        <w:t>ascendientes</w:t>
      </w:r>
      <w:r w:rsidRPr="00751479">
        <w:rPr>
          <w:snapToGrid w:val="0"/>
        </w:rPr>
        <w:t xml:space="preserve"> a cargo) y también </w:t>
      </w:r>
      <w:r>
        <w:rPr>
          <w:snapToGrid w:val="0"/>
        </w:rPr>
        <w:t>un capital</w:t>
      </w:r>
      <w:r w:rsidRPr="00751479">
        <w:rPr>
          <w:snapToGrid w:val="0"/>
        </w:rPr>
        <w:t xml:space="preserve"> por fallecimiento inmediatamente después de la muerte de la víctima.  La cuantía de la renta de los derechohabientes se fija </w:t>
      </w:r>
      <w:r>
        <w:rPr>
          <w:snapToGrid w:val="0"/>
        </w:rPr>
        <w:t>en el 90</w:t>
      </w:r>
      <w:r w:rsidRPr="00751479">
        <w:rPr>
          <w:snapToGrid w:val="0"/>
        </w:rPr>
        <w:t>% y se distribuye en partes iguales entre éstos.</w:t>
      </w:r>
    </w:p>
    <w:p w:rsidR="00DD0682" w:rsidRPr="00751479" w:rsidRDefault="00DD0682" w:rsidP="00DD0682">
      <w:pPr>
        <w:adjustRightInd w:val="0"/>
        <w:snapToGrid w:val="0"/>
        <w:spacing w:after="240"/>
        <w:rPr>
          <w:snapToGrid w:val="0"/>
        </w:rPr>
      </w:pPr>
      <w:r>
        <w:rPr>
          <w:b/>
          <w:snapToGrid w:val="0"/>
        </w:rPr>
        <w:tab/>
      </w:r>
      <w:r w:rsidRPr="00751479">
        <w:rPr>
          <w:b/>
          <w:snapToGrid w:val="0"/>
        </w:rPr>
        <w:t>Promoción</w:t>
      </w:r>
    </w:p>
    <w:p w:rsidR="00DD0682" w:rsidRPr="00751479" w:rsidRDefault="00DD0682" w:rsidP="00DD0682">
      <w:pPr>
        <w:adjustRightInd w:val="0"/>
        <w:snapToGrid w:val="0"/>
        <w:spacing w:after="240"/>
        <w:rPr>
          <w:snapToGrid w:val="0"/>
        </w:rPr>
      </w:pPr>
      <w:r w:rsidRPr="00751479">
        <w:rPr>
          <w:snapToGrid w:val="0"/>
        </w:rPr>
        <w:t>180.</w:t>
      </w:r>
      <w:r w:rsidRPr="00751479">
        <w:rPr>
          <w:snapToGrid w:val="0"/>
        </w:rPr>
        <w:tab/>
        <w:t>La Ley Nº 90-11, de 21 de abril de 1990, sobre las relaciones de trabajo</w:t>
      </w:r>
      <w:r>
        <w:rPr>
          <w:snapToGrid w:val="0"/>
        </w:rPr>
        <w:t>,</w:t>
      </w:r>
      <w:r w:rsidRPr="00751479">
        <w:rPr>
          <w:snapToGrid w:val="0"/>
        </w:rPr>
        <w:t xml:space="preserve"> consagra el derecho a la promoción y a la formación durante el serv</w:t>
      </w:r>
      <w:r>
        <w:rPr>
          <w:snapToGrid w:val="0"/>
        </w:rPr>
        <w:t>icio (arts. 6, 57, 60 y 61).  É</w:t>
      </w:r>
      <w:r w:rsidRPr="00751479">
        <w:rPr>
          <w:snapToGrid w:val="0"/>
        </w:rPr>
        <w:t>sta es una obligación que se impone al empleador y que está reforzada por el derecho convencional.</w:t>
      </w:r>
    </w:p>
    <w:p w:rsidR="00DD0682" w:rsidRPr="00751479" w:rsidRDefault="00DD0682" w:rsidP="00DD0682">
      <w:pPr>
        <w:adjustRightInd w:val="0"/>
        <w:snapToGrid w:val="0"/>
        <w:spacing w:after="240"/>
        <w:ind w:left="567" w:hanging="567"/>
        <w:rPr>
          <w:b/>
          <w:snapToGrid w:val="0"/>
        </w:rPr>
      </w:pPr>
      <w:r>
        <w:rPr>
          <w:b/>
          <w:snapToGrid w:val="0"/>
        </w:rPr>
        <w:tab/>
      </w:r>
      <w:r w:rsidRPr="00751479">
        <w:rPr>
          <w:b/>
          <w:snapToGrid w:val="0"/>
        </w:rPr>
        <w:t>Descanso, duración del trabajo, vacaciones periódicas pagadas, remuneración de los días feriados</w:t>
      </w:r>
    </w:p>
    <w:p w:rsidR="00DD0682" w:rsidRPr="004C1BBB" w:rsidRDefault="00DD0682" w:rsidP="00DD0682">
      <w:pPr>
        <w:adjustRightInd w:val="0"/>
        <w:snapToGrid w:val="0"/>
        <w:spacing w:after="240"/>
        <w:rPr>
          <w:snapToGrid w:val="0"/>
        </w:rPr>
      </w:pPr>
      <w:r w:rsidRPr="004C1BBB">
        <w:rPr>
          <w:snapToGrid w:val="0"/>
        </w:rPr>
        <w:t>181.</w:t>
      </w:r>
      <w:r w:rsidRPr="004C1BBB">
        <w:rPr>
          <w:snapToGrid w:val="0"/>
        </w:rPr>
        <w:tab/>
        <w:t>Descanso</w:t>
      </w:r>
      <w:r>
        <w:rPr>
          <w:snapToGrid w:val="0"/>
        </w:rPr>
        <w:t>.</w:t>
      </w:r>
      <w:r w:rsidRPr="004C1BBB">
        <w:rPr>
          <w:snapToGrid w:val="0"/>
        </w:rPr>
        <w:t xml:space="preserve">  El artículo 15 de la Ley </w:t>
      </w:r>
      <w:r>
        <w:rPr>
          <w:snapToGrid w:val="0"/>
        </w:rPr>
        <w:t xml:space="preserve">Nº </w:t>
      </w:r>
      <w:r w:rsidRPr="004C1BBB">
        <w:rPr>
          <w:snapToGrid w:val="0"/>
        </w:rPr>
        <w:t xml:space="preserve">90-11 consagra el derecho del trabajador al descanso.  Esta disposición se precisa en los artículos 33 (descanso semanal), 35 (los días de descanso semanal y los días feriados son días </w:t>
      </w:r>
      <w:r>
        <w:rPr>
          <w:snapToGrid w:val="0"/>
        </w:rPr>
        <w:t>legales de descanso), 36 (descanso compensatorio</w:t>
      </w:r>
      <w:r w:rsidRPr="004C1BBB">
        <w:rPr>
          <w:snapToGrid w:val="0"/>
        </w:rPr>
        <w:t xml:space="preserve">).  La Ley </w:t>
      </w:r>
      <w:r w:rsidR="00A604E3">
        <w:rPr>
          <w:snapToGrid w:val="0"/>
        </w:rPr>
        <w:t xml:space="preserve">Nº </w:t>
      </w:r>
      <w:r w:rsidRPr="004C1BBB">
        <w:rPr>
          <w:snapToGrid w:val="0"/>
        </w:rPr>
        <w:t xml:space="preserve">90-11 dispone en su artículo 144 que todo empleador que contravenga </w:t>
      </w:r>
      <w:r>
        <w:rPr>
          <w:snapToGrid w:val="0"/>
        </w:rPr>
        <w:t>sus</w:t>
      </w:r>
      <w:r w:rsidRPr="004C1BBB">
        <w:rPr>
          <w:snapToGrid w:val="0"/>
        </w:rPr>
        <w:t xml:space="preserve"> disposiciones relativas al descanso legal será sancionado con una multa de 1</w:t>
      </w:r>
      <w:r>
        <w:rPr>
          <w:snapToGrid w:val="0"/>
        </w:rPr>
        <w:t>.</w:t>
      </w:r>
      <w:r w:rsidRPr="004C1BBB">
        <w:rPr>
          <w:snapToGrid w:val="0"/>
        </w:rPr>
        <w:t>000 a 2</w:t>
      </w:r>
      <w:r>
        <w:rPr>
          <w:snapToGrid w:val="0"/>
        </w:rPr>
        <w:t>.</w:t>
      </w:r>
      <w:r w:rsidRPr="004C1BBB">
        <w:rPr>
          <w:snapToGrid w:val="0"/>
        </w:rPr>
        <w:t xml:space="preserve">000 </w:t>
      </w:r>
      <w:r>
        <w:rPr>
          <w:snapToGrid w:val="0"/>
        </w:rPr>
        <w:t xml:space="preserve">dinares </w:t>
      </w:r>
      <w:r w:rsidRPr="004C1BBB">
        <w:rPr>
          <w:snapToGrid w:val="0"/>
        </w:rPr>
        <w:t>tantas veces cuantas haya trabajadores afectados.</w:t>
      </w:r>
    </w:p>
    <w:p w:rsidR="00DD0682" w:rsidRPr="00751479" w:rsidRDefault="00DD0682" w:rsidP="00DD0682">
      <w:pPr>
        <w:adjustRightInd w:val="0"/>
        <w:snapToGrid w:val="0"/>
        <w:spacing w:after="240"/>
        <w:rPr>
          <w:snapToGrid w:val="0"/>
        </w:rPr>
      </w:pPr>
      <w:r w:rsidRPr="00751479">
        <w:rPr>
          <w:snapToGrid w:val="0"/>
        </w:rPr>
        <w:t>182.</w:t>
      </w:r>
      <w:r w:rsidRPr="00751479">
        <w:rPr>
          <w:snapToGrid w:val="0"/>
        </w:rPr>
        <w:tab/>
      </w:r>
      <w:r w:rsidRPr="004C1BBB">
        <w:rPr>
          <w:snapToGrid w:val="0"/>
        </w:rPr>
        <w:t>Duración legal del trabajo</w:t>
      </w:r>
      <w:r>
        <w:rPr>
          <w:snapToGrid w:val="0"/>
        </w:rPr>
        <w:t xml:space="preserve">. </w:t>
      </w:r>
      <w:r w:rsidRPr="004C1BBB">
        <w:rPr>
          <w:snapToGrid w:val="0"/>
        </w:rPr>
        <w:t xml:space="preserve"> La Ordenanza N</w:t>
      </w:r>
      <w:r>
        <w:rPr>
          <w:snapToGrid w:val="0"/>
        </w:rPr>
        <w:t>º</w:t>
      </w:r>
      <w:r w:rsidRPr="004C1BBB">
        <w:rPr>
          <w:snapToGrid w:val="0"/>
        </w:rPr>
        <w:t xml:space="preserve"> 97-03, de 11 de enero de 1997, por la que se establece la duración legal del trabajo</w:t>
      </w:r>
      <w:r>
        <w:rPr>
          <w:snapToGrid w:val="0"/>
        </w:rPr>
        <w:t>,</w:t>
      </w:r>
      <w:r w:rsidRPr="004C1BBB">
        <w:rPr>
          <w:snapToGrid w:val="0"/>
        </w:rPr>
        <w:t xml:space="preserve"> </w:t>
      </w:r>
      <w:r>
        <w:rPr>
          <w:snapToGrid w:val="0"/>
        </w:rPr>
        <w:t>establece</w:t>
      </w:r>
      <w:r w:rsidRPr="004C1BBB">
        <w:rPr>
          <w:snapToGrid w:val="0"/>
        </w:rPr>
        <w:t xml:space="preserve"> en su artículo 2 que la duración legal </w:t>
      </w:r>
      <w:r>
        <w:rPr>
          <w:snapToGrid w:val="0"/>
        </w:rPr>
        <w:t xml:space="preserve">del trabajo </w:t>
      </w:r>
      <w:r w:rsidRPr="004C1BBB">
        <w:rPr>
          <w:snapToGrid w:val="0"/>
        </w:rPr>
        <w:t xml:space="preserve">semanal será de 40 horas.  Asimismo, la </w:t>
      </w:r>
      <w:r>
        <w:rPr>
          <w:snapToGrid w:val="0"/>
        </w:rPr>
        <w:t xml:space="preserve">duración </w:t>
      </w:r>
      <w:r w:rsidRPr="004C1BBB">
        <w:rPr>
          <w:snapToGrid w:val="0"/>
        </w:rPr>
        <w:t>de la jornada diaria establecida en el artículo 7 de dicha ordenanza no será superior a 12 horas</w:t>
      </w:r>
      <w:r w:rsidRPr="00751479">
        <w:rPr>
          <w:b/>
          <w:snapToGrid w:val="0"/>
        </w:rPr>
        <w:t xml:space="preserve">. </w:t>
      </w:r>
      <w:r w:rsidRPr="00751479">
        <w:rPr>
          <w:snapToGrid w:val="0"/>
        </w:rPr>
        <w:t xml:space="preserve"> La Ley N</w:t>
      </w:r>
      <w:r>
        <w:rPr>
          <w:snapToGrid w:val="0"/>
        </w:rPr>
        <w:t>º</w:t>
      </w:r>
      <w:r w:rsidRPr="00751479">
        <w:rPr>
          <w:snapToGrid w:val="0"/>
        </w:rPr>
        <w:t xml:space="preserve"> 90-11 dispone que las horas extraordinarias </w:t>
      </w:r>
      <w:r>
        <w:rPr>
          <w:snapToGrid w:val="0"/>
        </w:rPr>
        <w:t>trabajadas</w:t>
      </w:r>
      <w:r w:rsidRPr="00751479">
        <w:rPr>
          <w:snapToGrid w:val="0"/>
        </w:rPr>
        <w:t xml:space="preserve"> darán derecho al pago de un suplemento que no será en ningún caso inferior al 50% del salario horario normal (art. 32).</w:t>
      </w:r>
    </w:p>
    <w:p w:rsidR="00DD0682" w:rsidRPr="00751479" w:rsidRDefault="00DD0682" w:rsidP="00DD0682">
      <w:pPr>
        <w:adjustRightInd w:val="0"/>
        <w:snapToGrid w:val="0"/>
        <w:spacing w:after="240"/>
        <w:rPr>
          <w:snapToGrid w:val="0"/>
        </w:rPr>
      </w:pPr>
      <w:r w:rsidRPr="00751479">
        <w:rPr>
          <w:snapToGrid w:val="0"/>
        </w:rPr>
        <w:t>1</w:t>
      </w:r>
      <w:r>
        <w:rPr>
          <w:snapToGrid w:val="0"/>
        </w:rPr>
        <w:t>83.</w:t>
      </w:r>
      <w:r>
        <w:rPr>
          <w:snapToGrid w:val="0"/>
        </w:rPr>
        <w:tab/>
        <w:t>El artículo 143 de la Ley Nº</w:t>
      </w:r>
      <w:r w:rsidRPr="00751479">
        <w:rPr>
          <w:snapToGrid w:val="0"/>
        </w:rPr>
        <w:t xml:space="preserve"> 90-11 dispone</w:t>
      </w:r>
      <w:r>
        <w:rPr>
          <w:snapToGrid w:val="0"/>
        </w:rPr>
        <w:t xml:space="preserve">: </w:t>
      </w:r>
      <w:r w:rsidRPr="00751479">
        <w:rPr>
          <w:snapToGrid w:val="0"/>
        </w:rPr>
        <w:t xml:space="preserve"> "Toda persona que contravenga las disposiciones de la presente ley relativas a la duración legal de la semana de trabajo, a la </w:t>
      </w:r>
      <w:r>
        <w:rPr>
          <w:snapToGrid w:val="0"/>
        </w:rPr>
        <w:t>duración</w:t>
      </w:r>
      <w:r w:rsidRPr="00751479">
        <w:rPr>
          <w:snapToGrid w:val="0"/>
        </w:rPr>
        <w:t xml:space="preserve"> de la jornada diaria de trabajo y a las limitaciones en materia de recurso a las horas extraordinarias y al trabajo nocturno de los jóvenes y las mujeres, será sancionad</w:t>
      </w:r>
      <w:r>
        <w:rPr>
          <w:snapToGrid w:val="0"/>
        </w:rPr>
        <w:t>a</w:t>
      </w:r>
      <w:r w:rsidRPr="00751479">
        <w:rPr>
          <w:snapToGrid w:val="0"/>
        </w:rPr>
        <w:t xml:space="preserve"> con una multa de 500 a 1</w:t>
      </w:r>
      <w:r>
        <w:rPr>
          <w:snapToGrid w:val="0"/>
        </w:rPr>
        <w:t>.</w:t>
      </w:r>
      <w:r w:rsidRPr="00751479">
        <w:rPr>
          <w:snapToGrid w:val="0"/>
        </w:rPr>
        <w:t xml:space="preserve">000 </w:t>
      </w:r>
      <w:r>
        <w:rPr>
          <w:snapToGrid w:val="0"/>
        </w:rPr>
        <w:t xml:space="preserve">dinares por </w:t>
      </w:r>
      <w:r w:rsidRPr="00751479">
        <w:rPr>
          <w:snapToGrid w:val="0"/>
        </w:rPr>
        <w:t>cada una de las infracciones que se constaten y tantas veces cuantas haya trabajadores afectados".</w:t>
      </w:r>
    </w:p>
    <w:p w:rsidR="00DD0682" w:rsidRPr="00751479" w:rsidRDefault="00DD0682" w:rsidP="00DD0682">
      <w:pPr>
        <w:adjustRightInd w:val="0"/>
        <w:snapToGrid w:val="0"/>
        <w:spacing w:after="240"/>
        <w:rPr>
          <w:snapToGrid w:val="0"/>
        </w:rPr>
      </w:pPr>
      <w:r w:rsidRPr="00751479">
        <w:rPr>
          <w:snapToGrid w:val="0"/>
        </w:rPr>
        <w:t>184.</w:t>
      </w:r>
      <w:r w:rsidRPr="00751479">
        <w:rPr>
          <w:snapToGrid w:val="0"/>
        </w:rPr>
        <w:tab/>
        <w:t>Por otra parte, el artículo 143</w:t>
      </w:r>
      <w:r>
        <w:rPr>
          <w:snapToGrid w:val="0"/>
        </w:rPr>
        <w:t xml:space="preserve"> </w:t>
      </w:r>
      <w:r w:rsidRPr="00751479">
        <w:rPr>
          <w:i/>
          <w:snapToGrid w:val="0"/>
        </w:rPr>
        <w:t>bis</w:t>
      </w:r>
      <w:r w:rsidRPr="00751479">
        <w:rPr>
          <w:snapToGrid w:val="0"/>
        </w:rPr>
        <w:t xml:space="preserve"> precisa que toda persona que contravenga las disposiciones de </w:t>
      </w:r>
      <w:r>
        <w:rPr>
          <w:snapToGrid w:val="0"/>
        </w:rPr>
        <w:t>la</w:t>
      </w:r>
      <w:r w:rsidRPr="00751479">
        <w:rPr>
          <w:snapToGrid w:val="0"/>
        </w:rPr>
        <w:t xml:space="preserve"> ley relativas a las horas extraordinarias no autorizadas será sancionada con una multa de 1</w:t>
      </w:r>
      <w:r>
        <w:rPr>
          <w:snapToGrid w:val="0"/>
        </w:rPr>
        <w:t>.</w:t>
      </w:r>
      <w:r w:rsidRPr="00751479">
        <w:rPr>
          <w:snapToGrid w:val="0"/>
        </w:rPr>
        <w:t>000 a 2</w:t>
      </w:r>
      <w:r>
        <w:rPr>
          <w:snapToGrid w:val="0"/>
        </w:rPr>
        <w:t>.</w:t>
      </w:r>
      <w:r w:rsidRPr="00751479">
        <w:rPr>
          <w:snapToGrid w:val="0"/>
        </w:rPr>
        <w:t xml:space="preserve">000 </w:t>
      </w:r>
      <w:r>
        <w:rPr>
          <w:snapToGrid w:val="0"/>
        </w:rPr>
        <w:t xml:space="preserve">dinares </w:t>
      </w:r>
      <w:r w:rsidRPr="00751479">
        <w:rPr>
          <w:snapToGrid w:val="0"/>
        </w:rPr>
        <w:t>aplicable tantas veces cuantas haya trabajadores afectados.</w:t>
      </w:r>
    </w:p>
    <w:p w:rsidR="00DD0682" w:rsidRPr="00751479" w:rsidRDefault="00DD0682" w:rsidP="00DD0682">
      <w:pPr>
        <w:adjustRightInd w:val="0"/>
        <w:snapToGrid w:val="0"/>
        <w:spacing w:after="240"/>
        <w:rPr>
          <w:snapToGrid w:val="0"/>
        </w:rPr>
      </w:pPr>
      <w:r w:rsidRPr="00751479">
        <w:rPr>
          <w:snapToGrid w:val="0"/>
        </w:rPr>
        <w:t>185.</w:t>
      </w:r>
      <w:r w:rsidRPr="00751479">
        <w:rPr>
          <w:snapToGrid w:val="0"/>
        </w:rPr>
        <w:tab/>
      </w:r>
      <w:r w:rsidRPr="00027121">
        <w:rPr>
          <w:snapToGrid w:val="0"/>
        </w:rPr>
        <w:t>Vacaciones anuales remuneradas</w:t>
      </w:r>
      <w:r>
        <w:rPr>
          <w:snapToGrid w:val="0"/>
        </w:rPr>
        <w:t>.</w:t>
      </w:r>
      <w:r w:rsidRPr="00751479">
        <w:rPr>
          <w:snapToGrid w:val="0"/>
        </w:rPr>
        <w:t xml:space="preserve">  Todo trabajador tendrá derecho a vacaciones anuales remuneradas por el empleador.  Toda renuncia del trabajador a sus vacaciones o a parte de ellas se considerará nula y sin valor (art</w:t>
      </w:r>
      <w:r>
        <w:rPr>
          <w:snapToGrid w:val="0"/>
        </w:rPr>
        <w:t>ículo</w:t>
      </w:r>
      <w:r w:rsidRPr="00751479">
        <w:rPr>
          <w:snapToGrid w:val="0"/>
        </w:rPr>
        <w:t xml:space="preserve"> 39 de la Ley N</w:t>
      </w:r>
      <w:r>
        <w:rPr>
          <w:snapToGrid w:val="0"/>
        </w:rPr>
        <w:t>º</w:t>
      </w:r>
      <w:r w:rsidRPr="00751479">
        <w:rPr>
          <w:snapToGrid w:val="0"/>
        </w:rPr>
        <w:t xml:space="preserve"> 90-11</w:t>
      </w:r>
      <w:r>
        <w:rPr>
          <w:snapToGrid w:val="0"/>
        </w:rPr>
        <w:t>,</w:t>
      </w:r>
      <w:r w:rsidRPr="00751479">
        <w:rPr>
          <w:snapToGrid w:val="0"/>
        </w:rPr>
        <w:t xml:space="preserve"> de 21 de abril de 1990).</w:t>
      </w:r>
    </w:p>
    <w:p w:rsidR="00DD0682" w:rsidRPr="00751479" w:rsidRDefault="00DD0682" w:rsidP="00DD0682">
      <w:pPr>
        <w:adjustRightInd w:val="0"/>
        <w:snapToGrid w:val="0"/>
        <w:spacing w:after="240"/>
        <w:rPr>
          <w:snapToGrid w:val="0"/>
        </w:rPr>
      </w:pPr>
      <w:r w:rsidRPr="00751479">
        <w:rPr>
          <w:snapToGrid w:val="0"/>
        </w:rPr>
        <w:t>186.</w:t>
      </w:r>
      <w:r w:rsidRPr="00751479">
        <w:rPr>
          <w:snapToGrid w:val="0"/>
        </w:rPr>
        <w:tab/>
      </w:r>
      <w:r w:rsidRPr="00027121">
        <w:rPr>
          <w:snapToGrid w:val="0"/>
        </w:rPr>
        <w:t>Remuneración de los días feriados</w:t>
      </w:r>
      <w:r>
        <w:rPr>
          <w:snapToGrid w:val="0"/>
        </w:rPr>
        <w:t>.</w:t>
      </w:r>
      <w:r w:rsidRPr="00751479">
        <w:rPr>
          <w:snapToGrid w:val="0"/>
        </w:rPr>
        <w:t xml:space="preserve">  La ley fijará los días feriados, no trabajados y </w:t>
      </w:r>
      <w:r>
        <w:rPr>
          <w:snapToGrid w:val="0"/>
        </w:rPr>
        <w:t>remunerados (artículo</w:t>
      </w:r>
      <w:r w:rsidRPr="00751479">
        <w:rPr>
          <w:snapToGrid w:val="0"/>
        </w:rPr>
        <w:t xml:space="preserve"> 34 de la Ley N</w:t>
      </w:r>
      <w:r>
        <w:rPr>
          <w:snapToGrid w:val="0"/>
        </w:rPr>
        <w:t>º</w:t>
      </w:r>
      <w:r w:rsidRPr="00751479">
        <w:rPr>
          <w:snapToGrid w:val="0"/>
        </w:rPr>
        <w:t xml:space="preserve"> 90-11).</w:t>
      </w:r>
    </w:p>
    <w:p w:rsidR="00DD0682" w:rsidRPr="00751479" w:rsidRDefault="00DD0682" w:rsidP="00DD0682">
      <w:pPr>
        <w:adjustRightInd w:val="0"/>
        <w:snapToGrid w:val="0"/>
        <w:spacing w:after="240"/>
        <w:rPr>
          <w:snapToGrid w:val="0"/>
        </w:rPr>
      </w:pPr>
      <w:r w:rsidRPr="00751479">
        <w:rPr>
          <w:snapToGrid w:val="0"/>
        </w:rPr>
        <w:t>187.</w:t>
      </w:r>
      <w:r w:rsidRPr="00751479">
        <w:rPr>
          <w:snapToGrid w:val="0"/>
        </w:rPr>
        <w:tab/>
        <w:t xml:space="preserve">En el marco de la relación laboral, el trabajador tiene igualmente derecho a </w:t>
      </w:r>
      <w:r>
        <w:rPr>
          <w:snapToGrid w:val="0"/>
        </w:rPr>
        <w:t>beneficiarse</w:t>
      </w:r>
      <w:r w:rsidRPr="00751479">
        <w:rPr>
          <w:snapToGrid w:val="0"/>
        </w:rPr>
        <w:t xml:space="preserve"> de </w:t>
      </w:r>
      <w:r>
        <w:rPr>
          <w:snapToGrid w:val="0"/>
        </w:rPr>
        <w:t xml:space="preserve">las </w:t>
      </w:r>
      <w:r w:rsidRPr="00751479">
        <w:rPr>
          <w:snapToGrid w:val="0"/>
        </w:rPr>
        <w:t>obras sociales (art</w:t>
      </w:r>
      <w:r>
        <w:rPr>
          <w:snapToGrid w:val="0"/>
        </w:rPr>
        <w:t>ículo</w:t>
      </w:r>
      <w:r w:rsidRPr="00751479">
        <w:rPr>
          <w:snapToGrid w:val="0"/>
        </w:rPr>
        <w:t xml:space="preserve"> 6 de la Ley </w:t>
      </w:r>
      <w:r>
        <w:rPr>
          <w:snapToGrid w:val="0"/>
        </w:rPr>
        <w:t xml:space="preserve">Nº </w:t>
      </w:r>
      <w:r w:rsidRPr="00751479">
        <w:rPr>
          <w:snapToGrid w:val="0"/>
        </w:rPr>
        <w:t>90-11).</w:t>
      </w:r>
    </w:p>
    <w:p w:rsidR="00DD0682" w:rsidRPr="00751479" w:rsidRDefault="00DD0682" w:rsidP="00DD0682">
      <w:pPr>
        <w:adjustRightInd w:val="0"/>
        <w:snapToGrid w:val="0"/>
        <w:spacing w:after="240"/>
        <w:rPr>
          <w:b/>
          <w:snapToGrid w:val="0"/>
        </w:rPr>
      </w:pPr>
      <w:r w:rsidRPr="00751479">
        <w:rPr>
          <w:b/>
          <w:snapToGrid w:val="0"/>
        </w:rPr>
        <w:t>Artículo 8</w:t>
      </w:r>
      <w:r>
        <w:rPr>
          <w:b/>
          <w:snapToGrid w:val="0"/>
        </w:rPr>
        <w:t xml:space="preserve">.  </w:t>
      </w:r>
      <w:r w:rsidRPr="00751479">
        <w:rPr>
          <w:b/>
          <w:snapToGrid w:val="0"/>
        </w:rPr>
        <w:t>Libertad sindical y derecho de huelga</w:t>
      </w:r>
    </w:p>
    <w:p w:rsidR="00DD0682" w:rsidRPr="00751479" w:rsidRDefault="00DD0682" w:rsidP="00DD0682">
      <w:pPr>
        <w:adjustRightInd w:val="0"/>
        <w:snapToGrid w:val="0"/>
        <w:spacing w:after="240"/>
        <w:rPr>
          <w:snapToGrid w:val="0"/>
        </w:rPr>
      </w:pPr>
      <w:r w:rsidRPr="00751479">
        <w:rPr>
          <w:snapToGrid w:val="0"/>
        </w:rPr>
        <w:t>188.</w:t>
      </w:r>
      <w:r w:rsidRPr="00751479">
        <w:rPr>
          <w:snapToGrid w:val="0"/>
        </w:rPr>
        <w:tab/>
        <w:t>La libertad de crear asociaciones sindicales es un principio que ha sido reafirmado no sólo en la Constitución sino también en el marco de la Ley Nº 90-</w:t>
      </w:r>
      <w:r>
        <w:rPr>
          <w:snapToGrid w:val="0"/>
        </w:rPr>
        <w:t>14, promulgada el 2 de junio de </w:t>
      </w:r>
      <w:r w:rsidRPr="00751479">
        <w:rPr>
          <w:snapToGrid w:val="0"/>
        </w:rPr>
        <w:t xml:space="preserve">1990, enmendada y complementada por la Ley Nº 91-30, de 21 de diciembre de 1991, y </w:t>
      </w:r>
      <w:r>
        <w:rPr>
          <w:snapToGrid w:val="0"/>
        </w:rPr>
        <w:t xml:space="preserve">de </w:t>
      </w:r>
      <w:r w:rsidRPr="00751479">
        <w:rPr>
          <w:snapToGrid w:val="0"/>
        </w:rPr>
        <w:t xml:space="preserve">la Ordenanza Nº 96-12, de 6 de junio de 1996. </w:t>
      </w:r>
      <w:r>
        <w:rPr>
          <w:snapToGrid w:val="0"/>
        </w:rPr>
        <w:t xml:space="preserve"> </w:t>
      </w:r>
      <w:r w:rsidRPr="00751479">
        <w:rPr>
          <w:snapToGrid w:val="0"/>
        </w:rPr>
        <w:t>En virtud de ésta se concede a los trabajadores asalariados de los sectores privado y público, el derecho a constituir organizaciones sindicales autónomas al margen de los partidos políticos.</w:t>
      </w:r>
    </w:p>
    <w:p w:rsidR="00DD0682" w:rsidRPr="00751479" w:rsidRDefault="00DD0682" w:rsidP="00DD0682">
      <w:pPr>
        <w:adjustRightInd w:val="0"/>
        <w:snapToGrid w:val="0"/>
        <w:spacing w:after="240"/>
        <w:jc w:val="center"/>
        <w:rPr>
          <w:b/>
          <w:snapToGrid w:val="0"/>
        </w:rPr>
      </w:pPr>
      <w:r>
        <w:rPr>
          <w:b/>
          <w:snapToGrid w:val="0"/>
        </w:rPr>
        <w:t xml:space="preserve">A.  </w:t>
      </w:r>
      <w:r w:rsidRPr="00751479">
        <w:rPr>
          <w:b/>
          <w:snapToGrid w:val="0"/>
        </w:rPr>
        <w:t>Derecho sindical y derecho de huelga</w:t>
      </w:r>
    </w:p>
    <w:p w:rsidR="00DD0682" w:rsidRPr="00751479" w:rsidRDefault="00DD0682" w:rsidP="00DD0682">
      <w:pPr>
        <w:adjustRightInd w:val="0"/>
        <w:snapToGrid w:val="0"/>
        <w:spacing w:after="240"/>
        <w:rPr>
          <w:snapToGrid w:val="0"/>
        </w:rPr>
      </w:pPr>
      <w:r w:rsidRPr="00751479">
        <w:rPr>
          <w:snapToGrid w:val="0"/>
        </w:rPr>
        <w:t>189.</w:t>
      </w:r>
      <w:r w:rsidRPr="00751479">
        <w:rPr>
          <w:snapToGrid w:val="0"/>
        </w:rPr>
        <w:tab/>
        <w:t xml:space="preserve">El artículo 56 de la Constitución dice así:  "Se reconoce a todos los ciudadanos el derecho </w:t>
      </w:r>
      <w:r>
        <w:rPr>
          <w:snapToGrid w:val="0"/>
        </w:rPr>
        <w:t xml:space="preserve">de </w:t>
      </w:r>
      <w:r w:rsidRPr="00751479">
        <w:rPr>
          <w:snapToGrid w:val="0"/>
        </w:rPr>
        <w:t>sindica</w:t>
      </w:r>
      <w:r>
        <w:rPr>
          <w:snapToGrid w:val="0"/>
        </w:rPr>
        <w:t>ción</w:t>
      </w:r>
      <w:r w:rsidRPr="00751479">
        <w:rPr>
          <w:snapToGrid w:val="0"/>
        </w:rPr>
        <w:t xml:space="preserve">".  La Ley Nº 90-14, de 2 de junio de 1990, relativa a las modalidades del ejercicio del derecho </w:t>
      </w:r>
      <w:r>
        <w:rPr>
          <w:snapToGrid w:val="0"/>
        </w:rPr>
        <w:t xml:space="preserve">de </w:t>
      </w:r>
      <w:r w:rsidRPr="00751479">
        <w:rPr>
          <w:snapToGrid w:val="0"/>
        </w:rPr>
        <w:t>sindica</w:t>
      </w:r>
      <w:r>
        <w:rPr>
          <w:snapToGrid w:val="0"/>
        </w:rPr>
        <w:t>ción</w:t>
      </w:r>
      <w:r w:rsidRPr="00751479">
        <w:rPr>
          <w:snapToGrid w:val="0"/>
        </w:rPr>
        <w:t>, se funda en ese artículo.</w:t>
      </w:r>
    </w:p>
    <w:p w:rsidR="00DD0682" w:rsidRPr="00751479" w:rsidRDefault="00DD0682" w:rsidP="00DD0682">
      <w:pPr>
        <w:keepNext/>
        <w:adjustRightInd w:val="0"/>
        <w:snapToGrid w:val="0"/>
        <w:spacing w:after="240"/>
        <w:rPr>
          <w:b/>
          <w:snapToGrid w:val="0"/>
        </w:rPr>
      </w:pPr>
      <w:r w:rsidRPr="00751479">
        <w:rPr>
          <w:b/>
          <w:snapToGrid w:val="0"/>
        </w:rPr>
        <w:t>1.</w:t>
      </w:r>
      <w:r w:rsidRPr="00751479">
        <w:rPr>
          <w:b/>
          <w:snapToGrid w:val="0"/>
        </w:rPr>
        <w:tab/>
        <w:t>Disposiciones relativas al derecho de los trabajadores a organizar sindicatos</w:t>
      </w:r>
    </w:p>
    <w:p w:rsidR="00DD0682" w:rsidRPr="00751479" w:rsidRDefault="00DD0682" w:rsidP="00DD0682">
      <w:pPr>
        <w:adjustRightInd w:val="0"/>
        <w:snapToGrid w:val="0"/>
        <w:spacing w:after="240"/>
        <w:rPr>
          <w:snapToGrid w:val="0"/>
        </w:rPr>
      </w:pPr>
      <w:r w:rsidRPr="00751479">
        <w:rPr>
          <w:snapToGrid w:val="0"/>
        </w:rPr>
        <w:t>190.</w:t>
      </w:r>
      <w:r w:rsidRPr="00751479">
        <w:rPr>
          <w:snapToGrid w:val="0"/>
        </w:rPr>
        <w:tab/>
        <w:t xml:space="preserve">La mencionada Ley </w:t>
      </w:r>
      <w:r w:rsidR="00A604E3">
        <w:rPr>
          <w:snapToGrid w:val="0"/>
        </w:rPr>
        <w:t>Nº</w:t>
      </w:r>
      <w:r w:rsidR="00A3211E">
        <w:rPr>
          <w:snapToGrid w:val="0"/>
        </w:rPr>
        <w:t xml:space="preserve"> </w:t>
      </w:r>
      <w:r w:rsidRPr="00751479">
        <w:rPr>
          <w:snapToGrid w:val="0"/>
        </w:rPr>
        <w:t xml:space="preserve">90-14 dispone en su artículo 2 que: </w:t>
      </w:r>
      <w:r>
        <w:rPr>
          <w:snapToGrid w:val="0"/>
        </w:rPr>
        <w:t xml:space="preserve"> </w:t>
      </w:r>
      <w:r w:rsidRPr="00751479">
        <w:rPr>
          <w:snapToGrid w:val="0"/>
        </w:rPr>
        <w:t>"Los trabajadores asalariados, por un lado, y los empleadores, por otro, de igual profesión, rama o sector de actividad, tendrán derecho a formar organizaciones sindicales para defender sus intereses materiales y morales".</w:t>
      </w:r>
    </w:p>
    <w:p w:rsidR="00DD0682" w:rsidRPr="00751479" w:rsidRDefault="00DD0682" w:rsidP="00DD0682">
      <w:pPr>
        <w:adjustRightInd w:val="0"/>
        <w:snapToGrid w:val="0"/>
        <w:spacing w:after="240"/>
        <w:rPr>
          <w:snapToGrid w:val="0"/>
        </w:rPr>
      </w:pPr>
      <w:r w:rsidRPr="00751479">
        <w:rPr>
          <w:snapToGrid w:val="0"/>
        </w:rPr>
        <w:t>191.</w:t>
      </w:r>
      <w:r w:rsidRPr="00751479">
        <w:rPr>
          <w:snapToGrid w:val="0"/>
        </w:rPr>
        <w:tab/>
        <w:t xml:space="preserve">La misma ley estipula en el artículo 3 que "los trabajadores asalariados, por un lado, y los empleadores, por otro, tendrán derecho a fundar organizaciones sindicales o a afiliarse libre y voluntariamente a organizaciones sindicales existentes, con la única salvedad de </w:t>
      </w:r>
      <w:r>
        <w:rPr>
          <w:snapToGrid w:val="0"/>
        </w:rPr>
        <w:t xml:space="preserve">que deberán </w:t>
      </w:r>
      <w:r w:rsidRPr="00751479">
        <w:rPr>
          <w:snapToGrid w:val="0"/>
        </w:rPr>
        <w:t>ajustarse a la legislación vigente y a los estatutos de esas organizaciones".</w:t>
      </w:r>
    </w:p>
    <w:p w:rsidR="00DD0682" w:rsidRPr="00751479" w:rsidRDefault="00DD0682" w:rsidP="00DD0682">
      <w:pPr>
        <w:adjustRightInd w:val="0"/>
        <w:snapToGrid w:val="0"/>
        <w:spacing w:after="240"/>
        <w:ind w:left="567" w:hanging="567"/>
        <w:rPr>
          <w:b/>
          <w:snapToGrid w:val="0"/>
        </w:rPr>
      </w:pPr>
      <w:r w:rsidRPr="00751479">
        <w:rPr>
          <w:b/>
          <w:snapToGrid w:val="0"/>
        </w:rPr>
        <w:t>2.</w:t>
      </w:r>
      <w:r w:rsidRPr="00751479">
        <w:rPr>
          <w:b/>
          <w:snapToGrid w:val="0"/>
        </w:rPr>
        <w:tab/>
        <w:t>Derecho de los sindicatos a formar federaciones, confederaciones nacionales u organizaciones sindicales internacionales o de afiliarse a ellas</w:t>
      </w:r>
    </w:p>
    <w:p w:rsidR="00DD0682" w:rsidRPr="00751479" w:rsidRDefault="00DD0682" w:rsidP="00DD0682">
      <w:pPr>
        <w:adjustRightInd w:val="0"/>
        <w:snapToGrid w:val="0"/>
        <w:spacing w:after="240"/>
        <w:rPr>
          <w:snapToGrid w:val="0"/>
        </w:rPr>
      </w:pPr>
      <w:r w:rsidRPr="00751479">
        <w:rPr>
          <w:snapToGrid w:val="0"/>
        </w:rPr>
        <w:t>192.</w:t>
      </w:r>
      <w:r w:rsidRPr="00751479">
        <w:rPr>
          <w:snapToGrid w:val="0"/>
        </w:rPr>
        <w:tab/>
        <w:t xml:space="preserve">El artículo </w:t>
      </w:r>
      <w:r>
        <w:rPr>
          <w:snapToGrid w:val="0"/>
        </w:rPr>
        <w:t>4 de la misma Ley establece que</w:t>
      </w:r>
      <w:r w:rsidRPr="00751479">
        <w:rPr>
          <w:snapToGrid w:val="0"/>
        </w:rPr>
        <w:t xml:space="preserve"> "Las uniones, federaciones y confederaciones de organizaciones sindicales se regirán por las mismas disposiciones que las aplicables a las organizaciones sindicales".</w:t>
      </w:r>
    </w:p>
    <w:p w:rsidR="00DD0682" w:rsidRPr="00751479" w:rsidRDefault="00DD0682" w:rsidP="00DD0682">
      <w:pPr>
        <w:adjustRightInd w:val="0"/>
        <w:snapToGrid w:val="0"/>
        <w:spacing w:after="240"/>
        <w:rPr>
          <w:snapToGrid w:val="0"/>
        </w:rPr>
      </w:pPr>
      <w:r w:rsidRPr="00751479">
        <w:rPr>
          <w:snapToGrid w:val="0"/>
        </w:rPr>
        <w:t>193.</w:t>
      </w:r>
      <w:r w:rsidRPr="00751479">
        <w:rPr>
          <w:snapToGrid w:val="0"/>
        </w:rPr>
        <w:tab/>
        <w:t xml:space="preserve">Por otra parte, el artículo 18 de la Ley </w:t>
      </w:r>
      <w:r w:rsidR="00A604E3">
        <w:rPr>
          <w:snapToGrid w:val="0"/>
        </w:rPr>
        <w:t>Nº</w:t>
      </w:r>
      <w:r w:rsidR="00A3211E">
        <w:rPr>
          <w:snapToGrid w:val="0"/>
        </w:rPr>
        <w:t xml:space="preserve"> </w:t>
      </w:r>
      <w:r w:rsidRPr="00751479">
        <w:rPr>
          <w:snapToGrid w:val="0"/>
        </w:rPr>
        <w:t xml:space="preserve">90-14, de </w:t>
      </w:r>
      <w:r>
        <w:rPr>
          <w:snapToGrid w:val="0"/>
        </w:rPr>
        <w:t>2 de junio de 1990, dispone que,</w:t>
      </w:r>
      <w:r w:rsidRPr="00751479">
        <w:rPr>
          <w:snapToGrid w:val="0"/>
        </w:rPr>
        <w:t xml:space="preserve"> "en el marco de la legislación y la reglamentación en vigor, las organizaciones sindicales tienen derecho a afiliarse a organizaciones sindicales internacionales, continentales y regionales que persigan fines idénticos o similares a los suyos".</w:t>
      </w:r>
    </w:p>
    <w:p w:rsidR="00DD0682" w:rsidRPr="00751479" w:rsidRDefault="00DD0682" w:rsidP="00DD0682">
      <w:pPr>
        <w:adjustRightInd w:val="0"/>
        <w:snapToGrid w:val="0"/>
        <w:spacing w:after="240"/>
        <w:rPr>
          <w:snapToGrid w:val="0"/>
        </w:rPr>
      </w:pPr>
      <w:r w:rsidRPr="00751479">
        <w:rPr>
          <w:snapToGrid w:val="0"/>
        </w:rPr>
        <w:t>194.</w:t>
      </w:r>
      <w:r w:rsidRPr="00751479">
        <w:rPr>
          <w:snapToGrid w:val="0"/>
        </w:rPr>
        <w:tab/>
        <w:t>Además, en el marco de la legislación y la reglamentación en vigor y en proporción a su representatividad, las uniones, federaciones o confederaciones de trabajadores asalariados y de empleadores más representativas a escala nacional:</w:t>
      </w:r>
    </w:p>
    <w:p w:rsidR="00DD0682" w:rsidRPr="00751479" w:rsidRDefault="00DD0682" w:rsidP="00DD0682">
      <w:pPr>
        <w:adjustRightInd w:val="0"/>
        <w:snapToGrid w:val="0"/>
        <w:spacing w:after="240"/>
        <w:ind w:left="1134" w:hanging="567"/>
        <w:rPr>
          <w:snapToGrid w:val="0"/>
        </w:rPr>
      </w:pPr>
      <w:r w:rsidRPr="00751479">
        <w:rPr>
          <w:snapToGrid w:val="0"/>
        </w:rPr>
        <w:t>a)</w:t>
      </w:r>
      <w:r w:rsidRPr="00751479">
        <w:rPr>
          <w:snapToGrid w:val="0"/>
        </w:rPr>
        <w:tab/>
        <w:t>Serán consultadas durante la elaboración de los planes nacionales de desarrollo económico y social</w:t>
      </w:r>
      <w:r>
        <w:rPr>
          <w:snapToGrid w:val="0"/>
        </w:rPr>
        <w:t xml:space="preserve"> </w:t>
      </w:r>
      <w:r w:rsidRPr="00751479">
        <w:rPr>
          <w:snapToGrid w:val="0"/>
        </w:rPr>
        <w:t>en</w:t>
      </w:r>
      <w:r>
        <w:rPr>
          <w:snapToGrid w:val="0"/>
        </w:rPr>
        <w:t xml:space="preserve"> los ámbitos de actividad que la</w:t>
      </w:r>
      <w:r w:rsidRPr="00751479">
        <w:rPr>
          <w:snapToGrid w:val="0"/>
        </w:rPr>
        <w:t>s afecten;</w:t>
      </w:r>
    </w:p>
    <w:p w:rsidR="00DD0682" w:rsidRPr="00751479" w:rsidRDefault="00DD0682" w:rsidP="00DD0682">
      <w:pPr>
        <w:adjustRightInd w:val="0"/>
        <w:snapToGrid w:val="0"/>
        <w:spacing w:after="240"/>
        <w:ind w:left="1134" w:hanging="567"/>
        <w:rPr>
          <w:snapToGrid w:val="0"/>
        </w:rPr>
      </w:pPr>
      <w:r w:rsidRPr="00751479">
        <w:rPr>
          <w:snapToGrid w:val="0"/>
        </w:rPr>
        <w:t>b)</w:t>
      </w:r>
      <w:r w:rsidRPr="00751479">
        <w:rPr>
          <w:snapToGrid w:val="0"/>
        </w:rPr>
        <w:tab/>
        <w:t>Serán consultadas en materia de evaluación y de enriquecimiento de la legislación y la reglamentación laborales;</w:t>
      </w:r>
    </w:p>
    <w:p w:rsidR="00DD0682" w:rsidRPr="00751479" w:rsidRDefault="00DD0682" w:rsidP="00DD0682">
      <w:pPr>
        <w:adjustRightInd w:val="0"/>
        <w:snapToGrid w:val="0"/>
        <w:spacing w:after="240"/>
        <w:ind w:left="1134" w:hanging="567"/>
        <w:rPr>
          <w:snapToGrid w:val="0"/>
        </w:rPr>
      </w:pPr>
      <w:r w:rsidRPr="00751479">
        <w:rPr>
          <w:snapToGrid w:val="0"/>
        </w:rPr>
        <w:t>c)</w:t>
      </w:r>
      <w:r w:rsidRPr="00751479">
        <w:rPr>
          <w:snapToGrid w:val="0"/>
        </w:rPr>
        <w:tab/>
        <w:t>Estarán representadas en los consejos de administración de los organismos de seguridad social;</w:t>
      </w:r>
    </w:p>
    <w:p w:rsidR="00DD0682" w:rsidRPr="00751479" w:rsidRDefault="00DD0682" w:rsidP="00DD0682">
      <w:pPr>
        <w:adjustRightInd w:val="0"/>
        <w:snapToGrid w:val="0"/>
        <w:spacing w:after="240"/>
        <w:ind w:left="1134" w:hanging="567"/>
        <w:rPr>
          <w:snapToGrid w:val="0"/>
        </w:rPr>
      </w:pPr>
      <w:r w:rsidRPr="00751479">
        <w:rPr>
          <w:snapToGrid w:val="0"/>
        </w:rPr>
        <w:t>d)</w:t>
      </w:r>
      <w:r w:rsidRPr="00751479">
        <w:rPr>
          <w:snapToGrid w:val="0"/>
        </w:rPr>
        <w:tab/>
        <w:t>Estarán representadas en el consejo paritario de</w:t>
      </w:r>
      <w:r>
        <w:rPr>
          <w:snapToGrid w:val="0"/>
        </w:rPr>
        <w:t xml:space="preserve"> la administración pública (artículo 39 de la Ley Nº </w:t>
      </w:r>
      <w:r w:rsidRPr="00751479">
        <w:rPr>
          <w:snapToGrid w:val="0"/>
        </w:rPr>
        <w:t>90-14).</w:t>
      </w:r>
    </w:p>
    <w:p w:rsidR="00DD0682" w:rsidRPr="00751479" w:rsidRDefault="00DD0682" w:rsidP="00DD0682">
      <w:pPr>
        <w:adjustRightInd w:val="0"/>
        <w:snapToGrid w:val="0"/>
        <w:spacing w:after="240"/>
        <w:rPr>
          <w:snapToGrid w:val="0"/>
        </w:rPr>
      </w:pPr>
      <w:r w:rsidRPr="00751479">
        <w:rPr>
          <w:snapToGrid w:val="0"/>
        </w:rPr>
        <w:t>195.</w:t>
      </w:r>
      <w:r w:rsidRPr="00751479">
        <w:rPr>
          <w:snapToGrid w:val="0"/>
        </w:rPr>
        <w:tab/>
        <w:t>Estas organizaciones negocian l</w:t>
      </w:r>
      <w:r>
        <w:rPr>
          <w:snapToGrid w:val="0"/>
        </w:rPr>
        <w:t>os convenio</w:t>
      </w:r>
      <w:r w:rsidRPr="00751479">
        <w:rPr>
          <w:snapToGrid w:val="0"/>
        </w:rPr>
        <w:t>s o acuerdos colectivos que son de su interés.</w:t>
      </w:r>
    </w:p>
    <w:p w:rsidR="00DD0682" w:rsidRPr="00751479" w:rsidRDefault="00DD0682" w:rsidP="00DD0682">
      <w:pPr>
        <w:adjustRightInd w:val="0"/>
        <w:snapToGrid w:val="0"/>
        <w:spacing w:after="240"/>
        <w:rPr>
          <w:snapToGrid w:val="0"/>
        </w:rPr>
      </w:pPr>
      <w:r w:rsidRPr="00751479">
        <w:rPr>
          <w:snapToGrid w:val="0"/>
        </w:rPr>
        <w:t>196.</w:t>
      </w:r>
      <w:r w:rsidRPr="00751479">
        <w:rPr>
          <w:snapToGrid w:val="0"/>
        </w:rPr>
        <w:tab/>
        <w:t>Por lo que respecta a la conclusión de convenios y acuerdos colectivos, en los siguientes cuadros figuran los datos relativos a la evolución de l</w:t>
      </w:r>
      <w:r>
        <w:rPr>
          <w:snapToGrid w:val="0"/>
        </w:rPr>
        <w:t>o</w:t>
      </w:r>
      <w:r w:rsidRPr="00751479">
        <w:rPr>
          <w:snapToGrid w:val="0"/>
        </w:rPr>
        <w:t>s convenios y acuerdos colectivos de trabajo co</w:t>
      </w:r>
      <w:r>
        <w:rPr>
          <w:snapToGrid w:val="0"/>
        </w:rPr>
        <w:t xml:space="preserve">rrespondientes al período </w:t>
      </w:r>
      <w:r w:rsidR="004F6D42">
        <w:rPr>
          <w:snapToGrid w:val="0"/>
        </w:rPr>
        <w:t xml:space="preserve">de </w:t>
      </w:r>
      <w:r>
        <w:rPr>
          <w:snapToGrid w:val="0"/>
        </w:rPr>
        <w:t>2002</w:t>
      </w:r>
      <w:r w:rsidR="004F6D42">
        <w:rPr>
          <w:snapToGrid w:val="0"/>
        </w:rPr>
        <w:t xml:space="preserve"> a </w:t>
      </w:r>
      <w:r w:rsidRPr="00751479">
        <w:rPr>
          <w:snapToGrid w:val="0"/>
        </w:rPr>
        <w:t>2006.</w:t>
      </w:r>
    </w:p>
    <w:p w:rsidR="00DD0682" w:rsidRPr="00751479" w:rsidRDefault="00DD0682" w:rsidP="00DD0682">
      <w:pPr>
        <w:keepNext/>
        <w:keepLines/>
        <w:adjustRightInd w:val="0"/>
        <w:snapToGrid w:val="0"/>
        <w:spacing w:after="200"/>
        <w:rPr>
          <w:b/>
          <w:snapToGrid w:val="0"/>
        </w:rPr>
      </w:pPr>
      <w:r w:rsidRPr="00751479">
        <w:rPr>
          <w:b/>
          <w:snapToGrid w:val="0"/>
        </w:rPr>
        <w:t>3.</w:t>
      </w:r>
      <w:r w:rsidRPr="00751479">
        <w:rPr>
          <w:b/>
          <w:snapToGrid w:val="0"/>
        </w:rPr>
        <w:tab/>
        <w:t>Instrumentos de gestión de las relaciones de trabajo</w:t>
      </w:r>
    </w:p>
    <w:p w:rsidR="00DD0682" w:rsidRDefault="00DD0682" w:rsidP="00DD0682">
      <w:pPr>
        <w:keepNext/>
        <w:keepLines/>
        <w:adjustRightInd w:val="0"/>
        <w:snapToGrid w:val="0"/>
        <w:spacing w:after="200"/>
        <w:rPr>
          <w:b/>
          <w:snapToGrid w:val="0"/>
        </w:rPr>
      </w:pPr>
      <w:r>
        <w:rPr>
          <w:b/>
          <w:snapToGrid w:val="0"/>
        </w:rPr>
        <w:tab/>
      </w:r>
      <w:r w:rsidRPr="00914A37">
        <w:rPr>
          <w:b/>
          <w:snapToGrid w:val="0"/>
        </w:rPr>
        <w:t>a)</w:t>
      </w:r>
      <w:r w:rsidRPr="00914A37">
        <w:rPr>
          <w:b/>
          <w:snapToGrid w:val="0"/>
        </w:rPr>
        <w:tab/>
      </w:r>
      <w:r>
        <w:rPr>
          <w:b/>
          <w:snapToGrid w:val="0"/>
        </w:rPr>
        <w:t>Lo</w:t>
      </w:r>
      <w:r w:rsidRPr="00914A37">
        <w:rPr>
          <w:b/>
          <w:snapToGrid w:val="0"/>
        </w:rPr>
        <w:t>s convenios colectiv</w:t>
      </w:r>
      <w:r>
        <w:rPr>
          <w:b/>
          <w:snapToGrid w:val="0"/>
        </w:rPr>
        <w:t>o</w:t>
      </w:r>
      <w:r w:rsidRPr="00914A37">
        <w:rPr>
          <w:b/>
          <w:snapToGrid w:val="0"/>
        </w:rPr>
        <w:t>s de rama</w:t>
      </w:r>
      <w:r>
        <w:rPr>
          <w:b/>
          <w:snapToGrid w:val="0"/>
        </w:rPr>
        <w:t xml:space="preserve"> de actividad</w:t>
      </w:r>
    </w:p>
    <w:tbl>
      <w:tblPr>
        <w:tblStyle w:val="TableGrid"/>
        <w:tblW w:w="4445" w:type="pct"/>
        <w:jc w:val="center"/>
        <w:tblLook w:val="01E0" w:firstRow="1" w:lastRow="1" w:firstColumn="1" w:lastColumn="1" w:noHBand="0" w:noVBand="0"/>
      </w:tblPr>
      <w:tblGrid>
        <w:gridCol w:w="3671"/>
        <w:gridCol w:w="2334"/>
        <w:gridCol w:w="2432"/>
      </w:tblGrid>
      <w:tr w:rsidR="00DD0682" w:rsidRPr="00751479" w:rsidTr="00DD0682">
        <w:trPr>
          <w:jc w:val="center"/>
        </w:trPr>
        <w:tc>
          <w:tcPr>
            <w:tcW w:w="2176" w:type="pct"/>
          </w:tcPr>
          <w:p w:rsidR="00DD0682" w:rsidRPr="006A0596" w:rsidRDefault="00DD0682" w:rsidP="00DD0682">
            <w:pPr>
              <w:adjustRightInd w:val="0"/>
              <w:snapToGrid w:val="0"/>
              <w:jc w:val="center"/>
              <w:rPr>
                <w:b/>
                <w:snapToGrid w:val="0"/>
              </w:rPr>
            </w:pPr>
            <w:r w:rsidRPr="006A0596">
              <w:rPr>
                <w:b/>
                <w:snapToGrid w:val="0"/>
              </w:rPr>
              <w:t>Año</w:t>
            </w:r>
            <w:r>
              <w:rPr>
                <w:b/>
                <w:snapToGrid w:val="0"/>
              </w:rPr>
              <w:t>s</w:t>
            </w:r>
          </w:p>
        </w:tc>
        <w:tc>
          <w:tcPr>
            <w:tcW w:w="1383" w:type="pct"/>
          </w:tcPr>
          <w:p w:rsidR="00DD0682" w:rsidRPr="006A0596" w:rsidRDefault="00DD0682" w:rsidP="00DD0682">
            <w:pPr>
              <w:adjustRightInd w:val="0"/>
              <w:snapToGrid w:val="0"/>
              <w:jc w:val="center"/>
              <w:rPr>
                <w:b/>
                <w:snapToGrid w:val="0"/>
              </w:rPr>
            </w:pPr>
            <w:r w:rsidRPr="006A0596">
              <w:rPr>
                <w:b/>
                <w:snapToGrid w:val="0"/>
              </w:rPr>
              <w:t>Número</w:t>
            </w:r>
          </w:p>
        </w:tc>
        <w:tc>
          <w:tcPr>
            <w:tcW w:w="1441" w:type="pct"/>
          </w:tcPr>
          <w:p w:rsidR="00DD0682" w:rsidRPr="006A0596" w:rsidRDefault="00DD0682" w:rsidP="00DD0682">
            <w:pPr>
              <w:adjustRightInd w:val="0"/>
              <w:snapToGrid w:val="0"/>
              <w:jc w:val="center"/>
              <w:rPr>
                <w:b/>
                <w:snapToGrid w:val="0"/>
              </w:rPr>
            </w:pPr>
            <w:r w:rsidRPr="006A0596">
              <w:rPr>
                <w:b/>
                <w:snapToGrid w:val="0"/>
              </w:rPr>
              <w:t>Efectivos</w:t>
            </w:r>
          </w:p>
        </w:tc>
      </w:tr>
      <w:tr w:rsidR="00DD0682" w:rsidRPr="00751479" w:rsidTr="00DD0682">
        <w:trPr>
          <w:jc w:val="center"/>
        </w:trPr>
        <w:tc>
          <w:tcPr>
            <w:tcW w:w="2176" w:type="pct"/>
          </w:tcPr>
          <w:p w:rsidR="00DD0682" w:rsidRPr="006A0596" w:rsidRDefault="00DD0682" w:rsidP="00DD0682">
            <w:pPr>
              <w:adjustRightInd w:val="0"/>
              <w:snapToGrid w:val="0"/>
              <w:rPr>
                <w:snapToGrid w:val="0"/>
              </w:rPr>
            </w:pPr>
            <w:r w:rsidRPr="006A0596">
              <w:rPr>
                <w:snapToGrid w:val="0"/>
              </w:rPr>
              <w:t>Consolidado de 1991 a 2001</w:t>
            </w:r>
          </w:p>
        </w:tc>
        <w:tc>
          <w:tcPr>
            <w:tcW w:w="1383" w:type="pct"/>
            <w:vAlign w:val="center"/>
          </w:tcPr>
          <w:p w:rsidR="00DD0682" w:rsidRPr="0040140F" w:rsidRDefault="00DD0682" w:rsidP="00DD0682">
            <w:pPr>
              <w:tabs>
                <w:tab w:val="decimal" w:pos="1192"/>
              </w:tabs>
              <w:rPr>
                <w:bCs/>
                <w:lang w:val="fr-FR"/>
              </w:rPr>
            </w:pPr>
            <w:r w:rsidRPr="0040140F">
              <w:rPr>
                <w:bCs/>
                <w:lang w:val="fr-FR"/>
              </w:rPr>
              <w:t>22</w:t>
            </w:r>
          </w:p>
        </w:tc>
        <w:tc>
          <w:tcPr>
            <w:tcW w:w="1441" w:type="pct"/>
            <w:vAlign w:val="center"/>
          </w:tcPr>
          <w:p w:rsidR="00DD0682" w:rsidRPr="0040140F" w:rsidRDefault="00DD0682" w:rsidP="00DD0682">
            <w:pPr>
              <w:tabs>
                <w:tab w:val="decimal" w:pos="1615"/>
              </w:tabs>
              <w:rPr>
                <w:bCs/>
                <w:lang w:val="fr-FR"/>
              </w:rPr>
            </w:pPr>
            <w:r w:rsidRPr="0040140F">
              <w:rPr>
                <w:bCs/>
                <w:lang w:val="fr-FR"/>
              </w:rPr>
              <w:t>66</w:t>
            </w:r>
            <w:r>
              <w:rPr>
                <w:bCs/>
                <w:lang w:val="fr-FR"/>
              </w:rPr>
              <w:t>.</w:t>
            </w:r>
            <w:r w:rsidRPr="0040140F">
              <w:rPr>
                <w:bCs/>
                <w:lang w:val="fr-FR"/>
              </w:rPr>
              <w:t>0711</w:t>
            </w:r>
          </w:p>
        </w:tc>
      </w:tr>
      <w:tr w:rsidR="00DD0682" w:rsidRPr="00751479" w:rsidTr="00DD0682">
        <w:trPr>
          <w:jc w:val="center"/>
        </w:trPr>
        <w:tc>
          <w:tcPr>
            <w:tcW w:w="2176" w:type="pct"/>
          </w:tcPr>
          <w:p w:rsidR="00DD0682" w:rsidRPr="00751479" w:rsidRDefault="00DD0682" w:rsidP="00DD0682">
            <w:pPr>
              <w:adjustRightInd w:val="0"/>
              <w:snapToGrid w:val="0"/>
              <w:rPr>
                <w:snapToGrid w:val="0"/>
              </w:rPr>
            </w:pPr>
            <w:r w:rsidRPr="00751479">
              <w:rPr>
                <w:snapToGrid w:val="0"/>
              </w:rPr>
              <w:t>2004</w:t>
            </w:r>
          </w:p>
        </w:tc>
        <w:tc>
          <w:tcPr>
            <w:tcW w:w="1383" w:type="pct"/>
            <w:vAlign w:val="center"/>
          </w:tcPr>
          <w:p w:rsidR="00DD0682" w:rsidRPr="0040140F" w:rsidRDefault="00DD0682" w:rsidP="00DD0682">
            <w:pPr>
              <w:tabs>
                <w:tab w:val="decimal" w:pos="1192"/>
              </w:tabs>
              <w:rPr>
                <w:bCs/>
                <w:lang w:val="fr-FR"/>
              </w:rPr>
            </w:pPr>
            <w:r w:rsidRPr="0040140F">
              <w:rPr>
                <w:bCs/>
                <w:lang w:val="fr-FR"/>
              </w:rPr>
              <w:t>4</w:t>
            </w:r>
          </w:p>
        </w:tc>
        <w:tc>
          <w:tcPr>
            <w:tcW w:w="1441" w:type="pct"/>
            <w:vAlign w:val="center"/>
          </w:tcPr>
          <w:p w:rsidR="00DD0682" w:rsidRPr="0040140F" w:rsidRDefault="00DD0682" w:rsidP="00DD0682">
            <w:pPr>
              <w:tabs>
                <w:tab w:val="decimal" w:pos="1615"/>
              </w:tabs>
              <w:rPr>
                <w:bCs/>
                <w:lang w:val="fr-FR"/>
              </w:rPr>
            </w:pPr>
            <w:r w:rsidRPr="0040140F">
              <w:rPr>
                <w:bCs/>
                <w:lang w:val="fr-FR"/>
              </w:rPr>
              <w:t>43.728</w:t>
            </w:r>
          </w:p>
        </w:tc>
      </w:tr>
      <w:tr w:rsidR="00DD0682" w:rsidRPr="00751479" w:rsidTr="00DD0682">
        <w:trPr>
          <w:jc w:val="center"/>
        </w:trPr>
        <w:tc>
          <w:tcPr>
            <w:tcW w:w="2176" w:type="pct"/>
          </w:tcPr>
          <w:p w:rsidR="00DD0682" w:rsidRPr="00751479" w:rsidRDefault="00DD0682" w:rsidP="00DD0682">
            <w:pPr>
              <w:adjustRightInd w:val="0"/>
              <w:snapToGrid w:val="0"/>
              <w:rPr>
                <w:snapToGrid w:val="0"/>
              </w:rPr>
            </w:pPr>
            <w:r w:rsidRPr="00751479">
              <w:rPr>
                <w:snapToGrid w:val="0"/>
              </w:rPr>
              <w:t>2005</w:t>
            </w:r>
          </w:p>
        </w:tc>
        <w:tc>
          <w:tcPr>
            <w:tcW w:w="1383" w:type="pct"/>
            <w:vAlign w:val="center"/>
          </w:tcPr>
          <w:p w:rsidR="00DD0682" w:rsidRPr="0040140F" w:rsidRDefault="00DD0682" w:rsidP="00DD0682">
            <w:pPr>
              <w:tabs>
                <w:tab w:val="decimal" w:pos="1192"/>
              </w:tabs>
              <w:rPr>
                <w:bCs/>
                <w:lang w:val="fr-FR"/>
              </w:rPr>
            </w:pPr>
            <w:r w:rsidRPr="0040140F">
              <w:rPr>
                <w:bCs/>
                <w:lang w:val="fr-FR"/>
              </w:rPr>
              <w:t>4</w:t>
            </w:r>
          </w:p>
        </w:tc>
        <w:tc>
          <w:tcPr>
            <w:tcW w:w="1441" w:type="pct"/>
            <w:vAlign w:val="center"/>
          </w:tcPr>
          <w:p w:rsidR="00DD0682" w:rsidRPr="0040140F" w:rsidRDefault="00DD0682" w:rsidP="00DD0682">
            <w:pPr>
              <w:tabs>
                <w:tab w:val="decimal" w:pos="1615"/>
              </w:tabs>
              <w:rPr>
                <w:bCs/>
                <w:lang w:val="fr-FR"/>
              </w:rPr>
            </w:pPr>
            <w:r w:rsidRPr="0040140F">
              <w:rPr>
                <w:bCs/>
                <w:lang w:val="fr-FR"/>
              </w:rPr>
              <w:t>42.225</w:t>
            </w:r>
          </w:p>
        </w:tc>
      </w:tr>
      <w:tr w:rsidR="00DD0682" w:rsidRPr="00751479" w:rsidTr="00DD0682">
        <w:trPr>
          <w:jc w:val="center"/>
        </w:trPr>
        <w:tc>
          <w:tcPr>
            <w:tcW w:w="2176" w:type="pct"/>
          </w:tcPr>
          <w:p w:rsidR="00DD0682" w:rsidRPr="006A0596" w:rsidRDefault="00DD0682" w:rsidP="00DD0682">
            <w:pPr>
              <w:adjustRightInd w:val="0"/>
              <w:snapToGrid w:val="0"/>
              <w:rPr>
                <w:snapToGrid w:val="0"/>
              </w:rPr>
            </w:pPr>
            <w:r w:rsidRPr="006A0596">
              <w:rPr>
                <w:snapToGrid w:val="0"/>
              </w:rPr>
              <w:t>2006</w:t>
            </w:r>
          </w:p>
        </w:tc>
        <w:tc>
          <w:tcPr>
            <w:tcW w:w="1383" w:type="pct"/>
            <w:vAlign w:val="center"/>
          </w:tcPr>
          <w:p w:rsidR="00DD0682" w:rsidRPr="0040140F" w:rsidRDefault="00DD0682" w:rsidP="00DD0682">
            <w:pPr>
              <w:tabs>
                <w:tab w:val="decimal" w:pos="1192"/>
              </w:tabs>
              <w:rPr>
                <w:bCs/>
                <w:lang w:val="fr-FR"/>
              </w:rPr>
            </w:pPr>
            <w:r w:rsidRPr="0040140F">
              <w:rPr>
                <w:bCs/>
                <w:lang w:val="fr-FR"/>
              </w:rPr>
              <w:t>14</w:t>
            </w:r>
          </w:p>
        </w:tc>
        <w:tc>
          <w:tcPr>
            <w:tcW w:w="1441" w:type="pct"/>
            <w:vAlign w:val="center"/>
          </w:tcPr>
          <w:p w:rsidR="00DD0682" w:rsidRPr="0040140F" w:rsidRDefault="00DD0682" w:rsidP="00DD0682">
            <w:pPr>
              <w:tabs>
                <w:tab w:val="decimal" w:pos="1615"/>
              </w:tabs>
              <w:rPr>
                <w:bCs/>
                <w:lang w:val="fr-FR"/>
              </w:rPr>
            </w:pPr>
            <w:r w:rsidRPr="0040140F">
              <w:rPr>
                <w:bCs/>
                <w:lang w:val="fr-FR"/>
              </w:rPr>
              <w:t>238</w:t>
            </w:r>
            <w:r>
              <w:rPr>
                <w:bCs/>
                <w:lang w:val="fr-FR"/>
              </w:rPr>
              <w:t>.</w:t>
            </w:r>
            <w:r w:rsidRPr="0040140F">
              <w:rPr>
                <w:bCs/>
                <w:lang w:val="fr-FR"/>
              </w:rPr>
              <w:t>182</w:t>
            </w:r>
          </w:p>
        </w:tc>
      </w:tr>
      <w:tr w:rsidR="00DD0682" w:rsidRPr="00751479" w:rsidTr="00DD0682">
        <w:trPr>
          <w:jc w:val="center"/>
        </w:trPr>
        <w:tc>
          <w:tcPr>
            <w:tcW w:w="2176" w:type="pct"/>
          </w:tcPr>
          <w:p w:rsidR="00DD0682" w:rsidRPr="006A0596" w:rsidRDefault="00DD0682" w:rsidP="00DD0682">
            <w:pPr>
              <w:adjustRightInd w:val="0"/>
              <w:snapToGrid w:val="0"/>
              <w:rPr>
                <w:snapToGrid w:val="0"/>
              </w:rPr>
            </w:pPr>
            <w:r w:rsidRPr="006A0596">
              <w:rPr>
                <w:snapToGrid w:val="0"/>
              </w:rPr>
              <w:t>2007 (al 30 de abril de 2007)</w:t>
            </w:r>
          </w:p>
        </w:tc>
        <w:tc>
          <w:tcPr>
            <w:tcW w:w="1383" w:type="pct"/>
            <w:vAlign w:val="center"/>
          </w:tcPr>
          <w:p w:rsidR="00DD0682" w:rsidRPr="0040140F" w:rsidRDefault="00DD0682" w:rsidP="00DD0682">
            <w:pPr>
              <w:tabs>
                <w:tab w:val="decimal" w:pos="1192"/>
              </w:tabs>
              <w:rPr>
                <w:bCs/>
                <w:lang w:val="fr-FR"/>
              </w:rPr>
            </w:pPr>
            <w:r w:rsidRPr="0040140F">
              <w:rPr>
                <w:bCs/>
                <w:lang w:val="fr-FR"/>
              </w:rPr>
              <w:t>8</w:t>
            </w:r>
          </w:p>
        </w:tc>
        <w:tc>
          <w:tcPr>
            <w:tcW w:w="1441" w:type="pct"/>
            <w:tcBorders>
              <w:bottom w:val="single" w:sz="4" w:space="0" w:color="auto"/>
            </w:tcBorders>
            <w:vAlign w:val="center"/>
          </w:tcPr>
          <w:p w:rsidR="00DD0682" w:rsidRPr="0040140F" w:rsidRDefault="00DD0682" w:rsidP="00DD0682">
            <w:pPr>
              <w:tabs>
                <w:tab w:val="decimal" w:pos="1615"/>
              </w:tabs>
              <w:rPr>
                <w:bCs/>
                <w:lang w:val="fr-FR"/>
              </w:rPr>
            </w:pPr>
            <w:r w:rsidRPr="0040140F">
              <w:rPr>
                <w:bCs/>
                <w:lang w:val="fr-FR"/>
              </w:rPr>
              <w:t>51</w:t>
            </w:r>
            <w:r>
              <w:rPr>
                <w:bCs/>
                <w:lang w:val="fr-FR"/>
              </w:rPr>
              <w:t>.</w:t>
            </w:r>
            <w:r w:rsidRPr="0040140F">
              <w:rPr>
                <w:bCs/>
                <w:lang w:val="fr-FR"/>
              </w:rPr>
              <w:t>386</w:t>
            </w:r>
          </w:p>
        </w:tc>
      </w:tr>
      <w:tr w:rsidR="00DD0682" w:rsidRPr="00751479" w:rsidTr="00DD0682">
        <w:trPr>
          <w:jc w:val="center"/>
        </w:trPr>
        <w:tc>
          <w:tcPr>
            <w:tcW w:w="2176" w:type="pct"/>
          </w:tcPr>
          <w:p w:rsidR="00DD0682" w:rsidRPr="00751479" w:rsidRDefault="00DD0682" w:rsidP="00DD0682">
            <w:pPr>
              <w:adjustRightInd w:val="0"/>
              <w:snapToGrid w:val="0"/>
              <w:ind w:firstLine="567"/>
              <w:rPr>
                <w:b/>
                <w:snapToGrid w:val="0"/>
              </w:rPr>
            </w:pPr>
            <w:r w:rsidRPr="00751479">
              <w:rPr>
                <w:b/>
                <w:snapToGrid w:val="0"/>
              </w:rPr>
              <w:t>Total general</w:t>
            </w:r>
          </w:p>
        </w:tc>
        <w:tc>
          <w:tcPr>
            <w:tcW w:w="1383" w:type="pct"/>
            <w:vAlign w:val="center"/>
          </w:tcPr>
          <w:p w:rsidR="00DD0682" w:rsidRPr="000C3C1E" w:rsidRDefault="00DD0682" w:rsidP="00DD0682">
            <w:pPr>
              <w:tabs>
                <w:tab w:val="decimal" w:pos="1192"/>
              </w:tabs>
              <w:rPr>
                <w:b/>
                <w:bCs/>
                <w:lang w:val="fr-FR"/>
              </w:rPr>
            </w:pPr>
            <w:r w:rsidRPr="000C3C1E">
              <w:rPr>
                <w:b/>
                <w:bCs/>
                <w:lang w:val="fr-FR"/>
              </w:rPr>
              <w:fldChar w:fldCharType="begin"/>
            </w:r>
            <w:r w:rsidRPr="000C3C1E">
              <w:rPr>
                <w:b/>
                <w:bCs/>
                <w:lang w:val="fr-FR"/>
              </w:rPr>
              <w:instrText xml:space="preserve"> =SUM(ABOVE) </w:instrText>
            </w:r>
            <w:r w:rsidRPr="000C3C1E">
              <w:rPr>
                <w:b/>
                <w:bCs/>
                <w:lang w:val="fr-FR"/>
              </w:rPr>
              <w:fldChar w:fldCharType="separate"/>
            </w:r>
            <w:r w:rsidRPr="000C3C1E">
              <w:rPr>
                <w:b/>
                <w:bCs/>
                <w:lang w:val="fr-FR"/>
              </w:rPr>
              <w:t>52</w:t>
            </w:r>
            <w:r w:rsidRPr="000C3C1E">
              <w:rPr>
                <w:b/>
                <w:bCs/>
                <w:lang w:val="fr-FR"/>
              </w:rPr>
              <w:fldChar w:fldCharType="end"/>
            </w:r>
          </w:p>
        </w:tc>
        <w:tc>
          <w:tcPr>
            <w:tcW w:w="1441" w:type="pct"/>
            <w:shd w:val="clear" w:color="auto" w:fill="auto"/>
            <w:vAlign w:val="center"/>
          </w:tcPr>
          <w:p w:rsidR="00DD0682" w:rsidRPr="000C3C1E" w:rsidRDefault="00DD0682" w:rsidP="00DD0682">
            <w:pPr>
              <w:jc w:val="center"/>
              <w:rPr>
                <w:b/>
                <w:bCs/>
                <w:lang w:val="fr-FR"/>
              </w:rPr>
            </w:pPr>
            <w:r w:rsidRPr="000C3C1E">
              <w:rPr>
                <w:b/>
                <w:bCs/>
                <w:lang w:val="fr-FR"/>
              </w:rPr>
              <w:fldChar w:fldCharType="begin"/>
            </w:r>
            <w:r w:rsidRPr="000C3C1E">
              <w:rPr>
                <w:b/>
                <w:bCs/>
                <w:lang w:val="fr-FR"/>
              </w:rPr>
              <w:instrText xml:space="preserve"> =SUM(above) </w:instrText>
            </w:r>
            <w:r w:rsidRPr="000C3C1E">
              <w:rPr>
                <w:b/>
                <w:bCs/>
                <w:lang w:val="fr-FR"/>
              </w:rPr>
              <w:fldChar w:fldCharType="separate"/>
            </w:r>
            <w:r w:rsidRPr="000C3C1E">
              <w:rPr>
                <w:b/>
                <w:bCs/>
                <w:lang w:val="fr-FR"/>
              </w:rPr>
              <w:t>1.036.232</w:t>
            </w:r>
            <w:r w:rsidRPr="000C3C1E">
              <w:rPr>
                <w:b/>
                <w:bCs/>
                <w:lang w:val="fr-FR"/>
              </w:rPr>
              <w:fldChar w:fldCharType="end"/>
            </w:r>
          </w:p>
        </w:tc>
      </w:tr>
    </w:tbl>
    <w:p w:rsidR="00DD0682" w:rsidRPr="006A0596" w:rsidRDefault="00DD0682" w:rsidP="00DD0682">
      <w:pPr>
        <w:adjustRightInd w:val="0"/>
        <w:snapToGrid w:val="0"/>
        <w:spacing w:before="480" w:after="240"/>
        <w:rPr>
          <w:b/>
          <w:snapToGrid w:val="0"/>
        </w:rPr>
      </w:pPr>
      <w:r>
        <w:rPr>
          <w:b/>
          <w:snapToGrid w:val="0"/>
        </w:rPr>
        <w:tab/>
      </w:r>
      <w:r w:rsidRPr="006A0596">
        <w:rPr>
          <w:b/>
          <w:snapToGrid w:val="0"/>
        </w:rPr>
        <w:t>b)</w:t>
      </w:r>
      <w:r w:rsidRPr="006A0596">
        <w:rPr>
          <w:b/>
          <w:snapToGrid w:val="0"/>
        </w:rPr>
        <w:tab/>
        <w:t>Los acuerdos colectivos de rama</w:t>
      </w:r>
      <w:r>
        <w:rPr>
          <w:b/>
          <w:snapToGrid w:val="0"/>
        </w:rPr>
        <w:t xml:space="preserve"> de actividad</w:t>
      </w:r>
    </w:p>
    <w:tbl>
      <w:tblPr>
        <w:tblStyle w:val="TableGrid"/>
        <w:tblW w:w="0" w:type="auto"/>
        <w:tblInd w:w="558" w:type="dxa"/>
        <w:tblLook w:val="01E0" w:firstRow="1" w:lastRow="1" w:firstColumn="1" w:lastColumn="1" w:noHBand="0" w:noVBand="0"/>
      </w:tblPr>
      <w:tblGrid>
        <w:gridCol w:w="3640"/>
        <w:gridCol w:w="2351"/>
        <w:gridCol w:w="2408"/>
      </w:tblGrid>
      <w:tr w:rsidR="00DD0682" w:rsidRPr="00751479" w:rsidTr="00DD0682">
        <w:tc>
          <w:tcPr>
            <w:tcW w:w="3640" w:type="dxa"/>
          </w:tcPr>
          <w:p w:rsidR="00DD0682" w:rsidRPr="006A0596" w:rsidRDefault="00DD0682" w:rsidP="00DD0682">
            <w:pPr>
              <w:adjustRightInd w:val="0"/>
              <w:snapToGrid w:val="0"/>
              <w:jc w:val="center"/>
              <w:rPr>
                <w:b/>
                <w:snapToGrid w:val="0"/>
              </w:rPr>
            </w:pPr>
            <w:r w:rsidRPr="006A0596">
              <w:rPr>
                <w:b/>
                <w:snapToGrid w:val="0"/>
              </w:rPr>
              <w:t>Año</w:t>
            </w:r>
            <w:r>
              <w:rPr>
                <w:b/>
                <w:snapToGrid w:val="0"/>
              </w:rPr>
              <w:t>s</w:t>
            </w:r>
          </w:p>
        </w:tc>
        <w:tc>
          <w:tcPr>
            <w:tcW w:w="2351" w:type="dxa"/>
          </w:tcPr>
          <w:p w:rsidR="00DD0682" w:rsidRPr="006A0596" w:rsidRDefault="00DD0682" w:rsidP="00DD0682">
            <w:pPr>
              <w:adjustRightInd w:val="0"/>
              <w:snapToGrid w:val="0"/>
              <w:jc w:val="center"/>
              <w:rPr>
                <w:b/>
                <w:snapToGrid w:val="0"/>
              </w:rPr>
            </w:pPr>
            <w:r w:rsidRPr="006A0596">
              <w:rPr>
                <w:b/>
                <w:snapToGrid w:val="0"/>
              </w:rPr>
              <w:t>Número</w:t>
            </w:r>
          </w:p>
        </w:tc>
        <w:tc>
          <w:tcPr>
            <w:tcW w:w="2408" w:type="dxa"/>
          </w:tcPr>
          <w:p w:rsidR="00DD0682" w:rsidRPr="006A0596" w:rsidRDefault="00DD0682" w:rsidP="00DD0682">
            <w:pPr>
              <w:adjustRightInd w:val="0"/>
              <w:snapToGrid w:val="0"/>
              <w:jc w:val="center"/>
              <w:rPr>
                <w:b/>
                <w:snapToGrid w:val="0"/>
              </w:rPr>
            </w:pPr>
            <w:r w:rsidRPr="006A0596">
              <w:rPr>
                <w:b/>
                <w:snapToGrid w:val="0"/>
              </w:rPr>
              <w:t>Efectivos</w:t>
            </w:r>
          </w:p>
        </w:tc>
      </w:tr>
      <w:tr w:rsidR="00DD0682" w:rsidRPr="00751479" w:rsidTr="00DD0682">
        <w:tc>
          <w:tcPr>
            <w:tcW w:w="3640" w:type="dxa"/>
          </w:tcPr>
          <w:p w:rsidR="00DD0682" w:rsidRPr="006A0596" w:rsidRDefault="00DD0682" w:rsidP="00DD0682">
            <w:pPr>
              <w:adjustRightInd w:val="0"/>
              <w:snapToGrid w:val="0"/>
              <w:rPr>
                <w:snapToGrid w:val="0"/>
              </w:rPr>
            </w:pPr>
            <w:r w:rsidRPr="006A0596">
              <w:rPr>
                <w:snapToGrid w:val="0"/>
              </w:rPr>
              <w:t xml:space="preserve">Consolidado </w:t>
            </w:r>
            <w:r>
              <w:rPr>
                <w:snapToGrid w:val="0"/>
              </w:rPr>
              <w:t>de</w:t>
            </w:r>
            <w:r w:rsidRPr="006A0596">
              <w:rPr>
                <w:snapToGrid w:val="0"/>
              </w:rPr>
              <w:t xml:space="preserve"> 1991</w:t>
            </w:r>
            <w:r>
              <w:rPr>
                <w:snapToGrid w:val="0"/>
              </w:rPr>
              <w:t xml:space="preserve"> a </w:t>
            </w:r>
            <w:r w:rsidRPr="006A0596">
              <w:rPr>
                <w:snapToGrid w:val="0"/>
              </w:rPr>
              <w:t>2001</w:t>
            </w:r>
          </w:p>
        </w:tc>
        <w:tc>
          <w:tcPr>
            <w:tcW w:w="2351" w:type="dxa"/>
            <w:vAlign w:val="center"/>
          </w:tcPr>
          <w:p w:rsidR="00DD0682" w:rsidRPr="002E258E" w:rsidRDefault="00DD0682" w:rsidP="00DD0682">
            <w:pPr>
              <w:tabs>
                <w:tab w:val="decimal" w:pos="1192"/>
              </w:tabs>
              <w:rPr>
                <w:bCs/>
                <w:lang w:val="fr-FR"/>
              </w:rPr>
            </w:pPr>
            <w:r w:rsidRPr="002E258E">
              <w:rPr>
                <w:bCs/>
                <w:lang w:val="fr-FR"/>
              </w:rPr>
              <w:t>21</w:t>
            </w:r>
          </w:p>
        </w:tc>
        <w:tc>
          <w:tcPr>
            <w:tcW w:w="2408" w:type="dxa"/>
            <w:vAlign w:val="center"/>
          </w:tcPr>
          <w:p w:rsidR="00DD0682" w:rsidRPr="002E258E" w:rsidRDefault="00DD0682" w:rsidP="00DD0682">
            <w:pPr>
              <w:tabs>
                <w:tab w:val="decimal" w:pos="1615"/>
              </w:tabs>
              <w:rPr>
                <w:bCs/>
                <w:lang w:val="fr-FR"/>
              </w:rPr>
            </w:pPr>
            <w:r w:rsidRPr="002E258E">
              <w:rPr>
                <w:bCs/>
                <w:lang w:val="fr-FR"/>
              </w:rPr>
              <w:t>568</w:t>
            </w:r>
            <w:r>
              <w:rPr>
                <w:bCs/>
                <w:lang w:val="fr-FR"/>
              </w:rPr>
              <w:t>.</w:t>
            </w:r>
            <w:r w:rsidRPr="002E258E">
              <w:rPr>
                <w:bCs/>
                <w:lang w:val="fr-FR"/>
              </w:rPr>
              <w:t>039</w:t>
            </w:r>
          </w:p>
        </w:tc>
      </w:tr>
      <w:tr w:rsidR="00DD0682" w:rsidRPr="00751479" w:rsidTr="00DD0682">
        <w:tc>
          <w:tcPr>
            <w:tcW w:w="3640" w:type="dxa"/>
          </w:tcPr>
          <w:p w:rsidR="00DD0682" w:rsidRPr="00751479" w:rsidRDefault="00DD0682" w:rsidP="00DD0682">
            <w:pPr>
              <w:adjustRightInd w:val="0"/>
              <w:snapToGrid w:val="0"/>
              <w:rPr>
                <w:snapToGrid w:val="0"/>
              </w:rPr>
            </w:pPr>
            <w:r w:rsidRPr="00751479">
              <w:rPr>
                <w:snapToGrid w:val="0"/>
              </w:rPr>
              <w:t>2002</w:t>
            </w:r>
          </w:p>
        </w:tc>
        <w:tc>
          <w:tcPr>
            <w:tcW w:w="2351" w:type="dxa"/>
            <w:vAlign w:val="center"/>
          </w:tcPr>
          <w:p w:rsidR="00DD0682" w:rsidRPr="002E258E" w:rsidRDefault="00DD0682" w:rsidP="00DD0682">
            <w:pPr>
              <w:tabs>
                <w:tab w:val="decimal" w:pos="1192"/>
              </w:tabs>
              <w:rPr>
                <w:bCs/>
                <w:lang w:val="fr-FR"/>
              </w:rPr>
            </w:pPr>
            <w:r w:rsidRPr="002E258E">
              <w:rPr>
                <w:bCs/>
                <w:lang w:val="fr-FR"/>
              </w:rPr>
              <w:t>2</w:t>
            </w:r>
          </w:p>
        </w:tc>
        <w:tc>
          <w:tcPr>
            <w:tcW w:w="2408" w:type="dxa"/>
            <w:vAlign w:val="center"/>
          </w:tcPr>
          <w:p w:rsidR="00DD0682" w:rsidRPr="002E258E" w:rsidRDefault="00DD0682" w:rsidP="00DD0682">
            <w:pPr>
              <w:tabs>
                <w:tab w:val="decimal" w:pos="1615"/>
              </w:tabs>
              <w:rPr>
                <w:bCs/>
                <w:lang w:val="fr-FR"/>
              </w:rPr>
            </w:pPr>
            <w:r w:rsidRPr="002E258E">
              <w:rPr>
                <w:bCs/>
                <w:lang w:val="fr-FR"/>
              </w:rPr>
              <w:t>31</w:t>
            </w:r>
            <w:r>
              <w:rPr>
                <w:bCs/>
                <w:lang w:val="fr-FR"/>
              </w:rPr>
              <w:t>.</w:t>
            </w:r>
            <w:r w:rsidRPr="002E258E">
              <w:rPr>
                <w:bCs/>
                <w:lang w:val="fr-FR"/>
              </w:rPr>
              <w:t>083</w:t>
            </w:r>
          </w:p>
        </w:tc>
      </w:tr>
      <w:tr w:rsidR="00DD0682" w:rsidRPr="00751479" w:rsidTr="00DD0682">
        <w:tc>
          <w:tcPr>
            <w:tcW w:w="3640" w:type="dxa"/>
          </w:tcPr>
          <w:p w:rsidR="00DD0682" w:rsidRPr="00751479" w:rsidRDefault="00DD0682" w:rsidP="00DD0682">
            <w:pPr>
              <w:adjustRightInd w:val="0"/>
              <w:snapToGrid w:val="0"/>
              <w:rPr>
                <w:snapToGrid w:val="0"/>
              </w:rPr>
            </w:pPr>
            <w:r w:rsidRPr="00751479">
              <w:rPr>
                <w:snapToGrid w:val="0"/>
              </w:rPr>
              <w:t>2003</w:t>
            </w:r>
          </w:p>
        </w:tc>
        <w:tc>
          <w:tcPr>
            <w:tcW w:w="2351" w:type="dxa"/>
            <w:vAlign w:val="center"/>
          </w:tcPr>
          <w:p w:rsidR="00DD0682" w:rsidRPr="002E258E" w:rsidRDefault="00DD0682" w:rsidP="00DD0682">
            <w:pPr>
              <w:tabs>
                <w:tab w:val="decimal" w:pos="1192"/>
              </w:tabs>
              <w:rPr>
                <w:bCs/>
                <w:lang w:val="fr-FR"/>
              </w:rPr>
            </w:pPr>
            <w:r w:rsidRPr="002E258E">
              <w:rPr>
                <w:bCs/>
                <w:lang w:val="fr-FR"/>
              </w:rPr>
              <w:t>5</w:t>
            </w:r>
          </w:p>
        </w:tc>
        <w:tc>
          <w:tcPr>
            <w:tcW w:w="2408" w:type="dxa"/>
            <w:vAlign w:val="center"/>
          </w:tcPr>
          <w:p w:rsidR="00DD0682" w:rsidRPr="002E258E" w:rsidRDefault="00DD0682" w:rsidP="00DD0682">
            <w:pPr>
              <w:tabs>
                <w:tab w:val="decimal" w:pos="1615"/>
              </w:tabs>
              <w:rPr>
                <w:bCs/>
                <w:lang w:val="fr-FR"/>
              </w:rPr>
            </w:pPr>
            <w:r w:rsidRPr="002E258E">
              <w:rPr>
                <w:bCs/>
                <w:lang w:val="fr-FR"/>
              </w:rPr>
              <w:t>54</w:t>
            </w:r>
            <w:r>
              <w:rPr>
                <w:bCs/>
                <w:lang w:val="fr-FR"/>
              </w:rPr>
              <w:t>.</w:t>
            </w:r>
            <w:r w:rsidRPr="002E258E">
              <w:rPr>
                <w:bCs/>
                <w:lang w:val="fr-FR"/>
              </w:rPr>
              <w:t>539</w:t>
            </w:r>
          </w:p>
        </w:tc>
      </w:tr>
      <w:tr w:rsidR="00DD0682" w:rsidRPr="00751479" w:rsidTr="00DD0682">
        <w:tc>
          <w:tcPr>
            <w:tcW w:w="3640" w:type="dxa"/>
          </w:tcPr>
          <w:p w:rsidR="00DD0682" w:rsidRPr="00751479" w:rsidRDefault="00DD0682" w:rsidP="00DD0682">
            <w:pPr>
              <w:adjustRightInd w:val="0"/>
              <w:snapToGrid w:val="0"/>
              <w:rPr>
                <w:snapToGrid w:val="0"/>
              </w:rPr>
            </w:pPr>
            <w:r w:rsidRPr="00751479">
              <w:rPr>
                <w:snapToGrid w:val="0"/>
              </w:rPr>
              <w:t>2004</w:t>
            </w:r>
          </w:p>
        </w:tc>
        <w:tc>
          <w:tcPr>
            <w:tcW w:w="2351" w:type="dxa"/>
            <w:vAlign w:val="center"/>
          </w:tcPr>
          <w:p w:rsidR="00DD0682" w:rsidRPr="002E258E" w:rsidRDefault="00DD0682" w:rsidP="00DD0682">
            <w:pPr>
              <w:tabs>
                <w:tab w:val="decimal" w:pos="1192"/>
              </w:tabs>
              <w:rPr>
                <w:bCs/>
                <w:lang w:val="fr-FR"/>
              </w:rPr>
            </w:pPr>
            <w:r w:rsidRPr="002E258E">
              <w:rPr>
                <w:bCs/>
                <w:lang w:val="fr-FR"/>
              </w:rPr>
              <w:t>17</w:t>
            </w:r>
          </w:p>
        </w:tc>
        <w:tc>
          <w:tcPr>
            <w:tcW w:w="2408" w:type="dxa"/>
            <w:vAlign w:val="center"/>
          </w:tcPr>
          <w:p w:rsidR="00DD0682" w:rsidRPr="002E258E" w:rsidRDefault="00DD0682" w:rsidP="00DD0682">
            <w:pPr>
              <w:tabs>
                <w:tab w:val="decimal" w:pos="1615"/>
              </w:tabs>
              <w:rPr>
                <w:bCs/>
                <w:lang w:val="fr-FR"/>
              </w:rPr>
            </w:pPr>
            <w:r w:rsidRPr="002E258E">
              <w:rPr>
                <w:bCs/>
                <w:lang w:val="fr-FR"/>
              </w:rPr>
              <w:t>210</w:t>
            </w:r>
            <w:r>
              <w:rPr>
                <w:bCs/>
                <w:lang w:val="fr-FR"/>
              </w:rPr>
              <w:t>.</w:t>
            </w:r>
            <w:r w:rsidRPr="002E258E">
              <w:rPr>
                <w:bCs/>
                <w:lang w:val="fr-FR"/>
              </w:rPr>
              <w:t>007</w:t>
            </w:r>
          </w:p>
        </w:tc>
      </w:tr>
      <w:tr w:rsidR="00DD0682" w:rsidRPr="00751479" w:rsidTr="00DD0682">
        <w:tc>
          <w:tcPr>
            <w:tcW w:w="3640" w:type="dxa"/>
          </w:tcPr>
          <w:p w:rsidR="00DD0682" w:rsidRPr="00751479" w:rsidRDefault="00DD0682" w:rsidP="00DD0682">
            <w:pPr>
              <w:adjustRightInd w:val="0"/>
              <w:snapToGrid w:val="0"/>
              <w:rPr>
                <w:snapToGrid w:val="0"/>
              </w:rPr>
            </w:pPr>
            <w:r w:rsidRPr="00751479">
              <w:rPr>
                <w:snapToGrid w:val="0"/>
              </w:rPr>
              <w:t>2005</w:t>
            </w:r>
          </w:p>
        </w:tc>
        <w:tc>
          <w:tcPr>
            <w:tcW w:w="2351" w:type="dxa"/>
            <w:vAlign w:val="center"/>
          </w:tcPr>
          <w:p w:rsidR="00DD0682" w:rsidRPr="002E258E" w:rsidRDefault="00DD0682" w:rsidP="00DD0682">
            <w:pPr>
              <w:tabs>
                <w:tab w:val="decimal" w:pos="1192"/>
              </w:tabs>
              <w:rPr>
                <w:bCs/>
                <w:lang w:val="fr-FR"/>
              </w:rPr>
            </w:pPr>
            <w:r w:rsidRPr="002E258E">
              <w:rPr>
                <w:bCs/>
                <w:lang w:val="fr-FR"/>
              </w:rPr>
              <w:t>5</w:t>
            </w:r>
          </w:p>
        </w:tc>
        <w:tc>
          <w:tcPr>
            <w:tcW w:w="2408" w:type="dxa"/>
            <w:vAlign w:val="center"/>
          </w:tcPr>
          <w:p w:rsidR="00DD0682" w:rsidRPr="002E258E" w:rsidRDefault="00DD0682" w:rsidP="00DD0682">
            <w:pPr>
              <w:tabs>
                <w:tab w:val="decimal" w:pos="1615"/>
              </w:tabs>
              <w:rPr>
                <w:bCs/>
                <w:lang w:val="fr-FR"/>
              </w:rPr>
            </w:pPr>
            <w:r w:rsidRPr="002E258E">
              <w:rPr>
                <w:bCs/>
                <w:lang w:val="fr-FR"/>
              </w:rPr>
              <w:t>43</w:t>
            </w:r>
            <w:r>
              <w:rPr>
                <w:bCs/>
                <w:lang w:val="fr-FR"/>
              </w:rPr>
              <w:t>.</w:t>
            </w:r>
            <w:r w:rsidRPr="002E258E">
              <w:rPr>
                <w:bCs/>
                <w:lang w:val="fr-FR"/>
              </w:rPr>
              <w:t>858</w:t>
            </w:r>
          </w:p>
        </w:tc>
      </w:tr>
      <w:tr w:rsidR="00DD0682" w:rsidRPr="00751479" w:rsidTr="00DD0682">
        <w:tc>
          <w:tcPr>
            <w:tcW w:w="3640" w:type="dxa"/>
          </w:tcPr>
          <w:p w:rsidR="00DD0682" w:rsidRPr="006A0596" w:rsidRDefault="00DD0682" w:rsidP="00DD0682">
            <w:pPr>
              <w:adjustRightInd w:val="0"/>
              <w:snapToGrid w:val="0"/>
              <w:rPr>
                <w:snapToGrid w:val="0"/>
              </w:rPr>
            </w:pPr>
            <w:r w:rsidRPr="006A0596">
              <w:rPr>
                <w:snapToGrid w:val="0"/>
              </w:rPr>
              <w:t>2006</w:t>
            </w:r>
          </w:p>
        </w:tc>
        <w:tc>
          <w:tcPr>
            <w:tcW w:w="2351" w:type="dxa"/>
            <w:vAlign w:val="center"/>
          </w:tcPr>
          <w:p w:rsidR="00DD0682" w:rsidRPr="002E258E" w:rsidRDefault="00DD0682" w:rsidP="00DD0682">
            <w:pPr>
              <w:tabs>
                <w:tab w:val="decimal" w:pos="1192"/>
              </w:tabs>
              <w:rPr>
                <w:bCs/>
                <w:lang w:val="fr-FR"/>
              </w:rPr>
            </w:pPr>
            <w:r w:rsidRPr="002E258E">
              <w:rPr>
                <w:bCs/>
                <w:lang w:val="fr-FR"/>
              </w:rPr>
              <w:t>22</w:t>
            </w:r>
          </w:p>
        </w:tc>
        <w:tc>
          <w:tcPr>
            <w:tcW w:w="2408" w:type="dxa"/>
            <w:vAlign w:val="center"/>
          </w:tcPr>
          <w:p w:rsidR="00DD0682" w:rsidRPr="002E258E" w:rsidRDefault="00DD0682" w:rsidP="00DD0682">
            <w:pPr>
              <w:tabs>
                <w:tab w:val="decimal" w:pos="1615"/>
              </w:tabs>
              <w:rPr>
                <w:bCs/>
                <w:lang w:val="fr-FR"/>
              </w:rPr>
            </w:pPr>
            <w:r w:rsidRPr="002E258E">
              <w:rPr>
                <w:bCs/>
                <w:lang w:val="fr-FR"/>
              </w:rPr>
              <w:t>580</w:t>
            </w:r>
            <w:r>
              <w:rPr>
                <w:bCs/>
                <w:lang w:val="fr-FR"/>
              </w:rPr>
              <w:t>.</w:t>
            </w:r>
            <w:r w:rsidRPr="002E258E">
              <w:rPr>
                <w:bCs/>
                <w:lang w:val="fr-FR"/>
              </w:rPr>
              <w:t>275</w:t>
            </w:r>
          </w:p>
        </w:tc>
      </w:tr>
      <w:tr w:rsidR="00DD0682" w:rsidRPr="00751479" w:rsidTr="00DD0682">
        <w:tc>
          <w:tcPr>
            <w:tcW w:w="3640" w:type="dxa"/>
          </w:tcPr>
          <w:p w:rsidR="00DD0682" w:rsidRPr="006A0596" w:rsidRDefault="00DD0682" w:rsidP="00DD0682">
            <w:pPr>
              <w:adjustRightInd w:val="0"/>
              <w:snapToGrid w:val="0"/>
              <w:rPr>
                <w:snapToGrid w:val="0"/>
              </w:rPr>
            </w:pPr>
            <w:r w:rsidRPr="006A0596">
              <w:rPr>
                <w:snapToGrid w:val="0"/>
              </w:rPr>
              <w:t>2007 (al 30 de abril de 2007)</w:t>
            </w:r>
          </w:p>
        </w:tc>
        <w:tc>
          <w:tcPr>
            <w:tcW w:w="2351" w:type="dxa"/>
            <w:vAlign w:val="center"/>
          </w:tcPr>
          <w:p w:rsidR="00DD0682" w:rsidRPr="002E258E" w:rsidRDefault="00DD0682" w:rsidP="00DD0682">
            <w:pPr>
              <w:tabs>
                <w:tab w:val="decimal" w:pos="1192"/>
              </w:tabs>
              <w:rPr>
                <w:bCs/>
                <w:lang w:val="fr-FR"/>
              </w:rPr>
            </w:pPr>
            <w:r w:rsidRPr="002E258E">
              <w:rPr>
                <w:bCs/>
                <w:lang w:val="fr-FR"/>
              </w:rPr>
              <w:t>8</w:t>
            </w:r>
          </w:p>
        </w:tc>
        <w:tc>
          <w:tcPr>
            <w:tcW w:w="2408" w:type="dxa"/>
            <w:vAlign w:val="center"/>
          </w:tcPr>
          <w:p w:rsidR="00DD0682" w:rsidRPr="002E258E" w:rsidRDefault="00DD0682" w:rsidP="00DD0682">
            <w:pPr>
              <w:tabs>
                <w:tab w:val="decimal" w:pos="1615"/>
              </w:tabs>
              <w:rPr>
                <w:bCs/>
                <w:lang w:val="fr-FR"/>
              </w:rPr>
            </w:pPr>
            <w:r w:rsidRPr="002E258E">
              <w:rPr>
                <w:bCs/>
                <w:lang w:val="fr-FR"/>
              </w:rPr>
              <w:t>67</w:t>
            </w:r>
            <w:r>
              <w:rPr>
                <w:bCs/>
                <w:lang w:val="fr-FR"/>
              </w:rPr>
              <w:t>.</w:t>
            </w:r>
            <w:r w:rsidRPr="002E258E">
              <w:rPr>
                <w:bCs/>
                <w:lang w:val="fr-FR"/>
              </w:rPr>
              <w:t>697</w:t>
            </w:r>
          </w:p>
        </w:tc>
      </w:tr>
      <w:tr w:rsidR="00DD0682" w:rsidRPr="00751479" w:rsidTr="00DD0682">
        <w:trPr>
          <w:trHeight w:val="77"/>
        </w:trPr>
        <w:tc>
          <w:tcPr>
            <w:tcW w:w="3640" w:type="dxa"/>
          </w:tcPr>
          <w:p w:rsidR="00DD0682" w:rsidRPr="006A0596" w:rsidRDefault="00DD0682" w:rsidP="00DD0682">
            <w:pPr>
              <w:adjustRightInd w:val="0"/>
              <w:snapToGrid w:val="0"/>
              <w:ind w:firstLine="567"/>
              <w:rPr>
                <w:snapToGrid w:val="0"/>
              </w:rPr>
            </w:pPr>
            <w:r w:rsidRPr="006A0596">
              <w:rPr>
                <w:b/>
                <w:snapToGrid w:val="0"/>
              </w:rPr>
              <w:t>Total general</w:t>
            </w:r>
          </w:p>
        </w:tc>
        <w:tc>
          <w:tcPr>
            <w:tcW w:w="2351" w:type="dxa"/>
            <w:vAlign w:val="center"/>
          </w:tcPr>
          <w:p w:rsidR="00DD0682" w:rsidRPr="000C3C1E" w:rsidRDefault="00DD0682" w:rsidP="00DD0682">
            <w:pPr>
              <w:tabs>
                <w:tab w:val="decimal" w:pos="1192"/>
              </w:tabs>
              <w:rPr>
                <w:b/>
                <w:bCs/>
                <w:lang w:val="fr-FR"/>
              </w:rPr>
            </w:pPr>
            <w:r w:rsidRPr="000C3C1E">
              <w:rPr>
                <w:b/>
                <w:bCs/>
                <w:lang w:val="fr-FR"/>
              </w:rPr>
              <w:fldChar w:fldCharType="begin"/>
            </w:r>
            <w:r w:rsidRPr="000C3C1E">
              <w:rPr>
                <w:b/>
                <w:bCs/>
                <w:lang w:val="fr-FR"/>
              </w:rPr>
              <w:instrText xml:space="preserve"> =SUM(ABOVE) </w:instrText>
            </w:r>
            <w:r w:rsidRPr="000C3C1E">
              <w:rPr>
                <w:b/>
                <w:bCs/>
                <w:lang w:val="fr-FR"/>
              </w:rPr>
              <w:fldChar w:fldCharType="separate"/>
            </w:r>
            <w:r w:rsidRPr="000C3C1E">
              <w:rPr>
                <w:b/>
                <w:bCs/>
                <w:lang w:val="fr-FR"/>
              </w:rPr>
              <w:t>80</w:t>
            </w:r>
            <w:r w:rsidRPr="000C3C1E">
              <w:rPr>
                <w:b/>
                <w:bCs/>
                <w:lang w:val="fr-FR"/>
              </w:rPr>
              <w:fldChar w:fldCharType="end"/>
            </w:r>
          </w:p>
        </w:tc>
        <w:tc>
          <w:tcPr>
            <w:tcW w:w="2408" w:type="dxa"/>
            <w:vAlign w:val="center"/>
          </w:tcPr>
          <w:p w:rsidR="00DD0682" w:rsidRPr="000C3C1E" w:rsidRDefault="00DD0682" w:rsidP="00DD0682">
            <w:pPr>
              <w:tabs>
                <w:tab w:val="decimal" w:pos="1615"/>
              </w:tabs>
              <w:rPr>
                <w:b/>
                <w:bCs/>
                <w:lang w:val="fr-FR"/>
              </w:rPr>
            </w:pPr>
            <w:r w:rsidRPr="000C3C1E">
              <w:rPr>
                <w:b/>
                <w:bCs/>
                <w:lang w:val="fr-FR"/>
              </w:rPr>
              <w:fldChar w:fldCharType="begin"/>
            </w:r>
            <w:r w:rsidRPr="000C3C1E">
              <w:rPr>
                <w:b/>
                <w:bCs/>
                <w:lang w:val="fr-FR"/>
              </w:rPr>
              <w:instrText xml:space="preserve"> =SUM(above) </w:instrText>
            </w:r>
            <w:r w:rsidRPr="000C3C1E">
              <w:rPr>
                <w:b/>
                <w:bCs/>
                <w:lang w:val="fr-FR"/>
              </w:rPr>
              <w:fldChar w:fldCharType="separate"/>
            </w:r>
            <w:r w:rsidRPr="000C3C1E">
              <w:rPr>
                <w:b/>
                <w:bCs/>
                <w:lang w:val="fr-FR"/>
              </w:rPr>
              <w:t>1.555.498</w:t>
            </w:r>
            <w:r w:rsidRPr="000C3C1E">
              <w:rPr>
                <w:b/>
                <w:bCs/>
                <w:lang w:val="fr-FR"/>
              </w:rPr>
              <w:fldChar w:fldCharType="end"/>
            </w:r>
          </w:p>
        </w:tc>
      </w:tr>
    </w:tbl>
    <w:p w:rsidR="00DD0682" w:rsidRPr="00B45727" w:rsidRDefault="00DD0682" w:rsidP="00DD0682">
      <w:pPr>
        <w:adjustRightInd w:val="0"/>
        <w:snapToGrid w:val="0"/>
        <w:spacing w:before="480" w:after="240"/>
        <w:rPr>
          <w:b/>
          <w:snapToGrid w:val="0"/>
        </w:rPr>
      </w:pPr>
      <w:r>
        <w:rPr>
          <w:snapToGrid w:val="0"/>
        </w:rPr>
        <w:tab/>
      </w:r>
      <w:r w:rsidRPr="00B45727">
        <w:rPr>
          <w:b/>
          <w:snapToGrid w:val="0"/>
        </w:rPr>
        <w:t>c)</w:t>
      </w:r>
      <w:r w:rsidRPr="00B45727">
        <w:rPr>
          <w:b/>
          <w:snapToGrid w:val="0"/>
        </w:rPr>
        <w:tab/>
        <w:t>Las convenciones colectivas de empresas</w:t>
      </w:r>
    </w:p>
    <w:tbl>
      <w:tblPr>
        <w:tblStyle w:val="TableGrid"/>
        <w:tblW w:w="0" w:type="auto"/>
        <w:jc w:val="center"/>
        <w:tblInd w:w="778" w:type="dxa"/>
        <w:tblLook w:val="01E0" w:firstRow="1" w:lastRow="1" w:firstColumn="1" w:lastColumn="1" w:noHBand="0" w:noVBand="0"/>
      </w:tblPr>
      <w:tblGrid>
        <w:gridCol w:w="3674"/>
        <w:gridCol w:w="2351"/>
        <w:gridCol w:w="2394"/>
      </w:tblGrid>
      <w:tr w:rsidR="00DD0682" w:rsidRPr="00B45727" w:rsidTr="00DD0682">
        <w:trPr>
          <w:jc w:val="center"/>
        </w:trPr>
        <w:tc>
          <w:tcPr>
            <w:tcW w:w="3674" w:type="dxa"/>
          </w:tcPr>
          <w:p w:rsidR="00DD0682" w:rsidRPr="00B45727" w:rsidRDefault="00DD0682" w:rsidP="00DD0682">
            <w:pPr>
              <w:adjustRightInd w:val="0"/>
              <w:snapToGrid w:val="0"/>
              <w:jc w:val="center"/>
              <w:rPr>
                <w:b/>
                <w:snapToGrid w:val="0"/>
              </w:rPr>
            </w:pPr>
            <w:r w:rsidRPr="00B45727">
              <w:rPr>
                <w:b/>
                <w:snapToGrid w:val="0"/>
              </w:rPr>
              <w:t>Año</w:t>
            </w:r>
            <w:r>
              <w:rPr>
                <w:b/>
                <w:snapToGrid w:val="0"/>
              </w:rPr>
              <w:t>s</w:t>
            </w:r>
          </w:p>
        </w:tc>
        <w:tc>
          <w:tcPr>
            <w:tcW w:w="2351" w:type="dxa"/>
          </w:tcPr>
          <w:p w:rsidR="00DD0682" w:rsidRPr="00B45727" w:rsidRDefault="00DD0682" w:rsidP="00DD0682">
            <w:pPr>
              <w:adjustRightInd w:val="0"/>
              <w:snapToGrid w:val="0"/>
              <w:jc w:val="center"/>
              <w:rPr>
                <w:b/>
                <w:snapToGrid w:val="0"/>
              </w:rPr>
            </w:pPr>
            <w:r w:rsidRPr="00B45727">
              <w:rPr>
                <w:b/>
                <w:snapToGrid w:val="0"/>
              </w:rPr>
              <w:t>Número</w:t>
            </w:r>
          </w:p>
        </w:tc>
        <w:tc>
          <w:tcPr>
            <w:tcW w:w="2394" w:type="dxa"/>
          </w:tcPr>
          <w:p w:rsidR="00DD0682" w:rsidRPr="00B45727" w:rsidRDefault="00DD0682" w:rsidP="00DD0682">
            <w:pPr>
              <w:adjustRightInd w:val="0"/>
              <w:snapToGrid w:val="0"/>
              <w:jc w:val="center"/>
              <w:rPr>
                <w:b/>
                <w:snapToGrid w:val="0"/>
              </w:rPr>
            </w:pPr>
            <w:r w:rsidRPr="00B45727">
              <w:rPr>
                <w:b/>
                <w:snapToGrid w:val="0"/>
              </w:rPr>
              <w:t>Efectivos</w:t>
            </w:r>
          </w:p>
        </w:tc>
      </w:tr>
      <w:tr w:rsidR="00DD0682" w:rsidRPr="00B45727" w:rsidTr="00DD0682">
        <w:trPr>
          <w:jc w:val="center"/>
        </w:trPr>
        <w:tc>
          <w:tcPr>
            <w:tcW w:w="3674" w:type="dxa"/>
          </w:tcPr>
          <w:p w:rsidR="00DD0682" w:rsidRPr="00B45727" w:rsidRDefault="00DD0682" w:rsidP="00DD0682">
            <w:pPr>
              <w:adjustRightInd w:val="0"/>
              <w:snapToGrid w:val="0"/>
              <w:rPr>
                <w:snapToGrid w:val="0"/>
              </w:rPr>
            </w:pPr>
            <w:r>
              <w:rPr>
                <w:snapToGrid w:val="0"/>
              </w:rPr>
              <w:t>Consolidado de</w:t>
            </w:r>
            <w:r w:rsidRPr="00B45727">
              <w:rPr>
                <w:snapToGrid w:val="0"/>
              </w:rPr>
              <w:t xml:space="preserve"> 1990</w:t>
            </w:r>
            <w:r>
              <w:rPr>
                <w:snapToGrid w:val="0"/>
              </w:rPr>
              <w:t xml:space="preserve"> a </w:t>
            </w:r>
            <w:r w:rsidRPr="00B45727">
              <w:rPr>
                <w:snapToGrid w:val="0"/>
              </w:rPr>
              <w:t>2001</w:t>
            </w:r>
          </w:p>
        </w:tc>
        <w:tc>
          <w:tcPr>
            <w:tcW w:w="2351" w:type="dxa"/>
            <w:vAlign w:val="center"/>
          </w:tcPr>
          <w:p w:rsidR="00DD0682" w:rsidRPr="002E258E" w:rsidRDefault="00DD0682" w:rsidP="00DD0682">
            <w:pPr>
              <w:tabs>
                <w:tab w:val="decimal" w:pos="1376"/>
              </w:tabs>
              <w:rPr>
                <w:bCs/>
                <w:lang w:val="fr-FR"/>
              </w:rPr>
            </w:pPr>
            <w:r w:rsidRPr="002E258E">
              <w:rPr>
                <w:bCs/>
                <w:lang w:val="fr-FR"/>
              </w:rPr>
              <w:fldChar w:fldCharType="begin"/>
            </w:r>
            <w:r w:rsidRPr="002E258E">
              <w:rPr>
                <w:bCs/>
                <w:lang w:val="fr-FR"/>
              </w:rPr>
              <w:instrText xml:space="preserve"> =SUM(ABOVE) </w:instrText>
            </w:r>
            <w:r w:rsidRPr="002E258E">
              <w:rPr>
                <w:bCs/>
                <w:lang w:val="fr-FR"/>
              </w:rPr>
              <w:fldChar w:fldCharType="separate"/>
            </w:r>
            <w:r w:rsidRPr="002E258E">
              <w:rPr>
                <w:bCs/>
                <w:lang w:val="fr-FR"/>
              </w:rPr>
              <w:t>1</w:t>
            </w:r>
            <w:r>
              <w:rPr>
                <w:bCs/>
                <w:lang w:val="fr-FR"/>
              </w:rPr>
              <w:t>.</w:t>
            </w:r>
            <w:r w:rsidRPr="002E258E">
              <w:rPr>
                <w:bCs/>
                <w:lang w:val="fr-FR"/>
              </w:rPr>
              <w:t>986</w:t>
            </w:r>
            <w:r w:rsidRPr="002E258E">
              <w:rPr>
                <w:bCs/>
                <w:lang w:val="fr-FR"/>
              </w:rPr>
              <w:fldChar w:fldCharType="end"/>
            </w:r>
          </w:p>
        </w:tc>
        <w:tc>
          <w:tcPr>
            <w:tcW w:w="2394" w:type="dxa"/>
            <w:vAlign w:val="center"/>
          </w:tcPr>
          <w:p w:rsidR="00DD0682" w:rsidRPr="002E258E" w:rsidRDefault="00DD0682" w:rsidP="00DD0682">
            <w:pPr>
              <w:tabs>
                <w:tab w:val="decimal" w:pos="1615"/>
              </w:tabs>
              <w:rPr>
                <w:bCs/>
                <w:lang w:val="fr-FR"/>
              </w:rPr>
            </w:pPr>
            <w:r w:rsidRPr="002E258E">
              <w:rPr>
                <w:bCs/>
                <w:lang w:val="fr-FR"/>
              </w:rPr>
              <w:fldChar w:fldCharType="begin"/>
            </w:r>
            <w:r w:rsidRPr="002E258E">
              <w:rPr>
                <w:bCs/>
                <w:lang w:val="fr-FR"/>
              </w:rPr>
              <w:instrText xml:space="preserve"> =SUM(ABOVE) </w:instrText>
            </w:r>
            <w:r w:rsidRPr="002E258E">
              <w:rPr>
                <w:bCs/>
                <w:lang w:val="fr-FR"/>
              </w:rPr>
              <w:fldChar w:fldCharType="separate"/>
            </w:r>
            <w:r w:rsidRPr="002E258E">
              <w:rPr>
                <w:bCs/>
                <w:lang w:val="fr-FR"/>
              </w:rPr>
              <w:t>1</w:t>
            </w:r>
            <w:r>
              <w:rPr>
                <w:bCs/>
                <w:lang w:val="fr-FR"/>
              </w:rPr>
              <w:t>.</w:t>
            </w:r>
            <w:r w:rsidRPr="002E258E">
              <w:rPr>
                <w:bCs/>
                <w:lang w:val="fr-FR"/>
              </w:rPr>
              <w:t>825</w:t>
            </w:r>
            <w:r>
              <w:rPr>
                <w:bCs/>
                <w:lang w:val="fr-FR"/>
              </w:rPr>
              <w:t>.</w:t>
            </w:r>
            <w:r w:rsidRPr="002E258E">
              <w:rPr>
                <w:bCs/>
                <w:lang w:val="fr-FR"/>
              </w:rPr>
              <w:t>683</w:t>
            </w:r>
            <w:r w:rsidRPr="002E258E">
              <w:rPr>
                <w:bCs/>
                <w:lang w:val="fr-FR"/>
              </w:rPr>
              <w:fldChar w:fldCharType="end"/>
            </w:r>
          </w:p>
        </w:tc>
      </w:tr>
      <w:tr w:rsidR="00DD0682" w:rsidRPr="00B45727" w:rsidTr="00DD0682">
        <w:trPr>
          <w:jc w:val="center"/>
        </w:trPr>
        <w:tc>
          <w:tcPr>
            <w:tcW w:w="3674" w:type="dxa"/>
          </w:tcPr>
          <w:p w:rsidR="00DD0682" w:rsidRPr="00B45727" w:rsidRDefault="00DD0682" w:rsidP="00DD0682">
            <w:pPr>
              <w:adjustRightInd w:val="0"/>
              <w:snapToGrid w:val="0"/>
              <w:rPr>
                <w:snapToGrid w:val="0"/>
              </w:rPr>
            </w:pPr>
            <w:r w:rsidRPr="00B45727">
              <w:rPr>
                <w:snapToGrid w:val="0"/>
              </w:rPr>
              <w:t>2002</w:t>
            </w:r>
          </w:p>
        </w:tc>
        <w:tc>
          <w:tcPr>
            <w:tcW w:w="2351" w:type="dxa"/>
            <w:vAlign w:val="center"/>
          </w:tcPr>
          <w:p w:rsidR="00DD0682" w:rsidRPr="002E258E" w:rsidRDefault="00DD0682" w:rsidP="00DD0682">
            <w:pPr>
              <w:tabs>
                <w:tab w:val="decimal" w:pos="1376"/>
              </w:tabs>
              <w:rPr>
                <w:bCs/>
                <w:lang w:val="fr-FR"/>
              </w:rPr>
            </w:pPr>
            <w:r w:rsidRPr="002E258E">
              <w:rPr>
                <w:bCs/>
                <w:lang w:val="fr-FR"/>
              </w:rPr>
              <w:t>107</w:t>
            </w:r>
          </w:p>
        </w:tc>
        <w:tc>
          <w:tcPr>
            <w:tcW w:w="2394" w:type="dxa"/>
            <w:vAlign w:val="center"/>
          </w:tcPr>
          <w:p w:rsidR="00DD0682" w:rsidRPr="002E258E" w:rsidRDefault="00DD0682" w:rsidP="00DD0682">
            <w:pPr>
              <w:tabs>
                <w:tab w:val="decimal" w:pos="1615"/>
              </w:tabs>
              <w:rPr>
                <w:bCs/>
                <w:lang w:val="fr-FR"/>
              </w:rPr>
            </w:pPr>
            <w:r w:rsidRPr="002E258E">
              <w:rPr>
                <w:bCs/>
                <w:lang w:val="fr-FR"/>
              </w:rPr>
              <w:t>28</w:t>
            </w:r>
            <w:r>
              <w:rPr>
                <w:bCs/>
                <w:lang w:val="fr-FR"/>
              </w:rPr>
              <w:t>.</w:t>
            </w:r>
            <w:r w:rsidRPr="002E258E">
              <w:rPr>
                <w:bCs/>
                <w:lang w:val="fr-FR"/>
              </w:rPr>
              <w:t>459</w:t>
            </w:r>
          </w:p>
        </w:tc>
      </w:tr>
      <w:tr w:rsidR="00DD0682" w:rsidRPr="00B45727" w:rsidTr="00DD0682">
        <w:trPr>
          <w:jc w:val="center"/>
        </w:trPr>
        <w:tc>
          <w:tcPr>
            <w:tcW w:w="3674" w:type="dxa"/>
          </w:tcPr>
          <w:p w:rsidR="00DD0682" w:rsidRPr="00B45727" w:rsidRDefault="00DD0682" w:rsidP="00DD0682">
            <w:pPr>
              <w:adjustRightInd w:val="0"/>
              <w:snapToGrid w:val="0"/>
              <w:rPr>
                <w:snapToGrid w:val="0"/>
              </w:rPr>
            </w:pPr>
            <w:r w:rsidRPr="00B45727">
              <w:rPr>
                <w:snapToGrid w:val="0"/>
              </w:rPr>
              <w:t>2003</w:t>
            </w:r>
          </w:p>
        </w:tc>
        <w:tc>
          <w:tcPr>
            <w:tcW w:w="2351" w:type="dxa"/>
            <w:vAlign w:val="center"/>
          </w:tcPr>
          <w:p w:rsidR="00DD0682" w:rsidRPr="002E258E" w:rsidRDefault="00DD0682" w:rsidP="00DD0682">
            <w:pPr>
              <w:tabs>
                <w:tab w:val="decimal" w:pos="1376"/>
              </w:tabs>
              <w:rPr>
                <w:bCs/>
                <w:lang w:val="fr-FR"/>
              </w:rPr>
            </w:pPr>
            <w:r w:rsidRPr="002E258E">
              <w:rPr>
                <w:bCs/>
                <w:lang w:val="fr-FR"/>
              </w:rPr>
              <w:t>109</w:t>
            </w:r>
          </w:p>
        </w:tc>
        <w:tc>
          <w:tcPr>
            <w:tcW w:w="2394" w:type="dxa"/>
            <w:vAlign w:val="center"/>
          </w:tcPr>
          <w:p w:rsidR="00DD0682" w:rsidRPr="002E258E" w:rsidRDefault="00DD0682" w:rsidP="00DD0682">
            <w:pPr>
              <w:tabs>
                <w:tab w:val="decimal" w:pos="1615"/>
              </w:tabs>
              <w:rPr>
                <w:bCs/>
                <w:lang w:val="fr-FR"/>
              </w:rPr>
            </w:pPr>
            <w:r w:rsidRPr="002E258E">
              <w:rPr>
                <w:bCs/>
                <w:lang w:val="fr-FR"/>
              </w:rPr>
              <w:t>43</w:t>
            </w:r>
            <w:r>
              <w:rPr>
                <w:bCs/>
                <w:lang w:val="fr-FR"/>
              </w:rPr>
              <w:t>.</w:t>
            </w:r>
            <w:r w:rsidRPr="002E258E">
              <w:rPr>
                <w:bCs/>
                <w:lang w:val="fr-FR"/>
              </w:rPr>
              <w:t>868</w:t>
            </w:r>
          </w:p>
        </w:tc>
      </w:tr>
      <w:tr w:rsidR="00DD0682" w:rsidRPr="00B45727" w:rsidTr="00DD0682">
        <w:trPr>
          <w:jc w:val="center"/>
        </w:trPr>
        <w:tc>
          <w:tcPr>
            <w:tcW w:w="3674" w:type="dxa"/>
          </w:tcPr>
          <w:p w:rsidR="00DD0682" w:rsidRPr="00B45727" w:rsidRDefault="00DD0682" w:rsidP="00DD0682">
            <w:pPr>
              <w:adjustRightInd w:val="0"/>
              <w:snapToGrid w:val="0"/>
              <w:rPr>
                <w:snapToGrid w:val="0"/>
              </w:rPr>
            </w:pPr>
            <w:r w:rsidRPr="00B45727">
              <w:rPr>
                <w:snapToGrid w:val="0"/>
              </w:rPr>
              <w:t>2004</w:t>
            </w:r>
          </w:p>
        </w:tc>
        <w:tc>
          <w:tcPr>
            <w:tcW w:w="2351" w:type="dxa"/>
            <w:vAlign w:val="center"/>
          </w:tcPr>
          <w:p w:rsidR="00DD0682" w:rsidRPr="002E258E" w:rsidRDefault="00DD0682" w:rsidP="00DD0682">
            <w:pPr>
              <w:tabs>
                <w:tab w:val="decimal" w:pos="1376"/>
              </w:tabs>
              <w:rPr>
                <w:bCs/>
                <w:lang w:val="fr-FR"/>
              </w:rPr>
            </w:pPr>
            <w:r w:rsidRPr="002E258E">
              <w:rPr>
                <w:bCs/>
                <w:lang w:val="fr-FR"/>
              </w:rPr>
              <w:t>100</w:t>
            </w:r>
          </w:p>
        </w:tc>
        <w:tc>
          <w:tcPr>
            <w:tcW w:w="2394" w:type="dxa"/>
            <w:vAlign w:val="center"/>
          </w:tcPr>
          <w:p w:rsidR="00DD0682" w:rsidRPr="002E258E" w:rsidRDefault="00DD0682" w:rsidP="00DD0682">
            <w:pPr>
              <w:tabs>
                <w:tab w:val="decimal" w:pos="1615"/>
              </w:tabs>
              <w:rPr>
                <w:bCs/>
                <w:lang w:val="fr-FR"/>
              </w:rPr>
            </w:pPr>
            <w:r w:rsidRPr="002E258E">
              <w:rPr>
                <w:bCs/>
                <w:lang w:val="fr-FR"/>
              </w:rPr>
              <w:t>68</w:t>
            </w:r>
            <w:r>
              <w:rPr>
                <w:bCs/>
                <w:lang w:val="fr-FR"/>
              </w:rPr>
              <w:t>.</w:t>
            </w:r>
            <w:r w:rsidRPr="002E258E">
              <w:rPr>
                <w:bCs/>
                <w:lang w:val="fr-FR"/>
              </w:rPr>
              <w:t>916</w:t>
            </w:r>
          </w:p>
        </w:tc>
      </w:tr>
      <w:tr w:rsidR="00DD0682" w:rsidRPr="00B45727" w:rsidTr="00DD0682">
        <w:trPr>
          <w:jc w:val="center"/>
        </w:trPr>
        <w:tc>
          <w:tcPr>
            <w:tcW w:w="3674" w:type="dxa"/>
          </w:tcPr>
          <w:p w:rsidR="00DD0682" w:rsidRPr="00B45727" w:rsidRDefault="00DD0682" w:rsidP="00DD0682">
            <w:pPr>
              <w:adjustRightInd w:val="0"/>
              <w:snapToGrid w:val="0"/>
              <w:rPr>
                <w:snapToGrid w:val="0"/>
              </w:rPr>
            </w:pPr>
            <w:r w:rsidRPr="00B45727">
              <w:rPr>
                <w:snapToGrid w:val="0"/>
              </w:rPr>
              <w:t>2005</w:t>
            </w:r>
          </w:p>
        </w:tc>
        <w:tc>
          <w:tcPr>
            <w:tcW w:w="2351" w:type="dxa"/>
            <w:vAlign w:val="center"/>
          </w:tcPr>
          <w:p w:rsidR="00DD0682" w:rsidRPr="002E258E" w:rsidRDefault="00DD0682" w:rsidP="00DD0682">
            <w:pPr>
              <w:tabs>
                <w:tab w:val="decimal" w:pos="1376"/>
              </w:tabs>
              <w:rPr>
                <w:bCs/>
                <w:lang w:val="fr-FR"/>
              </w:rPr>
            </w:pPr>
            <w:r w:rsidRPr="002E258E">
              <w:rPr>
                <w:bCs/>
                <w:lang w:val="fr-FR"/>
              </w:rPr>
              <w:t>92</w:t>
            </w:r>
          </w:p>
        </w:tc>
        <w:tc>
          <w:tcPr>
            <w:tcW w:w="2394" w:type="dxa"/>
            <w:vAlign w:val="center"/>
          </w:tcPr>
          <w:p w:rsidR="00DD0682" w:rsidRPr="002E258E" w:rsidRDefault="00DD0682" w:rsidP="00DD0682">
            <w:pPr>
              <w:tabs>
                <w:tab w:val="decimal" w:pos="1615"/>
              </w:tabs>
              <w:rPr>
                <w:bCs/>
                <w:lang w:val="fr-FR"/>
              </w:rPr>
            </w:pPr>
            <w:r w:rsidRPr="002E258E">
              <w:rPr>
                <w:bCs/>
                <w:lang w:val="fr-FR"/>
              </w:rPr>
              <w:t>36</w:t>
            </w:r>
            <w:r>
              <w:rPr>
                <w:bCs/>
                <w:lang w:val="fr-FR"/>
              </w:rPr>
              <w:t>.</w:t>
            </w:r>
            <w:r w:rsidRPr="002E258E">
              <w:rPr>
                <w:bCs/>
                <w:lang w:val="fr-FR"/>
              </w:rPr>
              <w:t>219</w:t>
            </w:r>
          </w:p>
        </w:tc>
      </w:tr>
      <w:tr w:rsidR="00DD0682" w:rsidRPr="00B45727" w:rsidTr="00DD0682">
        <w:trPr>
          <w:jc w:val="center"/>
        </w:trPr>
        <w:tc>
          <w:tcPr>
            <w:tcW w:w="3674" w:type="dxa"/>
          </w:tcPr>
          <w:p w:rsidR="00DD0682" w:rsidRPr="00B45727" w:rsidRDefault="00DD0682" w:rsidP="00DD0682">
            <w:pPr>
              <w:adjustRightInd w:val="0"/>
              <w:snapToGrid w:val="0"/>
              <w:rPr>
                <w:snapToGrid w:val="0"/>
              </w:rPr>
            </w:pPr>
            <w:r w:rsidRPr="00B45727">
              <w:rPr>
                <w:snapToGrid w:val="0"/>
              </w:rPr>
              <w:t>2006</w:t>
            </w:r>
          </w:p>
        </w:tc>
        <w:tc>
          <w:tcPr>
            <w:tcW w:w="2351" w:type="dxa"/>
            <w:vAlign w:val="center"/>
          </w:tcPr>
          <w:p w:rsidR="00DD0682" w:rsidRPr="002E258E" w:rsidRDefault="00DD0682" w:rsidP="00DD0682">
            <w:pPr>
              <w:tabs>
                <w:tab w:val="decimal" w:pos="1376"/>
              </w:tabs>
              <w:rPr>
                <w:bCs/>
                <w:lang w:val="fr-FR"/>
              </w:rPr>
            </w:pPr>
            <w:r w:rsidRPr="002E258E">
              <w:rPr>
                <w:bCs/>
                <w:lang w:val="fr-FR"/>
              </w:rPr>
              <w:t>111</w:t>
            </w:r>
          </w:p>
        </w:tc>
        <w:tc>
          <w:tcPr>
            <w:tcW w:w="2394" w:type="dxa"/>
            <w:vAlign w:val="center"/>
          </w:tcPr>
          <w:p w:rsidR="00DD0682" w:rsidRPr="002E258E" w:rsidRDefault="00DD0682" w:rsidP="00DD0682">
            <w:pPr>
              <w:tabs>
                <w:tab w:val="decimal" w:pos="1615"/>
              </w:tabs>
              <w:rPr>
                <w:bCs/>
                <w:lang w:val="fr-FR"/>
              </w:rPr>
            </w:pPr>
            <w:r w:rsidRPr="002E258E">
              <w:rPr>
                <w:bCs/>
                <w:lang w:val="fr-FR"/>
              </w:rPr>
              <w:t>30</w:t>
            </w:r>
            <w:r>
              <w:rPr>
                <w:bCs/>
                <w:lang w:val="fr-FR"/>
              </w:rPr>
              <w:t>.</w:t>
            </w:r>
            <w:r w:rsidRPr="002E258E">
              <w:rPr>
                <w:bCs/>
                <w:lang w:val="fr-FR"/>
              </w:rPr>
              <w:t>812</w:t>
            </w:r>
          </w:p>
        </w:tc>
      </w:tr>
      <w:tr w:rsidR="00DD0682" w:rsidRPr="00B45727" w:rsidTr="00DD0682">
        <w:trPr>
          <w:jc w:val="center"/>
        </w:trPr>
        <w:tc>
          <w:tcPr>
            <w:tcW w:w="3674" w:type="dxa"/>
          </w:tcPr>
          <w:p w:rsidR="00DD0682" w:rsidRPr="00B45727" w:rsidRDefault="00DD0682" w:rsidP="00DD0682">
            <w:pPr>
              <w:adjustRightInd w:val="0"/>
              <w:snapToGrid w:val="0"/>
              <w:ind w:firstLine="567"/>
              <w:rPr>
                <w:b/>
                <w:snapToGrid w:val="0"/>
              </w:rPr>
            </w:pPr>
            <w:r w:rsidRPr="00B45727">
              <w:rPr>
                <w:b/>
                <w:snapToGrid w:val="0"/>
              </w:rPr>
              <w:t>Total general</w:t>
            </w:r>
          </w:p>
        </w:tc>
        <w:tc>
          <w:tcPr>
            <w:tcW w:w="2351" w:type="dxa"/>
            <w:vAlign w:val="center"/>
          </w:tcPr>
          <w:p w:rsidR="00DD0682" w:rsidRPr="000C3C1E" w:rsidRDefault="00DD0682" w:rsidP="00DD0682">
            <w:pPr>
              <w:tabs>
                <w:tab w:val="decimal" w:pos="1376"/>
              </w:tabs>
              <w:rPr>
                <w:b/>
                <w:bCs/>
                <w:lang w:val="fr-FR"/>
              </w:rPr>
            </w:pPr>
            <w:r w:rsidRPr="000C3C1E">
              <w:rPr>
                <w:b/>
                <w:bCs/>
                <w:lang w:val="fr-FR"/>
              </w:rPr>
              <w:fldChar w:fldCharType="begin"/>
            </w:r>
            <w:r w:rsidRPr="000C3C1E">
              <w:rPr>
                <w:b/>
                <w:bCs/>
                <w:lang w:val="fr-FR"/>
              </w:rPr>
              <w:instrText xml:space="preserve"> =SUM(ABOVE) </w:instrText>
            </w:r>
            <w:r w:rsidRPr="000C3C1E">
              <w:rPr>
                <w:b/>
                <w:bCs/>
                <w:lang w:val="fr-FR"/>
              </w:rPr>
              <w:fldChar w:fldCharType="separate"/>
            </w:r>
            <w:r w:rsidRPr="000C3C1E">
              <w:rPr>
                <w:b/>
                <w:bCs/>
                <w:lang w:val="fr-FR"/>
              </w:rPr>
              <w:t>2.505</w:t>
            </w:r>
            <w:r w:rsidRPr="000C3C1E">
              <w:rPr>
                <w:b/>
                <w:bCs/>
                <w:lang w:val="fr-FR"/>
              </w:rPr>
              <w:fldChar w:fldCharType="end"/>
            </w:r>
          </w:p>
        </w:tc>
        <w:tc>
          <w:tcPr>
            <w:tcW w:w="2394" w:type="dxa"/>
            <w:vAlign w:val="center"/>
          </w:tcPr>
          <w:p w:rsidR="00DD0682" w:rsidRPr="000C3C1E" w:rsidRDefault="00DD0682" w:rsidP="00DD0682">
            <w:pPr>
              <w:tabs>
                <w:tab w:val="decimal" w:pos="1615"/>
              </w:tabs>
              <w:rPr>
                <w:b/>
                <w:bCs/>
                <w:lang w:val="fr-FR"/>
              </w:rPr>
            </w:pPr>
            <w:r w:rsidRPr="000C3C1E">
              <w:rPr>
                <w:b/>
                <w:bCs/>
                <w:lang w:val="fr-FR"/>
              </w:rPr>
              <w:fldChar w:fldCharType="begin"/>
            </w:r>
            <w:r w:rsidRPr="000C3C1E">
              <w:rPr>
                <w:b/>
                <w:bCs/>
                <w:lang w:val="fr-FR"/>
              </w:rPr>
              <w:instrText xml:space="preserve"> =SUM(ABOVE) </w:instrText>
            </w:r>
            <w:r w:rsidRPr="000C3C1E">
              <w:rPr>
                <w:b/>
                <w:bCs/>
                <w:lang w:val="fr-FR"/>
              </w:rPr>
              <w:fldChar w:fldCharType="separate"/>
            </w:r>
            <w:r w:rsidRPr="000C3C1E">
              <w:rPr>
                <w:b/>
                <w:bCs/>
                <w:lang w:val="fr-FR"/>
              </w:rPr>
              <w:t>2.033.957</w:t>
            </w:r>
            <w:r w:rsidRPr="000C3C1E">
              <w:rPr>
                <w:b/>
                <w:bCs/>
                <w:lang w:val="fr-FR"/>
              </w:rPr>
              <w:fldChar w:fldCharType="end"/>
            </w:r>
          </w:p>
        </w:tc>
      </w:tr>
    </w:tbl>
    <w:p w:rsidR="00DD0682" w:rsidRPr="00B45727" w:rsidRDefault="00DD0682" w:rsidP="00DD0682">
      <w:pPr>
        <w:keepNext/>
        <w:keepLines/>
        <w:adjustRightInd w:val="0"/>
        <w:snapToGrid w:val="0"/>
        <w:spacing w:before="480" w:after="240"/>
        <w:rPr>
          <w:b/>
          <w:snapToGrid w:val="0"/>
        </w:rPr>
      </w:pPr>
      <w:r>
        <w:rPr>
          <w:b/>
          <w:snapToGrid w:val="0"/>
        </w:rPr>
        <w:tab/>
      </w:r>
      <w:r w:rsidRPr="00B45727">
        <w:rPr>
          <w:b/>
          <w:snapToGrid w:val="0"/>
        </w:rPr>
        <w:t>d)</w:t>
      </w:r>
      <w:r>
        <w:rPr>
          <w:b/>
          <w:snapToGrid w:val="0"/>
        </w:rPr>
        <w:tab/>
      </w:r>
      <w:r w:rsidRPr="00B45727">
        <w:rPr>
          <w:b/>
          <w:snapToGrid w:val="0"/>
        </w:rPr>
        <w:t>Los acuerdos colectivos de empresas</w:t>
      </w:r>
    </w:p>
    <w:tbl>
      <w:tblPr>
        <w:tblStyle w:val="TableGrid"/>
        <w:tblW w:w="0" w:type="auto"/>
        <w:jc w:val="center"/>
        <w:tblInd w:w="277" w:type="dxa"/>
        <w:tblLook w:val="01E0" w:firstRow="1" w:lastRow="1" w:firstColumn="1" w:lastColumn="1" w:noHBand="0" w:noVBand="0"/>
      </w:tblPr>
      <w:tblGrid>
        <w:gridCol w:w="3696"/>
        <w:gridCol w:w="2354"/>
        <w:gridCol w:w="2381"/>
      </w:tblGrid>
      <w:tr w:rsidR="00DD0682" w:rsidRPr="00751479" w:rsidTr="00DD0682">
        <w:trPr>
          <w:jc w:val="center"/>
        </w:trPr>
        <w:tc>
          <w:tcPr>
            <w:tcW w:w="3696" w:type="dxa"/>
          </w:tcPr>
          <w:p w:rsidR="00DD0682" w:rsidRPr="00B45727" w:rsidRDefault="00DD0682" w:rsidP="00DD0682">
            <w:pPr>
              <w:adjustRightInd w:val="0"/>
              <w:snapToGrid w:val="0"/>
              <w:jc w:val="center"/>
              <w:rPr>
                <w:b/>
                <w:snapToGrid w:val="0"/>
              </w:rPr>
            </w:pPr>
            <w:r w:rsidRPr="00B45727">
              <w:rPr>
                <w:b/>
                <w:snapToGrid w:val="0"/>
              </w:rPr>
              <w:t>Año</w:t>
            </w:r>
            <w:r>
              <w:rPr>
                <w:b/>
                <w:snapToGrid w:val="0"/>
              </w:rPr>
              <w:t>s</w:t>
            </w:r>
          </w:p>
        </w:tc>
        <w:tc>
          <w:tcPr>
            <w:tcW w:w="2354" w:type="dxa"/>
          </w:tcPr>
          <w:p w:rsidR="00DD0682" w:rsidRPr="00B45727" w:rsidRDefault="00DD0682" w:rsidP="00DD0682">
            <w:pPr>
              <w:keepNext/>
              <w:keepLines/>
              <w:adjustRightInd w:val="0"/>
              <w:snapToGrid w:val="0"/>
              <w:jc w:val="center"/>
              <w:rPr>
                <w:b/>
                <w:snapToGrid w:val="0"/>
              </w:rPr>
            </w:pPr>
            <w:r w:rsidRPr="00B45727">
              <w:rPr>
                <w:b/>
                <w:snapToGrid w:val="0"/>
              </w:rPr>
              <w:t>Número</w:t>
            </w:r>
          </w:p>
        </w:tc>
        <w:tc>
          <w:tcPr>
            <w:tcW w:w="2381" w:type="dxa"/>
          </w:tcPr>
          <w:p w:rsidR="00DD0682" w:rsidRPr="00B45727" w:rsidRDefault="00DD0682" w:rsidP="00DD0682">
            <w:pPr>
              <w:keepNext/>
              <w:keepLines/>
              <w:adjustRightInd w:val="0"/>
              <w:snapToGrid w:val="0"/>
              <w:jc w:val="center"/>
              <w:rPr>
                <w:b/>
                <w:snapToGrid w:val="0"/>
              </w:rPr>
            </w:pPr>
            <w:r w:rsidRPr="00B45727">
              <w:rPr>
                <w:b/>
                <w:snapToGrid w:val="0"/>
              </w:rPr>
              <w:t>Efectivos</w:t>
            </w:r>
          </w:p>
        </w:tc>
      </w:tr>
      <w:tr w:rsidR="00DD0682" w:rsidRPr="00751479" w:rsidTr="00DD0682">
        <w:trPr>
          <w:jc w:val="center"/>
        </w:trPr>
        <w:tc>
          <w:tcPr>
            <w:tcW w:w="3696" w:type="dxa"/>
          </w:tcPr>
          <w:p w:rsidR="00DD0682" w:rsidRPr="00B45727" w:rsidRDefault="00DD0682" w:rsidP="00DD0682">
            <w:pPr>
              <w:adjustRightInd w:val="0"/>
              <w:snapToGrid w:val="0"/>
              <w:rPr>
                <w:snapToGrid w:val="0"/>
              </w:rPr>
            </w:pPr>
            <w:r>
              <w:rPr>
                <w:snapToGrid w:val="0"/>
              </w:rPr>
              <w:t>Consolidado de</w:t>
            </w:r>
            <w:r w:rsidRPr="00B45727">
              <w:rPr>
                <w:snapToGrid w:val="0"/>
              </w:rPr>
              <w:t xml:space="preserve"> 1990</w:t>
            </w:r>
            <w:r>
              <w:rPr>
                <w:snapToGrid w:val="0"/>
              </w:rPr>
              <w:t xml:space="preserve"> a </w:t>
            </w:r>
            <w:r w:rsidRPr="00B45727">
              <w:rPr>
                <w:snapToGrid w:val="0"/>
              </w:rPr>
              <w:t>2001</w:t>
            </w:r>
          </w:p>
        </w:tc>
        <w:tc>
          <w:tcPr>
            <w:tcW w:w="2354" w:type="dxa"/>
            <w:vAlign w:val="center"/>
          </w:tcPr>
          <w:p w:rsidR="00DD0682" w:rsidRPr="002E258E" w:rsidRDefault="00DD0682" w:rsidP="00DD0682">
            <w:pPr>
              <w:tabs>
                <w:tab w:val="decimal" w:pos="1376"/>
              </w:tabs>
              <w:rPr>
                <w:bCs/>
                <w:lang w:val="fr-FR"/>
              </w:rPr>
            </w:pPr>
            <w:r w:rsidRPr="002E258E">
              <w:rPr>
                <w:bCs/>
                <w:lang w:val="fr-FR"/>
              </w:rPr>
              <w:fldChar w:fldCharType="begin"/>
            </w:r>
            <w:r w:rsidRPr="002E258E">
              <w:rPr>
                <w:bCs/>
                <w:lang w:val="fr-FR"/>
              </w:rPr>
              <w:instrText xml:space="preserve"> =SUM(ABOVE) </w:instrText>
            </w:r>
            <w:r w:rsidRPr="002E258E">
              <w:rPr>
                <w:bCs/>
                <w:lang w:val="fr-FR"/>
              </w:rPr>
              <w:fldChar w:fldCharType="separate"/>
            </w:r>
            <w:r w:rsidRPr="002E258E">
              <w:rPr>
                <w:bCs/>
                <w:lang w:val="fr-FR"/>
              </w:rPr>
              <w:t>9</w:t>
            </w:r>
            <w:r>
              <w:rPr>
                <w:bCs/>
                <w:lang w:val="fr-FR"/>
              </w:rPr>
              <w:t>.</w:t>
            </w:r>
            <w:r w:rsidRPr="002E258E">
              <w:rPr>
                <w:bCs/>
                <w:lang w:val="fr-FR"/>
              </w:rPr>
              <w:t>115</w:t>
            </w:r>
            <w:r w:rsidRPr="002E258E">
              <w:rPr>
                <w:bCs/>
                <w:lang w:val="fr-FR"/>
              </w:rPr>
              <w:fldChar w:fldCharType="end"/>
            </w:r>
          </w:p>
        </w:tc>
        <w:tc>
          <w:tcPr>
            <w:tcW w:w="2381" w:type="dxa"/>
            <w:vAlign w:val="center"/>
          </w:tcPr>
          <w:p w:rsidR="00DD0682" w:rsidRPr="002E258E" w:rsidRDefault="00DD0682" w:rsidP="00DD0682">
            <w:pPr>
              <w:tabs>
                <w:tab w:val="decimal" w:pos="1615"/>
              </w:tabs>
              <w:rPr>
                <w:bCs/>
                <w:lang w:val="fr-FR"/>
              </w:rPr>
            </w:pPr>
            <w:r w:rsidRPr="002E258E">
              <w:rPr>
                <w:bCs/>
                <w:lang w:val="fr-FR"/>
              </w:rPr>
              <w:fldChar w:fldCharType="begin"/>
            </w:r>
            <w:r w:rsidRPr="002E258E">
              <w:rPr>
                <w:bCs/>
                <w:lang w:val="fr-FR"/>
              </w:rPr>
              <w:instrText xml:space="preserve"> =SUM(ABOVE) </w:instrText>
            </w:r>
            <w:r w:rsidRPr="002E258E">
              <w:rPr>
                <w:bCs/>
                <w:lang w:val="fr-FR"/>
              </w:rPr>
              <w:fldChar w:fldCharType="separate"/>
            </w:r>
            <w:r w:rsidRPr="002E258E">
              <w:rPr>
                <w:bCs/>
                <w:lang w:val="fr-FR"/>
              </w:rPr>
              <w:t>2</w:t>
            </w:r>
            <w:r>
              <w:rPr>
                <w:bCs/>
                <w:lang w:val="fr-FR"/>
              </w:rPr>
              <w:t>.</w:t>
            </w:r>
            <w:r w:rsidRPr="002E258E">
              <w:rPr>
                <w:bCs/>
                <w:lang w:val="fr-FR"/>
              </w:rPr>
              <w:t>438</w:t>
            </w:r>
            <w:r>
              <w:rPr>
                <w:bCs/>
                <w:lang w:val="fr-FR"/>
              </w:rPr>
              <w:t>.</w:t>
            </w:r>
            <w:r w:rsidRPr="002E258E">
              <w:rPr>
                <w:bCs/>
                <w:lang w:val="fr-FR"/>
              </w:rPr>
              <w:t>167</w:t>
            </w:r>
            <w:r w:rsidRPr="002E258E">
              <w:rPr>
                <w:bCs/>
                <w:lang w:val="fr-FR"/>
              </w:rPr>
              <w:fldChar w:fldCharType="end"/>
            </w:r>
          </w:p>
        </w:tc>
      </w:tr>
      <w:tr w:rsidR="00DD0682" w:rsidRPr="00751479" w:rsidTr="00DD0682">
        <w:trPr>
          <w:jc w:val="center"/>
        </w:trPr>
        <w:tc>
          <w:tcPr>
            <w:tcW w:w="3696" w:type="dxa"/>
          </w:tcPr>
          <w:p w:rsidR="00DD0682" w:rsidRPr="00751479" w:rsidRDefault="00DD0682" w:rsidP="00DD0682">
            <w:pPr>
              <w:adjustRightInd w:val="0"/>
              <w:snapToGrid w:val="0"/>
              <w:rPr>
                <w:snapToGrid w:val="0"/>
              </w:rPr>
            </w:pPr>
            <w:r w:rsidRPr="00751479">
              <w:rPr>
                <w:snapToGrid w:val="0"/>
              </w:rPr>
              <w:t>2002</w:t>
            </w:r>
          </w:p>
        </w:tc>
        <w:tc>
          <w:tcPr>
            <w:tcW w:w="2354" w:type="dxa"/>
            <w:vAlign w:val="center"/>
          </w:tcPr>
          <w:p w:rsidR="00DD0682" w:rsidRPr="002E258E" w:rsidRDefault="00DD0682" w:rsidP="00DD0682">
            <w:pPr>
              <w:tabs>
                <w:tab w:val="decimal" w:pos="1376"/>
              </w:tabs>
              <w:rPr>
                <w:bCs/>
                <w:lang w:val="fr-FR"/>
              </w:rPr>
            </w:pPr>
            <w:r w:rsidRPr="002E258E">
              <w:rPr>
                <w:bCs/>
                <w:lang w:val="fr-FR"/>
              </w:rPr>
              <w:t>682</w:t>
            </w:r>
          </w:p>
        </w:tc>
        <w:tc>
          <w:tcPr>
            <w:tcW w:w="2381" w:type="dxa"/>
            <w:vAlign w:val="center"/>
          </w:tcPr>
          <w:p w:rsidR="00DD0682" w:rsidRPr="002E258E" w:rsidRDefault="00DD0682" w:rsidP="00DD0682">
            <w:pPr>
              <w:tabs>
                <w:tab w:val="decimal" w:pos="1615"/>
              </w:tabs>
              <w:rPr>
                <w:bCs/>
                <w:lang w:val="fr-FR"/>
              </w:rPr>
            </w:pPr>
            <w:r w:rsidRPr="002E258E">
              <w:rPr>
                <w:bCs/>
                <w:lang w:val="fr-FR"/>
              </w:rPr>
              <w:t>198</w:t>
            </w:r>
            <w:r>
              <w:rPr>
                <w:bCs/>
                <w:lang w:val="fr-FR"/>
              </w:rPr>
              <w:t>.</w:t>
            </w:r>
            <w:r w:rsidRPr="002E258E">
              <w:rPr>
                <w:bCs/>
                <w:lang w:val="fr-FR"/>
              </w:rPr>
              <w:t>911</w:t>
            </w:r>
          </w:p>
        </w:tc>
      </w:tr>
      <w:tr w:rsidR="00DD0682" w:rsidRPr="00751479" w:rsidTr="00DD0682">
        <w:trPr>
          <w:jc w:val="center"/>
        </w:trPr>
        <w:tc>
          <w:tcPr>
            <w:tcW w:w="3696" w:type="dxa"/>
          </w:tcPr>
          <w:p w:rsidR="00DD0682" w:rsidRPr="00751479" w:rsidRDefault="00DD0682" w:rsidP="00DD0682">
            <w:pPr>
              <w:adjustRightInd w:val="0"/>
              <w:snapToGrid w:val="0"/>
              <w:rPr>
                <w:snapToGrid w:val="0"/>
              </w:rPr>
            </w:pPr>
            <w:r w:rsidRPr="00751479">
              <w:rPr>
                <w:snapToGrid w:val="0"/>
              </w:rPr>
              <w:t>2003</w:t>
            </w:r>
          </w:p>
        </w:tc>
        <w:tc>
          <w:tcPr>
            <w:tcW w:w="2354" w:type="dxa"/>
            <w:vAlign w:val="center"/>
          </w:tcPr>
          <w:p w:rsidR="00DD0682" w:rsidRPr="002E258E" w:rsidRDefault="00DD0682" w:rsidP="00DD0682">
            <w:pPr>
              <w:tabs>
                <w:tab w:val="decimal" w:pos="1376"/>
              </w:tabs>
              <w:rPr>
                <w:bCs/>
                <w:lang w:val="fr-FR"/>
              </w:rPr>
            </w:pPr>
            <w:r w:rsidRPr="002E258E">
              <w:rPr>
                <w:bCs/>
                <w:lang w:val="fr-FR"/>
              </w:rPr>
              <w:t>759</w:t>
            </w:r>
          </w:p>
        </w:tc>
        <w:tc>
          <w:tcPr>
            <w:tcW w:w="2381" w:type="dxa"/>
            <w:vAlign w:val="center"/>
          </w:tcPr>
          <w:p w:rsidR="00DD0682" w:rsidRPr="002E258E" w:rsidRDefault="00DD0682" w:rsidP="00DD0682">
            <w:pPr>
              <w:tabs>
                <w:tab w:val="decimal" w:pos="1615"/>
              </w:tabs>
              <w:rPr>
                <w:bCs/>
                <w:lang w:val="fr-FR"/>
              </w:rPr>
            </w:pPr>
            <w:r w:rsidRPr="002E258E">
              <w:rPr>
                <w:bCs/>
                <w:lang w:val="fr-FR"/>
              </w:rPr>
              <w:t>190</w:t>
            </w:r>
            <w:r>
              <w:rPr>
                <w:bCs/>
                <w:lang w:val="fr-FR"/>
              </w:rPr>
              <w:t>.</w:t>
            </w:r>
            <w:r w:rsidRPr="002E258E">
              <w:rPr>
                <w:bCs/>
                <w:lang w:val="fr-FR"/>
              </w:rPr>
              <w:t>939</w:t>
            </w:r>
          </w:p>
        </w:tc>
      </w:tr>
      <w:tr w:rsidR="00DD0682" w:rsidRPr="00751479" w:rsidTr="00DD0682">
        <w:trPr>
          <w:jc w:val="center"/>
        </w:trPr>
        <w:tc>
          <w:tcPr>
            <w:tcW w:w="3696" w:type="dxa"/>
          </w:tcPr>
          <w:p w:rsidR="00DD0682" w:rsidRPr="00751479" w:rsidRDefault="00DD0682" w:rsidP="00DD0682">
            <w:pPr>
              <w:adjustRightInd w:val="0"/>
              <w:snapToGrid w:val="0"/>
              <w:rPr>
                <w:snapToGrid w:val="0"/>
              </w:rPr>
            </w:pPr>
            <w:r w:rsidRPr="00751479">
              <w:rPr>
                <w:snapToGrid w:val="0"/>
              </w:rPr>
              <w:t>2004</w:t>
            </w:r>
          </w:p>
        </w:tc>
        <w:tc>
          <w:tcPr>
            <w:tcW w:w="2354" w:type="dxa"/>
            <w:vAlign w:val="center"/>
          </w:tcPr>
          <w:p w:rsidR="00DD0682" w:rsidRPr="002E258E" w:rsidRDefault="00DD0682" w:rsidP="00DD0682">
            <w:pPr>
              <w:tabs>
                <w:tab w:val="decimal" w:pos="1376"/>
              </w:tabs>
              <w:rPr>
                <w:bCs/>
                <w:lang w:val="fr-FR"/>
              </w:rPr>
            </w:pPr>
            <w:r w:rsidRPr="002E258E">
              <w:rPr>
                <w:bCs/>
                <w:lang w:val="fr-FR"/>
              </w:rPr>
              <w:t>708</w:t>
            </w:r>
          </w:p>
        </w:tc>
        <w:tc>
          <w:tcPr>
            <w:tcW w:w="2381" w:type="dxa"/>
            <w:vAlign w:val="center"/>
          </w:tcPr>
          <w:p w:rsidR="00DD0682" w:rsidRPr="002E258E" w:rsidRDefault="00DD0682" w:rsidP="00DD0682">
            <w:pPr>
              <w:tabs>
                <w:tab w:val="decimal" w:pos="1615"/>
              </w:tabs>
              <w:rPr>
                <w:bCs/>
                <w:lang w:val="fr-FR"/>
              </w:rPr>
            </w:pPr>
            <w:r w:rsidRPr="002E258E">
              <w:rPr>
                <w:bCs/>
                <w:lang w:val="fr-FR"/>
              </w:rPr>
              <w:t>307</w:t>
            </w:r>
            <w:r>
              <w:rPr>
                <w:bCs/>
                <w:lang w:val="fr-FR"/>
              </w:rPr>
              <w:t>.</w:t>
            </w:r>
            <w:r w:rsidRPr="002E258E">
              <w:rPr>
                <w:bCs/>
                <w:lang w:val="fr-FR"/>
              </w:rPr>
              <w:t>446</w:t>
            </w:r>
          </w:p>
        </w:tc>
      </w:tr>
      <w:tr w:rsidR="00DD0682" w:rsidRPr="00751479" w:rsidTr="00DD0682">
        <w:trPr>
          <w:jc w:val="center"/>
        </w:trPr>
        <w:tc>
          <w:tcPr>
            <w:tcW w:w="3696" w:type="dxa"/>
          </w:tcPr>
          <w:p w:rsidR="00DD0682" w:rsidRPr="00751479" w:rsidRDefault="00DD0682" w:rsidP="00DD0682">
            <w:pPr>
              <w:adjustRightInd w:val="0"/>
              <w:snapToGrid w:val="0"/>
              <w:rPr>
                <w:snapToGrid w:val="0"/>
              </w:rPr>
            </w:pPr>
            <w:r w:rsidRPr="00751479">
              <w:rPr>
                <w:snapToGrid w:val="0"/>
              </w:rPr>
              <w:t>2005</w:t>
            </w:r>
          </w:p>
        </w:tc>
        <w:tc>
          <w:tcPr>
            <w:tcW w:w="2354" w:type="dxa"/>
            <w:vAlign w:val="center"/>
          </w:tcPr>
          <w:p w:rsidR="00DD0682" w:rsidRPr="002E258E" w:rsidRDefault="00DD0682" w:rsidP="00DD0682">
            <w:pPr>
              <w:tabs>
                <w:tab w:val="decimal" w:pos="1376"/>
              </w:tabs>
              <w:rPr>
                <w:bCs/>
                <w:lang w:val="fr-FR"/>
              </w:rPr>
            </w:pPr>
            <w:r w:rsidRPr="002E258E">
              <w:rPr>
                <w:bCs/>
                <w:lang w:val="fr-FR"/>
              </w:rPr>
              <w:t>549</w:t>
            </w:r>
          </w:p>
        </w:tc>
        <w:tc>
          <w:tcPr>
            <w:tcW w:w="2381" w:type="dxa"/>
            <w:vAlign w:val="center"/>
          </w:tcPr>
          <w:p w:rsidR="00DD0682" w:rsidRPr="002E258E" w:rsidRDefault="00DD0682" w:rsidP="00DD0682">
            <w:pPr>
              <w:tabs>
                <w:tab w:val="decimal" w:pos="1615"/>
              </w:tabs>
              <w:rPr>
                <w:bCs/>
                <w:lang w:val="fr-FR"/>
              </w:rPr>
            </w:pPr>
            <w:r w:rsidRPr="002E258E">
              <w:rPr>
                <w:bCs/>
                <w:lang w:val="fr-FR"/>
              </w:rPr>
              <w:t>327</w:t>
            </w:r>
            <w:r>
              <w:rPr>
                <w:bCs/>
                <w:lang w:val="fr-FR"/>
              </w:rPr>
              <w:t>.</w:t>
            </w:r>
            <w:r w:rsidRPr="002E258E">
              <w:rPr>
                <w:bCs/>
                <w:lang w:val="fr-FR"/>
              </w:rPr>
              <w:t>015</w:t>
            </w:r>
          </w:p>
        </w:tc>
      </w:tr>
      <w:tr w:rsidR="00DD0682" w:rsidRPr="00751479" w:rsidTr="00DD0682">
        <w:trPr>
          <w:jc w:val="center"/>
        </w:trPr>
        <w:tc>
          <w:tcPr>
            <w:tcW w:w="3696" w:type="dxa"/>
          </w:tcPr>
          <w:p w:rsidR="00DD0682" w:rsidRPr="00B45727" w:rsidRDefault="00DD0682" w:rsidP="00DD0682">
            <w:pPr>
              <w:adjustRightInd w:val="0"/>
              <w:snapToGrid w:val="0"/>
              <w:rPr>
                <w:snapToGrid w:val="0"/>
              </w:rPr>
            </w:pPr>
            <w:r w:rsidRPr="00B45727">
              <w:rPr>
                <w:snapToGrid w:val="0"/>
              </w:rPr>
              <w:t>2006</w:t>
            </w:r>
          </w:p>
        </w:tc>
        <w:tc>
          <w:tcPr>
            <w:tcW w:w="2354" w:type="dxa"/>
            <w:vAlign w:val="center"/>
          </w:tcPr>
          <w:p w:rsidR="00DD0682" w:rsidRPr="002E258E" w:rsidRDefault="00DD0682" w:rsidP="00DD0682">
            <w:pPr>
              <w:tabs>
                <w:tab w:val="decimal" w:pos="1376"/>
              </w:tabs>
              <w:rPr>
                <w:bCs/>
                <w:lang w:val="fr-FR"/>
              </w:rPr>
            </w:pPr>
            <w:r w:rsidRPr="002E258E">
              <w:rPr>
                <w:bCs/>
                <w:lang w:val="fr-FR"/>
              </w:rPr>
              <w:t>442</w:t>
            </w:r>
          </w:p>
        </w:tc>
        <w:tc>
          <w:tcPr>
            <w:tcW w:w="2381" w:type="dxa"/>
            <w:vAlign w:val="center"/>
          </w:tcPr>
          <w:p w:rsidR="00DD0682" w:rsidRPr="002E258E" w:rsidRDefault="00DD0682" w:rsidP="00DD0682">
            <w:pPr>
              <w:tabs>
                <w:tab w:val="decimal" w:pos="1615"/>
              </w:tabs>
              <w:rPr>
                <w:bCs/>
                <w:lang w:val="fr-FR"/>
              </w:rPr>
            </w:pPr>
            <w:r w:rsidRPr="002E258E">
              <w:rPr>
                <w:bCs/>
                <w:lang w:val="fr-FR"/>
              </w:rPr>
              <w:t>304</w:t>
            </w:r>
            <w:r>
              <w:rPr>
                <w:bCs/>
                <w:lang w:val="fr-FR"/>
              </w:rPr>
              <w:t>.</w:t>
            </w:r>
            <w:r w:rsidRPr="002E258E">
              <w:rPr>
                <w:bCs/>
                <w:lang w:val="fr-FR"/>
              </w:rPr>
              <w:t>221</w:t>
            </w:r>
          </w:p>
        </w:tc>
      </w:tr>
      <w:tr w:rsidR="00DD0682" w:rsidRPr="00751479" w:rsidTr="00DD0682">
        <w:trPr>
          <w:jc w:val="center"/>
        </w:trPr>
        <w:tc>
          <w:tcPr>
            <w:tcW w:w="3696" w:type="dxa"/>
          </w:tcPr>
          <w:p w:rsidR="00DD0682" w:rsidRPr="00751479" w:rsidRDefault="00DD0682" w:rsidP="00DD0682">
            <w:pPr>
              <w:adjustRightInd w:val="0"/>
              <w:snapToGrid w:val="0"/>
              <w:ind w:firstLine="567"/>
              <w:rPr>
                <w:b/>
                <w:snapToGrid w:val="0"/>
              </w:rPr>
            </w:pPr>
            <w:r w:rsidRPr="00751479">
              <w:rPr>
                <w:b/>
                <w:snapToGrid w:val="0"/>
              </w:rPr>
              <w:t>Total general</w:t>
            </w:r>
          </w:p>
        </w:tc>
        <w:tc>
          <w:tcPr>
            <w:tcW w:w="2354" w:type="dxa"/>
            <w:vAlign w:val="center"/>
          </w:tcPr>
          <w:p w:rsidR="00DD0682" w:rsidRPr="000C3C1E" w:rsidRDefault="00DD0682" w:rsidP="00DD0682">
            <w:pPr>
              <w:tabs>
                <w:tab w:val="decimal" w:pos="1376"/>
              </w:tabs>
              <w:rPr>
                <w:b/>
                <w:bCs/>
                <w:lang w:val="fr-FR"/>
              </w:rPr>
            </w:pPr>
            <w:r w:rsidRPr="000C3C1E">
              <w:rPr>
                <w:b/>
                <w:bCs/>
                <w:lang w:val="fr-FR"/>
              </w:rPr>
              <w:fldChar w:fldCharType="begin"/>
            </w:r>
            <w:r w:rsidRPr="000C3C1E">
              <w:rPr>
                <w:b/>
                <w:bCs/>
                <w:lang w:val="fr-FR"/>
              </w:rPr>
              <w:instrText xml:space="preserve"> =SUM(ABOVE) </w:instrText>
            </w:r>
            <w:r w:rsidRPr="000C3C1E">
              <w:rPr>
                <w:b/>
                <w:bCs/>
                <w:lang w:val="fr-FR"/>
              </w:rPr>
              <w:fldChar w:fldCharType="separate"/>
            </w:r>
            <w:r w:rsidRPr="000C3C1E">
              <w:rPr>
                <w:b/>
                <w:bCs/>
                <w:lang w:val="fr-FR"/>
              </w:rPr>
              <w:t>12.255</w:t>
            </w:r>
            <w:r w:rsidRPr="000C3C1E">
              <w:rPr>
                <w:b/>
                <w:bCs/>
                <w:lang w:val="fr-FR"/>
              </w:rPr>
              <w:fldChar w:fldCharType="end"/>
            </w:r>
          </w:p>
        </w:tc>
        <w:tc>
          <w:tcPr>
            <w:tcW w:w="2381" w:type="dxa"/>
            <w:vAlign w:val="center"/>
          </w:tcPr>
          <w:p w:rsidR="00DD0682" w:rsidRPr="000C3C1E" w:rsidRDefault="00DD0682" w:rsidP="00DD0682">
            <w:pPr>
              <w:tabs>
                <w:tab w:val="decimal" w:pos="1615"/>
              </w:tabs>
              <w:rPr>
                <w:b/>
                <w:bCs/>
                <w:lang w:val="fr-FR"/>
              </w:rPr>
            </w:pPr>
            <w:r w:rsidRPr="000C3C1E">
              <w:rPr>
                <w:b/>
                <w:bCs/>
                <w:lang w:val="fr-FR"/>
              </w:rPr>
              <w:fldChar w:fldCharType="begin"/>
            </w:r>
            <w:r w:rsidRPr="000C3C1E">
              <w:rPr>
                <w:b/>
                <w:bCs/>
                <w:lang w:val="fr-FR"/>
              </w:rPr>
              <w:instrText xml:space="preserve"> =SUM(ABOVE) </w:instrText>
            </w:r>
            <w:r w:rsidRPr="000C3C1E">
              <w:rPr>
                <w:b/>
                <w:bCs/>
                <w:lang w:val="fr-FR"/>
              </w:rPr>
              <w:fldChar w:fldCharType="separate"/>
            </w:r>
            <w:r w:rsidRPr="000C3C1E">
              <w:rPr>
                <w:b/>
                <w:bCs/>
                <w:lang w:val="fr-FR"/>
              </w:rPr>
              <w:t>3.766.699</w:t>
            </w:r>
            <w:r w:rsidRPr="000C3C1E">
              <w:rPr>
                <w:b/>
                <w:bCs/>
                <w:lang w:val="fr-FR"/>
              </w:rPr>
              <w:fldChar w:fldCharType="end"/>
            </w:r>
          </w:p>
        </w:tc>
      </w:tr>
    </w:tbl>
    <w:p w:rsidR="00DD0682" w:rsidRPr="00751479" w:rsidRDefault="00DD0682" w:rsidP="00DD0682">
      <w:pPr>
        <w:adjustRightInd w:val="0"/>
        <w:snapToGrid w:val="0"/>
        <w:spacing w:before="480" w:after="240"/>
        <w:rPr>
          <w:snapToGrid w:val="0"/>
        </w:rPr>
      </w:pPr>
      <w:r w:rsidRPr="00751479">
        <w:rPr>
          <w:snapToGrid w:val="0"/>
        </w:rPr>
        <w:t>197.</w:t>
      </w:r>
      <w:r w:rsidRPr="00751479">
        <w:rPr>
          <w:snapToGrid w:val="0"/>
        </w:rPr>
        <w:tab/>
        <w:t xml:space="preserve">A </w:t>
      </w:r>
      <w:r>
        <w:rPr>
          <w:snapToGrid w:val="0"/>
        </w:rPr>
        <w:t>nivel</w:t>
      </w:r>
      <w:r w:rsidRPr="00751479">
        <w:rPr>
          <w:snapToGrid w:val="0"/>
        </w:rPr>
        <w:t xml:space="preserve"> de empresa, los sindicatos gozan de facilidades para el ejercicio del derecho sindical (art</w:t>
      </w:r>
      <w:r>
        <w:rPr>
          <w:snapToGrid w:val="0"/>
        </w:rPr>
        <w:t xml:space="preserve">ículos </w:t>
      </w:r>
      <w:r w:rsidRPr="00751479">
        <w:rPr>
          <w:snapToGrid w:val="0"/>
        </w:rPr>
        <w:t>46, 47, 47</w:t>
      </w:r>
      <w:r>
        <w:rPr>
          <w:snapToGrid w:val="0"/>
        </w:rPr>
        <w:t xml:space="preserve"> </w:t>
      </w:r>
      <w:r w:rsidRPr="00751479">
        <w:rPr>
          <w:i/>
          <w:snapToGrid w:val="0"/>
        </w:rPr>
        <w:t>bis</w:t>
      </w:r>
      <w:r w:rsidRPr="00751479">
        <w:rPr>
          <w:snapToGrid w:val="0"/>
        </w:rPr>
        <w:t xml:space="preserve"> y 48 de la </w:t>
      </w:r>
      <w:r>
        <w:rPr>
          <w:snapToGrid w:val="0"/>
        </w:rPr>
        <w:t>citada</w:t>
      </w:r>
      <w:r w:rsidRPr="00751479">
        <w:rPr>
          <w:snapToGrid w:val="0"/>
        </w:rPr>
        <w:t xml:space="preserve"> </w:t>
      </w:r>
      <w:r>
        <w:rPr>
          <w:snapToGrid w:val="0"/>
        </w:rPr>
        <w:t>l</w:t>
      </w:r>
      <w:r w:rsidRPr="00751479">
        <w:rPr>
          <w:snapToGrid w:val="0"/>
        </w:rPr>
        <w:t xml:space="preserve">ey) y en su artículo 49 </w:t>
      </w:r>
      <w:r>
        <w:rPr>
          <w:snapToGrid w:val="0"/>
        </w:rPr>
        <w:t>dicha l</w:t>
      </w:r>
      <w:r w:rsidRPr="00751479">
        <w:rPr>
          <w:snapToGrid w:val="0"/>
        </w:rPr>
        <w:t xml:space="preserve">ey indica que las organizaciones sindicales de trabajadores asalariados más representativas en el plano nacional podrán beneficiarse de </w:t>
      </w:r>
      <w:r>
        <w:rPr>
          <w:snapToGrid w:val="0"/>
        </w:rPr>
        <w:t xml:space="preserve">las </w:t>
      </w:r>
      <w:r w:rsidRPr="00751479">
        <w:rPr>
          <w:snapToGrid w:val="0"/>
        </w:rPr>
        <w:t>subvenciones del Estado.</w:t>
      </w:r>
    </w:p>
    <w:p w:rsidR="00DD0682" w:rsidRPr="00751479" w:rsidRDefault="00DD0682" w:rsidP="00DD0682">
      <w:pPr>
        <w:adjustRightInd w:val="0"/>
        <w:snapToGrid w:val="0"/>
        <w:spacing w:after="240"/>
        <w:rPr>
          <w:snapToGrid w:val="0"/>
        </w:rPr>
      </w:pPr>
      <w:r w:rsidRPr="00751479">
        <w:rPr>
          <w:snapToGrid w:val="0"/>
        </w:rPr>
        <w:t>198.</w:t>
      </w:r>
      <w:r w:rsidRPr="00751479">
        <w:rPr>
          <w:snapToGrid w:val="0"/>
        </w:rPr>
        <w:tab/>
        <w:t xml:space="preserve">El artículo 14 de la Ley </w:t>
      </w:r>
      <w:r w:rsidR="00A604E3">
        <w:rPr>
          <w:snapToGrid w:val="0"/>
        </w:rPr>
        <w:t>Nº</w:t>
      </w:r>
      <w:r w:rsidR="00A3211E">
        <w:rPr>
          <w:snapToGrid w:val="0"/>
        </w:rPr>
        <w:t xml:space="preserve"> </w:t>
      </w:r>
      <w:r w:rsidRPr="00751479">
        <w:rPr>
          <w:snapToGrid w:val="0"/>
        </w:rPr>
        <w:t xml:space="preserve">90-14 establece que "los órganos de dirección de la organización sindical serán elegidos y renovados con sujeción a los principios democráticos y de conformidad con las leyes y reglamentos </w:t>
      </w:r>
      <w:r>
        <w:rPr>
          <w:snapToGrid w:val="0"/>
        </w:rPr>
        <w:t xml:space="preserve">por los </w:t>
      </w:r>
      <w:r w:rsidRPr="00751479">
        <w:rPr>
          <w:snapToGrid w:val="0"/>
        </w:rPr>
        <w:t xml:space="preserve">que </w:t>
      </w:r>
      <w:r>
        <w:rPr>
          <w:snapToGrid w:val="0"/>
        </w:rPr>
        <w:t xml:space="preserve">se </w:t>
      </w:r>
      <w:r w:rsidRPr="00751479">
        <w:rPr>
          <w:snapToGrid w:val="0"/>
        </w:rPr>
        <w:t>rijan".  El artículo 15 de dicha ley dispone que</w:t>
      </w:r>
      <w:r>
        <w:rPr>
          <w:snapToGrid w:val="0"/>
        </w:rPr>
        <w:t>,</w:t>
      </w:r>
      <w:r w:rsidRPr="00751479">
        <w:rPr>
          <w:snapToGrid w:val="0"/>
        </w:rPr>
        <w:t xml:space="preserve"> "salvo </w:t>
      </w:r>
      <w:r>
        <w:rPr>
          <w:snapToGrid w:val="0"/>
        </w:rPr>
        <w:t xml:space="preserve">en </w:t>
      </w:r>
      <w:r w:rsidRPr="00751479">
        <w:rPr>
          <w:snapToGrid w:val="0"/>
        </w:rPr>
        <w:t xml:space="preserve">los casos </w:t>
      </w:r>
      <w:r>
        <w:rPr>
          <w:snapToGrid w:val="0"/>
        </w:rPr>
        <w:t xml:space="preserve">previstos por </w:t>
      </w:r>
      <w:r w:rsidRPr="00751479">
        <w:rPr>
          <w:snapToGrid w:val="0"/>
        </w:rPr>
        <w:t>la ley</w:t>
      </w:r>
      <w:r>
        <w:rPr>
          <w:snapToGrid w:val="0"/>
        </w:rPr>
        <w:t>,</w:t>
      </w:r>
      <w:r w:rsidRPr="00751479">
        <w:rPr>
          <w:snapToGrid w:val="0"/>
        </w:rPr>
        <w:t xml:space="preserve"> queda prohibido a toda persona moral o física inmiscuirse en el funcionamiento de una organización sindical".</w:t>
      </w:r>
    </w:p>
    <w:p w:rsidR="00DD0682" w:rsidRPr="00751479" w:rsidRDefault="00DD0682" w:rsidP="00DD0682">
      <w:pPr>
        <w:adjustRightInd w:val="0"/>
        <w:snapToGrid w:val="0"/>
        <w:spacing w:after="240"/>
        <w:rPr>
          <w:snapToGrid w:val="0"/>
        </w:rPr>
      </w:pPr>
      <w:r w:rsidRPr="00751479">
        <w:rPr>
          <w:snapToGrid w:val="0"/>
        </w:rPr>
        <w:t>199.</w:t>
      </w:r>
      <w:r w:rsidRPr="00751479">
        <w:rPr>
          <w:snapToGrid w:val="0"/>
        </w:rPr>
        <w:tab/>
        <w:t xml:space="preserve">Cabe </w:t>
      </w:r>
      <w:r w:rsidRPr="00716F88">
        <w:rPr>
          <w:snapToGrid w:val="0"/>
        </w:rPr>
        <w:t>mencionar que la protección de los dirigentes elegidos está prevista</w:t>
      </w:r>
      <w:r>
        <w:rPr>
          <w:snapToGrid w:val="0"/>
        </w:rPr>
        <w:t xml:space="preserve"> en la Ley Nº </w:t>
      </w:r>
      <w:r w:rsidRPr="00716F88">
        <w:rPr>
          <w:snapToGrid w:val="0"/>
        </w:rPr>
        <w:t>90</w:t>
      </w:r>
      <w:r w:rsidRPr="00716F88">
        <w:rPr>
          <w:snapToGrid w:val="0"/>
        </w:rPr>
        <w:noBreakHyphen/>
        <w:t xml:space="preserve">14, </w:t>
      </w:r>
      <w:r w:rsidRPr="00751479">
        <w:rPr>
          <w:snapToGrid w:val="0"/>
        </w:rPr>
        <w:t xml:space="preserve">de 2 de junio de 1990, enmendada y completada, </w:t>
      </w:r>
      <w:r>
        <w:rPr>
          <w:snapToGrid w:val="0"/>
        </w:rPr>
        <w:t>de forma que</w:t>
      </w:r>
      <w:r w:rsidRPr="00751479">
        <w:rPr>
          <w:snapToGrid w:val="0"/>
        </w:rPr>
        <w:t>:</w:t>
      </w:r>
    </w:p>
    <w:p w:rsidR="00DD0682" w:rsidRPr="00751479" w:rsidRDefault="00DD0682" w:rsidP="00DD0682">
      <w:pPr>
        <w:adjustRightInd w:val="0"/>
        <w:snapToGrid w:val="0"/>
        <w:spacing w:after="240"/>
        <w:ind w:left="1134" w:hanging="567"/>
        <w:rPr>
          <w:snapToGrid w:val="0"/>
        </w:rPr>
      </w:pPr>
      <w:r w:rsidRPr="00751479">
        <w:rPr>
          <w:snapToGrid w:val="0"/>
        </w:rPr>
        <w:t>a)</w:t>
      </w:r>
      <w:r w:rsidRPr="00751479">
        <w:rPr>
          <w:snapToGrid w:val="0"/>
        </w:rPr>
        <w:tab/>
      </w:r>
      <w:r>
        <w:rPr>
          <w:snapToGrid w:val="0"/>
        </w:rPr>
        <w:t>Está</w:t>
      </w:r>
      <w:r w:rsidRPr="00751479">
        <w:rPr>
          <w:snapToGrid w:val="0"/>
        </w:rPr>
        <w:t xml:space="preserve"> prohibido todo acto discriminatorio contra los representantes sindicales (art. 50);</w:t>
      </w:r>
    </w:p>
    <w:p w:rsidR="00DD0682" w:rsidRPr="00751479" w:rsidRDefault="00DD0682" w:rsidP="00DD0682">
      <w:pPr>
        <w:adjustRightInd w:val="0"/>
        <w:snapToGrid w:val="0"/>
        <w:spacing w:after="240"/>
        <w:ind w:left="1134" w:hanging="567"/>
        <w:rPr>
          <w:snapToGrid w:val="0"/>
        </w:rPr>
      </w:pPr>
      <w:r w:rsidRPr="00751479">
        <w:rPr>
          <w:snapToGrid w:val="0"/>
        </w:rPr>
        <w:t>b)</w:t>
      </w:r>
      <w:r w:rsidRPr="00751479">
        <w:rPr>
          <w:snapToGrid w:val="0"/>
        </w:rPr>
        <w:tab/>
      </w:r>
      <w:r>
        <w:rPr>
          <w:snapToGrid w:val="0"/>
        </w:rPr>
        <w:t>Está</w:t>
      </w:r>
      <w:r w:rsidRPr="00751479">
        <w:rPr>
          <w:snapToGrid w:val="0"/>
        </w:rPr>
        <w:t xml:space="preserve"> prohibido imponer sanciones disciplinarias en relación con el ejercicio del derecho </w:t>
      </w:r>
      <w:r>
        <w:rPr>
          <w:snapToGrid w:val="0"/>
        </w:rPr>
        <w:t xml:space="preserve">de </w:t>
      </w:r>
      <w:r w:rsidRPr="00751479">
        <w:rPr>
          <w:snapToGrid w:val="0"/>
        </w:rPr>
        <w:t>sindica</w:t>
      </w:r>
      <w:r>
        <w:rPr>
          <w:snapToGrid w:val="0"/>
        </w:rPr>
        <w:t>ción</w:t>
      </w:r>
      <w:r w:rsidRPr="00751479">
        <w:rPr>
          <w:snapToGrid w:val="0"/>
        </w:rPr>
        <w:t xml:space="preserve"> (arts. 54 y 55);</w:t>
      </w:r>
    </w:p>
    <w:p w:rsidR="00DD0682" w:rsidRPr="00751479" w:rsidRDefault="00DD0682" w:rsidP="00DD0682">
      <w:pPr>
        <w:adjustRightInd w:val="0"/>
        <w:snapToGrid w:val="0"/>
        <w:spacing w:after="240"/>
        <w:ind w:left="1134" w:hanging="567"/>
        <w:rPr>
          <w:snapToGrid w:val="0"/>
        </w:rPr>
      </w:pPr>
      <w:r w:rsidRPr="00751479">
        <w:rPr>
          <w:snapToGrid w:val="0"/>
        </w:rPr>
        <w:t>c)</w:t>
      </w:r>
      <w:r w:rsidRPr="00751479">
        <w:rPr>
          <w:snapToGrid w:val="0"/>
        </w:rPr>
        <w:tab/>
        <w:t>El despido de un delegado será nulo si se determina que se ha producido en violación de la ley (art. 56).</w:t>
      </w:r>
    </w:p>
    <w:p w:rsidR="00DD0682" w:rsidRPr="00751479" w:rsidRDefault="00DD0682" w:rsidP="00DD0682">
      <w:pPr>
        <w:adjustRightInd w:val="0"/>
        <w:snapToGrid w:val="0"/>
        <w:spacing w:after="240"/>
        <w:rPr>
          <w:b/>
          <w:snapToGrid w:val="0"/>
        </w:rPr>
      </w:pPr>
      <w:r w:rsidRPr="00751479">
        <w:rPr>
          <w:b/>
          <w:snapToGrid w:val="0"/>
        </w:rPr>
        <w:t>4.</w:t>
      </w:r>
      <w:r w:rsidRPr="00751479">
        <w:rPr>
          <w:b/>
          <w:snapToGrid w:val="0"/>
        </w:rPr>
        <w:tab/>
        <w:t>Número de sindicatos y de trabajadores sindicados</w:t>
      </w:r>
    </w:p>
    <w:p w:rsidR="00DD0682" w:rsidRPr="00751479" w:rsidRDefault="00DD0682" w:rsidP="00DD0682">
      <w:pPr>
        <w:adjustRightInd w:val="0"/>
        <w:snapToGrid w:val="0"/>
        <w:spacing w:after="240"/>
        <w:rPr>
          <w:snapToGrid w:val="0"/>
        </w:rPr>
      </w:pPr>
      <w:r w:rsidRPr="00751479">
        <w:rPr>
          <w:snapToGrid w:val="0"/>
        </w:rPr>
        <w:t>200.</w:t>
      </w:r>
      <w:r w:rsidRPr="00751479">
        <w:rPr>
          <w:snapToGrid w:val="0"/>
        </w:rPr>
        <w:tab/>
        <w:t>A</w:t>
      </w:r>
      <w:r>
        <w:rPr>
          <w:snapToGrid w:val="0"/>
        </w:rPr>
        <w:t>l</w:t>
      </w:r>
      <w:r w:rsidRPr="00751479">
        <w:rPr>
          <w:snapToGrid w:val="0"/>
        </w:rPr>
        <w:t xml:space="preserve"> fin</w:t>
      </w:r>
      <w:r>
        <w:rPr>
          <w:snapToGrid w:val="0"/>
        </w:rPr>
        <w:t xml:space="preserve">al </w:t>
      </w:r>
      <w:r w:rsidRPr="00751479">
        <w:rPr>
          <w:snapToGrid w:val="0"/>
        </w:rPr>
        <w:t>del año 2006 estaban registradas 77 organizaciones sindicales de empleadores y de trabajadores asalariados, que abarcaban varias profesiones y ramas de actividad.  Dichas organizaciones se distribuyen de la siguiente forma:</w:t>
      </w:r>
    </w:p>
    <w:p w:rsidR="00DD0682" w:rsidRPr="00751479" w:rsidRDefault="00DD0682" w:rsidP="00DD0682">
      <w:pPr>
        <w:adjustRightInd w:val="0"/>
        <w:snapToGrid w:val="0"/>
        <w:spacing w:after="240"/>
        <w:ind w:left="924" w:hanging="357"/>
        <w:rPr>
          <w:snapToGrid w:val="0"/>
        </w:rPr>
      </w:pPr>
      <w:r w:rsidRPr="00751479">
        <w:rPr>
          <w:snapToGrid w:val="0"/>
        </w:rPr>
        <w:t>-</w:t>
      </w:r>
      <w:r w:rsidRPr="00751479">
        <w:rPr>
          <w:snapToGrid w:val="0"/>
        </w:rPr>
        <w:tab/>
        <w:t>Veintidós organizaciones sindicales patronales, entre las cuales figuran las tres confederaciones siguientes:</w:t>
      </w:r>
    </w:p>
    <w:p w:rsidR="00DD0682" w:rsidRPr="00716F88" w:rsidRDefault="00DD0682" w:rsidP="00DD0682">
      <w:pPr>
        <w:adjustRightInd w:val="0"/>
        <w:snapToGrid w:val="0"/>
        <w:spacing w:after="240"/>
        <w:ind w:left="924" w:hanging="357"/>
        <w:rPr>
          <w:snapToGrid w:val="0"/>
          <w:lang w:val="fr-FR"/>
        </w:rPr>
      </w:pPr>
      <w:r>
        <w:rPr>
          <w:snapToGrid w:val="0"/>
        </w:rPr>
        <w:tab/>
      </w:r>
      <w:r w:rsidRPr="00751479">
        <w:rPr>
          <w:snapToGrid w:val="0"/>
          <w:lang w:val="fr-FR"/>
        </w:rPr>
        <w:t>-</w:t>
      </w:r>
      <w:r w:rsidRPr="00751479">
        <w:rPr>
          <w:snapToGrid w:val="0"/>
          <w:lang w:val="fr-FR"/>
        </w:rPr>
        <w:tab/>
      </w:r>
      <w:r w:rsidRPr="00716F88">
        <w:rPr>
          <w:snapToGrid w:val="0"/>
          <w:lang w:val="fr-FR"/>
        </w:rPr>
        <w:t>Confédération</w:t>
      </w:r>
      <w:r>
        <w:rPr>
          <w:snapToGrid w:val="0"/>
          <w:lang w:val="fr-FR"/>
        </w:rPr>
        <w:t xml:space="preserve"> algérienne du patronat</w:t>
      </w:r>
      <w:r w:rsidRPr="00716F88">
        <w:rPr>
          <w:snapToGrid w:val="0"/>
          <w:lang w:val="fr-FR"/>
        </w:rPr>
        <w:t xml:space="preserve"> (CAP);</w:t>
      </w:r>
    </w:p>
    <w:p w:rsidR="00DD0682" w:rsidRPr="00716F88" w:rsidRDefault="00DD0682" w:rsidP="00DD0682">
      <w:pPr>
        <w:adjustRightInd w:val="0"/>
        <w:snapToGrid w:val="0"/>
        <w:spacing w:after="240"/>
        <w:ind w:left="924" w:hanging="357"/>
        <w:rPr>
          <w:snapToGrid w:val="0"/>
          <w:lang w:val="fr-FR"/>
        </w:rPr>
      </w:pPr>
      <w:r>
        <w:rPr>
          <w:snapToGrid w:val="0"/>
          <w:lang w:val="fr-FR"/>
        </w:rPr>
        <w:tab/>
      </w:r>
      <w:r w:rsidRPr="00716F88">
        <w:rPr>
          <w:snapToGrid w:val="0"/>
          <w:lang w:val="fr-FR"/>
        </w:rPr>
        <w:t>-</w:t>
      </w:r>
      <w:r w:rsidRPr="00716F88">
        <w:rPr>
          <w:snapToGrid w:val="0"/>
          <w:lang w:val="fr-FR"/>
        </w:rPr>
        <w:tab/>
        <w:t>Confédération nationale du patronat algérien (CNPA);</w:t>
      </w:r>
    </w:p>
    <w:p w:rsidR="00DD0682" w:rsidRPr="00DD0682" w:rsidRDefault="00DD0682" w:rsidP="00DD0682">
      <w:pPr>
        <w:adjustRightInd w:val="0"/>
        <w:snapToGrid w:val="0"/>
        <w:spacing w:after="240"/>
        <w:ind w:left="924" w:hanging="357"/>
        <w:rPr>
          <w:snapToGrid w:val="0"/>
          <w:lang w:val="fr-FR"/>
        </w:rPr>
      </w:pPr>
      <w:r>
        <w:rPr>
          <w:snapToGrid w:val="0"/>
          <w:lang w:val="fr-FR"/>
        </w:rPr>
        <w:tab/>
      </w:r>
      <w:r w:rsidRPr="00DD0682">
        <w:rPr>
          <w:snapToGrid w:val="0"/>
          <w:lang w:val="fr-FR"/>
        </w:rPr>
        <w:t>-</w:t>
      </w:r>
      <w:r w:rsidRPr="00DD0682">
        <w:rPr>
          <w:snapToGrid w:val="0"/>
          <w:lang w:val="fr-FR"/>
        </w:rPr>
        <w:tab/>
        <w:t>Confédération générale des opérateurs économiques algériens (CGOEA).</w:t>
      </w:r>
    </w:p>
    <w:p w:rsidR="00DD0682" w:rsidRPr="00751479" w:rsidRDefault="00DD0682" w:rsidP="00DD0682">
      <w:pPr>
        <w:adjustRightInd w:val="0"/>
        <w:snapToGrid w:val="0"/>
        <w:spacing w:after="240"/>
        <w:ind w:left="924" w:hanging="357"/>
        <w:rPr>
          <w:snapToGrid w:val="0"/>
        </w:rPr>
      </w:pPr>
      <w:r w:rsidRPr="00751479">
        <w:rPr>
          <w:snapToGrid w:val="0"/>
        </w:rPr>
        <w:t>-</w:t>
      </w:r>
      <w:r w:rsidRPr="00751479">
        <w:rPr>
          <w:snapToGrid w:val="0"/>
        </w:rPr>
        <w:tab/>
        <w:t>Cincuenta y cinco organizaciones sindicales de trabajadores asalariados que</w:t>
      </w:r>
      <w:r>
        <w:rPr>
          <w:snapToGrid w:val="0"/>
        </w:rPr>
        <w:t xml:space="preserve"> declaran tener </w:t>
      </w:r>
      <w:r w:rsidRPr="00751479">
        <w:rPr>
          <w:snapToGrid w:val="0"/>
        </w:rPr>
        <w:t xml:space="preserve">aproximadamente dos millones y medio de </w:t>
      </w:r>
      <w:r>
        <w:rPr>
          <w:snapToGrid w:val="0"/>
        </w:rPr>
        <w:t>afiliados</w:t>
      </w:r>
      <w:r w:rsidRPr="00751479">
        <w:rPr>
          <w:snapToGrid w:val="0"/>
        </w:rPr>
        <w:t>.</w:t>
      </w:r>
    </w:p>
    <w:p w:rsidR="00DD0682" w:rsidRPr="00751479" w:rsidRDefault="00DD0682" w:rsidP="00DD0682">
      <w:pPr>
        <w:adjustRightInd w:val="0"/>
        <w:snapToGrid w:val="0"/>
        <w:spacing w:after="240"/>
        <w:rPr>
          <w:b/>
          <w:snapToGrid w:val="0"/>
        </w:rPr>
      </w:pPr>
      <w:r w:rsidRPr="00751479">
        <w:rPr>
          <w:b/>
          <w:snapToGrid w:val="0"/>
        </w:rPr>
        <w:t>5.</w:t>
      </w:r>
      <w:r w:rsidRPr="00751479">
        <w:rPr>
          <w:b/>
          <w:snapToGrid w:val="0"/>
        </w:rPr>
        <w:tab/>
        <w:t>Derecho de huelga</w:t>
      </w:r>
    </w:p>
    <w:p w:rsidR="00DD0682" w:rsidRPr="00751479" w:rsidRDefault="00DD0682" w:rsidP="00DD0682">
      <w:pPr>
        <w:adjustRightInd w:val="0"/>
        <w:snapToGrid w:val="0"/>
        <w:spacing w:after="240"/>
        <w:rPr>
          <w:snapToGrid w:val="0"/>
        </w:rPr>
      </w:pPr>
      <w:r w:rsidRPr="00751479">
        <w:rPr>
          <w:snapToGrid w:val="0"/>
        </w:rPr>
        <w:t>201.</w:t>
      </w:r>
      <w:r w:rsidRPr="00751479">
        <w:rPr>
          <w:snapToGrid w:val="0"/>
        </w:rPr>
        <w:tab/>
        <w:t>El derecho de huelga es un derecho fundamental y constitucional.  En efecto, el artículo 57 de la Constitución de 1996 dice así:  "Se reconoce el derecho de huelga, que se ejerce en el marco de la ley".</w:t>
      </w:r>
    </w:p>
    <w:p w:rsidR="00DD0682" w:rsidRPr="00751479" w:rsidRDefault="00DD0682" w:rsidP="00DD0682">
      <w:pPr>
        <w:adjustRightInd w:val="0"/>
        <w:snapToGrid w:val="0"/>
        <w:spacing w:after="240"/>
        <w:rPr>
          <w:snapToGrid w:val="0"/>
        </w:rPr>
      </w:pPr>
      <w:r w:rsidRPr="00751479">
        <w:rPr>
          <w:snapToGrid w:val="0"/>
        </w:rPr>
        <w:t>202.</w:t>
      </w:r>
      <w:r w:rsidRPr="00751479">
        <w:rPr>
          <w:snapToGrid w:val="0"/>
        </w:rPr>
        <w:tab/>
        <w:t xml:space="preserve">Sin embargo, </w:t>
      </w:r>
      <w:r>
        <w:rPr>
          <w:snapToGrid w:val="0"/>
        </w:rPr>
        <w:t>la ley</w:t>
      </w:r>
      <w:r w:rsidRPr="00751479">
        <w:rPr>
          <w:snapToGrid w:val="0"/>
        </w:rPr>
        <w:t xml:space="preserve"> puede prohibir o limitar el ejercicio de dicho derecho en el ámbito de la defensa nacional y la seguridad o </w:t>
      </w:r>
      <w:r>
        <w:rPr>
          <w:snapToGrid w:val="0"/>
        </w:rPr>
        <w:t xml:space="preserve">cuando se trata </w:t>
      </w:r>
      <w:r w:rsidRPr="00751479">
        <w:rPr>
          <w:snapToGrid w:val="0"/>
        </w:rPr>
        <w:t>de servicios o actividades públicos de interés vital para la comunidad.</w:t>
      </w:r>
    </w:p>
    <w:p w:rsidR="00DD0682" w:rsidRPr="00751479" w:rsidRDefault="00DD0682" w:rsidP="00DD0682">
      <w:pPr>
        <w:adjustRightInd w:val="0"/>
        <w:snapToGrid w:val="0"/>
        <w:spacing w:after="240"/>
        <w:rPr>
          <w:snapToGrid w:val="0"/>
        </w:rPr>
      </w:pPr>
      <w:r w:rsidRPr="00751479">
        <w:rPr>
          <w:snapToGrid w:val="0"/>
        </w:rPr>
        <w:t>203.</w:t>
      </w:r>
      <w:r w:rsidRPr="00751479">
        <w:rPr>
          <w:snapToGrid w:val="0"/>
        </w:rPr>
        <w:tab/>
        <w:t xml:space="preserve">La Ley Nº 90-02, de 6 de febrero de 1990, enmendada y completada, relativa a la prevención y solución de los conflictos laborales colectivos y al ejercicio del derecho de huelga, establece varias normas </w:t>
      </w:r>
      <w:r>
        <w:rPr>
          <w:snapToGrid w:val="0"/>
        </w:rPr>
        <w:t xml:space="preserve">al respecto </w:t>
      </w:r>
      <w:r w:rsidRPr="00751479">
        <w:rPr>
          <w:snapToGrid w:val="0"/>
        </w:rPr>
        <w:t xml:space="preserve">entre </w:t>
      </w:r>
      <w:r>
        <w:rPr>
          <w:snapToGrid w:val="0"/>
        </w:rPr>
        <w:t xml:space="preserve">ellas </w:t>
      </w:r>
      <w:r w:rsidRPr="00751479">
        <w:rPr>
          <w:snapToGrid w:val="0"/>
        </w:rPr>
        <w:t>las siguientes:</w:t>
      </w:r>
    </w:p>
    <w:p w:rsidR="00DD0682" w:rsidRPr="00751479" w:rsidRDefault="00DD0682" w:rsidP="00DD0682">
      <w:pPr>
        <w:adjustRightInd w:val="0"/>
        <w:snapToGrid w:val="0"/>
        <w:spacing w:after="240"/>
        <w:ind w:left="1134" w:hanging="567"/>
        <w:rPr>
          <w:snapToGrid w:val="0"/>
        </w:rPr>
      </w:pPr>
      <w:r w:rsidRPr="00751479">
        <w:rPr>
          <w:snapToGrid w:val="0"/>
        </w:rPr>
        <w:t>a)</w:t>
      </w:r>
      <w:r w:rsidRPr="00751479">
        <w:rPr>
          <w:snapToGrid w:val="0"/>
        </w:rPr>
        <w:tab/>
        <w:t>El recurso previo a las medidas preventivas previstas en el marco del dispositivo de prevención de conflictos y de conciliación (arts. 4, 5, 6, 7, 8 y 9);</w:t>
      </w:r>
    </w:p>
    <w:p w:rsidR="00DD0682" w:rsidRPr="00751479" w:rsidRDefault="00DD0682" w:rsidP="00DD0682">
      <w:pPr>
        <w:adjustRightInd w:val="0"/>
        <w:snapToGrid w:val="0"/>
        <w:spacing w:after="240"/>
        <w:ind w:left="1134" w:hanging="567"/>
        <w:rPr>
          <w:snapToGrid w:val="0"/>
        </w:rPr>
      </w:pPr>
      <w:r w:rsidRPr="00751479">
        <w:rPr>
          <w:snapToGrid w:val="0"/>
        </w:rPr>
        <w:t>b)</w:t>
      </w:r>
      <w:r w:rsidRPr="00751479">
        <w:rPr>
          <w:snapToGrid w:val="0"/>
        </w:rPr>
        <w:tab/>
        <w:t>El establecimiento de un procedimiento de mediación y</w:t>
      </w:r>
      <w:r>
        <w:rPr>
          <w:snapToGrid w:val="0"/>
        </w:rPr>
        <w:t xml:space="preserve"> el recurso al arbitraje (arts. </w:t>
      </w:r>
      <w:r w:rsidRPr="00751479">
        <w:rPr>
          <w:snapToGrid w:val="0"/>
        </w:rPr>
        <w:t>10, 11, 12 y 13);</w:t>
      </w:r>
    </w:p>
    <w:p w:rsidR="00DD0682" w:rsidRPr="00751479" w:rsidRDefault="00DD0682" w:rsidP="00DD0682">
      <w:pPr>
        <w:adjustRightInd w:val="0"/>
        <w:snapToGrid w:val="0"/>
        <w:spacing w:after="240"/>
        <w:ind w:left="1134" w:hanging="567"/>
        <w:rPr>
          <w:snapToGrid w:val="0"/>
        </w:rPr>
      </w:pPr>
      <w:r w:rsidRPr="00751479">
        <w:rPr>
          <w:snapToGrid w:val="0"/>
        </w:rPr>
        <w:t>c)</w:t>
      </w:r>
      <w:r w:rsidRPr="00751479">
        <w:rPr>
          <w:snapToGrid w:val="0"/>
        </w:rPr>
        <w:tab/>
        <w:t>La sanción de los obstáculos a la libertad de trabajo (arts. 34, 35 y 36);</w:t>
      </w:r>
    </w:p>
    <w:p w:rsidR="00DD0682" w:rsidRPr="00751479" w:rsidRDefault="00DD0682" w:rsidP="00DD0682">
      <w:pPr>
        <w:adjustRightInd w:val="0"/>
        <w:snapToGrid w:val="0"/>
        <w:spacing w:after="240"/>
        <w:ind w:left="1134" w:hanging="567"/>
        <w:rPr>
          <w:snapToGrid w:val="0"/>
        </w:rPr>
      </w:pPr>
      <w:r w:rsidRPr="00751479">
        <w:rPr>
          <w:snapToGrid w:val="0"/>
        </w:rPr>
        <w:t>d)</w:t>
      </w:r>
      <w:r w:rsidRPr="00751479">
        <w:rPr>
          <w:snapToGrid w:val="0"/>
        </w:rPr>
        <w:tab/>
        <w:t xml:space="preserve">La prohibición de sancionar a un trabajador por recurrir a la huelga. </w:t>
      </w:r>
    </w:p>
    <w:p w:rsidR="00DD0682" w:rsidRPr="00751479" w:rsidRDefault="00DD0682" w:rsidP="00DD0682">
      <w:pPr>
        <w:adjustRightInd w:val="0"/>
        <w:snapToGrid w:val="0"/>
        <w:spacing w:after="240"/>
        <w:rPr>
          <w:snapToGrid w:val="0"/>
        </w:rPr>
      </w:pPr>
      <w:r w:rsidRPr="00751479">
        <w:rPr>
          <w:snapToGrid w:val="0"/>
        </w:rPr>
        <w:t>204.</w:t>
      </w:r>
      <w:r w:rsidRPr="00751479">
        <w:rPr>
          <w:snapToGrid w:val="0"/>
        </w:rPr>
        <w:tab/>
        <w:t>Por otro lado, la ley establece también las siguientes condiciones:</w:t>
      </w:r>
    </w:p>
    <w:p w:rsidR="00DD0682" w:rsidRPr="00751479" w:rsidRDefault="00DD0682" w:rsidP="00DD0682">
      <w:pPr>
        <w:adjustRightInd w:val="0"/>
        <w:snapToGrid w:val="0"/>
        <w:spacing w:after="240"/>
        <w:ind w:left="1134" w:hanging="567"/>
        <w:rPr>
          <w:snapToGrid w:val="0"/>
        </w:rPr>
      </w:pPr>
      <w:r w:rsidRPr="00DB0D12">
        <w:rPr>
          <w:snapToGrid w:val="0"/>
        </w:rPr>
        <w:t>a)</w:t>
      </w:r>
      <w:r w:rsidRPr="00751479">
        <w:rPr>
          <w:i/>
          <w:snapToGrid w:val="0"/>
        </w:rPr>
        <w:tab/>
      </w:r>
      <w:r w:rsidRPr="00751479">
        <w:rPr>
          <w:snapToGrid w:val="0"/>
        </w:rPr>
        <w:t>La aprobación de la huelga por el colectivo, que se pronunciará por mayoría de los trabajadores reunidos en asamblea general constituida por al menos la mitad de los trabajadores que formen parte del cole</w:t>
      </w:r>
      <w:r>
        <w:rPr>
          <w:snapToGrid w:val="0"/>
        </w:rPr>
        <w:t>ctivo de que se trate (art. 28);</w:t>
      </w:r>
    </w:p>
    <w:p w:rsidR="00DD0682" w:rsidRPr="00751479" w:rsidRDefault="00DD0682" w:rsidP="00DD0682">
      <w:pPr>
        <w:adjustRightInd w:val="0"/>
        <w:snapToGrid w:val="0"/>
        <w:spacing w:after="240"/>
        <w:ind w:left="1134" w:hanging="567"/>
        <w:rPr>
          <w:snapToGrid w:val="0"/>
        </w:rPr>
      </w:pPr>
      <w:r w:rsidRPr="00124B0E">
        <w:rPr>
          <w:snapToGrid w:val="0"/>
        </w:rPr>
        <w:t>b)</w:t>
      </w:r>
      <w:r w:rsidRPr="00751479">
        <w:rPr>
          <w:snapToGrid w:val="0"/>
        </w:rPr>
        <w:tab/>
        <w:t>La notificación del preavis</w:t>
      </w:r>
      <w:r>
        <w:rPr>
          <w:snapToGrid w:val="0"/>
        </w:rPr>
        <w:t>o de huelga (art. 29);</w:t>
      </w:r>
    </w:p>
    <w:p w:rsidR="00DD0682" w:rsidRPr="00751479" w:rsidRDefault="00DD0682" w:rsidP="00DD0682">
      <w:pPr>
        <w:adjustRightInd w:val="0"/>
        <w:snapToGrid w:val="0"/>
        <w:spacing w:after="240"/>
        <w:ind w:left="1134" w:hanging="567"/>
        <w:rPr>
          <w:snapToGrid w:val="0"/>
        </w:rPr>
      </w:pPr>
      <w:r w:rsidRPr="00124B0E">
        <w:rPr>
          <w:snapToGrid w:val="0"/>
        </w:rPr>
        <w:t>c)</w:t>
      </w:r>
      <w:r w:rsidRPr="00751479">
        <w:rPr>
          <w:i/>
          <w:snapToGrid w:val="0"/>
        </w:rPr>
        <w:tab/>
      </w:r>
      <w:r w:rsidRPr="00751479">
        <w:rPr>
          <w:snapToGrid w:val="0"/>
        </w:rPr>
        <w:t>Los ámbitos en los que se autoriza la huelga:  se puede recurrir a la huelga siempre que se satisfagan los requisitos previos establecidos en la ley.</w:t>
      </w:r>
    </w:p>
    <w:p w:rsidR="00DD0682" w:rsidRPr="00751479" w:rsidRDefault="00DD0682" w:rsidP="00DD0682">
      <w:pPr>
        <w:adjustRightInd w:val="0"/>
        <w:snapToGrid w:val="0"/>
        <w:spacing w:after="240"/>
        <w:rPr>
          <w:snapToGrid w:val="0"/>
        </w:rPr>
      </w:pPr>
      <w:r w:rsidRPr="00751479">
        <w:rPr>
          <w:snapToGrid w:val="0"/>
        </w:rPr>
        <w:t>205.</w:t>
      </w:r>
      <w:r w:rsidRPr="00751479">
        <w:rPr>
          <w:snapToGrid w:val="0"/>
        </w:rPr>
        <w:tab/>
        <w:t>La ley impone un servicio mínimo en caso de huelga</w:t>
      </w:r>
      <w:r>
        <w:rPr>
          <w:snapToGrid w:val="0"/>
        </w:rPr>
        <w:t xml:space="preserve"> </w:t>
      </w:r>
      <w:r w:rsidRPr="00751479">
        <w:rPr>
          <w:snapToGrid w:val="0"/>
        </w:rPr>
        <w:t xml:space="preserve">en los sectores en que está autorizada.  Los artículos 37 y 38 de la Ley </w:t>
      </w:r>
      <w:r w:rsidR="00A604E3">
        <w:rPr>
          <w:snapToGrid w:val="0"/>
        </w:rPr>
        <w:t>Nº</w:t>
      </w:r>
      <w:r w:rsidR="00A3211E">
        <w:rPr>
          <w:snapToGrid w:val="0"/>
        </w:rPr>
        <w:t xml:space="preserve"> </w:t>
      </w:r>
      <w:r w:rsidRPr="00751479">
        <w:rPr>
          <w:snapToGrid w:val="0"/>
        </w:rPr>
        <w:t xml:space="preserve">90-02 enumeran los casos en los que se limita el ejercicio del derecho de huelga y/o se garantiza un servicio mínimo para no interrumpir determinados servicios esenciales o actividades de carácter vital.  En el siguiente cuadro figuran los datos relativos al clima social correspondientes al período </w:t>
      </w:r>
      <w:r>
        <w:rPr>
          <w:snapToGrid w:val="0"/>
        </w:rPr>
        <w:t xml:space="preserve">de </w:t>
      </w:r>
      <w:r w:rsidRPr="00751479">
        <w:rPr>
          <w:snapToGrid w:val="0"/>
        </w:rPr>
        <w:t>2003 a 2006.</w:t>
      </w:r>
    </w:p>
    <w:p w:rsidR="00DD0682" w:rsidRPr="00751479" w:rsidRDefault="00DD0682" w:rsidP="00DD0682">
      <w:pPr>
        <w:keepNext/>
        <w:keepLines/>
        <w:adjustRightInd w:val="0"/>
        <w:snapToGrid w:val="0"/>
        <w:spacing w:after="240"/>
        <w:rPr>
          <w:b/>
          <w:snapToGrid w:val="0"/>
        </w:rPr>
      </w:pPr>
      <w:r>
        <w:rPr>
          <w:b/>
          <w:snapToGrid w:val="0"/>
        </w:rPr>
        <w:tab/>
      </w:r>
      <w:r w:rsidRPr="00751479">
        <w:rPr>
          <w:b/>
          <w:snapToGrid w:val="0"/>
        </w:rPr>
        <w:t>Las huelgas</w:t>
      </w:r>
    </w:p>
    <w:tbl>
      <w:tblPr>
        <w:tblStyle w:val="TableGrid"/>
        <w:tblW w:w="0" w:type="auto"/>
        <w:jc w:val="center"/>
        <w:tblInd w:w="928" w:type="dxa"/>
        <w:tblLook w:val="01E0" w:firstRow="1" w:lastRow="1" w:firstColumn="1" w:lastColumn="1" w:noHBand="0" w:noVBand="0"/>
      </w:tblPr>
      <w:tblGrid>
        <w:gridCol w:w="1445"/>
        <w:gridCol w:w="2372"/>
        <w:gridCol w:w="2373"/>
        <w:gridCol w:w="1981"/>
      </w:tblGrid>
      <w:tr w:rsidR="00DD0682" w:rsidRPr="00751479" w:rsidTr="00DD0682">
        <w:trPr>
          <w:jc w:val="center"/>
        </w:trPr>
        <w:tc>
          <w:tcPr>
            <w:tcW w:w="1445" w:type="dxa"/>
            <w:vMerge w:val="restart"/>
            <w:vAlign w:val="center"/>
          </w:tcPr>
          <w:p w:rsidR="00DD0682" w:rsidRPr="00124B0E" w:rsidRDefault="00DD0682" w:rsidP="00DD0682">
            <w:pPr>
              <w:keepNext/>
              <w:keepLines/>
              <w:adjustRightInd w:val="0"/>
              <w:snapToGrid w:val="0"/>
              <w:jc w:val="center"/>
              <w:rPr>
                <w:b/>
                <w:snapToGrid w:val="0"/>
              </w:rPr>
            </w:pPr>
            <w:r w:rsidRPr="00124B0E">
              <w:rPr>
                <w:b/>
                <w:snapToGrid w:val="0"/>
              </w:rPr>
              <w:t>Año</w:t>
            </w:r>
          </w:p>
        </w:tc>
        <w:tc>
          <w:tcPr>
            <w:tcW w:w="2372" w:type="dxa"/>
            <w:vMerge w:val="restart"/>
            <w:vAlign w:val="center"/>
          </w:tcPr>
          <w:p w:rsidR="00DD0682" w:rsidRPr="00124B0E" w:rsidRDefault="00DD0682" w:rsidP="00DD0682">
            <w:pPr>
              <w:keepNext/>
              <w:keepLines/>
              <w:adjustRightInd w:val="0"/>
              <w:snapToGrid w:val="0"/>
              <w:jc w:val="center"/>
              <w:rPr>
                <w:b/>
                <w:snapToGrid w:val="0"/>
              </w:rPr>
            </w:pPr>
            <w:r w:rsidRPr="00124B0E">
              <w:rPr>
                <w:b/>
                <w:snapToGrid w:val="0"/>
              </w:rPr>
              <w:t>Número</w:t>
            </w:r>
          </w:p>
        </w:tc>
        <w:tc>
          <w:tcPr>
            <w:tcW w:w="4354" w:type="dxa"/>
            <w:gridSpan w:val="2"/>
          </w:tcPr>
          <w:p w:rsidR="00DD0682" w:rsidRPr="00124B0E" w:rsidRDefault="00DD0682" w:rsidP="00DD0682">
            <w:pPr>
              <w:keepNext/>
              <w:keepLines/>
              <w:adjustRightInd w:val="0"/>
              <w:snapToGrid w:val="0"/>
              <w:jc w:val="center"/>
              <w:rPr>
                <w:b/>
                <w:snapToGrid w:val="0"/>
              </w:rPr>
            </w:pPr>
            <w:r w:rsidRPr="00124B0E">
              <w:rPr>
                <w:b/>
                <w:snapToGrid w:val="0"/>
              </w:rPr>
              <w:t>Efectivos</w:t>
            </w:r>
          </w:p>
        </w:tc>
      </w:tr>
      <w:tr w:rsidR="00DD0682" w:rsidRPr="00751479" w:rsidTr="00DD0682">
        <w:trPr>
          <w:jc w:val="center"/>
        </w:trPr>
        <w:tc>
          <w:tcPr>
            <w:tcW w:w="1445" w:type="dxa"/>
            <w:vMerge/>
          </w:tcPr>
          <w:p w:rsidR="00DD0682" w:rsidRPr="00751479" w:rsidRDefault="00DD0682" w:rsidP="00DD0682">
            <w:pPr>
              <w:keepNext/>
              <w:keepLines/>
              <w:adjustRightInd w:val="0"/>
              <w:snapToGrid w:val="0"/>
              <w:rPr>
                <w:i/>
                <w:snapToGrid w:val="0"/>
              </w:rPr>
            </w:pPr>
          </w:p>
        </w:tc>
        <w:tc>
          <w:tcPr>
            <w:tcW w:w="2372" w:type="dxa"/>
            <w:vMerge/>
          </w:tcPr>
          <w:p w:rsidR="00DD0682" w:rsidRPr="00751479" w:rsidRDefault="00DD0682" w:rsidP="00DD0682">
            <w:pPr>
              <w:keepNext/>
              <w:keepLines/>
              <w:adjustRightInd w:val="0"/>
              <w:snapToGrid w:val="0"/>
              <w:rPr>
                <w:i/>
                <w:snapToGrid w:val="0"/>
              </w:rPr>
            </w:pPr>
          </w:p>
        </w:tc>
        <w:tc>
          <w:tcPr>
            <w:tcW w:w="2373" w:type="dxa"/>
          </w:tcPr>
          <w:p w:rsidR="00DD0682" w:rsidRPr="00124B0E" w:rsidRDefault="00DD0682" w:rsidP="00DD0682">
            <w:pPr>
              <w:keepNext/>
              <w:keepLines/>
              <w:adjustRightInd w:val="0"/>
              <w:snapToGrid w:val="0"/>
              <w:jc w:val="center"/>
              <w:rPr>
                <w:b/>
                <w:snapToGrid w:val="0"/>
              </w:rPr>
            </w:pPr>
            <w:r>
              <w:rPr>
                <w:b/>
                <w:snapToGrid w:val="0"/>
              </w:rPr>
              <w:t>Total</w:t>
            </w:r>
          </w:p>
        </w:tc>
        <w:tc>
          <w:tcPr>
            <w:tcW w:w="1981" w:type="dxa"/>
          </w:tcPr>
          <w:p w:rsidR="00DD0682" w:rsidRPr="00124B0E" w:rsidRDefault="00DD0682" w:rsidP="00DD0682">
            <w:pPr>
              <w:keepNext/>
              <w:keepLines/>
              <w:adjustRightInd w:val="0"/>
              <w:snapToGrid w:val="0"/>
              <w:jc w:val="center"/>
              <w:rPr>
                <w:b/>
                <w:snapToGrid w:val="0"/>
              </w:rPr>
            </w:pPr>
            <w:r w:rsidRPr="00124B0E">
              <w:rPr>
                <w:b/>
                <w:snapToGrid w:val="0"/>
              </w:rPr>
              <w:t>Afectados</w:t>
            </w:r>
          </w:p>
        </w:tc>
      </w:tr>
      <w:tr w:rsidR="00DD0682" w:rsidRPr="00751479" w:rsidTr="00DD0682">
        <w:trPr>
          <w:jc w:val="center"/>
        </w:trPr>
        <w:tc>
          <w:tcPr>
            <w:tcW w:w="1445" w:type="dxa"/>
          </w:tcPr>
          <w:p w:rsidR="00DD0682" w:rsidRPr="00751479" w:rsidRDefault="00DD0682" w:rsidP="00DD0682">
            <w:pPr>
              <w:keepNext/>
              <w:keepLines/>
              <w:adjustRightInd w:val="0"/>
              <w:snapToGrid w:val="0"/>
              <w:jc w:val="center"/>
              <w:rPr>
                <w:snapToGrid w:val="0"/>
              </w:rPr>
            </w:pPr>
            <w:r w:rsidRPr="00751479">
              <w:rPr>
                <w:snapToGrid w:val="0"/>
              </w:rPr>
              <w:t>2003</w:t>
            </w:r>
          </w:p>
        </w:tc>
        <w:tc>
          <w:tcPr>
            <w:tcW w:w="2372" w:type="dxa"/>
          </w:tcPr>
          <w:p w:rsidR="00DD0682" w:rsidRPr="000C4C7B" w:rsidRDefault="00DD0682" w:rsidP="00DD0682">
            <w:pPr>
              <w:jc w:val="center"/>
              <w:rPr>
                <w:lang w:val="fr-FR"/>
              </w:rPr>
            </w:pPr>
            <w:r w:rsidRPr="000C4C7B">
              <w:rPr>
                <w:bCs/>
                <w:lang w:val="fr-FR"/>
              </w:rPr>
              <w:t>23</w:t>
            </w:r>
          </w:p>
        </w:tc>
        <w:tc>
          <w:tcPr>
            <w:tcW w:w="2373" w:type="dxa"/>
          </w:tcPr>
          <w:p w:rsidR="00DD0682" w:rsidRPr="006034F2" w:rsidRDefault="00DD0682" w:rsidP="00DD0682">
            <w:pPr>
              <w:tabs>
                <w:tab w:val="decimal" w:pos="1472"/>
              </w:tabs>
              <w:rPr>
                <w:b/>
                <w:bCs/>
              </w:rPr>
            </w:pPr>
            <w:r w:rsidRPr="006034F2">
              <w:rPr>
                <w:b/>
                <w:bCs/>
              </w:rPr>
              <w:t>219.657</w:t>
            </w:r>
          </w:p>
        </w:tc>
        <w:tc>
          <w:tcPr>
            <w:tcW w:w="1981" w:type="dxa"/>
          </w:tcPr>
          <w:p w:rsidR="00DD0682" w:rsidRPr="000C4C7B" w:rsidRDefault="00DD0682" w:rsidP="00DD0682">
            <w:pPr>
              <w:jc w:val="center"/>
              <w:rPr>
                <w:lang w:val="fr-FR"/>
              </w:rPr>
            </w:pPr>
            <w:r>
              <w:rPr>
                <w:lang w:val="fr-FR"/>
              </w:rPr>
              <w:t>83.</w:t>
            </w:r>
            <w:r w:rsidRPr="000C4C7B">
              <w:rPr>
                <w:lang w:val="fr-FR"/>
              </w:rPr>
              <w:t>919</w:t>
            </w:r>
          </w:p>
        </w:tc>
      </w:tr>
      <w:tr w:rsidR="00DD0682" w:rsidRPr="00751479" w:rsidTr="00DD0682">
        <w:trPr>
          <w:jc w:val="center"/>
        </w:trPr>
        <w:tc>
          <w:tcPr>
            <w:tcW w:w="1445" w:type="dxa"/>
          </w:tcPr>
          <w:p w:rsidR="00DD0682" w:rsidRPr="00751479" w:rsidRDefault="00DD0682" w:rsidP="00DD0682">
            <w:pPr>
              <w:adjustRightInd w:val="0"/>
              <w:snapToGrid w:val="0"/>
              <w:jc w:val="center"/>
              <w:rPr>
                <w:snapToGrid w:val="0"/>
              </w:rPr>
            </w:pPr>
            <w:r w:rsidRPr="00751479">
              <w:rPr>
                <w:snapToGrid w:val="0"/>
              </w:rPr>
              <w:t>2004</w:t>
            </w:r>
          </w:p>
        </w:tc>
        <w:tc>
          <w:tcPr>
            <w:tcW w:w="2372" w:type="dxa"/>
            <w:vAlign w:val="center"/>
          </w:tcPr>
          <w:p w:rsidR="00DD0682" w:rsidRPr="000C4C7B" w:rsidRDefault="00DD0682" w:rsidP="00DD0682">
            <w:pPr>
              <w:jc w:val="center"/>
              <w:rPr>
                <w:bCs/>
                <w:lang w:val="fr-FR"/>
              </w:rPr>
            </w:pPr>
            <w:r w:rsidRPr="000C4C7B">
              <w:rPr>
                <w:bCs/>
                <w:lang w:val="fr-FR"/>
              </w:rPr>
              <w:t>35</w:t>
            </w:r>
          </w:p>
        </w:tc>
        <w:tc>
          <w:tcPr>
            <w:tcW w:w="2373" w:type="dxa"/>
            <w:vAlign w:val="center"/>
          </w:tcPr>
          <w:p w:rsidR="00DD0682" w:rsidRPr="006034F2" w:rsidRDefault="00DD0682" w:rsidP="00DD0682">
            <w:pPr>
              <w:tabs>
                <w:tab w:val="decimal" w:pos="1472"/>
              </w:tabs>
              <w:rPr>
                <w:b/>
                <w:bCs/>
              </w:rPr>
            </w:pPr>
            <w:r w:rsidRPr="006034F2">
              <w:rPr>
                <w:b/>
                <w:bCs/>
              </w:rPr>
              <w:t>114.461</w:t>
            </w:r>
          </w:p>
        </w:tc>
        <w:tc>
          <w:tcPr>
            <w:tcW w:w="1981" w:type="dxa"/>
            <w:vAlign w:val="center"/>
          </w:tcPr>
          <w:p w:rsidR="00DD0682" w:rsidRPr="002E258E" w:rsidRDefault="00DD0682" w:rsidP="00DD0682">
            <w:pPr>
              <w:jc w:val="center"/>
              <w:rPr>
                <w:bCs/>
              </w:rPr>
            </w:pPr>
            <w:r>
              <w:rPr>
                <w:bCs/>
              </w:rPr>
              <w:t>56.</w:t>
            </w:r>
            <w:r w:rsidRPr="002E258E">
              <w:rPr>
                <w:bCs/>
              </w:rPr>
              <w:t>861</w:t>
            </w:r>
          </w:p>
        </w:tc>
      </w:tr>
      <w:tr w:rsidR="00DD0682" w:rsidRPr="00751479" w:rsidTr="00DD0682">
        <w:trPr>
          <w:jc w:val="center"/>
        </w:trPr>
        <w:tc>
          <w:tcPr>
            <w:tcW w:w="1445" w:type="dxa"/>
          </w:tcPr>
          <w:p w:rsidR="00DD0682" w:rsidRPr="00751479" w:rsidRDefault="00DD0682" w:rsidP="00DD0682">
            <w:pPr>
              <w:adjustRightInd w:val="0"/>
              <w:snapToGrid w:val="0"/>
              <w:jc w:val="center"/>
              <w:rPr>
                <w:snapToGrid w:val="0"/>
              </w:rPr>
            </w:pPr>
            <w:r w:rsidRPr="00751479">
              <w:rPr>
                <w:snapToGrid w:val="0"/>
              </w:rPr>
              <w:t>2005</w:t>
            </w:r>
          </w:p>
        </w:tc>
        <w:tc>
          <w:tcPr>
            <w:tcW w:w="2372" w:type="dxa"/>
            <w:vAlign w:val="center"/>
          </w:tcPr>
          <w:p w:rsidR="00DD0682" w:rsidRPr="002E258E" w:rsidRDefault="00DD0682" w:rsidP="00DD0682">
            <w:pPr>
              <w:jc w:val="center"/>
              <w:rPr>
                <w:bCs/>
              </w:rPr>
            </w:pPr>
            <w:r w:rsidRPr="002E258E">
              <w:rPr>
                <w:bCs/>
              </w:rPr>
              <w:t>23</w:t>
            </w:r>
          </w:p>
        </w:tc>
        <w:tc>
          <w:tcPr>
            <w:tcW w:w="2373" w:type="dxa"/>
            <w:vAlign w:val="center"/>
          </w:tcPr>
          <w:p w:rsidR="00DD0682" w:rsidRPr="006034F2" w:rsidRDefault="00DD0682" w:rsidP="00DD0682">
            <w:pPr>
              <w:tabs>
                <w:tab w:val="decimal" w:pos="1472"/>
              </w:tabs>
              <w:rPr>
                <w:b/>
                <w:bCs/>
              </w:rPr>
            </w:pPr>
            <w:r w:rsidRPr="006034F2">
              <w:rPr>
                <w:b/>
                <w:bCs/>
              </w:rPr>
              <w:t>27.207</w:t>
            </w:r>
          </w:p>
        </w:tc>
        <w:tc>
          <w:tcPr>
            <w:tcW w:w="1981" w:type="dxa"/>
            <w:vAlign w:val="center"/>
          </w:tcPr>
          <w:p w:rsidR="00DD0682" w:rsidRPr="002E258E" w:rsidRDefault="00DD0682" w:rsidP="00DD0682">
            <w:pPr>
              <w:jc w:val="center"/>
              <w:rPr>
                <w:bCs/>
              </w:rPr>
            </w:pPr>
            <w:r w:rsidRPr="002E258E">
              <w:rPr>
                <w:bCs/>
              </w:rPr>
              <w:t>16</w:t>
            </w:r>
            <w:r>
              <w:t>.</w:t>
            </w:r>
            <w:r w:rsidRPr="002E258E">
              <w:rPr>
                <w:bCs/>
              </w:rPr>
              <w:t>873</w:t>
            </w:r>
          </w:p>
        </w:tc>
      </w:tr>
      <w:tr w:rsidR="00DD0682" w:rsidRPr="00751479" w:rsidTr="00DD0682">
        <w:trPr>
          <w:jc w:val="center"/>
        </w:trPr>
        <w:tc>
          <w:tcPr>
            <w:tcW w:w="1445" w:type="dxa"/>
          </w:tcPr>
          <w:p w:rsidR="00DD0682" w:rsidRPr="00751479" w:rsidRDefault="00DD0682" w:rsidP="00DD0682">
            <w:pPr>
              <w:adjustRightInd w:val="0"/>
              <w:snapToGrid w:val="0"/>
              <w:jc w:val="center"/>
              <w:rPr>
                <w:snapToGrid w:val="0"/>
              </w:rPr>
            </w:pPr>
            <w:r w:rsidRPr="00751479">
              <w:rPr>
                <w:snapToGrid w:val="0"/>
              </w:rPr>
              <w:t>2006</w:t>
            </w:r>
          </w:p>
        </w:tc>
        <w:tc>
          <w:tcPr>
            <w:tcW w:w="2372" w:type="dxa"/>
            <w:vAlign w:val="center"/>
          </w:tcPr>
          <w:p w:rsidR="00DD0682" w:rsidRPr="002E258E" w:rsidRDefault="00DD0682" w:rsidP="00DD0682">
            <w:pPr>
              <w:jc w:val="center"/>
              <w:rPr>
                <w:bCs/>
              </w:rPr>
            </w:pPr>
            <w:r w:rsidRPr="002E258E">
              <w:rPr>
                <w:bCs/>
              </w:rPr>
              <w:t>10</w:t>
            </w:r>
          </w:p>
        </w:tc>
        <w:tc>
          <w:tcPr>
            <w:tcW w:w="2373" w:type="dxa"/>
            <w:vAlign w:val="center"/>
          </w:tcPr>
          <w:p w:rsidR="00DD0682" w:rsidRPr="006034F2" w:rsidRDefault="00DD0682" w:rsidP="00DD0682">
            <w:pPr>
              <w:tabs>
                <w:tab w:val="decimal" w:pos="1472"/>
              </w:tabs>
              <w:rPr>
                <w:b/>
                <w:bCs/>
              </w:rPr>
            </w:pPr>
            <w:r w:rsidRPr="006034F2">
              <w:rPr>
                <w:b/>
                <w:bCs/>
              </w:rPr>
              <w:t>492.661</w:t>
            </w:r>
          </w:p>
        </w:tc>
        <w:tc>
          <w:tcPr>
            <w:tcW w:w="1981" w:type="dxa"/>
            <w:vAlign w:val="center"/>
          </w:tcPr>
          <w:p w:rsidR="00DD0682" w:rsidRPr="002E258E" w:rsidRDefault="00DD0682" w:rsidP="00DD0682">
            <w:pPr>
              <w:jc w:val="center"/>
              <w:rPr>
                <w:bCs/>
              </w:rPr>
            </w:pPr>
            <w:r>
              <w:rPr>
                <w:bCs/>
              </w:rPr>
              <w:t>44.</w:t>
            </w:r>
            <w:r w:rsidRPr="002E258E">
              <w:rPr>
                <w:bCs/>
              </w:rPr>
              <w:t>800</w:t>
            </w:r>
          </w:p>
        </w:tc>
      </w:tr>
    </w:tbl>
    <w:p w:rsidR="00DD0682" w:rsidRPr="00751479" w:rsidRDefault="00DD0682" w:rsidP="00DD0682">
      <w:pPr>
        <w:adjustRightInd w:val="0"/>
        <w:snapToGrid w:val="0"/>
        <w:spacing w:before="480" w:after="240"/>
        <w:rPr>
          <w:snapToGrid w:val="0"/>
        </w:rPr>
      </w:pPr>
      <w:r w:rsidRPr="00751479">
        <w:rPr>
          <w:snapToGrid w:val="0"/>
        </w:rPr>
        <w:t>206.</w:t>
      </w:r>
      <w:r w:rsidRPr="00751479">
        <w:rPr>
          <w:snapToGrid w:val="0"/>
        </w:rPr>
        <w:tab/>
      </w:r>
      <w:r w:rsidRPr="00124B0E">
        <w:rPr>
          <w:snapToGrid w:val="0"/>
        </w:rPr>
        <w:t>Ámbitos en los que la huelga está prohibida:</w:t>
      </w:r>
      <w:r w:rsidRPr="00751479">
        <w:rPr>
          <w:snapToGrid w:val="0"/>
        </w:rPr>
        <w:t xml:space="preserve">  la legislación define los sectores </w:t>
      </w:r>
      <w:r>
        <w:rPr>
          <w:snapToGrid w:val="0"/>
        </w:rPr>
        <w:t>en</w:t>
      </w:r>
      <w:r w:rsidRPr="00751479">
        <w:rPr>
          <w:snapToGrid w:val="0"/>
        </w:rPr>
        <w:t xml:space="preserve"> los que </w:t>
      </w:r>
      <w:r>
        <w:rPr>
          <w:snapToGrid w:val="0"/>
        </w:rPr>
        <w:t>está</w:t>
      </w:r>
      <w:r w:rsidRPr="00751479">
        <w:rPr>
          <w:snapToGrid w:val="0"/>
        </w:rPr>
        <w:t xml:space="preserve"> prohibido recurrir a la huelga, </w:t>
      </w:r>
      <w:r>
        <w:rPr>
          <w:snapToGrid w:val="0"/>
        </w:rPr>
        <w:t>a saber</w:t>
      </w:r>
      <w:r w:rsidRPr="00751479">
        <w:rPr>
          <w:snapToGrid w:val="0"/>
        </w:rPr>
        <w:t xml:space="preserve"> (art. 43):</w:t>
      </w:r>
    </w:p>
    <w:p w:rsidR="00DD0682" w:rsidRPr="00751479" w:rsidRDefault="00DD0682" w:rsidP="00DD0682">
      <w:pPr>
        <w:adjustRightInd w:val="0"/>
        <w:snapToGrid w:val="0"/>
        <w:spacing w:after="240"/>
        <w:ind w:left="924" w:hanging="357"/>
        <w:rPr>
          <w:snapToGrid w:val="0"/>
        </w:rPr>
      </w:pPr>
      <w:r>
        <w:rPr>
          <w:snapToGrid w:val="0"/>
        </w:rPr>
        <w:t>-</w:t>
      </w:r>
      <w:r>
        <w:rPr>
          <w:snapToGrid w:val="0"/>
        </w:rPr>
        <w:tab/>
      </w:r>
      <w:r w:rsidRPr="00751479">
        <w:rPr>
          <w:snapToGrid w:val="0"/>
        </w:rPr>
        <w:t>Los magistrados</w:t>
      </w:r>
      <w:r>
        <w:rPr>
          <w:snapToGrid w:val="0"/>
        </w:rPr>
        <w:t>;</w:t>
      </w:r>
    </w:p>
    <w:p w:rsidR="00DD0682" w:rsidRPr="00751479" w:rsidRDefault="00DD0682" w:rsidP="00DD0682">
      <w:pPr>
        <w:adjustRightInd w:val="0"/>
        <w:snapToGrid w:val="0"/>
        <w:spacing w:after="240"/>
        <w:ind w:left="924" w:hanging="357"/>
        <w:rPr>
          <w:snapToGrid w:val="0"/>
        </w:rPr>
      </w:pPr>
      <w:r>
        <w:rPr>
          <w:snapToGrid w:val="0"/>
        </w:rPr>
        <w:t>-</w:t>
      </w:r>
      <w:r w:rsidRPr="00751479">
        <w:rPr>
          <w:snapToGrid w:val="0"/>
        </w:rPr>
        <w:tab/>
        <w:t>Los funcionarios nombrados por decreto o destinados en el extranjero</w:t>
      </w:r>
      <w:r>
        <w:rPr>
          <w:snapToGrid w:val="0"/>
        </w:rPr>
        <w:t>;</w:t>
      </w:r>
    </w:p>
    <w:p w:rsidR="00DD0682" w:rsidRPr="00751479" w:rsidRDefault="00DD0682" w:rsidP="00DD0682">
      <w:pPr>
        <w:adjustRightInd w:val="0"/>
        <w:snapToGrid w:val="0"/>
        <w:spacing w:after="240"/>
        <w:ind w:left="924" w:hanging="357"/>
        <w:rPr>
          <w:snapToGrid w:val="0"/>
        </w:rPr>
      </w:pPr>
      <w:r>
        <w:rPr>
          <w:snapToGrid w:val="0"/>
        </w:rPr>
        <w:t>-</w:t>
      </w:r>
      <w:r w:rsidRPr="00751479">
        <w:rPr>
          <w:snapToGrid w:val="0"/>
        </w:rPr>
        <w:tab/>
        <w:t>Los agentes de los servicios de seguridad</w:t>
      </w:r>
      <w:r>
        <w:rPr>
          <w:snapToGrid w:val="0"/>
        </w:rPr>
        <w:t>;</w:t>
      </w:r>
    </w:p>
    <w:p w:rsidR="00DD0682" w:rsidRPr="00751479" w:rsidRDefault="00DD0682" w:rsidP="00DD0682">
      <w:pPr>
        <w:adjustRightInd w:val="0"/>
        <w:snapToGrid w:val="0"/>
        <w:spacing w:after="240"/>
        <w:ind w:left="924" w:hanging="357"/>
        <w:rPr>
          <w:snapToGrid w:val="0"/>
        </w:rPr>
      </w:pPr>
      <w:r>
        <w:rPr>
          <w:snapToGrid w:val="0"/>
        </w:rPr>
        <w:t>-</w:t>
      </w:r>
      <w:r w:rsidRPr="00751479">
        <w:rPr>
          <w:snapToGrid w:val="0"/>
        </w:rPr>
        <w:tab/>
        <w:t>Los agentes de los servicios de protección civil</w:t>
      </w:r>
      <w:r>
        <w:rPr>
          <w:snapToGrid w:val="0"/>
        </w:rPr>
        <w:t>;</w:t>
      </w:r>
    </w:p>
    <w:p w:rsidR="00DD0682" w:rsidRPr="00751479" w:rsidRDefault="00DD0682" w:rsidP="00DD0682">
      <w:pPr>
        <w:adjustRightInd w:val="0"/>
        <w:snapToGrid w:val="0"/>
        <w:spacing w:after="240"/>
        <w:ind w:left="924" w:hanging="357"/>
        <w:rPr>
          <w:snapToGrid w:val="0"/>
        </w:rPr>
      </w:pPr>
      <w:r>
        <w:rPr>
          <w:snapToGrid w:val="0"/>
        </w:rPr>
        <w:t>-</w:t>
      </w:r>
      <w:r w:rsidRPr="00751479">
        <w:rPr>
          <w:snapToGrid w:val="0"/>
        </w:rPr>
        <w:tab/>
        <w:t>Los agentes de los servicios de explotación de la red de transmisiones nacionales de los Ministerios del Interior y de Relaciones Exteriores</w:t>
      </w:r>
      <w:r>
        <w:rPr>
          <w:snapToGrid w:val="0"/>
        </w:rPr>
        <w:t>;</w:t>
      </w:r>
    </w:p>
    <w:p w:rsidR="00DD0682" w:rsidRPr="00751479" w:rsidRDefault="00DD0682" w:rsidP="00DD0682">
      <w:pPr>
        <w:adjustRightInd w:val="0"/>
        <w:snapToGrid w:val="0"/>
        <w:spacing w:after="240"/>
        <w:ind w:left="924" w:hanging="357"/>
        <w:rPr>
          <w:snapToGrid w:val="0"/>
        </w:rPr>
      </w:pPr>
      <w:r>
        <w:rPr>
          <w:snapToGrid w:val="0"/>
        </w:rPr>
        <w:t>-</w:t>
      </w:r>
      <w:r>
        <w:rPr>
          <w:snapToGrid w:val="0"/>
        </w:rPr>
        <w:tab/>
      </w:r>
      <w:r w:rsidRPr="00751479">
        <w:rPr>
          <w:snapToGrid w:val="0"/>
        </w:rPr>
        <w:t>Los agentes de aduanas</w:t>
      </w:r>
      <w:r>
        <w:rPr>
          <w:snapToGrid w:val="0"/>
        </w:rPr>
        <w:t>;</w:t>
      </w:r>
    </w:p>
    <w:p w:rsidR="00DD0682" w:rsidRPr="00751479" w:rsidRDefault="00DD0682" w:rsidP="00DD0682">
      <w:pPr>
        <w:adjustRightInd w:val="0"/>
        <w:snapToGrid w:val="0"/>
        <w:spacing w:after="240"/>
        <w:ind w:left="924" w:hanging="357"/>
        <w:rPr>
          <w:snapToGrid w:val="0"/>
        </w:rPr>
      </w:pPr>
      <w:r>
        <w:rPr>
          <w:snapToGrid w:val="0"/>
        </w:rPr>
        <w:t>-</w:t>
      </w:r>
      <w:r w:rsidRPr="00751479">
        <w:rPr>
          <w:snapToGrid w:val="0"/>
        </w:rPr>
        <w:tab/>
        <w:t>El personal de</w:t>
      </w:r>
      <w:r>
        <w:rPr>
          <w:snapToGrid w:val="0"/>
        </w:rPr>
        <w:t xml:space="preserve"> </w:t>
      </w:r>
      <w:r w:rsidRPr="00751479">
        <w:rPr>
          <w:snapToGrid w:val="0"/>
        </w:rPr>
        <w:t>l</w:t>
      </w:r>
      <w:r>
        <w:rPr>
          <w:snapToGrid w:val="0"/>
        </w:rPr>
        <w:t>os</w:t>
      </w:r>
      <w:r w:rsidRPr="00751479">
        <w:rPr>
          <w:snapToGrid w:val="0"/>
        </w:rPr>
        <w:t xml:space="preserve"> servicio</w:t>
      </w:r>
      <w:r>
        <w:rPr>
          <w:snapToGrid w:val="0"/>
        </w:rPr>
        <w:t>s</w:t>
      </w:r>
      <w:r w:rsidRPr="00751479">
        <w:rPr>
          <w:snapToGrid w:val="0"/>
        </w:rPr>
        <w:t xml:space="preserve"> exterior</w:t>
      </w:r>
      <w:r>
        <w:rPr>
          <w:snapToGrid w:val="0"/>
        </w:rPr>
        <w:t>es</w:t>
      </w:r>
      <w:r w:rsidRPr="00751479">
        <w:rPr>
          <w:snapToGrid w:val="0"/>
        </w:rPr>
        <w:t xml:space="preserve"> de la administración penitenciaria.</w:t>
      </w:r>
    </w:p>
    <w:p w:rsidR="00DD0682" w:rsidRPr="00751479" w:rsidRDefault="00DD0682" w:rsidP="00DD0682">
      <w:pPr>
        <w:adjustRightInd w:val="0"/>
        <w:snapToGrid w:val="0"/>
        <w:spacing w:after="240"/>
        <w:rPr>
          <w:b/>
          <w:snapToGrid w:val="0"/>
        </w:rPr>
      </w:pPr>
      <w:r w:rsidRPr="00751479">
        <w:rPr>
          <w:b/>
          <w:snapToGrid w:val="0"/>
        </w:rPr>
        <w:t>Artículo 9</w:t>
      </w:r>
      <w:r>
        <w:rPr>
          <w:b/>
          <w:snapToGrid w:val="0"/>
        </w:rPr>
        <w:t>.</w:t>
      </w:r>
      <w:r w:rsidRPr="00751479">
        <w:rPr>
          <w:b/>
          <w:snapToGrid w:val="0"/>
        </w:rPr>
        <w:t xml:space="preserve">  Derecho a la seguridad social y al seguro social</w:t>
      </w:r>
    </w:p>
    <w:p w:rsidR="00DD0682" w:rsidRPr="00751479" w:rsidRDefault="00DD0682" w:rsidP="00DD0682">
      <w:pPr>
        <w:adjustRightInd w:val="0"/>
        <w:snapToGrid w:val="0"/>
        <w:spacing w:after="240"/>
        <w:rPr>
          <w:b/>
          <w:snapToGrid w:val="0"/>
        </w:rPr>
      </w:pPr>
      <w:r>
        <w:rPr>
          <w:b/>
          <w:snapToGrid w:val="0"/>
        </w:rPr>
        <w:tab/>
      </w:r>
      <w:r w:rsidRPr="00751479">
        <w:rPr>
          <w:b/>
          <w:snapToGrid w:val="0"/>
        </w:rPr>
        <w:t xml:space="preserve">Sistema de seguridad social </w:t>
      </w:r>
    </w:p>
    <w:p w:rsidR="00DD0682" w:rsidRPr="00751479" w:rsidRDefault="00DD0682" w:rsidP="00DD0682">
      <w:pPr>
        <w:adjustRightInd w:val="0"/>
        <w:snapToGrid w:val="0"/>
        <w:spacing w:after="240"/>
        <w:rPr>
          <w:b/>
          <w:snapToGrid w:val="0"/>
        </w:rPr>
      </w:pPr>
      <w:r>
        <w:rPr>
          <w:b/>
          <w:snapToGrid w:val="0"/>
        </w:rPr>
        <w:tab/>
      </w:r>
      <w:r w:rsidRPr="00751479">
        <w:rPr>
          <w:b/>
          <w:snapToGrid w:val="0"/>
        </w:rPr>
        <w:t>1.</w:t>
      </w:r>
      <w:r w:rsidRPr="00751479">
        <w:rPr>
          <w:b/>
          <w:snapToGrid w:val="0"/>
        </w:rPr>
        <w:tab/>
      </w:r>
      <w:r>
        <w:rPr>
          <w:b/>
          <w:snapToGrid w:val="0"/>
        </w:rPr>
        <w:t>El s</w:t>
      </w:r>
      <w:r w:rsidRPr="00751479">
        <w:rPr>
          <w:b/>
          <w:snapToGrid w:val="0"/>
        </w:rPr>
        <w:t>eguro social</w:t>
      </w:r>
    </w:p>
    <w:p w:rsidR="00DD0682" w:rsidRPr="00751479" w:rsidRDefault="00DD0682" w:rsidP="00DD0682">
      <w:pPr>
        <w:adjustRightInd w:val="0"/>
        <w:snapToGrid w:val="0"/>
        <w:spacing w:after="240"/>
        <w:rPr>
          <w:snapToGrid w:val="0"/>
        </w:rPr>
      </w:pPr>
      <w:r w:rsidRPr="00751479">
        <w:rPr>
          <w:snapToGrid w:val="0"/>
        </w:rPr>
        <w:t>207.</w:t>
      </w:r>
      <w:r w:rsidRPr="00751479">
        <w:rPr>
          <w:snapToGrid w:val="0"/>
        </w:rPr>
        <w:tab/>
        <w:t xml:space="preserve">El sistema comprende las nueve ramas de la seguridad social previstas en los convenios de la Organización Internacional del Trabajo (OIT) </w:t>
      </w:r>
      <w:r>
        <w:rPr>
          <w:snapToGrid w:val="0"/>
        </w:rPr>
        <w:t>en esta esfera</w:t>
      </w:r>
      <w:r w:rsidRPr="00751479">
        <w:rPr>
          <w:snapToGrid w:val="0"/>
        </w:rPr>
        <w:t>.</w:t>
      </w:r>
    </w:p>
    <w:p w:rsidR="00DD0682" w:rsidRPr="00751479" w:rsidRDefault="00DD0682" w:rsidP="00DD0682">
      <w:pPr>
        <w:adjustRightInd w:val="0"/>
        <w:snapToGrid w:val="0"/>
        <w:spacing w:after="240"/>
        <w:rPr>
          <w:snapToGrid w:val="0"/>
        </w:rPr>
      </w:pPr>
      <w:r w:rsidRPr="00751479">
        <w:rPr>
          <w:snapToGrid w:val="0"/>
        </w:rPr>
        <w:t>208.</w:t>
      </w:r>
      <w:r w:rsidRPr="00751479">
        <w:rPr>
          <w:snapToGrid w:val="0"/>
        </w:rPr>
        <w:tab/>
        <w:t>Están obligatoriamente afiliados todos:</w:t>
      </w:r>
    </w:p>
    <w:p w:rsidR="00DD0682" w:rsidRPr="00751479" w:rsidRDefault="00DD0682" w:rsidP="00DD0682">
      <w:pPr>
        <w:adjustRightInd w:val="0"/>
        <w:snapToGrid w:val="0"/>
        <w:spacing w:after="240"/>
        <w:ind w:left="1134" w:hanging="567"/>
        <w:rPr>
          <w:snapToGrid w:val="0"/>
        </w:rPr>
      </w:pPr>
      <w:r w:rsidRPr="00751479">
        <w:rPr>
          <w:snapToGrid w:val="0"/>
        </w:rPr>
        <w:t>a)</w:t>
      </w:r>
      <w:r w:rsidRPr="00751479">
        <w:rPr>
          <w:snapToGrid w:val="0"/>
        </w:rPr>
        <w:tab/>
        <w:t>Los trabajadores asalariados independientemente de</w:t>
      </w:r>
      <w:r>
        <w:rPr>
          <w:snapToGrid w:val="0"/>
        </w:rPr>
        <w:t xml:space="preserve"> su</w:t>
      </w:r>
      <w:r w:rsidRPr="00751479">
        <w:rPr>
          <w:snapToGrid w:val="0"/>
        </w:rPr>
        <w:t xml:space="preserve"> sector de actividad;</w:t>
      </w:r>
    </w:p>
    <w:p w:rsidR="00DD0682" w:rsidRPr="00751479" w:rsidRDefault="00DD0682" w:rsidP="00DD0682">
      <w:pPr>
        <w:adjustRightInd w:val="0"/>
        <w:snapToGrid w:val="0"/>
        <w:spacing w:after="240"/>
        <w:ind w:left="1134" w:hanging="567"/>
        <w:rPr>
          <w:snapToGrid w:val="0"/>
        </w:rPr>
      </w:pPr>
      <w:r w:rsidRPr="00751479">
        <w:rPr>
          <w:snapToGrid w:val="0"/>
        </w:rPr>
        <w:t>b)</w:t>
      </w:r>
      <w:r w:rsidRPr="00751479">
        <w:rPr>
          <w:snapToGrid w:val="0"/>
        </w:rPr>
        <w:tab/>
        <w:t>Los trabajadores no asalariados; y</w:t>
      </w:r>
    </w:p>
    <w:p w:rsidR="00DD0682" w:rsidRPr="00751479" w:rsidRDefault="00DD0682" w:rsidP="00DD0682">
      <w:pPr>
        <w:adjustRightInd w:val="0"/>
        <w:snapToGrid w:val="0"/>
        <w:spacing w:after="240"/>
        <w:ind w:left="1134" w:hanging="567"/>
        <w:rPr>
          <w:snapToGrid w:val="0"/>
        </w:rPr>
      </w:pPr>
      <w:r w:rsidRPr="00751479">
        <w:rPr>
          <w:snapToGrid w:val="0"/>
        </w:rPr>
        <w:t>c)</w:t>
      </w:r>
      <w:r w:rsidRPr="00751479">
        <w:rPr>
          <w:snapToGrid w:val="0"/>
        </w:rPr>
        <w:tab/>
        <w:t>Determinadas categorías particulares que se benefician de ciertas prestaciones de la seguridad social en materia de seguro social y/o de accidentes de trabajo y enfermedades profesionales, como los estudiantes, las personas con discapacidad, los aprendices de</w:t>
      </w:r>
      <w:r>
        <w:rPr>
          <w:snapToGrid w:val="0"/>
        </w:rPr>
        <w:t xml:space="preserve"> los</w:t>
      </w:r>
      <w:r w:rsidRPr="00751479">
        <w:rPr>
          <w:snapToGrid w:val="0"/>
        </w:rPr>
        <w:t xml:space="preserve"> programas de formación profesional, los beneficiarios de la red de asistencia social, etc.</w:t>
      </w:r>
    </w:p>
    <w:p w:rsidR="00DD0682" w:rsidRPr="00751479" w:rsidRDefault="00DD0682" w:rsidP="00DD0682">
      <w:pPr>
        <w:adjustRightInd w:val="0"/>
        <w:snapToGrid w:val="0"/>
        <w:spacing w:after="240"/>
        <w:rPr>
          <w:snapToGrid w:val="0"/>
        </w:rPr>
      </w:pPr>
      <w:r w:rsidRPr="00751479">
        <w:rPr>
          <w:snapToGrid w:val="0"/>
        </w:rPr>
        <w:t>209.</w:t>
      </w:r>
      <w:r w:rsidRPr="00751479">
        <w:rPr>
          <w:snapToGrid w:val="0"/>
        </w:rPr>
        <w:tab/>
        <w:t xml:space="preserve">El sistema abarca a más de </w:t>
      </w:r>
      <w:r w:rsidR="00A3211E">
        <w:rPr>
          <w:snapToGrid w:val="0"/>
        </w:rPr>
        <w:t>siete</w:t>
      </w:r>
      <w:r w:rsidRPr="00751479">
        <w:rPr>
          <w:snapToGrid w:val="0"/>
        </w:rPr>
        <w:t xml:space="preserve"> millones de personas y sus derechohabientes, con lo que está asegurada aproximadamente el 80% de la población.  Asimismo, la seguridad social se ocupa:</w:t>
      </w:r>
    </w:p>
    <w:p w:rsidR="00DD0682" w:rsidRPr="00751479" w:rsidRDefault="00DD0682" w:rsidP="00DD0682">
      <w:pPr>
        <w:adjustRightInd w:val="0"/>
        <w:snapToGrid w:val="0"/>
        <w:spacing w:after="240"/>
        <w:ind w:left="1134" w:hanging="567"/>
        <w:rPr>
          <w:snapToGrid w:val="0"/>
        </w:rPr>
      </w:pPr>
      <w:r>
        <w:rPr>
          <w:snapToGrid w:val="0"/>
        </w:rPr>
        <w:t>a)</w:t>
      </w:r>
      <w:r>
        <w:rPr>
          <w:snapToGrid w:val="0"/>
        </w:rPr>
        <w:tab/>
      </w:r>
      <w:r w:rsidRPr="00751479">
        <w:rPr>
          <w:snapToGrid w:val="0"/>
        </w:rPr>
        <w:t>De la atención sanitaria</w:t>
      </w:r>
      <w:r>
        <w:rPr>
          <w:snapToGrid w:val="0"/>
        </w:rPr>
        <w:t>,</w:t>
      </w:r>
      <w:r w:rsidRPr="00751479">
        <w:rPr>
          <w:snapToGrid w:val="0"/>
        </w:rPr>
        <w:t xml:space="preserve"> por cuenta del Estado, de las personas carentes de recursos no </w:t>
      </w:r>
      <w:r>
        <w:rPr>
          <w:snapToGrid w:val="0"/>
        </w:rPr>
        <w:t>cubiertas por</w:t>
      </w:r>
      <w:r w:rsidRPr="00751479">
        <w:rPr>
          <w:snapToGrid w:val="0"/>
        </w:rPr>
        <w:t xml:space="preserve"> </w:t>
      </w:r>
      <w:r>
        <w:rPr>
          <w:snapToGrid w:val="0"/>
        </w:rPr>
        <w:t>e</w:t>
      </w:r>
      <w:r w:rsidRPr="00751479">
        <w:rPr>
          <w:snapToGrid w:val="0"/>
        </w:rPr>
        <w:t>l seguro social;</w:t>
      </w:r>
    </w:p>
    <w:p w:rsidR="00DD0682" w:rsidRPr="00751479" w:rsidRDefault="00DD0682" w:rsidP="00DD0682">
      <w:pPr>
        <w:adjustRightInd w:val="0"/>
        <w:snapToGrid w:val="0"/>
        <w:spacing w:after="240"/>
        <w:ind w:left="1134" w:hanging="567"/>
        <w:rPr>
          <w:snapToGrid w:val="0"/>
        </w:rPr>
      </w:pPr>
      <w:r w:rsidRPr="00751479">
        <w:rPr>
          <w:snapToGrid w:val="0"/>
        </w:rPr>
        <w:t>b)</w:t>
      </w:r>
      <w:r w:rsidRPr="00751479">
        <w:rPr>
          <w:snapToGrid w:val="0"/>
        </w:rPr>
        <w:tab/>
        <w:t xml:space="preserve">De las personas no </w:t>
      </w:r>
      <w:r>
        <w:rPr>
          <w:snapToGrid w:val="0"/>
        </w:rPr>
        <w:t>cubiertas por el seguro social</w:t>
      </w:r>
      <w:r w:rsidRPr="00751479">
        <w:rPr>
          <w:snapToGrid w:val="0"/>
        </w:rPr>
        <w:t xml:space="preserve"> que son enviadas a recibir tratamiento en el extranjero cuando la capacidad</w:t>
      </w:r>
      <w:r>
        <w:rPr>
          <w:snapToGrid w:val="0"/>
        </w:rPr>
        <w:t xml:space="preserve"> sanitaria</w:t>
      </w:r>
      <w:r w:rsidRPr="00751479">
        <w:rPr>
          <w:snapToGrid w:val="0"/>
        </w:rPr>
        <w:t xml:space="preserve"> del país no permite atenderlas localmente.</w:t>
      </w:r>
    </w:p>
    <w:p w:rsidR="00DD0682" w:rsidRPr="00751479" w:rsidRDefault="00DD0682" w:rsidP="00DD0682">
      <w:pPr>
        <w:adjustRightInd w:val="0"/>
        <w:snapToGrid w:val="0"/>
        <w:spacing w:after="240"/>
        <w:rPr>
          <w:snapToGrid w:val="0"/>
        </w:rPr>
      </w:pPr>
      <w:r w:rsidRPr="00751479">
        <w:rPr>
          <w:snapToGrid w:val="0"/>
        </w:rPr>
        <w:t>210.</w:t>
      </w:r>
      <w:r w:rsidRPr="00751479">
        <w:rPr>
          <w:snapToGrid w:val="0"/>
        </w:rPr>
        <w:tab/>
      </w:r>
      <w:r>
        <w:rPr>
          <w:snapToGrid w:val="0"/>
        </w:rPr>
        <w:t>El</w:t>
      </w:r>
      <w:r w:rsidRPr="00751479">
        <w:rPr>
          <w:snapToGrid w:val="0"/>
        </w:rPr>
        <w:t xml:space="preserve"> seguro social </w:t>
      </w:r>
      <w:r>
        <w:rPr>
          <w:snapToGrid w:val="0"/>
        </w:rPr>
        <w:t xml:space="preserve">cubre </w:t>
      </w:r>
      <w:r w:rsidRPr="00751479">
        <w:rPr>
          <w:snapToGrid w:val="0"/>
        </w:rPr>
        <w:t xml:space="preserve">igualmente a los derechohabientes del afiliado, a saber:  </w:t>
      </w:r>
    </w:p>
    <w:p w:rsidR="00DD0682" w:rsidRPr="00751479" w:rsidRDefault="00DD0682" w:rsidP="00DD0682">
      <w:pPr>
        <w:adjustRightInd w:val="0"/>
        <w:snapToGrid w:val="0"/>
        <w:spacing w:after="240"/>
        <w:ind w:left="1134" w:hanging="567"/>
        <w:rPr>
          <w:snapToGrid w:val="0"/>
        </w:rPr>
      </w:pPr>
      <w:r w:rsidRPr="00751479">
        <w:rPr>
          <w:snapToGrid w:val="0"/>
        </w:rPr>
        <w:t>a)</w:t>
      </w:r>
      <w:r w:rsidRPr="00751479">
        <w:rPr>
          <w:snapToGrid w:val="0"/>
        </w:rPr>
        <w:tab/>
        <w:t>El cónyuge;</w:t>
      </w:r>
    </w:p>
    <w:p w:rsidR="00DD0682" w:rsidRPr="00751479" w:rsidRDefault="00DD0682" w:rsidP="00DD0682">
      <w:pPr>
        <w:adjustRightInd w:val="0"/>
        <w:snapToGrid w:val="0"/>
        <w:spacing w:after="240"/>
        <w:ind w:left="1134" w:hanging="567"/>
        <w:rPr>
          <w:snapToGrid w:val="0"/>
        </w:rPr>
      </w:pPr>
      <w:r w:rsidRPr="00751479">
        <w:rPr>
          <w:snapToGrid w:val="0"/>
        </w:rPr>
        <w:t>b)</w:t>
      </w:r>
      <w:r w:rsidRPr="00751479">
        <w:rPr>
          <w:snapToGrid w:val="0"/>
        </w:rPr>
        <w:tab/>
        <w:t>Los hijos a cargo menores de 18 años o de hasta 21 años si son estudiantes;</w:t>
      </w:r>
    </w:p>
    <w:p w:rsidR="00DD0682" w:rsidRPr="00751479" w:rsidRDefault="00DD0682" w:rsidP="00DD0682">
      <w:pPr>
        <w:adjustRightInd w:val="0"/>
        <w:snapToGrid w:val="0"/>
        <w:spacing w:after="240"/>
        <w:ind w:left="1134" w:hanging="567"/>
        <w:rPr>
          <w:snapToGrid w:val="0"/>
        </w:rPr>
      </w:pPr>
      <w:r w:rsidRPr="00751479">
        <w:rPr>
          <w:snapToGrid w:val="0"/>
        </w:rPr>
        <w:t>c)</w:t>
      </w:r>
      <w:r w:rsidRPr="00751479">
        <w:rPr>
          <w:snapToGrid w:val="0"/>
        </w:rPr>
        <w:tab/>
        <w:t>Los hijos a cargo inválidos que no puedan ejercer una actividad;</w:t>
      </w:r>
    </w:p>
    <w:p w:rsidR="00DD0682" w:rsidRPr="00751479" w:rsidRDefault="00DD0682" w:rsidP="006E1814">
      <w:pPr>
        <w:keepNext/>
        <w:keepLines/>
        <w:adjustRightInd w:val="0"/>
        <w:snapToGrid w:val="0"/>
        <w:spacing w:after="240"/>
        <w:ind w:left="1134" w:hanging="567"/>
        <w:rPr>
          <w:snapToGrid w:val="0"/>
        </w:rPr>
      </w:pPr>
      <w:r w:rsidRPr="00751479">
        <w:rPr>
          <w:snapToGrid w:val="0"/>
        </w:rPr>
        <w:t>d)</w:t>
      </w:r>
      <w:r w:rsidRPr="00751479">
        <w:rPr>
          <w:snapToGrid w:val="0"/>
        </w:rPr>
        <w:tab/>
        <w:t>Los ascendientes a cargo del afiliado o de su cónyuge;</w:t>
      </w:r>
    </w:p>
    <w:p w:rsidR="00DD0682" w:rsidRPr="00751479" w:rsidRDefault="00DD0682" w:rsidP="00DD0682">
      <w:pPr>
        <w:adjustRightInd w:val="0"/>
        <w:snapToGrid w:val="0"/>
        <w:spacing w:after="240"/>
        <w:ind w:left="1134" w:hanging="567"/>
        <w:rPr>
          <w:snapToGrid w:val="0"/>
        </w:rPr>
      </w:pPr>
      <w:r>
        <w:rPr>
          <w:snapToGrid w:val="0"/>
        </w:rPr>
        <w:t>e</w:t>
      </w:r>
      <w:r w:rsidRPr="00751479">
        <w:rPr>
          <w:snapToGrid w:val="0"/>
        </w:rPr>
        <w:t>)</w:t>
      </w:r>
      <w:r w:rsidRPr="00751479">
        <w:rPr>
          <w:snapToGrid w:val="0"/>
        </w:rPr>
        <w:tab/>
        <w:t xml:space="preserve">Las personas de sexo femenino sin </w:t>
      </w:r>
      <w:r>
        <w:rPr>
          <w:snapToGrid w:val="0"/>
        </w:rPr>
        <w:t>recursos</w:t>
      </w:r>
      <w:r w:rsidRPr="00751479">
        <w:rPr>
          <w:snapToGrid w:val="0"/>
        </w:rPr>
        <w:t>, independientemente de su edad.</w:t>
      </w:r>
    </w:p>
    <w:p w:rsidR="00DD0682" w:rsidRPr="00751479" w:rsidRDefault="00DD0682" w:rsidP="00DD0682">
      <w:pPr>
        <w:adjustRightInd w:val="0"/>
        <w:snapToGrid w:val="0"/>
        <w:spacing w:after="240"/>
        <w:rPr>
          <w:snapToGrid w:val="0"/>
        </w:rPr>
      </w:pPr>
      <w:r w:rsidRPr="00751479">
        <w:rPr>
          <w:snapToGrid w:val="0"/>
        </w:rPr>
        <w:t>211.</w:t>
      </w:r>
      <w:r w:rsidRPr="00751479">
        <w:rPr>
          <w:snapToGrid w:val="0"/>
        </w:rPr>
        <w:tab/>
      </w:r>
      <w:r>
        <w:rPr>
          <w:snapToGrid w:val="0"/>
        </w:rPr>
        <w:t>El</w:t>
      </w:r>
      <w:r w:rsidRPr="00751479">
        <w:rPr>
          <w:snapToGrid w:val="0"/>
        </w:rPr>
        <w:t xml:space="preserve"> seguro social cubre cuatro contingencias:</w:t>
      </w:r>
    </w:p>
    <w:p w:rsidR="00DD0682" w:rsidRPr="00751479" w:rsidRDefault="00DD0682" w:rsidP="00DD0682">
      <w:pPr>
        <w:adjustRightInd w:val="0"/>
        <w:snapToGrid w:val="0"/>
        <w:spacing w:after="240"/>
        <w:ind w:left="1134" w:hanging="567"/>
        <w:rPr>
          <w:snapToGrid w:val="0"/>
        </w:rPr>
      </w:pPr>
      <w:r w:rsidRPr="00751479">
        <w:rPr>
          <w:snapToGrid w:val="0"/>
        </w:rPr>
        <w:t>a)</w:t>
      </w:r>
      <w:r w:rsidRPr="00751479">
        <w:rPr>
          <w:snapToGrid w:val="0"/>
        </w:rPr>
        <w:tab/>
        <w:t>La enfermedad;</w:t>
      </w:r>
    </w:p>
    <w:p w:rsidR="00DD0682" w:rsidRPr="00751479" w:rsidRDefault="00DD0682" w:rsidP="00DD0682">
      <w:pPr>
        <w:adjustRightInd w:val="0"/>
        <w:snapToGrid w:val="0"/>
        <w:spacing w:after="240"/>
        <w:ind w:left="1134" w:hanging="567"/>
        <w:rPr>
          <w:snapToGrid w:val="0"/>
        </w:rPr>
      </w:pPr>
      <w:r w:rsidRPr="00751479">
        <w:rPr>
          <w:snapToGrid w:val="0"/>
        </w:rPr>
        <w:t>b)</w:t>
      </w:r>
      <w:r w:rsidRPr="00751479">
        <w:rPr>
          <w:snapToGrid w:val="0"/>
        </w:rPr>
        <w:tab/>
        <w:t>La maternidad;</w:t>
      </w:r>
    </w:p>
    <w:p w:rsidR="00DD0682" w:rsidRPr="00751479" w:rsidRDefault="00DD0682" w:rsidP="00DD0682">
      <w:pPr>
        <w:adjustRightInd w:val="0"/>
        <w:snapToGrid w:val="0"/>
        <w:spacing w:after="240"/>
        <w:ind w:left="1134" w:hanging="567"/>
        <w:rPr>
          <w:snapToGrid w:val="0"/>
        </w:rPr>
      </w:pPr>
      <w:r w:rsidRPr="00751479">
        <w:rPr>
          <w:snapToGrid w:val="0"/>
        </w:rPr>
        <w:t>c)</w:t>
      </w:r>
      <w:r w:rsidRPr="00751479">
        <w:rPr>
          <w:snapToGrid w:val="0"/>
        </w:rPr>
        <w:tab/>
        <w:t>La invalidez;</w:t>
      </w:r>
    </w:p>
    <w:p w:rsidR="00DD0682" w:rsidRPr="00751479" w:rsidRDefault="00DD0682" w:rsidP="00DD0682">
      <w:pPr>
        <w:adjustRightInd w:val="0"/>
        <w:snapToGrid w:val="0"/>
        <w:spacing w:after="240"/>
        <w:ind w:left="1134" w:hanging="567"/>
        <w:rPr>
          <w:snapToGrid w:val="0"/>
        </w:rPr>
      </w:pPr>
      <w:r w:rsidRPr="00751479">
        <w:rPr>
          <w:snapToGrid w:val="0"/>
        </w:rPr>
        <w:t>d)</w:t>
      </w:r>
      <w:r w:rsidRPr="00751479">
        <w:rPr>
          <w:snapToGrid w:val="0"/>
        </w:rPr>
        <w:tab/>
        <w:t>El fallecimiento.</w:t>
      </w:r>
    </w:p>
    <w:p w:rsidR="00DD0682" w:rsidRPr="00751479" w:rsidRDefault="00DD0682" w:rsidP="00DD0682">
      <w:pPr>
        <w:adjustRightInd w:val="0"/>
        <w:snapToGrid w:val="0"/>
        <w:spacing w:after="240"/>
        <w:rPr>
          <w:snapToGrid w:val="0"/>
        </w:rPr>
      </w:pPr>
      <w:r w:rsidRPr="00751479">
        <w:rPr>
          <w:snapToGrid w:val="0"/>
        </w:rPr>
        <w:t>212.</w:t>
      </w:r>
      <w:r w:rsidRPr="00751479">
        <w:rPr>
          <w:snapToGrid w:val="0"/>
        </w:rPr>
        <w:tab/>
        <w:t xml:space="preserve">En lo que respecta al seguro de maternidad, </w:t>
      </w:r>
      <w:r>
        <w:rPr>
          <w:snapToGrid w:val="0"/>
        </w:rPr>
        <w:t>la cobertura de esta contingencia con</w:t>
      </w:r>
      <w:r w:rsidRPr="00751479">
        <w:rPr>
          <w:snapToGrid w:val="0"/>
        </w:rPr>
        <w:t xml:space="preserve"> prestaciones en especie y en metálico </w:t>
      </w:r>
      <w:r>
        <w:rPr>
          <w:snapToGrid w:val="0"/>
        </w:rPr>
        <w:t>se efectúa de la manera siguiente.</w:t>
      </w:r>
    </w:p>
    <w:p w:rsidR="00DD0682" w:rsidRPr="00751479" w:rsidRDefault="00DD0682" w:rsidP="00DD0682">
      <w:pPr>
        <w:adjustRightInd w:val="0"/>
        <w:snapToGrid w:val="0"/>
        <w:spacing w:after="240"/>
        <w:rPr>
          <w:snapToGrid w:val="0"/>
        </w:rPr>
      </w:pPr>
      <w:r w:rsidRPr="00751479">
        <w:rPr>
          <w:snapToGrid w:val="0"/>
        </w:rPr>
        <w:t>213.</w:t>
      </w:r>
      <w:r w:rsidRPr="00751479">
        <w:rPr>
          <w:snapToGrid w:val="0"/>
        </w:rPr>
        <w:tab/>
      </w:r>
      <w:r w:rsidRPr="00E25E47">
        <w:rPr>
          <w:snapToGrid w:val="0"/>
        </w:rPr>
        <w:t>Prestaciones en especie</w:t>
      </w:r>
      <w:r>
        <w:rPr>
          <w:snapToGrid w:val="0"/>
        </w:rPr>
        <w:t>.</w:t>
      </w:r>
      <w:r w:rsidRPr="00751479">
        <w:rPr>
          <w:snapToGrid w:val="0"/>
        </w:rPr>
        <w:t xml:space="preserve">  Los gastos relativos al embarazo, al parto y a sus secuelas se reembolsan a razón del 100% de las tarifas fijadas </w:t>
      </w:r>
      <w:r>
        <w:rPr>
          <w:snapToGrid w:val="0"/>
        </w:rPr>
        <w:t>reglamentariamente</w:t>
      </w:r>
      <w:r w:rsidRPr="00751479">
        <w:rPr>
          <w:snapToGrid w:val="0"/>
        </w:rPr>
        <w:t xml:space="preserve">.  Los gastos de hospitalización de la madre y el hijo son reembolsados </w:t>
      </w:r>
      <w:r>
        <w:rPr>
          <w:snapToGrid w:val="0"/>
        </w:rPr>
        <w:t xml:space="preserve">también al 100% </w:t>
      </w:r>
      <w:r w:rsidRPr="00751479">
        <w:rPr>
          <w:snapToGrid w:val="0"/>
        </w:rPr>
        <w:t>durante un período máximo de ocho días.  Los requisitos para tener derecho a las prestaciones en especie son los mismos que en caso de enfermedad.</w:t>
      </w:r>
    </w:p>
    <w:p w:rsidR="00DD0682" w:rsidRPr="00751479" w:rsidRDefault="00DD0682" w:rsidP="00DD0682">
      <w:pPr>
        <w:adjustRightInd w:val="0"/>
        <w:snapToGrid w:val="0"/>
        <w:spacing w:after="240"/>
        <w:rPr>
          <w:snapToGrid w:val="0"/>
        </w:rPr>
      </w:pPr>
      <w:r w:rsidRPr="00751479">
        <w:rPr>
          <w:snapToGrid w:val="0"/>
        </w:rPr>
        <w:t>214.</w:t>
      </w:r>
      <w:r w:rsidRPr="00751479">
        <w:rPr>
          <w:snapToGrid w:val="0"/>
        </w:rPr>
        <w:tab/>
      </w:r>
      <w:r w:rsidRPr="00E25E47">
        <w:rPr>
          <w:snapToGrid w:val="0"/>
        </w:rPr>
        <w:t xml:space="preserve">Prestaciones en </w:t>
      </w:r>
      <w:r>
        <w:rPr>
          <w:snapToGrid w:val="0"/>
        </w:rPr>
        <w:t>metálico.</w:t>
      </w:r>
      <w:r w:rsidRPr="00751479">
        <w:rPr>
          <w:snapToGrid w:val="0"/>
        </w:rPr>
        <w:t xml:space="preserve">  La mujer trabajadora que por razón de maternidad se ve obligada a interrumpir su trabajo tiene derecho a una indemnización diaria cuya cuantía es igual al 100% del salario diario sujeto a cotización.</w:t>
      </w:r>
    </w:p>
    <w:p w:rsidR="00DD0682" w:rsidRPr="00751479" w:rsidRDefault="00DD0682" w:rsidP="00DD0682">
      <w:pPr>
        <w:adjustRightInd w:val="0"/>
        <w:snapToGrid w:val="0"/>
        <w:spacing w:after="240"/>
        <w:rPr>
          <w:snapToGrid w:val="0"/>
        </w:rPr>
      </w:pPr>
      <w:r w:rsidRPr="00751479">
        <w:rPr>
          <w:snapToGrid w:val="0"/>
        </w:rPr>
        <w:t>215.</w:t>
      </w:r>
      <w:r w:rsidRPr="00751479">
        <w:rPr>
          <w:snapToGrid w:val="0"/>
        </w:rPr>
        <w:tab/>
      </w:r>
      <w:r>
        <w:rPr>
          <w:snapToGrid w:val="0"/>
        </w:rPr>
        <w:t>A condición de no realizar ningún</w:t>
      </w:r>
      <w:r w:rsidRPr="00751479">
        <w:rPr>
          <w:snapToGrid w:val="0"/>
        </w:rPr>
        <w:t xml:space="preserve"> trabajo asalariado durante el período de la indemnización, la asegurada recibe una indemnización diaria durante 14 semanas consecutivas (</w:t>
      </w:r>
      <w:r>
        <w:rPr>
          <w:snapToGrid w:val="0"/>
        </w:rPr>
        <w:t>6</w:t>
      </w:r>
      <w:r w:rsidRPr="00751479">
        <w:rPr>
          <w:snapToGrid w:val="0"/>
        </w:rPr>
        <w:t xml:space="preserve"> semanas antes de la fecha prevista del parto y </w:t>
      </w:r>
      <w:r>
        <w:rPr>
          <w:snapToGrid w:val="0"/>
        </w:rPr>
        <w:t>8</w:t>
      </w:r>
      <w:r w:rsidRPr="00751479">
        <w:rPr>
          <w:snapToGrid w:val="0"/>
        </w:rPr>
        <w:t xml:space="preserve"> semanas después).</w:t>
      </w:r>
    </w:p>
    <w:p w:rsidR="00DD0682" w:rsidRPr="00751479" w:rsidRDefault="00DD0682" w:rsidP="00DD0682">
      <w:pPr>
        <w:adjustRightInd w:val="0"/>
        <w:snapToGrid w:val="0"/>
        <w:spacing w:after="240"/>
        <w:rPr>
          <w:b/>
          <w:snapToGrid w:val="0"/>
        </w:rPr>
      </w:pPr>
      <w:r>
        <w:rPr>
          <w:b/>
          <w:snapToGrid w:val="0"/>
        </w:rPr>
        <w:tab/>
      </w:r>
      <w:r w:rsidRPr="00751479">
        <w:rPr>
          <w:b/>
          <w:snapToGrid w:val="0"/>
        </w:rPr>
        <w:t>2.</w:t>
      </w:r>
      <w:r w:rsidRPr="00751479">
        <w:rPr>
          <w:b/>
          <w:snapToGrid w:val="0"/>
        </w:rPr>
        <w:tab/>
        <w:t>La jubilación:  Ley Nº 83-12</w:t>
      </w:r>
      <w:r>
        <w:rPr>
          <w:b/>
          <w:snapToGrid w:val="0"/>
        </w:rPr>
        <w:t>,</w:t>
      </w:r>
      <w:r w:rsidRPr="00751479">
        <w:rPr>
          <w:b/>
          <w:snapToGrid w:val="0"/>
        </w:rPr>
        <w:t xml:space="preserve"> de 2 de julio de 1983 </w:t>
      </w:r>
    </w:p>
    <w:p w:rsidR="00DD0682" w:rsidRPr="00751479" w:rsidRDefault="00DD0682" w:rsidP="00DD0682">
      <w:pPr>
        <w:adjustRightInd w:val="0"/>
        <w:snapToGrid w:val="0"/>
        <w:spacing w:after="240"/>
        <w:rPr>
          <w:snapToGrid w:val="0"/>
        </w:rPr>
      </w:pPr>
      <w:r w:rsidRPr="00751479">
        <w:rPr>
          <w:snapToGrid w:val="0"/>
        </w:rPr>
        <w:t>216.</w:t>
      </w:r>
      <w:r w:rsidRPr="00751479">
        <w:rPr>
          <w:snapToGrid w:val="0"/>
        </w:rPr>
        <w:tab/>
        <w:t>El régimen nacional de jubilación garantiza los siguientes beneficios:</w:t>
      </w:r>
    </w:p>
    <w:p w:rsidR="00DD0682" w:rsidRPr="00751479" w:rsidRDefault="00DD0682" w:rsidP="00DD0682">
      <w:pPr>
        <w:adjustRightInd w:val="0"/>
        <w:snapToGrid w:val="0"/>
        <w:spacing w:after="240"/>
        <w:ind w:left="1134" w:hanging="567"/>
        <w:rPr>
          <w:snapToGrid w:val="0"/>
        </w:rPr>
      </w:pPr>
      <w:r w:rsidRPr="00751479">
        <w:rPr>
          <w:snapToGrid w:val="0"/>
        </w:rPr>
        <w:t>a)</w:t>
      </w:r>
      <w:r w:rsidRPr="00751479">
        <w:rPr>
          <w:snapToGrid w:val="0"/>
        </w:rPr>
        <w:tab/>
        <w:t>Una pensión a los trabajadores por cuenta propia;</w:t>
      </w:r>
    </w:p>
    <w:p w:rsidR="00DD0682" w:rsidRPr="00751479" w:rsidRDefault="00DD0682" w:rsidP="00DD0682">
      <w:pPr>
        <w:adjustRightInd w:val="0"/>
        <w:snapToGrid w:val="0"/>
        <w:spacing w:after="240"/>
        <w:ind w:left="1134" w:hanging="567"/>
        <w:rPr>
          <w:snapToGrid w:val="0"/>
        </w:rPr>
      </w:pPr>
      <w:r w:rsidRPr="00751479">
        <w:rPr>
          <w:snapToGrid w:val="0"/>
        </w:rPr>
        <w:t>b)</w:t>
      </w:r>
      <w:r w:rsidRPr="00751479">
        <w:rPr>
          <w:snapToGrid w:val="0"/>
        </w:rPr>
        <w:tab/>
        <w:t>Una pensión de supervivencia, que comprende:</w:t>
      </w:r>
    </w:p>
    <w:p w:rsidR="00DD0682" w:rsidRPr="00751479" w:rsidRDefault="00DD0682" w:rsidP="00DD0682">
      <w:pPr>
        <w:tabs>
          <w:tab w:val="right" w:pos="1304"/>
        </w:tabs>
        <w:adjustRightInd w:val="0"/>
        <w:snapToGrid w:val="0"/>
        <w:spacing w:after="240"/>
        <w:ind w:left="1701" w:hanging="1701"/>
        <w:rPr>
          <w:snapToGrid w:val="0"/>
        </w:rPr>
      </w:pPr>
      <w:r>
        <w:rPr>
          <w:snapToGrid w:val="0"/>
        </w:rPr>
        <w:tab/>
      </w:r>
      <w:r w:rsidRPr="00751479">
        <w:rPr>
          <w:snapToGrid w:val="0"/>
        </w:rPr>
        <w:t>i)</w:t>
      </w:r>
      <w:r w:rsidRPr="00751479">
        <w:rPr>
          <w:snapToGrid w:val="0"/>
        </w:rPr>
        <w:tab/>
        <w:t xml:space="preserve">Pensión en favor del cónyuge supérstite; </w:t>
      </w:r>
    </w:p>
    <w:p w:rsidR="00DD0682" w:rsidRPr="00751479" w:rsidRDefault="00DD0682" w:rsidP="00DD0682">
      <w:pPr>
        <w:tabs>
          <w:tab w:val="right" w:pos="1304"/>
        </w:tabs>
        <w:adjustRightInd w:val="0"/>
        <w:snapToGrid w:val="0"/>
        <w:spacing w:after="240"/>
        <w:ind w:left="1701" w:hanging="1701"/>
        <w:rPr>
          <w:snapToGrid w:val="0"/>
        </w:rPr>
      </w:pPr>
      <w:r w:rsidRPr="00751479">
        <w:rPr>
          <w:snapToGrid w:val="0"/>
        </w:rPr>
        <w:tab/>
        <w:t>ii)</w:t>
      </w:r>
      <w:r w:rsidRPr="00751479">
        <w:rPr>
          <w:snapToGrid w:val="0"/>
        </w:rPr>
        <w:tab/>
        <w:t xml:space="preserve">Pensión de huérfano; </w:t>
      </w:r>
    </w:p>
    <w:p w:rsidR="00DD0682" w:rsidRPr="00751479" w:rsidRDefault="00DD0682" w:rsidP="00DD0682">
      <w:pPr>
        <w:tabs>
          <w:tab w:val="right" w:pos="1304"/>
        </w:tabs>
        <w:adjustRightInd w:val="0"/>
        <w:snapToGrid w:val="0"/>
        <w:spacing w:after="240"/>
        <w:ind w:left="1701" w:hanging="1701"/>
        <w:rPr>
          <w:snapToGrid w:val="0"/>
        </w:rPr>
      </w:pPr>
      <w:r w:rsidRPr="00751479">
        <w:rPr>
          <w:snapToGrid w:val="0"/>
        </w:rPr>
        <w:tab/>
        <w:t>iii)</w:t>
      </w:r>
      <w:r w:rsidRPr="00751479">
        <w:rPr>
          <w:snapToGrid w:val="0"/>
        </w:rPr>
        <w:tab/>
        <w:t>Pensión de ascendiente.</w:t>
      </w:r>
    </w:p>
    <w:p w:rsidR="00DD0682" w:rsidRPr="00751479" w:rsidRDefault="00DD0682" w:rsidP="00DD0682">
      <w:pPr>
        <w:adjustRightInd w:val="0"/>
        <w:snapToGrid w:val="0"/>
        <w:spacing w:after="240"/>
        <w:rPr>
          <w:snapToGrid w:val="0"/>
        </w:rPr>
      </w:pPr>
      <w:r w:rsidRPr="00751479">
        <w:rPr>
          <w:snapToGrid w:val="0"/>
        </w:rPr>
        <w:t>217.</w:t>
      </w:r>
      <w:r w:rsidRPr="00751479">
        <w:rPr>
          <w:snapToGrid w:val="0"/>
        </w:rPr>
        <w:tab/>
        <w:t>El régimen de jubilación comporta los siguientes beneficios:</w:t>
      </w:r>
    </w:p>
    <w:p w:rsidR="00DD0682" w:rsidRPr="00751479" w:rsidRDefault="00DD0682" w:rsidP="00DD0682">
      <w:pPr>
        <w:adjustRightInd w:val="0"/>
        <w:snapToGrid w:val="0"/>
        <w:spacing w:after="240"/>
        <w:ind w:left="1134" w:hanging="567"/>
        <w:rPr>
          <w:snapToGrid w:val="0"/>
        </w:rPr>
      </w:pPr>
      <w:r w:rsidRPr="00751479">
        <w:rPr>
          <w:snapToGrid w:val="0"/>
        </w:rPr>
        <w:t>a)</w:t>
      </w:r>
      <w:r w:rsidRPr="00751479">
        <w:rPr>
          <w:snapToGrid w:val="0"/>
        </w:rPr>
        <w:tab/>
        <w:t>Una pensión directa atribuida al trabajador una vez que haya cumplido la edad legal</w:t>
      </w:r>
      <w:r>
        <w:rPr>
          <w:snapToGrid w:val="0"/>
        </w:rPr>
        <w:t>,</w:t>
      </w:r>
      <w:r w:rsidRPr="00751479">
        <w:rPr>
          <w:snapToGrid w:val="0"/>
        </w:rPr>
        <w:t xml:space="preserve"> fijada en 60 años para los trabajadores asalariados y en 65 años para los trabajadores no asalariados</w:t>
      </w:r>
      <w:r>
        <w:rPr>
          <w:snapToGrid w:val="0"/>
        </w:rPr>
        <w:t>,</w:t>
      </w:r>
      <w:r w:rsidRPr="00751479">
        <w:rPr>
          <w:snapToGrid w:val="0"/>
        </w:rPr>
        <w:t xml:space="preserve"> y q</w:t>
      </w:r>
      <w:r>
        <w:rPr>
          <w:snapToGrid w:val="0"/>
        </w:rPr>
        <w:t>ue haya cotizado durante por lo</w:t>
      </w:r>
      <w:r w:rsidRPr="00751479">
        <w:rPr>
          <w:snapToGrid w:val="0"/>
        </w:rPr>
        <w:t xml:space="preserve"> menos 15 años de trabajo;</w:t>
      </w:r>
    </w:p>
    <w:p w:rsidR="00DD0682" w:rsidRPr="00751479" w:rsidRDefault="00DD0682" w:rsidP="00DD0682">
      <w:pPr>
        <w:adjustRightInd w:val="0"/>
        <w:snapToGrid w:val="0"/>
        <w:spacing w:after="240"/>
        <w:ind w:left="1134" w:hanging="567"/>
        <w:rPr>
          <w:snapToGrid w:val="0"/>
        </w:rPr>
      </w:pPr>
      <w:r w:rsidRPr="00751479">
        <w:rPr>
          <w:snapToGrid w:val="0"/>
        </w:rPr>
        <w:t>b)</w:t>
      </w:r>
      <w:r w:rsidRPr="00751479">
        <w:rPr>
          <w:snapToGrid w:val="0"/>
        </w:rPr>
        <w:tab/>
        <w:t xml:space="preserve">La mujer trabajadora obtiene las siguientes reducciones:  </w:t>
      </w:r>
      <w:r>
        <w:rPr>
          <w:snapToGrid w:val="0"/>
        </w:rPr>
        <w:t>5</w:t>
      </w:r>
      <w:r w:rsidRPr="00751479">
        <w:rPr>
          <w:snapToGrid w:val="0"/>
        </w:rPr>
        <w:t xml:space="preserve"> años, más </w:t>
      </w:r>
      <w:r>
        <w:rPr>
          <w:snapToGrid w:val="0"/>
        </w:rPr>
        <w:t>1</w:t>
      </w:r>
      <w:r w:rsidRPr="00751479">
        <w:rPr>
          <w:snapToGrid w:val="0"/>
        </w:rPr>
        <w:t xml:space="preserve"> por cada hijo criado durante por lo menos 9 años, hasta un límite de </w:t>
      </w:r>
      <w:r>
        <w:rPr>
          <w:snapToGrid w:val="0"/>
        </w:rPr>
        <w:t>3</w:t>
      </w:r>
      <w:r w:rsidRPr="00751479">
        <w:rPr>
          <w:snapToGrid w:val="0"/>
        </w:rPr>
        <w:t xml:space="preserve"> hijos.</w:t>
      </w:r>
    </w:p>
    <w:p w:rsidR="00DD0682" w:rsidRPr="00751479" w:rsidRDefault="00DD0682" w:rsidP="00DD0682">
      <w:pPr>
        <w:adjustRightInd w:val="0"/>
        <w:snapToGrid w:val="0"/>
        <w:spacing w:after="240"/>
        <w:rPr>
          <w:snapToGrid w:val="0"/>
        </w:rPr>
      </w:pPr>
      <w:r w:rsidRPr="00751479">
        <w:rPr>
          <w:snapToGrid w:val="0"/>
        </w:rPr>
        <w:t>218.</w:t>
      </w:r>
      <w:r w:rsidRPr="00751479">
        <w:rPr>
          <w:snapToGrid w:val="0"/>
        </w:rPr>
        <w:tab/>
        <w:t>Los trabajadores que hayan alcanzado la edad legal de jubilación y que no hayan cumplido el requisito de la actividad (15 años) tendrán derecho, al cumpl</w:t>
      </w:r>
      <w:r>
        <w:rPr>
          <w:snapToGrid w:val="0"/>
        </w:rPr>
        <w:t>ir 60 años los asalariados y 70 </w:t>
      </w:r>
      <w:r w:rsidRPr="00751479">
        <w:rPr>
          <w:snapToGrid w:val="0"/>
        </w:rPr>
        <w:t>años los no asalariados, a percibir un subsidio por jubilación de una cuantía no inferior a la pensión mínima legal</w:t>
      </w:r>
      <w:r>
        <w:rPr>
          <w:snapToGrid w:val="0"/>
        </w:rPr>
        <w:t>,</w:t>
      </w:r>
      <w:r w:rsidRPr="00751479">
        <w:rPr>
          <w:snapToGrid w:val="0"/>
        </w:rPr>
        <w:t xml:space="preserve"> que es igual al 75% del salario nacional mínimo garantizado.</w:t>
      </w:r>
    </w:p>
    <w:p w:rsidR="00DD0682" w:rsidRPr="00751479" w:rsidRDefault="00DD0682" w:rsidP="00DD0682">
      <w:pPr>
        <w:adjustRightInd w:val="0"/>
        <w:snapToGrid w:val="0"/>
        <w:spacing w:after="240"/>
        <w:rPr>
          <w:snapToGrid w:val="0"/>
        </w:rPr>
      </w:pPr>
      <w:r w:rsidRPr="00751479">
        <w:rPr>
          <w:snapToGrid w:val="0"/>
        </w:rPr>
        <w:t>219.</w:t>
      </w:r>
      <w:r w:rsidRPr="00751479">
        <w:rPr>
          <w:snapToGrid w:val="0"/>
        </w:rPr>
        <w:tab/>
        <w:t xml:space="preserve">El trabajador asalariado podrá igualmente acogerse a una prerrogativa de jubilación antes de la edad legal en ciertos casos, o </w:t>
      </w:r>
      <w:r>
        <w:rPr>
          <w:snapToGrid w:val="0"/>
        </w:rPr>
        <w:t xml:space="preserve">por pertenecer a una </w:t>
      </w:r>
      <w:r w:rsidRPr="00751479">
        <w:rPr>
          <w:snapToGrid w:val="0"/>
        </w:rPr>
        <w:t>determinada categoría</w:t>
      </w:r>
      <w:r>
        <w:rPr>
          <w:snapToGrid w:val="0"/>
        </w:rPr>
        <w:t xml:space="preserve"> de personas.  A </w:t>
      </w:r>
      <w:r w:rsidRPr="00751479">
        <w:rPr>
          <w:snapToGrid w:val="0"/>
        </w:rPr>
        <w:t>ese respecto, podrá percibir una pensión:</w:t>
      </w:r>
    </w:p>
    <w:p w:rsidR="00DD0682" w:rsidRPr="00751479" w:rsidRDefault="00DD0682" w:rsidP="00DD0682">
      <w:pPr>
        <w:adjustRightInd w:val="0"/>
        <w:snapToGrid w:val="0"/>
        <w:spacing w:after="240"/>
        <w:ind w:left="1134" w:hanging="567"/>
        <w:rPr>
          <w:snapToGrid w:val="0"/>
        </w:rPr>
      </w:pPr>
      <w:r w:rsidRPr="00751479">
        <w:rPr>
          <w:snapToGrid w:val="0"/>
        </w:rPr>
        <w:t>a)</w:t>
      </w:r>
      <w:r w:rsidRPr="00751479">
        <w:rPr>
          <w:snapToGrid w:val="0"/>
        </w:rPr>
        <w:tab/>
        <w:t xml:space="preserve">Proporcional, a los 50 años el hombre y </w:t>
      </w:r>
      <w:r>
        <w:rPr>
          <w:snapToGrid w:val="0"/>
        </w:rPr>
        <w:t xml:space="preserve">a los </w:t>
      </w:r>
      <w:r w:rsidRPr="00751479">
        <w:rPr>
          <w:snapToGrid w:val="0"/>
        </w:rPr>
        <w:t>45 la mujer, siempre que haya cumplido 20 años de actividad el hombre o 15 años la mujer;</w:t>
      </w:r>
    </w:p>
    <w:p w:rsidR="00DD0682" w:rsidRPr="00751479" w:rsidRDefault="00DD0682" w:rsidP="00DD0682">
      <w:pPr>
        <w:adjustRightInd w:val="0"/>
        <w:snapToGrid w:val="0"/>
        <w:spacing w:after="240"/>
        <w:ind w:left="1134" w:hanging="567"/>
        <w:rPr>
          <w:snapToGrid w:val="0"/>
        </w:rPr>
      </w:pPr>
      <w:r w:rsidRPr="00751479">
        <w:rPr>
          <w:snapToGrid w:val="0"/>
        </w:rPr>
        <w:t>b)</w:t>
      </w:r>
      <w:r w:rsidRPr="00751479">
        <w:rPr>
          <w:snapToGrid w:val="0"/>
        </w:rPr>
        <w:tab/>
        <w:t>Sin requisito de edad</w:t>
      </w:r>
      <w:r>
        <w:rPr>
          <w:snapToGrid w:val="0"/>
        </w:rPr>
        <w:t>,</w:t>
      </w:r>
      <w:r w:rsidRPr="00751479">
        <w:rPr>
          <w:snapToGrid w:val="0"/>
        </w:rPr>
        <w:t xml:space="preserve"> siempre que justifique 32 años de actividad.</w:t>
      </w:r>
    </w:p>
    <w:p w:rsidR="00DD0682" w:rsidRPr="00751479" w:rsidRDefault="00DD0682" w:rsidP="00DD0682">
      <w:pPr>
        <w:adjustRightInd w:val="0"/>
        <w:snapToGrid w:val="0"/>
        <w:spacing w:after="240"/>
        <w:rPr>
          <w:snapToGrid w:val="0"/>
        </w:rPr>
      </w:pPr>
      <w:r w:rsidRPr="00751479">
        <w:rPr>
          <w:snapToGrid w:val="0"/>
        </w:rPr>
        <w:t>220.</w:t>
      </w:r>
      <w:r w:rsidRPr="00751479">
        <w:rPr>
          <w:snapToGrid w:val="0"/>
        </w:rPr>
        <w:tab/>
        <w:t>Además, los derechohabientes de un trabajador fallecido en actividad tienen derecho a percibir una pensión de supervivencia cuya cuantía se calculará sobre 15 años de actividad como mínimo.</w:t>
      </w:r>
    </w:p>
    <w:p w:rsidR="00DD0682" w:rsidRPr="00751479" w:rsidRDefault="00DD0682" w:rsidP="00DD0682">
      <w:pPr>
        <w:adjustRightInd w:val="0"/>
        <w:snapToGrid w:val="0"/>
        <w:spacing w:after="240"/>
        <w:rPr>
          <w:snapToGrid w:val="0"/>
        </w:rPr>
      </w:pPr>
      <w:r w:rsidRPr="00751479">
        <w:rPr>
          <w:snapToGrid w:val="0"/>
        </w:rPr>
        <w:t>221.</w:t>
      </w:r>
      <w:r w:rsidRPr="00751479">
        <w:rPr>
          <w:snapToGrid w:val="0"/>
        </w:rPr>
        <w:tab/>
        <w:t>El régimen de jubilación se caracteriza por prestaciones ventajosas</w:t>
      </w:r>
      <w:r>
        <w:rPr>
          <w:snapToGrid w:val="0"/>
        </w:rPr>
        <w:t>,</w:t>
      </w:r>
      <w:r w:rsidRPr="00751479">
        <w:rPr>
          <w:snapToGrid w:val="0"/>
        </w:rPr>
        <w:t xml:space="preserve"> </w:t>
      </w:r>
      <w:r>
        <w:rPr>
          <w:snapToGrid w:val="0"/>
        </w:rPr>
        <w:t>en particular</w:t>
      </w:r>
      <w:r w:rsidRPr="00751479">
        <w:rPr>
          <w:snapToGrid w:val="0"/>
        </w:rPr>
        <w:t xml:space="preserve"> las siguientes:</w:t>
      </w:r>
    </w:p>
    <w:p w:rsidR="00DD0682" w:rsidRPr="00751479" w:rsidRDefault="00DD0682" w:rsidP="00DD0682">
      <w:pPr>
        <w:adjustRightInd w:val="0"/>
        <w:snapToGrid w:val="0"/>
        <w:spacing w:after="240"/>
        <w:ind w:left="1134" w:hanging="567"/>
        <w:rPr>
          <w:snapToGrid w:val="0"/>
        </w:rPr>
      </w:pPr>
      <w:r w:rsidRPr="00751479">
        <w:rPr>
          <w:snapToGrid w:val="0"/>
        </w:rPr>
        <w:t>a)</w:t>
      </w:r>
      <w:r w:rsidRPr="00751479">
        <w:rPr>
          <w:snapToGrid w:val="0"/>
        </w:rPr>
        <w:tab/>
        <w:t>El 80% como máximo (2,5% al año sobre un período de 32 años);</w:t>
      </w:r>
    </w:p>
    <w:p w:rsidR="00DD0682" w:rsidRPr="00751479" w:rsidRDefault="00DD0682" w:rsidP="00DD0682">
      <w:pPr>
        <w:adjustRightInd w:val="0"/>
        <w:snapToGrid w:val="0"/>
        <w:spacing w:after="240"/>
        <w:ind w:left="1134" w:hanging="567"/>
        <w:rPr>
          <w:snapToGrid w:val="0"/>
        </w:rPr>
      </w:pPr>
      <w:r w:rsidRPr="00751479">
        <w:rPr>
          <w:snapToGrid w:val="0"/>
        </w:rPr>
        <w:t>b)</w:t>
      </w:r>
      <w:r w:rsidRPr="00751479">
        <w:rPr>
          <w:snapToGrid w:val="0"/>
        </w:rPr>
        <w:tab/>
        <w:t>La existencia de un mínimo, ajustado al salario nacional mínimo garantizado (75</w:t>
      </w:r>
      <w:r>
        <w:rPr>
          <w:snapToGrid w:val="0"/>
        </w:rPr>
        <w:t>% y </w:t>
      </w:r>
      <w:r w:rsidRPr="00751479">
        <w:rPr>
          <w:snapToGrid w:val="0"/>
        </w:rPr>
        <w:t>2,5 veces el salario nacional mínimo garantizado).</w:t>
      </w:r>
    </w:p>
    <w:p w:rsidR="00DD0682" w:rsidRPr="00751479" w:rsidRDefault="00DD0682" w:rsidP="00DD0682">
      <w:pPr>
        <w:adjustRightInd w:val="0"/>
        <w:snapToGrid w:val="0"/>
        <w:spacing w:after="240"/>
        <w:rPr>
          <w:snapToGrid w:val="0"/>
        </w:rPr>
      </w:pPr>
      <w:r w:rsidRPr="00751479">
        <w:rPr>
          <w:snapToGrid w:val="0"/>
        </w:rPr>
        <w:t>222.</w:t>
      </w:r>
      <w:r w:rsidRPr="00751479">
        <w:rPr>
          <w:snapToGrid w:val="0"/>
        </w:rPr>
        <w:tab/>
        <w:t xml:space="preserve">En 2006 se dotó al régimen de jubilación de un fondo nacional de reserva de </w:t>
      </w:r>
      <w:r>
        <w:rPr>
          <w:snapToGrid w:val="0"/>
        </w:rPr>
        <w:t>jubilación</w:t>
      </w:r>
      <w:r w:rsidRPr="00751479">
        <w:rPr>
          <w:snapToGrid w:val="0"/>
        </w:rPr>
        <w:t xml:space="preserve">.  Ese fondo tiene por objeto administrar los recursos financieros que le son confiados con el propósito de constituir </w:t>
      </w:r>
      <w:r>
        <w:rPr>
          <w:snapToGrid w:val="0"/>
        </w:rPr>
        <w:t xml:space="preserve">una </w:t>
      </w:r>
      <w:r w:rsidRPr="00751479">
        <w:rPr>
          <w:snapToGrid w:val="0"/>
        </w:rPr>
        <w:t xml:space="preserve">reserva destinada a </w:t>
      </w:r>
      <w:r>
        <w:rPr>
          <w:snapToGrid w:val="0"/>
        </w:rPr>
        <w:t>asegurar</w:t>
      </w:r>
      <w:r w:rsidRPr="00751479">
        <w:rPr>
          <w:snapToGrid w:val="0"/>
        </w:rPr>
        <w:t xml:space="preserve"> la viabilidad y la perennidad del sistema nacional de jubilación.</w:t>
      </w:r>
    </w:p>
    <w:p w:rsidR="00DD0682" w:rsidRPr="00751479" w:rsidRDefault="00DD0682" w:rsidP="00DD0682">
      <w:pPr>
        <w:adjustRightInd w:val="0"/>
        <w:snapToGrid w:val="0"/>
        <w:spacing w:after="240"/>
        <w:rPr>
          <w:snapToGrid w:val="0"/>
        </w:rPr>
      </w:pPr>
      <w:r w:rsidRPr="00751479">
        <w:rPr>
          <w:snapToGrid w:val="0"/>
        </w:rPr>
        <w:t>223</w:t>
      </w:r>
      <w:r>
        <w:rPr>
          <w:snapToGrid w:val="0"/>
        </w:rPr>
        <w:t>.</w:t>
      </w:r>
      <w:r w:rsidRPr="00751479">
        <w:rPr>
          <w:snapToGrid w:val="0"/>
        </w:rPr>
        <w:tab/>
        <w:t xml:space="preserve">Los recursos del fondo están constituidos esencialmente por una parte del producto de los impuestos sobre el petróleo y </w:t>
      </w:r>
      <w:r>
        <w:rPr>
          <w:snapToGrid w:val="0"/>
        </w:rPr>
        <w:t>de los</w:t>
      </w:r>
      <w:r w:rsidRPr="00751479">
        <w:rPr>
          <w:snapToGrid w:val="0"/>
        </w:rPr>
        <w:t xml:space="preserve"> excedentes de tesorería de las cajas de la seguridad social. </w:t>
      </w:r>
    </w:p>
    <w:p w:rsidR="00DD0682" w:rsidRPr="00AE0E7E" w:rsidRDefault="00DD0682" w:rsidP="00DD0682">
      <w:pPr>
        <w:autoSpaceDE w:val="0"/>
        <w:autoSpaceDN w:val="0"/>
        <w:adjustRightInd w:val="0"/>
        <w:spacing w:after="240"/>
        <w:rPr>
          <w:b/>
          <w:bCs/>
          <w:szCs w:val="28"/>
        </w:rPr>
      </w:pPr>
      <w:r w:rsidRPr="00AE0E7E">
        <w:rPr>
          <w:b/>
          <w:bCs/>
          <w:szCs w:val="28"/>
        </w:rPr>
        <w:t>Artículo 10</w:t>
      </w:r>
      <w:r>
        <w:rPr>
          <w:b/>
          <w:bCs/>
          <w:szCs w:val="28"/>
        </w:rPr>
        <w:t>.</w:t>
      </w:r>
      <w:r w:rsidRPr="00AE0E7E">
        <w:rPr>
          <w:b/>
          <w:bCs/>
          <w:szCs w:val="28"/>
        </w:rPr>
        <w:t xml:space="preserve"> </w:t>
      </w:r>
      <w:r>
        <w:rPr>
          <w:b/>
          <w:bCs/>
          <w:szCs w:val="28"/>
        </w:rPr>
        <w:t xml:space="preserve"> </w:t>
      </w:r>
      <w:r w:rsidRPr="00AE0E7E">
        <w:rPr>
          <w:b/>
          <w:bCs/>
          <w:szCs w:val="28"/>
        </w:rPr>
        <w:t>Protección de la familia, la niñez y la adolescencia</w:t>
      </w:r>
    </w:p>
    <w:p w:rsidR="00DD0682" w:rsidRDefault="00DD0682" w:rsidP="00DD0682">
      <w:pPr>
        <w:spacing w:after="240"/>
        <w:rPr>
          <w:szCs w:val="28"/>
        </w:rPr>
      </w:pPr>
      <w:r>
        <w:rPr>
          <w:szCs w:val="28"/>
        </w:rPr>
        <w:t>224.</w:t>
      </w:r>
      <w:r>
        <w:rPr>
          <w:szCs w:val="28"/>
        </w:rPr>
        <w:tab/>
      </w:r>
      <w:r w:rsidRPr="00A47EC7">
        <w:rPr>
          <w:szCs w:val="28"/>
        </w:rPr>
        <w:t xml:space="preserve">La familia goza de la protección del Estado y de la sociedad (artículo 58 de la Constitución).  El artículo 2 del Código de </w:t>
      </w:r>
      <w:r>
        <w:rPr>
          <w:szCs w:val="28"/>
        </w:rPr>
        <w:t xml:space="preserve">la </w:t>
      </w:r>
      <w:r w:rsidRPr="00A47EC7">
        <w:rPr>
          <w:szCs w:val="28"/>
        </w:rPr>
        <w:t xml:space="preserve">Familia define la familia como "la célula básica de la sociedad.  Está compuesta por personas unidas por los vínculos del matrimonio y por vínculos de parentesco".  En el artículo 65 de la Constitución se dice que "la ley sanciona la obligación de los padres de educar y proteger a sus hijos". </w:t>
      </w:r>
    </w:p>
    <w:p w:rsidR="00DD0682" w:rsidRDefault="00DD0682" w:rsidP="00DD0682">
      <w:pPr>
        <w:spacing w:after="240"/>
        <w:rPr>
          <w:szCs w:val="28"/>
        </w:rPr>
      </w:pPr>
      <w:r>
        <w:rPr>
          <w:szCs w:val="28"/>
        </w:rPr>
        <w:t>225.</w:t>
      </w:r>
      <w:r>
        <w:rPr>
          <w:szCs w:val="28"/>
        </w:rPr>
        <w:tab/>
      </w:r>
      <w:r w:rsidRPr="00A47EC7">
        <w:rPr>
          <w:szCs w:val="28"/>
        </w:rPr>
        <w:t xml:space="preserve">Las cuestiones relativas al derecho de custodia del niño nacido de una pareja separada se tratan en los artículos 62 a 72 del Código de </w:t>
      </w:r>
      <w:r>
        <w:rPr>
          <w:szCs w:val="28"/>
        </w:rPr>
        <w:t xml:space="preserve">la </w:t>
      </w:r>
      <w:r w:rsidRPr="00A47EC7">
        <w:rPr>
          <w:szCs w:val="28"/>
        </w:rPr>
        <w:t xml:space="preserve">Familia.  Los artículos 74 a 80 se refieren al sustento y </w:t>
      </w:r>
      <w:r>
        <w:rPr>
          <w:szCs w:val="28"/>
        </w:rPr>
        <w:t xml:space="preserve">a </w:t>
      </w:r>
      <w:r w:rsidRPr="00A47EC7">
        <w:rPr>
          <w:szCs w:val="28"/>
        </w:rPr>
        <w:t>la pensión alimenticia.  Las faltas y negligencias de los padres u otra</w:t>
      </w:r>
      <w:r>
        <w:rPr>
          <w:szCs w:val="28"/>
        </w:rPr>
        <w:t>s personas</w:t>
      </w:r>
      <w:r w:rsidRPr="00A47EC7">
        <w:rPr>
          <w:szCs w:val="28"/>
        </w:rPr>
        <w:t xml:space="preserve"> cometidas en el ejercicio del deber de protección de los hijos se tratan en el Código Penal en sus artículos 314 a 320 </w:t>
      </w:r>
      <w:r w:rsidRPr="009D51FB">
        <w:rPr>
          <w:i/>
          <w:szCs w:val="28"/>
        </w:rPr>
        <w:t>bis</w:t>
      </w:r>
      <w:r w:rsidRPr="00A47EC7">
        <w:rPr>
          <w:szCs w:val="28"/>
        </w:rPr>
        <w:t xml:space="preserve">, </w:t>
      </w:r>
      <w:r>
        <w:rPr>
          <w:szCs w:val="28"/>
        </w:rPr>
        <w:t>sobre</w:t>
      </w:r>
      <w:r w:rsidRPr="00A47EC7">
        <w:rPr>
          <w:szCs w:val="28"/>
        </w:rPr>
        <w:t xml:space="preserve"> la exposición y el abandono de niños y discapacitados; en su artículo 321</w:t>
      </w:r>
      <w:r>
        <w:rPr>
          <w:szCs w:val="28"/>
        </w:rPr>
        <w:t>, sobre</w:t>
      </w:r>
      <w:r w:rsidRPr="00A47EC7">
        <w:rPr>
          <w:szCs w:val="28"/>
        </w:rPr>
        <w:t xml:space="preserve"> los delitos encaminados a impedir la identificación del niño; en sus artículos</w:t>
      </w:r>
      <w:r>
        <w:rPr>
          <w:szCs w:val="28"/>
        </w:rPr>
        <w:t> </w:t>
      </w:r>
      <w:r w:rsidRPr="00A47EC7">
        <w:rPr>
          <w:szCs w:val="28"/>
        </w:rPr>
        <w:t xml:space="preserve">326 a 329 </w:t>
      </w:r>
      <w:r w:rsidRPr="009D51FB">
        <w:rPr>
          <w:i/>
          <w:szCs w:val="28"/>
        </w:rPr>
        <w:t>bis</w:t>
      </w:r>
      <w:r>
        <w:rPr>
          <w:szCs w:val="28"/>
        </w:rPr>
        <w:t xml:space="preserve">, sobre </w:t>
      </w:r>
      <w:r w:rsidRPr="00A47EC7">
        <w:rPr>
          <w:szCs w:val="28"/>
        </w:rPr>
        <w:t xml:space="preserve">el </w:t>
      </w:r>
      <w:r>
        <w:rPr>
          <w:szCs w:val="28"/>
        </w:rPr>
        <w:t>secuestro y dejación de la patria potestad; en sus artículos 330 a </w:t>
      </w:r>
      <w:r w:rsidRPr="00A47EC7">
        <w:rPr>
          <w:szCs w:val="28"/>
        </w:rPr>
        <w:t>332</w:t>
      </w:r>
      <w:r>
        <w:rPr>
          <w:szCs w:val="28"/>
        </w:rPr>
        <w:t>, sobre</w:t>
      </w:r>
      <w:r w:rsidRPr="00A47EC7">
        <w:rPr>
          <w:szCs w:val="28"/>
        </w:rPr>
        <w:t xml:space="preserve"> el abandono de familia; </w:t>
      </w:r>
      <w:r>
        <w:rPr>
          <w:szCs w:val="28"/>
        </w:rPr>
        <w:t xml:space="preserve">en el artículo 9 </w:t>
      </w:r>
      <w:r>
        <w:rPr>
          <w:i/>
          <w:szCs w:val="28"/>
        </w:rPr>
        <w:t>bis</w:t>
      </w:r>
      <w:r>
        <w:rPr>
          <w:szCs w:val="28"/>
        </w:rPr>
        <w:t xml:space="preserve">, sobre la </w:t>
      </w:r>
      <w:r w:rsidRPr="00A47EC7">
        <w:rPr>
          <w:szCs w:val="28"/>
        </w:rPr>
        <w:t xml:space="preserve">pérdida total o parcial de los derechos de tutela; en sus artículos 334 a 338 </w:t>
      </w:r>
      <w:r w:rsidRPr="009D51FB">
        <w:rPr>
          <w:i/>
          <w:szCs w:val="28"/>
        </w:rPr>
        <w:t>bis</w:t>
      </w:r>
      <w:r>
        <w:rPr>
          <w:szCs w:val="28"/>
        </w:rPr>
        <w:t xml:space="preserve">, sobre </w:t>
      </w:r>
      <w:r w:rsidRPr="00A47EC7">
        <w:rPr>
          <w:szCs w:val="28"/>
        </w:rPr>
        <w:t xml:space="preserve">el atentado </w:t>
      </w:r>
      <w:r>
        <w:rPr>
          <w:szCs w:val="28"/>
        </w:rPr>
        <w:t>contra</w:t>
      </w:r>
      <w:r w:rsidRPr="00A47EC7">
        <w:rPr>
          <w:szCs w:val="28"/>
        </w:rPr>
        <w:t xml:space="preserve"> las buenas costumbres.</w:t>
      </w:r>
    </w:p>
    <w:p w:rsidR="00DD0682" w:rsidRDefault="00DD0682" w:rsidP="00DD0682">
      <w:pPr>
        <w:spacing w:after="240"/>
        <w:rPr>
          <w:szCs w:val="28"/>
        </w:rPr>
      </w:pPr>
      <w:r>
        <w:rPr>
          <w:szCs w:val="28"/>
        </w:rPr>
        <w:t>226.</w:t>
      </w:r>
      <w:r>
        <w:rPr>
          <w:szCs w:val="28"/>
        </w:rPr>
        <w:tab/>
      </w:r>
      <w:r w:rsidRPr="00A47EC7">
        <w:rPr>
          <w:szCs w:val="28"/>
        </w:rPr>
        <w:t>En el artículo</w:t>
      </w:r>
      <w:r>
        <w:rPr>
          <w:szCs w:val="28"/>
        </w:rPr>
        <w:t xml:space="preserve"> </w:t>
      </w:r>
      <w:r w:rsidRPr="00A47EC7">
        <w:rPr>
          <w:szCs w:val="28"/>
        </w:rPr>
        <w:t xml:space="preserve">4 del Código de </w:t>
      </w:r>
      <w:r>
        <w:rPr>
          <w:szCs w:val="28"/>
        </w:rPr>
        <w:t xml:space="preserve">la </w:t>
      </w:r>
      <w:r w:rsidRPr="00A47EC7">
        <w:rPr>
          <w:szCs w:val="28"/>
        </w:rPr>
        <w:t>Familia se define el matrimonio como un contrato concertado entre un hombre y una mujer conforme a la legalidad.  Tiene entre otras finalidades la de fundar una familia basada en el afecto, la afabilidad y la ayuda mutua, proteger moralmente a los cónyuges y conservar los vínculos de la familia para salvaguardar sus intereses, proteger a los hijos y darles una educación sana (art</w:t>
      </w:r>
      <w:r>
        <w:rPr>
          <w:szCs w:val="28"/>
        </w:rPr>
        <w:t xml:space="preserve">ículos </w:t>
      </w:r>
      <w:r w:rsidRPr="00A47EC7">
        <w:rPr>
          <w:szCs w:val="28"/>
        </w:rPr>
        <w:t>4 y</w:t>
      </w:r>
      <w:r>
        <w:rPr>
          <w:szCs w:val="28"/>
        </w:rPr>
        <w:t xml:space="preserve"> </w:t>
      </w:r>
      <w:r w:rsidRPr="00A47EC7">
        <w:rPr>
          <w:szCs w:val="28"/>
        </w:rPr>
        <w:t xml:space="preserve">36 del Código de </w:t>
      </w:r>
      <w:r>
        <w:rPr>
          <w:szCs w:val="28"/>
        </w:rPr>
        <w:t xml:space="preserve">la </w:t>
      </w:r>
      <w:r w:rsidRPr="00A47EC7">
        <w:rPr>
          <w:szCs w:val="28"/>
        </w:rPr>
        <w:t>Familia).</w:t>
      </w:r>
    </w:p>
    <w:p w:rsidR="00DD0682" w:rsidRDefault="00DD0682" w:rsidP="00DD0682">
      <w:pPr>
        <w:spacing w:after="240"/>
        <w:rPr>
          <w:szCs w:val="28"/>
        </w:rPr>
      </w:pPr>
      <w:r>
        <w:rPr>
          <w:szCs w:val="28"/>
        </w:rPr>
        <w:t>227.</w:t>
      </w:r>
      <w:r>
        <w:rPr>
          <w:szCs w:val="28"/>
        </w:rPr>
        <w:tab/>
      </w:r>
      <w:r w:rsidRPr="00A47EC7">
        <w:rPr>
          <w:szCs w:val="28"/>
        </w:rPr>
        <w:t>Por</w:t>
      </w:r>
      <w:r>
        <w:rPr>
          <w:szCs w:val="28"/>
        </w:rPr>
        <w:t xml:space="preserve"> </w:t>
      </w:r>
      <w:r w:rsidRPr="00A47EC7">
        <w:rPr>
          <w:szCs w:val="28"/>
        </w:rPr>
        <w:t>consiguiente, es natural que los hijos vivan con sus padres, excepto si el interés superior del niño motiva o explica su separación.  Ningún niño podrá ser separado de su familia o de sus padres salvo por decisión judicial.</w:t>
      </w:r>
    </w:p>
    <w:p w:rsidR="00DD0682" w:rsidRDefault="00DD0682" w:rsidP="00DD0682">
      <w:pPr>
        <w:spacing w:after="240"/>
        <w:rPr>
          <w:szCs w:val="28"/>
        </w:rPr>
      </w:pPr>
      <w:r>
        <w:rPr>
          <w:szCs w:val="28"/>
        </w:rPr>
        <w:t>228.</w:t>
      </w:r>
      <w:r>
        <w:rPr>
          <w:szCs w:val="28"/>
        </w:rPr>
        <w:tab/>
      </w:r>
      <w:r w:rsidRPr="00A47EC7">
        <w:rPr>
          <w:szCs w:val="28"/>
        </w:rPr>
        <w:t>En el artículo</w:t>
      </w:r>
      <w:r>
        <w:rPr>
          <w:szCs w:val="28"/>
        </w:rPr>
        <w:t xml:space="preserve"> </w:t>
      </w:r>
      <w:r w:rsidRPr="00A47EC7">
        <w:rPr>
          <w:szCs w:val="28"/>
        </w:rPr>
        <w:t>1 de la Ordenanza Nº</w:t>
      </w:r>
      <w:r>
        <w:rPr>
          <w:szCs w:val="28"/>
        </w:rPr>
        <w:t xml:space="preserve"> 72-</w:t>
      </w:r>
      <w:r w:rsidRPr="00A47EC7">
        <w:rPr>
          <w:szCs w:val="28"/>
        </w:rPr>
        <w:t>03, de</w:t>
      </w:r>
      <w:r>
        <w:rPr>
          <w:szCs w:val="28"/>
        </w:rPr>
        <w:t xml:space="preserve"> </w:t>
      </w:r>
      <w:r w:rsidRPr="00A47EC7">
        <w:rPr>
          <w:szCs w:val="28"/>
        </w:rPr>
        <w:t>10</w:t>
      </w:r>
      <w:r>
        <w:rPr>
          <w:szCs w:val="28"/>
        </w:rPr>
        <w:t xml:space="preserve"> </w:t>
      </w:r>
      <w:r w:rsidRPr="00A47EC7">
        <w:rPr>
          <w:szCs w:val="28"/>
        </w:rPr>
        <w:t>de febrero de</w:t>
      </w:r>
      <w:r>
        <w:rPr>
          <w:szCs w:val="28"/>
        </w:rPr>
        <w:t xml:space="preserve"> </w:t>
      </w:r>
      <w:r w:rsidRPr="00A47EC7">
        <w:rPr>
          <w:szCs w:val="28"/>
        </w:rPr>
        <w:t>1972, relativa a la protección de la infancia y la adolescencia, se establece que "los</w:t>
      </w:r>
      <w:r>
        <w:rPr>
          <w:szCs w:val="28"/>
        </w:rPr>
        <w:t xml:space="preserve"> </w:t>
      </w:r>
      <w:r w:rsidRPr="00A47EC7">
        <w:rPr>
          <w:szCs w:val="28"/>
        </w:rPr>
        <w:t>menores de</w:t>
      </w:r>
      <w:r>
        <w:rPr>
          <w:szCs w:val="28"/>
        </w:rPr>
        <w:t xml:space="preserve"> </w:t>
      </w:r>
      <w:r w:rsidRPr="00A47EC7">
        <w:rPr>
          <w:szCs w:val="28"/>
        </w:rPr>
        <w:t>21</w:t>
      </w:r>
      <w:r>
        <w:rPr>
          <w:szCs w:val="28"/>
        </w:rPr>
        <w:t xml:space="preserve"> </w:t>
      </w:r>
      <w:r w:rsidRPr="00A47EC7">
        <w:rPr>
          <w:szCs w:val="28"/>
        </w:rPr>
        <w:t>años cuya salud, seguridad, moralidad o educación se vean comprometidas o cuyas condiciones de existencia o comportamiento puedan ser peligrosas para su futuro podrán ser sometidos a medidas de protección y asistencia educativa":</w:t>
      </w:r>
    </w:p>
    <w:p w:rsidR="00DD0682" w:rsidRDefault="00DD0682" w:rsidP="00DD0682">
      <w:pPr>
        <w:spacing w:after="240"/>
        <w:ind w:left="1134" w:hanging="567"/>
        <w:rPr>
          <w:szCs w:val="28"/>
        </w:rPr>
      </w:pPr>
      <w:r>
        <w:rPr>
          <w:szCs w:val="28"/>
        </w:rPr>
        <w:t>a)</w:t>
      </w:r>
      <w:r>
        <w:rPr>
          <w:szCs w:val="28"/>
        </w:rPr>
        <w:tab/>
      </w:r>
      <w:r w:rsidRPr="00A47EC7">
        <w:rPr>
          <w:szCs w:val="28"/>
        </w:rPr>
        <w:t>Sólo el juez de menores estará facultado para adoptar una medida de protección y asistencia de los niños a los que se refiere esta ley (arts.</w:t>
      </w:r>
      <w:r>
        <w:rPr>
          <w:szCs w:val="28"/>
        </w:rPr>
        <w:t xml:space="preserve"> </w:t>
      </w:r>
      <w:r w:rsidRPr="00A47EC7">
        <w:rPr>
          <w:szCs w:val="28"/>
        </w:rPr>
        <w:t>2</w:t>
      </w:r>
      <w:r>
        <w:rPr>
          <w:szCs w:val="28"/>
        </w:rPr>
        <w:t xml:space="preserve"> </w:t>
      </w:r>
      <w:r w:rsidRPr="00A47EC7">
        <w:rPr>
          <w:szCs w:val="28"/>
        </w:rPr>
        <w:t>y</w:t>
      </w:r>
      <w:r>
        <w:rPr>
          <w:szCs w:val="28"/>
        </w:rPr>
        <w:t xml:space="preserve"> </w:t>
      </w:r>
      <w:r w:rsidRPr="00A47EC7">
        <w:rPr>
          <w:szCs w:val="28"/>
        </w:rPr>
        <w:t>3);</w:t>
      </w:r>
    </w:p>
    <w:p w:rsidR="00DD0682" w:rsidRDefault="00DD0682" w:rsidP="00DD0682">
      <w:pPr>
        <w:spacing w:after="240"/>
        <w:ind w:left="1134" w:hanging="567"/>
        <w:rPr>
          <w:szCs w:val="28"/>
        </w:rPr>
      </w:pPr>
      <w:r>
        <w:rPr>
          <w:szCs w:val="28"/>
        </w:rPr>
        <w:t>b)</w:t>
      </w:r>
      <w:r>
        <w:rPr>
          <w:szCs w:val="28"/>
        </w:rPr>
        <w:tab/>
      </w:r>
      <w:r w:rsidRPr="00A47EC7">
        <w:rPr>
          <w:szCs w:val="28"/>
        </w:rPr>
        <w:t xml:space="preserve">El juez de menores podrá adoptar medidas provisionales </w:t>
      </w:r>
      <w:r>
        <w:rPr>
          <w:szCs w:val="28"/>
        </w:rPr>
        <w:t>para la</w:t>
      </w:r>
      <w:r w:rsidRPr="00A47EC7">
        <w:rPr>
          <w:szCs w:val="28"/>
        </w:rPr>
        <w:t xml:space="preserve"> custodia del niño (arts.</w:t>
      </w:r>
      <w:r>
        <w:rPr>
          <w:szCs w:val="28"/>
        </w:rPr>
        <w:t> </w:t>
      </w:r>
      <w:r w:rsidRPr="00A47EC7">
        <w:rPr>
          <w:szCs w:val="28"/>
        </w:rPr>
        <w:t>5</w:t>
      </w:r>
      <w:r>
        <w:rPr>
          <w:szCs w:val="28"/>
        </w:rPr>
        <w:t> </w:t>
      </w:r>
      <w:r w:rsidRPr="00A47EC7">
        <w:rPr>
          <w:szCs w:val="28"/>
        </w:rPr>
        <w:t>y</w:t>
      </w:r>
      <w:r>
        <w:rPr>
          <w:szCs w:val="28"/>
        </w:rPr>
        <w:t xml:space="preserve"> </w:t>
      </w:r>
      <w:r w:rsidRPr="00A47EC7">
        <w:rPr>
          <w:szCs w:val="28"/>
        </w:rPr>
        <w:t>6).  En</w:t>
      </w:r>
      <w:r>
        <w:rPr>
          <w:szCs w:val="28"/>
        </w:rPr>
        <w:t xml:space="preserve"> </w:t>
      </w:r>
      <w:r w:rsidRPr="00A47EC7">
        <w:rPr>
          <w:szCs w:val="28"/>
        </w:rPr>
        <w:t>todo momento, podrá modificar o aplazar estas medidas, a petición del menor, de sus padres o del Fiscal</w:t>
      </w:r>
      <w:r>
        <w:rPr>
          <w:szCs w:val="28"/>
        </w:rPr>
        <w:t xml:space="preserve"> de la República</w:t>
      </w:r>
      <w:r w:rsidRPr="00A47EC7">
        <w:rPr>
          <w:szCs w:val="28"/>
        </w:rPr>
        <w:t>;</w:t>
      </w:r>
    </w:p>
    <w:p w:rsidR="00DD0682" w:rsidRDefault="00DD0682" w:rsidP="00DD0682">
      <w:pPr>
        <w:spacing w:after="240"/>
        <w:ind w:left="1134" w:hanging="567"/>
        <w:rPr>
          <w:szCs w:val="28"/>
        </w:rPr>
      </w:pPr>
      <w:r>
        <w:rPr>
          <w:szCs w:val="28"/>
        </w:rPr>
        <w:t>c)</w:t>
      </w:r>
      <w:r>
        <w:rPr>
          <w:szCs w:val="28"/>
        </w:rPr>
        <w:tab/>
      </w:r>
      <w:r w:rsidRPr="00A47EC7">
        <w:rPr>
          <w:szCs w:val="28"/>
        </w:rPr>
        <w:t>"Terminada la instrucción y una vez comunicados los autos al Fiscal</w:t>
      </w:r>
      <w:r>
        <w:rPr>
          <w:szCs w:val="28"/>
        </w:rPr>
        <w:t xml:space="preserve"> de la República</w:t>
      </w:r>
      <w:r w:rsidRPr="00A47EC7">
        <w:rPr>
          <w:szCs w:val="28"/>
        </w:rPr>
        <w:t>, el juez convocará al menor y a sus padres o tutor y a toda persona cuya declaración pueda parecerle útil" (art.</w:t>
      </w:r>
      <w:r>
        <w:rPr>
          <w:szCs w:val="28"/>
        </w:rPr>
        <w:t xml:space="preserve"> </w:t>
      </w:r>
      <w:r w:rsidRPr="00A47EC7">
        <w:rPr>
          <w:szCs w:val="28"/>
        </w:rPr>
        <w:t>9).  "En</w:t>
      </w:r>
      <w:r>
        <w:rPr>
          <w:szCs w:val="28"/>
        </w:rPr>
        <w:t xml:space="preserve"> </w:t>
      </w:r>
      <w:r w:rsidRPr="00A47EC7">
        <w:rPr>
          <w:szCs w:val="28"/>
        </w:rPr>
        <w:t>todo caso, intentará conseguir la adhesión de la familia del menor a la medida prevista";</w:t>
      </w:r>
    </w:p>
    <w:p w:rsidR="00DD0682" w:rsidRDefault="00DD0682" w:rsidP="00DD0682">
      <w:pPr>
        <w:spacing w:after="240"/>
        <w:ind w:left="1134" w:hanging="567"/>
        <w:rPr>
          <w:szCs w:val="28"/>
        </w:rPr>
      </w:pPr>
      <w:r>
        <w:rPr>
          <w:szCs w:val="28"/>
        </w:rPr>
        <w:t>d)</w:t>
      </w:r>
      <w:r>
        <w:rPr>
          <w:szCs w:val="28"/>
        </w:rPr>
        <w:tab/>
      </w:r>
      <w:r w:rsidRPr="00A47EC7">
        <w:rPr>
          <w:szCs w:val="28"/>
        </w:rPr>
        <w:t>El juez de menores dará sentencia leída en privado;</w:t>
      </w:r>
    </w:p>
    <w:p w:rsidR="00DD0682" w:rsidRDefault="00DD0682" w:rsidP="00DD0682">
      <w:pPr>
        <w:spacing w:after="240"/>
        <w:ind w:left="1134" w:hanging="567"/>
        <w:rPr>
          <w:szCs w:val="28"/>
        </w:rPr>
      </w:pPr>
      <w:r>
        <w:rPr>
          <w:szCs w:val="28"/>
        </w:rPr>
        <w:t>e)</w:t>
      </w:r>
      <w:r>
        <w:rPr>
          <w:szCs w:val="28"/>
        </w:rPr>
        <w:tab/>
      </w:r>
      <w:r w:rsidRPr="00A47EC7">
        <w:rPr>
          <w:szCs w:val="28"/>
        </w:rPr>
        <w:t>"Cuando el menor, de manera provisional o definitiva, es colocado en casa de un tercero o en uno de los establecimientos previstos en el artículo 11 del presente texto, los padres, que tienen la obligación de alimentarlo, deberán contribuir a su sustento salvo indigencia demostrada" (art. 15).</w:t>
      </w:r>
    </w:p>
    <w:p w:rsidR="00DD0682" w:rsidRDefault="00DD0682" w:rsidP="00DD0682">
      <w:pPr>
        <w:spacing w:after="240"/>
        <w:rPr>
          <w:szCs w:val="28"/>
        </w:rPr>
      </w:pPr>
      <w:r>
        <w:rPr>
          <w:szCs w:val="28"/>
        </w:rPr>
        <w:t>229.</w:t>
      </w:r>
      <w:r>
        <w:rPr>
          <w:szCs w:val="28"/>
        </w:rPr>
        <w:tab/>
      </w:r>
      <w:r w:rsidRPr="00A47EC7">
        <w:rPr>
          <w:szCs w:val="28"/>
        </w:rPr>
        <w:t>En su artículo</w:t>
      </w:r>
      <w:r>
        <w:rPr>
          <w:szCs w:val="28"/>
        </w:rPr>
        <w:t xml:space="preserve"> </w:t>
      </w:r>
      <w:r w:rsidRPr="00A47EC7">
        <w:rPr>
          <w:szCs w:val="28"/>
        </w:rPr>
        <w:t xml:space="preserve">59 la Ley fundamental estipula, por otro lado, en relación con las personas que sufren una minusvalía, que "se garantizan las condiciones de vida de los ciudadanos que aún no pueden, ya no pueden o no podrán trabajar nunca". </w:t>
      </w:r>
      <w:r>
        <w:rPr>
          <w:szCs w:val="28"/>
        </w:rPr>
        <w:t xml:space="preserve"> </w:t>
      </w:r>
      <w:r w:rsidRPr="00A47EC7">
        <w:rPr>
          <w:szCs w:val="28"/>
        </w:rPr>
        <w:t>En relación con los deberes del ciudadano, la Constitución enuncia en el capítulo</w:t>
      </w:r>
      <w:r>
        <w:rPr>
          <w:szCs w:val="28"/>
        </w:rPr>
        <w:t xml:space="preserve"> </w:t>
      </w:r>
      <w:r w:rsidRPr="00A47EC7">
        <w:rPr>
          <w:szCs w:val="28"/>
        </w:rPr>
        <w:t xml:space="preserve">5 una serie de disposiciones en relación con la familia y la sociedad. </w:t>
      </w:r>
      <w:r>
        <w:rPr>
          <w:szCs w:val="28"/>
        </w:rPr>
        <w:t xml:space="preserve"> </w:t>
      </w:r>
      <w:r w:rsidRPr="00A47EC7">
        <w:rPr>
          <w:szCs w:val="28"/>
        </w:rPr>
        <w:t>Se mencionará, principalmente el artículo</w:t>
      </w:r>
      <w:r>
        <w:rPr>
          <w:szCs w:val="28"/>
        </w:rPr>
        <w:t xml:space="preserve"> </w:t>
      </w:r>
      <w:r w:rsidRPr="00A47EC7">
        <w:rPr>
          <w:szCs w:val="28"/>
        </w:rPr>
        <w:t>65:  "La ley sanciona el deber de los padres de educar y proteger a sus hijos, así como el deber de los hijos de ayudar y asistir a sus padres".</w:t>
      </w:r>
    </w:p>
    <w:p w:rsidR="00DD0682" w:rsidRDefault="00DD0682" w:rsidP="00DD0682">
      <w:pPr>
        <w:spacing w:after="240"/>
        <w:rPr>
          <w:szCs w:val="28"/>
        </w:rPr>
      </w:pPr>
      <w:r>
        <w:rPr>
          <w:szCs w:val="28"/>
        </w:rPr>
        <w:t>230.</w:t>
      </w:r>
      <w:r>
        <w:rPr>
          <w:szCs w:val="28"/>
        </w:rPr>
        <w:tab/>
      </w:r>
      <w:r w:rsidRPr="00A47EC7">
        <w:rPr>
          <w:szCs w:val="28"/>
        </w:rPr>
        <w:t xml:space="preserve">En lo que respecta al seguro de enfermedad, el sistema de seguridad social cubre a las personas activas, asalariadas o no asalariadas, y a ciertas categorías de población como los discapacitados, los estudiantes, los jóvenes que siguen una formación profesional y los aprendices.  En el marco de la </w:t>
      </w:r>
      <w:r w:rsidRPr="00875AC2">
        <w:rPr>
          <w:i/>
          <w:iCs/>
          <w:szCs w:val="28"/>
        </w:rPr>
        <w:t>kafala</w:t>
      </w:r>
      <w:r w:rsidRPr="00A47EC7">
        <w:rPr>
          <w:szCs w:val="28"/>
        </w:rPr>
        <w:t xml:space="preserve"> (adopción), los niños reciben iguales prestaciones que los hijos legítimos.</w:t>
      </w:r>
    </w:p>
    <w:p w:rsidR="00DD0682" w:rsidRDefault="00DD0682" w:rsidP="00DD0682">
      <w:pPr>
        <w:spacing w:after="240"/>
        <w:rPr>
          <w:szCs w:val="28"/>
        </w:rPr>
      </w:pPr>
      <w:r>
        <w:rPr>
          <w:szCs w:val="28"/>
        </w:rPr>
        <w:t>231.</w:t>
      </w:r>
      <w:r>
        <w:rPr>
          <w:szCs w:val="28"/>
        </w:rPr>
        <w:tab/>
      </w:r>
      <w:r w:rsidRPr="00A47EC7">
        <w:rPr>
          <w:szCs w:val="28"/>
        </w:rPr>
        <w:t xml:space="preserve">Este sistema se completa con la concesión de subsidios familiares a los trabajadores asalariados que tienen hijos a cargo, prestaciones que se financian con </w:t>
      </w:r>
      <w:r>
        <w:rPr>
          <w:szCs w:val="28"/>
        </w:rPr>
        <w:t xml:space="preserve">cargo al </w:t>
      </w:r>
      <w:r w:rsidRPr="00A47EC7">
        <w:rPr>
          <w:szCs w:val="28"/>
        </w:rPr>
        <w:t>presupuesto del Estado y con acciones organizadas por el movimiento mutualista y las obras sociales de las empresas:</w:t>
      </w:r>
    </w:p>
    <w:p w:rsidR="00DD0682" w:rsidRPr="00A47EC7" w:rsidRDefault="00DD0682" w:rsidP="00DD0682">
      <w:pPr>
        <w:spacing w:after="240"/>
        <w:ind w:left="1134" w:hanging="567"/>
        <w:rPr>
          <w:szCs w:val="28"/>
        </w:rPr>
      </w:pPr>
      <w:r>
        <w:rPr>
          <w:szCs w:val="28"/>
        </w:rPr>
        <w:t>a)</w:t>
      </w:r>
      <w:r>
        <w:rPr>
          <w:szCs w:val="28"/>
        </w:rPr>
        <w:tab/>
      </w:r>
      <w:r w:rsidRPr="00A47EC7">
        <w:rPr>
          <w:szCs w:val="28"/>
        </w:rPr>
        <w:t xml:space="preserve">El sistema de prestaciones asistenciales a </w:t>
      </w:r>
      <w:r>
        <w:rPr>
          <w:szCs w:val="28"/>
        </w:rPr>
        <w:t xml:space="preserve">las </w:t>
      </w:r>
      <w:r w:rsidRPr="00A47EC7">
        <w:rPr>
          <w:szCs w:val="28"/>
        </w:rPr>
        <w:t>categorías especialmente desfavorecidas</w:t>
      </w:r>
      <w:r>
        <w:rPr>
          <w:szCs w:val="28"/>
        </w:rPr>
        <w:t xml:space="preserve"> se fun</w:t>
      </w:r>
      <w:r w:rsidRPr="00A47EC7">
        <w:rPr>
          <w:szCs w:val="28"/>
        </w:rPr>
        <w:t xml:space="preserve">da en dos formas de ayuda y apoyo:  </w:t>
      </w:r>
      <w:r>
        <w:rPr>
          <w:szCs w:val="28"/>
        </w:rPr>
        <w:t xml:space="preserve">las </w:t>
      </w:r>
      <w:r w:rsidRPr="00A47EC7">
        <w:rPr>
          <w:szCs w:val="28"/>
        </w:rPr>
        <w:t xml:space="preserve">prestaciones financiadas con cargo al presupuesto del Estado y </w:t>
      </w:r>
      <w:r>
        <w:rPr>
          <w:szCs w:val="28"/>
        </w:rPr>
        <w:t xml:space="preserve">la </w:t>
      </w:r>
      <w:r w:rsidRPr="00A47EC7">
        <w:rPr>
          <w:szCs w:val="28"/>
        </w:rPr>
        <w:t>ayuda social en favor de los discapacitados, de los niños privados de familia y de los ancianos desheredados impedidos e incurables.  Esta última absorbe el 0,3% del presupuesto del Estado;</w:t>
      </w:r>
    </w:p>
    <w:p w:rsidR="00DD0682" w:rsidRDefault="00DD0682" w:rsidP="00DD0682">
      <w:pPr>
        <w:spacing w:after="240"/>
        <w:ind w:left="1134" w:hanging="567"/>
        <w:rPr>
          <w:szCs w:val="28"/>
        </w:rPr>
      </w:pPr>
      <w:r>
        <w:rPr>
          <w:szCs w:val="28"/>
        </w:rPr>
        <w:t>b)</w:t>
      </w:r>
      <w:r>
        <w:rPr>
          <w:szCs w:val="28"/>
        </w:rPr>
        <w:tab/>
      </w:r>
      <w:r w:rsidRPr="00A47EC7">
        <w:rPr>
          <w:szCs w:val="28"/>
        </w:rPr>
        <w:t xml:space="preserve">En 1994 se creó un </w:t>
      </w:r>
      <w:r>
        <w:rPr>
          <w:szCs w:val="28"/>
        </w:rPr>
        <w:t xml:space="preserve">nuevo </w:t>
      </w:r>
      <w:r w:rsidRPr="00A47EC7">
        <w:rPr>
          <w:szCs w:val="28"/>
        </w:rPr>
        <w:t xml:space="preserve">dispositivo llamado "red social".  Se trata de una forma de protección social y de prestaciones a las categorías desfavorecidas, con </w:t>
      </w:r>
      <w:r>
        <w:rPr>
          <w:szCs w:val="28"/>
        </w:rPr>
        <w:t>prioridad a</w:t>
      </w:r>
      <w:r w:rsidRPr="00A47EC7">
        <w:rPr>
          <w:szCs w:val="28"/>
        </w:rPr>
        <w:t xml:space="preserve"> las familias y las personas solas con dificultades financieras o que carecen de ingresos y residen en espacios socialmente vulnerables.  La</w:t>
      </w:r>
      <w:r>
        <w:rPr>
          <w:szCs w:val="28"/>
        </w:rPr>
        <w:t xml:space="preserve"> </w:t>
      </w:r>
      <w:r w:rsidRPr="00A47EC7">
        <w:rPr>
          <w:szCs w:val="28"/>
        </w:rPr>
        <w:t xml:space="preserve">primera clase de ayuda, que adopta la forma de un subsidio global de solidaridad, está destinada a los cabezas de familia o a las personas mayores de 60 años que viven solas y a los discapacitados inaptos para el trabajo.  La segunda, que reviste la forma de un subsidio por actividad de interés general, se concede a los cabezas de familia en edad de trabajar.  Este subsidio, que </w:t>
      </w:r>
      <w:r>
        <w:rPr>
          <w:szCs w:val="28"/>
        </w:rPr>
        <w:t>representa el</w:t>
      </w:r>
      <w:r w:rsidRPr="00A47EC7">
        <w:rPr>
          <w:szCs w:val="28"/>
        </w:rPr>
        <w:t xml:space="preserve"> 52,5% del salario nacional mínimo garantizado, se paga a los cabezas de familia con hijos.</w:t>
      </w:r>
    </w:p>
    <w:p w:rsidR="00DD0682" w:rsidRDefault="00DD0682" w:rsidP="00DD0682">
      <w:pPr>
        <w:spacing w:after="240"/>
        <w:rPr>
          <w:szCs w:val="28"/>
        </w:rPr>
      </w:pPr>
      <w:r>
        <w:rPr>
          <w:szCs w:val="28"/>
        </w:rPr>
        <w:t>232.</w:t>
      </w:r>
      <w:r>
        <w:rPr>
          <w:szCs w:val="28"/>
        </w:rPr>
        <w:tab/>
      </w:r>
      <w:r w:rsidRPr="00A47EC7">
        <w:rPr>
          <w:szCs w:val="28"/>
        </w:rPr>
        <w:t xml:space="preserve">Otras prestaciones:  prestaciones de la seguridad social, que sufragan asimismo los gastos de equipo, y ayudas concedidas por los servicios sociales de las colectividades locales, </w:t>
      </w:r>
      <w:r>
        <w:rPr>
          <w:szCs w:val="28"/>
        </w:rPr>
        <w:t xml:space="preserve">por </w:t>
      </w:r>
      <w:r w:rsidRPr="00A47EC7">
        <w:rPr>
          <w:szCs w:val="28"/>
        </w:rPr>
        <w:t xml:space="preserve">la Media Luna Roja argelina y </w:t>
      </w:r>
      <w:r>
        <w:rPr>
          <w:szCs w:val="28"/>
        </w:rPr>
        <w:t>por</w:t>
      </w:r>
      <w:r w:rsidRPr="00A47EC7">
        <w:rPr>
          <w:szCs w:val="28"/>
        </w:rPr>
        <w:t xml:space="preserve"> asociaciones.</w:t>
      </w:r>
    </w:p>
    <w:p w:rsidR="00DD0682" w:rsidRPr="00AE0E7E" w:rsidRDefault="00DD0682" w:rsidP="00DD0682">
      <w:pPr>
        <w:pStyle w:val="BodyText21"/>
        <w:keepNext/>
        <w:widowControl/>
        <w:spacing w:after="240"/>
        <w:ind w:left="567"/>
        <w:jc w:val="left"/>
        <w:rPr>
          <w:rFonts w:ascii="Times New Roman" w:hAnsi="Times New Roman"/>
          <w:bCs w:val="0"/>
          <w:sz w:val="24"/>
          <w:lang w:val="es-ES"/>
        </w:rPr>
      </w:pPr>
      <w:r w:rsidRPr="00AE0E7E">
        <w:rPr>
          <w:rFonts w:ascii="Times New Roman" w:hAnsi="Times New Roman"/>
          <w:sz w:val="24"/>
          <w:lang w:val="es-ES"/>
        </w:rPr>
        <w:t xml:space="preserve">Medidas especiales de protección y asistencia para bien de los niños y adolescentes </w:t>
      </w:r>
      <w:r>
        <w:rPr>
          <w:rFonts w:ascii="Times New Roman" w:hAnsi="Times New Roman"/>
          <w:b w:val="0"/>
          <w:sz w:val="24"/>
          <w:lang w:val="es-ES"/>
        </w:rPr>
        <w:t>(en </w:t>
      </w:r>
      <w:r w:rsidRPr="0085059B">
        <w:rPr>
          <w:rFonts w:ascii="Times New Roman" w:hAnsi="Times New Roman"/>
          <w:b w:val="0"/>
          <w:sz w:val="24"/>
          <w:lang w:val="es-ES"/>
        </w:rPr>
        <w:t>el ámbito laboral)</w:t>
      </w:r>
    </w:p>
    <w:p w:rsidR="00DD0682" w:rsidRDefault="00DD0682" w:rsidP="00DD0682">
      <w:pPr>
        <w:spacing w:after="240"/>
        <w:rPr>
          <w:szCs w:val="28"/>
        </w:rPr>
      </w:pPr>
      <w:r>
        <w:rPr>
          <w:szCs w:val="28"/>
        </w:rPr>
        <w:t>233.</w:t>
      </w:r>
      <w:r>
        <w:rPr>
          <w:szCs w:val="28"/>
        </w:rPr>
        <w:tab/>
      </w:r>
      <w:r w:rsidRPr="00A47EC7">
        <w:rPr>
          <w:szCs w:val="28"/>
        </w:rPr>
        <w:t>La edad mínima para trabajar es de 16 años, salvo en el marco de contratos de aprendizaje; el trabajador menor no podrá desempeñar trabajos peligrosos, insalubres y nocivos para la salud o perjudiciales para la moral (artículo 15 de la Ley Nº 90-11).</w:t>
      </w:r>
    </w:p>
    <w:p w:rsidR="00DD0682" w:rsidRDefault="00DD0682" w:rsidP="00DD0682">
      <w:pPr>
        <w:spacing w:after="240"/>
        <w:rPr>
          <w:szCs w:val="28"/>
        </w:rPr>
      </w:pPr>
      <w:r>
        <w:rPr>
          <w:szCs w:val="28"/>
        </w:rPr>
        <w:t>234.</w:t>
      </w:r>
      <w:r>
        <w:rPr>
          <w:szCs w:val="28"/>
        </w:rPr>
        <w:tab/>
      </w:r>
      <w:r w:rsidRPr="00A47EC7">
        <w:rPr>
          <w:szCs w:val="28"/>
        </w:rPr>
        <w:t>Además de las disposiciones legislativas en vigor, el organismo empleador debe velar por que los trabajos que se encomienden a mujeres, trabajadores menores y trabajadores discapacitados no exijan esfuerzos superiores a sus fuerzas (artículo 11 de la Ley Nº 88-07</w:t>
      </w:r>
      <w:r>
        <w:rPr>
          <w:szCs w:val="28"/>
        </w:rPr>
        <w:t>, de 26 </w:t>
      </w:r>
      <w:r w:rsidRPr="00A47EC7">
        <w:rPr>
          <w:szCs w:val="28"/>
        </w:rPr>
        <w:t>de enero de 1988</w:t>
      </w:r>
      <w:r>
        <w:rPr>
          <w:szCs w:val="28"/>
        </w:rPr>
        <w:t>,</w:t>
      </w:r>
      <w:r w:rsidRPr="00A47EC7">
        <w:rPr>
          <w:szCs w:val="28"/>
        </w:rPr>
        <w:t xml:space="preserve"> sobre higiene, seguridad y medicina </w:t>
      </w:r>
      <w:r>
        <w:rPr>
          <w:szCs w:val="28"/>
        </w:rPr>
        <w:t>del trabajo</w:t>
      </w:r>
      <w:r w:rsidRPr="00A47EC7">
        <w:rPr>
          <w:szCs w:val="28"/>
        </w:rPr>
        <w:t>).</w:t>
      </w:r>
    </w:p>
    <w:p w:rsidR="00DD0682" w:rsidRDefault="00DD0682" w:rsidP="00DD0682">
      <w:pPr>
        <w:spacing w:after="240"/>
        <w:rPr>
          <w:szCs w:val="28"/>
        </w:rPr>
      </w:pPr>
      <w:r>
        <w:rPr>
          <w:szCs w:val="28"/>
        </w:rPr>
        <w:t>235.</w:t>
      </w:r>
      <w:r>
        <w:rPr>
          <w:szCs w:val="28"/>
        </w:rPr>
        <w:tab/>
      </w:r>
      <w:r w:rsidRPr="00A47EC7">
        <w:rPr>
          <w:szCs w:val="28"/>
        </w:rPr>
        <w:t xml:space="preserve">Los empleadores que infrinjan las disposiciones </w:t>
      </w:r>
      <w:r>
        <w:rPr>
          <w:szCs w:val="28"/>
        </w:rPr>
        <w:t xml:space="preserve">relativas a la </w:t>
      </w:r>
      <w:r w:rsidRPr="00A47EC7">
        <w:rPr>
          <w:szCs w:val="28"/>
        </w:rPr>
        <w:t xml:space="preserve">protección de los niños </w:t>
      </w:r>
      <w:r>
        <w:rPr>
          <w:szCs w:val="28"/>
        </w:rPr>
        <w:t>serán objeto de sanciones</w:t>
      </w:r>
      <w:r w:rsidRPr="00A47EC7">
        <w:rPr>
          <w:szCs w:val="28"/>
        </w:rPr>
        <w:t xml:space="preserve"> penales.</w:t>
      </w:r>
    </w:p>
    <w:p w:rsidR="00DD0682" w:rsidRDefault="00DD0682" w:rsidP="00DD0682">
      <w:pPr>
        <w:spacing w:after="240"/>
        <w:rPr>
          <w:szCs w:val="28"/>
        </w:rPr>
      </w:pPr>
      <w:r>
        <w:rPr>
          <w:szCs w:val="28"/>
        </w:rPr>
        <w:t>236.</w:t>
      </w:r>
      <w:r>
        <w:rPr>
          <w:szCs w:val="28"/>
        </w:rPr>
        <w:tab/>
      </w:r>
      <w:r w:rsidRPr="00A47EC7">
        <w:rPr>
          <w:szCs w:val="28"/>
        </w:rPr>
        <w:t>La Ley Nº 90-11</w:t>
      </w:r>
      <w:r>
        <w:rPr>
          <w:szCs w:val="28"/>
        </w:rPr>
        <w:t>,</w:t>
      </w:r>
      <w:r w:rsidRPr="00A47EC7">
        <w:rPr>
          <w:szCs w:val="28"/>
        </w:rPr>
        <w:t xml:space="preserve"> en su artículo 140</w:t>
      </w:r>
      <w:r>
        <w:rPr>
          <w:szCs w:val="28"/>
        </w:rPr>
        <w:t>,</w:t>
      </w:r>
      <w:r w:rsidRPr="00A47EC7">
        <w:rPr>
          <w:szCs w:val="28"/>
        </w:rPr>
        <w:t xml:space="preserve"> prevé sanciones para los que infrinjan las disposiciones legislativas relativas a la contratación de un trabajador, del siguiente modo:</w:t>
      </w:r>
      <w:r>
        <w:rPr>
          <w:szCs w:val="28"/>
        </w:rPr>
        <w:t xml:space="preserve"> </w:t>
      </w:r>
      <w:r w:rsidRPr="00A47EC7">
        <w:rPr>
          <w:szCs w:val="28"/>
        </w:rPr>
        <w:t xml:space="preserve"> "Salvo en el caso de un contrato de aprendizaje celebrado de conformidad con la legislación y la reglamentación en vigor, toda contratación de un trabajador joven que no haya cumplido la edad prevista por </w:t>
      </w:r>
      <w:r>
        <w:rPr>
          <w:szCs w:val="28"/>
        </w:rPr>
        <w:t xml:space="preserve">la </w:t>
      </w:r>
      <w:r w:rsidRPr="00A47EC7">
        <w:rPr>
          <w:szCs w:val="28"/>
        </w:rPr>
        <w:t>ley, será castigado con una multa de 1</w:t>
      </w:r>
      <w:r>
        <w:rPr>
          <w:szCs w:val="28"/>
        </w:rPr>
        <w:t>.</w:t>
      </w:r>
      <w:r w:rsidRPr="00A47EC7">
        <w:rPr>
          <w:szCs w:val="28"/>
        </w:rPr>
        <w:t>000 a 2</w:t>
      </w:r>
      <w:r>
        <w:rPr>
          <w:szCs w:val="28"/>
        </w:rPr>
        <w:t>.</w:t>
      </w:r>
      <w:r w:rsidRPr="00A47EC7">
        <w:rPr>
          <w:szCs w:val="28"/>
        </w:rPr>
        <w:t xml:space="preserve">000 dinares. </w:t>
      </w:r>
      <w:r>
        <w:rPr>
          <w:szCs w:val="28"/>
        </w:rPr>
        <w:t xml:space="preserve"> </w:t>
      </w:r>
      <w:r w:rsidRPr="00A47EC7">
        <w:rPr>
          <w:szCs w:val="28"/>
        </w:rPr>
        <w:t xml:space="preserve">En caso de reincidencia, podrá pronunciarse una pena de prisión de 15 días a </w:t>
      </w:r>
      <w:r>
        <w:rPr>
          <w:szCs w:val="28"/>
        </w:rPr>
        <w:t>2</w:t>
      </w:r>
      <w:r w:rsidRPr="00A47EC7">
        <w:rPr>
          <w:szCs w:val="28"/>
        </w:rPr>
        <w:t xml:space="preserve"> meses, sin perjuicio de una multa que se puede elevar al doble de la prevista en el párrafo anterior".</w:t>
      </w:r>
    </w:p>
    <w:p w:rsidR="00DD0682" w:rsidRDefault="00DD0682" w:rsidP="00DD0682">
      <w:pPr>
        <w:spacing w:after="240"/>
        <w:rPr>
          <w:szCs w:val="28"/>
        </w:rPr>
      </w:pPr>
      <w:r>
        <w:rPr>
          <w:szCs w:val="28"/>
        </w:rPr>
        <w:t>237.</w:t>
      </w:r>
      <w:r>
        <w:rPr>
          <w:szCs w:val="28"/>
        </w:rPr>
        <w:tab/>
      </w:r>
      <w:r w:rsidRPr="00A47EC7">
        <w:rPr>
          <w:szCs w:val="28"/>
        </w:rPr>
        <w:t>El artículo 28 de la Ley Nº 90-11 dispone que</w:t>
      </w:r>
      <w:r>
        <w:rPr>
          <w:szCs w:val="28"/>
        </w:rPr>
        <w:t xml:space="preserve"> </w:t>
      </w:r>
      <w:r w:rsidRPr="00A47EC7">
        <w:rPr>
          <w:szCs w:val="28"/>
        </w:rPr>
        <w:t xml:space="preserve">"los trabajadores de uno </w:t>
      </w:r>
      <w:r>
        <w:rPr>
          <w:szCs w:val="28"/>
        </w:rPr>
        <w:t>u otro sexo, menores de 19 años</w:t>
      </w:r>
      <w:r w:rsidRPr="00A47EC7">
        <w:rPr>
          <w:szCs w:val="28"/>
        </w:rPr>
        <w:t>, no pueden realizar trabajos nocturnos".</w:t>
      </w:r>
    </w:p>
    <w:p w:rsidR="00DD0682" w:rsidRPr="007F57F4" w:rsidRDefault="00DD0682" w:rsidP="00DD0682">
      <w:pPr>
        <w:pStyle w:val="BodyTextIndent3"/>
        <w:spacing w:after="240"/>
        <w:ind w:left="567"/>
        <w:rPr>
          <w:b/>
          <w:bCs/>
          <w:sz w:val="24"/>
          <w:szCs w:val="28"/>
          <w:lang w:val="es-ES"/>
        </w:rPr>
      </w:pPr>
      <w:r w:rsidRPr="007F57F4">
        <w:rPr>
          <w:b/>
          <w:bCs/>
          <w:sz w:val="24"/>
          <w:szCs w:val="28"/>
          <w:lang w:val="es-ES"/>
        </w:rPr>
        <w:t>Formación en favor de los menores</w:t>
      </w:r>
    </w:p>
    <w:p w:rsidR="00DD0682" w:rsidRDefault="00DD0682" w:rsidP="00DD0682">
      <w:pPr>
        <w:spacing w:after="240"/>
        <w:rPr>
          <w:szCs w:val="28"/>
        </w:rPr>
      </w:pPr>
      <w:r>
        <w:rPr>
          <w:szCs w:val="28"/>
        </w:rPr>
        <w:t>238.</w:t>
      </w:r>
      <w:r>
        <w:rPr>
          <w:szCs w:val="28"/>
        </w:rPr>
        <w:tab/>
      </w:r>
      <w:r w:rsidRPr="00A47EC7">
        <w:rPr>
          <w:szCs w:val="28"/>
        </w:rPr>
        <w:t>En la Ley Nº 81-07</w:t>
      </w:r>
      <w:r>
        <w:rPr>
          <w:szCs w:val="28"/>
        </w:rPr>
        <w:t>,</w:t>
      </w:r>
      <w:r w:rsidRPr="00A47EC7">
        <w:rPr>
          <w:szCs w:val="28"/>
        </w:rPr>
        <w:t xml:space="preserve"> de 27 de junio de 1981</w:t>
      </w:r>
      <w:r>
        <w:rPr>
          <w:szCs w:val="28"/>
        </w:rPr>
        <w:t>,</w:t>
      </w:r>
      <w:r w:rsidRPr="00A47EC7">
        <w:rPr>
          <w:szCs w:val="28"/>
        </w:rPr>
        <w:t xml:space="preserve"> sobre el aprendizaje, figuran las siguientes disposiciones:</w:t>
      </w:r>
    </w:p>
    <w:p w:rsidR="00DD0682" w:rsidRDefault="00DD0682" w:rsidP="00DD0682">
      <w:pPr>
        <w:spacing w:after="240"/>
        <w:ind w:left="1134" w:hanging="567"/>
        <w:rPr>
          <w:szCs w:val="28"/>
        </w:rPr>
      </w:pPr>
      <w:r>
        <w:rPr>
          <w:szCs w:val="28"/>
        </w:rPr>
        <w:t>a)</w:t>
      </w:r>
      <w:r>
        <w:rPr>
          <w:szCs w:val="28"/>
        </w:rPr>
        <w:tab/>
      </w:r>
      <w:r w:rsidRPr="00A47EC7">
        <w:rPr>
          <w:szCs w:val="28"/>
        </w:rPr>
        <w:t xml:space="preserve">Todo empleador debe </w:t>
      </w:r>
      <w:r>
        <w:rPr>
          <w:szCs w:val="28"/>
        </w:rPr>
        <w:t>asegurar</w:t>
      </w:r>
      <w:r w:rsidRPr="00A47EC7">
        <w:rPr>
          <w:szCs w:val="28"/>
        </w:rPr>
        <w:t xml:space="preserve"> la formación profesional de los jóvenes por medio del aprendizaje (art</w:t>
      </w:r>
      <w:r>
        <w:rPr>
          <w:szCs w:val="28"/>
        </w:rPr>
        <w:t>. 7);</w:t>
      </w:r>
    </w:p>
    <w:p w:rsidR="00DD0682" w:rsidRDefault="00DD0682" w:rsidP="00DD0682">
      <w:pPr>
        <w:spacing w:after="240"/>
        <w:ind w:left="1134" w:hanging="567"/>
        <w:rPr>
          <w:szCs w:val="28"/>
        </w:rPr>
      </w:pPr>
      <w:r>
        <w:rPr>
          <w:szCs w:val="28"/>
        </w:rPr>
        <w:t>b)</w:t>
      </w:r>
      <w:r>
        <w:rPr>
          <w:szCs w:val="28"/>
        </w:rPr>
        <w:tab/>
      </w:r>
      <w:r w:rsidRPr="00A47EC7">
        <w:rPr>
          <w:szCs w:val="28"/>
        </w:rPr>
        <w:t>Cuando el aprendiz sea menor de edad, el contrato de aprendizaje lo celebran y firman el empleador, el aprendiz y su tutor</w:t>
      </w:r>
      <w:r>
        <w:rPr>
          <w:szCs w:val="28"/>
        </w:rPr>
        <w:t xml:space="preserve"> legal</w:t>
      </w:r>
      <w:r w:rsidRPr="00A47EC7">
        <w:rPr>
          <w:szCs w:val="28"/>
        </w:rPr>
        <w:t xml:space="preserve"> (art</w:t>
      </w:r>
      <w:r>
        <w:rPr>
          <w:szCs w:val="28"/>
        </w:rPr>
        <w:t>.</w:t>
      </w:r>
      <w:r w:rsidRPr="00A47EC7">
        <w:rPr>
          <w:szCs w:val="28"/>
        </w:rPr>
        <w:t xml:space="preserve"> 11).</w:t>
      </w:r>
    </w:p>
    <w:p w:rsidR="00DD0682" w:rsidRDefault="00DD0682" w:rsidP="00DD0682">
      <w:pPr>
        <w:spacing w:after="240"/>
        <w:rPr>
          <w:szCs w:val="28"/>
        </w:rPr>
      </w:pPr>
      <w:r>
        <w:rPr>
          <w:szCs w:val="28"/>
        </w:rPr>
        <w:t>239.</w:t>
      </w:r>
      <w:r>
        <w:rPr>
          <w:szCs w:val="28"/>
        </w:rPr>
        <w:tab/>
      </w:r>
      <w:r w:rsidRPr="00A47EC7">
        <w:rPr>
          <w:szCs w:val="28"/>
        </w:rPr>
        <w:t>La edad mínima para acceder a la condición de aprendiz es de 15 años (art</w:t>
      </w:r>
      <w:r>
        <w:rPr>
          <w:szCs w:val="28"/>
        </w:rPr>
        <w:t>.</w:t>
      </w:r>
      <w:r w:rsidRPr="00A47EC7">
        <w:rPr>
          <w:szCs w:val="28"/>
        </w:rPr>
        <w:t xml:space="preserve"> 12).</w:t>
      </w:r>
      <w:r>
        <w:rPr>
          <w:szCs w:val="28"/>
        </w:rPr>
        <w:t xml:space="preserve"> </w:t>
      </w:r>
      <w:r w:rsidRPr="00A47EC7">
        <w:rPr>
          <w:szCs w:val="28"/>
        </w:rPr>
        <w:t xml:space="preserve"> Durante el aprendizaje</w:t>
      </w:r>
      <w:r>
        <w:rPr>
          <w:szCs w:val="28"/>
        </w:rPr>
        <w:t>,</w:t>
      </w:r>
      <w:r w:rsidRPr="00A47EC7">
        <w:rPr>
          <w:szCs w:val="28"/>
        </w:rPr>
        <w:t xml:space="preserve"> percibe un salario inicial</w:t>
      </w:r>
      <w:r>
        <w:rPr>
          <w:szCs w:val="28"/>
        </w:rPr>
        <w:t>,</w:t>
      </w:r>
      <w:r w:rsidRPr="00A47EC7">
        <w:rPr>
          <w:szCs w:val="28"/>
        </w:rPr>
        <w:t xml:space="preserve"> que paga el Estado</w:t>
      </w:r>
      <w:r>
        <w:rPr>
          <w:szCs w:val="28"/>
        </w:rPr>
        <w:t>;</w:t>
      </w:r>
      <w:r w:rsidRPr="00A47EC7">
        <w:rPr>
          <w:szCs w:val="28"/>
        </w:rPr>
        <w:t xml:space="preserve"> por un período de 6 </w:t>
      </w:r>
      <w:r>
        <w:rPr>
          <w:szCs w:val="28"/>
        </w:rPr>
        <w:t>a</w:t>
      </w:r>
      <w:r w:rsidRPr="00A47EC7">
        <w:rPr>
          <w:szCs w:val="28"/>
        </w:rPr>
        <w:t xml:space="preserve"> 12 meses,</w:t>
      </w:r>
      <w:r>
        <w:rPr>
          <w:szCs w:val="28"/>
        </w:rPr>
        <w:t xml:space="preserve"> y</w:t>
      </w:r>
      <w:r w:rsidRPr="00A47EC7">
        <w:rPr>
          <w:szCs w:val="28"/>
        </w:rPr>
        <w:t xml:space="preserve"> después e</w:t>
      </w:r>
      <w:r>
        <w:rPr>
          <w:szCs w:val="28"/>
        </w:rPr>
        <w:t>se</w:t>
      </w:r>
      <w:r w:rsidRPr="00A47EC7">
        <w:rPr>
          <w:szCs w:val="28"/>
        </w:rPr>
        <w:t xml:space="preserve"> salario será progresivo y se indizará al salario mínimo.</w:t>
      </w:r>
      <w:r>
        <w:rPr>
          <w:szCs w:val="28"/>
        </w:rPr>
        <w:t xml:space="preserve"> </w:t>
      </w:r>
      <w:r w:rsidRPr="00A47EC7">
        <w:rPr>
          <w:szCs w:val="28"/>
        </w:rPr>
        <w:t xml:space="preserve"> En ese caso lo paga el empleador (art</w:t>
      </w:r>
      <w:r>
        <w:rPr>
          <w:szCs w:val="28"/>
        </w:rPr>
        <w:t>.</w:t>
      </w:r>
      <w:r w:rsidRPr="00A47EC7">
        <w:rPr>
          <w:szCs w:val="28"/>
        </w:rPr>
        <w:t xml:space="preserve"> 16).</w:t>
      </w:r>
    </w:p>
    <w:p w:rsidR="00DD0682" w:rsidRPr="007F57F4" w:rsidRDefault="00DD0682" w:rsidP="00DD0682">
      <w:pPr>
        <w:pStyle w:val="BodyTextIndent3"/>
        <w:spacing w:after="240"/>
        <w:ind w:left="0"/>
        <w:rPr>
          <w:b/>
          <w:bCs/>
          <w:sz w:val="24"/>
          <w:szCs w:val="28"/>
          <w:lang w:val="es-ES"/>
        </w:rPr>
      </w:pPr>
      <w:r w:rsidRPr="007F57F4">
        <w:rPr>
          <w:b/>
          <w:bCs/>
          <w:sz w:val="24"/>
          <w:szCs w:val="28"/>
          <w:lang w:val="es-ES"/>
        </w:rPr>
        <w:t>Artículo 11</w:t>
      </w:r>
      <w:r>
        <w:rPr>
          <w:b/>
          <w:bCs/>
          <w:sz w:val="24"/>
          <w:szCs w:val="28"/>
          <w:lang w:val="es-ES"/>
        </w:rPr>
        <w:t xml:space="preserve">. </w:t>
      </w:r>
      <w:r w:rsidRPr="007F57F4">
        <w:rPr>
          <w:b/>
          <w:bCs/>
          <w:sz w:val="24"/>
          <w:szCs w:val="28"/>
          <w:lang w:val="es-ES"/>
        </w:rPr>
        <w:t xml:space="preserve"> Derecho a la vivienda y a un nivel de vida adecuado</w:t>
      </w:r>
    </w:p>
    <w:p w:rsidR="00DD0682" w:rsidRDefault="00DD0682" w:rsidP="00DD0682">
      <w:pPr>
        <w:spacing w:after="240"/>
        <w:rPr>
          <w:szCs w:val="28"/>
        </w:rPr>
      </w:pPr>
      <w:r>
        <w:rPr>
          <w:szCs w:val="28"/>
        </w:rPr>
        <w:t>240.</w:t>
      </w:r>
      <w:r>
        <w:rPr>
          <w:szCs w:val="28"/>
        </w:rPr>
        <w:tab/>
      </w:r>
      <w:r w:rsidRPr="00A47EC7">
        <w:rPr>
          <w:szCs w:val="28"/>
        </w:rPr>
        <w:t xml:space="preserve">El Gobierno de Argelia </w:t>
      </w:r>
      <w:r>
        <w:rPr>
          <w:szCs w:val="28"/>
        </w:rPr>
        <w:t>se propone lograr</w:t>
      </w:r>
      <w:r w:rsidRPr="00A47EC7">
        <w:rPr>
          <w:szCs w:val="28"/>
        </w:rPr>
        <w:t xml:space="preserve"> la elevación </w:t>
      </w:r>
      <w:r>
        <w:rPr>
          <w:szCs w:val="28"/>
        </w:rPr>
        <w:t>constante</w:t>
      </w:r>
      <w:r w:rsidRPr="00A47EC7">
        <w:rPr>
          <w:szCs w:val="28"/>
        </w:rPr>
        <w:t xml:space="preserve"> del nivel de vida de los ciudadanos.</w:t>
      </w:r>
      <w:r>
        <w:rPr>
          <w:szCs w:val="28"/>
        </w:rPr>
        <w:t xml:space="preserve"> </w:t>
      </w:r>
      <w:r w:rsidRPr="00A47EC7">
        <w:rPr>
          <w:szCs w:val="28"/>
        </w:rPr>
        <w:t xml:space="preserve"> Esa finalidad exige la distribución equitativa de los beneficios del desarrollo, una asignación racional de los recursos, que debe permitir atender las necesidades de los ciudadanos, y </w:t>
      </w:r>
      <w:r>
        <w:rPr>
          <w:szCs w:val="28"/>
        </w:rPr>
        <w:t>la</w:t>
      </w:r>
      <w:r w:rsidRPr="00A47EC7">
        <w:rPr>
          <w:szCs w:val="28"/>
        </w:rPr>
        <w:t xml:space="preserve"> solidaridad de la nación en pro de las personas desfavorecidas.</w:t>
      </w:r>
    </w:p>
    <w:p w:rsidR="00DD0682" w:rsidRDefault="00DD0682" w:rsidP="00DD0682">
      <w:pPr>
        <w:spacing w:after="240"/>
        <w:rPr>
          <w:szCs w:val="28"/>
        </w:rPr>
      </w:pPr>
      <w:r>
        <w:rPr>
          <w:szCs w:val="28"/>
        </w:rPr>
        <w:t>241.</w:t>
      </w:r>
      <w:r>
        <w:rPr>
          <w:szCs w:val="28"/>
        </w:rPr>
        <w:tab/>
      </w:r>
      <w:r w:rsidRPr="00A47EC7">
        <w:rPr>
          <w:szCs w:val="28"/>
        </w:rPr>
        <w:t xml:space="preserve">En este contexto, Argelia, </w:t>
      </w:r>
      <w:r>
        <w:rPr>
          <w:szCs w:val="28"/>
        </w:rPr>
        <w:t xml:space="preserve">con su </w:t>
      </w:r>
      <w:r w:rsidRPr="00A47EC7">
        <w:rPr>
          <w:szCs w:val="28"/>
        </w:rPr>
        <w:t xml:space="preserve">plan </w:t>
      </w:r>
      <w:r>
        <w:rPr>
          <w:szCs w:val="28"/>
        </w:rPr>
        <w:t xml:space="preserve">2005-2009 </w:t>
      </w:r>
      <w:r w:rsidRPr="00A47EC7">
        <w:rPr>
          <w:szCs w:val="28"/>
        </w:rPr>
        <w:t xml:space="preserve">de apoyo al crecimiento económico y los programas complementarios </w:t>
      </w:r>
      <w:r>
        <w:rPr>
          <w:szCs w:val="28"/>
        </w:rPr>
        <w:t xml:space="preserve">de la región del </w:t>
      </w:r>
      <w:r w:rsidRPr="00A47EC7">
        <w:rPr>
          <w:szCs w:val="28"/>
        </w:rPr>
        <w:t xml:space="preserve">sur y </w:t>
      </w:r>
      <w:r>
        <w:rPr>
          <w:szCs w:val="28"/>
        </w:rPr>
        <w:t>del altiplano, por un valor total de más de </w:t>
      </w:r>
      <w:r w:rsidRPr="00A47EC7">
        <w:rPr>
          <w:szCs w:val="28"/>
        </w:rPr>
        <w:t xml:space="preserve">100.000 millones de </w:t>
      </w:r>
      <w:r>
        <w:rPr>
          <w:szCs w:val="28"/>
        </w:rPr>
        <w:t>dólares de los EE.UU.</w:t>
      </w:r>
      <w:r w:rsidRPr="00A47EC7">
        <w:rPr>
          <w:szCs w:val="28"/>
        </w:rPr>
        <w:t xml:space="preserve">, se propone construir 1.200.000 viviendas </w:t>
      </w:r>
    </w:p>
    <w:p w:rsidR="00DD0682" w:rsidRDefault="00DD0682" w:rsidP="00DD0682">
      <w:pPr>
        <w:spacing w:after="240"/>
        <w:rPr>
          <w:szCs w:val="28"/>
        </w:rPr>
      </w:pPr>
      <w:r>
        <w:rPr>
          <w:szCs w:val="28"/>
        </w:rPr>
        <w:t>242.</w:t>
      </w:r>
      <w:r>
        <w:rPr>
          <w:szCs w:val="28"/>
        </w:rPr>
        <w:tab/>
      </w:r>
      <w:r w:rsidRPr="00A47EC7">
        <w:rPr>
          <w:szCs w:val="28"/>
        </w:rPr>
        <w:t>El sector de la vivienda ha contado con una asignación de 555</w:t>
      </w:r>
      <w:r>
        <w:rPr>
          <w:szCs w:val="28"/>
        </w:rPr>
        <w:t>.000</w:t>
      </w:r>
      <w:r w:rsidRPr="00A47EC7">
        <w:rPr>
          <w:szCs w:val="28"/>
        </w:rPr>
        <w:t xml:space="preserve"> millones de dinares</w:t>
      </w:r>
      <w:r>
        <w:rPr>
          <w:szCs w:val="28"/>
        </w:rPr>
        <w:t>,</w:t>
      </w:r>
      <w:r w:rsidRPr="00A47EC7">
        <w:rPr>
          <w:szCs w:val="28"/>
        </w:rPr>
        <w:t xml:space="preserve"> es decir,</w:t>
      </w:r>
      <w:r>
        <w:rPr>
          <w:szCs w:val="28"/>
        </w:rPr>
        <w:t xml:space="preserve"> unos</w:t>
      </w:r>
      <w:r w:rsidRPr="00A47EC7">
        <w:rPr>
          <w:szCs w:val="28"/>
        </w:rPr>
        <w:t xml:space="preserve"> 5.500 millones de dólares</w:t>
      </w:r>
      <w:r>
        <w:rPr>
          <w:szCs w:val="28"/>
        </w:rPr>
        <w:t>,</w:t>
      </w:r>
      <w:r w:rsidRPr="00A47EC7">
        <w:rPr>
          <w:szCs w:val="28"/>
        </w:rPr>
        <w:t xml:space="preserve"> distribuidos en cinco años.</w:t>
      </w:r>
      <w:r>
        <w:rPr>
          <w:szCs w:val="28"/>
        </w:rPr>
        <w:t xml:space="preserve"> </w:t>
      </w:r>
      <w:r w:rsidRPr="00A47EC7">
        <w:rPr>
          <w:szCs w:val="28"/>
        </w:rPr>
        <w:t xml:space="preserve"> </w:t>
      </w:r>
      <w:r>
        <w:rPr>
          <w:szCs w:val="28"/>
        </w:rPr>
        <w:t xml:space="preserve">Es de señalar </w:t>
      </w:r>
      <w:r w:rsidRPr="00A47EC7">
        <w:rPr>
          <w:szCs w:val="28"/>
        </w:rPr>
        <w:t xml:space="preserve">que para el período </w:t>
      </w:r>
      <w:r>
        <w:rPr>
          <w:szCs w:val="28"/>
        </w:rPr>
        <w:t xml:space="preserve">de 1999 a </w:t>
      </w:r>
      <w:r w:rsidRPr="00A47EC7">
        <w:rPr>
          <w:szCs w:val="28"/>
        </w:rPr>
        <w:t>2004</w:t>
      </w:r>
      <w:r>
        <w:rPr>
          <w:szCs w:val="28"/>
        </w:rPr>
        <w:t xml:space="preserve"> la construcción </w:t>
      </w:r>
      <w:r w:rsidRPr="00A47EC7">
        <w:rPr>
          <w:szCs w:val="28"/>
        </w:rPr>
        <w:t>de viviendas se incrementó en 810.000 unidades</w:t>
      </w:r>
      <w:r>
        <w:rPr>
          <w:szCs w:val="28"/>
        </w:rPr>
        <w:t xml:space="preserve">, tras lo cual la tasa </w:t>
      </w:r>
      <w:r w:rsidRPr="00A47EC7">
        <w:rPr>
          <w:szCs w:val="28"/>
        </w:rPr>
        <w:t xml:space="preserve">de ocupación pasó de 7,2 </w:t>
      </w:r>
      <w:r>
        <w:rPr>
          <w:szCs w:val="28"/>
        </w:rPr>
        <w:t>personas por unidad de vivienda en 1998 a 5,34 a fines de </w:t>
      </w:r>
      <w:r w:rsidRPr="00A47EC7">
        <w:rPr>
          <w:szCs w:val="28"/>
        </w:rPr>
        <w:t>2005 y llegará</w:t>
      </w:r>
      <w:r>
        <w:rPr>
          <w:szCs w:val="28"/>
        </w:rPr>
        <w:t xml:space="preserve"> a ser</w:t>
      </w:r>
      <w:r w:rsidRPr="00A47EC7">
        <w:rPr>
          <w:szCs w:val="28"/>
        </w:rPr>
        <w:t xml:space="preserve">, a fines de 2009, </w:t>
      </w:r>
      <w:r>
        <w:rPr>
          <w:szCs w:val="28"/>
        </w:rPr>
        <w:t>de</w:t>
      </w:r>
      <w:r w:rsidRPr="00A47EC7">
        <w:rPr>
          <w:szCs w:val="28"/>
        </w:rPr>
        <w:t xml:space="preserve"> menos de </w:t>
      </w:r>
      <w:r>
        <w:rPr>
          <w:szCs w:val="28"/>
        </w:rPr>
        <w:t>5</w:t>
      </w:r>
      <w:r w:rsidRPr="00A47EC7">
        <w:rPr>
          <w:szCs w:val="28"/>
        </w:rPr>
        <w:t>.</w:t>
      </w:r>
    </w:p>
    <w:p w:rsidR="00DD0682" w:rsidRDefault="00DD0682" w:rsidP="00DD0682">
      <w:pPr>
        <w:spacing w:after="240"/>
        <w:rPr>
          <w:szCs w:val="28"/>
        </w:rPr>
      </w:pPr>
      <w:r>
        <w:rPr>
          <w:szCs w:val="28"/>
        </w:rPr>
        <w:t>243.</w:t>
      </w:r>
      <w:r>
        <w:rPr>
          <w:szCs w:val="28"/>
        </w:rPr>
        <w:tab/>
      </w:r>
      <w:r w:rsidRPr="00A47EC7">
        <w:rPr>
          <w:szCs w:val="28"/>
        </w:rPr>
        <w:t xml:space="preserve">El Gobierno ha seguido facilitando a las familias de bajos ingresos un apoyo directo y total asignándoles viviendas sociales en alquiler. </w:t>
      </w:r>
      <w:r>
        <w:rPr>
          <w:szCs w:val="28"/>
        </w:rPr>
        <w:t xml:space="preserve"> </w:t>
      </w:r>
      <w:r w:rsidRPr="00A47EC7">
        <w:rPr>
          <w:szCs w:val="28"/>
        </w:rPr>
        <w:t xml:space="preserve">También ha puesto a disposición una serie de viviendas y un mecanismo de ayuda para las </w:t>
      </w:r>
      <w:r>
        <w:rPr>
          <w:szCs w:val="28"/>
        </w:rPr>
        <w:t xml:space="preserve">familias </w:t>
      </w:r>
      <w:r w:rsidRPr="00A47EC7">
        <w:rPr>
          <w:szCs w:val="28"/>
        </w:rPr>
        <w:t xml:space="preserve">que </w:t>
      </w:r>
      <w:r>
        <w:rPr>
          <w:szCs w:val="28"/>
        </w:rPr>
        <w:t xml:space="preserve">aspiran a </w:t>
      </w:r>
      <w:r w:rsidRPr="00A47EC7">
        <w:rPr>
          <w:szCs w:val="28"/>
        </w:rPr>
        <w:t>acceder a la propiedad en el medio rural o urbano.</w:t>
      </w:r>
    </w:p>
    <w:p w:rsidR="00DD0682" w:rsidRDefault="00DD0682" w:rsidP="00DD0682">
      <w:pPr>
        <w:spacing w:after="240"/>
        <w:rPr>
          <w:szCs w:val="28"/>
        </w:rPr>
      </w:pPr>
      <w:r>
        <w:rPr>
          <w:szCs w:val="28"/>
        </w:rPr>
        <w:t>244.</w:t>
      </w:r>
      <w:r>
        <w:rPr>
          <w:szCs w:val="28"/>
        </w:rPr>
        <w:tab/>
      </w:r>
      <w:r w:rsidRPr="00A47EC7">
        <w:rPr>
          <w:szCs w:val="28"/>
        </w:rPr>
        <w:t>En cuanto a las actividades de solidaridad nacional, el Estado ha formulado una política de apoyo directo a los ingresos de las personas y las familias desfavorecida</w:t>
      </w:r>
      <w:r>
        <w:rPr>
          <w:szCs w:val="28"/>
        </w:rPr>
        <w:t>s</w:t>
      </w:r>
      <w:r w:rsidRPr="00A47EC7">
        <w:rPr>
          <w:szCs w:val="28"/>
        </w:rPr>
        <w:t xml:space="preserve">. </w:t>
      </w:r>
      <w:r>
        <w:rPr>
          <w:szCs w:val="28"/>
        </w:rPr>
        <w:t xml:space="preserve"> </w:t>
      </w:r>
      <w:r w:rsidRPr="00A47EC7">
        <w:rPr>
          <w:szCs w:val="28"/>
        </w:rPr>
        <w:t>Esa p</w:t>
      </w:r>
      <w:r>
        <w:rPr>
          <w:szCs w:val="28"/>
        </w:rPr>
        <w:t>olítica se basa en los elementos expuestos a continuación.</w:t>
      </w:r>
    </w:p>
    <w:p w:rsidR="00DD0682" w:rsidRPr="00ED55D6" w:rsidRDefault="00DD0682" w:rsidP="00DD0682">
      <w:pPr>
        <w:spacing w:after="240"/>
        <w:jc w:val="center"/>
        <w:rPr>
          <w:b/>
          <w:szCs w:val="28"/>
        </w:rPr>
      </w:pPr>
      <w:r w:rsidRPr="00ED55D6">
        <w:rPr>
          <w:b/>
          <w:bCs/>
          <w:szCs w:val="28"/>
        </w:rPr>
        <w:t>A.  La red de asistencia social</w:t>
      </w:r>
    </w:p>
    <w:p w:rsidR="00DD0682" w:rsidRDefault="00DD0682" w:rsidP="00DD0682">
      <w:pPr>
        <w:spacing w:after="240"/>
        <w:rPr>
          <w:szCs w:val="28"/>
        </w:rPr>
      </w:pPr>
      <w:r>
        <w:rPr>
          <w:szCs w:val="28"/>
        </w:rPr>
        <w:t>245.</w:t>
      </w:r>
      <w:r>
        <w:rPr>
          <w:szCs w:val="28"/>
        </w:rPr>
        <w:tab/>
      </w:r>
      <w:r w:rsidRPr="00A47EC7">
        <w:rPr>
          <w:szCs w:val="28"/>
        </w:rPr>
        <w:t xml:space="preserve">La red de asistencia social, en cuyo marco se pagan dos subvenciones con cargo al presupuesto del Estado: </w:t>
      </w:r>
    </w:p>
    <w:p w:rsidR="00DD0682" w:rsidRDefault="00DD0682" w:rsidP="00DD0682">
      <w:pPr>
        <w:spacing w:after="240"/>
        <w:ind w:left="1134" w:hanging="567"/>
        <w:rPr>
          <w:szCs w:val="28"/>
          <w:u w:val="single"/>
        </w:rPr>
      </w:pPr>
      <w:r>
        <w:rPr>
          <w:szCs w:val="28"/>
        </w:rPr>
        <w:t>a)</w:t>
      </w:r>
      <w:r>
        <w:rPr>
          <w:szCs w:val="28"/>
        </w:rPr>
        <w:tab/>
      </w:r>
      <w:r w:rsidRPr="001D0F6A">
        <w:rPr>
          <w:szCs w:val="28"/>
        </w:rPr>
        <w:t>El subsidio global de solidaridad</w:t>
      </w:r>
      <w:r w:rsidRPr="00A47EC7">
        <w:rPr>
          <w:szCs w:val="28"/>
        </w:rPr>
        <w:t>, que se concede a las personas de edad y a las personas con discapacidad que no pueden trabajar, a los cabezas de familia y a las personas que viven solas.</w:t>
      </w:r>
      <w:r>
        <w:rPr>
          <w:szCs w:val="28"/>
        </w:rPr>
        <w:t xml:space="preserve"> </w:t>
      </w:r>
      <w:r w:rsidRPr="00A47EC7">
        <w:rPr>
          <w:szCs w:val="28"/>
        </w:rPr>
        <w:t xml:space="preserve"> Las sumas desembolsadas por este concepto han beneficiado a 7.141.707 personas y, en el período </w:t>
      </w:r>
      <w:r>
        <w:rPr>
          <w:szCs w:val="28"/>
        </w:rPr>
        <w:t xml:space="preserve">de </w:t>
      </w:r>
      <w:r w:rsidRPr="00A47EC7">
        <w:rPr>
          <w:szCs w:val="28"/>
        </w:rPr>
        <w:t>1999</w:t>
      </w:r>
      <w:r>
        <w:rPr>
          <w:szCs w:val="28"/>
        </w:rPr>
        <w:t xml:space="preserve"> a </w:t>
      </w:r>
      <w:r w:rsidR="006E1814">
        <w:rPr>
          <w:szCs w:val="28"/>
        </w:rPr>
        <w:t>2006, ascendieron a </w:t>
      </w:r>
      <w:r w:rsidRPr="00A47EC7">
        <w:rPr>
          <w:szCs w:val="28"/>
        </w:rPr>
        <w:t xml:space="preserve">76.386.938.080 dinares, es decir, a </w:t>
      </w:r>
      <w:r>
        <w:rPr>
          <w:szCs w:val="28"/>
        </w:rPr>
        <w:t xml:space="preserve">unos </w:t>
      </w:r>
      <w:r w:rsidRPr="00A47EC7">
        <w:rPr>
          <w:szCs w:val="28"/>
        </w:rPr>
        <w:t>1.000 millones de dólares.</w:t>
      </w:r>
    </w:p>
    <w:p w:rsidR="00DD0682" w:rsidRDefault="00DD0682" w:rsidP="00DD0682">
      <w:pPr>
        <w:spacing w:after="240"/>
        <w:ind w:left="1134" w:hanging="567"/>
        <w:rPr>
          <w:szCs w:val="28"/>
        </w:rPr>
      </w:pPr>
      <w:r>
        <w:rPr>
          <w:szCs w:val="28"/>
        </w:rPr>
        <w:t>b)</w:t>
      </w:r>
      <w:r>
        <w:rPr>
          <w:szCs w:val="28"/>
        </w:rPr>
        <w:tab/>
      </w:r>
      <w:r w:rsidRPr="00A47EC7">
        <w:rPr>
          <w:szCs w:val="28"/>
        </w:rPr>
        <w:t>El subsidio por actividad de interés general, que se c</w:t>
      </w:r>
      <w:r>
        <w:rPr>
          <w:szCs w:val="28"/>
        </w:rPr>
        <w:t>oncede a las personas y cabezas </w:t>
      </w:r>
      <w:r w:rsidRPr="00A47EC7">
        <w:rPr>
          <w:szCs w:val="28"/>
        </w:rPr>
        <w:t>de familia sin ingresos a cambio de su participación en actividades de utilidad pública organizadas por las comunidades loca</w:t>
      </w:r>
      <w:r>
        <w:rPr>
          <w:szCs w:val="28"/>
        </w:rPr>
        <w:t>les a razón de 8 horas al día y </w:t>
      </w:r>
      <w:r w:rsidRPr="00A47EC7">
        <w:rPr>
          <w:szCs w:val="28"/>
        </w:rPr>
        <w:t xml:space="preserve">22 días al mes. </w:t>
      </w:r>
      <w:r>
        <w:rPr>
          <w:szCs w:val="28"/>
        </w:rPr>
        <w:t xml:space="preserve"> </w:t>
      </w:r>
      <w:r w:rsidRPr="00A47EC7">
        <w:rPr>
          <w:szCs w:val="28"/>
        </w:rPr>
        <w:t xml:space="preserve">Los créditos movilizados para esta actividad ascendieron en el período </w:t>
      </w:r>
      <w:r>
        <w:rPr>
          <w:szCs w:val="28"/>
        </w:rPr>
        <w:t xml:space="preserve">de </w:t>
      </w:r>
      <w:r w:rsidRPr="00A47EC7">
        <w:rPr>
          <w:szCs w:val="28"/>
        </w:rPr>
        <w:t>1999</w:t>
      </w:r>
      <w:r>
        <w:rPr>
          <w:szCs w:val="28"/>
        </w:rPr>
        <w:t xml:space="preserve"> a </w:t>
      </w:r>
      <w:r w:rsidRPr="00A47EC7">
        <w:rPr>
          <w:szCs w:val="28"/>
        </w:rPr>
        <w:t xml:space="preserve">2006 a 51.400 millones de dinares, </w:t>
      </w:r>
      <w:r>
        <w:rPr>
          <w:szCs w:val="28"/>
        </w:rPr>
        <w:t>suma equivalente a </w:t>
      </w:r>
      <w:r w:rsidRPr="00A47EC7">
        <w:rPr>
          <w:szCs w:val="28"/>
        </w:rPr>
        <w:t>676.315.789</w:t>
      </w:r>
      <w:r>
        <w:rPr>
          <w:szCs w:val="28"/>
        </w:rPr>
        <w:t> </w:t>
      </w:r>
      <w:r w:rsidRPr="00A47EC7">
        <w:rPr>
          <w:szCs w:val="28"/>
        </w:rPr>
        <w:t xml:space="preserve">dólares. </w:t>
      </w:r>
      <w:r>
        <w:rPr>
          <w:szCs w:val="28"/>
        </w:rPr>
        <w:t xml:space="preserve"> </w:t>
      </w:r>
      <w:r w:rsidRPr="00A47EC7">
        <w:rPr>
          <w:szCs w:val="28"/>
        </w:rPr>
        <w:t xml:space="preserve">El 38,8% de los beneficiarios de esa prestación </w:t>
      </w:r>
      <w:r>
        <w:rPr>
          <w:szCs w:val="28"/>
        </w:rPr>
        <w:t>fueron</w:t>
      </w:r>
      <w:r w:rsidRPr="00A47EC7">
        <w:rPr>
          <w:szCs w:val="28"/>
        </w:rPr>
        <w:t xml:space="preserve"> mujeres. </w:t>
      </w:r>
    </w:p>
    <w:p w:rsidR="00DD0682" w:rsidRPr="00ED55D6" w:rsidRDefault="00DD0682" w:rsidP="00DD0682">
      <w:pPr>
        <w:spacing w:after="240"/>
        <w:jc w:val="center"/>
        <w:rPr>
          <w:b/>
          <w:szCs w:val="28"/>
        </w:rPr>
      </w:pPr>
      <w:r w:rsidRPr="00ED55D6">
        <w:rPr>
          <w:b/>
          <w:bCs/>
          <w:szCs w:val="28"/>
        </w:rPr>
        <w:t>B.  La ayuda social</w:t>
      </w:r>
    </w:p>
    <w:p w:rsidR="00DD0682" w:rsidRDefault="00DD0682" w:rsidP="00DD0682">
      <w:pPr>
        <w:spacing w:after="240"/>
        <w:rPr>
          <w:szCs w:val="28"/>
        </w:rPr>
      </w:pPr>
      <w:r>
        <w:rPr>
          <w:szCs w:val="28"/>
        </w:rPr>
        <w:t>246.</w:t>
      </w:r>
      <w:r>
        <w:rPr>
          <w:szCs w:val="28"/>
        </w:rPr>
        <w:tab/>
      </w:r>
      <w:r w:rsidRPr="00A47EC7">
        <w:rPr>
          <w:szCs w:val="28"/>
        </w:rPr>
        <w:t>La ayuda social, que beneficia a las mujeres y las niñas, así como a los niños que precisan ser asistidos a causa de su salud, a las personas discapacitadas y a las personas de edad.</w:t>
      </w:r>
      <w:r>
        <w:rPr>
          <w:szCs w:val="28"/>
        </w:rPr>
        <w:t xml:space="preserve">  Los </w:t>
      </w:r>
      <w:r w:rsidRPr="00A47EC7">
        <w:rPr>
          <w:szCs w:val="28"/>
        </w:rPr>
        <w:t xml:space="preserve">créditos otorgados a las 856.175 personas con discapacidad para el período </w:t>
      </w:r>
      <w:r>
        <w:rPr>
          <w:szCs w:val="28"/>
        </w:rPr>
        <w:t xml:space="preserve">de </w:t>
      </w:r>
      <w:r w:rsidRPr="00A47EC7">
        <w:rPr>
          <w:szCs w:val="28"/>
        </w:rPr>
        <w:t>1999</w:t>
      </w:r>
      <w:r>
        <w:rPr>
          <w:szCs w:val="28"/>
        </w:rPr>
        <w:t xml:space="preserve"> a </w:t>
      </w:r>
      <w:r w:rsidRPr="00A47EC7">
        <w:rPr>
          <w:szCs w:val="28"/>
        </w:rPr>
        <w:t>2006 ascendieron a 33.765.314.544 dinares, de los que 3.184.349.472 dinares correspondieron a la seguridad social.</w:t>
      </w:r>
    </w:p>
    <w:p w:rsidR="00DD0682" w:rsidRDefault="00DD0682" w:rsidP="00DD0682">
      <w:pPr>
        <w:spacing w:after="240"/>
        <w:rPr>
          <w:szCs w:val="28"/>
        </w:rPr>
      </w:pPr>
      <w:r>
        <w:rPr>
          <w:szCs w:val="28"/>
        </w:rPr>
        <w:t>247.</w:t>
      </w:r>
      <w:r>
        <w:rPr>
          <w:szCs w:val="28"/>
        </w:rPr>
        <w:tab/>
      </w:r>
      <w:r w:rsidRPr="00A47EC7">
        <w:rPr>
          <w:szCs w:val="28"/>
        </w:rPr>
        <w:t>Las prestaciones sociales del Estado al</w:t>
      </w:r>
      <w:r>
        <w:rPr>
          <w:szCs w:val="28"/>
        </w:rPr>
        <w:t xml:space="preserve"> conjunto </w:t>
      </w:r>
      <w:r w:rsidRPr="00A47EC7">
        <w:rPr>
          <w:szCs w:val="28"/>
        </w:rPr>
        <w:t xml:space="preserve">de los sectores durante el primer programa de apoyo a la reactivación económica (1999-2006) se estiman en 34.762.837.544 dinares, </w:t>
      </w:r>
      <w:r>
        <w:rPr>
          <w:szCs w:val="28"/>
        </w:rPr>
        <w:t>suma equivalente a</w:t>
      </w:r>
      <w:r w:rsidRPr="00A47EC7">
        <w:rPr>
          <w:szCs w:val="28"/>
        </w:rPr>
        <w:t xml:space="preserve"> 45.740.000 dólares, y su finalidad es la lucha contra la pobreza, la lucha contra el desempleo, el equilibrio regional y la revitalización de los espacios.</w:t>
      </w:r>
    </w:p>
    <w:p w:rsidR="00DD0682" w:rsidRDefault="00DD0682" w:rsidP="00DD0682">
      <w:pPr>
        <w:spacing w:after="240"/>
        <w:rPr>
          <w:szCs w:val="28"/>
        </w:rPr>
      </w:pPr>
      <w:r>
        <w:rPr>
          <w:szCs w:val="28"/>
        </w:rPr>
        <w:t>248.</w:t>
      </w:r>
      <w:r>
        <w:rPr>
          <w:szCs w:val="28"/>
        </w:rPr>
        <w:tab/>
      </w:r>
      <w:r w:rsidRPr="00A47EC7">
        <w:rPr>
          <w:szCs w:val="28"/>
        </w:rPr>
        <w:t xml:space="preserve">Cabe mencionar que la incidencia de la pobreza, que aumentó entre 1988 y 1995, disminuyó </w:t>
      </w:r>
      <w:r>
        <w:rPr>
          <w:szCs w:val="28"/>
        </w:rPr>
        <w:t xml:space="preserve">luego </w:t>
      </w:r>
      <w:r w:rsidRPr="00A47EC7">
        <w:rPr>
          <w:szCs w:val="28"/>
        </w:rPr>
        <w:t>de manera considerable</w:t>
      </w:r>
      <w:r>
        <w:rPr>
          <w:szCs w:val="28"/>
        </w:rPr>
        <w:t xml:space="preserve">, al </w:t>
      </w:r>
      <w:r w:rsidRPr="00A47EC7">
        <w:rPr>
          <w:szCs w:val="28"/>
        </w:rPr>
        <w:t>14,1% en 1995</w:t>
      </w:r>
      <w:r>
        <w:rPr>
          <w:szCs w:val="28"/>
        </w:rPr>
        <w:t>, al 12,1% en 2000 y al 5,7% en </w:t>
      </w:r>
      <w:r w:rsidRPr="00A47EC7">
        <w:rPr>
          <w:szCs w:val="28"/>
        </w:rPr>
        <w:t>2005</w:t>
      </w:r>
      <w:r>
        <w:rPr>
          <w:szCs w:val="28"/>
        </w:rPr>
        <w:t>, gracias a:</w:t>
      </w:r>
    </w:p>
    <w:p w:rsidR="00DD0682" w:rsidRDefault="00DD0682" w:rsidP="00DD0682">
      <w:pPr>
        <w:spacing w:after="240"/>
        <w:ind w:left="1134" w:hanging="567"/>
        <w:rPr>
          <w:szCs w:val="28"/>
        </w:rPr>
      </w:pPr>
      <w:r w:rsidRPr="00A47EC7">
        <w:rPr>
          <w:szCs w:val="28"/>
        </w:rPr>
        <w:t>a)</w:t>
      </w:r>
      <w:r>
        <w:rPr>
          <w:szCs w:val="28"/>
        </w:rPr>
        <w:tab/>
        <w:t xml:space="preserve">Las </w:t>
      </w:r>
      <w:r w:rsidRPr="00A47EC7">
        <w:rPr>
          <w:szCs w:val="28"/>
        </w:rPr>
        <w:t>transferencias en forma monetaria, que son los gastos relacionados con la ayuda a la educación y a la formación (becas, obras universitarias), las medidas de solidaridad y de asistencia destinadas a los sectores sociales desfavorecidos (red social, empleo de jóvenes)</w:t>
      </w:r>
      <w:r>
        <w:rPr>
          <w:szCs w:val="28"/>
        </w:rPr>
        <w:t>,</w:t>
      </w:r>
      <w:r w:rsidRPr="00A47EC7">
        <w:rPr>
          <w:szCs w:val="28"/>
        </w:rPr>
        <w:t xml:space="preserve"> </w:t>
      </w:r>
      <w:r>
        <w:rPr>
          <w:szCs w:val="28"/>
        </w:rPr>
        <w:t xml:space="preserve">las prestaciones familiares y las diversas clases de </w:t>
      </w:r>
      <w:r w:rsidRPr="00A47EC7">
        <w:rPr>
          <w:szCs w:val="28"/>
        </w:rPr>
        <w:t>pensiones</w:t>
      </w:r>
      <w:r>
        <w:rPr>
          <w:szCs w:val="28"/>
        </w:rPr>
        <w:t>;</w:t>
      </w:r>
    </w:p>
    <w:p w:rsidR="00DD0682" w:rsidRPr="006E1814" w:rsidRDefault="00DD0682" w:rsidP="00DD0682">
      <w:pPr>
        <w:spacing w:after="240"/>
        <w:ind w:left="1134" w:hanging="567"/>
        <w:rPr>
          <w:spacing w:val="2"/>
          <w:szCs w:val="28"/>
        </w:rPr>
      </w:pPr>
      <w:r w:rsidRPr="006E1814">
        <w:rPr>
          <w:spacing w:val="2"/>
          <w:szCs w:val="28"/>
        </w:rPr>
        <w:t>b)</w:t>
      </w:r>
      <w:r w:rsidRPr="006E1814">
        <w:rPr>
          <w:spacing w:val="2"/>
          <w:szCs w:val="28"/>
        </w:rPr>
        <w:tab/>
        <w:t>Las transferencias no monetarias, a saber, los gastos de sostenimiento de los precios y las subvenciones al sector sanitario y a los establecimientos de protección social;</w:t>
      </w:r>
    </w:p>
    <w:p w:rsidR="00DD0682" w:rsidRDefault="00DD0682" w:rsidP="00DD0682">
      <w:pPr>
        <w:spacing w:after="240"/>
        <w:ind w:left="1134" w:hanging="567"/>
        <w:rPr>
          <w:szCs w:val="28"/>
        </w:rPr>
      </w:pPr>
      <w:r>
        <w:rPr>
          <w:szCs w:val="28"/>
        </w:rPr>
        <w:t>c)</w:t>
      </w:r>
      <w:r>
        <w:rPr>
          <w:szCs w:val="28"/>
        </w:rPr>
        <w:tab/>
        <w:t xml:space="preserve">Las </w:t>
      </w:r>
      <w:r w:rsidRPr="00A47EC7">
        <w:rPr>
          <w:szCs w:val="28"/>
        </w:rPr>
        <w:t>transferencias en concepto de prestaciones de la seguridad social, así como las obras sociales de las empresas y de las colectividades locales.</w:t>
      </w:r>
    </w:p>
    <w:p w:rsidR="00DD0682" w:rsidRPr="00E771AB" w:rsidRDefault="00DD0682" w:rsidP="00DD0682">
      <w:pPr>
        <w:spacing w:after="240"/>
        <w:jc w:val="center"/>
        <w:rPr>
          <w:b/>
          <w:szCs w:val="28"/>
        </w:rPr>
      </w:pPr>
      <w:r w:rsidRPr="00E771AB">
        <w:rPr>
          <w:b/>
          <w:bCs/>
          <w:szCs w:val="28"/>
        </w:rPr>
        <w:t>C.  El acceso a la atención sanitaria</w:t>
      </w:r>
    </w:p>
    <w:p w:rsidR="00DD0682" w:rsidRDefault="00DD0682" w:rsidP="00DD0682">
      <w:pPr>
        <w:spacing w:after="240"/>
        <w:rPr>
          <w:szCs w:val="28"/>
        </w:rPr>
      </w:pPr>
      <w:r>
        <w:rPr>
          <w:szCs w:val="28"/>
        </w:rPr>
        <w:t>249.</w:t>
      </w:r>
      <w:r>
        <w:rPr>
          <w:szCs w:val="28"/>
        </w:rPr>
        <w:tab/>
      </w:r>
      <w:r w:rsidRPr="00A47EC7">
        <w:rPr>
          <w:szCs w:val="28"/>
        </w:rPr>
        <w:t>Del acceso a la atención sanitaria se benefician sobre todo las personas</w:t>
      </w:r>
      <w:r>
        <w:rPr>
          <w:szCs w:val="28"/>
        </w:rPr>
        <w:t xml:space="preserve"> dis</w:t>
      </w:r>
      <w:r w:rsidRPr="00A47EC7">
        <w:rPr>
          <w:szCs w:val="28"/>
        </w:rPr>
        <w:t>capacitadas y los beneficiarios de la red social afiliados a la seguridad social. El pago de las cotizaciones corre exclusivamente a cargo del Estado. A este respecto:</w:t>
      </w:r>
    </w:p>
    <w:p w:rsidR="00DD0682" w:rsidRPr="00A47EC7" w:rsidRDefault="00DD0682" w:rsidP="00DD0682">
      <w:pPr>
        <w:spacing w:after="240"/>
        <w:ind w:left="1134" w:hanging="567"/>
        <w:rPr>
          <w:szCs w:val="28"/>
        </w:rPr>
      </w:pPr>
      <w:r>
        <w:rPr>
          <w:szCs w:val="28"/>
        </w:rPr>
        <w:t>a)</w:t>
      </w:r>
      <w:r>
        <w:rPr>
          <w:szCs w:val="28"/>
        </w:rPr>
        <w:tab/>
      </w:r>
      <w:r w:rsidRPr="00A47EC7">
        <w:rPr>
          <w:szCs w:val="28"/>
        </w:rPr>
        <w:t>La Ley Nº 83-11</w:t>
      </w:r>
      <w:r>
        <w:rPr>
          <w:szCs w:val="28"/>
        </w:rPr>
        <w:t>,</w:t>
      </w:r>
      <w:r w:rsidRPr="00A47EC7">
        <w:rPr>
          <w:szCs w:val="28"/>
        </w:rPr>
        <w:t xml:space="preserve"> relativa a los seguros sociales</w:t>
      </w:r>
      <w:r>
        <w:rPr>
          <w:szCs w:val="28"/>
        </w:rPr>
        <w:t>,</w:t>
      </w:r>
      <w:r w:rsidRPr="00A47EC7">
        <w:rPr>
          <w:szCs w:val="28"/>
        </w:rPr>
        <w:t xml:space="preserve"> establece el principio de que toda persona discapacitada que no ejerza ninguna actividad profesional debe beneficiarse de la seguridad social. Así, los discapacitados son asegurados sociales y acceden a las prestaciones en especie. La cotización por cada discapacitado es el 5% del salario mínimo nacional garantizado.</w:t>
      </w:r>
    </w:p>
    <w:p w:rsidR="00DD0682" w:rsidRDefault="00DD0682" w:rsidP="00DD0682">
      <w:pPr>
        <w:spacing w:after="240"/>
        <w:ind w:left="1134" w:hanging="567"/>
        <w:rPr>
          <w:szCs w:val="28"/>
        </w:rPr>
      </w:pPr>
      <w:r w:rsidRPr="00A47EC7">
        <w:rPr>
          <w:szCs w:val="28"/>
        </w:rPr>
        <w:t>b)</w:t>
      </w:r>
      <w:r>
        <w:rPr>
          <w:szCs w:val="28"/>
        </w:rPr>
        <w:tab/>
      </w:r>
      <w:r w:rsidRPr="00A47EC7">
        <w:rPr>
          <w:szCs w:val="28"/>
        </w:rPr>
        <w:t xml:space="preserve">El Fondo de Desarrollo Social financia la cotización </w:t>
      </w:r>
      <w:r>
        <w:rPr>
          <w:szCs w:val="28"/>
        </w:rPr>
        <w:t xml:space="preserve">a la seguridad social que pagan </w:t>
      </w:r>
      <w:r w:rsidRPr="00A47EC7">
        <w:rPr>
          <w:szCs w:val="28"/>
        </w:rPr>
        <w:t>los beneficiarios de la red social</w:t>
      </w:r>
      <w:r>
        <w:rPr>
          <w:szCs w:val="28"/>
        </w:rPr>
        <w:t>,</w:t>
      </w:r>
      <w:r w:rsidRPr="00A47EC7">
        <w:rPr>
          <w:szCs w:val="28"/>
        </w:rPr>
        <w:t xml:space="preserve"> a razón del 6% del salario mínimo nacional garantizado. </w:t>
      </w:r>
    </w:p>
    <w:p w:rsidR="00DD0682" w:rsidRDefault="00DD0682" w:rsidP="00DD0682">
      <w:pPr>
        <w:spacing w:after="240"/>
        <w:ind w:left="1134" w:hanging="567"/>
        <w:rPr>
          <w:szCs w:val="28"/>
        </w:rPr>
      </w:pPr>
      <w:r>
        <w:rPr>
          <w:szCs w:val="28"/>
        </w:rPr>
        <w:t>c)</w:t>
      </w:r>
      <w:r>
        <w:rPr>
          <w:szCs w:val="28"/>
        </w:rPr>
        <w:tab/>
      </w:r>
      <w:r w:rsidRPr="00A47EC7">
        <w:rPr>
          <w:szCs w:val="28"/>
        </w:rPr>
        <w:t xml:space="preserve">A los enfermos crónicos faltos de recursos que no tienen </w:t>
      </w:r>
      <w:r>
        <w:rPr>
          <w:szCs w:val="28"/>
        </w:rPr>
        <w:t xml:space="preserve">un </w:t>
      </w:r>
      <w:r w:rsidRPr="00A47EC7">
        <w:rPr>
          <w:szCs w:val="28"/>
        </w:rPr>
        <w:t xml:space="preserve">seguro social se les proporcionan gratuitamente los medicamentos </w:t>
      </w:r>
      <w:r>
        <w:rPr>
          <w:szCs w:val="28"/>
        </w:rPr>
        <w:t>que necesiten</w:t>
      </w:r>
      <w:r w:rsidRPr="00A47EC7">
        <w:rPr>
          <w:szCs w:val="28"/>
        </w:rPr>
        <w:t>.</w:t>
      </w:r>
      <w:r>
        <w:rPr>
          <w:szCs w:val="28"/>
        </w:rPr>
        <w:t xml:space="preserve"> </w:t>
      </w:r>
      <w:r w:rsidRPr="00A47EC7">
        <w:rPr>
          <w:szCs w:val="28"/>
        </w:rPr>
        <w:t xml:space="preserve"> De esta forma,</w:t>
      </w:r>
      <w:r>
        <w:rPr>
          <w:szCs w:val="28"/>
        </w:rPr>
        <w:t> 73 </w:t>
      </w:r>
      <w:r w:rsidRPr="00A47EC7">
        <w:rPr>
          <w:szCs w:val="28"/>
        </w:rPr>
        <w:t xml:space="preserve">medicamentos para el tratamiento de </w:t>
      </w:r>
      <w:r>
        <w:rPr>
          <w:szCs w:val="28"/>
        </w:rPr>
        <w:t>8</w:t>
      </w:r>
      <w:r w:rsidRPr="00A47EC7">
        <w:rPr>
          <w:szCs w:val="28"/>
        </w:rPr>
        <w:t xml:space="preserve"> patologías (cáncer, asma, trastornos mentales, endometriosis, enfermedad del m</w:t>
      </w:r>
      <w:r>
        <w:rPr>
          <w:szCs w:val="28"/>
        </w:rPr>
        <w:t>etabolismo, diabetes, etc.) son </w:t>
      </w:r>
      <w:r w:rsidRPr="00A47EC7">
        <w:rPr>
          <w:szCs w:val="28"/>
        </w:rPr>
        <w:t xml:space="preserve">dispensados gratuitamente. </w:t>
      </w:r>
      <w:r>
        <w:rPr>
          <w:szCs w:val="28"/>
        </w:rPr>
        <w:t xml:space="preserve"> </w:t>
      </w:r>
      <w:r w:rsidRPr="00A47EC7">
        <w:rPr>
          <w:szCs w:val="28"/>
        </w:rPr>
        <w:t>La suma glob</w:t>
      </w:r>
      <w:r>
        <w:rPr>
          <w:szCs w:val="28"/>
        </w:rPr>
        <w:t>al de esta operación asciende a </w:t>
      </w:r>
      <w:r w:rsidRPr="00A47EC7">
        <w:rPr>
          <w:szCs w:val="28"/>
        </w:rPr>
        <w:t>417.000</w:t>
      </w:r>
      <w:r>
        <w:rPr>
          <w:szCs w:val="28"/>
        </w:rPr>
        <w:t> </w:t>
      </w:r>
      <w:r w:rsidRPr="00A47EC7">
        <w:rPr>
          <w:szCs w:val="28"/>
        </w:rPr>
        <w:t>dólares de los EE.UU.</w:t>
      </w:r>
    </w:p>
    <w:p w:rsidR="00DD0682" w:rsidRDefault="00DD0682" w:rsidP="00DD0682">
      <w:pPr>
        <w:spacing w:after="240"/>
        <w:ind w:left="1134" w:hanging="567"/>
        <w:rPr>
          <w:szCs w:val="28"/>
        </w:rPr>
      </w:pPr>
      <w:r>
        <w:rPr>
          <w:szCs w:val="28"/>
        </w:rPr>
        <w:t>d)</w:t>
      </w:r>
      <w:r>
        <w:rPr>
          <w:szCs w:val="28"/>
        </w:rPr>
        <w:tab/>
      </w:r>
      <w:r w:rsidRPr="00A47EC7">
        <w:rPr>
          <w:szCs w:val="28"/>
        </w:rPr>
        <w:t xml:space="preserve">En materia de transportes, las personas minusválidas sin ingresos utilizan los transportes ferroviarios y de </w:t>
      </w:r>
      <w:r>
        <w:rPr>
          <w:szCs w:val="28"/>
        </w:rPr>
        <w:t xml:space="preserve">las redes </w:t>
      </w:r>
      <w:r w:rsidRPr="00A47EC7">
        <w:rPr>
          <w:szCs w:val="28"/>
        </w:rPr>
        <w:t>urban</w:t>
      </w:r>
      <w:r>
        <w:rPr>
          <w:szCs w:val="28"/>
        </w:rPr>
        <w:t>a</w:t>
      </w:r>
      <w:r w:rsidRPr="00A47EC7">
        <w:rPr>
          <w:szCs w:val="28"/>
        </w:rPr>
        <w:t>s e interurban</w:t>
      </w:r>
      <w:r>
        <w:rPr>
          <w:szCs w:val="28"/>
        </w:rPr>
        <w:t>a</w:t>
      </w:r>
      <w:r w:rsidRPr="00A47EC7">
        <w:rPr>
          <w:szCs w:val="28"/>
        </w:rPr>
        <w:t>s de forma gratuita o con una reducción.</w:t>
      </w:r>
    </w:p>
    <w:p w:rsidR="00DD0682" w:rsidRDefault="00DD0682" w:rsidP="00DD0682">
      <w:pPr>
        <w:keepNext/>
        <w:spacing w:after="240"/>
        <w:rPr>
          <w:szCs w:val="28"/>
        </w:rPr>
      </w:pPr>
      <w:r>
        <w:rPr>
          <w:szCs w:val="28"/>
        </w:rPr>
        <w:t>250.</w:t>
      </w:r>
      <w:r>
        <w:rPr>
          <w:szCs w:val="28"/>
        </w:rPr>
        <w:tab/>
      </w:r>
      <w:r w:rsidRPr="00A47EC7">
        <w:rPr>
          <w:szCs w:val="28"/>
        </w:rPr>
        <w:t xml:space="preserve">Argelia cuenta con una red vial muy densa y con una importante infraestructura escolar, de capacitación y educación. </w:t>
      </w:r>
      <w:r>
        <w:rPr>
          <w:szCs w:val="28"/>
        </w:rPr>
        <w:t xml:space="preserve"> </w:t>
      </w:r>
      <w:r w:rsidRPr="00A47EC7">
        <w:rPr>
          <w:szCs w:val="28"/>
        </w:rPr>
        <w:t xml:space="preserve">También cuenta con: </w:t>
      </w:r>
    </w:p>
    <w:p w:rsidR="00DD0682" w:rsidRPr="00A47EC7" w:rsidRDefault="00DD0682" w:rsidP="00DD0682">
      <w:pPr>
        <w:spacing w:after="240"/>
        <w:ind w:left="924" w:hanging="357"/>
        <w:rPr>
          <w:szCs w:val="28"/>
        </w:rPr>
      </w:pPr>
      <w:r>
        <w:rPr>
          <w:szCs w:val="28"/>
        </w:rPr>
        <w:t>-</w:t>
      </w:r>
      <w:r>
        <w:rPr>
          <w:szCs w:val="28"/>
        </w:rPr>
        <w:tab/>
      </w:r>
      <w:r w:rsidRPr="00A47EC7">
        <w:rPr>
          <w:szCs w:val="28"/>
        </w:rPr>
        <w:t>Una tasa de electrificación casi total</w:t>
      </w:r>
      <w:r>
        <w:rPr>
          <w:szCs w:val="28"/>
        </w:rPr>
        <w:t xml:space="preserve"> (98%);</w:t>
      </w:r>
    </w:p>
    <w:p w:rsidR="00DD0682" w:rsidRPr="00A47EC7" w:rsidRDefault="00DD0682" w:rsidP="00DD0682">
      <w:pPr>
        <w:spacing w:after="240"/>
        <w:ind w:left="924" w:hanging="357"/>
        <w:rPr>
          <w:szCs w:val="28"/>
        </w:rPr>
      </w:pPr>
      <w:r>
        <w:rPr>
          <w:szCs w:val="28"/>
        </w:rPr>
        <w:t>-</w:t>
      </w:r>
      <w:r>
        <w:rPr>
          <w:szCs w:val="28"/>
        </w:rPr>
        <w:tab/>
      </w:r>
      <w:r w:rsidRPr="00A47EC7">
        <w:rPr>
          <w:szCs w:val="28"/>
        </w:rPr>
        <w:t>Un desarrollo impo</w:t>
      </w:r>
      <w:r>
        <w:rPr>
          <w:szCs w:val="28"/>
        </w:rPr>
        <w:t>rtante de la red de gas natural;</w:t>
      </w:r>
    </w:p>
    <w:p w:rsidR="00DD0682" w:rsidRPr="00A47EC7" w:rsidRDefault="00DD0682" w:rsidP="00DD0682">
      <w:pPr>
        <w:spacing w:after="240"/>
        <w:ind w:left="924" w:hanging="357"/>
        <w:rPr>
          <w:szCs w:val="28"/>
        </w:rPr>
      </w:pPr>
      <w:r>
        <w:rPr>
          <w:szCs w:val="28"/>
        </w:rPr>
        <w:t>-</w:t>
      </w:r>
      <w:r>
        <w:rPr>
          <w:szCs w:val="28"/>
        </w:rPr>
        <w:tab/>
      </w:r>
      <w:r w:rsidRPr="00A47EC7">
        <w:rPr>
          <w:szCs w:val="28"/>
        </w:rPr>
        <w:t>Una tasa de conexión a la red de suministro de agua potable del 92% (2007)</w:t>
      </w:r>
      <w:r>
        <w:rPr>
          <w:szCs w:val="28"/>
        </w:rPr>
        <w:t>;</w:t>
      </w:r>
    </w:p>
    <w:p w:rsidR="00DD0682" w:rsidRDefault="00DD0682" w:rsidP="00DD0682">
      <w:pPr>
        <w:spacing w:after="240"/>
        <w:ind w:left="924" w:hanging="357"/>
        <w:rPr>
          <w:szCs w:val="28"/>
        </w:rPr>
      </w:pPr>
      <w:r>
        <w:rPr>
          <w:szCs w:val="28"/>
        </w:rPr>
        <w:t>-</w:t>
      </w:r>
      <w:r>
        <w:rPr>
          <w:szCs w:val="28"/>
        </w:rPr>
        <w:tab/>
      </w:r>
      <w:r w:rsidRPr="00A47EC7">
        <w:rPr>
          <w:szCs w:val="28"/>
        </w:rPr>
        <w:t>Una tasa de conexión a la red de saneamiento del 87% (2007).</w:t>
      </w:r>
    </w:p>
    <w:p w:rsidR="00DD0682" w:rsidRDefault="00DD0682" w:rsidP="006E1814">
      <w:pPr>
        <w:keepNext/>
        <w:keepLines/>
        <w:spacing w:after="240"/>
        <w:rPr>
          <w:szCs w:val="28"/>
        </w:rPr>
      </w:pPr>
      <w:r>
        <w:rPr>
          <w:szCs w:val="28"/>
        </w:rPr>
        <w:t>251.</w:t>
      </w:r>
      <w:r>
        <w:rPr>
          <w:szCs w:val="28"/>
        </w:rPr>
        <w:tab/>
      </w:r>
      <w:r w:rsidRPr="00A47EC7">
        <w:rPr>
          <w:szCs w:val="28"/>
        </w:rPr>
        <w:t>El plan de apoyo a la reactivación económica (2005-2009) se propone, asimismo, proporcionar:</w:t>
      </w:r>
    </w:p>
    <w:p w:rsidR="00DD0682" w:rsidRPr="00A47EC7" w:rsidRDefault="00DD0682" w:rsidP="00DD0682">
      <w:pPr>
        <w:spacing w:after="240"/>
        <w:ind w:left="924" w:hanging="357"/>
        <w:rPr>
          <w:szCs w:val="28"/>
        </w:rPr>
      </w:pPr>
      <w:r>
        <w:rPr>
          <w:szCs w:val="28"/>
        </w:rPr>
        <w:t>-</w:t>
      </w:r>
      <w:r>
        <w:rPr>
          <w:szCs w:val="28"/>
        </w:rPr>
        <w:tab/>
      </w:r>
      <w:r w:rsidRPr="00A47EC7">
        <w:rPr>
          <w:szCs w:val="28"/>
        </w:rPr>
        <w:t>500 liceos, 1</w:t>
      </w:r>
      <w:r>
        <w:rPr>
          <w:szCs w:val="28"/>
        </w:rPr>
        <w:t>.</w:t>
      </w:r>
      <w:r w:rsidRPr="00A47EC7">
        <w:rPr>
          <w:szCs w:val="28"/>
        </w:rPr>
        <w:t>000 colegios, 2</w:t>
      </w:r>
      <w:r>
        <w:rPr>
          <w:szCs w:val="28"/>
        </w:rPr>
        <w:t>.</w:t>
      </w:r>
      <w:r w:rsidRPr="00A47EC7">
        <w:rPr>
          <w:szCs w:val="28"/>
        </w:rPr>
        <w:t>000 cantinas y puestos para mediopensionistas en las escuelas</w:t>
      </w:r>
      <w:r>
        <w:rPr>
          <w:szCs w:val="28"/>
        </w:rPr>
        <w:t>;</w:t>
      </w:r>
    </w:p>
    <w:p w:rsidR="00DD0682" w:rsidRPr="00A47EC7" w:rsidRDefault="00DD0682" w:rsidP="00DD0682">
      <w:pPr>
        <w:spacing w:after="240"/>
        <w:ind w:left="924" w:hanging="357"/>
        <w:rPr>
          <w:szCs w:val="28"/>
        </w:rPr>
      </w:pPr>
      <w:r>
        <w:rPr>
          <w:szCs w:val="28"/>
        </w:rPr>
        <w:t>-</w:t>
      </w:r>
      <w:r>
        <w:rPr>
          <w:szCs w:val="28"/>
        </w:rPr>
        <w:tab/>
      </w:r>
      <w:r w:rsidRPr="00A47EC7">
        <w:rPr>
          <w:szCs w:val="28"/>
        </w:rPr>
        <w:t>500.000 plazas pedagógicas universitarias</w:t>
      </w:r>
      <w:r>
        <w:rPr>
          <w:szCs w:val="28"/>
        </w:rPr>
        <w:t>;</w:t>
      </w:r>
    </w:p>
    <w:p w:rsidR="00DD0682" w:rsidRPr="00A47EC7" w:rsidRDefault="00DD0682" w:rsidP="00DD0682">
      <w:pPr>
        <w:spacing w:after="240"/>
        <w:ind w:left="924" w:hanging="357"/>
        <w:rPr>
          <w:szCs w:val="28"/>
        </w:rPr>
      </w:pPr>
      <w:r>
        <w:rPr>
          <w:szCs w:val="28"/>
        </w:rPr>
        <w:t>-</w:t>
      </w:r>
      <w:r>
        <w:rPr>
          <w:szCs w:val="28"/>
        </w:rPr>
        <w:tab/>
      </w:r>
      <w:r w:rsidRPr="00A47EC7">
        <w:rPr>
          <w:szCs w:val="28"/>
        </w:rPr>
        <w:t xml:space="preserve">50.000 </w:t>
      </w:r>
      <w:r>
        <w:rPr>
          <w:szCs w:val="28"/>
        </w:rPr>
        <w:t>plazas de</w:t>
      </w:r>
      <w:r w:rsidRPr="00A47EC7">
        <w:rPr>
          <w:szCs w:val="28"/>
        </w:rPr>
        <w:t xml:space="preserve"> formación profesional</w:t>
      </w:r>
      <w:r>
        <w:rPr>
          <w:szCs w:val="28"/>
        </w:rPr>
        <w:t>;</w:t>
      </w:r>
    </w:p>
    <w:p w:rsidR="00DD0682" w:rsidRPr="00A47EC7" w:rsidRDefault="00DD0682" w:rsidP="00DD0682">
      <w:pPr>
        <w:spacing w:after="240"/>
        <w:ind w:left="924" w:hanging="357"/>
        <w:rPr>
          <w:szCs w:val="28"/>
        </w:rPr>
      </w:pPr>
      <w:r>
        <w:rPr>
          <w:szCs w:val="28"/>
        </w:rPr>
        <w:t>-</w:t>
      </w:r>
      <w:r>
        <w:rPr>
          <w:szCs w:val="28"/>
        </w:rPr>
        <w:tab/>
      </w:r>
      <w:r w:rsidRPr="00A47EC7">
        <w:rPr>
          <w:szCs w:val="28"/>
        </w:rPr>
        <w:t>40 hospitales</w:t>
      </w:r>
      <w:r>
        <w:rPr>
          <w:szCs w:val="28"/>
        </w:rPr>
        <w:t>;</w:t>
      </w:r>
    </w:p>
    <w:p w:rsidR="00DD0682" w:rsidRPr="00A47EC7" w:rsidRDefault="00DD0682" w:rsidP="00DD0682">
      <w:pPr>
        <w:spacing w:after="240"/>
        <w:ind w:left="924" w:hanging="357"/>
        <w:rPr>
          <w:szCs w:val="28"/>
        </w:rPr>
      </w:pPr>
      <w:r>
        <w:rPr>
          <w:szCs w:val="28"/>
        </w:rPr>
        <w:t>-</w:t>
      </w:r>
      <w:r>
        <w:rPr>
          <w:szCs w:val="28"/>
        </w:rPr>
        <w:tab/>
      </w:r>
      <w:r w:rsidRPr="00A47EC7">
        <w:rPr>
          <w:szCs w:val="28"/>
        </w:rPr>
        <w:t>10 embalses, 10.000 k</w:t>
      </w:r>
      <w:r>
        <w:rPr>
          <w:szCs w:val="28"/>
        </w:rPr>
        <w:t>m</w:t>
      </w:r>
      <w:r w:rsidRPr="00A47EC7">
        <w:rPr>
          <w:szCs w:val="28"/>
        </w:rPr>
        <w:t xml:space="preserve"> de carreteras nuevas o renovadas</w:t>
      </w:r>
      <w:r>
        <w:rPr>
          <w:szCs w:val="28"/>
        </w:rPr>
        <w:t>;</w:t>
      </w:r>
    </w:p>
    <w:p w:rsidR="00DD0682" w:rsidRPr="00A47EC7" w:rsidRDefault="00DD0682" w:rsidP="00DD0682">
      <w:pPr>
        <w:spacing w:after="240"/>
        <w:ind w:left="924" w:hanging="357"/>
        <w:rPr>
          <w:szCs w:val="28"/>
        </w:rPr>
      </w:pPr>
      <w:r>
        <w:rPr>
          <w:szCs w:val="28"/>
        </w:rPr>
        <w:t>-</w:t>
      </w:r>
      <w:r>
        <w:rPr>
          <w:szCs w:val="28"/>
        </w:rPr>
        <w:tab/>
      </w:r>
      <w:r w:rsidRPr="00A47EC7">
        <w:rPr>
          <w:szCs w:val="28"/>
        </w:rPr>
        <w:t>La conexión de 1.200.000 hogares a la red de gas natural</w:t>
      </w:r>
      <w:r>
        <w:rPr>
          <w:szCs w:val="28"/>
        </w:rPr>
        <w:t>;</w:t>
      </w:r>
    </w:p>
    <w:p w:rsidR="00DD0682" w:rsidRDefault="00DD0682" w:rsidP="00DD0682">
      <w:pPr>
        <w:spacing w:after="240"/>
        <w:ind w:left="924" w:hanging="357"/>
        <w:rPr>
          <w:szCs w:val="28"/>
        </w:rPr>
      </w:pPr>
      <w:r>
        <w:rPr>
          <w:szCs w:val="28"/>
        </w:rPr>
        <w:t>-</w:t>
      </w:r>
      <w:r>
        <w:rPr>
          <w:szCs w:val="28"/>
        </w:rPr>
        <w:tab/>
        <w:t xml:space="preserve">La conexión </w:t>
      </w:r>
      <w:r w:rsidRPr="00A47EC7">
        <w:rPr>
          <w:szCs w:val="28"/>
        </w:rPr>
        <w:t>de otros 600.000 hogares rurales a la red eléctrica.</w:t>
      </w:r>
    </w:p>
    <w:p w:rsidR="00DD0682" w:rsidRPr="00333F9F" w:rsidRDefault="00DD0682" w:rsidP="00DD0682">
      <w:pPr>
        <w:spacing w:after="240"/>
        <w:rPr>
          <w:b/>
          <w:bCs/>
          <w:szCs w:val="28"/>
        </w:rPr>
      </w:pPr>
      <w:r w:rsidRPr="00333F9F">
        <w:rPr>
          <w:b/>
          <w:bCs/>
          <w:szCs w:val="28"/>
        </w:rPr>
        <w:t>Artículo 12.  Derecho a la salud</w:t>
      </w:r>
    </w:p>
    <w:p w:rsidR="00DD0682" w:rsidRPr="00A47EC7" w:rsidRDefault="00DD0682" w:rsidP="00DD0682">
      <w:pPr>
        <w:spacing w:after="240"/>
        <w:rPr>
          <w:szCs w:val="28"/>
        </w:rPr>
      </w:pPr>
      <w:r>
        <w:rPr>
          <w:szCs w:val="28"/>
        </w:rPr>
        <w:t>252.</w:t>
      </w:r>
      <w:r>
        <w:rPr>
          <w:szCs w:val="28"/>
        </w:rPr>
        <w:tab/>
      </w:r>
      <w:r w:rsidRPr="00A47EC7">
        <w:rPr>
          <w:szCs w:val="28"/>
        </w:rPr>
        <w:t xml:space="preserve">El derecho a la protección de la salud es un derecho constitucional (artículo 54 de la Constitución). </w:t>
      </w:r>
      <w:r>
        <w:rPr>
          <w:szCs w:val="28"/>
        </w:rPr>
        <w:t xml:space="preserve"> </w:t>
      </w:r>
      <w:r w:rsidRPr="00A47EC7">
        <w:rPr>
          <w:szCs w:val="28"/>
        </w:rPr>
        <w:t>El acceso a los servicios de salud se garantiza sin discriminación y</w:t>
      </w:r>
      <w:r>
        <w:rPr>
          <w:szCs w:val="28"/>
        </w:rPr>
        <w:t>, según estimaciones</w:t>
      </w:r>
      <w:r w:rsidRPr="00A47EC7">
        <w:rPr>
          <w:szCs w:val="28"/>
        </w:rPr>
        <w:t xml:space="preserve"> beneficia</w:t>
      </w:r>
      <w:r>
        <w:rPr>
          <w:szCs w:val="28"/>
        </w:rPr>
        <w:t xml:space="preserve"> a casi toda</w:t>
      </w:r>
      <w:r w:rsidRPr="00A47EC7">
        <w:rPr>
          <w:szCs w:val="28"/>
        </w:rPr>
        <w:t xml:space="preserve"> la población (el 98%).</w:t>
      </w:r>
      <w:r>
        <w:rPr>
          <w:szCs w:val="28"/>
        </w:rPr>
        <w:t xml:space="preserve">  </w:t>
      </w:r>
      <w:r w:rsidRPr="00A47EC7">
        <w:rPr>
          <w:szCs w:val="28"/>
        </w:rPr>
        <w:t xml:space="preserve">Ese acceso se ve favorecido por los progresos registrados en materia de cobertura sanitaria, gracias a </w:t>
      </w:r>
      <w:r>
        <w:rPr>
          <w:szCs w:val="28"/>
        </w:rPr>
        <w:t xml:space="preserve">las </w:t>
      </w:r>
      <w:r w:rsidRPr="00A47EC7">
        <w:rPr>
          <w:szCs w:val="28"/>
        </w:rPr>
        <w:t xml:space="preserve">infraestructuras, </w:t>
      </w:r>
      <w:r>
        <w:rPr>
          <w:szCs w:val="28"/>
        </w:rPr>
        <w:t xml:space="preserve">al </w:t>
      </w:r>
      <w:r w:rsidRPr="00A47EC7">
        <w:rPr>
          <w:szCs w:val="28"/>
        </w:rPr>
        <w:t xml:space="preserve">personal, </w:t>
      </w:r>
      <w:r>
        <w:rPr>
          <w:szCs w:val="28"/>
        </w:rPr>
        <w:t xml:space="preserve">a la </w:t>
      </w:r>
      <w:r w:rsidRPr="00A47EC7">
        <w:rPr>
          <w:szCs w:val="28"/>
        </w:rPr>
        <w:t>financiaci</w:t>
      </w:r>
      <w:r>
        <w:rPr>
          <w:szCs w:val="28"/>
        </w:rPr>
        <w:t>ón</w:t>
      </w:r>
      <w:r w:rsidRPr="00A47EC7">
        <w:rPr>
          <w:szCs w:val="28"/>
        </w:rPr>
        <w:t xml:space="preserve"> y a una política</w:t>
      </w:r>
      <w:r>
        <w:rPr>
          <w:szCs w:val="28"/>
        </w:rPr>
        <w:t xml:space="preserve"> resuelta</w:t>
      </w:r>
      <w:r w:rsidRPr="00A47EC7">
        <w:rPr>
          <w:szCs w:val="28"/>
        </w:rPr>
        <w:t xml:space="preserve"> de los poderes públicos.</w:t>
      </w:r>
    </w:p>
    <w:p w:rsidR="00DD0682" w:rsidRPr="00333F9F" w:rsidRDefault="00DD0682" w:rsidP="00DD0682">
      <w:pPr>
        <w:spacing w:after="240"/>
        <w:jc w:val="center"/>
        <w:rPr>
          <w:b/>
          <w:bCs/>
          <w:szCs w:val="28"/>
        </w:rPr>
      </w:pPr>
      <w:r w:rsidRPr="00333F9F">
        <w:rPr>
          <w:b/>
          <w:bCs/>
          <w:szCs w:val="28"/>
        </w:rPr>
        <w:t>A.  Estadísticas</w:t>
      </w:r>
    </w:p>
    <w:p w:rsidR="00DD0682" w:rsidRPr="00333F9F" w:rsidRDefault="00DD0682" w:rsidP="00DD0682">
      <w:pPr>
        <w:spacing w:after="240"/>
        <w:rPr>
          <w:b/>
          <w:bCs/>
          <w:szCs w:val="28"/>
          <w:u w:val="single"/>
        </w:rPr>
      </w:pPr>
      <w:r>
        <w:rPr>
          <w:b/>
          <w:bCs/>
          <w:szCs w:val="28"/>
        </w:rPr>
        <w:t>1.</w:t>
      </w:r>
      <w:r>
        <w:rPr>
          <w:b/>
          <w:bCs/>
          <w:szCs w:val="28"/>
        </w:rPr>
        <w:tab/>
      </w:r>
      <w:r w:rsidRPr="00333F9F">
        <w:rPr>
          <w:b/>
          <w:bCs/>
          <w:szCs w:val="28"/>
        </w:rPr>
        <w:t>Las infraestructuras</w:t>
      </w:r>
    </w:p>
    <w:p w:rsidR="00DD0682" w:rsidRDefault="00DD0682" w:rsidP="00DD0682">
      <w:pPr>
        <w:spacing w:after="240"/>
        <w:rPr>
          <w:bCs/>
          <w:szCs w:val="28"/>
          <w:u w:val="single"/>
        </w:rPr>
      </w:pPr>
      <w:r>
        <w:rPr>
          <w:szCs w:val="28"/>
        </w:rPr>
        <w:t>253.</w:t>
      </w:r>
      <w:r>
        <w:rPr>
          <w:szCs w:val="28"/>
        </w:rPr>
        <w:tab/>
      </w:r>
      <w:r w:rsidRPr="00A47EC7">
        <w:rPr>
          <w:szCs w:val="28"/>
        </w:rPr>
        <w:t xml:space="preserve">La cobertura sanitaria comprende: </w:t>
      </w:r>
    </w:p>
    <w:p w:rsidR="00DD0682" w:rsidRPr="00A47EC7" w:rsidRDefault="00DD0682" w:rsidP="00DD0682">
      <w:pPr>
        <w:spacing w:after="240"/>
        <w:ind w:left="924" w:hanging="357"/>
        <w:rPr>
          <w:szCs w:val="28"/>
        </w:rPr>
      </w:pPr>
      <w:r>
        <w:rPr>
          <w:szCs w:val="28"/>
        </w:rPr>
        <w:t>-</w:t>
      </w:r>
      <w:r>
        <w:rPr>
          <w:szCs w:val="28"/>
        </w:rPr>
        <w:tab/>
      </w:r>
      <w:r w:rsidRPr="00A47EC7">
        <w:rPr>
          <w:szCs w:val="28"/>
        </w:rPr>
        <w:t>192 establecimientos hospitalarios públicos</w:t>
      </w:r>
      <w:r>
        <w:rPr>
          <w:szCs w:val="28"/>
        </w:rPr>
        <w:t>;</w:t>
      </w:r>
    </w:p>
    <w:p w:rsidR="00DD0682" w:rsidRPr="00A47EC7" w:rsidRDefault="00DD0682" w:rsidP="00DD0682">
      <w:pPr>
        <w:spacing w:after="240"/>
        <w:ind w:left="924" w:hanging="357"/>
        <w:rPr>
          <w:szCs w:val="28"/>
        </w:rPr>
      </w:pPr>
      <w:r>
        <w:rPr>
          <w:szCs w:val="28"/>
        </w:rPr>
        <w:t>-</w:t>
      </w:r>
      <w:r>
        <w:rPr>
          <w:szCs w:val="28"/>
        </w:rPr>
        <w:tab/>
      </w:r>
      <w:r w:rsidRPr="00A47EC7">
        <w:rPr>
          <w:szCs w:val="28"/>
        </w:rPr>
        <w:t>257 establecimientos públicos comunitarios</w:t>
      </w:r>
      <w:r>
        <w:rPr>
          <w:szCs w:val="28"/>
        </w:rPr>
        <w:t>;</w:t>
      </w:r>
    </w:p>
    <w:p w:rsidR="00DD0682" w:rsidRPr="00A47EC7" w:rsidRDefault="00DD0682" w:rsidP="00DD0682">
      <w:pPr>
        <w:spacing w:after="240"/>
        <w:ind w:left="924" w:hanging="357"/>
        <w:rPr>
          <w:szCs w:val="28"/>
        </w:rPr>
      </w:pPr>
      <w:r>
        <w:rPr>
          <w:szCs w:val="28"/>
        </w:rPr>
        <w:t>-</w:t>
      </w:r>
      <w:r>
        <w:rPr>
          <w:szCs w:val="28"/>
        </w:rPr>
        <w:tab/>
      </w:r>
      <w:r w:rsidRPr="00A47EC7">
        <w:rPr>
          <w:szCs w:val="28"/>
        </w:rPr>
        <w:t>4</w:t>
      </w:r>
      <w:r>
        <w:rPr>
          <w:szCs w:val="28"/>
        </w:rPr>
        <w:t>.</w:t>
      </w:r>
      <w:r w:rsidRPr="00A47EC7">
        <w:rPr>
          <w:szCs w:val="28"/>
        </w:rPr>
        <w:t>533 dispensarios</w:t>
      </w:r>
      <w:r>
        <w:rPr>
          <w:szCs w:val="28"/>
        </w:rPr>
        <w:t>;</w:t>
      </w:r>
    </w:p>
    <w:p w:rsidR="00DD0682" w:rsidRPr="00A47EC7" w:rsidRDefault="00DD0682" w:rsidP="00DD0682">
      <w:pPr>
        <w:spacing w:after="240"/>
        <w:ind w:left="924" w:hanging="357"/>
        <w:rPr>
          <w:szCs w:val="28"/>
        </w:rPr>
      </w:pPr>
      <w:r>
        <w:rPr>
          <w:szCs w:val="28"/>
        </w:rPr>
        <w:t>-</w:t>
      </w:r>
      <w:r>
        <w:rPr>
          <w:szCs w:val="28"/>
        </w:rPr>
        <w:tab/>
      </w:r>
      <w:r w:rsidRPr="00A47EC7">
        <w:rPr>
          <w:szCs w:val="28"/>
        </w:rPr>
        <w:t>13 centro</w:t>
      </w:r>
      <w:r>
        <w:rPr>
          <w:szCs w:val="28"/>
        </w:rPr>
        <w:t>s hospitalarios universitarios;</w:t>
      </w:r>
    </w:p>
    <w:p w:rsidR="00DD0682" w:rsidRPr="00A47EC7" w:rsidRDefault="00DD0682" w:rsidP="00DD0682">
      <w:pPr>
        <w:spacing w:after="240"/>
        <w:ind w:left="924" w:hanging="357"/>
        <w:rPr>
          <w:szCs w:val="28"/>
        </w:rPr>
      </w:pPr>
      <w:r>
        <w:rPr>
          <w:szCs w:val="28"/>
        </w:rPr>
        <w:t>-</w:t>
      </w:r>
      <w:r>
        <w:rPr>
          <w:szCs w:val="28"/>
        </w:rPr>
        <w:tab/>
      </w:r>
      <w:r w:rsidRPr="00A47EC7">
        <w:rPr>
          <w:szCs w:val="28"/>
        </w:rPr>
        <w:t>1 establecimi</w:t>
      </w:r>
      <w:r>
        <w:rPr>
          <w:szCs w:val="28"/>
        </w:rPr>
        <w:t>ento hospitalario universitario;</w:t>
      </w:r>
    </w:p>
    <w:p w:rsidR="00DD0682" w:rsidRDefault="00DD0682" w:rsidP="00DD0682">
      <w:pPr>
        <w:spacing w:after="240"/>
        <w:ind w:left="924" w:hanging="357"/>
        <w:rPr>
          <w:szCs w:val="28"/>
        </w:rPr>
      </w:pPr>
      <w:r>
        <w:rPr>
          <w:szCs w:val="28"/>
        </w:rPr>
        <w:t>-</w:t>
      </w:r>
      <w:r>
        <w:rPr>
          <w:szCs w:val="28"/>
        </w:rPr>
        <w:tab/>
      </w:r>
      <w:r w:rsidRPr="00A47EC7">
        <w:rPr>
          <w:szCs w:val="28"/>
        </w:rPr>
        <w:t>32 establecimientos hospitalarios especializados</w:t>
      </w:r>
      <w:r>
        <w:rPr>
          <w:szCs w:val="28"/>
        </w:rPr>
        <w:t>.</w:t>
      </w:r>
    </w:p>
    <w:p w:rsidR="00DD0682" w:rsidRDefault="00DD0682" w:rsidP="00DD0682">
      <w:pPr>
        <w:spacing w:after="240"/>
        <w:rPr>
          <w:szCs w:val="28"/>
        </w:rPr>
      </w:pPr>
      <w:r>
        <w:rPr>
          <w:szCs w:val="28"/>
        </w:rPr>
        <w:t>254.</w:t>
      </w:r>
      <w:r>
        <w:rPr>
          <w:szCs w:val="28"/>
        </w:rPr>
        <w:tab/>
      </w:r>
      <w:r w:rsidRPr="00A47EC7">
        <w:rPr>
          <w:szCs w:val="28"/>
        </w:rPr>
        <w:t>En el conjunto de las infraestructuras del sector sani</w:t>
      </w:r>
      <w:r>
        <w:rPr>
          <w:szCs w:val="28"/>
        </w:rPr>
        <w:t>tario se dispone de un total de 57.665 </w:t>
      </w:r>
      <w:r w:rsidRPr="00A47EC7">
        <w:rPr>
          <w:szCs w:val="28"/>
        </w:rPr>
        <w:t>camas, es decir</w:t>
      </w:r>
      <w:r>
        <w:rPr>
          <w:szCs w:val="28"/>
        </w:rPr>
        <w:t>,</w:t>
      </w:r>
      <w:r w:rsidRPr="00A47EC7">
        <w:rPr>
          <w:szCs w:val="28"/>
        </w:rPr>
        <w:t xml:space="preserve"> una proporción de 1,93 camas por 1000 hab</w:t>
      </w:r>
      <w:r>
        <w:rPr>
          <w:szCs w:val="28"/>
        </w:rPr>
        <w:t>itantes (3,3 camas por </w:t>
      </w:r>
      <w:r w:rsidRPr="00A47EC7">
        <w:rPr>
          <w:szCs w:val="28"/>
        </w:rPr>
        <w:t>1</w:t>
      </w:r>
      <w:r>
        <w:rPr>
          <w:szCs w:val="28"/>
        </w:rPr>
        <w:t>.</w:t>
      </w:r>
      <w:r w:rsidRPr="00A47EC7">
        <w:rPr>
          <w:szCs w:val="28"/>
        </w:rPr>
        <w:t>000 habitantes en 1963).</w:t>
      </w:r>
    </w:p>
    <w:p w:rsidR="00DD0682" w:rsidRPr="00333F9F" w:rsidRDefault="00DD0682" w:rsidP="006E1814">
      <w:pPr>
        <w:keepNext/>
        <w:keepLines/>
        <w:spacing w:after="240"/>
        <w:rPr>
          <w:b/>
          <w:bCs/>
          <w:szCs w:val="28"/>
        </w:rPr>
      </w:pPr>
      <w:r w:rsidRPr="00333F9F">
        <w:rPr>
          <w:b/>
          <w:bCs/>
          <w:szCs w:val="28"/>
        </w:rPr>
        <w:t>2.</w:t>
      </w:r>
      <w:r w:rsidRPr="00333F9F">
        <w:rPr>
          <w:b/>
          <w:bCs/>
          <w:szCs w:val="28"/>
        </w:rPr>
        <w:tab/>
        <w:t xml:space="preserve">Los recursos humanos (año 2005) </w:t>
      </w:r>
    </w:p>
    <w:tbl>
      <w:tblPr>
        <w:tblStyle w:val="TableGrid"/>
        <w:tblW w:w="0" w:type="auto"/>
        <w:tblLayout w:type="fixed"/>
        <w:tblLook w:val="01E0" w:firstRow="1" w:lastRow="1" w:firstColumn="1" w:lastColumn="1" w:noHBand="0" w:noVBand="0"/>
      </w:tblPr>
      <w:tblGrid>
        <w:gridCol w:w="3668"/>
        <w:gridCol w:w="1200"/>
        <w:gridCol w:w="2465"/>
        <w:gridCol w:w="2158"/>
      </w:tblGrid>
      <w:tr w:rsidR="00DD0682" w:rsidTr="00DD0682">
        <w:tc>
          <w:tcPr>
            <w:tcW w:w="3668" w:type="dxa"/>
            <w:vAlign w:val="center"/>
          </w:tcPr>
          <w:p w:rsidR="00DD0682" w:rsidRPr="0062178A" w:rsidRDefault="00DD0682" w:rsidP="006E1814">
            <w:pPr>
              <w:keepNext/>
              <w:keepLines/>
              <w:jc w:val="center"/>
              <w:rPr>
                <w:b/>
              </w:rPr>
            </w:pPr>
            <w:r w:rsidRPr="0062178A">
              <w:rPr>
                <w:b/>
              </w:rPr>
              <w:t>Persona</w:t>
            </w:r>
            <w:r>
              <w:rPr>
                <w:b/>
              </w:rPr>
              <w:t>l</w:t>
            </w:r>
          </w:p>
        </w:tc>
        <w:tc>
          <w:tcPr>
            <w:tcW w:w="1200" w:type="dxa"/>
            <w:vAlign w:val="center"/>
          </w:tcPr>
          <w:p w:rsidR="00DD0682" w:rsidRPr="0062178A" w:rsidRDefault="00DD0682" w:rsidP="006E1814">
            <w:pPr>
              <w:keepNext/>
              <w:keepLines/>
              <w:jc w:val="center"/>
              <w:rPr>
                <w:b/>
              </w:rPr>
            </w:pPr>
            <w:r w:rsidRPr="0062178A">
              <w:rPr>
                <w:b/>
              </w:rPr>
              <w:t>Número total</w:t>
            </w:r>
          </w:p>
        </w:tc>
        <w:tc>
          <w:tcPr>
            <w:tcW w:w="2465" w:type="dxa"/>
            <w:vAlign w:val="center"/>
          </w:tcPr>
          <w:p w:rsidR="00DD0682" w:rsidRPr="0062178A" w:rsidRDefault="00DD0682" w:rsidP="006E1814">
            <w:pPr>
              <w:keepNext/>
              <w:keepLines/>
              <w:jc w:val="center"/>
              <w:rPr>
                <w:b/>
              </w:rPr>
            </w:pPr>
            <w:r w:rsidRPr="0062178A">
              <w:rPr>
                <w:b/>
              </w:rPr>
              <w:t>Proporción (población menor de 18 años)</w:t>
            </w:r>
          </w:p>
        </w:tc>
        <w:tc>
          <w:tcPr>
            <w:tcW w:w="2158" w:type="dxa"/>
            <w:vAlign w:val="center"/>
          </w:tcPr>
          <w:p w:rsidR="00DD0682" w:rsidRPr="0062178A" w:rsidRDefault="00DD0682" w:rsidP="006E1814">
            <w:pPr>
              <w:keepNext/>
              <w:keepLines/>
              <w:jc w:val="center"/>
              <w:rPr>
                <w:b/>
              </w:rPr>
            </w:pPr>
            <w:r w:rsidRPr="0062178A">
              <w:rPr>
                <w:b/>
              </w:rPr>
              <w:t xml:space="preserve">Proporción </w:t>
            </w:r>
            <w:r w:rsidRPr="0062178A">
              <w:rPr>
                <w:b/>
              </w:rPr>
              <w:br/>
              <w:t>(población general)</w:t>
            </w:r>
          </w:p>
        </w:tc>
      </w:tr>
      <w:tr w:rsidR="00DD0682" w:rsidTr="00DD0682">
        <w:tc>
          <w:tcPr>
            <w:tcW w:w="3668" w:type="dxa"/>
          </w:tcPr>
          <w:p w:rsidR="00DD0682" w:rsidRPr="00374FE7" w:rsidRDefault="00DD0682" w:rsidP="006E1814">
            <w:pPr>
              <w:keepNext/>
              <w:keepLines/>
            </w:pPr>
            <w:r w:rsidRPr="00374FE7">
              <w:t>Médicos especialistas</w:t>
            </w:r>
          </w:p>
        </w:tc>
        <w:tc>
          <w:tcPr>
            <w:tcW w:w="1200" w:type="dxa"/>
            <w:vAlign w:val="bottom"/>
          </w:tcPr>
          <w:p w:rsidR="00DD0682" w:rsidRPr="00AE7C07" w:rsidRDefault="00DD0682" w:rsidP="006E1814">
            <w:pPr>
              <w:keepNext/>
              <w:keepLines/>
              <w:tabs>
                <w:tab w:val="decimal" w:pos="868"/>
              </w:tabs>
              <w:rPr>
                <w:b/>
              </w:rPr>
            </w:pPr>
            <w:r w:rsidRPr="00AE7C07">
              <w:rPr>
                <w:b/>
              </w:rPr>
              <w:t>11.534</w:t>
            </w:r>
          </w:p>
        </w:tc>
        <w:tc>
          <w:tcPr>
            <w:tcW w:w="2465" w:type="dxa"/>
            <w:vAlign w:val="bottom"/>
          </w:tcPr>
          <w:p w:rsidR="00DD0682" w:rsidRPr="00374FE7" w:rsidRDefault="00DD0682" w:rsidP="006E1814">
            <w:pPr>
              <w:keepNext/>
              <w:keepLines/>
            </w:pPr>
            <w:r>
              <w:tab/>
              <w:t>1/1.011</w:t>
            </w:r>
          </w:p>
        </w:tc>
        <w:tc>
          <w:tcPr>
            <w:tcW w:w="2158" w:type="dxa"/>
            <w:vAlign w:val="bottom"/>
          </w:tcPr>
          <w:p w:rsidR="00DD0682" w:rsidRPr="00374FE7" w:rsidRDefault="00DD0682" w:rsidP="006E1814">
            <w:pPr>
              <w:keepNext/>
              <w:keepLines/>
            </w:pPr>
            <w:r>
              <w:tab/>
              <w:t>1/2.240</w:t>
            </w:r>
          </w:p>
        </w:tc>
      </w:tr>
      <w:tr w:rsidR="00DD0682" w:rsidTr="00DD0682">
        <w:tc>
          <w:tcPr>
            <w:tcW w:w="3668" w:type="dxa"/>
          </w:tcPr>
          <w:p w:rsidR="00DD0682" w:rsidRPr="00374FE7" w:rsidRDefault="00DD0682" w:rsidP="006E1814">
            <w:pPr>
              <w:keepNext/>
              <w:keepLines/>
            </w:pPr>
            <w:r>
              <w:t>Médicos generalistas</w:t>
            </w:r>
          </w:p>
        </w:tc>
        <w:tc>
          <w:tcPr>
            <w:tcW w:w="1200" w:type="dxa"/>
            <w:vAlign w:val="bottom"/>
          </w:tcPr>
          <w:p w:rsidR="00DD0682" w:rsidRPr="00AE7C07" w:rsidRDefault="00DD0682" w:rsidP="006E1814">
            <w:pPr>
              <w:keepNext/>
              <w:keepLines/>
              <w:tabs>
                <w:tab w:val="decimal" w:pos="868"/>
              </w:tabs>
              <w:rPr>
                <w:b/>
              </w:rPr>
            </w:pPr>
            <w:r w:rsidRPr="00AE7C07">
              <w:rPr>
                <w:b/>
              </w:rPr>
              <w:t>19.260</w:t>
            </w:r>
          </w:p>
        </w:tc>
        <w:tc>
          <w:tcPr>
            <w:tcW w:w="2465" w:type="dxa"/>
            <w:vAlign w:val="bottom"/>
          </w:tcPr>
          <w:p w:rsidR="00DD0682" w:rsidRPr="00374FE7" w:rsidRDefault="00DD0682" w:rsidP="006E1814">
            <w:pPr>
              <w:keepNext/>
              <w:keepLines/>
            </w:pPr>
            <w:r>
              <w:tab/>
              <w:t>1/606</w:t>
            </w:r>
          </w:p>
        </w:tc>
        <w:tc>
          <w:tcPr>
            <w:tcW w:w="2158" w:type="dxa"/>
            <w:vAlign w:val="bottom"/>
          </w:tcPr>
          <w:p w:rsidR="00DD0682" w:rsidRPr="00374FE7" w:rsidRDefault="00DD0682" w:rsidP="006E1814">
            <w:pPr>
              <w:keepNext/>
              <w:keepLines/>
            </w:pPr>
            <w:r>
              <w:tab/>
              <w:t>1/1.708</w:t>
            </w:r>
          </w:p>
        </w:tc>
      </w:tr>
      <w:tr w:rsidR="00DD0682" w:rsidTr="00DD0682">
        <w:tc>
          <w:tcPr>
            <w:tcW w:w="3668" w:type="dxa"/>
          </w:tcPr>
          <w:p w:rsidR="00DD0682" w:rsidRDefault="00DD0682" w:rsidP="006E1814">
            <w:pPr>
              <w:keepNext/>
              <w:keepLines/>
            </w:pPr>
            <w:r>
              <w:t>Pediatras</w:t>
            </w:r>
          </w:p>
        </w:tc>
        <w:tc>
          <w:tcPr>
            <w:tcW w:w="1200" w:type="dxa"/>
            <w:vAlign w:val="bottom"/>
          </w:tcPr>
          <w:p w:rsidR="00DD0682" w:rsidRPr="00AE7C07" w:rsidRDefault="00DD0682" w:rsidP="006E1814">
            <w:pPr>
              <w:keepNext/>
              <w:keepLines/>
              <w:tabs>
                <w:tab w:val="decimal" w:pos="868"/>
              </w:tabs>
              <w:rPr>
                <w:b/>
              </w:rPr>
            </w:pPr>
            <w:r w:rsidRPr="00AE7C07">
              <w:rPr>
                <w:b/>
              </w:rPr>
              <w:t>1.000</w:t>
            </w:r>
          </w:p>
        </w:tc>
        <w:tc>
          <w:tcPr>
            <w:tcW w:w="2465" w:type="dxa"/>
            <w:vAlign w:val="bottom"/>
          </w:tcPr>
          <w:p w:rsidR="00DD0682" w:rsidRDefault="00DD0682" w:rsidP="006E1814">
            <w:pPr>
              <w:keepNext/>
              <w:keepLines/>
            </w:pPr>
            <w:r>
              <w:tab/>
              <w:t>1/11.664</w:t>
            </w:r>
          </w:p>
        </w:tc>
        <w:tc>
          <w:tcPr>
            <w:tcW w:w="2158" w:type="dxa"/>
            <w:vAlign w:val="bottom"/>
          </w:tcPr>
          <w:p w:rsidR="00DD0682" w:rsidRDefault="00DD0682" w:rsidP="006E1814">
            <w:pPr>
              <w:keepNext/>
              <w:keepLines/>
            </w:pPr>
            <w:r>
              <w:tab/>
              <w:t>1/32.728</w:t>
            </w:r>
          </w:p>
        </w:tc>
      </w:tr>
      <w:tr w:rsidR="00DD0682" w:rsidTr="00DD0682">
        <w:tc>
          <w:tcPr>
            <w:tcW w:w="3668" w:type="dxa"/>
          </w:tcPr>
          <w:p w:rsidR="00DD0682" w:rsidRDefault="00DD0682" w:rsidP="00DD0682">
            <w:r>
              <w:t>Farmacéuticos</w:t>
            </w:r>
          </w:p>
        </w:tc>
        <w:tc>
          <w:tcPr>
            <w:tcW w:w="1200" w:type="dxa"/>
            <w:vAlign w:val="bottom"/>
          </w:tcPr>
          <w:p w:rsidR="00DD0682" w:rsidRPr="00AE7C07" w:rsidRDefault="00DD0682" w:rsidP="00DD0682">
            <w:pPr>
              <w:tabs>
                <w:tab w:val="decimal" w:pos="868"/>
              </w:tabs>
              <w:rPr>
                <w:b/>
              </w:rPr>
            </w:pPr>
            <w:r w:rsidRPr="00AE7C07">
              <w:rPr>
                <w:b/>
              </w:rPr>
              <w:t>6.104</w:t>
            </w:r>
          </w:p>
        </w:tc>
        <w:tc>
          <w:tcPr>
            <w:tcW w:w="2465" w:type="dxa"/>
            <w:vAlign w:val="bottom"/>
          </w:tcPr>
          <w:p w:rsidR="00DD0682" w:rsidRDefault="00DD0682" w:rsidP="00DD0682"/>
        </w:tc>
        <w:tc>
          <w:tcPr>
            <w:tcW w:w="2158" w:type="dxa"/>
            <w:vAlign w:val="bottom"/>
          </w:tcPr>
          <w:p w:rsidR="00DD0682" w:rsidRDefault="00DD0682" w:rsidP="00DD0682">
            <w:r>
              <w:tab/>
              <w:t>1/5.389</w:t>
            </w:r>
          </w:p>
        </w:tc>
      </w:tr>
      <w:tr w:rsidR="00DD0682" w:rsidTr="00DD0682">
        <w:tc>
          <w:tcPr>
            <w:tcW w:w="3668" w:type="dxa"/>
          </w:tcPr>
          <w:p w:rsidR="00DD0682" w:rsidRDefault="00DD0682" w:rsidP="00DD0682">
            <w:r>
              <w:t>Médicos especialistas y generalistas</w:t>
            </w:r>
          </w:p>
        </w:tc>
        <w:tc>
          <w:tcPr>
            <w:tcW w:w="1200" w:type="dxa"/>
            <w:vAlign w:val="bottom"/>
          </w:tcPr>
          <w:p w:rsidR="00DD0682" w:rsidRPr="00AE7C07" w:rsidRDefault="00DD0682" w:rsidP="00DD0682">
            <w:pPr>
              <w:tabs>
                <w:tab w:val="decimal" w:pos="868"/>
              </w:tabs>
              <w:rPr>
                <w:b/>
              </w:rPr>
            </w:pPr>
            <w:r w:rsidRPr="00AE7C07">
              <w:rPr>
                <w:b/>
              </w:rPr>
              <w:t>30.794</w:t>
            </w:r>
          </w:p>
        </w:tc>
        <w:tc>
          <w:tcPr>
            <w:tcW w:w="2465" w:type="dxa"/>
            <w:vAlign w:val="bottom"/>
          </w:tcPr>
          <w:p w:rsidR="00DD0682" w:rsidRDefault="00DD0682" w:rsidP="00DD0682"/>
        </w:tc>
        <w:tc>
          <w:tcPr>
            <w:tcW w:w="2158" w:type="dxa"/>
            <w:vAlign w:val="bottom"/>
          </w:tcPr>
          <w:p w:rsidR="00DD0682" w:rsidRDefault="00DD0682" w:rsidP="00DD0682">
            <w:r>
              <w:tab/>
              <w:t>1/969</w:t>
            </w:r>
          </w:p>
        </w:tc>
      </w:tr>
      <w:tr w:rsidR="00DD0682" w:rsidTr="00DD0682">
        <w:tc>
          <w:tcPr>
            <w:tcW w:w="3668" w:type="dxa"/>
          </w:tcPr>
          <w:p w:rsidR="00DD0682" w:rsidRDefault="00DD0682" w:rsidP="00DD0682">
            <w:r>
              <w:t>Cirujanos dentistas</w:t>
            </w:r>
          </w:p>
        </w:tc>
        <w:tc>
          <w:tcPr>
            <w:tcW w:w="1200" w:type="dxa"/>
            <w:vAlign w:val="bottom"/>
          </w:tcPr>
          <w:p w:rsidR="00DD0682" w:rsidRPr="00AE7C07" w:rsidRDefault="00DD0682" w:rsidP="00DD0682">
            <w:pPr>
              <w:tabs>
                <w:tab w:val="decimal" w:pos="868"/>
              </w:tabs>
              <w:rPr>
                <w:b/>
              </w:rPr>
            </w:pPr>
            <w:r w:rsidRPr="00AE7C07">
              <w:rPr>
                <w:b/>
              </w:rPr>
              <w:t>9.022</w:t>
            </w:r>
          </w:p>
        </w:tc>
        <w:tc>
          <w:tcPr>
            <w:tcW w:w="2465" w:type="dxa"/>
            <w:vAlign w:val="bottom"/>
          </w:tcPr>
          <w:p w:rsidR="00DD0682" w:rsidRDefault="00DD0682" w:rsidP="00DD0682"/>
        </w:tc>
        <w:tc>
          <w:tcPr>
            <w:tcW w:w="2158" w:type="dxa"/>
            <w:vAlign w:val="bottom"/>
          </w:tcPr>
          <w:p w:rsidR="00DD0682" w:rsidRDefault="00DD0682" w:rsidP="00DD0682">
            <w:r>
              <w:tab/>
              <w:t>1/3.646</w:t>
            </w:r>
          </w:p>
        </w:tc>
      </w:tr>
      <w:tr w:rsidR="00DD0682" w:rsidTr="00DD0682">
        <w:tc>
          <w:tcPr>
            <w:tcW w:w="3668" w:type="dxa"/>
          </w:tcPr>
          <w:p w:rsidR="00DD0682" w:rsidRDefault="00DD0682" w:rsidP="00DD0682">
            <w:r>
              <w:t>Personal paramédico</w:t>
            </w:r>
          </w:p>
        </w:tc>
        <w:tc>
          <w:tcPr>
            <w:tcW w:w="1200" w:type="dxa"/>
            <w:vAlign w:val="bottom"/>
          </w:tcPr>
          <w:p w:rsidR="00DD0682" w:rsidRPr="00AE7C07" w:rsidRDefault="00DD0682" w:rsidP="00DD0682">
            <w:pPr>
              <w:tabs>
                <w:tab w:val="decimal" w:pos="868"/>
              </w:tabs>
              <w:rPr>
                <w:b/>
              </w:rPr>
            </w:pPr>
            <w:r w:rsidRPr="00AE7C07">
              <w:rPr>
                <w:b/>
              </w:rPr>
              <w:t>89.705</w:t>
            </w:r>
          </w:p>
        </w:tc>
        <w:tc>
          <w:tcPr>
            <w:tcW w:w="2465" w:type="dxa"/>
            <w:vAlign w:val="bottom"/>
          </w:tcPr>
          <w:p w:rsidR="00DD0682" w:rsidRDefault="00DD0682" w:rsidP="00DD0682">
            <w:r>
              <w:tab/>
              <w:t>1/130</w:t>
            </w:r>
          </w:p>
        </w:tc>
        <w:tc>
          <w:tcPr>
            <w:tcW w:w="2158" w:type="dxa"/>
            <w:vAlign w:val="bottom"/>
          </w:tcPr>
          <w:p w:rsidR="00DD0682" w:rsidRDefault="00DD0682" w:rsidP="00DD0682">
            <w:r>
              <w:tab/>
              <w:t>1/372</w:t>
            </w:r>
          </w:p>
        </w:tc>
      </w:tr>
      <w:tr w:rsidR="00DD0682" w:rsidTr="00DD0682">
        <w:tc>
          <w:tcPr>
            <w:tcW w:w="3668" w:type="dxa"/>
          </w:tcPr>
          <w:p w:rsidR="00DD0682" w:rsidRDefault="00DD0682" w:rsidP="00DD0682">
            <w:pPr>
              <w:ind w:left="284" w:hanging="284"/>
            </w:pPr>
            <w:r>
              <w:tab/>
            </w:r>
            <w:r w:rsidR="009F7163">
              <w:t>D</w:t>
            </w:r>
            <w:r>
              <w:t>e los cuales parteras</w:t>
            </w:r>
          </w:p>
        </w:tc>
        <w:tc>
          <w:tcPr>
            <w:tcW w:w="1200" w:type="dxa"/>
            <w:vAlign w:val="bottom"/>
          </w:tcPr>
          <w:p w:rsidR="00DD0682" w:rsidRPr="00AE7C07" w:rsidRDefault="00DD0682" w:rsidP="00DD0682">
            <w:pPr>
              <w:tabs>
                <w:tab w:val="decimal" w:pos="868"/>
              </w:tabs>
              <w:rPr>
                <w:b/>
              </w:rPr>
            </w:pPr>
            <w:r w:rsidRPr="00AE7C07">
              <w:rPr>
                <w:b/>
              </w:rPr>
              <w:t>9.000</w:t>
            </w:r>
          </w:p>
        </w:tc>
        <w:tc>
          <w:tcPr>
            <w:tcW w:w="2465" w:type="dxa"/>
            <w:vAlign w:val="bottom"/>
          </w:tcPr>
          <w:p w:rsidR="00DD0682" w:rsidRDefault="00DD0682" w:rsidP="00DD0682"/>
        </w:tc>
        <w:tc>
          <w:tcPr>
            <w:tcW w:w="2158" w:type="dxa"/>
            <w:vAlign w:val="bottom"/>
          </w:tcPr>
          <w:p w:rsidR="00DD0682" w:rsidRDefault="00DD0682" w:rsidP="00DD0682">
            <w:r>
              <w:tab/>
              <w:t>1/1.033</w:t>
            </w:r>
            <w:r w:rsidRPr="001B793B">
              <w:rPr>
                <w:b/>
                <w:vertAlign w:val="superscript"/>
              </w:rPr>
              <w:t>a</w:t>
            </w:r>
          </w:p>
        </w:tc>
      </w:tr>
    </w:tbl>
    <w:p w:rsidR="00DD0682" w:rsidRDefault="00DD0682" w:rsidP="00DD0682">
      <w:pPr>
        <w:spacing w:before="240" w:after="480"/>
        <w:rPr>
          <w:bCs/>
          <w:szCs w:val="28"/>
          <w:u w:val="single"/>
        </w:rPr>
      </w:pPr>
      <w:r w:rsidRPr="00807185">
        <w:rPr>
          <w:b/>
          <w:bCs/>
          <w:szCs w:val="28"/>
          <w:vertAlign w:val="superscript"/>
        </w:rPr>
        <w:t>a</w:t>
      </w:r>
      <w:r w:rsidRPr="00807185">
        <w:rPr>
          <w:bCs/>
          <w:szCs w:val="28"/>
        </w:rPr>
        <w:t xml:space="preserve"> </w:t>
      </w:r>
      <w:r>
        <w:rPr>
          <w:bCs/>
          <w:szCs w:val="28"/>
        </w:rPr>
        <w:t>Proporción estimada de parteras para las mujeres en edad reproductiva.</w:t>
      </w:r>
    </w:p>
    <w:p w:rsidR="00DD0682" w:rsidRPr="00700685" w:rsidRDefault="00DD0682" w:rsidP="00DD0682">
      <w:pPr>
        <w:spacing w:after="240"/>
        <w:rPr>
          <w:b/>
          <w:bCs/>
          <w:szCs w:val="28"/>
        </w:rPr>
      </w:pPr>
      <w:r w:rsidRPr="00700685">
        <w:rPr>
          <w:b/>
          <w:bCs/>
          <w:szCs w:val="28"/>
        </w:rPr>
        <w:t>3.</w:t>
      </w:r>
      <w:r w:rsidRPr="00700685">
        <w:rPr>
          <w:b/>
          <w:bCs/>
          <w:szCs w:val="28"/>
        </w:rPr>
        <w:tab/>
        <w:t>Evolución del número de profesionales (1998-2005)</w:t>
      </w:r>
    </w:p>
    <w:tbl>
      <w:tblPr>
        <w:tblStyle w:val="TableGrid"/>
        <w:tblW w:w="0" w:type="auto"/>
        <w:jc w:val="center"/>
        <w:tblInd w:w="146" w:type="dxa"/>
        <w:tblLook w:val="01E0" w:firstRow="1" w:lastRow="1" w:firstColumn="1" w:lastColumn="1" w:noHBand="0" w:noVBand="0"/>
      </w:tblPr>
      <w:tblGrid>
        <w:gridCol w:w="3618"/>
        <w:gridCol w:w="1241"/>
        <w:gridCol w:w="1241"/>
        <w:gridCol w:w="1241"/>
      </w:tblGrid>
      <w:tr w:rsidR="00DD0682" w:rsidRPr="00700685" w:rsidTr="00DD0682">
        <w:trPr>
          <w:jc w:val="center"/>
        </w:trPr>
        <w:tc>
          <w:tcPr>
            <w:tcW w:w="3618" w:type="dxa"/>
            <w:vAlign w:val="center"/>
          </w:tcPr>
          <w:p w:rsidR="00DD0682" w:rsidRPr="0033066A" w:rsidRDefault="00DD0682" w:rsidP="00DD0682">
            <w:pPr>
              <w:jc w:val="center"/>
              <w:rPr>
                <w:b/>
                <w:bCs/>
                <w:szCs w:val="28"/>
              </w:rPr>
            </w:pPr>
            <w:r w:rsidRPr="0033066A">
              <w:rPr>
                <w:b/>
                <w:bCs/>
                <w:szCs w:val="28"/>
              </w:rPr>
              <w:t>Número de profesionales/año</w:t>
            </w:r>
          </w:p>
        </w:tc>
        <w:tc>
          <w:tcPr>
            <w:tcW w:w="1241" w:type="dxa"/>
            <w:vAlign w:val="center"/>
          </w:tcPr>
          <w:p w:rsidR="00DD0682" w:rsidRPr="0033066A" w:rsidRDefault="00DD0682" w:rsidP="00DD0682">
            <w:pPr>
              <w:jc w:val="center"/>
              <w:rPr>
                <w:b/>
                <w:bCs/>
                <w:szCs w:val="28"/>
              </w:rPr>
            </w:pPr>
            <w:r w:rsidRPr="0033066A">
              <w:rPr>
                <w:b/>
                <w:bCs/>
                <w:szCs w:val="28"/>
              </w:rPr>
              <w:t>1998</w:t>
            </w:r>
          </w:p>
        </w:tc>
        <w:tc>
          <w:tcPr>
            <w:tcW w:w="1241" w:type="dxa"/>
            <w:vAlign w:val="center"/>
          </w:tcPr>
          <w:p w:rsidR="00DD0682" w:rsidRPr="0033066A" w:rsidRDefault="00DD0682" w:rsidP="00DD0682">
            <w:pPr>
              <w:jc w:val="center"/>
              <w:rPr>
                <w:b/>
                <w:bCs/>
                <w:szCs w:val="28"/>
              </w:rPr>
            </w:pPr>
            <w:r w:rsidRPr="0033066A">
              <w:rPr>
                <w:b/>
                <w:bCs/>
                <w:szCs w:val="28"/>
              </w:rPr>
              <w:t>2003</w:t>
            </w:r>
          </w:p>
        </w:tc>
        <w:tc>
          <w:tcPr>
            <w:tcW w:w="1241" w:type="dxa"/>
            <w:vAlign w:val="center"/>
          </w:tcPr>
          <w:p w:rsidR="00DD0682" w:rsidRPr="0033066A" w:rsidRDefault="00DD0682" w:rsidP="00DD0682">
            <w:pPr>
              <w:jc w:val="center"/>
              <w:rPr>
                <w:b/>
                <w:bCs/>
                <w:szCs w:val="28"/>
              </w:rPr>
            </w:pPr>
            <w:r w:rsidRPr="0033066A">
              <w:rPr>
                <w:b/>
                <w:bCs/>
                <w:szCs w:val="28"/>
              </w:rPr>
              <w:t>2005</w:t>
            </w:r>
          </w:p>
        </w:tc>
      </w:tr>
      <w:tr w:rsidR="00DD0682" w:rsidRPr="00700685" w:rsidTr="00DD0682">
        <w:trPr>
          <w:jc w:val="center"/>
        </w:trPr>
        <w:tc>
          <w:tcPr>
            <w:tcW w:w="3618" w:type="dxa"/>
          </w:tcPr>
          <w:p w:rsidR="00DD0682" w:rsidRPr="00700685" w:rsidRDefault="00DD0682" w:rsidP="00DD0682">
            <w:pPr>
              <w:rPr>
                <w:bCs/>
                <w:szCs w:val="28"/>
              </w:rPr>
            </w:pPr>
            <w:r>
              <w:rPr>
                <w:bCs/>
                <w:szCs w:val="28"/>
              </w:rPr>
              <w:t>Total de profesionales</w:t>
            </w:r>
          </w:p>
        </w:tc>
        <w:tc>
          <w:tcPr>
            <w:tcW w:w="1241" w:type="dxa"/>
          </w:tcPr>
          <w:p w:rsidR="00DD0682" w:rsidRPr="00700685" w:rsidRDefault="00DD0682" w:rsidP="00DD0682">
            <w:pPr>
              <w:tabs>
                <w:tab w:val="decimal" w:pos="884"/>
              </w:tabs>
              <w:rPr>
                <w:bCs/>
                <w:szCs w:val="28"/>
              </w:rPr>
            </w:pPr>
            <w:r>
              <w:rPr>
                <w:bCs/>
                <w:szCs w:val="28"/>
              </w:rPr>
              <w:t>25.985</w:t>
            </w:r>
          </w:p>
        </w:tc>
        <w:tc>
          <w:tcPr>
            <w:tcW w:w="1241" w:type="dxa"/>
          </w:tcPr>
          <w:p w:rsidR="00DD0682" w:rsidRPr="00700685" w:rsidRDefault="00DD0682" w:rsidP="00DD0682">
            <w:pPr>
              <w:tabs>
                <w:tab w:val="decimal" w:pos="884"/>
              </w:tabs>
              <w:rPr>
                <w:bCs/>
                <w:szCs w:val="28"/>
              </w:rPr>
            </w:pPr>
            <w:r>
              <w:rPr>
                <w:bCs/>
                <w:szCs w:val="28"/>
              </w:rPr>
              <w:t>28.304</w:t>
            </w:r>
          </w:p>
        </w:tc>
        <w:tc>
          <w:tcPr>
            <w:tcW w:w="1241" w:type="dxa"/>
          </w:tcPr>
          <w:p w:rsidR="00DD0682" w:rsidRPr="00700685" w:rsidRDefault="00DD0682" w:rsidP="00DD0682">
            <w:pPr>
              <w:tabs>
                <w:tab w:val="decimal" w:pos="884"/>
              </w:tabs>
              <w:rPr>
                <w:bCs/>
                <w:szCs w:val="28"/>
              </w:rPr>
            </w:pPr>
            <w:r>
              <w:rPr>
                <w:bCs/>
                <w:szCs w:val="28"/>
              </w:rPr>
              <w:t>49.078</w:t>
            </w:r>
          </w:p>
        </w:tc>
      </w:tr>
      <w:tr w:rsidR="00DD0682" w:rsidRPr="00700685" w:rsidTr="00DD0682">
        <w:trPr>
          <w:jc w:val="center"/>
        </w:trPr>
        <w:tc>
          <w:tcPr>
            <w:tcW w:w="3618" w:type="dxa"/>
          </w:tcPr>
          <w:p w:rsidR="00DD0682" w:rsidRDefault="00DD0682" w:rsidP="00DD0682">
            <w:pPr>
              <w:rPr>
                <w:bCs/>
                <w:szCs w:val="28"/>
              </w:rPr>
            </w:pPr>
            <w:r>
              <w:rPr>
                <w:bCs/>
                <w:szCs w:val="28"/>
              </w:rPr>
              <w:t>Médicos generalistas</w:t>
            </w:r>
          </w:p>
        </w:tc>
        <w:tc>
          <w:tcPr>
            <w:tcW w:w="1241" w:type="dxa"/>
          </w:tcPr>
          <w:p w:rsidR="00DD0682" w:rsidRDefault="00DD0682" w:rsidP="00DD0682">
            <w:pPr>
              <w:tabs>
                <w:tab w:val="decimal" w:pos="884"/>
              </w:tabs>
              <w:rPr>
                <w:bCs/>
                <w:szCs w:val="28"/>
              </w:rPr>
            </w:pPr>
            <w:r>
              <w:rPr>
                <w:bCs/>
                <w:szCs w:val="28"/>
              </w:rPr>
              <w:t>16.783</w:t>
            </w:r>
          </w:p>
        </w:tc>
        <w:tc>
          <w:tcPr>
            <w:tcW w:w="1241" w:type="dxa"/>
          </w:tcPr>
          <w:p w:rsidR="00DD0682" w:rsidRDefault="00DD0682" w:rsidP="00DD0682">
            <w:pPr>
              <w:tabs>
                <w:tab w:val="decimal" w:pos="884"/>
              </w:tabs>
              <w:rPr>
                <w:bCs/>
                <w:szCs w:val="28"/>
              </w:rPr>
            </w:pPr>
            <w:r>
              <w:rPr>
                <w:bCs/>
                <w:szCs w:val="28"/>
              </w:rPr>
              <w:t>18.348</w:t>
            </w:r>
          </w:p>
        </w:tc>
        <w:tc>
          <w:tcPr>
            <w:tcW w:w="1241" w:type="dxa"/>
          </w:tcPr>
          <w:p w:rsidR="00DD0682" w:rsidRDefault="00DD0682" w:rsidP="00DD0682">
            <w:pPr>
              <w:tabs>
                <w:tab w:val="decimal" w:pos="884"/>
              </w:tabs>
              <w:rPr>
                <w:bCs/>
                <w:szCs w:val="28"/>
              </w:rPr>
            </w:pPr>
            <w:r>
              <w:rPr>
                <w:bCs/>
                <w:szCs w:val="28"/>
              </w:rPr>
              <w:t>18.842</w:t>
            </w:r>
          </w:p>
        </w:tc>
      </w:tr>
      <w:tr w:rsidR="00DD0682" w:rsidRPr="00700685" w:rsidTr="00DD0682">
        <w:trPr>
          <w:jc w:val="center"/>
        </w:trPr>
        <w:tc>
          <w:tcPr>
            <w:tcW w:w="3618" w:type="dxa"/>
          </w:tcPr>
          <w:p w:rsidR="00DD0682" w:rsidRDefault="00DD0682" w:rsidP="00DD0682">
            <w:pPr>
              <w:rPr>
                <w:bCs/>
                <w:szCs w:val="28"/>
              </w:rPr>
            </w:pPr>
            <w:r>
              <w:rPr>
                <w:bCs/>
                <w:szCs w:val="28"/>
              </w:rPr>
              <w:t>Médicos especialistas</w:t>
            </w:r>
          </w:p>
        </w:tc>
        <w:tc>
          <w:tcPr>
            <w:tcW w:w="1241" w:type="dxa"/>
          </w:tcPr>
          <w:p w:rsidR="00DD0682" w:rsidRDefault="00DD0682" w:rsidP="00DD0682">
            <w:pPr>
              <w:tabs>
                <w:tab w:val="decimal" w:pos="884"/>
              </w:tabs>
              <w:rPr>
                <w:bCs/>
                <w:szCs w:val="28"/>
              </w:rPr>
            </w:pPr>
            <w:r>
              <w:rPr>
                <w:bCs/>
                <w:szCs w:val="28"/>
              </w:rPr>
              <w:t>9.202</w:t>
            </w:r>
          </w:p>
        </w:tc>
        <w:tc>
          <w:tcPr>
            <w:tcW w:w="1241" w:type="dxa"/>
          </w:tcPr>
          <w:p w:rsidR="00DD0682" w:rsidRDefault="00DD0682" w:rsidP="00DD0682">
            <w:pPr>
              <w:tabs>
                <w:tab w:val="decimal" w:pos="884"/>
              </w:tabs>
              <w:rPr>
                <w:bCs/>
                <w:szCs w:val="28"/>
              </w:rPr>
            </w:pPr>
            <w:r>
              <w:rPr>
                <w:bCs/>
                <w:szCs w:val="28"/>
              </w:rPr>
              <w:t>9.851</w:t>
            </w:r>
          </w:p>
        </w:tc>
        <w:tc>
          <w:tcPr>
            <w:tcW w:w="1241" w:type="dxa"/>
          </w:tcPr>
          <w:p w:rsidR="00DD0682" w:rsidRDefault="00DD0682" w:rsidP="00DD0682">
            <w:pPr>
              <w:tabs>
                <w:tab w:val="decimal" w:pos="884"/>
              </w:tabs>
              <w:rPr>
                <w:bCs/>
                <w:szCs w:val="28"/>
              </w:rPr>
            </w:pPr>
            <w:r>
              <w:rPr>
                <w:bCs/>
                <w:szCs w:val="28"/>
              </w:rPr>
              <w:t>11.370</w:t>
            </w:r>
          </w:p>
        </w:tc>
      </w:tr>
      <w:tr w:rsidR="00DD0682" w:rsidRPr="00700685" w:rsidTr="00DD0682">
        <w:trPr>
          <w:jc w:val="center"/>
        </w:trPr>
        <w:tc>
          <w:tcPr>
            <w:tcW w:w="3618" w:type="dxa"/>
          </w:tcPr>
          <w:p w:rsidR="00DD0682" w:rsidRDefault="00DD0682" w:rsidP="00DD0682">
            <w:pPr>
              <w:rPr>
                <w:bCs/>
                <w:szCs w:val="28"/>
              </w:rPr>
            </w:pPr>
            <w:r>
              <w:rPr>
                <w:bCs/>
                <w:szCs w:val="28"/>
              </w:rPr>
              <w:t>Pediatras</w:t>
            </w:r>
          </w:p>
        </w:tc>
        <w:tc>
          <w:tcPr>
            <w:tcW w:w="1241" w:type="dxa"/>
          </w:tcPr>
          <w:p w:rsidR="00DD0682" w:rsidRDefault="00DD0682" w:rsidP="00DD0682">
            <w:pPr>
              <w:tabs>
                <w:tab w:val="decimal" w:pos="884"/>
              </w:tabs>
              <w:rPr>
                <w:bCs/>
                <w:szCs w:val="28"/>
              </w:rPr>
            </w:pPr>
            <w:r>
              <w:rPr>
                <w:bCs/>
                <w:szCs w:val="28"/>
              </w:rPr>
              <w:t>687</w:t>
            </w:r>
          </w:p>
        </w:tc>
        <w:tc>
          <w:tcPr>
            <w:tcW w:w="1241" w:type="dxa"/>
          </w:tcPr>
          <w:p w:rsidR="00DD0682" w:rsidRDefault="00DD0682" w:rsidP="00DD0682">
            <w:pPr>
              <w:tabs>
                <w:tab w:val="decimal" w:pos="884"/>
              </w:tabs>
              <w:rPr>
                <w:bCs/>
                <w:szCs w:val="28"/>
              </w:rPr>
            </w:pPr>
            <w:r>
              <w:rPr>
                <w:bCs/>
                <w:szCs w:val="28"/>
              </w:rPr>
              <w:t>865</w:t>
            </w:r>
          </w:p>
        </w:tc>
        <w:tc>
          <w:tcPr>
            <w:tcW w:w="1241" w:type="dxa"/>
          </w:tcPr>
          <w:p w:rsidR="00DD0682" w:rsidRDefault="00DD0682" w:rsidP="00DD0682">
            <w:pPr>
              <w:tabs>
                <w:tab w:val="decimal" w:pos="884"/>
              </w:tabs>
              <w:rPr>
                <w:bCs/>
                <w:szCs w:val="28"/>
              </w:rPr>
            </w:pPr>
            <w:r>
              <w:rPr>
                <w:bCs/>
                <w:szCs w:val="28"/>
              </w:rPr>
              <w:t>1.000</w:t>
            </w:r>
          </w:p>
        </w:tc>
      </w:tr>
      <w:tr w:rsidR="00DD0682" w:rsidRPr="00700685" w:rsidTr="00DD0682">
        <w:trPr>
          <w:jc w:val="center"/>
        </w:trPr>
        <w:tc>
          <w:tcPr>
            <w:tcW w:w="3618" w:type="dxa"/>
          </w:tcPr>
          <w:p w:rsidR="00DD0682" w:rsidRDefault="00DD0682" w:rsidP="00DD0682">
            <w:pPr>
              <w:rPr>
                <w:bCs/>
                <w:szCs w:val="28"/>
              </w:rPr>
            </w:pPr>
            <w:r>
              <w:rPr>
                <w:bCs/>
                <w:szCs w:val="28"/>
              </w:rPr>
              <w:t>Ginecólogos</w:t>
            </w:r>
          </w:p>
        </w:tc>
        <w:tc>
          <w:tcPr>
            <w:tcW w:w="1241" w:type="dxa"/>
          </w:tcPr>
          <w:p w:rsidR="00DD0682" w:rsidRDefault="00DD0682" w:rsidP="00DD0682">
            <w:pPr>
              <w:tabs>
                <w:tab w:val="decimal" w:pos="884"/>
              </w:tabs>
              <w:rPr>
                <w:bCs/>
                <w:szCs w:val="28"/>
              </w:rPr>
            </w:pPr>
            <w:r>
              <w:rPr>
                <w:bCs/>
                <w:szCs w:val="28"/>
              </w:rPr>
              <w:t>740</w:t>
            </w:r>
          </w:p>
        </w:tc>
        <w:tc>
          <w:tcPr>
            <w:tcW w:w="1241" w:type="dxa"/>
          </w:tcPr>
          <w:p w:rsidR="00DD0682" w:rsidRDefault="00DD0682" w:rsidP="00DD0682">
            <w:pPr>
              <w:tabs>
                <w:tab w:val="decimal" w:pos="884"/>
              </w:tabs>
              <w:rPr>
                <w:bCs/>
                <w:szCs w:val="28"/>
              </w:rPr>
            </w:pPr>
            <w:r>
              <w:rPr>
                <w:bCs/>
                <w:szCs w:val="28"/>
              </w:rPr>
              <w:t>1.009</w:t>
            </w:r>
          </w:p>
        </w:tc>
        <w:tc>
          <w:tcPr>
            <w:tcW w:w="1241" w:type="dxa"/>
          </w:tcPr>
          <w:p w:rsidR="00DD0682" w:rsidRDefault="00DD0682" w:rsidP="00DD0682">
            <w:pPr>
              <w:tabs>
                <w:tab w:val="decimal" w:pos="884"/>
              </w:tabs>
              <w:rPr>
                <w:bCs/>
                <w:szCs w:val="28"/>
              </w:rPr>
            </w:pPr>
            <w:r>
              <w:rPr>
                <w:bCs/>
                <w:szCs w:val="28"/>
              </w:rPr>
              <w:t>1.100</w:t>
            </w:r>
          </w:p>
        </w:tc>
      </w:tr>
      <w:tr w:rsidR="00DD0682" w:rsidRPr="00700685" w:rsidTr="00DD0682">
        <w:trPr>
          <w:jc w:val="center"/>
        </w:trPr>
        <w:tc>
          <w:tcPr>
            <w:tcW w:w="3618" w:type="dxa"/>
          </w:tcPr>
          <w:p w:rsidR="00DD0682" w:rsidRDefault="00DD0682" w:rsidP="00DD0682">
            <w:pPr>
              <w:rPr>
                <w:bCs/>
                <w:szCs w:val="28"/>
              </w:rPr>
            </w:pPr>
            <w:r>
              <w:rPr>
                <w:bCs/>
                <w:szCs w:val="28"/>
              </w:rPr>
              <w:t>Cirujanos dentistas</w:t>
            </w:r>
          </w:p>
        </w:tc>
        <w:tc>
          <w:tcPr>
            <w:tcW w:w="1241" w:type="dxa"/>
          </w:tcPr>
          <w:p w:rsidR="00DD0682" w:rsidRDefault="00DD0682" w:rsidP="00DD0682">
            <w:pPr>
              <w:tabs>
                <w:tab w:val="decimal" w:pos="884"/>
              </w:tabs>
              <w:rPr>
                <w:bCs/>
                <w:szCs w:val="28"/>
              </w:rPr>
            </w:pPr>
            <w:r>
              <w:rPr>
                <w:bCs/>
                <w:szCs w:val="28"/>
              </w:rPr>
              <w:t>7.934</w:t>
            </w:r>
          </w:p>
        </w:tc>
        <w:tc>
          <w:tcPr>
            <w:tcW w:w="1241" w:type="dxa"/>
          </w:tcPr>
          <w:p w:rsidR="00DD0682" w:rsidRDefault="00DD0682" w:rsidP="00DD0682">
            <w:pPr>
              <w:tabs>
                <w:tab w:val="decimal" w:pos="884"/>
              </w:tabs>
              <w:rPr>
                <w:bCs/>
                <w:szCs w:val="28"/>
              </w:rPr>
            </w:pPr>
            <w:r>
              <w:rPr>
                <w:bCs/>
                <w:szCs w:val="28"/>
              </w:rPr>
              <w:t>8.443</w:t>
            </w:r>
          </w:p>
        </w:tc>
        <w:tc>
          <w:tcPr>
            <w:tcW w:w="1241" w:type="dxa"/>
          </w:tcPr>
          <w:p w:rsidR="00DD0682" w:rsidRDefault="00DD0682" w:rsidP="00DD0682">
            <w:pPr>
              <w:tabs>
                <w:tab w:val="decimal" w:pos="884"/>
              </w:tabs>
              <w:rPr>
                <w:bCs/>
                <w:szCs w:val="28"/>
              </w:rPr>
            </w:pPr>
            <w:r>
              <w:rPr>
                <w:bCs/>
                <w:szCs w:val="28"/>
              </w:rPr>
              <w:t>9.022</w:t>
            </w:r>
          </w:p>
        </w:tc>
      </w:tr>
      <w:tr w:rsidR="00DD0682" w:rsidRPr="00700685" w:rsidTr="00DD0682">
        <w:trPr>
          <w:jc w:val="center"/>
        </w:trPr>
        <w:tc>
          <w:tcPr>
            <w:tcW w:w="3618" w:type="dxa"/>
          </w:tcPr>
          <w:p w:rsidR="00DD0682" w:rsidRDefault="00DD0682" w:rsidP="00DD0682">
            <w:pPr>
              <w:rPr>
                <w:bCs/>
                <w:szCs w:val="28"/>
              </w:rPr>
            </w:pPr>
            <w:r>
              <w:rPr>
                <w:bCs/>
                <w:szCs w:val="28"/>
              </w:rPr>
              <w:t>Farmacéuticos</w:t>
            </w:r>
          </w:p>
        </w:tc>
        <w:tc>
          <w:tcPr>
            <w:tcW w:w="1241" w:type="dxa"/>
          </w:tcPr>
          <w:p w:rsidR="00DD0682" w:rsidRDefault="00DD0682" w:rsidP="00DD0682">
            <w:pPr>
              <w:tabs>
                <w:tab w:val="decimal" w:pos="884"/>
              </w:tabs>
              <w:rPr>
                <w:bCs/>
                <w:szCs w:val="28"/>
              </w:rPr>
            </w:pPr>
            <w:r>
              <w:rPr>
                <w:bCs/>
                <w:szCs w:val="28"/>
              </w:rPr>
              <w:t>4.278</w:t>
            </w:r>
          </w:p>
        </w:tc>
        <w:tc>
          <w:tcPr>
            <w:tcW w:w="1241" w:type="dxa"/>
          </w:tcPr>
          <w:p w:rsidR="00DD0682" w:rsidRDefault="00DD0682" w:rsidP="00DD0682">
            <w:pPr>
              <w:tabs>
                <w:tab w:val="decimal" w:pos="884"/>
              </w:tabs>
              <w:rPr>
                <w:bCs/>
                <w:szCs w:val="28"/>
              </w:rPr>
            </w:pPr>
            <w:r>
              <w:rPr>
                <w:bCs/>
                <w:szCs w:val="28"/>
              </w:rPr>
              <w:t>5.693</w:t>
            </w:r>
          </w:p>
        </w:tc>
        <w:tc>
          <w:tcPr>
            <w:tcW w:w="1241" w:type="dxa"/>
          </w:tcPr>
          <w:p w:rsidR="00DD0682" w:rsidRDefault="00DD0682" w:rsidP="00DD0682">
            <w:pPr>
              <w:tabs>
                <w:tab w:val="decimal" w:pos="884"/>
              </w:tabs>
              <w:rPr>
                <w:bCs/>
                <w:szCs w:val="28"/>
              </w:rPr>
            </w:pPr>
            <w:r>
              <w:rPr>
                <w:bCs/>
                <w:szCs w:val="28"/>
              </w:rPr>
              <w:t>6.104</w:t>
            </w:r>
          </w:p>
        </w:tc>
      </w:tr>
      <w:tr w:rsidR="00DD0682" w:rsidRPr="00700685" w:rsidTr="00DD0682">
        <w:trPr>
          <w:jc w:val="center"/>
        </w:trPr>
        <w:tc>
          <w:tcPr>
            <w:tcW w:w="3618" w:type="dxa"/>
          </w:tcPr>
          <w:p w:rsidR="00DD0682" w:rsidRDefault="00DD0682" w:rsidP="00DD0682">
            <w:pPr>
              <w:rPr>
                <w:bCs/>
                <w:szCs w:val="28"/>
              </w:rPr>
            </w:pPr>
            <w:r>
              <w:rPr>
                <w:bCs/>
                <w:szCs w:val="28"/>
              </w:rPr>
              <w:t>Personal paramédico</w:t>
            </w:r>
          </w:p>
        </w:tc>
        <w:tc>
          <w:tcPr>
            <w:tcW w:w="1241" w:type="dxa"/>
          </w:tcPr>
          <w:p w:rsidR="00DD0682" w:rsidRDefault="00DD0682" w:rsidP="00DD0682">
            <w:pPr>
              <w:tabs>
                <w:tab w:val="decimal" w:pos="884"/>
              </w:tabs>
              <w:rPr>
                <w:bCs/>
                <w:szCs w:val="28"/>
              </w:rPr>
            </w:pPr>
            <w:r>
              <w:rPr>
                <w:bCs/>
                <w:szCs w:val="28"/>
              </w:rPr>
              <w:t>86.241</w:t>
            </w:r>
          </w:p>
        </w:tc>
        <w:tc>
          <w:tcPr>
            <w:tcW w:w="1241" w:type="dxa"/>
          </w:tcPr>
          <w:p w:rsidR="00DD0682" w:rsidRDefault="00DD0682" w:rsidP="00DD0682">
            <w:pPr>
              <w:tabs>
                <w:tab w:val="decimal" w:pos="884"/>
              </w:tabs>
              <w:rPr>
                <w:bCs/>
                <w:szCs w:val="28"/>
              </w:rPr>
            </w:pPr>
            <w:r>
              <w:rPr>
                <w:bCs/>
                <w:szCs w:val="28"/>
              </w:rPr>
              <w:t>86.205</w:t>
            </w:r>
          </w:p>
        </w:tc>
        <w:tc>
          <w:tcPr>
            <w:tcW w:w="1241" w:type="dxa"/>
          </w:tcPr>
          <w:p w:rsidR="00DD0682" w:rsidRDefault="00DD0682" w:rsidP="00DD0682">
            <w:pPr>
              <w:tabs>
                <w:tab w:val="decimal" w:pos="884"/>
              </w:tabs>
              <w:rPr>
                <w:bCs/>
                <w:szCs w:val="28"/>
              </w:rPr>
            </w:pPr>
            <w:r>
              <w:rPr>
                <w:bCs/>
                <w:szCs w:val="28"/>
              </w:rPr>
              <w:t>89.705</w:t>
            </w:r>
          </w:p>
        </w:tc>
      </w:tr>
      <w:tr w:rsidR="00DD0682" w:rsidRPr="00700685" w:rsidTr="00DD0682">
        <w:trPr>
          <w:jc w:val="center"/>
        </w:trPr>
        <w:tc>
          <w:tcPr>
            <w:tcW w:w="3618" w:type="dxa"/>
          </w:tcPr>
          <w:p w:rsidR="00DD0682" w:rsidRDefault="00DD0682" w:rsidP="00DD0682">
            <w:pPr>
              <w:rPr>
                <w:bCs/>
                <w:szCs w:val="28"/>
              </w:rPr>
            </w:pPr>
            <w:r>
              <w:rPr>
                <w:bCs/>
                <w:szCs w:val="28"/>
              </w:rPr>
              <w:t>Parteras</w:t>
            </w:r>
          </w:p>
        </w:tc>
        <w:tc>
          <w:tcPr>
            <w:tcW w:w="1241" w:type="dxa"/>
          </w:tcPr>
          <w:p w:rsidR="00DD0682" w:rsidRDefault="00DD0682" w:rsidP="00DD0682">
            <w:pPr>
              <w:tabs>
                <w:tab w:val="decimal" w:pos="884"/>
              </w:tabs>
              <w:rPr>
                <w:bCs/>
                <w:szCs w:val="28"/>
              </w:rPr>
            </w:pPr>
            <w:r>
              <w:rPr>
                <w:bCs/>
                <w:szCs w:val="28"/>
              </w:rPr>
              <w:t>5.523</w:t>
            </w:r>
          </w:p>
        </w:tc>
        <w:tc>
          <w:tcPr>
            <w:tcW w:w="1241" w:type="dxa"/>
          </w:tcPr>
          <w:p w:rsidR="00DD0682" w:rsidRDefault="00DD0682" w:rsidP="00DD0682">
            <w:pPr>
              <w:tabs>
                <w:tab w:val="decimal" w:pos="884"/>
              </w:tabs>
              <w:rPr>
                <w:bCs/>
                <w:szCs w:val="28"/>
              </w:rPr>
            </w:pPr>
            <w:r>
              <w:rPr>
                <w:bCs/>
                <w:szCs w:val="28"/>
              </w:rPr>
              <w:t>6.580</w:t>
            </w:r>
          </w:p>
        </w:tc>
        <w:tc>
          <w:tcPr>
            <w:tcW w:w="1241" w:type="dxa"/>
          </w:tcPr>
          <w:p w:rsidR="00DD0682" w:rsidRDefault="00DD0682" w:rsidP="00DD0682">
            <w:pPr>
              <w:tabs>
                <w:tab w:val="decimal" w:pos="884"/>
              </w:tabs>
              <w:rPr>
                <w:bCs/>
                <w:szCs w:val="28"/>
              </w:rPr>
            </w:pPr>
            <w:r>
              <w:rPr>
                <w:bCs/>
                <w:szCs w:val="28"/>
              </w:rPr>
              <w:t>9.000</w:t>
            </w:r>
          </w:p>
        </w:tc>
      </w:tr>
    </w:tbl>
    <w:p w:rsidR="00DD0682" w:rsidRPr="00700685" w:rsidRDefault="00DD0682" w:rsidP="00DD0682">
      <w:pPr>
        <w:spacing w:before="480" w:after="480"/>
        <w:rPr>
          <w:b/>
          <w:bCs/>
          <w:szCs w:val="28"/>
        </w:rPr>
      </w:pPr>
      <w:r w:rsidRPr="00700685">
        <w:rPr>
          <w:b/>
          <w:bCs/>
          <w:szCs w:val="28"/>
        </w:rPr>
        <w:t>4.</w:t>
      </w:r>
      <w:r w:rsidRPr="00700685">
        <w:rPr>
          <w:b/>
          <w:bCs/>
          <w:szCs w:val="28"/>
        </w:rPr>
        <w:tab/>
      </w:r>
      <w:r w:rsidRPr="00333F9F">
        <w:rPr>
          <w:b/>
          <w:szCs w:val="28"/>
        </w:rPr>
        <w:t>Gastos globales de salud</w:t>
      </w:r>
    </w:p>
    <w:tbl>
      <w:tblPr>
        <w:tblStyle w:val="TableGrid"/>
        <w:tblW w:w="0" w:type="auto"/>
        <w:jc w:val="center"/>
        <w:tblLook w:val="01E0" w:firstRow="1" w:lastRow="1" w:firstColumn="1" w:lastColumn="1" w:noHBand="0" w:noVBand="0"/>
      </w:tblPr>
      <w:tblGrid>
        <w:gridCol w:w="5721"/>
        <w:gridCol w:w="1241"/>
        <w:gridCol w:w="1241"/>
        <w:gridCol w:w="1241"/>
      </w:tblGrid>
      <w:tr w:rsidR="00DD0682" w:rsidRPr="00700685" w:rsidTr="00DD0682">
        <w:trPr>
          <w:tblHeader/>
          <w:jc w:val="center"/>
        </w:trPr>
        <w:tc>
          <w:tcPr>
            <w:tcW w:w="5721" w:type="dxa"/>
            <w:vAlign w:val="center"/>
          </w:tcPr>
          <w:p w:rsidR="00DD0682" w:rsidRPr="0033066A" w:rsidRDefault="00DD0682" w:rsidP="00DD0682">
            <w:pPr>
              <w:jc w:val="center"/>
              <w:rPr>
                <w:b/>
                <w:bCs/>
                <w:szCs w:val="28"/>
              </w:rPr>
            </w:pPr>
            <w:r>
              <w:rPr>
                <w:b/>
                <w:bCs/>
                <w:szCs w:val="28"/>
              </w:rPr>
              <w:t>Indicadores</w:t>
            </w:r>
          </w:p>
        </w:tc>
        <w:tc>
          <w:tcPr>
            <w:tcW w:w="1241" w:type="dxa"/>
            <w:vAlign w:val="center"/>
          </w:tcPr>
          <w:p w:rsidR="00DD0682" w:rsidRPr="0033066A" w:rsidRDefault="00DD0682" w:rsidP="00DD0682">
            <w:pPr>
              <w:jc w:val="center"/>
              <w:rPr>
                <w:b/>
                <w:bCs/>
                <w:szCs w:val="28"/>
              </w:rPr>
            </w:pPr>
            <w:r>
              <w:rPr>
                <w:b/>
                <w:bCs/>
                <w:szCs w:val="28"/>
              </w:rPr>
              <w:t>1979</w:t>
            </w:r>
            <w:r w:rsidRPr="00D33012">
              <w:rPr>
                <w:b/>
                <w:bCs/>
                <w:szCs w:val="28"/>
                <w:vertAlign w:val="superscript"/>
              </w:rPr>
              <w:t>a</w:t>
            </w:r>
          </w:p>
        </w:tc>
        <w:tc>
          <w:tcPr>
            <w:tcW w:w="1241" w:type="dxa"/>
            <w:vAlign w:val="center"/>
          </w:tcPr>
          <w:p w:rsidR="00DD0682" w:rsidRPr="0033066A" w:rsidRDefault="00DD0682" w:rsidP="00DD0682">
            <w:pPr>
              <w:jc w:val="center"/>
              <w:rPr>
                <w:b/>
                <w:bCs/>
                <w:szCs w:val="28"/>
              </w:rPr>
            </w:pPr>
            <w:r>
              <w:rPr>
                <w:b/>
                <w:bCs/>
                <w:szCs w:val="28"/>
              </w:rPr>
              <w:t>1999</w:t>
            </w:r>
          </w:p>
        </w:tc>
        <w:tc>
          <w:tcPr>
            <w:tcW w:w="1241" w:type="dxa"/>
            <w:vAlign w:val="center"/>
          </w:tcPr>
          <w:p w:rsidR="00DD0682" w:rsidRPr="0033066A" w:rsidRDefault="00DD0682" w:rsidP="00DD0682">
            <w:pPr>
              <w:jc w:val="center"/>
              <w:rPr>
                <w:b/>
                <w:bCs/>
                <w:szCs w:val="28"/>
              </w:rPr>
            </w:pPr>
            <w:r w:rsidRPr="0033066A">
              <w:rPr>
                <w:b/>
                <w:bCs/>
                <w:szCs w:val="28"/>
              </w:rPr>
              <w:t>2005</w:t>
            </w:r>
          </w:p>
        </w:tc>
      </w:tr>
      <w:tr w:rsidR="00DD0682" w:rsidRPr="00700685" w:rsidTr="00DD0682">
        <w:trPr>
          <w:jc w:val="center"/>
        </w:trPr>
        <w:tc>
          <w:tcPr>
            <w:tcW w:w="5721" w:type="dxa"/>
          </w:tcPr>
          <w:p w:rsidR="00DD0682" w:rsidRPr="00700685" w:rsidRDefault="00DD0682" w:rsidP="00DD0682">
            <w:pPr>
              <w:rPr>
                <w:bCs/>
                <w:szCs w:val="28"/>
              </w:rPr>
            </w:pPr>
            <w:r>
              <w:rPr>
                <w:bCs/>
                <w:szCs w:val="28"/>
              </w:rPr>
              <w:t>PIB en dólares por habitante</w:t>
            </w:r>
          </w:p>
        </w:tc>
        <w:tc>
          <w:tcPr>
            <w:tcW w:w="1241" w:type="dxa"/>
          </w:tcPr>
          <w:p w:rsidR="00DD0682" w:rsidRPr="00700685" w:rsidRDefault="00DD0682" w:rsidP="00DD0682">
            <w:pPr>
              <w:tabs>
                <w:tab w:val="decimal" w:pos="751"/>
              </w:tabs>
              <w:rPr>
                <w:bCs/>
                <w:szCs w:val="28"/>
              </w:rPr>
            </w:pPr>
            <w:r>
              <w:rPr>
                <w:bCs/>
                <w:szCs w:val="28"/>
              </w:rPr>
              <w:t>1.774</w:t>
            </w:r>
          </w:p>
        </w:tc>
        <w:tc>
          <w:tcPr>
            <w:tcW w:w="1241" w:type="dxa"/>
          </w:tcPr>
          <w:p w:rsidR="00DD0682" w:rsidRPr="00700685" w:rsidRDefault="00DD0682" w:rsidP="00DD0682">
            <w:pPr>
              <w:tabs>
                <w:tab w:val="decimal" w:pos="751"/>
              </w:tabs>
              <w:rPr>
                <w:bCs/>
                <w:szCs w:val="28"/>
              </w:rPr>
            </w:pPr>
            <w:r>
              <w:rPr>
                <w:bCs/>
                <w:szCs w:val="28"/>
              </w:rPr>
              <w:t>1.623,3</w:t>
            </w:r>
          </w:p>
        </w:tc>
        <w:tc>
          <w:tcPr>
            <w:tcW w:w="1241" w:type="dxa"/>
          </w:tcPr>
          <w:p w:rsidR="00DD0682" w:rsidRPr="00700685" w:rsidRDefault="00DD0682" w:rsidP="00DD0682">
            <w:pPr>
              <w:tabs>
                <w:tab w:val="decimal" w:pos="751"/>
              </w:tabs>
              <w:rPr>
                <w:bCs/>
                <w:szCs w:val="28"/>
              </w:rPr>
            </w:pPr>
            <w:r>
              <w:rPr>
                <w:bCs/>
                <w:szCs w:val="28"/>
              </w:rPr>
              <w:t>3.219</w:t>
            </w:r>
          </w:p>
        </w:tc>
      </w:tr>
      <w:tr w:rsidR="00DD0682" w:rsidRPr="00700685" w:rsidTr="00DD0682">
        <w:trPr>
          <w:jc w:val="center"/>
        </w:trPr>
        <w:tc>
          <w:tcPr>
            <w:tcW w:w="5721" w:type="dxa"/>
          </w:tcPr>
          <w:p w:rsidR="00DD0682" w:rsidRDefault="00DD0682" w:rsidP="00DD0682">
            <w:pPr>
              <w:rPr>
                <w:bCs/>
                <w:szCs w:val="28"/>
              </w:rPr>
            </w:pPr>
            <w:r>
              <w:rPr>
                <w:bCs/>
                <w:szCs w:val="28"/>
              </w:rPr>
              <w:t>Gastos de salud en porcentaje del PIB</w:t>
            </w:r>
          </w:p>
        </w:tc>
        <w:tc>
          <w:tcPr>
            <w:tcW w:w="1241" w:type="dxa"/>
            <w:vAlign w:val="bottom"/>
          </w:tcPr>
          <w:p w:rsidR="00DD0682" w:rsidRDefault="00DD0682" w:rsidP="00DD0682">
            <w:pPr>
              <w:tabs>
                <w:tab w:val="decimal" w:pos="751"/>
              </w:tabs>
              <w:rPr>
                <w:bCs/>
                <w:szCs w:val="28"/>
              </w:rPr>
            </w:pPr>
            <w:r>
              <w:rPr>
                <w:bCs/>
                <w:szCs w:val="28"/>
              </w:rPr>
              <w:t>3,6</w:t>
            </w:r>
          </w:p>
        </w:tc>
        <w:tc>
          <w:tcPr>
            <w:tcW w:w="1241" w:type="dxa"/>
            <w:vAlign w:val="bottom"/>
          </w:tcPr>
          <w:p w:rsidR="00DD0682" w:rsidRDefault="00DD0682" w:rsidP="00DD0682">
            <w:pPr>
              <w:tabs>
                <w:tab w:val="decimal" w:pos="751"/>
              </w:tabs>
              <w:rPr>
                <w:bCs/>
                <w:szCs w:val="28"/>
              </w:rPr>
            </w:pPr>
            <w:r>
              <w:rPr>
                <w:bCs/>
                <w:szCs w:val="28"/>
              </w:rPr>
              <w:t>3,7</w:t>
            </w:r>
          </w:p>
        </w:tc>
        <w:tc>
          <w:tcPr>
            <w:tcW w:w="1241" w:type="dxa"/>
            <w:vAlign w:val="bottom"/>
          </w:tcPr>
          <w:p w:rsidR="00DD0682" w:rsidRDefault="00DD0682" w:rsidP="00DD0682">
            <w:pPr>
              <w:tabs>
                <w:tab w:val="decimal" w:pos="751"/>
              </w:tabs>
              <w:rPr>
                <w:bCs/>
                <w:szCs w:val="28"/>
              </w:rPr>
            </w:pPr>
            <w:r>
              <w:rPr>
                <w:bCs/>
                <w:szCs w:val="28"/>
              </w:rPr>
              <w:t>4,37</w:t>
            </w:r>
          </w:p>
        </w:tc>
      </w:tr>
      <w:tr w:rsidR="00DD0682" w:rsidRPr="00700685" w:rsidTr="00DD0682">
        <w:trPr>
          <w:jc w:val="center"/>
        </w:trPr>
        <w:tc>
          <w:tcPr>
            <w:tcW w:w="5721" w:type="dxa"/>
          </w:tcPr>
          <w:p w:rsidR="00DD0682" w:rsidRDefault="00DD0682" w:rsidP="00DD0682">
            <w:pPr>
              <w:rPr>
                <w:bCs/>
                <w:szCs w:val="28"/>
              </w:rPr>
            </w:pPr>
            <w:r>
              <w:rPr>
                <w:bCs/>
                <w:szCs w:val="28"/>
              </w:rPr>
              <w:t>Gasto público en salud, en porcentaje de los gastos de salud</w:t>
            </w:r>
          </w:p>
        </w:tc>
        <w:tc>
          <w:tcPr>
            <w:tcW w:w="1241" w:type="dxa"/>
            <w:vAlign w:val="bottom"/>
          </w:tcPr>
          <w:p w:rsidR="00DD0682" w:rsidRDefault="00DD0682" w:rsidP="00DD0682">
            <w:pPr>
              <w:tabs>
                <w:tab w:val="decimal" w:pos="751"/>
              </w:tabs>
              <w:rPr>
                <w:bCs/>
                <w:szCs w:val="28"/>
              </w:rPr>
            </w:pPr>
            <w:r>
              <w:rPr>
                <w:bCs/>
                <w:szCs w:val="28"/>
              </w:rPr>
              <w:t>71,3</w:t>
            </w:r>
          </w:p>
        </w:tc>
        <w:tc>
          <w:tcPr>
            <w:tcW w:w="1241" w:type="dxa"/>
            <w:vAlign w:val="bottom"/>
          </w:tcPr>
          <w:p w:rsidR="00DD0682" w:rsidRDefault="00DD0682" w:rsidP="00DD0682">
            <w:pPr>
              <w:tabs>
                <w:tab w:val="decimal" w:pos="751"/>
              </w:tabs>
              <w:rPr>
                <w:bCs/>
                <w:szCs w:val="28"/>
              </w:rPr>
            </w:pPr>
            <w:r>
              <w:rPr>
                <w:bCs/>
                <w:szCs w:val="28"/>
              </w:rPr>
              <w:t>71,9</w:t>
            </w:r>
          </w:p>
        </w:tc>
        <w:tc>
          <w:tcPr>
            <w:tcW w:w="1241" w:type="dxa"/>
            <w:vAlign w:val="bottom"/>
          </w:tcPr>
          <w:p w:rsidR="00DD0682" w:rsidRDefault="00DD0682" w:rsidP="00DD0682">
            <w:pPr>
              <w:tabs>
                <w:tab w:val="decimal" w:pos="751"/>
              </w:tabs>
              <w:rPr>
                <w:bCs/>
                <w:szCs w:val="28"/>
              </w:rPr>
            </w:pPr>
            <w:r>
              <w:rPr>
                <w:bCs/>
                <w:szCs w:val="28"/>
              </w:rPr>
              <w:t>74,3</w:t>
            </w:r>
          </w:p>
        </w:tc>
      </w:tr>
      <w:tr w:rsidR="00DD0682" w:rsidRPr="00700685" w:rsidTr="00DD0682">
        <w:trPr>
          <w:jc w:val="center"/>
        </w:trPr>
        <w:tc>
          <w:tcPr>
            <w:tcW w:w="5721" w:type="dxa"/>
          </w:tcPr>
          <w:p w:rsidR="00DD0682" w:rsidRDefault="00DD0682" w:rsidP="00DD0682">
            <w:pPr>
              <w:rPr>
                <w:bCs/>
                <w:szCs w:val="28"/>
              </w:rPr>
            </w:pPr>
            <w:r>
              <w:rPr>
                <w:bCs/>
                <w:szCs w:val="28"/>
              </w:rPr>
              <w:t>Gastos de seguridad social en salud, en porcentaje del gasto público en salud</w:t>
            </w:r>
          </w:p>
        </w:tc>
        <w:tc>
          <w:tcPr>
            <w:tcW w:w="1241" w:type="dxa"/>
            <w:vAlign w:val="bottom"/>
          </w:tcPr>
          <w:p w:rsidR="00DD0682" w:rsidRDefault="00DD0682" w:rsidP="00DD0682">
            <w:pPr>
              <w:tabs>
                <w:tab w:val="decimal" w:pos="751"/>
              </w:tabs>
              <w:rPr>
                <w:bCs/>
                <w:szCs w:val="28"/>
              </w:rPr>
            </w:pPr>
            <w:r>
              <w:rPr>
                <w:bCs/>
                <w:szCs w:val="28"/>
              </w:rPr>
              <w:t>38,5</w:t>
            </w:r>
          </w:p>
        </w:tc>
        <w:tc>
          <w:tcPr>
            <w:tcW w:w="1241" w:type="dxa"/>
            <w:vAlign w:val="bottom"/>
          </w:tcPr>
          <w:p w:rsidR="00DD0682" w:rsidRDefault="00DD0682" w:rsidP="00DD0682">
            <w:pPr>
              <w:tabs>
                <w:tab w:val="decimal" w:pos="751"/>
              </w:tabs>
              <w:rPr>
                <w:bCs/>
                <w:szCs w:val="28"/>
              </w:rPr>
            </w:pPr>
            <w:r>
              <w:rPr>
                <w:bCs/>
                <w:szCs w:val="28"/>
              </w:rPr>
              <w:t>40,8</w:t>
            </w:r>
          </w:p>
        </w:tc>
        <w:tc>
          <w:tcPr>
            <w:tcW w:w="1241" w:type="dxa"/>
            <w:vAlign w:val="bottom"/>
          </w:tcPr>
          <w:p w:rsidR="00DD0682" w:rsidRDefault="00DD0682" w:rsidP="00DD0682">
            <w:pPr>
              <w:tabs>
                <w:tab w:val="decimal" w:pos="751"/>
              </w:tabs>
              <w:rPr>
                <w:bCs/>
                <w:szCs w:val="28"/>
              </w:rPr>
            </w:pPr>
            <w:r>
              <w:rPr>
                <w:bCs/>
                <w:szCs w:val="28"/>
              </w:rPr>
              <w:t>45,1</w:t>
            </w:r>
          </w:p>
        </w:tc>
      </w:tr>
      <w:tr w:rsidR="00DD0682" w:rsidRPr="00700685" w:rsidTr="00DD0682">
        <w:trPr>
          <w:jc w:val="center"/>
        </w:trPr>
        <w:tc>
          <w:tcPr>
            <w:tcW w:w="5721" w:type="dxa"/>
          </w:tcPr>
          <w:p w:rsidR="00DD0682" w:rsidRDefault="00DD0682" w:rsidP="00DD0682">
            <w:pPr>
              <w:rPr>
                <w:bCs/>
                <w:szCs w:val="28"/>
              </w:rPr>
            </w:pPr>
            <w:r>
              <w:rPr>
                <w:bCs/>
                <w:szCs w:val="28"/>
              </w:rPr>
              <w:t>Gasto público en salud, en porcentaje del gasto público general</w:t>
            </w:r>
          </w:p>
        </w:tc>
        <w:tc>
          <w:tcPr>
            <w:tcW w:w="1241" w:type="dxa"/>
            <w:vAlign w:val="bottom"/>
          </w:tcPr>
          <w:p w:rsidR="00DD0682" w:rsidRDefault="00DD0682" w:rsidP="00DD0682">
            <w:pPr>
              <w:tabs>
                <w:tab w:val="decimal" w:pos="751"/>
              </w:tabs>
              <w:rPr>
                <w:bCs/>
                <w:szCs w:val="28"/>
              </w:rPr>
            </w:pPr>
            <w:r>
              <w:rPr>
                <w:bCs/>
                <w:szCs w:val="28"/>
              </w:rPr>
              <w:t>7,7</w:t>
            </w:r>
          </w:p>
        </w:tc>
        <w:tc>
          <w:tcPr>
            <w:tcW w:w="1241" w:type="dxa"/>
            <w:vAlign w:val="bottom"/>
          </w:tcPr>
          <w:p w:rsidR="00DD0682" w:rsidRDefault="00DD0682" w:rsidP="00DD0682">
            <w:pPr>
              <w:tabs>
                <w:tab w:val="decimal" w:pos="751"/>
              </w:tabs>
              <w:rPr>
                <w:bCs/>
                <w:szCs w:val="28"/>
              </w:rPr>
            </w:pPr>
            <w:r>
              <w:rPr>
                <w:bCs/>
                <w:szCs w:val="28"/>
              </w:rPr>
              <w:t>9,0</w:t>
            </w:r>
          </w:p>
        </w:tc>
        <w:tc>
          <w:tcPr>
            <w:tcW w:w="1241" w:type="dxa"/>
            <w:vAlign w:val="bottom"/>
          </w:tcPr>
          <w:p w:rsidR="00DD0682" w:rsidRDefault="00DD0682" w:rsidP="00DD0682">
            <w:pPr>
              <w:tabs>
                <w:tab w:val="decimal" w:pos="751"/>
              </w:tabs>
              <w:rPr>
                <w:bCs/>
                <w:szCs w:val="28"/>
              </w:rPr>
            </w:pPr>
            <w:r>
              <w:rPr>
                <w:bCs/>
                <w:szCs w:val="28"/>
              </w:rPr>
              <w:t>9,1</w:t>
            </w:r>
          </w:p>
        </w:tc>
      </w:tr>
      <w:tr w:rsidR="00DD0682" w:rsidRPr="00700685" w:rsidTr="00DD0682">
        <w:trPr>
          <w:jc w:val="center"/>
        </w:trPr>
        <w:tc>
          <w:tcPr>
            <w:tcW w:w="5721" w:type="dxa"/>
          </w:tcPr>
          <w:p w:rsidR="00DD0682" w:rsidRDefault="00DD0682" w:rsidP="00DD0682">
            <w:pPr>
              <w:rPr>
                <w:bCs/>
                <w:szCs w:val="28"/>
              </w:rPr>
            </w:pPr>
            <w:r>
              <w:rPr>
                <w:bCs/>
                <w:szCs w:val="28"/>
              </w:rPr>
              <w:t>Gastos en salud por habitante en dólares de los EE.UU.</w:t>
            </w:r>
          </w:p>
        </w:tc>
        <w:tc>
          <w:tcPr>
            <w:tcW w:w="1241" w:type="dxa"/>
            <w:vAlign w:val="bottom"/>
          </w:tcPr>
          <w:p w:rsidR="00DD0682" w:rsidRDefault="00DD0682" w:rsidP="00DD0682">
            <w:pPr>
              <w:tabs>
                <w:tab w:val="decimal" w:pos="751"/>
              </w:tabs>
              <w:rPr>
                <w:bCs/>
                <w:szCs w:val="28"/>
              </w:rPr>
            </w:pPr>
            <w:r w:rsidRPr="002A0B3A">
              <w:rPr>
                <w:bCs/>
                <w:szCs w:val="28"/>
              </w:rPr>
              <w:t>66</w:t>
            </w:r>
            <w:r>
              <w:rPr>
                <w:b/>
                <w:bCs/>
                <w:szCs w:val="28"/>
                <w:vertAlign w:val="superscript"/>
              </w:rPr>
              <w:t>b</w:t>
            </w:r>
          </w:p>
        </w:tc>
        <w:tc>
          <w:tcPr>
            <w:tcW w:w="1241" w:type="dxa"/>
            <w:vAlign w:val="bottom"/>
          </w:tcPr>
          <w:p w:rsidR="00DD0682" w:rsidRDefault="00DD0682" w:rsidP="00DD0682">
            <w:pPr>
              <w:tabs>
                <w:tab w:val="decimal" w:pos="751"/>
              </w:tabs>
              <w:rPr>
                <w:bCs/>
                <w:szCs w:val="28"/>
              </w:rPr>
            </w:pPr>
            <w:r>
              <w:rPr>
                <w:bCs/>
                <w:szCs w:val="28"/>
              </w:rPr>
              <w:t>61</w:t>
            </w:r>
          </w:p>
        </w:tc>
        <w:tc>
          <w:tcPr>
            <w:tcW w:w="1241" w:type="dxa"/>
            <w:vAlign w:val="bottom"/>
          </w:tcPr>
          <w:p w:rsidR="00DD0682" w:rsidRDefault="00DD0682" w:rsidP="00DD0682">
            <w:pPr>
              <w:tabs>
                <w:tab w:val="decimal" w:pos="751"/>
              </w:tabs>
              <w:rPr>
                <w:bCs/>
                <w:szCs w:val="28"/>
              </w:rPr>
            </w:pPr>
            <w:r>
              <w:rPr>
                <w:bCs/>
                <w:szCs w:val="28"/>
              </w:rPr>
              <w:t>141</w:t>
            </w:r>
          </w:p>
        </w:tc>
      </w:tr>
    </w:tbl>
    <w:p w:rsidR="00DD0682" w:rsidRDefault="00DD0682" w:rsidP="00DD0682">
      <w:pPr>
        <w:spacing w:before="240" w:after="240"/>
        <w:rPr>
          <w:bCs/>
          <w:szCs w:val="28"/>
        </w:rPr>
      </w:pPr>
      <w:r w:rsidRPr="00D33012">
        <w:rPr>
          <w:b/>
          <w:bCs/>
          <w:szCs w:val="28"/>
          <w:vertAlign w:val="superscript"/>
        </w:rPr>
        <w:t>a</w:t>
      </w:r>
      <w:r w:rsidRPr="00D33012">
        <w:rPr>
          <w:bCs/>
          <w:szCs w:val="28"/>
        </w:rPr>
        <w:t xml:space="preserve"> </w:t>
      </w:r>
      <w:r w:rsidRPr="00A47EC7">
        <w:rPr>
          <w:bCs/>
          <w:szCs w:val="28"/>
        </w:rPr>
        <w:t>No se dispone de los datos anteriores</w:t>
      </w:r>
      <w:r>
        <w:rPr>
          <w:bCs/>
          <w:szCs w:val="28"/>
        </w:rPr>
        <w:t>.</w:t>
      </w:r>
    </w:p>
    <w:p w:rsidR="00DD0682" w:rsidRDefault="00DD0682" w:rsidP="00DD0682">
      <w:pPr>
        <w:spacing w:after="480"/>
        <w:rPr>
          <w:b/>
          <w:szCs w:val="28"/>
        </w:rPr>
      </w:pPr>
      <w:r>
        <w:rPr>
          <w:b/>
          <w:bCs/>
          <w:szCs w:val="28"/>
          <w:vertAlign w:val="superscript"/>
        </w:rPr>
        <w:t>b</w:t>
      </w:r>
      <w:r w:rsidRPr="00D33012">
        <w:rPr>
          <w:bCs/>
          <w:szCs w:val="28"/>
        </w:rPr>
        <w:t xml:space="preserve"> </w:t>
      </w:r>
      <w:r w:rsidRPr="00A47EC7">
        <w:rPr>
          <w:bCs/>
          <w:szCs w:val="28"/>
        </w:rPr>
        <w:t>T</w:t>
      </w:r>
      <w:r>
        <w:rPr>
          <w:bCs/>
          <w:szCs w:val="28"/>
        </w:rPr>
        <w:t>ipo</w:t>
      </w:r>
      <w:r w:rsidRPr="00A47EC7">
        <w:rPr>
          <w:bCs/>
          <w:szCs w:val="28"/>
        </w:rPr>
        <w:t xml:space="preserve"> de cambio del dólar</w:t>
      </w:r>
      <w:r>
        <w:rPr>
          <w:bCs/>
          <w:szCs w:val="28"/>
        </w:rPr>
        <w:t xml:space="preserve"> de los EE.UU. </w:t>
      </w:r>
      <w:r w:rsidRPr="00A47EC7">
        <w:rPr>
          <w:bCs/>
          <w:szCs w:val="28"/>
        </w:rPr>
        <w:t>a 3,8 en 1979 frente a 66,5 en 1999</w:t>
      </w:r>
      <w:r>
        <w:rPr>
          <w:bCs/>
          <w:szCs w:val="28"/>
        </w:rPr>
        <w:t>.</w:t>
      </w:r>
    </w:p>
    <w:p w:rsidR="00DD0682" w:rsidRPr="00333F9F" w:rsidRDefault="00DD0682" w:rsidP="009F7163">
      <w:pPr>
        <w:keepNext/>
        <w:keepLines/>
        <w:spacing w:after="240"/>
        <w:jc w:val="center"/>
        <w:rPr>
          <w:b/>
          <w:szCs w:val="28"/>
        </w:rPr>
      </w:pPr>
      <w:r w:rsidRPr="00333F9F">
        <w:rPr>
          <w:b/>
          <w:bCs/>
          <w:szCs w:val="28"/>
        </w:rPr>
        <w:t>B.  Política nacional de acceso a la atención de salud</w:t>
      </w:r>
    </w:p>
    <w:p w:rsidR="00DD0682" w:rsidRPr="00333F9F" w:rsidRDefault="00DD0682" w:rsidP="009F7163">
      <w:pPr>
        <w:keepNext/>
        <w:keepLines/>
        <w:spacing w:after="240"/>
        <w:ind w:left="567" w:hanging="567"/>
        <w:rPr>
          <w:b/>
          <w:bCs/>
          <w:szCs w:val="28"/>
        </w:rPr>
      </w:pPr>
      <w:r w:rsidRPr="00333F9F">
        <w:rPr>
          <w:b/>
          <w:bCs/>
          <w:szCs w:val="28"/>
        </w:rPr>
        <w:t>1.</w:t>
      </w:r>
      <w:r w:rsidRPr="00333F9F">
        <w:rPr>
          <w:b/>
          <w:bCs/>
          <w:szCs w:val="28"/>
        </w:rPr>
        <w:tab/>
        <w:t>Acceso a la atención de salud con arreglo a los datos de la encuesta argelina sobre el nivel de vida y la medida de la pobreza</w:t>
      </w:r>
    </w:p>
    <w:p w:rsidR="00DD0682" w:rsidRDefault="00DD0682" w:rsidP="00DD0682">
      <w:pPr>
        <w:spacing w:after="240"/>
        <w:rPr>
          <w:szCs w:val="28"/>
        </w:rPr>
      </w:pPr>
      <w:r>
        <w:rPr>
          <w:szCs w:val="28"/>
        </w:rPr>
        <w:t>255.</w:t>
      </w:r>
      <w:r>
        <w:rPr>
          <w:szCs w:val="28"/>
        </w:rPr>
        <w:tab/>
      </w:r>
      <w:r w:rsidRPr="00A47EC7">
        <w:rPr>
          <w:szCs w:val="28"/>
        </w:rPr>
        <w:t xml:space="preserve">La estructura de los gastos no alimentarios indica que, para todos los hogares encuestados, los gastos de vivienda ocupan el primer lugar (23,6%), seguidos de los gastos de transporte y comunicaciones (16,45%) y los gastos de salud (15,9%). En lo que respecta a los quintiles y, comparando los quintiles 1 y 5, </w:t>
      </w:r>
      <w:r>
        <w:rPr>
          <w:szCs w:val="28"/>
        </w:rPr>
        <w:t>es de</w:t>
      </w:r>
      <w:r w:rsidRPr="00A47EC7">
        <w:rPr>
          <w:szCs w:val="28"/>
        </w:rPr>
        <w:t xml:space="preserve"> señalar que las familias del quinto quintil dedican casi la mitad de su presupuesto (49,40%) a los gastos no alimentarios</w:t>
      </w:r>
      <w:r>
        <w:rPr>
          <w:szCs w:val="28"/>
        </w:rPr>
        <w:t>,</w:t>
      </w:r>
      <w:r w:rsidRPr="00A47EC7">
        <w:rPr>
          <w:szCs w:val="28"/>
        </w:rPr>
        <w:t xml:space="preserve"> frente al 31,57% </w:t>
      </w:r>
      <w:r>
        <w:rPr>
          <w:szCs w:val="28"/>
        </w:rPr>
        <w:t xml:space="preserve">en el caso de </w:t>
      </w:r>
      <w:r w:rsidRPr="00A47EC7">
        <w:rPr>
          <w:szCs w:val="28"/>
        </w:rPr>
        <w:t>familias comprendidas en el primer quintil, es decir</w:t>
      </w:r>
      <w:r>
        <w:rPr>
          <w:szCs w:val="28"/>
        </w:rPr>
        <w:t>,</w:t>
      </w:r>
      <w:r w:rsidRPr="00A47EC7">
        <w:rPr>
          <w:szCs w:val="28"/>
        </w:rPr>
        <w:t xml:space="preserve"> una diferencia de casi 20 puntos. </w:t>
      </w:r>
      <w:r>
        <w:rPr>
          <w:szCs w:val="28"/>
        </w:rPr>
        <w:t xml:space="preserve"> </w:t>
      </w:r>
      <w:r w:rsidRPr="00A47EC7">
        <w:rPr>
          <w:szCs w:val="28"/>
        </w:rPr>
        <w:t xml:space="preserve">En </w:t>
      </w:r>
      <w:r>
        <w:rPr>
          <w:szCs w:val="28"/>
        </w:rPr>
        <w:t>cuanto</w:t>
      </w:r>
      <w:r w:rsidRPr="00A47EC7">
        <w:rPr>
          <w:szCs w:val="28"/>
        </w:rPr>
        <w:t xml:space="preserve"> al acceso a los servicios de atención de salud, cabe destacar que:</w:t>
      </w:r>
    </w:p>
    <w:p w:rsidR="00DD0682" w:rsidRDefault="00DD0682" w:rsidP="00DD0682">
      <w:pPr>
        <w:spacing w:after="240"/>
        <w:ind w:left="1134" w:hanging="567"/>
        <w:rPr>
          <w:szCs w:val="28"/>
        </w:rPr>
      </w:pPr>
      <w:r>
        <w:rPr>
          <w:szCs w:val="28"/>
        </w:rPr>
        <w:t>a)</w:t>
      </w:r>
      <w:r>
        <w:rPr>
          <w:szCs w:val="28"/>
        </w:rPr>
        <w:tab/>
      </w:r>
      <w:r w:rsidRPr="00A47EC7">
        <w:rPr>
          <w:szCs w:val="28"/>
        </w:rPr>
        <w:t>El hospital</w:t>
      </w:r>
      <w:r>
        <w:rPr>
          <w:szCs w:val="28"/>
        </w:rPr>
        <w:t xml:space="preserve">, </w:t>
      </w:r>
      <w:r w:rsidRPr="00A47EC7">
        <w:rPr>
          <w:szCs w:val="28"/>
        </w:rPr>
        <w:t>que representa el extremo de la pirámide</w:t>
      </w:r>
      <w:r>
        <w:rPr>
          <w:szCs w:val="28"/>
        </w:rPr>
        <w:t xml:space="preserve"> </w:t>
      </w:r>
      <w:r w:rsidRPr="00A47EC7">
        <w:rPr>
          <w:szCs w:val="28"/>
        </w:rPr>
        <w:t xml:space="preserve">en la jerarquía de la atención sanitaria, es el establecimiento sanitario más utilizado por las familias (18,15%). </w:t>
      </w:r>
      <w:r>
        <w:rPr>
          <w:szCs w:val="28"/>
        </w:rPr>
        <w:t xml:space="preserve"> </w:t>
      </w:r>
      <w:r w:rsidRPr="00A47EC7">
        <w:rPr>
          <w:szCs w:val="28"/>
        </w:rPr>
        <w:t xml:space="preserve">Además, el acceso es </w:t>
      </w:r>
      <w:r>
        <w:rPr>
          <w:szCs w:val="28"/>
        </w:rPr>
        <w:t>clara</w:t>
      </w:r>
      <w:r w:rsidRPr="00A47EC7">
        <w:rPr>
          <w:szCs w:val="28"/>
        </w:rPr>
        <w:t>mente más favorable para los sectores más desfavorecidos (24,06% para el primer quintil y 15,17% para el quinto)</w:t>
      </w:r>
      <w:r>
        <w:rPr>
          <w:szCs w:val="28"/>
        </w:rPr>
        <w:t>;</w:t>
      </w:r>
    </w:p>
    <w:p w:rsidR="00DD0682" w:rsidRDefault="00DD0682" w:rsidP="00DD0682">
      <w:pPr>
        <w:spacing w:after="240"/>
        <w:ind w:left="1134" w:hanging="567"/>
        <w:rPr>
          <w:szCs w:val="28"/>
        </w:rPr>
      </w:pPr>
      <w:r>
        <w:rPr>
          <w:szCs w:val="28"/>
        </w:rPr>
        <w:t>b)</w:t>
      </w:r>
      <w:r>
        <w:rPr>
          <w:szCs w:val="28"/>
        </w:rPr>
        <w:tab/>
      </w:r>
      <w:r w:rsidRPr="00A47EC7">
        <w:rPr>
          <w:szCs w:val="28"/>
        </w:rPr>
        <w:t>El 2,32% de las familias acude al dispensario</w:t>
      </w:r>
      <w:r>
        <w:rPr>
          <w:szCs w:val="28"/>
        </w:rPr>
        <w:t>,</w:t>
      </w:r>
      <w:r w:rsidRPr="00A47EC7">
        <w:rPr>
          <w:szCs w:val="28"/>
        </w:rPr>
        <w:t xml:space="preserve"> el 3,50% al centro de salud</w:t>
      </w:r>
      <w:r>
        <w:rPr>
          <w:szCs w:val="28"/>
        </w:rPr>
        <w:t>,</w:t>
      </w:r>
      <w:r w:rsidRPr="00A47EC7">
        <w:rPr>
          <w:szCs w:val="28"/>
        </w:rPr>
        <w:t xml:space="preserve"> el 7,52% a la policlínica y el 4,75% a las maternidades.</w:t>
      </w:r>
      <w:r>
        <w:rPr>
          <w:szCs w:val="28"/>
        </w:rPr>
        <w:t xml:space="preserve"> </w:t>
      </w:r>
      <w:r w:rsidRPr="00A47EC7">
        <w:rPr>
          <w:szCs w:val="28"/>
        </w:rPr>
        <w:t xml:space="preserve"> Sólo el 0,65% de las familias recurre a las clínicas privadas (0,40% para el </w:t>
      </w:r>
      <w:r>
        <w:rPr>
          <w:szCs w:val="28"/>
        </w:rPr>
        <w:t xml:space="preserve">primer </w:t>
      </w:r>
      <w:r w:rsidRPr="00A47EC7">
        <w:rPr>
          <w:szCs w:val="28"/>
        </w:rPr>
        <w:t xml:space="preserve">quintil y 0,81% para el </w:t>
      </w:r>
      <w:r>
        <w:rPr>
          <w:szCs w:val="28"/>
        </w:rPr>
        <w:t>quinto quintil).</w:t>
      </w:r>
    </w:p>
    <w:p w:rsidR="00DD0682" w:rsidRDefault="00DD0682" w:rsidP="00E74027">
      <w:pPr>
        <w:spacing w:after="240"/>
        <w:rPr>
          <w:szCs w:val="28"/>
        </w:rPr>
      </w:pPr>
      <w:r>
        <w:rPr>
          <w:szCs w:val="28"/>
        </w:rPr>
        <w:t>256.</w:t>
      </w:r>
      <w:r>
        <w:rPr>
          <w:szCs w:val="28"/>
        </w:rPr>
        <w:tab/>
      </w:r>
      <w:r w:rsidRPr="00A47EC7">
        <w:rPr>
          <w:szCs w:val="28"/>
        </w:rPr>
        <w:t xml:space="preserve">En resumen, los establecimientos hospitalarios son claramente más accesibles y más utilizados (18,15%) que los establecimientos </w:t>
      </w:r>
      <w:r>
        <w:rPr>
          <w:szCs w:val="28"/>
        </w:rPr>
        <w:t xml:space="preserve">no </w:t>
      </w:r>
      <w:r w:rsidRPr="00A47EC7">
        <w:rPr>
          <w:szCs w:val="28"/>
        </w:rPr>
        <w:t xml:space="preserve">hospitalarios (13,32%). </w:t>
      </w:r>
      <w:r>
        <w:rPr>
          <w:szCs w:val="28"/>
        </w:rPr>
        <w:t xml:space="preserve"> </w:t>
      </w:r>
      <w:r w:rsidRPr="00A47EC7">
        <w:rPr>
          <w:szCs w:val="28"/>
        </w:rPr>
        <w:t>Las instituciones privadas</w:t>
      </w:r>
      <w:r>
        <w:rPr>
          <w:szCs w:val="28"/>
        </w:rPr>
        <w:t xml:space="preserve"> siguen siendo</w:t>
      </w:r>
      <w:r w:rsidRPr="00A47EC7">
        <w:rPr>
          <w:szCs w:val="28"/>
        </w:rPr>
        <w:t xml:space="preserve"> muy poco competitivas en lo que respecta a la disponibilidad de servicios y la oferta de atención de salud. </w:t>
      </w:r>
    </w:p>
    <w:p w:rsidR="00DD0682" w:rsidRPr="00A47EC7" w:rsidRDefault="00DD0682" w:rsidP="00E74027">
      <w:pPr>
        <w:spacing w:after="240"/>
        <w:rPr>
          <w:szCs w:val="28"/>
        </w:rPr>
      </w:pPr>
      <w:r>
        <w:rPr>
          <w:szCs w:val="28"/>
        </w:rPr>
        <w:t>257.</w:t>
      </w:r>
      <w:r>
        <w:rPr>
          <w:szCs w:val="28"/>
        </w:rPr>
        <w:tab/>
      </w:r>
      <w:r w:rsidRPr="00A47EC7">
        <w:rPr>
          <w:szCs w:val="28"/>
        </w:rPr>
        <w:t xml:space="preserve">Así, se advierte que la jerarquización de los niveles de atención de salud que van del dispensario o la maternidad rural al nivel hospitalario </w:t>
      </w:r>
      <w:r>
        <w:rPr>
          <w:szCs w:val="28"/>
        </w:rPr>
        <w:t xml:space="preserve">se refleja en la oferta efectiva </w:t>
      </w:r>
      <w:r w:rsidRPr="00A47EC7">
        <w:rPr>
          <w:szCs w:val="28"/>
        </w:rPr>
        <w:t>de atención sanitaria.  En l</w:t>
      </w:r>
      <w:r>
        <w:rPr>
          <w:szCs w:val="28"/>
        </w:rPr>
        <w:t>a práctica</w:t>
      </w:r>
      <w:r w:rsidRPr="00A47EC7">
        <w:rPr>
          <w:szCs w:val="28"/>
        </w:rPr>
        <w:t xml:space="preserve">, la población puede optar por dirigirse a la entidad pública que le parezca más atractiva y que le inspire más confianza. Los establecimientos hospitalarios públicos que, en general, concentran </w:t>
      </w:r>
      <w:r>
        <w:rPr>
          <w:szCs w:val="28"/>
        </w:rPr>
        <w:t>el</w:t>
      </w:r>
      <w:r w:rsidRPr="00A47EC7">
        <w:rPr>
          <w:szCs w:val="28"/>
        </w:rPr>
        <w:t xml:space="preserve"> mayor número de médicos especialistas, son los que registran una mayor afluencia y por ende ya no son </w:t>
      </w:r>
      <w:r>
        <w:rPr>
          <w:szCs w:val="28"/>
        </w:rPr>
        <w:t xml:space="preserve">los </w:t>
      </w:r>
      <w:r w:rsidRPr="00A47EC7">
        <w:rPr>
          <w:szCs w:val="28"/>
        </w:rPr>
        <w:t xml:space="preserve">establecimientos </w:t>
      </w:r>
      <w:r>
        <w:rPr>
          <w:szCs w:val="28"/>
        </w:rPr>
        <w:t xml:space="preserve">de referencia para </w:t>
      </w:r>
      <w:r w:rsidRPr="00A47EC7">
        <w:rPr>
          <w:szCs w:val="28"/>
        </w:rPr>
        <w:t>la atención especializada.</w:t>
      </w:r>
    </w:p>
    <w:p w:rsidR="00DD0682" w:rsidRPr="00333F9F" w:rsidRDefault="00DD0682" w:rsidP="00E74027">
      <w:pPr>
        <w:keepNext/>
        <w:spacing w:after="240"/>
        <w:ind w:left="567"/>
        <w:rPr>
          <w:b/>
          <w:szCs w:val="28"/>
        </w:rPr>
      </w:pPr>
      <w:r w:rsidRPr="00333F9F">
        <w:rPr>
          <w:b/>
          <w:bCs/>
          <w:szCs w:val="28"/>
        </w:rPr>
        <w:t>Est</w:t>
      </w:r>
      <w:r>
        <w:rPr>
          <w:b/>
          <w:bCs/>
          <w:szCs w:val="28"/>
        </w:rPr>
        <w:t>a</w:t>
      </w:r>
      <w:r w:rsidRPr="00333F9F">
        <w:rPr>
          <w:b/>
          <w:bCs/>
          <w:szCs w:val="28"/>
        </w:rPr>
        <w:t xml:space="preserve"> </w:t>
      </w:r>
      <w:r>
        <w:rPr>
          <w:b/>
          <w:bCs/>
          <w:szCs w:val="28"/>
        </w:rPr>
        <w:t>dis</w:t>
      </w:r>
      <w:r w:rsidRPr="00333F9F">
        <w:rPr>
          <w:b/>
          <w:bCs/>
          <w:szCs w:val="28"/>
        </w:rPr>
        <w:t>funci</w:t>
      </w:r>
      <w:r>
        <w:rPr>
          <w:b/>
          <w:bCs/>
          <w:szCs w:val="28"/>
        </w:rPr>
        <w:t>ón</w:t>
      </w:r>
      <w:r w:rsidRPr="00333F9F">
        <w:rPr>
          <w:b/>
          <w:bCs/>
          <w:szCs w:val="28"/>
        </w:rPr>
        <w:t xml:space="preserve"> </w:t>
      </w:r>
      <w:r>
        <w:rPr>
          <w:b/>
          <w:bCs/>
          <w:szCs w:val="28"/>
        </w:rPr>
        <w:t>en</w:t>
      </w:r>
      <w:r w:rsidRPr="00333F9F">
        <w:rPr>
          <w:b/>
          <w:bCs/>
          <w:szCs w:val="28"/>
        </w:rPr>
        <w:t xml:space="preserve"> la oferta de atención </w:t>
      </w:r>
      <w:r>
        <w:rPr>
          <w:b/>
          <w:bCs/>
          <w:szCs w:val="28"/>
        </w:rPr>
        <w:t xml:space="preserve">sanitaria ha justificado </w:t>
      </w:r>
      <w:r w:rsidRPr="00333F9F">
        <w:rPr>
          <w:b/>
          <w:bCs/>
          <w:szCs w:val="28"/>
        </w:rPr>
        <w:t xml:space="preserve">en gran medida </w:t>
      </w:r>
      <w:r>
        <w:rPr>
          <w:b/>
          <w:bCs/>
          <w:szCs w:val="28"/>
        </w:rPr>
        <w:t xml:space="preserve">la </w:t>
      </w:r>
      <w:r w:rsidRPr="00333F9F">
        <w:rPr>
          <w:b/>
          <w:bCs/>
          <w:szCs w:val="28"/>
        </w:rPr>
        <w:t xml:space="preserve">creación de la </w:t>
      </w:r>
      <w:r>
        <w:rPr>
          <w:b/>
          <w:bCs/>
          <w:szCs w:val="28"/>
        </w:rPr>
        <w:t xml:space="preserve">nueva </w:t>
      </w:r>
      <w:r w:rsidRPr="00333F9F">
        <w:rPr>
          <w:b/>
          <w:bCs/>
          <w:szCs w:val="28"/>
        </w:rPr>
        <w:t>tarjeta sanitaria (véase el informe)</w:t>
      </w:r>
    </w:p>
    <w:p w:rsidR="00DD0682" w:rsidRDefault="00DD0682" w:rsidP="00E74027">
      <w:pPr>
        <w:keepNext/>
        <w:spacing w:after="240"/>
        <w:rPr>
          <w:szCs w:val="28"/>
        </w:rPr>
      </w:pPr>
      <w:r>
        <w:rPr>
          <w:szCs w:val="28"/>
        </w:rPr>
        <w:t>258.</w:t>
      </w:r>
      <w:r>
        <w:rPr>
          <w:szCs w:val="28"/>
        </w:rPr>
        <w:tab/>
      </w:r>
      <w:r w:rsidRPr="00A47EC7">
        <w:rPr>
          <w:szCs w:val="28"/>
        </w:rPr>
        <w:t xml:space="preserve">Los motivos por los que no se utilizan los establecimientos sanitarios son: </w:t>
      </w:r>
    </w:p>
    <w:p w:rsidR="00DD0682" w:rsidRDefault="00DD0682" w:rsidP="00E74027">
      <w:pPr>
        <w:spacing w:after="240"/>
        <w:ind w:left="1134" w:hanging="567"/>
        <w:rPr>
          <w:szCs w:val="28"/>
        </w:rPr>
      </w:pPr>
      <w:r w:rsidRPr="00A47EC7">
        <w:rPr>
          <w:szCs w:val="28"/>
        </w:rPr>
        <w:t>a)</w:t>
      </w:r>
      <w:r>
        <w:rPr>
          <w:szCs w:val="28"/>
        </w:rPr>
        <w:tab/>
      </w:r>
      <w:r w:rsidRPr="00A47EC7">
        <w:rPr>
          <w:szCs w:val="28"/>
        </w:rPr>
        <w:t>La distancia</w:t>
      </w:r>
      <w:r>
        <w:rPr>
          <w:szCs w:val="28"/>
        </w:rPr>
        <w:t>,</w:t>
      </w:r>
      <w:r w:rsidRPr="00A47EC7">
        <w:rPr>
          <w:szCs w:val="28"/>
        </w:rPr>
        <w:t xml:space="preserve"> mencionada por el 22,6% de las familias respecto del hospital. </w:t>
      </w:r>
      <w:r>
        <w:rPr>
          <w:szCs w:val="28"/>
        </w:rPr>
        <w:t xml:space="preserve"> </w:t>
      </w:r>
      <w:r w:rsidRPr="00A47EC7">
        <w:rPr>
          <w:szCs w:val="28"/>
        </w:rPr>
        <w:t xml:space="preserve">Varía </w:t>
      </w:r>
      <w:r>
        <w:rPr>
          <w:szCs w:val="28"/>
        </w:rPr>
        <w:t>según</w:t>
      </w:r>
      <w:r w:rsidRPr="00A47EC7">
        <w:rPr>
          <w:szCs w:val="28"/>
        </w:rPr>
        <w:t xml:space="preserve"> los quintiles (31,9% para el </w:t>
      </w:r>
      <w:r>
        <w:rPr>
          <w:szCs w:val="28"/>
        </w:rPr>
        <w:t xml:space="preserve">primer </w:t>
      </w:r>
      <w:r w:rsidRPr="00A47EC7">
        <w:rPr>
          <w:szCs w:val="28"/>
        </w:rPr>
        <w:t xml:space="preserve">quintil y 19,3% para el </w:t>
      </w:r>
      <w:r>
        <w:rPr>
          <w:szCs w:val="28"/>
        </w:rPr>
        <w:t xml:space="preserve">quinto </w:t>
      </w:r>
      <w:r w:rsidRPr="00A47EC7">
        <w:rPr>
          <w:szCs w:val="28"/>
        </w:rPr>
        <w:t>quintil).</w:t>
      </w:r>
      <w:r>
        <w:rPr>
          <w:szCs w:val="28"/>
        </w:rPr>
        <w:t xml:space="preserve"> </w:t>
      </w:r>
      <w:r w:rsidRPr="00A47EC7">
        <w:rPr>
          <w:szCs w:val="28"/>
        </w:rPr>
        <w:t xml:space="preserve"> En</w:t>
      </w:r>
      <w:r>
        <w:rPr>
          <w:szCs w:val="28"/>
        </w:rPr>
        <w:t> </w:t>
      </w:r>
      <w:r w:rsidRPr="00A47EC7">
        <w:rPr>
          <w:szCs w:val="28"/>
        </w:rPr>
        <w:t>cuanto a la policlínica, el 17,1% de las familias menciona la distancia (el 25,5% de las familias del primer quintil y el 16,9</w:t>
      </w:r>
      <w:r>
        <w:rPr>
          <w:szCs w:val="28"/>
        </w:rPr>
        <w:t>%</w:t>
      </w:r>
      <w:r w:rsidRPr="00A47EC7">
        <w:rPr>
          <w:szCs w:val="28"/>
        </w:rPr>
        <w:t xml:space="preserve"> de la</w:t>
      </w:r>
      <w:r>
        <w:rPr>
          <w:szCs w:val="28"/>
        </w:rPr>
        <w:t>s familias del quinto quintil).</w:t>
      </w:r>
    </w:p>
    <w:p w:rsidR="00E74027" w:rsidRDefault="00DD0682" w:rsidP="00E74027">
      <w:pPr>
        <w:spacing w:after="240"/>
        <w:ind w:left="1134" w:hanging="567"/>
        <w:rPr>
          <w:szCs w:val="28"/>
        </w:rPr>
      </w:pPr>
      <w:r w:rsidRPr="00A47EC7">
        <w:rPr>
          <w:szCs w:val="28"/>
        </w:rPr>
        <w:t>b)</w:t>
      </w:r>
      <w:r>
        <w:rPr>
          <w:szCs w:val="28"/>
        </w:rPr>
        <w:tab/>
      </w:r>
      <w:r w:rsidRPr="00A47EC7">
        <w:rPr>
          <w:szCs w:val="28"/>
        </w:rPr>
        <w:t>Los recursos económicos</w:t>
      </w:r>
      <w:r>
        <w:rPr>
          <w:szCs w:val="28"/>
        </w:rPr>
        <w:t xml:space="preserve">. </w:t>
      </w:r>
      <w:r w:rsidRPr="00A47EC7">
        <w:rPr>
          <w:szCs w:val="28"/>
        </w:rPr>
        <w:t xml:space="preserve"> Sólo el 3,7% de las familias </w:t>
      </w:r>
      <w:r>
        <w:rPr>
          <w:szCs w:val="28"/>
        </w:rPr>
        <w:t>como</w:t>
      </w:r>
      <w:r w:rsidRPr="00A47EC7">
        <w:rPr>
          <w:szCs w:val="28"/>
        </w:rPr>
        <w:t xml:space="preserve"> promedio (para los cinco quintiles) mencionan los recursos económicos como principal motivo por el</w:t>
      </w:r>
    </w:p>
    <w:p w:rsidR="00DD0682" w:rsidRDefault="00E74027" w:rsidP="00E74027">
      <w:pPr>
        <w:spacing w:after="240"/>
        <w:ind w:left="1134" w:hanging="567"/>
        <w:rPr>
          <w:szCs w:val="28"/>
        </w:rPr>
      </w:pPr>
      <w:r>
        <w:rPr>
          <w:szCs w:val="28"/>
        </w:rPr>
        <w:tab/>
      </w:r>
      <w:r w:rsidR="00DD0682" w:rsidRPr="00A47EC7">
        <w:rPr>
          <w:szCs w:val="28"/>
        </w:rPr>
        <w:t xml:space="preserve">que no recurren a la policlínica. </w:t>
      </w:r>
      <w:r w:rsidR="00DD0682">
        <w:rPr>
          <w:szCs w:val="28"/>
        </w:rPr>
        <w:t xml:space="preserve"> </w:t>
      </w:r>
      <w:r w:rsidR="00DD0682" w:rsidRPr="00A47EC7">
        <w:rPr>
          <w:szCs w:val="28"/>
        </w:rPr>
        <w:t xml:space="preserve">Sin embargo, </w:t>
      </w:r>
      <w:r w:rsidR="00DD0682">
        <w:rPr>
          <w:szCs w:val="28"/>
        </w:rPr>
        <w:t xml:space="preserve">este motivo varía según </w:t>
      </w:r>
      <w:r w:rsidR="00DD0682" w:rsidRPr="00A47EC7">
        <w:rPr>
          <w:szCs w:val="28"/>
        </w:rPr>
        <w:t>los quintiles,</w:t>
      </w:r>
      <w:r w:rsidR="00DD0682">
        <w:rPr>
          <w:szCs w:val="28"/>
        </w:rPr>
        <w:t xml:space="preserve"> pues lo mencionan</w:t>
      </w:r>
      <w:r w:rsidR="00DD0682" w:rsidRPr="00A47EC7">
        <w:rPr>
          <w:szCs w:val="28"/>
        </w:rPr>
        <w:t xml:space="preserve"> el 8,3% de las familias del primer quintil y el 1,8% del quinto </w:t>
      </w:r>
      <w:r w:rsidR="00DD0682">
        <w:rPr>
          <w:szCs w:val="28"/>
        </w:rPr>
        <w:t>quintil</w:t>
      </w:r>
      <w:r w:rsidR="00DD0682" w:rsidRPr="00A47EC7">
        <w:rPr>
          <w:szCs w:val="28"/>
        </w:rPr>
        <w:t>.</w:t>
      </w:r>
    </w:p>
    <w:p w:rsidR="00DD0682" w:rsidRDefault="00DD0682" w:rsidP="00DD0682">
      <w:pPr>
        <w:spacing w:after="240"/>
        <w:rPr>
          <w:szCs w:val="28"/>
        </w:rPr>
      </w:pPr>
      <w:r>
        <w:rPr>
          <w:szCs w:val="28"/>
        </w:rPr>
        <w:t>259.</w:t>
      </w:r>
      <w:r>
        <w:rPr>
          <w:szCs w:val="28"/>
        </w:rPr>
        <w:tab/>
      </w:r>
      <w:r w:rsidRPr="00A47EC7">
        <w:rPr>
          <w:szCs w:val="28"/>
        </w:rPr>
        <w:t>En lo que respecta al hospital, el 9,9% de las familias del primer quintil menciona el problema económico y el 4,1% del quinto quintil (un promedio del 6,4% para los cinco quintiles).</w:t>
      </w:r>
    </w:p>
    <w:p w:rsidR="00DD0682" w:rsidRDefault="00DD0682" w:rsidP="00DD0682">
      <w:pPr>
        <w:spacing w:after="240"/>
        <w:rPr>
          <w:szCs w:val="28"/>
        </w:rPr>
      </w:pPr>
      <w:r>
        <w:rPr>
          <w:szCs w:val="28"/>
        </w:rPr>
        <w:t>260.</w:t>
      </w:r>
      <w:r>
        <w:rPr>
          <w:szCs w:val="28"/>
        </w:rPr>
        <w:tab/>
      </w:r>
      <w:r w:rsidRPr="00A47EC7">
        <w:rPr>
          <w:szCs w:val="28"/>
        </w:rPr>
        <w:t xml:space="preserve">Las limitaciones económicas en relación con las clínicas privadas afectan </w:t>
      </w:r>
      <w:r>
        <w:rPr>
          <w:szCs w:val="28"/>
        </w:rPr>
        <w:t>como</w:t>
      </w:r>
      <w:r w:rsidRPr="00A47EC7">
        <w:rPr>
          <w:szCs w:val="28"/>
        </w:rPr>
        <w:t xml:space="preserve"> promedio </w:t>
      </w:r>
      <w:r>
        <w:rPr>
          <w:szCs w:val="28"/>
        </w:rPr>
        <w:t>al</w:t>
      </w:r>
      <w:r w:rsidRPr="00A47EC7">
        <w:rPr>
          <w:szCs w:val="28"/>
        </w:rPr>
        <w:t xml:space="preserve"> 11,7% de las familias. No hay diferencias importantes entre los quintiles (7,7% para el primer quintil y 7,1% para el segundo quintil).</w:t>
      </w:r>
    </w:p>
    <w:p w:rsidR="00DD0682" w:rsidRDefault="00DD0682" w:rsidP="00DD0682">
      <w:pPr>
        <w:spacing w:after="240"/>
        <w:rPr>
          <w:szCs w:val="28"/>
        </w:rPr>
      </w:pPr>
      <w:r>
        <w:rPr>
          <w:szCs w:val="28"/>
        </w:rPr>
        <w:t>261.</w:t>
      </w:r>
      <w:r>
        <w:rPr>
          <w:szCs w:val="28"/>
        </w:rPr>
        <w:tab/>
      </w:r>
      <w:r w:rsidRPr="00A47EC7">
        <w:rPr>
          <w:szCs w:val="28"/>
        </w:rPr>
        <w:t xml:space="preserve">Se deduce que, en lo que respecta a los establecimientos públicos, </w:t>
      </w:r>
      <w:r>
        <w:rPr>
          <w:szCs w:val="28"/>
        </w:rPr>
        <w:t xml:space="preserve">el influjo de </w:t>
      </w:r>
      <w:r w:rsidRPr="00A47EC7">
        <w:rPr>
          <w:szCs w:val="28"/>
        </w:rPr>
        <w:t xml:space="preserve">las limitaciones económicas </w:t>
      </w:r>
      <w:r>
        <w:rPr>
          <w:szCs w:val="28"/>
        </w:rPr>
        <w:t>es</w:t>
      </w:r>
      <w:r w:rsidRPr="00A47EC7">
        <w:rPr>
          <w:szCs w:val="28"/>
        </w:rPr>
        <w:t xml:space="preserve"> mínim</w:t>
      </w:r>
      <w:r>
        <w:rPr>
          <w:szCs w:val="28"/>
        </w:rPr>
        <w:t>o</w:t>
      </w:r>
      <w:r w:rsidRPr="00A47EC7">
        <w:rPr>
          <w:szCs w:val="28"/>
        </w:rPr>
        <w:t>.</w:t>
      </w:r>
      <w:r>
        <w:rPr>
          <w:szCs w:val="28"/>
        </w:rPr>
        <w:t xml:space="preserve"> </w:t>
      </w:r>
      <w:r w:rsidRPr="00A47EC7">
        <w:rPr>
          <w:szCs w:val="28"/>
        </w:rPr>
        <w:t xml:space="preserve"> Lo que se explica por el hecho de que en el sector público el conjunto de las prestaciones se ofrece gratuitamente.</w:t>
      </w:r>
      <w:r>
        <w:rPr>
          <w:szCs w:val="28"/>
        </w:rPr>
        <w:t xml:space="preserve"> </w:t>
      </w:r>
      <w:r w:rsidRPr="00A47EC7">
        <w:rPr>
          <w:szCs w:val="28"/>
        </w:rPr>
        <w:t xml:space="preserve"> Los enfermos sólo </w:t>
      </w:r>
      <w:r>
        <w:rPr>
          <w:szCs w:val="28"/>
        </w:rPr>
        <w:t>contribuyen con una cuantía</w:t>
      </w:r>
      <w:r w:rsidRPr="00A47EC7">
        <w:rPr>
          <w:szCs w:val="28"/>
        </w:rPr>
        <w:t xml:space="preserve"> simbólica a los gastos de hospitalización (100 dinares por día, es decir</w:t>
      </w:r>
      <w:r>
        <w:rPr>
          <w:szCs w:val="28"/>
        </w:rPr>
        <w:t>,</w:t>
      </w:r>
      <w:r w:rsidRPr="00A47EC7">
        <w:rPr>
          <w:szCs w:val="28"/>
        </w:rPr>
        <w:t xml:space="preserve"> el equivalente </w:t>
      </w:r>
      <w:r>
        <w:rPr>
          <w:szCs w:val="28"/>
        </w:rPr>
        <w:t>de </w:t>
      </w:r>
      <w:r w:rsidRPr="00A47EC7">
        <w:rPr>
          <w:szCs w:val="28"/>
        </w:rPr>
        <w:t>1,5 dólares por día).</w:t>
      </w:r>
    </w:p>
    <w:p w:rsidR="00DD0682" w:rsidRDefault="00DD0682" w:rsidP="00DD0682">
      <w:pPr>
        <w:spacing w:after="240"/>
        <w:rPr>
          <w:szCs w:val="28"/>
        </w:rPr>
      </w:pPr>
      <w:r>
        <w:rPr>
          <w:szCs w:val="28"/>
        </w:rPr>
        <w:t>262.</w:t>
      </w:r>
      <w:r>
        <w:rPr>
          <w:szCs w:val="28"/>
        </w:rPr>
        <w:tab/>
      </w:r>
      <w:r w:rsidRPr="00A47EC7">
        <w:rPr>
          <w:szCs w:val="28"/>
        </w:rPr>
        <w:t>Los gastos podrían así deberse:</w:t>
      </w:r>
    </w:p>
    <w:p w:rsidR="00DD0682" w:rsidRDefault="00DD0682" w:rsidP="00DD0682">
      <w:pPr>
        <w:spacing w:after="240"/>
        <w:ind w:left="1134" w:hanging="567"/>
        <w:rPr>
          <w:szCs w:val="28"/>
        </w:rPr>
      </w:pPr>
      <w:r>
        <w:rPr>
          <w:szCs w:val="28"/>
        </w:rPr>
        <w:t>a)</w:t>
      </w:r>
      <w:r>
        <w:rPr>
          <w:szCs w:val="28"/>
        </w:rPr>
        <w:tab/>
        <w:t>A l</w:t>
      </w:r>
      <w:r w:rsidRPr="00A47EC7">
        <w:rPr>
          <w:szCs w:val="28"/>
        </w:rPr>
        <w:t>a compra de algunos medicamentos que no están disponibles en los establecimientos y que serán sistemáticamente reembolsados por la seguridad social o suministrados por las farmacias concertadas cuando se trata de personas sin recursos, no aseguradas</w:t>
      </w:r>
      <w:r>
        <w:rPr>
          <w:szCs w:val="28"/>
        </w:rPr>
        <w:t xml:space="preserve"> sociales;</w:t>
      </w:r>
    </w:p>
    <w:p w:rsidR="00DD0682" w:rsidRPr="00A47EC7" w:rsidRDefault="00DD0682" w:rsidP="00DD0682">
      <w:pPr>
        <w:spacing w:after="240"/>
        <w:ind w:left="1134" w:hanging="567"/>
        <w:rPr>
          <w:szCs w:val="28"/>
        </w:rPr>
      </w:pPr>
      <w:r>
        <w:rPr>
          <w:szCs w:val="28"/>
        </w:rPr>
        <w:t>b)</w:t>
      </w:r>
      <w:r>
        <w:rPr>
          <w:szCs w:val="28"/>
        </w:rPr>
        <w:tab/>
        <w:t>A l</w:t>
      </w:r>
      <w:r w:rsidRPr="00A47EC7">
        <w:rPr>
          <w:szCs w:val="28"/>
        </w:rPr>
        <w:t xml:space="preserve">os gastos de transporte que </w:t>
      </w:r>
      <w:r>
        <w:rPr>
          <w:szCs w:val="28"/>
        </w:rPr>
        <w:t xml:space="preserve">ocasiona el alejamiento de </w:t>
      </w:r>
      <w:r w:rsidRPr="00A47EC7">
        <w:rPr>
          <w:szCs w:val="28"/>
        </w:rPr>
        <w:t xml:space="preserve">algunos establecimientos, </w:t>
      </w:r>
      <w:r>
        <w:rPr>
          <w:szCs w:val="28"/>
        </w:rPr>
        <w:t xml:space="preserve">particularmente </w:t>
      </w:r>
      <w:r w:rsidRPr="00A47EC7">
        <w:rPr>
          <w:szCs w:val="28"/>
        </w:rPr>
        <w:t xml:space="preserve">en el caso del hospital en algunas localidades del país. </w:t>
      </w:r>
    </w:p>
    <w:p w:rsidR="00DD0682" w:rsidRDefault="00DD0682" w:rsidP="00DD0682">
      <w:pPr>
        <w:spacing w:after="240"/>
        <w:rPr>
          <w:szCs w:val="28"/>
        </w:rPr>
      </w:pPr>
      <w:r>
        <w:rPr>
          <w:szCs w:val="28"/>
        </w:rPr>
        <w:t>263.</w:t>
      </w:r>
      <w:r>
        <w:rPr>
          <w:szCs w:val="28"/>
        </w:rPr>
        <w:tab/>
      </w:r>
      <w:r w:rsidRPr="00A47EC7">
        <w:rPr>
          <w:szCs w:val="28"/>
        </w:rPr>
        <w:t xml:space="preserve">En lo que respecta al acceso al personal médico, el 11,04% de las familias </w:t>
      </w:r>
      <w:r>
        <w:rPr>
          <w:szCs w:val="28"/>
        </w:rPr>
        <w:t>han recurrido</w:t>
      </w:r>
      <w:r w:rsidRPr="00A47EC7">
        <w:rPr>
          <w:szCs w:val="28"/>
        </w:rPr>
        <w:t xml:space="preserve"> a médicos general</w:t>
      </w:r>
      <w:r>
        <w:rPr>
          <w:szCs w:val="28"/>
        </w:rPr>
        <w:t>istas</w:t>
      </w:r>
      <w:r w:rsidRPr="00A47EC7">
        <w:rPr>
          <w:szCs w:val="28"/>
        </w:rPr>
        <w:t xml:space="preserve"> y el 13,06% a especialistas.</w:t>
      </w:r>
    </w:p>
    <w:p w:rsidR="00DD0682" w:rsidRPr="00333F9F" w:rsidRDefault="00DD0682" w:rsidP="00DD0682">
      <w:pPr>
        <w:spacing w:after="240"/>
        <w:rPr>
          <w:b/>
          <w:bCs/>
          <w:szCs w:val="28"/>
        </w:rPr>
      </w:pPr>
      <w:r w:rsidRPr="00333F9F">
        <w:rPr>
          <w:b/>
          <w:bCs/>
          <w:szCs w:val="28"/>
        </w:rPr>
        <w:t>2.</w:t>
      </w:r>
      <w:r w:rsidRPr="00333F9F">
        <w:rPr>
          <w:b/>
          <w:bCs/>
          <w:szCs w:val="28"/>
        </w:rPr>
        <w:tab/>
        <w:t xml:space="preserve">El sistema nacional de salud y las reformas </w:t>
      </w:r>
    </w:p>
    <w:p w:rsidR="00DD0682" w:rsidRDefault="00DD0682" w:rsidP="00DD0682">
      <w:pPr>
        <w:spacing w:after="240"/>
        <w:rPr>
          <w:szCs w:val="28"/>
        </w:rPr>
      </w:pPr>
      <w:r>
        <w:rPr>
          <w:szCs w:val="28"/>
        </w:rPr>
        <w:t>264.</w:t>
      </w:r>
      <w:r>
        <w:rPr>
          <w:szCs w:val="28"/>
        </w:rPr>
        <w:tab/>
      </w:r>
      <w:r w:rsidRPr="00A47EC7">
        <w:rPr>
          <w:szCs w:val="28"/>
        </w:rPr>
        <w:t xml:space="preserve">Desde la independencia </w:t>
      </w:r>
      <w:r>
        <w:rPr>
          <w:szCs w:val="28"/>
        </w:rPr>
        <w:t xml:space="preserve">y </w:t>
      </w:r>
      <w:r w:rsidRPr="00A47EC7">
        <w:rPr>
          <w:szCs w:val="28"/>
        </w:rPr>
        <w:t xml:space="preserve">hasta finales del decenio de 1990, el sistema </w:t>
      </w:r>
      <w:r>
        <w:rPr>
          <w:szCs w:val="28"/>
        </w:rPr>
        <w:t xml:space="preserve">nacional de salud se basaba en el predominio </w:t>
      </w:r>
      <w:r w:rsidRPr="00A47EC7">
        <w:rPr>
          <w:szCs w:val="28"/>
        </w:rPr>
        <w:t>del sector público y la gratuidad de la atención de salud en el plano preventivo y curativo</w:t>
      </w:r>
      <w:r>
        <w:rPr>
          <w:szCs w:val="28"/>
        </w:rPr>
        <w:t>,</w:t>
      </w:r>
      <w:r w:rsidRPr="00A47EC7">
        <w:rPr>
          <w:szCs w:val="28"/>
        </w:rPr>
        <w:t xml:space="preserve"> </w:t>
      </w:r>
      <w:r>
        <w:rPr>
          <w:szCs w:val="28"/>
        </w:rPr>
        <w:t>que</w:t>
      </w:r>
      <w:r w:rsidRPr="00A47EC7">
        <w:rPr>
          <w:szCs w:val="28"/>
        </w:rPr>
        <w:t xml:space="preserve"> garantiza</w:t>
      </w:r>
      <w:r>
        <w:rPr>
          <w:szCs w:val="28"/>
        </w:rPr>
        <w:t>ba</w:t>
      </w:r>
      <w:r w:rsidRPr="00A47EC7">
        <w:rPr>
          <w:szCs w:val="28"/>
        </w:rPr>
        <w:t xml:space="preserve"> la equidad en el acceso a la atención sanitaria, de conformidad con el artículo 67 de la Constitución. </w:t>
      </w:r>
    </w:p>
    <w:p w:rsidR="00DD0682" w:rsidRPr="00A47EC7" w:rsidRDefault="00DD0682" w:rsidP="00DD0682">
      <w:pPr>
        <w:spacing w:after="240"/>
        <w:rPr>
          <w:szCs w:val="28"/>
        </w:rPr>
      </w:pPr>
      <w:r>
        <w:rPr>
          <w:szCs w:val="28"/>
        </w:rPr>
        <w:t>265.</w:t>
      </w:r>
      <w:r>
        <w:rPr>
          <w:szCs w:val="28"/>
        </w:rPr>
        <w:tab/>
      </w:r>
      <w:r w:rsidRPr="00A47EC7">
        <w:rPr>
          <w:szCs w:val="28"/>
        </w:rPr>
        <w:t>La jerarquización del sistema nacional de salud en torno al sector sanitario, como entidad de base del servicio público</w:t>
      </w:r>
      <w:r>
        <w:rPr>
          <w:szCs w:val="28"/>
        </w:rPr>
        <w:t>,</w:t>
      </w:r>
      <w:r w:rsidRPr="00A47EC7">
        <w:rPr>
          <w:szCs w:val="28"/>
        </w:rPr>
        <w:t xml:space="preserve"> fue corroborada por el inicio, durante los años de 1970, de los programas nacionales de salud, entre ellos el programa nacional de protección maternoinfantil.  Ese programa permitió el desarrollo de la infraestructura sanitaria básica en la que participan las unidades sanitarias y los establecimientos hospitalarios y una variedad de servicios básicos integrados. </w:t>
      </w:r>
      <w:r>
        <w:rPr>
          <w:szCs w:val="28"/>
        </w:rPr>
        <w:t xml:space="preserve"> </w:t>
      </w:r>
      <w:r w:rsidRPr="00A47EC7">
        <w:rPr>
          <w:szCs w:val="28"/>
        </w:rPr>
        <w:t>Fruto de ello es una mejora importante del acceso de la población</w:t>
      </w:r>
      <w:r>
        <w:rPr>
          <w:szCs w:val="28"/>
        </w:rPr>
        <w:t xml:space="preserve"> </w:t>
      </w:r>
      <w:r w:rsidRPr="00A47EC7">
        <w:rPr>
          <w:szCs w:val="28"/>
        </w:rPr>
        <w:t xml:space="preserve">a la atención de salud, en particular en las zonas rurales, </w:t>
      </w:r>
      <w:r>
        <w:rPr>
          <w:szCs w:val="28"/>
        </w:rPr>
        <w:t>a juzgar por</w:t>
      </w:r>
      <w:r w:rsidRPr="00A47EC7">
        <w:rPr>
          <w:szCs w:val="28"/>
        </w:rPr>
        <w:t xml:space="preserve"> los indicadores nacionales</w:t>
      </w:r>
      <w:r>
        <w:rPr>
          <w:szCs w:val="28"/>
        </w:rPr>
        <w:t>,</w:t>
      </w:r>
      <w:r w:rsidRPr="00A47EC7">
        <w:rPr>
          <w:szCs w:val="28"/>
        </w:rPr>
        <w:t xml:space="preserve"> </w:t>
      </w:r>
      <w:r>
        <w:rPr>
          <w:szCs w:val="28"/>
        </w:rPr>
        <w:t>que reflejan</w:t>
      </w:r>
      <w:r w:rsidRPr="00A47EC7">
        <w:rPr>
          <w:szCs w:val="28"/>
        </w:rPr>
        <w:t xml:space="preserve"> los avances realizados en </w:t>
      </w:r>
      <w:r>
        <w:rPr>
          <w:szCs w:val="28"/>
        </w:rPr>
        <w:t>las dos últimas décadas</w:t>
      </w:r>
      <w:r w:rsidRPr="00A47EC7">
        <w:rPr>
          <w:szCs w:val="28"/>
        </w:rPr>
        <w:t>.</w:t>
      </w:r>
    </w:p>
    <w:p w:rsidR="00DD0682" w:rsidRDefault="00DD0682" w:rsidP="00DD0682">
      <w:pPr>
        <w:spacing w:after="240"/>
        <w:rPr>
          <w:szCs w:val="28"/>
        </w:rPr>
      </w:pPr>
      <w:r>
        <w:rPr>
          <w:szCs w:val="28"/>
        </w:rPr>
        <w:t>266.</w:t>
      </w:r>
      <w:r>
        <w:rPr>
          <w:szCs w:val="28"/>
        </w:rPr>
        <w:tab/>
      </w:r>
      <w:r w:rsidRPr="00A47EC7">
        <w:rPr>
          <w:szCs w:val="28"/>
        </w:rPr>
        <w:t>Estos últimos año</w:t>
      </w:r>
      <w:r>
        <w:rPr>
          <w:szCs w:val="28"/>
        </w:rPr>
        <w:t>s</w:t>
      </w:r>
      <w:r w:rsidRPr="00A47EC7">
        <w:rPr>
          <w:szCs w:val="28"/>
        </w:rPr>
        <w:t xml:space="preserve">, la consolidación de los logros en materia de salud y la realización </w:t>
      </w:r>
      <w:r>
        <w:rPr>
          <w:szCs w:val="28"/>
        </w:rPr>
        <w:t xml:space="preserve">en 2015 </w:t>
      </w:r>
      <w:r w:rsidRPr="00A47EC7">
        <w:rPr>
          <w:szCs w:val="28"/>
        </w:rPr>
        <w:t>de los objetivos previstos con arreglo a los Objetivos de Desarrollo del Milenio, se inscriben en el marco de las reformas del sector de la salud.</w:t>
      </w:r>
      <w:r>
        <w:rPr>
          <w:szCs w:val="28"/>
        </w:rPr>
        <w:t xml:space="preserve"> </w:t>
      </w:r>
      <w:r w:rsidRPr="00A47EC7">
        <w:rPr>
          <w:szCs w:val="28"/>
        </w:rPr>
        <w:t xml:space="preserve"> </w:t>
      </w:r>
      <w:r>
        <w:rPr>
          <w:szCs w:val="28"/>
        </w:rPr>
        <w:t xml:space="preserve">Estas </w:t>
      </w:r>
      <w:r w:rsidRPr="00A47EC7">
        <w:rPr>
          <w:szCs w:val="28"/>
        </w:rPr>
        <w:t xml:space="preserve">reformas tienen por fin: </w:t>
      </w:r>
    </w:p>
    <w:p w:rsidR="00DD0682" w:rsidRDefault="00DD0682" w:rsidP="00DD0682">
      <w:pPr>
        <w:spacing w:after="240"/>
        <w:ind w:left="1134" w:hanging="567"/>
        <w:rPr>
          <w:szCs w:val="28"/>
        </w:rPr>
      </w:pPr>
      <w:r>
        <w:rPr>
          <w:szCs w:val="28"/>
        </w:rPr>
        <w:t>a)</w:t>
      </w:r>
      <w:r>
        <w:rPr>
          <w:szCs w:val="28"/>
        </w:rPr>
        <w:tab/>
      </w:r>
      <w:r w:rsidRPr="00A47EC7">
        <w:rPr>
          <w:szCs w:val="28"/>
        </w:rPr>
        <w:t xml:space="preserve">Mejorar la calidad de los servicios y la eficacia de los establecimientos de atención de salud y del sistema nacional de salud en general; </w:t>
      </w:r>
    </w:p>
    <w:p w:rsidR="00DD0682" w:rsidRDefault="00DD0682" w:rsidP="00DD0682">
      <w:pPr>
        <w:spacing w:after="240"/>
        <w:ind w:left="1134" w:hanging="567"/>
        <w:rPr>
          <w:szCs w:val="28"/>
        </w:rPr>
      </w:pPr>
      <w:r>
        <w:rPr>
          <w:szCs w:val="28"/>
        </w:rPr>
        <w:t>b)</w:t>
      </w:r>
      <w:r>
        <w:rPr>
          <w:szCs w:val="28"/>
        </w:rPr>
        <w:tab/>
      </w:r>
      <w:r w:rsidRPr="00A47EC7">
        <w:rPr>
          <w:szCs w:val="28"/>
        </w:rPr>
        <w:t xml:space="preserve">Reducir las diferencias y las desigualdades entre las regiones y las </w:t>
      </w:r>
      <w:r w:rsidRPr="00662324">
        <w:rPr>
          <w:i/>
          <w:szCs w:val="28"/>
        </w:rPr>
        <w:t>wilayas</w:t>
      </w:r>
      <w:r w:rsidRPr="00A47EC7">
        <w:rPr>
          <w:szCs w:val="28"/>
        </w:rPr>
        <w:t xml:space="preserve">. </w:t>
      </w:r>
    </w:p>
    <w:p w:rsidR="00DD0682" w:rsidRDefault="00DD0682" w:rsidP="00DD0682">
      <w:pPr>
        <w:spacing w:after="240"/>
        <w:rPr>
          <w:szCs w:val="28"/>
        </w:rPr>
      </w:pPr>
      <w:r>
        <w:rPr>
          <w:szCs w:val="28"/>
        </w:rPr>
        <w:t>267.</w:t>
      </w:r>
      <w:r>
        <w:rPr>
          <w:szCs w:val="28"/>
        </w:rPr>
        <w:tab/>
      </w:r>
      <w:r w:rsidRPr="00A47EC7">
        <w:rPr>
          <w:szCs w:val="28"/>
        </w:rPr>
        <w:t xml:space="preserve">Estas regiones se benefician de </w:t>
      </w:r>
      <w:r>
        <w:rPr>
          <w:szCs w:val="28"/>
        </w:rPr>
        <w:t xml:space="preserve">los </w:t>
      </w:r>
      <w:r w:rsidRPr="00A47EC7">
        <w:rPr>
          <w:szCs w:val="28"/>
        </w:rPr>
        <w:t xml:space="preserve">planes de apoyo y de reactivación del crecimiento económico del país y del programa de desarrollo del sector de la salud en lo que respecta a </w:t>
      </w:r>
      <w:r>
        <w:rPr>
          <w:szCs w:val="28"/>
        </w:rPr>
        <w:t xml:space="preserve">las </w:t>
      </w:r>
      <w:r w:rsidRPr="00A47EC7">
        <w:rPr>
          <w:szCs w:val="28"/>
        </w:rPr>
        <w:t xml:space="preserve">infraestructuras y </w:t>
      </w:r>
      <w:r>
        <w:rPr>
          <w:szCs w:val="28"/>
        </w:rPr>
        <w:t xml:space="preserve">los </w:t>
      </w:r>
      <w:r w:rsidRPr="00A47EC7">
        <w:rPr>
          <w:szCs w:val="28"/>
        </w:rPr>
        <w:t xml:space="preserve">recursos humanos, mediante la asignación de especialistas a las cuatro especialidades que se han definido como básicas, </w:t>
      </w:r>
      <w:r>
        <w:rPr>
          <w:szCs w:val="28"/>
        </w:rPr>
        <w:t>a saber,</w:t>
      </w:r>
      <w:r w:rsidRPr="00A47EC7">
        <w:rPr>
          <w:szCs w:val="28"/>
        </w:rPr>
        <w:t xml:space="preserve"> la ginecología obstétrica, la pediatría, la cirugía general y la medicina interna.</w:t>
      </w:r>
    </w:p>
    <w:p w:rsidR="00DD0682" w:rsidRPr="00A47EC7" w:rsidRDefault="00DD0682" w:rsidP="00DD0682">
      <w:pPr>
        <w:spacing w:after="240"/>
        <w:rPr>
          <w:szCs w:val="28"/>
        </w:rPr>
      </w:pPr>
      <w:r>
        <w:rPr>
          <w:szCs w:val="28"/>
        </w:rPr>
        <w:t>268.</w:t>
      </w:r>
      <w:r>
        <w:rPr>
          <w:szCs w:val="28"/>
        </w:rPr>
        <w:tab/>
      </w:r>
      <w:r w:rsidRPr="00A47EC7">
        <w:rPr>
          <w:szCs w:val="28"/>
        </w:rPr>
        <w:t xml:space="preserve">La reflexión sobre las reformas del sector de </w:t>
      </w:r>
      <w:r>
        <w:rPr>
          <w:szCs w:val="28"/>
        </w:rPr>
        <w:t xml:space="preserve">la </w:t>
      </w:r>
      <w:r w:rsidRPr="00A47EC7">
        <w:rPr>
          <w:szCs w:val="28"/>
        </w:rPr>
        <w:t xml:space="preserve">salud, centrada en la problemática de la financiación de la atención </w:t>
      </w:r>
      <w:r>
        <w:rPr>
          <w:szCs w:val="28"/>
        </w:rPr>
        <w:t>sanitaria</w:t>
      </w:r>
      <w:r w:rsidRPr="00A47EC7">
        <w:rPr>
          <w:szCs w:val="28"/>
        </w:rPr>
        <w:t xml:space="preserve">, en un sector de carácter público, </w:t>
      </w:r>
      <w:r>
        <w:rPr>
          <w:szCs w:val="28"/>
        </w:rPr>
        <w:t>ha dado</w:t>
      </w:r>
      <w:r w:rsidRPr="00A47EC7">
        <w:rPr>
          <w:szCs w:val="28"/>
        </w:rPr>
        <w:t xml:space="preserve"> lugar a la creación  de un dispositivo jurídico, reglamentario y organizativo específico, capaz de permitir su ejecución:</w:t>
      </w:r>
      <w:r>
        <w:rPr>
          <w:szCs w:val="28"/>
        </w:rPr>
        <w:t xml:space="preserve"> </w:t>
      </w:r>
      <w:r w:rsidRPr="00A47EC7">
        <w:rPr>
          <w:szCs w:val="28"/>
        </w:rPr>
        <w:t xml:space="preserve"> la revisión de </w:t>
      </w:r>
      <w:r>
        <w:rPr>
          <w:szCs w:val="28"/>
        </w:rPr>
        <w:t xml:space="preserve">los </w:t>
      </w:r>
      <w:r w:rsidRPr="00A47EC7">
        <w:rPr>
          <w:szCs w:val="28"/>
        </w:rPr>
        <w:t xml:space="preserve">estatutos de los establecimientos públicos de salud; la fundación de nuevos establecimientos de atención de salud; la introducción de la contabilidad analítica, </w:t>
      </w:r>
      <w:r>
        <w:rPr>
          <w:szCs w:val="28"/>
        </w:rPr>
        <w:t xml:space="preserve">y el estímulo de </w:t>
      </w:r>
      <w:r w:rsidRPr="00A47EC7">
        <w:rPr>
          <w:szCs w:val="28"/>
        </w:rPr>
        <w:t xml:space="preserve">los interlocutores públicos y privados (homologación de los establecimientos hospitalarios privados) </w:t>
      </w:r>
      <w:r>
        <w:rPr>
          <w:szCs w:val="28"/>
        </w:rPr>
        <w:t xml:space="preserve">para que </w:t>
      </w:r>
      <w:r w:rsidRPr="00A47EC7">
        <w:rPr>
          <w:szCs w:val="28"/>
        </w:rPr>
        <w:t>participen en los gastos de salud.  Lo que está en juego es</w:t>
      </w:r>
      <w:r>
        <w:rPr>
          <w:szCs w:val="28"/>
        </w:rPr>
        <w:t>,</w:t>
      </w:r>
      <w:r w:rsidRPr="00A47EC7">
        <w:rPr>
          <w:szCs w:val="28"/>
        </w:rPr>
        <w:t xml:space="preserve"> a la vez, la respuesta a las necesidades de salud cada vez más importantes que caracterizan la transición epidemiológica y demográfica del país y el logro de un equilibrio entre la calidad de las prestaciones y los gastos realizados, manteniendo el principio inalienable de garantizar la equidad y la igualdad entre los ciudadanos en el acceso a la atención de salud.</w:t>
      </w:r>
    </w:p>
    <w:p w:rsidR="00DD0682" w:rsidRDefault="00DD0682" w:rsidP="00DD0682">
      <w:pPr>
        <w:spacing w:after="240"/>
        <w:rPr>
          <w:szCs w:val="28"/>
        </w:rPr>
      </w:pPr>
      <w:r>
        <w:rPr>
          <w:szCs w:val="28"/>
        </w:rPr>
        <w:t>269.</w:t>
      </w:r>
      <w:r>
        <w:rPr>
          <w:szCs w:val="28"/>
        </w:rPr>
        <w:tab/>
      </w:r>
      <w:r w:rsidRPr="00A47EC7">
        <w:rPr>
          <w:szCs w:val="28"/>
        </w:rPr>
        <w:t xml:space="preserve">Se han puesto en marcha mecanismos para integrar al sector privado con objeto de complementar la oferta de atención de salud del sector público. </w:t>
      </w:r>
      <w:r>
        <w:rPr>
          <w:szCs w:val="28"/>
        </w:rPr>
        <w:t xml:space="preserve"> </w:t>
      </w:r>
      <w:r w:rsidRPr="00A47EC7">
        <w:rPr>
          <w:szCs w:val="28"/>
        </w:rPr>
        <w:t>A este respecto, la adopción de la nueva nomenclatura de los actos médicos y la nueva tarificación permitirán consolidar el principio de la equidad en la medida en que los establecimientos del sector privado sean igualmente accesibles para los asegurados</w:t>
      </w:r>
      <w:r>
        <w:rPr>
          <w:szCs w:val="28"/>
        </w:rPr>
        <w:t xml:space="preserve"> sociales</w:t>
      </w:r>
      <w:r w:rsidRPr="00A47EC7">
        <w:rPr>
          <w:szCs w:val="28"/>
        </w:rPr>
        <w:t>.</w:t>
      </w:r>
    </w:p>
    <w:p w:rsidR="00DD0682" w:rsidRDefault="00DD0682" w:rsidP="00DD0682">
      <w:pPr>
        <w:spacing w:after="240"/>
        <w:rPr>
          <w:szCs w:val="28"/>
        </w:rPr>
      </w:pPr>
      <w:r>
        <w:rPr>
          <w:szCs w:val="28"/>
        </w:rPr>
        <w:t>270.</w:t>
      </w:r>
      <w:r>
        <w:rPr>
          <w:szCs w:val="28"/>
        </w:rPr>
        <w:tab/>
      </w:r>
      <w:r w:rsidRPr="00A47EC7">
        <w:rPr>
          <w:szCs w:val="28"/>
        </w:rPr>
        <w:t xml:space="preserve">Al amparo del Decreto ejecutivo </w:t>
      </w:r>
      <w:r>
        <w:rPr>
          <w:szCs w:val="28"/>
        </w:rPr>
        <w:t>Nº </w:t>
      </w:r>
      <w:r w:rsidRPr="00A47EC7">
        <w:rPr>
          <w:szCs w:val="28"/>
        </w:rPr>
        <w:t>07-140</w:t>
      </w:r>
      <w:r>
        <w:rPr>
          <w:szCs w:val="28"/>
        </w:rPr>
        <w:t>,</w:t>
      </w:r>
      <w:r w:rsidRPr="00A47EC7">
        <w:rPr>
          <w:szCs w:val="28"/>
        </w:rPr>
        <w:t xml:space="preserve"> de 19 de mayo de 2007, </w:t>
      </w:r>
      <w:r>
        <w:rPr>
          <w:szCs w:val="28"/>
        </w:rPr>
        <w:t>se ha adoptado</w:t>
      </w:r>
      <w:r w:rsidRPr="00A47EC7">
        <w:rPr>
          <w:szCs w:val="28"/>
        </w:rPr>
        <w:t xml:space="preserve"> una nueva tarjeta sanitaria que conlleva </w:t>
      </w:r>
      <w:r>
        <w:rPr>
          <w:szCs w:val="28"/>
        </w:rPr>
        <w:t>la</w:t>
      </w:r>
      <w:r w:rsidRPr="00A47EC7">
        <w:rPr>
          <w:szCs w:val="28"/>
        </w:rPr>
        <w:t xml:space="preserve"> reorganización de los niveles de atención en torno a los establecimientos públicos hospitalarios y </w:t>
      </w:r>
      <w:r>
        <w:rPr>
          <w:szCs w:val="28"/>
        </w:rPr>
        <w:t xml:space="preserve">a las </w:t>
      </w:r>
      <w:r w:rsidRPr="00A47EC7">
        <w:rPr>
          <w:szCs w:val="28"/>
        </w:rPr>
        <w:t>policlínicas</w:t>
      </w:r>
      <w:r>
        <w:rPr>
          <w:szCs w:val="28"/>
        </w:rPr>
        <w:t xml:space="preserve"> que funcionan como </w:t>
      </w:r>
      <w:r w:rsidRPr="00A47EC7">
        <w:rPr>
          <w:szCs w:val="28"/>
        </w:rPr>
        <w:t xml:space="preserve">establecimientos públicos </w:t>
      </w:r>
      <w:r>
        <w:rPr>
          <w:szCs w:val="28"/>
        </w:rPr>
        <w:t>de proximidad</w:t>
      </w:r>
      <w:r w:rsidRPr="00A47EC7">
        <w:rPr>
          <w:szCs w:val="28"/>
        </w:rPr>
        <w:t>.</w:t>
      </w:r>
    </w:p>
    <w:p w:rsidR="00DD0682" w:rsidRDefault="00DD0682" w:rsidP="00DD0682">
      <w:pPr>
        <w:spacing w:after="240"/>
        <w:rPr>
          <w:szCs w:val="28"/>
        </w:rPr>
      </w:pPr>
      <w:r>
        <w:rPr>
          <w:szCs w:val="28"/>
        </w:rPr>
        <w:t>271.</w:t>
      </w:r>
      <w:r>
        <w:rPr>
          <w:szCs w:val="28"/>
        </w:rPr>
        <w:tab/>
      </w:r>
      <w:r w:rsidRPr="00A47EC7">
        <w:rPr>
          <w:szCs w:val="28"/>
        </w:rPr>
        <w:t>Así, por ejemplo</w:t>
      </w:r>
      <w:r>
        <w:rPr>
          <w:szCs w:val="28"/>
        </w:rPr>
        <w:t>,</w:t>
      </w:r>
      <w:r w:rsidRPr="00A47EC7">
        <w:rPr>
          <w:szCs w:val="28"/>
        </w:rPr>
        <w:t xml:space="preserve"> se han creado 257 establecimientos públicos </w:t>
      </w:r>
      <w:r>
        <w:rPr>
          <w:szCs w:val="28"/>
        </w:rPr>
        <w:t>de proximidad</w:t>
      </w:r>
      <w:r w:rsidRPr="00A47EC7">
        <w:rPr>
          <w:szCs w:val="28"/>
        </w:rPr>
        <w:t xml:space="preserve">, con el objetivo de velar por la mejora de la calidad de la atención básica al optimizar la base de apoyo técnico de los establecimientos públicos </w:t>
      </w:r>
      <w:r>
        <w:rPr>
          <w:szCs w:val="28"/>
        </w:rPr>
        <w:t>de proximidad</w:t>
      </w:r>
      <w:r w:rsidRPr="00A47EC7">
        <w:rPr>
          <w:szCs w:val="28"/>
        </w:rPr>
        <w:t xml:space="preserve"> integrando a los especialistas de base, y </w:t>
      </w:r>
      <w:r>
        <w:rPr>
          <w:szCs w:val="28"/>
        </w:rPr>
        <w:t xml:space="preserve"> a fin de </w:t>
      </w:r>
      <w:r w:rsidRPr="00A47EC7">
        <w:rPr>
          <w:szCs w:val="28"/>
        </w:rPr>
        <w:t>crear las condiciones para la jerarquización de l</w:t>
      </w:r>
      <w:r>
        <w:rPr>
          <w:szCs w:val="28"/>
        </w:rPr>
        <w:t>o</w:t>
      </w:r>
      <w:r w:rsidRPr="00A47EC7">
        <w:rPr>
          <w:szCs w:val="28"/>
        </w:rPr>
        <w:t xml:space="preserve">s </w:t>
      </w:r>
      <w:r>
        <w:rPr>
          <w:szCs w:val="28"/>
        </w:rPr>
        <w:t>niveles de intervención</w:t>
      </w:r>
      <w:r w:rsidRPr="00A47EC7">
        <w:rPr>
          <w:szCs w:val="28"/>
        </w:rPr>
        <w:t xml:space="preserve">. </w:t>
      </w:r>
      <w:r>
        <w:rPr>
          <w:szCs w:val="28"/>
        </w:rPr>
        <w:t xml:space="preserve"> </w:t>
      </w:r>
      <w:r w:rsidRPr="00A47EC7">
        <w:rPr>
          <w:szCs w:val="28"/>
        </w:rPr>
        <w:t>También</w:t>
      </w:r>
      <w:r>
        <w:rPr>
          <w:szCs w:val="28"/>
        </w:rPr>
        <w:t xml:space="preserve">, mediante el citado </w:t>
      </w:r>
      <w:r w:rsidRPr="00A47EC7">
        <w:rPr>
          <w:szCs w:val="28"/>
        </w:rPr>
        <w:t xml:space="preserve">decreto se ha dado autonomía a los establecimientos </w:t>
      </w:r>
      <w:r>
        <w:rPr>
          <w:szCs w:val="28"/>
        </w:rPr>
        <w:t xml:space="preserve">en el plano financiero </w:t>
      </w:r>
      <w:r w:rsidRPr="00A47EC7">
        <w:rPr>
          <w:szCs w:val="28"/>
        </w:rPr>
        <w:t xml:space="preserve">para lograr una distribución más equitativa de los recursos financieros </w:t>
      </w:r>
      <w:r>
        <w:rPr>
          <w:szCs w:val="28"/>
        </w:rPr>
        <w:t xml:space="preserve">a favor </w:t>
      </w:r>
      <w:r w:rsidRPr="00A47EC7">
        <w:rPr>
          <w:szCs w:val="28"/>
        </w:rPr>
        <w:t xml:space="preserve">de la atención </w:t>
      </w:r>
      <w:r>
        <w:rPr>
          <w:szCs w:val="28"/>
        </w:rPr>
        <w:t>sanitaria de proximidad</w:t>
      </w:r>
      <w:r w:rsidRPr="00A47EC7">
        <w:rPr>
          <w:szCs w:val="28"/>
        </w:rPr>
        <w:t>.</w:t>
      </w:r>
    </w:p>
    <w:p w:rsidR="00DD0682" w:rsidRPr="00A47EC7" w:rsidRDefault="00DD0682" w:rsidP="00DD0682">
      <w:pPr>
        <w:adjustRightInd w:val="0"/>
        <w:snapToGrid w:val="0"/>
        <w:spacing w:after="240"/>
        <w:rPr>
          <w:snapToGrid w:val="0"/>
        </w:rPr>
      </w:pPr>
      <w:r>
        <w:rPr>
          <w:szCs w:val="28"/>
        </w:rPr>
        <w:t>272.</w:t>
      </w:r>
      <w:r>
        <w:rPr>
          <w:szCs w:val="28"/>
        </w:rPr>
        <w:tab/>
      </w:r>
      <w:r w:rsidRPr="00A47EC7">
        <w:rPr>
          <w:szCs w:val="28"/>
        </w:rPr>
        <w:t xml:space="preserve">Por otra parte, el sistema de salud tiende a adaptarse a las nuevas necesidades en el plano preventivo y terapéutico imputables a la morbilidad </w:t>
      </w:r>
      <w:r>
        <w:rPr>
          <w:szCs w:val="28"/>
        </w:rPr>
        <w:t>resultante de</w:t>
      </w:r>
      <w:r w:rsidRPr="00A47EC7">
        <w:rPr>
          <w:szCs w:val="28"/>
        </w:rPr>
        <w:t xml:space="preserve"> la doble transición epidemiológica y demográfica, en particular en lo que respecta a la atención de las patologías cardíacas y cardiovasculares, </w:t>
      </w:r>
      <w:r>
        <w:rPr>
          <w:szCs w:val="28"/>
        </w:rPr>
        <w:t xml:space="preserve">a </w:t>
      </w:r>
      <w:r w:rsidRPr="00A47EC7">
        <w:rPr>
          <w:szCs w:val="28"/>
        </w:rPr>
        <w:t>la lucha contra el cáncer y otras patologías emergentes; la preocupación consiste en velar por el acceso equitativo a las prestaciones muy especializadas</w:t>
      </w:r>
      <w:r>
        <w:rPr>
          <w:szCs w:val="28"/>
        </w:rPr>
        <w:t>,</w:t>
      </w:r>
      <w:r w:rsidRPr="00A47EC7">
        <w:rPr>
          <w:szCs w:val="28"/>
        </w:rPr>
        <w:t xml:space="preserve"> </w:t>
      </w:r>
      <w:r>
        <w:rPr>
          <w:szCs w:val="28"/>
        </w:rPr>
        <w:t xml:space="preserve">lo cual dará lugar, </w:t>
      </w:r>
      <w:r w:rsidRPr="00A47EC7">
        <w:rPr>
          <w:szCs w:val="28"/>
        </w:rPr>
        <w:t xml:space="preserve">en el marco del plan de desarrollo del sector, </w:t>
      </w:r>
      <w:r>
        <w:rPr>
          <w:szCs w:val="28"/>
        </w:rPr>
        <w:t xml:space="preserve">de aquí a </w:t>
      </w:r>
      <w:r w:rsidRPr="00A47EC7">
        <w:rPr>
          <w:szCs w:val="28"/>
        </w:rPr>
        <w:t xml:space="preserve">2009, </w:t>
      </w:r>
      <w:r>
        <w:rPr>
          <w:szCs w:val="28"/>
        </w:rPr>
        <w:t>a</w:t>
      </w:r>
      <w:r w:rsidRPr="00A47EC7">
        <w:rPr>
          <w:szCs w:val="28"/>
        </w:rPr>
        <w:t xml:space="preserve"> la creación de centros especializados regionales y de centros de referencia nacionales en los ámbitos indicados.</w:t>
      </w:r>
    </w:p>
    <w:p w:rsidR="009F7163" w:rsidRPr="005C0C9D" w:rsidRDefault="009F7163" w:rsidP="009F7163">
      <w:pPr>
        <w:adjustRightInd w:val="0"/>
        <w:snapToGrid w:val="0"/>
        <w:spacing w:after="240"/>
        <w:jc w:val="center"/>
        <w:rPr>
          <w:b/>
          <w:snapToGrid w:val="0"/>
        </w:rPr>
      </w:pPr>
      <w:r w:rsidRPr="005C0C9D">
        <w:rPr>
          <w:b/>
          <w:snapToGrid w:val="0"/>
        </w:rPr>
        <w:t xml:space="preserve">C. </w:t>
      </w:r>
      <w:r>
        <w:rPr>
          <w:b/>
          <w:snapToGrid w:val="0"/>
        </w:rPr>
        <w:t xml:space="preserve"> </w:t>
      </w:r>
      <w:r w:rsidRPr="005C0C9D">
        <w:rPr>
          <w:b/>
          <w:snapToGrid w:val="0"/>
        </w:rPr>
        <w:t>Los programas de salud</w:t>
      </w:r>
    </w:p>
    <w:p w:rsidR="009F7163" w:rsidRPr="005C0C9D" w:rsidRDefault="009F7163" w:rsidP="009F7163">
      <w:pPr>
        <w:adjustRightInd w:val="0"/>
        <w:snapToGrid w:val="0"/>
        <w:spacing w:after="240"/>
        <w:rPr>
          <w:b/>
          <w:snapToGrid w:val="0"/>
        </w:rPr>
      </w:pPr>
      <w:r w:rsidRPr="005C0C9D">
        <w:rPr>
          <w:b/>
          <w:snapToGrid w:val="0"/>
        </w:rPr>
        <w:t>1.</w:t>
      </w:r>
      <w:r w:rsidRPr="005C0C9D">
        <w:rPr>
          <w:b/>
          <w:snapToGrid w:val="0"/>
        </w:rPr>
        <w:tab/>
        <w:t>La salud maternoinfantil</w:t>
      </w:r>
    </w:p>
    <w:p w:rsidR="009F7163" w:rsidRPr="005C0C9D" w:rsidRDefault="009F7163" w:rsidP="009F7163">
      <w:pPr>
        <w:adjustRightInd w:val="0"/>
        <w:snapToGrid w:val="0"/>
        <w:spacing w:after="240"/>
        <w:rPr>
          <w:snapToGrid w:val="0"/>
        </w:rPr>
      </w:pPr>
      <w:r w:rsidRPr="005C0C9D">
        <w:rPr>
          <w:snapToGrid w:val="0"/>
        </w:rPr>
        <w:t>273.</w:t>
      </w:r>
      <w:r>
        <w:rPr>
          <w:snapToGrid w:val="0"/>
        </w:rPr>
        <w:tab/>
      </w:r>
      <w:r w:rsidRPr="005C0C9D">
        <w:rPr>
          <w:snapToGrid w:val="0"/>
        </w:rPr>
        <w:t xml:space="preserve">La salud maternoinfantil ha quedado inscrita en </w:t>
      </w:r>
      <w:r>
        <w:rPr>
          <w:snapToGrid w:val="0"/>
        </w:rPr>
        <w:t>la lista de</w:t>
      </w:r>
      <w:r w:rsidRPr="005C0C9D">
        <w:rPr>
          <w:snapToGrid w:val="0"/>
        </w:rPr>
        <w:t xml:space="preserve"> prioridades nacionales en materia de salud</w:t>
      </w:r>
      <w:r>
        <w:rPr>
          <w:snapToGrid w:val="0"/>
        </w:rPr>
        <w:t xml:space="preserve">.  La base legal y reglamentaria es la </w:t>
      </w:r>
      <w:r w:rsidRPr="005C0C9D">
        <w:rPr>
          <w:snapToGrid w:val="0"/>
        </w:rPr>
        <w:t xml:space="preserve">Ley </w:t>
      </w:r>
      <w:r>
        <w:rPr>
          <w:snapToGrid w:val="0"/>
        </w:rPr>
        <w:t xml:space="preserve">Nº </w:t>
      </w:r>
      <w:r w:rsidRPr="005C0C9D">
        <w:rPr>
          <w:snapToGrid w:val="0"/>
        </w:rPr>
        <w:t xml:space="preserve">85-05 relativa a la promoción y la protección de la salud. </w:t>
      </w:r>
      <w:r>
        <w:rPr>
          <w:snapToGrid w:val="0"/>
        </w:rPr>
        <w:t>La l</w:t>
      </w:r>
      <w:r w:rsidRPr="005C0C9D">
        <w:rPr>
          <w:snapToGrid w:val="0"/>
        </w:rPr>
        <w:t xml:space="preserve">ey </w:t>
      </w:r>
      <w:r>
        <w:rPr>
          <w:snapToGrid w:val="0"/>
        </w:rPr>
        <w:t>prevé</w:t>
      </w:r>
      <w:r w:rsidRPr="005C0C9D">
        <w:rPr>
          <w:snapToGrid w:val="0"/>
        </w:rPr>
        <w:t>, en particular:</w:t>
      </w:r>
    </w:p>
    <w:p w:rsidR="009F7163" w:rsidRPr="005C0C9D" w:rsidRDefault="009F7163" w:rsidP="009F7163">
      <w:pPr>
        <w:adjustRightInd w:val="0"/>
        <w:snapToGrid w:val="0"/>
        <w:spacing w:after="240"/>
        <w:ind w:left="1134" w:hanging="567"/>
        <w:rPr>
          <w:snapToGrid w:val="0"/>
        </w:rPr>
      </w:pPr>
      <w:r w:rsidRPr="005C0C9D">
        <w:rPr>
          <w:snapToGrid w:val="0"/>
        </w:rPr>
        <w:t>a)</w:t>
      </w:r>
      <w:r w:rsidRPr="005C0C9D">
        <w:rPr>
          <w:snapToGrid w:val="0"/>
        </w:rPr>
        <w:tab/>
      </w:r>
      <w:r>
        <w:rPr>
          <w:snapToGrid w:val="0"/>
        </w:rPr>
        <w:t>M</w:t>
      </w:r>
      <w:r w:rsidRPr="005C0C9D">
        <w:rPr>
          <w:snapToGrid w:val="0"/>
        </w:rPr>
        <w:t xml:space="preserve">edidas de protección </w:t>
      </w:r>
      <w:r>
        <w:rPr>
          <w:snapToGrid w:val="0"/>
        </w:rPr>
        <w:t xml:space="preserve">de la madre y el niño </w:t>
      </w:r>
      <w:r w:rsidRPr="005C0C9D">
        <w:rPr>
          <w:snapToGrid w:val="0"/>
        </w:rPr>
        <w:t>(arts. 67 a 75);</w:t>
      </w:r>
    </w:p>
    <w:p w:rsidR="009F7163" w:rsidRPr="005C0C9D" w:rsidRDefault="009F7163" w:rsidP="009F7163">
      <w:pPr>
        <w:adjustRightInd w:val="0"/>
        <w:snapToGrid w:val="0"/>
        <w:spacing w:after="240"/>
        <w:ind w:left="1134" w:hanging="567"/>
        <w:rPr>
          <w:snapToGrid w:val="0"/>
        </w:rPr>
      </w:pPr>
      <w:r w:rsidRPr="005C0C9D">
        <w:rPr>
          <w:snapToGrid w:val="0"/>
        </w:rPr>
        <w:t>b)</w:t>
      </w:r>
      <w:r w:rsidRPr="005C0C9D">
        <w:rPr>
          <w:snapToGrid w:val="0"/>
        </w:rPr>
        <w:tab/>
        <w:t>Medidas de protección sanitaria en los establecimientos educativos (arts. 77 a 82);</w:t>
      </w:r>
    </w:p>
    <w:p w:rsidR="009F7163" w:rsidRPr="005C0C9D" w:rsidRDefault="009F7163" w:rsidP="009F7163">
      <w:pPr>
        <w:adjustRightInd w:val="0"/>
        <w:snapToGrid w:val="0"/>
        <w:spacing w:after="240"/>
        <w:ind w:left="1134" w:hanging="567"/>
        <w:rPr>
          <w:snapToGrid w:val="0"/>
        </w:rPr>
      </w:pPr>
      <w:r w:rsidRPr="005C0C9D">
        <w:rPr>
          <w:snapToGrid w:val="0"/>
        </w:rPr>
        <w:t>c)</w:t>
      </w:r>
      <w:r w:rsidRPr="005C0C9D">
        <w:rPr>
          <w:snapToGrid w:val="0"/>
        </w:rPr>
        <w:tab/>
        <w:t>Medidas de protección de las personas con dificultades (arts. 89 a 95);</w:t>
      </w:r>
    </w:p>
    <w:p w:rsidR="009F7163" w:rsidRPr="005C0C9D" w:rsidRDefault="009F7163" w:rsidP="009F7163">
      <w:pPr>
        <w:adjustRightInd w:val="0"/>
        <w:snapToGrid w:val="0"/>
        <w:spacing w:after="240"/>
        <w:ind w:left="1134" w:hanging="567"/>
        <w:rPr>
          <w:snapToGrid w:val="0"/>
        </w:rPr>
      </w:pPr>
      <w:r w:rsidRPr="005C0C9D">
        <w:rPr>
          <w:snapToGrid w:val="0"/>
        </w:rPr>
        <w:t>d)</w:t>
      </w:r>
      <w:r w:rsidRPr="005C0C9D">
        <w:rPr>
          <w:snapToGrid w:val="0"/>
        </w:rPr>
        <w:tab/>
      </w:r>
      <w:r>
        <w:rPr>
          <w:snapToGrid w:val="0"/>
        </w:rPr>
        <w:t xml:space="preserve">El </w:t>
      </w:r>
      <w:r w:rsidRPr="005C0C9D">
        <w:rPr>
          <w:snapToGrid w:val="0"/>
        </w:rPr>
        <w:t>tratamiento de los enfermos mentales (arts. 103 a 149);</w:t>
      </w:r>
    </w:p>
    <w:p w:rsidR="009F7163" w:rsidRPr="005C0C9D" w:rsidRDefault="009F7163" w:rsidP="009F7163">
      <w:pPr>
        <w:adjustRightInd w:val="0"/>
        <w:snapToGrid w:val="0"/>
        <w:spacing w:after="240"/>
        <w:ind w:left="1134" w:hanging="567"/>
        <w:rPr>
          <w:snapToGrid w:val="0"/>
        </w:rPr>
      </w:pPr>
      <w:r w:rsidRPr="005C0C9D">
        <w:rPr>
          <w:snapToGrid w:val="0"/>
        </w:rPr>
        <w:t>e)</w:t>
      </w:r>
      <w:r w:rsidRPr="005C0C9D">
        <w:rPr>
          <w:snapToGrid w:val="0"/>
        </w:rPr>
        <w:tab/>
        <w:t>La planificación familiar, destinada a garantizar un equilibrio familiar armonioso y a preservar la salud de la madre y el niño.</w:t>
      </w:r>
    </w:p>
    <w:p w:rsidR="009F7163" w:rsidRPr="005C0C9D" w:rsidRDefault="009F7163" w:rsidP="009F7163">
      <w:pPr>
        <w:adjustRightInd w:val="0"/>
        <w:snapToGrid w:val="0"/>
        <w:spacing w:after="240"/>
        <w:rPr>
          <w:snapToGrid w:val="0"/>
        </w:rPr>
      </w:pPr>
      <w:r w:rsidRPr="005C0C9D">
        <w:rPr>
          <w:snapToGrid w:val="0"/>
        </w:rPr>
        <w:t>274.</w:t>
      </w:r>
      <w:r w:rsidRPr="005C0C9D">
        <w:rPr>
          <w:snapToGrid w:val="0"/>
        </w:rPr>
        <w:tab/>
        <w:t>Por lo que respecta a los objetivos cuantitativos previstos, el fortalecimiento de los programas destinados a la madre y el niño se inscribe en el marco general del proceso de r</w:t>
      </w:r>
      <w:r>
        <w:rPr>
          <w:snapToGrid w:val="0"/>
        </w:rPr>
        <w:t>eformas del sector de la salud.</w:t>
      </w:r>
    </w:p>
    <w:p w:rsidR="009F7163" w:rsidRPr="005C0C9D" w:rsidRDefault="009F7163" w:rsidP="009F7163">
      <w:pPr>
        <w:adjustRightInd w:val="0"/>
        <w:snapToGrid w:val="0"/>
        <w:spacing w:after="240"/>
        <w:rPr>
          <w:snapToGrid w:val="0"/>
        </w:rPr>
      </w:pPr>
      <w:r w:rsidRPr="005C0C9D">
        <w:rPr>
          <w:snapToGrid w:val="0"/>
        </w:rPr>
        <w:t>275.</w:t>
      </w:r>
      <w:r w:rsidRPr="005C0C9D">
        <w:rPr>
          <w:snapToGrid w:val="0"/>
        </w:rPr>
        <w:tab/>
        <w:t xml:space="preserve">El mejoramiento previsto por lo que se refiere a una atención obstétrica más adecuada </w:t>
      </w:r>
      <w:r>
        <w:rPr>
          <w:snapToGrid w:val="0"/>
        </w:rPr>
        <w:t>se ha caracterizado por</w:t>
      </w:r>
      <w:r w:rsidRPr="005C0C9D">
        <w:rPr>
          <w:snapToGrid w:val="0"/>
        </w:rPr>
        <w:t>:</w:t>
      </w:r>
    </w:p>
    <w:p w:rsidR="009F7163" w:rsidRPr="005C0C9D" w:rsidRDefault="009F7163" w:rsidP="009F7163">
      <w:pPr>
        <w:adjustRightInd w:val="0"/>
        <w:snapToGrid w:val="0"/>
        <w:spacing w:after="240"/>
        <w:ind w:left="1134" w:hanging="567"/>
        <w:rPr>
          <w:snapToGrid w:val="0"/>
        </w:rPr>
      </w:pPr>
      <w:r w:rsidRPr="005C0C9D">
        <w:rPr>
          <w:snapToGrid w:val="0"/>
        </w:rPr>
        <w:t>a)</w:t>
      </w:r>
      <w:r w:rsidRPr="005C0C9D">
        <w:rPr>
          <w:snapToGrid w:val="0"/>
        </w:rPr>
        <w:tab/>
        <w:t xml:space="preserve">La asignación de recursos financieros suplementarios para la normalización de los equipos técnicos de las clínicas de maternidad, a fin de </w:t>
      </w:r>
      <w:r>
        <w:rPr>
          <w:snapToGrid w:val="0"/>
        </w:rPr>
        <w:t>hacer operacionales los niveles de recursos y de referencia en los servicios hospitalarios;</w:t>
      </w:r>
    </w:p>
    <w:p w:rsidR="009F7163" w:rsidRPr="005C0C9D" w:rsidRDefault="009F7163" w:rsidP="009F7163">
      <w:pPr>
        <w:adjustRightInd w:val="0"/>
        <w:snapToGrid w:val="0"/>
        <w:spacing w:after="240"/>
        <w:ind w:left="1134" w:hanging="567"/>
        <w:rPr>
          <w:snapToGrid w:val="0"/>
        </w:rPr>
      </w:pPr>
      <w:r w:rsidRPr="005C0C9D">
        <w:rPr>
          <w:snapToGrid w:val="0"/>
        </w:rPr>
        <w:t>b)</w:t>
      </w:r>
      <w:r w:rsidRPr="005C0C9D">
        <w:rPr>
          <w:snapToGrid w:val="0"/>
        </w:rPr>
        <w:tab/>
        <w:t>Los proyectos de creación de cinco establecimientos hospitalarios especializados en salud maternoinfantil, tres de ellos en regiones menos favorecidas;</w:t>
      </w:r>
    </w:p>
    <w:p w:rsidR="009F7163" w:rsidRPr="005C0C9D" w:rsidRDefault="009F7163" w:rsidP="009F7163">
      <w:pPr>
        <w:adjustRightInd w:val="0"/>
        <w:snapToGrid w:val="0"/>
        <w:spacing w:after="240"/>
        <w:ind w:left="1134" w:hanging="567"/>
        <w:rPr>
          <w:snapToGrid w:val="0"/>
        </w:rPr>
      </w:pPr>
      <w:r w:rsidRPr="005C0C9D">
        <w:rPr>
          <w:snapToGrid w:val="0"/>
        </w:rPr>
        <w:t>c)</w:t>
      </w:r>
      <w:r w:rsidRPr="005C0C9D">
        <w:rPr>
          <w:snapToGrid w:val="0"/>
        </w:rPr>
        <w:tab/>
        <w:t>La asignación de ginecólogos obstetras de conformidad con el plan de gestión de los recursos humanos;</w:t>
      </w:r>
    </w:p>
    <w:p w:rsidR="009F7163" w:rsidRPr="005C0C9D" w:rsidRDefault="009F7163" w:rsidP="009F7163">
      <w:pPr>
        <w:adjustRightInd w:val="0"/>
        <w:snapToGrid w:val="0"/>
        <w:spacing w:after="240"/>
        <w:ind w:left="1134" w:hanging="567"/>
        <w:rPr>
          <w:snapToGrid w:val="0"/>
        </w:rPr>
      </w:pPr>
      <w:r w:rsidRPr="005C0C9D">
        <w:rPr>
          <w:snapToGrid w:val="0"/>
        </w:rPr>
        <w:t>d)</w:t>
      </w:r>
      <w:r w:rsidRPr="005C0C9D">
        <w:rPr>
          <w:snapToGrid w:val="0"/>
        </w:rPr>
        <w:tab/>
        <w:t xml:space="preserve">El establecimiento de un certificado de estudios de especialización en ginecología y obstetricia </w:t>
      </w:r>
      <w:r>
        <w:rPr>
          <w:snapToGrid w:val="0"/>
        </w:rPr>
        <w:t>para</w:t>
      </w:r>
      <w:r w:rsidRPr="005C0C9D">
        <w:rPr>
          <w:snapToGrid w:val="0"/>
        </w:rPr>
        <w:t xml:space="preserve"> los médicos </w:t>
      </w:r>
      <w:r>
        <w:rPr>
          <w:snapToGrid w:val="0"/>
        </w:rPr>
        <w:t>generalistas</w:t>
      </w:r>
      <w:r w:rsidRPr="005C0C9D">
        <w:rPr>
          <w:snapToGrid w:val="0"/>
        </w:rPr>
        <w:t>, con el fin de mejorar la cobertura sanitaria en las zonas menos favorecidas.</w:t>
      </w:r>
    </w:p>
    <w:p w:rsidR="009F7163" w:rsidRPr="005C0C9D" w:rsidRDefault="009F7163" w:rsidP="009F7163">
      <w:pPr>
        <w:adjustRightInd w:val="0"/>
        <w:snapToGrid w:val="0"/>
        <w:spacing w:after="240"/>
        <w:rPr>
          <w:snapToGrid w:val="0"/>
        </w:rPr>
      </w:pPr>
      <w:r w:rsidRPr="005C0C9D">
        <w:rPr>
          <w:snapToGrid w:val="0"/>
        </w:rPr>
        <w:t>276.</w:t>
      </w:r>
      <w:r w:rsidRPr="005C0C9D">
        <w:rPr>
          <w:snapToGrid w:val="0"/>
        </w:rPr>
        <w:tab/>
        <w:t>Por lo que respecta al niño, las estrategias y programas en su favor se inscriben en el marco integral para el logro de los objetivos de desarrollo mínimos de aquí a 2015 y se ajustan a las disposiciones de la Convención</w:t>
      </w:r>
      <w:r>
        <w:rPr>
          <w:snapToGrid w:val="0"/>
        </w:rPr>
        <w:t xml:space="preserve"> sobre los Derechos del Niño.</w:t>
      </w:r>
    </w:p>
    <w:p w:rsidR="009F7163" w:rsidRPr="005C0C9D" w:rsidRDefault="009F7163" w:rsidP="009F7163">
      <w:pPr>
        <w:adjustRightInd w:val="0"/>
        <w:snapToGrid w:val="0"/>
        <w:spacing w:after="240"/>
        <w:rPr>
          <w:snapToGrid w:val="0"/>
        </w:rPr>
      </w:pPr>
      <w:r w:rsidRPr="005C0C9D">
        <w:rPr>
          <w:snapToGrid w:val="0"/>
        </w:rPr>
        <w:t>277.</w:t>
      </w:r>
      <w:r w:rsidRPr="005C0C9D">
        <w:rPr>
          <w:snapToGrid w:val="0"/>
        </w:rPr>
        <w:tab/>
      </w:r>
      <w:r>
        <w:rPr>
          <w:snapToGrid w:val="0"/>
        </w:rPr>
        <w:t xml:space="preserve">Los logros decisivos conseguidos en la reducción de la morbilidad y mortalidad debidas a factores exógenos durante el decenio de aplicación del programa nacional de lucha contra la mortalidad infantil han hecho que actualmente el período neonatal, ligado en gran parte a las condiciones del parto y de atención de los embarazos de riesgo y a factores endógenos, sea un período crítico de la vida.  </w:t>
      </w:r>
      <w:r w:rsidRPr="005C0C9D">
        <w:rPr>
          <w:snapToGrid w:val="0"/>
        </w:rPr>
        <w:t xml:space="preserve">Por ello la salud materna y perinatal ha recibido prioridad en la política de salud </w:t>
      </w:r>
      <w:r>
        <w:rPr>
          <w:snapToGrid w:val="0"/>
        </w:rPr>
        <w:t xml:space="preserve">con miras a </w:t>
      </w:r>
      <w:r w:rsidRPr="005C0C9D">
        <w:rPr>
          <w:snapToGrid w:val="0"/>
        </w:rPr>
        <w:t xml:space="preserve">2009 y ha sido objeto de una atención especial en el plan rector de la salud </w:t>
      </w:r>
      <w:r>
        <w:rPr>
          <w:snapToGrid w:val="0"/>
        </w:rPr>
        <w:t>con miras</w:t>
      </w:r>
      <w:r w:rsidRPr="005C0C9D">
        <w:rPr>
          <w:snapToGrid w:val="0"/>
        </w:rPr>
        <w:t xml:space="preserve"> a 2025.</w:t>
      </w:r>
    </w:p>
    <w:p w:rsidR="009F7163" w:rsidRPr="005C0C9D" w:rsidRDefault="009F7163" w:rsidP="009F7163">
      <w:pPr>
        <w:adjustRightInd w:val="0"/>
        <w:snapToGrid w:val="0"/>
        <w:spacing w:after="240"/>
        <w:rPr>
          <w:b/>
          <w:snapToGrid w:val="0"/>
        </w:rPr>
      </w:pPr>
      <w:r w:rsidRPr="005C0C9D">
        <w:rPr>
          <w:b/>
          <w:snapToGrid w:val="0"/>
        </w:rPr>
        <w:t>2.</w:t>
      </w:r>
      <w:r w:rsidRPr="005C0C9D">
        <w:rPr>
          <w:b/>
          <w:snapToGrid w:val="0"/>
        </w:rPr>
        <w:tab/>
        <w:t>La salud perinatal</w:t>
      </w:r>
    </w:p>
    <w:p w:rsidR="009F7163" w:rsidRPr="005C0C9D" w:rsidRDefault="009F7163" w:rsidP="009F7163">
      <w:pPr>
        <w:adjustRightInd w:val="0"/>
        <w:snapToGrid w:val="0"/>
        <w:spacing w:after="240"/>
        <w:rPr>
          <w:snapToGrid w:val="0"/>
        </w:rPr>
      </w:pPr>
      <w:r w:rsidRPr="005C0C9D">
        <w:rPr>
          <w:snapToGrid w:val="0"/>
        </w:rPr>
        <w:t>278.</w:t>
      </w:r>
      <w:r w:rsidRPr="005C0C9D">
        <w:rPr>
          <w:snapToGrid w:val="0"/>
        </w:rPr>
        <w:tab/>
        <w:t>El programa nacional de salud perinatal, puesto en marcha en 2005, está respaldado por una voluntad política al más alto nivel, como lo</w:t>
      </w:r>
      <w:r>
        <w:rPr>
          <w:snapToGrid w:val="0"/>
        </w:rPr>
        <w:t xml:space="preserve"> demuestra la promulgación del d</w:t>
      </w:r>
      <w:r w:rsidRPr="005C0C9D">
        <w:rPr>
          <w:snapToGrid w:val="0"/>
        </w:rPr>
        <w:t>ecreto ejecutivo por el que se normaliza la organización y el funcionamiento de los servicios de salud neonatal y perinatal (Decreto ejecutivo Nº 05-435 de 10 de noviembre de 2005).</w:t>
      </w:r>
    </w:p>
    <w:p w:rsidR="009F7163" w:rsidRPr="005C0C9D" w:rsidRDefault="009F7163" w:rsidP="009F7163">
      <w:pPr>
        <w:adjustRightInd w:val="0"/>
        <w:snapToGrid w:val="0"/>
        <w:spacing w:after="240"/>
        <w:rPr>
          <w:snapToGrid w:val="0"/>
        </w:rPr>
      </w:pPr>
      <w:r w:rsidRPr="005C0C9D">
        <w:rPr>
          <w:snapToGrid w:val="0"/>
        </w:rPr>
        <w:t>279.</w:t>
      </w:r>
      <w:r w:rsidRPr="005C0C9D">
        <w:rPr>
          <w:snapToGrid w:val="0"/>
        </w:rPr>
        <w:tab/>
        <w:t>La puesta en marcha del programa de salud perinatal, así como su seguimiento y evaluación permanente, están a cargo de una comisión consultiva nacional con facultades de ejecución y bajo la autoridad directa del M</w:t>
      </w:r>
      <w:r>
        <w:rPr>
          <w:snapToGrid w:val="0"/>
        </w:rPr>
        <w:t>inisterio de Salud y Población.</w:t>
      </w:r>
    </w:p>
    <w:p w:rsidR="009F7163" w:rsidRPr="005C0C9D" w:rsidRDefault="009F7163" w:rsidP="009F7163">
      <w:pPr>
        <w:adjustRightInd w:val="0"/>
        <w:snapToGrid w:val="0"/>
        <w:spacing w:after="240"/>
        <w:rPr>
          <w:snapToGrid w:val="0"/>
        </w:rPr>
      </w:pPr>
      <w:r w:rsidRPr="005C0C9D">
        <w:rPr>
          <w:snapToGrid w:val="0"/>
        </w:rPr>
        <w:t>280.</w:t>
      </w:r>
      <w:r w:rsidRPr="005C0C9D">
        <w:rPr>
          <w:snapToGrid w:val="0"/>
        </w:rPr>
        <w:tab/>
        <w:t>Se trata de un programa trienal (2006-2009) destina</w:t>
      </w:r>
      <w:r>
        <w:rPr>
          <w:snapToGrid w:val="0"/>
        </w:rPr>
        <w:t>do a ocuparse del binomio madre/</w:t>
      </w:r>
      <w:r w:rsidRPr="005C0C9D">
        <w:rPr>
          <w:snapToGrid w:val="0"/>
        </w:rPr>
        <w:t xml:space="preserve">hijo y reducir los riesgos del período neonatal, inherentes a la patología durante el embarazo, el parto y el período posterior al parto. </w:t>
      </w:r>
      <w:r>
        <w:rPr>
          <w:snapToGrid w:val="0"/>
        </w:rPr>
        <w:t xml:space="preserve"> </w:t>
      </w:r>
      <w:r w:rsidRPr="005C0C9D">
        <w:rPr>
          <w:snapToGrid w:val="0"/>
        </w:rPr>
        <w:t xml:space="preserve">Sus objetivos son reducir en un 30% la mortalidad perinatal y </w:t>
      </w:r>
      <w:r w:rsidR="00632B87">
        <w:rPr>
          <w:snapToGrid w:val="0"/>
        </w:rPr>
        <w:t>en un </w:t>
      </w:r>
      <w:r>
        <w:rPr>
          <w:snapToGrid w:val="0"/>
        </w:rPr>
        <w:t>50% la mortalidad materna</w:t>
      </w:r>
      <w:r w:rsidRPr="005C0C9D">
        <w:rPr>
          <w:snapToGrid w:val="0"/>
        </w:rPr>
        <w:t>, mediante, entre otras cosas:</w:t>
      </w:r>
    </w:p>
    <w:p w:rsidR="009F7163" w:rsidRPr="005C0C9D" w:rsidRDefault="009F7163" w:rsidP="009F7163">
      <w:pPr>
        <w:adjustRightInd w:val="0"/>
        <w:snapToGrid w:val="0"/>
        <w:spacing w:after="240"/>
        <w:ind w:left="1134" w:hanging="567"/>
        <w:rPr>
          <w:snapToGrid w:val="0"/>
        </w:rPr>
      </w:pPr>
      <w:r w:rsidRPr="005C0C9D">
        <w:rPr>
          <w:snapToGrid w:val="0"/>
        </w:rPr>
        <w:t>a)</w:t>
      </w:r>
      <w:r w:rsidRPr="005C0C9D">
        <w:rPr>
          <w:snapToGrid w:val="0"/>
        </w:rPr>
        <w:tab/>
        <w:t>La prevención, el diagnóstico y el tratamiento eficaces de la diabetes y la hipertensión arterial durante el embarazo</w:t>
      </w:r>
      <w:r>
        <w:rPr>
          <w:snapToGrid w:val="0"/>
        </w:rPr>
        <w:t>, que son</w:t>
      </w:r>
      <w:r w:rsidRPr="005C0C9D">
        <w:rPr>
          <w:snapToGrid w:val="0"/>
        </w:rPr>
        <w:t xml:space="preserve"> las patologías prevalentes; para ello se organizan consultas especializadas </w:t>
      </w:r>
      <w:r>
        <w:rPr>
          <w:snapToGrid w:val="0"/>
        </w:rPr>
        <w:t xml:space="preserve">en las que interviene </w:t>
      </w:r>
      <w:r w:rsidRPr="005C0C9D">
        <w:rPr>
          <w:snapToGrid w:val="0"/>
        </w:rPr>
        <w:t>un equipo médico pluridisciplinario</w:t>
      </w:r>
      <w:r>
        <w:rPr>
          <w:snapToGrid w:val="0"/>
        </w:rPr>
        <w:t xml:space="preserve"> que aplica un sistema de diagnóstico y orientación de base</w:t>
      </w:r>
      <w:r w:rsidRPr="005C0C9D">
        <w:rPr>
          <w:snapToGrid w:val="0"/>
        </w:rPr>
        <w:t>;</w:t>
      </w:r>
    </w:p>
    <w:p w:rsidR="009F7163" w:rsidRPr="005C0C9D" w:rsidRDefault="009F7163" w:rsidP="009F7163">
      <w:pPr>
        <w:adjustRightInd w:val="0"/>
        <w:snapToGrid w:val="0"/>
        <w:spacing w:after="240"/>
        <w:ind w:left="1134" w:hanging="567"/>
        <w:rPr>
          <w:snapToGrid w:val="0"/>
        </w:rPr>
      </w:pPr>
      <w:r w:rsidRPr="005C0C9D">
        <w:rPr>
          <w:snapToGrid w:val="0"/>
        </w:rPr>
        <w:t>b)</w:t>
      </w:r>
      <w:r w:rsidRPr="005C0C9D">
        <w:rPr>
          <w:snapToGrid w:val="0"/>
        </w:rPr>
        <w:tab/>
        <w:t xml:space="preserve">La disminución de la incompatibilidad </w:t>
      </w:r>
      <w:r>
        <w:rPr>
          <w:snapToGrid w:val="0"/>
        </w:rPr>
        <w:t xml:space="preserve">fetomaterna </w:t>
      </w:r>
      <w:r w:rsidRPr="005C0C9D">
        <w:rPr>
          <w:snapToGrid w:val="0"/>
        </w:rPr>
        <w:t>en relación con el factor rhesus;</w:t>
      </w:r>
    </w:p>
    <w:p w:rsidR="009F7163" w:rsidRPr="005C0C9D" w:rsidRDefault="009F7163" w:rsidP="009F7163">
      <w:pPr>
        <w:adjustRightInd w:val="0"/>
        <w:snapToGrid w:val="0"/>
        <w:spacing w:after="240"/>
        <w:ind w:left="1134" w:hanging="567"/>
        <w:rPr>
          <w:snapToGrid w:val="0"/>
        </w:rPr>
      </w:pPr>
      <w:r w:rsidRPr="005C0C9D">
        <w:rPr>
          <w:snapToGrid w:val="0"/>
        </w:rPr>
        <w:t>c)</w:t>
      </w:r>
      <w:r w:rsidRPr="005C0C9D">
        <w:rPr>
          <w:snapToGrid w:val="0"/>
        </w:rPr>
        <w:tab/>
        <w:t xml:space="preserve">La normalización de la vigilancia obstétrica para reducir en un 30% </w:t>
      </w:r>
      <w:r>
        <w:rPr>
          <w:snapToGrid w:val="0"/>
        </w:rPr>
        <w:t>la mortalidad materna</w:t>
      </w:r>
      <w:r w:rsidRPr="005C0C9D">
        <w:rPr>
          <w:snapToGrid w:val="0"/>
        </w:rPr>
        <w:t xml:space="preserve"> por hemorragia durante el parto; </w:t>
      </w:r>
    </w:p>
    <w:p w:rsidR="009F7163" w:rsidRPr="005C0C9D" w:rsidRDefault="009F7163" w:rsidP="009F7163">
      <w:pPr>
        <w:adjustRightInd w:val="0"/>
        <w:snapToGrid w:val="0"/>
        <w:spacing w:after="240"/>
        <w:ind w:left="1134" w:hanging="567"/>
        <w:rPr>
          <w:snapToGrid w:val="0"/>
        </w:rPr>
      </w:pPr>
      <w:r w:rsidRPr="005C0C9D">
        <w:rPr>
          <w:snapToGrid w:val="0"/>
        </w:rPr>
        <w:t>d)</w:t>
      </w:r>
      <w:r w:rsidRPr="005C0C9D">
        <w:rPr>
          <w:snapToGrid w:val="0"/>
        </w:rPr>
        <w:tab/>
        <w:t>La normalización de las salas de partos y la jerarquización de los niveles de atención neonatal (atención general básica, reanimación neonatal, cuidados intensivos) de conformidad con el dec</w:t>
      </w:r>
      <w:r>
        <w:rPr>
          <w:snapToGrid w:val="0"/>
        </w:rPr>
        <w:t>reto citado.</w:t>
      </w:r>
    </w:p>
    <w:p w:rsidR="009F7163" w:rsidRPr="005C0C9D" w:rsidRDefault="009F7163" w:rsidP="009F7163">
      <w:pPr>
        <w:adjustRightInd w:val="0"/>
        <w:snapToGrid w:val="0"/>
        <w:spacing w:after="240"/>
        <w:rPr>
          <w:snapToGrid w:val="0"/>
        </w:rPr>
      </w:pPr>
      <w:r w:rsidRPr="005C0C9D">
        <w:rPr>
          <w:snapToGrid w:val="0"/>
        </w:rPr>
        <w:t>281.</w:t>
      </w:r>
      <w:r w:rsidRPr="005C0C9D">
        <w:rPr>
          <w:snapToGrid w:val="0"/>
        </w:rPr>
        <w:tab/>
        <w:t xml:space="preserve">En materia de prevención, el programa se apoya asimismo en la promoción de la lactancia materna y el fortalecimiento del vínculo entre la madre y el recién nacido. </w:t>
      </w:r>
      <w:r>
        <w:rPr>
          <w:snapToGrid w:val="0"/>
        </w:rPr>
        <w:t xml:space="preserve"> </w:t>
      </w:r>
      <w:r w:rsidRPr="005C0C9D">
        <w:rPr>
          <w:snapToGrid w:val="0"/>
        </w:rPr>
        <w:t>A este respecto, cabe señalar:</w:t>
      </w:r>
    </w:p>
    <w:p w:rsidR="009F7163" w:rsidRPr="005C0C9D" w:rsidRDefault="009F7163" w:rsidP="009F7163">
      <w:pPr>
        <w:adjustRightInd w:val="0"/>
        <w:snapToGrid w:val="0"/>
        <w:spacing w:after="240"/>
        <w:ind w:left="1134" w:hanging="567"/>
        <w:rPr>
          <w:snapToGrid w:val="0"/>
        </w:rPr>
      </w:pPr>
      <w:r w:rsidRPr="005C0C9D">
        <w:rPr>
          <w:snapToGrid w:val="0"/>
        </w:rPr>
        <w:t>a)</w:t>
      </w:r>
      <w:r w:rsidRPr="005C0C9D">
        <w:rPr>
          <w:snapToGrid w:val="0"/>
        </w:rPr>
        <w:tab/>
        <w:t xml:space="preserve">la reactivación, </w:t>
      </w:r>
      <w:r>
        <w:rPr>
          <w:snapToGrid w:val="0"/>
        </w:rPr>
        <w:t>por</w:t>
      </w:r>
      <w:r w:rsidRPr="005C0C9D">
        <w:rPr>
          <w:snapToGrid w:val="0"/>
        </w:rPr>
        <w:t xml:space="preserve"> Orden ministerial de junio de 2006 que completa la de 1997, del programa </w:t>
      </w:r>
      <w:r>
        <w:rPr>
          <w:snapToGrid w:val="0"/>
        </w:rPr>
        <w:t>"</w:t>
      </w:r>
      <w:r w:rsidRPr="005C0C9D">
        <w:rPr>
          <w:snapToGrid w:val="0"/>
        </w:rPr>
        <w:t>Hospitales favorables a la lactancia materna</w:t>
      </w:r>
      <w:r>
        <w:rPr>
          <w:snapToGrid w:val="0"/>
        </w:rPr>
        <w:t>"</w:t>
      </w:r>
      <w:r w:rsidRPr="005C0C9D">
        <w:rPr>
          <w:snapToGrid w:val="0"/>
        </w:rPr>
        <w:t>, al que Arg</w:t>
      </w:r>
      <w:r>
        <w:rPr>
          <w:snapToGrid w:val="0"/>
        </w:rPr>
        <w:t>elia se había adherido en 1991;</w:t>
      </w:r>
    </w:p>
    <w:p w:rsidR="009F7163" w:rsidRPr="005C0C9D" w:rsidRDefault="009F7163" w:rsidP="009F7163">
      <w:pPr>
        <w:adjustRightInd w:val="0"/>
        <w:snapToGrid w:val="0"/>
        <w:spacing w:after="240"/>
        <w:ind w:left="1134" w:hanging="567"/>
        <w:rPr>
          <w:snapToGrid w:val="0"/>
        </w:rPr>
      </w:pPr>
      <w:r w:rsidRPr="005C0C9D">
        <w:rPr>
          <w:snapToGrid w:val="0"/>
        </w:rPr>
        <w:t>b)</w:t>
      </w:r>
      <w:r w:rsidRPr="005C0C9D">
        <w:rPr>
          <w:snapToGrid w:val="0"/>
        </w:rPr>
        <w:tab/>
        <w:t xml:space="preserve">la creación de </w:t>
      </w:r>
      <w:r>
        <w:rPr>
          <w:snapToGrid w:val="0"/>
        </w:rPr>
        <w:t>dependencias "</w:t>
      </w:r>
      <w:r w:rsidRPr="005C0C9D">
        <w:rPr>
          <w:snapToGrid w:val="0"/>
        </w:rPr>
        <w:t>canguro</w:t>
      </w:r>
      <w:r>
        <w:rPr>
          <w:snapToGrid w:val="0"/>
        </w:rPr>
        <w:t>"</w:t>
      </w:r>
      <w:r w:rsidRPr="005C0C9D">
        <w:rPr>
          <w:snapToGrid w:val="0"/>
        </w:rPr>
        <w:t xml:space="preserve"> en los hospitales de maternidad, modalidad destinada a fortalecer la atención de los bebés prematuros con </w:t>
      </w:r>
      <w:r>
        <w:rPr>
          <w:snapToGrid w:val="0"/>
        </w:rPr>
        <w:t>insuficiencia ponderal</w:t>
      </w:r>
      <w:r w:rsidRPr="005C0C9D">
        <w:rPr>
          <w:snapToGrid w:val="0"/>
        </w:rPr>
        <w:t>, que no plantea ningún tipo de contraindicación médica.</w:t>
      </w:r>
    </w:p>
    <w:p w:rsidR="009F7163" w:rsidRPr="005C0C9D" w:rsidRDefault="009F7163" w:rsidP="009F7163">
      <w:pPr>
        <w:keepNext/>
        <w:keepLines/>
        <w:adjustRightInd w:val="0"/>
        <w:snapToGrid w:val="0"/>
        <w:spacing w:after="240"/>
        <w:rPr>
          <w:b/>
          <w:snapToGrid w:val="0"/>
        </w:rPr>
      </w:pPr>
      <w:r w:rsidRPr="005C0C9D">
        <w:rPr>
          <w:b/>
          <w:snapToGrid w:val="0"/>
        </w:rPr>
        <w:t>3.</w:t>
      </w:r>
      <w:r w:rsidRPr="005C0C9D">
        <w:rPr>
          <w:b/>
          <w:snapToGrid w:val="0"/>
        </w:rPr>
        <w:tab/>
        <w:t>La primera infancia</w:t>
      </w:r>
    </w:p>
    <w:p w:rsidR="009F7163" w:rsidRPr="005C0C9D" w:rsidRDefault="009F7163" w:rsidP="009F7163">
      <w:pPr>
        <w:adjustRightInd w:val="0"/>
        <w:snapToGrid w:val="0"/>
        <w:spacing w:after="240"/>
        <w:rPr>
          <w:snapToGrid w:val="0"/>
        </w:rPr>
      </w:pPr>
      <w:r w:rsidRPr="005C0C9D">
        <w:rPr>
          <w:snapToGrid w:val="0"/>
        </w:rPr>
        <w:t>282.</w:t>
      </w:r>
      <w:r w:rsidRPr="005C0C9D">
        <w:rPr>
          <w:snapToGrid w:val="0"/>
        </w:rPr>
        <w:tab/>
        <w:t xml:space="preserve">De los 24 programas nacionales de prevención, </w:t>
      </w:r>
      <w:r>
        <w:rPr>
          <w:snapToGrid w:val="0"/>
        </w:rPr>
        <w:t>hay</w:t>
      </w:r>
      <w:r w:rsidRPr="005C0C9D">
        <w:rPr>
          <w:snapToGrid w:val="0"/>
        </w:rPr>
        <w:t xml:space="preserve"> ocho </w:t>
      </w:r>
      <w:r>
        <w:rPr>
          <w:snapToGrid w:val="0"/>
        </w:rPr>
        <w:t xml:space="preserve">centrados </w:t>
      </w:r>
      <w:r w:rsidRPr="005C0C9D">
        <w:rPr>
          <w:snapToGrid w:val="0"/>
        </w:rPr>
        <w:t xml:space="preserve">específicamente en la primera infancia: </w:t>
      </w:r>
      <w:r>
        <w:rPr>
          <w:snapToGrid w:val="0"/>
        </w:rPr>
        <w:t xml:space="preserve"> </w:t>
      </w:r>
      <w:r w:rsidRPr="005C0C9D">
        <w:rPr>
          <w:snapToGrid w:val="0"/>
        </w:rPr>
        <w:t>el Programa ampliado de vacunación (PAV); las infecciones respiratorias agudas; las enfermedades diarreicas; el reumatismo articular agudo; la nutrición y la salud perinatal y neonatal; los accidentes domésticos; el tracoma; y la meningit</w:t>
      </w:r>
      <w:r>
        <w:rPr>
          <w:snapToGrid w:val="0"/>
        </w:rPr>
        <w:t>is cerebroespinal.</w:t>
      </w:r>
    </w:p>
    <w:p w:rsidR="009F7163" w:rsidRPr="005C0C9D" w:rsidRDefault="009F7163" w:rsidP="009F7163">
      <w:pPr>
        <w:adjustRightInd w:val="0"/>
        <w:snapToGrid w:val="0"/>
        <w:spacing w:after="240"/>
        <w:rPr>
          <w:snapToGrid w:val="0"/>
        </w:rPr>
      </w:pPr>
      <w:r w:rsidRPr="005C0C9D">
        <w:rPr>
          <w:snapToGrid w:val="0"/>
        </w:rPr>
        <w:t>283.</w:t>
      </w:r>
      <w:r w:rsidRPr="005C0C9D">
        <w:rPr>
          <w:snapToGrid w:val="0"/>
        </w:rPr>
        <w:tab/>
        <w:t xml:space="preserve">Los objetivos generales de esos programas son reducir las formas graves de estas patologías, así como sus complicaciones y, en particular, la mortalidad resultante. </w:t>
      </w:r>
      <w:r>
        <w:rPr>
          <w:snapToGrid w:val="0"/>
        </w:rPr>
        <w:t xml:space="preserve"> </w:t>
      </w:r>
      <w:r w:rsidRPr="005C0C9D">
        <w:rPr>
          <w:snapToGrid w:val="0"/>
        </w:rPr>
        <w:t xml:space="preserve">En cuanto al PAV, sus objetivos principales son la erradicación de la poliomielitis y la eliminación del sarampión, la difteria y el tétanos neonatal. </w:t>
      </w:r>
      <w:r>
        <w:rPr>
          <w:snapToGrid w:val="0"/>
        </w:rPr>
        <w:t xml:space="preserve"> </w:t>
      </w:r>
      <w:r w:rsidRPr="005C0C9D">
        <w:rPr>
          <w:snapToGrid w:val="0"/>
        </w:rPr>
        <w:t xml:space="preserve">Para lograr estos objetivos se aplican estrategias adaptadas a cada una de las diferentes enfermedades que se busca combatir. </w:t>
      </w:r>
      <w:r>
        <w:rPr>
          <w:snapToGrid w:val="0"/>
        </w:rPr>
        <w:t xml:space="preserve"> </w:t>
      </w:r>
      <w:r w:rsidRPr="005C0C9D">
        <w:rPr>
          <w:snapToGrid w:val="0"/>
        </w:rPr>
        <w:t>La tasa de cobertura de inmunización, comprendidas todas las vacunas, es superior al 80% y ha alcanzado el 98% para la tuberculosis (vacuna BCG) y el 96% para la vacuna contra la difteria, el tétano</w:t>
      </w:r>
      <w:r>
        <w:rPr>
          <w:snapToGrid w:val="0"/>
        </w:rPr>
        <w:t>s</w:t>
      </w:r>
      <w:r w:rsidRPr="005C0C9D">
        <w:rPr>
          <w:snapToGrid w:val="0"/>
        </w:rPr>
        <w:t>, la tos ferina y la poliomielitis (vacuna DTCP).</w:t>
      </w:r>
    </w:p>
    <w:p w:rsidR="009F7163" w:rsidRPr="005C0C9D" w:rsidRDefault="009F7163" w:rsidP="009F7163">
      <w:pPr>
        <w:adjustRightInd w:val="0"/>
        <w:snapToGrid w:val="0"/>
        <w:spacing w:after="240"/>
        <w:rPr>
          <w:snapToGrid w:val="0"/>
        </w:rPr>
      </w:pPr>
      <w:r w:rsidRPr="005C0C9D">
        <w:rPr>
          <w:snapToGrid w:val="0"/>
        </w:rPr>
        <w:t>284.</w:t>
      </w:r>
      <w:r w:rsidRPr="005C0C9D">
        <w:rPr>
          <w:snapToGrid w:val="0"/>
        </w:rPr>
        <w:tab/>
        <w:t xml:space="preserve">El PAV se fortaleció con la introducción en 2002 de la vacunación contra la hepatitis B desde el nacimiento. </w:t>
      </w:r>
      <w:r>
        <w:rPr>
          <w:snapToGrid w:val="0"/>
        </w:rPr>
        <w:t xml:space="preserve"> </w:t>
      </w:r>
      <w:r w:rsidRPr="005C0C9D">
        <w:rPr>
          <w:snapToGrid w:val="0"/>
        </w:rPr>
        <w:t xml:space="preserve">En 2005 las tasas de cobertura de inmunización contra la hepatitis B eran las siguientes: </w:t>
      </w:r>
      <w:r>
        <w:rPr>
          <w:snapToGrid w:val="0"/>
        </w:rPr>
        <w:t xml:space="preserve"> </w:t>
      </w:r>
      <w:r w:rsidRPr="005C0C9D">
        <w:rPr>
          <w:snapToGrid w:val="0"/>
        </w:rPr>
        <w:t xml:space="preserve">HBV1: </w:t>
      </w:r>
      <w:r>
        <w:rPr>
          <w:snapToGrid w:val="0"/>
        </w:rPr>
        <w:t xml:space="preserve"> 97</w:t>
      </w:r>
      <w:r w:rsidRPr="005C0C9D">
        <w:rPr>
          <w:snapToGrid w:val="0"/>
        </w:rPr>
        <w:t>%; HBV2:</w:t>
      </w:r>
      <w:r>
        <w:rPr>
          <w:snapToGrid w:val="0"/>
        </w:rPr>
        <w:t xml:space="preserve">  92</w:t>
      </w:r>
      <w:r w:rsidRPr="005C0C9D">
        <w:rPr>
          <w:snapToGrid w:val="0"/>
        </w:rPr>
        <w:t xml:space="preserve">%; y HBV3: </w:t>
      </w:r>
      <w:r>
        <w:rPr>
          <w:snapToGrid w:val="0"/>
        </w:rPr>
        <w:t xml:space="preserve"> </w:t>
      </w:r>
      <w:r w:rsidRPr="005C0C9D">
        <w:rPr>
          <w:snapToGrid w:val="0"/>
        </w:rPr>
        <w:t>83%.</w:t>
      </w:r>
    </w:p>
    <w:p w:rsidR="009F7163" w:rsidRPr="005C0C9D" w:rsidRDefault="009F7163" w:rsidP="009F7163">
      <w:pPr>
        <w:adjustRightInd w:val="0"/>
        <w:snapToGrid w:val="0"/>
        <w:spacing w:after="240"/>
        <w:rPr>
          <w:snapToGrid w:val="0"/>
        </w:rPr>
      </w:pPr>
      <w:r w:rsidRPr="005C0C9D">
        <w:rPr>
          <w:snapToGrid w:val="0"/>
        </w:rPr>
        <w:t>285.</w:t>
      </w:r>
      <w:r w:rsidRPr="005C0C9D">
        <w:rPr>
          <w:snapToGrid w:val="0"/>
        </w:rPr>
        <w:tab/>
        <w:t xml:space="preserve">Las enfermedades controlables </w:t>
      </w:r>
      <w:r>
        <w:rPr>
          <w:snapToGrid w:val="0"/>
        </w:rPr>
        <w:t>mediante</w:t>
      </w:r>
      <w:r w:rsidRPr="005C0C9D">
        <w:rPr>
          <w:snapToGrid w:val="0"/>
        </w:rPr>
        <w:t xml:space="preserve"> la vacunación han dejado de ser un problema importante de salud pública, como puede comprobarse en la incidencia de casos anuales</w:t>
      </w:r>
      <w:r>
        <w:rPr>
          <w:snapToGrid w:val="0"/>
        </w:rPr>
        <w:t xml:space="preserve">, particularmente baja para todas las </w:t>
      </w:r>
      <w:r w:rsidRPr="005C0C9D">
        <w:rPr>
          <w:snapToGrid w:val="0"/>
        </w:rPr>
        <w:t xml:space="preserve">enfermedades en su conjunto. </w:t>
      </w:r>
      <w:r>
        <w:rPr>
          <w:snapToGrid w:val="0"/>
        </w:rPr>
        <w:t xml:space="preserve"> </w:t>
      </w:r>
      <w:r w:rsidRPr="005C0C9D">
        <w:rPr>
          <w:snapToGrid w:val="0"/>
        </w:rPr>
        <w:t>Salvo en el caso del sarampión, que registró una tendencia endémica en 2003 en los grupos de edad superiores a los previstos en el programa, la evolución epidemiológica se ha mantenido estable desde el inicio del decenio.</w:t>
      </w:r>
    </w:p>
    <w:p w:rsidR="009F7163" w:rsidRPr="005C0C9D" w:rsidRDefault="009F7163" w:rsidP="009F7163">
      <w:pPr>
        <w:adjustRightInd w:val="0"/>
        <w:snapToGrid w:val="0"/>
        <w:spacing w:after="240"/>
        <w:rPr>
          <w:snapToGrid w:val="0"/>
        </w:rPr>
      </w:pPr>
      <w:r w:rsidRPr="005C0C9D">
        <w:rPr>
          <w:snapToGrid w:val="0"/>
        </w:rPr>
        <w:t>286.</w:t>
      </w:r>
      <w:r w:rsidRPr="005C0C9D">
        <w:rPr>
          <w:snapToGrid w:val="0"/>
        </w:rPr>
        <w:tab/>
        <w:t xml:space="preserve">Desde 1997 no se ha registrado ningún caso de poliomielitis. </w:t>
      </w:r>
      <w:r>
        <w:rPr>
          <w:snapToGrid w:val="0"/>
        </w:rPr>
        <w:t xml:space="preserve"> </w:t>
      </w:r>
      <w:r w:rsidRPr="005C0C9D">
        <w:rPr>
          <w:snapToGrid w:val="0"/>
        </w:rPr>
        <w:t>El aspecto esencial de la vigilancia de esta enfermedad es la investigación de todos los casos de parálisis flácida aguda en niños menores de 15 años.</w:t>
      </w:r>
    </w:p>
    <w:p w:rsidR="009F7163" w:rsidRPr="007F33D9" w:rsidRDefault="009F7163" w:rsidP="009F7163">
      <w:pPr>
        <w:adjustRightInd w:val="0"/>
        <w:snapToGrid w:val="0"/>
        <w:spacing w:after="240"/>
        <w:jc w:val="center"/>
        <w:rPr>
          <w:b/>
          <w:snapToGrid w:val="0"/>
        </w:rPr>
      </w:pPr>
      <w:r w:rsidRPr="007F33D9">
        <w:rPr>
          <w:b/>
          <w:snapToGrid w:val="0"/>
        </w:rPr>
        <w:t>Evolución de las enfermedades abarcas por el Programa ampliado de vacunación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5"/>
        <w:gridCol w:w="761"/>
        <w:gridCol w:w="762"/>
        <w:gridCol w:w="762"/>
        <w:gridCol w:w="762"/>
        <w:gridCol w:w="762"/>
        <w:gridCol w:w="762"/>
        <w:gridCol w:w="762"/>
        <w:gridCol w:w="762"/>
      </w:tblGrid>
      <w:tr w:rsidR="009F7163" w:rsidRPr="00275C60" w:rsidTr="004925AC">
        <w:tblPrEx>
          <w:tblCellMar>
            <w:top w:w="0" w:type="dxa"/>
            <w:bottom w:w="0" w:type="dxa"/>
          </w:tblCellMar>
        </w:tblPrEx>
        <w:trPr>
          <w:cantSplit/>
          <w:trHeight w:val="20"/>
          <w:tblHeader/>
          <w:jc w:val="center"/>
        </w:trPr>
        <w:tc>
          <w:tcPr>
            <w:tcW w:w="3265" w:type="dxa"/>
            <w:shd w:val="clear" w:color="auto" w:fill="auto"/>
            <w:vAlign w:val="center"/>
          </w:tcPr>
          <w:p w:rsidR="009F7163" w:rsidRPr="00275C60" w:rsidRDefault="009F7163" w:rsidP="004925AC">
            <w:pPr>
              <w:adjustRightInd w:val="0"/>
              <w:snapToGrid w:val="0"/>
              <w:jc w:val="center"/>
              <w:rPr>
                <w:b/>
                <w:iCs/>
                <w:snapToGrid w:val="0"/>
                <w:sz w:val="22"/>
                <w:szCs w:val="22"/>
              </w:rPr>
            </w:pPr>
            <w:r w:rsidRPr="00275C60">
              <w:rPr>
                <w:b/>
                <w:iCs/>
                <w:snapToGrid w:val="0"/>
                <w:sz w:val="22"/>
                <w:szCs w:val="22"/>
              </w:rPr>
              <w:t>Enfermedad</w:t>
            </w:r>
          </w:p>
        </w:tc>
        <w:tc>
          <w:tcPr>
            <w:tcW w:w="761" w:type="dxa"/>
            <w:shd w:val="clear" w:color="auto" w:fill="auto"/>
            <w:vAlign w:val="center"/>
          </w:tcPr>
          <w:p w:rsidR="009F7163" w:rsidRPr="00275C60" w:rsidRDefault="009F7163" w:rsidP="004925AC">
            <w:pPr>
              <w:adjustRightInd w:val="0"/>
              <w:snapToGrid w:val="0"/>
              <w:jc w:val="center"/>
              <w:rPr>
                <w:b/>
                <w:iCs/>
                <w:snapToGrid w:val="0"/>
                <w:sz w:val="22"/>
                <w:szCs w:val="22"/>
              </w:rPr>
            </w:pPr>
            <w:r w:rsidRPr="00275C60">
              <w:rPr>
                <w:b/>
                <w:iCs/>
                <w:snapToGrid w:val="0"/>
                <w:sz w:val="22"/>
                <w:szCs w:val="22"/>
              </w:rPr>
              <w:t>1990</w:t>
            </w:r>
          </w:p>
        </w:tc>
        <w:tc>
          <w:tcPr>
            <w:tcW w:w="762" w:type="dxa"/>
            <w:shd w:val="clear" w:color="auto" w:fill="auto"/>
            <w:vAlign w:val="center"/>
          </w:tcPr>
          <w:p w:rsidR="009F7163" w:rsidRPr="00275C60" w:rsidRDefault="009F7163" w:rsidP="004925AC">
            <w:pPr>
              <w:adjustRightInd w:val="0"/>
              <w:snapToGrid w:val="0"/>
              <w:jc w:val="center"/>
              <w:rPr>
                <w:b/>
                <w:iCs/>
                <w:snapToGrid w:val="0"/>
                <w:sz w:val="22"/>
                <w:szCs w:val="22"/>
              </w:rPr>
            </w:pPr>
            <w:r w:rsidRPr="00275C60">
              <w:rPr>
                <w:b/>
                <w:iCs/>
                <w:snapToGrid w:val="0"/>
                <w:sz w:val="22"/>
                <w:szCs w:val="22"/>
              </w:rPr>
              <w:t>1995</w:t>
            </w:r>
          </w:p>
        </w:tc>
        <w:tc>
          <w:tcPr>
            <w:tcW w:w="762" w:type="dxa"/>
            <w:shd w:val="clear" w:color="auto" w:fill="auto"/>
            <w:vAlign w:val="center"/>
          </w:tcPr>
          <w:p w:rsidR="009F7163" w:rsidRPr="00275C60" w:rsidRDefault="009F7163" w:rsidP="004925AC">
            <w:pPr>
              <w:adjustRightInd w:val="0"/>
              <w:snapToGrid w:val="0"/>
              <w:jc w:val="center"/>
              <w:rPr>
                <w:b/>
                <w:iCs/>
                <w:snapToGrid w:val="0"/>
                <w:sz w:val="22"/>
                <w:szCs w:val="22"/>
              </w:rPr>
            </w:pPr>
            <w:r w:rsidRPr="00275C60">
              <w:rPr>
                <w:b/>
                <w:iCs/>
                <w:snapToGrid w:val="0"/>
                <w:sz w:val="22"/>
                <w:szCs w:val="22"/>
              </w:rPr>
              <w:t>2000</w:t>
            </w:r>
          </w:p>
        </w:tc>
        <w:tc>
          <w:tcPr>
            <w:tcW w:w="762" w:type="dxa"/>
            <w:shd w:val="clear" w:color="auto" w:fill="auto"/>
            <w:vAlign w:val="center"/>
          </w:tcPr>
          <w:p w:rsidR="009F7163" w:rsidRPr="00275C60" w:rsidRDefault="009F7163" w:rsidP="004925AC">
            <w:pPr>
              <w:adjustRightInd w:val="0"/>
              <w:snapToGrid w:val="0"/>
              <w:jc w:val="center"/>
              <w:rPr>
                <w:b/>
                <w:iCs/>
                <w:snapToGrid w:val="0"/>
                <w:sz w:val="22"/>
                <w:szCs w:val="22"/>
              </w:rPr>
            </w:pPr>
            <w:r w:rsidRPr="00275C60">
              <w:rPr>
                <w:b/>
                <w:iCs/>
                <w:snapToGrid w:val="0"/>
                <w:sz w:val="22"/>
                <w:szCs w:val="22"/>
              </w:rPr>
              <w:t>2001</w:t>
            </w:r>
          </w:p>
        </w:tc>
        <w:tc>
          <w:tcPr>
            <w:tcW w:w="762" w:type="dxa"/>
            <w:shd w:val="clear" w:color="auto" w:fill="auto"/>
            <w:vAlign w:val="center"/>
          </w:tcPr>
          <w:p w:rsidR="009F7163" w:rsidRPr="00275C60" w:rsidRDefault="009F7163" w:rsidP="004925AC">
            <w:pPr>
              <w:adjustRightInd w:val="0"/>
              <w:snapToGrid w:val="0"/>
              <w:jc w:val="center"/>
              <w:rPr>
                <w:b/>
                <w:iCs/>
                <w:snapToGrid w:val="0"/>
                <w:sz w:val="22"/>
                <w:szCs w:val="22"/>
              </w:rPr>
            </w:pPr>
            <w:r w:rsidRPr="00275C60">
              <w:rPr>
                <w:b/>
                <w:iCs/>
                <w:snapToGrid w:val="0"/>
                <w:sz w:val="22"/>
                <w:szCs w:val="22"/>
              </w:rPr>
              <w:t>2002</w:t>
            </w:r>
          </w:p>
        </w:tc>
        <w:tc>
          <w:tcPr>
            <w:tcW w:w="762" w:type="dxa"/>
            <w:shd w:val="clear" w:color="auto" w:fill="auto"/>
            <w:vAlign w:val="center"/>
          </w:tcPr>
          <w:p w:rsidR="009F7163" w:rsidRPr="00275C60" w:rsidRDefault="009F7163" w:rsidP="004925AC">
            <w:pPr>
              <w:adjustRightInd w:val="0"/>
              <w:snapToGrid w:val="0"/>
              <w:jc w:val="center"/>
              <w:rPr>
                <w:b/>
                <w:iCs/>
                <w:snapToGrid w:val="0"/>
                <w:sz w:val="22"/>
                <w:szCs w:val="22"/>
              </w:rPr>
            </w:pPr>
            <w:r w:rsidRPr="00275C60">
              <w:rPr>
                <w:b/>
                <w:iCs/>
                <w:snapToGrid w:val="0"/>
                <w:sz w:val="22"/>
                <w:szCs w:val="22"/>
              </w:rPr>
              <w:t>2003</w:t>
            </w:r>
          </w:p>
        </w:tc>
        <w:tc>
          <w:tcPr>
            <w:tcW w:w="762" w:type="dxa"/>
            <w:shd w:val="clear" w:color="auto" w:fill="auto"/>
            <w:vAlign w:val="center"/>
          </w:tcPr>
          <w:p w:rsidR="009F7163" w:rsidRPr="00275C60" w:rsidRDefault="009F7163" w:rsidP="004925AC">
            <w:pPr>
              <w:adjustRightInd w:val="0"/>
              <w:snapToGrid w:val="0"/>
              <w:jc w:val="center"/>
              <w:rPr>
                <w:b/>
                <w:iCs/>
                <w:snapToGrid w:val="0"/>
                <w:sz w:val="22"/>
                <w:szCs w:val="22"/>
              </w:rPr>
            </w:pPr>
            <w:r w:rsidRPr="00275C60">
              <w:rPr>
                <w:b/>
                <w:iCs/>
                <w:snapToGrid w:val="0"/>
                <w:sz w:val="22"/>
                <w:szCs w:val="22"/>
              </w:rPr>
              <w:t>2004</w:t>
            </w:r>
          </w:p>
        </w:tc>
        <w:tc>
          <w:tcPr>
            <w:tcW w:w="762" w:type="dxa"/>
            <w:shd w:val="clear" w:color="auto" w:fill="auto"/>
            <w:vAlign w:val="center"/>
          </w:tcPr>
          <w:p w:rsidR="009F7163" w:rsidRPr="00275C60" w:rsidRDefault="009F7163" w:rsidP="004925AC">
            <w:pPr>
              <w:adjustRightInd w:val="0"/>
              <w:snapToGrid w:val="0"/>
              <w:jc w:val="center"/>
              <w:rPr>
                <w:b/>
                <w:iCs/>
                <w:snapToGrid w:val="0"/>
                <w:sz w:val="22"/>
                <w:szCs w:val="22"/>
              </w:rPr>
            </w:pPr>
            <w:r w:rsidRPr="00275C60">
              <w:rPr>
                <w:b/>
                <w:iCs/>
                <w:snapToGrid w:val="0"/>
                <w:sz w:val="22"/>
                <w:szCs w:val="22"/>
              </w:rPr>
              <w:t>2005</w:t>
            </w:r>
          </w:p>
        </w:tc>
      </w:tr>
      <w:tr w:rsidR="009F7163" w:rsidRPr="00275C60" w:rsidTr="004925AC">
        <w:tblPrEx>
          <w:tblCellMar>
            <w:top w:w="0" w:type="dxa"/>
            <w:bottom w:w="0" w:type="dxa"/>
          </w:tblCellMar>
        </w:tblPrEx>
        <w:trPr>
          <w:cantSplit/>
          <w:trHeight w:val="20"/>
          <w:jc w:val="center"/>
        </w:trPr>
        <w:tc>
          <w:tcPr>
            <w:tcW w:w="3265" w:type="dxa"/>
          </w:tcPr>
          <w:p w:rsidR="009F7163" w:rsidRPr="00275C60" w:rsidRDefault="009F7163" w:rsidP="004925AC">
            <w:pPr>
              <w:adjustRightInd w:val="0"/>
              <w:snapToGrid w:val="0"/>
              <w:rPr>
                <w:b/>
                <w:bCs/>
                <w:snapToGrid w:val="0"/>
                <w:sz w:val="22"/>
                <w:szCs w:val="22"/>
              </w:rPr>
            </w:pPr>
            <w:r w:rsidRPr="00275C60">
              <w:rPr>
                <w:b/>
                <w:bCs/>
                <w:snapToGrid w:val="0"/>
                <w:sz w:val="22"/>
                <w:szCs w:val="22"/>
              </w:rPr>
              <w:t>Sarampión</w:t>
            </w:r>
          </w:p>
          <w:p w:rsidR="009F7163" w:rsidRPr="00275C60" w:rsidRDefault="009F7163" w:rsidP="004925AC">
            <w:pPr>
              <w:adjustRightInd w:val="0"/>
              <w:snapToGrid w:val="0"/>
              <w:rPr>
                <w:snapToGrid w:val="0"/>
                <w:sz w:val="22"/>
                <w:szCs w:val="22"/>
              </w:rPr>
            </w:pPr>
            <w:r w:rsidRPr="00275C60">
              <w:rPr>
                <w:snapToGrid w:val="0"/>
                <w:sz w:val="22"/>
                <w:szCs w:val="22"/>
              </w:rPr>
              <w:t>Incidencia por cada 100.000 habitantes</w:t>
            </w:r>
          </w:p>
        </w:tc>
        <w:tc>
          <w:tcPr>
            <w:tcW w:w="761" w:type="dxa"/>
            <w:vAlign w:val="bottom"/>
          </w:tcPr>
          <w:p w:rsidR="009F7163" w:rsidRPr="00275C60" w:rsidRDefault="009F7163" w:rsidP="004925AC">
            <w:pPr>
              <w:tabs>
                <w:tab w:val="decimal" w:pos="238"/>
              </w:tabs>
              <w:adjustRightInd w:val="0"/>
              <w:snapToGrid w:val="0"/>
              <w:rPr>
                <w:snapToGrid w:val="0"/>
                <w:sz w:val="22"/>
                <w:szCs w:val="22"/>
              </w:rPr>
            </w:pPr>
            <w:r w:rsidRPr="00275C60">
              <w:rPr>
                <w:snapToGrid w:val="0"/>
                <w:sz w:val="22"/>
                <w:szCs w:val="22"/>
              </w:rPr>
              <w:t>7,46</w:t>
            </w:r>
          </w:p>
        </w:tc>
        <w:tc>
          <w:tcPr>
            <w:tcW w:w="762" w:type="dxa"/>
            <w:vAlign w:val="bottom"/>
          </w:tcPr>
          <w:p w:rsidR="009F7163" w:rsidRPr="00275C60" w:rsidRDefault="009F7163" w:rsidP="004925AC">
            <w:pPr>
              <w:tabs>
                <w:tab w:val="decimal" w:pos="289"/>
              </w:tabs>
              <w:adjustRightInd w:val="0"/>
              <w:snapToGrid w:val="0"/>
              <w:rPr>
                <w:snapToGrid w:val="0"/>
                <w:sz w:val="22"/>
                <w:szCs w:val="22"/>
              </w:rPr>
            </w:pPr>
            <w:r w:rsidRPr="00275C60">
              <w:rPr>
                <w:snapToGrid w:val="0"/>
                <w:sz w:val="22"/>
                <w:szCs w:val="22"/>
              </w:rPr>
              <w:t>34,51</w:t>
            </w:r>
          </w:p>
        </w:tc>
        <w:tc>
          <w:tcPr>
            <w:tcW w:w="762" w:type="dxa"/>
            <w:vAlign w:val="bottom"/>
          </w:tcPr>
          <w:p w:rsidR="009F7163" w:rsidRPr="00275C60" w:rsidRDefault="009F7163" w:rsidP="004925AC">
            <w:pPr>
              <w:tabs>
                <w:tab w:val="decimal" w:pos="266"/>
              </w:tabs>
              <w:adjustRightInd w:val="0"/>
              <w:snapToGrid w:val="0"/>
              <w:rPr>
                <w:snapToGrid w:val="0"/>
                <w:sz w:val="22"/>
                <w:szCs w:val="22"/>
              </w:rPr>
            </w:pPr>
            <w:r w:rsidRPr="00275C60">
              <w:rPr>
                <w:snapToGrid w:val="0"/>
                <w:sz w:val="22"/>
                <w:szCs w:val="22"/>
              </w:rPr>
              <w:t>11,28</w:t>
            </w:r>
          </w:p>
        </w:tc>
        <w:tc>
          <w:tcPr>
            <w:tcW w:w="762" w:type="dxa"/>
            <w:vAlign w:val="bottom"/>
          </w:tcPr>
          <w:p w:rsidR="009F7163" w:rsidRPr="00275C60" w:rsidRDefault="009F7163" w:rsidP="004925AC">
            <w:pPr>
              <w:tabs>
                <w:tab w:val="decimal" w:pos="248"/>
              </w:tabs>
              <w:adjustRightInd w:val="0"/>
              <w:snapToGrid w:val="0"/>
              <w:rPr>
                <w:snapToGrid w:val="0"/>
                <w:sz w:val="22"/>
                <w:szCs w:val="22"/>
              </w:rPr>
            </w:pPr>
            <w:r w:rsidRPr="00275C60">
              <w:rPr>
                <w:snapToGrid w:val="0"/>
                <w:sz w:val="22"/>
                <w:szCs w:val="22"/>
              </w:rPr>
              <w:t>8,97</w:t>
            </w:r>
          </w:p>
        </w:tc>
        <w:tc>
          <w:tcPr>
            <w:tcW w:w="762" w:type="dxa"/>
            <w:vAlign w:val="bottom"/>
          </w:tcPr>
          <w:p w:rsidR="009F7163" w:rsidRPr="00275C60" w:rsidRDefault="009F7163" w:rsidP="004925AC">
            <w:pPr>
              <w:tabs>
                <w:tab w:val="decimal" w:pos="284"/>
              </w:tabs>
              <w:adjustRightInd w:val="0"/>
              <w:snapToGrid w:val="0"/>
              <w:rPr>
                <w:snapToGrid w:val="0"/>
                <w:sz w:val="22"/>
                <w:szCs w:val="22"/>
              </w:rPr>
            </w:pPr>
            <w:r w:rsidRPr="00275C60">
              <w:rPr>
                <w:snapToGrid w:val="0"/>
                <w:sz w:val="22"/>
                <w:szCs w:val="22"/>
              </w:rPr>
              <w:t>18,88</w:t>
            </w:r>
          </w:p>
        </w:tc>
        <w:tc>
          <w:tcPr>
            <w:tcW w:w="762" w:type="dxa"/>
            <w:vAlign w:val="bottom"/>
          </w:tcPr>
          <w:p w:rsidR="009F7163" w:rsidRPr="00275C60" w:rsidRDefault="009F7163" w:rsidP="004925AC">
            <w:pPr>
              <w:tabs>
                <w:tab w:val="decimal" w:pos="260"/>
              </w:tabs>
              <w:adjustRightInd w:val="0"/>
              <w:snapToGrid w:val="0"/>
              <w:rPr>
                <w:snapToGrid w:val="0"/>
                <w:sz w:val="22"/>
                <w:szCs w:val="22"/>
              </w:rPr>
            </w:pPr>
            <w:r w:rsidRPr="00275C60">
              <w:rPr>
                <w:snapToGrid w:val="0"/>
                <w:sz w:val="22"/>
                <w:szCs w:val="22"/>
              </w:rPr>
              <w:t>50,02</w:t>
            </w:r>
          </w:p>
        </w:tc>
        <w:tc>
          <w:tcPr>
            <w:tcW w:w="762" w:type="dxa"/>
            <w:vAlign w:val="bottom"/>
          </w:tcPr>
          <w:p w:rsidR="009F7163" w:rsidRPr="00275C60" w:rsidRDefault="009F7163" w:rsidP="004925AC">
            <w:pPr>
              <w:tabs>
                <w:tab w:val="decimal" w:pos="230"/>
              </w:tabs>
              <w:adjustRightInd w:val="0"/>
              <w:snapToGrid w:val="0"/>
              <w:rPr>
                <w:snapToGrid w:val="0"/>
                <w:sz w:val="22"/>
                <w:szCs w:val="22"/>
              </w:rPr>
            </w:pPr>
            <w:r w:rsidRPr="00275C60">
              <w:rPr>
                <w:snapToGrid w:val="0"/>
                <w:sz w:val="22"/>
                <w:szCs w:val="22"/>
              </w:rPr>
              <w:t>9,14</w:t>
            </w:r>
          </w:p>
        </w:tc>
        <w:tc>
          <w:tcPr>
            <w:tcW w:w="762" w:type="dxa"/>
            <w:vAlign w:val="bottom"/>
          </w:tcPr>
          <w:p w:rsidR="009F7163" w:rsidRPr="00275C60" w:rsidRDefault="009F7163" w:rsidP="004925AC">
            <w:pPr>
              <w:tabs>
                <w:tab w:val="decimal" w:pos="224"/>
              </w:tabs>
              <w:adjustRightInd w:val="0"/>
              <w:snapToGrid w:val="0"/>
              <w:rPr>
                <w:snapToGrid w:val="0"/>
                <w:sz w:val="22"/>
                <w:szCs w:val="22"/>
              </w:rPr>
            </w:pPr>
            <w:r w:rsidRPr="00275C60">
              <w:rPr>
                <w:snapToGrid w:val="0"/>
                <w:sz w:val="22"/>
                <w:szCs w:val="22"/>
              </w:rPr>
              <w:t>7,70</w:t>
            </w:r>
          </w:p>
        </w:tc>
      </w:tr>
      <w:tr w:rsidR="009F7163" w:rsidRPr="00275C60" w:rsidTr="004925AC">
        <w:tblPrEx>
          <w:tblCellMar>
            <w:top w:w="0" w:type="dxa"/>
            <w:bottom w:w="0" w:type="dxa"/>
          </w:tblCellMar>
        </w:tblPrEx>
        <w:trPr>
          <w:cantSplit/>
          <w:trHeight w:val="546"/>
          <w:jc w:val="center"/>
        </w:trPr>
        <w:tc>
          <w:tcPr>
            <w:tcW w:w="3265" w:type="dxa"/>
          </w:tcPr>
          <w:p w:rsidR="009F7163" w:rsidRPr="00275C60" w:rsidRDefault="009F7163" w:rsidP="004925AC">
            <w:pPr>
              <w:adjustRightInd w:val="0"/>
              <w:snapToGrid w:val="0"/>
              <w:rPr>
                <w:b/>
                <w:bCs/>
                <w:snapToGrid w:val="0"/>
                <w:sz w:val="22"/>
                <w:szCs w:val="22"/>
              </w:rPr>
            </w:pPr>
            <w:r w:rsidRPr="00275C60">
              <w:rPr>
                <w:b/>
                <w:bCs/>
                <w:snapToGrid w:val="0"/>
                <w:sz w:val="22"/>
                <w:szCs w:val="22"/>
              </w:rPr>
              <w:t>Tétanos</w:t>
            </w:r>
          </w:p>
          <w:p w:rsidR="009F7163" w:rsidRPr="00275C60" w:rsidRDefault="009F7163" w:rsidP="004925AC">
            <w:pPr>
              <w:adjustRightInd w:val="0"/>
              <w:snapToGrid w:val="0"/>
              <w:rPr>
                <w:snapToGrid w:val="0"/>
                <w:sz w:val="22"/>
                <w:szCs w:val="22"/>
              </w:rPr>
            </w:pPr>
            <w:r w:rsidRPr="00275C60">
              <w:rPr>
                <w:snapToGrid w:val="0"/>
                <w:sz w:val="22"/>
                <w:szCs w:val="22"/>
              </w:rPr>
              <w:t>Total de casos registrados</w:t>
            </w:r>
          </w:p>
        </w:tc>
        <w:tc>
          <w:tcPr>
            <w:tcW w:w="761" w:type="dxa"/>
            <w:vAlign w:val="bottom"/>
          </w:tcPr>
          <w:p w:rsidR="009F7163" w:rsidRPr="00275C60" w:rsidRDefault="009F7163" w:rsidP="004925AC">
            <w:pPr>
              <w:tabs>
                <w:tab w:val="decimal" w:pos="238"/>
              </w:tabs>
              <w:adjustRightInd w:val="0"/>
              <w:snapToGrid w:val="0"/>
              <w:rPr>
                <w:snapToGrid w:val="0"/>
                <w:sz w:val="22"/>
                <w:szCs w:val="22"/>
              </w:rPr>
            </w:pPr>
            <w:r w:rsidRPr="00275C60">
              <w:rPr>
                <w:snapToGrid w:val="0"/>
                <w:sz w:val="22"/>
                <w:szCs w:val="22"/>
              </w:rPr>
              <w:t>38</w:t>
            </w:r>
          </w:p>
        </w:tc>
        <w:tc>
          <w:tcPr>
            <w:tcW w:w="762" w:type="dxa"/>
            <w:vAlign w:val="bottom"/>
          </w:tcPr>
          <w:p w:rsidR="009F7163" w:rsidRPr="00275C60" w:rsidRDefault="009F7163" w:rsidP="004925AC">
            <w:pPr>
              <w:tabs>
                <w:tab w:val="decimal" w:pos="289"/>
              </w:tabs>
              <w:adjustRightInd w:val="0"/>
              <w:snapToGrid w:val="0"/>
              <w:rPr>
                <w:snapToGrid w:val="0"/>
                <w:sz w:val="22"/>
                <w:szCs w:val="22"/>
              </w:rPr>
            </w:pPr>
            <w:r w:rsidRPr="00275C60">
              <w:rPr>
                <w:snapToGrid w:val="0"/>
                <w:sz w:val="22"/>
                <w:szCs w:val="22"/>
              </w:rPr>
              <w:t>34</w:t>
            </w:r>
          </w:p>
        </w:tc>
        <w:tc>
          <w:tcPr>
            <w:tcW w:w="762" w:type="dxa"/>
            <w:vAlign w:val="bottom"/>
          </w:tcPr>
          <w:p w:rsidR="009F7163" w:rsidRPr="00275C60" w:rsidRDefault="009F7163" w:rsidP="004925AC">
            <w:pPr>
              <w:tabs>
                <w:tab w:val="decimal" w:pos="266"/>
              </w:tabs>
              <w:adjustRightInd w:val="0"/>
              <w:snapToGrid w:val="0"/>
              <w:rPr>
                <w:snapToGrid w:val="0"/>
                <w:sz w:val="22"/>
                <w:szCs w:val="22"/>
              </w:rPr>
            </w:pPr>
            <w:r w:rsidRPr="00275C60">
              <w:rPr>
                <w:snapToGrid w:val="0"/>
                <w:sz w:val="22"/>
                <w:szCs w:val="22"/>
              </w:rPr>
              <w:t>10</w:t>
            </w:r>
          </w:p>
        </w:tc>
        <w:tc>
          <w:tcPr>
            <w:tcW w:w="762" w:type="dxa"/>
            <w:vAlign w:val="bottom"/>
          </w:tcPr>
          <w:p w:rsidR="009F7163" w:rsidRPr="00275C60" w:rsidRDefault="009F7163" w:rsidP="004925AC">
            <w:pPr>
              <w:tabs>
                <w:tab w:val="decimal" w:pos="248"/>
              </w:tabs>
              <w:adjustRightInd w:val="0"/>
              <w:snapToGrid w:val="0"/>
              <w:rPr>
                <w:snapToGrid w:val="0"/>
                <w:sz w:val="22"/>
                <w:szCs w:val="22"/>
              </w:rPr>
            </w:pPr>
            <w:r w:rsidRPr="00275C60">
              <w:rPr>
                <w:snapToGrid w:val="0"/>
                <w:sz w:val="22"/>
                <w:szCs w:val="22"/>
              </w:rPr>
              <w:t>-</w:t>
            </w:r>
          </w:p>
        </w:tc>
        <w:tc>
          <w:tcPr>
            <w:tcW w:w="762" w:type="dxa"/>
            <w:vAlign w:val="bottom"/>
          </w:tcPr>
          <w:p w:rsidR="009F7163" w:rsidRPr="00275C60" w:rsidRDefault="009F7163" w:rsidP="004925AC">
            <w:pPr>
              <w:tabs>
                <w:tab w:val="decimal" w:pos="284"/>
              </w:tabs>
              <w:adjustRightInd w:val="0"/>
              <w:snapToGrid w:val="0"/>
              <w:rPr>
                <w:snapToGrid w:val="0"/>
                <w:sz w:val="22"/>
                <w:szCs w:val="22"/>
              </w:rPr>
            </w:pPr>
            <w:r w:rsidRPr="00275C60">
              <w:rPr>
                <w:snapToGrid w:val="0"/>
                <w:sz w:val="22"/>
                <w:szCs w:val="22"/>
              </w:rPr>
              <w:t>-</w:t>
            </w:r>
          </w:p>
        </w:tc>
        <w:tc>
          <w:tcPr>
            <w:tcW w:w="762" w:type="dxa"/>
            <w:vAlign w:val="bottom"/>
          </w:tcPr>
          <w:p w:rsidR="009F7163" w:rsidRPr="00275C60" w:rsidRDefault="009F7163" w:rsidP="004925AC">
            <w:pPr>
              <w:tabs>
                <w:tab w:val="decimal" w:pos="260"/>
              </w:tabs>
              <w:adjustRightInd w:val="0"/>
              <w:snapToGrid w:val="0"/>
              <w:rPr>
                <w:snapToGrid w:val="0"/>
                <w:sz w:val="22"/>
                <w:szCs w:val="22"/>
              </w:rPr>
            </w:pPr>
          </w:p>
        </w:tc>
        <w:tc>
          <w:tcPr>
            <w:tcW w:w="762" w:type="dxa"/>
            <w:vAlign w:val="bottom"/>
          </w:tcPr>
          <w:p w:rsidR="009F7163" w:rsidRPr="00275C60" w:rsidRDefault="009F7163" w:rsidP="004925AC">
            <w:pPr>
              <w:tabs>
                <w:tab w:val="decimal" w:pos="230"/>
              </w:tabs>
              <w:adjustRightInd w:val="0"/>
              <w:snapToGrid w:val="0"/>
              <w:rPr>
                <w:snapToGrid w:val="0"/>
                <w:sz w:val="22"/>
                <w:szCs w:val="22"/>
              </w:rPr>
            </w:pPr>
          </w:p>
        </w:tc>
        <w:tc>
          <w:tcPr>
            <w:tcW w:w="762" w:type="dxa"/>
            <w:vAlign w:val="bottom"/>
          </w:tcPr>
          <w:p w:rsidR="009F7163" w:rsidRPr="00275C60" w:rsidRDefault="009F7163" w:rsidP="004925AC">
            <w:pPr>
              <w:tabs>
                <w:tab w:val="decimal" w:pos="224"/>
              </w:tabs>
              <w:adjustRightInd w:val="0"/>
              <w:snapToGrid w:val="0"/>
              <w:rPr>
                <w:snapToGrid w:val="0"/>
                <w:sz w:val="22"/>
                <w:szCs w:val="22"/>
              </w:rPr>
            </w:pPr>
            <w:r w:rsidRPr="00275C60">
              <w:rPr>
                <w:snapToGrid w:val="0"/>
                <w:sz w:val="22"/>
                <w:szCs w:val="22"/>
              </w:rPr>
              <w:t>0,06</w:t>
            </w:r>
          </w:p>
        </w:tc>
      </w:tr>
      <w:tr w:rsidR="009F7163" w:rsidRPr="00275C60" w:rsidTr="004925AC">
        <w:tblPrEx>
          <w:tblCellMar>
            <w:top w:w="0" w:type="dxa"/>
            <w:bottom w:w="0" w:type="dxa"/>
          </w:tblCellMar>
        </w:tblPrEx>
        <w:trPr>
          <w:cantSplit/>
          <w:jc w:val="center"/>
        </w:trPr>
        <w:tc>
          <w:tcPr>
            <w:tcW w:w="3265" w:type="dxa"/>
          </w:tcPr>
          <w:p w:rsidR="009F7163" w:rsidRPr="00275C60" w:rsidRDefault="009F7163" w:rsidP="004925AC">
            <w:pPr>
              <w:adjustRightInd w:val="0"/>
              <w:snapToGrid w:val="0"/>
              <w:rPr>
                <w:snapToGrid w:val="0"/>
                <w:sz w:val="22"/>
                <w:szCs w:val="22"/>
              </w:rPr>
            </w:pPr>
            <w:r w:rsidRPr="00275C60">
              <w:rPr>
                <w:snapToGrid w:val="0"/>
                <w:sz w:val="22"/>
                <w:szCs w:val="22"/>
              </w:rPr>
              <w:t xml:space="preserve">Casos de recién nacidos </w:t>
            </w:r>
          </w:p>
        </w:tc>
        <w:tc>
          <w:tcPr>
            <w:tcW w:w="761" w:type="dxa"/>
            <w:vAlign w:val="bottom"/>
          </w:tcPr>
          <w:p w:rsidR="009F7163" w:rsidRPr="00275C60" w:rsidRDefault="009F7163" w:rsidP="004925AC">
            <w:pPr>
              <w:tabs>
                <w:tab w:val="decimal" w:pos="238"/>
              </w:tabs>
              <w:adjustRightInd w:val="0"/>
              <w:snapToGrid w:val="0"/>
              <w:rPr>
                <w:snapToGrid w:val="0"/>
                <w:sz w:val="22"/>
                <w:szCs w:val="22"/>
              </w:rPr>
            </w:pPr>
            <w:r w:rsidRPr="00275C60">
              <w:rPr>
                <w:snapToGrid w:val="0"/>
                <w:sz w:val="22"/>
                <w:szCs w:val="22"/>
              </w:rPr>
              <w:t>27</w:t>
            </w:r>
          </w:p>
        </w:tc>
        <w:tc>
          <w:tcPr>
            <w:tcW w:w="762" w:type="dxa"/>
            <w:vAlign w:val="bottom"/>
          </w:tcPr>
          <w:p w:rsidR="009F7163" w:rsidRPr="00275C60" w:rsidRDefault="009F7163" w:rsidP="004925AC">
            <w:pPr>
              <w:tabs>
                <w:tab w:val="decimal" w:pos="289"/>
              </w:tabs>
              <w:adjustRightInd w:val="0"/>
              <w:snapToGrid w:val="0"/>
              <w:rPr>
                <w:snapToGrid w:val="0"/>
                <w:sz w:val="22"/>
                <w:szCs w:val="22"/>
              </w:rPr>
            </w:pPr>
            <w:r w:rsidRPr="00275C60">
              <w:rPr>
                <w:snapToGrid w:val="0"/>
                <w:sz w:val="22"/>
                <w:szCs w:val="22"/>
              </w:rPr>
              <w:t>19</w:t>
            </w:r>
          </w:p>
        </w:tc>
        <w:tc>
          <w:tcPr>
            <w:tcW w:w="762" w:type="dxa"/>
            <w:vAlign w:val="bottom"/>
          </w:tcPr>
          <w:p w:rsidR="009F7163" w:rsidRPr="00275C60" w:rsidRDefault="009F7163" w:rsidP="004925AC">
            <w:pPr>
              <w:tabs>
                <w:tab w:val="decimal" w:pos="266"/>
              </w:tabs>
              <w:adjustRightInd w:val="0"/>
              <w:snapToGrid w:val="0"/>
              <w:rPr>
                <w:snapToGrid w:val="0"/>
                <w:sz w:val="22"/>
                <w:szCs w:val="22"/>
              </w:rPr>
            </w:pPr>
            <w:r w:rsidRPr="00275C60">
              <w:rPr>
                <w:snapToGrid w:val="0"/>
                <w:sz w:val="22"/>
                <w:szCs w:val="22"/>
              </w:rPr>
              <w:t>10</w:t>
            </w:r>
          </w:p>
        </w:tc>
        <w:tc>
          <w:tcPr>
            <w:tcW w:w="762" w:type="dxa"/>
            <w:vAlign w:val="bottom"/>
          </w:tcPr>
          <w:p w:rsidR="009F7163" w:rsidRPr="00275C60" w:rsidRDefault="009F7163" w:rsidP="004925AC">
            <w:pPr>
              <w:tabs>
                <w:tab w:val="decimal" w:pos="248"/>
              </w:tabs>
              <w:adjustRightInd w:val="0"/>
              <w:snapToGrid w:val="0"/>
              <w:rPr>
                <w:snapToGrid w:val="0"/>
                <w:sz w:val="22"/>
                <w:szCs w:val="22"/>
              </w:rPr>
            </w:pPr>
            <w:r w:rsidRPr="00275C60">
              <w:rPr>
                <w:snapToGrid w:val="0"/>
                <w:sz w:val="22"/>
                <w:szCs w:val="22"/>
              </w:rPr>
              <w:t>15</w:t>
            </w:r>
          </w:p>
        </w:tc>
        <w:tc>
          <w:tcPr>
            <w:tcW w:w="762" w:type="dxa"/>
            <w:vAlign w:val="bottom"/>
          </w:tcPr>
          <w:p w:rsidR="009F7163" w:rsidRPr="00275C60" w:rsidRDefault="009F7163" w:rsidP="004925AC">
            <w:pPr>
              <w:tabs>
                <w:tab w:val="decimal" w:pos="284"/>
              </w:tabs>
              <w:adjustRightInd w:val="0"/>
              <w:snapToGrid w:val="0"/>
              <w:rPr>
                <w:snapToGrid w:val="0"/>
                <w:sz w:val="22"/>
                <w:szCs w:val="22"/>
              </w:rPr>
            </w:pPr>
            <w:r w:rsidRPr="00275C60">
              <w:rPr>
                <w:snapToGrid w:val="0"/>
                <w:sz w:val="22"/>
                <w:szCs w:val="22"/>
              </w:rPr>
              <w:t>4</w:t>
            </w:r>
          </w:p>
        </w:tc>
        <w:tc>
          <w:tcPr>
            <w:tcW w:w="762" w:type="dxa"/>
            <w:vAlign w:val="bottom"/>
          </w:tcPr>
          <w:p w:rsidR="009F7163" w:rsidRPr="00275C60" w:rsidRDefault="009F7163" w:rsidP="004925AC">
            <w:pPr>
              <w:tabs>
                <w:tab w:val="decimal" w:pos="260"/>
              </w:tabs>
              <w:adjustRightInd w:val="0"/>
              <w:snapToGrid w:val="0"/>
              <w:rPr>
                <w:snapToGrid w:val="0"/>
                <w:sz w:val="22"/>
                <w:szCs w:val="22"/>
              </w:rPr>
            </w:pPr>
            <w:r w:rsidRPr="00275C60">
              <w:rPr>
                <w:snapToGrid w:val="0"/>
                <w:sz w:val="22"/>
                <w:szCs w:val="22"/>
              </w:rPr>
              <w:t>3</w:t>
            </w:r>
          </w:p>
        </w:tc>
        <w:tc>
          <w:tcPr>
            <w:tcW w:w="762" w:type="dxa"/>
            <w:vAlign w:val="bottom"/>
          </w:tcPr>
          <w:p w:rsidR="009F7163" w:rsidRPr="00275C60" w:rsidRDefault="009F7163" w:rsidP="004925AC">
            <w:pPr>
              <w:tabs>
                <w:tab w:val="decimal" w:pos="230"/>
              </w:tabs>
              <w:adjustRightInd w:val="0"/>
              <w:snapToGrid w:val="0"/>
              <w:rPr>
                <w:snapToGrid w:val="0"/>
                <w:sz w:val="22"/>
                <w:szCs w:val="22"/>
              </w:rPr>
            </w:pPr>
            <w:r w:rsidRPr="00275C60">
              <w:rPr>
                <w:snapToGrid w:val="0"/>
                <w:sz w:val="22"/>
                <w:szCs w:val="22"/>
              </w:rPr>
              <w:t>4</w:t>
            </w:r>
          </w:p>
        </w:tc>
        <w:tc>
          <w:tcPr>
            <w:tcW w:w="762" w:type="dxa"/>
            <w:vAlign w:val="bottom"/>
          </w:tcPr>
          <w:p w:rsidR="009F7163" w:rsidRPr="00275C60" w:rsidRDefault="009F7163" w:rsidP="004925AC">
            <w:pPr>
              <w:tabs>
                <w:tab w:val="decimal" w:pos="224"/>
              </w:tabs>
              <w:adjustRightInd w:val="0"/>
              <w:snapToGrid w:val="0"/>
              <w:rPr>
                <w:snapToGrid w:val="0"/>
                <w:sz w:val="22"/>
                <w:szCs w:val="22"/>
              </w:rPr>
            </w:pPr>
          </w:p>
        </w:tc>
      </w:tr>
      <w:tr w:rsidR="009F7163" w:rsidRPr="00275C60" w:rsidTr="004925AC">
        <w:tblPrEx>
          <w:tblCellMar>
            <w:top w:w="0" w:type="dxa"/>
            <w:bottom w:w="0" w:type="dxa"/>
          </w:tblCellMar>
        </w:tblPrEx>
        <w:trPr>
          <w:cantSplit/>
          <w:trHeight w:val="20"/>
          <w:jc w:val="center"/>
        </w:trPr>
        <w:tc>
          <w:tcPr>
            <w:tcW w:w="3265" w:type="dxa"/>
          </w:tcPr>
          <w:p w:rsidR="009F7163" w:rsidRPr="00275C60" w:rsidRDefault="009F7163" w:rsidP="004925AC">
            <w:pPr>
              <w:adjustRightInd w:val="0"/>
              <w:snapToGrid w:val="0"/>
              <w:rPr>
                <w:b/>
                <w:bCs/>
                <w:snapToGrid w:val="0"/>
                <w:sz w:val="22"/>
                <w:szCs w:val="22"/>
              </w:rPr>
            </w:pPr>
            <w:r w:rsidRPr="00275C60">
              <w:rPr>
                <w:b/>
                <w:bCs/>
                <w:snapToGrid w:val="0"/>
                <w:sz w:val="22"/>
                <w:szCs w:val="22"/>
              </w:rPr>
              <w:t>Difteria</w:t>
            </w:r>
          </w:p>
          <w:p w:rsidR="009F7163" w:rsidRPr="00275C60" w:rsidRDefault="009F7163" w:rsidP="004925AC">
            <w:pPr>
              <w:adjustRightInd w:val="0"/>
              <w:snapToGrid w:val="0"/>
              <w:rPr>
                <w:snapToGrid w:val="0"/>
                <w:sz w:val="22"/>
                <w:szCs w:val="22"/>
              </w:rPr>
            </w:pPr>
            <w:r w:rsidRPr="00275C60">
              <w:rPr>
                <w:snapToGrid w:val="0"/>
                <w:sz w:val="22"/>
                <w:szCs w:val="22"/>
              </w:rPr>
              <w:t>Incidencia por cada 100.000 habitantes</w:t>
            </w:r>
          </w:p>
        </w:tc>
        <w:tc>
          <w:tcPr>
            <w:tcW w:w="761" w:type="dxa"/>
            <w:vAlign w:val="bottom"/>
          </w:tcPr>
          <w:p w:rsidR="009F7163" w:rsidRPr="00275C60" w:rsidRDefault="009F7163" w:rsidP="004925AC">
            <w:pPr>
              <w:tabs>
                <w:tab w:val="decimal" w:pos="238"/>
              </w:tabs>
              <w:adjustRightInd w:val="0"/>
              <w:snapToGrid w:val="0"/>
              <w:rPr>
                <w:snapToGrid w:val="0"/>
                <w:sz w:val="22"/>
                <w:szCs w:val="22"/>
              </w:rPr>
            </w:pPr>
            <w:r w:rsidRPr="00275C60">
              <w:rPr>
                <w:snapToGrid w:val="0"/>
                <w:sz w:val="22"/>
                <w:szCs w:val="22"/>
              </w:rPr>
              <w:t>0,12</w:t>
            </w:r>
          </w:p>
        </w:tc>
        <w:tc>
          <w:tcPr>
            <w:tcW w:w="762" w:type="dxa"/>
            <w:vAlign w:val="bottom"/>
          </w:tcPr>
          <w:p w:rsidR="009F7163" w:rsidRPr="00275C60" w:rsidRDefault="009F7163" w:rsidP="004925AC">
            <w:pPr>
              <w:tabs>
                <w:tab w:val="decimal" w:pos="289"/>
              </w:tabs>
              <w:adjustRightInd w:val="0"/>
              <w:snapToGrid w:val="0"/>
              <w:rPr>
                <w:snapToGrid w:val="0"/>
                <w:sz w:val="22"/>
                <w:szCs w:val="22"/>
              </w:rPr>
            </w:pPr>
            <w:r w:rsidRPr="00275C60">
              <w:rPr>
                <w:snapToGrid w:val="0"/>
                <w:sz w:val="22"/>
                <w:szCs w:val="22"/>
              </w:rPr>
              <w:t>3,49</w:t>
            </w:r>
          </w:p>
        </w:tc>
        <w:tc>
          <w:tcPr>
            <w:tcW w:w="762" w:type="dxa"/>
            <w:vAlign w:val="bottom"/>
          </w:tcPr>
          <w:p w:rsidR="009F7163" w:rsidRPr="00275C60" w:rsidRDefault="009F7163" w:rsidP="004925AC">
            <w:pPr>
              <w:tabs>
                <w:tab w:val="decimal" w:pos="266"/>
              </w:tabs>
              <w:adjustRightInd w:val="0"/>
              <w:snapToGrid w:val="0"/>
              <w:rPr>
                <w:snapToGrid w:val="0"/>
                <w:sz w:val="22"/>
                <w:szCs w:val="22"/>
              </w:rPr>
            </w:pPr>
            <w:r w:rsidRPr="00275C60">
              <w:rPr>
                <w:snapToGrid w:val="0"/>
                <w:sz w:val="22"/>
                <w:szCs w:val="22"/>
              </w:rPr>
              <w:t>0,01</w:t>
            </w:r>
          </w:p>
        </w:tc>
        <w:tc>
          <w:tcPr>
            <w:tcW w:w="762" w:type="dxa"/>
            <w:vAlign w:val="bottom"/>
          </w:tcPr>
          <w:p w:rsidR="009F7163" w:rsidRPr="00275C60" w:rsidRDefault="009F7163" w:rsidP="004925AC">
            <w:pPr>
              <w:tabs>
                <w:tab w:val="decimal" w:pos="248"/>
              </w:tabs>
              <w:adjustRightInd w:val="0"/>
              <w:snapToGrid w:val="0"/>
              <w:rPr>
                <w:snapToGrid w:val="0"/>
                <w:sz w:val="22"/>
                <w:szCs w:val="22"/>
              </w:rPr>
            </w:pPr>
            <w:r w:rsidRPr="00275C60">
              <w:rPr>
                <w:snapToGrid w:val="0"/>
                <w:sz w:val="22"/>
                <w:szCs w:val="22"/>
              </w:rPr>
              <w:t>0,01</w:t>
            </w:r>
          </w:p>
        </w:tc>
        <w:tc>
          <w:tcPr>
            <w:tcW w:w="762" w:type="dxa"/>
            <w:vAlign w:val="bottom"/>
          </w:tcPr>
          <w:p w:rsidR="009F7163" w:rsidRPr="00275C60" w:rsidRDefault="009F7163" w:rsidP="004925AC">
            <w:pPr>
              <w:tabs>
                <w:tab w:val="decimal" w:pos="284"/>
              </w:tabs>
              <w:adjustRightInd w:val="0"/>
              <w:snapToGrid w:val="0"/>
              <w:rPr>
                <w:snapToGrid w:val="0"/>
                <w:sz w:val="22"/>
                <w:szCs w:val="22"/>
              </w:rPr>
            </w:pPr>
            <w:r w:rsidRPr="00275C60">
              <w:rPr>
                <w:snapToGrid w:val="0"/>
                <w:sz w:val="22"/>
                <w:szCs w:val="22"/>
              </w:rPr>
              <w:t>0,00</w:t>
            </w:r>
          </w:p>
        </w:tc>
        <w:tc>
          <w:tcPr>
            <w:tcW w:w="762" w:type="dxa"/>
            <w:vAlign w:val="bottom"/>
          </w:tcPr>
          <w:p w:rsidR="009F7163" w:rsidRPr="00275C60" w:rsidRDefault="009F7163" w:rsidP="004925AC">
            <w:pPr>
              <w:tabs>
                <w:tab w:val="decimal" w:pos="260"/>
              </w:tabs>
              <w:adjustRightInd w:val="0"/>
              <w:snapToGrid w:val="0"/>
              <w:rPr>
                <w:snapToGrid w:val="0"/>
                <w:sz w:val="22"/>
                <w:szCs w:val="22"/>
              </w:rPr>
            </w:pPr>
            <w:r w:rsidRPr="00275C60">
              <w:rPr>
                <w:snapToGrid w:val="0"/>
                <w:sz w:val="22"/>
                <w:szCs w:val="22"/>
              </w:rPr>
              <w:t>0,02</w:t>
            </w:r>
          </w:p>
        </w:tc>
        <w:tc>
          <w:tcPr>
            <w:tcW w:w="762" w:type="dxa"/>
            <w:vAlign w:val="bottom"/>
          </w:tcPr>
          <w:p w:rsidR="009F7163" w:rsidRPr="00275C60" w:rsidRDefault="009F7163" w:rsidP="004925AC">
            <w:pPr>
              <w:tabs>
                <w:tab w:val="decimal" w:pos="230"/>
              </w:tabs>
              <w:adjustRightInd w:val="0"/>
              <w:snapToGrid w:val="0"/>
              <w:rPr>
                <w:snapToGrid w:val="0"/>
                <w:sz w:val="22"/>
                <w:szCs w:val="22"/>
              </w:rPr>
            </w:pPr>
            <w:r w:rsidRPr="00275C60">
              <w:rPr>
                <w:snapToGrid w:val="0"/>
                <w:sz w:val="22"/>
                <w:szCs w:val="22"/>
              </w:rPr>
              <w:t>0,02</w:t>
            </w:r>
          </w:p>
        </w:tc>
        <w:tc>
          <w:tcPr>
            <w:tcW w:w="762" w:type="dxa"/>
            <w:vAlign w:val="bottom"/>
          </w:tcPr>
          <w:p w:rsidR="009F7163" w:rsidRPr="00275C60" w:rsidRDefault="009F7163" w:rsidP="004925AC">
            <w:pPr>
              <w:tabs>
                <w:tab w:val="decimal" w:pos="224"/>
              </w:tabs>
              <w:adjustRightInd w:val="0"/>
              <w:snapToGrid w:val="0"/>
              <w:rPr>
                <w:snapToGrid w:val="0"/>
                <w:sz w:val="22"/>
                <w:szCs w:val="22"/>
              </w:rPr>
            </w:pPr>
            <w:r w:rsidRPr="00275C60">
              <w:rPr>
                <w:snapToGrid w:val="0"/>
                <w:sz w:val="22"/>
                <w:szCs w:val="22"/>
              </w:rPr>
              <w:t>0,02</w:t>
            </w:r>
          </w:p>
        </w:tc>
      </w:tr>
      <w:tr w:rsidR="009F7163" w:rsidRPr="00275C60" w:rsidTr="004925AC">
        <w:tblPrEx>
          <w:tblCellMar>
            <w:top w:w="0" w:type="dxa"/>
            <w:bottom w:w="0" w:type="dxa"/>
          </w:tblCellMar>
        </w:tblPrEx>
        <w:trPr>
          <w:cantSplit/>
          <w:trHeight w:val="20"/>
          <w:jc w:val="center"/>
        </w:trPr>
        <w:tc>
          <w:tcPr>
            <w:tcW w:w="3265" w:type="dxa"/>
          </w:tcPr>
          <w:p w:rsidR="009F7163" w:rsidRPr="00275C60" w:rsidRDefault="009F7163" w:rsidP="004925AC">
            <w:pPr>
              <w:adjustRightInd w:val="0"/>
              <w:snapToGrid w:val="0"/>
              <w:rPr>
                <w:snapToGrid w:val="0"/>
                <w:sz w:val="22"/>
                <w:szCs w:val="22"/>
              </w:rPr>
            </w:pPr>
            <w:r w:rsidRPr="00275C60">
              <w:rPr>
                <w:b/>
                <w:bCs/>
                <w:snapToGrid w:val="0"/>
                <w:sz w:val="22"/>
                <w:szCs w:val="22"/>
              </w:rPr>
              <w:t>Tos ferina</w:t>
            </w:r>
          </w:p>
          <w:p w:rsidR="009F7163" w:rsidRPr="00275C60" w:rsidRDefault="009F7163" w:rsidP="004925AC">
            <w:pPr>
              <w:adjustRightInd w:val="0"/>
              <w:snapToGrid w:val="0"/>
              <w:rPr>
                <w:snapToGrid w:val="0"/>
                <w:sz w:val="22"/>
                <w:szCs w:val="22"/>
              </w:rPr>
            </w:pPr>
            <w:r w:rsidRPr="00275C60">
              <w:rPr>
                <w:snapToGrid w:val="0"/>
                <w:sz w:val="22"/>
                <w:szCs w:val="22"/>
              </w:rPr>
              <w:t>Incidencia por cada 100.000 habitantes</w:t>
            </w:r>
          </w:p>
        </w:tc>
        <w:tc>
          <w:tcPr>
            <w:tcW w:w="761" w:type="dxa"/>
            <w:vAlign w:val="bottom"/>
          </w:tcPr>
          <w:p w:rsidR="009F7163" w:rsidRPr="00275C60" w:rsidRDefault="009F7163" w:rsidP="004925AC">
            <w:pPr>
              <w:tabs>
                <w:tab w:val="decimal" w:pos="238"/>
              </w:tabs>
              <w:adjustRightInd w:val="0"/>
              <w:snapToGrid w:val="0"/>
              <w:rPr>
                <w:snapToGrid w:val="0"/>
                <w:sz w:val="22"/>
                <w:szCs w:val="22"/>
              </w:rPr>
            </w:pPr>
            <w:r w:rsidRPr="00275C60">
              <w:rPr>
                <w:snapToGrid w:val="0"/>
                <w:sz w:val="22"/>
                <w:szCs w:val="22"/>
              </w:rPr>
              <w:t>0,10</w:t>
            </w:r>
          </w:p>
        </w:tc>
        <w:tc>
          <w:tcPr>
            <w:tcW w:w="762" w:type="dxa"/>
            <w:vAlign w:val="bottom"/>
          </w:tcPr>
          <w:p w:rsidR="009F7163" w:rsidRPr="00275C60" w:rsidRDefault="009F7163" w:rsidP="004925AC">
            <w:pPr>
              <w:tabs>
                <w:tab w:val="decimal" w:pos="289"/>
              </w:tabs>
              <w:adjustRightInd w:val="0"/>
              <w:snapToGrid w:val="0"/>
              <w:rPr>
                <w:snapToGrid w:val="0"/>
                <w:sz w:val="22"/>
                <w:szCs w:val="22"/>
              </w:rPr>
            </w:pPr>
            <w:r w:rsidRPr="00275C60">
              <w:rPr>
                <w:snapToGrid w:val="0"/>
                <w:sz w:val="22"/>
                <w:szCs w:val="22"/>
              </w:rPr>
              <w:t>0,04</w:t>
            </w:r>
          </w:p>
        </w:tc>
        <w:tc>
          <w:tcPr>
            <w:tcW w:w="762" w:type="dxa"/>
            <w:vAlign w:val="bottom"/>
          </w:tcPr>
          <w:p w:rsidR="009F7163" w:rsidRPr="00275C60" w:rsidRDefault="009F7163" w:rsidP="004925AC">
            <w:pPr>
              <w:tabs>
                <w:tab w:val="decimal" w:pos="266"/>
              </w:tabs>
              <w:adjustRightInd w:val="0"/>
              <w:snapToGrid w:val="0"/>
              <w:rPr>
                <w:snapToGrid w:val="0"/>
                <w:sz w:val="22"/>
                <w:szCs w:val="22"/>
              </w:rPr>
            </w:pPr>
            <w:r w:rsidRPr="00275C60">
              <w:rPr>
                <w:snapToGrid w:val="0"/>
                <w:sz w:val="22"/>
                <w:szCs w:val="22"/>
              </w:rPr>
              <w:t>0,10</w:t>
            </w:r>
          </w:p>
        </w:tc>
        <w:tc>
          <w:tcPr>
            <w:tcW w:w="762" w:type="dxa"/>
            <w:vAlign w:val="bottom"/>
          </w:tcPr>
          <w:p w:rsidR="009F7163" w:rsidRPr="00275C60" w:rsidRDefault="009F7163" w:rsidP="004925AC">
            <w:pPr>
              <w:tabs>
                <w:tab w:val="decimal" w:pos="248"/>
              </w:tabs>
              <w:adjustRightInd w:val="0"/>
              <w:snapToGrid w:val="0"/>
              <w:rPr>
                <w:snapToGrid w:val="0"/>
                <w:sz w:val="22"/>
                <w:szCs w:val="22"/>
              </w:rPr>
            </w:pPr>
            <w:r w:rsidRPr="00275C60">
              <w:rPr>
                <w:snapToGrid w:val="0"/>
                <w:sz w:val="22"/>
                <w:szCs w:val="22"/>
              </w:rPr>
              <w:t>0,46</w:t>
            </w:r>
          </w:p>
        </w:tc>
        <w:tc>
          <w:tcPr>
            <w:tcW w:w="762" w:type="dxa"/>
            <w:vAlign w:val="bottom"/>
          </w:tcPr>
          <w:p w:rsidR="009F7163" w:rsidRPr="00275C60" w:rsidRDefault="009F7163" w:rsidP="004925AC">
            <w:pPr>
              <w:tabs>
                <w:tab w:val="decimal" w:pos="284"/>
              </w:tabs>
              <w:adjustRightInd w:val="0"/>
              <w:snapToGrid w:val="0"/>
              <w:rPr>
                <w:snapToGrid w:val="0"/>
                <w:sz w:val="22"/>
                <w:szCs w:val="22"/>
              </w:rPr>
            </w:pPr>
            <w:r w:rsidRPr="00275C60">
              <w:rPr>
                <w:snapToGrid w:val="0"/>
                <w:sz w:val="22"/>
                <w:szCs w:val="22"/>
              </w:rPr>
              <w:t>0,18</w:t>
            </w:r>
          </w:p>
        </w:tc>
        <w:tc>
          <w:tcPr>
            <w:tcW w:w="762" w:type="dxa"/>
            <w:vAlign w:val="bottom"/>
          </w:tcPr>
          <w:p w:rsidR="009F7163" w:rsidRPr="00275C60" w:rsidRDefault="009F7163" w:rsidP="004925AC">
            <w:pPr>
              <w:tabs>
                <w:tab w:val="decimal" w:pos="260"/>
              </w:tabs>
              <w:adjustRightInd w:val="0"/>
              <w:snapToGrid w:val="0"/>
              <w:rPr>
                <w:snapToGrid w:val="0"/>
                <w:sz w:val="22"/>
                <w:szCs w:val="22"/>
              </w:rPr>
            </w:pPr>
            <w:r w:rsidRPr="00275C60">
              <w:rPr>
                <w:snapToGrid w:val="0"/>
                <w:sz w:val="22"/>
                <w:szCs w:val="22"/>
              </w:rPr>
              <w:t>0,07</w:t>
            </w:r>
          </w:p>
        </w:tc>
        <w:tc>
          <w:tcPr>
            <w:tcW w:w="762" w:type="dxa"/>
            <w:vAlign w:val="bottom"/>
          </w:tcPr>
          <w:p w:rsidR="009F7163" w:rsidRPr="00275C60" w:rsidRDefault="009F7163" w:rsidP="004925AC">
            <w:pPr>
              <w:tabs>
                <w:tab w:val="decimal" w:pos="230"/>
              </w:tabs>
              <w:adjustRightInd w:val="0"/>
              <w:snapToGrid w:val="0"/>
              <w:rPr>
                <w:snapToGrid w:val="0"/>
                <w:sz w:val="22"/>
                <w:szCs w:val="22"/>
              </w:rPr>
            </w:pPr>
            <w:r w:rsidRPr="00275C60">
              <w:rPr>
                <w:snapToGrid w:val="0"/>
                <w:sz w:val="22"/>
                <w:szCs w:val="22"/>
              </w:rPr>
              <w:t>0,02</w:t>
            </w:r>
          </w:p>
        </w:tc>
        <w:tc>
          <w:tcPr>
            <w:tcW w:w="762" w:type="dxa"/>
            <w:vAlign w:val="bottom"/>
          </w:tcPr>
          <w:p w:rsidR="009F7163" w:rsidRPr="00275C60" w:rsidRDefault="009F7163" w:rsidP="004925AC">
            <w:pPr>
              <w:tabs>
                <w:tab w:val="decimal" w:pos="224"/>
              </w:tabs>
              <w:adjustRightInd w:val="0"/>
              <w:snapToGrid w:val="0"/>
              <w:rPr>
                <w:snapToGrid w:val="0"/>
                <w:sz w:val="22"/>
                <w:szCs w:val="22"/>
              </w:rPr>
            </w:pPr>
            <w:r w:rsidRPr="00275C60">
              <w:rPr>
                <w:snapToGrid w:val="0"/>
                <w:sz w:val="22"/>
                <w:szCs w:val="22"/>
              </w:rPr>
              <w:t>0,06</w:t>
            </w:r>
          </w:p>
        </w:tc>
      </w:tr>
      <w:tr w:rsidR="009F7163" w:rsidRPr="00275C60" w:rsidTr="004925AC">
        <w:tblPrEx>
          <w:tblCellMar>
            <w:top w:w="0" w:type="dxa"/>
            <w:bottom w:w="0" w:type="dxa"/>
          </w:tblCellMar>
        </w:tblPrEx>
        <w:trPr>
          <w:cantSplit/>
          <w:trHeight w:val="20"/>
          <w:jc w:val="center"/>
        </w:trPr>
        <w:tc>
          <w:tcPr>
            <w:tcW w:w="3265" w:type="dxa"/>
          </w:tcPr>
          <w:p w:rsidR="009F7163" w:rsidRPr="00275C60" w:rsidRDefault="009F7163" w:rsidP="004925AC">
            <w:pPr>
              <w:adjustRightInd w:val="0"/>
              <w:snapToGrid w:val="0"/>
              <w:rPr>
                <w:snapToGrid w:val="0"/>
                <w:sz w:val="22"/>
                <w:szCs w:val="22"/>
              </w:rPr>
            </w:pPr>
            <w:r w:rsidRPr="00275C60">
              <w:rPr>
                <w:b/>
                <w:bCs/>
                <w:snapToGrid w:val="0"/>
                <w:sz w:val="22"/>
                <w:szCs w:val="22"/>
              </w:rPr>
              <w:t>Poliomielitis</w:t>
            </w:r>
          </w:p>
          <w:p w:rsidR="009F7163" w:rsidRPr="00275C60" w:rsidRDefault="009F7163" w:rsidP="004925AC">
            <w:pPr>
              <w:adjustRightInd w:val="0"/>
              <w:snapToGrid w:val="0"/>
              <w:rPr>
                <w:snapToGrid w:val="0"/>
                <w:sz w:val="22"/>
                <w:szCs w:val="22"/>
              </w:rPr>
            </w:pPr>
            <w:r w:rsidRPr="00275C60">
              <w:rPr>
                <w:snapToGrid w:val="0"/>
                <w:sz w:val="22"/>
                <w:szCs w:val="22"/>
              </w:rPr>
              <w:t xml:space="preserve">Número de casos declarados </w:t>
            </w:r>
          </w:p>
        </w:tc>
        <w:tc>
          <w:tcPr>
            <w:tcW w:w="761" w:type="dxa"/>
            <w:vAlign w:val="bottom"/>
          </w:tcPr>
          <w:p w:rsidR="009F7163" w:rsidRPr="00275C60" w:rsidRDefault="009F7163" w:rsidP="004925AC">
            <w:pPr>
              <w:tabs>
                <w:tab w:val="decimal" w:pos="238"/>
              </w:tabs>
              <w:adjustRightInd w:val="0"/>
              <w:snapToGrid w:val="0"/>
              <w:rPr>
                <w:snapToGrid w:val="0"/>
                <w:sz w:val="22"/>
                <w:szCs w:val="22"/>
              </w:rPr>
            </w:pPr>
            <w:r w:rsidRPr="00275C60">
              <w:rPr>
                <w:snapToGrid w:val="0"/>
                <w:sz w:val="22"/>
                <w:szCs w:val="22"/>
              </w:rPr>
              <w:t>2</w:t>
            </w:r>
          </w:p>
        </w:tc>
        <w:tc>
          <w:tcPr>
            <w:tcW w:w="762" w:type="dxa"/>
            <w:vAlign w:val="bottom"/>
          </w:tcPr>
          <w:p w:rsidR="009F7163" w:rsidRPr="00275C60" w:rsidRDefault="009F7163" w:rsidP="004925AC">
            <w:pPr>
              <w:tabs>
                <w:tab w:val="decimal" w:pos="289"/>
              </w:tabs>
              <w:adjustRightInd w:val="0"/>
              <w:snapToGrid w:val="0"/>
              <w:rPr>
                <w:snapToGrid w:val="0"/>
                <w:sz w:val="22"/>
                <w:szCs w:val="22"/>
              </w:rPr>
            </w:pPr>
            <w:r w:rsidRPr="00275C60">
              <w:rPr>
                <w:snapToGrid w:val="0"/>
                <w:sz w:val="22"/>
                <w:szCs w:val="22"/>
              </w:rPr>
              <w:t>1</w:t>
            </w:r>
          </w:p>
        </w:tc>
        <w:tc>
          <w:tcPr>
            <w:tcW w:w="762" w:type="dxa"/>
            <w:vAlign w:val="bottom"/>
          </w:tcPr>
          <w:p w:rsidR="009F7163" w:rsidRPr="00275C60" w:rsidRDefault="009F7163" w:rsidP="004925AC">
            <w:pPr>
              <w:tabs>
                <w:tab w:val="decimal" w:pos="266"/>
              </w:tabs>
              <w:adjustRightInd w:val="0"/>
              <w:snapToGrid w:val="0"/>
              <w:rPr>
                <w:snapToGrid w:val="0"/>
                <w:sz w:val="22"/>
                <w:szCs w:val="22"/>
              </w:rPr>
            </w:pPr>
            <w:r w:rsidRPr="00275C60">
              <w:rPr>
                <w:snapToGrid w:val="0"/>
                <w:sz w:val="22"/>
                <w:szCs w:val="22"/>
              </w:rPr>
              <w:t>0</w:t>
            </w:r>
          </w:p>
        </w:tc>
        <w:tc>
          <w:tcPr>
            <w:tcW w:w="762" w:type="dxa"/>
            <w:vAlign w:val="bottom"/>
          </w:tcPr>
          <w:p w:rsidR="009F7163" w:rsidRPr="00275C60" w:rsidRDefault="009F7163" w:rsidP="004925AC">
            <w:pPr>
              <w:tabs>
                <w:tab w:val="decimal" w:pos="248"/>
              </w:tabs>
              <w:adjustRightInd w:val="0"/>
              <w:snapToGrid w:val="0"/>
              <w:rPr>
                <w:snapToGrid w:val="0"/>
                <w:sz w:val="22"/>
                <w:szCs w:val="22"/>
              </w:rPr>
            </w:pPr>
            <w:r w:rsidRPr="00275C60">
              <w:rPr>
                <w:snapToGrid w:val="0"/>
                <w:sz w:val="22"/>
                <w:szCs w:val="22"/>
              </w:rPr>
              <w:t>0</w:t>
            </w:r>
          </w:p>
        </w:tc>
        <w:tc>
          <w:tcPr>
            <w:tcW w:w="762" w:type="dxa"/>
            <w:vAlign w:val="bottom"/>
          </w:tcPr>
          <w:p w:rsidR="009F7163" w:rsidRPr="00275C60" w:rsidRDefault="009F7163" w:rsidP="004925AC">
            <w:pPr>
              <w:tabs>
                <w:tab w:val="decimal" w:pos="284"/>
              </w:tabs>
              <w:adjustRightInd w:val="0"/>
              <w:snapToGrid w:val="0"/>
              <w:rPr>
                <w:snapToGrid w:val="0"/>
                <w:sz w:val="22"/>
                <w:szCs w:val="22"/>
              </w:rPr>
            </w:pPr>
            <w:r w:rsidRPr="00275C60">
              <w:rPr>
                <w:snapToGrid w:val="0"/>
                <w:sz w:val="22"/>
                <w:szCs w:val="22"/>
              </w:rPr>
              <w:t>0</w:t>
            </w:r>
          </w:p>
        </w:tc>
        <w:tc>
          <w:tcPr>
            <w:tcW w:w="762" w:type="dxa"/>
            <w:vAlign w:val="bottom"/>
          </w:tcPr>
          <w:p w:rsidR="009F7163" w:rsidRPr="00275C60" w:rsidRDefault="009F7163" w:rsidP="004925AC">
            <w:pPr>
              <w:tabs>
                <w:tab w:val="decimal" w:pos="260"/>
              </w:tabs>
              <w:adjustRightInd w:val="0"/>
              <w:snapToGrid w:val="0"/>
              <w:rPr>
                <w:snapToGrid w:val="0"/>
                <w:sz w:val="22"/>
                <w:szCs w:val="22"/>
              </w:rPr>
            </w:pPr>
            <w:r w:rsidRPr="00275C60">
              <w:rPr>
                <w:snapToGrid w:val="0"/>
                <w:sz w:val="22"/>
                <w:szCs w:val="22"/>
              </w:rPr>
              <w:t>0</w:t>
            </w:r>
          </w:p>
        </w:tc>
        <w:tc>
          <w:tcPr>
            <w:tcW w:w="762" w:type="dxa"/>
            <w:vAlign w:val="bottom"/>
          </w:tcPr>
          <w:p w:rsidR="009F7163" w:rsidRPr="00275C60" w:rsidRDefault="009F7163" w:rsidP="004925AC">
            <w:pPr>
              <w:tabs>
                <w:tab w:val="decimal" w:pos="230"/>
              </w:tabs>
              <w:adjustRightInd w:val="0"/>
              <w:snapToGrid w:val="0"/>
              <w:rPr>
                <w:snapToGrid w:val="0"/>
                <w:sz w:val="22"/>
                <w:szCs w:val="22"/>
              </w:rPr>
            </w:pPr>
            <w:r w:rsidRPr="00275C60">
              <w:rPr>
                <w:snapToGrid w:val="0"/>
                <w:sz w:val="22"/>
                <w:szCs w:val="22"/>
              </w:rPr>
              <w:t>0</w:t>
            </w:r>
          </w:p>
        </w:tc>
        <w:tc>
          <w:tcPr>
            <w:tcW w:w="762" w:type="dxa"/>
            <w:vAlign w:val="bottom"/>
          </w:tcPr>
          <w:p w:rsidR="009F7163" w:rsidRPr="00275C60" w:rsidRDefault="009F7163" w:rsidP="004925AC">
            <w:pPr>
              <w:tabs>
                <w:tab w:val="decimal" w:pos="224"/>
              </w:tabs>
              <w:adjustRightInd w:val="0"/>
              <w:snapToGrid w:val="0"/>
              <w:rPr>
                <w:snapToGrid w:val="0"/>
                <w:sz w:val="22"/>
                <w:szCs w:val="22"/>
              </w:rPr>
            </w:pPr>
            <w:r w:rsidRPr="00275C60">
              <w:rPr>
                <w:snapToGrid w:val="0"/>
                <w:sz w:val="22"/>
                <w:szCs w:val="22"/>
              </w:rPr>
              <w:t>0</w:t>
            </w:r>
          </w:p>
        </w:tc>
      </w:tr>
    </w:tbl>
    <w:p w:rsidR="009F7163" w:rsidRPr="005C0C9D" w:rsidRDefault="009F7163" w:rsidP="009F7163">
      <w:pPr>
        <w:keepNext/>
        <w:adjustRightInd w:val="0"/>
        <w:snapToGrid w:val="0"/>
        <w:spacing w:before="480" w:after="240"/>
        <w:rPr>
          <w:b/>
          <w:snapToGrid w:val="0"/>
        </w:rPr>
      </w:pPr>
      <w:r w:rsidRPr="005C0C9D">
        <w:rPr>
          <w:b/>
          <w:snapToGrid w:val="0"/>
        </w:rPr>
        <w:t>4.</w:t>
      </w:r>
      <w:r w:rsidRPr="005C0C9D">
        <w:rPr>
          <w:b/>
          <w:snapToGrid w:val="0"/>
        </w:rPr>
        <w:tab/>
        <w:t>Estado nutricional del niño</w:t>
      </w:r>
    </w:p>
    <w:p w:rsidR="009F7163" w:rsidRPr="005C0C9D" w:rsidRDefault="009F7163" w:rsidP="009F7163">
      <w:pPr>
        <w:adjustRightInd w:val="0"/>
        <w:snapToGrid w:val="0"/>
        <w:spacing w:after="240"/>
        <w:rPr>
          <w:snapToGrid w:val="0"/>
        </w:rPr>
      </w:pPr>
      <w:r w:rsidRPr="005C0C9D">
        <w:rPr>
          <w:snapToGrid w:val="0"/>
        </w:rPr>
        <w:t>287.</w:t>
      </w:r>
      <w:r w:rsidRPr="005C0C9D">
        <w:rPr>
          <w:snapToGrid w:val="0"/>
        </w:rPr>
        <w:tab/>
        <w:t xml:space="preserve">El índice de </w:t>
      </w:r>
      <w:r>
        <w:rPr>
          <w:snapToGrid w:val="0"/>
        </w:rPr>
        <w:t>insuficiencia ponderal</w:t>
      </w:r>
      <w:r w:rsidRPr="005C0C9D">
        <w:rPr>
          <w:snapToGrid w:val="0"/>
        </w:rPr>
        <w:t xml:space="preserve"> mide la malnutrición pasada y reciente. </w:t>
      </w:r>
      <w:r>
        <w:rPr>
          <w:snapToGrid w:val="0"/>
        </w:rPr>
        <w:t xml:space="preserve"> </w:t>
      </w:r>
      <w:r w:rsidRPr="005C0C9D">
        <w:rPr>
          <w:snapToGrid w:val="0"/>
        </w:rPr>
        <w:t xml:space="preserve">Este índice se ha medido regularmente mediante encuestas nacionales realizadas en el marco de la evaluación periódica del plan de acción mundial en favor de la infancia. </w:t>
      </w:r>
      <w:r>
        <w:rPr>
          <w:snapToGrid w:val="0"/>
        </w:rPr>
        <w:t xml:space="preserve"> </w:t>
      </w:r>
      <w:r w:rsidRPr="005C0C9D">
        <w:rPr>
          <w:snapToGrid w:val="0"/>
        </w:rPr>
        <w:t>Desde la celebración de la Cumbre Mundial en favor de la Infancia -Un mundo apropiado para los niños (29 y 30 de septiembre de</w:t>
      </w:r>
      <w:r>
        <w:rPr>
          <w:snapToGrid w:val="0"/>
        </w:rPr>
        <w:t> </w:t>
      </w:r>
      <w:r w:rsidRPr="005C0C9D">
        <w:rPr>
          <w:snapToGrid w:val="0"/>
        </w:rPr>
        <w:t>1990), se han realizado tres encuestas según el protocolo estándar internacional (encuesta a base de indicadores múltiples, MICS)</w:t>
      </w:r>
      <w:r>
        <w:rPr>
          <w:snapToGrid w:val="0"/>
        </w:rPr>
        <w:t xml:space="preserve"> bajo los auspicios del UNICEF</w:t>
      </w:r>
      <w:r w:rsidRPr="005C0C9D">
        <w:rPr>
          <w:snapToGrid w:val="0"/>
        </w:rPr>
        <w:t>:</w:t>
      </w:r>
      <w:r>
        <w:rPr>
          <w:snapToGrid w:val="0"/>
        </w:rPr>
        <w:t xml:space="preserve"> </w:t>
      </w:r>
      <w:r w:rsidRPr="005C0C9D">
        <w:rPr>
          <w:snapToGrid w:val="0"/>
        </w:rPr>
        <w:t xml:space="preserve"> la encuesta de objetivos de mitad de decenio (MDG 1995), la encuesta de objetivos de fin de decenio (EDG 2000) y, la última a la fecha, la MICS 3, realizada en 2006.</w:t>
      </w:r>
    </w:p>
    <w:p w:rsidR="009F7163" w:rsidRPr="005C0C9D" w:rsidRDefault="009F7163" w:rsidP="009F7163">
      <w:pPr>
        <w:adjustRightInd w:val="0"/>
        <w:snapToGrid w:val="0"/>
        <w:spacing w:after="240"/>
        <w:rPr>
          <w:snapToGrid w:val="0"/>
        </w:rPr>
      </w:pPr>
      <w:r w:rsidRPr="005C0C9D">
        <w:rPr>
          <w:snapToGrid w:val="0"/>
        </w:rPr>
        <w:t>288.</w:t>
      </w:r>
      <w:r w:rsidRPr="005C0C9D">
        <w:rPr>
          <w:snapToGrid w:val="0"/>
        </w:rPr>
        <w:tab/>
        <w:t xml:space="preserve">La evolución favorable de ese índice </w:t>
      </w:r>
      <w:r>
        <w:rPr>
          <w:snapToGrid w:val="0"/>
        </w:rPr>
        <w:t>se debe tanto a la</w:t>
      </w:r>
      <w:r w:rsidRPr="005C0C9D">
        <w:rPr>
          <w:snapToGrid w:val="0"/>
        </w:rPr>
        <w:t xml:space="preserve"> mejora general de las condiciones sociales y de salud de la población, </w:t>
      </w:r>
      <w:r>
        <w:rPr>
          <w:snapToGrid w:val="0"/>
        </w:rPr>
        <w:t xml:space="preserve">confirmada por </w:t>
      </w:r>
      <w:r w:rsidRPr="005C0C9D">
        <w:rPr>
          <w:snapToGrid w:val="0"/>
        </w:rPr>
        <w:t>los principales indicadores mencionados</w:t>
      </w:r>
      <w:r>
        <w:rPr>
          <w:snapToGrid w:val="0"/>
        </w:rPr>
        <w:t>, como al</w:t>
      </w:r>
      <w:r w:rsidRPr="005C0C9D">
        <w:rPr>
          <w:snapToGrid w:val="0"/>
        </w:rPr>
        <w:t xml:space="preserve"> comportamiento de los individuos en materia nutricional y sanitaria</w:t>
      </w:r>
      <w:r>
        <w:rPr>
          <w:snapToGrid w:val="0"/>
        </w:rPr>
        <w:t xml:space="preserve">, consecuencia </w:t>
      </w:r>
      <w:r w:rsidRPr="005C0C9D">
        <w:rPr>
          <w:snapToGrid w:val="0"/>
        </w:rPr>
        <w:t xml:space="preserve">de las actividades de información y comunicación realizadas en aplicación de los programas nacionales. </w:t>
      </w:r>
      <w:r>
        <w:rPr>
          <w:snapToGrid w:val="0"/>
        </w:rPr>
        <w:t xml:space="preserve"> </w:t>
      </w:r>
      <w:r w:rsidRPr="005C0C9D">
        <w:rPr>
          <w:snapToGrid w:val="0"/>
        </w:rPr>
        <w:t>Dicho índice corrobora asimismo la notable disminución de afecciones prevalentes en los países de bajo nivel socioeconómico y que, por su frecuencia, recurrencia o gravedad, pueden propiciar un estado de malnutrición entre la población infantil</w:t>
      </w:r>
      <w:r>
        <w:rPr>
          <w:snapToGrid w:val="0"/>
        </w:rPr>
        <w:t>, como son, en particular, las enfermedades diarreicas y las infecciones respiratorias</w:t>
      </w:r>
      <w:r w:rsidRPr="005C0C9D">
        <w:rPr>
          <w:snapToGrid w:val="0"/>
        </w:rPr>
        <w:t>.</w:t>
      </w:r>
    </w:p>
    <w:p w:rsidR="009F7163" w:rsidRPr="007249E7" w:rsidRDefault="009F7163" w:rsidP="009F7163">
      <w:pPr>
        <w:adjustRightInd w:val="0"/>
        <w:snapToGrid w:val="0"/>
        <w:spacing w:after="240"/>
        <w:jc w:val="center"/>
        <w:rPr>
          <w:b/>
          <w:snapToGrid w:val="0"/>
        </w:rPr>
      </w:pPr>
      <w:r w:rsidRPr="005C0C9D">
        <w:rPr>
          <w:b/>
          <w:snapToGrid w:val="0"/>
        </w:rPr>
        <w:t xml:space="preserve">Evolución del índice de </w:t>
      </w:r>
      <w:r>
        <w:rPr>
          <w:b/>
          <w:snapToGrid w:val="0"/>
        </w:rPr>
        <w:t xml:space="preserve">insuficiencia ponderal </w:t>
      </w:r>
      <w:r w:rsidRPr="005C0C9D">
        <w:rPr>
          <w:b/>
          <w:snapToGrid w:val="0"/>
        </w:rPr>
        <w:t>(datos de las encuestas nacionales)</w:t>
      </w:r>
    </w:p>
    <w:tbl>
      <w:tblPr>
        <w:tblStyle w:val="TableGrid"/>
        <w:tblW w:w="5000" w:type="pct"/>
        <w:tblLook w:val="01E0" w:firstRow="1" w:lastRow="1" w:firstColumn="1" w:lastColumn="1" w:noHBand="0" w:noVBand="0"/>
      </w:tblPr>
      <w:tblGrid>
        <w:gridCol w:w="4268"/>
        <w:gridCol w:w="1741"/>
        <w:gridCol w:w="1741"/>
        <w:gridCol w:w="1741"/>
      </w:tblGrid>
      <w:tr w:rsidR="009F7163" w:rsidRPr="007249E7" w:rsidTr="004925AC">
        <w:tc>
          <w:tcPr>
            <w:tcW w:w="2248" w:type="pct"/>
            <w:vAlign w:val="center"/>
          </w:tcPr>
          <w:p w:rsidR="009F7163" w:rsidRPr="007249E7" w:rsidRDefault="009F7163" w:rsidP="004925AC">
            <w:pPr>
              <w:adjustRightInd w:val="0"/>
              <w:snapToGrid w:val="0"/>
              <w:jc w:val="center"/>
              <w:rPr>
                <w:b/>
                <w:snapToGrid w:val="0"/>
              </w:rPr>
            </w:pPr>
            <w:r w:rsidRPr="007249E7">
              <w:rPr>
                <w:b/>
                <w:snapToGrid w:val="0"/>
              </w:rPr>
              <w:t>Indicador P. 100</w:t>
            </w:r>
          </w:p>
        </w:tc>
        <w:tc>
          <w:tcPr>
            <w:tcW w:w="917" w:type="pct"/>
            <w:vAlign w:val="center"/>
          </w:tcPr>
          <w:p w:rsidR="009F7163" w:rsidRPr="007249E7" w:rsidRDefault="009F7163" w:rsidP="004925AC">
            <w:pPr>
              <w:adjustRightInd w:val="0"/>
              <w:snapToGrid w:val="0"/>
              <w:jc w:val="center"/>
              <w:rPr>
                <w:b/>
                <w:snapToGrid w:val="0"/>
              </w:rPr>
            </w:pPr>
            <w:r>
              <w:rPr>
                <w:b/>
                <w:snapToGrid w:val="0"/>
              </w:rPr>
              <w:t>1995</w:t>
            </w:r>
            <w:r w:rsidR="00981554">
              <w:rPr>
                <w:b/>
                <w:snapToGrid w:val="0"/>
              </w:rPr>
              <w:t xml:space="preserve"> </w:t>
            </w:r>
            <w:r>
              <w:rPr>
                <w:b/>
                <w:snapToGrid w:val="0"/>
              </w:rPr>
              <w:t>MDG</w:t>
            </w:r>
          </w:p>
        </w:tc>
        <w:tc>
          <w:tcPr>
            <w:tcW w:w="917" w:type="pct"/>
            <w:vAlign w:val="center"/>
          </w:tcPr>
          <w:p w:rsidR="009F7163" w:rsidRPr="007249E7" w:rsidRDefault="009F7163" w:rsidP="004925AC">
            <w:pPr>
              <w:adjustRightInd w:val="0"/>
              <w:snapToGrid w:val="0"/>
              <w:jc w:val="center"/>
              <w:rPr>
                <w:b/>
                <w:snapToGrid w:val="0"/>
              </w:rPr>
            </w:pPr>
            <w:r>
              <w:rPr>
                <w:b/>
                <w:snapToGrid w:val="0"/>
              </w:rPr>
              <w:t>2000</w:t>
            </w:r>
            <w:r w:rsidR="00981554">
              <w:rPr>
                <w:b/>
                <w:snapToGrid w:val="0"/>
              </w:rPr>
              <w:t xml:space="preserve"> </w:t>
            </w:r>
            <w:r>
              <w:rPr>
                <w:b/>
                <w:snapToGrid w:val="0"/>
              </w:rPr>
              <w:t>EDG</w:t>
            </w:r>
          </w:p>
        </w:tc>
        <w:tc>
          <w:tcPr>
            <w:tcW w:w="917" w:type="pct"/>
            <w:vAlign w:val="center"/>
          </w:tcPr>
          <w:p w:rsidR="009F7163" w:rsidRPr="007249E7" w:rsidRDefault="009F7163" w:rsidP="004925AC">
            <w:pPr>
              <w:adjustRightInd w:val="0"/>
              <w:snapToGrid w:val="0"/>
              <w:jc w:val="center"/>
              <w:rPr>
                <w:b/>
                <w:snapToGrid w:val="0"/>
              </w:rPr>
            </w:pPr>
            <w:r>
              <w:rPr>
                <w:b/>
                <w:snapToGrid w:val="0"/>
              </w:rPr>
              <w:t>2006</w:t>
            </w:r>
            <w:r w:rsidR="00981554">
              <w:rPr>
                <w:b/>
                <w:snapToGrid w:val="0"/>
              </w:rPr>
              <w:t xml:space="preserve"> </w:t>
            </w:r>
            <w:r>
              <w:rPr>
                <w:b/>
                <w:snapToGrid w:val="0"/>
              </w:rPr>
              <w:t>MICS 3</w:t>
            </w:r>
          </w:p>
        </w:tc>
      </w:tr>
      <w:tr w:rsidR="009F7163" w:rsidTr="004925AC">
        <w:tc>
          <w:tcPr>
            <w:tcW w:w="2248" w:type="pct"/>
          </w:tcPr>
          <w:p w:rsidR="009F7163" w:rsidRPr="007249E7" w:rsidRDefault="009F7163" w:rsidP="004925AC">
            <w:pPr>
              <w:adjustRightInd w:val="0"/>
              <w:snapToGrid w:val="0"/>
              <w:rPr>
                <w:snapToGrid w:val="0"/>
              </w:rPr>
            </w:pPr>
            <w:r>
              <w:rPr>
                <w:snapToGrid w:val="0"/>
              </w:rPr>
              <w:t>Insuficiencia ponderal moderada</w:t>
            </w:r>
          </w:p>
        </w:tc>
        <w:tc>
          <w:tcPr>
            <w:tcW w:w="917" w:type="pct"/>
          </w:tcPr>
          <w:p w:rsidR="009F7163" w:rsidRPr="007249E7" w:rsidRDefault="009F7163" w:rsidP="004925AC">
            <w:pPr>
              <w:adjustRightInd w:val="0"/>
              <w:snapToGrid w:val="0"/>
              <w:jc w:val="center"/>
              <w:rPr>
                <w:snapToGrid w:val="0"/>
              </w:rPr>
            </w:pPr>
            <w:r w:rsidRPr="007249E7">
              <w:rPr>
                <w:snapToGrid w:val="0"/>
              </w:rPr>
              <w:t>10</w:t>
            </w:r>
          </w:p>
        </w:tc>
        <w:tc>
          <w:tcPr>
            <w:tcW w:w="917" w:type="pct"/>
          </w:tcPr>
          <w:p w:rsidR="009F7163" w:rsidRPr="007249E7" w:rsidRDefault="009F7163" w:rsidP="004925AC">
            <w:pPr>
              <w:tabs>
                <w:tab w:val="decimal" w:pos="892"/>
              </w:tabs>
              <w:adjustRightInd w:val="0"/>
              <w:snapToGrid w:val="0"/>
              <w:rPr>
                <w:snapToGrid w:val="0"/>
              </w:rPr>
            </w:pPr>
            <w:r>
              <w:rPr>
                <w:snapToGrid w:val="0"/>
              </w:rPr>
              <w:t>6</w:t>
            </w:r>
          </w:p>
        </w:tc>
        <w:tc>
          <w:tcPr>
            <w:tcW w:w="917" w:type="pct"/>
          </w:tcPr>
          <w:p w:rsidR="009F7163" w:rsidRPr="007249E7" w:rsidRDefault="009F7163" w:rsidP="004925AC">
            <w:pPr>
              <w:adjustRightInd w:val="0"/>
              <w:snapToGrid w:val="0"/>
              <w:jc w:val="center"/>
              <w:rPr>
                <w:snapToGrid w:val="0"/>
              </w:rPr>
            </w:pPr>
            <w:r>
              <w:rPr>
                <w:snapToGrid w:val="0"/>
              </w:rPr>
              <w:t>3,7</w:t>
            </w:r>
          </w:p>
        </w:tc>
      </w:tr>
      <w:tr w:rsidR="009F7163" w:rsidTr="004925AC">
        <w:tc>
          <w:tcPr>
            <w:tcW w:w="2248" w:type="pct"/>
          </w:tcPr>
          <w:p w:rsidR="009F7163" w:rsidRPr="007249E7" w:rsidRDefault="009F7163" w:rsidP="004925AC">
            <w:pPr>
              <w:adjustRightInd w:val="0"/>
              <w:snapToGrid w:val="0"/>
              <w:rPr>
                <w:snapToGrid w:val="0"/>
              </w:rPr>
            </w:pPr>
            <w:r>
              <w:rPr>
                <w:snapToGrid w:val="0"/>
              </w:rPr>
              <w:t>Insuficiencia ponderal grave (porcentaje)</w:t>
            </w:r>
          </w:p>
        </w:tc>
        <w:tc>
          <w:tcPr>
            <w:tcW w:w="917" w:type="pct"/>
          </w:tcPr>
          <w:p w:rsidR="009F7163" w:rsidRPr="007249E7" w:rsidRDefault="009F7163" w:rsidP="004925AC">
            <w:pPr>
              <w:tabs>
                <w:tab w:val="right" w:pos="926"/>
              </w:tabs>
              <w:adjustRightInd w:val="0"/>
              <w:snapToGrid w:val="0"/>
              <w:rPr>
                <w:snapToGrid w:val="0"/>
              </w:rPr>
            </w:pPr>
            <w:r>
              <w:rPr>
                <w:snapToGrid w:val="0"/>
              </w:rPr>
              <w:tab/>
              <w:t>3</w:t>
            </w:r>
          </w:p>
        </w:tc>
        <w:tc>
          <w:tcPr>
            <w:tcW w:w="917" w:type="pct"/>
          </w:tcPr>
          <w:p w:rsidR="009F7163" w:rsidRPr="007249E7" w:rsidRDefault="009F7163" w:rsidP="004925AC">
            <w:pPr>
              <w:tabs>
                <w:tab w:val="decimal" w:pos="892"/>
              </w:tabs>
              <w:adjustRightInd w:val="0"/>
              <w:snapToGrid w:val="0"/>
              <w:rPr>
                <w:snapToGrid w:val="0"/>
              </w:rPr>
            </w:pPr>
            <w:r>
              <w:rPr>
                <w:snapToGrid w:val="0"/>
              </w:rPr>
              <w:t>1,3</w:t>
            </w:r>
          </w:p>
        </w:tc>
        <w:tc>
          <w:tcPr>
            <w:tcW w:w="917" w:type="pct"/>
          </w:tcPr>
          <w:p w:rsidR="009F7163" w:rsidRPr="007249E7" w:rsidRDefault="009F7163" w:rsidP="004925AC">
            <w:pPr>
              <w:adjustRightInd w:val="0"/>
              <w:snapToGrid w:val="0"/>
              <w:jc w:val="center"/>
              <w:rPr>
                <w:snapToGrid w:val="0"/>
              </w:rPr>
            </w:pPr>
            <w:r>
              <w:rPr>
                <w:snapToGrid w:val="0"/>
              </w:rPr>
              <w:t>0,6</w:t>
            </w:r>
          </w:p>
        </w:tc>
      </w:tr>
    </w:tbl>
    <w:p w:rsidR="009F7163" w:rsidRPr="005C0C9D" w:rsidRDefault="009F7163" w:rsidP="009F7163">
      <w:pPr>
        <w:adjustRightInd w:val="0"/>
        <w:snapToGrid w:val="0"/>
        <w:spacing w:before="480" w:after="240"/>
        <w:rPr>
          <w:snapToGrid w:val="0"/>
        </w:rPr>
      </w:pPr>
      <w:r w:rsidRPr="005C0C9D">
        <w:rPr>
          <w:snapToGrid w:val="0"/>
        </w:rPr>
        <w:t>289.</w:t>
      </w:r>
      <w:r w:rsidRPr="005C0C9D">
        <w:rPr>
          <w:snapToGrid w:val="0"/>
        </w:rPr>
        <w:tab/>
        <w:t xml:space="preserve">Esta evolución favorable del índice de malnutrición en los niños menores de </w:t>
      </w:r>
      <w:r>
        <w:rPr>
          <w:snapToGrid w:val="0"/>
        </w:rPr>
        <w:t>6</w:t>
      </w:r>
      <w:r w:rsidRPr="005C0C9D">
        <w:rPr>
          <w:snapToGrid w:val="0"/>
        </w:rPr>
        <w:t xml:space="preserve"> años se </w:t>
      </w:r>
      <w:r>
        <w:rPr>
          <w:snapToGrid w:val="0"/>
        </w:rPr>
        <w:t xml:space="preserve">confirma en los </w:t>
      </w:r>
      <w:r w:rsidRPr="005C0C9D">
        <w:rPr>
          <w:snapToGrid w:val="0"/>
        </w:rPr>
        <w:t xml:space="preserve">análisis </w:t>
      </w:r>
      <w:r>
        <w:rPr>
          <w:snapToGrid w:val="0"/>
        </w:rPr>
        <w:t>por</w:t>
      </w:r>
      <w:r w:rsidRPr="005C0C9D">
        <w:rPr>
          <w:snapToGrid w:val="0"/>
        </w:rPr>
        <w:t xml:space="preserve"> la evolución de los datos generales sobre la pobreza entre la población, obtenidos en las encuestas que llevó a cabo la Oficina Nacional de Estadísticas sobre el consumo de </w:t>
      </w:r>
      <w:r>
        <w:rPr>
          <w:snapToGrid w:val="0"/>
        </w:rPr>
        <w:t>las familias</w:t>
      </w:r>
      <w:r w:rsidRPr="005C0C9D">
        <w:rPr>
          <w:snapToGrid w:val="0"/>
        </w:rPr>
        <w:t xml:space="preserve">, así como en las encuestas sobre nivel de vida y medida de la pobreza, la última de las cuales se realizó en 2005, y </w:t>
      </w:r>
      <w:r>
        <w:rPr>
          <w:snapToGrid w:val="0"/>
        </w:rPr>
        <w:t>por</w:t>
      </w:r>
      <w:r w:rsidRPr="005C0C9D">
        <w:rPr>
          <w:snapToGrid w:val="0"/>
        </w:rPr>
        <w:t xml:space="preserve"> los datos sobre saneamiento e higiene general, como se ilustra más adelante.</w:t>
      </w:r>
    </w:p>
    <w:p w:rsidR="009F7163" w:rsidRPr="005C0C9D" w:rsidRDefault="009F7163" w:rsidP="009F7163">
      <w:pPr>
        <w:adjustRightInd w:val="0"/>
        <w:snapToGrid w:val="0"/>
        <w:spacing w:after="240"/>
        <w:rPr>
          <w:b/>
          <w:snapToGrid w:val="0"/>
        </w:rPr>
      </w:pPr>
      <w:r w:rsidRPr="005C0C9D">
        <w:rPr>
          <w:b/>
          <w:snapToGrid w:val="0"/>
        </w:rPr>
        <w:t>5.</w:t>
      </w:r>
      <w:r w:rsidRPr="005C0C9D">
        <w:rPr>
          <w:b/>
          <w:snapToGrid w:val="0"/>
        </w:rPr>
        <w:tab/>
        <w:t>La salud de la madre</w:t>
      </w:r>
    </w:p>
    <w:p w:rsidR="009F7163" w:rsidRPr="005C0C9D" w:rsidRDefault="009F7163" w:rsidP="009F7163">
      <w:pPr>
        <w:adjustRightInd w:val="0"/>
        <w:snapToGrid w:val="0"/>
        <w:spacing w:after="240"/>
        <w:rPr>
          <w:snapToGrid w:val="0"/>
        </w:rPr>
      </w:pPr>
      <w:r w:rsidRPr="005C0C9D">
        <w:rPr>
          <w:snapToGrid w:val="0"/>
        </w:rPr>
        <w:t>290.</w:t>
      </w:r>
      <w:r w:rsidRPr="005C0C9D">
        <w:rPr>
          <w:snapToGrid w:val="0"/>
        </w:rPr>
        <w:tab/>
        <w:t>En 2005, la tasa de mortalidad materna (TMM) se estimó en 96,5 por cada</w:t>
      </w:r>
      <w:r>
        <w:rPr>
          <w:snapToGrid w:val="0"/>
        </w:rPr>
        <w:t> </w:t>
      </w:r>
      <w:r w:rsidRPr="005C0C9D">
        <w:rPr>
          <w:snapToGrid w:val="0"/>
        </w:rPr>
        <w:t>100.000</w:t>
      </w:r>
      <w:r>
        <w:rPr>
          <w:snapToGrid w:val="0"/>
        </w:rPr>
        <w:t> </w:t>
      </w:r>
      <w:r w:rsidRPr="005C0C9D">
        <w:rPr>
          <w:snapToGrid w:val="0"/>
        </w:rPr>
        <w:t>habitantes, frente a 230 por cada 100.000 habitantes en 1989, y a 117 por cada</w:t>
      </w:r>
      <w:r>
        <w:rPr>
          <w:snapToGrid w:val="0"/>
        </w:rPr>
        <w:t> </w:t>
      </w:r>
      <w:r w:rsidRPr="005C0C9D">
        <w:rPr>
          <w:snapToGrid w:val="0"/>
        </w:rPr>
        <w:t xml:space="preserve">100.000 habitantes en 1999. </w:t>
      </w:r>
      <w:r>
        <w:rPr>
          <w:snapToGrid w:val="0"/>
        </w:rPr>
        <w:t xml:space="preserve"> </w:t>
      </w:r>
      <w:r w:rsidRPr="005C0C9D">
        <w:rPr>
          <w:snapToGrid w:val="0"/>
        </w:rPr>
        <w:t xml:space="preserve">No obstante, habida cuenta de las posibilidades del país, esta tasa sigue siendo inaceptable, sobre todo porque entre las diversas </w:t>
      </w:r>
      <w:r w:rsidRPr="00BF0A76">
        <w:rPr>
          <w:i/>
          <w:snapToGrid w:val="0"/>
        </w:rPr>
        <w:t>wilayas</w:t>
      </w:r>
      <w:r w:rsidRPr="005C0C9D">
        <w:rPr>
          <w:snapToGrid w:val="0"/>
        </w:rPr>
        <w:t xml:space="preserve"> (departamentos) y regiones existen </w:t>
      </w:r>
      <w:r>
        <w:rPr>
          <w:snapToGrid w:val="0"/>
        </w:rPr>
        <w:t>diferencias</w:t>
      </w:r>
      <w:r w:rsidRPr="005C0C9D">
        <w:rPr>
          <w:snapToGrid w:val="0"/>
        </w:rPr>
        <w:t xml:space="preserve"> importantes que reflejan </w:t>
      </w:r>
      <w:r>
        <w:rPr>
          <w:snapToGrid w:val="0"/>
        </w:rPr>
        <w:t>disparidades</w:t>
      </w:r>
      <w:r w:rsidRPr="005C0C9D">
        <w:rPr>
          <w:snapToGrid w:val="0"/>
        </w:rPr>
        <w:t xml:space="preserve"> persistentes en materia de cobertura sanitaria en las regiones menos favorecidas.</w:t>
      </w:r>
    </w:p>
    <w:p w:rsidR="009F7163" w:rsidRPr="005C0C9D" w:rsidRDefault="009F7163" w:rsidP="009F7163">
      <w:pPr>
        <w:adjustRightInd w:val="0"/>
        <w:snapToGrid w:val="0"/>
        <w:spacing w:after="240"/>
        <w:rPr>
          <w:snapToGrid w:val="0"/>
        </w:rPr>
      </w:pPr>
      <w:r w:rsidRPr="005C0C9D">
        <w:rPr>
          <w:snapToGrid w:val="0"/>
        </w:rPr>
        <w:t>291.</w:t>
      </w:r>
      <w:r w:rsidRPr="005C0C9D">
        <w:rPr>
          <w:snapToGrid w:val="0"/>
        </w:rPr>
        <w:tab/>
        <w:t>La cobertura sanitaria de la mujer en materia de seguimiento prenatal está mejorando claramente, lo que se refleja en particular en la tasa de consultas prenatales, la cobertura de la inmunización antitetánica en la mujer y la tasa de partos en establecimientos sanitarios.</w:t>
      </w:r>
    </w:p>
    <w:p w:rsidR="009F7163" w:rsidRDefault="009F7163" w:rsidP="00981554">
      <w:pPr>
        <w:keepNext/>
        <w:keepLines/>
        <w:adjustRightInd w:val="0"/>
        <w:snapToGrid w:val="0"/>
        <w:spacing w:after="240"/>
        <w:jc w:val="center"/>
        <w:rPr>
          <w:b/>
          <w:snapToGrid w:val="0"/>
        </w:rPr>
      </w:pPr>
      <w:r w:rsidRPr="005C0C9D">
        <w:rPr>
          <w:b/>
          <w:snapToGrid w:val="0"/>
        </w:rPr>
        <w:t>Cobertura sanitaria de la mujer en el período prenatal</w:t>
      </w:r>
    </w:p>
    <w:p w:rsidR="009F7163" w:rsidRPr="005C0C9D" w:rsidRDefault="009F7163" w:rsidP="009F7163">
      <w:pPr>
        <w:adjustRightInd w:val="0"/>
        <w:snapToGrid w:val="0"/>
        <w:spacing w:after="240"/>
        <w:jc w:val="center"/>
        <w:rPr>
          <w:b/>
          <w:snapToGrid w:val="0"/>
        </w:rPr>
      </w:pPr>
      <w:r w:rsidRPr="00DF5FBD">
        <w:rPr>
          <w:snapToGrid w:val="0"/>
        </w:rPr>
        <w:t>(En porcentaje)</w:t>
      </w:r>
    </w:p>
    <w:tbl>
      <w:tblPr>
        <w:tblStyle w:val="TableGrid"/>
        <w:tblW w:w="5000" w:type="pct"/>
        <w:jc w:val="center"/>
        <w:tblLook w:val="01E0" w:firstRow="1" w:lastRow="1" w:firstColumn="1" w:lastColumn="1" w:noHBand="0" w:noVBand="0"/>
      </w:tblPr>
      <w:tblGrid>
        <w:gridCol w:w="3790"/>
        <w:gridCol w:w="1901"/>
        <w:gridCol w:w="1900"/>
        <w:gridCol w:w="1900"/>
      </w:tblGrid>
      <w:tr w:rsidR="009F7163" w:rsidRPr="005C0C9D" w:rsidTr="004925AC">
        <w:trPr>
          <w:trHeight w:val="20"/>
          <w:jc w:val="center"/>
        </w:trPr>
        <w:tc>
          <w:tcPr>
            <w:tcW w:w="1996" w:type="pct"/>
            <w:vAlign w:val="center"/>
          </w:tcPr>
          <w:p w:rsidR="009F7163" w:rsidRPr="005C0C9D" w:rsidRDefault="009F7163" w:rsidP="004925AC">
            <w:pPr>
              <w:adjustRightInd w:val="0"/>
              <w:snapToGrid w:val="0"/>
              <w:jc w:val="center"/>
              <w:rPr>
                <w:b/>
                <w:bCs/>
                <w:snapToGrid w:val="0"/>
              </w:rPr>
            </w:pPr>
            <w:r w:rsidRPr="005C0C9D">
              <w:rPr>
                <w:b/>
                <w:bCs/>
                <w:snapToGrid w:val="0"/>
              </w:rPr>
              <w:t>Tasa</w:t>
            </w:r>
          </w:p>
        </w:tc>
        <w:tc>
          <w:tcPr>
            <w:tcW w:w="1001" w:type="pct"/>
            <w:vAlign w:val="center"/>
          </w:tcPr>
          <w:p w:rsidR="009F7163" w:rsidRPr="005C0C9D" w:rsidRDefault="009F7163" w:rsidP="004925AC">
            <w:pPr>
              <w:adjustRightInd w:val="0"/>
              <w:snapToGrid w:val="0"/>
              <w:jc w:val="center"/>
              <w:rPr>
                <w:b/>
                <w:bCs/>
                <w:snapToGrid w:val="0"/>
              </w:rPr>
            </w:pPr>
            <w:r w:rsidRPr="005C0C9D">
              <w:rPr>
                <w:b/>
                <w:bCs/>
                <w:snapToGrid w:val="0"/>
              </w:rPr>
              <w:t>1992</w:t>
            </w:r>
          </w:p>
        </w:tc>
        <w:tc>
          <w:tcPr>
            <w:tcW w:w="1001" w:type="pct"/>
            <w:vAlign w:val="center"/>
          </w:tcPr>
          <w:p w:rsidR="009F7163" w:rsidRPr="005C0C9D" w:rsidRDefault="009F7163" w:rsidP="004925AC">
            <w:pPr>
              <w:adjustRightInd w:val="0"/>
              <w:snapToGrid w:val="0"/>
              <w:jc w:val="center"/>
              <w:rPr>
                <w:b/>
                <w:bCs/>
                <w:snapToGrid w:val="0"/>
              </w:rPr>
            </w:pPr>
            <w:r w:rsidRPr="005C0C9D">
              <w:rPr>
                <w:b/>
                <w:bCs/>
                <w:snapToGrid w:val="0"/>
              </w:rPr>
              <w:t>2002</w:t>
            </w:r>
          </w:p>
        </w:tc>
        <w:tc>
          <w:tcPr>
            <w:tcW w:w="1001" w:type="pct"/>
            <w:vAlign w:val="center"/>
          </w:tcPr>
          <w:p w:rsidR="009F7163" w:rsidRPr="005C0C9D" w:rsidRDefault="009F7163" w:rsidP="004925AC">
            <w:pPr>
              <w:adjustRightInd w:val="0"/>
              <w:snapToGrid w:val="0"/>
              <w:jc w:val="center"/>
              <w:rPr>
                <w:b/>
                <w:bCs/>
                <w:snapToGrid w:val="0"/>
              </w:rPr>
            </w:pPr>
            <w:r w:rsidRPr="005C0C9D">
              <w:rPr>
                <w:b/>
                <w:bCs/>
                <w:snapToGrid w:val="0"/>
              </w:rPr>
              <w:t>2005</w:t>
            </w:r>
          </w:p>
        </w:tc>
      </w:tr>
      <w:tr w:rsidR="009F7163" w:rsidRPr="005C0C9D" w:rsidTr="004925AC">
        <w:trPr>
          <w:trHeight w:val="20"/>
          <w:jc w:val="center"/>
        </w:trPr>
        <w:tc>
          <w:tcPr>
            <w:tcW w:w="1996" w:type="pct"/>
            <w:vAlign w:val="center"/>
          </w:tcPr>
          <w:p w:rsidR="009F7163" w:rsidRPr="005C0C9D" w:rsidRDefault="009F7163" w:rsidP="004925AC">
            <w:pPr>
              <w:adjustRightInd w:val="0"/>
              <w:snapToGrid w:val="0"/>
              <w:rPr>
                <w:snapToGrid w:val="0"/>
              </w:rPr>
            </w:pPr>
            <w:r w:rsidRPr="005C0C9D">
              <w:rPr>
                <w:snapToGrid w:val="0"/>
              </w:rPr>
              <w:t>Seguimiento prenatal</w:t>
            </w:r>
          </w:p>
        </w:tc>
        <w:tc>
          <w:tcPr>
            <w:tcW w:w="1001" w:type="pct"/>
            <w:vAlign w:val="center"/>
          </w:tcPr>
          <w:p w:rsidR="009F7163" w:rsidRPr="005C0C9D" w:rsidRDefault="009F7163" w:rsidP="004925AC">
            <w:pPr>
              <w:adjustRightInd w:val="0"/>
              <w:snapToGrid w:val="0"/>
              <w:jc w:val="center"/>
              <w:rPr>
                <w:snapToGrid w:val="0"/>
              </w:rPr>
            </w:pPr>
            <w:r w:rsidRPr="005C0C9D">
              <w:rPr>
                <w:snapToGrid w:val="0"/>
              </w:rPr>
              <w:t>58</w:t>
            </w:r>
          </w:p>
        </w:tc>
        <w:tc>
          <w:tcPr>
            <w:tcW w:w="1001" w:type="pct"/>
            <w:vAlign w:val="center"/>
          </w:tcPr>
          <w:p w:rsidR="009F7163" w:rsidRPr="005C0C9D" w:rsidRDefault="009F7163" w:rsidP="004925AC">
            <w:pPr>
              <w:tabs>
                <w:tab w:val="decimal" w:pos="939"/>
              </w:tabs>
              <w:adjustRightInd w:val="0"/>
              <w:snapToGrid w:val="0"/>
              <w:rPr>
                <w:snapToGrid w:val="0"/>
              </w:rPr>
            </w:pPr>
            <w:r>
              <w:rPr>
                <w:snapToGrid w:val="0"/>
              </w:rPr>
              <w:t>81</w:t>
            </w:r>
          </w:p>
        </w:tc>
        <w:tc>
          <w:tcPr>
            <w:tcW w:w="1001" w:type="pct"/>
            <w:vAlign w:val="center"/>
          </w:tcPr>
          <w:p w:rsidR="009F7163" w:rsidRPr="005C0C9D" w:rsidRDefault="009F7163" w:rsidP="004925AC">
            <w:pPr>
              <w:tabs>
                <w:tab w:val="decimal" w:pos="967"/>
              </w:tabs>
              <w:adjustRightInd w:val="0"/>
              <w:snapToGrid w:val="0"/>
              <w:rPr>
                <w:snapToGrid w:val="0"/>
              </w:rPr>
            </w:pPr>
            <w:r>
              <w:rPr>
                <w:snapToGrid w:val="0"/>
              </w:rPr>
              <w:t>86,6</w:t>
            </w:r>
          </w:p>
        </w:tc>
      </w:tr>
      <w:tr w:rsidR="009F7163" w:rsidRPr="005C0C9D" w:rsidTr="004925AC">
        <w:trPr>
          <w:trHeight w:val="20"/>
          <w:jc w:val="center"/>
        </w:trPr>
        <w:tc>
          <w:tcPr>
            <w:tcW w:w="1996" w:type="pct"/>
            <w:vAlign w:val="center"/>
          </w:tcPr>
          <w:p w:rsidR="009F7163" w:rsidRPr="005C0C9D" w:rsidRDefault="009F7163" w:rsidP="004925AC">
            <w:pPr>
              <w:adjustRightInd w:val="0"/>
              <w:snapToGrid w:val="0"/>
              <w:rPr>
                <w:snapToGrid w:val="0"/>
              </w:rPr>
            </w:pPr>
            <w:r w:rsidRPr="005C0C9D">
              <w:rPr>
                <w:snapToGrid w:val="0"/>
              </w:rPr>
              <w:t>Inmunización antitetánica</w:t>
            </w:r>
          </w:p>
        </w:tc>
        <w:tc>
          <w:tcPr>
            <w:tcW w:w="1001" w:type="pct"/>
            <w:vAlign w:val="center"/>
          </w:tcPr>
          <w:p w:rsidR="009F7163" w:rsidRPr="005C0C9D" w:rsidRDefault="009F7163" w:rsidP="004925AC">
            <w:pPr>
              <w:adjustRightInd w:val="0"/>
              <w:snapToGrid w:val="0"/>
              <w:jc w:val="center"/>
              <w:rPr>
                <w:snapToGrid w:val="0"/>
              </w:rPr>
            </w:pPr>
            <w:r w:rsidRPr="005C0C9D">
              <w:rPr>
                <w:snapToGrid w:val="0"/>
              </w:rPr>
              <w:t>11</w:t>
            </w:r>
          </w:p>
        </w:tc>
        <w:tc>
          <w:tcPr>
            <w:tcW w:w="1001" w:type="pct"/>
            <w:vAlign w:val="center"/>
          </w:tcPr>
          <w:p w:rsidR="009F7163" w:rsidRPr="005C0C9D" w:rsidRDefault="009F7163" w:rsidP="004925AC">
            <w:pPr>
              <w:tabs>
                <w:tab w:val="decimal" w:pos="939"/>
              </w:tabs>
              <w:adjustRightInd w:val="0"/>
              <w:snapToGrid w:val="0"/>
              <w:rPr>
                <w:snapToGrid w:val="0"/>
              </w:rPr>
            </w:pPr>
            <w:r w:rsidRPr="005C0C9D">
              <w:rPr>
                <w:snapToGrid w:val="0"/>
              </w:rPr>
              <w:t>44</w:t>
            </w:r>
          </w:p>
        </w:tc>
        <w:tc>
          <w:tcPr>
            <w:tcW w:w="1001" w:type="pct"/>
            <w:vAlign w:val="center"/>
          </w:tcPr>
          <w:p w:rsidR="009F7163" w:rsidRPr="005C0C9D" w:rsidRDefault="009F7163" w:rsidP="004925AC">
            <w:pPr>
              <w:tabs>
                <w:tab w:val="decimal" w:pos="967"/>
              </w:tabs>
              <w:adjustRightInd w:val="0"/>
              <w:snapToGrid w:val="0"/>
              <w:rPr>
                <w:snapToGrid w:val="0"/>
              </w:rPr>
            </w:pPr>
            <w:r w:rsidRPr="005C0C9D">
              <w:rPr>
                <w:snapToGrid w:val="0"/>
              </w:rPr>
              <w:t>58</w:t>
            </w:r>
          </w:p>
        </w:tc>
      </w:tr>
      <w:tr w:rsidR="009F7163" w:rsidRPr="005C0C9D" w:rsidTr="004925AC">
        <w:trPr>
          <w:trHeight w:val="20"/>
          <w:jc w:val="center"/>
        </w:trPr>
        <w:tc>
          <w:tcPr>
            <w:tcW w:w="1996" w:type="pct"/>
            <w:vAlign w:val="center"/>
          </w:tcPr>
          <w:p w:rsidR="009F7163" w:rsidRPr="005C0C9D" w:rsidRDefault="009F7163" w:rsidP="004925AC">
            <w:pPr>
              <w:adjustRightInd w:val="0"/>
              <w:snapToGrid w:val="0"/>
              <w:rPr>
                <w:snapToGrid w:val="0"/>
              </w:rPr>
            </w:pPr>
            <w:r w:rsidRPr="005C0C9D">
              <w:rPr>
                <w:snapToGrid w:val="0"/>
              </w:rPr>
              <w:t>Partos en establecimientos sanitarios</w:t>
            </w:r>
          </w:p>
        </w:tc>
        <w:tc>
          <w:tcPr>
            <w:tcW w:w="1001" w:type="pct"/>
            <w:vAlign w:val="center"/>
          </w:tcPr>
          <w:p w:rsidR="009F7163" w:rsidRPr="005C0C9D" w:rsidRDefault="009F7163" w:rsidP="004925AC">
            <w:pPr>
              <w:adjustRightInd w:val="0"/>
              <w:snapToGrid w:val="0"/>
              <w:jc w:val="center"/>
              <w:rPr>
                <w:snapToGrid w:val="0"/>
              </w:rPr>
            </w:pPr>
            <w:r w:rsidRPr="005C0C9D">
              <w:rPr>
                <w:snapToGrid w:val="0"/>
              </w:rPr>
              <w:t>76</w:t>
            </w:r>
          </w:p>
        </w:tc>
        <w:tc>
          <w:tcPr>
            <w:tcW w:w="1001" w:type="pct"/>
            <w:vAlign w:val="center"/>
          </w:tcPr>
          <w:p w:rsidR="009F7163" w:rsidRPr="005C0C9D" w:rsidRDefault="009F7163" w:rsidP="004925AC">
            <w:pPr>
              <w:tabs>
                <w:tab w:val="decimal" w:pos="939"/>
              </w:tabs>
              <w:adjustRightInd w:val="0"/>
              <w:snapToGrid w:val="0"/>
              <w:rPr>
                <w:snapToGrid w:val="0"/>
              </w:rPr>
            </w:pPr>
            <w:r w:rsidRPr="005C0C9D">
              <w:rPr>
                <w:snapToGrid w:val="0"/>
              </w:rPr>
              <w:t>91,2</w:t>
            </w:r>
          </w:p>
        </w:tc>
        <w:tc>
          <w:tcPr>
            <w:tcW w:w="1001" w:type="pct"/>
            <w:vAlign w:val="center"/>
          </w:tcPr>
          <w:p w:rsidR="009F7163" w:rsidRPr="005C0C9D" w:rsidRDefault="009F7163" w:rsidP="004925AC">
            <w:pPr>
              <w:tabs>
                <w:tab w:val="decimal" w:pos="967"/>
              </w:tabs>
              <w:adjustRightInd w:val="0"/>
              <w:snapToGrid w:val="0"/>
              <w:rPr>
                <w:snapToGrid w:val="0"/>
              </w:rPr>
            </w:pPr>
            <w:r w:rsidRPr="005C0C9D">
              <w:rPr>
                <w:snapToGrid w:val="0"/>
              </w:rPr>
              <w:t>95,4</w:t>
            </w:r>
          </w:p>
        </w:tc>
      </w:tr>
    </w:tbl>
    <w:p w:rsidR="009F7163" w:rsidRDefault="009F7163" w:rsidP="009F7163">
      <w:pPr>
        <w:adjustRightInd w:val="0"/>
        <w:snapToGrid w:val="0"/>
        <w:spacing w:before="480" w:after="240"/>
        <w:jc w:val="center"/>
        <w:rPr>
          <w:b/>
          <w:snapToGrid w:val="0"/>
        </w:rPr>
      </w:pPr>
      <w:r w:rsidRPr="005C0C9D">
        <w:rPr>
          <w:b/>
          <w:snapToGrid w:val="0"/>
        </w:rPr>
        <w:t>Tasa de mortalidad materna</w:t>
      </w:r>
    </w:p>
    <w:tbl>
      <w:tblPr>
        <w:tblStyle w:val="TableGrid"/>
        <w:tblW w:w="5000" w:type="pct"/>
        <w:jc w:val="center"/>
        <w:tblLook w:val="01E0" w:firstRow="1" w:lastRow="1" w:firstColumn="1" w:lastColumn="1" w:noHBand="0" w:noVBand="0"/>
      </w:tblPr>
      <w:tblGrid>
        <w:gridCol w:w="4750"/>
        <w:gridCol w:w="1185"/>
        <w:gridCol w:w="1186"/>
        <w:gridCol w:w="1184"/>
        <w:gridCol w:w="1186"/>
      </w:tblGrid>
      <w:tr w:rsidR="009F7163" w:rsidRPr="00B54E5A" w:rsidTr="004925AC">
        <w:trPr>
          <w:jc w:val="center"/>
        </w:trPr>
        <w:tc>
          <w:tcPr>
            <w:tcW w:w="2502" w:type="pct"/>
            <w:vAlign w:val="center"/>
          </w:tcPr>
          <w:p w:rsidR="009F7163" w:rsidRPr="00B54E5A" w:rsidRDefault="009F7163" w:rsidP="004925AC">
            <w:pPr>
              <w:adjustRightInd w:val="0"/>
              <w:snapToGrid w:val="0"/>
              <w:jc w:val="center"/>
              <w:rPr>
                <w:b/>
                <w:snapToGrid w:val="0"/>
              </w:rPr>
            </w:pPr>
            <w:r w:rsidRPr="00B54E5A">
              <w:rPr>
                <w:b/>
                <w:snapToGrid w:val="0"/>
              </w:rPr>
              <w:t>Indicadores</w:t>
            </w:r>
          </w:p>
        </w:tc>
        <w:tc>
          <w:tcPr>
            <w:tcW w:w="624" w:type="pct"/>
            <w:vAlign w:val="center"/>
          </w:tcPr>
          <w:p w:rsidR="009F7163" w:rsidRPr="00B54E5A" w:rsidRDefault="009F7163" w:rsidP="004925AC">
            <w:pPr>
              <w:adjustRightInd w:val="0"/>
              <w:snapToGrid w:val="0"/>
              <w:jc w:val="center"/>
              <w:rPr>
                <w:b/>
                <w:snapToGrid w:val="0"/>
              </w:rPr>
            </w:pPr>
            <w:r w:rsidRPr="00B54E5A">
              <w:rPr>
                <w:b/>
                <w:snapToGrid w:val="0"/>
              </w:rPr>
              <w:t>1992</w:t>
            </w:r>
          </w:p>
        </w:tc>
        <w:tc>
          <w:tcPr>
            <w:tcW w:w="625" w:type="pct"/>
            <w:vAlign w:val="center"/>
          </w:tcPr>
          <w:p w:rsidR="009F7163" w:rsidRPr="00B54E5A" w:rsidRDefault="009F7163" w:rsidP="004925AC">
            <w:pPr>
              <w:adjustRightInd w:val="0"/>
              <w:snapToGrid w:val="0"/>
              <w:jc w:val="center"/>
              <w:rPr>
                <w:b/>
                <w:snapToGrid w:val="0"/>
              </w:rPr>
            </w:pPr>
            <w:r w:rsidRPr="00B54E5A">
              <w:rPr>
                <w:b/>
                <w:snapToGrid w:val="0"/>
              </w:rPr>
              <w:t>1999</w:t>
            </w:r>
          </w:p>
        </w:tc>
        <w:tc>
          <w:tcPr>
            <w:tcW w:w="624" w:type="pct"/>
            <w:vAlign w:val="center"/>
          </w:tcPr>
          <w:p w:rsidR="009F7163" w:rsidRPr="00B54E5A" w:rsidRDefault="009F7163" w:rsidP="004925AC">
            <w:pPr>
              <w:adjustRightInd w:val="0"/>
              <w:snapToGrid w:val="0"/>
              <w:jc w:val="center"/>
              <w:rPr>
                <w:b/>
                <w:snapToGrid w:val="0"/>
              </w:rPr>
            </w:pPr>
            <w:r w:rsidRPr="00B54E5A">
              <w:rPr>
                <w:b/>
                <w:snapToGrid w:val="0"/>
              </w:rPr>
              <w:t>2004</w:t>
            </w:r>
          </w:p>
        </w:tc>
        <w:tc>
          <w:tcPr>
            <w:tcW w:w="625" w:type="pct"/>
            <w:vAlign w:val="center"/>
          </w:tcPr>
          <w:p w:rsidR="009F7163" w:rsidRPr="00B54E5A" w:rsidRDefault="009F7163" w:rsidP="004925AC">
            <w:pPr>
              <w:adjustRightInd w:val="0"/>
              <w:snapToGrid w:val="0"/>
              <w:jc w:val="center"/>
              <w:rPr>
                <w:b/>
                <w:snapToGrid w:val="0"/>
              </w:rPr>
            </w:pPr>
            <w:r w:rsidRPr="00B54E5A">
              <w:rPr>
                <w:b/>
                <w:snapToGrid w:val="0"/>
              </w:rPr>
              <w:t>2005</w:t>
            </w:r>
          </w:p>
        </w:tc>
      </w:tr>
      <w:tr w:rsidR="009F7163" w:rsidTr="004925AC">
        <w:trPr>
          <w:jc w:val="center"/>
        </w:trPr>
        <w:tc>
          <w:tcPr>
            <w:tcW w:w="2502" w:type="pct"/>
            <w:vAlign w:val="center"/>
          </w:tcPr>
          <w:p w:rsidR="009F7163" w:rsidRPr="005C0C9D" w:rsidRDefault="009F7163" w:rsidP="004925AC">
            <w:pPr>
              <w:adjustRightInd w:val="0"/>
              <w:snapToGrid w:val="0"/>
              <w:rPr>
                <w:snapToGrid w:val="0"/>
              </w:rPr>
            </w:pPr>
            <w:r w:rsidRPr="005C0C9D">
              <w:rPr>
                <w:snapToGrid w:val="0"/>
              </w:rPr>
              <w:t>Tasa de mortalidad materna (por cada 100.000)</w:t>
            </w:r>
          </w:p>
        </w:tc>
        <w:tc>
          <w:tcPr>
            <w:tcW w:w="624" w:type="pct"/>
            <w:vAlign w:val="center"/>
          </w:tcPr>
          <w:p w:rsidR="009F7163" w:rsidRPr="005C0C9D" w:rsidRDefault="009F7163" w:rsidP="004925AC">
            <w:pPr>
              <w:adjustRightInd w:val="0"/>
              <w:snapToGrid w:val="0"/>
              <w:jc w:val="center"/>
              <w:rPr>
                <w:snapToGrid w:val="0"/>
              </w:rPr>
            </w:pPr>
            <w:r w:rsidRPr="005C0C9D">
              <w:rPr>
                <w:snapToGrid w:val="0"/>
              </w:rPr>
              <w:t>215,0</w:t>
            </w:r>
          </w:p>
        </w:tc>
        <w:tc>
          <w:tcPr>
            <w:tcW w:w="625" w:type="pct"/>
            <w:vAlign w:val="center"/>
          </w:tcPr>
          <w:p w:rsidR="009F7163" w:rsidRPr="005C0C9D" w:rsidRDefault="009F7163" w:rsidP="004925AC">
            <w:pPr>
              <w:adjustRightInd w:val="0"/>
              <w:snapToGrid w:val="0"/>
              <w:jc w:val="center"/>
              <w:rPr>
                <w:snapToGrid w:val="0"/>
              </w:rPr>
            </w:pPr>
            <w:r w:rsidRPr="005C0C9D">
              <w:rPr>
                <w:snapToGrid w:val="0"/>
              </w:rPr>
              <w:t>117,4</w:t>
            </w:r>
          </w:p>
        </w:tc>
        <w:tc>
          <w:tcPr>
            <w:tcW w:w="624" w:type="pct"/>
            <w:vAlign w:val="center"/>
          </w:tcPr>
          <w:p w:rsidR="009F7163" w:rsidRPr="005C0C9D" w:rsidRDefault="00030ED7" w:rsidP="004925AC">
            <w:pPr>
              <w:adjustRightInd w:val="0"/>
              <w:snapToGrid w:val="0"/>
              <w:jc w:val="center"/>
              <w:rPr>
                <w:snapToGrid w:val="0"/>
              </w:rPr>
            </w:pPr>
            <w:r>
              <w:rPr>
                <w:snapToGrid w:val="0"/>
              </w:rPr>
              <w:t xml:space="preserve">99,5 </w:t>
            </w:r>
            <w:r w:rsidR="009F7163" w:rsidRPr="005C0C9D">
              <w:rPr>
                <w:snapToGrid w:val="0"/>
              </w:rPr>
              <w:t>e)</w:t>
            </w:r>
          </w:p>
        </w:tc>
        <w:tc>
          <w:tcPr>
            <w:tcW w:w="625" w:type="pct"/>
            <w:vAlign w:val="center"/>
          </w:tcPr>
          <w:p w:rsidR="009F7163" w:rsidRPr="005C0C9D" w:rsidRDefault="009F7163" w:rsidP="004925AC">
            <w:pPr>
              <w:adjustRightInd w:val="0"/>
              <w:snapToGrid w:val="0"/>
              <w:jc w:val="center"/>
              <w:rPr>
                <w:snapToGrid w:val="0"/>
              </w:rPr>
            </w:pPr>
            <w:r w:rsidRPr="005C0C9D">
              <w:rPr>
                <w:snapToGrid w:val="0"/>
              </w:rPr>
              <w:t>96,5</w:t>
            </w:r>
          </w:p>
        </w:tc>
      </w:tr>
    </w:tbl>
    <w:p w:rsidR="009F7163" w:rsidRPr="005C0C9D" w:rsidRDefault="009F7163" w:rsidP="009F7163">
      <w:pPr>
        <w:adjustRightInd w:val="0"/>
        <w:snapToGrid w:val="0"/>
        <w:spacing w:before="240" w:after="240"/>
        <w:rPr>
          <w:snapToGrid w:val="0"/>
        </w:rPr>
      </w:pPr>
      <w:r w:rsidRPr="00C95533">
        <w:rPr>
          <w:i/>
          <w:snapToGrid w:val="0"/>
        </w:rPr>
        <w:t>Fuente:</w:t>
      </w:r>
      <w:r>
        <w:rPr>
          <w:snapToGrid w:val="0"/>
        </w:rPr>
        <w:t xml:space="preserve">  </w:t>
      </w:r>
      <w:r w:rsidRPr="005C0C9D">
        <w:rPr>
          <w:snapToGrid w:val="0"/>
        </w:rPr>
        <w:t>1992 y 1999:</w:t>
      </w:r>
      <w:r>
        <w:rPr>
          <w:snapToGrid w:val="0"/>
        </w:rPr>
        <w:t xml:space="preserve"> </w:t>
      </w:r>
      <w:r w:rsidRPr="005C0C9D">
        <w:rPr>
          <w:snapToGrid w:val="0"/>
        </w:rPr>
        <w:t xml:space="preserve"> </w:t>
      </w:r>
      <w:r>
        <w:rPr>
          <w:snapToGrid w:val="0"/>
        </w:rPr>
        <w:t>datos de encuestas; 2004 y</w:t>
      </w:r>
      <w:r w:rsidRPr="005C0C9D">
        <w:rPr>
          <w:snapToGrid w:val="0"/>
        </w:rPr>
        <w:t xml:space="preserve"> 2005: </w:t>
      </w:r>
      <w:r>
        <w:rPr>
          <w:snapToGrid w:val="0"/>
        </w:rPr>
        <w:t xml:space="preserve"> </w:t>
      </w:r>
      <w:r w:rsidRPr="005C0C9D">
        <w:rPr>
          <w:snapToGrid w:val="0"/>
        </w:rPr>
        <w:t>datos estimados</w:t>
      </w:r>
      <w:r>
        <w:rPr>
          <w:snapToGrid w:val="0"/>
        </w:rPr>
        <w:t>.</w:t>
      </w:r>
    </w:p>
    <w:p w:rsidR="009F7163" w:rsidRPr="005C0C9D" w:rsidRDefault="009F7163" w:rsidP="009F7163">
      <w:pPr>
        <w:adjustRightInd w:val="0"/>
        <w:snapToGrid w:val="0"/>
        <w:spacing w:after="240"/>
        <w:rPr>
          <w:b/>
          <w:snapToGrid w:val="0"/>
        </w:rPr>
      </w:pPr>
      <w:r w:rsidRPr="005C0C9D">
        <w:rPr>
          <w:b/>
          <w:snapToGrid w:val="0"/>
        </w:rPr>
        <w:t>6.</w:t>
      </w:r>
      <w:r w:rsidRPr="005C0C9D">
        <w:rPr>
          <w:b/>
          <w:snapToGrid w:val="0"/>
        </w:rPr>
        <w:tab/>
        <w:t>La salud de los jóvenes y adolescentes</w:t>
      </w:r>
    </w:p>
    <w:p w:rsidR="009F7163" w:rsidRPr="005C0C9D" w:rsidRDefault="009F7163" w:rsidP="009F7163">
      <w:pPr>
        <w:adjustRightInd w:val="0"/>
        <w:snapToGrid w:val="0"/>
        <w:spacing w:after="240"/>
        <w:rPr>
          <w:snapToGrid w:val="0"/>
        </w:rPr>
      </w:pPr>
      <w:r w:rsidRPr="005C0C9D">
        <w:rPr>
          <w:snapToGrid w:val="0"/>
        </w:rPr>
        <w:t>292.</w:t>
      </w:r>
      <w:r w:rsidRPr="005C0C9D">
        <w:rPr>
          <w:snapToGrid w:val="0"/>
        </w:rPr>
        <w:tab/>
        <w:t xml:space="preserve">La atención </w:t>
      </w:r>
      <w:r>
        <w:rPr>
          <w:snapToGrid w:val="0"/>
        </w:rPr>
        <w:t xml:space="preserve">sanitaria </w:t>
      </w:r>
      <w:r w:rsidRPr="005C0C9D">
        <w:rPr>
          <w:snapToGrid w:val="0"/>
        </w:rPr>
        <w:t xml:space="preserve">de los jóvenes y adolescentes, que se inscribe en el enfoque multisectorial </w:t>
      </w:r>
      <w:r>
        <w:rPr>
          <w:snapToGrid w:val="0"/>
        </w:rPr>
        <w:t xml:space="preserve">en el que participa </w:t>
      </w:r>
      <w:r w:rsidRPr="005C0C9D">
        <w:rPr>
          <w:snapToGrid w:val="0"/>
        </w:rPr>
        <w:t xml:space="preserve">el movimiento asociativo, </w:t>
      </w:r>
      <w:r>
        <w:rPr>
          <w:snapToGrid w:val="0"/>
        </w:rPr>
        <w:t xml:space="preserve">corre a cargo de </w:t>
      </w:r>
      <w:r w:rsidRPr="005C0C9D">
        <w:rPr>
          <w:snapToGrid w:val="0"/>
        </w:rPr>
        <w:t>un</w:t>
      </w:r>
      <w:r>
        <w:rPr>
          <w:snapToGrid w:val="0"/>
        </w:rPr>
        <w:t xml:space="preserve"> dispositivo</w:t>
      </w:r>
      <w:r w:rsidRPr="005C0C9D">
        <w:rPr>
          <w:snapToGrid w:val="0"/>
        </w:rPr>
        <w:t xml:space="preserve"> específico integrado por 1.463 unidades de diagnóstico y seguimiento y 100 unidades de medicina preventiva en </w:t>
      </w:r>
      <w:r>
        <w:rPr>
          <w:snapToGrid w:val="0"/>
        </w:rPr>
        <w:t>el medio universitario</w:t>
      </w:r>
      <w:r w:rsidRPr="005C0C9D">
        <w:rPr>
          <w:snapToGrid w:val="0"/>
        </w:rPr>
        <w:t>.</w:t>
      </w:r>
    </w:p>
    <w:p w:rsidR="009F7163" w:rsidRPr="005C0C9D" w:rsidRDefault="009F7163" w:rsidP="009F7163">
      <w:pPr>
        <w:adjustRightInd w:val="0"/>
        <w:snapToGrid w:val="0"/>
        <w:spacing w:after="240"/>
        <w:rPr>
          <w:snapToGrid w:val="0"/>
        </w:rPr>
      </w:pPr>
      <w:r w:rsidRPr="005C0C9D">
        <w:rPr>
          <w:snapToGrid w:val="0"/>
        </w:rPr>
        <w:t>293.</w:t>
      </w:r>
      <w:r w:rsidRPr="005C0C9D">
        <w:rPr>
          <w:snapToGrid w:val="0"/>
        </w:rPr>
        <w:tab/>
        <w:t xml:space="preserve">Este </w:t>
      </w:r>
      <w:r>
        <w:rPr>
          <w:snapToGrid w:val="0"/>
        </w:rPr>
        <w:t>dispositivo</w:t>
      </w:r>
      <w:r w:rsidRPr="005C0C9D">
        <w:rPr>
          <w:snapToGrid w:val="0"/>
        </w:rPr>
        <w:t>, que se propone promover comportamiento</w:t>
      </w:r>
      <w:r>
        <w:rPr>
          <w:snapToGrid w:val="0"/>
        </w:rPr>
        <w:t>s</w:t>
      </w:r>
      <w:r w:rsidRPr="005C0C9D">
        <w:rPr>
          <w:snapToGrid w:val="0"/>
        </w:rPr>
        <w:t xml:space="preserve"> sano</w:t>
      </w:r>
      <w:r>
        <w:rPr>
          <w:snapToGrid w:val="0"/>
        </w:rPr>
        <w:t>s</w:t>
      </w:r>
      <w:r w:rsidRPr="005C0C9D">
        <w:rPr>
          <w:snapToGrid w:val="0"/>
        </w:rPr>
        <w:t xml:space="preserve"> entre los jóvenes y adolescentes, </w:t>
      </w:r>
      <w:r>
        <w:rPr>
          <w:snapToGrid w:val="0"/>
        </w:rPr>
        <w:t xml:space="preserve">se </w:t>
      </w:r>
      <w:r w:rsidRPr="005C0C9D">
        <w:rPr>
          <w:snapToGrid w:val="0"/>
        </w:rPr>
        <w:t xml:space="preserve">ha </w:t>
      </w:r>
      <w:r>
        <w:rPr>
          <w:snapToGrid w:val="0"/>
        </w:rPr>
        <w:t>visto reforzado por</w:t>
      </w:r>
      <w:r w:rsidRPr="005C0C9D">
        <w:rPr>
          <w:snapToGrid w:val="0"/>
        </w:rPr>
        <w:t xml:space="preserve"> la creac</w:t>
      </w:r>
      <w:r>
        <w:rPr>
          <w:snapToGrid w:val="0"/>
        </w:rPr>
        <w:t>ión en la capital de un centro "</w:t>
      </w:r>
      <w:r w:rsidRPr="005C0C9D">
        <w:rPr>
          <w:snapToGrid w:val="0"/>
        </w:rPr>
        <w:t>amigo de los jóvenes</w:t>
      </w:r>
      <w:r>
        <w:rPr>
          <w:snapToGrid w:val="0"/>
        </w:rPr>
        <w:t>"</w:t>
      </w:r>
      <w:r w:rsidRPr="005C0C9D">
        <w:rPr>
          <w:snapToGrid w:val="0"/>
        </w:rPr>
        <w:t>.</w:t>
      </w:r>
      <w:r>
        <w:rPr>
          <w:snapToGrid w:val="0"/>
        </w:rPr>
        <w:t xml:space="preserve"> </w:t>
      </w:r>
      <w:r w:rsidRPr="005C0C9D">
        <w:rPr>
          <w:snapToGrid w:val="0"/>
        </w:rPr>
        <w:t xml:space="preserve"> Se trata de una experiencia piloto </w:t>
      </w:r>
      <w:r>
        <w:rPr>
          <w:snapToGrid w:val="0"/>
        </w:rPr>
        <w:t xml:space="preserve">apoyada por el </w:t>
      </w:r>
      <w:r w:rsidRPr="005C0C9D">
        <w:rPr>
          <w:snapToGrid w:val="0"/>
        </w:rPr>
        <w:t>Fondo de Población de las Naciones Unidas (UNFPA) y destinada a proporcionar diversos servicios confidenciales, integrados y de calidad a los jóvenes de todas las categorías, incluidos los de sectores en dificultad.</w:t>
      </w:r>
    </w:p>
    <w:p w:rsidR="009F7163" w:rsidRPr="005C0C9D" w:rsidRDefault="009F7163" w:rsidP="009F7163">
      <w:pPr>
        <w:adjustRightInd w:val="0"/>
        <w:snapToGrid w:val="0"/>
        <w:spacing w:after="240"/>
        <w:rPr>
          <w:snapToGrid w:val="0"/>
        </w:rPr>
      </w:pPr>
      <w:r w:rsidRPr="005C0C9D">
        <w:rPr>
          <w:snapToGrid w:val="0"/>
        </w:rPr>
        <w:t>294.</w:t>
      </w:r>
      <w:r w:rsidRPr="005C0C9D">
        <w:rPr>
          <w:snapToGrid w:val="0"/>
        </w:rPr>
        <w:tab/>
        <w:t xml:space="preserve">Las actividades en esta esfera </w:t>
      </w:r>
      <w:r>
        <w:rPr>
          <w:snapToGrid w:val="0"/>
        </w:rPr>
        <w:t xml:space="preserve">se </w:t>
      </w:r>
      <w:r w:rsidRPr="005C0C9D">
        <w:rPr>
          <w:snapToGrid w:val="0"/>
        </w:rPr>
        <w:t>han intensifica</w:t>
      </w:r>
      <w:r>
        <w:rPr>
          <w:snapToGrid w:val="0"/>
        </w:rPr>
        <w:t xml:space="preserve">do gracias a la </w:t>
      </w:r>
      <w:r w:rsidRPr="005C0C9D">
        <w:rPr>
          <w:snapToGrid w:val="0"/>
        </w:rPr>
        <w:t>formación de equipos multidisciplinarios, integrados actualmente por 1.718 médicos, 1.503 cirujanos dentistas,</w:t>
      </w:r>
      <w:r>
        <w:rPr>
          <w:snapToGrid w:val="0"/>
        </w:rPr>
        <w:t> </w:t>
      </w:r>
      <w:r w:rsidRPr="005C0C9D">
        <w:rPr>
          <w:snapToGrid w:val="0"/>
        </w:rPr>
        <w:t>415</w:t>
      </w:r>
      <w:r>
        <w:rPr>
          <w:snapToGrid w:val="0"/>
        </w:rPr>
        <w:t> </w:t>
      </w:r>
      <w:r w:rsidRPr="005C0C9D">
        <w:rPr>
          <w:snapToGrid w:val="0"/>
        </w:rPr>
        <w:t>psicólogos, 2.091 paramédicos, y a la capacitación de instructores en materia de salud reproduc</w:t>
      </w:r>
      <w:r>
        <w:rPr>
          <w:snapToGrid w:val="0"/>
        </w:rPr>
        <w:t>tiva</w:t>
      </w:r>
      <w:r w:rsidRPr="005C0C9D">
        <w:rPr>
          <w:snapToGrid w:val="0"/>
        </w:rPr>
        <w:t>.</w:t>
      </w:r>
    </w:p>
    <w:p w:rsidR="009F7163" w:rsidRPr="005C0C9D" w:rsidRDefault="009F7163" w:rsidP="009F7163">
      <w:pPr>
        <w:adjustRightInd w:val="0"/>
        <w:snapToGrid w:val="0"/>
        <w:spacing w:after="240"/>
        <w:rPr>
          <w:snapToGrid w:val="0"/>
        </w:rPr>
      </w:pPr>
      <w:r w:rsidRPr="005C0C9D">
        <w:rPr>
          <w:snapToGrid w:val="0"/>
        </w:rPr>
        <w:t>295.</w:t>
      </w:r>
      <w:r w:rsidRPr="005C0C9D">
        <w:rPr>
          <w:snapToGrid w:val="0"/>
        </w:rPr>
        <w:tab/>
        <w:t xml:space="preserve">En los programas de salud escolar se abordan el diagnóstico de las patologías de la infancia, los déficits sensoriales, los desequilibrios psicológicos y los comportamientos violentos, y la orientación que debe adoptarse a su respecto. </w:t>
      </w:r>
      <w:r>
        <w:rPr>
          <w:snapToGrid w:val="0"/>
        </w:rPr>
        <w:t xml:space="preserve"> </w:t>
      </w:r>
      <w:r w:rsidRPr="005C0C9D">
        <w:rPr>
          <w:snapToGrid w:val="0"/>
        </w:rPr>
        <w:t>Cabe señalar también en este ámbito la puesta en marcha de un programa de prevención de la caries dental mediante el suministro de flúor en los establecimientos escolares, el seguimiento de la ejecución de los programas nacionales de salud y la realización de campañas de puesta al día en materia de vacunación.</w:t>
      </w:r>
    </w:p>
    <w:p w:rsidR="009F7163" w:rsidRPr="005C0C9D" w:rsidRDefault="009F7163" w:rsidP="009F7163">
      <w:pPr>
        <w:keepNext/>
        <w:adjustRightInd w:val="0"/>
        <w:snapToGrid w:val="0"/>
        <w:spacing w:after="240"/>
        <w:rPr>
          <w:b/>
          <w:snapToGrid w:val="0"/>
        </w:rPr>
      </w:pPr>
      <w:r w:rsidRPr="005C0C9D">
        <w:rPr>
          <w:b/>
          <w:snapToGrid w:val="0"/>
        </w:rPr>
        <w:t>7.</w:t>
      </w:r>
      <w:r w:rsidRPr="005C0C9D">
        <w:rPr>
          <w:b/>
          <w:snapToGrid w:val="0"/>
        </w:rPr>
        <w:tab/>
        <w:t>La salud mental</w:t>
      </w:r>
    </w:p>
    <w:p w:rsidR="009F7163" w:rsidRPr="005C0C9D" w:rsidRDefault="009F7163" w:rsidP="009F7163">
      <w:pPr>
        <w:adjustRightInd w:val="0"/>
        <w:snapToGrid w:val="0"/>
        <w:spacing w:after="240"/>
        <w:rPr>
          <w:snapToGrid w:val="0"/>
        </w:rPr>
      </w:pPr>
      <w:r w:rsidRPr="005C0C9D">
        <w:rPr>
          <w:snapToGrid w:val="0"/>
        </w:rPr>
        <w:t>296.</w:t>
      </w:r>
      <w:r w:rsidRPr="005C0C9D">
        <w:rPr>
          <w:snapToGrid w:val="0"/>
        </w:rPr>
        <w:tab/>
        <w:t xml:space="preserve">Las enfermedades mentales representan el 6% de las causas de discapacidad. </w:t>
      </w:r>
      <w:r>
        <w:rPr>
          <w:snapToGrid w:val="0"/>
        </w:rPr>
        <w:t xml:space="preserve"> </w:t>
      </w:r>
      <w:r w:rsidRPr="005C0C9D">
        <w:rPr>
          <w:snapToGrid w:val="0"/>
        </w:rPr>
        <w:t xml:space="preserve">Según las encuestas, la prevalencia de las enfermedades mentales en la población general se ha estimado en un 0,5%. </w:t>
      </w:r>
      <w:r>
        <w:rPr>
          <w:snapToGrid w:val="0"/>
        </w:rPr>
        <w:t xml:space="preserve"> </w:t>
      </w:r>
      <w:r w:rsidRPr="005C0C9D">
        <w:rPr>
          <w:snapToGrid w:val="0"/>
        </w:rPr>
        <w:t>Atendiendo a las recomendaciones internacionales de la OMS, Argelia elaboró en</w:t>
      </w:r>
      <w:r>
        <w:rPr>
          <w:snapToGrid w:val="0"/>
        </w:rPr>
        <w:t> </w:t>
      </w:r>
      <w:r w:rsidRPr="005C0C9D">
        <w:rPr>
          <w:snapToGrid w:val="0"/>
        </w:rPr>
        <w:t xml:space="preserve">2001 un programa nacional de salud mental en el que se presta atención especial a la prevención, la aplicación de mecanismos de rehabilitación, la comunicación y la educación sanitaria. </w:t>
      </w:r>
      <w:r>
        <w:rPr>
          <w:snapToGrid w:val="0"/>
        </w:rPr>
        <w:t xml:space="preserve"> </w:t>
      </w:r>
      <w:r w:rsidRPr="005C0C9D">
        <w:rPr>
          <w:snapToGrid w:val="0"/>
        </w:rPr>
        <w:t xml:space="preserve">El programa se </w:t>
      </w:r>
      <w:r>
        <w:rPr>
          <w:snapToGrid w:val="0"/>
        </w:rPr>
        <w:t>reforzó con la creación a partir de</w:t>
      </w:r>
      <w:r w:rsidRPr="005C0C9D">
        <w:rPr>
          <w:snapToGrid w:val="0"/>
        </w:rPr>
        <w:t xml:space="preserve"> 2002 de Centros intermedios de salud mental, adscritos a los servicios de base, cuyo propósito es mejorar el acceso a </w:t>
      </w:r>
      <w:r>
        <w:rPr>
          <w:snapToGrid w:val="0"/>
        </w:rPr>
        <w:t>los servicios</w:t>
      </w:r>
      <w:r w:rsidRPr="005C0C9D">
        <w:rPr>
          <w:snapToGrid w:val="0"/>
        </w:rPr>
        <w:t xml:space="preserve"> y garantizar una mejor gestión de los medicamentos.</w:t>
      </w:r>
      <w:r>
        <w:rPr>
          <w:snapToGrid w:val="0"/>
        </w:rPr>
        <w:t xml:space="preserve"> </w:t>
      </w:r>
      <w:r w:rsidRPr="005C0C9D">
        <w:rPr>
          <w:snapToGrid w:val="0"/>
        </w:rPr>
        <w:t xml:space="preserve"> Desde la puesta en marcha del programa se integraron en el mecanismo de salud escolar y universitaria los servicios de atención preventiva de la salud mental y gestión de las situaciones de riesgo, </w:t>
      </w:r>
      <w:r>
        <w:rPr>
          <w:snapToGrid w:val="0"/>
        </w:rPr>
        <w:t>además de</w:t>
      </w:r>
      <w:r w:rsidRPr="005C0C9D">
        <w:rPr>
          <w:snapToGrid w:val="0"/>
        </w:rPr>
        <w:t xml:space="preserve"> las actividades realizadas por el movimiento asociativo y los demás sectores estatales. </w:t>
      </w:r>
      <w:r>
        <w:rPr>
          <w:snapToGrid w:val="0"/>
        </w:rPr>
        <w:t xml:space="preserve"> </w:t>
      </w:r>
      <w:r w:rsidRPr="005C0C9D">
        <w:rPr>
          <w:snapToGrid w:val="0"/>
        </w:rPr>
        <w:t xml:space="preserve">Las actividades previstas para los tres próximos años se centrarán en primer lugar en el fortalecimiento del mecanismo de atención, en materia tanto curativa como preventiva, para lo cual se integrará al sector privado (los psiquiatras), teniendo en cuenta el número relativamente importante de consultorios privados (160) existentes; además, se intensificarán las actividades de sensibilización y comunicación, así como la promoción de la cooperación y la colaboración con los demás sectores interesados. </w:t>
      </w:r>
      <w:r>
        <w:rPr>
          <w:snapToGrid w:val="0"/>
        </w:rPr>
        <w:t xml:space="preserve"> </w:t>
      </w:r>
      <w:r w:rsidRPr="005C0C9D">
        <w:rPr>
          <w:snapToGrid w:val="0"/>
        </w:rPr>
        <w:t>Otro de los objetivos es incluir de manera eficaz en este mecanismo de atención sanitaria el tratamiento integrado de las toxicomanías, en estrecha colaboración con la Oficina de la Droga y la Toxicomanía y con otros departamentos del sector.</w:t>
      </w:r>
    </w:p>
    <w:p w:rsidR="009F7163" w:rsidRPr="005C0C9D" w:rsidRDefault="009F7163" w:rsidP="009F7163">
      <w:pPr>
        <w:adjustRightInd w:val="0"/>
        <w:snapToGrid w:val="0"/>
        <w:spacing w:after="240"/>
        <w:rPr>
          <w:snapToGrid w:val="0"/>
        </w:rPr>
      </w:pPr>
      <w:r w:rsidRPr="005C0C9D">
        <w:rPr>
          <w:snapToGrid w:val="0"/>
        </w:rPr>
        <w:t>297.</w:t>
      </w:r>
      <w:r w:rsidRPr="005C0C9D">
        <w:rPr>
          <w:snapToGrid w:val="0"/>
        </w:rPr>
        <w:tab/>
        <w:t>En las estrategias que se han elaborado se ha previsto en particular lo siguiente:</w:t>
      </w:r>
    </w:p>
    <w:p w:rsidR="009F7163" w:rsidRPr="005C0C9D" w:rsidRDefault="009F7163" w:rsidP="009F7163">
      <w:pPr>
        <w:adjustRightInd w:val="0"/>
        <w:snapToGrid w:val="0"/>
        <w:spacing w:after="240"/>
        <w:ind w:left="1134" w:hanging="567"/>
        <w:rPr>
          <w:snapToGrid w:val="0"/>
        </w:rPr>
      </w:pPr>
      <w:r w:rsidRPr="005C0C9D">
        <w:rPr>
          <w:snapToGrid w:val="0"/>
        </w:rPr>
        <w:t>a)</w:t>
      </w:r>
      <w:r w:rsidRPr="005C0C9D">
        <w:rPr>
          <w:snapToGrid w:val="0"/>
        </w:rPr>
        <w:tab/>
        <w:t>Organizar l</w:t>
      </w:r>
      <w:r>
        <w:rPr>
          <w:snapToGrid w:val="0"/>
        </w:rPr>
        <w:t>os servicios</w:t>
      </w:r>
      <w:r w:rsidRPr="005C0C9D">
        <w:rPr>
          <w:snapToGrid w:val="0"/>
        </w:rPr>
        <w:t xml:space="preserve"> de salud mental dando prioridad a la descentralización de la atención primaria de salud, al enfoque comunitario y a la dis</w:t>
      </w:r>
      <w:r>
        <w:rPr>
          <w:snapToGrid w:val="0"/>
        </w:rPr>
        <w:t>ponibilidad de los medicamentos;</w:t>
      </w:r>
    </w:p>
    <w:p w:rsidR="009F7163" w:rsidRPr="005C0C9D" w:rsidRDefault="009F7163" w:rsidP="009F7163">
      <w:pPr>
        <w:adjustRightInd w:val="0"/>
        <w:snapToGrid w:val="0"/>
        <w:spacing w:after="240"/>
        <w:ind w:left="1134" w:hanging="567"/>
        <w:rPr>
          <w:snapToGrid w:val="0"/>
        </w:rPr>
      </w:pPr>
      <w:r w:rsidRPr="005C0C9D">
        <w:rPr>
          <w:snapToGrid w:val="0"/>
        </w:rPr>
        <w:t>b)</w:t>
      </w:r>
      <w:r w:rsidRPr="005C0C9D">
        <w:rPr>
          <w:snapToGrid w:val="0"/>
        </w:rPr>
        <w:tab/>
        <w:t>Adaptar la legislación sobre salud mental a la situación imperante en el te</w:t>
      </w:r>
      <w:r>
        <w:rPr>
          <w:snapToGrid w:val="0"/>
        </w:rPr>
        <w:t>rreno y a la nueva organización;</w:t>
      </w:r>
    </w:p>
    <w:p w:rsidR="009F7163" w:rsidRPr="005C0C9D" w:rsidRDefault="009F7163" w:rsidP="009F7163">
      <w:pPr>
        <w:adjustRightInd w:val="0"/>
        <w:snapToGrid w:val="0"/>
        <w:spacing w:after="240"/>
        <w:ind w:left="1134" w:hanging="567"/>
        <w:rPr>
          <w:snapToGrid w:val="0"/>
        </w:rPr>
      </w:pPr>
      <w:r w:rsidRPr="005C0C9D">
        <w:rPr>
          <w:snapToGrid w:val="0"/>
        </w:rPr>
        <w:t>c)</w:t>
      </w:r>
      <w:r w:rsidRPr="005C0C9D">
        <w:rPr>
          <w:snapToGrid w:val="0"/>
        </w:rPr>
        <w:tab/>
        <w:t>Desarrollar programas de prevención de los tra</w:t>
      </w:r>
      <w:r>
        <w:rPr>
          <w:snapToGrid w:val="0"/>
        </w:rPr>
        <w:t>stornos mentales y neurológicos;</w:t>
      </w:r>
    </w:p>
    <w:p w:rsidR="009F7163" w:rsidRPr="005C0C9D" w:rsidRDefault="009F7163" w:rsidP="009F7163">
      <w:pPr>
        <w:adjustRightInd w:val="0"/>
        <w:snapToGrid w:val="0"/>
        <w:spacing w:after="240"/>
        <w:ind w:left="1134" w:hanging="567"/>
        <w:rPr>
          <w:snapToGrid w:val="0"/>
        </w:rPr>
      </w:pPr>
      <w:r w:rsidRPr="005C0C9D">
        <w:rPr>
          <w:snapToGrid w:val="0"/>
        </w:rPr>
        <w:t>d)</w:t>
      </w:r>
      <w:r w:rsidRPr="005C0C9D">
        <w:rPr>
          <w:snapToGrid w:val="0"/>
        </w:rPr>
        <w:tab/>
        <w:t>Conseguir la rehabilitación psicosocial de las personas afectadas psíqui</w:t>
      </w:r>
      <w:r>
        <w:rPr>
          <w:snapToGrid w:val="0"/>
        </w:rPr>
        <w:t>camente a causa de la violencia;</w:t>
      </w:r>
    </w:p>
    <w:p w:rsidR="009F7163" w:rsidRPr="005C0C9D" w:rsidRDefault="009F7163" w:rsidP="009F7163">
      <w:pPr>
        <w:adjustRightInd w:val="0"/>
        <w:snapToGrid w:val="0"/>
        <w:spacing w:after="240"/>
        <w:ind w:left="1134" w:hanging="567"/>
        <w:rPr>
          <w:snapToGrid w:val="0"/>
        </w:rPr>
      </w:pPr>
      <w:r w:rsidRPr="005C0C9D">
        <w:rPr>
          <w:snapToGrid w:val="0"/>
        </w:rPr>
        <w:t>e)</w:t>
      </w:r>
      <w:r w:rsidRPr="005C0C9D">
        <w:rPr>
          <w:snapToGrid w:val="0"/>
        </w:rPr>
        <w:tab/>
        <w:t>Realizar actividades de comunicación social para educar al público y a los profesionales y vincular a las comunidades con las familias.</w:t>
      </w:r>
    </w:p>
    <w:p w:rsidR="009F7163" w:rsidRPr="00D37253" w:rsidRDefault="009F7163" w:rsidP="009F7163">
      <w:pPr>
        <w:adjustRightInd w:val="0"/>
        <w:snapToGrid w:val="0"/>
        <w:spacing w:after="240"/>
        <w:rPr>
          <w:snapToGrid w:val="0"/>
        </w:rPr>
      </w:pPr>
      <w:r>
        <w:rPr>
          <w:snapToGrid w:val="0"/>
        </w:rPr>
        <w:tab/>
      </w:r>
      <w:r w:rsidRPr="004F13B6">
        <w:rPr>
          <w:b/>
          <w:snapToGrid w:val="0"/>
        </w:rPr>
        <w:t>a)</w:t>
      </w:r>
      <w:r w:rsidRPr="004F13B6">
        <w:rPr>
          <w:b/>
          <w:snapToGrid w:val="0"/>
        </w:rPr>
        <w:tab/>
      </w:r>
      <w:r w:rsidRPr="00D37253">
        <w:rPr>
          <w:b/>
          <w:snapToGrid w:val="0"/>
        </w:rPr>
        <w:t xml:space="preserve">Organización de </w:t>
      </w:r>
      <w:r>
        <w:rPr>
          <w:b/>
          <w:snapToGrid w:val="0"/>
        </w:rPr>
        <w:t>los servicios</w:t>
      </w:r>
      <w:r w:rsidRPr="00D37253">
        <w:rPr>
          <w:b/>
          <w:snapToGrid w:val="0"/>
        </w:rPr>
        <w:t xml:space="preserve"> y tratamiento</w:t>
      </w:r>
    </w:p>
    <w:p w:rsidR="009F7163" w:rsidRPr="005C0C9D" w:rsidRDefault="009F7163" w:rsidP="009F7163">
      <w:pPr>
        <w:adjustRightInd w:val="0"/>
        <w:snapToGrid w:val="0"/>
        <w:spacing w:after="240"/>
        <w:rPr>
          <w:snapToGrid w:val="0"/>
        </w:rPr>
      </w:pPr>
      <w:r w:rsidRPr="005C0C9D">
        <w:rPr>
          <w:snapToGrid w:val="0"/>
        </w:rPr>
        <w:t>298.</w:t>
      </w:r>
      <w:r w:rsidRPr="005C0C9D">
        <w:rPr>
          <w:snapToGrid w:val="0"/>
        </w:rPr>
        <w:tab/>
        <w:t>La reorganización de la atención de la salud mental</w:t>
      </w:r>
      <w:r>
        <w:rPr>
          <w:snapToGrid w:val="0"/>
        </w:rPr>
        <w:t xml:space="preserve"> dimana de la Orden ministerial Nº </w:t>
      </w:r>
      <w:r w:rsidRPr="005C0C9D">
        <w:rPr>
          <w:snapToGrid w:val="0"/>
        </w:rPr>
        <w:t>13</w:t>
      </w:r>
      <w:r>
        <w:rPr>
          <w:snapToGrid w:val="0"/>
        </w:rPr>
        <w:t> </w:t>
      </w:r>
      <w:r w:rsidRPr="005C0C9D">
        <w:rPr>
          <w:snapToGrid w:val="0"/>
        </w:rPr>
        <w:t>de 24 de septiembre de 2001 relativa al fortalecimiento y la descentralización de</w:t>
      </w:r>
      <w:r>
        <w:rPr>
          <w:snapToGrid w:val="0"/>
        </w:rPr>
        <w:t xml:space="preserve"> la atención de la salud mental, concediendo a tal efecto </w:t>
      </w:r>
      <w:r w:rsidRPr="005C0C9D">
        <w:rPr>
          <w:snapToGrid w:val="0"/>
        </w:rPr>
        <w:t>prioridad a las medidas siguientes:</w:t>
      </w:r>
    </w:p>
    <w:p w:rsidR="009F7163" w:rsidRPr="005C0C9D" w:rsidRDefault="009F7163" w:rsidP="009F7163">
      <w:pPr>
        <w:adjustRightInd w:val="0"/>
        <w:snapToGrid w:val="0"/>
        <w:spacing w:after="240"/>
        <w:ind w:left="1134" w:hanging="567"/>
        <w:rPr>
          <w:snapToGrid w:val="0"/>
        </w:rPr>
      </w:pPr>
      <w:r w:rsidRPr="005C0C9D">
        <w:rPr>
          <w:snapToGrid w:val="0"/>
        </w:rPr>
        <w:t>a)</w:t>
      </w:r>
      <w:r w:rsidRPr="005C0C9D">
        <w:rPr>
          <w:snapToGrid w:val="0"/>
        </w:rPr>
        <w:tab/>
      </w:r>
      <w:r>
        <w:rPr>
          <w:snapToGrid w:val="0"/>
        </w:rPr>
        <w:t xml:space="preserve">La accesibilidad a los servicios de </w:t>
      </w:r>
      <w:r w:rsidRPr="005C0C9D">
        <w:rPr>
          <w:snapToGrid w:val="0"/>
        </w:rPr>
        <w:t>salud mental</w:t>
      </w:r>
      <w:r>
        <w:rPr>
          <w:snapToGrid w:val="0"/>
        </w:rPr>
        <w:t>, acercándolos en la mayor medida posible a</w:t>
      </w:r>
      <w:r w:rsidRPr="005C0C9D">
        <w:rPr>
          <w:snapToGrid w:val="0"/>
        </w:rPr>
        <w:t xml:space="preserve"> los usuarios y enfermos;</w:t>
      </w:r>
    </w:p>
    <w:p w:rsidR="009F7163" w:rsidRPr="005C0C9D" w:rsidRDefault="009F7163" w:rsidP="009F7163">
      <w:pPr>
        <w:adjustRightInd w:val="0"/>
        <w:snapToGrid w:val="0"/>
        <w:spacing w:after="240"/>
        <w:ind w:left="1134" w:hanging="567"/>
        <w:rPr>
          <w:snapToGrid w:val="0"/>
        </w:rPr>
      </w:pPr>
      <w:r w:rsidRPr="005C0C9D">
        <w:rPr>
          <w:snapToGrid w:val="0"/>
        </w:rPr>
        <w:t>b)</w:t>
      </w:r>
      <w:r w:rsidRPr="005C0C9D">
        <w:rPr>
          <w:snapToGrid w:val="0"/>
        </w:rPr>
        <w:tab/>
      </w:r>
      <w:r>
        <w:rPr>
          <w:snapToGrid w:val="0"/>
        </w:rPr>
        <w:t>L</w:t>
      </w:r>
      <w:r w:rsidRPr="005C0C9D">
        <w:rPr>
          <w:snapToGrid w:val="0"/>
        </w:rPr>
        <w:t>a contin</w:t>
      </w:r>
      <w:r>
        <w:rPr>
          <w:snapToGrid w:val="0"/>
        </w:rPr>
        <w:t>uidad y la jerarquización de los servicios</w:t>
      </w:r>
      <w:r w:rsidRPr="005C0C9D">
        <w:rPr>
          <w:snapToGrid w:val="0"/>
        </w:rPr>
        <w:t>.</w:t>
      </w:r>
    </w:p>
    <w:p w:rsidR="009F7163" w:rsidRPr="005C0C9D" w:rsidRDefault="009F7163" w:rsidP="009F7163">
      <w:pPr>
        <w:adjustRightInd w:val="0"/>
        <w:snapToGrid w:val="0"/>
        <w:spacing w:after="240"/>
        <w:rPr>
          <w:snapToGrid w:val="0"/>
        </w:rPr>
      </w:pPr>
      <w:r w:rsidRPr="005C0C9D">
        <w:rPr>
          <w:snapToGrid w:val="0"/>
        </w:rPr>
        <w:t>299.</w:t>
      </w:r>
      <w:r w:rsidRPr="005C0C9D">
        <w:rPr>
          <w:snapToGrid w:val="0"/>
        </w:rPr>
        <w:tab/>
        <w:t xml:space="preserve">Esta </w:t>
      </w:r>
      <w:r>
        <w:rPr>
          <w:snapToGrid w:val="0"/>
        </w:rPr>
        <w:t>o</w:t>
      </w:r>
      <w:r w:rsidRPr="005C0C9D">
        <w:rPr>
          <w:snapToGrid w:val="0"/>
        </w:rPr>
        <w:t>rden ministerial aborda, en particular, la apertura de pequeñas unidades de psiquiatría en los hospitales generales; la organización de centros intermedios de salud mental; el</w:t>
      </w:r>
      <w:r>
        <w:rPr>
          <w:snapToGrid w:val="0"/>
        </w:rPr>
        <w:t> </w:t>
      </w:r>
      <w:r w:rsidRPr="005C0C9D">
        <w:rPr>
          <w:snapToGrid w:val="0"/>
        </w:rPr>
        <w:t xml:space="preserve">mejoramiento de la gestión de </w:t>
      </w:r>
      <w:r>
        <w:rPr>
          <w:snapToGrid w:val="0"/>
        </w:rPr>
        <w:t>los servicios</w:t>
      </w:r>
      <w:r w:rsidRPr="005C0C9D">
        <w:rPr>
          <w:snapToGrid w:val="0"/>
        </w:rPr>
        <w:t xml:space="preserve"> y de los medicamentos.</w:t>
      </w:r>
    </w:p>
    <w:p w:rsidR="009F7163" w:rsidRDefault="009F7163" w:rsidP="009F7163">
      <w:pPr>
        <w:adjustRightInd w:val="0"/>
        <w:snapToGrid w:val="0"/>
        <w:spacing w:after="240"/>
        <w:rPr>
          <w:snapToGrid w:val="0"/>
        </w:rPr>
      </w:pPr>
      <w:r w:rsidRPr="005C0C9D">
        <w:rPr>
          <w:snapToGrid w:val="0"/>
        </w:rPr>
        <w:t>300.</w:t>
      </w:r>
      <w:r w:rsidRPr="005C0C9D">
        <w:rPr>
          <w:snapToGrid w:val="0"/>
        </w:rPr>
        <w:tab/>
      </w:r>
      <w:r>
        <w:rPr>
          <w:snapToGrid w:val="0"/>
        </w:rPr>
        <w:t>La</w:t>
      </w:r>
      <w:r w:rsidRPr="005C0C9D">
        <w:rPr>
          <w:snapToGrid w:val="0"/>
        </w:rPr>
        <w:t xml:space="preserve"> evaluación del</w:t>
      </w:r>
      <w:r>
        <w:rPr>
          <w:snapToGrid w:val="0"/>
        </w:rPr>
        <w:t xml:space="preserve"> establecimiento</w:t>
      </w:r>
      <w:r w:rsidRPr="005C0C9D">
        <w:rPr>
          <w:snapToGrid w:val="0"/>
        </w:rPr>
        <w:t xml:space="preserve"> y funciona</w:t>
      </w:r>
      <w:r>
        <w:rPr>
          <w:snapToGrid w:val="0"/>
        </w:rPr>
        <w:t xml:space="preserve">miento de este nuevo mecanismo arrojó </w:t>
      </w:r>
      <w:r w:rsidRPr="005C0C9D">
        <w:rPr>
          <w:snapToGrid w:val="0"/>
        </w:rPr>
        <w:t>los resultados siguientes:</w:t>
      </w:r>
    </w:p>
    <w:p w:rsidR="009F7163" w:rsidRPr="005C0C9D" w:rsidRDefault="009F7163" w:rsidP="009F7163">
      <w:pPr>
        <w:adjustRightInd w:val="0"/>
        <w:snapToGrid w:val="0"/>
        <w:spacing w:after="240"/>
        <w:ind w:left="567"/>
        <w:rPr>
          <w:snapToGrid w:val="0"/>
        </w:rPr>
      </w:pPr>
      <w:r>
        <w:rPr>
          <w:snapToGrid w:val="0"/>
        </w:rPr>
        <w:tab/>
      </w:r>
      <w:r w:rsidRPr="005C0C9D">
        <w:rPr>
          <w:snapToGrid w:val="0"/>
        </w:rPr>
        <w:t xml:space="preserve">En el transcurso de tres años se han organizado 188 centros intermedios de salud mental en todas las </w:t>
      </w:r>
      <w:r w:rsidRPr="005B2ECF">
        <w:rPr>
          <w:i/>
          <w:snapToGrid w:val="0"/>
        </w:rPr>
        <w:t>wilayas</w:t>
      </w:r>
      <w:r w:rsidRPr="005C0C9D">
        <w:rPr>
          <w:snapToGrid w:val="0"/>
        </w:rPr>
        <w:t xml:space="preserve"> (departamentos) del país. </w:t>
      </w:r>
      <w:r>
        <w:rPr>
          <w:snapToGrid w:val="0"/>
        </w:rPr>
        <w:t xml:space="preserve"> E</w:t>
      </w:r>
      <w:r w:rsidRPr="005C0C9D">
        <w:rPr>
          <w:snapToGrid w:val="0"/>
        </w:rPr>
        <w:t>n es</w:t>
      </w:r>
      <w:r>
        <w:rPr>
          <w:snapToGrid w:val="0"/>
        </w:rPr>
        <w:t>t</w:t>
      </w:r>
      <w:r w:rsidRPr="005C0C9D">
        <w:rPr>
          <w:snapToGrid w:val="0"/>
        </w:rPr>
        <w:t xml:space="preserve">os centros </w:t>
      </w:r>
      <w:r>
        <w:rPr>
          <w:snapToGrid w:val="0"/>
        </w:rPr>
        <w:t xml:space="preserve">81 consultas fueron atendidas por un </w:t>
      </w:r>
      <w:r w:rsidRPr="005C0C9D">
        <w:rPr>
          <w:snapToGrid w:val="0"/>
        </w:rPr>
        <w:t xml:space="preserve">psiquiatra, </w:t>
      </w:r>
      <w:r>
        <w:rPr>
          <w:snapToGrid w:val="0"/>
        </w:rPr>
        <w:t xml:space="preserve">138 por </w:t>
      </w:r>
      <w:r w:rsidRPr="005C0C9D">
        <w:rPr>
          <w:snapToGrid w:val="0"/>
        </w:rPr>
        <w:t>un médic</w:t>
      </w:r>
      <w:r>
        <w:rPr>
          <w:snapToGrid w:val="0"/>
        </w:rPr>
        <w:t>o generalista,</w:t>
      </w:r>
      <w:r w:rsidRPr="005C0C9D">
        <w:rPr>
          <w:snapToGrid w:val="0"/>
        </w:rPr>
        <w:t xml:space="preserve"> y </w:t>
      </w:r>
      <w:r>
        <w:rPr>
          <w:snapToGrid w:val="0"/>
        </w:rPr>
        <w:t>132 por un psicólogo; en ellos</w:t>
      </w:r>
      <w:r w:rsidRPr="005C0C9D">
        <w:rPr>
          <w:snapToGrid w:val="0"/>
        </w:rPr>
        <w:t xml:space="preserve"> trabajan además 32 asistentes sociales, 103 enfermeros diplomados por el Estado y</w:t>
      </w:r>
      <w:r>
        <w:rPr>
          <w:snapToGrid w:val="0"/>
        </w:rPr>
        <w:t> </w:t>
      </w:r>
      <w:r w:rsidRPr="005C0C9D">
        <w:rPr>
          <w:snapToGrid w:val="0"/>
        </w:rPr>
        <w:t>68</w:t>
      </w:r>
      <w:r>
        <w:rPr>
          <w:snapToGrid w:val="0"/>
        </w:rPr>
        <w:t> </w:t>
      </w:r>
      <w:r w:rsidRPr="005C0C9D">
        <w:rPr>
          <w:snapToGrid w:val="0"/>
        </w:rPr>
        <w:t>enfermeros certificados.</w:t>
      </w:r>
    </w:p>
    <w:p w:rsidR="009F7163" w:rsidRPr="005C0C9D" w:rsidRDefault="009F7163" w:rsidP="009F7163">
      <w:pPr>
        <w:adjustRightInd w:val="0"/>
        <w:snapToGrid w:val="0"/>
        <w:spacing w:after="240"/>
        <w:jc w:val="center"/>
        <w:rPr>
          <w:b/>
          <w:snapToGrid w:val="0"/>
        </w:rPr>
      </w:pPr>
      <w:r w:rsidRPr="005C0C9D">
        <w:rPr>
          <w:b/>
          <w:snapToGrid w:val="0"/>
        </w:rPr>
        <w:t>Mecanismo de atención de la salud psiquiátrica en las estructuras sanitarias</w:t>
      </w:r>
    </w:p>
    <w:tbl>
      <w:tblPr>
        <w:tblStyle w:val="TableGrid"/>
        <w:tblW w:w="5000" w:type="pct"/>
        <w:jc w:val="center"/>
        <w:tblLook w:val="01E0" w:firstRow="1" w:lastRow="1" w:firstColumn="1" w:lastColumn="1" w:noHBand="0" w:noVBand="0"/>
      </w:tblPr>
      <w:tblGrid>
        <w:gridCol w:w="4267"/>
        <w:gridCol w:w="1319"/>
        <w:gridCol w:w="1441"/>
        <w:gridCol w:w="2464"/>
      </w:tblGrid>
      <w:tr w:rsidR="009F7163" w:rsidRPr="005B2ECF" w:rsidTr="00FD0D79">
        <w:trPr>
          <w:trHeight w:val="20"/>
          <w:jc w:val="center"/>
        </w:trPr>
        <w:tc>
          <w:tcPr>
            <w:tcW w:w="2248" w:type="pct"/>
            <w:tcBorders>
              <w:top w:val="single" w:sz="4" w:space="0" w:color="auto"/>
              <w:left w:val="single" w:sz="4" w:space="0" w:color="auto"/>
              <w:bottom w:val="single" w:sz="4" w:space="0" w:color="auto"/>
              <w:right w:val="single" w:sz="4" w:space="0" w:color="auto"/>
            </w:tcBorders>
            <w:vAlign w:val="center"/>
          </w:tcPr>
          <w:p w:rsidR="009F7163" w:rsidRPr="005B2ECF" w:rsidRDefault="009F7163" w:rsidP="004925AC">
            <w:pPr>
              <w:adjustRightInd w:val="0"/>
              <w:snapToGrid w:val="0"/>
              <w:jc w:val="center"/>
              <w:rPr>
                <w:b/>
                <w:iCs/>
                <w:snapToGrid w:val="0"/>
              </w:rPr>
            </w:pPr>
            <w:r w:rsidRPr="005B2ECF">
              <w:rPr>
                <w:b/>
                <w:iCs/>
                <w:snapToGrid w:val="0"/>
              </w:rPr>
              <w:t>Estructura sanitarias</w:t>
            </w:r>
          </w:p>
        </w:tc>
        <w:tc>
          <w:tcPr>
            <w:tcW w:w="695" w:type="pct"/>
            <w:tcBorders>
              <w:top w:val="single" w:sz="4" w:space="0" w:color="auto"/>
              <w:left w:val="single" w:sz="4" w:space="0" w:color="auto"/>
              <w:bottom w:val="single" w:sz="4" w:space="0" w:color="auto"/>
              <w:right w:val="single" w:sz="4" w:space="0" w:color="auto"/>
            </w:tcBorders>
            <w:vAlign w:val="center"/>
          </w:tcPr>
          <w:p w:rsidR="009F7163" w:rsidRPr="005B2ECF" w:rsidRDefault="009F7163" w:rsidP="004925AC">
            <w:pPr>
              <w:adjustRightInd w:val="0"/>
              <w:snapToGrid w:val="0"/>
              <w:jc w:val="center"/>
              <w:rPr>
                <w:b/>
                <w:iCs/>
                <w:snapToGrid w:val="0"/>
              </w:rPr>
            </w:pPr>
            <w:r w:rsidRPr="005B2ECF">
              <w:rPr>
                <w:b/>
                <w:iCs/>
                <w:snapToGrid w:val="0"/>
              </w:rPr>
              <w:t>Número de camas</w:t>
            </w:r>
          </w:p>
        </w:tc>
        <w:tc>
          <w:tcPr>
            <w:tcW w:w="759" w:type="pct"/>
            <w:tcBorders>
              <w:top w:val="single" w:sz="4" w:space="0" w:color="auto"/>
              <w:left w:val="single" w:sz="4" w:space="0" w:color="auto"/>
              <w:bottom w:val="single" w:sz="4" w:space="0" w:color="auto"/>
              <w:right w:val="single" w:sz="4" w:space="0" w:color="auto"/>
            </w:tcBorders>
            <w:vAlign w:val="center"/>
          </w:tcPr>
          <w:p w:rsidR="009F7163" w:rsidRPr="005B2ECF" w:rsidRDefault="009F7163" w:rsidP="004925AC">
            <w:pPr>
              <w:adjustRightInd w:val="0"/>
              <w:snapToGrid w:val="0"/>
              <w:jc w:val="center"/>
              <w:rPr>
                <w:b/>
                <w:iCs/>
                <w:snapToGrid w:val="0"/>
              </w:rPr>
            </w:pPr>
            <w:r w:rsidRPr="005B2ECF">
              <w:rPr>
                <w:b/>
                <w:iCs/>
                <w:snapToGrid w:val="0"/>
              </w:rPr>
              <w:t>Número de psiquiatras</w:t>
            </w:r>
          </w:p>
        </w:tc>
        <w:tc>
          <w:tcPr>
            <w:tcW w:w="1298" w:type="pct"/>
            <w:tcBorders>
              <w:top w:val="single" w:sz="4" w:space="0" w:color="auto"/>
              <w:left w:val="single" w:sz="4" w:space="0" w:color="auto"/>
              <w:bottom w:val="single" w:sz="4" w:space="0" w:color="auto"/>
              <w:right w:val="single" w:sz="4" w:space="0" w:color="auto"/>
            </w:tcBorders>
            <w:vAlign w:val="center"/>
          </w:tcPr>
          <w:p w:rsidR="009F7163" w:rsidRPr="005B2ECF" w:rsidRDefault="009F7163" w:rsidP="004925AC">
            <w:pPr>
              <w:adjustRightInd w:val="0"/>
              <w:snapToGrid w:val="0"/>
              <w:jc w:val="center"/>
              <w:rPr>
                <w:b/>
                <w:iCs/>
                <w:snapToGrid w:val="0"/>
              </w:rPr>
            </w:pPr>
            <w:r w:rsidRPr="005B2ECF">
              <w:rPr>
                <w:b/>
                <w:iCs/>
                <w:snapToGrid w:val="0"/>
              </w:rPr>
              <w:t>Enfermeros especializados en atención psiquiátrica</w:t>
            </w:r>
          </w:p>
        </w:tc>
      </w:tr>
      <w:tr w:rsidR="009F7163" w:rsidRPr="005C0C9D" w:rsidTr="00FD0D79">
        <w:trPr>
          <w:trHeight w:val="20"/>
          <w:jc w:val="center"/>
        </w:trPr>
        <w:tc>
          <w:tcPr>
            <w:tcW w:w="2248"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rPr>
                <w:snapToGrid w:val="0"/>
              </w:rPr>
            </w:pPr>
            <w:r>
              <w:rPr>
                <w:snapToGrid w:val="0"/>
              </w:rPr>
              <w:t>Centro h</w:t>
            </w:r>
            <w:r w:rsidRPr="005C0C9D">
              <w:rPr>
                <w:snapToGrid w:val="0"/>
              </w:rPr>
              <w:t xml:space="preserve">ospitalario </w:t>
            </w:r>
            <w:r>
              <w:rPr>
                <w:snapToGrid w:val="0"/>
              </w:rPr>
              <w:t>u</w:t>
            </w:r>
            <w:r w:rsidRPr="005C0C9D">
              <w:rPr>
                <w:snapToGrid w:val="0"/>
              </w:rPr>
              <w:t xml:space="preserve">niversitario </w:t>
            </w:r>
          </w:p>
        </w:tc>
        <w:tc>
          <w:tcPr>
            <w:tcW w:w="695" w:type="pct"/>
            <w:tcBorders>
              <w:top w:val="single" w:sz="4" w:space="0" w:color="auto"/>
              <w:left w:val="single" w:sz="4" w:space="0" w:color="auto"/>
              <w:bottom w:val="single" w:sz="4" w:space="0" w:color="auto"/>
              <w:right w:val="single" w:sz="4" w:space="0" w:color="auto"/>
            </w:tcBorders>
            <w:vAlign w:val="bottom"/>
          </w:tcPr>
          <w:p w:rsidR="009F7163" w:rsidRPr="005B2ECF" w:rsidRDefault="009F7163" w:rsidP="004925AC">
            <w:pPr>
              <w:adjustRightInd w:val="0"/>
              <w:snapToGrid w:val="0"/>
              <w:ind w:right="364"/>
              <w:jc w:val="right"/>
              <w:rPr>
                <w:bCs/>
                <w:snapToGrid w:val="0"/>
              </w:rPr>
            </w:pPr>
            <w:r>
              <w:rPr>
                <w:bCs/>
                <w:snapToGrid w:val="0"/>
              </w:rPr>
              <w:t>1.</w:t>
            </w:r>
            <w:r w:rsidRPr="005B2ECF">
              <w:rPr>
                <w:bCs/>
                <w:snapToGrid w:val="0"/>
              </w:rPr>
              <w:t>162</w:t>
            </w:r>
          </w:p>
        </w:tc>
        <w:tc>
          <w:tcPr>
            <w:tcW w:w="759" w:type="pct"/>
            <w:tcBorders>
              <w:top w:val="single" w:sz="4" w:space="0" w:color="auto"/>
              <w:left w:val="single" w:sz="4" w:space="0" w:color="auto"/>
              <w:bottom w:val="single" w:sz="4" w:space="0" w:color="auto"/>
              <w:right w:val="single" w:sz="4" w:space="0" w:color="auto"/>
            </w:tcBorders>
            <w:vAlign w:val="bottom"/>
          </w:tcPr>
          <w:p w:rsidR="009F7163" w:rsidRPr="005B2ECF" w:rsidRDefault="009F7163" w:rsidP="004925AC">
            <w:pPr>
              <w:adjustRightInd w:val="0"/>
              <w:snapToGrid w:val="0"/>
              <w:ind w:right="571"/>
              <w:jc w:val="right"/>
              <w:rPr>
                <w:bCs/>
                <w:snapToGrid w:val="0"/>
              </w:rPr>
            </w:pPr>
            <w:r w:rsidRPr="005B2ECF">
              <w:rPr>
                <w:bCs/>
                <w:snapToGrid w:val="0"/>
              </w:rPr>
              <w:t>50</w:t>
            </w:r>
          </w:p>
        </w:tc>
        <w:tc>
          <w:tcPr>
            <w:tcW w:w="1298" w:type="pct"/>
            <w:tcBorders>
              <w:top w:val="single" w:sz="4" w:space="0" w:color="auto"/>
              <w:left w:val="single" w:sz="4" w:space="0" w:color="auto"/>
              <w:bottom w:val="single" w:sz="4" w:space="0" w:color="auto"/>
              <w:right w:val="single" w:sz="4" w:space="0" w:color="auto"/>
            </w:tcBorders>
            <w:vAlign w:val="bottom"/>
          </w:tcPr>
          <w:p w:rsidR="009F7163" w:rsidRPr="005B2ECF" w:rsidRDefault="009F7163" w:rsidP="004925AC">
            <w:pPr>
              <w:adjustRightInd w:val="0"/>
              <w:snapToGrid w:val="0"/>
              <w:ind w:right="984"/>
              <w:jc w:val="right"/>
              <w:rPr>
                <w:bCs/>
                <w:snapToGrid w:val="0"/>
              </w:rPr>
            </w:pPr>
            <w:r w:rsidRPr="005B2ECF">
              <w:rPr>
                <w:bCs/>
                <w:snapToGrid w:val="0"/>
              </w:rPr>
              <w:t>297</w:t>
            </w:r>
          </w:p>
        </w:tc>
      </w:tr>
      <w:tr w:rsidR="009F7163" w:rsidRPr="005C0C9D" w:rsidTr="00FD0D79">
        <w:trPr>
          <w:trHeight w:val="20"/>
          <w:jc w:val="center"/>
        </w:trPr>
        <w:tc>
          <w:tcPr>
            <w:tcW w:w="2248"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rPr>
                <w:snapToGrid w:val="0"/>
              </w:rPr>
            </w:pPr>
            <w:r w:rsidRPr="005C0C9D">
              <w:rPr>
                <w:snapToGrid w:val="0"/>
              </w:rPr>
              <w:t xml:space="preserve">Establecimiento hospitalario especializado </w:t>
            </w:r>
          </w:p>
        </w:tc>
        <w:tc>
          <w:tcPr>
            <w:tcW w:w="695" w:type="pct"/>
            <w:tcBorders>
              <w:top w:val="single" w:sz="4" w:space="0" w:color="auto"/>
              <w:left w:val="single" w:sz="4" w:space="0" w:color="auto"/>
              <w:bottom w:val="single" w:sz="4" w:space="0" w:color="auto"/>
              <w:right w:val="single" w:sz="4" w:space="0" w:color="auto"/>
            </w:tcBorders>
            <w:vAlign w:val="bottom"/>
          </w:tcPr>
          <w:p w:rsidR="009F7163" w:rsidRPr="005B2ECF" w:rsidRDefault="009F7163" w:rsidP="004925AC">
            <w:pPr>
              <w:adjustRightInd w:val="0"/>
              <w:snapToGrid w:val="0"/>
              <w:ind w:right="364"/>
              <w:jc w:val="right"/>
              <w:rPr>
                <w:bCs/>
                <w:snapToGrid w:val="0"/>
              </w:rPr>
            </w:pPr>
            <w:r>
              <w:rPr>
                <w:bCs/>
                <w:snapToGrid w:val="0"/>
              </w:rPr>
              <w:t>2.</w:t>
            </w:r>
            <w:r w:rsidRPr="005B2ECF">
              <w:rPr>
                <w:bCs/>
                <w:snapToGrid w:val="0"/>
              </w:rPr>
              <w:t>879</w:t>
            </w:r>
          </w:p>
        </w:tc>
        <w:tc>
          <w:tcPr>
            <w:tcW w:w="759" w:type="pct"/>
            <w:tcBorders>
              <w:top w:val="single" w:sz="4" w:space="0" w:color="auto"/>
              <w:left w:val="single" w:sz="4" w:space="0" w:color="auto"/>
              <w:bottom w:val="single" w:sz="4" w:space="0" w:color="auto"/>
              <w:right w:val="single" w:sz="4" w:space="0" w:color="auto"/>
            </w:tcBorders>
            <w:vAlign w:val="bottom"/>
          </w:tcPr>
          <w:p w:rsidR="009F7163" w:rsidRPr="005B2ECF" w:rsidRDefault="009F7163" w:rsidP="004925AC">
            <w:pPr>
              <w:adjustRightInd w:val="0"/>
              <w:snapToGrid w:val="0"/>
              <w:ind w:right="571"/>
              <w:jc w:val="right"/>
              <w:rPr>
                <w:bCs/>
                <w:snapToGrid w:val="0"/>
              </w:rPr>
            </w:pPr>
            <w:r w:rsidRPr="005B2ECF">
              <w:rPr>
                <w:bCs/>
                <w:snapToGrid w:val="0"/>
              </w:rPr>
              <w:t>119</w:t>
            </w:r>
          </w:p>
        </w:tc>
        <w:tc>
          <w:tcPr>
            <w:tcW w:w="1298" w:type="pct"/>
            <w:tcBorders>
              <w:top w:val="single" w:sz="4" w:space="0" w:color="auto"/>
              <w:left w:val="single" w:sz="4" w:space="0" w:color="auto"/>
              <w:bottom w:val="single" w:sz="4" w:space="0" w:color="auto"/>
              <w:right w:val="single" w:sz="4" w:space="0" w:color="auto"/>
            </w:tcBorders>
            <w:vAlign w:val="bottom"/>
          </w:tcPr>
          <w:p w:rsidR="009F7163" w:rsidRPr="005B2ECF" w:rsidRDefault="009F7163" w:rsidP="004925AC">
            <w:pPr>
              <w:adjustRightInd w:val="0"/>
              <w:snapToGrid w:val="0"/>
              <w:ind w:right="984"/>
              <w:jc w:val="right"/>
              <w:rPr>
                <w:bCs/>
                <w:snapToGrid w:val="0"/>
              </w:rPr>
            </w:pPr>
            <w:r>
              <w:rPr>
                <w:bCs/>
                <w:snapToGrid w:val="0"/>
              </w:rPr>
              <w:t>1.</w:t>
            </w:r>
            <w:r w:rsidRPr="005B2ECF">
              <w:rPr>
                <w:bCs/>
                <w:snapToGrid w:val="0"/>
              </w:rPr>
              <w:t>094</w:t>
            </w:r>
          </w:p>
        </w:tc>
      </w:tr>
      <w:tr w:rsidR="009F7163" w:rsidRPr="005C0C9D" w:rsidTr="00FD0D79">
        <w:trPr>
          <w:trHeight w:val="20"/>
          <w:jc w:val="center"/>
        </w:trPr>
        <w:tc>
          <w:tcPr>
            <w:tcW w:w="2248"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rPr>
                <w:snapToGrid w:val="0"/>
              </w:rPr>
            </w:pPr>
            <w:r w:rsidRPr="005C0C9D">
              <w:rPr>
                <w:snapToGrid w:val="0"/>
              </w:rPr>
              <w:t xml:space="preserve">Hospitales de los sectores sanitarios </w:t>
            </w:r>
          </w:p>
        </w:tc>
        <w:tc>
          <w:tcPr>
            <w:tcW w:w="695" w:type="pct"/>
            <w:tcBorders>
              <w:top w:val="single" w:sz="4" w:space="0" w:color="auto"/>
              <w:left w:val="single" w:sz="4" w:space="0" w:color="auto"/>
              <w:bottom w:val="single" w:sz="4" w:space="0" w:color="auto"/>
              <w:right w:val="single" w:sz="4" w:space="0" w:color="auto"/>
            </w:tcBorders>
            <w:vAlign w:val="bottom"/>
          </w:tcPr>
          <w:p w:rsidR="009F7163" w:rsidRPr="005B2ECF" w:rsidRDefault="009F7163" w:rsidP="004925AC">
            <w:pPr>
              <w:adjustRightInd w:val="0"/>
              <w:snapToGrid w:val="0"/>
              <w:ind w:right="364"/>
              <w:jc w:val="right"/>
              <w:rPr>
                <w:bCs/>
                <w:snapToGrid w:val="0"/>
              </w:rPr>
            </w:pPr>
            <w:r w:rsidRPr="005B2ECF">
              <w:rPr>
                <w:bCs/>
                <w:snapToGrid w:val="0"/>
              </w:rPr>
              <w:t>681</w:t>
            </w:r>
          </w:p>
        </w:tc>
        <w:tc>
          <w:tcPr>
            <w:tcW w:w="759" w:type="pct"/>
            <w:tcBorders>
              <w:top w:val="single" w:sz="4" w:space="0" w:color="auto"/>
              <w:left w:val="single" w:sz="4" w:space="0" w:color="auto"/>
              <w:bottom w:val="single" w:sz="4" w:space="0" w:color="auto"/>
              <w:right w:val="single" w:sz="4" w:space="0" w:color="auto"/>
            </w:tcBorders>
            <w:vAlign w:val="bottom"/>
          </w:tcPr>
          <w:p w:rsidR="009F7163" w:rsidRPr="005B2ECF" w:rsidRDefault="009F7163" w:rsidP="004925AC">
            <w:pPr>
              <w:adjustRightInd w:val="0"/>
              <w:snapToGrid w:val="0"/>
              <w:ind w:right="571"/>
              <w:jc w:val="right"/>
              <w:rPr>
                <w:bCs/>
                <w:snapToGrid w:val="0"/>
              </w:rPr>
            </w:pPr>
            <w:r w:rsidRPr="005B2ECF">
              <w:rPr>
                <w:bCs/>
                <w:snapToGrid w:val="0"/>
              </w:rPr>
              <w:t>27</w:t>
            </w:r>
          </w:p>
        </w:tc>
        <w:tc>
          <w:tcPr>
            <w:tcW w:w="1298" w:type="pct"/>
            <w:tcBorders>
              <w:top w:val="single" w:sz="4" w:space="0" w:color="auto"/>
              <w:left w:val="single" w:sz="4" w:space="0" w:color="auto"/>
              <w:bottom w:val="single" w:sz="4" w:space="0" w:color="auto"/>
              <w:right w:val="single" w:sz="4" w:space="0" w:color="auto"/>
            </w:tcBorders>
            <w:vAlign w:val="bottom"/>
          </w:tcPr>
          <w:p w:rsidR="009F7163" w:rsidRPr="005B2ECF" w:rsidRDefault="009F7163" w:rsidP="004925AC">
            <w:pPr>
              <w:adjustRightInd w:val="0"/>
              <w:snapToGrid w:val="0"/>
              <w:ind w:right="984"/>
              <w:jc w:val="right"/>
              <w:rPr>
                <w:bCs/>
                <w:snapToGrid w:val="0"/>
              </w:rPr>
            </w:pPr>
            <w:r w:rsidRPr="005B2ECF">
              <w:rPr>
                <w:bCs/>
                <w:snapToGrid w:val="0"/>
              </w:rPr>
              <w:t>82</w:t>
            </w:r>
          </w:p>
        </w:tc>
      </w:tr>
      <w:tr w:rsidR="009F7163" w:rsidRPr="005C0C9D" w:rsidTr="00FD0D79">
        <w:trPr>
          <w:trHeight w:val="20"/>
          <w:jc w:val="center"/>
        </w:trPr>
        <w:tc>
          <w:tcPr>
            <w:tcW w:w="2248"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left="198"/>
              <w:rPr>
                <w:b/>
                <w:bCs/>
                <w:snapToGrid w:val="0"/>
              </w:rPr>
            </w:pPr>
            <w:r w:rsidRPr="005C0C9D">
              <w:rPr>
                <w:b/>
                <w:bCs/>
                <w:snapToGrid w:val="0"/>
              </w:rPr>
              <w:t xml:space="preserve">Total </w:t>
            </w:r>
          </w:p>
        </w:tc>
        <w:tc>
          <w:tcPr>
            <w:tcW w:w="695" w:type="pct"/>
            <w:tcBorders>
              <w:top w:val="single" w:sz="4" w:space="0" w:color="auto"/>
              <w:left w:val="single" w:sz="4" w:space="0" w:color="auto"/>
              <w:bottom w:val="single" w:sz="4" w:space="0" w:color="auto"/>
              <w:right w:val="single" w:sz="4" w:space="0" w:color="auto"/>
            </w:tcBorders>
            <w:vAlign w:val="bottom"/>
          </w:tcPr>
          <w:p w:rsidR="009F7163" w:rsidRPr="005C0C9D" w:rsidRDefault="009F7163" w:rsidP="004925AC">
            <w:pPr>
              <w:adjustRightInd w:val="0"/>
              <w:snapToGrid w:val="0"/>
              <w:ind w:right="364"/>
              <w:jc w:val="right"/>
              <w:rPr>
                <w:b/>
                <w:bCs/>
                <w:snapToGrid w:val="0"/>
              </w:rPr>
            </w:pPr>
            <w:r>
              <w:rPr>
                <w:b/>
                <w:bCs/>
                <w:snapToGrid w:val="0"/>
              </w:rPr>
              <w:t>4.</w:t>
            </w:r>
            <w:r w:rsidRPr="005C0C9D">
              <w:rPr>
                <w:b/>
                <w:bCs/>
                <w:snapToGrid w:val="0"/>
              </w:rPr>
              <w:t>722</w:t>
            </w:r>
          </w:p>
        </w:tc>
        <w:tc>
          <w:tcPr>
            <w:tcW w:w="759" w:type="pct"/>
            <w:tcBorders>
              <w:top w:val="single" w:sz="4" w:space="0" w:color="auto"/>
              <w:left w:val="single" w:sz="4" w:space="0" w:color="auto"/>
              <w:bottom w:val="single" w:sz="4" w:space="0" w:color="auto"/>
              <w:right w:val="single" w:sz="4" w:space="0" w:color="auto"/>
            </w:tcBorders>
            <w:vAlign w:val="bottom"/>
          </w:tcPr>
          <w:p w:rsidR="009F7163" w:rsidRPr="005C0C9D" w:rsidRDefault="009F7163" w:rsidP="004925AC">
            <w:pPr>
              <w:adjustRightInd w:val="0"/>
              <w:snapToGrid w:val="0"/>
              <w:ind w:right="571"/>
              <w:jc w:val="right"/>
              <w:rPr>
                <w:b/>
                <w:bCs/>
                <w:snapToGrid w:val="0"/>
              </w:rPr>
            </w:pPr>
            <w:r w:rsidRPr="005C0C9D">
              <w:rPr>
                <w:b/>
                <w:bCs/>
                <w:snapToGrid w:val="0"/>
              </w:rPr>
              <w:t>196</w:t>
            </w:r>
          </w:p>
        </w:tc>
        <w:tc>
          <w:tcPr>
            <w:tcW w:w="1298" w:type="pct"/>
            <w:tcBorders>
              <w:top w:val="single" w:sz="4" w:space="0" w:color="auto"/>
              <w:left w:val="single" w:sz="4" w:space="0" w:color="auto"/>
              <w:bottom w:val="single" w:sz="4" w:space="0" w:color="auto"/>
              <w:right w:val="single" w:sz="4" w:space="0" w:color="auto"/>
            </w:tcBorders>
            <w:vAlign w:val="bottom"/>
          </w:tcPr>
          <w:p w:rsidR="009F7163" w:rsidRPr="005C0C9D" w:rsidRDefault="009F7163" w:rsidP="004925AC">
            <w:pPr>
              <w:adjustRightInd w:val="0"/>
              <w:snapToGrid w:val="0"/>
              <w:ind w:right="984"/>
              <w:jc w:val="right"/>
              <w:rPr>
                <w:b/>
                <w:bCs/>
                <w:snapToGrid w:val="0"/>
              </w:rPr>
            </w:pPr>
            <w:r>
              <w:rPr>
                <w:b/>
                <w:bCs/>
                <w:snapToGrid w:val="0"/>
              </w:rPr>
              <w:t>1.</w:t>
            </w:r>
            <w:r w:rsidRPr="005C0C9D">
              <w:rPr>
                <w:b/>
                <w:bCs/>
                <w:snapToGrid w:val="0"/>
              </w:rPr>
              <w:t>473</w:t>
            </w:r>
          </w:p>
        </w:tc>
      </w:tr>
    </w:tbl>
    <w:p w:rsidR="009F7163" w:rsidRPr="005C0C9D" w:rsidRDefault="009F7163" w:rsidP="009F7163">
      <w:pPr>
        <w:adjustRightInd w:val="0"/>
        <w:snapToGrid w:val="0"/>
        <w:spacing w:before="480" w:after="240"/>
        <w:rPr>
          <w:snapToGrid w:val="0"/>
        </w:rPr>
      </w:pPr>
      <w:r w:rsidRPr="005C0C9D">
        <w:rPr>
          <w:snapToGrid w:val="0"/>
        </w:rPr>
        <w:t>301.</w:t>
      </w:r>
      <w:r w:rsidRPr="005C0C9D">
        <w:rPr>
          <w:snapToGrid w:val="0"/>
        </w:rPr>
        <w:tab/>
      </w:r>
      <w:r w:rsidRPr="005B2ECF">
        <w:rPr>
          <w:snapToGrid w:val="0"/>
          <w:spacing w:val="-6"/>
        </w:rPr>
        <w:t xml:space="preserve">En el </w:t>
      </w:r>
      <w:r w:rsidRPr="005B2ECF">
        <w:rPr>
          <w:snapToGrid w:val="0"/>
          <w:spacing w:val="-4"/>
        </w:rPr>
        <w:t xml:space="preserve">plan de desarrollo </w:t>
      </w:r>
      <w:r w:rsidRPr="005B2ECF">
        <w:rPr>
          <w:snapToGrid w:val="0"/>
        </w:rPr>
        <w:t>del sector de la salud</w:t>
      </w:r>
      <w:r w:rsidRPr="005B2ECF">
        <w:rPr>
          <w:snapToGrid w:val="0"/>
          <w:spacing w:val="-4"/>
        </w:rPr>
        <w:t xml:space="preserve"> se prevé que a finales de 2009 habrá</w:t>
      </w:r>
      <w:r w:rsidRPr="005C0C9D">
        <w:rPr>
          <w:snapToGrid w:val="0"/>
        </w:rPr>
        <w:t xml:space="preserve"> 32</w:t>
      </w:r>
      <w:r>
        <w:rPr>
          <w:snapToGrid w:val="0"/>
        </w:rPr>
        <w:t> </w:t>
      </w:r>
      <w:r w:rsidRPr="005C0C9D">
        <w:rPr>
          <w:snapToGrid w:val="0"/>
        </w:rPr>
        <w:t>nuevos establecimientos hospitalarios especializados en salud mental, además de los 13 que funcionan actualmente.</w:t>
      </w:r>
    </w:p>
    <w:p w:rsidR="009F7163" w:rsidRPr="00C40BAE" w:rsidRDefault="009F7163" w:rsidP="009F7163">
      <w:pPr>
        <w:adjustRightInd w:val="0"/>
        <w:snapToGrid w:val="0"/>
        <w:spacing w:after="240"/>
        <w:rPr>
          <w:b/>
          <w:snapToGrid w:val="0"/>
        </w:rPr>
      </w:pPr>
      <w:r>
        <w:rPr>
          <w:b/>
          <w:snapToGrid w:val="0"/>
        </w:rPr>
        <w:tab/>
      </w:r>
      <w:r w:rsidRPr="00C40BAE">
        <w:rPr>
          <w:b/>
          <w:snapToGrid w:val="0"/>
        </w:rPr>
        <w:t>b)</w:t>
      </w:r>
      <w:r w:rsidRPr="00C40BAE">
        <w:rPr>
          <w:b/>
          <w:snapToGrid w:val="0"/>
        </w:rPr>
        <w:tab/>
        <w:t>Evaluación de las actividades de salud mental</w:t>
      </w:r>
    </w:p>
    <w:p w:rsidR="009F7163" w:rsidRPr="005C0C9D" w:rsidRDefault="009F7163" w:rsidP="009F7163">
      <w:pPr>
        <w:adjustRightInd w:val="0"/>
        <w:snapToGrid w:val="0"/>
        <w:spacing w:after="240"/>
        <w:rPr>
          <w:snapToGrid w:val="0"/>
        </w:rPr>
      </w:pPr>
      <w:r w:rsidRPr="005C0C9D">
        <w:rPr>
          <w:snapToGrid w:val="0"/>
        </w:rPr>
        <w:t>302.</w:t>
      </w:r>
      <w:r w:rsidRPr="005C0C9D">
        <w:rPr>
          <w:snapToGrid w:val="0"/>
        </w:rPr>
        <w:tab/>
        <w:t>Se presenta a continuación un cuadro evaluativo de las actividades de los servicios y hospitales psiquiátricos en el período comprendido entre 2002 y 2005.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7"/>
        <w:gridCol w:w="1053"/>
        <w:gridCol w:w="1147"/>
        <w:gridCol w:w="1147"/>
        <w:gridCol w:w="1147"/>
      </w:tblGrid>
      <w:tr w:rsidR="009F7163" w:rsidRPr="005C0C9D" w:rsidTr="004925AC">
        <w:trPr>
          <w:trHeight w:val="20"/>
          <w:tblHeader/>
          <w:jc w:val="center"/>
        </w:trPr>
        <w:tc>
          <w:tcPr>
            <w:tcW w:w="2652" w:type="pct"/>
            <w:tcBorders>
              <w:top w:val="single" w:sz="4" w:space="0" w:color="auto"/>
              <w:left w:val="single" w:sz="4" w:space="0" w:color="auto"/>
              <w:bottom w:val="single" w:sz="4" w:space="0" w:color="auto"/>
              <w:right w:val="single" w:sz="4" w:space="0" w:color="auto"/>
            </w:tcBorders>
            <w:vAlign w:val="center"/>
          </w:tcPr>
          <w:p w:rsidR="009F7163" w:rsidRPr="00C40BAE" w:rsidRDefault="009F7163" w:rsidP="004925AC">
            <w:pPr>
              <w:adjustRightInd w:val="0"/>
              <w:snapToGrid w:val="0"/>
              <w:jc w:val="center"/>
              <w:rPr>
                <w:b/>
                <w:iCs/>
                <w:snapToGrid w:val="0"/>
              </w:rPr>
            </w:pPr>
          </w:p>
        </w:tc>
        <w:tc>
          <w:tcPr>
            <w:tcW w:w="550" w:type="pct"/>
            <w:tcBorders>
              <w:top w:val="single" w:sz="4" w:space="0" w:color="auto"/>
              <w:left w:val="single" w:sz="4" w:space="0" w:color="auto"/>
              <w:bottom w:val="single" w:sz="4" w:space="0" w:color="auto"/>
              <w:right w:val="single" w:sz="4" w:space="0" w:color="auto"/>
            </w:tcBorders>
            <w:vAlign w:val="center"/>
          </w:tcPr>
          <w:p w:rsidR="009F7163" w:rsidRPr="00C40BAE" w:rsidRDefault="009F7163" w:rsidP="004925AC">
            <w:pPr>
              <w:adjustRightInd w:val="0"/>
              <w:snapToGrid w:val="0"/>
              <w:jc w:val="center"/>
              <w:rPr>
                <w:b/>
                <w:iCs/>
                <w:snapToGrid w:val="0"/>
              </w:rPr>
            </w:pPr>
            <w:r w:rsidRPr="00C40BAE">
              <w:rPr>
                <w:b/>
                <w:iCs/>
                <w:snapToGrid w:val="0"/>
              </w:rPr>
              <w:t>2002</w:t>
            </w:r>
          </w:p>
        </w:tc>
        <w:tc>
          <w:tcPr>
            <w:tcW w:w="599" w:type="pct"/>
            <w:tcBorders>
              <w:top w:val="single" w:sz="4" w:space="0" w:color="auto"/>
              <w:left w:val="single" w:sz="4" w:space="0" w:color="auto"/>
              <w:bottom w:val="single" w:sz="4" w:space="0" w:color="auto"/>
              <w:right w:val="single" w:sz="4" w:space="0" w:color="auto"/>
            </w:tcBorders>
            <w:vAlign w:val="center"/>
          </w:tcPr>
          <w:p w:rsidR="009F7163" w:rsidRPr="00C40BAE" w:rsidRDefault="009F7163" w:rsidP="004925AC">
            <w:pPr>
              <w:adjustRightInd w:val="0"/>
              <w:snapToGrid w:val="0"/>
              <w:jc w:val="center"/>
              <w:rPr>
                <w:b/>
                <w:iCs/>
                <w:snapToGrid w:val="0"/>
              </w:rPr>
            </w:pPr>
            <w:r w:rsidRPr="00C40BAE">
              <w:rPr>
                <w:b/>
                <w:iCs/>
                <w:snapToGrid w:val="0"/>
              </w:rPr>
              <w:t>2003</w:t>
            </w:r>
          </w:p>
        </w:tc>
        <w:tc>
          <w:tcPr>
            <w:tcW w:w="599" w:type="pct"/>
            <w:tcBorders>
              <w:top w:val="single" w:sz="4" w:space="0" w:color="auto"/>
              <w:left w:val="single" w:sz="4" w:space="0" w:color="auto"/>
              <w:bottom w:val="single" w:sz="4" w:space="0" w:color="auto"/>
              <w:right w:val="single" w:sz="4" w:space="0" w:color="auto"/>
            </w:tcBorders>
            <w:vAlign w:val="center"/>
          </w:tcPr>
          <w:p w:rsidR="009F7163" w:rsidRPr="00C40BAE" w:rsidRDefault="009F7163" w:rsidP="004925AC">
            <w:pPr>
              <w:adjustRightInd w:val="0"/>
              <w:snapToGrid w:val="0"/>
              <w:jc w:val="center"/>
              <w:rPr>
                <w:b/>
                <w:iCs/>
                <w:snapToGrid w:val="0"/>
              </w:rPr>
            </w:pPr>
            <w:r w:rsidRPr="00C40BAE">
              <w:rPr>
                <w:b/>
                <w:iCs/>
                <w:snapToGrid w:val="0"/>
              </w:rPr>
              <w:t>2004</w:t>
            </w:r>
          </w:p>
        </w:tc>
        <w:tc>
          <w:tcPr>
            <w:tcW w:w="599" w:type="pct"/>
            <w:tcBorders>
              <w:top w:val="single" w:sz="4" w:space="0" w:color="auto"/>
              <w:left w:val="single" w:sz="4" w:space="0" w:color="auto"/>
              <w:bottom w:val="single" w:sz="4" w:space="0" w:color="auto"/>
              <w:right w:val="single" w:sz="4" w:space="0" w:color="auto"/>
            </w:tcBorders>
            <w:vAlign w:val="center"/>
          </w:tcPr>
          <w:p w:rsidR="009F7163" w:rsidRPr="00C40BAE" w:rsidRDefault="009F7163" w:rsidP="004925AC">
            <w:pPr>
              <w:adjustRightInd w:val="0"/>
              <w:snapToGrid w:val="0"/>
              <w:jc w:val="center"/>
              <w:rPr>
                <w:b/>
                <w:iCs/>
                <w:snapToGrid w:val="0"/>
              </w:rPr>
            </w:pPr>
            <w:r w:rsidRPr="00C40BAE">
              <w:rPr>
                <w:b/>
                <w:iCs/>
                <w:snapToGrid w:val="0"/>
              </w:rPr>
              <w:t>2005</w:t>
            </w:r>
          </w:p>
        </w:tc>
      </w:tr>
      <w:tr w:rsidR="009F7163" w:rsidRPr="005C0C9D" w:rsidTr="004925AC">
        <w:trPr>
          <w:trHeight w:val="20"/>
          <w:jc w:val="center"/>
        </w:trPr>
        <w:tc>
          <w:tcPr>
            <w:tcW w:w="2652"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rPr>
                <w:snapToGrid w:val="0"/>
              </w:rPr>
            </w:pPr>
            <w:r w:rsidRPr="005C0C9D">
              <w:rPr>
                <w:snapToGrid w:val="0"/>
              </w:rPr>
              <w:t xml:space="preserve">Número de consultas de psiquiatría de urgencia </w:t>
            </w:r>
          </w:p>
        </w:tc>
        <w:tc>
          <w:tcPr>
            <w:tcW w:w="550"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5"/>
              <w:jc w:val="right"/>
              <w:rPr>
                <w:snapToGrid w:val="0"/>
              </w:rPr>
            </w:pPr>
            <w:r>
              <w:rPr>
                <w:snapToGrid w:val="0"/>
              </w:rPr>
              <w:t>46.</w:t>
            </w:r>
            <w:r w:rsidRPr="005C0C9D">
              <w:rPr>
                <w:snapToGrid w:val="0"/>
              </w:rPr>
              <w:t>647</w:t>
            </w:r>
          </w:p>
        </w:tc>
        <w:tc>
          <w:tcPr>
            <w:tcW w:w="599"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71"/>
              <w:jc w:val="right"/>
              <w:rPr>
                <w:snapToGrid w:val="0"/>
              </w:rPr>
            </w:pPr>
            <w:r w:rsidRPr="005C0C9D">
              <w:rPr>
                <w:snapToGrid w:val="0"/>
              </w:rPr>
              <w:t>31</w:t>
            </w:r>
            <w:r>
              <w:rPr>
                <w:snapToGrid w:val="0"/>
              </w:rPr>
              <w:t>.</w:t>
            </w:r>
            <w:r w:rsidRPr="005C0C9D">
              <w:rPr>
                <w:snapToGrid w:val="0"/>
              </w:rPr>
              <w:t>102</w:t>
            </w:r>
          </w:p>
        </w:tc>
        <w:tc>
          <w:tcPr>
            <w:tcW w:w="599"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76"/>
              <w:jc w:val="right"/>
              <w:rPr>
                <w:snapToGrid w:val="0"/>
              </w:rPr>
            </w:pPr>
            <w:r>
              <w:rPr>
                <w:snapToGrid w:val="0"/>
              </w:rPr>
              <w:t>31.</w:t>
            </w:r>
            <w:r w:rsidRPr="005C0C9D">
              <w:rPr>
                <w:snapToGrid w:val="0"/>
              </w:rPr>
              <w:t>447</w:t>
            </w:r>
          </w:p>
        </w:tc>
        <w:tc>
          <w:tcPr>
            <w:tcW w:w="599"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2"/>
              <w:jc w:val="right"/>
              <w:rPr>
                <w:snapToGrid w:val="0"/>
              </w:rPr>
            </w:pPr>
            <w:r>
              <w:rPr>
                <w:snapToGrid w:val="0"/>
              </w:rPr>
              <w:t>44.</w:t>
            </w:r>
            <w:r w:rsidRPr="005C0C9D">
              <w:rPr>
                <w:snapToGrid w:val="0"/>
              </w:rPr>
              <w:t>872</w:t>
            </w:r>
          </w:p>
        </w:tc>
      </w:tr>
      <w:tr w:rsidR="009F7163" w:rsidRPr="005C0C9D" w:rsidTr="004925AC">
        <w:trPr>
          <w:trHeight w:val="20"/>
          <w:jc w:val="center"/>
        </w:trPr>
        <w:tc>
          <w:tcPr>
            <w:tcW w:w="2652"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rPr>
                <w:snapToGrid w:val="0"/>
              </w:rPr>
            </w:pPr>
            <w:r w:rsidRPr="005C0C9D">
              <w:rPr>
                <w:snapToGrid w:val="0"/>
              </w:rPr>
              <w:t>Número de consultas de psiquiatría externa</w:t>
            </w:r>
          </w:p>
        </w:tc>
        <w:tc>
          <w:tcPr>
            <w:tcW w:w="550"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5"/>
              <w:jc w:val="right"/>
              <w:rPr>
                <w:snapToGrid w:val="0"/>
              </w:rPr>
            </w:pPr>
            <w:r w:rsidRPr="005C0C9D">
              <w:rPr>
                <w:snapToGrid w:val="0"/>
              </w:rPr>
              <w:t>54</w:t>
            </w:r>
            <w:r>
              <w:rPr>
                <w:snapToGrid w:val="0"/>
              </w:rPr>
              <w:t>.</w:t>
            </w:r>
            <w:r w:rsidRPr="005C0C9D">
              <w:rPr>
                <w:snapToGrid w:val="0"/>
              </w:rPr>
              <w:t>914</w:t>
            </w:r>
          </w:p>
        </w:tc>
        <w:tc>
          <w:tcPr>
            <w:tcW w:w="599"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71"/>
              <w:jc w:val="right"/>
              <w:rPr>
                <w:snapToGrid w:val="0"/>
              </w:rPr>
            </w:pPr>
            <w:r>
              <w:rPr>
                <w:snapToGrid w:val="0"/>
              </w:rPr>
              <w:t>221.</w:t>
            </w:r>
            <w:r w:rsidRPr="005C0C9D">
              <w:rPr>
                <w:snapToGrid w:val="0"/>
              </w:rPr>
              <w:t>240</w:t>
            </w:r>
          </w:p>
        </w:tc>
        <w:tc>
          <w:tcPr>
            <w:tcW w:w="599"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76"/>
              <w:jc w:val="right"/>
              <w:rPr>
                <w:snapToGrid w:val="0"/>
              </w:rPr>
            </w:pPr>
            <w:r>
              <w:rPr>
                <w:snapToGrid w:val="0"/>
              </w:rPr>
              <w:t>164.</w:t>
            </w:r>
            <w:r w:rsidRPr="005C0C9D">
              <w:rPr>
                <w:snapToGrid w:val="0"/>
              </w:rPr>
              <w:t>028</w:t>
            </w:r>
          </w:p>
        </w:tc>
        <w:tc>
          <w:tcPr>
            <w:tcW w:w="599"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2"/>
              <w:jc w:val="right"/>
              <w:rPr>
                <w:snapToGrid w:val="0"/>
              </w:rPr>
            </w:pPr>
            <w:r>
              <w:rPr>
                <w:snapToGrid w:val="0"/>
              </w:rPr>
              <w:t>330.</w:t>
            </w:r>
            <w:r w:rsidRPr="005C0C9D">
              <w:rPr>
                <w:snapToGrid w:val="0"/>
              </w:rPr>
              <w:t>267</w:t>
            </w:r>
          </w:p>
        </w:tc>
      </w:tr>
      <w:tr w:rsidR="009F7163" w:rsidRPr="005C0C9D" w:rsidTr="004925AC">
        <w:trPr>
          <w:trHeight w:val="20"/>
          <w:jc w:val="center"/>
        </w:trPr>
        <w:tc>
          <w:tcPr>
            <w:tcW w:w="2652"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rPr>
                <w:snapToGrid w:val="0"/>
              </w:rPr>
            </w:pPr>
            <w:r w:rsidRPr="005C0C9D">
              <w:rPr>
                <w:snapToGrid w:val="0"/>
              </w:rPr>
              <w:t xml:space="preserve">Número de consultas de psicología </w:t>
            </w:r>
          </w:p>
        </w:tc>
        <w:tc>
          <w:tcPr>
            <w:tcW w:w="550"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5"/>
              <w:jc w:val="right"/>
              <w:rPr>
                <w:snapToGrid w:val="0"/>
              </w:rPr>
            </w:pPr>
            <w:r>
              <w:rPr>
                <w:snapToGrid w:val="0"/>
              </w:rPr>
              <w:t>12.</w:t>
            </w:r>
            <w:r w:rsidRPr="005C0C9D">
              <w:rPr>
                <w:snapToGrid w:val="0"/>
              </w:rPr>
              <w:t>051</w:t>
            </w:r>
          </w:p>
        </w:tc>
        <w:tc>
          <w:tcPr>
            <w:tcW w:w="599"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71"/>
              <w:jc w:val="right"/>
              <w:rPr>
                <w:snapToGrid w:val="0"/>
              </w:rPr>
            </w:pPr>
            <w:r>
              <w:rPr>
                <w:snapToGrid w:val="0"/>
              </w:rPr>
              <w:t>94.</w:t>
            </w:r>
            <w:r w:rsidRPr="005C0C9D">
              <w:rPr>
                <w:snapToGrid w:val="0"/>
              </w:rPr>
              <w:t>194</w:t>
            </w:r>
          </w:p>
        </w:tc>
        <w:tc>
          <w:tcPr>
            <w:tcW w:w="599"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76"/>
              <w:jc w:val="right"/>
              <w:rPr>
                <w:snapToGrid w:val="0"/>
              </w:rPr>
            </w:pPr>
            <w:r>
              <w:rPr>
                <w:snapToGrid w:val="0"/>
              </w:rPr>
              <w:t>218.</w:t>
            </w:r>
            <w:r w:rsidRPr="005C0C9D">
              <w:rPr>
                <w:snapToGrid w:val="0"/>
              </w:rPr>
              <w:t>160</w:t>
            </w:r>
          </w:p>
        </w:tc>
        <w:tc>
          <w:tcPr>
            <w:tcW w:w="599"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2"/>
              <w:jc w:val="right"/>
              <w:rPr>
                <w:snapToGrid w:val="0"/>
              </w:rPr>
            </w:pPr>
            <w:r>
              <w:rPr>
                <w:snapToGrid w:val="0"/>
              </w:rPr>
              <w:t>105.</w:t>
            </w:r>
            <w:r w:rsidRPr="005C0C9D">
              <w:rPr>
                <w:snapToGrid w:val="0"/>
              </w:rPr>
              <w:t>348</w:t>
            </w:r>
          </w:p>
        </w:tc>
      </w:tr>
      <w:tr w:rsidR="009F7163" w:rsidRPr="005C0C9D" w:rsidTr="004925AC">
        <w:trPr>
          <w:trHeight w:val="20"/>
          <w:jc w:val="center"/>
        </w:trPr>
        <w:tc>
          <w:tcPr>
            <w:tcW w:w="2652"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rPr>
                <w:snapToGrid w:val="0"/>
              </w:rPr>
            </w:pPr>
            <w:r w:rsidRPr="005C0C9D">
              <w:rPr>
                <w:snapToGrid w:val="0"/>
              </w:rPr>
              <w:t xml:space="preserve">Número de hospitalizaciones en servicio abierto </w:t>
            </w:r>
          </w:p>
        </w:tc>
        <w:tc>
          <w:tcPr>
            <w:tcW w:w="550"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5"/>
              <w:jc w:val="right"/>
              <w:rPr>
                <w:snapToGrid w:val="0"/>
              </w:rPr>
            </w:pPr>
            <w:r w:rsidRPr="005C0C9D">
              <w:rPr>
                <w:snapToGrid w:val="0"/>
              </w:rPr>
              <w:t>-</w:t>
            </w:r>
          </w:p>
        </w:tc>
        <w:tc>
          <w:tcPr>
            <w:tcW w:w="599"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71"/>
              <w:jc w:val="right"/>
              <w:rPr>
                <w:snapToGrid w:val="0"/>
              </w:rPr>
            </w:pPr>
            <w:r w:rsidRPr="005C0C9D">
              <w:rPr>
                <w:snapToGrid w:val="0"/>
              </w:rPr>
              <w:t>14</w:t>
            </w:r>
            <w:r>
              <w:rPr>
                <w:snapToGrid w:val="0"/>
              </w:rPr>
              <w:t>.</w:t>
            </w:r>
            <w:r w:rsidRPr="005C0C9D">
              <w:rPr>
                <w:snapToGrid w:val="0"/>
              </w:rPr>
              <w:t>273</w:t>
            </w:r>
          </w:p>
        </w:tc>
        <w:tc>
          <w:tcPr>
            <w:tcW w:w="599"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76"/>
              <w:jc w:val="right"/>
              <w:rPr>
                <w:snapToGrid w:val="0"/>
              </w:rPr>
            </w:pPr>
            <w:r>
              <w:rPr>
                <w:snapToGrid w:val="0"/>
              </w:rPr>
              <w:t>10.</w:t>
            </w:r>
            <w:r w:rsidRPr="005C0C9D">
              <w:rPr>
                <w:snapToGrid w:val="0"/>
              </w:rPr>
              <w:t>768</w:t>
            </w:r>
          </w:p>
        </w:tc>
        <w:tc>
          <w:tcPr>
            <w:tcW w:w="599"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2"/>
              <w:jc w:val="right"/>
              <w:rPr>
                <w:snapToGrid w:val="0"/>
              </w:rPr>
            </w:pPr>
            <w:r>
              <w:rPr>
                <w:snapToGrid w:val="0"/>
              </w:rPr>
              <w:t>9.</w:t>
            </w:r>
            <w:r w:rsidRPr="005C0C9D">
              <w:rPr>
                <w:snapToGrid w:val="0"/>
              </w:rPr>
              <w:t>349</w:t>
            </w:r>
          </w:p>
        </w:tc>
      </w:tr>
      <w:tr w:rsidR="009F7163" w:rsidRPr="005C0C9D" w:rsidTr="004925AC">
        <w:trPr>
          <w:trHeight w:val="20"/>
          <w:jc w:val="center"/>
        </w:trPr>
        <w:tc>
          <w:tcPr>
            <w:tcW w:w="2652"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rPr>
                <w:snapToGrid w:val="0"/>
              </w:rPr>
            </w:pPr>
            <w:r w:rsidRPr="005C0C9D">
              <w:rPr>
                <w:snapToGrid w:val="0"/>
              </w:rPr>
              <w:t>Número de medidas de observación de oficio</w:t>
            </w:r>
          </w:p>
        </w:tc>
        <w:tc>
          <w:tcPr>
            <w:tcW w:w="550"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5"/>
              <w:jc w:val="right"/>
              <w:rPr>
                <w:snapToGrid w:val="0"/>
              </w:rPr>
            </w:pPr>
            <w:r w:rsidRPr="005C0C9D">
              <w:rPr>
                <w:snapToGrid w:val="0"/>
              </w:rPr>
              <w:t>-</w:t>
            </w:r>
          </w:p>
        </w:tc>
        <w:tc>
          <w:tcPr>
            <w:tcW w:w="599"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71"/>
              <w:jc w:val="right"/>
              <w:rPr>
                <w:snapToGrid w:val="0"/>
              </w:rPr>
            </w:pPr>
            <w:r>
              <w:rPr>
                <w:snapToGrid w:val="0"/>
              </w:rPr>
              <w:t>1.</w:t>
            </w:r>
            <w:r w:rsidRPr="005C0C9D">
              <w:rPr>
                <w:snapToGrid w:val="0"/>
              </w:rPr>
              <w:t>388</w:t>
            </w:r>
          </w:p>
        </w:tc>
        <w:tc>
          <w:tcPr>
            <w:tcW w:w="599"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76"/>
              <w:jc w:val="right"/>
              <w:rPr>
                <w:snapToGrid w:val="0"/>
              </w:rPr>
            </w:pPr>
            <w:r w:rsidRPr="005C0C9D">
              <w:rPr>
                <w:snapToGrid w:val="0"/>
              </w:rPr>
              <w:t>731</w:t>
            </w:r>
          </w:p>
        </w:tc>
        <w:tc>
          <w:tcPr>
            <w:tcW w:w="599"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2"/>
              <w:jc w:val="right"/>
              <w:rPr>
                <w:snapToGrid w:val="0"/>
              </w:rPr>
            </w:pPr>
            <w:r w:rsidRPr="005C0C9D">
              <w:rPr>
                <w:snapToGrid w:val="0"/>
              </w:rPr>
              <w:t>2</w:t>
            </w:r>
            <w:r>
              <w:rPr>
                <w:snapToGrid w:val="0"/>
              </w:rPr>
              <w:t>.</w:t>
            </w:r>
            <w:r w:rsidRPr="005C0C9D">
              <w:rPr>
                <w:snapToGrid w:val="0"/>
              </w:rPr>
              <w:t>798</w:t>
            </w:r>
          </w:p>
        </w:tc>
      </w:tr>
      <w:tr w:rsidR="009F7163" w:rsidRPr="005C0C9D" w:rsidTr="004925AC">
        <w:trPr>
          <w:trHeight w:val="20"/>
          <w:jc w:val="center"/>
        </w:trPr>
        <w:tc>
          <w:tcPr>
            <w:tcW w:w="2652"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rPr>
                <w:snapToGrid w:val="0"/>
              </w:rPr>
            </w:pPr>
            <w:r w:rsidRPr="005C0C9D">
              <w:rPr>
                <w:snapToGrid w:val="0"/>
              </w:rPr>
              <w:t>Número de internamientos administrativos</w:t>
            </w:r>
          </w:p>
        </w:tc>
        <w:tc>
          <w:tcPr>
            <w:tcW w:w="550"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5"/>
              <w:jc w:val="right"/>
              <w:rPr>
                <w:snapToGrid w:val="0"/>
              </w:rPr>
            </w:pPr>
            <w:r w:rsidRPr="005C0C9D">
              <w:rPr>
                <w:snapToGrid w:val="0"/>
              </w:rPr>
              <w:t>-</w:t>
            </w:r>
          </w:p>
        </w:tc>
        <w:tc>
          <w:tcPr>
            <w:tcW w:w="599"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71"/>
              <w:jc w:val="right"/>
              <w:rPr>
                <w:snapToGrid w:val="0"/>
              </w:rPr>
            </w:pPr>
            <w:r w:rsidRPr="005C0C9D">
              <w:rPr>
                <w:snapToGrid w:val="0"/>
              </w:rPr>
              <w:t>967</w:t>
            </w:r>
          </w:p>
        </w:tc>
        <w:tc>
          <w:tcPr>
            <w:tcW w:w="599"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76"/>
              <w:jc w:val="right"/>
              <w:rPr>
                <w:snapToGrid w:val="0"/>
              </w:rPr>
            </w:pPr>
            <w:r>
              <w:rPr>
                <w:snapToGrid w:val="0"/>
              </w:rPr>
              <w:t>1.</w:t>
            </w:r>
            <w:r w:rsidRPr="005C0C9D">
              <w:rPr>
                <w:snapToGrid w:val="0"/>
              </w:rPr>
              <w:t>005</w:t>
            </w:r>
          </w:p>
        </w:tc>
        <w:tc>
          <w:tcPr>
            <w:tcW w:w="599"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2"/>
              <w:jc w:val="right"/>
              <w:rPr>
                <w:snapToGrid w:val="0"/>
              </w:rPr>
            </w:pPr>
            <w:r w:rsidRPr="005C0C9D">
              <w:rPr>
                <w:snapToGrid w:val="0"/>
              </w:rPr>
              <w:t>796</w:t>
            </w:r>
          </w:p>
        </w:tc>
      </w:tr>
      <w:tr w:rsidR="009F7163" w:rsidRPr="005C0C9D" w:rsidTr="004925AC">
        <w:trPr>
          <w:trHeight w:val="20"/>
          <w:jc w:val="center"/>
        </w:trPr>
        <w:tc>
          <w:tcPr>
            <w:tcW w:w="2652"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rPr>
                <w:snapToGrid w:val="0"/>
              </w:rPr>
            </w:pPr>
            <w:r w:rsidRPr="005C0C9D">
              <w:rPr>
                <w:snapToGrid w:val="0"/>
              </w:rPr>
              <w:t>Número de internamientos judiciales</w:t>
            </w:r>
          </w:p>
        </w:tc>
        <w:tc>
          <w:tcPr>
            <w:tcW w:w="550"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5"/>
              <w:jc w:val="right"/>
              <w:rPr>
                <w:snapToGrid w:val="0"/>
              </w:rPr>
            </w:pPr>
            <w:r w:rsidRPr="005C0C9D">
              <w:rPr>
                <w:snapToGrid w:val="0"/>
              </w:rPr>
              <w:t>-</w:t>
            </w:r>
          </w:p>
        </w:tc>
        <w:tc>
          <w:tcPr>
            <w:tcW w:w="599"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71"/>
              <w:jc w:val="right"/>
              <w:rPr>
                <w:snapToGrid w:val="0"/>
              </w:rPr>
            </w:pPr>
            <w:r w:rsidRPr="005C0C9D">
              <w:rPr>
                <w:snapToGrid w:val="0"/>
              </w:rPr>
              <w:t>512</w:t>
            </w:r>
          </w:p>
        </w:tc>
        <w:tc>
          <w:tcPr>
            <w:tcW w:w="599"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76"/>
              <w:jc w:val="right"/>
              <w:rPr>
                <w:snapToGrid w:val="0"/>
              </w:rPr>
            </w:pPr>
            <w:r w:rsidRPr="005C0C9D">
              <w:rPr>
                <w:snapToGrid w:val="0"/>
              </w:rPr>
              <w:t>509</w:t>
            </w:r>
          </w:p>
        </w:tc>
        <w:tc>
          <w:tcPr>
            <w:tcW w:w="599"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2"/>
              <w:jc w:val="right"/>
              <w:rPr>
                <w:snapToGrid w:val="0"/>
              </w:rPr>
            </w:pPr>
            <w:r w:rsidRPr="005C0C9D">
              <w:rPr>
                <w:snapToGrid w:val="0"/>
              </w:rPr>
              <w:t>535</w:t>
            </w:r>
          </w:p>
        </w:tc>
      </w:tr>
      <w:tr w:rsidR="009F7163" w:rsidRPr="005C0C9D" w:rsidTr="004925AC">
        <w:trPr>
          <w:trHeight w:val="20"/>
          <w:jc w:val="center"/>
        </w:trPr>
        <w:tc>
          <w:tcPr>
            <w:tcW w:w="2652"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rPr>
                <w:snapToGrid w:val="0"/>
              </w:rPr>
            </w:pPr>
            <w:r w:rsidRPr="005C0C9D">
              <w:rPr>
                <w:snapToGrid w:val="0"/>
              </w:rPr>
              <w:t>Número de recetas médicas dispensadas</w:t>
            </w:r>
          </w:p>
        </w:tc>
        <w:tc>
          <w:tcPr>
            <w:tcW w:w="550"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5"/>
              <w:jc w:val="right"/>
              <w:rPr>
                <w:snapToGrid w:val="0"/>
              </w:rPr>
            </w:pPr>
            <w:r w:rsidRPr="005C0C9D">
              <w:rPr>
                <w:snapToGrid w:val="0"/>
              </w:rPr>
              <w:t>-</w:t>
            </w:r>
          </w:p>
        </w:tc>
        <w:tc>
          <w:tcPr>
            <w:tcW w:w="599"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71"/>
              <w:jc w:val="right"/>
              <w:rPr>
                <w:snapToGrid w:val="0"/>
              </w:rPr>
            </w:pPr>
            <w:r>
              <w:rPr>
                <w:snapToGrid w:val="0"/>
              </w:rPr>
              <w:t>184.</w:t>
            </w:r>
            <w:r w:rsidRPr="005C0C9D">
              <w:rPr>
                <w:snapToGrid w:val="0"/>
              </w:rPr>
              <w:t>670</w:t>
            </w:r>
          </w:p>
        </w:tc>
        <w:tc>
          <w:tcPr>
            <w:tcW w:w="599"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76"/>
              <w:jc w:val="right"/>
              <w:rPr>
                <w:snapToGrid w:val="0"/>
              </w:rPr>
            </w:pPr>
            <w:r>
              <w:rPr>
                <w:snapToGrid w:val="0"/>
              </w:rPr>
              <w:t>162.</w:t>
            </w:r>
            <w:r w:rsidRPr="005C0C9D">
              <w:rPr>
                <w:snapToGrid w:val="0"/>
              </w:rPr>
              <w:t>133</w:t>
            </w:r>
          </w:p>
        </w:tc>
        <w:tc>
          <w:tcPr>
            <w:tcW w:w="599"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2"/>
              <w:jc w:val="right"/>
              <w:rPr>
                <w:snapToGrid w:val="0"/>
              </w:rPr>
            </w:pPr>
            <w:r>
              <w:rPr>
                <w:snapToGrid w:val="0"/>
              </w:rPr>
              <w:t>192.</w:t>
            </w:r>
            <w:r w:rsidRPr="005C0C9D">
              <w:rPr>
                <w:snapToGrid w:val="0"/>
              </w:rPr>
              <w:t>232</w:t>
            </w:r>
          </w:p>
        </w:tc>
      </w:tr>
    </w:tbl>
    <w:p w:rsidR="009F7163" w:rsidRPr="00C40BAE" w:rsidRDefault="009F7163" w:rsidP="009F7163">
      <w:pPr>
        <w:keepNext/>
        <w:adjustRightInd w:val="0"/>
        <w:snapToGrid w:val="0"/>
        <w:spacing w:before="480" w:after="240"/>
        <w:rPr>
          <w:b/>
          <w:snapToGrid w:val="0"/>
        </w:rPr>
      </w:pPr>
      <w:r w:rsidRPr="00C40BAE">
        <w:rPr>
          <w:b/>
          <w:snapToGrid w:val="0"/>
        </w:rPr>
        <w:tab/>
        <w:t>c)</w:t>
      </w:r>
      <w:r w:rsidRPr="00C40BAE">
        <w:rPr>
          <w:b/>
          <w:snapToGrid w:val="0"/>
        </w:rPr>
        <w:tab/>
        <w:t>Evaluación de la atención de los enfermos mentales marginados de la sociedad</w:t>
      </w:r>
    </w:p>
    <w:p w:rsidR="009F7163" w:rsidRPr="005C0C9D" w:rsidRDefault="009F7163" w:rsidP="009F7163">
      <w:pPr>
        <w:adjustRightInd w:val="0"/>
        <w:snapToGrid w:val="0"/>
        <w:spacing w:after="240"/>
        <w:rPr>
          <w:snapToGrid w:val="0"/>
        </w:rPr>
      </w:pPr>
      <w:r w:rsidRPr="005C0C9D">
        <w:rPr>
          <w:snapToGrid w:val="0"/>
        </w:rPr>
        <w:t>303.</w:t>
      </w:r>
      <w:r w:rsidRPr="005C0C9D">
        <w:rPr>
          <w:snapToGrid w:val="0"/>
        </w:rPr>
        <w:tab/>
      </w:r>
      <w:r>
        <w:rPr>
          <w:snapToGrid w:val="0"/>
        </w:rPr>
        <w:t>En</w:t>
      </w:r>
      <w:r w:rsidRPr="005C0C9D">
        <w:rPr>
          <w:snapToGrid w:val="0"/>
        </w:rPr>
        <w:t xml:space="preserve"> 2002 se estableció un mecanismo para la atención de los enfermos mentales sin domicilio fijo, gracias al cual 3.919 enfermos mentales </w:t>
      </w:r>
      <w:r>
        <w:rPr>
          <w:snapToGrid w:val="0"/>
        </w:rPr>
        <w:t>marginados</w:t>
      </w:r>
      <w:r w:rsidRPr="005C0C9D">
        <w:rPr>
          <w:snapToGrid w:val="0"/>
        </w:rPr>
        <w:t xml:space="preserve"> de la sociedad fueron conducidos a algún se</w:t>
      </w:r>
      <w:r>
        <w:rPr>
          <w:snapToGrid w:val="0"/>
        </w:rPr>
        <w:t>rvicio de salud mental.</w:t>
      </w:r>
    </w:p>
    <w:p w:rsidR="009F7163" w:rsidRPr="005C0C9D" w:rsidRDefault="009F7163" w:rsidP="009F7163">
      <w:pPr>
        <w:adjustRightInd w:val="0"/>
        <w:snapToGrid w:val="0"/>
        <w:spacing w:after="240"/>
        <w:ind w:left="1134" w:hanging="567"/>
        <w:rPr>
          <w:snapToGrid w:val="0"/>
        </w:rPr>
      </w:pPr>
      <w:r w:rsidRPr="005C0C9D">
        <w:rPr>
          <w:snapToGrid w:val="0"/>
        </w:rPr>
        <w:t>a)</w:t>
      </w:r>
      <w:r w:rsidRPr="005C0C9D">
        <w:rPr>
          <w:snapToGrid w:val="0"/>
        </w:rPr>
        <w:tab/>
        <w:t xml:space="preserve">312 enfermos mentales </w:t>
      </w:r>
      <w:r>
        <w:rPr>
          <w:snapToGrid w:val="0"/>
        </w:rPr>
        <w:t>marginados</w:t>
      </w:r>
      <w:r w:rsidRPr="005C0C9D">
        <w:rPr>
          <w:snapToGrid w:val="0"/>
        </w:rPr>
        <w:t xml:space="preserve"> de la sociedad fueron conducidos a un servicio de acción social;</w:t>
      </w:r>
    </w:p>
    <w:p w:rsidR="009F7163" w:rsidRPr="005C0C9D" w:rsidRDefault="009F7163" w:rsidP="009F7163">
      <w:pPr>
        <w:adjustRightInd w:val="0"/>
        <w:snapToGrid w:val="0"/>
        <w:spacing w:after="240"/>
        <w:ind w:left="1134" w:hanging="567"/>
        <w:rPr>
          <w:snapToGrid w:val="0"/>
        </w:rPr>
      </w:pPr>
      <w:r w:rsidRPr="005C0C9D">
        <w:rPr>
          <w:snapToGrid w:val="0"/>
        </w:rPr>
        <w:t>b)</w:t>
      </w:r>
      <w:r w:rsidRPr="005C0C9D">
        <w:rPr>
          <w:snapToGrid w:val="0"/>
        </w:rPr>
        <w:tab/>
        <w:t xml:space="preserve">428 enfermos mentales </w:t>
      </w:r>
      <w:r>
        <w:rPr>
          <w:snapToGrid w:val="0"/>
        </w:rPr>
        <w:t>marginados</w:t>
      </w:r>
      <w:r w:rsidRPr="005C0C9D">
        <w:rPr>
          <w:snapToGrid w:val="0"/>
        </w:rPr>
        <w:t xml:space="preserve"> fueron conducidos de los servicios de salud mental hacia un servicio de acción social en el marco de la atención posterior a la</w:t>
      </w:r>
      <w:r>
        <w:rPr>
          <w:snapToGrid w:val="0"/>
        </w:rPr>
        <w:t> </w:t>
      </w:r>
      <w:r w:rsidRPr="005C0C9D">
        <w:rPr>
          <w:snapToGrid w:val="0"/>
        </w:rPr>
        <w:t>cura;</w:t>
      </w:r>
    </w:p>
    <w:p w:rsidR="009F7163" w:rsidRPr="005C0C9D" w:rsidRDefault="009F7163" w:rsidP="009F7163">
      <w:pPr>
        <w:adjustRightInd w:val="0"/>
        <w:snapToGrid w:val="0"/>
        <w:spacing w:after="240"/>
        <w:ind w:left="1134" w:hanging="567"/>
        <w:rPr>
          <w:snapToGrid w:val="0"/>
        </w:rPr>
      </w:pPr>
      <w:r w:rsidRPr="005C0C9D">
        <w:rPr>
          <w:snapToGrid w:val="0"/>
        </w:rPr>
        <w:t>c)</w:t>
      </w:r>
      <w:r w:rsidRPr="005C0C9D">
        <w:rPr>
          <w:snapToGrid w:val="0"/>
        </w:rPr>
        <w:tab/>
        <w:t xml:space="preserve">645 enfermos mentales </w:t>
      </w:r>
      <w:r>
        <w:rPr>
          <w:snapToGrid w:val="0"/>
        </w:rPr>
        <w:t xml:space="preserve">marginados </w:t>
      </w:r>
      <w:r w:rsidRPr="005C0C9D">
        <w:rPr>
          <w:snapToGrid w:val="0"/>
        </w:rPr>
        <w:t>fueron reinsertados en su medio familiar original</w:t>
      </w:r>
      <w:r>
        <w:rPr>
          <w:snapToGrid w:val="0"/>
        </w:rPr>
        <w:t>.</w:t>
      </w:r>
    </w:p>
    <w:p w:rsidR="009F7163" w:rsidRPr="00C97DD8" w:rsidRDefault="009F7163" w:rsidP="009F7163">
      <w:pPr>
        <w:adjustRightInd w:val="0"/>
        <w:snapToGrid w:val="0"/>
        <w:spacing w:after="240"/>
        <w:ind w:left="1134" w:hanging="567"/>
        <w:rPr>
          <w:b/>
          <w:snapToGrid w:val="0"/>
        </w:rPr>
      </w:pPr>
      <w:r w:rsidRPr="00C97DD8">
        <w:rPr>
          <w:b/>
          <w:snapToGrid w:val="0"/>
        </w:rPr>
        <w:t>d)</w:t>
      </w:r>
      <w:r w:rsidRPr="00C97DD8">
        <w:rPr>
          <w:b/>
          <w:snapToGrid w:val="0"/>
        </w:rPr>
        <w:tab/>
        <w:t xml:space="preserve">Evaluación de la atención </w:t>
      </w:r>
      <w:r>
        <w:rPr>
          <w:b/>
          <w:snapToGrid w:val="0"/>
        </w:rPr>
        <w:t>prestada</w:t>
      </w:r>
      <w:r w:rsidRPr="00C97DD8">
        <w:rPr>
          <w:b/>
          <w:snapToGrid w:val="0"/>
        </w:rPr>
        <w:t xml:space="preserve"> a las víctimas de la violencia</w:t>
      </w:r>
    </w:p>
    <w:p w:rsidR="009F7163" w:rsidRPr="005C0C9D" w:rsidRDefault="009F7163" w:rsidP="009F7163">
      <w:pPr>
        <w:adjustRightInd w:val="0"/>
        <w:snapToGrid w:val="0"/>
        <w:spacing w:after="240"/>
        <w:rPr>
          <w:snapToGrid w:val="0"/>
        </w:rPr>
      </w:pPr>
      <w:r w:rsidRPr="005C0C9D">
        <w:rPr>
          <w:snapToGrid w:val="0"/>
        </w:rPr>
        <w:t>304.</w:t>
      </w:r>
      <w:r w:rsidRPr="005C0C9D">
        <w:rPr>
          <w:snapToGrid w:val="0"/>
        </w:rPr>
        <w:tab/>
        <w:t xml:space="preserve">Para atender a las víctimas de la violencia se ha creado un programa especial que incluye, entre otras cosas, la </w:t>
      </w:r>
      <w:r>
        <w:rPr>
          <w:snapToGrid w:val="0"/>
        </w:rPr>
        <w:t>formación de instructores</w:t>
      </w:r>
      <w:r w:rsidRPr="005C0C9D">
        <w:rPr>
          <w:snapToGrid w:val="0"/>
        </w:rPr>
        <w:t xml:space="preserve"> y el apoyo material a las estructuras de atención.</w:t>
      </w:r>
    </w:p>
    <w:p w:rsidR="009F7163" w:rsidRDefault="009F7163" w:rsidP="009F7163">
      <w:pPr>
        <w:adjustRightInd w:val="0"/>
        <w:snapToGrid w:val="0"/>
        <w:spacing w:after="240"/>
        <w:jc w:val="center"/>
        <w:rPr>
          <w:b/>
          <w:snapToGrid w:val="0"/>
        </w:rPr>
      </w:pPr>
      <w:r w:rsidRPr="005C0C9D">
        <w:rPr>
          <w:b/>
          <w:snapToGrid w:val="0"/>
        </w:rPr>
        <w:t xml:space="preserve">Balance </w:t>
      </w:r>
      <w:r>
        <w:rPr>
          <w:b/>
          <w:snapToGrid w:val="0"/>
        </w:rPr>
        <w:t xml:space="preserve">objetivo </w:t>
      </w:r>
      <w:r w:rsidRPr="005C0C9D">
        <w:rPr>
          <w:b/>
          <w:snapToGrid w:val="0"/>
        </w:rPr>
        <w:t>de actividades para el año 2004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4318"/>
        <w:gridCol w:w="944"/>
      </w:tblGrid>
      <w:tr w:rsidR="009F7163" w:rsidRPr="005C0C9D" w:rsidTr="00FD0D79">
        <w:trPr>
          <w:cantSplit/>
          <w:trHeight w:val="20"/>
          <w:jc w:val="center"/>
        </w:trPr>
        <w:tc>
          <w:tcPr>
            <w:tcW w:w="2251" w:type="pct"/>
            <w:vMerge w:val="restart"/>
            <w:tcBorders>
              <w:top w:val="single" w:sz="4" w:space="0" w:color="auto"/>
              <w:left w:val="single" w:sz="4" w:space="0" w:color="auto"/>
              <w:bottom w:val="single" w:sz="4" w:space="0" w:color="auto"/>
              <w:right w:val="single" w:sz="4" w:space="0" w:color="auto"/>
            </w:tcBorders>
          </w:tcPr>
          <w:p w:rsidR="009F7163" w:rsidRPr="005C0C9D" w:rsidRDefault="009F7163" w:rsidP="00FD0D79">
            <w:pPr>
              <w:adjustRightInd w:val="0"/>
              <w:snapToGrid w:val="0"/>
              <w:rPr>
                <w:snapToGrid w:val="0"/>
              </w:rPr>
            </w:pPr>
            <w:r w:rsidRPr="005C0C9D">
              <w:rPr>
                <w:snapToGrid w:val="0"/>
              </w:rPr>
              <w:t>Número de casos</w:t>
            </w:r>
          </w:p>
        </w:tc>
        <w:tc>
          <w:tcPr>
            <w:tcW w:w="2256"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rPr>
                <w:snapToGrid w:val="0"/>
              </w:rPr>
            </w:pPr>
            <w:r w:rsidRPr="005C0C9D">
              <w:rPr>
                <w:snapToGrid w:val="0"/>
              </w:rPr>
              <w:t xml:space="preserve">Chicos </w:t>
            </w:r>
          </w:p>
        </w:tc>
        <w:tc>
          <w:tcPr>
            <w:tcW w:w="493"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2"/>
              <w:jc w:val="right"/>
              <w:rPr>
                <w:snapToGrid w:val="0"/>
              </w:rPr>
            </w:pPr>
            <w:r>
              <w:rPr>
                <w:snapToGrid w:val="0"/>
              </w:rPr>
              <w:t>2.</w:t>
            </w:r>
            <w:r w:rsidRPr="005C0C9D">
              <w:rPr>
                <w:snapToGrid w:val="0"/>
              </w:rPr>
              <w:t>894</w:t>
            </w:r>
          </w:p>
        </w:tc>
      </w:tr>
      <w:tr w:rsidR="009F7163" w:rsidRPr="005C0C9D" w:rsidTr="004925AC">
        <w:trPr>
          <w:cantSplit/>
          <w:trHeight w:val="20"/>
          <w:jc w:val="center"/>
        </w:trPr>
        <w:tc>
          <w:tcPr>
            <w:tcW w:w="2251" w:type="pct"/>
            <w:vMerge/>
            <w:tcBorders>
              <w:top w:val="single" w:sz="4" w:space="0" w:color="auto"/>
              <w:left w:val="single" w:sz="4" w:space="0" w:color="auto"/>
              <w:bottom w:val="single" w:sz="4" w:space="0" w:color="auto"/>
              <w:right w:val="single" w:sz="4" w:space="0" w:color="auto"/>
            </w:tcBorders>
            <w:vAlign w:val="center"/>
          </w:tcPr>
          <w:p w:rsidR="009F7163" w:rsidRPr="005C0C9D" w:rsidRDefault="009F7163" w:rsidP="004925AC">
            <w:pPr>
              <w:adjustRightInd w:val="0"/>
              <w:snapToGrid w:val="0"/>
              <w:rPr>
                <w:snapToGrid w:val="0"/>
              </w:rPr>
            </w:pPr>
          </w:p>
        </w:tc>
        <w:tc>
          <w:tcPr>
            <w:tcW w:w="2256"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rPr>
                <w:snapToGrid w:val="0"/>
              </w:rPr>
            </w:pPr>
            <w:r w:rsidRPr="005C0C9D">
              <w:rPr>
                <w:snapToGrid w:val="0"/>
              </w:rPr>
              <w:t>Chicas</w:t>
            </w:r>
          </w:p>
        </w:tc>
        <w:tc>
          <w:tcPr>
            <w:tcW w:w="493"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2"/>
              <w:jc w:val="right"/>
              <w:rPr>
                <w:snapToGrid w:val="0"/>
              </w:rPr>
            </w:pPr>
            <w:r>
              <w:rPr>
                <w:snapToGrid w:val="0"/>
              </w:rPr>
              <w:t>2.</w:t>
            </w:r>
            <w:r w:rsidRPr="005C0C9D">
              <w:rPr>
                <w:snapToGrid w:val="0"/>
              </w:rPr>
              <w:t>060</w:t>
            </w:r>
          </w:p>
        </w:tc>
      </w:tr>
      <w:tr w:rsidR="009F7163" w:rsidRPr="005C0C9D" w:rsidTr="004925AC">
        <w:trPr>
          <w:cantSplit/>
          <w:trHeight w:val="20"/>
          <w:jc w:val="center"/>
        </w:trPr>
        <w:tc>
          <w:tcPr>
            <w:tcW w:w="2251" w:type="pct"/>
            <w:vMerge/>
            <w:tcBorders>
              <w:top w:val="single" w:sz="4" w:space="0" w:color="auto"/>
              <w:left w:val="single" w:sz="4" w:space="0" w:color="auto"/>
              <w:bottom w:val="single" w:sz="4" w:space="0" w:color="auto"/>
              <w:right w:val="single" w:sz="4" w:space="0" w:color="auto"/>
            </w:tcBorders>
            <w:vAlign w:val="center"/>
          </w:tcPr>
          <w:p w:rsidR="009F7163" w:rsidRPr="005C0C9D" w:rsidRDefault="009F7163" w:rsidP="004925AC">
            <w:pPr>
              <w:adjustRightInd w:val="0"/>
              <w:snapToGrid w:val="0"/>
              <w:rPr>
                <w:snapToGrid w:val="0"/>
              </w:rPr>
            </w:pPr>
          </w:p>
        </w:tc>
        <w:tc>
          <w:tcPr>
            <w:tcW w:w="2256"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rPr>
                <w:snapToGrid w:val="0"/>
              </w:rPr>
            </w:pPr>
            <w:r w:rsidRPr="005C0C9D">
              <w:rPr>
                <w:snapToGrid w:val="0"/>
              </w:rPr>
              <w:t>Hombres</w:t>
            </w:r>
          </w:p>
        </w:tc>
        <w:tc>
          <w:tcPr>
            <w:tcW w:w="493"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2"/>
              <w:jc w:val="right"/>
              <w:rPr>
                <w:snapToGrid w:val="0"/>
              </w:rPr>
            </w:pPr>
            <w:r>
              <w:rPr>
                <w:snapToGrid w:val="0"/>
              </w:rPr>
              <w:t>3.</w:t>
            </w:r>
            <w:r w:rsidRPr="005C0C9D">
              <w:rPr>
                <w:snapToGrid w:val="0"/>
              </w:rPr>
              <w:t>182</w:t>
            </w:r>
          </w:p>
        </w:tc>
      </w:tr>
      <w:tr w:rsidR="009F7163" w:rsidRPr="005C0C9D" w:rsidTr="004925AC">
        <w:trPr>
          <w:cantSplit/>
          <w:trHeight w:val="20"/>
          <w:jc w:val="center"/>
        </w:trPr>
        <w:tc>
          <w:tcPr>
            <w:tcW w:w="2251" w:type="pct"/>
            <w:vMerge/>
            <w:tcBorders>
              <w:top w:val="single" w:sz="4" w:space="0" w:color="auto"/>
              <w:left w:val="single" w:sz="4" w:space="0" w:color="auto"/>
              <w:bottom w:val="single" w:sz="4" w:space="0" w:color="auto"/>
              <w:right w:val="single" w:sz="4" w:space="0" w:color="auto"/>
            </w:tcBorders>
            <w:vAlign w:val="center"/>
          </w:tcPr>
          <w:p w:rsidR="009F7163" w:rsidRPr="005C0C9D" w:rsidRDefault="009F7163" w:rsidP="004925AC">
            <w:pPr>
              <w:adjustRightInd w:val="0"/>
              <w:snapToGrid w:val="0"/>
              <w:rPr>
                <w:snapToGrid w:val="0"/>
              </w:rPr>
            </w:pPr>
          </w:p>
        </w:tc>
        <w:tc>
          <w:tcPr>
            <w:tcW w:w="2256"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rPr>
                <w:snapToGrid w:val="0"/>
              </w:rPr>
            </w:pPr>
            <w:r w:rsidRPr="005C0C9D">
              <w:rPr>
                <w:snapToGrid w:val="0"/>
              </w:rPr>
              <w:t xml:space="preserve">Mujeres </w:t>
            </w:r>
          </w:p>
        </w:tc>
        <w:tc>
          <w:tcPr>
            <w:tcW w:w="493"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2"/>
              <w:jc w:val="right"/>
              <w:rPr>
                <w:snapToGrid w:val="0"/>
              </w:rPr>
            </w:pPr>
            <w:r>
              <w:rPr>
                <w:snapToGrid w:val="0"/>
              </w:rPr>
              <w:t>3.</w:t>
            </w:r>
            <w:r w:rsidRPr="005C0C9D">
              <w:rPr>
                <w:snapToGrid w:val="0"/>
              </w:rPr>
              <w:t>296</w:t>
            </w:r>
          </w:p>
        </w:tc>
      </w:tr>
      <w:tr w:rsidR="009F7163" w:rsidRPr="005C0C9D" w:rsidTr="00FD0D79">
        <w:trPr>
          <w:cantSplit/>
          <w:trHeight w:val="20"/>
          <w:jc w:val="center"/>
        </w:trPr>
        <w:tc>
          <w:tcPr>
            <w:tcW w:w="2251" w:type="pct"/>
            <w:vMerge w:val="restart"/>
            <w:tcBorders>
              <w:top w:val="single" w:sz="4" w:space="0" w:color="auto"/>
              <w:left w:val="single" w:sz="4" w:space="0" w:color="auto"/>
              <w:bottom w:val="single" w:sz="4" w:space="0" w:color="auto"/>
              <w:right w:val="single" w:sz="4" w:space="0" w:color="auto"/>
            </w:tcBorders>
          </w:tcPr>
          <w:p w:rsidR="009F7163" w:rsidRPr="005C0C9D" w:rsidRDefault="009F7163" w:rsidP="00FD0D79">
            <w:pPr>
              <w:adjustRightInd w:val="0"/>
              <w:snapToGrid w:val="0"/>
              <w:rPr>
                <w:snapToGrid w:val="0"/>
              </w:rPr>
            </w:pPr>
            <w:r w:rsidRPr="005C0C9D">
              <w:rPr>
                <w:snapToGrid w:val="0"/>
              </w:rPr>
              <w:t xml:space="preserve">Número de casos diagnosticados </w:t>
            </w:r>
          </w:p>
        </w:tc>
        <w:tc>
          <w:tcPr>
            <w:tcW w:w="2256"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rPr>
                <w:snapToGrid w:val="0"/>
              </w:rPr>
            </w:pPr>
            <w:r w:rsidRPr="005C0C9D">
              <w:rPr>
                <w:snapToGrid w:val="0"/>
              </w:rPr>
              <w:t xml:space="preserve">Reacción aguda a un factor de estrés </w:t>
            </w:r>
          </w:p>
        </w:tc>
        <w:tc>
          <w:tcPr>
            <w:tcW w:w="493"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2"/>
              <w:jc w:val="right"/>
              <w:rPr>
                <w:snapToGrid w:val="0"/>
              </w:rPr>
            </w:pPr>
            <w:r>
              <w:rPr>
                <w:snapToGrid w:val="0"/>
              </w:rPr>
              <w:t>1.</w:t>
            </w:r>
            <w:r w:rsidRPr="005C0C9D">
              <w:rPr>
                <w:snapToGrid w:val="0"/>
              </w:rPr>
              <w:t>324</w:t>
            </w:r>
          </w:p>
        </w:tc>
      </w:tr>
      <w:tr w:rsidR="009F7163" w:rsidRPr="005C0C9D" w:rsidTr="004925AC">
        <w:trPr>
          <w:cantSplit/>
          <w:trHeight w:val="20"/>
          <w:jc w:val="center"/>
        </w:trPr>
        <w:tc>
          <w:tcPr>
            <w:tcW w:w="2251" w:type="pct"/>
            <w:vMerge/>
            <w:tcBorders>
              <w:top w:val="single" w:sz="4" w:space="0" w:color="auto"/>
              <w:left w:val="single" w:sz="4" w:space="0" w:color="auto"/>
              <w:bottom w:val="single" w:sz="4" w:space="0" w:color="auto"/>
              <w:right w:val="single" w:sz="4" w:space="0" w:color="auto"/>
            </w:tcBorders>
            <w:vAlign w:val="center"/>
          </w:tcPr>
          <w:p w:rsidR="009F7163" w:rsidRPr="005C0C9D" w:rsidRDefault="009F7163" w:rsidP="004925AC">
            <w:pPr>
              <w:adjustRightInd w:val="0"/>
              <w:snapToGrid w:val="0"/>
              <w:rPr>
                <w:snapToGrid w:val="0"/>
              </w:rPr>
            </w:pPr>
          </w:p>
        </w:tc>
        <w:tc>
          <w:tcPr>
            <w:tcW w:w="2256"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rPr>
                <w:snapToGrid w:val="0"/>
              </w:rPr>
            </w:pPr>
            <w:r w:rsidRPr="005C0C9D">
              <w:rPr>
                <w:snapToGrid w:val="0"/>
              </w:rPr>
              <w:t xml:space="preserve">Estado de estrés postraumático transitorio </w:t>
            </w:r>
          </w:p>
        </w:tc>
        <w:tc>
          <w:tcPr>
            <w:tcW w:w="493"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2"/>
              <w:jc w:val="right"/>
              <w:rPr>
                <w:snapToGrid w:val="0"/>
              </w:rPr>
            </w:pPr>
            <w:r>
              <w:rPr>
                <w:snapToGrid w:val="0"/>
              </w:rPr>
              <w:t>2.</w:t>
            </w:r>
            <w:r w:rsidRPr="005C0C9D">
              <w:rPr>
                <w:snapToGrid w:val="0"/>
              </w:rPr>
              <w:t>028</w:t>
            </w:r>
          </w:p>
        </w:tc>
      </w:tr>
      <w:tr w:rsidR="009F7163" w:rsidRPr="005C0C9D" w:rsidTr="004925AC">
        <w:trPr>
          <w:cantSplit/>
          <w:trHeight w:val="20"/>
          <w:jc w:val="center"/>
        </w:trPr>
        <w:tc>
          <w:tcPr>
            <w:tcW w:w="2251" w:type="pct"/>
            <w:vMerge/>
            <w:tcBorders>
              <w:top w:val="single" w:sz="4" w:space="0" w:color="auto"/>
              <w:left w:val="single" w:sz="4" w:space="0" w:color="auto"/>
              <w:bottom w:val="single" w:sz="4" w:space="0" w:color="auto"/>
              <w:right w:val="single" w:sz="4" w:space="0" w:color="auto"/>
            </w:tcBorders>
            <w:vAlign w:val="center"/>
          </w:tcPr>
          <w:p w:rsidR="009F7163" w:rsidRPr="005C0C9D" w:rsidRDefault="009F7163" w:rsidP="004925AC">
            <w:pPr>
              <w:adjustRightInd w:val="0"/>
              <w:snapToGrid w:val="0"/>
              <w:rPr>
                <w:snapToGrid w:val="0"/>
              </w:rPr>
            </w:pPr>
          </w:p>
        </w:tc>
        <w:tc>
          <w:tcPr>
            <w:tcW w:w="2256"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rPr>
                <w:snapToGrid w:val="0"/>
              </w:rPr>
            </w:pPr>
            <w:r w:rsidRPr="005C0C9D">
              <w:rPr>
                <w:snapToGrid w:val="0"/>
              </w:rPr>
              <w:t>Estado de estrés postraumático duradero</w:t>
            </w:r>
          </w:p>
        </w:tc>
        <w:tc>
          <w:tcPr>
            <w:tcW w:w="493"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2"/>
              <w:jc w:val="right"/>
              <w:rPr>
                <w:snapToGrid w:val="0"/>
              </w:rPr>
            </w:pPr>
            <w:r>
              <w:rPr>
                <w:snapToGrid w:val="0"/>
              </w:rPr>
              <w:t>1.</w:t>
            </w:r>
            <w:r w:rsidRPr="005C0C9D">
              <w:rPr>
                <w:snapToGrid w:val="0"/>
              </w:rPr>
              <w:t>283</w:t>
            </w:r>
          </w:p>
        </w:tc>
      </w:tr>
      <w:tr w:rsidR="009F7163" w:rsidRPr="005C0C9D" w:rsidTr="004925AC">
        <w:trPr>
          <w:cantSplit/>
          <w:trHeight w:val="20"/>
          <w:jc w:val="center"/>
        </w:trPr>
        <w:tc>
          <w:tcPr>
            <w:tcW w:w="2251" w:type="pct"/>
            <w:vMerge/>
            <w:tcBorders>
              <w:top w:val="single" w:sz="4" w:space="0" w:color="auto"/>
              <w:left w:val="single" w:sz="4" w:space="0" w:color="auto"/>
              <w:bottom w:val="single" w:sz="4" w:space="0" w:color="auto"/>
              <w:right w:val="single" w:sz="4" w:space="0" w:color="auto"/>
            </w:tcBorders>
            <w:vAlign w:val="center"/>
          </w:tcPr>
          <w:p w:rsidR="009F7163" w:rsidRPr="005C0C9D" w:rsidRDefault="009F7163" w:rsidP="004925AC">
            <w:pPr>
              <w:adjustRightInd w:val="0"/>
              <w:snapToGrid w:val="0"/>
              <w:rPr>
                <w:snapToGrid w:val="0"/>
              </w:rPr>
            </w:pPr>
          </w:p>
        </w:tc>
        <w:tc>
          <w:tcPr>
            <w:tcW w:w="2256"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rPr>
                <w:snapToGrid w:val="0"/>
              </w:rPr>
            </w:pPr>
            <w:r w:rsidRPr="005C0C9D">
              <w:rPr>
                <w:snapToGrid w:val="0"/>
              </w:rPr>
              <w:t>Modificación duradera de la personalidad</w:t>
            </w:r>
          </w:p>
        </w:tc>
        <w:tc>
          <w:tcPr>
            <w:tcW w:w="493"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2"/>
              <w:jc w:val="right"/>
              <w:rPr>
                <w:snapToGrid w:val="0"/>
              </w:rPr>
            </w:pPr>
            <w:r w:rsidRPr="005C0C9D">
              <w:rPr>
                <w:snapToGrid w:val="0"/>
              </w:rPr>
              <w:t>961</w:t>
            </w:r>
          </w:p>
        </w:tc>
      </w:tr>
      <w:tr w:rsidR="009F7163" w:rsidRPr="005C0C9D" w:rsidTr="00FD0D79">
        <w:trPr>
          <w:cantSplit/>
          <w:trHeight w:val="20"/>
          <w:jc w:val="center"/>
        </w:trPr>
        <w:tc>
          <w:tcPr>
            <w:tcW w:w="2251" w:type="pct"/>
            <w:vMerge w:val="restart"/>
            <w:tcBorders>
              <w:top w:val="single" w:sz="4" w:space="0" w:color="auto"/>
              <w:left w:val="single" w:sz="4" w:space="0" w:color="auto"/>
              <w:bottom w:val="single" w:sz="4" w:space="0" w:color="auto"/>
              <w:right w:val="single" w:sz="4" w:space="0" w:color="auto"/>
            </w:tcBorders>
          </w:tcPr>
          <w:p w:rsidR="009F7163" w:rsidRPr="005C0C9D" w:rsidRDefault="009F7163" w:rsidP="00FD0D79">
            <w:pPr>
              <w:adjustRightInd w:val="0"/>
              <w:snapToGrid w:val="0"/>
              <w:rPr>
                <w:snapToGrid w:val="0"/>
              </w:rPr>
            </w:pPr>
            <w:r w:rsidRPr="005C0C9D">
              <w:rPr>
                <w:snapToGrid w:val="0"/>
              </w:rPr>
              <w:t>Número de casos desglosados por</w:t>
            </w:r>
            <w:r>
              <w:rPr>
                <w:snapToGrid w:val="0"/>
              </w:rPr>
              <w:t xml:space="preserve"> </w:t>
            </w:r>
            <w:r w:rsidRPr="005C0C9D">
              <w:rPr>
                <w:snapToGrid w:val="0"/>
              </w:rPr>
              <w:t xml:space="preserve">tipo de atención </w:t>
            </w:r>
          </w:p>
        </w:tc>
        <w:tc>
          <w:tcPr>
            <w:tcW w:w="2256"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rPr>
                <w:snapToGrid w:val="0"/>
              </w:rPr>
            </w:pPr>
            <w:r w:rsidRPr="005C0C9D">
              <w:rPr>
                <w:snapToGrid w:val="0"/>
              </w:rPr>
              <w:t>Nuevos casos</w:t>
            </w:r>
          </w:p>
        </w:tc>
        <w:tc>
          <w:tcPr>
            <w:tcW w:w="493"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2"/>
              <w:jc w:val="right"/>
              <w:rPr>
                <w:snapToGrid w:val="0"/>
              </w:rPr>
            </w:pPr>
            <w:r>
              <w:rPr>
                <w:snapToGrid w:val="0"/>
              </w:rPr>
              <w:t>2.</w:t>
            </w:r>
            <w:r w:rsidRPr="005C0C9D">
              <w:rPr>
                <w:snapToGrid w:val="0"/>
              </w:rPr>
              <w:t>239</w:t>
            </w:r>
          </w:p>
        </w:tc>
      </w:tr>
      <w:tr w:rsidR="009F7163" w:rsidRPr="005C0C9D" w:rsidTr="004925AC">
        <w:trPr>
          <w:cantSplit/>
          <w:trHeight w:val="20"/>
          <w:jc w:val="center"/>
        </w:trPr>
        <w:tc>
          <w:tcPr>
            <w:tcW w:w="2251" w:type="pct"/>
            <w:vMerge/>
            <w:tcBorders>
              <w:top w:val="single" w:sz="4" w:space="0" w:color="auto"/>
              <w:left w:val="single" w:sz="4" w:space="0" w:color="auto"/>
              <w:bottom w:val="single" w:sz="4" w:space="0" w:color="auto"/>
              <w:right w:val="single" w:sz="4" w:space="0" w:color="auto"/>
            </w:tcBorders>
            <w:vAlign w:val="center"/>
          </w:tcPr>
          <w:p w:rsidR="009F7163" w:rsidRPr="005C0C9D" w:rsidRDefault="009F7163" w:rsidP="004925AC">
            <w:pPr>
              <w:adjustRightInd w:val="0"/>
              <w:snapToGrid w:val="0"/>
              <w:rPr>
                <w:snapToGrid w:val="0"/>
              </w:rPr>
            </w:pPr>
          </w:p>
        </w:tc>
        <w:tc>
          <w:tcPr>
            <w:tcW w:w="2256"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rPr>
                <w:snapToGrid w:val="0"/>
              </w:rPr>
            </w:pPr>
            <w:r w:rsidRPr="005C0C9D">
              <w:rPr>
                <w:snapToGrid w:val="0"/>
              </w:rPr>
              <w:t xml:space="preserve">Asesoramiento psicológico </w:t>
            </w:r>
          </w:p>
        </w:tc>
        <w:tc>
          <w:tcPr>
            <w:tcW w:w="493"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2"/>
              <w:jc w:val="right"/>
              <w:rPr>
                <w:snapToGrid w:val="0"/>
              </w:rPr>
            </w:pPr>
            <w:r>
              <w:rPr>
                <w:snapToGrid w:val="0"/>
              </w:rPr>
              <w:t>1.</w:t>
            </w:r>
            <w:r w:rsidRPr="005C0C9D">
              <w:rPr>
                <w:snapToGrid w:val="0"/>
              </w:rPr>
              <w:t>003</w:t>
            </w:r>
          </w:p>
        </w:tc>
      </w:tr>
      <w:tr w:rsidR="009F7163" w:rsidRPr="005C0C9D" w:rsidTr="004925AC">
        <w:trPr>
          <w:cantSplit/>
          <w:trHeight w:val="20"/>
          <w:jc w:val="center"/>
        </w:trPr>
        <w:tc>
          <w:tcPr>
            <w:tcW w:w="2251" w:type="pct"/>
            <w:vMerge/>
            <w:tcBorders>
              <w:top w:val="single" w:sz="4" w:space="0" w:color="auto"/>
              <w:left w:val="single" w:sz="4" w:space="0" w:color="auto"/>
              <w:bottom w:val="single" w:sz="4" w:space="0" w:color="auto"/>
              <w:right w:val="single" w:sz="4" w:space="0" w:color="auto"/>
            </w:tcBorders>
            <w:vAlign w:val="center"/>
          </w:tcPr>
          <w:p w:rsidR="009F7163" w:rsidRPr="005C0C9D" w:rsidRDefault="009F7163" w:rsidP="004925AC">
            <w:pPr>
              <w:adjustRightInd w:val="0"/>
              <w:snapToGrid w:val="0"/>
              <w:rPr>
                <w:snapToGrid w:val="0"/>
              </w:rPr>
            </w:pPr>
          </w:p>
        </w:tc>
        <w:tc>
          <w:tcPr>
            <w:tcW w:w="2256"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rPr>
                <w:snapToGrid w:val="0"/>
              </w:rPr>
            </w:pPr>
            <w:r w:rsidRPr="005C0C9D">
              <w:rPr>
                <w:snapToGrid w:val="0"/>
              </w:rPr>
              <w:t xml:space="preserve">Entrevista de seguimiento </w:t>
            </w:r>
          </w:p>
        </w:tc>
        <w:tc>
          <w:tcPr>
            <w:tcW w:w="493"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2"/>
              <w:jc w:val="right"/>
              <w:rPr>
                <w:snapToGrid w:val="0"/>
              </w:rPr>
            </w:pPr>
            <w:r>
              <w:rPr>
                <w:snapToGrid w:val="0"/>
              </w:rPr>
              <w:t>3.</w:t>
            </w:r>
            <w:r w:rsidRPr="005C0C9D">
              <w:rPr>
                <w:snapToGrid w:val="0"/>
              </w:rPr>
              <w:t>894</w:t>
            </w:r>
          </w:p>
        </w:tc>
      </w:tr>
      <w:tr w:rsidR="009F7163" w:rsidRPr="005C0C9D" w:rsidTr="004925AC">
        <w:trPr>
          <w:cantSplit/>
          <w:trHeight w:val="20"/>
          <w:jc w:val="center"/>
        </w:trPr>
        <w:tc>
          <w:tcPr>
            <w:tcW w:w="2251" w:type="pct"/>
            <w:vMerge/>
            <w:tcBorders>
              <w:top w:val="single" w:sz="4" w:space="0" w:color="auto"/>
              <w:left w:val="single" w:sz="4" w:space="0" w:color="auto"/>
              <w:bottom w:val="single" w:sz="4" w:space="0" w:color="auto"/>
              <w:right w:val="single" w:sz="4" w:space="0" w:color="auto"/>
            </w:tcBorders>
            <w:vAlign w:val="center"/>
          </w:tcPr>
          <w:p w:rsidR="009F7163" w:rsidRPr="005C0C9D" w:rsidRDefault="009F7163" w:rsidP="004925AC">
            <w:pPr>
              <w:adjustRightInd w:val="0"/>
              <w:snapToGrid w:val="0"/>
              <w:rPr>
                <w:snapToGrid w:val="0"/>
              </w:rPr>
            </w:pPr>
          </w:p>
        </w:tc>
        <w:tc>
          <w:tcPr>
            <w:tcW w:w="2256"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rPr>
                <w:snapToGrid w:val="0"/>
              </w:rPr>
            </w:pPr>
            <w:r w:rsidRPr="005C0C9D">
              <w:rPr>
                <w:snapToGrid w:val="0"/>
              </w:rPr>
              <w:t>Grupo de discusión</w:t>
            </w:r>
          </w:p>
        </w:tc>
        <w:tc>
          <w:tcPr>
            <w:tcW w:w="493"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2"/>
              <w:jc w:val="right"/>
              <w:rPr>
                <w:snapToGrid w:val="0"/>
              </w:rPr>
            </w:pPr>
            <w:r>
              <w:rPr>
                <w:snapToGrid w:val="0"/>
              </w:rPr>
              <w:t>1.</w:t>
            </w:r>
            <w:r w:rsidRPr="005C0C9D">
              <w:rPr>
                <w:snapToGrid w:val="0"/>
              </w:rPr>
              <w:t>395</w:t>
            </w:r>
          </w:p>
        </w:tc>
      </w:tr>
      <w:tr w:rsidR="009F7163" w:rsidRPr="005C0C9D" w:rsidTr="004925AC">
        <w:trPr>
          <w:cantSplit/>
          <w:trHeight w:val="20"/>
          <w:jc w:val="center"/>
        </w:trPr>
        <w:tc>
          <w:tcPr>
            <w:tcW w:w="2251" w:type="pct"/>
            <w:vMerge/>
            <w:tcBorders>
              <w:top w:val="single" w:sz="4" w:space="0" w:color="auto"/>
              <w:left w:val="single" w:sz="4" w:space="0" w:color="auto"/>
              <w:bottom w:val="single" w:sz="4" w:space="0" w:color="auto"/>
              <w:right w:val="single" w:sz="4" w:space="0" w:color="auto"/>
            </w:tcBorders>
            <w:vAlign w:val="center"/>
          </w:tcPr>
          <w:p w:rsidR="009F7163" w:rsidRPr="005C0C9D" w:rsidRDefault="009F7163" w:rsidP="004925AC">
            <w:pPr>
              <w:adjustRightInd w:val="0"/>
              <w:snapToGrid w:val="0"/>
              <w:rPr>
                <w:snapToGrid w:val="0"/>
              </w:rPr>
            </w:pPr>
          </w:p>
        </w:tc>
        <w:tc>
          <w:tcPr>
            <w:tcW w:w="2256"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rPr>
                <w:snapToGrid w:val="0"/>
              </w:rPr>
            </w:pPr>
            <w:r w:rsidRPr="005C0C9D">
              <w:rPr>
                <w:snapToGrid w:val="0"/>
              </w:rPr>
              <w:t>Reunión de red</w:t>
            </w:r>
          </w:p>
        </w:tc>
        <w:tc>
          <w:tcPr>
            <w:tcW w:w="493"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2"/>
              <w:jc w:val="right"/>
              <w:rPr>
                <w:snapToGrid w:val="0"/>
              </w:rPr>
            </w:pPr>
            <w:r w:rsidRPr="005C0C9D">
              <w:rPr>
                <w:snapToGrid w:val="0"/>
              </w:rPr>
              <w:t>185</w:t>
            </w:r>
          </w:p>
        </w:tc>
      </w:tr>
      <w:tr w:rsidR="009F7163" w:rsidRPr="005C0C9D" w:rsidTr="004925AC">
        <w:trPr>
          <w:cantSplit/>
          <w:trHeight w:val="20"/>
          <w:jc w:val="center"/>
        </w:trPr>
        <w:tc>
          <w:tcPr>
            <w:tcW w:w="2251" w:type="pct"/>
            <w:vMerge/>
            <w:tcBorders>
              <w:top w:val="single" w:sz="4" w:space="0" w:color="auto"/>
              <w:left w:val="single" w:sz="4" w:space="0" w:color="auto"/>
              <w:bottom w:val="single" w:sz="4" w:space="0" w:color="auto"/>
              <w:right w:val="single" w:sz="4" w:space="0" w:color="auto"/>
            </w:tcBorders>
            <w:vAlign w:val="center"/>
          </w:tcPr>
          <w:p w:rsidR="009F7163" w:rsidRPr="005C0C9D" w:rsidRDefault="009F7163" w:rsidP="004925AC">
            <w:pPr>
              <w:adjustRightInd w:val="0"/>
              <w:snapToGrid w:val="0"/>
              <w:rPr>
                <w:snapToGrid w:val="0"/>
              </w:rPr>
            </w:pPr>
          </w:p>
        </w:tc>
        <w:tc>
          <w:tcPr>
            <w:tcW w:w="2256"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rPr>
                <w:snapToGrid w:val="0"/>
              </w:rPr>
            </w:pPr>
            <w:r w:rsidRPr="005C0C9D">
              <w:rPr>
                <w:snapToGrid w:val="0"/>
              </w:rPr>
              <w:t>Otros</w:t>
            </w:r>
          </w:p>
        </w:tc>
        <w:tc>
          <w:tcPr>
            <w:tcW w:w="493"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2"/>
              <w:jc w:val="right"/>
              <w:rPr>
                <w:snapToGrid w:val="0"/>
              </w:rPr>
            </w:pPr>
            <w:r w:rsidRPr="005C0C9D">
              <w:rPr>
                <w:snapToGrid w:val="0"/>
              </w:rPr>
              <w:t>476</w:t>
            </w:r>
          </w:p>
        </w:tc>
      </w:tr>
      <w:tr w:rsidR="009F7163" w:rsidRPr="005C0C9D" w:rsidTr="00FD0D79">
        <w:trPr>
          <w:cantSplit/>
          <w:trHeight w:val="20"/>
          <w:jc w:val="center"/>
        </w:trPr>
        <w:tc>
          <w:tcPr>
            <w:tcW w:w="2251" w:type="pct"/>
            <w:vMerge w:val="restart"/>
            <w:tcBorders>
              <w:top w:val="single" w:sz="4" w:space="0" w:color="auto"/>
              <w:left w:val="single" w:sz="4" w:space="0" w:color="auto"/>
              <w:bottom w:val="single" w:sz="4" w:space="0" w:color="auto"/>
              <w:right w:val="single" w:sz="4" w:space="0" w:color="auto"/>
            </w:tcBorders>
          </w:tcPr>
          <w:p w:rsidR="009F7163" w:rsidRPr="005C0C9D" w:rsidRDefault="009F7163" w:rsidP="00FD0D79">
            <w:pPr>
              <w:adjustRightInd w:val="0"/>
              <w:snapToGrid w:val="0"/>
              <w:rPr>
                <w:snapToGrid w:val="0"/>
              </w:rPr>
            </w:pPr>
            <w:r w:rsidRPr="005C0C9D">
              <w:rPr>
                <w:snapToGrid w:val="0"/>
              </w:rPr>
              <w:t>Pronóstico</w:t>
            </w:r>
          </w:p>
        </w:tc>
        <w:tc>
          <w:tcPr>
            <w:tcW w:w="2256"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rPr>
                <w:snapToGrid w:val="0"/>
              </w:rPr>
            </w:pPr>
            <w:r w:rsidRPr="005C0C9D">
              <w:rPr>
                <w:snapToGrid w:val="0"/>
              </w:rPr>
              <w:t>Bueno</w:t>
            </w:r>
          </w:p>
        </w:tc>
        <w:tc>
          <w:tcPr>
            <w:tcW w:w="493"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2"/>
              <w:jc w:val="right"/>
              <w:rPr>
                <w:snapToGrid w:val="0"/>
              </w:rPr>
            </w:pPr>
            <w:r>
              <w:rPr>
                <w:snapToGrid w:val="0"/>
              </w:rPr>
              <w:t>3.</w:t>
            </w:r>
            <w:r w:rsidRPr="005C0C9D">
              <w:rPr>
                <w:snapToGrid w:val="0"/>
              </w:rPr>
              <w:t>813</w:t>
            </w:r>
          </w:p>
        </w:tc>
      </w:tr>
      <w:tr w:rsidR="009F7163" w:rsidRPr="005C0C9D" w:rsidTr="004925AC">
        <w:trPr>
          <w:cantSplit/>
          <w:trHeight w:val="20"/>
          <w:jc w:val="center"/>
        </w:trPr>
        <w:tc>
          <w:tcPr>
            <w:tcW w:w="2251" w:type="pct"/>
            <w:vMerge/>
            <w:tcBorders>
              <w:top w:val="single" w:sz="4" w:space="0" w:color="auto"/>
              <w:left w:val="single" w:sz="4" w:space="0" w:color="auto"/>
              <w:bottom w:val="single" w:sz="4" w:space="0" w:color="auto"/>
              <w:right w:val="single" w:sz="4" w:space="0" w:color="auto"/>
            </w:tcBorders>
            <w:vAlign w:val="center"/>
          </w:tcPr>
          <w:p w:rsidR="009F7163" w:rsidRPr="005C0C9D" w:rsidRDefault="009F7163" w:rsidP="004925AC">
            <w:pPr>
              <w:adjustRightInd w:val="0"/>
              <w:snapToGrid w:val="0"/>
              <w:rPr>
                <w:snapToGrid w:val="0"/>
              </w:rPr>
            </w:pPr>
          </w:p>
        </w:tc>
        <w:tc>
          <w:tcPr>
            <w:tcW w:w="2256"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rPr>
                <w:snapToGrid w:val="0"/>
              </w:rPr>
            </w:pPr>
            <w:r w:rsidRPr="005C0C9D">
              <w:rPr>
                <w:snapToGrid w:val="0"/>
              </w:rPr>
              <w:t>Regular</w:t>
            </w:r>
          </w:p>
        </w:tc>
        <w:tc>
          <w:tcPr>
            <w:tcW w:w="493"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2"/>
              <w:jc w:val="right"/>
              <w:rPr>
                <w:snapToGrid w:val="0"/>
              </w:rPr>
            </w:pPr>
            <w:r w:rsidRPr="005C0C9D">
              <w:rPr>
                <w:snapToGrid w:val="0"/>
              </w:rPr>
              <w:t>774</w:t>
            </w:r>
          </w:p>
        </w:tc>
      </w:tr>
      <w:tr w:rsidR="009F7163" w:rsidRPr="005C0C9D" w:rsidTr="004925AC">
        <w:trPr>
          <w:cantSplit/>
          <w:trHeight w:val="20"/>
          <w:jc w:val="center"/>
        </w:trPr>
        <w:tc>
          <w:tcPr>
            <w:tcW w:w="2251" w:type="pct"/>
            <w:vMerge/>
            <w:tcBorders>
              <w:top w:val="single" w:sz="4" w:space="0" w:color="auto"/>
              <w:left w:val="single" w:sz="4" w:space="0" w:color="auto"/>
              <w:bottom w:val="single" w:sz="4" w:space="0" w:color="auto"/>
              <w:right w:val="single" w:sz="4" w:space="0" w:color="auto"/>
            </w:tcBorders>
            <w:vAlign w:val="center"/>
          </w:tcPr>
          <w:p w:rsidR="009F7163" w:rsidRPr="005C0C9D" w:rsidRDefault="009F7163" w:rsidP="004925AC">
            <w:pPr>
              <w:adjustRightInd w:val="0"/>
              <w:snapToGrid w:val="0"/>
              <w:rPr>
                <w:snapToGrid w:val="0"/>
              </w:rPr>
            </w:pPr>
          </w:p>
        </w:tc>
        <w:tc>
          <w:tcPr>
            <w:tcW w:w="2256"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rPr>
                <w:snapToGrid w:val="0"/>
              </w:rPr>
            </w:pPr>
            <w:r w:rsidRPr="005C0C9D">
              <w:rPr>
                <w:snapToGrid w:val="0"/>
              </w:rPr>
              <w:t>Malo</w:t>
            </w:r>
          </w:p>
        </w:tc>
        <w:tc>
          <w:tcPr>
            <w:tcW w:w="493" w:type="pct"/>
            <w:tcBorders>
              <w:top w:val="single" w:sz="4" w:space="0" w:color="auto"/>
              <w:left w:val="single" w:sz="4" w:space="0" w:color="auto"/>
              <w:bottom w:val="single" w:sz="4" w:space="0" w:color="auto"/>
              <w:right w:val="single" w:sz="4" w:space="0" w:color="auto"/>
            </w:tcBorders>
          </w:tcPr>
          <w:p w:rsidR="009F7163" w:rsidRPr="005C0C9D" w:rsidRDefault="009F7163" w:rsidP="004925AC">
            <w:pPr>
              <w:adjustRightInd w:val="0"/>
              <w:snapToGrid w:val="0"/>
              <w:ind w:right="102"/>
              <w:jc w:val="right"/>
              <w:rPr>
                <w:snapToGrid w:val="0"/>
              </w:rPr>
            </w:pPr>
            <w:r w:rsidRPr="005C0C9D">
              <w:rPr>
                <w:snapToGrid w:val="0"/>
              </w:rPr>
              <w:t>2</w:t>
            </w:r>
            <w:r>
              <w:rPr>
                <w:snapToGrid w:val="0"/>
              </w:rPr>
              <w:t>.</w:t>
            </w:r>
            <w:r w:rsidRPr="005C0C9D">
              <w:rPr>
                <w:snapToGrid w:val="0"/>
              </w:rPr>
              <w:t>248</w:t>
            </w:r>
          </w:p>
        </w:tc>
      </w:tr>
    </w:tbl>
    <w:p w:rsidR="009F7163" w:rsidRPr="005C0C9D" w:rsidRDefault="009F7163" w:rsidP="009F7163">
      <w:pPr>
        <w:adjustRightInd w:val="0"/>
        <w:snapToGrid w:val="0"/>
        <w:spacing w:before="480" w:after="240"/>
        <w:jc w:val="center"/>
        <w:rPr>
          <w:b/>
          <w:snapToGrid w:val="0"/>
        </w:rPr>
      </w:pPr>
      <w:r w:rsidRPr="005C0C9D">
        <w:rPr>
          <w:b/>
          <w:snapToGrid w:val="0"/>
        </w:rPr>
        <w:t>Enfermedades de transmisión sexual - VIH/SIDA</w:t>
      </w:r>
    </w:p>
    <w:tbl>
      <w:tblPr>
        <w:tblStyle w:val="TableGrid"/>
        <w:tblW w:w="5000" w:type="pct"/>
        <w:jc w:val="center"/>
        <w:tblLook w:val="01E0" w:firstRow="1" w:lastRow="1" w:firstColumn="1" w:lastColumn="1" w:noHBand="0" w:noVBand="0"/>
      </w:tblPr>
      <w:tblGrid>
        <w:gridCol w:w="4676"/>
        <w:gridCol w:w="1143"/>
        <w:gridCol w:w="1298"/>
        <w:gridCol w:w="1298"/>
        <w:gridCol w:w="1076"/>
      </w:tblGrid>
      <w:tr w:rsidR="009F7163" w:rsidRPr="000B1854" w:rsidTr="004925AC">
        <w:trPr>
          <w:trHeight w:val="20"/>
          <w:jc w:val="center"/>
        </w:trPr>
        <w:tc>
          <w:tcPr>
            <w:tcW w:w="2463" w:type="pct"/>
          </w:tcPr>
          <w:p w:rsidR="009F7163" w:rsidRPr="000B1854" w:rsidRDefault="009F7163" w:rsidP="004925AC">
            <w:pPr>
              <w:adjustRightInd w:val="0"/>
              <w:snapToGrid w:val="0"/>
              <w:jc w:val="center"/>
              <w:rPr>
                <w:b/>
                <w:iCs/>
                <w:snapToGrid w:val="0"/>
              </w:rPr>
            </w:pPr>
            <w:r w:rsidRPr="000B1854">
              <w:rPr>
                <w:b/>
                <w:iCs/>
                <w:snapToGrid w:val="0"/>
              </w:rPr>
              <w:t>Indicadores</w:t>
            </w:r>
          </w:p>
        </w:tc>
        <w:tc>
          <w:tcPr>
            <w:tcW w:w="602" w:type="pct"/>
            <w:vAlign w:val="center"/>
          </w:tcPr>
          <w:p w:rsidR="009F7163" w:rsidRPr="000B1854" w:rsidRDefault="009F7163" w:rsidP="004925AC">
            <w:pPr>
              <w:adjustRightInd w:val="0"/>
              <w:snapToGrid w:val="0"/>
              <w:jc w:val="center"/>
              <w:rPr>
                <w:b/>
                <w:iCs/>
                <w:snapToGrid w:val="0"/>
              </w:rPr>
            </w:pPr>
            <w:r w:rsidRPr="000B1854">
              <w:rPr>
                <w:b/>
                <w:iCs/>
                <w:snapToGrid w:val="0"/>
              </w:rPr>
              <w:t>2000</w:t>
            </w:r>
          </w:p>
        </w:tc>
        <w:tc>
          <w:tcPr>
            <w:tcW w:w="684" w:type="pct"/>
            <w:vAlign w:val="center"/>
          </w:tcPr>
          <w:p w:rsidR="009F7163" w:rsidRPr="000B1854" w:rsidRDefault="009F7163" w:rsidP="004925AC">
            <w:pPr>
              <w:adjustRightInd w:val="0"/>
              <w:snapToGrid w:val="0"/>
              <w:jc w:val="center"/>
              <w:rPr>
                <w:b/>
                <w:iCs/>
                <w:snapToGrid w:val="0"/>
              </w:rPr>
            </w:pPr>
            <w:r w:rsidRPr="000B1854">
              <w:rPr>
                <w:b/>
                <w:iCs/>
                <w:snapToGrid w:val="0"/>
              </w:rPr>
              <w:t>2002</w:t>
            </w:r>
          </w:p>
        </w:tc>
        <w:tc>
          <w:tcPr>
            <w:tcW w:w="684" w:type="pct"/>
            <w:vAlign w:val="center"/>
          </w:tcPr>
          <w:p w:rsidR="009F7163" w:rsidRPr="000B1854" w:rsidRDefault="009F7163" w:rsidP="004925AC">
            <w:pPr>
              <w:adjustRightInd w:val="0"/>
              <w:snapToGrid w:val="0"/>
              <w:jc w:val="center"/>
              <w:rPr>
                <w:b/>
                <w:iCs/>
                <w:snapToGrid w:val="0"/>
              </w:rPr>
            </w:pPr>
            <w:r w:rsidRPr="000B1854">
              <w:rPr>
                <w:b/>
                <w:iCs/>
                <w:snapToGrid w:val="0"/>
              </w:rPr>
              <w:t>2004</w:t>
            </w:r>
          </w:p>
        </w:tc>
        <w:tc>
          <w:tcPr>
            <w:tcW w:w="567" w:type="pct"/>
            <w:vAlign w:val="center"/>
          </w:tcPr>
          <w:p w:rsidR="009F7163" w:rsidRPr="000B1854" w:rsidRDefault="009F7163" w:rsidP="004925AC">
            <w:pPr>
              <w:adjustRightInd w:val="0"/>
              <w:snapToGrid w:val="0"/>
              <w:jc w:val="center"/>
              <w:rPr>
                <w:b/>
                <w:iCs/>
                <w:snapToGrid w:val="0"/>
              </w:rPr>
            </w:pPr>
            <w:r w:rsidRPr="000B1854">
              <w:rPr>
                <w:b/>
                <w:iCs/>
                <w:snapToGrid w:val="0"/>
              </w:rPr>
              <w:t>2005</w:t>
            </w:r>
          </w:p>
        </w:tc>
      </w:tr>
      <w:tr w:rsidR="009F7163" w:rsidRPr="005C0C9D" w:rsidTr="004925AC">
        <w:trPr>
          <w:trHeight w:val="20"/>
          <w:jc w:val="center"/>
        </w:trPr>
        <w:tc>
          <w:tcPr>
            <w:tcW w:w="2463" w:type="pct"/>
            <w:vMerge w:val="restart"/>
            <w:vAlign w:val="center"/>
          </w:tcPr>
          <w:p w:rsidR="009F7163" w:rsidRPr="005C0C9D" w:rsidRDefault="009F7163" w:rsidP="004925AC">
            <w:pPr>
              <w:adjustRightInd w:val="0"/>
              <w:snapToGrid w:val="0"/>
              <w:rPr>
                <w:snapToGrid w:val="0"/>
              </w:rPr>
            </w:pPr>
            <w:r w:rsidRPr="005C0C9D">
              <w:rPr>
                <w:snapToGrid w:val="0"/>
              </w:rPr>
              <w:t>VIH/SID</w:t>
            </w:r>
            <w:r>
              <w:rPr>
                <w:snapToGrid w:val="0"/>
              </w:rPr>
              <w:t>A (casos, a 31 de diciembre) (porcentaje)</w:t>
            </w:r>
          </w:p>
        </w:tc>
        <w:tc>
          <w:tcPr>
            <w:tcW w:w="602" w:type="pct"/>
            <w:vAlign w:val="center"/>
          </w:tcPr>
          <w:p w:rsidR="009F7163" w:rsidRPr="005C0C9D" w:rsidRDefault="009F7163" w:rsidP="004925AC">
            <w:pPr>
              <w:adjustRightInd w:val="0"/>
              <w:snapToGrid w:val="0"/>
              <w:jc w:val="center"/>
              <w:rPr>
                <w:snapToGrid w:val="0"/>
              </w:rPr>
            </w:pPr>
            <w:r>
              <w:rPr>
                <w:snapToGrid w:val="0"/>
              </w:rPr>
              <w:t>1.</w:t>
            </w:r>
            <w:r w:rsidRPr="005C0C9D">
              <w:rPr>
                <w:snapToGrid w:val="0"/>
              </w:rPr>
              <w:t>533</w:t>
            </w:r>
          </w:p>
        </w:tc>
        <w:tc>
          <w:tcPr>
            <w:tcW w:w="684" w:type="pct"/>
            <w:vAlign w:val="center"/>
          </w:tcPr>
          <w:p w:rsidR="009F7163" w:rsidRPr="005C0C9D" w:rsidRDefault="009F7163" w:rsidP="004925AC">
            <w:pPr>
              <w:adjustRightInd w:val="0"/>
              <w:snapToGrid w:val="0"/>
              <w:jc w:val="center"/>
              <w:rPr>
                <w:snapToGrid w:val="0"/>
              </w:rPr>
            </w:pPr>
            <w:r>
              <w:rPr>
                <w:snapToGrid w:val="0"/>
              </w:rPr>
              <w:t>1.</w:t>
            </w:r>
            <w:r w:rsidRPr="005C0C9D">
              <w:rPr>
                <w:snapToGrid w:val="0"/>
              </w:rPr>
              <w:t>861</w:t>
            </w:r>
          </w:p>
        </w:tc>
        <w:tc>
          <w:tcPr>
            <w:tcW w:w="684" w:type="pct"/>
            <w:vAlign w:val="center"/>
          </w:tcPr>
          <w:p w:rsidR="009F7163" w:rsidRPr="005C0C9D" w:rsidRDefault="009F7163" w:rsidP="004925AC">
            <w:pPr>
              <w:adjustRightInd w:val="0"/>
              <w:snapToGrid w:val="0"/>
              <w:jc w:val="center"/>
              <w:rPr>
                <w:snapToGrid w:val="0"/>
              </w:rPr>
            </w:pPr>
            <w:r w:rsidRPr="005C0C9D">
              <w:rPr>
                <w:snapToGrid w:val="0"/>
              </w:rPr>
              <w:t>2</w:t>
            </w:r>
            <w:r>
              <w:rPr>
                <w:snapToGrid w:val="0"/>
              </w:rPr>
              <w:t>.</w:t>
            </w:r>
            <w:r w:rsidRPr="005C0C9D">
              <w:rPr>
                <w:snapToGrid w:val="0"/>
              </w:rPr>
              <w:t>363</w:t>
            </w:r>
          </w:p>
        </w:tc>
        <w:tc>
          <w:tcPr>
            <w:tcW w:w="567" w:type="pct"/>
            <w:vAlign w:val="center"/>
          </w:tcPr>
          <w:p w:rsidR="009F7163" w:rsidRPr="005C0C9D" w:rsidRDefault="009F7163" w:rsidP="004925AC">
            <w:pPr>
              <w:adjustRightInd w:val="0"/>
              <w:snapToGrid w:val="0"/>
              <w:jc w:val="center"/>
              <w:rPr>
                <w:snapToGrid w:val="0"/>
              </w:rPr>
            </w:pPr>
            <w:r w:rsidRPr="005C0C9D">
              <w:rPr>
                <w:snapToGrid w:val="0"/>
              </w:rPr>
              <w:t>2</w:t>
            </w:r>
            <w:r>
              <w:rPr>
                <w:snapToGrid w:val="0"/>
              </w:rPr>
              <w:t>.</w:t>
            </w:r>
            <w:r w:rsidRPr="005C0C9D">
              <w:rPr>
                <w:snapToGrid w:val="0"/>
              </w:rPr>
              <w:t>608</w:t>
            </w:r>
          </w:p>
        </w:tc>
      </w:tr>
      <w:tr w:rsidR="009F7163" w:rsidRPr="005C0C9D" w:rsidTr="004925AC">
        <w:trPr>
          <w:trHeight w:val="20"/>
          <w:jc w:val="center"/>
        </w:trPr>
        <w:tc>
          <w:tcPr>
            <w:tcW w:w="2463" w:type="pct"/>
            <w:vMerge/>
            <w:vAlign w:val="center"/>
          </w:tcPr>
          <w:p w:rsidR="009F7163" w:rsidRPr="005C0C9D" w:rsidRDefault="009F7163" w:rsidP="004925AC">
            <w:pPr>
              <w:adjustRightInd w:val="0"/>
              <w:snapToGrid w:val="0"/>
              <w:rPr>
                <w:snapToGrid w:val="0"/>
              </w:rPr>
            </w:pPr>
          </w:p>
        </w:tc>
        <w:tc>
          <w:tcPr>
            <w:tcW w:w="602" w:type="pct"/>
            <w:vAlign w:val="center"/>
          </w:tcPr>
          <w:p w:rsidR="009F7163" w:rsidRDefault="009F7163" w:rsidP="004925AC">
            <w:pPr>
              <w:adjustRightInd w:val="0"/>
              <w:snapToGrid w:val="0"/>
              <w:jc w:val="center"/>
              <w:rPr>
                <w:snapToGrid w:val="0"/>
              </w:rPr>
            </w:pPr>
            <w:r w:rsidRPr="005C0C9D">
              <w:rPr>
                <w:snapToGrid w:val="0"/>
              </w:rPr>
              <w:t>(0,00500)</w:t>
            </w:r>
          </w:p>
        </w:tc>
        <w:tc>
          <w:tcPr>
            <w:tcW w:w="684" w:type="pct"/>
            <w:vAlign w:val="center"/>
          </w:tcPr>
          <w:p w:rsidR="009F7163" w:rsidRDefault="009F7163" w:rsidP="004925AC">
            <w:pPr>
              <w:adjustRightInd w:val="0"/>
              <w:snapToGrid w:val="0"/>
              <w:jc w:val="center"/>
              <w:rPr>
                <w:snapToGrid w:val="0"/>
              </w:rPr>
            </w:pPr>
            <w:r w:rsidRPr="005C0C9D">
              <w:rPr>
                <w:snapToGrid w:val="0"/>
              </w:rPr>
              <w:t>(0,00592)</w:t>
            </w:r>
          </w:p>
        </w:tc>
        <w:tc>
          <w:tcPr>
            <w:tcW w:w="684" w:type="pct"/>
            <w:vAlign w:val="center"/>
          </w:tcPr>
          <w:p w:rsidR="009F7163" w:rsidRPr="005C0C9D" w:rsidRDefault="009F7163" w:rsidP="004925AC">
            <w:pPr>
              <w:adjustRightInd w:val="0"/>
              <w:snapToGrid w:val="0"/>
              <w:jc w:val="center"/>
              <w:rPr>
                <w:snapToGrid w:val="0"/>
              </w:rPr>
            </w:pPr>
            <w:r w:rsidRPr="005C0C9D">
              <w:rPr>
                <w:snapToGrid w:val="0"/>
              </w:rPr>
              <w:t>(0,00731)</w:t>
            </w:r>
          </w:p>
        </w:tc>
        <w:tc>
          <w:tcPr>
            <w:tcW w:w="567" w:type="pct"/>
            <w:vAlign w:val="center"/>
          </w:tcPr>
          <w:p w:rsidR="009F7163" w:rsidRPr="005C0C9D" w:rsidRDefault="009F7163" w:rsidP="004925AC">
            <w:pPr>
              <w:adjustRightInd w:val="0"/>
              <w:snapToGrid w:val="0"/>
              <w:jc w:val="center"/>
              <w:rPr>
                <w:snapToGrid w:val="0"/>
              </w:rPr>
            </w:pPr>
          </w:p>
        </w:tc>
      </w:tr>
      <w:tr w:rsidR="009F7163" w:rsidRPr="005C0C9D" w:rsidTr="004925AC">
        <w:trPr>
          <w:trHeight w:val="20"/>
          <w:jc w:val="center"/>
        </w:trPr>
        <w:tc>
          <w:tcPr>
            <w:tcW w:w="2463" w:type="pct"/>
            <w:vMerge w:val="restart"/>
            <w:vAlign w:val="center"/>
          </w:tcPr>
          <w:p w:rsidR="009F7163" w:rsidRPr="005C0C9D" w:rsidRDefault="009F7163" w:rsidP="004925AC">
            <w:pPr>
              <w:adjustRightInd w:val="0"/>
              <w:snapToGrid w:val="0"/>
              <w:rPr>
                <w:snapToGrid w:val="0"/>
              </w:rPr>
            </w:pPr>
            <w:r w:rsidRPr="005C0C9D">
              <w:rPr>
                <w:snapToGrid w:val="0"/>
              </w:rPr>
              <w:t>Muje</w:t>
            </w:r>
            <w:r>
              <w:rPr>
                <w:snapToGrid w:val="0"/>
              </w:rPr>
              <w:t>res de 15 a 40 años infectadas (porcentaje</w:t>
            </w:r>
            <w:r w:rsidRPr="005C0C9D">
              <w:rPr>
                <w:snapToGrid w:val="0"/>
              </w:rPr>
              <w:t>)</w:t>
            </w:r>
          </w:p>
        </w:tc>
        <w:tc>
          <w:tcPr>
            <w:tcW w:w="602" w:type="pct"/>
            <w:vAlign w:val="center"/>
          </w:tcPr>
          <w:p w:rsidR="009F7163" w:rsidRPr="005C0C9D" w:rsidRDefault="009F7163" w:rsidP="004925AC">
            <w:pPr>
              <w:tabs>
                <w:tab w:val="decimal" w:pos="756"/>
              </w:tabs>
              <w:adjustRightInd w:val="0"/>
              <w:snapToGrid w:val="0"/>
              <w:rPr>
                <w:snapToGrid w:val="0"/>
              </w:rPr>
            </w:pPr>
            <w:r w:rsidRPr="005C0C9D">
              <w:rPr>
                <w:snapToGrid w:val="0"/>
              </w:rPr>
              <w:t>248</w:t>
            </w:r>
          </w:p>
        </w:tc>
        <w:tc>
          <w:tcPr>
            <w:tcW w:w="684" w:type="pct"/>
            <w:vAlign w:val="center"/>
          </w:tcPr>
          <w:p w:rsidR="009F7163" w:rsidRPr="005C0C9D" w:rsidRDefault="009F7163" w:rsidP="004925AC">
            <w:pPr>
              <w:tabs>
                <w:tab w:val="decimal" w:pos="756"/>
              </w:tabs>
              <w:adjustRightInd w:val="0"/>
              <w:snapToGrid w:val="0"/>
              <w:rPr>
                <w:snapToGrid w:val="0"/>
              </w:rPr>
            </w:pPr>
            <w:r w:rsidRPr="005C0C9D">
              <w:rPr>
                <w:snapToGrid w:val="0"/>
              </w:rPr>
              <w:t>329</w:t>
            </w:r>
          </w:p>
        </w:tc>
        <w:tc>
          <w:tcPr>
            <w:tcW w:w="684" w:type="pct"/>
            <w:vAlign w:val="center"/>
          </w:tcPr>
          <w:p w:rsidR="009F7163" w:rsidRPr="005C0C9D" w:rsidRDefault="009F7163" w:rsidP="004925AC">
            <w:pPr>
              <w:tabs>
                <w:tab w:val="decimal" w:pos="756"/>
              </w:tabs>
              <w:adjustRightInd w:val="0"/>
              <w:snapToGrid w:val="0"/>
              <w:rPr>
                <w:snapToGrid w:val="0"/>
              </w:rPr>
            </w:pPr>
            <w:r w:rsidRPr="005C0C9D">
              <w:rPr>
                <w:snapToGrid w:val="0"/>
              </w:rPr>
              <w:t>683</w:t>
            </w:r>
          </w:p>
        </w:tc>
        <w:tc>
          <w:tcPr>
            <w:tcW w:w="567" w:type="pct"/>
            <w:vAlign w:val="center"/>
          </w:tcPr>
          <w:p w:rsidR="009F7163" w:rsidRPr="005C0C9D" w:rsidRDefault="009F7163" w:rsidP="004925AC">
            <w:pPr>
              <w:tabs>
                <w:tab w:val="decimal" w:pos="756"/>
              </w:tabs>
              <w:adjustRightInd w:val="0"/>
              <w:snapToGrid w:val="0"/>
              <w:rPr>
                <w:snapToGrid w:val="0"/>
              </w:rPr>
            </w:pPr>
            <w:r w:rsidRPr="005C0C9D">
              <w:rPr>
                <w:snapToGrid w:val="0"/>
              </w:rPr>
              <w:t>205</w:t>
            </w:r>
          </w:p>
        </w:tc>
      </w:tr>
      <w:tr w:rsidR="009F7163" w:rsidRPr="005C0C9D" w:rsidTr="004925AC">
        <w:trPr>
          <w:trHeight w:val="20"/>
          <w:jc w:val="center"/>
        </w:trPr>
        <w:tc>
          <w:tcPr>
            <w:tcW w:w="2463" w:type="pct"/>
            <w:vMerge/>
            <w:vAlign w:val="center"/>
          </w:tcPr>
          <w:p w:rsidR="009F7163" w:rsidRPr="005C0C9D" w:rsidRDefault="009F7163" w:rsidP="004925AC">
            <w:pPr>
              <w:adjustRightInd w:val="0"/>
              <w:snapToGrid w:val="0"/>
              <w:rPr>
                <w:snapToGrid w:val="0"/>
              </w:rPr>
            </w:pPr>
          </w:p>
        </w:tc>
        <w:tc>
          <w:tcPr>
            <w:tcW w:w="602" w:type="pct"/>
            <w:vAlign w:val="center"/>
          </w:tcPr>
          <w:p w:rsidR="009F7163" w:rsidRPr="005C0C9D" w:rsidRDefault="009F7163" w:rsidP="004925AC">
            <w:pPr>
              <w:adjustRightInd w:val="0"/>
              <w:snapToGrid w:val="0"/>
              <w:jc w:val="center"/>
              <w:rPr>
                <w:snapToGrid w:val="0"/>
              </w:rPr>
            </w:pPr>
            <w:r w:rsidRPr="005C0C9D">
              <w:rPr>
                <w:snapToGrid w:val="0"/>
              </w:rPr>
              <w:t>(0,00314)</w:t>
            </w:r>
          </w:p>
        </w:tc>
        <w:tc>
          <w:tcPr>
            <w:tcW w:w="684" w:type="pct"/>
            <w:vAlign w:val="center"/>
          </w:tcPr>
          <w:p w:rsidR="009F7163" w:rsidRPr="005C0C9D" w:rsidRDefault="009F7163" w:rsidP="004925AC">
            <w:pPr>
              <w:adjustRightInd w:val="0"/>
              <w:snapToGrid w:val="0"/>
              <w:jc w:val="center"/>
              <w:rPr>
                <w:snapToGrid w:val="0"/>
              </w:rPr>
            </w:pPr>
            <w:r w:rsidRPr="005C0C9D">
              <w:rPr>
                <w:snapToGrid w:val="0"/>
              </w:rPr>
              <w:t>(0,00374)</w:t>
            </w:r>
          </w:p>
        </w:tc>
        <w:tc>
          <w:tcPr>
            <w:tcW w:w="684" w:type="pct"/>
            <w:vAlign w:val="center"/>
          </w:tcPr>
          <w:p w:rsidR="009F7163" w:rsidRPr="005C0C9D" w:rsidRDefault="009F7163" w:rsidP="004925AC">
            <w:pPr>
              <w:adjustRightInd w:val="0"/>
              <w:snapToGrid w:val="0"/>
              <w:jc w:val="center"/>
              <w:rPr>
                <w:snapToGrid w:val="0"/>
              </w:rPr>
            </w:pPr>
            <w:r w:rsidRPr="005C0C9D">
              <w:rPr>
                <w:snapToGrid w:val="0"/>
              </w:rPr>
              <w:t>(0,00714)</w:t>
            </w:r>
          </w:p>
        </w:tc>
        <w:tc>
          <w:tcPr>
            <w:tcW w:w="567" w:type="pct"/>
            <w:vAlign w:val="center"/>
          </w:tcPr>
          <w:p w:rsidR="009F7163" w:rsidRPr="005C0C9D" w:rsidRDefault="009F7163" w:rsidP="004925AC">
            <w:pPr>
              <w:adjustRightInd w:val="0"/>
              <w:snapToGrid w:val="0"/>
              <w:jc w:val="center"/>
              <w:rPr>
                <w:snapToGrid w:val="0"/>
              </w:rPr>
            </w:pPr>
          </w:p>
        </w:tc>
      </w:tr>
      <w:tr w:rsidR="009F7163" w:rsidRPr="005C0C9D" w:rsidTr="004925AC">
        <w:trPr>
          <w:trHeight w:val="20"/>
          <w:jc w:val="center"/>
        </w:trPr>
        <w:tc>
          <w:tcPr>
            <w:tcW w:w="2463" w:type="pct"/>
            <w:vMerge w:val="restart"/>
            <w:vAlign w:val="center"/>
          </w:tcPr>
          <w:p w:rsidR="009F7163" w:rsidRDefault="009F7163" w:rsidP="004925AC">
            <w:pPr>
              <w:adjustRightInd w:val="0"/>
              <w:snapToGrid w:val="0"/>
              <w:rPr>
                <w:snapToGrid w:val="0"/>
              </w:rPr>
            </w:pPr>
            <w:r w:rsidRPr="005C0C9D">
              <w:rPr>
                <w:snapToGrid w:val="0"/>
              </w:rPr>
              <w:t>Ni</w:t>
            </w:r>
            <w:r>
              <w:rPr>
                <w:snapToGrid w:val="0"/>
              </w:rPr>
              <w:t>ños de 0 a 14 años infectados</w:t>
            </w:r>
          </w:p>
          <w:p w:rsidR="009F7163" w:rsidRPr="005C0C9D" w:rsidRDefault="009F7163" w:rsidP="004925AC">
            <w:pPr>
              <w:adjustRightInd w:val="0"/>
              <w:snapToGrid w:val="0"/>
              <w:rPr>
                <w:snapToGrid w:val="0"/>
              </w:rPr>
            </w:pPr>
            <w:r>
              <w:rPr>
                <w:snapToGrid w:val="0"/>
              </w:rPr>
              <w:t>(porcentaje</w:t>
            </w:r>
            <w:r w:rsidRPr="005C0C9D">
              <w:rPr>
                <w:snapToGrid w:val="0"/>
              </w:rPr>
              <w:t>)</w:t>
            </w:r>
          </w:p>
        </w:tc>
        <w:tc>
          <w:tcPr>
            <w:tcW w:w="602" w:type="pct"/>
            <w:vAlign w:val="center"/>
          </w:tcPr>
          <w:p w:rsidR="009F7163" w:rsidRPr="005C0C9D" w:rsidRDefault="009F7163" w:rsidP="004925AC">
            <w:pPr>
              <w:tabs>
                <w:tab w:val="decimal" w:pos="756"/>
              </w:tabs>
              <w:adjustRightInd w:val="0"/>
              <w:snapToGrid w:val="0"/>
              <w:rPr>
                <w:snapToGrid w:val="0"/>
              </w:rPr>
            </w:pPr>
            <w:r w:rsidRPr="005C0C9D">
              <w:rPr>
                <w:snapToGrid w:val="0"/>
              </w:rPr>
              <w:t>48</w:t>
            </w:r>
          </w:p>
        </w:tc>
        <w:tc>
          <w:tcPr>
            <w:tcW w:w="684" w:type="pct"/>
            <w:vAlign w:val="center"/>
          </w:tcPr>
          <w:p w:rsidR="009F7163" w:rsidRPr="005C0C9D" w:rsidRDefault="009F7163" w:rsidP="004925AC">
            <w:pPr>
              <w:tabs>
                <w:tab w:val="decimal" w:pos="756"/>
              </w:tabs>
              <w:adjustRightInd w:val="0"/>
              <w:snapToGrid w:val="0"/>
              <w:rPr>
                <w:snapToGrid w:val="0"/>
              </w:rPr>
            </w:pPr>
            <w:r w:rsidRPr="005C0C9D">
              <w:rPr>
                <w:snapToGrid w:val="0"/>
              </w:rPr>
              <w:t>62</w:t>
            </w:r>
          </w:p>
        </w:tc>
        <w:tc>
          <w:tcPr>
            <w:tcW w:w="684" w:type="pct"/>
            <w:vAlign w:val="center"/>
          </w:tcPr>
          <w:p w:rsidR="009F7163" w:rsidRPr="005C0C9D" w:rsidRDefault="009F7163" w:rsidP="004925AC">
            <w:pPr>
              <w:tabs>
                <w:tab w:val="decimal" w:pos="756"/>
              </w:tabs>
              <w:adjustRightInd w:val="0"/>
              <w:snapToGrid w:val="0"/>
              <w:rPr>
                <w:snapToGrid w:val="0"/>
              </w:rPr>
            </w:pPr>
            <w:r w:rsidRPr="005C0C9D">
              <w:rPr>
                <w:snapToGrid w:val="0"/>
              </w:rPr>
              <w:t>81</w:t>
            </w:r>
          </w:p>
        </w:tc>
        <w:tc>
          <w:tcPr>
            <w:tcW w:w="567" w:type="pct"/>
            <w:vAlign w:val="center"/>
          </w:tcPr>
          <w:p w:rsidR="009F7163" w:rsidRPr="005C0C9D" w:rsidRDefault="009F7163" w:rsidP="004925AC">
            <w:pPr>
              <w:tabs>
                <w:tab w:val="decimal" w:pos="756"/>
              </w:tabs>
              <w:adjustRightInd w:val="0"/>
              <w:snapToGrid w:val="0"/>
              <w:rPr>
                <w:snapToGrid w:val="0"/>
              </w:rPr>
            </w:pPr>
            <w:r w:rsidRPr="005C0C9D">
              <w:rPr>
                <w:snapToGrid w:val="0"/>
              </w:rPr>
              <w:t>22</w:t>
            </w:r>
          </w:p>
        </w:tc>
      </w:tr>
      <w:tr w:rsidR="009F7163" w:rsidRPr="005C0C9D" w:rsidTr="004925AC">
        <w:trPr>
          <w:trHeight w:val="20"/>
          <w:jc w:val="center"/>
        </w:trPr>
        <w:tc>
          <w:tcPr>
            <w:tcW w:w="2463" w:type="pct"/>
            <w:vMerge/>
            <w:vAlign w:val="center"/>
          </w:tcPr>
          <w:p w:rsidR="009F7163" w:rsidRPr="005C0C9D" w:rsidRDefault="009F7163" w:rsidP="004925AC">
            <w:pPr>
              <w:adjustRightInd w:val="0"/>
              <w:snapToGrid w:val="0"/>
              <w:rPr>
                <w:snapToGrid w:val="0"/>
              </w:rPr>
            </w:pPr>
          </w:p>
        </w:tc>
        <w:tc>
          <w:tcPr>
            <w:tcW w:w="602" w:type="pct"/>
            <w:vAlign w:val="center"/>
          </w:tcPr>
          <w:p w:rsidR="009F7163" w:rsidRPr="005C0C9D" w:rsidRDefault="009F7163" w:rsidP="004925AC">
            <w:pPr>
              <w:adjustRightInd w:val="0"/>
              <w:snapToGrid w:val="0"/>
              <w:jc w:val="center"/>
              <w:rPr>
                <w:snapToGrid w:val="0"/>
              </w:rPr>
            </w:pPr>
            <w:r w:rsidRPr="005C0C9D">
              <w:rPr>
                <w:snapToGrid w:val="0"/>
              </w:rPr>
              <w:t>(0,00048)</w:t>
            </w:r>
          </w:p>
        </w:tc>
        <w:tc>
          <w:tcPr>
            <w:tcW w:w="684" w:type="pct"/>
            <w:vAlign w:val="center"/>
          </w:tcPr>
          <w:p w:rsidR="009F7163" w:rsidRPr="005C0C9D" w:rsidRDefault="009F7163" w:rsidP="004925AC">
            <w:pPr>
              <w:adjustRightInd w:val="0"/>
              <w:snapToGrid w:val="0"/>
              <w:jc w:val="center"/>
              <w:rPr>
                <w:snapToGrid w:val="0"/>
              </w:rPr>
            </w:pPr>
            <w:r w:rsidRPr="005C0C9D">
              <w:rPr>
                <w:snapToGrid w:val="0"/>
              </w:rPr>
              <w:t>(0,00062)</w:t>
            </w:r>
          </w:p>
        </w:tc>
        <w:tc>
          <w:tcPr>
            <w:tcW w:w="684" w:type="pct"/>
            <w:vAlign w:val="center"/>
          </w:tcPr>
          <w:p w:rsidR="009F7163" w:rsidRPr="005C0C9D" w:rsidRDefault="009F7163" w:rsidP="004925AC">
            <w:pPr>
              <w:adjustRightInd w:val="0"/>
              <w:snapToGrid w:val="0"/>
              <w:jc w:val="center"/>
              <w:rPr>
                <w:snapToGrid w:val="0"/>
              </w:rPr>
            </w:pPr>
            <w:r w:rsidRPr="005C0C9D">
              <w:rPr>
                <w:snapToGrid w:val="0"/>
              </w:rPr>
              <w:t>(0,00081)</w:t>
            </w:r>
          </w:p>
        </w:tc>
        <w:tc>
          <w:tcPr>
            <w:tcW w:w="567" w:type="pct"/>
            <w:vAlign w:val="center"/>
          </w:tcPr>
          <w:p w:rsidR="009F7163" w:rsidRPr="005C0C9D" w:rsidRDefault="009F7163" w:rsidP="004925AC">
            <w:pPr>
              <w:adjustRightInd w:val="0"/>
              <w:snapToGrid w:val="0"/>
              <w:jc w:val="center"/>
              <w:rPr>
                <w:snapToGrid w:val="0"/>
              </w:rPr>
            </w:pPr>
            <w:r>
              <w:rPr>
                <w:snapToGrid w:val="0"/>
              </w:rPr>
              <w:t>(</w:t>
            </w:r>
            <w:r w:rsidRPr="005C0C9D">
              <w:rPr>
                <w:snapToGrid w:val="0"/>
              </w:rPr>
              <w:t>0,00022</w:t>
            </w:r>
            <w:r>
              <w:rPr>
                <w:snapToGrid w:val="0"/>
              </w:rPr>
              <w:t>)</w:t>
            </w:r>
          </w:p>
        </w:tc>
      </w:tr>
    </w:tbl>
    <w:p w:rsidR="009F7163" w:rsidRPr="005C0C9D" w:rsidRDefault="009F7163" w:rsidP="009F7163">
      <w:pPr>
        <w:adjustRightInd w:val="0"/>
        <w:snapToGrid w:val="0"/>
        <w:spacing w:before="480" w:after="240"/>
        <w:rPr>
          <w:snapToGrid w:val="0"/>
        </w:rPr>
      </w:pPr>
      <w:r w:rsidRPr="005C0C9D">
        <w:rPr>
          <w:snapToGrid w:val="0"/>
        </w:rPr>
        <w:t>305.</w:t>
      </w:r>
      <w:r w:rsidRPr="005C0C9D">
        <w:rPr>
          <w:snapToGrid w:val="0"/>
        </w:rPr>
        <w:tab/>
        <w:t>Argelia es un país de perfil epidemiológico bajo, pues su</w:t>
      </w:r>
      <w:r>
        <w:rPr>
          <w:snapToGrid w:val="0"/>
        </w:rPr>
        <w:t xml:space="preserve"> tasa de seroprevalencia es del </w:t>
      </w:r>
      <w:r w:rsidRPr="005C0C9D">
        <w:rPr>
          <w:snapToGrid w:val="0"/>
        </w:rPr>
        <w:t xml:space="preserve">0,1%. </w:t>
      </w:r>
      <w:r>
        <w:rPr>
          <w:snapToGrid w:val="0"/>
        </w:rPr>
        <w:t xml:space="preserve"> </w:t>
      </w:r>
      <w:r w:rsidRPr="005C0C9D">
        <w:rPr>
          <w:snapToGrid w:val="0"/>
        </w:rPr>
        <w:t xml:space="preserve">El primer caso de infección por el VIH se diagnosticó en 1985. </w:t>
      </w:r>
      <w:r>
        <w:rPr>
          <w:snapToGrid w:val="0"/>
        </w:rPr>
        <w:t xml:space="preserve"> </w:t>
      </w:r>
      <w:r w:rsidRPr="005C0C9D">
        <w:rPr>
          <w:snapToGrid w:val="0"/>
        </w:rPr>
        <w:t>Al 31 de diciembre de</w:t>
      </w:r>
      <w:r>
        <w:rPr>
          <w:snapToGrid w:val="0"/>
        </w:rPr>
        <w:t> </w:t>
      </w:r>
      <w:r w:rsidRPr="005C0C9D">
        <w:rPr>
          <w:snapToGrid w:val="0"/>
        </w:rPr>
        <w:t>2005, el número de casos confirmados por el Laboratorio</w:t>
      </w:r>
      <w:r>
        <w:rPr>
          <w:snapToGrid w:val="0"/>
        </w:rPr>
        <w:t xml:space="preserve"> Nacional de Control era </w:t>
      </w:r>
      <w:r w:rsidRPr="000B1854">
        <w:t>de</w:t>
      </w:r>
      <w:r>
        <w:t> </w:t>
      </w:r>
      <w:r w:rsidRPr="000B1854">
        <w:t>700</w:t>
      </w:r>
      <w:r>
        <w:rPr>
          <w:snapToGrid w:val="0"/>
        </w:rPr>
        <w:t> </w:t>
      </w:r>
      <w:r w:rsidRPr="005C0C9D">
        <w:rPr>
          <w:snapToGrid w:val="0"/>
        </w:rPr>
        <w:t xml:space="preserve">enfermos de SIDA y 1.908 personas seropositivas. </w:t>
      </w:r>
      <w:r>
        <w:rPr>
          <w:snapToGrid w:val="0"/>
        </w:rPr>
        <w:t xml:space="preserve"> </w:t>
      </w:r>
      <w:r w:rsidRPr="005C0C9D">
        <w:rPr>
          <w:snapToGrid w:val="0"/>
        </w:rPr>
        <w:t>En cuanto al desglose de casos de SIDA por edad y por sexo, la tasa es del 4,28% para el grupo de 0 a 19 años, con una proporción en cuanto al sexo de 3 hombres por cada 2 mujeres.</w:t>
      </w:r>
    </w:p>
    <w:p w:rsidR="009F7163" w:rsidRPr="005C0C9D" w:rsidRDefault="009F7163" w:rsidP="009F7163">
      <w:pPr>
        <w:adjustRightInd w:val="0"/>
        <w:snapToGrid w:val="0"/>
        <w:spacing w:after="240"/>
        <w:rPr>
          <w:snapToGrid w:val="0"/>
        </w:rPr>
      </w:pPr>
      <w:r w:rsidRPr="005C0C9D">
        <w:rPr>
          <w:snapToGrid w:val="0"/>
        </w:rPr>
        <w:t>306.</w:t>
      </w:r>
      <w:r w:rsidRPr="005C0C9D">
        <w:rPr>
          <w:snapToGrid w:val="0"/>
        </w:rPr>
        <w:tab/>
        <w:t xml:space="preserve">Dado que la transmisión predominante es la heterosexual (45,29%), las mujeres en edad reproductiva resultan infectadas cada vez con mayor frecuencia </w:t>
      </w:r>
      <w:r>
        <w:rPr>
          <w:snapToGrid w:val="0"/>
        </w:rPr>
        <w:t xml:space="preserve">(1 de cada 3 casos) y, </w:t>
      </w:r>
      <w:r w:rsidRPr="005C0C9D">
        <w:rPr>
          <w:snapToGrid w:val="0"/>
        </w:rPr>
        <w:t>juntamente con los jóvenes, constituyen grupos de población particularmente vulnerables.</w:t>
      </w:r>
      <w:r>
        <w:rPr>
          <w:snapToGrid w:val="0"/>
        </w:rPr>
        <w:t xml:space="preserve"> </w:t>
      </w:r>
      <w:r w:rsidRPr="005C0C9D">
        <w:rPr>
          <w:snapToGrid w:val="0"/>
        </w:rPr>
        <w:t xml:space="preserve"> En consecuencia, se han adoptado medidas con el fin de prevenir la transmisión de la madre al feto (1,82%) en el momento del parto y de prevenir el riesgo entre los jóvenes. </w:t>
      </w:r>
      <w:r>
        <w:rPr>
          <w:snapToGrid w:val="0"/>
        </w:rPr>
        <w:t xml:space="preserve"> </w:t>
      </w:r>
      <w:r w:rsidRPr="005C0C9D">
        <w:rPr>
          <w:snapToGrid w:val="0"/>
        </w:rPr>
        <w:t>Estas últimas medidas se inscriben en el marco de la salud reproductiva y de los programas de salud escolar y universitaria realizados con la participación del movimiento asociativo.</w:t>
      </w:r>
    </w:p>
    <w:p w:rsidR="009F7163" w:rsidRPr="005C0C9D" w:rsidRDefault="009F7163" w:rsidP="009F7163">
      <w:pPr>
        <w:adjustRightInd w:val="0"/>
        <w:snapToGrid w:val="0"/>
        <w:spacing w:after="240"/>
        <w:rPr>
          <w:snapToGrid w:val="0"/>
        </w:rPr>
      </w:pPr>
      <w:r w:rsidRPr="005C0C9D">
        <w:rPr>
          <w:snapToGrid w:val="0"/>
        </w:rPr>
        <w:t>307.</w:t>
      </w:r>
      <w:r w:rsidRPr="005C0C9D">
        <w:rPr>
          <w:snapToGrid w:val="0"/>
        </w:rPr>
        <w:tab/>
        <w:t xml:space="preserve">Cabe destacar la apertura de 51 centros </w:t>
      </w:r>
      <w:r>
        <w:rPr>
          <w:snapToGrid w:val="0"/>
        </w:rPr>
        <w:t xml:space="preserve">anónimos y gratuitos </w:t>
      </w:r>
      <w:r w:rsidRPr="005C0C9D">
        <w:rPr>
          <w:snapToGrid w:val="0"/>
        </w:rPr>
        <w:t xml:space="preserve">de diagnóstico en todas las </w:t>
      </w:r>
      <w:r w:rsidRPr="009C2284">
        <w:rPr>
          <w:i/>
          <w:snapToGrid w:val="0"/>
        </w:rPr>
        <w:t>wilayas</w:t>
      </w:r>
      <w:r w:rsidRPr="005C0C9D">
        <w:rPr>
          <w:snapToGrid w:val="0"/>
        </w:rPr>
        <w:t xml:space="preserve"> (departamentos) del país.</w:t>
      </w:r>
    </w:p>
    <w:p w:rsidR="009F7163" w:rsidRPr="005C0C9D" w:rsidRDefault="009F7163" w:rsidP="009F7163">
      <w:pPr>
        <w:adjustRightInd w:val="0"/>
        <w:snapToGrid w:val="0"/>
        <w:spacing w:after="240"/>
        <w:rPr>
          <w:snapToGrid w:val="0"/>
        </w:rPr>
      </w:pPr>
      <w:r w:rsidRPr="005C0C9D">
        <w:rPr>
          <w:snapToGrid w:val="0"/>
        </w:rPr>
        <w:t>308.</w:t>
      </w:r>
      <w:r w:rsidRPr="005C0C9D">
        <w:rPr>
          <w:snapToGrid w:val="0"/>
        </w:rPr>
        <w:tab/>
        <w:t xml:space="preserve">Durante el decenio de 1990 se </w:t>
      </w:r>
      <w:r>
        <w:rPr>
          <w:snapToGrid w:val="0"/>
        </w:rPr>
        <w:t>reforzó</w:t>
      </w:r>
      <w:r w:rsidRPr="005C0C9D">
        <w:rPr>
          <w:snapToGrid w:val="0"/>
        </w:rPr>
        <w:t xml:space="preserve"> considerablemente el mecanismo institucional de atención mediante, entre otras cosas, la creación del Organismo Hemático Nacional, encargado de la seguridad de las transfusiones sanguíneas mediante el control obligatorio de la donación de sangre y derivados sanguíneos en todo el territorio nacional; la creación de s</w:t>
      </w:r>
      <w:r>
        <w:rPr>
          <w:snapToGrid w:val="0"/>
        </w:rPr>
        <w:t xml:space="preserve">eis centros de remisión para el tratamiento </w:t>
      </w:r>
      <w:r w:rsidRPr="005C0C9D">
        <w:rPr>
          <w:snapToGrid w:val="0"/>
        </w:rPr>
        <w:t xml:space="preserve">del VIH/SIDA; y el suministro gratuito de medicamentos antirretrovirales en los centros de remisión. </w:t>
      </w:r>
      <w:r>
        <w:rPr>
          <w:snapToGrid w:val="0"/>
        </w:rPr>
        <w:t xml:space="preserve"> </w:t>
      </w:r>
      <w:r w:rsidRPr="005C0C9D">
        <w:rPr>
          <w:snapToGrid w:val="0"/>
        </w:rPr>
        <w:t>Estas medidas institucionales se han complementado</w:t>
      </w:r>
      <w:r>
        <w:rPr>
          <w:snapToGrid w:val="0"/>
        </w:rPr>
        <w:t> </w:t>
      </w:r>
      <w:r w:rsidRPr="005C0C9D">
        <w:rPr>
          <w:snapToGrid w:val="0"/>
        </w:rPr>
        <w:t>con:</w:t>
      </w:r>
    </w:p>
    <w:p w:rsidR="009F7163" w:rsidRPr="005C0C9D" w:rsidRDefault="009F7163" w:rsidP="009F7163">
      <w:pPr>
        <w:adjustRightInd w:val="0"/>
        <w:snapToGrid w:val="0"/>
        <w:spacing w:after="240"/>
        <w:ind w:left="1134" w:hanging="567"/>
        <w:rPr>
          <w:snapToGrid w:val="0"/>
        </w:rPr>
      </w:pPr>
      <w:r w:rsidRPr="005C0C9D">
        <w:rPr>
          <w:snapToGrid w:val="0"/>
        </w:rPr>
        <w:t>a)</w:t>
      </w:r>
      <w:r w:rsidRPr="005C0C9D">
        <w:rPr>
          <w:snapToGrid w:val="0"/>
        </w:rPr>
        <w:tab/>
        <w:t xml:space="preserve">La formación de </w:t>
      </w:r>
      <w:r>
        <w:rPr>
          <w:snapToGrid w:val="0"/>
        </w:rPr>
        <w:t>especialistas</w:t>
      </w:r>
      <w:r w:rsidRPr="005C0C9D">
        <w:rPr>
          <w:snapToGrid w:val="0"/>
        </w:rPr>
        <w:t xml:space="preserve"> (250) en procesos de gestión y planificación de la lucha contra el VIH/SIDA;</w:t>
      </w:r>
    </w:p>
    <w:p w:rsidR="009F7163" w:rsidRPr="005C0C9D" w:rsidRDefault="009F7163" w:rsidP="009F7163">
      <w:pPr>
        <w:adjustRightInd w:val="0"/>
        <w:snapToGrid w:val="0"/>
        <w:spacing w:after="240"/>
        <w:ind w:left="1134" w:hanging="567"/>
        <w:rPr>
          <w:snapToGrid w:val="0"/>
        </w:rPr>
      </w:pPr>
      <w:r w:rsidRPr="005C0C9D">
        <w:rPr>
          <w:snapToGrid w:val="0"/>
        </w:rPr>
        <w:t>b)</w:t>
      </w:r>
      <w:r w:rsidRPr="005C0C9D">
        <w:rPr>
          <w:snapToGrid w:val="0"/>
        </w:rPr>
        <w:tab/>
        <w:t>La conclusión del proceso de planificación estratégica, en el que, en el marco de un enfoque multisectorial, participan las ONG nacionales, el grupo temático sobre el VIH/SIDA promovido por el ONUSIDA, y los demás organismos de las Naciones Unidas presentes en el país;</w:t>
      </w:r>
    </w:p>
    <w:p w:rsidR="009F7163" w:rsidRPr="005C0C9D" w:rsidRDefault="009F7163" w:rsidP="009F7163">
      <w:pPr>
        <w:adjustRightInd w:val="0"/>
        <w:snapToGrid w:val="0"/>
        <w:spacing w:after="240"/>
        <w:ind w:left="1134" w:hanging="567"/>
        <w:rPr>
          <w:snapToGrid w:val="0"/>
        </w:rPr>
      </w:pPr>
      <w:r w:rsidRPr="005C0C9D">
        <w:rPr>
          <w:snapToGrid w:val="0"/>
        </w:rPr>
        <w:t>c)</w:t>
      </w:r>
      <w:r w:rsidRPr="005C0C9D">
        <w:rPr>
          <w:snapToGrid w:val="0"/>
        </w:rPr>
        <w:tab/>
        <w:t>La adhesión de Argelia al Fondo Mundial, lo que entraña la elaboración de planes operacionales sectori</w:t>
      </w:r>
      <w:r>
        <w:rPr>
          <w:snapToGrid w:val="0"/>
        </w:rPr>
        <w:t xml:space="preserve">ales para el período </w:t>
      </w:r>
      <w:r w:rsidR="00FD0D79">
        <w:rPr>
          <w:snapToGrid w:val="0"/>
        </w:rPr>
        <w:t xml:space="preserve">de 2003 a </w:t>
      </w:r>
      <w:r>
        <w:rPr>
          <w:snapToGrid w:val="0"/>
        </w:rPr>
        <w:t>2006.</w:t>
      </w:r>
    </w:p>
    <w:p w:rsidR="009F7163" w:rsidRPr="005C0C9D" w:rsidRDefault="009F7163" w:rsidP="009F7163">
      <w:pPr>
        <w:adjustRightInd w:val="0"/>
        <w:snapToGrid w:val="0"/>
        <w:spacing w:after="240"/>
        <w:rPr>
          <w:snapToGrid w:val="0"/>
        </w:rPr>
      </w:pPr>
      <w:r w:rsidRPr="005C0C9D">
        <w:rPr>
          <w:snapToGrid w:val="0"/>
        </w:rPr>
        <w:t>309.</w:t>
      </w:r>
      <w:r w:rsidRPr="005C0C9D">
        <w:rPr>
          <w:snapToGrid w:val="0"/>
        </w:rPr>
        <w:tab/>
        <w:t xml:space="preserve">Estos planes se articulan en torno a cuatro esferas de intervención: </w:t>
      </w:r>
      <w:r>
        <w:rPr>
          <w:snapToGrid w:val="0"/>
        </w:rPr>
        <w:t xml:space="preserve"> </w:t>
      </w:r>
      <w:r w:rsidRPr="005C0C9D">
        <w:rPr>
          <w:snapToGrid w:val="0"/>
        </w:rPr>
        <w:t xml:space="preserve">a) la prevención entre </w:t>
      </w:r>
      <w:r>
        <w:rPr>
          <w:snapToGrid w:val="0"/>
        </w:rPr>
        <w:t xml:space="preserve">las </w:t>
      </w:r>
      <w:r w:rsidRPr="005C0C9D">
        <w:rPr>
          <w:snapToGrid w:val="0"/>
        </w:rPr>
        <w:t xml:space="preserve">poblaciones vulnerables; </w:t>
      </w:r>
      <w:r>
        <w:rPr>
          <w:snapToGrid w:val="0"/>
        </w:rPr>
        <w:t xml:space="preserve"> </w:t>
      </w:r>
      <w:r w:rsidRPr="005C0C9D">
        <w:rPr>
          <w:snapToGrid w:val="0"/>
        </w:rPr>
        <w:t xml:space="preserve">b) la atención de las personas que viven con el VIH/SIDA; </w:t>
      </w:r>
      <w:r>
        <w:rPr>
          <w:snapToGrid w:val="0"/>
        </w:rPr>
        <w:t xml:space="preserve"> </w:t>
      </w:r>
      <w:r w:rsidRPr="005C0C9D">
        <w:rPr>
          <w:snapToGrid w:val="0"/>
        </w:rPr>
        <w:t xml:space="preserve">c) la movilización asociativa y comunitaria; </w:t>
      </w:r>
      <w:r>
        <w:rPr>
          <w:snapToGrid w:val="0"/>
        </w:rPr>
        <w:t xml:space="preserve"> </w:t>
      </w:r>
      <w:r w:rsidRPr="005C0C9D">
        <w:rPr>
          <w:snapToGrid w:val="0"/>
        </w:rPr>
        <w:t>d) el mayor conocimiento de la evolución epidemiológica, gracias a las encuestas de seroprevalencia y comportamiento.</w:t>
      </w:r>
    </w:p>
    <w:p w:rsidR="009F7163" w:rsidRPr="005C0C9D" w:rsidRDefault="009F7163" w:rsidP="009F7163">
      <w:pPr>
        <w:adjustRightInd w:val="0"/>
        <w:snapToGrid w:val="0"/>
        <w:spacing w:after="240"/>
        <w:jc w:val="center"/>
        <w:rPr>
          <w:b/>
          <w:snapToGrid w:val="0"/>
        </w:rPr>
      </w:pPr>
      <w:r w:rsidRPr="005C0C9D">
        <w:rPr>
          <w:b/>
          <w:snapToGrid w:val="0"/>
        </w:rPr>
        <w:t xml:space="preserve">C. </w:t>
      </w:r>
      <w:r>
        <w:rPr>
          <w:b/>
          <w:snapToGrid w:val="0"/>
        </w:rPr>
        <w:t xml:space="preserve"> </w:t>
      </w:r>
      <w:r w:rsidRPr="005C0C9D">
        <w:rPr>
          <w:b/>
          <w:snapToGrid w:val="0"/>
        </w:rPr>
        <w:t>Mejora</w:t>
      </w:r>
      <w:r>
        <w:rPr>
          <w:b/>
          <w:snapToGrid w:val="0"/>
        </w:rPr>
        <w:t xml:space="preserve">miento de la reunión de datos:  </w:t>
      </w:r>
      <w:r w:rsidR="00FD0D79" w:rsidRPr="005C0C9D">
        <w:rPr>
          <w:b/>
          <w:snapToGrid w:val="0"/>
        </w:rPr>
        <w:t xml:space="preserve">estudios </w:t>
      </w:r>
      <w:r w:rsidRPr="005C0C9D">
        <w:rPr>
          <w:b/>
          <w:snapToGrid w:val="0"/>
        </w:rPr>
        <w:t>e investigaciones</w:t>
      </w:r>
    </w:p>
    <w:p w:rsidR="009F7163" w:rsidRPr="005C0C9D" w:rsidRDefault="009F7163" w:rsidP="009F7163">
      <w:pPr>
        <w:adjustRightInd w:val="0"/>
        <w:snapToGrid w:val="0"/>
        <w:spacing w:after="240"/>
        <w:rPr>
          <w:snapToGrid w:val="0"/>
        </w:rPr>
      </w:pPr>
      <w:r w:rsidRPr="005C0C9D">
        <w:rPr>
          <w:snapToGrid w:val="0"/>
        </w:rPr>
        <w:t>310.</w:t>
      </w:r>
      <w:r w:rsidRPr="005C0C9D">
        <w:rPr>
          <w:snapToGrid w:val="0"/>
        </w:rPr>
        <w:tab/>
        <w:t>Las cuestiones relativas a la salud, en particular la salud reproductiva y sus factores determinantes, así como las relacionadas con la violencia, han ocupado un lugar preponderante en los estudios e investigaciones que se han realizado con miras a mejorar la reunión de información y orientar los enfoques estratégicos en la esfera de la salud y el desarrollo para las diferentes categorías de población.</w:t>
      </w:r>
    </w:p>
    <w:p w:rsidR="009F7163" w:rsidRPr="005C0C9D" w:rsidRDefault="009F7163" w:rsidP="009F7163">
      <w:pPr>
        <w:adjustRightInd w:val="0"/>
        <w:snapToGrid w:val="0"/>
        <w:spacing w:after="240"/>
        <w:rPr>
          <w:snapToGrid w:val="0"/>
        </w:rPr>
      </w:pPr>
      <w:r w:rsidRPr="005C0C9D">
        <w:rPr>
          <w:snapToGrid w:val="0"/>
        </w:rPr>
        <w:t>311.</w:t>
      </w:r>
      <w:r w:rsidRPr="005C0C9D">
        <w:rPr>
          <w:snapToGrid w:val="0"/>
        </w:rPr>
        <w:tab/>
        <w:t xml:space="preserve">Esta prioridad se ha visto corroborada en las actividades de reunión y análisis de datos procedentes del </w:t>
      </w:r>
      <w:r>
        <w:rPr>
          <w:snapToGrid w:val="0"/>
        </w:rPr>
        <w:t>r</w:t>
      </w:r>
      <w:r w:rsidRPr="005C0C9D">
        <w:rPr>
          <w:snapToGrid w:val="0"/>
        </w:rPr>
        <w:t xml:space="preserve">egistro del </w:t>
      </w:r>
      <w:r>
        <w:rPr>
          <w:snapToGrid w:val="0"/>
        </w:rPr>
        <w:t>e</w:t>
      </w:r>
      <w:r w:rsidRPr="005C0C9D">
        <w:rPr>
          <w:snapToGrid w:val="0"/>
        </w:rPr>
        <w:t xml:space="preserve">stado </w:t>
      </w:r>
      <w:r>
        <w:rPr>
          <w:snapToGrid w:val="0"/>
        </w:rPr>
        <w:t>civil y de los censos (h</w:t>
      </w:r>
      <w:r w:rsidRPr="005C0C9D">
        <w:rPr>
          <w:snapToGrid w:val="0"/>
        </w:rPr>
        <w:t xml:space="preserve">asta la fecha se han </w:t>
      </w:r>
      <w:r>
        <w:rPr>
          <w:snapToGrid w:val="0"/>
        </w:rPr>
        <w:t>levantado</w:t>
      </w:r>
      <w:r w:rsidRPr="005C0C9D">
        <w:rPr>
          <w:snapToGrid w:val="0"/>
        </w:rPr>
        <w:t xml:space="preserve"> cuatro censos en Argelia</w:t>
      </w:r>
      <w:r>
        <w:rPr>
          <w:snapToGrid w:val="0"/>
        </w:rPr>
        <w:t>)</w:t>
      </w:r>
      <w:r w:rsidRPr="005C0C9D">
        <w:rPr>
          <w:snapToGrid w:val="0"/>
        </w:rPr>
        <w:t xml:space="preserve">. </w:t>
      </w:r>
      <w:r>
        <w:rPr>
          <w:snapToGrid w:val="0"/>
        </w:rPr>
        <w:t xml:space="preserve"> </w:t>
      </w:r>
      <w:r w:rsidRPr="005C0C9D">
        <w:rPr>
          <w:snapToGrid w:val="0"/>
        </w:rPr>
        <w:t xml:space="preserve">En materia de estudios e investigaciones, </w:t>
      </w:r>
      <w:r>
        <w:rPr>
          <w:snapToGrid w:val="0"/>
        </w:rPr>
        <w:t>a raíz</w:t>
      </w:r>
      <w:r w:rsidRPr="005C0C9D">
        <w:rPr>
          <w:snapToGrid w:val="0"/>
        </w:rPr>
        <w:t xml:space="preserve"> de la evaluación de los objetivos mundiales establecidos en las dos Cumbres Mundiales en favor de la Infancia, en</w:t>
      </w:r>
      <w:r>
        <w:rPr>
          <w:snapToGrid w:val="0"/>
        </w:rPr>
        <w:t> </w:t>
      </w:r>
      <w:r w:rsidRPr="005C0C9D">
        <w:rPr>
          <w:snapToGrid w:val="0"/>
        </w:rPr>
        <w:t>1990</w:t>
      </w:r>
      <w:r>
        <w:rPr>
          <w:snapToGrid w:val="0"/>
        </w:rPr>
        <w:t> y en 2002,</w:t>
      </w:r>
      <w:r w:rsidRPr="005C0C9D">
        <w:rPr>
          <w:snapToGrid w:val="0"/>
        </w:rPr>
        <w:t xml:space="preserve"> Argelia ha evaluado periódicamente los progresos logrados en el ámbito de la salud materna e infantil (encuesta MDG, en 1995, encuesta EDG, en 2000, encuesta sobre la salud de la familia en Argelia, en 2002, y tercera encuesta a base de indicadores múltiples, MICS</w:t>
      </w:r>
      <w:r>
        <w:rPr>
          <w:snapToGrid w:val="0"/>
        </w:rPr>
        <w:t> </w:t>
      </w:r>
      <w:r w:rsidRPr="005C0C9D">
        <w:rPr>
          <w:snapToGrid w:val="0"/>
        </w:rPr>
        <w:t xml:space="preserve">3, realizada en julio de 2006). </w:t>
      </w:r>
      <w:r>
        <w:rPr>
          <w:snapToGrid w:val="0"/>
        </w:rPr>
        <w:t xml:space="preserve"> </w:t>
      </w:r>
      <w:r w:rsidRPr="005C0C9D">
        <w:rPr>
          <w:snapToGrid w:val="0"/>
        </w:rPr>
        <w:t>El protocolo de este estudio se ajusta a las recomendaciones internacionales, integra módulos específicos sobre violencia doméstica y en</w:t>
      </w:r>
      <w:r>
        <w:rPr>
          <w:snapToGrid w:val="0"/>
        </w:rPr>
        <w:t xml:space="preserve"> el</w:t>
      </w:r>
      <w:r w:rsidRPr="005C0C9D">
        <w:rPr>
          <w:snapToGrid w:val="0"/>
        </w:rPr>
        <w:t xml:space="preserve"> medio escolar, accidentes domésticos y formas de explotación del niño con fines económicos (trabajo infantil).</w:t>
      </w:r>
      <w:r>
        <w:rPr>
          <w:snapToGrid w:val="0"/>
        </w:rPr>
        <w:t xml:space="preserve"> </w:t>
      </w:r>
      <w:r w:rsidRPr="005C0C9D">
        <w:rPr>
          <w:snapToGrid w:val="0"/>
        </w:rPr>
        <w:t xml:space="preserve"> Conviene destacar asimismo la realización en 1999 de la encuesta nacional sobre mortalidad materna, en la que se </w:t>
      </w:r>
      <w:r>
        <w:rPr>
          <w:snapToGrid w:val="0"/>
        </w:rPr>
        <w:t xml:space="preserve">hizo un recuento </w:t>
      </w:r>
      <w:r w:rsidRPr="005C0C9D">
        <w:rPr>
          <w:snapToGrid w:val="0"/>
        </w:rPr>
        <w:t>exhaustiv</w:t>
      </w:r>
      <w:r>
        <w:rPr>
          <w:snapToGrid w:val="0"/>
        </w:rPr>
        <w:t>o de</w:t>
      </w:r>
      <w:r w:rsidRPr="005C0C9D">
        <w:rPr>
          <w:snapToGrid w:val="0"/>
        </w:rPr>
        <w:t xml:space="preserve"> todos los decesos maternos ocurridos durante el año del estudio.</w:t>
      </w:r>
    </w:p>
    <w:p w:rsidR="009F7163" w:rsidRPr="005C0C9D" w:rsidRDefault="009F7163" w:rsidP="009F7163">
      <w:pPr>
        <w:adjustRightInd w:val="0"/>
        <w:snapToGrid w:val="0"/>
        <w:spacing w:after="240"/>
        <w:rPr>
          <w:b/>
          <w:snapToGrid w:val="0"/>
        </w:rPr>
      </w:pPr>
      <w:r w:rsidRPr="005C0C9D">
        <w:rPr>
          <w:b/>
          <w:snapToGrid w:val="0"/>
        </w:rPr>
        <w:t>1.</w:t>
      </w:r>
      <w:r w:rsidRPr="005C0C9D">
        <w:rPr>
          <w:b/>
          <w:snapToGrid w:val="0"/>
        </w:rPr>
        <w:tab/>
        <w:t xml:space="preserve">Morbilidad entre los 0 y los </w:t>
      </w:r>
      <w:r>
        <w:rPr>
          <w:b/>
          <w:snapToGrid w:val="0"/>
        </w:rPr>
        <w:t>1</w:t>
      </w:r>
      <w:r w:rsidRPr="005C0C9D">
        <w:rPr>
          <w:b/>
          <w:snapToGrid w:val="0"/>
        </w:rPr>
        <w:t>4 años y entre los 15 y los 19 años</w:t>
      </w:r>
    </w:p>
    <w:p w:rsidR="009F7163" w:rsidRPr="005C0C9D" w:rsidRDefault="009F7163" w:rsidP="009F7163">
      <w:pPr>
        <w:adjustRightInd w:val="0"/>
        <w:snapToGrid w:val="0"/>
        <w:spacing w:after="240"/>
        <w:rPr>
          <w:snapToGrid w:val="0"/>
        </w:rPr>
      </w:pPr>
      <w:r w:rsidRPr="005C0C9D">
        <w:rPr>
          <w:snapToGrid w:val="0"/>
        </w:rPr>
        <w:t>312.</w:t>
      </w:r>
      <w:r w:rsidRPr="005C0C9D">
        <w:rPr>
          <w:snapToGrid w:val="0"/>
        </w:rPr>
        <w:tab/>
        <w:t>La prevalencia de las enfermedades crónicas es del 2,6% entre los 0 y los 14 años y del</w:t>
      </w:r>
      <w:r>
        <w:rPr>
          <w:snapToGrid w:val="0"/>
        </w:rPr>
        <w:t> </w:t>
      </w:r>
      <w:r w:rsidRPr="005C0C9D">
        <w:rPr>
          <w:snapToGrid w:val="0"/>
        </w:rPr>
        <w:t xml:space="preserve">4,0% entre los 5 y los 19 años. </w:t>
      </w:r>
      <w:r>
        <w:rPr>
          <w:snapToGrid w:val="0"/>
        </w:rPr>
        <w:t xml:space="preserve"> </w:t>
      </w:r>
      <w:r w:rsidRPr="005C0C9D">
        <w:rPr>
          <w:snapToGrid w:val="0"/>
        </w:rPr>
        <w:t>Entre las principales patologías se destacan, en orden descendente, el asma (0,6%), las demás infecciones respiratorias agudas (0,4%) y las cardiopatías (0,2%).</w:t>
      </w:r>
    </w:p>
    <w:p w:rsidR="009F7163" w:rsidRPr="005C0C9D" w:rsidRDefault="009F7163" w:rsidP="009F7163">
      <w:pPr>
        <w:keepNext/>
        <w:adjustRightInd w:val="0"/>
        <w:snapToGrid w:val="0"/>
        <w:spacing w:after="240"/>
        <w:rPr>
          <w:b/>
          <w:snapToGrid w:val="0"/>
        </w:rPr>
      </w:pPr>
      <w:r w:rsidRPr="005C0C9D">
        <w:rPr>
          <w:b/>
          <w:snapToGrid w:val="0"/>
        </w:rPr>
        <w:t>2.</w:t>
      </w:r>
      <w:r w:rsidRPr="005C0C9D">
        <w:rPr>
          <w:b/>
          <w:snapToGrid w:val="0"/>
        </w:rPr>
        <w:tab/>
        <w:t>Las enfermedades de transmisión hídrica</w:t>
      </w:r>
    </w:p>
    <w:p w:rsidR="009F7163" w:rsidRPr="005C0C9D" w:rsidRDefault="009F7163" w:rsidP="009F7163">
      <w:pPr>
        <w:adjustRightInd w:val="0"/>
        <w:snapToGrid w:val="0"/>
        <w:spacing w:after="240"/>
        <w:rPr>
          <w:snapToGrid w:val="0"/>
        </w:rPr>
      </w:pPr>
      <w:r w:rsidRPr="005C0C9D">
        <w:rPr>
          <w:snapToGrid w:val="0"/>
        </w:rPr>
        <w:t>313.</w:t>
      </w:r>
      <w:r w:rsidRPr="005C0C9D">
        <w:rPr>
          <w:snapToGrid w:val="0"/>
        </w:rPr>
        <w:tab/>
        <w:t xml:space="preserve">La situación epidemiológica es estable. </w:t>
      </w:r>
      <w:r>
        <w:rPr>
          <w:snapToGrid w:val="0"/>
        </w:rPr>
        <w:t xml:space="preserve"> </w:t>
      </w:r>
      <w:r w:rsidRPr="005C0C9D">
        <w:rPr>
          <w:snapToGrid w:val="0"/>
        </w:rPr>
        <w:t xml:space="preserve">Las enfermedades de transmisión hídrica que constituían un problema de salud importante han sido </w:t>
      </w:r>
      <w:r>
        <w:rPr>
          <w:snapToGrid w:val="0"/>
        </w:rPr>
        <w:t>vencidas</w:t>
      </w:r>
      <w:r w:rsidRPr="005C0C9D">
        <w:rPr>
          <w:snapToGrid w:val="0"/>
        </w:rPr>
        <w:t xml:space="preserve"> mediante planes de acción multisectoriales, relacionados, en particular, con los recursos hídricos y las colectividades locales. </w:t>
      </w:r>
      <w:r>
        <w:rPr>
          <w:snapToGrid w:val="0"/>
        </w:rPr>
        <w:t xml:space="preserve"> </w:t>
      </w:r>
      <w:r w:rsidRPr="005C0C9D">
        <w:rPr>
          <w:snapToGrid w:val="0"/>
        </w:rPr>
        <w:t xml:space="preserve">Desde mediados de los años noventa no se ha registrado ningún caso de cólera. </w:t>
      </w:r>
      <w:r>
        <w:rPr>
          <w:snapToGrid w:val="0"/>
        </w:rPr>
        <w:t xml:space="preserve"> </w:t>
      </w:r>
      <w:r w:rsidRPr="005C0C9D">
        <w:rPr>
          <w:snapToGrid w:val="0"/>
        </w:rPr>
        <w:t>La</w:t>
      </w:r>
      <w:r>
        <w:rPr>
          <w:snapToGrid w:val="0"/>
        </w:rPr>
        <w:t> </w:t>
      </w:r>
      <w:r w:rsidRPr="005C0C9D">
        <w:rPr>
          <w:snapToGrid w:val="0"/>
        </w:rPr>
        <w:t xml:space="preserve">relativa persistencia de la fiebre tifoidea se </w:t>
      </w:r>
      <w:r>
        <w:rPr>
          <w:snapToGrid w:val="0"/>
        </w:rPr>
        <w:t>debe a la aparición de</w:t>
      </w:r>
      <w:r w:rsidRPr="005C0C9D">
        <w:rPr>
          <w:snapToGrid w:val="0"/>
        </w:rPr>
        <w:t xml:space="preserve"> brotes esporádicos y localizados.</w:t>
      </w:r>
    </w:p>
    <w:tbl>
      <w:tblPr>
        <w:tblStyle w:val="TableGrid"/>
        <w:tblW w:w="5000" w:type="pct"/>
        <w:jc w:val="center"/>
        <w:tblLook w:val="01E0" w:firstRow="1" w:lastRow="1" w:firstColumn="1" w:lastColumn="1" w:noHBand="0" w:noVBand="0"/>
      </w:tblPr>
      <w:tblGrid>
        <w:gridCol w:w="1389"/>
        <w:gridCol w:w="1917"/>
        <w:gridCol w:w="2134"/>
        <w:gridCol w:w="1948"/>
        <w:gridCol w:w="2103"/>
      </w:tblGrid>
      <w:tr w:rsidR="009F7163" w:rsidRPr="002A0DD8" w:rsidTr="004925AC">
        <w:trPr>
          <w:trHeight w:val="20"/>
          <w:jc w:val="center"/>
        </w:trPr>
        <w:tc>
          <w:tcPr>
            <w:tcW w:w="732" w:type="pct"/>
            <w:vMerge w:val="restart"/>
            <w:vAlign w:val="center"/>
          </w:tcPr>
          <w:p w:rsidR="009F7163" w:rsidRPr="002A0DD8" w:rsidRDefault="009F7163" w:rsidP="004925AC">
            <w:pPr>
              <w:adjustRightInd w:val="0"/>
              <w:snapToGrid w:val="0"/>
              <w:jc w:val="center"/>
              <w:rPr>
                <w:b/>
                <w:iCs/>
                <w:snapToGrid w:val="0"/>
              </w:rPr>
            </w:pPr>
            <w:r>
              <w:rPr>
                <w:b/>
                <w:iCs/>
                <w:snapToGrid w:val="0"/>
              </w:rPr>
              <w:t>Año</w:t>
            </w:r>
          </w:p>
        </w:tc>
        <w:tc>
          <w:tcPr>
            <w:tcW w:w="2134" w:type="pct"/>
            <w:gridSpan w:val="2"/>
            <w:vAlign w:val="center"/>
          </w:tcPr>
          <w:p w:rsidR="009F7163" w:rsidRPr="002A0DD8" w:rsidRDefault="009F7163" w:rsidP="004925AC">
            <w:pPr>
              <w:adjustRightInd w:val="0"/>
              <w:snapToGrid w:val="0"/>
              <w:jc w:val="center"/>
              <w:rPr>
                <w:b/>
                <w:iCs/>
                <w:snapToGrid w:val="0"/>
              </w:rPr>
            </w:pPr>
            <w:r w:rsidRPr="002A0DD8">
              <w:rPr>
                <w:b/>
                <w:iCs/>
                <w:snapToGrid w:val="0"/>
              </w:rPr>
              <w:t>Cólera</w:t>
            </w:r>
          </w:p>
        </w:tc>
        <w:tc>
          <w:tcPr>
            <w:tcW w:w="2134" w:type="pct"/>
            <w:gridSpan w:val="2"/>
            <w:vAlign w:val="center"/>
          </w:tcPr>
          <w:p w:rsidR="009F7163" w:rsidRPr="002A0DD8" w:rsidRDefault="009F7163" w:rsidP="004925AC">
            <w:pPr>
              <w:adjustRightInd w:val="0"/>
              <w:snapToGrid w:val="0"/>
              <w:jc w:val="center"/>
              <w:rPr>
                <w:b/>
                <w:iCs/>
                <w:snapToGrid w:val="0"/>
              </w:rPr>
            </w:pPr>
            <w:r w:rsidRPr="002A0DD8">
              <w:rPr>
                <w:b/>
                <w:iCs/>
                <w:snapToGrid w:val="0"/>
              </w:rPr>
              <w:t>Fiebre tifoidea</w:t>
            </w:r>
          </w:p>
        </w:tc>
      </w:tr>
      <w:tr w:rsidR="009F7163" w:rsidRPr="002A0DD8" w:rsidTr="004925AC">
        <w:trPr>
          <w:trHeight w:val="20"/>
          <w:jc w:val="center"/>
        </w:trPr>
        <w:tc>
          <w:tcPr>
            <w:tcW w:w="732" w:type="pct"/>
            <w:vMerge/>
          </w:tcPr>
          <w:p w:rsidR="009F7163" w:rsidRPr="002A0DD8" w:rsidRDefault="009F7163" w:rsidP="004925AC">
            <w:pPr>
              <w:adjustRightInd w:val="0"/>
              <w:snapToGrid w:val="0"/>
              <w:rPr>
                <w:b/>
                <w:iCs/>
                <w:snapToGrid w:val="0"/>
              </w:rPr>
            </w:pPr>
          </w:p>
        </w:tc>
        <w:tc>
          <w:tcPr>
            <w:tcW w:w="1010" w:type="pct"/>
            <w:vAlign w:val="center"/>
          </w:tcPr>
          <w:p w:rsidR="009F7163" w:rsidRPr="002A0DD8" w:rsidRDefault="009F7163" w:rsidP="004925AC">
            <w:pPr>
              <w:adjustRightInd w:val="0"/>
              <w:snapToGrid w:val="0"/>
              <w:jc w:val="center"/>
              <w:rPr>
                <w:b/>
                <w:iCs/>
                <w:snapToGrid w:val="0"/>
              </w:rPr>
            </w:pPr>
            <w:r w:rsidRPr="002A0DD8">
              <w:rPr>
                <w:b/>
                <w:iCs/>
                <w:snapToGrid w:val="0"/>
              </w:rPr>
              <w:t>Número de casos</w:t>
            </w:r>
          </w:p>
        </w:tc>
        <w:tc>
          <w:tcPr>
            <w:tcW w:w="1124" w:type="pct"/>
            <w:vAlign w:val="center"/>
          </w:tcPr>
          <w:p w:rsidR="009F7163" w:rsidRPr="002A0DD8" w:rsidRDefault="009F7163" w:rsidP="004925AC">
            <w:pPr>
              <w:adjustRightInd w:val="0"/>
              <w:snapToGrid w:val="0"/>
              <w:jc w:val="center"/>
              <w:rPr>
                <w:b/>
                <w:iCs/>
                <w:snapToGrid w:val="0"/>
              </w:rPr>
            </w:pPr>
            <w:r w:rsidRPr="002A0DD8">
              <w:rPr>
                <w:b/>
                <w:iCs/>
                <w:snapToGrid w:val="0"/>
              </w:rPr>
              <w:t>Incidencia/</w:t>
            </w:r>
            <w:r>
              <w:rPr>
                <w:b/>
                <w:iCs/>
                <w:snapToGrid w:val="0"/>
              </w:rPr>
              <w:br/>
            </w:r>
            <w:r w:rsidRPr="002A0DD8">
              <w:rPr>
                <w:b/>
                <w:iCs/>
                <w:snapToGrid w:val="0"/>
              </w:rPr>
              <w:t>100.000 habitantes</w:t>
            </w:r>
          </w:p>
        </w:tc>
        <w:tc>
          <w:tcPr>
            <w:tcW w:w="1026" w:type="pct"/>
            <w:vAlign w:val="center"/>
          </w:tcPr>
          <w:p w:rsidR="009F7163" w:rsidRPr="002A0DD8" w:rsidRDefault="009F7163" w:rsidP="004925AC">
            <w:pPr>
              <w:adjustRightInd w:val="0"/>
              <w:snapToGrid w:val="0"/>
              <w:jc w:val="center"/>
              <w:rPr>
                <w:b/>
                <w:iCs/>
                <w:snapToGrid w:val="0"/>
              </w:rPr>
            </w:pPr>
            <w:r w:rsidRPr="002A0DD8">
              <w:rPr>
                <w:b/>
                <w:iCs/>
                <w:snapToGrid w:val="0"/>
              </w:rPr>
              <w:t>Número de casos</w:t>
            </w:r>
          </w:p>
        </w:tc>
        <w:tc>
          <w:tcPr>
            <w:tcW w:w="1108" w:type="pct"/>
            <w:vAlign w:val="center"/>
          </w:tcPr>
          <w:p w:rsidR="009F7163" w:rsidRPr="002A0DD8" w:rsidRDefault="009F7163" w:rsidP="004925AC">
            <w:pPr>
              <w:adjustRightInd w:val="0"/>
              <w:snapToGrid w:val="0"/>
              <w:jc w:val="center"/>
              <w:rPr>
                <w:b/>
                <w:iCs/>
                <w:snapToGrid w:val="0"/>
              </w:rPr>
            </w:pPr>
            <w:r w:rsidRPr="002A0DD8">
              <w:rPr>
                <w:b/>
                <w:iCs/>
                <w:snapToGrid w:val="0"/>
              </w:rPr>
              <w:t>Incidencia/</w:t>
            </w:r>
          </w:p>
          <w:p w:rsidR="009F7163" w:rsidRPr="002A0DD8" w:rsidRDefault="009F7163" w:rsidP="004925AC">
            <w:pPr>
              <w:adjustRightInd w:val="0"/>
              <w:snapToGrid w:val="0"/>
              <w:jc w:val="center"/>
              <w:rPr>
                <w:b/>
                <w:iCs/>
                <w:snapToGrid w:val="0"/>
              </w:rPr>
            </w:pPr>
            <w:r w:rsidRPr="002A0DD8">
              <w:rPr>
                <w:b/>
                <w:iCs/>
                <w:snapToGrid w:val="0"/>
              </w:rPr>
              <w:t xml:space="preserve">100.000 </w:t>
            </w:r>
            <w:r>
              <w:rPr>
                <w:b/>
                <w:iCs/>
                <w:snapToGrid w:val="0"/>
              </w:rPr>
              <w:t>habitantes</w:t>
            </w:r>
          </w:p>
        </w:tc>
      </w:tr>
      <w:tr w:rsidR="009F7163" w:rsidRPr="005C0C9D" w:rsidTr="004925AC">
        <w:trPr>
          <w:trHeight w:val="20"/>
          <w:jc w:val="center"/>
        </w:trPr>
        <w:tc>
          <w:tcPr>
            <w:tcW w:w="732" w:type="pct"/>
            <w:vAlign w:val="center"/>
          </w:tcPr>
          <w:p w:rsidR="009F7163" w:rsidRPr="005C0C9D" w:rsidRDefault="009F7163" w:rsidP="004925AC">
            <w:pPr>
              <w:adjustRightInd w:val="0"/>
              <w:snapToGrid w:val="0"/>
              <w:jc w:val="center"/>
              <w:rPr>
                <w:snapToGrid w:val="0"/>
              </w:rPr>
            </w:pPr>
            <w:r w:rsidRPr="005C0C9D">
              <w:rPr>
                <w:snapToGrid w:val="0"/>
              </w:rPr>
              <w:t>1995</w:t>
            </w:r>
          </w:p>
        </w:tc>
        <w:tc>
          <w:tcPr>
            <w:tcW w:w="1010" w:type="pct"/>
            <w:vAlign w:val="center"/>
          </w:tcPr>
          <w:p w:rsidR="009F7163" w:rsidRPr="005C0C9D" w:rsidRDefault="009F7163" w:rsidP="004925AC">
            <w:pPr>
              <w:tabs>
                <w:tab w:val="decimal" w:pos="865"/>
              </w:tabs>
              <w:adjustRightInd w:val="0"/>
              <w:snapToGrid w:val="0"/>
              <w:rPr>
                <w:snapToGrid w:val="0"/>
              </w:rPr>
            </w:pPr>
            <w:r w:rsidRPr="005C0C9D">
              <w:rPr>
                <w:snapToGrid w:val="0"/>
              </w:rPr>
              <w:t>0,5</w:t>
            </w:r>
          </w:p>
        </w:tc>
        <w:tc>
          <w:tcPr>
            <w:tcW w:w="1124" w:type="pct"/>
            <w:vAlign w:val="center"/>
          </w:tcPr>
          <w:p w:rsidR="009F7163" w:rsidRPr="005C0C9D" w:rsidRDefault="009F7163" w:rsidP="004925AC">
            <w:pPr>
              <w:tabs>
                <w:tab w:val="decimal" w:pos="936"/>
              </w:tabs>
              <w:adjustRightInd w:val="0"/>
              <w:snapToGrid w:val="0"/>
              <w:rPr>
                <w:snapToGrid w:val="0"/>
              </w:rPr>
            </w:pPr>
            <w:r w:rsidRPr="005C0C9D">
              <w:rPr>
                <w:snapToGrid w:val="0"/>
              </w:rPr>
              <w:t>0,01</w:t>
            </w:r>
          </w:p>
        </w:tc>
        <w:tc>
          <w:tcPr>
            <w:tcW w:w="1026" w:type="pct"/>
            <w:vAlign w:val="center"/>
          </w:tcPr>
          <w:p w:rsidR="009F7163" w:rsidRPr="005C0C9D" w:rsidRDefault="009F7163" w:rsidP="004925AC">
            <w:pPr>
              <w:adjustRightInd w:val="0"/>
              <w:snapToGrid w:val="0"/>
              <w:ind w:right="617"/>
              <w:jc w:val="right"/>
              <w:rPr>
                <w:snapToGrid w:val="0"/>
              </w:rPr>
            </w:pPr>
            <w:r>
              <w:rPr>
                <w:snapToGrid w:val="0"/>
              </w:rPr>
              <w:t>4.</w:t>
            </w:r>
            <w:r w:rsidRPr="005C0C9D">
              <w:rPr>
                <w:snapToGrid w:val="0"/>
              </w:rPr>
              <w:t>304</w:t>
            </w:r>
          </w:p>
        </w:tc>
        <w:tc>
          <w:tcPr>
            <w:tcW w:w="1108" w:type="pct"/>
            <w:vAlign w:val="center"/>
          </w:tcPr>
          <w:p w:rsidR="009F7163" w:rsidRPr="005C0C9D" w:rsidRDefault="009F7163" w:rsidP="004925AC">
            <w:pPr>
              <w:tabs>
                <w:tab w:val="decimal" w:pos="927"/>
              </w:tabs>
              <w:adjustRightInd w:val="0"/>
              <w:snapToGrid w:val="0"/>
              <w:rPr>
                <w:snapToGrid w:val="0"/>
              </w:rPr>
            </w:pPr>
            <w:r w:rsidRPr="005C0C9D">
              <w:rPr>
                <w:snapToGrid w:val="0"/>
              </w:rPr>
              <w:t>15,06</w:t>
            </w:r>
          </w:p>
        </w:tc>
      </w:tr>
      <w:tr w:rsidR="009F7163" w:rsidRPr="005C0C9D" w:rsidTr="004925AC">
        <w:trPr>
          <w:trHeight w:val="20"/>
          <w:jc w:val="center"/>
        </w:trPr>
        <w:tc>
          <w:tcPr>
            <w:tcW w:w="732" w:type="pct"/>
            <w:vAlign w:val="center"/>
          </w:tcPr>
          <w:p w:rsidR="009F7163" w:rsidRPr="005C0C9D" w:rsidRDefault="009F7163" w:rsidP="004925AC">
            <w:pPr>
              <w:adjustRightInd w:val="0"/>
              <w:snapToGrid w:val="0"/>
              <w:jc w:val="center"/>
              <w:rPr>
                <w:snapToGrid w:val="0"/>
              </w:rPr>
            </w:pPr>
            <w:r w:rsidRPr="005C0C9D">
              <w:rPr>
                <w:snapToGrid w:val="0"/>
              </w:rPr>
              <w:t>1996</w:t>
            </w:r>
          </w:p>
        </w:tc>
        <w:tc>
          <w:tcPr>
            <w:tcW w:w="1010" w:type="pct"/>
            <w:vAlign w:val="center"/>
          </w:tcPr>
          <w:p w:rsidR="009F7163" w:rsidRPr="005C0C9D" w:rsidRDefault="009F7163" w:rsidP="004925AC">
            <w:pPr>
              <w:tabs>
                <w:tab w:val="decimal" w:pos="865"/>
              </w:tabs>
              <w:adjustRightInd w:val="0"/>
              <w:snapToGrid w:val="0"/>
              <w:rPr>
                <w:snapToGrid w:val="0"/>
              </w:rPr>
            </w:pPr>
            <w:r w:rsidRPr="005C0C9D">
              <w:rPr>
                <w:snapToGrid w:val="0"/>
              </w:rPr>
              <w:t>0</w:t>
            </w:r>
          </w:p>
        </w:tc>
        <w:tc>
          <w:tcPr>
            <w:tcW w:w="1124" w:type="pct"/>
            <w:vAlign w:val="center"/>
          </w:tcPr>
          <w:p w:rsidR="009F7163" w:rsidRPr="005C0C9D" w:rsidRDefault="009F7163" w:rsidP="004925AC">
            <w:pPr>
              <w:tabs>
                <w:tab w:val="decimal" w:pos="936"/>
              </w:tabs>
              <w:adjustRightInd w:val="0"/>
              <w:snapToGrid w:val="0"/>
              <w:rPr>
                <w:snapToGrid w:val="0"/>
              </w:rPr>
            </w:pPr>
            <w:r w:rsidRPr="005C0C9D">
              <w:rPr>
                <w:snapToGrid w:val="0"/>
              </w:rPr>
              <w:t>0</w:t>
            </w:r>
          </w:p>
        </w:tc>
        <w:tc>
          <w:tcPr>
            <w:tcW w:w="1026" w:type="pct"/>
            <w:vAlign w:val="center"/>
          </w:tcPr>
          <w:p w:rsidR="009F7163" w:rsidRPr="005C0C9D" w:rsidRDefault="009F7163" w:rsidP="004925AC">
            <w:pPr>
              <w:adjustRightInd w:val="0"/>
              <w:snapToGrid w:val="0"/>
              <w:ind w:right="617"/>
              <w:jc w:val="right"/>
              <w:rPr>
                <w:snapToGrid w:val="0"/>
              </w:rPr>
            </w:pPr>
            <w:r>
              <w:rPr>
                <w:snapToGrid w:val="0"/>
              </w:rPr>
              <w:t>3.</w:t>
            </w:r>
            <w:r w:rsidRPr="005C0C9D">
              <w:rPr>
                <w:snapToGrid w:val="0"/>
              </w:rPr>
              <w:t>969</w:t>
            </w:r>
          </w:p>
        </w:tc>
        <w:tc>
          <w:tcPr>
            <w:tcW w:w="1108" w:type="pct"/>
            <w:vAlign w:val="center"/>
          </w:tcPr>
          <w:p w:rsidR="009F7163" w:rsidRPr="005C0C9D" w:rsidRDefault="009F7163" w:rsidP="004925AC">
            <w:pPr>
              <w:tabs>
                <w:tab w:val="decimal" w:pos="927"/>
              </w:tabs>
              <w:adjustRightInd w:val="0"/>
              <w:snapToGrid w:val="0"/>
              <w:rPr>
                <w:snapToGrid w:val="0"/>
              </w:rPr>
            </w:pPr>
            <w:r w:rsidRPr="005C0C9D">
              <w:rPr>
                <w:snapToGrid w:val="0"/>
              </w:rPr>
              <w:t>13,45</w:t>
            </w:r>
          </w:p>
        </w:tc>
      </w:tr>
      <w:tr w:rsidR="009F7163" w:rsidRPr="005C0C9D" w:rsidTr="004925AC">
        <w:trPr>
          <w:trHeight w:val="20"/>
          <w:jc w:val="center"/>
        </w:trPr>
        <w:tc>
          <w:tcPr>
            <w:tcW w:w="732" w:type="pct"/>
            <w:vAlign w:val="center"/>
          </w:tcPr>
          <w:p w:rsidR="009F7163" w:rsidRPr="005C0C9D" w:rsidRDefault="009F7163" w:rsidP="004925AC">
            <w:pPr>
              <w:adjustRightInd w:val="0"/>
              <w:snapToGrid w:val="0"/>
              <w:jc w:val="center"/>
              <w:rPr>
                <w:snapToGrid w:val="0"/>
              </w:rPr>
            </w:pPr>
            <w:r w:rsidRPr="005C0C9D">
              <w:rPr>
                <w:snapToGrid w:val="0"/>
              </w:rPr>
              <w:t>1997</w:t>
            </w:r>
          </w:p>
        </w:tc>
        <w:tc>
          <w:tcPr>
            <w:tcW w:w="1010" w:type="pct"/>
            <w:vAlign w:val="center"/>
          </w:tcPr>
          <w:p w:rsidR="009F7163" w:rsidRPr="005C0C9D" w:rsidRDefault="009F7163" w:rsidP="004925AC">
            <w:pPr>
              <w:tabs>
                <w:tab w:val="decimal" w:pos="865"/>
              </w:tabs>
              <w:adjustRightInd w:val="0"/>
              <w:snapToGrid w:val="0"/>
              <w:rPr>
                <w:snapToGrid w:val="0"/>
              </w:rPr>
            </w:pPr>
            <w:r w:rsidRPr="005C0C9D">
              <w:rPr>
                <w:snapToGrid w:val="0"/>
              </w:rPr>
              <w:t>0</w:t>
            </w:r>
          </w:p>
        </w:tc>
        <w:tc>
          <w:tcPr>
            <w:tcW w:w="1124" w:type="pct"/>
            <w:vAlign w:val="center"/>
          </w:tcPr>
          <w:p w:rsidR="009F7163" w:rsidRPr="005C0C9D" w:rsidRDefault="009F7163" w:rsidP="004925AC">
            <w:pPr>
              <w:tabs>
                <w:tab w:val="decimal" w:pos="936"/>
              </w:tabs>
              <w:adjustRightInd w:val="0"/>
              <w:snapToGrid w:val="0"/>
              <w:rPr>
                <w:snapToGrid w:val="0"/>
              </w:rPr>
            </w:pPr>
            <w:r w:rsidRPr="005C0C9D">
              <w:rPr>
                <w:snapToGrid w:val="0"/>
              </w:rPr>
              <w:t>0</w:t>
            </w:r>
          </w:p>
        </w:tc>
        <w:tc>
          <w:tcPr>
            <w:tcW w:w="1026" w:type="pct"/>
            <w:vAlign w:val="center"/>
          </w:tcPr>
          <w:p w:rsidR="009F7163" w:rsidRPr="005C0C9D" w:rsidRDefault="009F7163" w:rsidP="004925AC">
            <w:pPr>
              <w:adjustRightInd w:val="0"/>
              <w:snapToGrid w:val="0"/>
              <w:ind w:right="617"/>
              <w:jc w:val="right"/>
              <w:rPr>
                <w:snapToGrid w:val="0"/>
              </w:rPr>
            </w:pPr>
            <w:r>
              <w:rPr>
                <w:snapToGrid w:val="0"/>
              </w:rPr>
              <w:t>3.</w:t>
            </w:r>
            <w:r w:rsidRPr="005C0C9D">
              <w:rPr>
                <w:snapToGrid w:val="0"/>
              </w:rPr>
              <w:t>957</w:t>
            </w:r>
          </w:p>
        </w:tc>
        <w:tc>
          <w:tcPr>
            <w:tcW w:w="1108" w:type="pct"/>
            <w:vAlign w:val="center"/>
          </w:tcPr>
          <w:p w:rsidR="009F7163" w:rsidRPr="005C0C9D" w:rsidRDefault="009F7163" w:rsidP="004925AC">
            <w:pPr>
              <w:tabs>
                <w:tab w:val="decimal" w:pos="927"/>
              </w:tabs>
              <w:adjustRightInd w:val="0"/>
              <w:snapToGrid w:val="0"/>
              <w:rPr>
                <w:snapToGrid w:val="0"/>
              </w:rPr>
            </w:pPr>
            <w:r w:rsidRPr="005C0C9D">
              <w:rPr>
                <w:snapToGrid w:val="0"/>
              </w:rPr>
              <w:t>14,06</w:t>
            </w:r>
          </w:p>
        </w:tc>
      </w:tr>
      <w:tr w:rsidR="009F7163" w:rsidRPr="005C0C9D" w:rsidTr="004925AC">
        <w:trPr>
          <w:trHeight w:val="20"/>
          <w:jc w:val="center"/>
        </w:trPr>
        <w:tc>
          <w:tcPr>
            <w:tcW w:w="732" w:type="pct"/>
            <w:vAlign w:val="center"/>
          </w:tcPr>
          <w:p w:rsidR="009F7163" w:rsidRPr="005C0C9D" w:rsidRDefault="009F7163" w:rsidP="004925AC">
            <w:pPr>
              <w:adjustRightInd w:val="0"/>
              <w:snapToGrid w:val="0"/>
              <w:jc w:val="center"/>
              <w:rPr>
                <w:snapToGrid w:val="0"/>
              </w:rPr>
            </w:pPr>
            <w:r w:rsidRPr="005C0C9D">
              <w:rPr>
                <w:snapToGrid w:val="0"/>
              </w:rPr>
              <w:t>1998</w:t>
            </w:r>
          </w:p>
        </w:tc>
        <w:tc>
          <w:tcPr>
            <w:tcW w:w="1010" w:type="pct"/>
            <w:vAlign w:val="center"/>
          </w:tcPr>
          <w:p w:rsidR="009F7163" w:rsidRPr="005C0C9D" w:rsidRDefault="009F7163" w:rsidP="004925AC">
            <w:pPr>
              <w:tabs>
                <w:tab w:val="decimal" w:pos="865"/>
              </w:tabs>
              <w:adjustRightInd w:val="0"/>
              <w:snapToGrid w:val="0"/>
              <w:rPr>
                <w:snapToGrid w:val="0"/>
              </w:rPr>
            </w:pPr>
            <w:r w:rsidRPr="005C0C9D">
              <w:rPr>
                <w:snapToGrid w:val="0"/>
              </w:rPr>
              <w:t>0</w:t>
            </w:r>
          </w:p>
        </w:tc>
        <w:tc>
          <w:tcPr>
            <w:tcW w:w="1124" w:type="pct"/>
            <w:vAlign w:val="center"/>
          </w:tcPr>
          <w:p w:rsidR="009F7163" w:rsidRPr="005C0C9D" w:rsidRDefault="009F7163" w:rsidP="004925AC">
            <w:pPr>
              <w:tabs>
                <w:tab w:val="decimal" w:pos="936"/>
              </w:tabs>
              <w:adjustRightInd w:val="0"/>
              <w:snapToGrid w:val="0"/>
              <w:rPr>
                <w:snapToGrid w:val="0"/>
              </w:rPr>
            </w:pPr>
            <w:r w:rsidRPr="005C0C9D">
              <w:rPr>
                <w:snapToGrid w:val="0"/>
              </w:rPr>
              <w:t>0</w:t>
            </w:r>
          </w:p>
        </w:tc>
        <w:tc>
          <w:tcPr>
            <w:tcW w:w="1026" w:type="pct"/>
            <w:vAlign w:val="center"/>
          </w:tcPr>
          <w:p w:rsidR="009F7163" w:rsidRPr="005C0C9D" w:rsidRDefault="009F7163" w:rsidP="004925AC">
            <w:pPr>
              <w:adjustRightInd w:val="0"/>
              <w:snapToGrid w:val="0"/>
              <w:ind w:right="617"/>
              <w:jc w:val="right"/>
              <w:rPr>
                <w:snapToGrid w:val="0"/>
              </w:rPr>
            </w:pPr>
            <w:r>
              <w:rPr>
                <w:snapToGrid w:val="0"/>
              </w:rPr>
              <w:t>3.</w:t>
            </w:r>
            <w:r w:rsidRPr="005C0C9D">
              <w:rPr>
                <w:snapToGrid w:val="0"/>
              </w:rPr>
              <w:t>017</w:t>
            </w:r>
          </w:p>
        </w:tc>
        <w:tc>
          <w:tcPr>
            <w:tcW w:w="1108" w:type="pct"/>
            <w:vAlign w:val="center"/>
          </w:tcPr>
          <w:p w:rsidR="009F7163" w:rsidRPr="005C0C9D" w:rsidRDefault="009F7163" w:rsidP="004925AC">
            <w:pPr>
              <w:tabs>
                <w:tab w:val="decimal" w:pos="927"/>
              </w:tabs>
              <w:adjustRightInd w:val="0"/>
              <w:snapToGrid w:val="0"/>
              <w:rPr>
                <w:snapToGrid w:val="0"/>
              </w:rPr>
            </w:pPr>
            <w:r w:rsidRPr="005C0C9D">
              <w:rPr>
                <w:snapToGrid w:val="0"/>
              </w:rPr>
              <w:t>9,66</w:t>
            </w:r>
          </w:p>
        </w:tc>
      </w:tr>
      <w:tr w:rsidR="009F7163" w:rsidRPr="005C0C9D" w:rsidTr="004925AC">
        <w:trPr>
          <w:trHeight w:val="20"/>
          <w:jc w:val="center"/>
        </w:trPr>
        <w:tc>
          <w:tcPr>
            <w:tcW w:w="732" w:type="pct"/>
            <w:vAlign w:val="center"/>
          </w:tcPr>
          <w:p w:rsidR="009F7163" w:rsidRPr="005C0C9D" w:rsidRDefault="009F7163" w:rsidP="004925AC">
            <w:pPr>
              <w:adjustRightInd w:val="0"/>
              <w:snapToGrid w:val="0"/>
              <w:jc w:val="center"/>
              <w:rPr>
                <w:snapToGrid w:val="0"/>
              </w:rPr>
            </w:pPr>
            <w:r w:rsidRPr="005C0C9D">
              <w:rPr>
                <w:snapToGrid w:val="0"/>
              </w:rPr>
              <w:t>1999</w:t>
            </w:r>
          </w:p>
        </w:tc>
        <w:tc>
          <w:tcPr>
            <w:tcW w:w="1010" w:type="pct"/>
            <w:vAlign w:val="center"/>
          </w:tcPr>
          <w:p w:rsidR="009F7163" w:rsidRPr="005C0C9D" w:rsidRDefault="009F7163" w:rsidP="004925AC">
            <w:pPr>
              <w:tabs>
                <w:tab w:val="decimal" w:pos="865"/>
              </w:tabs>
              <w:adjustRightInd w:val="0"/>
              <w:snapToGrid w:val="0"/>
              <w:rPr>
                <w:snapToGrid w:val="0"/>
              </w:rPr>
            </w:pPr>
            <w:r w:rsidRPr="005C0C9D">
              <w:rPr>
                <w:snapToGrid w:val="0"/>
              </w:rPr>
              <w:t>0</w:t>
            </w:r>
          </w:p>
        </w:tc>
        <w:tc>
          <w:tcPr>
            <w:tcW w:w="1124" w:type="pct"/>
            <w:vAlign w:val="center"/>
          </w:tcPr>
          <w:p w:rsidR="009F7163" w:rsidRPr="005C0C9D" w:rsidRDefault="009F7163" w:rsidP="004925AC">
            <w:pPr>
              <w:tabs>
                <w:tab w:val="decimal" w:pos="936"/>
              </w:tabs>
              <w:adjustRightInd w:val="0"/>
              <w:snapToGrid w:val="0"/>
              <w:rPr>
                <w:snapToGrid w:val="0"/>
              </w:rPr>
            </w:pPr>
            <w:r w:rsidRPr="005C0C9D">
              <w:rPr>
                <w:snapToGrid w:val="0"/>
              </w:rPr>
              <w:t>0</w:t>
            </w:r>
          </w:p>
        </w:tc>
        <w:tc>
          <w:tcPr>
            <w:tcW w:w="1026" w:type="pct"/>
            <w:vAlign w:val="center"/>
          </w:tcPr>
          <w:p w:rsidR="009F7163" w:rsidRPr="005C0C9D" w:rsidRDefault="009F7163" w:rsidP="004925AC">
            <w:pPr>
              <w:adjustRightInd w:val="0"/>
              <w:snapToGrid w:val="0"/>
              <w:ind w:right="617"/>
              <w:jc w:val="right"/>
              <w:rPr>
                <w:snapToGrid w:val="0"/>
              </w:rPr>
            </w:pPr>
            <w:r>
              <w:rPr>
                <w:snapToGrid w:val="0"/>
              </w:rPr>
              <w:t>2.</w:t>
            </w:r>
            <w:r w:rsidRPr="005C0C9D">
              <w:rPr>
                <w:snapToGrid w:val="0"/>
              </w:rPr>
              <w:t>735</w:t>
            </w:r>
          </w:p>
        </w:tc>
        <w:tc>
          <w:tcPr>
            <w:tcW w:w="1108" w:type="pct"/>
            <w:vAlign w:val="center"/>
          </w:tcPr>
          <w:p w:rsidR="009F7163" w:rsidRPr="005C0C9D" w:rsidRDefault="009F7163" w:rsidP="004925AC">
            <w:pPr>
              <w:tabs>
                <w:tab w:val="decimal" w:pos="927"/>
              </w:tabs>
              <w:adjustRightInd w:val="0"/>
              <w:snapToGrid w:val="0"/>
              <w:rPr>
                <w:snapToGrid w:val="0"/>
              </w:rPr>
            </w:pPr>
            <w:r w:rsidRPr="005C0C9D">
              <w:rPr>
                <w:snapToGrid w:val="0"/>
              </w:rPr>
              <w:t>9,07</w:t>
            </w:r>
          </w:p>
        </w:tc>
      </w:tr>
      <w:tr w:rsidR="009F7163" w:rsidRPr="005C0C9D" w:rsidTr="004925AC">
        <w:trPr>
          <w:trHeight w:val="20"/>
          <w:jc w:val="center"/>
        </w:trPr>
        <w:tc>
          <w:tcPr>
            <w:tcW w:w="732" w:type="pct"/>
            <w:vAlign w:val="center"/>
          </w:tcPr>
          <w:p w:rsidR="009F7163" w:rsidRPr="005C0C9D" w:rsidRDefault="009F7163" w:rsidP="004925AC">
            <w:pPr>
              <w:adjustRightInd w:val="0"/>
              <w:snapToGrid w:val="0"/>
              <w:jc w:val="center"/>
              <w:rPr>
                <w:snapToGrid w:val="0"/>
              </w:rPr>
            </w:pPr>
            <w:r w:rsidRPr="005C0C9D">
              <w:rPr>
                <w:snapToGrid w:val="0"/>
              </w:rPr>
              <w:t>2000</w:t>
            </w:r>
          </w:p>
        </w:tc>
        <w:tc>
          <w:tcPr>
            <w:tcW w:w="1010" w:type="pct"/>
            <w:vAlign w:val="center"/>
          </w:tcPr>
          <w:p w:rsidR="009F7163" w:rsidRPr="005C0C9D" w:rsidRDefault="009F7163" w:rsidP="004925AC">
            <w:pPr>
              <w:tabs>
                <w:tab w:val="decimal" w:pos="865"/>
              </w:tabs>
              <w:adjustRightInd w:val="0"/>
              <w:snapToGrid w:val="0"/>
              <w:rPr>
                <w:snapToGrid w:val="0"/>
              </w:rPr>
            </w:pPr>
            <w:r w:rsidRPr="005C0C9D">
              <w:rPr>
                <w:snapToGrid w:val="0"/>
              </w:rPr>
              <w:t>0</w:t>
            </w:r>
          </w:p>
        </w:tc>
        <w:tc>
          <w:tcPr>
            <w:tcW w:w="1124" w:type="pct"/>
            <w:vAlign w:val="center"/>
          </w:tcPr>
          <w:p w:rsidR="009F7163" w:rsidRPr="005C0C9D" w:rsidRDefault="009F7163" w:rsidP="004925AC">
            <w:pPr>
              <w:tabs>
                <w:tab w:val="decimal" w:pos="936"/>
              </w:tabs>
              <w:adjustRightInd w:val="0"/>
              <w:snapToGrid w:val="0"/>
              <w:rPr>
                <w:snapToGrid w:val="0"/>
              </w:rPr>
            </w:pPr>
            <w:r w:rsidRPr="005C0C9D">
              <w:rPr>
                <w:snapToGrid w:val="0"/>
              </w:rPr>
              <w:t>0</w:t>
            </w:r>
          </w:p>
        </w:tc>
        <w:tc>
          <w:tcPr>
            <w:tcW w:w="1026" w:type="pct"/>
            <w:vAlign w:val="center"/>
          </w:tcPr>
          <w:p w:rsidR="009F7163" w:rsidRPr="005C0C9D" w:rsidRDefault="009F7163" w:rsidP="004925AC">
            <w:pPr>
              <w:adjustRightInd w:val="0"/>
              <w:snapToGrid w:val="0"/>
              <w:ind w:right="617"/>
              <w:jc w:val="right"/>
              <w:rPr>
                <w:snapToGrid w:val="0"/>
              </w:rPr>
            </w:pPr>
            <w:r>
              <w:rPr>
                <w:snapToGrid w:val="0"/>
              </w:rPr>
              <w:t>2.</w:t>
            </w:r>
            <w:r w:rsidRPr="005C0C9D">
              <w:rPr>
                <w:snapToGrid w:val="0"/>
              </w:rPr>
              <w:t>639</w:t>
            </w:r>
          </w:p>
        </w:tc>
        <w:tc>
          <w:tcPr>
            <w:tcW w:w="1108" w:type="pct"/>
            <w:vAlign w:val="center"/>
          </w:tcPr>
          <w:p w:rsidR="009F7163" w:rsidRPr="005C0C9D" w:rsidRDefault="009F7163" w:rsidP="004925AC">
            <w:pPr>
              <w:tabs>
                <w:tab w:val="decimal" w:pos="927"/>
              </w:tabs>
              <w:adjustRightInd w:val="0"/>
              <w:snapToGrid w:val="0"/>
              <w:rPr>
                <w:snapToGrid w:val="0"/>
              </w:rPr>
            </w:pPr>
            <w:r w:rsidRPr="005C0C9D">
              <w:rPr>
                <w:snapToGrid w:val="0"/>
              </w:rPr>
              <w:t>8,52</w:t>
            </w:r>
          </w:p>
        </w:tc>
      </w:tr>
      <w:tr w:rsidR="009F7163" w:rsidRPr="005C0C9D" w:rsidTr="004925AC">
        <w:trPr>
          <w:trHeight w:val="20"/>
          <w:jc w:val="center"/>
        </w:trPr>
        <w:tc>
          <w:tcPr>
            <w:tcW w:w="732" w:type="pct"/>
            <w:vAlign w:val="center"/>
          </w:tcPr>
          <w:p w:rsidR="009F7163" w:rsidRPr="005C0C9D" w:rsidRDefault="009F7163" w:rsidP="004925AC">
            <w:pPr>
              <w:adjustRightInd w:val="0"/>
              <w:snapToGrid w:val="0"/>
              <w:jc w:val="center"/>
              <w:rPr>
                <w:snapToGrid w:val="0"/>
              </w:rPr>
            </w:pPr>
            <w:r w:rsidRPr="005C0C9D">
              <w:rPr>
                <w:snapToGrid w:val="0"/>
              </w:rPr>
              <w:t>2001</w:t>
            </w:r>
          </w:p>
        </w:tc>
        <w:tc>
          <w:tcPr>
            <w:tcW w:w="1010" w:type="pct"/>
            <w:vAlign w:val="center"/>
          </w:tcPr>
          <w:p w:rsidR="009F7163" w:rsidRPr="005C0C9D" w:rsidRDefault="009F7163" w:rsidP="004925AC">
            <w:pPr>
              <w:tabs>
                <w:tab w:val="decimal" w:pos="865"/>
              </w:tabs>
              <w:adjustRightInd w:val="0"/>
              <w:snapToGrid w:val="0"/>
              <w:rPr>
                <w:snapToGrid w:val="0"/>
              </w:rPr>
            </w:pPr>
            <w:r w:rsidRPr="005C0C9D">
              <w:rPr>
                <w:snapToGrid w:val="0"/>
              </w:rPr>
              <w:t>0</w:t>
            </w:r>
          </w:p>
        </w:tc>
        <w:tc>
          <w:tcPr>
            <w:tcW w:w="1124" w:type="pct"/>
            <w:vAlign w:val="center"/>
          </w:tcPr>
          <w:p w:rsidR="009F7163" w:rsidRPr="005C0C9D" w:rsidRDefault="009F7163" w:rsidP="004925AC">
            <w:pPr>
              <w:tabs>
                <w:tab w:val="decimal" w:pos="936"/>
              </w:tabs>
              <w:adjustRightInd w:val="0"/>
              <w:snapToGrid w:val="0"/>
              <w:rPr>
                <w:snapToGrid w:val="0"/>
              </w:rPr>
            </w:pPr>
            <w:r w:rsidRPr="005C0C9D">
              <w:rPr>
                <w:snapToGrid w:val="0"/>
              </w:rPr>
              <w:t>0</w:t>
            </w:r>
          </w:p>
        </w:tc>
        <w:tc>
          <w:tcPr>
            <w:tcW w:w="1026" w:type="pct"/>
            <w:vAlign w:val="center"/>
          </w:tcPr>
          <w:p w:rsidR="009F7163" w:rsidRPr="005C0C9D" w:rsidRDefault="009F7163" w:rsidP="004925AC">
            <w:pPr>
              <w:adjustRightInd w:val="0"/>
              <w:snapToGrid w:val="0"/>
              <w:ind w:right="617"/>
              <w:jc w:val="right"/>
              <w:rPr>
                <w:snapToGrid w:val="0"/>
              </w:rPr>
            </w:pPr>
            <w:r>
              <w:rPr>
                <w:snapToGrid w:val="0"/>
              </w:rPr>
              <w:t>1.</w:t>
            </w:r>
            <w:r w:rsidRPr="005C0C9D">
              <w:rPr>
                <w:snapToGrid w:val="0"/>
              </w:rPr>
              <w:t>612</w:t>
            </w:r>
          </w:p>
        </w:tc>
        <w:tc>
          <w:tcPr>
            <w:tcW w:w="1108" w:type="pct"/>
            <w:vAlign w:val="center"/>
          </w:tcPr>
          <w:p w:rsidR="009F7163" w:rsidRPr="005C0C9D" w:rsidRDefault="009F7163" w:rsidP="004925AC">
            <w:pPr>
              <w:tabs>
                <w:tab w:val="decimal" w:pos="927"/>
              </w:tabs>
              <w:adjustRightInd w:val="0"/>
              <w:snapToGrid w:val="0"/>
              <w:rPr>
                <w:snapToGrid w:val="0"/>
              </w:rPr>
            </w:pPr>
            <w:r w:rsidRPr="005C0C9D">
              <w:rPr>
                <w:snapToGrid w:val="0"/>
              </w:rPr>
              <w:t>4,96</w:t>
            </w:r>
          </w:p>
        </w:tc>
      </w:tr>
      <w:tr w:rsidR="009F7163" w:rsidRPr="005C0C9D" w:rsidTr="004925AC">
        <w:trPr>
          <w:trHeight w:val="20"/>
          <w:jc w:val="center"/>
        </w:trPr>
        <w:tc>
          <w:tcPr>
            <w:tcW w:w="732" w:type="pct"/>
            <w:vAlign w:val="center"/>
          </w:tcPr>
          <w:p w:rsidR="009F7163" w:rsidRPr="005C0C9D" w:rsidRDefault="009F7163" w:rsidP="004925AC">
            <w:pPr>
              <w:adjustRightInd w:val="0"/>
              <w:snapToGrid w:val="0"/>
              <w:jc w:val="center"/>
              <w:rPr>
                <w:snapToGrid w:val="0"/>
              </w:rPr>
            </w:pPr>
            <w:r w:rsidRPr="005C0C9D">
              <w:rPr>
                <w:snapToGrid w:val="0"/>
              </w:rPr>
              <w:t>2002</w:t>
            </w:r>
          </w:p>
        </w:tc>
        <w:tc>
          <w:tcPr>
            <w:tcW w:w="1010" w:type="pct"/>
            <w:vAlign w:val="center"/>
          </w:tcPr>
          <w:p w:rsidR="009F7163" w:rsidRPr="005C0C9D" w:rsidRDefault="009F7163" w:rsidP="004925AC">
            <w:pPr>
              <w:tabs>
                <w:tab w:val="decimal" w:pos="865"/>
              </w:tabs>
              <w:adjustRightInd w:val="0"/>
              <w:snapToGrid w:val="0"/>
              <w:rPr>
                <w:snapToGrid w:val="0"/>
              </w:rPr>
            </w:pPr>
            <w:r w:rsidRPr="005C0C9D">
              <w:rPr>
                <w:snapToGrid w:val="0"/>
              </w:rPr>
              <w:t>0</w:t>
            </w:r>
          </w:p>
        </w:tc>
        <w:tc>
          <w:tcPr>
            <w:tcW w:w="1124" w:type="pct"/>
            <w:vAlign w:val="center"/>
          </w:tcPr>
          <w:p w:rsidR="009F7163" w:rsidRPr="005C0C9D" w:rsidRDefault="009F7163" w:rsidP="004925AC">
            <w:pPr>
              <w:tabs>
                <w:tab w:val="decimal" w:pos="936"/>
              </w:tabs>
              <w:adjustRightInd w:val="0"/>
              <w:snapToGrid w:val="0"/>
              <w:rPr>
                <w:snapToGrid w:val="0"/>
              </w:rPr>
            </w:pPr>
            <w:r w:rsidRPr="005C0C9D">
              <w:rPr>
                <w:snapToGrid w:val="0"/>
              </w:rPr>
              <w:t>0</w:t>
            </w:r>
          </w:p>
        </w:tc>
        <w:tc>
          <w:tcPr>
            <w:tcW w:w="1026" w:type="pct"/>
            <w:vAlign w:val="center"/>
          </w:tcPr>
          <w:p w:rsidR="009F7163" w:rsidRPr="005C0C9D" w:rsidRDefault="009F7163" w:rsidP="004925AC">
            <w:pPr>
              <w:adjustRightInd w:val="0"/>
              <w:snapToGrid w:val="0"/>
              <w:ind w:right="617"/>
              <w:jc w:val="right"/>
              <w:rPr>
                <w:snapToGrid w:val="0"/>
              </w:rPr>
            </w:pPr>
            <w:r>
              <w:rPr>
                <w:snapToGrid w:val="0"/>
              </w:rPr>
              <w:t>2.</w:t>
            </w:r>
            <w:r w:rsidRPr="005C0C9D">
              <w:rPr>
                <w:snapToGrid w:val="0"/>
              </w:rPr>
              <w:t>411</w:t>
            </w:r>
          </w:p>
        </w:tc>
        <w:tc>
          <w:tcPr>
            <w:tcW w:w="1108" w:type="pct"/>
            <w:vAlign w:val="center"/>
          </w:tcPr>
          <w:p w:rsidR="009F7163" w:rsidRPr="005C0C9D" w:rsidRDefault="009F7163" w:rsidP="004925AC">
            <w:pPr>
              <w:tabs>
                <w:tab w:val="decimal" w:pos="927"/>
              </w:tabs>
              <w:adjustRightInd w:val="0"/>
              <w:snapToGrid w:val="0"/>
              <w:rPr>
                <w:snapToGrid w:val="0"/>
              </w:rPr>
            </w:pPr>
            <w:r w:rsidRPr="005C0C9D">
              <w:rPr>
                <w:snapToGrid w:val="0"/>
              </w:rPr>
              <w:t>8,33</w:t>
            </w:r>
          </w:p>
        </w:tc>
      </w:tr>
      <w:tr w:rsidR="009F7163" w:rsidRPr="005C0C9D" w:rsidTr="004925AC">
        <w:trPr>
          <w:trHeight w:val="20"/>
          <w:jc w:val="center"/>
        </w:trPr>
        <w:tc>
          <w:tcPr>
            <w:tcW w:w="732" w:type="pct"/>
            <w:vAlign w:val="center"/>
          </w:tcPr>
          <w:p w:rsidR="009F7163" w:rsidRPr="005C0C9D" w:rsidRDefault="009F7163" w:rsidP="004925AC">
            <w:pPr>
              <w:adjustRightInd w:val="0"/>
              <w:snapToGrid w:val="0"/>
              <w:jc w:val="center"/>
              <w:rPr>
                <w:snapToGrid w:val="0"/>
              </w:rPr>
            </w:pPr>
            <w:r w:rsidRPr="005C0C9D">
              <w:rPr>
                <w:snapToGrid w:val="0"/>
              </w:rPr>
              <w:t>2003</w:t>
            </w:r>
          </w:p>
        </w:tc>
        <w:tc>
          <w:tcPr>
            <w:tcW w:w="1010" w:type="pct"/>
            <w:vAlign w:val="center"/>
          </w:tcPr>
          <w:p w:rsidR="009F7163" w:rsidRPr="005C0C9D" w:rsidRDefault="009F7163" w:rsidP="004925AC">
            <w:pPr>
              <w:tabs>
                <w:tab w:val="decimal" w:pos="865"/>
              </w:tabs>
              <w:adjustRightInd w:val="0"/>
              <w:snapToGrid w:val="0"/>
              <w:rPr>
                <w:snapToGrid w:val="0"/>
              </w:rPr>
            </w:pPr>
            <w:r w:rsidRPr="005C0C9D">
              <w:rPr>
                <w:snapToGrid w:val="0"/>
              </w:rPr>
              <w:t>0</w:t>
            </w:r>
          </w:p>
        </w:tc>
        <w:tc>
          <w:tcPr>
            <w:tcW w:w="1124" w:type="pct"/>
            <w:vAlign w:val="center"/>
          </w:tcPr>
          <w:p w:rsidR="009F7163" w:rsidRPr="005C0C9D" w:rsidRDefault="009F7163" w:rsidP="004925AC">
            <w:pPr>
              <w:tabs>
                <w:tab w:val="decimal" w:pos="936"/>
              </w:tabs>
              <w:adjustRightInd w:val="0"/>
              <w:snapToGrid w:val="0"/>
              <w:rPr>
                <w:snapToGrid w:val="0"/>
              </w:rPr>
            </w:pPr>
            <w:r w:rsidRPr="005C0C9D">
              <w:rPr>
                <w:snapToGrid w:val="0"/>
              </w:rPr>
              <w:t>0</w:t>
            </w:r>
          </w:p>
        </w:tc>
        <w:tc>
          <w:tcPr>
            <w:tcW w:w="1026" w:type="pct"/>
            <w:vAlign w:val="center"/>
          </w:tcPr>
          <w:p w:rsidR="009F7163" w:rsidRPr="005C0C9D" w:rsidRDefault="009F7163" w:rsidP="004925AC">
            <w:pPr>
              <w:adjustRightInd w:val="0"/>
              <w:snapToGrid w:val="0"/>
              <w:ind w:right="617"/>
              <w:jc w:val="right"/>
              <w:rPr>
                <w:snapToGrid w:val="0"/>
              </w:rPr>
            </w:pPr>
            <w:r w:rsidRPr="005C0C9D">
              <w:rPr>
                <w:snapToGrid w:val="0"/>
              </w:rPr>
              <w:t>741</w:t>
            </w:r>
          </w:p>
        </w:tc>
        <w:tc>
          <w:tcPr>
            <w:tcW w:w="1108" w:type="pct"/>
            <w:vAlign w:val="center"/>
          </w:tcPr>
          <w:p w:rsidR="009F7163" w:rsidRPr="005C0C9D" w:rsidRDefault="009F7163" w:rsidP="004925AC">
            <w:pPr>
              <w:tabs>
                <w:tab w:val="decimal" w:pos="927"/>
              </w:tabs>
              <w:adjustRightInd w:val="0"/>
              <w:snapToGrid w:val="0"/>
              <w:rPr>
                <w:snapToGrid w:val="0"/>
              </w:rPr>
            </w:pPr>
            <w:r w:rsidRPr="005C0C9D">
              <w:rPr>
                <w:snapToGrid w:val="0"/>
              </w:rPr>
              <w:t>2,31</w:t>
            </w:r>
          </w:p>
        </w:tc>
      </w:tr>
      <w:tr w:rsidR="009F7163" w:rsidRPr="005C0C9D" w:rsidTr="004925AC">
        <w:trPr>
          <w:trHeight w:val="20"/>
          <w:jc w:val="center"/>
        </w:trPr>
        <w:tc>
          <w:tcPr>
            <w:tcW w:w="732" w:type="pct"/>
            <w:vAlign w:val="center"/>
          </w:tcPr>
          <w:p w:rsidR="009F7163" w:rsidRPr="005C0C9D" w:rsidRDefault="009F7163" w:rsidP="004925AC">
            <w:pPr>
              <w:adjustRightInd w:val="0"/>
              <w:snapToGrid w:val="0"/>
              <w:jc w:val="center"/>
              <w:rPr>
                <w:snapToGrid w:val="0"/>
              </w:rPr>
            </w:pPr>
            <w:r w:rsidRPr="005C0C9D">
              <w:rPr>
                <w:snapToGrid w:val="0"/>
              </w:rPr>
              <w:t>2004</w:t>
            </w:r>
          </w:p>
        </w:tc>
        <w:tc>
          <w:tcPr>
            <w:tcW w:w="1010" w:type="pct"/>
            <w:vAlign w:val="center"/>
          </w:tcPr>
          <w:p w:rsidR="009F7163" w:rsidRPr="005C0C9D" w:rsidRDefault="009F7163" w:rsidP="004925AC">
            <w:pPr>
              <w:tabs>
                <w:tab w:val="decimal" w:pos="865"/>
              </w:tabs>
              <w:adjustRightInd w:val="0"/>
              <w:snapToGrid w:val="0"/>
              <w:rPr>
                <w:snapToGrid w:val="0"/>
              </w:rPr>
            </w:pPr>
            <w:r w:rsidRPr="005C0C9D">
              <w:rPr>
                <w:snapToGrid w:val="0"/>
              </w:rPr>
              <w:t>0</w:t>
            </w:r>
          </w:p>
        </w:tc>
        <w:tc>
          <w:tcPr>
            <w:tcW w:w="1124" w:type="pct"/>
            <w:vAlign w:val="center"/>
          </w:tcPr>
          <w:p w:rsidR="009F7163" w:rsidRPr="005C0C9D" w:rsidRDefault="009F7163" w:rsidP="004925AC">
            <w:pPr>
              <w:tabs>
                <w:tab w:val="decimal" w:pos="936"/>
              </w:tabs>
              <w:adjustRightInd w:val="0"/>
              <w:snapToGrid w:val="0"/>
              <w:rPr>
                <w:snapToGrid w:val="0"/>
              </w:rPr>
            </w:pPr>
            <w:r w:rsidRPr="005C0C9D">
              <w:rPr>
                <w:snapToGrid w:val="0"/>
              </w:rPr>
              <w:t>0</w:t>
            </w:r>
          </w:p>
        </w:tc>
        <w:tc>
          <w:tcPr>
            <w:tcW w:w="1026" w:type="pct"/>
            <w:vAlign w:val="center"/>
          </w:tcPr>
          <w:p w:rsidR="009F7163" w:rsidRPr="005C0C9D" w:rsidRDefault="009F7163" w:rsidP="004925AC">
            <w:pPr>
              <w:adjustRightInd w:val="0"/>
              <w:snapToGrid w:val="0"/>
              <w:ind w:right="617"/>
              <w:jc w:val="right"/>
              <w:rPr>
                <w:snapToGrid w:val="0"/>
              </w:rPr>
            </w:pPr>
            <w:r>
              <w:rPr>
                <w:snapToGrid w:val="0"/>
              </w:rPr>
              <w:t>1.</w:t>
            </w:r>
            <w:r w:rsidRPr="005C0C9D">
              <w:rPr>
                <w:snapToGrid w:val="0"/>
              </w:rPr>
              <w:t>090</w:t>
            </w:r>
          </w:p>
        </w:tc>
        <w:tc>
          <w:tcPr>
            <w:tcW w:w="1108" w:type="pct"/>
            <w:vAlign w:val="center"/>
          </w:tcPr>
          <w:p w:rsidR="009F7163" w:rsidRPr="005C0C9D" w:rsidRDefault="009F7163" w:rsidP="004925AC">
            <w:pPr>
              <w:tabs>
                <w:tab w:val="decimal" w:pos="927"/>
              </w:tabs>
              <w:adjustRightInd w:val="0"/>
              <w:snapToGrid w:val="0"/>
              <w:rPr>
                <w:snapToGrid w:val="0"/>
              </w:rPr>
            </w:pPr>
            <w:r w:rsidRPr="005C0C9D">
              <w:rPr>
                <w:snapToGrid w:val="0"/>
              </w:rPr>
              <w:t>3,40</w:t>
            </w:r>
          </w:p>
        </w:tc>
      </w:tr>
      <w:tr w:rsidR="009F7163" w:rsidRPr="005C0C9D" w:rsidTr="004925AC">
        <w:trPr>
          <w:trHeight w:val="20"/>
          <w:jc w:val="center"/>
        </w:trPr>
        <w:tc>
          <w:tcPr>
            <w:tcW w:w="732" w:type="pct"/>
            <w:vAlign w:val="center"/>
          </w:tcPr>
          <w:p w:rsidR="009F7163" w:rsidRPr="005C0C9D" w:rsidRDefault="009F7163" w:rsidP="004925AC">
            <w:pPr>
              <w:adjustRightInd w:val="0"/>
              <w:snapToGrid w:val="0"/>
              <w:jc w:val="center"/>
              <w:rPr>
                <w:snapToGrid w:val="0"/>
              </w:rPr>
            </w:pPr>
            <w:r w:rsidRPr="005C0C9D">
              <w:rPr>
                <w:snapToGrid w:val="0"/>
              </w:rPr>
              <w:t>2005</w:t>
            </w:r>
          </w:p>
        </w:tc>
        <w:tc>
          <w:tcPr>
            <w:tcW w:w="1010" w:type="pct"/>
            <w:vAlign w:val="center"/>
          </w:tcPr>
          <w:p w:rsidR="009F7163" w:rsidRPr="005C0C9D" w:rsidRDefault="009F7163" w:rsidP="004925AC">
            <w:pPr>
              <w:tabs>
                <w:tab w:val="decimal" w:pos="865"/>
              </w:tabs>
              <w:adjustRightInd w:val="0"/>
              <w:snapToGrid w:val="0"/>
              <w:rPr>
                <w:snapToGrid w:val="0"/>
              </w:rPr>
            </w:pPr>
            <w:r w:rsidRPr="005C0C9D">
              <w:rPr>
                <w:snapToGrid w:val="0"/>
              </w:rPr>
              <w:t>0</w:t>
            </w:r>
          </w:p>
        </w:tc>
        <w:tc>
          <w:tcPr>
            <w:tcW w:w="1124" w:type="pct"/>
            <w:vAlign w:val="center"/>
          </w:tcPr>
          <w:p w:rsidR="009F7163" w:rsidRPr="005C0C9D" w:rsidRDefault="009F7163" w:rsidP="004925AC">
            <w:pPr>
              <w:tabs>
                <w:tab w:val="decimal" w:pos="936"/>
              </w:tabs>
              <w:adjustRightInd w:val="0"/>
              <w:snapToGrid w:val="0"/>
              <w:rPr>
                <w:snapToGrid w:val="0"/>
              </w:rPr>
            </w:pPr>
            <w:r w:rsidRPr="005C0C9D">
              <w:rPr>
                <w:snapToGrid w:val="0"/>
              </w:rPr>
              <w:t>0</w:t>
            </w:r>
          </w:p>
        </w:tc>
        <w:tc>
          <w:tcPr>
            <w:tcW w:w="1026" w:type="pct"/>
            <w:vAlign w:val="center"/>
          </w:tcPr>
          <w:p w:rsidR="009F7163" w:rsidRPr="005C0C9D" w:rsidRDefault="009F7163" w:rsidP="004925AC">
            <w:pPr>
              <w:adjustRightInd w:val="0"/>
              <w:snapToGrid w:val="0"/>
              <w:ind w:right="617"/>
              <w:jc w:val="right"/>
              <w:rPr>
                <w:snapToGrid w:val="0"/>
              </w:rPr>
            </w:pPr>
            <w:r>
              <w:rPr>
                <w:snapToGrid w:val="0"/>
              </w:rPr>
              <w:t>1.</w:t>
            </w:r>
            <w:r w:rsidRPr="005C0C9D">
              <w:rPr>
                <w:snapToGrid w:val="0"/>
              </w:rPr>
              <w:t>439</w:t>
            </w:r>
          </w:p>
        </w:tc>
        <w:tc>
          <w:tcPr>
            <w:tcW w:w="1108" w:type="pct"/>
            <w:vAlign w:val="center"/>
          </w:tcPr>
          <w:p w:rsidR="009F7163" w:rsidRPr="005C0C9D" w:rsidRDefault="009F7163" w:rsidP="004925AC">
            <w:pPr>
              <w:tabs>
                <w:tab w:val="decimal" w:pos="927"/>
              </w:tabs>
              <w:adjustRightInd w:val="0"/>
              <w:snapToGrid w:val="0"/>
              <w:rPr>
                <w:snapToGrid w:val="0"/>
              </w:rPr>
            </w:pPr>
            <w:r w:rsidRPr="005C0C9D">
              <w:rPr>
                <w:snapToGrid w:val="0"/>
              </w:rPr>
              <w:t>4,49</w:t>
            </w:r>
          </w:p>
        </w:tc>
      </w:tr>
    </w:tbl>
    <w:p w:rsidR="009F7163" w:rsidRPr="005C0C9D" w:rsidRDefault="009F7163" w:rsidP="00FD0D79">
      <w:pPr>
        <w:keepNext/>
        <w:keepLines/>
        <w:adjustRightInd w:val="0"/>
        <w:snapToGrid w:val="0"/>
        <w:spacing w:before="480" w:after="240"/>
        <w:rPr>
          <w:b/>
          <w:snapToGrid w:val="0"/>
        </w:rPr>
      </w:pPr>
      <w:r w:rsidRPr="005C0C9D">
        <w:rPr>
          <w:b/>
          <w:snapToGrid w:val="0"/>
        </w:rPr>
        <w:t>3.</w:t>
      </w:r>
      <w:r w:rsidRPr="005C0C9D">
        <w:rPr>
          <w:b/>
          <w:snapToGrid w:val="0"/>
        </w:rPr>
        <w:tab/>
        <w:t>La tuberculosis</w:t>
      </w:r>
    </w:p>
    <w:tbl>
      <w:tblPr>
        <w:tblStyle w:val="TableGrid"/>
        <w:tblW w:w="9561" w:type="dxa"/>
        <w:jc w:val="center"/>
        <w:tblLayout w:type="fixed"/>
        <w:tblLook w:val="01E0" w:firstRow="1" w:lastRow="1" w:firstColumn="1" w:lastColumn="1" w:noHBand="0" w:noVBand="0"/>
      </w:tblPr>
      <w:tblGrid>
        <w:gridCol w:w="1612"/>
        <w:gridCol w:w="662"/>
        <w:gridCol w:w="662"/>
        <w:gridCol w:w="663"/>
        <w:gridCol w:w="662"/>
        <w:gridCol w:w="663"/>
        <w:gridCol w:w="662"/>
        <w:gridCol w:w="662"/>
        <w:gridCol w:w="663"/>
        <w:gridCol w:w="662"/>
        <w:gridCol w:w="663"/>
        <w:gridCol w:w="662"/>
        <w:gridCol w:w="663"/>
      </w:tblGrid>
      <w:tr w:rsidR="009F7163" w:rsidRPr="00D42F33" w:rsidTr="004925AC">
        <w:trPr>
          <w:trHeight w:val="20"/>
          <w:jc w:val="center"/>
        </w:trPr>
        <w:tc>
          <w:tcPr>
            <w:tcW w:w="1612" w:type="dxa"/>
            <w:vAlign w:val="center"/>
          </w:tcPr>
          <w:p w:rsidR="009F7163" w:rsidRPr="00D42F33" w:rsidRDefault="009F7163" w:rsidP="00FD0D79">
            <w:pPr>
              <w:keepNext/>
              <w:keepLines/>
              <w:adjustRightInd w:val="0"/>
              <w:snapToGrid w:val="0"/>
              <w:jc w:val="center"/>
              <w:rPr>
                <w:b/>
                <w:bCs/>
                <w:iCs/>
                <w:snapToGrid w:val="0"/>
                <w:sz w:val="20"/>
                <w:szCs w:val="20"/>
              </w:rPr>
            </w:pPr>
          </w:p>
        </w:tc>
        <w:tc>
          <w:tcPr>
            <w:tcW w:w="662" w:type="dxa"/>
            <w:vAlign w:val="center"/>
          </w:tcPr>
          <w:p w:rsidR="009F7163" w:rsidRPr="00D42F33" w:rsidRDefault="009F7163" w:rsidP="00FD0D79">
            <w:pPr>
              <w:keepNext/>
              <w:keepLines/>
              <w:adjustRightInd w:val="0"/>
              <w:snapToGrid w:val="0"/>
              <w:jc w:val="center"/>
              <w:rPr>
                <w:b/>
                <w:bCs/>
                <w:iCs/>
                <w:snapToGrid w:val="0"/>
                <w:sz w:val="20"/>
                <w:szCs w:val="20"/>
              </w:rPr>
            </w:pPr>
            <w:r w:rsidRPr="00D42F33">
              <w:rPr>
                <w:b/>
                <w:bCs/>
                <w:iCs/>
                <w:snapToGrid w:val="0"/>
                <w:sz w:val="20"/>
                <w:szCs w:val="20"/>
              </w:rPr>
              <w:t>1994</w:t>
            </w:r>
          </w:p>
        </w:tc>
        <w:tc>
          <w:tcPr>
            <w:tcW w:w="662" w:type="dxa"/>
            <w:vAlign w:val="center"/>
          </w:tcPr>
          <w:p w:rsidR="009F7163" w:rsidRPr="00D42F33" w:rsidRDefault="009F7163" w:rsidP="00FD0D79">
            <w:pPr>
              <w:keepNext/>
              <w:keepLines/>
              <w:adjustRightInd w:val="0"/>
              <w:snapToGrid w:val="0"/>
              <w:jc w:val="center"/>
              <w:rPr>
                <w:b/>
                <w:bCs/>
                <w:iCs/>
                <w:snapToGrid w:val="0"/>
                <w:sz w:val="20"/>
                <w:szCs w:val="20"/>
              </w:rPr>
            </w:pPr>
            <w:r w:rsidRPr="00D42F33">
              <w:rPr>
                <w:b/>
                <w:bCs/>
                <w:iCs/>
                <w:snapToGrid w:val="0"/>
                <w:sz w:val="20"/>
                <w:szCs w:val="20"/>
              </w:rPr>
              <w:t>1995</w:t>
            </w:r>
          </w:p>
        </w:tc>
        <w:tc>
          <w:tcPr>
            <w:tcW w:w="663" w:type="dxa"/>
            <w:vAlign w:val="center"/>
          </w:tcPr>
          <w:p w:rsidR="009F7163" w:rsidRPr="00D42F33" w:rsidRDefault="009F7163" w:rsidP="00FD0D79">
            <w:pPr>
              <w:keepNext/>
              <w:keepLines/>
              <w:adjustRightInd w:val="0"/>
              <w:snapToGrid w:val="0"/>
              <w:jc w:val="center"/>
              <w:rPr>
                <w:b/>
                <w:bCs/>
                <w:iCs/>
                <w:snapToGrid w:val="0"/>
                <w:sz w:val="20"/>
                <w:szCs w:val="20"/>
              </w:rPr>
            </w:pPr>
            <w:r w:rsidRPr="00D42F33">
              <w:rPr>
                <w:b/>
                <w:bCs/>
                <w:iCs/>
                <w:snapToGrid w:val="0"/>
                <w:sz w:val="20"/>
                <w:szCs w:val="20"/>
              </w:rPr>
              <w:t>1996</w:t>
            </w:r>
          </w:p>
        </w:tc>
        <w:tc>
          <w:tcPr>
            <w:tcW w:w="662" w:type="dxa"/>
            <w:vAlign w:val="center"/>
          </w:tcPr>
          <w:p w:rsidR="009F7163" w:rsidRPr="00D42F33" w:rsidRDefault="009F7163" w:rsidP="00FD0D79">
            <w:pPr>
              <w:keepNext/>
              <w:keepLines/>
              <w:adjustRightInd w:val="0"/>
              <w:snapToGrid w:val="0"/>
              <w:jc w:val="center"/>
              <w:rPr>
                <w:b/>
                <w:bCs/>
                <w:iCs/>
                <w:snapToGrid w:val="0"/>
                <w:sz w:val="20"/>
                <w:szCs w:val="20"/>
              </w:rPr>
            </w:pPr>
            <w:r w:rsidRPr="00D42F33">
              <w:rPr>
                <w:b/>
                <w:bCs/>
                <w:iCs/>
                <w:snapToGrid w:val="0"/>
                <w:sz w:val="20"/>
                <w:szCs w:val="20"/>
              </w:rPr>
              <w:t>1997</w:t>
            </w:r>
          </w:p>
        </w:tc>
        <w:tc>
          <w:tcPr>
            <w:tcW w:w="663" w:type="dxa"/>
            <w:vAlign w:val="center"/>
          </w:tcPr>
          <w:p w:rsidR="009F7163" w:rsidRPr="00D42F33" w:rsidRDefault="009F7163" w:rsidP="00FD0D79">
            <w:pPr>
              <w:keepNext/>
              <w:keepLines/>
              <w:adjustRightInd w:val="0"/>
              <w:snapToGrid w:val="0"/>
              <w:jc w:val="center"/>
              <w:rPr>
                <w:b/>
                <w:bCs/>
                <w:iCs/>
                <w:snapToGrid w:val="0"/>
                <w:sz w:val="20"/>
                <w:szCs w:val="20"/>
              </w:rPr>
            </w:pPr>
            <w:r w:rsidRPr="00D42F33">
              <w:rPr>
                <w:b/>
                <w:bCs/>
                <w:iCs/>
                <w:snapToGrid w:val="0"/>
                <w:sz w:val="20"/>
                <w:szCs w:val="20"/>
              </w:rPr>
              <w:t>1998</w:t>
            </w:r>
          </w:p>
        </w:tc>
        <w:tc>
          <w:tcPr>
            <w:tcW w:w="662" w:type="dxa"/>
            <w:vAlign w:val="center"/>
          </w:tcPr>
          <w:p w:rsidR="009F7163" w:rsidRPr="00D42F33" w:rsidRDefault="009F7163" w:rsidP="00FD0D79">
            <w:pPr>
              <w:keepNext/>
              <w:keepLines/>
              <w:adjustRightInd w:val="0"/>
              <w:snapToGrid w:val="0"/>
              <w:jc w:val="center"/>
              <w:rPr>
                <w:b/>
                <w:bCs/>
                <w:iCs/>
                <w:snapToGrid w:val="0"/>
                <w:sz w:val="20"/>
                <w:szCs w:val="20"/>
              </w:rPr>
            </w:pPr>
            <w:r w:rsidRPr="00D42F33">
              <w:rPr>
                <w:b/>
                <w:bCs/>
                <w:iCs/>
                <w:snapToGrid w:val="0"/>
                <w:sz w:val="20"/>
                <w:szCs w:val="20"/>
              </w:rPr>
              <w:t>1999</w:t>
            </w:r>
          </w:p>
        </w:tc>
        <w:tc>
          <w:tcPr>
            <w:tcW w:w="662" w:type="dxa"/>
            <w:vAlign w:val="center"/>
          </w:tcPr>
          <w:p w:rsidR="009F7163" w:rsidRPr="00D42F33" w:rsidRDefault="009F7163" w:rsidP="00FD0D79">
            <w:pPr>
              <w:keepNext/>
              <w:keepLines/>
              <w:adjustRightInd w:val="0"/>
              <w:snapToGrid w:val="0"/>
              <w:jc w:val="center"/>
              <w:rPr>
                <w:b/>
                <w:bCs/>
                <w:iCs/>
                <w:snapToGrid w:val="0"/>
                <w:sz w:val="20"/>
                <w:szCs w:val="20"/>
              </w:rPr>
            </w:pPr>
            <w:r w:rsidRPr="00D42F33">
              <w:rPr>
                <w:b/>
                <w:bCs/>
                <w:iCs/>
                <w:snapToGrid w:val="0"/>
                <w:sz w:val="20"/>
                <w:szCs w:val="20"/>
              </w:rPr>
              <w:t>2000</w:t>
            </w:r>
          </w:p>
        </w:tc>
        <w:tc>
          <w:tcPr>
            <w:tcW w:w="663" w:type="dxa"/>
            <w:vAlign w:val="center"/>
          </w:tcPr>
          <w:p w:rsidR="009F7163" w:rsidRPr="00D42F33" w:rsidRDefault="009F7163" w:rsidP="00FD0D79">
            <w:pPr>
              <w:keepNext/>
              <w:keepLines/>
              <w:adjustRightInd w:val="0"/>
              <w:snapToGrid w:val="0"/>
              <w:jc w:val="center"/>
              <w:rPr>
                <w:b/>
                <w:bCs/>
                <w:iCs/>
                <w:snapToGrid w:val="0"/>
                <w:sz w:val="20"/>
                <w:szCs w:val="20"/>
              </w:rPr>
            </w:pPr>
            <w:r w:rsidRPr="00D42F33">
              <w:rPr>
                <w:b/>
                <w:bCs/>
                <w:iCs/>
                <w:snapToGrid w:val="0"/>
                <w:sz w:val="20"/>
                <w:szCs w:val="20"/>
              </w:rPr>
              <w:t>2001</w:t>
            </w:r>
          </w:p>
        </w:tc>
        <w:tc>
          <w:tcPr>
            <w:tcW w:w="662" w:type="dxa"/>
            <w:vAlign w:val="center"/>
          </w:tcPr>
          <w:p w:rsidR="009F7163" w:rsidRPr="00D42F33" w:rsidRDefault="009F7163" w:rsidP="00FD0D79">
            <w:pPr>
              <w:keepNext/>
              <w:keepLines/>
              <w:adjustRightInd w:val="0"/>
              <w:snapToGrid w:val="0"/>
              <w:jc w:val="center"/>
              <w:rPr>
                <w:b/>
                <w:bCs/>
                <w:iCs/>
                <w:snapToGrid w:val="0"/>
                <w:sz w:val="20"/>
                <w:szCs w:val="20"/>
              </w:rPr>
            </w:pPr>
            <w:r w:rsidRPr="00D42F33">
              <w:rPr>
                <w:b/>
                <w:bCs/>
                <w:iCs/>
                <w:snapToGrid w:val="0"/>
                <w:sz w:val="20"/>
                <w:szCs w:val="20"/>
              </w:rPr>
              <w:t>2002</w:t>
            </w:r>
          </w:p>
        </w:tc>
        <w:tc>
          <w:tcPr>
            <w:tcW w:w="663" w:type="dxa"/>
            <w:vAlign w:val="center"/>
          </w:tcPr>
          <w:p w:rsidR="009F7163" w:rsidRPr="00D42F33" w:rsidRDefault="009F7163" w:rsidP="00FD0D79">
            <w:pPr>
              <w:keepNext/>
              <w:keepLines/>
              <w:adjustRightInd w:val="0"/>
              <w:snapToGrid w:val="0"/>
              <w:jc w:val="center"/>
              <w:rPr>
                <w:b/>
                <w:bCs/>
                <w:iCs/>
                <w:snapToGrid w:val="0"/>
                <w:sz w:val="20"/>
                <w:szCs w:val="20"/>
              </w:rPr>
            </w:pPr>
            <w:r w:rsidRPr="00D42F33">
              <w:rPr>
                <w:b/>
                <w:bCs/>
                <w:iCs/>
                <w:snapToGrid w:val="0"/>
                <w:sz w:val="20"/>
                <w:szCs w:val="20"/>
              </w:rPr>
              <w:t>2003</w:t>
            </w:r>
          </w:p>
        </w:tc>
        <w:tc>
          <w:tcPr>
            <w:tcW w:w="662" w:type="dxa"/>
            <w:vAlign w:val="center"/>
          </w:tcPr>
          <w:p w:rsidR="009F7163" w:rsidRPr="00D42F33" w:rsidRDefault="009F7163" w:rsidP="00FD0D79">
            <w:pPr>
              <w:keepNext/>
              <w:keepLines/>
              <w:adjustRightInd w:val="0"/>
              <w:snapToGrid w:val="0"/>
              <w:jc w:val="center"/>
              <w:rPr>
                <w:b/>
                <w:bCs/>
                <w:iCs/>
                <w:snapToGrid w:val="0"/>
                <w:sz w:val="20"/>
                <w:szCs w:val="20"/>
              </w:rPr>
            </w:pPr>
            <w:r w:rsidRPr="00D42F33">
              <w:rPr>
                <w:b/>
                <w:bCs/>
                <w:iCs/>
                <w:snapToGrid w:val="0"/>
                <w:sz w:val="20"/>
                <w:szCs w:val="20"/>
              </w:rPr>
              <w:t>2004</w:t>
            </w:r>
          </w:p>
        </w:tc>
        <w:tc>
          <w:tcPr>
            <w:tcW w:w="663" w:type="dxa"/>
            <w:vAlign w:val="center"/>
          </w:tcPr>
          <w:p w:rsidR="009F7163" w:rsidRPr="00D42F33" w:rsidRDefault="009F7163" w:rsidP="00FD0D79">
            <w:pPr>
              <w:keepNext/>
              <w:keepLines/>
              <w:adjustRightInd w:val="0"/>
              <w:snapToGrid w:val="0"/>
              <w:jc w:val="center"/>
              <w:rPr>
                <w:b/>
                <w:bCs/>
                <w:iCs/>
                <w:snapToGrid w:val="0"/>
                <w:sz w:val="20"/>
                <w:szCs w:val="20"/>
              </w:rPr>
            </w:pPr>
            <w:r w:rsidRPr="00D42F33">
              <w:rPr>
                <w:b/>
                <w:bCs/>
                <w:iCs/>
                <w:snapToGrid w:val="0"/>
                <w:sz w:val="20"/>
                <w:szCs w:val="20"/>
              </w:rPr>
              <w:t>2005</w:t>
            </w:r>
          </w:p>
        </w:tc>
      </w:tr>
      <w:tr w:rsidR="009F7163" w:rsidRPr="00D42F33" w:rsidTr="004925AC">
        <w:trPr>
          <w:trHeight w:val="20"/>
          <w:jc w:val="center"/>
        </w:trPr>
        <w:tc>
          <w:tcPr>
            <w:tcW w:w="1612" w:type="dxa"/>
            <w:vAlign w:val="center"/>
          </w:tcPr>
          <w:p w:rsidR="009F7163" w:rsidRPr="00D42F33" w:rsidRDefault="009F7163" w:rsidP="00FD0D79">
            <w:pPr>
              <w:keepNext/>
              <w:keepLines/>
              <w:adjustRightInd w:val="0"/>
              <w:snapToGrid w:val="0"/>
              <w:rPr>
                <w:bCs/>
                <w:snapToGrid w:val="0"/>
                <w:sz w:val="20"/>
                <w:szCs w:val="20"/>
              </w:rPr>
            </w:pPr>
            <w:r w:rsidRPr="00D42F33">
              <w:rPr>
                <w:bCs/>
                <w:snapToGrid w:val="0"/>
                <w:sz w:val="20"/>
                <w:szCs w:val="20"/>
              </w:rPr>
              <w:t>Nuevos casos de tuberculosis pulmonar de microscopia positiva (TPM+)</w:t>
            </w:r>
          </w:p>
        </w:tc>
        <w:tc>
          <w:tcPr>
            <w:tcW w:w="662"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6.784</w:t>
            </w:r>
          </w:p>
        </w:tc>
        <w:tc>
          <w:tcPr>
            <w:tcW w:w="662"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5.735</w:t>
            </w:r>
          </w:p>
        </w:tc>
        <w:tc>
          <w:tcPr>
            <w:tcW w:w="663"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6.556</w:t>
            </w:r>
          </w:p>
        </w:tc>
        <w:tc>
          <w:tcPr>
            <w:tcW w:w="662"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7.740</w:t>
            </w:r>
          </w:p>
        </w:tc>
        <w:tc>
          <w:tcPr>
            <w:tcW w:w="663"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7.462</w:t>
            </w:r>
          </w:p>
        </w:tc>
        <w:tc>
          <w:tcPr>
            <w:tcW w:w="662"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7.845</w:t>
            </w:r>
          </w:p>
        </w:tc>
        <w:tc>
          <w:tcPr>
            <w:tcW w:w="662"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8.050</w:t>
            </w:r>
          </w:p>
        </w:tc>
        <w:tc>
          <w:tcPr>
            <w:tcW w:w="663"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7.998</w:t>
            </w:r>
          </w:p>
        </w:tc>
        <w:tc>
          <w:tcPr>
            <w:tcW w:w="662"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8.256</w:t>
            </w:r>
          </w:p>
        </w:tc>
        <w:tc>
          <w:tcPr>
            <w:tcW w:w="663"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8.549</w:t>
            </w:r>
          </w:p>
        </w:tc>
        <w:tc>
          <w:tcPr>
            <w:tcW w:w="662"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8.141</w:t>
            </w:r>
          </w:p>
        </w:tc>
        <w:tc>
          <w:tcPr>
            <w:tcW w:w="663"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8.507</w:t>
            </w:r>
          </w:p>
        </w:tc>
      </w:tr>
      <w:tr w:rsidR="009F7163" w:rsidRPr="00D42F33" w:rsidTr="004925AC">
        <w:trPr>
          <w:trHeight w:val="20"/>
          <w:jc w:val="center"/>
        </w:trPr>
        <w:tc>
          <w:tcPr>
            <w:tcW w:w="1612" w:type="dxa"/>
            <w:vAlign w:val="center"/>
          </w:tcPr>
          <w:p w:rsidR="009F7163" w:rsidRPr="00D42F33" w:rsidRDefault="009F7163" w:rsidP="00FD0D79">
            <w:pPr>
              <w:keepNext/>
              <w:keepLines/>
              <w:adjustRightInd w:val="0"/>
              <w:snapToGrid w:val="0"/>
              <w:rPr>
                <w:bCs/>
                <w:snapToGrid w:val="0"/>
                <w:sz w:val="20"/>
                <w:szCs w:val="20"/>
              </w:rPr>
            </w:pPr>
            <w:r w:rsidRPr="00D42F33">
              <w:rPr>
                <w:bCs/>
                <w:snapToGrid w:val="0"/>
                <w:sz w:val="20"/>
                <w:szCs w:val="20"/>
              </w:rPr>
              <w:t>Tasa/100.000 habitantes</w:t>
            </w:r>
          </w:p>
        </w:tc>
        <w:tc>
          <w:tcPr>
            <w:tcW w:w="662" w:type="dxa"/>
            <w:vAlign w:val="bottom"/>
          </w:tcPr>
          <w:p w:rsidR="009F7163" w:rsidRPr="00D42F33" w:rsidRDefault="009F7163" w:rsidP="00FD0D79">
            <w:pPr>
              <w:keepNext/>
              <w:keepLines/>
              <w:tabs>
                <w:tab w:val="decimal" w:pos="339"/>
                <w:tab w:val="decimal" w:pos="552"/>
              </w:tabs>
              <w:adjustRightInd w:val="0"/>
              <w:snapToGrid w:val="0"/>
              <w:jc w:val="center"/>
              <w:rPr>
                <w:bCs/>
                <w:snapToGrid w:val="0"/>
                <w:sz w:val="20"/>
                <w:szCs w:val="20"/>
              </w:rPr>
            </w:pPr>
            <w:r w:rsidRPr="00D42F33">
              <w:rPr>
                <w:bCs/>
                <w:snapToGrid w:val="0"/>
                <w:sz w:val="20"/>
                <w:szCs w:val="20"/>
              </w:rPr>
              <w:t>48,7</w:t>
            </w:r>
          </w:p>
        </w:tc>
        <w:tc>
          <w:tcPr>
            <w:tcW w:w="662"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48,7</w:t>
            </w:r>
          </w:p>
        </w:tc>
        <w:tc>
          <w:tcPr>
            <w:tcW w:w="663"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54,1</w:t>
            </w:r>
          </w:p>
        </w:tc>
        <w:tc>
          <w:tcPr>
            <w:tcW w:w="662"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57,3</w:t>
            </w:r>
          </w:p>
        </w:tc>
        <w:tc>
          <w:tcPr>
            <w:tcW w:w="663"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52,5</w:t>
            </w:r>
          </w:p>
        </w:tc>
        <w:tc>
          <w:tcPr>
            <w:tcW w:w="662"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55,3</w:t>
            </w:r>
          </w:p>
        </w:tc>
        <w:tc>
          <w:tcPr>
            <w:tcW w:w="662"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60,7</w:t>
            </w:r>
          </w:p>
        </w:tc>
        <w:tc>
          <w:tcPr>
            <w:tcW w:w="663"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60,1</w:t>
            </w:r>
          </w:p>
        </w:tc>
        <w:tc>
          <w:tcPr>
            <w:tcW w:w="662"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61,9</w:t>
            </w:r>
          </w:p>
        </w:tc>
        <w:tc>
          <w:tcPr>
            <w:tcW w:w="663"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62,8</w:t>
            </w:r>
          </w:p>
        </w:tc>
        <w:tc>
          <w:tcPr>
            <w:tcW w:w="662"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63,3</w:t>
            </w:r>
          </w:p>
        </w:tc>
        <w:tc>
          <w:tcPr>
            <w:tcW w:w="663"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64,4</w:t>
            </w:r>
          </w:p>
        </w:tc>
      </w:tr>
      <w:tr w:rsidR="009F7163" w:rsidRPr="00D42F33" w:rsidTr="004925AC">
        <w:trPr>
          <w:trHeight w:val="20"/>
          <w:jc w:val="center"/>
        </w:trPr>
        <w:tc>
          <w:tcPr>
            <w:tcW w:w="1612" w:type="dxa"/>
            <w:vAlign w:val="center"/>
          </w:tcPr>
          <w:p w:rsidR="009F7163" w:rsidRPr="00D42F33" w:rsidRDefault="009F7163" w:rsidP="00FD0D79">
            <w:pPr>
              <w:keepNext/>
              <w:keepLines/>
              <w:adjustRightInd w:val="0"/>
              <w:snapToGrid w:val="0"/>
              <w:rPr>
                <w:bCs/>
                <w:snapToGrid w:val="0"/>
                <w:sz w:val="20"/>
                <w:szCs w:val="20"/>
              </w:rPr>
            </w:pPr>
            <w:r w:rsidRPr="00D42F33">
              <w:rPr>
                <w:bCs/>
                <w:snapToGrid w:val="0"/>
                <w:sz w:val="20"/>
                <w:szCs w:val="20"/>
              </w:rPr>
              <w:t>TPM+</w:t>
            </w:r>
          </w:p>
        </w:tc>
        <w:tc>
          <w:tcPr>
            <w:tcW w:w="662" w:type="dxa"/>
            <w:vAlign w:val="bottom"/>
          </w:tcPr>
          <w:p w:rsidR="009F7163" w:rsidRPr="00D42F33" w:rsidRDefault="009F7163" w:rsidP="00FD0D79">
            <w:pPr>
              <w:keepNext/>
              <w:keepLines/>
              <w:tabs>
                <w:tab w:val="decimal" w:pos="339"/>
                <w:tab w:val="decimal" w:pos="552"/>
              </w:tabs>
              <w:adjustRightInd w:val="0"/>
              <w:snapToGrid w:val="0"/>
              <w:jc w:val="center"/>
              <w:rPr>
                <w:bCs/>
                <w:snapToGrid w:val="0"/>
                <w:sz w:val="20"/>
                <w:szCs w:val="20"/>
              </w:rPr>
            </w:pPr>
            <w:r w:rsidRPr="00D42F33">
              <w:rPr>
                <w:bCs/>
                <w:snapToGrid w:val="0"/>
                <w:sz w:val="20"/>
                <w:szCs w:val="20"/>
              </w:rPr>
              <w:t>25,0</w:t>
            </w:r>
          </w:p>
        </w:tc>
        <w:tc>
          <w:tcPr>
            <w:tcW w:w="662"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20,7</w:t>
            </w:r>
          </w:p>
        </w:tc>
        <w:tc>
          <w:tcPr>
            <w:tcW w:w="663"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23,1</w:t>
            </w:r>
          </w:p>
        </w:tc>
        <w:tc>
          <w:tcPr>
            <w:tcW w:w="662"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26,8</w:t>
            </w:r>
          </w:p>
        </w:tc>
        <w:tc>
          <w:tcPr>
            <w:tcW w:w="663"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25,5</w:t>
            </w:r>
          </w:p>
        </w:tc>
        <w:tc>
          <w:tcPr>
            <w:tcW w:w="662"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26,4</w:t>
            </w:r>
          </w:p>
        </w:tc>
        <w:tc>
          <w:tcPr>
            <w:tcW w:w="662"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26,7</w:t>
            </w:r>
          </w:p>
        </w:tc>
        <w:tc>
          <w:tcPr>
            <w:tcW w:w="663"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26,2</w:t>
            </w:r>
          </w:p>
        </w:tc>
        <w:tc>
          <w:tcPr>
            <w:tcW w:w="662"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26,9</w:t>
            </w:r>
          </w:p>
        </w:tc>
        <w:tc>
          <w:tcPr>
            <w:tcW w:w="663"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27,3</w:t>
            </w:r>
          </w:p>
        </w:tc>
        <w:tc>
          <w:tcPr>
            <w:tcW w:w="662"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26,2</w:t>
            </w:r>
          </w:p>
        </w:tc>
        <w:tc>
          <w:tcPr>
            <w:tcW w:w="663" w:type="dxa"/>
            <w:vAlign w:val="bottom"/>
          </w:tcPr>
          <w:p w:rsidR="009F7163" w:rsidRPr="00D42F33" w:rsidRDefault="009F7163" w:rsidP="00FD0D79">
            <w:pPr>
              <w:keepNext/>
              <w:keepLines/>
              <w:adjustRightInd w:val="0"/>
              <w:snapToGrid w:val="0"/>
              <w:jc w:val="center"/>
              <w:rPr>
                <w:bCs/>
                <w:snapToGrid w:val="0"/>
                <w:sz w:val="20"/>
                <w:szCs w:val="20"/>
              </w:rPr>
            </w:pPr>
            <w:r w:rsidRPr="00D42F33">
              <w:rPr>
                <w:bCs/>
                <w:snapToGrid w:val="0"/>
                <w:sz w:val="20"/>
                <w:szCs w:val="20"/>
              </w:rPr>
              <w:t>26,1</w:t>
            </w:r>
          </w:p>
        </w:tc>
      </w:tr>
    </w:tbl>
    <w:p w:rsidR="009F7163" w:rsidRPr="005C0C9D" w:rsidRDefault="009F7163" w:rsidP="00FD0D79">
      <w:pPr>
        <w:keepNext/>
        <w:keepLines/>
        <w:adjustRightInd w:val="0"/>
        <w:snapToGrid w:val="0"/>
        <w:spacing w:before="480" w:after="240"/>
        <w:jc w:val="center"/>
        <w:rPr>
          <w:b/>
          <w:snapToGrid w:val="0"/>
        </w:rPr>
      </w:pPr>
      <w:r w:rsidRPr="005C0C9D">
        <w:rPr>
          <w:b/>
          <w:snapToGrid w:val="0"/>
        </w:rPr>
        <w:t xml:space="preserve">D. </w:t>
      </w:r>
      <w:r>
        <w:rPr>
          <w:b/>
          <w:snapToGrid w:val="0"/>
        </w:rPr>
        <w:t xml:space="preserve"> </w:t>
      </w:r>
      <w:r w:rsidRPr="005C0C9D">
        <w:rPr>
          <w:b/>
          <w:snapToGrid w:val="0"/>
        </w:rPr>
        <w:t>Privatización del sistema de salud y costo de los medicamentos</w:t>
      </w:r>
    </w:p>
    <w:p w:rsidR="009F7163" w:rsidRPr="005C0C9D" w:rsidRDefault="009F7163" w:rsidP="009F7163">
      <w:pPr>
        <w:adjustRightInd w:val="0"/>
        <w:snapToGrid w:val="0"/>
        <w:spacing w:after="240"/>
        <w:rPr>
          <w:snapToGrid w:val="0"/>
        </w:rPr>
      </w:pPr>
      <w:r w:rsidRPr="005C0C9D">
        <w:rPr>
          <w:snapToGrid w:val="0"/>
        </w:rPr>
        <w:t>314.</w:t>
      </w:r>
      <w:r w:rsidRPr="005C0C9D">
        <w:rPr>
          <w:snapToGrid w:val="0"/>
        </w:rPr>
        <w:tab/>
        <w:t xml:space="preserve">El país ha emprendido profundas reformas en varios sectores. </w:t>
      </w:r>
      <w:r>
        <w:rPr>
          <w:snapToGrid w:val="0"/>
        </w:rPr>
        <w:t xml:space="preserve"> </w:t>
      </w:r>
      <w:r w:rsidRPr="005C0C9D">
        <w:rPr>
          <w:snapToGrid w:val="0"/>
        </w:rPr>
        <w:t xml:space="preserve">En el sector de la salud, las reformas procuran racionalizar los servicios a fin de preservar para todas las categorías de la población el derecho </w:t>
      </w:r>
      <w:r>
        <w:rPr>
          <w:snapToGrid w:val="0"/>
        </w:rPr>
        <w:t xml:space="preserve">y la igualdad de acceso </w:t>
      </w:r>
      <w:r w:rsidRPr="005C0C9D">
        <w:rPr>
          <w:snapToGrid w:val="0"/>
        </w:rPr>
        <w:t xml:space="preserve">a la atención de la salud, y mejorar </w:t>
      </w:r>
      <w:r>
        <w:rPr>
          <w:snapToGrid w:val="0"/>
        </w:rPr>
        <w:t>su calidad</w:t>
      </w:r>
      <w:r w:rsidRPr="005C0C9D">
        <w:rPr>
          <w:snapToGrid w:val="0"/>
        </w:rPr>
        <w:t xml:space="preserve">, teniendo en cuenta la demanda creciente de servicios de salud y su diversificación, resultantes de la evolución de la situación demográfica y epidemiológica. </w:t>
      </w:r>
      <w:r>
        <w:rPr>
          <w:snapToGrid w:val="0"/>
        </w:rPr>
        <w:t xml:space="preserve"> </w:t>
      </w:r>
      <w:r w:rsidRPr="005C0C9D">
        <w:rPr>
          <w:snapToGrid w:val="0"/>
        </w:rPr>
        <w:t>El objetivo fundamental</w:t>
      </w:r>
      <w:r>
        <w:rPr>
          <w:snapToGrid w:val="0"/>
        </w:rPr>
        <w:t xml:space="preserve"> de esas reformas es mejorar los resultados </w:t>
      </w:r>
      <w:r w:rsidRPr="005C0C9D">
        <w:rPr>
          <w:snapToGrid w:val="0"/>
        </w:rPr>
        <w:t>del sistema nacional.</w:t>
      </w:r>
      <w:r>
        <w:rPr>
          <w:snapToGrid w:val="0"/>
        </w:rPr>
        <w:t xml:space="preserve"> </w:t>
      </w:r>
      <w:r w:rsidRPr="005C0C9D">
        <w:rPr>
          <w:snapToGrid w:val="0"/>
        </w:rPr>
        <w:t xml:space="preserve"> Con este fin se han introducido nuevas formas de organización y gestión de los establecimientos y servicios de salud, procurando que los gastos de salud estén efectivamente centrados en el paciente y no en el funcionamiento de las estructuras. </w:t>
      </w:r>
      <w:r>
        <w:rPr>
          <w:snapToGrid w:val="0"/>
        </w:rPr>
        <w:t xml:space="preserve"> A tal efecto </w:t>
      </w:r>
      <w:r w:rsidRPr="005C0C9D">
        <w:rPr>
          <w:snapToGrid w:val="0"/>
        </w:rPr>
        <w:t xml:space="preserve">se </w:t>
      </w:r>
      <w:r>
        <w:rPr>
          <w:snapToGrid w:val="0"/>
        </w:rPr>
        <w:t xml:space="preserve">han establecido nuevos reglamentos en </w:t>
      </w:r>
      <w:r w:rsidRPr="005C0C9D">
        <w:rPr>
          <w:snapToGrid w:val="0"/>
        </w:rPr>
        <w:t>los establecimientos de salud mediante la introducción de la contabilidad analítica y de nuevas formas de financiación que implican relaciones contractuales con los asociados del sector (</w:t>
      </w:r>
      <w:r>
        <w:rPr>
          <w:snapToGrid w:val="0"/>
        </w:rPr>
        <w:t xml:space="preserve">en particular </w:t>
      </w:r>
      <w:r w:rsidRPr="005C0C9D">
        <w:rPr>
          <w:snapToGrid w:val="0"/>
        </w:rPr>
        <w:t>la Caja Nacional de la Seguridad Social, que debe asumir el co</w:t>
      </w:r>
      <w:r>
        <w:rPr>
          <w:snapToGrid w:val="0"/>
        </w:rPr>
        <w:t>sto de la tarifa hospitalaria).</w:t>
      </w:r>
    </w:p>
    <w:p w:rsidR="009F7163" w:rsidRPr="005C0C9D" w:rsidRDefault="009F7163" w:rsidP="009F7163">
      <w:pPr>
        <w:adjustRightInd w:val="0"/>
        <w:snapToGrid w:val="0"/>
        <w:spacing w:after="240"/>
        <w:rPr>
          <w:snapToGrid w:val="0"/>
        </w:rPr>
      </w:pPr>
      <w:r w:rsidRPr="005C0C9D">
        <w:rPr>
          <w:snapToGrid w:val="0"/>
        </w:rPr>
        <w:t>315.</w:t>
      </w:r>
      <w:r w:rsidRPr="005C0C9D">
        <w:rPr>
          <w:snapToGrid w:val="0"/>
        </w:rPr>
        <w:tab/>
        <w:t>De esta manera, el enfermo participa en los gastos de hospitalización sólo simbó</w:t>
      </w:r>
      <w:r>
        <w:rPr>
          <w:snapToGrid w:val="0"/>
        </w:rPr>
        <w:t>licamente (1,3 dólares de los EE.UU.</w:t>
      </w:r>
      <w:r w:rsidRPr="005C0C9D">
        <w:rPr>
          <w:snapToGrid w:val="0"/>
        </w:rPr>
        <w:t xml:space="preserve"> por día). </w:t>
      </w:r>
      <w:r>
        <w:rPr>
          <w:snapToGrid w:val="0"/>
        </w:rPr>
        <w:t xml:space="preserve"> </w:t>
      </w:r>
      <w:r w:rsidRPr="005C0C9D">
        <w:rPr>
          <w:snapToGrid w:val="0"/>
        </w:rPr>
        <w:t xml:space="preserve">Todos los gastos médicos y quirúrgicos de los </w:t>
      </w:r>
      <w:r>
        <w:rPr>
          <w:snapToGrid w:val="0"/>
        </w:rPr>
        <w:t>afiliados</w:t>
      </w:r>
      <w:r w:rsidRPr="005C0C9D">
        <w:rPr>
          <w:snapToGrid w:val="0"/>
        </w:rPr>
        <w:t xml:space="preserve"> a la seguridad social y </w:t>
      </w:r>
      <w:r>
        <w:rPr>
          <w:snapToGrid w:val="0"/>
        </w:rPr>
        <w:t>sus</w:t>
      </w:r>
      <w:r w:rsidRPr="005C0C9D">
        <w:rPr>
          <w:snapToGrid w:val="0"/>
        </w:rPr>
        <w:t xml:space="preserve"> derechohabientes son costeados por la Caja Nacional de la Seguridad Social.</w:t>
      </w:r>
    </w:p>
    <w:p w:rsidR="009F7163" w:rsidRPr="005C0C9D" w:rsidRDefault="009F7163" w:rsidP="009F7163">
      <w:pPr>
        <w:adjustRightInd w:val="0"/>
        <w:snapToGrid w:val="0"/>
        <w:spacing w:after="240"/>
        <w:rPr>
          <w:snapToGrid w:val="0"/>
        </w:rPr>
      </w:pPr>
      <w:r w:rsidRPr="005C0C9D">
        <w:rPr>
          <w:snapToGrid w:val="0"/>
        </w:rPr>
        <w:t>316.</w:t>
      </w:r>
      <w:r w:rsidRPr="005C0C9D">
        <w:rPr>
          <w:snapToGrid w:val="0"/>
        </w:rPr>
        <w:tab/>
        <w:t>El Estado asume los costos de los enfermos desfavorecidos que no estén af</w:t>
      </w:r>
      <w:r>
        <w:rPr>
          <w:snapToGrid w:val="0"/>
        </w:rPr>
        <w:t>iliados a la seguridad social (D</w:t>
      </w:r>
      <w:r w:rsidRPr="005C0C9D">
        <w:rPr>
          <w:snapToGrid w:val="0"/>
        </w:rPr>
        <w:t>ecreto</w:t>
      </w:r>
      <w:r>
        <w:rPr>
          <w:snapToGrid w:val="0"/>
        </w:rPr>
        <w:t>s</w:t>
      </w:r>
      <w:r w:rsidRPr="005C0C9D">
        <w:rPr>
          <w:snapToGrid w:val="0"/>
        </w:rPr>
        <w:t xml:space="preserve"> ejecutivo</w:t>
      </w:r>
      <w:r>
        <w:rPr>
          <w:snapToGrid w:val="0"/>
        </w:rPr>
        <w:t xml:space="preserve">s Nos. </w:t>
      </w:r>
      <w:r w:rsidRPr="005C0C9D">
        <w:rPr>
          <w:snapToGrid w:val="0"/>
        </w:rPr>
        <w:t>01-02</w:t>
      </w:r>
      <w:r>
        <w:rPr>
          <w:snapToGrid w:val="0"/>
        </w:rPr>
        <w:t>,</w:t>
      </w:r>
      <w:r w:rsidRPr="005C0C9D">
        <w:rPr>
          <w:snapToGrid w:val="0"/>
        </w:rPr>
        <w:t xml:space="preserve"> de 21 de enero de 2001</w:t>
      </w:r>
      <w:r>
        <w:rPr>
          <w:snapToGrid w:val="0"/>
        </w:rPr>
        <w:t>,</w:t>
      </w:r>
      <w:r w:rsidRPr="005C0C9D">
        <w:rPr>
          <w:snapToGrid w:val="0"/>
        </w:rPr>
        <w:t xml:space="preserve"> y 04-101</w:t>
      </w:r>
      <w:r>
        <w:rPr>
          <w:snapToGrid w:val="0"/>
        </w:rPr>
        <w:t>,</w:t>
      </w:r>
      <w:r w:rsidRPr="005C0C9D">
        <w:rPr>
          <w:snapToGrid w:val="0"/>
        </w:rPr>
        <w:t xml:space="preserve"> de 1º de abril de 2004).</w:t>
      </w:r>
    </w:p>
    <w:p w:rsidR="009F7163" w:rsidRPr="005C0C9D" w:rsidRDefault="009F7163" w:rsidP="009F7163">
      <w:pPr>
        <w:adjustRightInd w:val="0"/>
        <w:snapToGrid w:val="0"/>
        <w:spacing w:after="240"/>
        <w:rPr>
          <w:snapToGrid w:val="0"/>
        </w:rPr>
      </w:pPr>
      <w:r w:rsidRPr="005C0C9D">
        <w:rPr>
          <w:snapToGrid w:val="0"/>
        </w:rPr>
        <w:t>317.</w:t>
      </w:r>
      <w:r w:rsidRPr="005C0C9D">
        <w:rPr>
          <w:snapToGrid w:val="0"/>
        </w:rPr>
        <w:tab/>
        <w:t xml:space="preserve">Se está procurando mejorar la prestación de la atención sanitaria mediante la modernización del sistema de servicios en esa esfera y el control de los costos. </w:t>
      </w:r>
      <w:r>
        <w:rPr>
          <w:snapToGrid w:val="0"/>
        </w:rPr>
        <w:t xml:space="preserve"> </w:t>
      </w:r>
      <w:r w:rsidRPr="005C0C9D">
        <w:rPr>
          <w:snapToGrid w:val="0"/>
        </w:rPr>
        <w:t xml:space="preserve">Para ello se </w:t>
      </w:r>
      <w:r>
        <w:rPr>
          <w:snapToGrid w:val="0"/>
        </w:rPr>
        <w:t>pretende conseguir una mayor participación</w:t>
      </w:r>
      <w:r w:rsidRPr="005C0C9D">
        <w:rPr>
          <w:snapToGrid w:val="0"/>
        </w:rPr>
        <w:t xml:space="preserve"> del sector privado en la oferta de servicios de salud y una diversificación de las fuentes de financia</w:t>
      </w:r>
      <w:r>
        <w:rPr>
          <w:snapToGrid w:val="0"/>
        </w:rPr>
        <w:t>ción</w:t>
      </w:r>
      <w:r w:rsidRPr="005C0C9D">
        <w:rPr>
          <w:snapToGrid w:val="0"/>
        </w:rPr>
        <w:t xml:space="preserve"> de la salud. </w:t>
      </w:r>
      <w:r>
        <w:rPr>
          <w:snapToGrid w:val="0"/>
        </w:rPr>
        <w:t xml:space="preserve"> </w:t>
      </w:r>
      <w:r w:rsidRPr="005C0C9D">
        <w:rPr>
          <w:snapToGrid w:val="0"/>
        </w:rPr>
        <w:t xml:space="preserve">A título ilustrativo, la Caja Nacional de la Seguridad Social, que constituye el </w:t>
      </w:r>
      <w:r>
        <w:rPr>
          <w:snapToGrid w:val="0"/>
        </w:rPr>
        <w:t>socio</w:t>
      </w:r>
      <w:r w:rsidRPr="005C0C9D">
        <w:rPr>
          <w:snapToGrid w:val="0"/>
        </w:rPr>
        <w:t xml:space="preserve"> casi exclusivo del sector, participa en un</w:t>
      </w:r>
      <w:r>
        <w:rPr>
          <w:snapToGrid w:val="0"/>
        </w:rPr>
        <w:t> </w:t>
      </w:r>
      <w:r w:rsidRPr="005C0C9D">
        <w:rPr>
          <w:snapToGrid w:val="0"/>
        </w:rPr>
        <w:t xml:space="preserve">45% en </w:t>
      </w:r>
      <w:r>
        <w:rPr>
          <w:snapToGrid w:val="0"/>
        </w:rPr>
        <w:t>la</w:t>
      </w:r>
      <w:r w:rsidRPr="005C0C9D">
        <w:rPr>
          <w:snapToGrid w:val="0"/>
        </w:rPr>
        <w:t xml:space="preserve"> financia</w:t>
      </w:r>
      <w:r>
        <w:rPr>
          <w:snapToGrid w:val="0"/>
        </w:rPr>
        <w:t>ción</w:t>
      </w:r>
      <w:r w:rsidRPr="005C0C9D">
        <w:rPr>
          <w:snapToGrid w:val="0"/>
        </w:rPr>
        <w:t xml:space="preserve"> de la salud (en Francia la participación del organismo equivalente es del 98%).</w:t>
      </w:r>
    </w:p>
    <w:p w:rsidR="009F7163" w:rsidRPr="005C0C9D" w:rsidRDefault="009F7163" w:rsidP="009F7163">
      <w:pPr>
        <w:adjustRightInd w:val="0"/>
        <w:snapToGrid w:val="0"/>
        <w:spacing w:after="240"/>
        <w:rPr>
          <w:snapToGrid w:val="0"/>
        </w:rPr>
      </w:pPr>
      <w:r w:rsidRPr="005C0C9D">
        <w:rPr>
          <w:snapToGrid w:val="0"/>
        </w:rPr>
        <w:t>318.</w:t>
      </w:r>
      <w:r w:rsidRPr="005C0C9D">
        <w:rPr>
          <w:snapToGrid w:val="0"/>
        </w:rPr>
        <w:tab/>
      </w:r>
      <w:r>
        <w:rPr>
          <w:snapToGrid w:val="0"/>
        </w:rPr>
        <w:t>L</w:t>
      </w:r>
      <w:r w:rsidRPr="005C0C9D">
        <w:rPr>
          <w:snapToGrid w:val="0"/>
        </w:rPr>
        <w:t xml:space="preserve">a Ordenanza </w:t>
      </w:r>
      <w:r>
        <w:rPr>
          <w:snapToGrid w:val="0"/>
        </w:rPr>
        <w:t xml:space="preserve">Nº </w:t>
      </w:r>
      <w:r w:rsidRPr="005C0C9D">
        <w:rPr>
          <w:snapToGrid w:val="0"/>
        </w:rPr>
        <w:t xml:space="preserve">06-07 de 15 de julio de 2007 relativa a la ampliación de la participación del sector privado nacional y extranjero en el ámbito hospitalario, cuyo propósito es fomentar la inversión en establecimientos hospitalarios, </w:t>
      </w:r>
      <w:r>
        <w:rPr>
          <w:snapToGrid w:val="0"/>
        </w:rPr>
        <w:t xml:space="preserve">deberá </w:t>
      </w:r>
      <w:r w:rsidRPr="005C0C9D">
        <w:rPr>
          <w:snapToGrid w:val="0"/>
        </w:rPr>
        <w:t>aumentar el porcentaje de participación del sector privado en la capacidad hospitalaria, que deberá duplicarse y pasar del 6,2% en</w:t>
      </w:r>
      <w:r>
        <w:rPr>
          <w:snapToGrid w:val="0"/>
        </w:rPr>
        <w:t> </w:t>
      </w:r>
      <w:r w:rsidRPr="005C0C9D">
        <w:rPr>
          <w:snapToGrid w:val="0"/>
        </w:rPr>
        <w:t>2005</w:t>
      </w:r>
      <w:r>
        <w:rPr>
          <w:snapToGrid w:val="0"/>
        </w:rPr>
        <w:t> </w:t>
      </w:r>
      <w:r w:rsidRPr="005C0C9D">
        <w:rPr>
          <w:snapToGrid w:val="0"/>
        </w:rPr>
        <w:t>al</w:t>
      </w:r>
      <w:r>
        <w:rPr>
          <w:snapToGrid w:val="0"/>
        </w:rPr>
        <w:t> 10,15% en 2009.</w:t>
      </w:r>
    </w:p>
    <w:p w:rsidR="009F7163" w:rsidRPr="005C0C9D" w:rsidRDefault="009F7163" w:rsidP="009F7163">
      <w:pPr>
        <w:adjustRightInd w:val="0"/>
        <w:snapToGrid w:val="0"/>
        <w:spacing w:after="240"/>
        <w:rPr>
          <w:b/>
          <w:snapToGrid w:val="0"/>
        </w:rPr>
      </w:pPr>
      <w:r w:rsidRPr="005C0C9D">
        <w:rPr>
          <w:b/>
          <w:snapToGrid w:val="0"/>
        </w:rPr>
        <w:t>Los medicamentos</w:t>
      </w:r>
    </w:p>
    <w:p w:rsidR="009F7163" w:rsidRPr="00C820BE" w:rsidRDefault="009F7163" w:rsidP="009F7163">
      <w:pPr>
        <w:adjustRightInd w:val="0"/>
        <w:snapToGrid w:val="0"/>
        <w:spacing w:after="240"/>
        <w:rPr>
          <w:snapToGrid w:val="0"/>
        </w:rPr>
      </w:pPr>
      <w:r w:rsidRPr="005C0C9D">
        <w:rPr>
          <w:snapToGrid w:val="0"/>
        </w:rPr>
        <w:t>319.</w:t>
      </w:r>
      <w:r w:rsidRPr="005C0C9D">
        <w:rPr>
          <w:snapToGrid w:val="0"/>
        </w:rPr>
        <w:tab/>
        <w:t>Las reformas del sector están centradas fundamentalmente en los gastos de salud</w:t>
      </w:r>
      <w:r>
        <w:rPr>
          <w:snapToGrid w:val="0"/>
        </w:rPr>
        <w:t>, en las que se incluyen</w:t>
      </w:r>
      <w:r w:rsidRPr="005C0C9D">
        <w:rPr>
          <w:snapToGrid w:val="0"/>
        </w:rPr>
        <w:t xml:space="preserve"> los gastos relacionados con los medicamentos. </w:t>
      </w:r>
      <w:r>
        <w:rPr>
          <w:snapToGrid w:val="0"/>
        </w:rPr>
        <w:t xml:space="preserve"> </w:t>
      </w:r>
      <w:r w:rsidRPr="005C0C9D">
        <w:rPr>
          <w:snapToGrid w:val="0"/>
        </w:rPr>
        <w:t>Los recursos asignados a la importación de medicamentos ascienden a 600 millones de dólares de los E</w:t>
      </w:r>
      <w:r>
        <w:rPr>
          <w:snapToGrid w:val="0"/>
        </w:rPr>
        <w:t>E.UU.</w:t>
      </w:r>
      <w:r w:rsidRPr="005C0C9D">
        <w:rPr>
          <w:snapToGrid w:val="0"/>
        </w:rPr>
        <w:t xml:space="preserve"> anuales. </w:t>
      </w:r>
      <w:r>
        <w:rPr>
          <w:snapToGrid w:val="0"/>
        </w:rPr>
        <w:t xml:space="preserve"> </w:t>
      </w:r>
      <w:r w:rsidRPr="005C0C9D">
        <w:rPr>
          <w:snapToGrid w:val="0"/>
        </w:rPr>
        <w:t>Teniendo en cuenta es</w:t>
      </w:r>
      <w:r>
        <w:rPr>
          <w:snapToGrid w:val="0"/>
        </w:rPr>
        <w:t xml:space="preserve">to, se estableció una política </w:t>
      </w:r>
      <w:r w:rsidRPr="005C0C9D">
        <w:rPr>
          <w:snapToGrid w:val="0"/>
        </w:rPr>
        <w:t xml:space="preserve">de importación </w:t>
      </w:r>
      <w:r>
        <w:rPr>
          <w:snapToGrid w:val="0"/>
        </w:rPr>
        <w:t>e inversión</w:t>
      </w:r>
      <w:r w:rsidRPr="005C0C9D">
        <w:rPr>
          <w:snapToGrid w:val="0"/>
        </w:rPr>
        <w:t xml:space="preserve"> centrada en los medicamentos genéricos, en la que se fija un umbral mínimo </w:t>
      </w:r>
      <w:r>
        <w:rPr>
          <w:snapToGrid w:val="0"/>
        </w:rPr>
        <w:t>de importación (Ordenanza Nº 06</w:t>
      </w:r>
      <w:r w:rsidR="007857D5">
        <w:rPr>
          <w:snapToGrid w:val="0"/>
        </w:rPr>
        <w:noBreakHyphen/>
      </w:r>
      <w:r w:rsidRPr="005C0C9D">
        <w:rPr>
          <w:snapToGrid w:val="0"/>
        </w:rPr>
        <w:t xml:space="preserve">07 de 15 de julio de 2006) y se revisan a la baja los precios </w:t>
      </w:r>
      <w:r>
        <w:rPr>
          <w:snapToGrid w:val="0"/>
        </w:rPr>
        <w:t>de</w:t>
      </w:r>
      <w:r w:rsidRPr="005C0C9D">
        <w:rPr>
          <w:snapToGrid w:val="0"/>
        </w:rPr>
        <w:t xml:space="preserve"> registro.</w:t>
      </w:r>
      <w:r>
        <w:rPr>
          <w:snapToGrid w:val="0"/>
        </w:rPr>
        <w:t xml:space="preserve"> </w:t>
      </w:r>
      <w:r w:rsidRPr="005C0C9D">
        <w:rPr>
          <w:snapToGrid w:val="0"/>
        </w:rPr>
        <w:t xml:space="preserve"> A título ilustrativo, en 200</w:t>
      </w:r>
      <w:r>
        <w:rPr>
          <w:snapToGrid w:val="0"/>
        </w:rPr>
        <w:t>6</w:t>
      </w:r>
      <w:r w:rsidRPr="005C0C9D">
        <w:rPr>
          <w:snapToGrid w:val="0"/>
        </w:rPr>
        <w:t xml:space="preserve"> el 80% de las importaciones de medicamentos correspondieron a los de tipo genérico. </w:t>
      </w:r>
      <w:r>
        <w:rPr>
          <w:snapToGrid w:val="0"/>
        </w:rPr>
        <w:t xml:space="preserve"> Paralelamente</w:t>
      </w:r>
      <w:r w:rsidRPr="005C0C9D">
        <w:rPr>
          <w:snapToGrid w:val="0"/>
        </w:rPr>
        <w:t xml:space="preserve">, los medicamentos suministrados en el sector privado </w:t>
      </w:r>
      <w:r>
        <w:rPr>
          <w:snapToGrid w:val="0"/>
        </w:rPr>
        <w:t xml:space="preserve">se reembolsan </w:t>
      </w:r>
      <w:r w:rsidRPr="005C0C9D">
        <w:rPr>
          <w:snapToGrid w:val="0"/>
        </w:rPr>
        <w:t xml:space="preserve">según las tarifas de referencia que establece </w:t>
      </w:r>
      <w:r>
        <w:rPr>
          <w:snapToGrid w:val="0"/>
        </w:rPr>
        <w:t>una</w:t>
      </w:r>
      <w:r w:rsidRPr="005C0C9D">
        <w:rPr>
          <w:snapToGrid w:val="0"/>
        </w:rPr>
        <w:t xml:space="preserve"> </w:t>
      </w:r>
      <w:r>
        <w:rPr>
          <w:snapToGrid w:val="0"/>
        </w:rPr>
        <w:t>c</w:t>
      </w:r>
      <w:r w:rsidRPr="005C0C9D">
        <w:rPr>
          <w:snapToGrid w:val="0"/>
        </w:rPr>
        <w:t xml:space="preserve">omisión </w:t>
      </w:r>
      <w:r>
        <w:rPr>
          <w:snapToGrid w:val="0"/>
        </w:rPr>
        <w:t>i</w:t>
      </w:r>
      <w:r w:rsidRPr="005C0C9D">
        <w:rPr>
          <w:snapToGrid w:val="0"/>
        </w:rPr>
        <w:t xml:space="preserve">nterministerial creada </w:t>
      </w:r>
      <w:r>
        <w:rPr>
          <w:snapToGrid w:val="0"/>
        </w:rPr>
        <w:t xml:space="preserve">a tal efecto e </w:t>
      </w:r>
      <w:r w:rsidRPr="005C0C9D">
        <w:rPr>
          <w:snapToGrid w:val="0"/>
        </w:rPr>
        <w:t xml:space="preserve">integrada por miembros de todos los sectores de la salud, de la solidaridad nacional, del trabajo y de los asuntos sociales. </w:t>
      </w:r>
      <w:r>
        <w:rPr>
          <w:snapToGrid w:val="0"/>
        </w:rPr>
        <w:t xml:space="preserve"> </w:t>
      </w:r>
      <w:r w:rsidRPr="005C0C9D">
        <w:rPr>
          <w:snapToGrid w:val="0"/>
        </w:rPr>
        <w:t>Todos los medicamentos y tratamientos preventivos corren completamente a cargo del Estado.</w:t>
      </w:r>
    </w:p>
    <w:p w:rsidR="00DD0682" w:rsidRPr="00DD0682" w:rsidRDefault="00DD0682" w:rsidP="00DD0682">
      <w:pPr>
        <w:adjustRightInd w:val="0"/>
        <w:snapToGrid w:val="0"/>
        <w:spacing w:after="240"/>
        <w:rPr>
          <w:b/>
          <w:bCs/>
          <w:snapToGrid w:val="0"/>
        </w:rPr>
      </w:pPr>
      <w:r w:rsidRPr="00DD0682">
        <w:rPr>
          <w:b/>
          <w:bCs/>
          <w:snapToGrid w:val="0"/>
        </w:rPr>
        <w:t>Artículos 13 y 14.  Derecho a la educación y a su gratuidad</w:t>
      </w:r>
    </w:p>
    <w:p w:rsidR="00DD0682" w:rsidRPr="00DD0682" w:rsidRDefault="00DD0682" w:rsidP="00DD0682">
      <w:pPr>
        <w:adjustRightInd w:val="0"/>
        <w:snapToGrid w:val="0"/>
        <w:spacing w:after="240"/>
        <w:rPr>
          <w:snapToGrid w:val="0"/>
        </w:rPr>
      </w:pPr>
      <w:r w:rsidRPr="00DD0682">
        <w:rPr>
          <w:snapToGrid w:val="0"/>
        </w:rPr>
        <w:t>320.</w:t>
      </w:r>
      <w:r w:rsidRPr="00DD0682">
        <w:rPr>
          <w:snapToGrid w:val="0"/>
        </w:rPr>
        <w:tab/>
        <w:t>Una de las preocupaciones principales de las autoridades de Argelia es ofrecer a cada joven argelino, a partir de los 6 años de edad, una enseñanza básica obligatoria y gratuita durante nueve años.</w:t>
      </w:r>
    </w:p>
    <w:p w:rsidR="00DD0682" w:rsidRPr="00DD0682" w:rsidRDefault="00DD0682" w:rsidP="00DD0682">
      <w:pPr>
        <w:adjustRightInd w:val="0"/>
        <w:snapToGrid w:val="0"/>
        <w:spacing w:after="240"/>
        <w:rPr>
          <w:snapToGrid w:val="0"/>
        </w:rPr>
      </w:pPr>
      <w:r w:rsidRPr="00DD0682">
        <w:rPr>
          <w:snapToGrid w:val="0"/>
        </w:rPr>
        <w:t>321.</w:t>
      </w:r>
      <w:r w:rsidRPr="00DD0682">
        <w:rPr>
          <w:snapToGrid w:val="0"/>
        </w:rPr>
        <w:tab/>
        <w:t xml:space="preserve">El acceso a la educación es un derecho constitucional consagrado en el artículo 53 de la Ley fundamental, según el cual "el derecho a la enseñanza está garantizado.  La enseñanza es gratuita en las condiciones establecidas por la ley".  Ese derecho a la educación, la gratuidad de la enseñanza y la enseñanza básica obligatoria también están consagrados en los siguientes artículos de la Ordenanza </w:t>
      </w:r>
      <w:r w:rsidR="00A604E3">
        <w:rPr>
          <w:snapToGrid w:val="0"/>
        </w:rPr>
        <w:t>Nº</w:t>
      </w:r>
      <w:r w:rsidR="00A3211E">
        <w:rPr>
          <w:snapToGrid w:val="0"/>
        </w:rPr>
        <w:t xml:space="preserve"> </w:t>
      </w:r>
      <w:r w:rsidRPr="00DD0682">
        <w:rPr>
          <w:snapToGrid w:val="0"/>
        </w:rPr>
        <w:t>35-76, de 16 de abril de 1976, relativa a la organización de la educación y de la formación:</w:t>
      </w:r>
    </w:p>
    <w:p w:rsidR="00DD0682" w:rsidRPr="00DD0682" w:rsidRDefault="00DD0682" w:rsidP="007857D5">
      <w:pPr>
        <w:adjustRightInd w:val="0"/>
        <w:snapToGrid w:val="0"/>
        <w:spacing w:after="240"/>
        <w:ind w:left="567"/>
        <w:rPr>
          <w:snapToGrid w:val="0"/>
        </w:rPr>
      </w:pPr>
      <w:r w:rsidRPr="00DD0682">
        <w:rPr>
          <w:iCs/>
          <w:snapToGrid w:val="0"/>
        </w:rPr>
        <w:t>Artículo 4</w:t>
      </w:r>
      <w:r w:rsidRPr="00DD0682">
        <w:rPr>
          <w:bCs/>
          <w:snapToGrid w:val="0"/>
        </w:rPr>
        <w:t>.</w:t>
      </w:r>
      <w:r w:rsidRPr="00DD0682">
        <w:rPr>
          <w:snapToGrid w:val="0"/>
        </w:rPr>
        <w:t xml:space="preserve">  "Todo argelino tiene derecho a la educación y a la formación.  Este derecho está garantizado por la generalización de la enseñanza básica...".</w:t>
      </w:r>
    </w:p>
    <w:p w:rsidR="00DD0682" w:rsidRPr="00DD0682" w:rsidRDefault="00DD0682" w:rsidP="007857D5">
      <w:pPr>
        <w:adjustRightInd w:val="0"/>
        <w:snapToGrid w:val="0"/>
        <w:spacing w:after="240"/>
        <w:ind w:left="567"/>
        <w:rPr>
          <w:snapToGrid w:val="0"/>
        </w:rPr>
      </w:pPr>
      <w:r w:rsidRPr="00DD0682">
        <w:rPr>
          <w:iCs/>
          <w:snapToGrid w:val="0"/>
        </w:rPr>
        <w:t>Artículo 5.</w:t>
      </w:r>
      <w:r w:rsidRPr="00DD0682">
        <w:rPr>
          <w:snapToGrid w:val="0"/>
        </w:rPr>
        <w:t xml:space="preserve">  "La enseñanza es obligatoria para todos los niños de 6 a 16 años de edad".</w:t>
      </w:r>
    </w:p>
    <w:p w:rsidR="00DD0682" w:rsidRPr="00DD0682" w:rsidRDefault="00DD0682" w:rsidP="007857D5">
      <w:pPr>
        <w:adjustRightInd w:val="0"/>
        <w:snapToGrid w:val="0"/>
        <w:spacing w:after="240"/>
        <w:ind w:left="567"/>
        <w:rPr>
          <w:snapToGrid w:val="0"/>
        </w:rPr>
      </w:pPr>
      <w:r w:rsidRPr="00DD0682">
        <w:rPr>
          <w:iCs/>
          <w:snapToGrid w:val="0"/>
        </w:rPr>
        <w:t>Artículo 6.</w:t>
      </w:r>
      <w:r w:rsidRPr="00DD0682">
        <w:rPr>
          <w:snapToGrid w:val="0"/>
        </w:rPr>
        <w:t xml:space="preserve">  "El Estado garantiza la igualdad de condiciones de acceso a la enseñanza a partir del nivel fundamental, sin más limitación que las aptitudes individuales, por un lado, y los medios y necesidades de la sociedad, por otro".</w:t>
      </w:r>
    </w:p>
    <w:p w:rsidR="00DD0682" w:rsidRPr="00DD0682" w:rsidRDefault="00DD0682" w:rsidP="007857D5">
      <w:pPr>
        <w:adjustRightInd w:val="0"/>
        <w:snapToGrid w:val="0"/>
        <w:spacing w:after="240"/>
        <w:ind w:left="567"/>
        <w:rPr>
          <w:snapToGrid w:val="0"/>
        </w:rPr>
      </w:pPr>
      <w:r w:rsidRPr="00DD0682">
        <w:rPr>
          <w:iCs/>
          <w:snapToGrid w:val="0"/>
        </w:rPr>
        <w:t>Artículo 14</w:t>
      </w:r>
      <w:r w:rsidRPr="00DD0682">
        <w:rPr>
          <w:bCs/>
          <w:snapToGrid w:val="0"/>
        </w:rPr>
        <w:t>.  "</w:t>
      </w:r>
      <w:r w:rsidRPr="00DD0682">
        <w:rPr>
          <w:snapToGrid w:val="0"/>
        </w:rPr>
        <w:t>El Estado imparte educación y formación continua a los ciudadanos que lo desean, sin distinción de edad, sexo o profesión".</w:t>
      </w:r>
    </w:p>
    <w:p w:rsidR="00DD0682" w:rsidRPr="00DD0682" w:rsidRDefault="00DD0682" w:rsidP="00DD0682">
      <w:pPr>
        <w:adjustRightInd w:val="0"/>
        <w:snapToGrid w:val="0"/>
        <w:spacing w:after="240"/>
        <w:rPr>
          <w:snapToGrid w:val="0"/>
        </w:rPr>
      </w:pPr>
      <w:r w:rsidRPr="00DD0682">
        <w:rPr>
          <w:snapToGrid w:val="0"/>
        </w:rPr>
        <w:t>322.</w:t>
      </w:r>
      <w:r w:rsidRPr="00DD0682">
        <w:rPr>
          <w:snapToGrid w:val="0"/>
        </w:rPr>
        <w:tab/>
        <w:t>El proyecto de ley de orientación en materia educativa, que está en vías de finalización, refuerza estos principios:</w:t>
      </w:r>
    </w:p>
    <w:p w:rsidR="00DD0682" w:rsidRPr="00DD0682" w:rsidRDefault="00DD0682" w:rsidP="007857D5">
      <w:pPr>
        <w:adjustRightInd w:val="0"/>
        <w:snapToGrid w:val="0"/>
        <w:spacing w:after="240"/>
        <w:ind w:left="1134" w:hanging="567"/>
        <w:rPr>
          <w:snapToGrid w:val="0"/>
        </w:rPr>
      </w:pPr>
      <w:r w:rsidRPr="00DD0682">
        <w:rPr>
          <w:snapToGrid w:val="0"/>
        </w:rPr>
        <w:t>a)</w:t>
      </w:r>
      <w:r w:rsidRPr="00DD0682">
        <w:rPr>
          <w:snapToGrid w:val="0"/>
        </w:rPr>
        <w:tab/>
        <w:t>Consagra la gratuidad de la enseñanza, a todos los niveles, en los institutos de enseñanza pública;</w:t>
      </w:r>
    </w:p>
    <w:p w:rsidR="00DD0682" w:rsidRPr="00DD0682" w:rsidRDefault="00DD0682" w:rsidP="007857D5">
      <w:pPr>
        <w:adjustRightInd w:val="0"/>
        <w:snapToGrid w:val="0"/>
        <w:spacing w:after="240"/>
        <w:ind w:left="1134" w:hanging="567"/>
        <w:rPr>
          <w:snapToGrid w:val="0"/>
        </w:rPr>
      </w:pPr>
      <w:r w:rsidRPr="00DD0682">
        <w:rPr>
          <w:snapToGrid w:val="0"/>
        </w:rPr>
        <w:t>b)</w:t>
      </w:r>
      <w:r w:rsidRPr="00DD0682">
        <w:rPr>
          <w:snapToGrid w:val="0"/>
        </w:rPr>
        <w:tab/>
        <w:t>Mantiene la obligación de asistencia a la escuela de todas las niñas y niños de 6 a 16 años, con la posibilidad de prolongar el período escolar durante dos años en el caso de los niños con discapacidad;</w:t>
      </w:r>
    </w:p>
    <w:p w:rsidR="00DD0682" w:rsidRPr="00DD0682" w:rsidRDefault="00DD0682" w:rsidP="007857D5">
      <w:pPr>
        <w:adjustRightInd w:val="0"/>
        <w:snapToGrid w:val="0"/>
        <w:spacing w:after="240"/>
        <w:ind w:left="1134" w:hanging="567"/>
        <w:rPr>
          <w:snapToGrid w:val="0"/>
        </w:rPr>
      </w:pPr>
      <w:r w:rsidRPr="00DD0682">
        <w:rPr>
          <w:snapToGrid w:val="0"/>
        </w:rPr>
        <w:t>c)</w:t>
      </w:r>
      <w:r w:rsidRPr="00DD0682">
        <w:rPr>
          <w:snapToGrid w:val="0"/>
        </w:rPr>
        <w:tab/>
        <w:t>El incumplimiento de esta obligación por los padres o tutores legales entraña la imposición de una multa que puede oscilar entre 5.000 y 50.000 dinares argelinos.</w:t>
      </w:r>
    </w:p>
    <w:p w:rsidR="00DD0682" w:rsidRPr="00DD0682" w:rsidRDefault="00DD0682" w:rsidP="00DD0682">
      <w:pPr>
        <w:adjustRightInd w:val="0"/>
        <w:snapToGrid w:val="0"/>
        <w:spacing w:after="240"/>
        <w:rPr>
          <w:snapToGrid w:val="0"/>
        </w:rPr>
      </w:pPr>
      <w:r w:rsidRPr="00DD0682">
        <w:rPr>
          <w:snapToGrid w:val="0"/>
        </w:rPr>
        <w:t>323.</w:t>
      </w:r>
      <w:r w:rsidRPr="00DD0682">
        <w:rPr>
          <w:snapToGrid w:val="0"/>
        </w:rPr>
        <w:tab/>
        <w:t>Así, ese proyecto consagra y garantiza el derecho a la enseñanza para "todos los argelinos sin discriminación por motivos de sexo, origen social u origen geográfico".</w:t>
      </w:r>
    </w:p>
    <w:p w:rsidR="00DD0682" w:rsidRPr="00DD0682" w:rsidRDefault="00DD0682" w:rsidP="00DD0682">
      <w:pPr>
        <w:adjustRightInd w:val="0"/>
        <w:snapToGrid w:val="0"/>
        <w:spacing w:after="240"/>
        <w:rPr>
          <w:snapToGrid w:val="0"/>
        </w:rPr>
      </w:pPr>
      <w:r w:rsidRPr="00DD0682">
        <w:rPr>
          <w:snapToGrid w:val="0"/>
        </w:rPr>
        <w:t>324.</w:t>
      </w:r>
      <w:r w:rsidRPr="00DD0682">
        <w:rPr>
          <w:snapToGrid w:val="0"/>
        </w:rPr>
        <w:tab/>
        <w:t>Ese derecho "se basa en la generalización de la enseñanza básica y en la garantía de la igualdad de oportunidades en materia de condiciones de escolarización y de continuación de los estudios al término de la enseñanza básica".</w:t>
      </w:r>
    </w:p>
    <w:p w:rsidR="00DD0682" w:rsidRPr="00DD0682" w:rsidRDefault="00DD0682" w:rsidP="00DD0682">
      <w:pPr>
        <w:adjustRightInd w:val="0"/>
        <w:snapToGrid w:val="0"/>
        <w:spacing w:after="240"/>
        <w:rPr>
          <w:snapToGrid w:val="0"/>
        </w:rPr>
      </w:pPr>
      <w:r w:rsidRPr="00DD0682">
        <w:rPr>
          <w:snapToGrid w:val="0"/>
        </w:rPr>
        <w:t>325.</w:t>
      </w:r>
      <w:r w:rsidRPr="00DD0682">
        <w:rPr>
          <w:snapToGrid w:val="0"/>
        </w:rPr>
        <w:tab/>
        <w:t xml:space="preserve">Esta igualdad, más allá de los textos, es una realidad palpable sobre el terreno.  Algunos de los siguientes </w:t>
      </w:r>
      <w:r w:rsidRPr="00DD0682">
        <w:rPr>
          <w:snapToGrid w:val="0"/>
          <w:lang w:val="es-ES_tradnl"/>
        </w:rPr>
        <w:t>datos e indicadores estadísticos del sistema educativo argelino lo corroboran.</w:t>
      </w:r>
    </w:p>
    <w:p w:rsidR="00DD0682" w:rsidRPr="00DD0682" w:rsidRDefault="00DD0682" w:rsidP="007857D5">
      <w:pPr>
        <w:adjustRightInd w:val="0"/>
        <w:snapToGrid w:val="0"/>
        <w:spacing w:after="240"/>
        <w:jc w:val="center"/>
        <w:rPr>
          <w:b/>
          <w:bCs/>
          <w:snapToGrid w:val="0"/>
        </w:rPr>
      </w:pPr>
      <w:r w:rsidRPr="00DD0682">
        <w:rPr>
          <w:b/>
          <w:bCs/>
          <w:snapToGrid w:val="0"/>
        </w:rPr>
        <w:t>A.  Alumnado</w:t>
      </w:r>
    </w:p>
    <w:p w:rsidR="00DD0682" w:rsidRPr="00DD0682" w:rsidRDefault="00DD0682" w:rsidP="00DD0682">
      <w:pPr>
        <w:adjustRightInd w:val="0"/>
        <w:snapToGrid w:val="0"/>
        <w:spacing w:after="240"/>
        <w:rPr>
          <w:snapToGrid w:val="0"/>
        </w:rPr>
      </w:pPr>
      <w:r w:rsidRPr="00DD0682">
        <w:rPr>
          <w:bCs/>
          <w:snapToGrid w:val="0"/>
        </w:rPr>
        <w:t>326.</w:t>
      </w:r>
      <w:r w:rsidRPr="00DD0682">
        <w:rPr>
          <w:bCs/>
          <w:snapToGrid w:val="0"/>
        </w:rPr>
        <w:tab/>
      </w:r>
      <w:r w:rsidRPr="00DD0682">
        <w:rPr>
          <w:snapToGrid w:val="0"/>
        </w:rPr>
        <w:t>Desde la independencia, el número de alumnos ha registrado un aumento anual de 6,55%, es decir, un aumento medio de 190.000 alumnos al año, de los cuales 92.000 son niñas.  La </w:t>
      </w:r>
      <w:r w:rsidRPr="00DD0682">
        <w:rPr>
          <w:snapToGrid w:val="0"/>
          <w:lang w:val="es-ES_tradnl"/>
        </w:rPr>
        <w:t xml:space="preserve">proporción de niñas pasó de 37,40% en 1962/63 a 49,14% en </w:t>
      </w:r>
      <w:r w:rsidRPr="00DD0682">
        <w:rPr>
          <w:snapToGrid w:val="0"/>
        </w:rPr>
        <w:t xml:space="preserve">2005/06.  </w:t>
      </w:r>
      <w:r w:rsidRPr="00DD0682">
        <w:rPr>
          <w:snapToGrid w:val="0"/>
          <w:lang w:val="es-ES_tradnl"/>
        </w:rPr>
        <w:t>Véanse seguidamente, a título ilustrativo, algunos indicadores de la evolución del alumnado en el sistema escolar, desglosados por sexo</w:t>
      </w:r>
      <w:r w:rsidRPr="00DD0682">
        <w:rPr>
          <w:snapToGrid w:val="0"/>
        </w:rPr>
        <w:t>.</w:t>
      </w:r>
    </w:p>
    <w:p w:rsidR="00DD0682" w:rsidRPr="00DD0682" w:rsidRDefault="00DD0682" w:rsidP="00DD0682">
      <w:pPr>
        <w:adjustRightInd w:val="0"/>
        <w:snapToGrid w:val="0"/>
        <w:spacing w:after="240"/>
        <w:rPr>
          <w:b/>
          <w:bCs/>
          <w:snapToGrid w:val="0"/>
        </w:rPr>
      </w:pPr>
      <w:r w:rsidRPr="00DD0682">
        <w:rPr>
          <w:b/>
          <w:bCs/>
          <w:snapToGrid w:val="0"/>
        </w:rPr>
        <w:t>1.</w:t>
      </w:r>
      <w:r w:rsidRPr="00DD0682">
        <w:rPr>
          <w:b/>
          <w:bCs/>
          <w:snapToGrid w:val="0"/>
        </w:rPr>
        <w:tab/>
        <w:t>Alumnado total</w:t>
      </w:r>
    </w:p>
    <w:tbl>
      <w:tblPr>
        <w:tblW w:w="4394" w:type="pct"/>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2086"/>
        <w:gridCol w:w="2085"/>
        <w:gridCol w:w="2085"/>
        <w:gridCol w:w="2085"/>
      </w:tblGrid>
      <w:tr w:rsidR="00DD0682" w:rsidRPr="00DD0682" w:rsidTr="00DD0682">
        <w:tblPrEx>
          <w:tblCellMar>
            <w:top w:w="0" w:type="dxa"/>
            <w:bottom w:w="0" w:type="dxa"/>
          </w:tblCellMar>
        </w:tblPrEx>
        <w:trPr>
          <w:jc w:val="center"/>
        </w:trPr>
        <w:tc>
          <w:tcPr>
            <w:tcW w:w="1250" w:type="pct"/>
          </w:tcPr>
          <w:p w:rsidR="00DD0682" w:rsidRPr="00DD0682" w:rsidRDefault="00DD0682" w:rsidP="007857D5">
            <w:pPr>
              <w:adjustRightInd w:val="0"/>
              <w:snapToGrid w:val="0"/>
              <w:jc w:val="center"/>
              <w:rPr>
                <w:b/>
                <w:iCs/>
                <w:snapToGrid w:val="0"/>
              </w:rPr>
            </w:pPr>
            <w:r w:rsidRPr="00DD0682">
              <w:rPr>
                <w:b/>
                <w:iCs/>
                <w:snapToGrid w:val="0"/>
              </w:rPr>
              <w:t>Año escolar</w:t>
            </w:r>
          </w:p>
        </w:tc>
        <w:tc>
          <w:tcPr>
            <w:tcW w:w="1250" w:type="pct"/>
          </w:tcPr>
          <w:p w:rsidR="00DD0682" w:rsidRPr="00DD0682" w:rsidRDefault="00DD0682" w:rsidP="007857D5">
            <w:pPr>
              <w:adjustRightInd w:val="0"/>
              <w:snapToGrid w:val="0"/>
              <w:jc w:val="center"/>
              <w:rPr>
                <w:b/>
                <w:iCs/>
                <w:snapToGrid w:val="0"/>
              </w:rPr>
            </w:pPr>
            <w:r w:rsidRPr="00DD0682">
              <w:rPr>
                <w:b/>
                <w:iCs/>
                <w:snapToGrid w:val="0"/>
              </w:rPr>
              <w:t>Total de alumnos</w:t>
            </w:r>
          </w:p>
        </w:tc>
        <w:tc>
          <w:tcPr>
            <w:tcW w:w="1250" w:type="pct"/>
          </w:tcPr>
          <w:p w:rsidR="00DD0682" w:rsidRPr="00DD0682" w:rsidRDefault="00DD0682" w:rsidP="007857D5">
            <w:pPr>
              <w:adjustRightInd w:val="0"/>
              <w:snapToGrid w:val="0"/>
              <w:jc w:val="center"/>
              <w:rPr>
                <w:b/>
                <w:iCs/>
                <w:snapToGrid w:val="0"/>
              </w:rPr>
            </w:pPr>
            <w:r w:rsidRPr="00DD0682">
              <w:rPr>
                <w:b/>
                <w:iCs/>
                <w:snapToGrid w:val="0"/>
              </w:rPr>
              <w:t>Alumnas</w:t>
            </w:r>
          </w:p>
        </w:tc>
        <w:tc>
          <w:tcPr>
            <w:tcW w:w="1250" w:type="pct"/>
          </w:tcPr>
          <w:p w:rsidR="00DD0682" w:rsidRPr="00DD0682" w:rsidRDefault="00DD0682" w:rsidP="007857D5">
            <w:pPr>
              <w:adjustRightInd w:val="0"/>
              <w:snapToGrid w:val="0"/>
              <w:jc w:val="center"/>
              <w:rPr>
                <w:b/>
                <w:iCs/>
                <w:snapToGrid w:val="0"/>
              </w:rPr>
            </w:pPr>
            <w:r w:rsidRPr="00DD0682">
              <w:rPr>
                <w:b/>
                <w:iCs/>
                <w:snapToGrid w:val="0"/>
              </w:rPr>
              <w:t>Porcentaje</w:t>
            </w:r>
          </w:p>
        </w:tc>
      </w:tr>
      <w:tr w:rsidR="00DD0682" w:rsidRPr="00DD0682" w:rsidTr="00DD0682">
        <w:tblPrEx>
          <w:tblCellMar>
            <w:top w:w="0" w:type="dxa"/>
            <w:bottom w:w="0" w:type="dxa"/>
          </w:tblCellMar>
        </w:tblPrEx>
        <w:trPr>
          <w:jc w:val="center"/>
        </w:trPr>
        <w:tc>
          <w:tcPr>
            <w:tcW w:w="1250" w:type="pct"/>
          </w:tcPr>
          <w:p w:rsidR="00DD0682" w:rsidRPr="00DD0682" w:rsidRDefault="00DD0682" w:rsidP="007857D5">
            <w:pPr>
              <w:adjustRightInd w:val="0"/>
              <w:snapToGrid w:val="0"/>
              <w:jc w:val="center"/>
              <w:rPr>
                <w:snapToGrid w:val="0"/>
              </w:rPr>
            </w:pPr>
            <w:r w:rsidRPr="00DD0682">
              <w:rPr>
                <w:snapToGrid w:val="0"/>
              </w:rPr>
              <w:t>1963/64</w:t>
            </w:r>
          </w:p>
        </w:tc>
        <w:tc>
          <w:tcPr>
            <w:tcW w:w="1250" w:type="pct"/>
          </w:tcPr>
          <w:p w:rsidR="00DD0682" w:rsidRPr="00DD0682" w:rsidRDefault="00DD0682" w:rsidP="007857D5">
            <w:pPr>
              <w:adjustRightInd w:val="0"/>
              <w:snapToGrid w:val="0"/>
              <w:jc w:val="center"/>
              <w:rPr>
                <w:snapToGrid w:val="0"/>
                <w:rtl/>
              </w:rPr>
            </w:pPr>
            <w:r w:rsidRPr="00DD0682">
              <w:rPr>
                <w:snapToGrid w:val="0"/>
              </w:rPr>
              <w:t>1.129.642</w:t>
            </w:r>
          </w:p>
        </w:tc>
        <w:tc>
          <w:tcPr>
            <w:tcW w:w="1250" w:type="pct"/>
          </w:tcPr>
          <w:p w:rsidR="00DD0682" w:rsidRPr="00DD0682" w:rsidRDefault="00DD0682" w:rsidP="00740862">
            <w:pPr>
              <w:tabs>
                <w:tab w:val="decimal" w:pos="1494"/>
              </w:tabs>
              <w:adjustRightInd w:val="0"/>
              <w:snapToGrid w:val="0"/>
              <w:rPr>
                <w:snapToGrid w:val="0"/>
                <w:rtl/>
              </w:rPr>
            </w:pPr>
            <w:r w:rsidRPr="00DD0682">
              <w:rPr>
                <w:snapToGrid w:val="0"/>
              </w:rPr>
              <w:t>422.506</w:t>
            </w:r>
          </w:p>
        </w:tc>
        <w:tc>
          <w:tcPr>
            <w:tcW w:w="1250" w:type="pct"/>
          </w:tcPr>
          <w:p w:rsidR="00DD0682" w:rsidRPr="00DD0682" w:rsidRDefault="00DD0682" w:rsidP="007857D5">
            <w:pPr>
              <w:adjustRightInd w:val="0"/>
              <w:snapToGrid w:val="0"/>
              <w:jc w:val="center"/>
              <w:rPr>
                <w:snapToGrid w:val="0"/>
              </w:rPr>
            </w:pPr>
            <w:r w:rsidRPr="00DD0682">
              <w:rPr>
                <w:snapToGrid w:val="0"/>
              </w:rPr>
              <w:t>37,40</w:t>
            </w:r>
          </w:p>
        </w:tc>
      </w:tr>
      <w:tr w:rsidR="00DD0682" w:rsidRPr="00DD0682" w:rsidTr="00DD0682">
        <w:tblPrEx>
          <w:tblCellMar>
            <w:top w:w="0" w:type="dxa"/>
            <w:bottom w:w="0" w:type="dxa"/>
          </w:tblCellMar>
        </w:tblPrEx>
        <w:trPr>
          <w:jc w:val="center"/>
        </w:trPr>
        <w:tc>
          <w:tcPr>
            <w:tcW w:w="1250" w:type="pct"/>
          </w:tcPr>
          <w:p w:rsidR="00DD0682" w:rsidRPr="00DD0682" w:rsidRDefault="00DD0682" w:rsidP="007857D5">
            <w:pPr>
              <w:adjustRightInd w:val="0"/>
              <w:snapToGrid w:val="0"/>
              <w:jc w:val="center"/>
              <w:rPr>
                <w:snapToGrid w:val="0"/>
              </w:rPr>
            </w:pPr>
            <w:r w:rsidRPr="00DD0682">
              <w:rPr>
                <w:snapToGrid w:val="0"/>
              </w:rPr>
              <w:t>1999/00</w:t>
            </w:r>
          </w:p>
        </w:tc>
        <w:tc>
          <w:tcPr>
            <w:tcW w:w="1250" w:type="pct"/>
          </w:tcPr>
          <w:p w:rsidR="00DD0682" w:rsidRPr="00DD0682" w:rsidRDefault="00DD0682" w:rsidP="007857D5">
            <w:pPr>
              <w:adjustRightInd w:val="0"/>
              <w:snapToGrid w:val="0"/>
              <w:jc w:val="center"/>
              <w:rPr>
                <w:snapToGrid w:val="0"/>
              </w:rPr>
            </w:pPr>
            <w:r w:rsidRPr="00DD0682">
              <w:rPr>
                <w:snapToGrid w:val="0"/>
              </w:rPr>
              <w:t>7.661.023</w:t>
            </w:r>
          </w:p>
        </w:tc>
        <w:tc>
          <w:tcPr>
            <w:tcW w:w="1250" w:type="pct"/>
          </w:tcPr>
          <w:p w:rsidR="00DD0682" w:rsidRPr="00DD0682" w:rsidRDefault="00DD0682" w:rsidP="00740862">
            <w:pPr>
              <w:tabs>
                <w:tab w:val="decimal" w:pos="1494"/>
              </w:tabs>
              <w:adjustRightInd w:val="0"/>
              <w:snapToGrid w:val="0"/>
              <w:rPr>
                <w:snapToGrid w:val="0"/>
              </w:rPr>
            </w:pPr>
            <w:r w:rsidRPr="00DD0682">
              <w:rPr>
                <w:snapToGrid w:val="0"/>
              </w:rPr>
              <w:t>3.689.735</w:t>
            </w:r>
          </w:p>
        </w:tc>
        <w:tc>
          <w:tcPr>
            <w:tcW w:w="1250" w:type="pct"/>
          </w:tcPr>
          <w:p w:rsidR="00DD0682" w:rsidRPr="00DD0682" w:rsidRDefault="00DD0682" w:rsidP="007857D5">
            <w:pPr>
              <w:adjustRightInd w:val="0"/>
              <w:snapToGrid w:val="0"/>
              <w:jc w:val="center"/>
              <w:rPr>
                <w:snapToGrid w:val="0"/>
              </w:rPr>
            </w:pPr>
            <w:r w:rsidRPr="00DD0682">
              <w:rPr>
                <w:snapToGrid w:val="0"/>
              </w:rPr>
              <w:t>48,16</w:t>
            </w:r>
          </w:p>
        </w:tc>
      </w:tr>
      <w:tr w:rsidR="00DD0682" w:rsidRPr="00DD0682" w:rsidTr="00DD0682">
        <w:tblPrEx>
          <w:tblCellMar>
            <w:top w:w="0" w:type="dxa"/>
            <w:bottom w:w="0" w:type="dxa"/>
          </w:tblCellMar>
        </w:tblPrEx>
        <w:trPr>
          <w:jc w:val="center"/>
        </w:trPr>
        <w:tc>
          <w:tcPr>
            <w:tcW w:w="1250" w:type="pct"/>
          </w:tcPr>
          <w:p w:rsidR="00DD0682" w:rsidRPr="00DD0682" w:rsidRDefault="00DD0682" w:rsidP="007857D5">
            <w:pPr>
              <w:adjustRightInd w:val="0"/>
              <w:snapToGrid w:val="0"/>
              <w:jc w:val="center"/>
              <w:rPr>
                <w:snapToGrid w:val="0"/>
                <w:lang w:val="fr-FR"/>
              </w:rPr>
            </w:pPr>
            <w:r w:rsidRPr="00DD0682">
              <w:rPr>
                <w:snapToGrid w:val="0"/>
              </w:rPr>
              <w:t>2005/</w:t>
            </w:r>
            <w:r w:rsidRPr="00DD0682">
              <w:rPr>
                <w:snapToGrid w:val="0"/>
                <w:lang w:val="fr-FR"/>
              </w:rPr>
              <w:t>06</w:t>
            </w:r>
          </w:p>
        </w:tc>
        <w:tc>
          <w:tcPr>
            <w:tcW w:w="1250" w:type="pct"/>
          </w:tcPr>
          <w:p w:rsidR="00DD0682" w:rsidRPr="00DD0682" w:rsidRDefault="00DD0682" w:rsidP="007857D5">
            <w:pPr>
              <w:adjustRightInd w:val="0"/>
              <w:snapToGrid w:val="0"/>
              <w:jc w:val="center"/>
              <w:rPr>
                <w:snapToGrid w:val="0"/>
                <w:lang w:val="fr-FR"/>
              </w:rPr>
            </w:pPr>
            <w:r w:rsidRPr="00DD0682">
              <w:rPr>
                <w:snapToGrid w:val="0"/>
                <w:lang w:val="fr-FR"/>
              </w:rPr>
              <w:t>7.741.899</w:t>
            </w:r>
          </w:p>
        </w:tc>
        <w:tc>
          <w:tcPr>
            <w:tcW w:w="1250" w:type="pct"/>
          </w:tcPr>
          <w:p w:rsidR="00DD0682" w:rsidRPr="00DD0682" w:rsidRDefault="00DD0682" w:rsidP="00740862">
            <w:pPr>
              <w:tabs>
                <w:tab w:val="decimal" w:pos="1494"/>
              </w:tabs>
              <w:adjustRightInd w:val="0"/>
              <w:snapToGrid w:val="0"/>
              <w:rPr>
                <w:snapToGrid w:val="0"/>
                <w:lang w:val="fr-FR"/>
              </w:rPr>
            </w:pPr>
            <w:r w:rsidRPr="00DD0682">
              <w:rPr>
                <w:snapToGrid w:val="0"/>
                <w:lang w:val="fr-FR"/>
              </w:rPr>
              <w:t>3.</w:t>
            </w:r>
            <w:r w:rsidRPr="00DD0682">
              <w:rPr>
                <w:snapToGrid w:val="0"/>
              </w:rPr>
              <w:t>804</w:t>
            </w:r>
            <w:r w:rsidRPr="00DD0682">
              <w:rPr>
                <w:snapToGrid w:val="0"/>
                <w:lang w:val="fr-FR"/>
              </w:rPr>
              <w:t>.912</w:t>
            </w:r>
          </w:p>
        </w:tc>
        <w:tc>
          <w:tcPr>
            <w:tcW w:w="1250" w:type="pct"/>
          </w:tcPr>
          <w:p w:rsidR="00DD0682" w:rsidRPr="00DD0682" w:rsidRDefault="00DD0682" w:rsidP="007857D5">
            <w:pPr>
              <w:adjustRightInd w:val="0"/>
              <w:snapToGrid w:val="0"/>
              <w:jc w:val="center"/>
              <w:rPr>
                <w:snapToGrid w:val="0"/>
                <w:lang w:val="fr-FR"/>
              </w:rPr>
            </w:pPr>
            <w:r w:rsidRPr="00DD0682">
              <w:rPr>
                <w:snapToGrid w:val="0"/>
                <w:lang w:val="fr-FR"/>
              </w:rPr>
              <w:t>49,14</w:t>
            </w:r>
          </w:p>
        </w:tc>
      </w:tr>
    </w:tbl>
    <w:p w:rsidR="00DD0682" w:rsidRPr="00DD0682" w:rsidRDefault="00DD0682" w:rsidP="007857D5">
      <w:pPr>
        <w:adjustRightInd w:val="0"/>
        <w:snapToGrid w:val="0"/>
        <w:spacing w:before="480" w:after="240"/>
        <w:rPr>
          <w:b/>
          <w:bCs/>
          <w:snapToGrid w:val="0"/>
          <w:lang w:val="es-ES_tradnl"/>
        </w:rPr>
      </w:pPr>
      <w:r w:rsidRPr="00DD0682">
        <w:rPr>
          <w:b/>
          <w:bCs/>
          <w:snapToGrid w:val="0"/>
        </w:rPr>
        <w:t>2.</w:t>
      </w:r>
      <w:r w:rsidRPr="00DD0682">
        <w:rPr>
          <w:b/>
          <w:bCs/>
          <w:snapToGrid w:val="0"/>
        </w:rPr>
        <w:tab/>
        <w:t>E</w:t>
      </w:r>
      <w:r w:rsidRPr="00DD0682">
        <w:rPr>
          <w:b/>
          <w:bCs/>
          <w:snapToGrid w:val="0"/>
          <w:lang w:val="es-ES_tradnl"/>
        </w:rPr>
        <w:t>n los ciclos primero y segundo de enseñanza básica (enseñanza primaria)</w:t>
      </w:r>
    </w:p>
    <w:tbl>
      <w:tblPr>
        <w:tblW w:w="4424" w:type="pct"/>
        <w:jc w:val="center"/>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2099"/>
        <w:gridCol w:w="2099"/>
        <w:gridCol w:w="2100"/>
        <w:gridCol w:w="2100"/>
      </w:tblGrid>
      <w:tr w:rsidR="00DD0682" w:rsidRPr="00DD0682" w:rsidTr="00DD0682">
        <w:tblPrEx>
          <w:tblCellMar>
            <w:top w:w="0" w:type="dxa"/>
            <w:bottom w:w="0" w:type="dxa"/>
          </w:tblCellMar>
        </w:tblPrEx>
        <w:trPr>
          <w:jc w:val="center"/>
        </w:trPr>
        <w:tc>
          <w:tcPr>
            <w:tcW w:w="1250" w:type="pct"/>
          </w:tcPr>
          <w:p w:rsidR="00DD0682" w:rsidRPr="00DD0682" w:rsidRDefault="00DD0682" w:rsidP="007857D5">
            <w:pPr>
              <w:adjustRightInd w:val="0"/>
              <w:snapToGrid w:val="0"/>
              <w:jc w:val="center"/>
              <w:rPr>
                <w:b/>
                <w:iCs/>
                <w:snapToGrid w:val="0"/>
              </w:rPr>
            </w:pPr>
            <w:r w:rsidRPr="00DD0682">
              <w:rPr>
                <w:b/>
                <w:iCs/>
                <w:snapToGrid w:val="0"/>
              </w:rPr>
              <w:t>Año escolar</w:t>
            </w:r>
          </w:p>
        </w:tc>
        <w:tc>
          <w:tcPr>
            <w:tcW w:w="1250" w:type="pct"/>
          </w:tcPr>
          <w:p w:rsidR="00DD0682" w:rsidRPr="00DD0682" w:rsidRDefault="00DD0682" w:rsidP="007857D5">
            <w:pPr>
              <w:adjustRightInd w:val="0"/>
              <w:snapToGrid w:val="0"/>
              <w:jc w:val="center"/>
              <w:rPr>
                <w:b/>
                <w:iCs/>
                <w:snapToGrid w:val="0"/>
              </w:rPr>
            </w:pPr>
            <w:r w:rsidRPr="00DD0682">
              <w:rPr>
                <w:b/>
                <w:iCs/>
                <w:snapToGrid w:val="0"/>
              </w:rPr>
              <w:t>Total de alumnos</w:t>
            </w:r>
          </w:p>
        </w:tc>
        <w:tc>
          <w:tcPr>
            <w:tcW w:w="1250" w:type="pct"/>
          </w:tcPr>
          <w:p w:rsidR="00DD0682" w:rsidRPr="00DD0682" w:rsidRDefault="00DD0682" w:rsidP="007857D5">
            <w:pPr>
              <w:adjustRightInd w:val="0"/>
              <w:snapToGrid w:val="0"/>
              <w:jc w:val="center"/>
              <w:rPr>
                <w:b/>
                <w:iCs/>
                <w:snapToGrid w:val="0"/>
              </w:rPr>
            </w:pPr>
            <w:r w:rsidRPr="00DD0682">
              <w:rPr>
                <w:b/>
                <w:iCs/>
                <w:snapToGrid w:val="0"/>
              </w:rPr>
              <w:t>Alumnas</w:t>
            </w:r>
          </w:p>
        </w:tc>
        <w:tc>
          <w:tcPr>
            <w:tcW w:w="1250" w:type="pct"/>
          </w:tcPr>
          <w:p w:rsidR="00DD0682" w:rsidRPr="00DD0682" w:rsidRDefault="00DD0682" w:rsidP="007857D5">
            <w:pPr>
              <w:adjustRightInd w:val="0"/>
              <w:snapToGrid w:val="0"/>
              <w:jc w:val="center"/>
              <w:rPr>
                <w:b/>
                <w:iCs/>
                <w:snapToGrid w:val="0"/>
              </w:rPr>
            </w:pPr>
            <w:r w:rsidRPr="00DD0682">
              <w:rPr>
                <w:b/>
                <w:iCs/>
                <w:snapToGrid w:val="0"/>
              </w:rPr>
              <w:t>Porcentaje</w:t>
            </w:r>
          </w:p>
        </w:tc>
      </w:tr>
      <w:tr w:rsidR="00DD0682" w:rsidRPr="00DD0682" w:rsidTr="00DD0682">
        <w:tblPrEx>
          <w:tblCellMar>
            <w:top w:w="0" w:type="dxa"/>
            <w:bottom w:w="0" w:type="dxa"/>
          </w:tblCellMar>
        </w:tblPrEx>
        <w:trPr>
          <w:jc w:val="center"/>
        </w:trPr>
        <w:tc>
          <w:tcPr>
            <w:tcW w:w="1250" w:type="pct"/>
          </w:tcPr>
          <w:p w:rsidR="00DD0682" w:rsidRPr="00DD0682" w:rsidRDefault="00DD0682" w:rsidP="007857D5">
            <w:pPr>
              <w:adjustRightInd w:val="0"/>
              <w:snapToGrid w:val="0"/>
              <w:jc w:val="center"/>
              <w:rPr>
                <w:snapToGrid w:val="0"/>
              </w:rPr>
            </w:pPr>
            <w:r w:rsidRPr="00DD0682">
              <w:rPr>
                <w:snapToGrid w:val="0"/>
              </w:rPr>
              <w:t>1963/64</w:t>
            </w:r>
          </w:p>
        </w:tc>
        <w:tc>
          <w:tcPr>
            <w:tcW w:w="1250" w:type="pct"/>
          </w:tcPr>
          <w:p w:rsidR="00DD0682" w:rsidRPr="00DD0682" w:rsidRDefault="00DD0682" w:rsidP="007857D5">
            <w:pPr>
              <w:adjustRightInd w:val="0"/>
              <w:snapToGrid w:val="0"/>
              <w:jc w:val="center"/>
              <w:rPr>
                <w:snapToGrid w:val="0"/>
                <w:rtl/>
              </w:rPr>
            </w:pPr>
            <w:r w:rsidRPr="00DD0682">
              <w:rPr>
                <w:snapToGrid w:val="0"/>
              </w:rPr>
              <w:t>1.049.435</w:t>
            </w:r>
          </w:p>
        </w:tc>
        <w:tc>
          <w:tcPr>
            <w:tcW w:w="1250" w:type="pct"/>
          </w:tcPr>
          <w:p w:rsidR="00DD0682" w:rsidRPr="00DD0682" w:rsidRDefault="00DD0682" w:rsidP="00AB008F">
            <w:pPr>
              <w:tabs>
                <w:tab w:val="decimal" w:pos="1267"/>
              </w:tabs>
              <w:adjustRightInd w:val="0"/>
              <w:snapToGrid w:val="0"/>
              <w:jc w:val="center"/>
              <w:rPr>
                <w:snapToGrid w:val="0"/>
                <w:rtl/>
              </w:rPr>
            </w:pPr>
            <w:r w:rsidRPr="00DD0682">
              <w:rPr>
                <w:snapToGrid w:val="0"/>
              </w:rPr>
              <w:t>398.871</w:t>
            </w:r>
          </w:p>
        </w:tc>
        <w:tc>
          <w:tcPr>
            <w:tcW w:w="1250" w:type="pct"/>
          </w:tcPr>
          <w:p w:rsidR="00DD0682" w:rsidRPr="00DD0682" w:rsidRDefault="00DD0682" w:rsidP="007857D5">
            <w:pPr>
              <w:adjustRightInd w:val="0"/>
              <w:snapToGrid w:val="0"/>
              <w:jc w:val="center"/>
              <w:rPr>
                <w:snapToGrid w:val="0"/>
                <w:rtl/>
              </w:rPr>
            </w:pPr>
            <w:r w:rsidRPr="00DD0682">
              <w:rPr>
                <w:snapToGrid w:val="0"/>
              </w:rPr>
              <w:t>38,01</w:t>
            </w:r>
          </w:p>
        </w:tc>
      </w:tr>
      <w:tr w:rsidR="00DD0682" w:rsidRPr="00DD0682" w:rsidTr="00DD0682">
        <w:tblPrEx>
          <w:tblCellMar>
            <w:top w:w="0" w:type="dxa"/>
            <w:bottom w:w="0" w:type="dxa"/>
          </w:tblCellMar>
        </w:tblPrEx>
        <w:trPr>
          <w:jc w:val="center"/>
        </w:trPr>
        <w:tc>
          <w:tcPr>
            <w:tcW w:w="1250" w:type="pct"/>
          </w:tcPr>
          <w:p w:rsidR="00DD0682" w:rsidRPr="00DD0682" w:rsidRDefault="00DD0682" w:rsidP="007857D5">
            <w:pPr>
              <w:adjustRightInd w:val="0"/>
              <w:snapToGrid w:val="0"/>
              <w:jc w:val="center"/>
              <w:rPr>
                <w:snapToGrid w:val="0"/>
              </w:rPr>
            </w:pPr>
            <w:r w:rsidRPr="00DD0682">
              <w:rPr>
                <w:snapToGrid w:val="0"/>
              </w:rPr>
              <w:t>1999/00</w:t>
            </w:r>
          </w:p>
        </w:tc>
        <w:tc>
          <w:tcPr>
            <w:tcW w:w="1250" w:type="pct"/>
          </w:tcPr>
          <w:p w:rsidR="00DD0682" w:rsidRPr="00DD0682" w:rsidRDefault="00DD0682" w:rsidP="007857D5">
            <w:pPr>
              <w:adjustRightInd w:val="0"/>
              <w:snapToGrid w:val="0"/>
              <w:jc w:val="center"/>
              <w:rPr>
                <w:snapToGrid w:val="0"/>
              </w:rPr>
            </w:pPr>
            <w:r w:rsidRPr="00DD0682">
              <w:rPr>
                <w:snapToGrid w:val="0"/>
              </w:rPr>
              <w:t>4.843.313</w:t>
            </w:r>
          </w:p>
        </w:tc>
        <w:tc>
          <w:tcPr>
            <w:tcW w:w="1250" w:type="pct"/>
          </w:tcPr>
          <w:p w:rsidR="00DD0682" w:rsidRPr="00DD0682" w:rsidRDefault="00DD0682" w:rsidP="00AB008F">
            <w:pPr>
              <w:tabs>
                <w:tab w:val="decimal" w:pos="1267"/>
              </w:tabs>
              <w:adjustRightInd w:val="0"/>
              <w:snapToGrid w:val="0"/>
              <w:jc w:val="center"/>
              <w:rPr>
                <w:snapToGrid w:val="0"/>
              </w:rPr>
            </w:pPr>
            <w:r w:rsidRPr="00DD0682">
              <w:rPr>
                <w:snapToGrid w:val="0"/>
              </w:rPr>
              <w:t>2.264.608</w:t>
            </w:r>
          </w:p>
        </w:tc>
        <w:tc>
          <w:tcPr>
            <w:tcW w:w="1250" w:type="pct"/>
          </w:tcPr>
          <w:p w:rsidR="00DD0682" w:rsidRPr="00DD0682" w:rsidRDefault="00DD0682" w:rsidP="007857D5">
            <w:pPr>
              <w:adjustRightInd w:val="0"/>
              <w:snapToGrid w:val="0"/>
              <w:jc w:val="center"/>
              <w:rPr>
                <w:snapToGrid w:val="0"/>
              </w:rPr>
            </w:pPr>
            <w:r w:rsidRPr="00DD0682">
              <w:rPr>
                <w:snapToGrid w:val="0"/>
                <w:rtl/>
              </w:rPr>
              <w:t>46,</w:t>
            </w:r>
            <w:r w:rsidRPr="00DD0682">
              <w:rPr>
                <w:snapToGrid w:val="0"/>
              </w:rPr>
              <w:t>76</w:t>
            </w:r>
          </w:p>
        </w:tc>
      </w:tr>
      <w:tr w:rsidR="00DD0682" w:rsidRPr="00DD0682" w:rsidTr="00DD0682">
        <w:tblPrEx>
          <w:tblCellMar>
            <w:top w:w="0" w:type="dxa"/>
            <w:bottom w:w="0" w:type="dxa"/>
          </w:tblCellMar>
        </w:tblPrEx>
        <w:trPr>
          <w:jc w:val="center"/>
        </w:trPr>
        <w:tc>
          <w:tcPr>
            <w:tcW w:w="1250" w:type="pct"/>
          </w:tcPr>
          <w:p w:rsidR="00DD0682" w:rsidRPr="00DD0682" w:rsidRDefault="00DD0682" w:rsidP="007857D5">
            <w:pPr>
              <w:adjustRightInd w:val="0"/>
              <w:snapToGrid w:val="0"/>
              <w:jc w:val="center"/>
              <w:rPr>
                <w:snapToGrid w:val="0"/>
                <w:lang w:val="fr-FR"/>
              </w:rPr>
            </w:pPr>
            <w:r w:rsidRPr="00DD0682">
              <w:rPr>
                <w:snapToGrid w:val="0"/>
              </w:rPr>
              <w:t>20</w:t>
            </w:r>
            <w:r w:rsidRPr="00DD0682">
              <w:rPr>
                <w:snapToGrid w:val="0"/>
                <w:lang w:val="fr-FR"/>
              </w:rPr>
              <w:t>05/06</w:t>
            </w:r>
          </w:p>
        </w:tc>
        <w:tc>
          <w:tcPr>
            <w:tcW w:w="1250" w:type="pct"/>
          </w:tcPr>
          <w:p w:rsidR="00DD0682" w:rsidRPr="00DD0682" w:rsidRDefault="00DD0682" w:rsidP="007857D5">
            <w:pPr>
              <w:adjustRightInd w:val="0"/>
              <w:snapToGrid w:val="0"/>
              <w:jc w:val="center"/>
              <w:rPr>
                <w:snapToGrid w:val="0"/>
                <w:lang w:val="fr-FR"/>
              </w:rPr>
            </w:pPr>
            <w:r w:rsidRPr="00DD0682">
              <w:rPr>
                <w:snapToGrid w:val="0"/>
                <w:lang w:val="fr-FR"/>
              </w:rPr>
              <w:t>4.361.744</w:t>
            </w:r>
          </w:p>
        </w:tc>
        <w:tc>
          <w:tcPr>
            <w:tcW w:w="1250" w:type="pct"/>
          </w:tcPr>
          <w:p w:rsidR="00DD0682" w:rsidRPr="00DD0682" w:rsidRDefault="00DD0682" w:rsidP="00AB008F">
            <w:pPr>
              <w:tabs>
                <w:tab w:val="decimal" w:pos="1267"/>
              </w:tabs>
              <w:adjustRightInd w:val="0"/>
              <w:snapToGrid w:val="0"/>
              <w:jc w:val="center"/>
              <w:rPr>
                <w:snapToGrid w:val="0"/>
                <w:lang w:val="fr-FR"/>
              </w:rPr>
            </w:pPr>
            <w:r w:rsidRPr="00DD0682">
              <w:rPr>
                <w:snapToGrid w:val="0"/>
                <w:lang w:val="fr-FR"/>
              </w:rPr>
              <w:t>2.049.</w:t>
            </w:r>
            <w:r w:rsidRPr="00DD0682">
              <w:rPr>
                <w:snapToGrid w:val="0"/>
              </w:rPr>
              <w:t>927</w:t>
            </w:r>
          </w:p>
        </w:tc>
        <w:tc>
          <w:tcPr>
            <w:tcW w:w="1250" w:type="pct"/>
          </w:tcPr>
          <w:p w:rsidR="00DD0682" w:rsidRPr="00DD0682" w:rsidRDefault="00DD0682" w:rsidP="007857D5">
            <w:pPr>
              <w:adjustRightInd w:val="0"/>
              <w:snapToGrid w:val="0"/>
              <w:jc w:val="center"/>
              <w:rPr>
                <w:snapToGrid w:val="0"/>
                <w:lang w:val="fr-FR"/>
              </w:rPr>
            </w:pPr>
            <w:r w:rsidRPr="00DD0682">
              <w:rPr>
                <w:snapToGrid w:val="0"/>
                <w:lang w:val="fr-FR"/>
              </w:rPr>
              <w:t>47,00</w:t>
            </w:r>
          </w:p>
        </w:tc>
      </w:tr>
    </w:tbl>
    <w:p w:rsidR="00DD0682" w:rsidRPr="00DD0682" w:rsidRDefault="00DD0682" w:rsidP="007857D5">
      <w:pPr>
        <w:adjustRightInd w:val="0"/>
        <w:snapToGrid w:val="0"/>
        <w:spacing w:before="480" w:after="240"/>
        <w:rPr>
          <w:snapToGrid w:val="0"/>
        </w:rPr>
      </w:pPr>
      <w:r w:rsidRPr="00DD0682">
        <w:rPr>
          <w:snapToGrid w:val="0"/>
        </w:rPr>
        <w:t>327.</w:t>
      </w:r>
      <w:r w:rsidRPr="00DD0682">
        <w:rPr>
          <w:snapToGrid w:val="0"/>
        </w:rPr>
        <w:tab/>
        <w:t xml:space="preserve">El millón de </w:t>
      </w:r>
      <w:r w:rsidRPr="00DD0682">
        <w:rPr>
          <w:snapToGrid w:val="0"/>
          <w:lang w:val="es-ES_tradnl"/>
        </w:rPr>
        <w:t xml:space="preserve">alumnos matriculados en la enseñanza primaria en 1963/64 representaba más del 93% de la población escolarizada en todos los ciclos, mientras que los 4,3 millones de alumnos de primaria en el año escolar 2005/06 sólo representan el 53,33% del alumnado total del sistema educativo.  Desde los primeros años de la independencia el número de alumnos ha evolucionado, a razón de </w:t>
      </w:r>
      <w:r w:rsidRPr="00DD0682">
        <w:rPr>
          <w:snapToGrid w:val="0"/>
        </w:rPr>
        <w:t>113.000 alumnos adicionales cada año, de los cuales casi 55.000 son niñas.</w:t>
      </w:r>
    </w:p>
    <w:p w:rsidR="00DD0682" w:rsidRPr="00DD0682" w:rsidRDefault="00DD0682" w:rsidP="00DD0682">
      <w:pPr>
        <w:adjustRightInd w:val="0"/>
        <w:snapToGrid w:val="0"/>
        <w:spacing w:after="240"/>
        <w:rPr>
          <w:snapToGrid w:val="0"/>
        </w:rPr>
      </w:pPr>
      <w:r w:rsidRPr="00DD0682">
        <w:rPr>
          <w:snapToGrid w:val="0"/>
        </w:rPr>
        <w:t>328.</w:t>
      </w:r>
      <w:r w:rsidRPr="00DD0682">
        <w:rPr>
          <w:snapToGrid w:val="0"/>
        </w:rPr>
        <w:tab/>
        <w:t>La proporción de niñas, que en el momento de la independencia representaba sólo el 38% del conjunto del alumnado de enseñanza primaria, aumentó al 47% en 2005/06, es decir, a casi la mitad del alumnado.</w:t>
      </w:r>
    </w:p>
    <w:p w:rsidR="00DD0682" w:rsidRPr="00DD0682" w:rsidRDefault="00DD0682" w:rsidP="00DD0682">
      <w:pPr>
        <w:adjustRightInd w:val="0"/>
        <w:snapToGrid w:val="0"/>
        <w:spacing w:after="240"/>
        <w:rPr>
          <w:snapToGrid w:val="0"/>
        </w:rPr>
      </w:pPr>
      <w:r w:rsidRPr="00DD0682">
        <w:rPr>
          <w:snapToGrid w:val="0"/>
        </w:rPr>
        <w:t>329.</w:t>
      </w:r>
      <w:r w:rsidRPr="00DD0682">
        <w:rPr>
          <w:snapToGrid w:val="0"/>
        </w:rPr>
        <w:tab/>
        <w:t xml:space="preserve">La </w:t>
      </w:r>
      <w:r w:rsidRPr="00DD0682">
        <w:rPr>
          <w:snapToGrid w:val="0"/>
          <w:lang w:val="es-ES_tradnl"/>
        </w:rPr>
        <w:t xml:space="preserve">tasa de escolarización de los niños de 6 años se aproxima actualmente al 100%.  </w:t>
      </w:r>
      <w:r w:rsidRPr="00DD0682">
        <w:rPr>
          <w:snapToGrid w:val="0"/>
        </w:rPr>
        <w:t>En los primeros años de la independencia, se situaba en el 42% para el conjunto del alumnado y en menos del 32% para las niñas, como muestra el cuadro siguiente.</w:t>
      </w:r>
    </w:p>
    <w:tbl>
      <w:tblPr>
        <w:tblW w:w="4433" w:type="pct"/>
        <w:jc w:val="center"/>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2805"/>
        <w:gridCol w:w="2806"/>
        <w:gridCol w:w="2804"/>
      </w:tblGrid>
      <w:tr w:rsidR="00DD0682" w:rsidRPr="00DD0682" w:rsidTr="00DD0682">
        <w:tblPrEx>
          <w:tblCellMar>
            <w:top w:w="0" w:type="dxa"/>
            <w:bottom w:w="0" w:type="dxa"/>
          </w:tblCellMar>
        </w:tblPrEx>
        <w:trPr>
          <w:jc w:val="center"/>
        </w:trPr>
        <w:tc>
          <w:tcPr>
            <w:tcW w:w="1667" w:type="pct"/>
          </w:tcPr>
          <w:p w:rsidR="00DD0682" w:rsidRPr="00DD0682" w:rsidRDefault="00DD0682" w:rsidP="00F40E1C">
            <w:pPr>
              <w:adjustRightInd w:val="0"/>
              <w:snapToGrid w:val="0"/>
              <w:jc w:val="center"/>
              <w:rPr>
                <w:b/>
                <w:iCs/>
                <w:snapToGrid w:val="0"/>
                <w:lang w:val="fr-FR"/>
              </w:rPr>
            </w:pPr>
            <w:r w:rsidRPr="00DD0682">
              <w:rPr>
                <w:b/>
                <w:iCs/>
                <w:snapToGrid w:val="0"/>
                <w:lang w:val="fr-FR"/>
              </w:rPr>
              <w:t>Año escolar</w:t>
            </w:r>
          </w:p>
        </w:tc>
        <w:tc>
          <w:tcPr>
            <w:tcW w:w="1667" w:type="pct"/>
          </w:tcPr>
          <w:p w:rsidR="00DD0682" w:rsidRPr="00DD0682" w:rsidRDefault="00DD0682" w:rsidP="00F40E1C">
            <w:pPr>
              <w:adjustRightInd w:val="0"/>
              <w:snapToGrid w:val="0"/>
              <w:jc w:val="center"/>
              <w:rPr>
                <w:b/>
                <w:iCs/>
                <w:snapToGrid w:val="0"/>
                <w:lang w:val="fr-FR"/>
              </w:rPr>
            </w:pPr>
            <w:r w:rsidRPr="00DD0682">
              <w:rPr>
                <w:b/>
                <w:iCs/>
                <w:snapToGrid w:val="0"/>
                <w:lang w:val="fr-FR"/>
              </w:rPr>
              <w:t>Tasa de escolarización</w:t>
            </w:r>
          </w:p>
        </w:tc>
        <w:tc>
          <w:tcPr>
            <w:tcW w:w="1667" w:type="pct"/>
          </w:tcPr>
          <w:p w:rsidR="00DD0682" w:rsidRPr="00DD0682" w:rsidRDefault="00DD0682" w:rsidP="00F40E1C">
            <w:pPr>
              <w:adjustRightInd w:val="0"/>
              <w:snapToGrid w:val="0"/>
              <w:jc w:val="center"/>
              <w:rPr>
                <w:b/>
                <w:iCs/>
                <w:snapToGrid w:val="0"/>
                <w:lang w:val="fr-FR"/>
              </w:rPr>
            </w:pPr>
            <w:r w:rsidRPr="00DD0682">
              <w:rPr>
                <w:b/>
                <w:iCs/>
                <w:snapToGrid w:val="0"/>
                <w:lang w:val="fr-FR"/>
              </w:rPr>
              <w:t>Niñas</w:t>
            </w:r>
          </w:p>
        </w:tc>
      </w:tr>
      <w:tr w:rsidR="00DD0682" w:rsidRPr="00DD0682" w:rsidTr="00DD0682">
        <w:tblPrEx>
          <w:tblCellMar>
            <w:top w:w="0" w:type="dxa"/>
            <w:bottom w:w="0" w:type="dxa"/>
          </w:tblCellMar>
        </w:tblPrEx>
        <w:trPr>
          <w:jc w:val="center"/>
        </w:trPr>
        <w:tc>
          <w:tcPr>
            <w:tcW w:w="1667" w:type="pct"/>
          </w:tcPr>
          <w:p w:rsidR="00DD0682" w:rsidRPr="00DD0682" w:rsidRDefault="00DD0682" w:rsidP="00F40E1C">
            <w:pPr>
              <w:adjustRightInd w:val="0"/>
              <w:snapToGrid w:val="0"/>
              <w:jc w:val="center"/>
              <w:rPr>
                <w:snapToGrid w:val="0"/>
                <w:lang w:val="fr-FR"/>
              </w:rPr>
            </w:pPr>
            <w:r w:rsidRPr="00DD0682">
              <w:rPr>
                <w:snapToGrid w:val="0"/>
                <w:lang w:val="fr-FR"/>
              </w:rPr>
              <w:t>1966/67</w:t>
            </w:r>
          </w:p>
        </w:tc>
        <w:tc>
          <w:tcPr>
            <w:tcW w:w="1667" w:type="pct"/>
          </w:tcPr>
          <w:p w:rsidR="00DD0682" w:rsidRPr="00DD0682" w:rsidRDefault="00DD0682" w:rsidP="00F40E1C">
            <w:pPr>
              <w:adjustRightInd w:val="0"/>
              <w:snapToGrid w:val="0"/>
              <w:jc w:val="center"/>
              <w:rPr>
                <w:snapToGrid w:val="0"/>
                <w:rtl/>
              </w:rPr>
            </w:pPr>
            <w:r w:rsidRPr="00DD0682">
              <w:rPr>
                <w:snapToGrid w:val="0"/>
                <w:lang w:val="fr-FR"/>
              </w:rPr>
              <w:t>43,42</w:t>
            </w:r>
          </w:p>
        </w:tc>
        <w:tc>
          <w:tcPr>
            <w:tcW w:w="1667" w:type="pct"/>
          </w:tcPr>
          <w:p w:rsidR="00DD0682" w:rsidRPr="00DD0682" w:rsidRDefault="00DD0682" w:rsidP="00F40E1C">
            <w:pPr>
              <w:adjustRightInd w:val="0"/>
              <w:snapToGrid w:val="0"/>
              <w:jc w:val="center"/>
              <w:rPr>
                <w:snapToGrid w:val="0"/>
                <w:rtl/>
              </w:rPr>
            </w:pPr>
            <w:r w:rsidRPr="00DD0682">
              <w:rPr>
                <w:snapToGrid w:val="0"/>
                <w:lang w:val="fr-FR"/>
              </w:rPr>
              <w:t>31,54</w:t>
            </w:r>
          </w:p>
        </w:tc>
      </w:tr>
      <w:tr w:rsidR="00DD0682" w:rsidRPr="00DD0682" w:rsidTr="00DD0682">
        <w:tblPrEx>
          <w:tblCellMar>
            <w:top w:w="0" w:type="dxa"/>
            <w:bottom w:w="0" w:type="dxa"/>
          </w:tblCellMar>
        </w:tblPrEx>
        <w:trPr>
          <w:jc w:val="center"/>
        </w:trPr>
        <w:tc>
          <w:tcPr>
            <w:tcW w:w="1667" w:type="pct"/>
          </w:tcPr>
          <w:p w:rsidR="00DD0682" w:rsidRPr="00DD0682" w:rsidRDefault="00DD0682" w:rsidP="00F40E1C">
            <w:pPr>
              <w:adjustRightInd w:val="0"/>
              <w:snapToGrid w:val="0"/>
              <w:jc w:val="center"/>
              <w:rPr>
                <w:snapToGrid w:val="0"/>
                <w:lang w:val="fr-FR"/>
              </w:rPr>
            </w:pPr>
            <w:r w:rsidRPr="00DD0682">
              <w:rPr>
                <w:snapToGrid w:val="0"/>
                <w:lang w:val="fr-FR"/>
              </w:rPr>
              <w:t>1999/00</w:t>
            </w:r>
          </w:p>
        </w:tc>
        <w:tc>
          <w:tcPr>
            <w:tcW w:w="1667" w:type="pct"/>
          </w:tcPr>
          <w:p w:rsidR="00DD0682" w:rsidRPr="00DD0682" w:rsidRDefault="00DD0682" w:rsidP="00F40E1C">
            <w:pPr>
              <w:adjustRightInd w:val="0"/>
              <w:snapToGrid w:val="0"/>
              <w:jc w:val="center"/>
              <w:rPr>
                <w:snapToGrid w:val="0"/>
                <w:lang w:val="fr-FR"/>
              </w:rPr>
            </w:pPr>
            <w:r w:rsidRPr="00DD0682">
              <w:rPr>
                <w:snapToGrid w:val="0"/>
                <w:lang w:val="fr-FR"/>
              </w:rPr>
              <w:t>93,24</w:t>
            </w:r>
          </w:p>
        </w:tc>
        <w:tc>
          <w:tcPr>
            <w:tcW w:w="1667" w:type="pct"/>
          </w:tcPr>
          <w:p w:rsidR="00DD0682" w:rsidRPr="00DD0682" w:rsidRDefault="00DD0682" w:rsidP="00F40E1C">
            <w:pPr>
              <w:adjustRightInd w:val="0"/>
              <w:snapToGrid w:val="0"/>
              <w:jc w:val="center"/>
              <w:rPr>
                <w:snapToGrid w:val="0"/>
                <w:lang w:val="fr-FR"/>
              </w:rPr>
            </w:pPr>
            <w:r w:rsidRPr="00DD0682">
              <w:rPr>
                <w:snapToGrid w:val="0"/>
                <w:lang w:val="fr-FR"/>
              </w:rPr>
              <w:t>91,51</w:t>
            </w:r>
          </w:p>
        </w:tc>
      </w:tr>
      <w:tr w:rsidR="00DD0682" w:rsidRPr="00DD0682" w:rsidTr="00DD0682">
        <w:tblPrEx>
          <w:tblCellMar>
            <w:top w:w="0" w:type="dxa"/>
            <w:bottom w:w="0" w:type="dxa"/>
          </w:tblCellMar>
        </w:tblPrEx>
        <w:trPr>
          <w:jc w:val="center"/>
        </w:trPr>
        <w:tc>
          <w:tcPr>
            <w:tcW w:w="1667" w:type="pct"/>
          </w:tcPr>
          <w:p w:rsidR="00DD0682" w:rsidRPr="00DD0682" w:rsidRDefault="00DD0682" w:rsidP="00F40E1C">
            <w:pPr>
              <w:adjustRightInd w:val="0"/>
              <w:snapToGrid w:val="0"/>
              <w:jc w:val="center"/>
              <w:rPr>
                <w:snapToGrid w:val="0"/>
                <w:lang w:val="fr-FR"/>
              </w:rPr>
            </w:pPr>
            <w:r w:rsidRPr="00DD0682">
              <w:rPr>
                <w:snapToGrid w:val="0"/>
                <w:lang w:val="fr-FR"/>
              </w:rPr>
              <w:t>2005/06</w:t>
            </w:r>
          </w:p>
        </w:tc>
        <w:tc>
          <w:tcPr>
            <w:tcW w:w="1667" w:type="pct"/>
          </w:tcPr>
          <w:p w:rsidR="00DD0682" w:rsidRPr="00DD0682" w:rsidRDefault="00DD0682" w:rsidP="00F40E1C">
            <w:pPr>
              <w:adjustRightInd w:val="0"/>
              <w:snapToGrid w:val="0"/>
              <w:jc w:val="center"/>
              <w:rPr>
                <w:snapToGrid w:val="0"/>
                <w:lang w:val="fr-FR"/>
              </w:rPr>
            </w:pPr>
            <w:r w:rsidRPr="00DD0682">
              <w:rPr>
                <w:snapToGrid w:val="0"/>
                <w:lang w:val="fr-FR"/>
              </w:rPr>
              <w:t>96,04</w:t>
            </w:r>
          </w:p>
        </w:tc>
        <w:tc>
          <w:tcPr>
            <w:tcW w:w="1667" w:type="pct"/>
          </w:tcPr>
          <w:p w:rsidR="00DD0682" w:rsidRPr="00DD0682" w:rsidRDefault="00DD0682" w:rsidP="00F40E1C">
            <w:pPr>
              <w:adjustRightInd w:val="0"/>
              <w:snapToGrid w:val="0"/>
              <w:jc w:val="center"/>
              <w:rPr>
                <w:snapToGrid w:val="0"/>
                <w:lang w:val="fr-FR"/>
              </w:rPr>
            </w:pPr>
            <w:r w:rsidRPr="00DD0682">
              <w:rPr>
                <w:snapToGrid w:val="0"/>
                <w:lang w:val="fr-FR"/>
              </w:rPr>
              <w:t>94,69</w:t>
            </w:r>
          </w:p>
        </w:tc>
      </w:tr>
    </w:tbl>
    <w:p w:rsidR="00DD0682" w:rsidRPr="00DD0682" w:rsidRDefault="00DD0682" w:rsidP="00F40E1C">
      <w:pPr>
        <w:adjustRightInd w:val="0"/>
        <w:snapToGrid w:val="0"/>
        <w:spacing w:before="480" w:after="240"/>
        <w:rPr>
          <w:snapToGrid w:val="0"/>
        </w:rPr>
      </w:pPr>
      <w:r w:rsidRPr="00DD0682">
        <w:rPr>
          <w:snapToGrid w:val="0"/>
        </w:rPr>
        <w:t>330.</w:t>
      </w:r>
      <w:r w:rsidRPr="00DD0682">
        <w:rPr>
          <w:snapToGrid w:val="0"/>
        </w:rPr>
        <w:tab/>
        <w:t>En lo que respecta a los niños de 6 a 15 años, la tasa global de escolarización es de 93,85% y la correspondiente a las niñas de 94,69%.  En el momento de la independencia, esas proporciones eran, para los niños de 6 a 13 años, de 45,93%, y para las niñas de 34,19%, como queda ilustrado en el cuadro siguiente.</w:t>
      </w:r>
    </w:p>
    <w:tbl>
      <w:tblPr>
        <w:tblW w:w="4310" w:type="pct"/>
        <w:jc w:val="center"/>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2727"/>
        <w:gridCol w:w="2728"/>
        <w:gridCol w:w="2726"/>
      </w:tblGrid>
      <w:tr w:rsidR="00DD0682" w:rsidRPr="00DD0682" w:rsidTr="00DD0682">
        <w:tblPrEx>
          <w:tblCellMar>
            <w:top w:w="0" w:type="dxa"/>
            <w:bottom w:w="0" w:type="dxa"/>
          </w:tblCellMar>
        </w:tblPrEx>
        <w:trPr>
          <w:jc w:val="center"/>
        </w:trPr>
        <w:tc>
          <w:tcPr>
            <w:tcW w:w="1667" w:type="pct"/>
          </w:tcPr>
          <w:p w:rsidR="00DD0682" w:rsidRPr="00DD0682" w:rsidRDefault="00DD0682" w:rsidP="00F40E1C">
            <w:pPr>
              <w:adjustRightInd w:val="0"/>
              <w:snapToGrid w:val="0"/>
              <w:jc w:val="center"/>
              <w:rPr>
                <w:b/>
                <w:iCs/>
                <w:snapToGrid w:val="0"/>
              </w:rPr>
            </w:pPr>
            <w:r w:rsidRPr="00DD0682">
              <w:rPr>
                <w:b/>
                <w:iCs/>
                <w:snapToGrid w:val="0"/>
              </w:rPr>
              <w:t>Año escolar</w:t>
            </w:r>
          </w:p>
        </w:tc>
        <w:tc>
          <w:tcPr>
            <w:tcW w:w="1667" w:type="pct"/>
          </w:tcPr>
          <w:p w:rsidR="00DD0682" w:rsidRPr="00DD0682" w:rsidRDefault="00DD0682" w:rsidP="00F40E1C">
            <w:pPr>
              <w:adjustRightInd w:val="0"/>
              <w:snapToGrid w:val="0"/>
              <w:jc w:val="center"/>
              <w:rPr>
                <w:b/>
                <w:iCs/>
                <w:snapToGrid w:val="0"/>
              </w:rPr>
            </w:pPr>
            <w:r w:rsidRPr="00DD0682">
              <w:rPr>
                <w:b/>
                <w:iCs/>
                <w:snapToGrid w:val="0"/>
              </w:rPr>
              <w:t>Tasa de escolarización</w:t>
            </w:r>
          </w:p>
        </w:tc>
        <w:tc>
          <w:tcPr>
            <w:tcW w:w="1667" w:type="pct"/>
          </w:tcPr>
          <w:p w:rsidR="00DD0682" w:rsidRPr="00DD0682" w:rsidRDefault="00DD0682" w:rsidP="00F40E1C">
            <w:pPr>
              <w:adjustRightInd w:val="0"/>
              <w:snapToGrid w:val="0"/>
              <w:jc w:val="center"/>
              <w:rPr>
                <w:b/>
                <w:iCs/>
                <w:snapToGrid w:val="0"/>
              </w:rPr>
            </w:pPr>
            <w:r w:rsidRPr="00DD0682">
              <w:rPr>
                <w:b/>
                <w:iCs/>
                <w:snapToGrid w:val="0"/>
              </w:rPr>
              <w:t>Niñas</w:t>
            </w:r>
          </w:p>
        </w:tc>
      </w:tr>
      <w:tr w:rsidR="00DD0682" w:rsidRPr="00DD0682" w:rsidTr="00DD0682">
        <w:tblPrEx>
          <w:tblCellMar>
            <w:top w:w="0" w:type="dxa"/>
            <w:bottom w:w="0" w:type="dxa"/>
          </w:tblCellMar>
        </w:tblPrEx>
        <w:trPr>
          <w:jc w:val="center"/>
        </w:trPr>
        <w:tc>
          <w:tcPr>
            <w:tcW w:w="1667" w:type="pct"/>
          </w:tcPr>
          <w:p w:rsidR="00DD0682" w:rsidRPr="00DD0682" w:rsidRDefault="00DD0682" w:rsidP="00F40E1C">
            <w:pPr>
              <w:adjustRightInd w:val="0"/>
              <w:snapToGrid w:val="0"/>
              <w:jc w:val="center"/>
              <w:rPr>
                <w:snapToGrid w:val="0"/>
              </w:rPr>
            </w:pPr>
            <w:r w:rsidRPr="00DD0682">
              <w:rPr>
                <w:snapToGrid w:val="0"/>
              </w:rPr>
              <w:t>1966/67</w:t>
            </w:r>
          </w:p>
        </w:tc>
        <w:tc>
          <w:tcPr>
            <w:tcW w:w="1667" w:type="pct"/>
          </w:tcPr>
          <w:p w:rsidR="00DD0682" w:rsidRPr="00DD0682" w:rsidRDefault="00DD0682" w:rsidP="00F40E1C">
            <w:pPr>
              <w:adjustRightInd w:val="0"/>
              <w:snapToGrid w:val="0"/>
              <w:jc w:val="center"/>
              <w:rPr>
                <w:snapToGrid w:val="0"/>
                <w:rtl/>
              </w:rPr>
            </w:pPr>
            <w:r w:rsidRPr="00DD0682">
              <w:rPr>
                <w:snapToGrid w:val="0"/>
              </w:rPr>
              <w:t>45,93</w:t>
            </w:r>
          </w:p>
        </w:tc>
        <w:tc>
          <w:tcPr>
            <w:tcW w:w="1667" w:type="pct"/>
          </w:tcPr>
          <w:p w:rsidR="00DD0682" w:rsidRPr="00DD0682" w:rsidRDefault="00DD0682" w:rsidP="00F40E1C">
            <w:pPr>
              <w:adjustRightInd w:val="0"/>
              <w:snapToGrid w:val="0"/>
              <w:jc w:val="center"/>
              <w:rPr>
                <w:snapToGrid w:val="0"/>
                <w:rtl/>
              </w:rPr>
            </w:pPr>
            <w:r w:rsidRPr="00DD0682">
              <w:rPr>
                <w:snapToGrid w:val="0"/>
              </w:rPr>
              <w:t>31,54</w:t>
            </w:r>
          </w:p>
        </w:tc>
      </w:tr>
      <w:tr w:rsidR="00DD0682" w:rsidRPr="00DD0682" w:rsidTr="00DD0682">
        <w:tblPrEx>
          <w:tblCellMar>
            <w:top w:w="0" w:type="dxa"/>
            <w:bottom w:w="0" w:type="dxa"/>
          </w:tblCellMar>
        </w:tblPrEx>
        <w:trPr>
          <w:jc w:val="center"/>
        </w:trPr>
        <w:tc>
          <w:tcPr>
            <w:tcW w:w="1667" w:type="pct"/>
          </w:tcPr>
          <w:p w:rsidR="00DD0682" w:rsidRPr="00DD0682" w:rsidRDefault="00DD0682" w:rsidP="00F40E1C">
            <w:pPr>
              <w:adjustRightInd w:val="0"/>
              <w:snapToGrid w:val="0"/>
              <w:jc w:val="center"/>
              <w:rPr>
                <w:snapToGrid w:val="0"/>
              </w:rPr>
            </w:pPr>
            <w:r w:rsidRPr="00DD0682">
              <w:rPr>
                <w:snapToGrid w:val="0"/>
              </w:rPr>
              <w:t>1999/00</w:t>
            </w:r>
          </w:p>
        </w:tc>
        <w:tc>
          <w:tcPr>
            <w:tcW w:w="1667" w:type="pct"/>
          </w:tcPr>
          <w:p w:rsidR="00DD0682" w:rsidRPr="00DD0682" w:rsidRDefault="00DD0682" w:rsidP="00F40E1C">
            <w:pPr>
              <w:adjustRightInd w:val="0"/>
              <w:snapToGrid w:val="0"/>
              <w:jc w:val="center"/>
              <w:rPr>
                <w:snapToGrid w:val="0"/>
                <w:lang w:val="fr-FR"/>
              </w:rPr>
            </w:pPr>
            <w:r w:rsidRPr="00DD0682">
              <w:rPr>
                <w:snapToGrid w:val="0"/>
              </w:rPr>
              <w:t>88</w:t>
            </w:r>
            <w:r w:rsidRPr="00DD0682">
              <w:rPr>
                <w:snapToGrid w:val="0"/>
                <w:lang w:val="fr-FR"/>
              </w:rPr>
              <w:t>,55</w:t>
            </w:r>
          </w:p>
        </w:tc>
        <w:tc>
          <w:tcPr>
            <w:tcW w:w="1667" w:type="pct"/>
          </w:tcPr>
          <w:p w:rsidR="00DD0682" w:rsidRPr="00DD0682" w:rsidRDefault="00DD0682" w:rsidP="00F40E1C">
            <w:pPr>
              <w:adjustRightInd w:val="0"/>
              <w:snapToGrid w:val="0"/>
              <w:jc w:val="center"/>
              <w:rPr>
                <w:snapToGrid w:val="0"/>
                <w:lang w:val="fr-FR"/>
              </w:rPr>
            </w:pPr>
            <w:r w:rsidRPr="00DD0682">
              <w:rPr>
                <w:snapToGrid w:val="0"/>
                <w:lang w:val="fr-FR"/>
              </w:rPr>
              <w:t>85,78</w:t>
            </w:r>
          </w:p>
        </w:tc>
      </w:tr>
      <w:tr w:rsidR="00DD0682" w:rsidRPr="00DD0682" w:rsidTr="00DD0682">
        <w:tblPrEx>
          <w:tblCellMar>
            <w:top w:w="0" w:type="dxa"/>
            <w:bottom w:w="0" w:type="dxa"/>
          </w:tblCellMar>
        </w:tblPrEx>
        <w:trPr>
          <w:jc w:val="center"/>
        </w:trPr>
        <w:tc>
          <w:tcPr>
            <w:tcW w:w="1667" w:type="pct"/>
          </w:tcPr>
          <w:p w:rsidR="00DD0682" w:rsidRPr="00DD0682" w:rsidRDefault="00DD0682" w:rsidP="00F40E1C">
            <w:pPr>
              <w:adjustRightInd w:val="0"/>
              <w:snapToGrid w:val="0"/>
              <w:jc w:val="center"/>
              <w:rPr>
                <w:snapToGrid w:val="0"/>
                <w:lang w:val="fr-FR"/>
              </w:rPr>
            </w:pPr>
            <w:r w:rsidRPr="00DD0682">
              <w:rPr>
                <w:snapToGrid w:val="0"/>
                <w:lang w:val="fr-FR"/>
              </w:rPr>
              <w:t>2005/06</w:t>
            </w:r>
          </w:p>
        </w:tc>
        <w:tc>
          <w:tcPr>
            <w:tcW w:w="1667" w:type="pct"/>
          </w:tcPr>
          <w:p w:rsidR="00DD0682" w:rsidRPr="00DD0682" w:rsidRDefault="00DD0682" w:rsidP="00F40E1C">
            <w:pPr>
              <w:adjustRightInd w:val="0"/>
              <w:snapToGrid w:val="0"/>
              <w:jc w:val="center"/>
              <w:rPr>
                <w:snapToGrid w:val="0"/>
                <w:lang w:val="fr-FR"/>
              </w:rPr>
            </w:pPr>
            <w:r w:rsidRPr="00DD0682">
              <w:rPr>
                <w:snapToGrid w:val="0"/>
                <w:lang w:val="fr-FR"/>
              </w:rPr>
              <w:t>93,85</w:t>
            </w:r>
          </w:p>
        </w:tc>
        <w:tc>
          <w:tcPr>
            <w:tcW w:w="1667" w:type="pct"/>
          </w:tcPr>
          <w:p w:rsidR="00DD0682" w:rsidRPr="00DD0682" w:rsidRDefault="00DD0682" w:rsidP="00F40E1C">
            <w:pPr>
              <w:adjustRightInd w:val="0"/>
              <w:snapToGrid w:val="0"/>
              <w:jc w:val="center"/>
              <w:rPr>
                <w:snapToGrid w:val="0"/>
                <w:lang w:val="fr-FR"/>
              </w:rPr>
            </w:pPr>
            <w:r w:rsidRPr="00DD0682">
              <w:rPr>
                <w:snapToGrid w:val="0"/>
                <w:lang w:val="fr-FR"/>
              </w:rPr>
              <w:t>92,35</w:t>
            </w:r>
          </w:p>
        </w:tc>
      </w:tr>
    </w:tbl>
    <w:p w:rsidR="00DD0682" w:rsidRPr="00DD0682" w:rsidRDefault="00DD0682" w:rsidP="00F40E1C">
      <w:pPr>
        <w:adjustRightInd w:val="0"/>
        <w:snapToGrid w:val="0"/>
        <w:spacing w:before="480" w:after="240"/>
        <w:rPr>
          <w:b/>
          <w:bCs/>
          <w:snapToGrid w:val="0"/>
          <w:lang w:val="es-ES_tradnl"/>
        </w:rPr>
      </w:pPr>
      <w:r w:rsidRPr="00DD0682">
        <w:rPr>
          <w:b/>
          <w:bCs/>
          <w:snapToGrid w:val="0"/>
        </w:rPr>
        <w:t>3.</w:t>
      </w:r>
      <w:r w:rsidRPr="00DD0682">
        <w:rPr>
          <w:b/>
          <w:bCs/>
          <w:snapToGrid w:val="0"/>
        </w:rPr>
        <w:tab/>
        <w:t>E</w:t>
      </w:r>
      <w:r w:rsidRPr="00DD0682">
        <w:rPr>
          <w:b/>
          <w:bCs/>
          <w:snapToGrid w:val="0"/>
          <w:lang w:val="es-ES_tradnl"/>
        </w:rPr>
        <w:t>n el tercer ciclo de enseñanza básica (enseñanza media)</w:t>
      </w:r>
    </w:p>
    <w:tbl>
      <w:tblPr>
        <w:tblStyle w:val="TableGrid"/>
        <w:tblW w:w="4317" w:type="pct"/>
        <w:jc w:val="center"/>
        <w:tblInd w:w="788" w:type="dxa"/>
        <w:tblLook w:val="01E0" w:firstRow="1" w:lastRow="1" w:firstColumn="1" w:lastColumn="1" w:noHBand="0" w:noVBand="0"/>
      </w:tblPr>
      <w:tblGrid>
        <w:gridCol w:w="1582"/>
        <w:gridCol w:w="2539"/>
        <w:gridCol w:w="2381"/>
        <w:gridCol w:w="1693"/>
      </w:tblGrid>
      <w:tr w:rsidR="00DD0682" w:rsidRPr="00DD0682" w:rsidTr="00DD0682">
        <w:trPr>
          <w:jc w:val="center"/>
        </w:trPr>
        <w:tc>
          <w:tcPr>
            <w:tcW w:w="965" w:type="pct"/>
          </w:tcPr>
          <w:p w:rsidR="00DD0682" w:rsidRPr="00DD0682" w:rsidRDefault="00DD0682" w:rsidP="00F40E1C">
            <w:pPr>
              <w:adjustRightInd w:val="0"/>
              <w:snapToGrid w:val="0"/>
              <w:jc w:val="center"/>
              <w:rPr>
                <w:b/>
                <w:bCs/>
                <w:snapToGrid w:val="0"/>
                <w:lang w:val="es-ES_tradnl"/>
              </w:rPr>
            </w:pPr>
            <w:r w:rsidRPr="00DD0682">
              <w:rPr>
                <w:b/>
                <w:bCs/>
                <w:snapToGrid w:val="0"/>
                <w:lang w:val="es-ES_tradnl"/>
              </w:rPr>
              <w:t>Año escolar</w:t>
            </w:r>
          </w:p>
        </w:tc>
        <w:tc>
          <w:tcPr>
            <w:tcW w:w="1549" w:type="pct"/>
          </w:tcPr>
          <w:p w:rsidR="00DD0682" w:rsidRPr="00DD0682" w:rsidRDefault="00DD0682" w:rsidP="00F40E1C">
            <w:pPr>
              <w:adjustRightInd w:val="0"/>
              <w:snapToGrid w:val="0"/>
              <w:jc w:val="center"/>
              <w:rPr>
                <w:b/>
                <w:bCs/>
                <w:snapToGrid w:val="0"/>
                <w:lang w:val="es-ES_tradnl"/>
              </w:rPr>
            </w:pPr>
            <w:r w:rsidRPr="00DD0682">
              <w:rPr>
                <w:b/>
                <w:bCs/>
                <w:snapToGrid w:val="0"/>
                <w:lang w:val="es-ES_tradnl"/>
              </w:rPr>
              <w:t>Total de alumnos</w:t>
            </w:r>
          </w:p>
        </w:tc>
        <w:tc>
          <w:tcPr>
            <w:tcW w:w="1453" w:type="pct"/>
          </w:tcPr>
          <w:p w:rsidR="00DD0682" w:rsidRPr="00DD0682" w:rsidRDefault="00DD0682" w:rsidP="00F40E1C">
            <w:pPr>
              <w:adjustRightInd w:val="0"/>
              <w:snapToGrid w:val="0"/>
              <w:jc w:val="center"/>
              <w:rPr>
                <w:b/>
                <w:bCs/>
                <w:snapToGrid w:val="0"/>
                <w:lang w:val="es-ES_tradnl"/>
              </w:rPr>
            </w:pPr>
            <w:r w:rsidRPr="00DD0682">
              <w:rPr>
                <w:b/>
                <w:bCs/>
                <w:snapToGrid w:val="0"/>
                <w:lang w:val="es-ES_tradnl"/>
              </w:rPr>
              <w:t>Alumnas</w:t>
            </w:r>
          </w:p>
        </w:tc>
        <w:tc>
          <w:tcPr>
            <w:tcW w:w="1034" w:type="pct"/>
          </w:tcPr>
          <w:p w:rsidR="00DD0682" w:rsidRPr="00DD0682" w:rsidRDefault="00DD0682" w:rsidP="00F40E1C">
            <w:pPr>
              <w:adjustRightInd w:val="0"/>
              <w:snapToGrid w:val="0"/>
              <w:jc w:val="center"/>
              <w:rPr>
                <w:b/>
                <w:bCs/>
                <w:snapToGrid w:val="0"/>
                <w:lang w:val="es-ES_tradnl"/>
              </w:rPr>
            </w:pPr>
            <w:r w:rsidRPr="00DD0682">
              <w:rPr>
                <w:b/>
                <w:bCs/>
                <w:snapToGrid w:val="0"/>
                <w:lang w:val="es-ES_tradnl"/>
              </w:rPr>
              <w:t>Porcentaje</w:t>
            </w:r>
          </w:p>
        </w:tc>
      </w:tr>
      <w:tr w:rsidR="00DD0682" w:rsidRPr="00DD0682" w:rsidTr="00DD0682">
        <w:trPr>
          <w:jc w:val="center"/>
        </w:trPr>
        <w:tc>
          <w:tcPr>
            <w:tcW w:w="965" w:type="pct"/>
          </w:tcPr>
          <w:p w:rsidR="00DD0682" w:rsidRPr="00DD0682" w:rsidRDefault="00DD0682" w:rsidP="00F40E1C">
            <w:pPr>
              <w:adjustRightInd w:val="0"/>
              <w:snapToGrid w:val="0"/>
              <w:jc w:val="center"/>
              <w:rPr>
                <w:bCs/>
                <w:snapToGrid w:val="0"/>
                <w:lang w:val="es-ES_tradnl"/>
              </w:rPr>
            </w:pPr>
            <w:r w:rsidRPr="00DD0682">
              <w:rPr>
                <w:bCs/>
                <w:snapToGrid w:val="0"/>
                <w:lang w:val="es-ES_tradnl"/>
              </w:rPr>
              <w:t>1963/64</w:t>
            </w:r>
          </w:p>
        </w:tc>
        <w:tc>
          <w:tcPr>
            <w:tcW w:w="1549" w:type="pct"/>
          </w:tcPr>
          <w:p w:rsidR="00DD0682" w:rsidRPr="00DD0682" w:rsidRDefault="00DD0682" w:rsidP="00F40E1C">
            <w:pPr>
              <w:tabs>
                <w:tab w:val="decimal" w:pos="1690"/>
              </w:tabs>
              <w:adjustRightInd w:val="0"/>
              <w:snapToGrid w:val="0"/>
              <w:rPr>
                <w:bCs/>
                <w:snapToGrid w:val="0"/>
                <w:lang w:val="es-ES_tradnl"/>
              </w:rPr>
            </w:pPr>
            <w:r w:rsidRPr="00DD0682">
              <w:rPr>
                <w:bCs/>
                <w:snapToGrid w:val="0"/>
                <w:lang w:val="es-ES_tradnl"/>
              </w:rPr>
              <w:t>74.384</w:t>
            </w:r>
          </w:p>
        </w:tc>
        <w:tc>
          <w:tcPr>
            <w:tcW w:w="1453" w:type="pct"/>
          </w:tcPr>
          <w:p w:rsidR="00DD0682" w:rsidRPr="00DD0682" w:rsidRDefault="00DD0682" w:rsidP="00AC158B">
            <w:pPr>
              <w:tabs>
                <w:tab w:val="decimal" w:pos="1460"/>
              </w:tabs>
              <w:adjustRightInd w:val="0"/>
              <w:snapToGrid w:val="0"/>
              <w:rPr>
                <w:bCs/>
                <w:snapToGrid w:val="0"/>
                <w:lang w:val="es-ES_tradnl"/>
              </w:rPr>
            </w:pPr>
            <w:r w:rsidRPr="00DD0682">
              <w:rPr>
                <w:bCs/>
                <w:snapToGrid w:val="0"/>
                <w:lang w:val="es-ES_tradnl"/>
              </w:rPr>
              <w:t>22.358</w:t>
            </w:r>
          </w:p>
        </w:tc>
        <w:tc>
          <w:tcPr>
            <w:tcW w:w="1034" w:type="pct"/>
          </w:tcPr>
          <w:p w:rsidR="00DD0682" w:rsidRPr="00DD0682" w:rsidRDefault="00DD0682" w:rsidP="00F40E1C">
            <w:pPr>
              <w:adjustRightInd w:val="0"/>
              <w:snapToGrid w:val="0"/>
              <w:jc w:val="center"/>
              <w:rPr>
                <w:bCs/>
                <w:snapToGrid w:val="0"/>
                <w:lang w:val="es-ES_tradnl"/>
              </w:rPr>
            </w:pPr>
            <w:r w:rsidRPr="00DD0682">
              <w:rPr>
                <w:bCs/>
                <w:snapToGrid w:val="0"/>
                <w:lang w:val="es-ES_tradnl"/>
              </w:rPr>
              <w:t>30,06</w:t>
            </w:r>
          </w:p>
        </w:tc>
      </w:tr>
      <w:tr w:rsidR="00DD0682" w:rsidRPr="00DD0682" w:rsidTr="00DD0682">
        <w:trPr>
          <w:jc w:val="center"/>
        </w:trPr>
        <w:tc>
          <w:tcPr>
            <w:tcW w:w="965" w:type="pct"/>
          </w:tcPr>
          <w:p w:rsidR="00DD0682" w:rsidRPr="00DD0682" w:rsidRDefault="00DD0682" w:rsidP="00F40E1C">
            <w:pPr>
              <w:adjustRightInd w:val="0"/>
              <w:snapToGrid w:val="0"/>
              <w:jc w:val="center"/>
              <w:rPr>
                <w:bCs/>
                <w:snapToGrid w:val="0"/>
                <w:lang w:val="es-ES_tradnl"/>
              </w:rPr>
            </w:pPr>
            <w:r w:rsidRPr="00DD0682">
              <w:rPr>
                <w:bCs/>
                <w:snapToGrid w:val="0"/>
                <w:lang w:val="es-ES_tradnl"/>
              </w:rPr>
              <w:t>1999/00</w:t>
            </w:r>
          </w:p>
        </w:tc>
        <w:tc>
          <w:tcPr>
            <w:tcW w:w="1549" w:type="pct"/>
          </w:tcPr>
          <w:p w:rsidR="00DD0682" w:rsidRPr="00DD0682" w:rsidRDefault="00DD0682" w:rsidP="00F40E1C">
            <w:pPr>
              <w:tabs>
                <w:tab w:val="decimal" w:pos="1690"/>
              </w:tabs>
              <w:adjustRightInd w:val="0"/>
              <w:snapToGrid w:val="0"/>
              <w:rPr>
                <w:bCs/>
                <w:snapToGrid w:val="0"/>
                <w:lang w:val="es-ES_tradnl"/>
              </w:rPr>
            </w:pPr>
            <w:r w:rsidRPr="00DD0682">
              <w:rPr>
                <w:bCs/>
                <w:snapToGrid w:val="0"/>
                <w:lang w:val="es-ES_tradnl"/>
              </w:rPr>
              <w:t>1.895.751</w:t>
            </w:r>
          </w:p>
        </w:tc>
        <w:tc>
          <w:tcPr>
            <w:tcW w:w="1453" w:type="pct"/>
          </w:tcPr>
          <w:p w:rsidR="00DD0682" w:rsidRPr="00DD0682" w:rsidRDefault="00DD0682" w:rsidP="00AC158B">
            <w:pPr>
              <w:tabs>
                <w:tab w:val="decimal" w:pos="1460"/>
              </w:tabs>
              <w:adjustRightInd w:val="0"/>
              <w:snapToGrid w:val="0"/>
              <w:rPr>
                <w:bCs/>
                <w:snapToGrid w:val="0"/>
                <w:lang w:val="es-ES_tradnl"/>
              </w:rPr>
            </w:pPr>
            <w:r w:rsidRPr="00DD0682">
              <w:rPr>
                <w:bCs/>
                <w:snapToGrid w:val="0"/>
                <w:lang w:val="es-ES_tradnl"/>
              </w:rPr>
              <w:t>908.608</w:t>
            </w:r>
          </w:p>
        </w:tc>
        <w:tc>
          <w:tcPr>
            <w:tcW w:w="1034" w:type="pct"/>
          </w:tcPr>
          <w:p w:rsidR="00DD0682" w:rsidRPr="00DD0682" w:rsidRDefault="00DD0682" w:rsidP="00F40E1C">
            <w:pPr>
              <w:adjustRightInd w:val="0"/>
              <w:snapToGrid w:val="0"/>
              <w:jc w:val="center"/>
              <w:rPr>
                <w:bCs/>
                <w:snapToGrid w:val="0"/>
                <w:lang w:val="es-ES_tradnl"/>
              </w:rPr>
            </w:pPr>
            <w:r w:rsidRPr="00DD0682">
              <w:rPr>
                <w:bCs/>
                <w:snapToGrid w:val="0"/>
                <w:lang w:val="es-ES_tradnl"/>
              </w:rPr>
              <w:t>47,93</w:t>
            </w:r>
          </w:p>
        </w:tc>
      </w:tr>
      <w:tr w:rsidR="00DD0682" w:rsidRPr="00DD0682" w:rsidTr="00DD0682">
        <w:trPr>
          <w:jc w:val="center"/>
        </w:trPr>
        <w:tc>
          <w:tcPr>
            <w:tcW w:w="965" w:type="pct"/>
          </w:tcPr>
          <w:p w:rsidR="00DD0682" w:rsidRPr="00DD0682" w:rsidRDefault="00DD0682" w:rsidP="00F40E1C">
            <w:pPr>
              <w:adjustRightInd w:val="0"/>
              <w:snapToGrid w:val="0"/>
              <w:jc w:val="center"/>
              <w:rPr>
                <w:bCs/>
                <w:snapToGrid w:val="0"/>
                <w:lang w:val="es-ES_tradnl"/>
              </w:rPr>
            </w:pPr>
            <w:r w:rsidRPr="00DD0682">
              <w:rPr>
                <w:bCs/>
                <w:snapToGrid w:val="0"/>
                <w:lang w:val="es-ES_tradnl"/>
              </w:rPr>
              <w:t>2005/06</w:t>
            </w:r>
          </w:p>
        </w:tc>
        <w:tc>
          <w:tcPr>
            <w:tcW w:w="1549" w:type="pct"/>
          </w:tcPr>
          <w:p w:rsidR="00DD0682" w:rsidRPr="00DD0682" w:rsidRDefault="00DD0682" w:rsidP="00F40E1C">
            <w:pPr>
              <w:tabs>
                <w:tab w:val="decimal" w:pos="1690"/>
              </w:tabs>
              <w:adjustRightInd w:val="0"/>
              <w:snapToGrid w:val="0"/>
              <w:rPr>
                <w:bCs/>
                <w:snapToGrid w:val="0"/>
                <w:lang w:val="es-ES_tradnl"/>
              </w:rPr>
            </w:pPr>
            <w:r w:rsidRPr="00DD0682">
              <w:rPr>
                <w:bCs/>
                <w:snapToGrid w:val="0"/>
                <w:lang w:val="es-ES_tradnl"/>
              </w:rPr>
              <w:t>2.256.232</w:t>
            </w:r>
          </w:p>
        </w:tc>
        <w:tc>
          <w:tcPr>
            <w:tcW w:w="1453" w:type="pct"/>
          </w:tcPr>
          <w:p w:rsidR="00DD0682" w:rsidRPr="00DD0682" w:rsidRDefault="00DD0682" w:rsidP="00AC158B">
            <w:pPr>
              <w:tabs>
                <w:tab w:val="decimal" w:pos="1460"/>
              </w:tabs>
              <w:adjustRightInd w:val="0"/>
              <w:snapToGrid w:val="0"/>
              <w:rPr>
                <w:bCs/>
                <w:snapToGrid w:val="0"/>
                <w:lang w:val="es-ES_tradnl"/>
              </w:rPr>
            </w:pPr>
            <w:r w:rsidRPr="00DD0682">
              <w:rPr>
                <w:bCs/>
                <w:snapToGrid w:val="0"/>
                <w:lang w:val="es-ES_tradnl"/>
              </w:rPr>
              <w:t>1.106.260</w:t>
            </w:r>
          </w:p>
        </w:tc>
        <w:tc>
          <w:tcPr>
            <w:tcW w:w="1034" w:type="pct"/>
          </w:tcPr>
          <w:p w:rsidR="00DD0682" w:rsidRPr="00DD0682" w:rsidRDefault="00DD0682" w:rsidP="00F40E1C">
            <w:pPr>
              <w:adjustRightInd w:val="0"/>
              <w:snapToGrid w:val="0"/>
              <w:jc w:val="center"/>
              <w:rPr>
                <w:bCs/>
                <w:snapToGrid w:val="0"/>
                <w:lang w:val="es-ES_tradnl"/>
              </w:rPr>
            </w:pPr>
            <w:r w:rsidRPr="00DD0682">
              <w:rPr>
                <w:bCs/>
                <w:snapToGrid w:val="0"/>
                <w:lang w:val="es-ES_tradnl"/>
              </w:rPr>
              <w:t>49,03</w:t>
            </w:r>
          </w:p>
        </w:tc>
      </w:tr>
    </w:tbl>
    <w:p w:rsidR="00DD0682" w:rsidRPr="00DD0682" w:rsidRDefault="00DD0682" w:rsidP="00F40E1C">
      <w:pPr>
        <w:adjustRightInd w:val="0"/>
        <w:snapToGrid w:val="0"/>
        <w:spacing w:before="480" w:after="240"/>
        <w:rPr>
          <w:snapToGrid w:val="0"/>
          <w:lang w:val="es-ES_tradnl"/>
        </w:rPr>
      </w:pPr>
      <w:r w:rsidRPr="00DD0682">
        <w:rPr>
          <w:snapToGrid w:val="0"/>
          <w:lang w:val="es-ES_tradnl"/>
        </w:rPr>
        <w:t>331.</w:t>
      </w:r>
      <w:r w:rsidRPr="00DD0682">
        <w:rPr>
          <w:snapToGrid w:val="0"/>
          <w:lang w:val="es-ES_tradnl"/>
        </w:rPr>
        <w:tab/>
        <w:t xml:space="preserve">En </w:t>
      </w:r>
      <w:r w:rsidRPr="00DD0682">
        <w:rPr>
          <w:snapToGrid w:val="0"/>
        </w:rPr>
        <w:t xml:space="preserve">1963/64, había 74.000 </w:t>
      </w:r>
      <w:r w:rsidRPr="00DD0682">
        <w:rPr>
          <w:snapToGrid w:val="0"/>
          <w:lang w:val="es-ES_tradnl"/>
        </w:rPr>
        <w:t>alumnos matriculados en la enseñanza media, esto es, cerca del 4% del número total de alumnos, con una tasa de presencia femenina del 30%.  En 2005/</w:t>
      </w:r>
      <w:r w:rsidRPr="00DD0682">
        <w:rPr>
          <w:snapToGrid w:val="0"/>
        </w:rPr>
        <w:t>06</w:t>
      </w:r>
      <w:r w:rsidRPr="00DD0682">
        <w:rPr>
          <w:snapToGrid w:val="0"/>
          <w:lang w:val="es-ES_tradnl"/>
        </w:rPr>
        <w:t>, esos alumnos representan más de una tercera parte de la población escolarizada, es decir, más de 2,2 millones de los 7,7 millones de alumnos, de los cuales casi la mitad son niñas.</w:t>
      </w:r>
    </w:p>
    <w:p w:rsidR="00DD0682" w:rsidRPr="00DD0682" w:rsidRDefault="00DD0682" w:rsidP="00DD0682">
      <w:pPr>
        <w:adjustRightInd w:val="0"/>
        <w:snapToGrid w:val="0"/>
        <w:spacing w:after="240"/>
        <w:rPr>
          <w:snapToGrid w:val="0"/>
        </w:rPr>
      </w:pPr>
      <w:r w:rsidRPr="00DD0682">
        <w:rPr>
          <w:snapToGrid w:val="0"/>
        </w:rPr>
        <w:t>332.</w:t>
      </w:r>
      <w:r w:rsidRPr="00DD0682">
        <w:rPr>
          <w:snapToGrid w:val="0"/>
        </w:rPr>
        <w:tab/>
        <w:t xml:space="preserve">El </w:t>
      </w:r>
      <w:r w:rsidRPr="00DD0682">
        <w:rPr>
          <w:snapToGrid w:val="0"/>
          <w:lang w:val="es-ES_tradnl"/>
        </w:rPr>
        <w:t xml:space="preserve">aumento </w:t>
      </w:r>
      <w:r w:rsidRPr="00DD0682">
        <w:rPr>
          <w:snapToGrid w:val="0"/>
        </w:rPr>
        <w:t>medio</w:t>
      </w:r>
      <w:r w:rsidRPr="00DD0682">
        <w:rPr>
          <w:snapToGrid w:val="0"/>
          <w:lang w:val="es-ES_tradnl"/>
        </w:rPr>
        <w:t xml:space="preserve"> de esos alumnos es de 52.000 al año, de los cuales más de 24.000 son niñas</w:t>
      </w:r>
      <w:r w:rsidRPr="00DD0682">
        <w:rPr>
          <w:snapToGrid w:val="0"/>
        </w:rPr>
        <w:t>.</w:t>
      </w:r>
    </w:p>
    <w:p w:rsidR="00DD0682" w:rsidRPr="00DD0682" w:rsidRDefault="00DD0682" w:rsidP="00DD0682">
      <w:pPr>
        <w:adjustRightInd w:val="0"/>
        <w:snapToGrid w:val="0"/>
        <w:spacing w:after="240"/>
        <w:rPr>
          <w:b/>
          <w:bCs/>
          <w:snapToGrid w:val="0"/>
        </w:rPr>
      </w:pPr>
      <w:r w:rsidRPr="00DD0682">
        <w:rPr>
          <w:b/>
          <w:bCs/>
          <w:snapToGrid w:val="0"/>
        </w:rPr>
        <w:t>4.</w:t>
      </w:r>
      <w:r w:rsidRPr="00DD0682">
        <w:rPr>
          <w:b/>
          <w:bCs/>
          <w:snapToGrid w:val="0"/>
        </w:rPr>
        <w:tab/>
      </w:r>
      <w:r w:rsidRPr="00DD0682">
        <w:rPr>
          <w:b/>
          <w:bCs/>
          <w:snapToGrid w:val="0"/>
          <w:lang w:val="es-ES_tradnl"/>
        </w:rPr>
        <w:t>En la enseñanza secundaria</w:t>
      </w:r>
    </w:p>
    <w:tbl>
      <w:tblPr>
        <w:tblW w:w="4299" w:type="pct"/>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1705"/>
        <w:gridCol w:w="2375"/>
        <w:gridCol w:w="2371"/>
        <w:gridCol w:w="1709"/>
      </w:tblGrid>
      <w:tr w:rsidR="00DD0682" w:rsidRPr="00DD0682" w:rsidTr="00DD0682">
        <w:tblPrEx>
          <w:tblCellMar>
            <w:top w:w="0" w:type="dxa"/>
            <w:bottom w:w="0" w:type="dxa"/>
          </w:tblCellMar>
        </w:tblPrEx>
        <w:tc>
          <w:tcPr>
            <w:tcW w:w="1045" w:type="pct"/>
          </w:tcPr>
          <w:p w:rsidR="00DD0682" w:rsidRPr="00DD0682" w:rsidRDefault="00DD0682" w:rsidP="00AC158B">
            <w:pPr>
              <w:adjustRightInd w:val="0"/>
              <w:snapToGrid w:val="0"/>
              <w:jc w:val="center"/>
              <w:rPr>
                <w:b/>
                <w:iCs/>
                <w:snapToGrid w:val="0"/>
              </w:rPr>
            </w:pPr>
            <w:r w:rsidRPr="00DD0682">
              <w:rPr>
                <w:b/>
                <w:iCs/>
                <w:snapToGrid w:val="0"/>
              </w:rPr>
              <w:t>Año escolar</w:t>
            </w:r>
          </w:p>
        </w:tc>
        <w:tc>
          <w:tcPr>
            <w:tcW w:w="1455" w:type="pct"/>
          </w:tcPr>
          <w:p w:rsidR="00DD0682" w:rsidRPr="00DD0682" w:rsidRDefault="00DD0682" w:rsidP="00AC158B">
            <w:pPr>
              <w:adjustRightInd w:val="0"/>
              <w:snapToGrid w:val="0"/>
              <w:jc w:val="center"/>
              <w:rPr>
                <w:b/>
                <w:iCs/>
                <w:snapToGrid w:val="0"/>
              </w:rPr>
            </w:pPr>
            <w:r w:rsidRPr="00DD0682">
              <w:rPr>
                <w:b/>
                <w:iCs/>
                <w:snapToGrid w:val="0"/>
              </w:rPr>
              <w:t>Total de alumnos</w:t>
            </w:r>
          </w:p>
        </w:tc>
        <w:tc>
          <w:tcPr>
            <w:tcW w:w="1453" w:type="pct"/>
          </w:tcPr>
          <w:p w:rsidR="00DD0682" w:rsidRPr="00DD0682" w:rsidRDefault="00DD0682" w:rsidP="00AC158B">
            <w:pPr>
              <w:adjustRightInd w:val="0"/>
              <w:snapToGrid w:val="0"/>
              <w:jc w:val="center"/>
              <w:rPr>
                <w:b/>
                <w:iCs/>
                <w:snapToGrid w:val="0"/>
              </w:rPr>
            </w:pPr>
            <w:r w:rsidRPr="00DD0682">
              <w:rPr>
                <w:b/>
                <w:iCs/>
                <w:snapToGrid w:val="0"/>
              </w:rPr>
              <w:t>Alumnas</w:t>
            </w:r>
          </w:p>
        </w:tc>
        <w:tc>
          <w:tcPr>
            <w:tcW w:w="1047" w:type="pct"/>
          </w:tcPr>
          <w:p w:rsidR="00DD0682" w:rsidRPr="00DD0682" w:rsidRDefault="00DD0682" w:rsidP="00AC158B">
            <w:pPr>
              <w:adjustRightInd w:val="0"/>
              <w:snapToGrid w:val="0"/>
              <w:jc w:val="center"/>
              <w:rPr>
                <w:b/>
                <w:iCs/>
                <w:snapToGrid w:val="0"/>
              </w:rPr>
            </w:pPr>
            <w:r w:rsidRPr="00DD0682">
              <w:rPr>
                <w:b/>
                <w:iCs/>
                <w:snapToGrid w:val="0"/>
              </w:rPr>
              <w:t>Porcentaje</w:t>
            </w:r>
          </w:p>
        </w:tc>
      </w:tr>
      <w:tr w:rsidR="00DD0682" w:rsidRPr="00DD0682" w:rsidTr="00DD0682">
        <w:tblPrEx>
          <w:tblCellMar>
            <w:top w:w="0" w:type="dxa"/>
            <w:bottom w:w="0" w:type="dxa"/>
          </w:tblCellMar>
        </w:tblPrEx>
        <w:tc>
          <w:tcPr>
            <w:tcW w:w="1045" w:type="pct"/>
          </w:tcPr>
          <w:p w:rsidR="00DD0682" w:rsidRPr="00DD0682" w:rsidRDefault="00DD0682" w:rsidP="00AC158B">
            <w:pPr>
              <w:adjustRightInd w:val="0"/>
              <w:snapToGrid w:val="0"/>
              <w:jc w:val="center"/>
              <w:rPr>
                <w:snapToGrid w:val="0"/>
              </w:rPr>
            </w:pPr>
            <w:r w:rsidRPr="00DD0682">
              <w:rPr>
                <w:snapToGrid w:val="0"/>
              </w:rPr>
              <w:t>1963/64</w:t>
            </w:r>
          </w:p>
        </w:tc>
        <w:tc>
          <w:tcPr>
            <w:tcW w:w="1455" w:type="pct"/>
          </w:tcPr>
          <w:p w:rsidR="00DD0682" w:rsidRPr="00DD0682" w:rsidRDefault="00DD0682" w:rsidP="00AC158B">
            <w:pPr>
              <w:tabs>
                <w:tab w:val="decimal" w:pos="1467"/>
              </w:tabs>
              <w:adjustRightInd w:val="0"/>
              <w:snapToGrid w:val="0"/>
              <w:rPr>
                <w:snapToGrid w:val="0"/>
              </w:rPr>
            </w:pPr>
            <w:r w:rsidRPr="00DD0682">
              <w:rPr>
                <w:snapToGrid w:val="0"/>
              </w:rPr>
              <w:t>5.823</w:t>
            </w:r>
          </w:p>
        </w:tc>
        <w:tc>
          <w:tcPr>
            <w:tcW w:w="1453" w:type="pct"/>
          </w:tcPr>
          <w:p w:rsidR="00DD0682" w:rsidRPr="00DD0682" w:rsidRDefault="00DD0682" w:rsidP="00AC158B">
            <w:pPr>
              <w:tabs>
                <w:tab w:val="decimal" w:pos="1467"/>
              </w:tabs>
              <w:adjustRightInd w:val="0"/>
              <w:snapToGrid w:val="0"/>
              <w:rPr>
                <w:snapToGrid w:val="0"/>
              </w:rPr>
            </w:pPr>
            <w:r w:rsidRPr="00DD0682">
              <w:rPr>
                <w:snapToGrid w:val="0"/>
              </w:rPr>
              <w:t>1.</w:t>
            </w:r>
            <w:r w:rsidRPr="00DD0682">
              <w:rPr>
                <w:bCs/>
                <w:snapToGrid w:val="0"/>
                <w:lang w:val="es-ES_tradnl"/>
              </w:rPr>
              <w:t>277</w:t>
            </w:r>
          </w:p>
        </w:tc>
        <w:tc>
          <w:tcPr>
            <w:tcW w:w="1047" w:type="pct"/>
          </w:tcPr>
          <w:p w:rsidR="00DD0682" w:rsidRPr="00DD0682" w:rsidRDefault="00DD0682" w:rsidP="00AC158B">
            <w:pPr>
              <w:adjustRightInd w:val="0"/>
              <w:snapToGrid w:val="0"/>
              <w:jc w:val="center"/>
              <w:rPr>
                <w:snapToGrid w:val="0"/>
              </w:rPr>
            </w:pPr>
            <w:r w:rsidRPr="00DD0682">
              <w:rPr>
                <w:snapToGrid w:val="0"/>
              </w:rPr>
              <w:t>21,93</w:t>
            </w:r>
          </w:p>
        </w:tc>
      </w:tr>
      <w:tr w:rsidR="00DD0682" w:rsidRPr="00DD0682" w:rsidTr="00DD0682">
        <w:tblPrEx>
          <w:tblCellMar>
            <w:top w:w="0" w:type="dxa"/>
            <w:bottom w:w="0" w:type="dxa"/>
          </w:tblCellMar>
        </w:tblPrEx>
        <w:tc>
          <w:tcPr>
            <w:tcW w:w="1045" w:type="pct"/>
          </w:tcPr>
          <w:p w:rsidR="00DD0682" w:rsidRPr="00DD0682" w:rsidRDefault="00DD0682" w:rsidP="00AC158B">
            <w:pPr>
              <w:adjustRightInd w:val="0"/>
              <w:snapToGrid w:val="0"/>
              <w:jc w:val="center"/>
              <w:rPr>
                <w:snapToGrid w:val="0"/>
              </w:rPr>
            </w:pPr>
            <w:r w:rsidRPr="00DD0682">
              <w:rPr>
                <w:snapToGrid w:val="0"/>
              </w:rPr>
              <w:t>1999/00</w:t>
            </w:r>
          </w:p>
        </w:tc>
        <w:tc>
          <w:tcPr>
            <w:tcW w:w="1455" w:type="pct"/>
          </w:tcPr>
          <w:p w:rsidR="00DD0682" w:rsidRPr="00DD0682" w:rsidRDefault="00DD0682" w:rsidP="00AC158B">
            <w:pPr>
              <w:tabs>
                <w:tab w:val="decimal" w:pos="1467"/>
              </w:tabs>
              <w:adjustRightInd w:val="0"/>
              <w:snapToGrid w:val="0"/>
              <w:rPr>
                <w:snapToGrid w:val="0"/>
              </w:rPr>
            </w:pPr>
            <w:r w:rsidRPr="00DD0682">
              <w:rPr>
                <w:snapToGrid w:val="0"/>
              </w:rPr>
              <w:t>921.959</w:t>
            </w:r>
          </w:p>
        </w:tc>
        <w:tc>
          <w:tcPr>
            <w:tcW w:w="1453" w:type="pct"/>
          </w:tcPr>
          <w:p w:rsidR="00DD0682" w:rsidRPr="00DD0682" w:rsidRDefault="00DD0682" w:rsidP="00AC158B">
            <w:pPr>
              <w:tabs>
                <w:tab w:val="decimal" w:pos="1467"/>
              </w:tabs>
              <w:adjustRightInd w:val="0"/>
              <w:snapToGrid w:val="0"/>
              <w:rPr>
                <w:snapToGrid w:val="0"/>
              </w:rPr>
            </w:pPr>
            <w:r w:rsidRPr="00DD0682">
              <w:rPr>
                <w:snapToGrid w:val="0"/>
              </w:rPr>
              <w:t>516.</w:t>
            </w:r>
            <w:r w:rsidRPr="00DD0682">
              <w:rPr>
                <w:snapToGrid w:val="0"/>
                <w:lang w:val="fr-FR"/>
              </w:rPr>
              <w:t>519</w:t>
            </w:r>
          </w:p>
        </w:tc>
        <w:tc>
          <w:tcPr>
            <w:tcW w:w="1047" w:type="pct"/>
          </w:tcPr>
          <w:p w:rsidR="00DD0682" w:rsidRPr="00DD0682" w:rsidRDefault="00DD0682" w:rsidP="00AC158B">
            <w:pPr>
              <w:adjustRightInd w:val="0"/>
              <w:snapToGrid w:val="0"/>
              <w:jc w:val="center"/>
              <w:rPr>
                <w:snapToGrid w:val="0"/>
              </w:rPr>
            </w:pPr>
            <w:r w:rsidRPr="00DD0682">
              <w:rPr>
                <w:snapToGrid w:val="0"/>
              </w:rPr>
              <w:t>56,02</w:t>
            </w:r>
          </w:p>
        </w:tc>
      </w:tr>
      <w:tr w:rsidR="00DD0682" w:rsidRPr="00DD0682" w:rsidTr="00DD0682">
        <w:tblPrEx>
          <w:tblCellMar>
            <w:top w:w="0" w:type="dxa"/>
            <w:bottom w:w="0" w:type="dxa"/>
          </w:tblCellMar>
        </w:tblPrEx>
        <w:tc>
          <w:tcPr>
            <w:tcW w:w="1045" w:type="pct"/>
          </w:tcPr>
          <w:p w:rsidR="00DD0682" w:rsidRPr="00DD0682" w:rsidRDefault="00DD0682" w:rsidP="00AC158B">
            <w:pPr>
              <w:adjustRightInd w:val="0"/>
              <w:snapToGrid w:val="0"/>
              <w:jc w:val="center"/>
              <w:rPr>
                <w:snapToGrid w:val="0"/>
                <w:rtl/>
              </w:rPr>
            </w:pPr>
            <w:r w:rsidRPr="00DD0682">
              <w:rPr>
                <w:snapToGrid w:val="0"/>
              </w:rPr>
              <w:t>2005/06</w:t>
            </w:r>
          </w:p>
        </w:tc>
        <w:tc>
          <w:tcPr>
            <w:tcW w:w="1455" w:type="pct"/>
          </w:tcPr>
          <w:p w:rsidR="00DD0682" w:rsidRPr="00DD0682" w:rsidRDefault="00DD0682" w:rsidP="00AC158B">
            <w:pPr>
              <w:tabs>
                <w:tab w:val="decimal" w:pos="1467"/>
              </w:tabs>
              <w:adjustRightInd w:val="0"/>
              <w:snapToGrid w:val="0"/>
              <w:rPr>
                <w:snapToGrid w:val="0"/>
                <w:rtl/>
              </w:rPr>
            </w:pPr>
            <w:r w:rsidRPr="00DD0682">
              <w:rPr>
                <w:snapToGrid w:val="0"/>
              </w:rPr>
              <w:t>1.123</w:t>
            </w:r>
            <w:r w:rsidRPr="00DD0682">
              <w:rPr>
                <w:snapToGrid w:val="0"/>
                <w:lang w:val="fr-FR"/>
              </w:rPr>
              <w:t>.</w:t>
            </w:r>
            <w:r w:rsidRPr="00DD0682">
              <w:rPr>
                <w:snapToGrid w:val="0"/>
              </w:rPr>
              <w:t>123</w:t>
            </w:r>
          </w:p>
        </w:tc>
        <w:tc>
          <w:tcPr>
            <w:tcW w:w="1453" w:type="pct"/>
          </w:tcPr>
          <w:p w:rsidR="00DD0682" w:rsidRPr="00DD0682" w:rsidRDefault="00DD0682" w:rsidP="00AC158B">
            <w:pPr>
              <w:tabs>
                <w:tab w:val="decimal" w:pos="1467"/>
              </w:tabs>
              <w:adjustRightInd w:val="0"/>
              <w:snapToGrid w:val="0"/>
              <w:rPr>
                <w:snapToGrid w:val="0"/>
                <w:rtl/>
              </w:rPr>
            </w:pPr>
            <w:r w:rsidRPr="00DD0682">
              <w:rPr>
                <w:snapToGrid w:val="0"/>
              </w:rPr>
              <w:t>648</w:t>
            </w:r>
            <w:r w:rsidRPr="00DD0682">
              <w:rPr>
                <w:snapToGrid w:val="0"/>
                <w:lang w:val="fr-FR"/>
              </w:rPr>
              <w:t>.325</w:t>
            </w:r>
          </w:p>
        </w:tc>
        <w:tc>
          <w:tcPr>
            <w:tcW w:w="1047" w:type="pct"/>
          </w:tcPr>
          <w:p w:rsidR="00DD0682" w:rsidRPr="00DD0682" w:rsidRDefault="00DD0682" w:rsidP="00AC158B">
            <w:pPr>
              <w:adjustRightInd w:val="0"/>
              <w:snapToGrid w:val="0"/>
              <w:jc w:val="center"/>
              <w:rPr>
                <w:snapToGrid w:val="0"/>
                <w:rtl/>
              </w:rPr>
            </w:pPr>
            <w:r w:rsidRPr="00DD0682">
              <w:rPr>
                <w:snapToGrid w:val="0"/>
                <w:lang w:val="fr-FR"/>
              </w:rPr>
              <w:t>57,72</w:t>
            </w:r>
          </w:p>
        </w:tc>
      </w:tr>
    </w:tbl>
    <w:p w:rsidR="00DD0682" w:rsidRPr="00DD0682" w:rsidRDefault="00DD0682" w:rsidP="00AC158B">
      <w:pPr>
        <w:adjustRightInd w:val="0"/>
        <w:snapToGrid w:val="0"/>
        <w:spacing w:before="480" w:after="240"/>
        <w:rPr>
          <w:snapToGrid w:val="0"/>
        </w:rPr>
      </w:pPr>
      <w:r w:rsidRPr="00DD0682">
        <w:rPr>
          <w:snapToGrid w:val="0"/>
        </w:rPr>
        <w:t>333.</w:t>
      </w:r>
      <w:r w:rsidRPr="00DD0682">
        <w:rPr>
          <w:snapToGrid w:val="0"/>
        </w:rPr>
        <w:tab/>
        <w:t>En 1962/63 los alumnos matriculados en la enseñanza secundaria sólo representaban el 0,51% del alumnado, es decir, 5.823 alumnos.  En 2005/06, representan más del 14% del número total de alumnos, concretamente 1.123.123 alumnos.  El aumento medio de alumnos fue de 25.000 alumnos por año, de los cuales 13.500 eran niñas.</w:t>
      </w:r>
    </w:p>
    <w:p w:rsidR="00DD0682" w:rsidRPr="00DD0682" w:rsidRDefault="00DD0682" w:rsidP="00DD0682">
      <w:pPr>
        <w:adjustRightInd w:val="0"/>
        <w:snapToGrid w:val="0"/>
        <w:spacing w:after="240"/>
        <w:rPr>
          <w:snapToGrid w:val="0"/>
        </w:rPr>
      </w:pPr>
      <w:r w:rsidRPr="00DD0682">
        <w:rPr>
          <w:snapToGrid w:val="0"/>
        </w:rPr>
        <w:t>334.</w:t>
      </w:r>
      <w:r w:rsidRPr="00DD0682">
        <w:rPr>
          <w:snapToGrid w:val="0"/>
        </w:rPr>
        <w:tab/>
        <w:t>A principios del decenio de 1960, la tasa de presencia femenina en la enseñanza secundaria apenas llegaba al 21%.  Al inicio del año escolar 2005/06 el número de niñas superaba ligeramente al de varones, con una tasa superior al 57%.  Este importante crecimiento del alumnado exigió la movilización, por parte del Estado, de un nivel sostenido y considerable de inversiones, tanto en infraestructuras educativas como en la contratación de personal docente y de formación.</w:t>
      </w:r>
    </w:p>
    <w:p w:rsidR="00DD0682" w:rsidRPr="00DD0682" w:rsidRDefault="00DD0682" w:rsidP="00AC158B">
      <w:pPr>
        <w:adjustRightInd w:val="0"/>
        <w:snapToGrid w:val="0"/>
        <w:spacing w:after="240"/>
        <w:jc w:val="center"/>
        <w:rPr>
          <w:b/>
          <w:bCs/>
          <w:snapToGrid w:val="0"/>
        </w:rPr>
      </w:pPr>
      <w:r w:rsidRPr="00DD0682">
        <w:rPr>
          <w:b/>
          <w:bCs/>
          <w:snapToGrid w:val="0"/>
        </w:rPr>
        <w:t>B.  La formación y la enseñanza profesional</w:t>
      </w:r>
    </w:p>
    <w:p w:rsidR="00DD0682" w:rsidRPr="00DD0682" w:rsidRDefault="00DD0682" w:rsidP="00DD0682">
      <w:pPr>
        <w:adjustRightInd w:val="0"/>
        <w:snapToGrid w:val="0"/>
        <w:spacing w:after="240"/>
        <w:rPr>
          <w:snapToGrid w:val="0"/>
        </w:rPr>
      </w:pPr>
      <w:r w:rsidRPr="00DD0682">
        <w:rPr>
          <w:snapToGrid w:val="0"/>
        </w:rPr>
        <w:t>335.</w:t>
      </w:r>
      <w:r w:rsidRPr="00DD0682">
        <w:rPr>
          <w:snapToGrid w:val="0"/>
        </w:rPr>
        <w:tab/>
        <w:t>El Ministerio de Formación y Enseñanza Profesional tiene a su cargo el desarrollo de un sistema de formación y enseñanza profesional.</w:t>
      </w:r>
    </w:p>
    <w:p w:rsidR="00DD0682" w:rsidRPr="00DD0682" w:rsidRDefault="00DD0682" w:rsidP="00DD0682">
      <w:pPr>
        <w:adjustRightInd w:val="0"/>
        <w:snapToGrid w:val="0"/>
        <w:spacing w:after="240"/>
        <w:rPr>
          <w:b/>
          <w:bCs/>
          <w:snapToGrid w:val="0"/>
        </w:rPr>
      </w:pPr>
      <w:r w:rsidRPr="00DD0682">
        <w:rPr>
          <w:b/>
          <w:bCs/>
          <w:snapToGrid w:val="0"/>
        </w:rPr>
        <w:t>1.</w:t>
      </w:r>
      <w:r w:rsidRPr="00DD0682">
        <w:rPr>
          <w:b/>
          <w:bCs/>
          <w:snapToGrid w:val="0"/>
        </w:rPr>
        <w:tab/>
        <w:t>El mecanismo de información de orientación y de concertación</w:t>
      </w:r>
    </w:p>
    <w:p w:rsidR="00DD0682" w:rsidRPr="00DD0682" w:rsidRDefault="00DD0682" w:rsidP="00DD0682">
      <w:pPr>
        <w:adjustRightInd w:val="0"/>
        <w:snapToGrid w:val="0"/>
        <w:spacing w:after="240"/>
        <w:rPr>
          <w:snapToGrid w:val="0"/>
        </w:rPr>
      </w:pPr>
      <w:r w:rsidRPr="00DD0682">
        <w:rPr>
          <w:iCs/>
          <w:snapToGrid w:val="0"/>
        </w:rPr>
        <w:t>336.</w:t>
      </w:r>
      <w:r w:rsidRPr="00DD0682">
        <w:rPr>
          <w:i/>
          <w:iCs/>
          <w:snapToGrid w:val="0"/>
        </w:rPr>
        <w:tab/>
      </w:r>
      <w:r w:rsidRPr="00DD0682">
        <w:rPr>
          <w:b/>
          <w:iCs/>
          <w:snapToGrid w:val="0"/>
        </w:rPr>
        <w:t>Sección de orientación.</w:t>
      </w:r>
      <w:r w:rsidRPr="00DD0682">
        <w:rPr>
          <w:i/>
          <w:iCs/>
          <w:snapToGrid w:val="0"/>
        </w:rPr>
        <w:t xml:space="preserve">  </w:t>
      </w:r>
      <w:r w:rsidRPr="00DD0682">
        <w:rPr>
          <w:snapToGrid w:val="0"/>
        </w:rPr>
        <w:t>En cumplimiento de las recomendaciones de reforma del sistema nacional de educación y de formación, se ha puesto en marcha un sistema de orientación de cursillistas que funciona respetando la lógica general de la regulación de los flujos de los tres segmentos del sistema educativo; dicha regulación debe apoyarse en bases racionales y científicas y se inspira en el modelo de simulación para la regulación de los flujos del sistema educativo argelino, con el apoyo de la UNESCO.</w:t>
      </w:r>
    </w:p>
    <w:p w:rsidR="00DD0682" w:rsidRPr="00DD0682" w:rsidRDefault="00DD0682" w:rsidP="00DD0682">
      <w:pPr>
        <w:adjustRightInd w:val="0"/>
        <w:snapToGrid w:val="0"/>
        <w:spacing w:after="240"/>
        <w:rPr>
          <w:snapToGrid w:val="0"/>
        </w:rPr>
      </w:pPr>
      <w:r w:rsidRPr="00DD0682">
        <w:rPr>
          <w:snapToGrid w:val="0"/>
        </w:rPr>
        <w:t>337.</w:t>
      </w:r>
      <w:r w:rsidRPr="00DD0682">
        <w:rPr>
          <w:snapToGrid w:val="0"/>
        </w:rPr>
        <w:tab/>
        <w:t>Se trata, más concretamente, de un modelo econométrico adaptado a las características del sistema educativo de Argelia.</w:t>
      </w:r>
    </w:p>
    <w:p w:rsidR="00DD0682" w:rsidRPr="00DD0682" w:rsidRDefault="00DD0682" w:rsidP="00DD0682">
      <w:pPr>
        <w:adjustRightInd w:val="0"/>
        <w:snapToGrid w:val="0"/>
        <w:spacing w:after="240"/>
        <w:rPr>
          <w:snapToGrid w:val="0"/>
        </w:rPr>
      </w:pPr>
      <w:r w:rsidRPr="00DD0682">
        <w:rPr>
          <w:snapToGrid w:val="0"/>
        </w:rPr>
        <w:t>338.</w:t>
      </w:r>
      <w:r w:rsidRPr="00DD0682">
        <w:rPr>
          <w:snapToGrid w:val="0"/>
        </w:rPr>
        <w:tab/>
        <w:t>Este modelo utiliza el criterio demográfico como herramienta potente de cálculo, que permite construir una visión sistémica que articula, de forma coherente, las opciones de desarrollo de todos los subsectores educativos.</w:t>
      </w:r>
    </w:p>
    <w:p w:rsidR="00DD0682" w:rsidRPr="00DD0682" w:rsidRDefault="00DD0682" w:rsidP="00DD0682">
      <w:pPr>
        <w:adjustRightInd w:val="0"/>
        <w:snapToGrid w:val="0"/>
        <w:spacing w:after="240"/>
        <w:rPr>
          <w:snapToGrid w:val="0"/>
        </w:rPr>
      </w:pPr>
      <w:r w:rsidRPr="00DD0682">
        <w:rPr>
          <w:snapToGrid w:val="0"/>
        </w:rPr>
        <w:t>339.</w:t>
      </w:r>
      <w:r w:rsidRPr="00DD0682">
        <w:rPr>
          <w:snapToGrid w:val="0"/>
        </w:rPr>
        <w:tab/>
      </w:r>
      <w:r w:rsidRPr="00DD0682">
        <w:rPr>
          <w:b/>
          <w:snapToGrid w:val="0"/>
        </w:rPr>
        <w:t>Sección</w:t>
      </w:r>
      <w:r w:rsidRPr="00DD0682">
        <w:rPr>
          <w:b/>
          <w:iCs/>
          <w:snapToGrid w:val="0"/>
        </w:rPr>
        <w:t xml:space="preserve"> de información.</w:t>
      </w:r>
      <w:r w:rsidRPr="00DD0682">
        <w:rPr>
          <w:i/>
          <w:iCs/>
          <w:snapToGrid w:val="0"/>
        </w:rPr>
        <w:t xml:space="preserve">  </w:t>
      </w:r>
      <w:r w:rsidRPr="00DD0682">
        <w:rPr>
          <w:snapToGrid w:val="0"/>
        </w:rPr>
        <w:t>El sistema de información constituye una etapa importante en la trayectoria profesional de los jóvenes.  En este contexto, la identificación de los datos pertinentes sobre el empleo, el mercado de trabajo y las actividades económicas, así como su recopilación, son elementos importantes para definir eficazmente el público beneficiario y las modalidades de formación que respondan mejor a las necesidades del mercado de trabajo.</w:t>
      </w:r>
    </w:p>
    <w:p w:rsidR="00DD0682" w:rsidRPr="00DD0682" w:rsidRDefault="00DD0682" w:rsidP="00DD0682">
      <w:pPr>
        <w:adjustRightInd w:val="0"/>
        <w:snapToGrid w:val="0"/>
        <w:spacing w:after="240"/>
        <w:rPr>
          <w:snapToGrid w:val="0"/>
        </w:rPr>
      </w:pPr>
      <w:r w:rsidRPr="00DD0682">
        <w:rPr>
          <w:snapToGrid w:val="0"/>
        </w:rPr>
        <w:t>340.</w:t>
      </w:r>
      <w:r w:rsidRPr="00DD0682">
        <w:rPr>
          <w:snapToGrid w:val="0"/>
        </w:rPr>
        <w:tab/>
        <w:t>A fin de lograr esta adecuación de la formación al empleo, el sector ha decidido crear un observatorio de la formación y la enseñanza profesional que constituye el instrumento de regulación, de organización y de evaluación.</w:t>
      </w:r>
    </w:p>
    <w:p w:rsidR="00DD0682" w:rsidRPr="00DD0682" w:rsidRDefault="00DD0682" w:rsidP="00DD0682">
      <w:pPr>
        <w:adjustRightInd w:val="0"/>
        <w:snapToGrid w:val="0"/>
        <w:spacing w:after="240"/>
        <w:rPr>
          <w:snapToGrid w:val="0"/>
        </w:rPr>
      </w:pPr>
      <w:r w:rsidRPr="00DD0682">
        <w:rPr>
          <w:snapToGrid w:val="0"/>
        </w:rPr>
        <w:t>341.</w:t>
      </w:r>
      <w:r w:rsidRPr="00DD0682">
        <w:rPr>
          <w:snapToGrid w:val="0"/>
        </w:rPr>
        <w:tab/>
        <w:t>Se basa en el sistema de información existente en el sector de la formación profesional y en el sector del empleo y persigue tres objetivos principales:</w:t>
      </w:r>
    </w:p>
    <w:p w:rsidR="00DD0682" w:rsidRPr="00DD0682" w:rsidRDefault="00DD0682" w:rsidP="00AC158B">
      <w:pPr>
        <w:adjustRightInd w:val="0"/>
        <w:snapToGrid w:val="0"/>
        <w:spacing w:after="240"/>
        <w:ind w:left="1134" w:hanging="567"/>
        <w:rPr>
          <w:snapToGrid w:val="0"/>
        </w:rPr>
      </w:pPr>
      <w:r w:rsidRPr="00DD0682">
        <w:rPr>
          <w:snapToGrid w:val="0"/>
        </w:rPr>
        <w:t>a)</w:t>
      </w:r>
      <w:r w:rsidRPr="00DD0682">
        <w:rPr>
          <w:snapToGrid w:val="0"/>
        </w:rPr>
        <w:tab/>
        <w:t>Establecer un sistema de información eficaz sobre la formación profesional, el empleo y el mercado de trabajo, en los planos nacional y regional;</w:t>
      </w:r>
    </w:p>
    <w:p w:rsidR="00DD0682" w:rsidRPr="00DD0682" w:rsidRDefault="00DD0682" w:rsidP="00AC158B">
      <w:pPr>
        <w:adjustRightInd w:val="0"/>
        <w:snapToGrid w:val="0"/>
        <w:spacing w:after="240"/>
        <w:ind w:left="1134" w:hanging="567"/>
        <w:rPr>
          <w:snapToGrid w:val="0"/>
        </w:rPr>
      </w:pPr>
      <w:r w:rsidRPr="00DD0682">
        <w:rPr>
          <w:snapToGrid w:val="0"/>
        </w:rPr>
        <w:t>b)</w:t>
      </w:r>
      <w:r w:rsidRPr="00DD0682">
        <w:rPr>
          <w:snapToGrid w:val="0"/>
        </w:rPr>
        <w:tab/>
        <w:t>Servir de instrumento de la política de desarrollo de la formación profesional que permita identificar las necesidades de formación y las perspectivas en materia de oficios y calificaciones;</w:t>
      </w:r>
    </w:p>
    <w:p w:rsidR="00DD0682" w:rsidRPr="00DD0682" w:rsidRDefault="00DD0682" w:rsidP="00AC158B">
      <w:pPr>
        <w:adjustRightInd w:val="0"/>
        <w:snapToGrid w:val="0"/>
        <w:spacing w:after="240"/>
        <w:ind w:left="1134" w:hanging="567"/>
        <w:rPr>
          <w:snapToGrid w:val="0"/>
        </w:rPr>
      </w:pPr>
      <w:r w:rsidRPr="00DD0682">
        <w:rPr>
          <w:snapToGrid w:val="0"/>
        </w:rPr>
        <w:t>c)</w:t>
      </w:r>
      <w:r w:rsidRPr="00DD0682">
        <w:rPr>
          <w:snapToGrid w:val="0"/>
        </w:rPr>
        <w:tab/>
        <w:t>Proporcionar una herramienta de apoyo a la toma de decisiones que contribuya a la identificación, evaluación y mejora de las medidas de política en los ámbitos de la formación y el empleo, y promueva el diálogo social entre los interlocutores.</w:t>
      </w:r>
    </w:p>
    <w:p w:rsidR="00DD0682" w:rsidRPr="00DD0682" w:rsidRDefault="00DD0682" w:rsidP="00DD0682">
      <w:pPr>
        <w:adjustRightInd w:val="0"/>
        <w:snapToGrid w:val="0"/>
        <w:spacing w:after="240"/>
        <w:rPr>
          <w:snapToGrid w:val="0"/>
        </w:rPr>
      </w:pPr>
      <w:r w:rsidRPr="00DD0682">
        <w:rPr>
          <w:snapToGrid w:val="0"/>
        </w:rPr>
        <w:t>342.</w:t>
      </w:r>
      <w:r w:rsidRPr="00DD0682">
        <w:rPr>
          <w:snapToGrid w:val="0"/>
        </w:rPr>
        <w:tab/>
        <w:t>El observatorio de la formación y la enseñanza profesional constituirá el marco ideal para la definición de un mapa de carreras y especialidades, de conformidad con la nomenclatura de las especialidades de la formación y la enseñanza profesional.</w:t>
      </w:r>
    </w:p>
    <w:p w:rsidR="00DD0682" w:rsidRPr="00DD0682" w:rsidRDefault="00DD0682" w:rsidP="00DD0682">
      <w:pPr>
        <w:adjustRightInd w:val="0"/>
        <w:snapToGrid w:val="0"/>
        <w:spacing w:after="240"/>
        <w:rPr>
          <w:b/>
          <w:bCs/>
          <w:snapToGrid w:val="0"/>
        </w:rPr>
      </w:pPr>
      <w:r w:rsidRPr="00DD0682">
        <w:rPr>
          <w:b/>
          <w:bCs/>
          <w:snapToGrid w:val="0"/>
        </w:rPr>
        <w:t>2.</w:t>
      </w:r>
      <w:r w:rsidRPr="00DD0682">
        <w:rPr>
          <w:b/>
          <w:bCs/>
          <w:snapToGrid w:val="0"/>
        </w:rPr>
        <w:tab/>
        <w:t>Red de formación y enseñanza profesional</w:t>
      </w:r>
    </w:p>
    <w:p w:rsidR="00DD0682" w:rsidRPr="00DD0682" w:rsidRDefault="00DD0682" w:rsidP="00DD0682">
      <w:pPr>
        <w:adjustRightInd w:val="0"/>
        <w:snapToGrid w:val="0"/>
        <w:spacing w:after="240"/>
        <w:rPr>
          <w:iCs/>
          <w:snapToGrid w:val="0"/>
        </w:rPr>
      </w:pPr>
      <w:r w:rsidRPr="00DD0682">
        <w:rPr>
          <w:iCs/>
          <w:snapToGrid w:val="0"/>
        </w:rPr>
        <w:t>343.</w:t>
      </w:r>
      <w:r w:rsidRPr="00DD0682">
        <w:rPr>
          <w:iCs/>
          <w:snapToGrid w:val="0"/>
        </w:rPr>
        <w:tab/>
        <w:t xml:space="preserve">El </w:t>
      </w:r>
      <w:r w:rsidRPr="00DD0682">
        <w:rPr>
          <w:snapToGrid w:val="0"/>
        </w:rPr>
        <w:t>sector</w:t>
      </w:r>
      <w:r w:rsidRPr="00DD0682">
        <w:rPr>
          <w:iCs/>
          <w:snapToGrid w:val="0"/>
        </w:rPr>
        <w:t xml:space="preserve"> </w:t>
      </w:r>
      <w:r w:rsidRPr="00DD0682">
        <w:rPr>
          <w:snapToGrid w:val="0"/>
        </w:rPr>
        <w:t>de la formación y la enseñanza profesional es un subconjunto que complementa el sistema nacional de educación.  Es la prolongación natural del ciclo de enseñanza media y secundaria en la medida en que acoge, en primer lugar, a los alumnos de la enseñanza obligatoria orientados hacia ese sector (noveno año de enseñanza básica) y a los desertores escolares de esos dos ciclos.</w:t>
      </w:r>
    </w:p>
    <w:p w:rsidR="00DD0682" w:rsidRPr="00DD0682" w:rsidRDefault="00DD0682" w:rsidP="00DD0682">
      <w:pPr>
        <w:adjustRightInd w:val="0"/>
        <w:snapToGrid w:val="0"/>
        <w:spacing w:after="240"/>
        <w:rPr>
          <w:iCs/>
          <w:snapToGrid w:val="0"/>
        </w:rPr>
      </w:pPr>
      <w:r w:rsidRPr="00DD0682">
        <w:rPr>
          <w:iCs/>
          <w:snapToGrid w:val="0"/>
        </w:rPr>
        <w:t>344.</w:t>
      </w:r>
      <w:r w:rsidRPr="00DD0682">
        <w:rPr>
          <w:iCs/>
          <w:snapToGrid w:val="0"/>
        </w:rPr>
        <w:tab/>
        <w:t xml:space="preserve">La </w:t>
      </w:r>
      <w:r w:rsidRPr="00DD0682">
        <w:rPr>
          <w:snapToGrid w:val="0"/>
        </w:rPr>
        <w:t>principal</w:t>
      </w:r>
      <w:r w:rsidRPr="00DD0682">
        <w:rPr>
          <w:iCs/>
          <w:snapToGrid w:val="0"/>
        </w:rPr>
        <w:t xml:space="preserve"> misión del sector es formar la mano de obra cualificada que necesita la economía nacional y garantizar también la formación, la especialización y la reconversión de los trabajadores en el empleo.</w:t>
      </w:r>
    </w:p>
    <w:p w:rsidR="00DD0682" w:rsidRPr="00DD0682" w:rsidRDefault="00DD0682" w:rsidP="00DD0682">
      <w:pPr>
        <w:adjustRightInd w:val="0"/>
        <w:snapToGrid w:val="0"/>
        <w:spacing w:after="240"/>
        <w:rPr>
          <w:iCs/>
          <w:snapToGrid w:val="0"/>
        </w:rPr>
      </w:pPr>
      <w:r w:rsidRPr="00DD0682">
        <w:rPr>
          <w:iCs/>
          <w:snapToGrid w:val="0"/>
        </w:rPr>
        <w:t>345.</w:t>
      </w:r>
      <w:r w:rsidRPr="00DD0682">
        <w:rPr>
          <w:iCs/>
          <w:snapToGrid w:val="0"/>
        </w:rPr>
        <w:tab/>
        <w:t xml:space="preserve">Para </w:t>
      </w:r>
      <w:r w:rsidRPr="00DD0682">
        <w:rPr>
          <w:snapToGrid w:val="0"/>
        </w:rPr>
        <w:t>ejercer eficazmente sus funciones, el sector dispone de una amplia red de establecimientos de formación y enseñanza profesional que se compone de más de 900 establecimientos de formación repartidos en todo el país.</w:t>
      </w:r>
    </w:p>
    <w:p w:rsidR="00DD0682" w:rsidRPr="00DD0682" w:rsidRDefault="00DD0682" w:rsidP="00DD0682">
      <w:pPr>
        <w:adjustRightInd w:val="0"/>
        <w:snapToGrid w:val="0"/>
        <w:spacing w:after="240"/>
        <w:rPr>
          <w:snapToGrid w:val="0"/>
        </w:rPr>
      </w:pPr>
      <w:r w:rsidRPr="00DD0682">
        <w:rPr>
          <w:iCs/>
          <w:snapToGrid w:val="0"/>
        </w:rPr>
        <w:t>346.</w:t>
      </w:r>
      <w:r w:rsidRPr="00DD0682">
        <w:rPr>
          <w:iCs/>
          <w:snapToGrid w:val="0"/>
        </w:rPr>
        <w:tab/>
        <w:t xml:space="preserve">A ese </w:t>
      </w:r>
      <w:r w:rsidRPr="00DD0682">
        <w:rPr>
          <w:snapToGrid w:val="0"/>
        </w:rPr>
        <w:t>potencial</w:t>
      </w:r>
      <w:r w:rsidRPr="00DD0682">
        <w:rPr>
          <w:iCs/>
          <w:snapToGrid w:val="0"/>
        </w:rPr>
        <w:t xml:space="preserve"> se suman más de 600 establecimientos privados de formación profesional con capacidad para casi 50.000 plazas de formación, que han contribuido de manera considerable a absorber la demanda de formación de los jóvenes, y cuyo desarrollo ha sido siempre promovido por el sector.</w:t>
      </w:r>
    </w:p>
    <w:p w:rsidR="00DD0682" w:rsidRPr="00DD0682" w:rsidRDefault="00DD0682" w:rsidP="00AC158B">
      <w:pPr>
        <w:adjustRightInd w:val="0"/>
        <w:snapToGrid w:val="0"/>
        <w:spacing w:after="240"/>
        <w:ind w:left="1134" w:hanging="567"/>
        <w:rPr>
          <w:b/>
          <w:bCs/>
          <w:snapToGrid w:val="0"/>
        </w:rPr>
      </w:pPr>
      <w:r w:rsidRPr="00DD0682">
        <w:rPr>
          <w:b/>
          <w:bCs/>
          <w:snapToGrid w:val="0"/>
        </w:rPr>
        <w:t>a)</w:t>
      </w:r>
      <w:r w:rsidRPr="00DD0682">
        <w:rPr>
          <w:b/>
          <w:bCs/>
          <w:snapToGrid w:val="0"/>
        </w:rPr>
        <w:tab/>
      </w:r>
      <w:r w:rsidRPr="00DD0682">
        <w:rPr>
          <w:b/>
          <w:iCs/>
          <w:snapToGrid w:val="0"/>
        </w:rPr>
        <w:t>El mecanismo de formación destinado a los jóvenes que han completado el programa de educación nacional</w:t>
      </w:r>
    </w:p>
    <w:p w:rsidR="00DD0682" w:rsidRPr="00DD0682" w:rsidRDefault="00DD0682" w:rsidP="00DD0682">
      <w:pPr>
        <w:adjustRightInd w:val="0"/>
        <w:snapToGrid w:val="0"/>
        <w:spacing w:after="240"/>
        <w:rPr>
          <w:iCs/>
          <w:snapToGrid w:val="0"/>
        </w:rPr>
      </w:pPr>
      <w:r w:rsidRPr="00DD0682">
        <w:rPr>
          <w:iCs/>
          <w:snapToGrid w:val="0"/>
        </w:rPr>
        <w:t>347.</w:t>
      </w:r>
      <w:r w:rsidRPr="00DD0682">
        <w:rPr>
          <w:iCs/>
          <w:snapToGrid w:val="0"/>
        </w:rPr>
        <w:tab/>
        <w:t xml:space="preserve">Los tipos de formación que se imparten a los jóvenes que han terminado el programa de </w:t>
      </w:r>
      <w:r w:rsidRPr="00DD0682">
        <w:rPr>
          <w:snapToGrid w:val="0"/>
        </w:rPr>
        <w:t>educación</w:t>
      </w:r>
      <w:r w:rsidRPr="00DD0682">
        <w:rPr>
          <w:iCs/>
          <w:snapToGrid w:val="0"/>
        </w:rPr>
        <w:t xml:space="preserve"> nacional son la formación residencial, la formación en centros de trabajo y la formación a distancia.</w:t>
      </w:r>
    </w:p>
    <w:p w:rsidR="00DD0682" w:rsidRPr="00DD0682" w:rsidRDefault="00DD0682" w:rsidP="00DD0682">
      <w:pPr>
        <w:adjustRightInd w:val="0"/>
        <w:snapToGrid w:val="0"/>
        <w:spacing w:after="240"/>
        <w:rPr>
          <w:bCs/>
          <w:snapToGrid w:val="0"/>
        </w:rPr>
      </w:pPr>
      <w:r w:rsidRPr="00DD0682">
        <w:rPr>
          <w:bCs/>
          <w:snapToGrid w:val="0"/>
        </w:rPr>
        <w:t>348.</w:t>
      </w:r>
      <w:r w:rsidRPr="00DD0682">
        <w:rPr>
          <w:bCs/>
          <w:snapToGrid w:val="0"/>
        </w:rPr>
        <w:tab/>
        <w:t xml:space="preserve">La formación en centros de trabajo </w:t>
      </w:r>
      <w:r w:rsidRPr="00DD0682">
        <w:rPr>
          <w:snapToGrid w:val="0"/>
        </w:rPr>
        <w:t>es el tipo de formación que el sector se propone priorizar y mejorar en términos de organización, ya que tiene muchas ventajas; sin duda, es el tipo de formación menos costoso para la colectividad, tanto para el Estado como para las empresas.  También es el que mejor se adapta a las necesidades y a la realidad de la empresa, ya que surge de la existencia del puesto de trabajo y se lleva a cabo en el lugar de trabajo</w:t>
      </w:r>
      <w:r w:rsidRPr="00DD0682">
        <w:rPr>
          <w:bCs/>
          <w:snapToGrid w:val="0"/>
        </w:rPr>
        <w:t>.</w:t>
      </w:r>
    </w:p>
    <w:p w:rsidR="00DD0682" w:rsidRPr="00DD0682" w:rsidRDefault="00DD0682" w:rsidP="00DD0682">
      <w:pPr>
        <w:adjustRightInd w:val="0"/>
        <w:snapToGrid w:val="0"/>
        <w:spacing w:after="240"/>
        <w:rPr>
          <w:bCs/>
          <w:snapToGrid w:val="0"/>
        </w:rPr>
      </w:pPr>
      <w:r w:rsidRPr="00DD0682">
        <w:rPr>
          <w:snapToGrid w:val="0"/>
        </w:rPr>
        <w:t>349.</w:t>
      </w:r>
      <w:r w:rsidRPr="00DD0682">
        <w:rPr>
          <w:snapToGrid w:val="0"/>
        </w:rPr>
        <w:tab/>
        <w:t>Además, los resultados de la encuesta nacional sobre el destino de los titulados del sector muestran que la formación en centros de trabajo ofrece mejores oportunidades de colocación, sin duda debido al conocimiento mutuo del nivel de calificación del candidato y del entorno profesional al que éste se orienta</w:t>
      </w:r>
      <w:r w:rsidRPr="00DD0682">
        <w:rPr>
          <w:bCs/>
          <w:snapToGrid w:val="0"/>
        </w:rPr>
        <w:t>.</w:t>
      </w:r>
    </w:p>
    <w:p w:rsidR="00DD0682" w:rsidRPr="00DD0682" w:rsidRDefault="00DD0682" w:rsidP="00AC158B">
      <w:pPr>
        <w:adjustRightInd w:val="0"/>
        <w:snapToGrid w:val="0"/>
        <w:spacing w:after="240"/>
        <w:ind w:left="567"/>
        <w:rPr>
          <w:b/>
          <w:bCs/>
          <w:snapToGrid w:val="0"/>
        </w:rPr>
      </w:pPr>
      <w:r w:rsidRPr="00DD0682">
        <w:rPr>
          <w:b/>
          <w:bCs/>
          <w:snapToGrid w:val="0"/>
        </w:rPr>
        <w:t>b)</w:t>
      </w:r>
      <w:r w:rsidRPr="00DD0682">
        <w:rPr>
          <w:b/>
          <w:bCs/>
          <w:snapToGrid w:val="0"/>
        </w:rPr>
        <w:tab/>
      </w:r>
      <w:r w:rsidRPr="00DD0682">
        <w:rPr>
          <w:b/>
          <w:iCs/>
          <w:snapToGrid w:val="0"/>
        </w:rPr>
        <w:t>El mecanismo de formación destinado a categorías particulares</w:t>
      </w:r>
    </w:p>
    <w:p w:rsidR="00DD0682" w:rsidRPr="00DD0682" w:rsidRDefault="00DD0682" w:rsidP="00DD0682">
      <w:pPr>
        <w:adjustRightInd w:val="0"/>
        <w:snapToGrid w:val="0"/>
        <w:spacing w:after="240"/>
        <w:rPr>
          <w:snapToGrid w:val="0"/>
        </w:rPr>
      </w:pPr>
      <w:r w:rsidRPr="00DD0682">
        <w:rPr>
          <w:snapToGrid w:val="0"/>
        </w:rPr>
        <w:t>350.</w:t>
      </w:r>
      <w:r w:rsidRPr="00DD0682">
        <w:rPr>
          <w:snapToGrid w:val="0"/>
        </w:rPr>
        <w:tab/>
        <w:t>La formación de categorías particulares es una misión estatutaria del sector de la formación y la enseñanza profesional.  Ese tipo de formación compr</w:t>
      </w:r>
      <w:r w:rsidR="00AC158B">
        <w:rPr>
          <w:snapToGrid w:val="0"/>
        </w:rPr>
        <w:t>ende las siguientes modalidades.</w:t>
      </w:r>
    </w:p>
    <w:p w:rsidR="00DD0682" w:rsidRPr="00DD0682" w:rsidRDefault="00DD0682" w:rsidP="00DD0682">
      <w:pPr>
        <w:adjustRightInd w:val="0"/>
        <w:snapToGrid w:val="0"/>
        <w:spacing w:after="240"/>
        <w:rPr>
          <w:i/>
          <w:snapToGrid w:val="0"/>
        </w:rPr>
      </w:pPr>
      <w:r w:rsidRPr="00DD0682">
        <w:rPr>
          <w:i/>
          <w:snapToGrid w:val="0"/>
        </w:rPr>
        <w:tab/>
        <w:t>i)</w:t>
      </w:r>
      <w:r w:rsidRPr="00DD0682">
        <w:rPr>
          <w:i/>
          <w:snapToGrid w:val="0"/>
        </w:rPr>
        <w:tab/>
        <w:t>La formación de los jóvenes que no han alcanzado el nivel requerido</w:t>
      </w:r>
    </w:p>
    <w:p w:rsidR="00DD0682" w:rsidRPr="00DD0682" w:rsidRDefault="00DD0682" w:rsidP="00DD0682">
      <w:pPr>
        <w:adjustRightInd w:val="0"/>
        <w:snapToGrid w:val="0"/>
        <w:spacing w:after="240"/>
        <w:rPr>
          <w:snapToGrid w:val="0"/>
        </w:rPr>
      </w:pPr>
      <w:r w:rsidRPr="00DD0682">
        <w:rPr>
          <w:snapToGrid w:val="0"/>
        </w:rPr>
        <w:t>351.</w:t>
      </w:r>
      <w:r w:rsidRPr="00DD0682">
        <w:rPr>
          <w:snapToGrid w:val="0"/>
        </w:rPr>
        <w:tab/>
        <w:t>Se han creado programas pedagógicos que prevén cursos de formación previa para que los jóvenes comprendidos en esta categoría alcancen el nivel requerido.  Al terminar la formación previa, los jóvenes se integran en distintas especialidades en función de los resultados obtenidos.</w:t>
      </w:r>
    </w:p>
    <w:p w:rsidR="00DD0682" w:rsidRPr="00DD0682" w:rsidRDefault="00DD0682" w:rsidP="00DD0682">
      <w:pPr>
        <w:adjustRightInd w:val="0"/>
        <w:snapToGrid w:val="0"/>
        <w:spacing w:after="240"/>
        <w:rPr>
          <w:snapToGrid w:val="0"/>
        </w:rPr>
      </w:pPr>
      <w:r w:rsidRPr="00DD0682">
        <w:rPr>
          <w:snapToGrid w:val="0"/>
        </w:rPr>
        <w:t>352.</w:t>
      </w:r>
      <w:r w:rsidRPr="00DD0682">
        <w:rPr>
          <w:snapToGrid w:val="0"/>
        </w:rPr>
        <w:tab/>
        <w:t>En caso de aprobación del examen, los candidatos reciben un diploma como los demás cursillistas.</w:t>
      </w:r>
    </w:p>
    <w:p w:rsidR="00DD0682" w:rsidRPr="00DD0682" w:rsidRDefault="00DD0682" w:rsidP="00DD0682">
      <w:pPr>
        <w:adjustRightInd w:val="0"/>
        <w:snapToGrid w:val="0"/>
        <w:spacing w:after="240"/>
        <w:rPr>
          <w:i/>
          <w:snapToGrid w:val="0"/>
        </w:rPr>
      </w:pPr>
      <w:r w:rsidRPr="00DD0682">
        <w:rPr>
          <w:i/>
          <w:snapToGrid w:val="0"/>
        </w:rPr>
        <w:tab/>
        <w:t>ii)</w:t>
      </w:r>
      <w:r w:rsidRPr="00DD0682">
        <w:rPr>
          <w:i/>
          <w:snapToGrid w:val="0"/>
        </w:rPr>
        <w:tab/>
        <w:t>Formación de las amas de casa</w:t>
      </w:r>
    </w:p>
    <w:p w:rsidR="00DD0682" w:rsidRPr="00DD0682" w:rsidRDefault="00DD0682" w:rsidP="00DD0682">
      <w:pPr>
        <w:adjustRightInd w:val="0"/>
        <w:snapToGrid w:val="0"/>
        <w:spacing w:after="240"/>
        <w:rPr>
          <w:snapToGrid w:val="0"/>
        </w:rPr>
      </w:pPr>
      <w:r w:rsidRPr="00DD0682">
        <w:rPr>
          <w:snapToGrid w:val="0"/>
        </w:rPr>
        <w:t>353.</w:t>
      </w:r>
      <w:r w:rsidRPr="00DD0682">
        <w:rPr>
          <w:snapToGrid w:val="0"/>
        </w:rPr>
        <w:tab/>
        <w:t>Este mecanismo tiene por objeto impartir cursos de formación con un programa pedagógico y unos horarios adaptados.  Al finalizar la formación y en función del nivel de la candidata y de su especialidad, las participantes aprobadas en el examen reciben un diploma o un certificado de formación.</w:t>
      </w:r>
    </w:p>
    <w:p w:rsidR="00DD0682" w:rsidRPr="00DD0682" w:rsidRDefault="00DD0682" w:rsidP="00DD0682">
      <w:pPr>
        <w:adjustRightInd w:val="0"/>
        <w:snapToGrid w:val="0"/>
        <w:spacing w:after="240"/>
        <w:rPr>
          <w:snapToGrid w:val="0"/>
        </w:rPr>
      </w:pPr>
      <w:r w:rsidRPr="00DD0682">
        <w:rPr>
          <w:snapToGrid w:val="0"/>
        </w:rPr>
        <w:t>354.</w:t>
      </w:r>
      <w:r w:rsidRPr="00DD0682">
        <w:rPr>
          <w:snapToGrid w:val="0"/>
        </w:rPr>
        <w:tab/>
        <w:t>La obtención de un diploma o certificado de formación ha permitido a varias candidatas beneficiarse de los mecanismos de promoción del empleo independiente.</w:t>
      </w:r>
    </w:p>
    <w:p w:rsidR="00DD0682" w:rsidRPr="00DD0682" w:rsidRDefault="00DD0682" w:rsidP="00DD0682">
      <w:pPr>
        <w:adjustRightInd w:val="0"/>
        <w:snapToGrid w:val="0"/>
        <w:spacing w:after="240"/>
        <w:rPr>
          <w:snapToGrid w:val="0"/>
        </w:rPr>
      </w:pPr>
      <w:r w:rsidRPr="00DD0682">
        <w:rPr>
          <w:snapToGrid w:val="0"/>
        </w:rPr>
        <w:t>355.</w:t>
      </w:r>
      <w:r w:rsidRPr="00DD0682">
        <w:rPr>
          <w:snapToGrid w:val="0"/>
        </w:rPr>
        <w:tab/>
        <w:t>En el plano cuantitativo, el mecanismo destinado a las amas de casa arroja las siguientes cifras para febrero y septiembre de 2006:</w:t>
      </w:r>
    </w:p>
    <w:p w:rsidR="00DD0682" w:rsidRPr="00DD0682" w:rsidRDefault="00DD0682" w:rsidP="00AC158B">
      <w:pPr>
        <w:adjustRightInd w:val="0"/>
        <w:snapToGrid w:val="0"/>
        <w:spacing w:after="240"/>
        <w:ind w:left="924" w:hanging="357"/>
        <w:rPr>
          <w:snapToGrid w:val="0"/>
        </w:rPr>
      </w:pPr>
      <w:r w:rsidRPr="00DD0682">
        <w:rPr>
          <w:snapToGrid w:val="0"/>
        </w:rPr>
        <w:t>-</w:t>
      </w:r>
      <w:r w:rsidRPr="00DD0682">
        <w:rPr>
          <w:snapToGrid w:val="0"/>
        </w:rPr>
        <w:tab/>
        <w:t>Curso de febrero de 2006:  15.374</w:t>
      </w:r>
    </w:p>
    <w:p w:rsidR="00DD0682" w:rsidRPr="00DD0682" w:rsidRDefault="00DD0682" w:rsidP="00AC158B">
      <w:pPr>
        <w:adjustRightInd w:val="0"/>
        <w:snapToGrid w:val="0"/>
        <w:spacing w:after="240"/>
        <w:ind w:left="924" w:hanging="357"/>
        <w:rPr>
          <w:snapToGrid w:val="0"/>
        </w:rPr>
      </w:pPr>
      <w:r w:rsidRPr="00DD0682">
        <w:rPr>
          <w:snapToGrid w:val="0"/>
        </w:rPr>
        <w:t>-</w:t>
      </w:r>
      <w:r w:rsidRPr="00DD0682">
        <w:rPr>
          <w:snapToGrid w:val="0"/>
        </w:rPr>
        <w:tab/>
        <w:t>Curso de septiembre de 2006:  15.635</w:t>
      </w:r>
    </w:p>
    <w:p w:rsidR="00DD0682" w:rsidRPr="00DD0682" w:rsidRDefault="00DD0682" w:rsidP="00DD0682">
      <w:pPr>
        <w:adjustRightInd w:val="0"/>
        <w:snapToGrid w:val="0"/>
        <w:spacing w:after="240"/>
        <w:rPr>
          <w:snapToGrid w:val="0"/>
        </w:rPr>
      </w:pPr>
      <w:r w:rsidRPr="00DD0682">
        <w:rPr>
          <w:snapToGrid w:val="0"/>
        </w:rPr>
        <w:t>356.</w:t>
      </w:r>
      <w:r w:rsidRPr="00DD0682">
        <w:rPr>
          <w:snapToGrid w:val="0"/>
        </w:rPr>
        <w:tab/>
        <w:t>Además, el sector de la formación y la enseñanza profesional, a semejanza de otros segmentos del sistema educativo, considera la integración de la perspectiva de género en su proceso de desarrollo como un elemento esencial de su programa de acción, en consonancia con los objetivos establecidos por los poderes públicos para vencer los obstáculos que existen en los planos social, cultural y económico para que las mujeres puedan acceder a los servicios sociales esenciales, como la educación, la formación y la enseñanza profesional.</w:t>
      </w:r>
    </w:p>
    <w:p w:rsidR="00DD0682" w:rsidRPr="00DD0682" w:rsidRDefault="00DD0682" w:rsidP="00DD0682">
      <w:pPr>
        <w:adjustRightInd w:val="0"/>
        <w:snapToGrid w:val="0"/>
        <w:spacing w:after="240"/>
        <w:rPr>
          <w:i/>
          <w:snapToGrid w:val="0"/>
        </w:rPr>
      </w:pPr>
      <w:r w:rsidRPr="00DD0682">
        <w:rPr>
          <w:i/>
          <w:snapToGrid w:val="0"/>
        </w:rPr>
        <w:tab/>
        <w:t>iii)</w:t>
      </w:r>
      <w:r w:rsidRPr="00DD0682">
        <w:rPr>
          <w:i/>
          <w:snapToGrid w:val="0"/>
        </w:rPr>
        <w:tab/>
        <w:t>Las personas con discapacidad</w:t>
      </w:r>
    </w:p>
    <w:p w:rsidR="00DD0682" w:rsidRPr="00DD0682" w:rsidRDefault="00DD0682" w:rsidP="00DD0682">
      <w:pPr>
        <w:adjustRightInd w:val="0"/>
        <w:snapToGrid w:val="0"/>
        <w:spacing w:after="240"/>
        <w:rPr>
          <w:snapToGrid w:val="0"/>
        </w:rPr>
      </w:pPr>
      <w:r w:rsidRPr="00DD0682">
        <w:rPr>
          <w:snapToGrid w:val="0"/>
        </w:rPr>
        <w:t>357.</w:t>
      </w:r>
      <w:r w:rsidRPr="00DD0682">
        <w:rPr>
          <w:snapToGrid w:val="0"/>
        </w:rPr>
        <w:tab/>
        <w:t>Además de la acogida de las personas con discapacidad física en las instituciones de formación profesional, el Ministerio de Formación y Enseñanza Profesional tiene cinco centros regionales de formación especializada para discapacitados.</w:t>
      </w:r>
    </w:p>
    <w:p w:rsidR="00DD0682" w:rsidRPr="00DD0682" w:rsidRDefault="00DD0682" w:rsidP="00DD0682">
      <w:pPr>
        <w:adjustRightInd w:val="0"/>
        <w:snapToGrid w:val="0"/>
        <w:spacing w:after="240"/>
        <w:rPr>
          <w:snapToGrid w:val="0"/>
        </w:rPr>
      </w:pPr>
      <w:r w:rsidRPr="00DD0682">
        <w:rPr>
          <w:snapToGrid w:val="0"/>
        </w:rPr>
        <w:t>358.</w:t>
      </w:r>
      <w:r w:rsidRPr="00DD0682">
        <w:rPr>
          <w:snapToGrid w:val="0"/>
        </w:rPr>
        <w:tab/>
        <w:t>El número de cursillistas que siguen una formación residencial es de 1.426, de los que 572 son mujeres.  En cuanto a la formación en centros de trabajo, el número de aprendices es de 550, incluidas 225 mujeres.</w:t>
      </w:r>
    </w:p>
    <w:p w:rsidR="00DD0682" w:rsidRPr="00DD0682" w:rsidRDefault="00DD0682" w:rsidP="00DD0682">
      <w:pPr>
        <w:adjustRightInd w:val="0"/>
        <w:snapToGrid w:val="0"/>
        <w:spacing w:after="240"/>
        <w:rPr>
          <w:b/>
          <w:bCs/>
          <w:i/>
          <w:snapToGrid w:val="0"/>
        </w:rPr>
      </w:pPr>
      <w:r w:rsidRPr="00DD0682">
        <w:rPr>
          <w:i/>
          <w:snapToGrid w:val="0"/>
        </w:rPr>
        <w:tab/>
        <w:t>iv)</w:t>
      </w:r>
      <w:r w:rsidRPr="00DD0682">
        <w:rPr>
          <w:i/>
          <w:snapToGrid w:val="0"/>
        </w:rPr>
        <w:tab/>
        <w:t>Las personas en situación de peligro moral</w:t>
      </w:r>
    </w:p>
    <w:p w:rsidR="00DD0682" w:rsidRPr="00DD0682" w:rsidRDefault="00DD0682" w:rsidP="00DD0682">
      <w:pPr>
        <w:adjustRightInd w:val="0"/>
        <w:snapToGrid w:val="0"/>
        <w:spacing w:after="240"/>
        <w:rPr>
          <w:snapToGrid w:val="0"/>
        </w:rPr>
      </w:pPr>
      <w:r w:rsidRPr="00DD0682">
        <w:rPr>
          <w:snapToGrid w:val="0"/>
        </w:rPr>
        <w:t>359.</w:t>
      </w:r>
      <w:r w:rsidRPr="00DD0682">
        <w:rPr>
          <w:snapToGrid w:val="0"/>
        </w:rPr>
        <w:tab/>
        <w:t>A fin de lograr la integración profesional de los jóvenes en situación de peligro moral, el sector de la formación y la enseñanza profesional, en colaboración con el Ministerio de Solidaridad Nacional, imparte cursos de formación profesional en centros de rehabilitación y de asistencia, centros de acogida y servicios de orientación y de educación en régimen abierto.</w:t>
      </w:r>
    </w:p>
    <w:p w:rsidR="00DD0682" w:rsidRPr="00DD0682" w:rsidRDefault="00DD0682" w:rsidP="00DD0682">
      <w:pPr>
        <w:adjustRightInd w:val="0"/>
        <w:snapToGrid w:val="0"/>
        <w:spacing w:after="240"/>
        <w:rPr>
          <w:snapToGrid w:val="0"/>
        </w:rPr>
      </w:pPr>
      <w:r w:rsidRPr="00DD0682">
        <w:rPr>
          <w:snapToGrid w:val="0"/>
        </w:rPr>
        <w:t>360.</w:t>
      </w:r>
      <w:r w:rsidRPr="00DD0682">
        <w:rPr>
          <w:snapToGrid w:val="0"/>
        </w:rPr>
        <w:tab/>
        <w:t>En 2006, ese mecanismo permitió la formación de 455 jóvenes, de los que 123 eran mujeres.</w:t>
      </w:r>
    </w:p>
    <w:p w:rsidR="00DD0682" w:rsidRPr="00DD0682" w:rsidRDefault="00DD0682" w:rsidP="00DD0682">
      <w:pPr>
        <w:adjustRightInd w:val="0"/>
        <w:snapToGrid w:val="0"/>
        <w:spacing w:after="240"/>
        <w:rPr>
          <w:b/>
          <w:bCs/>
          <w:i/>
          <w:snapToGrid w:val="0"/>
        </w:rPr>
      </w:pPr>
      <w:r w:rsidRPr="00DD0682">
        <w:rPr>
          <w:i/>
          <w:snapToGrid w:val="0"/>
        </w:rPr>
        <w:tab/>
        <w:t>v)</w:t>
      </w:r>
      <w:r w:rsidRPr="00DD0682">
        <w:rPr>
          <w:i/>
          <w:snapToGrid w:val="0"/>
        </w:rPr>
        <w:tab/>
        <w:t>Las personas ingresadas en centros de rehabilitación</w:t>
      </w:r>
    </w:p>
    <w:p w:rsidR="00DD0682" w:rsidRPr="00DD0682" w:rsidRDefault="00DD0682" w:rsidP="00DD0682">
      <w:pPr>
        <w:adjustRightInd w:val="0"/>
        <w:snapToGrid w:val="0"/>
        <w:spacing w:after="240"/>
        <w:rPr>
          <w:snapToGrid w:val="0"/>
        </w:rPr>
      </w:pPr>
      <w:r w:rsidRPr="00DD0682">
        <w:rPr>
          <w:snapToGrid w:val="0"/>
        </w:rPr>
        <w:t>361.</w:t>
      </w:r>
      <w:r w:rsidRPr="00DD0682">
        <w:rPr>
          <w:snapToGrid w:val="0"/>
        </w:rPr>
        <w:tab/>
        <w:t>La formación tiene lugar en el marco de convenios con el sector de la justicia.  En 2006, se impartió formación en el medio penitenciario a 5.841 beneficiarios, de los que 287 eran mujeres.</w:t>
      </w:r>
    </w:p>
    <w:p w:rsidR="00DD0682" w:rsidRPr="00DD0682" w:rsidRDefault="00DD0682" w:rsidP="00DD0682">
      <w:pPr>
        <w:adjustRightInd w:val="0"/>
        <w:snapToGrid w:val="0"/>
        <w:spacing w:after="240"/>
        <w:rPr>
          <w:bCs/>
          <w:i/>
          <w:snapToGrid w:val="0"/>
        </w:rPr>
      </w:pPr>
      <w:r w:rsidRPr="00DD0682">
        <w:rPr>
          <w:b/>
          <w:bCs/>
          <w:snapToGrid w:val="0"/>
        </w:rPr>
        <w:tab/>
      </w:r>
      <w:r w:rsidRPr="00DD0682">
        <w:rPr>
          <w:bCs/>
          <w:i/>
          <w:snapToGrid w:val="0"/>
        </w:rPr>
        <w:t>vi)</w:t>
      </w:r>
      <w:r w:rsidRPr="00DD0682">
        <w:rPr>
          <w:bCs/>
          <w:i/>
          <w:snapToGrid w:val="0"/>
        </w:rPr>
        <w:tab/>
      </w:r>
      <w:r w:rsidRPr="00DD0682">
        <w:rPr>
          <w:i/>
          <w:snapToGrid w:val="0"/>
        </w:rPr>
        <w:t>El mecanismo de formación continuada destinado a los trabajadores en paro</w:t>
      </w:r>
    </w:p>
    <w:p w:rsidR="00DD0682" w:rsidRPr="00DD0682" w:rsidRDefault="00DD0682" w:rsidP="00DD0682">
      <w:pPr>
        <w:adjustRightInd w:val="0"/>
        <w:snapToGrid w:val="0"/>
        <w:spacing w:after="240"/>
        <w:rPr>
          <w:snapToGrid w:val="0"/>
        </w:rPr>
      </w:pPr>
      <w:r w:rsidRPr="00DD0682">
        <w:rPr>
          <w:snapToGrid w:val="0"/>
        </w:rPr>
        <w:t>362.</w:t>
      </w:r>
      <w:r w:rsidRPr="00DD0682">
        <w:rPr>
          <w:snapToGrid w:val="0"/>
        </w:rPr>
        <w:tab/>
        <w:t>El sector de la formación y la enseñanza profesional tiene como misiones principales el desarrollo de la formación continuada, como instrumento de promoción y desarrollo de los recursos humanos, y el desarrollo de relaciones con los interlocutores de los principales sectores de actividad para propiciar, entre otras cosas, la participación y el apoyo de los agentes del sector económico y proporcionar una formación que responda a la demanda y favorezca la integración social.</w:t>
      </w:r>
    </w:p>
    <w:p w:rsidR="00DD0682" w:rsidRPr="00DD0682" w:rsidRDefault="00DD0682" w:rsidP="00DD0682">
      <w:pPr>
        <w:adjustRightInd w:val="0"/>
        <w:snapToGrid w:val="0"/>
        <w:spacing w:after="240"/>
        <w:rPr>
          <w:snapToGrid w:val="0"/>
        </w:rPr>
      </w:pPr>
      <w:r w:rsidRPr="00DD0682">
        <w:rPr>
          <w:snapToGrid w:val="0"/>
        </w:rPr>
        <w:t>363.</w:t>
      </w:r>
      <w:r w:rsidRPr="00DD0682">
        <w:rPr>
          <w:snapToGrid w:val="0"/>
        </w:rPr>
        <w:tab/>
        <w:t>En ese contexto, se han establecido e implantado órganos de concertación, a nivel central y local.</w:t>
      </w:r>
    </w:p>
    <w:p w:rsidR="00DD0682" w:rsidRPr="00DD0682" w:rsidRDefault="00DD0682" w:rsidP="00DD0682">
      <w:pPr>
        <w:adjustRightInd w:val="0"/>
        <w:snapToGrid w:val="0"/>
        <w:spacing w:after="240"/>
        <w:rPr>
          <w:snapToGrid w:val="0"/>
        </w:rPr>
      </w:pPr>
      <w:r w:rsidRPr="00DD0682">
        <w:rPr>
          <w:snapToGrid w:val="0"/>
        </w:rPr>
        <w:t>364.</w:t>
      </w:r>
      <w:r w:rsidRPr="00DD0682">
        <w:rPr>
          <w:snapToGrid w:val="0"/>
        </w:rPr>
        <w:tab/>
        <w:t>Además, la concertación ha hecho posible la conclusión de 84 convenios marco entre el sector de la formación y la enseñanza profesional y los sectores económicos, así como la firma de 3.004 convenios específicos, concluidos a nivel local.</w:t>
      </w:r>
    </w:p>
    <w:p w:rsidR="00DD0682" w:rsidRPr="00DD0682" w:rsidRDefault="00DD0682" w:rsidP="00DD0682">
      <w:pPr>
        <w:adjustRightInd w:val="0"/>
        <w:snapToGrid w:val="0"/>
        <w:spacing w:after="240"/>
        <w:rPr>
          <w:snapToGrid w:val="0"/>
        </w:rPr>
      </w:pPr>
      <w:r w:rsidRPr="00DD0682">
        <w:rPr>
          <w:snapToGrid w:val="0"/>
        </w:rPr>
        <w:t>365.</w:t>
      </w:r>
      <w:r w:rsidRPr="00DD0682">
        <w:rPr>
          <w:snapToGrid w:val="0"/>
        </w:rPr>
        <w:tab/>
        <w:t>La aplicación de esos convenios ha permitido, hasta el momento, la formación de más de 164.000 trabajadores.</w:t>
      </w:r>
    </w:p>
    <w:p w:rsidR="00DD0682" w:rsidRPr="00DD0682" w:rsidRDefault="00DD0682" w:rsidP="00DD0682">
      <w:pPr>
        <w:adjustRightInd w:val="0"/>
        <w:snapToGrid w:val="0"/>
        <w:spacing w:after="240"/>
        <w:rPr>
          <w:snapToGrid w:val="0"/>
        </w:rPr>
      </w:pPr>
      <w:r w:rsidRPr="00DD0682">
        <w:rPr>
          <w:snapToGrid w:val="0"/>
        </w:rPr>
        <w:t>366.</w:t>
      </w:r>
      <w:r w:rsidRPr="00DD0682">
        <w:rPr>
          <w:snapToGrid w:val="0"/>
        </w:rPr>
        <w:tab/>
        <w:t>Por último, próximamente, con la promulgación de la ley de orientación en materia de formación y enseñanza profesional, el sector dispondrá de un marco jurídico para establecer textos reglamentarios relativos a la formación continuada.</w:t>
      </w:r>
    </w:p>
    <w:p w:rsidR="00DD0682" w:rsidRPr="00DD0682" w:rsidRDefault="00DD0682" w:rsidP="00DD0682">
      <w:pPr>
        <w:adjustRightInd w:val="0"/>
        <w:snapToGrid w:val="0"/>
        <w:spacing w:after="240"/>
        <w:rPr>
          <w:b/>
          <w:snapToGrid w:val="0"/>
          <w:lang w:val="es-ES_tradnl"/>
        </w:rPr>
      </w:pPr>
      <w:r w:rsidRPr="00DD0682">
        <w:rPr>
          <w:b/>
          <w:snapToGrid w:val="0"/>
        </w:rPr>
        <w:t>3.</w:t>
      </w:r>
      <w:r w:rsidRPr="00DD0682">
        <w:rPr>
          <w:b/>
          <w:snapToGrid w:val="0"/>
        </w:rPr>
        <w:tab/>
      </w:r>
      <w:r w:rsidRPr="00DD0682">
        <w:rPr>
          <w:b/>
          <w:bCs/>
          <w:snapToGrid w:val="0"/>
          <w:lang w:val="es-ES_tradnl"/>
        </w:rPr>
        <w:t>Personal docente</w:t>
      </w:r>
    </w:p>
    <w:p w:rsidR="00DD0682" w:rsidRPr="00DD0682" w:rsidRDefault="00DD0682" w:rsidP="00DD0682">
      <w:pPr>
        <w:adjustRightInd w:val="0"/>
        <w:snapToGrid w:val="0"/>
        <w:spacing w:after="240"/>
        <w:rPr>
          <w:snapToGrid w:val="0"/>
        </w:rPr>
      </w:pPr>
      <w:r w:rsidRPr="00DD0682">
        <w:rPr>
          <w:snapToGrid w:val="0"/>
        </w:rPr>
        <w:t>367.</w:t>
      </w:r>
      <w:r w:rsidRPr="00DD0682">
        <w:rPr>
          <w:snapToGrid w:val="0"/>
        </w:rPr>
        <w:tab/>
        <w:t>Los cuadros que figuran a continuación muestran la evolución del cuerpo docente en el sector de la educación nacional y las tasas de participación de las mujeres, en función del ciclo de enseñanza.</w:t>
      </w:r>
    </w:p>
    <w:p w:rsidR="00DD0682" w:rsidRPr="00DD0682" w:rsidRDefault="00DD0682" w:rsidP="007D362F">
      <w:pPr>
        <w:keepNext/>
        <w:keepLines/>
        <w:adjustRightInd w:val="0"/>
        <w:snapToGrid w:val="0"/>
        <w:spacing w:after="240"/>
        <w:jc w:val="center"/>
        <w:rPr>
          <w:b/>
          <w:bCs/>
          <w:snapToGrid w:val="0"/>
          <w:lang w:val="fr-FR"/>
        </w:rPr>
      </w:pPr>
      <w:r w:rsidRPr="00DD0682">
        <w:rPr>
          <w:b/>
          <w:bCs/>
          <w:snapToGrid w:val="0"/>
          <w:lang w:val="fr-FR"/>
        </w:rPr>
        <w:t>Datos globales</w:t>
      </w:r>
    </w:p>
    <w:tbl>
      <w:tblPr>
        <w:tblW w:w="4078" w:type="pct"/>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1935"/>
        <w:gridCol w:w="2260"/>
        <w:gridCol w:w="1801"/>
        <w:gridCol w:w="1745"/>
      </w:tblGrid>
      <w:tr w:rsidR="00DD0682" w:rsidRPr="00DD0682" w:rsidTr="00DD0682">
        <w:tblPrEx>
          <w:tblCellMar>
            <w:top w:w="0" w:type="dxa"/>
            <w:bottom w:w="0" w:type="dxa"/>
          </w:tblCellMar>
        </w:tblPrEx>
        <w:trPr>
          <w:jc w:val="center"/>
        </w:trPr>
        <w:tc>
          <w:tcPr>
            <w:tcW w:w="1250" w:type="pct"/>
          </w:tcPr>
          <w:p w:rsidR="00DD0682" w:rsidRPr="00DD0682" w:rsidRDefault="00DD0682" w:rsidP="007D362F">
            <w:pPr>
              <w:adjustRightInd w:val="0"/>
              <w:snapToGrid w:val="0"/>
              <w:jc w:val="center"/>
              <w:rPr>
                <w:b/>
                <w:snapToGrid w:val="0"/>
                <w:lang w:val="es-ES_tradnl"/>
              </w:rPr>
            </w:pPr>
            <w:r w:rsidRPr="00DD0682">
              <w:rPr>
                <w:b/>
                <w:snapToGrid w:val="0"/>
                <w:lang w:val="es-ES_tradnl"/>
              </w:rPr>
              <w:t>Año escolar</w:t>
            </w:r>
          </w:p>
        </w:tc>
        <w:tc>
          <w:tcPr>
            <w:tcW w:w="1460" w:type="pct"/>
          </w:tcPr>
          <w:p w:rsidR="00DD0682" w:rsidRPr="00DD0682" w:rsidRDefault="00DD0682" w:rsidP="007D362F">
            <w:pPr>
              <w:adjustRightInd w:val="0"/>
              <w:snapToGrid w:val="0"/>
              <w:jc w:val="center"/>
              <w:rPr>
                <w:b/>
                <w:snapToGrid w:val="0"/>
                <w:lang w:val="es-ES_tradnl"/>
              </w:rPr>
            </w:pPr>
            <w:r w:rsidRPr="00DD0682">
              <w:rPr>
                <w:b/>
                <w:snapToGrid w:val="0"/>
                <w:lang w:val="es-ES_tradnl"/>
              </w:rPr>
              <w:t>Total de profesores</w:t>
            </w:r>
          </w:p>
        </w:tc>
        <w:tc>
          <w:tcPr>
            <w:tcW w:w="1163" w:type="pct"/>
          </w:tcPr>
          <w:p w:rsidR="00DD0682" w:rsidRPr="00DD0682" w:rsidRDefault="00DD0682" w:rsidP="007D362F">
            <w:pPr>
              <w:adjustRightInd w:val="0"/>
              <w:snapToGrid w:val="0"/>
              <w:jc w:val="center"/>
              <w:rPr>
                <w:b/>
                <w:snapToGrid w:val="0"/>
                <w:lang w:val="es-ES_tradnl"/>
              </w:rPr>
            </w:pPr>
            <w:r w:rsidRPr="00DD0682">
              <w:rPr>
                <w:b/>
                <w:snapToGrid w:val="0"/>
                <w:lang w:val="es-ES_tradnl"/>
              </w:rPr>
              <w:t>Mujeres</w:t>
            </w:r>
          </w:p>
        </w:tc>
        <w:tc>
          <w:tcPr>
            <w:tcW w:w="1128" w:type="pct"/>
          </w:tcPr>
          <w:p w:rsidR="00DD0682" w:rsidRPr="00DD0682" w:rsidRDefault="00DD0682" w:rsidP="007D362F">
            <w:pPr>
              <w:adjustRightInd w:val="0"/>
              <w:snapToGrid w:val="0"/>
              <w:jc w:val="center"/>
              <w:rPr>
                <w:b/>
                <w:snapToGrid w:val="0"/>
                <w:lang w:val="es-ES_tradnl"/>
              </w:rPr>
            </w:pPr>
            <w:r w:rsidRPr="00DD0682">
              <w:rPr>
                <w:b/>
                <w:snapToGrid w:val="0"/>
                <w:lang w:val="es-ES_tradnl"/>
              </w:rPr>
              <w:t>Porcentaje</w:t>
            </w:r>
          </w:p>
        </w:tc>
      </w:tr>
      <w:tr w:rsidR="00DD0682" w:rsidRPr="00DD0682" w:rsidTr="00DD0682">
        <w:tblPrEx>
          <w:tblCellMar>
            <w:top w:w="0" w:type="dxa"/>
            <w:bottom w:w="0" w:type="dxa"/>
          </w:tblCellMar>
        </w:tblPrEx>
        <w:trPr>
          <w:jc w:val="center"/>
        </w:trPr>
        <w:tc>
          <w:tcPr>
            <w:tcW w:w="1250" w:type="pct"/>
          </w:tcPr>
          <w:p w:rsidR="00DD0682" w:rsidRPr="00DD0682" w:rsidRDefault="00DD0682" w:rsidP="007D362F">
            <w:pPr>
              <w:adjustRightInd w:val="0"/>
              <w:snapToGrid w:val="0"/>
              <w:jc w:val="center"/>
              <w:rPr>
                <w:snapToGrid w:val="0"/>
                <w:lang w:val="fr-FR"/>
              </w:rPr>
            </w:pPr>
            <w:r w:rsidRPr="00DD0682">
              <w:rPr>
                <w:snapToGrid w:val="0"/>
                <w:lang w:val="fr-FR"/>
              </w:rPr>
              <w:t>1981/82</w:t>
            </w:r>
          </w:p>
        </w:tc>
        <w:tc>
          <w:tcPr>
            <w:tcW w:w="1460" w:type="pct"/>
          </w:tcPr>
          <w:p w:rsidR="00DD0682" w:rsidRPr="00DD0682" w:rsidRDefault="00DD0682" w:rsidP="007D362F">
            <w:pPr>
              <w:adjustRightInd w:val="0"/>
              <w:snapToGrid w:val="0"/>
              <w:jc w:val="center"/>
              <w:rPr>
                <w:snapToGrid w:val="0"/>
                <w:rtl/>
              </w:rPr>
            </w:pPr>
            <w:r w:rsidRPr="00DD0682">
              <w:rPr>
                <w:snapToGrid w:val="0"/>
                <w:lang w:val="fr-FR"/>
              </w:rPr>
              <w:t>153.549</w:t>
            </w:r>
          </w:p>
        </w:tc>
        <w:tc>
          <w:tcPr>
            <w:tcW w:w="1163" w:type="pct"/>
          </w:tcPr>
          <w:p w:rsidR="00DD0682" w:rsidRPr="00DD0682" w:rsidRDefault="00DD0682" w:rsidP="007D362F">
            <w:pPr>
              <w:adjustRightInd w:val="0"/>
              <w:snapToGrid w:val="0"/>
              <w:jc w:val="center"/>
              <w:rPr>
                <w:snapToGrid w:val="0"/>
                <w:rtl/>
              </w:rPr>
            </w:pPr>
            <w:r w:rsidRPr="00DD0682">
              <w:rPr>
                <w:snapToGrid w:val="0"/>
                <w:lang w:val="fr-FR"/>
              </w:rPr>
              <w:t>533.684</w:t>
            </w:r>
          </w:p>
        </w:tc>
        <w:tc>
          <w:tcPr>
            <w:tcW w:w="1128" w:type="pct"/>
          </w:tcPr>
          <w:p w:rsidR="00DD0682" w:rsidRPr="00DD0682" w:rsidRDefault="00DD0682" w:rsidP="007D362F">
            <w:pPr>
              <w:adjustRightInd w:val="0"/>
              <w:snapToGrid w:val="0"/>
              <w:jc w:val="center"/>
              <w:rPr>
                <w:snapToGrid w:val="0"/>
                <w:rtl/>
              </w:rPr>
            </w:pPr>
            <w:r w:rsidRPr="00DD0682">
              <w:rPr>
                <w:snapToGrid w:val="0"/>
                <w:lang w:val="fr-FR"/>
              </w:rPr>
              <w:t>34,96</w:t>
            </w:r>
          </w:p>
        </w:tc>
      </w:tr>
      <w:tr w:rsidR="00DD0682" w:rsidRPr="00DD0682" w:rsidTr="00DD0682">
        <w:tblPrEx>
          <w:tblCellMar>
            <w:top w:w="0" w:type="dxa"/>
            <w:bottom w:w="0" w:type="dxa"/>
          </w:tblCellMar>
        </w:tblPrEx>
        <w:trPr>
          <w:jc w:val="center"/>
        </w:trPr>
        <w:tc>
          <w:tcPr>
            <w:tcW w:w="1250" w:type="pct"/>
          </w:tcPr>
          <w:p w:rsidR="00DD0682" w:rsidRPr="00DD0682" w:rsidRDefault="00DD0682" w:rsidP="007D362F">
            <w:pPr>
              <w:adjustRightInd w:val="0"/>
              <w:snapToGrid w:val="0"/>
              <w:jc w:val="center"/>
              <w:rPr>
                <w:snapToGrid w:val="0"/>
                <w:lang w:val="fr-FR"/>
              </w:rPr>
            </w:pPr>
            <w:r w:rsidRPr="00DD0682">
              <w:rPr>
                <w:snapToGrid w:val="0"/>
                <w:lang w:val="fr-FR"/>
              </w:rPr>
              <w:t>1999/00</w:t>
            </w:r>
          </w:p>
        </w:tc>
        <w:tc>
          <w:tcPr>
            <w:tcW w:w="1460" w:type="pct"/>
          </w:tcPr>
          <w:p w:rsidR="00DD0682" w:rsidRPr="00DD0682" w:rsidRDefault="00DD0682" w:rsidP="007D362F">
            <w:pPr>
              <w:adjustRightInd w:val="0"/>
              <w:snapToGrid w:val="0"/>
              <w:jc w:val="center"/>
              <w:rPr>
                <w:snapToGrid w:val="0"/>
                <w:lang w:val="fr-FR"/>
              </w:rPr>
            </w:pPr>
            <w:r w:rsidRPr="00DD0682">
              <w:rPr>
                <w:snapToGrid w:val="0"/>
                <w:lang w:val="fr-FR"/>
              </w:rPr>
              <w:t>326.584</w:t>
            </w:r>
          </w:p>
        </w:tc>
        <w:tc>
          <w:tcPr>
            <w:tcW w:w="1163" w:type="pct"/>
          </w:tcPr>
          <w:p w:rsidR="00DD0682" w:rsidRPr="00DD0682" w:rsidRDefault="00DD0682" w:rsidP="007D362F">
            <w:pPr>
              <w:adjustRightInd w:val="0"/>
              <w:snapToGrid w:val="0"/>
              <w:jc w:val="center"/>
              <w:rPr>
                <w:snapToGrid w:val="0"/>
                <w:lang w:val="fr-FR"/>
              </w:rPr>
            </w:pPr>
            <w:r w:rsidRPr="00DD0682">
              <w:rPr>
                <w:snapToGrid w:val="0"/>
                <w:lang w:val="fr-FR"/>
              </w:rPr>
              <w:t>152.405</w:t>
            </w:r>
          </w:p>
        </w:tc>
        <w:tc>
          <w:tcPr>
            <w:tcW w:w="1128" w:type="pct"/>
          </w:tcPr>
          <w:p w:rsidR="00DD0682" w:rsidRPr="00DD0682" w:rsidRDefault="00DD0682" w:rsidP="007D362F">
            <w:pPr>
              <w:adjustRightInd w:val="0"/>
              <w:snapToGrid w:val="0"/>
              <w:jc w:val="center"/>
              <w:rPr>
                <w:snapToGrid w:val="0"/>
                <w:lang w:val="fr-FR"/>
              </w:rPr>
            </w:pPr>
            <w:r w:rsidRPr="00DD0682">
              <w:rPr>
                <w:snapToGrid w:val="0"/>
                <w:lang w:val="fr-FR"/>
              </w:rPr>
              <w:t>46</w:t>
            </w:r>
            <w:r w:rsidRPr="00DD0682">
              <w:rPr>
                <w:snapToGrid w:val="0"/>
                <w:rtl/>
              </w:rPr>
              <w:t>,</w:t>
            </w:r>
            <w:r w:rsidRPr="00DD0682">
              <w:rPr>
                <w:snapToGrid w:val="0"/>
                <w:lang w:val="fr-FR"/>
              </w:rPr>
              <w:t>67</w:t>
            </w:r>
          </w:p>
        </w:tc>
      </w:tr>
      <w:tr w:rsidR="00DD0682" w:rsidRPr="00DD0682" w:rsidTr="00DD0682">
        <w:tblPrEx>
          <w:tblCellMar>
            <w:top w:w="0" w:type="dxa"/>
            <w:bottom w:w="0" w:type="dxa"/>
          </w:tblCellMar>
        </w:tblPrEx>
        <w:trPr>
          <w:jc w:val="center"/>
        </w:trPr>
        <w:tc>
          <w:tcPr>
            <w:tcW w:w="1250" w:type="pct"/>
          </w:tcPr>
          <w:p w:rsidR="00DD0682" w:rsidRPr="00DD0682" w:rsidRDefault="00DD0682" w:rsidP="007D362F">
            <w:pPr>
              <w:adjustRightInd w:val="0"/>
              <w:snapToGrid w:val="0"/>
              <w:jc w:val="center"/>
              <w:rPr>
                <w:snapToGrid w:val="0"/>
                <w:lang w:val="fr-FR"/>
              </w:rPr>
            </w:pPr>
            <w:r w:rsidRPr="00DD0682">
              <w:rPr>
                <w:snapToGrid w:val="0"/>
                <w:lang w:val="fr-FR"/>
              </w:rPr>
              <w:t>2005/06</w:t>
            </w:r>
          </w:p>
        </w:tc>
        <w:tc>
          <w:tcPr>
            <w:tcW w:w="1460" w:type="pct"/>
          </w:tcPr>
          <w:p w:rsidR="00DD0682" w:rsidRPr="00DD0682" w:rsidRDefault="00DD0682" w:rsidP="007D362F">
            <w:pPr>
              <w:adjustRightInd w:val="0"/>
              <w:snapToGrid w:val="0"/>
              <w:jc w:val="center"/>
              <w:rPr>
                <w:snapToGrid w:val="0"/>
                <w:rtl/>
              </w:rPr>
            </w:pPr>
            <w:r w:rsidRPr="00DD0682">
              <w:rPr>
                <w:snapToGrid w:val="0"/>
                <w:lang w:val="fr-FR"/>
              </w:rPr>
              <w:t>339.430</w:t>
            </w:r>
          </w:p>
        </w:tc>
        <w:tc>
          <w:tcPr>
            <w:tcW w:w="1163" w:type="pct"/>
          </w:tcPr>
          <w:p w:rsidR="00DD0682" w:rsidRPr="00DD0682" w:rsidRDefault="00DD0682" w:rsidP="007D362F">
            <w:pPr>
              <w:adjustRightInd w:val="0"/>
              <w:snapToGrid w:val="0"/>
              <w:jc w:val="center"/>
              <w:rPr>
                <w:snapToGrid w:val="0"/>
                <w:rtl/>
              </w:rPr>
            </w:pPr>
            <w:r w:rsidRPr="00DD0682">
              <w:rPr>
                <w:snapToGrid w:val="0"/>
                <w:lang w:val="fr-FR"/>
              </w:rPr>
              <w:t>172.905</w:t>
            </w:r>
          </w:p>
        </w:tc>
        <w:tc>
          <w:tcPr>
            <w:tcW w:w="1128" w:type="pct"/>
          </w:tcPr>
          <w:p w:rsidR="00DD0682" w:rsidRPr="00DD0682" w:rsidRDefault="00DD0682" w:rsidP="007D362F">
            <w:pPr>
              <w:adjustRightInd w:val="0"/>
              <w:snapToGrid w:val="0"/>
              <w:jc w:val="center"/>
              <w:rPr>
                <w:snapToGrid w:val="0"/>
                <w:rtl/>
              </w:rPr>
            </w:pPr>
            <w:r w:rsidRPr="00DD0682">
              <w:rPr>
                <w:snapToGrid w:val="0"/>
                <w:lang w:val="fr-FR"/>
              </w:rPr>
              <w:t>50,93</w:t>
            </w:r>
          </w:p>
        </w:tc>
      </w:tr>
    </w:tbl>
    <w:p w:rsidR="00DD0682" w:rsidRPr="00DD0682" w:rsidRDefault="00DD0682" w:rsidP="007D362F">
      <w:pPr>
        <w:adjustRightInd w:val="0"/>
        <w:snapToGrid w:val="0"/>
        <w:spacing w:before="480" w:after="240"/>
        <w:jc w:val="center"/>
        <w:rPr>
          <w:b/>
          <w:bCs/>
          <w:snapToGrid w:val="0"/>
        </w:rPr>
      </w:pPr>
      <w:r w:rsidRPr="00DD0682">
        <w:rPr>
          <w:b/>
          <w:bCs/>
          <w:snapToGrid w:val="0"/>
        </w:rPr>
        <w:t>En los ciclos primero y segundo de enseñanza</w:t>
      </w:r>
      <w:r w:rsidRPr="00DD0682">
        <w:rPr>
          <w:b/>
          <w:bCs/>
          <w:snapToGrid w:val="0"/>
        </w:rPr>
        <w:br/>
        <w:t>básica (enseñanza primaria)</w:t>
      </w:r>
    </w:p>
    <w:tbl>
      <w:tblPr>
        <w:tblW w:w="4043" w:type="pct"/>
        <w:jc w:val="center"/>
        <w:tblInd w:w="1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1920"/>
        <w:gridCol w:w="2281"/>
        <w:gridCol w:w="1800"/>
        <w:gridCol w:w="1673"/>
      </w:tblGrid>
      <w:tr w:rsidR="00DD0682" w:rsidRPr="00DD0682" w:rsidTr="00DD0682">
        <w:tblPrEx>
          <w:tblCellMar>
            <w:top w:w="0" w:type="dxa"/>
            <w:bottom w:w="0" w:type="dxa"/>
          </w:tblCellMar>
        </w:tblPrEx>
        <w:trPr>
          <w:jc w:val="center"/>
        </w:trPr>
        <w:tc>
          <w:tcPr>
            <w:tcW w:w="1251" w:type="pct"/>
          </w:tcPr>
          <w:p w:rsidR="00DD0682" w:rsidRPr="00DD0682" w:rsidRDefault="00DD0682" w:rsidP="007D362F">
            <w:pPr>
              <w:adjustRightInd w:val="0"/>
              <w:snapToGrid w:val="0"/>
              <w:jc w:val="center"/>
              <w:rPr>
                <w:b/>
                <w:snapToGrid w:val="0"/>
                <w:lang w:val="es-ES_tradnl"/>
              </w:rPr>
            </w:pPr>
            <w:r w:rsidRPr="00DD0682">
              <w:rPr>
                <w:b/>
                <w:snapToGrid w:val="0"/>
                <w:lang w:val="es-ES_tradnl"/>
              </w:rPr>
              <w:t>Año escolar</w:t>
            </w:r>
          </w:p>
        </w:tc>
        <w:tc>
          <w:tcPr>
            <w:tcW w:w="1486" w:type="pct"/>
          </w:tcPr>
          <w:p w:rsidR="00DD0682" w:rsidRPr="00DD0682" w:rsidRDefault="00DD0682" w:rsidP="007D362F">
            <w:pPr>
              <w:adjustRightInd w:val="0"/>
              <w:snapToGrid w:val="0"/>
              <w:jc w:val="center"/>
              <w:rPr>
                <w:b/>
                <w:snapToGrid w:val="0"/>
                <w:lang w:val="es-ES_tradnl"/>
              </w:rPr>
            </w:pPr>
            <w:r w:rsidRPr="00DD0682">
              <w:rPr>
                <w:b/>
                <w:snapToGrid w:val="0"/>
                <w:lang w:val="es-ES_tradnl"/>
              </w:rPr>
              <w:t>Total de profesores</w:t>
            </w:r>
          </w:p>
        </w:tc>
        <w:tc>
          <w:tcPr>
            <w:tcW w:w="1173" w:type="pct"/>
          </w:tcPr>
          <w:p w:rsidR="00DD0682" w:rsidRPr="00DD0682" w:rsidRDefault="00DD0682" w:rsidP="007D362F">
            <w:pPr>
              <w:adjustRightInd w:val="0"/>
              <w:snapToGrid w:val="0"/>
              <w:jc w:val="center"/>
              <w:rPr>
                <w:b/>
                <w:snapToGrid w:val="0"/>
                <w:lang w:val="es-ES_tradnl"/>
              </w:rPr>
            </w:pPr>
            <w:r w:rsidRPr="00DD0682">
              <w:rPr>
                <w:b/>
                <w:snapToGrid w:val="0"/>
                <w:lang w:val="es-ES_tradnl"/>
              </w:rPr>
              <w:t>Mujeres</w:t>
            </w:r>
          </w:p>
        </w:tc>
        <w:tc>
          <w:tcPr>
            <w:tcW w:w="1091" w:type="pct"/>
          </w:tcPr>
          <w:p w:rsidR="00DD0682" w:rsidRPr="00DD0682" w:rsidRDefault="00DD0682" w:rsidP="007D362F">
            <w:pPr>
              <w:adjustRightInd w:val="0"/>
              <w:snapToGrid w:val="0"/>
              <w:jc w:val="center"/>
              <w:rPr>
                <w:b/>
                <w:snapToGrid w:val="0"/>
                <w:lang w:val="es-ES_tradnl"/>
              </w:rPr>
            </w:pPr>
            <w:r w:rsidRPr="00DD0682">
              <w:rPr>
                <w:b/>
                <w:snapToGrid w:val="0"/>
                <w:lang w:val="es-ES_tradnl"/>
              </w:rPr>
              <w:t>Porcentaje</w:t>
            </w:r>
          </w:p>
        </w:tc>
      </w:tr>
      <w:tr w:rsidR="00DD0682" w:rsidRPr="00DD0682" w:rsidTr="00DD0682">
        <w:tblPrEx>
          <w:tblCellMar>
            <w:top w:w="0" w:type="dxa"/>
            <w:bottom w:w="0" w:type="dxa"/>
          </w:tblCellMar>
        </w:tblPrEx>
        <w:trPr>
          <w:jc w:val="center"/>
        </w:trPr>
        <w:tc>
          <w:tcPr>
            <w:tcW w:w="1251" w:type="pct"/>
          </w:tcPr>
          <w:p w:rsidR="00DD0682" w:rsidRPr="00DD0682" w:rsidRDefault="00DD0682" w:rsidP="007D362F">
            <w:pPr>
              <w:adjustRightInd w:val="0"/>
              <w:snapToGrid w:val="0"/>
              <w:jc w:val="center"/>
              <w:rPr>
                <w:snapToGrid w:val="0"/>
              </w:rPr>
            </w:pPr>
            <w:r w:rsidRPr="00DD0682">
              <w:rPr>
                <w:snapToGrid w:val="0"/>
              </w:rPr>
              <w:t>1982/83</w:t>
            </w:r>
          </w:p>
        </w:tc>
        <w:tc>
          <w:tcPr>
            <w:tcW w:w="1486" w:type="pct"/>
          </w:tcPr>
          <w:p w:rsidR="00DD0682" w:rsidRPr="00DD0682" w:rsidRDefault="00DD0682" w:rsidP="007D362F">
            <w:pPr>
              <w:adjustRightInd w:val="0"/>
              <w:snapToGrid w:val="0"/>
              <w:jc w:val="center"/>
              <w:rPr>
                <w:snapToGrid w:val="0"/>
                <w:rtl/>
              </w:rPr>
            </w:pPr>
            <w:r w:rsidRPr="00DD0682">
              <w:rPr>
                <w:snapToGrid w:val="0"/>
              </w:rPr>
              <w:t>100.288</w:t>
            </w:r>
          </w:p>
        </w:tc>
        <w:tc>
          <w:tcPr>
            <w:tcW w:w="1173" w:type="pct"/>
          </w:tcPr>
          <w:p w:rsidR="00DD0682" w:rsidRPr="00DD0682" w:rsidRDefault="00DD0682" w:rsidP="007D362F">
            <w:pPr>
              <w:adjustRightInd w:val="0"/>
              <w:snapToGrid w:val="0"/>
              <w:jc w:val="center"/>
              <w:rPr>
                <w:snapToGrid w:val="0"/>
                <w:rtl/>
              </w:rPr>
            </w:pPr>
            <w:r w:rsidRPr="00DD0682">
              <w:rPr>
                <w:snapToGrid w:val="0"/>
              </w:rPr>
              <w:t>37.244</w:t>
            </w:r>
          </w:p>
        </w:tc>
        <w:tc>
          <w:tcPr>
            <w:tcW w:w="1091" w:type="pct"/>
          </w:tcPr>
          <w:p w:rsidR="00DD0682" w:rsidRPr="00DD0682" w:rsidRDefault="00DD0682" w:rsidP="007D362F">
            <w:pPr>
              <w:adjustRightInd w:val="0"/>
              <w:snapToGrid w:val="0"/>
              <w:jc w:val="center"/>
              <w:rPr>
                <w:snapToGrid w:val="0"/>
                <w:rtl/>
              </w:rPr>
            </w:pPr>
            <w:r w:rsidRPr="00DD0682">
              <w:rPr>
                <w:snapToGrid w:val="0"/>
              </w:rPr>
              <w:t>37,14</w:t>
            </w:r>
          </w:p>
        </w:tc>
      </w:tr>
      <w:tr w:rsidR="00DD0682" w:rsidRPr="00DD0682" w:rsidTr="00DD0682">
        <w:tblPrEx>
          <w:tblCellMar>
            <w:top w:w="0" w:type="dxa"/>
            <w:bottom w:w="0" w:type="dxa"/>
          </w:tblCellMar>
        </w:tblPrEx>
        <w:trPr>
          <w:jc w:val="center"/>
        </w:trPr>
        <w:tc>
          <w:tcPr>
            <w:tcW w:w="1251" w:type="pct"/>
          </w:tcPr>
          <w:p w:rsidR="00DD0682" w:rsidRPr="00DD0682" w:rsidRDefault="00DD0682" w:rsidP="007D362F">
            <w:pPr>
              <w:adjustRightInd w:val="0"/>
              <w:snapToGrid w:val="0"/>
              <w:jc w:val="center"/>
              <w:rPr>
                <w:snapToGrid w:val="0"/>
              </w:rPr>
            </w:pPr>
            <w:r w:rsidRPr="00DD0682">
              <w:rPr>
                <w:snapToGrid w:val="0"/>
              </w:rPr>
              <w:t>1999/00</w:t>
            </w:r>
          </w:p>
        </w:tc>
        <w:tc>
          <w:tcPr>
            <w:tcW w:w="1486" w:type="pct"/>
          </w:tcPr>
          <w:p w:rsidR="00DD0682" w:rsidRPr="00DD0682" w:rsidRDefault="00DD0682" w:rsidP="007D362F">
            <w:pPr>
              <w:adjustRightInd w:val="0"/>
              <w:snapToGrid w:val="0"/>
              <w:jc w:val="center"/>
              <w:rPr>
                <w:snapToGrid w:val="0"/>
              </w:rPr>
            </w:pPr>
            <w:r w:rsidRPr="00DD0682">
              <w:rPr>
                <w:snapToGrid w:val="0"/>
              </w:rPr>
              <w:t>170.562</w:t>
            </w:r>
          </w:p>
        </w:tc>
        <w:tc>
          <w:tcPr>
            <w:tcW w:w="1173" w:type="pct"/>
          </w:tcPr>
          <w:p w:rsidR="00DD0682" w:rsidRPr="00DD0682" w:rsidRDefault="00DD0682" w:rsidP="007D362F">
            <w:pPr>
              <w:adjustRightInd w:val="0"/>
              <w:snapToGrid w:val="0"/>
              <w:jc w:val="center"/>
              <w:rPr>
                <w:snapToGrid w:val="0"/>
              </w:rPr>
            </w:pPr>
            <w:r w:rsidRPr="00DD0682">
              <w:rPr>
                <w:snapToGrid w:val="0"/>
              </w:rPr>
              <w:t>78.629</w:t>
            </w:r>
          </w:p>
        </w:tc>
        <w:tc>
          <w:tcPr>
            <w:tcW w:w="1091" w:type="pct"/>
          </w:tcPr>
          <w:p w:rsidR="00DD0682" w:rsidRPr="00DD0682" w:rsidRDefault="00DD0682" w:rsidP="007D362F">
            <w:pPr>
              <w:adjustRightInd w:val="0"/>
              <w:snapToGrid w:val="0"/>
              <w:jc w:val="center"/>
              <w:rPr>
                <w:snapToGrid w:val="0"/>
              </w:rPr>
            </w:pPr>
            <w:r w:rsidRPr="00DD0682">
              <w:rPr>
                <w:snapToGrid w:val="0"/>
              </w:rPr>
              <w:t>37,14</w:t>
            </w:r>
          </w:p>
        </w:tc>
      </w:tr>
      <w:tr w:rsidR="00DD0682" w:rsidRPr="00DD0682" w:rsidTr="00DD0682">
        <w:tblPrEx>
          <w:tblCellMar>
            <w:top w:w="0" w:type="dxa"/>
            <w:bottom w:w="0" w:type="dxa"/>
          </w:tblCellMar>
        </w:tblPrEx>
        <w:trPr>
          <w:jc w:val="center"/>
        </w:trPr>
        <w:tc>
          <w:tcPr>
            <w:tcW w:w="1251" w:type="pct"/>
          </w:tcPr>
          <w:p w:rsidR="00DD0682" w:rsidRPr="00DD0682" w:rsidRDefault="00DD0682" w:rsidP="007D362F">
            <w:pPr>
              <w:adjustRightInd w:val="0"/>
              <w:snapToGrid w:val="0"/>
              <w:jc w:val="center"/>
              <w:rPr>
                <w:snapToGrid w:val="0"/>
              </w:rPr>
            </w:pPr>
            <w:r w:rsidRPr="00DD0682">
              <w:rPr>
                <w:snapToGrid w:val="0"/>
              </w:rPr>
              <w:t>2005/06</w:t>
            </w:r>
          </w:p>
        </w:tc>
        <w:tc>
          <w:tcPr>
            <w:tcW w:w="1486" w:type="pct"/>
          </w:tcPr>
          <w:p w:rsidR="00DD0682" w:rsidRPr="00DD0682" w:rsidRDefault="00DD0682" w:rsidP="007D362F">
            <w:pPr>
              <w:adjustRightInd w:val="0"/>
              <w:snapToGrid w:val="0"/>
              <w:jc w:val="center"/>
              <w:rPr>
                <w:snapToGrid w:val="0"/>
                <w:rtl/>
              </w:rPr>
            </w:pPr>
            <w:r w:rsidRPr="00DD0682">
              <w:rPr>
                <w:snapToGrid w:val="0"/>
              </w:rPr>
              <w:t>171.402</w:t>
            </w:r>
          </w:p>
        </w:tc>
        <w:tc>
          <w:tcPr>
            <w:tcW w:w="1173" w:type="pct"/>
          </w:tcPr>
          <w:p w:rsidR="00DD0682" w:rsidRPr="00DD0682" w:rsidRDefault="00DD0682" w:rsidP="007D362F">
            <w:pPr>
              <w:adjustRightInd w:val="0"/>
              <w:snapToGrid w:val="0"/>
              <w:jc w:val="center"/>
              <w:rPr>
                <w:snapToGrid w:val="0"/>
                <w:rtl/>
              </w:rPr>
            </w:pPr>
            <w:r w:rsidRPr="00DD0682">
              <w:rPr>
                <w:snapToGrid w:val="0"/>
                <w:lang w:val="fr-FR"/>
              </w:rPr>
              <w:t>88.295</w:t>
            </w:r>
          </w:p>
        </w:tc>
        <w:tc>
          <w:tcPr>
            <w:tcW w:w="1091" w:type="pct"/>
          </w:tcPr>
          <w:p w:rsidR="00DD0682" w:rsidRPr="00DD0682" w:rsidRDefault="00DD0682" w:rsidP="007D362F">
            <w:pPr>
              <w:adjustRightInd w:val="0"/>
              <w:snapToGrid w:val="0"/>
              <w:jc w:val="center"/>
              <w:rPr>
                <w:snapToGrid w:val="0"/>
                <w:rtl/>
              </w:rPr>
            </w:pPr>
            <w:r w:rsidRPr="00DD0682">
              <w:rPr>
                <w:snapToGrid w:val="0"/>
                <w:lang w:val="fr-FR"/>
              </w:rPr>
              <w:t>51,51</w:t>
            </w:r>
          </w:p>
        </w:tc>
      </w:tr>
    </w:tbl>
    <w:p w:rsidR="00DD0682" w:rsidRPr="00DD0682" w:rsidRDefault="00DD0682" w:rsidP="007D362F">
      <w:pPr>
        <w:adjustRightInd w:val="0"/>
        <w:snapToGrid w:val="0"/>
        <w:spacing w:before="480" w:after="240"/>
        <w:jc w:val="center"/>
        <w:rPr>
          <w:b/>
          <w:bCs/>
          <w:snapToGrid w:val="0"/>
        </w:rPr>
      </w:pPr>
      <w:r w:rsidRPr="00DD0682">
        <w:rPr>
          <w:b/>
          <w:bCs/>
          <w:snapToGrid w:val="0"/>
        </w:rPr>
        <w:t>E</w:t>
      </w:r>
      <w:r w:rsidRPr="00DD0682">
        <w:rPr>
          <w:b/>
          <w:bCs/>
          <w:snapToGrid w:val="0"/>
          <w:lang w:val="es-ES_tradnl"/>
        </w:rPr>
        <w:t>n el tercer ciclo de enseñanza básica (enseñanza media)</w:t>
      </w:r>
    </w:p>
    <w:tbl>
      <w:tblPr>
        <w:tblW w:w="4025" w:type="pct"/>
        <w:jc w:val="center"/>
        <w:tblInd w:w="1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1848"/>
        <w:gridCol w:w="2337"/>
        <w:gridCol w:w="1799"/>
        <w:gridCol w:w="1656"/>
      </w:tblGrid>
      <w:tr w:rsidR="00DD0682" w:rsidRPr="00DD0682" w:rsidTr="00DD0682">
        <w:tblPrEx>
          <w:tblCellMar>
            <w:top w:w="0" w:type="dxa"/>
            <w:bottom w:w="0" w:type="dxa"/>
          </w:tblCellMar>
        </w:tblPrEx>
        <w:trPr>
          <w:jc w:val="center"/>
        </w:trPr>
        <w:tc>
          <w:tcPr>
            <w:tcW w:w="1209" w:type="pct"/>
          </w:tcPr>
          <w:p w:rsidR="00DD0682" w:rsidRPr="00DD0682" w:rsidRDefault="00DD0682" w:rsidP="007D362F">
            <w:pPr>
              <w:adjustRightInd w:val="0"/>
              <w:snapToGrid w:val="0"/>
              <w:jc w:val="center"/>
              <w:rPr>
                <w:b/>
                <w:snapToGrid w:val="0"/>
                <w:lang w:val="es-ES_tradnl"/>
              </w:rPr>
            </w:pPr>
            <w:r w:rsidRPr="00DD0682">
              <w:rPr>
                <w:b/>
                <w:snapToGrid w:val="0"/>
                <w:lang w:val="es-ES_tradnl"/>
              </w:rPr>
              <w:t>Año escolar</w:t>
            </w:r>
          </w:p>
        </w:tc>
        <w:tc>
          <w:tcPr>
            <w:tcW w:w="1529" w:type="pct"/>
          </w:tcPr>
          <w:p w:rsidR="00DD0682" w:rsidRPr="00DD0682" w:rsidRDefault="00DD0682" w:rsidP="007D362F">
            <w:pPr>
              <w:adjustRightInd w:val="0"/>
              <w:snapToGrid w:val="0"/>
              <w:jc w:val="center"/>
              <w:rPr>
                <w:b/>
                <w:snapToGrid w:val="0"/>
                <w:lang w:val="es-ES_tradnl"/>
              </w:rPr>
            </w:pPr>
            <w:r w:rsidRPr="00DD0682">
              <w:rPr>
                <w:b/>
                <w:snapToGrid w:val="0"/>
                <w:lang w:val="es-ES_tradnl"/>
              </w:rPr>
              <w:t>Total de profesores</w:t>
            </w:r>
          </w:p>
        </w:tc>
        <w:tc>
          <w:tcPr>
            <w:tcW w:w="1177" w:type="pct"/>
          </w:tcPr>
          <w:p w:rsidR="00DD0682" w:rsidRPr="00DD0682" w:rsidRDefault="00DD0682" w:rsidP="007D362F">
            <w:pPr>
              <w:adjustRightInd w:val="0"/>
              <w:snapToGrid w:val="0"/>
              <w:jc w:val="center"/>
              <w:rPr>
                <w:b/>
                <w:snapToGrid w:val="0"/>
                <w:lang w:val="es-ES_tradnl"/>
              </w:rPr>
            </w:pPr>
            <w:r w:rsidRPr="00DD0682">
              <w:rPr>
                <w:b/>
                <w:snapToGrid w:val="0"/>
                <w:lang w:val="es-ES_tradnl"/>
              </w:rPr>
              <w:t>Mujeres</w:t>
            </w:r>
          </w:p>
        </w:tc>
        <w:tc>
          <w:tcPr>
            <w:tcW w:w="1084" w:type="pct"/>
          </w:tcPr>
          <w:p w:rsidR="00DD0682" w:rsidRPr="00DD0682" w:rsidRDefault="00DD0682" w:rsidP="007D362F">
            <w:pPr>
              <w:adjustRightInd w:val="0"/>
              <w:snapToGrid w:val="0"/>
              <w:jc w:val="center"/>
              <w:rPr>
                <w:b/>
                <w:snapToGrid w:val="0"/>
                <w:lang w:val="es-ES_tradnl"/>
              </w:rPr>
            </w:pPr>
            <w:r w:rsidRPr="00DD0682">
              <w:rPr>
                <w:b/>
                <w:snapToGrid w:val="0"/>
                <w:lang w:val="es-ES_tradnl"/>
              </w:rPr>
              <w:t>Porcentaje</w:t>
            </w:r>
          </w:p>
        </w:tc>
      </w:tr>
      <w:tr w:rsidR="00DD0682" w:rsidRPr="00DD0682" w:rsidTr="00DD0682">
        <w:tblPrEx>
          <w:tblCellMar>
            <w:top w:w="0" w:type="dxa"/>
            <w:bottom w:w="0" w:type="dxa"/>
          </w:tblCellMar>
        </w:tblPrEx>
        <w:trPr>
          <w:jc w:val="center"/>
        </w:trPr>
        <w:tc>
          <w:tcPr>
            <w:tcW w:w="1209" w:type="pct"/>
          </w:tcPr>
          <w:p w:rsidR="00DD0682" w:rsidRPr="00DD0682" w:rsidRDefault="00DD0682" w:rsidP="007D362F">
            <w:pPr>
              <w:adjustRightInd w:val="0"/>
              <w:snapToGrid w:val="0"/>
              <w:jc w:val="center"/>
              <w:rPr>
                <w:snapToGrid w:val="0"/>
                <w:lang w:val="fr-FR"/>
              </w:rPr>
            </w:pPr>
            <w:r w:rsidRPr="00DD0682">
              <w:rPr>
                <w:snapToGrid w:val="0"/>
                <w:lang w:val="fr-FR"/>
              </w:rPr>
              <w:t>1982/83</w:t>
            </w:r>
          </w:p>
        </w:tc>
        <w:tc>
          <w:tcPr>
            <w:tcW w:w="1529" w:type="pct"/>
          </w:tcPr>
          <w:p w:rsidR="00DD0682" w:rsidRPr="00DD0682" w:rsidRDefault="00DD0682" w:rsidP="007D362F">
            <w:pPr>
              <w:adjustRightInd w:val="0"/>
              <w:snapToGrid w:val="0"/>
              <w:jc w:val="center"/>
              <w:rPr>
                <w:snapToGrid w:val="0"/>
                <w:rtl/>
              </w:rPr>
            </w:pPr>
            <w:r w:rsidRPr="00DD0682">
              <w:rPr>
                <w:snapToGrid w:val="0"/>
                <w:lang w:val="fr-FR"/>
              </w:rPr>
              <w:t>38.969</w:t>
            </w:r>
          </w:p>
        </w:tc>
        <w:tc>
          <w:tcPr>
            <w:tcW w:w="1177" w:type="pct"/>
          </w:tcPr>
          <w:p w:rsidR="00DD0682" w:rsidRPr="00DD0682" w:rsidRDefault="00DD0682" w:rsidP="007D362F">
            <w:pPr>
              <w:adjustRightInd w:val="0"/>
              <w:snapToGrid w:val="0"/>
              <w:jc w:val="center"/>
              <w:rPr>
                <w:snapToGrid w:val="0"/>
                <w:rtl/>
              </w:rPr>
            </w:pPr>
            <w:r w:rsidRPr="00DD0682">
              <w:rPr>
                <w:snapToGrid w:val="0"/>
                <w:lang w:val="fr-FR"/>
              </w:rPr>
              <w:t>13.535</w:t>
            </w:r>
          </w:p>
        </w:tc>
        <w:tc>
          <w:tcPr>
            <w:tcW w:w="1084" w:type="pct"/>
          </w:tcPr>
          <w:p w:rsidR="00DD0682" w:rsidRPr="00DD0682" w:rsidRDefault="00DD0682" w:rsidP="007D362F">
            <w:pPr>
              <w:adjustRightInd w:val="0"/>
              <w:snapToGrid w:val="0"/>
              <w:jc w:val="center"/>
              <w:rPr>
                <w:snapToGrid w:val="0"/>
                <w:rtl/>
              </w:rPr>
            </w:pPr>
            <w:r w:rsidRPr="00DD0682">
              <w:rPr>
                <w:snapToGrid w:val="0"/>
                <w:lang w:val="fr-FR"/>
              </w:rPr>
              <w:t>46,10</w:t>
            </w:r>
          </w:p>
        </w:tc>
      </w:tr>
      <w:tr w:rsidR="00DD0682" w:rsidRPr="00DD0682" w:rsidTr="00DD0682">
        <w:tblPrEx>
          <w:tblCellMar>
            <w:top w:w="0" w:type="dxa"/>
            <w:bottom w:w="0" w:type="dxa"/>
          </w:tblCellMar>
        </w:tblPrEx>
        <w:trPr>
          <w:jc w:val="center"/>
        </w:trPr>
        <w:tc>
          <w:tcPr>
            <w:tcW w:w="1209" w:type="pct"/>
          </w:tcPr>
          <w:p w:rsidR="00DD0682" w:rsidRPr="00DD0682" w:rsidRDefault="00DD0682" w:rsidP="007D362F">
            <w:pPr>
              <w:adjustRightInd w:val="0"/>
              <w:snapToGrid w:val="0"/>
              <w:jc w:val="center"/>
              <w:rPr>
                <w:snapToGrid w:val="0"/>
                <w:lang w:val="fr-FR"/>
              </w:rPr>
            </w:pPr>
            <w:r w:rsidRPr="00DD0682">
              <w:rPr>
                <w:snapToGrid w:val="0"/>
                <w:lang w:val="fr-FR"/>
              </w:rPr>
              <w:t>1999/00</w:t>
            </w:r>
          </w:p>
        </w:tc>
        <w:tc>
          <w:tcPr>
            <w:tcW w:w="1529" w:type="pct"/>
          </w:tcPr>
          <w:p w:rsidR="00DD0682" w:rsidRPr="00DD0682" w:rsidRDefault="00DD0682" w:rsidP="007D362F">
            <w:pPr>
              <w:adjustRightInd w:val="0"/>
              <w:snapToGrid w:val="0"/>
              <w:jc w:val="center"/>
              <w:rPr>
                <w:snapToGrid w:val="0"/>
                <w:lang w:val="fr-FR"/>
              </w:rPr>
            </w:pPr>
            <w:r w:rsidRPr="00DD0682">
              <w:rPr>
                <w:snapToGrid w:val="0"/>
                <w:lang w:val="fr-FR"/>
              </w:rPr>
              <w:t>101.261</w:t>
            </w:r>
          </w:p>
        </w:tc>
        <w:tc>
          <w:tcPr>
            <w:tcW w:w="1177" w:type="pct"/>
          </w:tcPr>
          <w:p w:rsidR="00DD0682" w:rsidRPr="00DD0682" w:rsidRDefault="00DD0682" w:rsidP="007D362F">
            <w:pPr>
              <w:adjustRightInd w:val="0"/>
              <w:snapToGrid w:val="0"/>
              <w:jc w:val="center"/>
              <w:rPr>
                <w:snapToGrid w:val="0"/>
                <w:lang w:val="fr-FR"/>
              </w:rPr>
            </w:pPr>
            <w:r w:rsidRPr="00DD0682">
              <w:rPr>
                <w:snapToGrid w:val="0"/>
                <w:lang w:val="fr-FR"/>
              </w:rPr>
              <w:t>50.242</w:t>
            </w:r>
          </w:p>
        </w:tc>
        <w:tc>
          <w:tcPr>
            <w:tcW w:w="1084" w:type="pct"/>
          </w:tcPr>
          <w:p w:rsidR="00DD0682" w:rsidRPr="00DD0682" w:rsidRDefault="00DD0682" w:rsidP="007D362F">
            <w:pPr>
              <w:adjustRightInd w:val="0"/>
              <w:snapToGrid w:val="0"/>
              <w:jc w:val="center"/>
              <w:rPr>
                <w:snapToGrid w:val="0"/>
                <w:lang w:val="fr-FR"/>
              </w:rPr>
            </w:pPr>
            <w:r w:rsidRPr="00DD0682">
              <w:rPr>
                <w:snapToGrid w:val="0"/>
                <w:lang w:val="fr-FR"/>
              </w:rPr>
              <w:t>49,62</w:t>
            </w:r>
          </w:p>
        </w:tc>
      </w:tr>
      <w:tr w:rsidR="00DD0682" w:rsidRPr="00DD0682" w:rsidTr="00DD0682">
        <w:tblPrEx>
          <w:tblCellMar>
            <w:top w:w="0" w:type="dxa"/>
            <w:bottom w:w="0" w:type="dxa"/>
          </w:tblCellMar>
        </w:tblPrEx>
        <w:trPr>
          <w:jc w:val="center"/>
        </w:trPr>
        <w:tc>
          <w:tcPr>
            <w:tcW w:w="1209" w:type="pct"/>
          </w:tcPr>
          <w:p w:rsidR="00DD0682" w:rsidRPr="00DD0682" w:rsidRDefault="00DD0682" w:rsidP="007D362F">
            <w:pPr>
              <w:adjustRightInd w:val="0"/>
              <w:snapToGrid w:val="0"/>
              <w:jc w:val="center"/>
              <w:rPr>
                <w:snapToGrid w:val="0"/>
                <w:lang w:val="fr-FR"/>
              </w:rPr>
            </w:pPr>
            <w:r w:rsidRPr="00DD0682">
              <w:rPr>
                <w:snapToGrid w:val="0"/>
                <w:lang w:val="fr-FR"/>
              </w:rPr>
              <w:t>2005/06</w:t>
            </w:r>
          </w:p>
        </w:tc>
        <w:tc>
          <w:tcPr>
            <w:tcW w:w="1529" w:type="pct"/>
          </w:tcPr>
          <w:p w:rsidR="00DD0682" w:rsidRPr="00DD0682" w:rsidRDefault="00DD0682" w:rsidP="007D362F">
            <w:pPr>
              <w:adjustRightInd w:val="0"/>
              <w:snapToGrid w:val="0"/>
              <w:jc w:val="center"/>
              <w:rPr>
                <w:snapToGrid w:val="0"/>
                <w:rtl/>
              </w:rPr>
            </w:pPr>
            <w:r w:rsidRPr="00DD0682">
              <w:rPr>
                <w:snapToGrid w:val="0"/>
                <w:lang w:val="fr-FR"/>
              </w:rPr>
              <w:t>109.578</w:t>
            </w:r>
          </w:p>
        </w:tc>
        <w:tc>
          <w:tcPr>
            <w:tcW w:w="1177" w:type="pct"/>
          </w:tcPr>
          <w:p w:rsidR="00DD0682" w:rsidRPr="00DD0682" w:rsidRDefault="00DD0682" w:rsidP="007D362F">
            <w:pPr>
              <w:adjustRightInd w:val="0"/>
              <w:snapToGrid w:val="0"/>
              <w:jc w:val="center"/>
              <w:rPr>
                <w:snapToGrid w:val="0"/>
                <w:rtl/>
              </w:rPr>
            </w:pPr>
            <w:r w:rsidRPr="00DD0682">
              <w:rPr>
                <w:snapToGrid w:val="0"/>
                <w:lang w:val="fr-FR"/>
              </w:rPr>
              <w:t>58.293</w:t>
            </w:r>
          </w:p>
        </w:tc>
        <w:tc>
          <w:tcPr>
            <w:tcW w:w="1084" w:type="pct"/>
          </w:tcPr>
          <w:p w:rsidR="00DD0682" w:rsidRPr="00DD0682" w:rsidRDefault="00DD0682" w:rsidP="007D362F">
            <w:pPr>
              <w:adjustRightInd w:val="0"/>
              <w:snapToGrid w:val="0"/>
              <w:jc w:val="center"/>
              <w:rPr>
                <w:snapToGrid w:val="0"/>
                <w:rtl/>
              </w:rPr>
            </w:pPr>
            <w:r w:rsidRPr="00DD0682">
              <w:rPr>
                <w:snapToGrid w:val="0"/>
                <w:lang w:val="fr-FR"/>
              </w:rPr>
              <w:t>53,19</w:t>
            </w:r>
          </w:p>
        </w:tc>
      </w:tr>
    </w:tbl>
    <w:p w:rsidR="00DD0682" w:rsidRPr="00DD0682" w:rsidRDefault="00DD0682" w:rsidP="007D362F">
      <w:pPr>
        <w:adjustRightInd w:val="0"/>
        <w:snapToGrid w:val="0"/>
        <w:spacing w:before="480" w:after="240"/>
        <w:jc w:val="center"/>
        <w:rPr>
          <w:b/>
          <w:bCs/>
          <w:snapToGrid w:val="0"/>
          <w:lang w:val="fr-FR"/>
        </w:rPr>
      </w:pPr>
      <w:r w:rsidRPr="00DD0682">
        <w:rPr>
          <w:b/>
          <w:bCs/>
          <w:snapToGrid w:val="0"/>
          <w:lang w:val="fr-FR"/>
        </w:rPr>
        <w:t>En la enseñanza secundaria</w:t>
      </w:r>
    </w:p>
    <w:tbl>
      <w:tblPr>
        <w:tblW w:w="4041" w:type="pct"/>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1877"/>
        <w:gridCol w:w="2338"/>
        <w:gridCol w:w="1790"/>
        <w:gridCol w:w="1666"/>
      </w:tblGrid>
      <w:tr w:rsidR="00DD0682" w:rsidRPr="00DD0682" w:rsidTr="00DD0682">
        <w:tblPrEx>
          <w:tblCellMar>
            <w:top w:w="0" w:type="dxa"/>
            <w:bottom w:w="0" w:type="dxa"/>
          </w:tblCellMar>
        </w:tblPrEx>
        <w:tc>
          <w:tcPr>
            <w:tcW w:w="1223" w:type="pct"/>
          </w:tcPr>
          <w:p w:rsidR="00DD0682" w:rsidRPr="00DD0682" w:rsidRDefault="00DD0682" w:rsidP="007D362F">
            <w:pPr>
              <w:adjustRightInd w:val="0"/>
              <w:snapToGrid w:val="0"/>
              <w:jc w:val="center"/>
              <w:rPr>
                <w:b/>
                <w:snapToGrid w:val="0"/>
                <w:lang w:val="es-ES_tradnl"/>
              </w:rPr>
            </w:pPr>
            <w:r w:rsidRPr="00DD0682">
              <w:rPr>
                <w:b/>
                <w:snapToGrid w:val="0"/>
                <w:lang w:val="es-ES_tradnl"/>
              </w:rPr>
              <w:t>Año escolar</w:t>
            </w:r>
          </w:p>
        </w:tc>
        <w:tc>
          <w:tcPr>
            <w:tcW w:w="1524" w:type="pct"/>
          </w:tcPr>
          <w:p w:rsidR="00DD0682" w:rsidRPr="00DD0682" w:rsidRDefault="00DD0682" w:rsidP="007D362F">
            <w:pPr>
              <w:adjustRightInd w:val="0"/>
              <w:snapToGrid w:val="0"/>
              <w:jc w:val="center"/>
              <w:rPr>
                <w:b/>
                <w:snapToGrid w:val="0"/>
                <w:lang w:val="es-ES_tradnl"/>
              </w:rPr>
            </w:pPr>
            <w:r w:rsidRPr="00DD0682">
              <w:rPr>
                <w:b/>
                <w:snapToGrid w:val="0"/>
                <w:lang w:val="es-ES_tradnl"/>
              </w:rPr>
              <w:t>Total de profesores</w:t>
            </w:r>
          </w:p>
        </w:tc>
        <w:tc>
          <w:tcPr>
            <w:tcW w:w="1167" w:type="pct"/>
          </w:tcPr>
          <w:p w:rsidR="00DD0682" w:rsidRPr="00DD0682" w:rsidRDefault="00DD0682" w:rsidP="007D362F">
            <w:pPr>
              <w:adjustRightInd w:val="0"/>
              <w:snapToGrid w:val="0"/>
              <w:jc w:val="center"/>
              <w:rPr>
                <w:b/>
                <w:snapToGrid w:val="0"/>
                <w:lang w:val="es-ES_tradnl"/>
              </w:rPr>
            </w:pPr>
            <w:r w:rsidRPr="00DD0682">
              <w:rPr>
                <w:b/>
                <w:snapToGrid w:val="0"/>
                <w:lang w:val="es-ES_tradnl"/>
              </w:rPr>
              <w:t>Mujeres</w:t>
            </w:r>
          </w:p>
        </w:tc>
        <w:tc>
          <w:tcPr>
            <w:tcW w:w="1086" w:type="pct"/>
          </w:tcPr>
          <w:p w:rsidR="00DD0682" w:rsidRPr="00DD0682" w:rsidRDefault="00DD0682" w:rsidP="007D362F">
            <w:pPr>
              <w:adjustRightInd w:val="0"/>
              <w:snapToGrid w:val="0"/>
              <w:jc w:val="center"/>
              <w:rPr>
                <w:b/>
                <w:snapToGrid w:val="0"/>
                <w:lang w:val="es-ES_tradnl"/>
              </w:rPr>
            </w:pPr>
            <w:r w:rsidRPr="00DD0682">
              <w:rPr>
                <w:b/>
                <w:snapToGrid w:val="0"/>
                <w:lang w:val="es-ES_tradnl"/>
              </w:rPr>
              <w:t>Porcentaje</w:t>
            </w:r>
          </w:p>
        </w:tc>
      </w:tr>
      <w:tr w:rsidR="00DD0682" w:rsidRPr="00DD0682" w:rsidTr="00DD0682">
        <w:tblPrEx>
          <w:tblCellMar>
            <w:top w:w="0" w:type="dxa"/>
            <w:bottom w:w="0" w:type="dxa"/>
          </w:tblCellMar>
        </w:tblPrEx>
        <w:tc>
          <w:tcPr>
            <w:tcW w:w="1223" w:type="pct"/>
          </w:tcPr>
          <w:p w:rsidR="00DD0682" w:rsidRPr="00DD0682" w:rsidRDefault="00DD0682" w:rsidP="007D362F">
            <w:pPr>
              <w:adjustRightInd w:val="0"/>
              <w:snapToGrid w:val="0"/>
              <w:jc w:val="center"/>
              <w:rPr>
                <w:snapToGrid w:val="0"/>
                <w:lang w:val="fr-FR"/>
              </w:rPr>
            </w:pPr>
            <w:r w:rsidRPr="00DD0682">
              <w:rPr>
                <w:snapToGrid w:val="0"/>
                <w:lang w:val="fr-FR"/>
              </w:rPr>
              <w:t>1981/82</w:t>
            </w:r>
          </w:p>
        </w:tc>
        <w:tc>
          <w:tcPr>
            <w:tcW w:w="1524" w:type="pct"/>
          </w:tcPr>
          <w:p w:rsidR="00DD0682" w:rsidRPr="00DD0682" w:rsidRDefault="00DD0682" w:rsidP="007D362F">
            <w:pPr>
              <w:adjustRightInd w:val="0"/>
              <w:snapToGrid w:val="0"/>
              <w:jc w:val="center"/>
              <w:rPr>
                <w:snapToGrid w:val="0"/>
                <w:rtl/>
              </w:rPr>
            </w:pPr>
            <w:r w:rsidRPr="00DD0682">
              <w:rPr>
                <w:snapToGrid w:val="0"/>
                <w:lang w:val="fr-FR"/>
              </w:rPr>
              <w:t>14.292</w:t>
            </w:r>
          </w:p>
        </w:tc>
        <w:tc>
          <w:tcPr>
            <w:tcW w:w="1167" w:type="pct"/>
            <w:vAlign w:val="center"/>
          </w:tcPr>
          <w:p w:rsidR="00DD0682" w:rsidRPr="00DD0682" w:rsidRDefault="00DD0682" w:rsidP="007D362F">
            <w:pPr>
              <w:adjustRightInd w:val="0"/>
              <w:snapToGrid w:val="0"/>
              <w:jc w:val="center"/>
              <w:rPr>
                <w:snapToGrid w:val="0"/>
                <w:rtl/>
              </w:rPr>
            </w:pPr>
            <w:r w:rsidRPr="00DD0682">
              <w:rPr>
                <w:snapToGrid w:val="0"/>
                <w:lang w:val="fr-FR"/>
              </w:rPr>
              <w:t>2.905</w:t>
            </w:r>
          </w:p>
        </w:tc>
        <w:tc>
          <w:tcPr>
            <w:tcW w:w="1086" w:type="pct"/>
          </w:tcPr>
          <w:p w:rsidR="00DD0682" w:rsidRPr="00DD0682" w:rsidRDefault="00DD0682" w:rsidP="007D362F">
            <w:pPr>
              <w:adjustRightInd w:val="0"/>
              <w:snapToGrid w:val="0"/>
              <w:jc w:val="center"/>
              <w:rPr>
                <w:snapToGrid w:val="0"/>
                <w:rtl/>
              </w:rPr>
            </w:pPr>
            <w:r w:rsidRPr="00DD0682">
              <w:rPr>
                <w:snapToGrid w:val="0"/>
                <w:lang w:val="fr-FR"/>
              </w:rPr>
              <w:t>20,33</w:t>
            </w:r>
          </w:p>
        </w:tc>
      </w:tr>
      <w:tr w:rsidR="00DD0682" w:rsidRPr="00DD0682" w:rsidTr="00DD0682">
        <w:tblPrEx>
          <w:tblCellMar>
            <w:top w:w="0" w:type="dxa"/>
            <w:bottom w:w="0" w:type="dxa"/>
          </w:tblCellMar>
        </w:tblPrEx>
        <w:tc>
          <w:tcPr>
            <w:tcW w:w="1223" w:type="pct"/>
          </w:tcPr>
          <w:p w:rsidR="00DD0682" w:rsidRPr="00DD0682" w:rsidRDefault="00DD0682" w:rsidP="007D362F">
            <w:pPr>
              <w:adjustRightInd w:val="0"/>
              <w:snapToGrid w:val="0"/>
              <w:jc w:val="center"/>
              <w:rPr>
                <w:snapToGrid w:val="0"/>
                <w:lang w:val="fr-FR"/>
              </w:rPr>
            </w:pPr>
            <w:r w:rsidRPr="00DD0682">
              <w:rPr>
                <w:snapToGrid w:val="0"/>
                <w:lang w:val="fr-FR"/>
              </w:rPr>
              <w:t>1999/00</w:t>
            </w:r>
          </w:p>
        </w:tc>
        <w:tc>
          <w:tcPr>
            <w:tcW w:w="1524" w:type="pct"/>
          </w:tcPr>
          <w:p w:rsidR="00DD0682" w:rsidRPr="00DD0682" w:rsidRDefault="00DD0682" w:rsidP="007D362F">
            <w:pPr>
              <w:adjustRightInd w:val="0"/>
              <w:snapToGrid w:val="0"/>
              <w:jc w:val="center"/>
              <w:rPr>
                <w:snapToGrid w:val="0"/>
                <w:lang w:val="fr-FR"/>
              </w:rPr>
            </w:pPr>
            <w:r w:rsidRPr="00DD0682">
              <w:rPr>
                <w:snapToGrid w:val="0"/>
                <w:lang w:val="fr-FR"/>
              </w:rPr>
              <w:t>54.761</w:t>
            </w:r>
          </w:p>
        </w:tc>
        <w:tc>
          <w:tcPr>
            <w:tcW w:w="1167" w:type="pct"/>
            <w:vAlign w:val="center"/>
          </w:tcPr>
          <w:p w:rsidR="00DD0682" w:rsidRPr="00DD0682" w:rsidRDefault="00DD0682" w:rsidP="007D362F">
            <w:pPr>
              <w:adjustRightInd w:val="0"/>
              <w:snapToGrid w:val="0"/>
              <w:jc w:val="center"/>
              <w:rPr>
                <w:snapToGrid w:val="0"/>
                <w:lang w:val="fr-FR"/>
              </w:rPr>
            </w:pPr>
            <w:r w:rsidRPr="00DD0682">
              <w:rPr>
                <w:snapToGrid w:val="0"/>
                <w:lang w:val="fr-FR"/>
              </w:rPr>
              <w:t>23.501</w:t>
            </w:r>
          </w:p>
        </w:tc>
        <w:tc>
          <w:tcPr>
            <w:tcW w:w="1086" w:type="pct"/>
          </w:tcPr>
          <w:p w:rsidR="00DD0682" w:rsidRPr="00DD0682" w:rsidRDefault="00DD0682" w:rsidP="007D362F">
            <w:pPr>
              <w:adjustRightInd w:val="0"/>
              <w:snapToGrid w:val="0"/>
              <w:jc w:val="center"/>
              <w:rPr>
                <w:snapToGrid w:val="0"/>
                <w:lang w:val="fr-FR"/>
              </w:rPr>
            </w:pPr>
            <w:r w:rsidRPr="00DD0682">
              <w:rPr>
                <w:snapToGrid w:val="0"/>
                <w:lang w:val="fr-FR"/>
              </w:rPr>
              <w:t>42,92</w:t>
            </w:r>
          </w:p>
        </w:tc>
      </w:tr>
      <w:tr w:rsidR="00DD0682" w:rsidRPr="00DD0682" w:rsidTr="00DD0682">
        <w:tblPrEx>
          <w:tblCellMar>
            <w:top w:w="0" w:type="dxa"/>
            <w:bottom w:w="0" w:type="dxa"/>
          </w:tblCellMar>
        </w:tblPrEx>
        <w:tc>
          <w:tcPr>
            <w:tcW w:w="1223" w:type="pct"/>
          </w:tcPr>
          <w:p w:rsidR="00DD0682" w:rsidRPr="00DD0682" w:rsidRDefault="00DD0682" w:rsidP="007D362F">
            <w:pPr>
              <w:adjustRightInd w:val="0"/>
              <w:snapToGrid w:val="0"/>
              <w:jc w:val="center"/>
              <w:rPr>
                <w:snapToGrid w:val="0"/>
                <w:lang w:val="fr-FR"/>
              </w:rPr>
            </w:pPr>
            <w:r w:rsidRPr="00DD0682">
              <w:rPr>
                <w:snapToGrid w:val="0"/>
                <w:lang w:val="fr-FR"/>
              </w:rPr>
              <w:t>2005/06</w:t>
            </w:r>
          </w:p>
        </w:tc>
        <w:tc>
          <w:tcPr>
            <w:tcW w:w="1524" w:type="pct"/>
          </w:tcPr>
          <w:p w:rsidR="00DD0682" w:rsidRPr="00DD0682" w:rsidRDefault="00DD0682" w:rsidP="007D362F">
            <w:pPr>
              <w:adjustRightInd w:val="0"/>
              <w:snapToGrid w:val="0"/>
              <w:jc w:val="center"/>
              <w:rPr>
                <w:snapToGrid w:val="0"/>
                <w:rtl/>
              </w:rPr>
            </w:pPr>
            <w:r w:rsidRPr="00DD0682">
              <w:rPr>
                <w:snapToGrid w:val="0"/>
                <w:lang w:val="fr-FR"/>
              </w:rPr>
              <w:t>62.330</w:t>
            </w:r>
          </w:p>
        </w:tc>
        <w:tc>
          <w:tcPr>
            <w:tcW w:w="1167" w:type="pct"/>
            <w:vAlign w:val="center"/>
          </w:tcPr>
          <w:p w:rsidR="00DD0682" w:rsidRPr="00DD0682" w:rsidRDefault="00DD0682" w:rsidP="007D362F">
            <w:pPr>
              <w:adjustRightInd w:val="0"/>
              <w:snapToGrid w:val="0"/>
              <w:jc w:val="center"/>
              <w:rPr>
                <w:snapToGrid w:val="0"/>
                <w:rtl/>
              </w:rPr>
            </w:pPr>
            <w:r w:rsidRPr="00DD0682">
              <w:rPr>
                <w:snapToGrid w:val="0"/>
                <w:lang w:val="fr-FR"/>
              </w:rPr>
              <w:t>30.514</w:t>
            </w:r>
          </w:p>
        </w:tc>
        <w:tc>
          <w:tcPr>
            <w:tcW w:w="1086" w:type="pct"/>
          </w:tcPr>
          <w:p w:rsidR="00DD0682" w:rsidRPr="00DD0682" w:rsidRDefault="00DD0682" w:rsidP="007D362F">
            <w:pPr>
              <w:adjustRightInd w:val="0"/>
              <w:snapToGrid w:val="0"/>
              <w:jc w:val="center"/>
              <w:rPr>
                <w:snapToGrid w:val="0"/>
                <w:rtl/>
              </w:rPr>
            </w:pPr>
            <w:r w:rsidRPr="00DD0682">
              <w:rPr>
                <w:snapToGrid w:val="0"/>
                <w:lang w:val="fr-FR"/>
              </w:rPr>
              <w:t>48,95</w:t>
            </w:r>
          </w:p>
        </w:tc>
      </w:tr>
    </w:tbl>
    <w:p w:rsidR="00DD0682" w:rsidRPr="00DD0682" w:rsidRDefault="00DD0682" w:rsidP="007D362F">
      <w:pPr>
        <w:adjustRightInd w:val="0"/>
        <w:snapToGrid w:val="0"/>
        <w:spacing w:before="480" w:after="240"/>
        <w:rPr>
          <w:b/>
          <w:bCs/>
          <w:snapToGrid w:val="0"/>
        </w:rPr>
      </w:pPr>
      <w:r w:rsidRPr="00DD0682">
        <w:rPr>
          <w:b/>
          <w:bCs/>
          <w:snapToGrid w:val="0"/>
        </w:rPr>
        <w:t>4.</w:t>
      </w:r>
      <w:r w:rsidRPr="00DD0682">
        <w:rPr>
          <w:b/>
          <w:bCs/>
          <w:snapToGrid w:val="0"/>
        </w:rPr>
        <w:tab/>
        <w:t xml:space="preserve">Rendimiento del sistema </w:t>
      </w:r>
    </w:p>
    <w:p w:rsidR="00DD0682" w:rsidRPr="00DD0682" w:rsidRDefault="00DD0682" w:rsidP="007D362F">
      <w:pPr>
        <w:adjustRightInd w:val="0"/>
        <w:snapToGrid w:val="0"/>
        <w:spacing w:after="240"/>
        <w:ind w:left="567"/>
        <w:rPr>
          <w:b/>
          <w:bCs/>
          <w:snapToGrid w:val="0"/>
        </w:rPr>
      </w:pPr>
      <w:r w:rsidRPr="00DD0682">
        <w:rPr>
          <w:b/>
          <w:bCs/>
          <w:snapToGrid w:val="0"/>
        </w:rPr>
        <w:t>Resultado de los exámenes</w:t>
      </w:r>
    </w:p>
    <w:p w:rsidR="00DD0682" w:rsidRPr="00DD0682" w:rsidRDefault="00DD0682" w:rsidP="00DD0682">
      <w:pPr>
        <w:adjustRightInd w:val="0"/>
        <w:snapToGrid w:val="0"/>
        <w:spacing w:after="240"/>
        <w:rPr>
          <w:snapToGrid w:val="0"/>
        </w:rPr>
      </w:pPr>
      <w:r w:rsidRPr="00DD0682">
        <w:rPr>
          <w:snapToGrid w:val="0"/>
        </w:rPr>
        <w:t>368.</w:t>
      </w:r>
      <w:r w:rsidRPr="00DD0682">
        <w:rPr>
          <w:snapToGrid w:val="0"/>
        </w:rPr>
        <w:tab/>
        <w:t>Los resultados de los exámenes al final de cada ciclo de enseñanza son:</w:t>
      </w:r>
    </w:p>
    <w:p w:rsidR="00DD0682" w:rsidRPr="00DD0682" w:rsidRDefault="00DD0682" w:rsidP="007D362F">
      <w:pPr>
        <w:adjustRightInd w:val="0"/>
        <w:snapToGrid w:val="0"/>
        <w:spacing w:after="240"/>
        <w:jc w:val="center"/>
        <w:rPr>
          <w:snapToGrid w:val="0"/>
        </w:rPr>
      </w:pPr>
      <w:r w:rsidRPr="00DD0682">
        <w:rPr>
          <w:b/>
          <w:bCs/>
          <w:snapToGrid w:val="0"/>
        </w:rPr>
        <w:t>Ciclo de enseñanza primaria (sexto año de enseñanza básica)</w:t>
      </w:r>
    </w:p>
    <w:tbl>
      <w:tblPr>
        <w:tblW w:w="4042" w:type="pct"/>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1679"/>
        <w:gridCol w:w="3000"/>
        <w:gridCol w:w="1561"/>
        <w:gridCol w:w="1433"/>
      </w:tblGrid>
      <w:tr w:rsidR="00DD0682" w:rsidRPr="00DD0682" w:rsidTr="00DD0682">
        <w:tblPrEx>
          <w:tblCellMar>
            <w:top w:w="0" w:type="dxa"/>
            <w:bottom w:w="0" w:type="dxa"/>
          </w:tblCellMar>
        </w:tblPrEx>
        <w:trPr>
          <w:jc w:val="center"/>
        </w:trPr>
        <w:tc>
          <w:tcPr>
            <w:tcW w:w="1094" w:type="pct"/>
          </w:tcPr>
          <w:p w:rsidR="00DD0682" w:rsidRPr="00DD0682" w:rsidRDefault="00DD0682" w:rsidP="007D362F">
            <w:pPr>
              <w:adjustRightInd w:val="0"/>
              <w:snapToGrid w:val="0"/>
              <w:jc w:val="center"/>
              <w:rPr>
                <w:b/>
                <w:iCs/>
                <w:snapToGrid w:val="0"/>
              </w:rPr>
            </w:pPr>
            <w:r w:rsidRPr="00DD0682">
              <w:rPr>
                <w:b/>
                <w:iCs/>
                <w:snapToGrid w:val="0"/>
              </w:rPr>
              <w:t>Año</w:t>
            </w:r>
          </w:p>
        </w:tc>
        <w:tc>
          <w:tcPr>
            <w:tcW w:w="1955" w:type="pct"/>
          </w:tcPr>
          <w:p w:rsidR="00DD0682" w:rsidRPr="00DD0682" w:rsidRDefault="00DD0682" w:rsidP="007D362F">
            <w:pPr>
              <w:adjustRightInd w:val="0"/>
              <w:snapToGrid w:val="0"/>
              <w:jc w:val="center"/>
              <w:rPr>
                <w:b/>
                <w:iCs/>
                <w:snapToGrid w:val="0"/>
              </w:rPr>
            </w:pPr>
            <w:r w:rsidRPr="00DD0682">
              <w:rPr>
                <w:b/>
                <w:iCs/>
                <w:snapToGrid w:val="0"/>
              </w:rPr>
              <w:t>Porcentaje de aprobados</w:t>
            </w:r>
          </w:p>
        </w:tc>
        <w:tc>
          <w:tcPr>
            <w:tcW w:w="1017" w:type="pct"/>
          </w:tcPr>
          <w:p w:rsidR="00DD0682" w:rsidRPr="00DD0682" w:rsidRDefault="00DD0682" w:rsidP="007D362F">
            <w:pPr>
              <w:adjustRightInd w:val="0"/>
              <w:snapToGrid w:val="0"/>
              <w:jc w:val="center"/>
              <w:rPr>
                <w:b/>
                <w:iCs/>
                <w:snapToGrid w:val="0"/>
              </w:rPr>
            </w:pPr>
            <w:r w:rsidRPr="00DD0682">
              <w:rPr>
                <w:b/>
                <w:iCs/>
                <w:snapToGrid w:val="0"/>
              </w:rPr>
              <w:t>Niños</w:t>
            </w:r>
          </w:p>
        </w:tc>
        <w:tc>
          <w:tcPr>
            <w:tcW w:w="934" w:type="pct"/>
          </w:tcPr>
          <w:p w:rsidR="00DD0682" w:rsidRPr="00DD0682" w:rsidRDefault="00DD0682" w:rsidP="007D362F">
            <w:pPr>
              <w:adjustRightInd w:val="0"/>
              <w:snapToGrid w:val="0"/>
              <w:jc w:val="center"/>
              <w:rPr>
                <w:b/>
                <w:iCs/>
                <w:snapToGrid w:val="0"/>
              </w:rPr>
            </w:pPr>
            <w:r w:rsidRPr="00DD0682">
              <w:rPr>
                <w:b/>
                <w:iCs/>
                <w:snapToGrid w:val="0"/>
              </w:rPr>
              <w:t>Niñas</w:t>
            </w:r>
          </w:p>
        </w:tc>
      </w:tr>
      <w:tr w:rsidR="00DD0682" w:rsidRPr="00DD0682" w:rsidTr="00DD0682">
        <w:tblPrEx>
          <w:tblCellMar>
            <w:top w:w="0" w:type="dxa"/>
            <w:bottom w:w="0" w:type="dxa"/>
          </w:tblCellMar>
        </w:tblPrEx>
        <w:trPr>
          <w:jc w:val="center"/>
        </w:trPr>
        <w:tc>
          <w:tcPr>
            <w:tcW w:w="1094" w:type="pct"/>
          </w:tcPr>
          <w:p w:rsidR="00DD0682" w:rsidRPr="00DD0682" w:rsidRDefault="00DD0682" w:rsidP="007D362F">
            <w:pPr>
              <w:adjustRightInd w:val="0"/>
              <w:snapToGrid w:val="0"/>
              <w:jc w:val="center"/>
              <w:rPr>
                <w:snapToGrid w:val="0"/>
              </w:rPr>
            </w:pPr>
            <w:r w:rsidRPr="00DD0682">
              <w:rPr>
                <w:snapToGrid w:val="0"/>
              </w:rPr>
              <w:t>1999/00</w:t>
            </w:r>
          </w:p>
        </w:tc>
        <w:tc>
          <w:tcPr>
            <w:tcW w:w="1955" w:type="pct"/>
          </w:tcPr>
          <w:p w:rsidR="00DD0682" w:rsidRPr="00DD0682" w:rsidRDefault="00DD0682" w:rsidP="007D362F">
            <w:pPr>
              <w:adjustRightInd w:val="0"/>
              <w:snapToGrid w:val="0"/>
              <w:jc w:val="center"/>
              <w:rPr>
                <w:snapToGrid w:val="0"/>
              </w:rPr>
            </w:pPr>
            <w:r w:rsidRPr="00DD0682">
              <w:rPr>
                <w:snapToGrid w:val="0"/>
              </w:rPr>
              <w:t>66,27</w:t>
            </w:r>
          </w:p>
        </w:tc>
        <w:tc>
          <w:tcPr>
            <w:tcW w:w="1017" w:type="pct"/>
          </w:tcPr>
          <w:p w:rsidR="00DD0682" w:rsidRPr="00DD0682" w:rsidRDefault="00DD0682" w:rsidP="007D362F">
            <w:pPr>
              <w:adjustRightInd w:val="0"/>
              <w:snapToGrid w:val="0"/>
              <w:jc w:val="center"/>
              <w:rPr>
                <w:snapToGrid w:val="0"/>
                <w:lang w:val="fr-FR"/>
              </w:rPr>
            </w:pPr>
            <w:r w:rsidRPr="00DD0682">
              <w:rPr>
                <w:snapToGrid w:val="0"/>
              </w:rPr>
              <w:t>62,0</w:t>
            </w:r>
            <w:r w:rsidRPr="00DD0682">
              <w:rPr>
                <w:snapToGrid w:val="0"/>
                <w:lang w:val="fr-FR"/>
              </w:rPr>
              <w:t>2</w:t>
            </w:r>
          </w:p>
        </w:tc>
        <w:tc>
          <w:tcPr>
            <w:tcW w:w="934" w:type="pct"/>
          </w:tcPr>
          <w:p w:rsidR="00DD0682" w:rsidRPr="00DD0682" w:rsidRDefault="00DD0682" w:rsidP="007D362F">
            <w:pPr>
              <w:adjustRightInd w:val="0"/>
              <w:snapToGrid w:val="0"/>
              <w:jc w:val="center"/>
              <w:rPr>
                <w:snapToGrid w:val="0"/>
                <w:lang w:val="fr-FR"/>
              </w:rPr>
            </w:pPr>
            <w:r w:rsidRPr="00DD0682">
              <w:rPr>
                <w:snapToGrid w:val="0"/>
                <w:lang w:val="fr-FR"/>
              </w:rPr>
              <w:t>71,35</w:t>
            </w:r>
          </w:p>
        </w:tc>
      </w:tr>
      <w:tr w:rsidR="00DD0682" w:rsidRPr="00DD0682" w:rsidTr="00DD0682">
        <w:tblPrEx>
          <w:tblCellMar>
            <w:top w:w="0" w:type="dxa"/>
            <w:bottom w:w="0" w:type="dxa"/>
          </w:tblCellMar>
        </w:tblPrEx>
        <w:trPr>
          <w:jc w:val="center"/>
        </w:trPr>
        <w:tc>
          <w:tcPr>
            <w:tcW w:w="1094" w:type="pct"/>
          </w:tcPr>
          <w:p w:rsidR="00DD0682" w:rsidRPr="00DD0682" w:rsidRDefault="00DD0682" w:rsidP="007D362F">
            <w:pPr>
              <w:adjustRightInd w:val="0"/>
              <w:snapToGrid w:val="0"/>
              <w:jc w:val="center"/>
              <w:rPr>
                <w:snapToGrid w:val="0"/>
                <w:lang w:val="fr-FR"/>
              </w:rPr>
            </w:pPr>
            <w:r w:rsidRPr="00DD0682">
              <w:rPr>
                <w:snapToGrid w:val="0"/>
                <w:lang w:val="fr-FR"/>
              </w:rPr>
              <w:t>2005/06</w:t>
            </w:r>
          </w:p>
        </w:tc>
        <w:tc>
          <w:tcPr>
            <w:tcW w:w="1955" w:type="pct"/>
          </w:tcPr>
          <w:p w:rsidR="00DD0682" w:rsidRPr="00DD0682" w:rsidRDefault="00DD0682" w:rsidP="007D362F">
            <w:pPr>
              <w:adjustRightInd w:val="0"/>
              <w:snapToGrid w:val="0"/>
              <w:jc w:val="center"/>
              <w:rPr>
                <w:snapToGrid w:val="0"/>
                <w:rtl/>
              </w:rPr>
            </w:pPr>
            <w:r w:rsidRPr="00DD0682">
              <w:rPr>
                <w:snapToGrid w:val="0"/>
                <w:lang w:val="fr-FR"/>
              </w:rPr>
              <w:t>76,34</w:t>
            </w:r>
          </w:p>
        </w:tc>
        <w:tc>
          <w:tcPr>
            <w:tcW w:w="1017" w:type="pct"/>
          </w:tcPr>
          <w:p w:rsidR="00DD0682" w:rsidRPr="00DD0682" w:rsidRDefault="00DD0682" w:rsidP="007D362F">
            <w:pPr>
              <w:adjustRightInd w:val="0"/>
              <w:snapToGrid w:val="0"/>
              <w:jc w:val="center"/>
              <w:rPr>
                <w:snapToGrid w:val="0"/>
                <w:rtl/>
              </w:rPr>
            </w:pPr>
            <w:r w:rsidRPr="00DD0682">
              <w:rPr>
                <w:snapToGrid w:val="0"/>
                <w:lang w:val="fr-FR"/>
              </w:rPr>
              <w:t>73,56</w:t>
            </w:r>
          </w:p>
        </w:tc>
        <w:tc>
          <w:tcPr>
            <w:tcW w:w="934" w:type="pct"/>
          </w:tcPr>
          <w:p w:rsidR="00DD0682" w:rsidRPr="00DD0682" w:rsidRDefault="00DD0682" w:rsidP="007D362F">
            <w:pPr>
              <w:adjustRightInd w:val="0"/>
              <w:snapToGrid w:val="0"/>
              <w:jc w:val="center"/>
              <w:rPr>
                <w:snapToGrid w:val="0"/>
                <w:rtl/>
              </w:rPr>
            </w:pPr>
            <w:r w:rsidRPr="00DD0682">
              <w:rPr>
                <w:snapToGrid w:val="0"/>
                <w:lang w:val="fr-FR"/>
              </w:rPr>
              <w:t>79,48</w:t>
            </w:r>
          </w:p>
        </w:tc>
      </w:tr>
    </w:tbl>
    <w:p w:rsidR="00DD0682" w:rsidRPr="00DD0682" w:rsidRDefault="00DD0682" w:rsidP="007D362F">
      <w:pPr>
        <w:keepNext/>
        <w:keepLines/>
        <w:adjustRightInd w:val="0"/>
        <w:snapToGrid w:val="0"/>
        <w:spacing w:before="480" w:after="240"/>
        <w:jc w:val="center"/>
        <w:rPr>
          <w:snapToGrid w:val="0"/>
        </w:rPr>
      </w:pPr>
      <w:r w:rsidRPr="00DD0682">
        <w:rPr>
          <w:b/>
          <w:bCs/>
          <w:snapToGrid w:val="0"/>
        </w:rPr>
        <w:t>Ciclo de enseñanza media (noveno año de enseñanza básica)</w:t>
      </w:r>
    </w:p>
    <w:tbl>
      <w:tblPr>
        <w:tblW w:w="4046" w:type="pct"/>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1697"/>
        <w:gridCol w:w="3009"/>
        <w:gridCol w:w="1541"/>
        <w:gridCol w:w="1433"/>
      </w:tblGrid>
      <w:tr w:rsidR="00DD0682" w:rsidRPr="00DD0682" w:rsidTr="00DD0682">
        <w:tblPrEx>
          <w:tblCellMar>
            <w:top w:w="0" w:type="dxa"/>
            <w:bottom w:w="0" w:type="dxa"/>
          </w:tblCellMar>
        </w:tblPrEx>
        <w:trPr>
          <w:jc w:val="center"/>
        </w:trPr>
        <w:tc>
          <w:tcPr>
            <w:tcW w:w="1105" w:type="pct"/>
          </w:tcPr>
          <w:p w:rsidR="00DD0682" w:rsidRPr="00DD0682" w:rsidRDefault="00DD0682" w:rsidP="007D362F">
            <w:pPr>
              <w:keepNext/>
              <w:keepLines/>
              <w:adjustRightInd w:val="0"/>
              <w:snapToGrid w:val="0"/>
              <w:jc w:val="center"/>
              <w:rPr>
                <w:b/>
                <w:iCs/>
                <w:snapToGrid w:val="0"/>
                <w:lang w:val="fr-FR"/>
              </w:rPr>
            </w:pPr>
            <w:r w:rsidRPr="00DD0682">
              <w:rPr>
                <w:b/>
                <w:iCs/>
                <w:snapToGrid w:val="0"/>
                <w:lang w:val="fr-FR"/>
              </w:rPr>
              <w:t>Año</w:t>
            </w:r>
          </w:p>
        </w:tc>
        <w:tc>
          <w:tcPr>
            <w:tcW w:w="1959" w:type="pct"/>
          </w:tcPr>
          <w:p w:rsidR="00DD0682" w:rsidRPr="00DD0682" w:rsidRDefault="00DD0682" w:rsidP="007D362F">
            <w:pPr>
              <w:keepNext/>
              <w:keepLines/>
              <w:adjustRightInd w:val="0"/>
              <w:snapToGrid w:val="0"/>
              <w:jc w:val="center"/>
              <w:rPr>
                <w:b/>
                <w:iCs/>
                <w:snapToGrid w:val="0"/>
                <w:lang w:val="fr-FR"/>
              </w:rPr>
            </w:pPr>
            <w:r w:rsidRPr="00DD0682">
              <w:rPr>
                <w:b/>
                <w:iCs/>
                <w:snapToGrid w:val="0"/>
                <w:lang w:val="fr-FR"/>
              </w:rPr>
              <w:t>Porcentaje de aprobados</w:t>
            </w:r>
          </w:p>
        </w:tc>
        <w:tc>
          <w:tcPr>
            <w:tcW w:w="1003" w:type="pct"/>
          </w:tcPr>
          <w:p w:rsidR="00DD0682" w:rsidRPr="00DD0682" w:rsidRDefault="00DD0682" w:rsidP="007D362F">
            <w:pPr>
              <w:keepNext/>
              <w:keepLines/>
              <w:adjustRightInd w:val="0"/>
              <w:snapToGrid w:val="0"/>
              <w:jc w:val="center"/>
              <w:rPr>
                <w:b/>
                <w:iCs/>
                <w:snapToGrid w:val="0"/>
                <w:lang w:val="fr-FR"/>
              </w:rPr>
            </w:pPr>
            <w:r w:rsidRPr="00DD0682">
              <w:rPr>
                <w:b/>
                <w:iCs/>
                <w:snapToGrid w:val="0"/>
                <w:lang w:val="fr-FR"/>
              </w:rPr>
              <w:t>Niños</w:t>
            </w:r>
          </w:p>
        </w:tc>
        <w:tc>
          <w:tcPr>
            <w:tcW w:w="934" w:type="pct"/>
          </w:tcPr>
          <w:p w:rsidR="00DD0682" w:rsidRPr="00DD0682" w:rsidRDefault="00DD0682" w:rsidP="007D362F">
            <w:pPr>
              <w:keepNext/>
              <w:keepLines/>
              <w:adjustRightInd w:val="0"/>
              <w:snapToGrid w:val="0"/>
              <w:jc w:val="center"/>
              <w:rPr>
                <w:b/>
                <w:iCs/>
                <w:snapToGrid w:val="0"/>
                <w:lang w:val="fr-FR"/>
              </w:rPr>
            </w:pPr>
            <w:r w:rsidRPr="00DD0682">
              <w:rPr>
                <w:b/>
                <w:iCs/>
                <w:snapToGrid w:val="0"/>
                <w:lang w:val="fr-FR"/>
              </w:rPr>
              <w:t>Niñas</w:t>
            </w:r>
          </w:p>
        </w:tc>
      </w:tr>
      <w:tr w:rsidR="00DD0682" w:rsidRPr="00DD0682" w:rsidTr="00DD0682">
        <w:tblPrEx>
          <w:tblCellMar>
            <w:top w:w="0" w:type="dxa"/>
            <w:bottom w:w="0" w:type="dxa"/>
          </w:tblCellMar>
        </w:tblPrEx>
        <w:trPr>
          <w:jc w:val="center"/>
        </w:trPr>
        <w:tc>
          <w:tcPr>
            <w:tcW w:w="1105" w:type="pct"/>
          </w:tcPr>
          <w:p w:rsidR="00DD0682" w:rsidRPr="00DD0682" w:rsidRDefault="00DD0682" w:rsidP="007D362F">
            <w:pPr>
              <w:keepNext/>
              <w:keepLines/>
              <w:adjustRightInd w:val="0"/>
              <w:snapToGrid w:val="0"/>
              <w:jc w:val="center"/>
              <w:rPr>
                <w:snapToGrid w:val="0"/>
                <w:lang w:val="fr-FR"/>
              </w:rPr>
            </w:pPr>
            <w:r w:rsidRPr="00DD0682">
              <w:rPr>
                <w:snapToGrid w:val="0"/>
                <w:lang w:val="fr-FR"/>
              </w:rPr>
              <w:t>1999/00</w:t>
            </w:r>
          </w:p>
        </w:tc>
        <w:tc>
          <w:tcPr>
            <w:tcW w:w="1959" w:type="pct"/>
          </w:tcPr>
          <w:p w:rsidR="00DD0682" w:rsidRPr="00DD0682" w:rsidRDefault="00DD0682" w:rsidP="007D362F">
            <w:pPr>
              <w:keepNext/>
              <w:keepLines/>
              <w:adjustRightInd w:val="0"/>
              <w:snapToGrid w:val="0"/>
              <w:jc w:val="center"/>
              <w:rPr>
                <w:snapToGrid w:val="0"/>
                <w:lang w:val="fr-FR"/>
              </w:rPr>
            </w:pPr>
            <w:r w:rsidRPr="00DD0682">
              <w:rPr>
                <w:snapToGrid w:val="0"/>
                <w:lang w:val="fr-FR"/>
              </w:rPr>
              <w:t>44</w:t>
            </w:r>
            <w:r w:rsidRPr="00DD0682">
              <w:rPr>
                <w:snapToGrid w:val="0"/>
                <w:rtl/>
              </w:rPr>
              <w:t>,</w:t>
            </w:r>
            <w:r w:rsidRPr="00DD0682">
              <w:rPr>
                <w:snapToGrid w:val="0"/>
                <w:lang w:val="fr-FR"/>
              </w:rPr>
              <w:t>28</w:t>
            </w:r>
          </w:p>
        </w:tc>
        <w:tc>
          <w:tcPr>
            <w:tcW w:w="1003" w:type="pct"/>
          </w:tcPr>
          <w:p w:rsidR="00DD0682" w:rsidRPr="00DD0682" w:rsidRDefault="00DD0682" w:rsidP="007D362F">
            <w:pPr>
              <w:keepNext/>
              <w:keepLines/>
              <w:adjustRightInd w:val="0"/>
              <w:snapToGrid w:val="0"/>
              <w:jc w:val="center"/>
              <w:rPr>
                <w:snapToGrid w:val="0"/>
                <w:lang w:val="fr-FR"/>
              </w:rPr>
            </w:pPr>
            <w:r w:rsidRPr="00DD0682">
              <w:rPr>
                <w:snapToGrid w:val="0"/>
                <w:lang w:val="fr-FR"/>
              </w:rPr>
              <w:t>40</w:t>
            </w:r>
            <w:r w:rsidRPr="00DD0682">
              <w:rPr>
                <w:snapToGrid w:val="0"/>
                <w:rtl/>
              </w:rPr>
              <w:t>,</w:t>
            </w:r>
            <w:r w:rsidRPr="00DD0682">
              <w:rPr>
                <w:snapToGrid w:val="0"/>
                <w:lang w:val="fr-FR"/>
              </w:rPr>
              <w:t>01</w:t>
            </w:r>
          </w:p>
        </w:tc>
        <w:tc>
          <w:tcPr>
            <w:tcW w:w="934" w:type="pct"/>
          </w:tcPr>
          <w:p w:rsidR="00DD0682" w:rsidRPr="00DD0682" w:rsidRDefault="00DD0682" w:rsidP="007D362F">
            <w:pPr>
              <w:keepNext/>
              <w:keepLines/>
              <w:adjustRightInd w:val="0"/>
              <w:snapToGrid w:val="0"/>
              <w:jc w:val="center"/>
              <w:rPr>
                <w:snapToGrid w:val="0"/>
                <w:lang w:val="fr-FR"/>
              </w:rPr>
            </w:pPr>
            <w:r w:rsidRPr="00DD0682">
              <w:rPr>
                <w:snapToGrid w:val="0"/>
                <w:lang w:val="fr-FR"/>
              </w:rPr>
              <w:t>48,60</w:t>
            </w:r>
          </w:p>
        </w:tc>
      </w:tr>
      <w:tr w:rsidR="00DD0682" w:rsidRPr="00DD0682" w:rsidTr="00DD0682">
        <w:tblPrEx>
          <w:tblCellMar>
            <w:top w:w="0" w:type="dxa"/>
            <w:bottom w:w="0" w:type="dxa"/>
          </w:tblCellMar>
        </w:tblPrEx>
        <w:trPr>
          <w:jc w:val="center"/>
        </w:trPr>
        <w:tc>
          <w:tcPr>
            <w:tcW w:w="1105" w:type="pct"/>
          </w:tcPr>
          <w:p w:rsidR="00DD0682" w:rsidRPr="00DD0682" w:rsidRDefault="00DD0682" w:rsidP="007D362F">
            <w:pPr>
              <w:adjustRightInd w:val="0"/>
              <w:snapToGrid w:val="0"/>
              <w:jc w:val="center"/>
              <w:rPr>
                <w:snapToGrid w:val="0"/>
                <w:lang w:val="fr-FR"/>
              </w:rPr>
            </w:pPr>
            <w:r w:rsidRPr="00DD0682">
              <w:rPr>
                <w:snapToGrid w:val="0"/>
                <w:lang w:val="fr-FR"/>
              </w:rPr>
              <w:t>2005/06</w:t>
            </w:r>
          </w:p>
        </w:tc>
        <w:tc>
          <w:tcPr>
            <w:tcW w:w="1959" w:type="pct"/>
          </w:tcPr>
          <w:p w:rsidR="00DD0682" w:rsidRPr="00DD0682" w:rsidRDefault="00DD0682" w:rsidP="007D362F">
            <w:pPr>
              <w:adjustRightInd w:val="0"/>
              <w:snapToGrid w:val="0"/>
              <w:jc w:val="center"/>
              <w:rPr>
                <w:snapToGrid w:val="0"/>
                <w:rtl/>
              </w:rPr>
            </w:pPr>
            <w:r w:rsidRPr="00DD0682">
              <w:rPr>
                <w:snapToGrid w:val="0"/>
                <w:lang w:val="fr-FR"/>
              </w:rPr>
              <w:t>47,33</w:t>
            </w:r>
          </w:p>
        </w:tc>
        <w:tc>
          <w:tcPr>
            <w:tcW w:w="1003" w:type="pct"/>
          </w:tcPr>
          <w:p w:rsidR="00DD0682" w:rsidRPr="00DD0682" w:rsidRDefault="00DD0682" w:rsidP="007D362F">
            <w:pPr>
              <w:adjustRightInd w:val="0"/>
              <w:snapToGrid w:val="0"/>
              <w:jc w:val="center"/>
              <w:rPr>
                <w:snapToGrid w:val="0"/>
                <w:rtl/>
              </w:rPr>
            </w:pPr>
            <w:r w:rsidRPr="00DD0682">
              <w:rPr>
                <w:snapToGrid w:val="0"/>
                <w:lang w:val="fr-FR"/>
              </w:rPr>
              <w:t>42,95</w:t>
            </w:r>
          </w:p>
        </w:tc>
        <w:tc>
          <w:tcPr>
            <w:tcW w:w="934" w:type="pct"/>
          </w:tcPr>
          <w:p w:rsidR="00DD0682" w:rsidRPr="00DD0682" w:rsidRDefault="00DD0682" w:rsidP="007D362F">
            <w:pPr>
              <w:adjustRightInd w:val="0"/>
              <w:snapToGrid w:val="0"/>
              <w:jc w:val="center"/>
              <w:rPr>
                <w:snapToGrid w:val="0"/>
                <w:rtl/>
              </w:rPr>
            </w:pPr>
            <w:r w:rsidRPr="00DD0682">
              <w:rPr>
                <w:snapToGrid w:val="0"/>
                <w:lang w:val="fr-FR"/>
              </w:rPr>
              <w:t>51,32</w:t>
            </w:r>
          </w:p>
        </w:tc>
      </w:tr>
    </w:tbl>
    <w:p w:rsidR="00DD0682" w:rsidRPr="00DD0682" w:rsidRDefault="00DD0682" w:rsidP="007D362F">
      <w:pPr>
        <w:adjustRightInd w:val="0"/>
        <w:snapToGrid w:val="0"/>
        <w:spacing w:before="480" w:after="240"/>
        <w:jc w:val="center"/>
        <w:rPr>
          <w:snapToGrid w:val="0"/>
        </w:rPr>
      </w:pPr>
      <w:r w:rsidRPr="00DD0682">
        <w:rPr>
          <w:b/>
          <w:bCs/>
          <w:snapToGrid w:val="0"/>
        </w:rPr>
        <w:t>Ciclo de enseñanza secundaria (bachillerato 2005)</w:t>
      </w:r>
    </w:p>
    <w:tbl>
      <w:tblPr>
        <w:tblW w:w="4046" w:type="pct"/>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1680"/>
        <w:gridCol w:w="2998"/>
        <w:gridCol w:w="1564"/>
        <w:gridCol w:w="1438"/>
      </w:tblGrid>
      <w:tr w:rsidR="00DD0682" w:rsidRPr="00DD0682" w:rsidTr="00DD0682">
        <w:tblPrEx>
          <w:tblCellMar>
            <w:top w:w="0" w:type="dxa"/>
            <w:bottom w:w="0" w:type="dxa"/>
          </w:tblCellMar>
        </w:tblPrEx>
        <w:trPr>
          <w:jc w:val="center"/>
        </w:trPr>
        <w:tc>
          <w:tcPr>
            <w:tcW w:w="1094" w:type="pct"/>
          </w:tcPr>
          <w:p w:rsidR="00DD0682" w:rsidRPr="00DD0682" w:rsidRDefault="00DD0682" w:rsidP="007D362F">
            <w:pPr>
              <w:adjustRightInd w:val="0"/>
              <w:snapToGrid w:val="0"/>
              <w:jc w:val="center"/>
              <w:rPr>
                <w:b/>
                <w:iCs/>
                <w:snapToGrid w:val="0"/>
                <w:lang w:val="fr-FR"/>
              </w:rPr>
            </w:pPr>
            <w:r w:rsidRPr="00DD0682">
              <w:rPr>
                <w:b/>
                <w:iCs/>
                <w:snapToGrid w:val="0"/>
                <w:lang w:val="fr-FR"/>
              </w:rPr>
              <w:t>Año</w:t>
            </w:r>
          </w:p>
        </w:tc>
        <w:tc>
          <w:tcPr>
            <w:tcW w:w="1952" w:type="pct"/>
          </w:tcPr>
          <w:p w:rsidR="00DD0682" w:rsidRPr="00DD0682" w:rsidRDefault="00DD0682" w:rsidP="007D362F">
            <w:pPr>
              <w:adjustRightInd w:val="0"/>
              <w:snapToGrid w:val="0"/>
              <w:jc w:val="center"/>
              <w:rPr>
                <w:b/>
                <w:iCs/>
                <w:snapToGrid w:val="0"/>
                <w:lang w:val="fr-FR"/>
              </w:rPr>
            </w:pPr>
            <w:r w:rsidRPr="00DD0682">
              <w:rPr>
                <w:b/>
                <w:iCs/>
                <w:snapToGrid w:val="0"/>
                <w:lang w:val="fr-FR"/>
              </w:rPr>
              <w:t>Porcentaje de aprobados</w:t>
            </w:r>
          </w:p>
        </w:tc>
        <w:tc>
          <w:tcPr>
            <w:tcW w:w="1018" w:type="pct"/>
          </w:tcPr>
          <w:p w:rsidR="00DD0682" w:rsidRPr="00DD0682" w:rsidRDefault="00DD0682" w:rsidP="007D362F">
            <w:pPr>
              <w:adjustRightInd w:val="0"/>
              <w:snapToGrid w:val="0"/>
              <w:jc w:val="center"/>
              <w:rPr>
                <w:b/>
                <w:iCs/>
                <w:snapToGrid w:val="0"/>
                <w:lang w:val="fr-FR"/>
              </w:rPr>
            </w:pPr>
            <w:r w:rsidRPr="00DD0682">
              <w:rPr>
                <w:b/>
                <w:iCs/>
                <w:snapToGrid w:val="0"/>
                <w:lang w:val="fr-FR"/>
              </w:rPr>
              <w:t>Niños</w:t>
            </w:r>
          </w:p>
        </w:tc>
        <w:tc>
          <w:tcPr>
            <w:tcW w:w="936" w:type="pct"/>
          </w:tcPr>
          <w:p w:rsidR="00DD0682" w:rsidRPr="00DD0682" w:rsidRDefault="00DD0682" w:rsidP="007D362F">
            <w:pPr>
              <w:adjustRightInd w:val="0"/>
              <w:snapToGrid w:val="0"/>
              <w:jc w:val="center"/>
              <w:rPr>
                <w:b/>
                <w:iCs/>
                <w:snapToGrid w:val="0"/>
                <w:lang w:val="fr-FR"/>
              </w:rPr>
            </w:pPr>
            <w:r w:rsidRPr="00DD0682">
              <w:rPr>
                <w:b/>
                <w:iCs/>
                <w:snapToGrid w:val="0"/>
                <w:lang w:val="fr-FR"/>
              </w:rPr>
              <w:t>Niñas</w:t>
            </w:r>
          </w:p>
        </w:tc>
      </w:tr>
      <w:tr w:rsidR="00DD0682" w:rsidRPr="00DD0682" w:rsidTr="00DD0682">
        <w:tblPrEx>
          <w:tblCellMar>
            <w:top w:w="0" w:type="dxa"/>
            <w:bottom w:w="0" w:type="dxa"/>
          </w:tblCellMar>
        </w:tblPrEx>
        <w:trPr>
          <w:jc w:val="center"/>
        </w:trPr>
        <w:tc>
          <w:tcPr>
            <w:tcW w:w="1094" w:type="pct"/>
          </w:tcPr>
          <w:p w:rsidR="00DD0682" w:rsidRPr="00DD0682" w:rsidRDefault="00DD0682" w:rsidP="007D362F">
            <w:pPr>
              <w:adjustRightInd w:val="0"/>
              <w:snapToGrid w:val="0"/>
              <w:jc w:val="center"/>
              <w:rPr>
                <w:snapToGrid w:val="0"/>
                <w:lang w:val="fr-FR"/>
              </w:rPr>
            </w:pPr>
            <w:r w:rsidRPr="00DD0682">
              <w:rPr>
                <w:snapToGrid w:val="0"/>
                <w:lang w:val="fr-FR"/>
              </w:rPr>
              <w:t>2005/06</w:t>
            </w:r>
          </w:p>
        </w:tc>
        <w:tc>
          <w:tcPr>
            <w:tcW w:w="1952" w:type="pct"/>
          </w:tcPr>
          <w:p w:rsidR="00DD0682" w:rsidRPr="00DD0682" w:rsidRDefault="00DD0682" w:rsidP="007D362F">
            <w:pPr>
              <w:adjustRightInd w:val="0"/>
              <w:snapToGrid w:val="0"/>
              <w:jc w:val="center"/>
              <w:rPr>
                <w:snapToGrid w:val="0"/>
                <w:rtl/>
              </w:rPr>
            </w:pPr>
            <w:r w:rsidRPr="00DD0682">
              <w:rPr>
                <w:snapToGrid w:val="0"/>
                <w:lang w:val="fr-FR"/>
              </w:rPr>
              <w:t>51,15</w:t>
            </w:r>
          </w:p>
        </w:tc>
        <w:tc>
          <w:tcPr>
            <w:tcW w:w="1018" w:type="pct"/>
          </w:tcPr>
          <w:p w:rsidR="00DD0682" w:rsidRPr="00DD0682" w:rsidRDefault="00DD0682" w:rsidP="007D362F">
            <w:pPr>
              <w:adjustRightInd w:val="0"/>
              <w:snapToGrid w:val="0"/>
              <w:jc w:val="center"/>
              <w:rPr>
                <w:snapToGrid w:val="0"/>
                <w:rtl/>
              </w:rPr>
            </w:pPr>
            <w:r w:rsidRPr="00DD0682">
              <w:rPr>
                <w:snapToGrid w:val="0"/>
                <w:lang w:val="fr-FR"/>
              </w:rPr>
              <w:t>37</w:t>
            </w:r>
          </w:p>
        </w:tc>
        <w:tc>
          <w:tcPr>
            <w:tcW w:w="936" w:type="pct"/>
          </w:tcPr>
          <w:p w:rsidR="00DD0682" w:rsidRPr="00DD0682" w:rsidRDefault="00DD0682" w:rsidP="007D362F">
            <w:pPr>
              <w:adjustRightInd w:val="0"/>
              <w:snapToGrid w:val="0"/>
              <w:jc w:val="center"/>
              <w:rPr>
                <w:snapToGrid w:val="0"/>
                <w:rtl/>
              </w:rPr>
            </w:pPr>
            <w:r w:rsidRPr="00DD0682">
              <w:rPr>
                <w:snapToGrid w:val="0"/>
                <w:lang w:val="fr-FR"/>
              </w:rPr>
              <w:t>63</w:t>
            </w:r>
          </w:p>
        </w:tc>
      </w:tr>
    </w:tbl>
    <w:p w:rsidR="00DD0682" w:rsidRPr="00DD0682" w:rsidRDefault="00DD0682" w:rsidP="007D362F">
      <w:pPr>
        <w:adjustRightInd w:val="0"/>
        <w:snapToGrid w:val="0"/>
        <w:spacing w:before="480" w:after="240"/>
        <w:rPr>
          <w:b/>
          <w:bCs/>
          <w:snapToGrid w:val="0"/>
        </w:rPr>
      </w:pPr>
      <w:r w:rsidRPr="00DD0682">
        <w:rPr>
          <w:b/>
          <w:bCs/>
          <w:snapToGrid w:val="0"/>
        </w:rPr>
        <w:t>5.</w:t>
      </w:r>
      <w:r w:rsidRPr="00DD0682">
        <w:rPr>
          <w:b/>
          <w:bCs/>
          <w:snapToGrid w:val="0"/>
        </w:rPr>
        <w:tab/>
        <w:t>Acción en apoyo de la escolarización (en especial de las niñas)</w:t>
      </w:r>
    </w:p>
    <w:p w:rsidR="00DD0682" w:rsidRPr="00DD0682" w:rsidRDefault="00DD0682" w:rsidP="00DD0682">
      <w:pPr>
        <w:adjustRightInd w:val="0"/>
        <w:snapToGrid w:val="0"/>
        <w:spacing w:after="240"/>
        <w:rPr>
          <w:snapToGrid w:val="0"/>
        </w:rPr>
      </w:pPr>
      <w:r w:rsidRPr="00DD0682">
        <w:rPr>
          <w:snapToGrid w:val="0"/>
        </w:rPr>
        <w:t>369.</w:t>
      </w:r>
      <w:r w:rsidRPr="00DD0682">
        <w:rPr>
          <w:snapToGrid w:val="0"/>
        </w:rPr>
        <w:tab/>
        <w:t>Las medidas de apoyo a la escolarización tienen un impacto directo o indirecto en la escolaridad de los niños, ya que pueden promover la matriculación y continuidad de los niños en la escuela, al menos durante todo el ciclo de enseñanza obligatoria, u ofrecerles mejores condiciones de acogida y de escolarización.  Esa acción se traduce en medidas encaminadas a favorecer la escolarización de los niños y en particular de las niñas, sobre todo en las regiones desfavorecidas.  Las medidas emprendidas en esta esfera son múltiples y afectan a las infraestructuras escolares y a las disposiciones relativas a la salud escolar.  Entre estas med</w:t>
      </w:r>
      <w:r w:rsidR="007D362F">
        <w:rPr>
          <w:snapToGrid w:val="0"/>
        </w:rPr>
        <w:t>idas, cabe citar las siguientes.</w:t>
      </w:r>
    </w:p>
    <w:p w:rsidR="00DD0682" w:rsidRPr="00DD0682" w:rsidRDefault="00DD0682" w:rsidP="00DD0682">
      <w:pPr>
        <w:adjustRightInd w:val="0"/>
        <w:snapToGrid w:val="0"/>
        <w:spacing w:after="240"/>
        <w:rPr>
          <w:b/>
          <w:bCs/>
          <w:snapToGrid w:val="0"/>
        </w:rPr>
      </w:pPr>
      <w:r w:rsidRPr="00DD0682">
        <w:rPr>
          <w:b/>
          <w:bCs/>
          <w:snapToGrid w:val="0"/>
        </w:rPr>
        <w:tab/>
        <w:t>a)</w:t>
      </w:r>
      <w:r w:rsidRPr="00DD0682">
        <w:rPr>
          <w:b/>
          <w:bCs/>
          <w:snapToGrid w:val="0"/>
        </w:rPr>
        <w:tab/>
      </w:r>
      <w:r w:rsidRPr="00DD0682">
        <w:rPr>
          <w:b/>
          <w:iCs/>
          <w:snapToGrid w:val="0"/>
        </w:rPr>
        <w:t>La densificación de la red de infraestructuras escolares</w:t>
      </w:r>
    </w:p>
    <w:p w:rsidR="00DD0682" w:rsidRPr="00DD0682" w:rsidRDefault="00DD0682" w:rsidP="00DD0682">
      <w:pPr>
        <w:adjustRightInd w:val="0"/>
        <w:snapToGrid w:val="0"/>
        <w:spacing w:after="240"/>
        <w:rPr>
          <w:snapToGrid w:val="0"/>
        </w:rPr>
      </w:pPr>
      <w:r w:rsidRPr="00DD0682">
        <w:rPr>
          <w:snapToGrid w:val="0"/>
        </w:rPr>
        <w:t>370.</w:t>
      </w:r>
      <w:r w:rsidRPr="00DD0682">
        <w:rPr>
          <w:snapToGrid w:val="0"/>
        </w:rPr>
        <w:tab/>
        <w:t>En los últimos años, la red de infraestructuras escolares se ha ampliado considerablemente.  En efecto, durante el período 1999-2004, se procedió a la construcción de:</w:t>
      </w:r>
    </w:p>
    <w:p w:rsidR="00DD0682" w:rsidRPr="00DD0682" w:rsidRDefault="00DD0682" w:rsidP="007D362F">
      <w:pPr>
        <w:adjustRightInd w:val="0"/>
        <w:snapToGrid w:val="0"/>
        <w:spacing w:after="240"/>
        <w:ind w:left="924" w:hanging="357"/>
        <w:rPr>
          <w:snapToGrid w:val="0"/>
        </w:rPr>
      </w:pPr>
      <w:r w:rsidRPr="00DD0682">
        <w:rPr>
          <w:snapToGrid w:val="0"/>
        </w:rPr>
        <w:t>-</w:t>
      </w:r>
      <w:r w:rsidRPr="00DD0682">
        <w:rPr>
          <w:snapToGrid w:val="0"/>
        </w:rPr>
        <w:tab/>
        <w:t>22.693 aulas;</w:t>
      </w:r>
    </w:p>
    <w:p w:rsidR="00DD0682" w:rsidRPr="00DD0682" w:rsidRDefault="00DD0682" w:rsidP="007D362F">
      <w:pPr>
        <w:adjustRightInd w:val="0"/>
        <w:snapToGrid w:val="0"/>
        <w:spacing w:after="240"/>
        <w:ind w:left="924" w:hanging="357"/>
        <w:rPr>
          <w:snapToGrid w:val="0"/>
        </w:rPr>
      </w:pPr>
      <w:r w:rsidRPr="00DD0682">
        <w:rPr>
          <w:snapToGrid w:val="0"/>
        </w:rPr>
        <w:t>-</w:t>
      </w:r>
      <w:r w:rsidRPr="00DD0682">
        <w:rPr>
          <w:snapToGrid w:val="0"/>
        </w:rPr>
        <w:tab/>
        <w:t>687 centros de enseñanza media;</w:t>
      </w:r>
    </w:p>
    <w:p w:rsidR="00DD0682" w:rsidRPr="00DD0682" w:rsidRDefault="00DD0682" w:rsidP="007D362F">
      <w:pPr>
        <w:adjustRightInd w:val="0"/>
        <w:snapToGrid w:val="0"/>
        <w:spacing w:after="240"/>
        <w:ind w:left="924" w:hanging="357"/>
        <w:rPr>
          <w:snapToGrid w:val="0"/>
        </w:rPr>
      </w:pPr>
      <w:r w:rsidRPr="00DD0682">
        <w:rPr>
          <w:snapToGrid w:val="0"/>
        </w:rPr>
        <w:t>-</w:t>
      </w:r>
      <w:r w:rsidRPr="00DD0682">
        <w:rPr>
          <w:snapToGrid w:val="0"/>
        </w:rPr>
        <w:tab/>
        <w:t>284 centros de enseñanza secundaria.</w:t>
      </w:r>
    </w:p>
    <w:p w:rsidR="00DD0682" w:rsidRPr="00DD0682" w:rsidRDefault="00DD0682" w:rsidP="00DD0682">
      <w:pPr>
        <w:adjustRightInd w:val="0"/>
        <w:snapToGrid w:val="0"/>
        <w:spacing w:after="240"/>
        <w:rPr>
          <w:snapToGrid w:val="0"/>
        </w:rPr>
      </w:pPr>
      <w:r w:rsidRPr="00DD0682">
        <w:rPr>
          <w:snapToGrid w:val="0"/>
        </w:rPr>
        <w:t>371.</w:t>
      </w:r>
      <w:r w:rsidRPr="00DD0682">
        <w:rPr>
          <w:snapToGrid w:val="0"/>
        </w:rPr>
        <w:tab/>
        <w:t>En comparación con el período 1962-1998, esas infraestructuras representan los siguientes aumentos:</w:t>
      </w:r>
    </w:p>
    <w:p w:rsidR="00DD0682" w:rsidRPr="00DD0682" w:rsidRDefault="00DD0682" w:rsidP="007D362F">
      <w:pPr>
        <w:adjustRightInd w:val="0"/>
        <w:snapToGrid w:val="0"/>
        <w:spacing w:after="240"/>
        <w:ind w:left="924" w:hanging="357"/>
        <w:rPr>
          <w:snapToGrid w:val="0"/>
        </w:rPr>
      </w:pPr>
      <w:r w:rsidRPr="00DD0682">
        <w:rPr>
          <w:snapToGrid w:val="0"/>
        </w:rPr>
        <w:t>-</w:t>
      </w:r>
      <w:r w:rsidRPr="00DD0682">
        <w:rPr>
          <w:snapToGrid w:val="0"/>
        </w:rPr>
        <w:tab/>
        <w:t>+ 26,61% de aulas;</w:t>
      </w:r>
    </w:p>
    <w:p w:rsidR="00DD0682" w:rsidRPr="00DD0682" w:rsidRDefault="00DD0682" w:rsidP="007D362F">
      <w:pPr>
        <w:adjustRightInd w:val="0"/>
        <w:snapToGrid w:val="0"/>
        <w:spacing w:after="240"/>
        <w:ind w:left="924" w:hanging="357"/>
        <w:rPr>
          <w:snapToGrid w:val="0"/>
        </w:rPr>
      </w:pPr>
      <w:r w:rsidRPr="00DD0682">
        <w:rPr>
          <w:snapToGrid w:val="0"/>
        </w:rPr>
        <w:t>-</w:t>
      </w:r>
      <w:r w:rsidRPr="00DD0682">
        <w:rPr>
          <w:snapToGrid w:val="0"/>
        </w:rPr>
        <w:tab/>
        <w:t>+ 24,36% de centros de enseñanza media;</w:t>
      </w:r>
    </w:p>
    <w:p w:rsidR="00DD0682" w:rsidRPr="00DD0682" w:rsidRDefault="00DD0682" w:rsidP="007D362F">
      <w:pPr>
        <w:adjustRightInd w:val="0"/>
        <w:snapToGrid w:val="0"/>
        <w:spacing w:after="240"/>
        <w:ind w:left="924" w:hanging="357"/>
        <w:rPr>
          <w:snapToGrid w:val="0"/>
        </w:rPr>
      </w:pPr>
      <w:r w:rsidRPr="00DD0682">
        <w:rPr>
          <w:snapToGrid w:val="0"/>
        </w:rPr>
        <w:t>-</w:t>
      </w:r>
      <w:r w:rsidRPr="00DD0682">
        <w:rPr>
          <w:snapToGrid w:val="0"/>
        </w:rPr>
        <w:tab/>
        <w:t>+ 25,47% de centros de enseñanza secundaria.</w:t>
      </w:r>
    </w:p>
    <w:p w:rsidR="00DD0682" w:rsidRPr="00DD0682" w:rsidRDefault="00DD0682" w:rsidP="00DD0682">
      <w:pPr>
        <w:adjustRightInd w:val="0"/>
        <w:snapToGrid w:val="0"/>
        <w:spacing w:after="240"/>
        <w:rPr>
          <w:snapToGrid w:val="0"/>
        </w:rPr>
      </w:pPr>
      <w:r w:rsidRPr="00DD0682">
        <w:rPr>
          <w:snapToGrid w:val="0"/>
        </w:rPr>
        <w:t>372.</w:t>
      </w:r>
      <w:r w:rsidRPr="00DD0682">
        <w:rPr>
          <w:snapToGrid w:val="0"/>
        </w:rPr>
        <w:tab/>
        <w:t>Esta ampliación del conjunto de infraestructuras escolares ha permitido mejorar sustancialmente las condiciones de escolarización.  Así, el número de alumnos por aula en la enseñanza primaria pasó de 41 en 1999 a 34 en 2005, a nivel nacional.  Esta mejora de las condiciones de escolarización seguirá potenciándose ya que, en el período 2005-2009, está previsto incorporar al programa complementario de apoyo al crecimiento, que abarca las mesetas y la parte meridional del país:</w:t>
      </w:r>
    </w:p>
    <w:p w:rsidR="00DD0682" w:rsidRPr="00DD0682" w:rsidRDefault="00DD0682" w:rsidP="00CE2A0B">
      <w:pPr>
        <w:adjustRightInd w:val="0"/>
        <w:snapToGrid w:val="0"/>
        <w:spacing w:after="240"/>
        <w:ind w:left="924" w:hanging="357"/>
        <w:rPr>
          <w:snapToGrid w:val="0"/>
        </w:rPr>
      </w:pPr>
      <w:r w:rsidRPr="00DD0682">
        <w:rPr>
          <w:snapToGrid w:val="0"/>
        </w:rPr>
        <w:t>-</w:t>
      </w:r>
      <w:r w:rsidRPr="00DD0682">
        <w:rPr>
          <w:snapToGrid w:val="0"/>
        </w:rPr>
        <w:tab/>
        <w:t>6.957 aulas;</w:t>
      </w:r>
    </w:p>
    <w:p w:rsidR="00DD0682" w:rsidRPr="00DD0682" w:rsidRDefault="00DD0682" w:rsidP="00CE2A0B">
      <w:pPr>
        <w:adjustRightInd w:val="0"/>
        <w:snapToGrid w:val="0"/>
        <w:spacing w:after="240"/>
        <w:ind w:left="924" w:hanging="357"/>
        <w:rPr>
          <w:snapToGrid w:val="0"/>
        </w:rPr>
      </w:pPr>
      <w:r w:rsidRPr="00DD0682">
        <w:rPr>
          <w:snapToGrid w:val="0"/>
        </w:rPr>
        <w:t>-</w:t>
      </w:r>
      <w:r w:rsidRPr="00DD0682">
        <w:rPr>
          <w:snapToGrid w:val="0"/>
        </w:rPr>
        <w:tab/>
        <w:t>1.027 centros de enseñanza media;</w:t>
      </w:r>
    </w:p>
    <w:p w:rsidR="00DD0682" w:rsidRPr="00DD0682" w:rsidRDefault="00DD0682" w:rsidP="00CE2A0B">
      <w:pPr>
        <w:adjustRightInd w:val="0"/>
        <w:snapToGrid w:val="0"/>
        <w:spacing w:after="240"/>
        <w:ind w:left="924" w:hanging="357"/>
        <w:rPr>
          <w:snapToGrid w:val="0"/>
        </w:rPr>
      </w:pPr>
      <w:r w:rsidRPr="00DD0682">
        <w:rPr>
          <w:snapToGrid w:val="0"/>
        </w:rPr>
        <w:t>-</w:t>
      </w:r>
      <w:r w:rsidRPr="00DD0682">
        <w:rPr>
          <w:snapToGrid w:val="0"/>
        </w:rPr>
        <w:tab/>
        <w:t>465 centros de enseñanza secundaria.</w:t>
      </w:r>
    </w:p>
    <w:p w:rsidR="00DD0682" w:rsidRPr="00CE2A0B" w:rsidRDefault="00DD0682" w:rsidP="00DD0682">
      <w:pPr>
        <w:adjustRightInd w:val="0"/>
        <w:snapToGrid w:val="0"/>
        <w:spacing w:after="240"/>
        <w:rPr>
          <w:snapToGrid w:val="0"/>
          <w:spacing w:val="-2"/>
        </w:rPr>
      </w:pPr>
      <w:r w:rsidRPr="00CE2A0B">
        <w:rPr>
          <w:snapToGrid w:val="0"/>
          <w:spacing w:val="-2"/>
        </w:rPr>
        <w:t>373.</w:t>
      </w:r>
      <w:r w:rsidRPr="00CE2A0B">
        <w:rPr>
          <w:snapToGrid w:val="0"/>
          <w:spacing w:val="-2"/>
        </w:rPr>
        <w:tab/>
        <w:t>Estas infraestructuras, que se prevé realizar en un plazo de cinco años, representan una cuarta parte de la red de infraestructuras que posee actualmente el sector de la educación nacional.</w:t>
      </w:r>
    </w:p>
    <w:p w:rsidR="00DD0682" w:rsidRPr="00DD0682" w:rsidRDefault="00DD0682" w:rsidP="00DD0682">
      <w:pPr>
        <w:adjustRightInd w:val="0"/>
        <w:snapToGrid w:val="0"/>
        <w:spacing w:after="240"/>
        <w:rPr>
          <w:b/>
          <w:iCs/>
          <w:snapToGrid w:val="0"/>
        </w:rPr>
      </w:pPr>
      <w:r w:rsidRPr="00DD0682">
        <w:rPr>
          <w:b/>
          <w:bCs/>
          <w:snapToGrid w:val="0"/>
        </w:rPr>
        <w:tab/>
        <w:t>b)</w:t>
      </w:r>
      <w:r w:rsidRPr="00DD0682">
        <w:rPr>
          <w:b/>
          <w:bCs/>
          <w:snapToGrid w:val="0"/>
        </w:rPr>
        <w:tab/>
      </w:r>
      <w:r w:rsidRPr="00DD0682">
        <w:rPr>
          <w:b/>
          <w:iCs/>
          <w:snapToGrid w:val="0"/>
        </w:rPr>
        <w:t>Las acciones de solidaridad escolar</w:t>
      </w:r>
    </w:p>
    <w:p w:rsidR="00DD0682" w:rsidRPr="00DD0682" w:rsidRDefault="00DD0682" w:rsidP="00DD0682">
      <w:pPr>
        <w:adjustRightInd w:val="0"/>
        <w:snapToGrid w:val="0"/>
        <w:spacing w:after="240"/>
        <w:rPr>
          <w:snapToGrid w:val="0"/>
        </w:rPr>
      </w:pPr>
      <w:r w:rsidRPr="00DD0682">
        <w:rPr>
          <w:snapToGrid w:val="0"/>
        </w:rPr>
        <w:t>374.</w:t>
      </w:r>
      <w:r w:rsidRPr="00DD0682">
        <w:rPr>
          <w:snapToGrid w:val="0"/>
        </w:rPr>
        <w:tab/>
        <w:t>En ese terreno cabe citar dos acciones principales:</w:t>
      </w:r>
    </w:p>
    <w:p w:rsidR="00DD0682" w:rsidRPr="00DD0682" w:rsidRDefault="00DD0682" w:rsidP="00CE2A0B">
      <w:pPr>
        <w:adjustRightInd w:val="0"/>
        <w:snapToGrid w:val="0"/>
        <w:spacing w:after="240"/>
        <w:ind w:left="1134" w:hanging="567"/>
        <w:rPr>
          <w:snapToGrid w:val="0"/>
        </w:rPr>
      </w:pPr>
      <w:r w:rsidRPr="00DD0682">
        <w:rPr>
          <w:snapToGrid w:val="0"/>
        </w:rPr>
        <w:t>a)</w:t>
      </w:r>
      <w:r w:rsidRPr="00DD0682">
        <w:rPr>
          <w:snapToGrid w:val="0"/>
        </w:rPr>
        <w:tab/>
        <w:t>El establecimiento, desde el inicio del año escolar 2000/01, de un subsidio de escolaridad de 2.000 dinares otorgado cada año escolar a cada niño necesitado para ayudar a su familia a sufragar los gastos relacionados con su escolarización.  En el año escolar iniciado en 2006 más de 3 millones de niños se beneficiaron de este subsidio, que ascendió en total a más de 6.000 millones de dinares.</w:t>
      </w:r>
    </w:p>
    <w:p w:rsidR="00DD0682" w:rsidRPr="00DD0682" w:rsidRDefault="00DD0682" w:rsidP="00CE2A0B">
      <w:pPr>
        <w:adjustRightInd w:val="0"/>
        <w:snapToGrid w:val="0"/>
        <w:spacing w:after="240"/>
        <w:ind w:left="1134" w:hanging="567"/>
        <w:rPr>
          <w:snapToGrid w:val="0"/>
        </w:rPr>
      </w:pPr>
      <w:r w:rsidRPr="00DD0682">
        <w:rPr>
          <w:snapToGrid w:val="0"/>
        </w:rPr>
        <w:t>b)</w:t>
      </w:r>
      <w:r w:rsidRPr="00DD0682">
        <w:rPr>
          <w:snapToGrid w:val="0"/>
        </w:rPr>
        <w:tab/>
        <w:t>Además de este subsidio de escolaridad, es importante recordar el mecanismo nacional de solidaridad creado para aliviar la carga que pesa sobre las familias más pobres, que consistió en proporcionar equipo o material escolar y libros de texto a los niños necesitados, para el inicio del año escolar o con motivo de las principales fiestas religiosas.  Durante el año escolar 2004/05, se beneficiaron de ese mecanismo 1.196.322 alumnos.</w:t>
      </w:r>
    </w:p>
    <w:p w:rsidR="00DD0682" w:rsidRPr="00DD0682" w:rsidRDefault="00DD0682" w:rsidP="00DD0682">
      <w:pPr>
        <w:adjustRightInd w:val="0"/>
        <w:snapToGrid w:val="0"/>
        <w:spacing w:after="240"/>
        <w:rPr>
          <w:b/>
          <w:snapToGrid w:val="0"/>
        </w:rPr>
      </w:pPr>
      <w:r w:rsidRPr="00DD0682">
        <w:rPr>
          <w:b/>
          <w:bCs/>
          <w:snapToGrid w:val="0"/>
        </w:rPr>
        <w:tab/>
        <w:t>c)</w:t>
      </w:r>
      <w:r w:rsidRPr="00DD0682">
        <w:rPr>
          <w:b/>
          <w:bCs/>
          <w:snapToGrid w:val="0"/>
        </w:rPr>
        <w:tab/>
        <w:t>A</w:t>
      </w:r>
      <w:r w:rsidRPr="00DD0682">
        <w:rPr>
          <w:b/>
          <w:iCs/>
          <w:snapToGrid w:val="0"/>
        </w:rPr>
        <w:t>mpliación de la red de comedores escolares</w:t>
      </w:r>
    </w:p>
    <w:p w:rsidR="00DD0682" w:rsidRPr="00CE2A0B" w:rsidRDefault="00DD0682" w:rsidP="00DD0682">
      <w:pPr>
        <w:adjustRightInd w:val="0"/>
        <w:snapToGrid w:val="0"/>
        <w:spacing w:after="240"/>
        <w:rPr>
          <w:snapToGrid w:val="0"/>
          <w:spacing w:val="-2"/>
        </w:rPr>
      </w:pPr>
      <w:r w:rsidRPr="00CE2A0B">
        <w:rPr>
          <w:snapToGrid w:val="0"/>
          <w:spacing w:val="-2"/>
        </w:rPr>
        <w:t>375.</w:t>
      </w:r>
      <w:r w:rsidRPr="00CE2A0B">
        <w:rPr>
          <w:snapToGrid w:val="0"/>
          <w:spacing w:val="-2"/>
        </w:rPr>
        <w:tab/>
        <w:t>En este sector el Estado ha realizado esfuerzos especiales, con la densificación y el desarrollo de la red de comedores escolares y aumentando también los créditos destinados a su funcionamiento.  La red de comedores escolares se ha ampliado con la construcción de un número importante de nuevos comedores, que al inicio del curso escolar en septiembre de 2005 se había más que duplicado, al pasar de 4.384 en 1999 a 7.864 en 2003 y a 9.735 en 2005.</w:t>
      </w:r>
    </w:p>
    <w:p w:rsidR="00DD0682" w:rsidRPr="00DD0682" w:rsidRDefault="00DD0682" w:rsidP="00DD0682">
      <w:pPr>
        <w:adjustRightInd w:val="0"/>
        <w:snapToGrid w:val="0"/>
        <w:spacing w:after="240"/>
        <w:rPr>
          <w:snapToGrid w:val="0"/>
        </w:rPr>
      </w:pPr>
      <w:r w:rsidRPr="00DD0682">
        <w:rPr>
          <w:snapToGrid w:val="0"/>
        </w:rPr>
        <w:t>376.</w:t>
      </w:r>
      <w:r w:rsidRPr="00DD0682">
        <w:rPr>
          <w:snapToGrid w:val="0"/>
        </w:rPr>
        <w:tab/>
        <w:t>En este contexto, los créditos para el funcionamiento de los comedores escolares, se han multiplicado por 12 desde 1999.  Los datos que aparecen en el cuadro siguiente ilustran esta evolución positiva.</w:t>
      </w:r>
    </w:p>
    <w:tbl>
      <w:tblPr>
        <w:tblStyle w:val="TableGrid"/>
        <w:tblW w:w="0" w:type="auto"/>
        <w:jc w:val="center"/>
        <w:tblInd w:w="1028" w:type="dxa"/>
        <w:tblLook w:val="01E0" w:firstRow="1" w:lastRow="1" w:firstColumn="1" w:lastColumn="1" w:noHBand="0" w:noVBand="0"/>
      </w:tblPr>
      <w:tblGrid>
        <w:gridCol w:w="1560"/>
        <w:gridCol w:w="3240"/>
        <w:gridCol w:w="2640"/>
      </w:tblGrid>
      <w:tr w:rsidR="00DD0682" w:rsidRPr="00DD0682" w:rsidTr="00DD0682">
        <w:trPr>
          <w:jc w:val="center"/>
        </w:trPr>
        <w:tc>
          <w:tcPr>
            <w:tcW w:w="1560" w:type="dxa"/>
            <w:vAlign w:val="center"/>
          </w:tcPr>
          <w:p w:rsidR="00DD0682" w:rsidRPr="00DD0682" w:rsidRDefault="00DD0682" w:rsidP="00CE2A0B">
            <w:pPr>
              <w:adjustRightInd w:val="0"/>
              <w:snapToGrid w:val="0"/>
              <w:jc w:val="center"/>
              <w:rPr>
                <w:b/>
                <w:iCs/>
                <w:snapToGrid w:val="0"/>
                <w:lang w:val="fr-FR"/>
              </w:rPr>
            </w:pPr>
            <w:r w:rsidRPr="00DD0682">
              <w:rPr>
                <w:b/>
                <w:iCs/>
                <w:snapToGrid w:val="0"/>
                <w:lang w:val="fr-FR"/>
              </w:rPr>
              <w:t>Año</w:t>
            </w:r>
          </w:p>
        </w:tc>
        <w:tc>
          <w:tcPr>
            <w:tcW w:w="3240" w:type="dxa"/>
            <w:vAlign w:val="center"/>
          </w:tcPr>
          <w:p w:rsidR="00DD0682" w:rsidRPr="00DD0682" w:rsidRDefault="00DD0682" w:rsidP="00CE2A0B">
            <w:pPr>
              <w:adjustRightInd w:val="0"/>
              <w:snapToGrid w:val="0"/>
              <w:jc w:val="center"/>
              <w:rPr>
                <w:b/>
                <w:iCs/>
                <w:snapToGrid w:val="0"/>
                <w:lang w:val="fr-FR"/>
              </w:rPr>
            </w:pPr>
            <w:r w:rsidRPr="00DD0682">
              <w:rPr>
                <w:b/>
                <w:iCs/>
                <w:snapToGrid w:val="0"/>
                <w:lang w:val="fr-FR"/>
              </w:rPr>
              <w:t>Presupuesto</w:t>
            </w:r>
          </w:p>
          <w:p w:rsidR="00DD0682" w:rsidRPr="00DD0682" w:rsidRDefault="00DD0682" w:rsidP="00CE2A0B">
            <w:pPr>
              <w:adjustRightInd w:val="0"/>
              <w:snapToGrid w:val="0"/>
              <w:jc w:val="center"/>
              <w:rPr>
                <w:b/>
                <w:iCs/>
                <w:snapToGrid w:val="0"/>
                <w:lang w:val="fr-FR"/>
              </w:rPr>
            </w:pPr>
            <w:r w:rsidRPr="00DD0682">
              <w:rPr>
                <w:b/>
                <w:iCs/>
                <w:snapToGrid w:val="0"/>
                <w:lang w:val="fr-FR"/>
              </w:rPr>
              <w:t>(dinares argelinos)</w:t>
            </w:r>
          </w:p>
        </w:tc>
        <w:tc>
          <w:tcPr>
            <w:tcW w:w="2640" w:type="dxa"/>
            <w:vAlign w:val="center"/>
          </w:tcPr>
          <w:p w:rsidR="00DD0682" w:rsidRPr="00DD0682" w:rsidRDefault="00DD0682" w:rsidP="00CE2A0B">
            <w:pPr>
              <w:adjustRightInd w:val="0"/>
              <w:snapToGrid w:val="0"/>
              <w:jc w:val="center"/>
              <w:rPr>
                <w:b/>
                <w:iCs/>
                <w:snapToGrid w:val="0"/>
              </w:rPr>
            </w:pPr>
            <w:r w:rsidRPr="00DD0682">
              <w:rPr>
                <w:b/>
                <w:iCs/>
                <w:snapToGrid w:val="0"/>
              </w:rPr>
              <w:t>Tasa de cobertura</w:t>
            </w:r>
          </w:p>
          <w:p w:rsidR="00DD0682" w:rsidRPr="00DD0682" w:rsidRDefault="00CE2A0B" w:rsidP="00CE2A0B">
            <w:pPr>
              <w:adjustRightInd w:val="0"/>
              <w:snapToGrid w:val="0"/>
              <w:jc w:val="center"/>
              <w:rPr>
                <w:b/>
                <w:iCs/>
                <w:snapToGrid w:val="0"/>
              </w:rPr>
            </w:pPr>
            <w:r>
              <w:rPr>
                <w:b/>
                <w:iCs/>
                <w:snapToGrid w:val="0"/>
              </w:rPr>
              <w:t>(</w:t>
            </w:r>
            <w:r w:rsidR="00DD0682" w:rsidRPr="00DD0682">
              <w:rPr>
                <w:b/>
                <w:iCs/>
                <w:snapToGrid w:val="0"/>
              </w:rPr>
              <w:t>porcentaje)</w:t>
            </w:r>
          </w:p>
        </w:tc>
      </w:tr>
      <w:tr w:rsidR="00DD0682" w:rsidRPr="00DD0682" w:rsidTr="00DD0682">
        <w:trPr>
          <w:jc w:val="center"/>
        </w:trPr>
        <w:tc>
          <w:tcPr>
            <w:tcW w:w="1560" w:type="dxa"/>
          </w:tcPr>
          <w:p w:rsidR="00DD0682" w:rsidRPr="00DD0682" w:rsidRDefault="00DD0682" w:rsidP="00632B87">
            <w:pPr>
              <w:adjustRightInd w:val="0"/>
              <w:snapToGrid w:val="0"/>
              <w:jc w:val="center"/>
              <w:rPr>
                <w:snapToGrid w:val="0"/>
                <w:lang w:val="fr-FR"/>
              </w:rPr>
            </w:pPr>
            <w:r w:rsidRPr="00DD0682">
              <w:rPr>
                <w:snapToGrid w:val="0"/>
                <w:lang w:val="fr-FR"/>
              </w:rPr>
              <w:t>2001</w:t>
            </w:r>
          </w:p>
        </w:tc>
        <w:tc>
          <w:tcPr>
            <w:tcW w:w="3240" w:type="dxa"/>
          </w:tcPr>
          <w:p w:rsidR="00DD0682" w:rsidRPr="00DD0682" w:rsidRDefault="00DD0682" w:rsidP="00611367">
            <w:pPr>
              <w:adjustRightInd w:val="0"/>
              <w:snapToGrid w:val="0"/>
              <w:jc w:val="center"/>
              <w:rPr>
                <w:bCs/>
                <w:snapToGrid w:val="0"/>
                <w:lang w:val="fr-FR"/>
              </w:rPr>
            </w:pPr>
            <w:r w:rsidRPr="00DD0682">
              <w:rPr>
                <w:bCs/>
                <w:snapToGrid w:val="0"/>
                <w:lang w:val="fr-FR"/>
              </w:rPr>
              <w:t>1.998.165.000</w:t>
            </w:r>
          </w:p>
        </w:tc>
        <w:tc>
          <w:tcPr>
            <w:tcW w:w="2640" w:type="dxa"/>
          </w:tcPr>
          <w:p w:rsidR="00DD0682" w:rsidRPr="00DD0682" w:rsidRDefault="00DD0682" w:rsidP="00611367">
            <w:pPr>
              <w:tabs>
                <w:tab w:val="decimal" w:pos="1141"/>
              </w:tabs>
              <w:adjustRightInd w:val="0"/>
              <w:snapToGrid w:val="0"/>
              <w:rPr>
                <w:bCs/>
                <w:snapToGrid w:val="0"/>
                <w:lang w:val="fr-FR"/>
              </w:rPr>
            </w:pPr>
            <w:r w:rsidRPr="00DD0682">
              <w:rPr>
                <w:bCs/>
                <w:snapToGrid w:val="0"/>
                <w:lang w:val="fr-FR"/>
              </w:rPr>
              <w:t>22,56</w:t>
            </w:r>
          </w:p>
        </w:tc>
      </w:tr>
      <w:tr w:rsidR="00DD0682" w:rsidRPr="00DD0682" w:rsidTr="00DD0682">
        <w:trPr>
          <w:jc w:val="center"/>
        </w:trPr>
        <w:tc>
          <w:tcPr>
            <w:tcW w:w="1560" w:type="dxa"/>
          </w:tcPr>
          <w:p w:rsidR="00DD0682" w:rsidRPr="00DD0682" w:rsidRDefault="00DD0682" w:rsidP="00632B87">
            <w:pPr>
              <w:adjustRightInd w:val="0"/>
              <w:snapToGrid w:val="0"/>
              <w:jc w:val="center"/>
              <w:rPr>
                <w:snapToGrid w:val="0"/>
                <w:lang w:val="fr-FR"/>
              </w:rPr>
            </w:pPr>
            <w:r w:rsidRPr="00DD0682">
              <w:rPr>
                <w:snapToGrid w:val="0"/>
                <w:lang w:val="fr-FR"/>
              </w:rPr>
              <w:t>2002</w:t>
            </w:r>
          </w:p>
        </w:tc>
        <w:tc>
          <w:tcPr>
            <w:tcW w:w="3240" w:type="dxa"/>
          </w:tcPr>
          <w:p w:rsidR="00DD0682" w:rsidRPr="00DD0682" w:rsidRDefault="00DD0682" w:rsidP="00611367">
            <w:pPr>
              <w:adjustRightInd w:val="0"/>
              <w:snapToGrid w:val="0"/>
              <w:jc w:val="center"/>
              <w:rPr>
                <w:bCs/>
                <w:snapToGrid w:val="0"/>
                <w:lang w:val="fr-FR"/>
              </w:rPr>
            </w:pPr>
            <w:r w:rsidRPr="00DD0682">
              <w:rPr>
                <w:bCs/>
                <w:snapToGrid w:val="0"/>
                <w:lang w:val="fr-FR"/>
              </w:rPr>
              <w:t>2.406.000.000</w:t>
            </w:r>
          </w:p>
        </w:tc>
        <w:tc>
          <w:tcPr>
            <w:tcW w:w="2640" w:type="dxa"/>
          </w:tcPr>
          <w:p w:rsidR="00DD0682" w:rsidRPr="00DD0682" w:rsidRDefault="00DD0682" w:rsidP="00611367">
            <w:pPr>
              <w:tabs>
                <w:tab w:val="decimal" w:pos="1141"/>
              </w:tabs>
              <w:adjustRightInd w:val="0"/>
              <w:snapToGrid w:val="0"/>
              <w:rPr>
                <w:bCs/>
                <w:snapToGrid w:val="0"/>
                <w:lang w:val="fr-FR"/>
              </w:rPr>
            </w:pPr>
            <w:r w:rsidRPr="00DD0682">
              <w:rPr>
                <w:bCs/>
                <w:snapToGrid w:val="0"/>
                <w:lang w:val="fr-FR"/>
              </w:rPr>
              <w:t>30</w:t>
            </w:r>
          </w:p>
        </w:tc>
      </w:tr>
      <w:tr w:rsidR="00DD0682" w:rsidRPr="00DD0682" w:rsidTr="00DD0682">
        <w:trPr>
          <w:jc w:val="center"/>
        </w:trPr>
        <w:tc>
          <w:tcPr>
            <w:tcW w:w="1560" w:type="dxa"/>
          </w:tcPr>
          <w:p w:rsidR="00DD0682" w:rsidRPr="00DD0682" w:rsidRDefault="00DD0682" w:rsidP="00632B87">
            <w:pPr>
              <w:adjustRightInd w:val="0"/>
              <w:snapToGrid w:val="0"/>
              <w:jc w:val="center"/>
              <w:rPr>
                <w:snapToGrid w:val="0"/>
                <w:lang w:val="fr-FR"/>
              </w:rPr>
            </w:pPr>
            <w:r w:rsidRPr="00DD0682">
              <w:rPr>
                <w:snapToGrid w:val="0"/>
                <w:lang w:val="fr-FR"/>
              </w:rPr>
              <w:t>2003</w:t>
            </w:r>
          </w:p>
        </w:tc>
        <w:tc>
          <w:tcPr>
            <w:tcW w:w="3240" w:type="dxa"/>
          </w:tcPr>
          <w:p w:rsidR="00DD0682" w:rsidRPr="00DD0682" w:rsidRDefault="00DD0682" w:rsidP="00611367">
            <w:pPr>
              <w:adjustRightInd w:val="0"/>
              <w:snapToGrid w:val="0"/>
              <w:jc w:val="center"/>
              <w:rPr>
                <w:bCs/>
                <w:snapToGrid w:val="0"/>
                <w:lang w:val="fr-FR"/>
              </w:rPr>
            </w:pPr>
            <w:r w:rsidRPr="00DD0682">
              <w:rPr>
                <w:bCs/>
                <w:snapToGrid w:val="0"/>
                <w:lang w:val="fr-FR"/>
              </w:rPr>
              <w:t>3.634.000.000</w:t>
            </w:r>
          </w:p>
        </w:tc>
        <w:tc>
          <w:tcPr>
            <w:tcW w:w="2640" w:type="dxa"/>
          </w:tcPr>
          <w:p w:rsidR="00DD0682" w:rsidRPr="00DD0682" w:rsidRDefault="00DD0682" w:rsidP="00611367">
            <w:pPr>
              <w:tabs>
                <w:tab w:val="decimal" w:pos="1141"/>
              </w:tabs>
              <w:adjustRightInd w:val="0"/>
              <w:snapToGrid w:val="0"/>
              <w:rPr>
                <w:bCs/>
                <w:snapToGrid w:val="0"/>
                <w:lang w:val="fr-FR"/>
              </w:rPr>
            </w:pPr>
            <w:r w:rsidRPr="00DD0682">
              <w:rPr>
                <w:bCs/>
                <w:snapToGrid w:val="0"/>
                <w:lang w:val="fr-FR"/>
              </w:rPr>
              <w:t>34,84</w:t>
            </w:r>
          </w:p>
        </w:tc>
      </w:tr>
      <w:tr w:rsidR="00DD0682" w:rsidRPr="00DD0682" w:rsidTr="00DD0682">
        <w:trPr>
          <w:jc w:val="center"/>
        </w:trPr>
        <w:tc>
          <w:tcPr>
            <w:tcW w:w="1560" w:type="dxa"/>
          </w:tcPr>
          <w:p w:rsidR="00DD0682" w:rsidRPr="00DD0682" w:rsidRDefault="00DD0682" w:rsidP="00632B87">
            <w:pPr>
              <w:adjustRightInd w:val="0"/>
              <w:snapToGrid w:val="0"/>
              <w:jc w:val="center"/>
              <w:rPr>
                <w:snapToGrid w:val="0"/>
                <w:lang w:val="fr-FR"/>
              </w:rPr>
            </w:pPr>
            <w:r w:rsidRPr="00DD0682">
              <w:rPr>
                <w:snapToGrid w:val="0"/>
                <w:lang w:val="fr-FR"/>
              </w:rPr>
              <w:t>2004</w:t>
            </w:r>
          </w:p>
        </w:tc>
        <w:tc>
          <w:tcPr>
            <w:tcW w:w="3240" w:type="dxa"/>
          </w:tcPr>
          <w:p w:rsidR="00DD0682" w:rsidRPr="00DD0682" w:rsidRDefault="00DD0682" w:rsidP="00611367">
            <w:pPr>
              <w:adjustRightInd w:val="0"/>
              <w:snapToGrid w:val="0"/>
              <w:jc w:val="center"/>
              <w:rPr>
                <w:bCs/>
                <w:snapToGrid w:val="0"/>
                <w:lang w:val="fr-FR"/>
              </w:rPr>
            </w:pPr>
            <w:r w:rsidRPr="00DD0682">
              <w:rPr>
                <w:bCs/>
                <w:snapToGrid w:val="0"/>
                <w:lang w:val="fr-FR"/>
              </w:rPr>
              <w:t>3.893.000.000</w:t>
            </w:r>
          </w:p>
        </w:tc>
        <w:tc>
          <w:tcPr>
            <w:tcW w:w="2640" w:type="dxa"/>
          </w:tcPr>
          <w:p w:rsidR="00DD0682" w:rsidRPr="00DD0682" w:rsidRDefault="00DD0682" w:rsidP="00611367">
            <w:pPr>
              <w:tabs>
                <w:tab w:val="decimal" w:pos="1141"/>
              </w:tabs>
              <w:adjustRightInd w:val="0"/>
              <w:snapToGrid w:val="0"/>
              <w:rPr>
                <w:bCs/>
                <w:snapToGrid w:val="0"/>
                <w:lang w:val="fr-FR"/>
              </w:rPr>
            </w:pPr>
            <w:r w:rsidRPr="00DD0682">
              <w:rPr>
                <w:bCs/>
                <w:snapToGrid w:val="0"/>
                <w:lang w:val="fr-FR"/>
              </w:rPr>
              <w:t>35,68</w:t>
            </w:r>
          </w:p>
        </w:tc>
      </w:tr>
      <w:tr w:rsidR="00DD0682" w:rsidRPr="00DD0682" w:rsidTr="00DD0682">
        <w:trPr>
          <w:jc w:val="center"/>
        </w:trPr>
        <w:tc>
          <w:tcPr>
            <w:tcW w:w="1560" w:type="dxa"/>
          </w:tcPr>
          <w:p w:rsidR="00DD0682" w:rsidRPr="00DD0682" w:rsidRDefault="00DD0682" w:rsidP="00632B87">
            <w:pPr>
              <w:adjustRightInd w:val="0"/>
              <w:snapToGrid w:val="0"/>
              <w:jc w:val="center"/>
              <w:rPr>
                <w:snapToGrid w:val="0"/>
                <w:lang w:val="fr-FR"/>
              </w:rPr>
            </w:pPr>
            <w:r w:rsidRPr="00DD0682">
              <w:rPr>
                <w:snapToGrid w:val="0"/>
                <w:lang w:val="fr-FR"/>
              </w:rPr>
              <w:t>2005</w:t>
            </w:r>
          </w:p>
        </w:tc>
        <w:tc>
          <w:tcPr>
            <w:tcW w:w="3240" w:type="dxa"/>
          </w:tcPr>
          <w:p w:rsidR="00DD0682" w:rsidRPr="00DD0682" w:rsidRDefault="00DD0682" w:rsidP="00611367">
            <w:pPr>
              <w:adjustRightInd w:val="0"/>
              <w:snapToGrid w:val="0"/>
              <w:jc w:val="center"/>
              <w:rPr>
                <w:bCs/>
                <w:snapToGrid w:val="0"/>
                <w:lang w:val="fr-FR"/>
              </w:rPr>
            </w:pPr>
            <w:r w:rsidRPr="00DD0682">
              <w:rPr>
                <w:bCs/>
                <w:snapToGrid w:val="0"/>
                <w:lang w:val="fr-FR"/>
              </w:rPr>
              <w:t>6.044.000.000</w:t>
            </w:r>
          </w:p>
        </w:tc>
        <w:tc>
          <w:tcPr>
            <w:tcW w:w="2640" w:type="dxa"/>
          </w:tcPr>
          <w:p w:rsidR="00DD0682" w:rsidRPr="00DD0682" w:rsidRDefault="00DD0682" w:rsidP="00611367">
            <w:pPr>
              <w:tabs>
                <w:tab w:val="decimal" w:pos="1141"/>
              </w:tabs>
              <w:adjustRightInd w:val="0"/>
              <w:snapToGrid w:val="0"/>
              <w:rPr>
                <w:bCs/>
                <w:snapToGrid w:val="0"/>
                <w:lang w:val="fr-FR"/>
              </w:rPr>
            </w:pPr>
            <w:r w:rsidRPr="00DD0682">
              <w:rPr>
                <w:bCs/>
                <w:snapToGrid w:val="0"/>
                <w:lang w:val="fr-FR"/>
              </w:rPr>
              <w:t>46</w:t>
            </w:r>
          </w:p>
        </w:tc>
      </w:tr>
    </w:tbl>
    <w:p w:rsidR="00DD0682" w:rsidRPr="00DD0682" w:rsidRDefault="00DD0682" w:rsidP="00DD0682">
      <w:pPr>
        <w:adjustRightInd w:val="0"/>
        <w:snapToGrid w:val="0"/>
        <w:spacing w:after="240"/>
        <w:rPr>
          <w:snapToGrid w:val="0"/>
        </w:rPr>
      </w:pPr>
      <w:r w:rsidRPr="00DD0682">
        <w:rPr>
          <w:snapToGrid w:val="0"/>
        </w:rPr>
        <w:t>377.</w:t>
      </w:r>
      <w:r w:rsidRPr="00DD0682">
        <w:rPr>
          <w:snapToGrid w:val="0"/>
        </w:rPr>
        <w:tab/>
        <w:t xml:space="preserve">Gracias al aumento del número de comedores escolares y de los créditos para su funcionamiento, el número de beneficiarios se ha triplicado, pasando de 600.000 a casi 2.000.000, y el porcentaje de beneficiarios se ha incrementado del 12,5 al 46%, pese al aumento del costo de la ración alimentaria diaria.  En efecto, el precio de la comida, que en 2000 era de sólo 6 dinares en el norte y de 7 dinares en el sur ha aumentado notablemente, ya que en 2005 pasó a 20 dinares en las </w:t>
      </w:r>
      <w:r w:rsidRPr="00DD0682">
        <w:rPr>
          <w:i/>
          <w:snapToGrid w:val="0"/>
        </w:rPr>
        <w:t>wilayas</w:t>
      </w:r>
      <w:r w:rsidRPr="00DD0682">
        <w:rPr>
          <w:snapToGrid w:val="0"/>
        </w:rPr>
        <w:t xml:space="preserve"> del norte y a 23 dinares en las 14 </w:t>
      </w:r>
      <w:r w:rsidRPr="00DD0682">
        <w:rPr>
          <w:i/>
          <w:snapToGrid w:val="0"/>
        </w:rPr>
        <w:t>wilayas</w:t>
      </w:r>
      <w:r w:rsidRPr="00DD0682">
        <w:rPr>
          <w:snapToGrid w:val="0"/>
        </w:rPr>
        <w:t xml:space="preserve"> del sur.</w:t>
      </w:r>
    </w:p>
    <w:p w:rsidR="00DD0682" w:rsidRPr="00DD0682" w:rsidRDefault="00DD0682" w:rsidP="00DD0682">
      <w:pPr>
        <w:adjustRightInd w:val="0"/>
        <w:snapToGrid w:val="0"/>
        <w:spacing w:after="240"/>
        <w:rPr>
          <w:snapToGrid w:val="0"/>
        </w:rPr>
      </w:pPr>
      <w:r w:rsidRPr="00DD0682">
        <w:rPr>
          <w:snapToGrid w:val="0"/>
        </w:rPr>
        <w:t>378.</w:t>
      </w:r>
      <w:r w:rsidRPr="00DD0682">
        <w:rPr>
          <w:snapToGrid w:val="0"/>
        </w:rPr>
        <w:tab/>
        <w:t>El presupuesto aprobado para 2006 para los comedores escolares llegó a 6.500 millones de dinares y permitió atender a 2,2 millones de alumnos, es decir, al 52% de los alumnos de la enseñanza primaria.</w:t>
      </w:r>
    </w:p>
    <w:p w:rsidR="00DD0682" w:rsidRPr="00DD0682" w:rsidRDefault="00DD0682" w:rsidP="00DD0682">
      <w:pPr>
        <w:adjustRightInd w:val="0"/>
        <w:snapToGrid w:val="0"/>
        <w:spacing w:after="240"/>
        <w:rPr>
          <w:b/>
          <w:snapToGrid w:val="0"/>
        </w:rPr>
      </w:pPr>
      <w:r w:rsidRPr="00DD0682">
        <w:rPr>
          <w:b/>
          <w:bCs/>
          <w:snapToGrid w:val="0"/>
        </w:rPr>
        <w:tab/>
        <w:t>d)</w:t>
      </w:r>
      <w:r w:rsidRPr="00DD0682">
        <w:rPr>
          <w:b/>
          <w:bCs/>
          <w:snapToGrid w:val="0"/>
        </w:rPr>
        <w:tab/>
      </w:r>
      <w:r w:rsidRPr="00DD0682">
        <w:rPr>
          <w:b/>
          <w:iCs/>
          <w:snapToGrid w:val="0"/>
        </w:rPr>
        <w:t>Internados</w:t>
      </w:r>
    </w:p>
    <w:p w:rsidR="00DD0682" w:rsidRPr="00DD0682" w:rsidRDefault="00DD0682" w:rsidP="00DD0682">
      <w:pPr>
        <w:adjustRightInd w:val="0"/>
        <w:snapToGrid w:val="0"/>
        <w:spacing w:after="240"/>
        <w:rPr>
          <w:snapToGrid w:val="0"/>
        </w:rPr>
      </w:pPr>
      <w:r w:rsidRPr="00DD0682">
        <w:rPr>
          <w:snapToGrid w:val="0"/>
        </w:rPr>
        <w:t>379.</w:t>
      </w:r>
      <w:r w:rsidRPr="00DD0682">
        <w:rPr>
          <w:snapToGrid w:val="0"/>
        </w:rPr>
        <w:tab/>
        <w:t>En la enseñanza primaria, existen 44 internados que acogen a 4.136 beneficiarios, mientras que en el año escolar 1999/00 el número de beneficiarios fue sólo de 2.021.  Esos internados de la enseñanza primaria se han creado para los niños y niñas de las zonas más alejadas y, en particular, para los hijos de los nómadas de las regiones saharianas.</w:t>
      </w:r>
    </w:p>
    <w:p w:rsidR="00DD0682" w:rsidRPr="00DD0682" w:rsidRDefault="00DD0682" w:rsidP="00DD0682">
      <w:pPr>
        <w:adjustRightInd w:val="0"/>
        <w:snapToGrid w:val="0"/>
        <w:spacing w:after="240"/>
        <w:rPr>
          <w:snapToGrid w:val="0"/>
        </w:rPr>
      </w:pPr>
      <w:r w:rsidRPr="00DD0682">
        <w:rPr>
          <w:bCs/>
          <w:snapToGrid w:val="0"/>
        </w:rPr>
        <w:t>380.</w:t>
      </w:r>
      <w:r w:rsidRPr="00DD0682">
        <w:rPr>
          <w:b/>
          <w:bCs/>
          <w:snapToGrid w:val="0"/>
        </w:rPr>
        <w:tab/>
      </w:r>
      <w:r w:rsidRPr="00DD0682">
        <w:rPr>
          <w:bCs/>
          <w:snapToGrid w:val="0"/>
        </w:rPr>
        <w:t xml:space="preserve">Los </w:t>
      </w:r>
      <w:r w:rsidRPr="00DD0682">
        <w:rPr>
          <w:snapToGrid w:val="0"/>
        </w:rPr>
        <w:t>comedores escolares e internados de la enseñanza primaria son totalmente gratuitos.  En relación con el aumento de la media pensión en la enseñanza media y secundaria, cabe señalar el notable incremento del número de beneficiarios de la media pensión, que pasó de 234.000 en 1999 a 451.000 en 2005.</w:t>
      </w:r>
    </w:p>
    <w:p w:rsidR="00DD0682" w:rsidRPr="00DD0682" w:rsidRDefault="00DD0682" w:rsidP="00DD0682">
      <w:pPr>
        <w:adjustRightInd w:val="0"/>
        <w:snapToGrid w:val="0"/>
        <w:spacing w:after="240"/>
        <w:rPr>
          <w:b/>
          <w:bCs/>
          <w:snapToGrid w:val="0"/>
        </w:rPr>
      </w:pPr>
      <w:r w:rsidRPr="00DD0682">
        <w:rPr>
          <w:b/>
          <w:bCs/>
          <w:snapToGrid w:val="0"/>
        </w:rPr>
        <w:tab/>
        <w:t>e)</w:t>
      </w:r>
      <w:r w:rsidRPr="00DD0682">
        <w:rPr>
          <w:b/>
          <w:bCs/>
          <w:snapToGrid w:val="0"/>
        </w:rPr>
        <w:tab/>
      </w:r>
      <w:r w:rsidRPr="00DD0682">
        <w:rPr>
          <w:b/>
          <w:iCs/>
          <w:snapToGrid w:val="0"/>
        </w:rPr>
        <w:t xml:space="preserve">Concesión de becas escolares </w:t>
      </w:r>
    </w:p>
    <w:p w:rsidR="00DD0682" w:rsidRPr="00DD0682" w:rsidRDefault="00DD0682" w:rsidP="00DD0682">
      <w:pPr>
        <w:adjustRightInd w:val="0"/>
        <w:snapToGrid w:val="0"/>
        <w:spacing w:after="240"/>
        <w:rPr>
          <w:snapToGrid w:val="0"/>
        </w:rPr>
      </w:pPr>
      <w:r w:rsidRPr="00DD0682">
        <w:rPr>
          <w:snapToGrid w:val="0"/>
        </w:rPr>
        <w:t>381.</w:t>
      </w:r>
      <w:r w:rsidRPr="00DD0682">
        <w:rPr>
          <w:snapToGrid w:val="0"/>
        </w:rPr>
        <w:tab/>
        <w:t>Las becas escolares constituyen un apoyo adicional para los alumnos necesitados de los ciclos medio y secundario.  El presupuesto de este capítulo ha experimentado una progresión constante, pasando de 218.000.000 de dinares en 2000 a 367.116.000 en 2005.  El número de alumnos beneficiarios, que fue de 123.000 en 2000 ascendió a 205.500 en 2005.</w:t>
      </w:r>
    </w:p>
    <w:p w:rsidR="00DD0682" w:rsidRPr="00DD0682" w:rsidRDefault="00DD0682" w:rsidP="00DD0682">
      <w:pPr>
        <w:adjustRightInd w:val="0"/>
        <w:snapToGrid w:val="0"/>
        <w:spacing w:after="240"/>
        <w:rPr>
          <w:b/>
          <w:snapToGrid w:val="0"/>
          <w:u w:val="single"/>
        </w:rPr>
      </w:pPr>
      <w:r w:rsidRPr="00DD0682">
        <w:rPr>
          <w:b/>
          <w:bCs/>
          <w:snapToGrid w:val="0"/>
        </w:rPr>
        <w:tab/>
        <w:t>f)</w:t>
      </w:r>
      <w:r w:rsidRPr="00DD0682">
        <w:rPr>
          <w:b/>
          <w:bCs/>
          <w:snapToGrid w:val="0"/>
        </w:rPr>
        <w:tab/>
      </w:r>
      <w:r w:rsidRPr="00DD0682">
        <w:rPr>
          <w:b/>
          <w:iCs/>
          <w:snapToGrid w:val="0"/>
        </w:rPr>
        <w:t>Crecimiento del transporte escolar</w:t>
      </w:r>
    </w:p>
    <w:p w:rsidR="00DD0682" w:rsidRPr="00DD0682" w:rsidRDefault="00DD0682" w:rsidP="00DD0682">
      <w:pPr>
        <w:adjustRightInd w:val="0"/>
        <w:snapToGrid w:val="0"/>
        <w:spacing w:after="240"/>
        <w:rPr>
          <w:snapToGrid w:val="0"/>
        </w:rPr>
      </w:pPr>
      <w:r w:rsidRPr="00DD0682">
        <w:rPr>
          <w:snapToGrid w:val="0"/>
        </w:rPr>
        <w:t>382.</w:t>
      </w:r>
      <w:r w:rsidRPr="00DD0682">
        <w:rPr>
          <w:snapToGrid w:val="0"/>
        </w:rPr>
        <w:tab/>
        <w:t>El transporte escolar de los niños de las zonas aisladas que acuden a establecimientos escolares alejados de las zonas que habitan es otra vertiente de las medidas iniciadas por el Estado para favorecer la escolarización de los niños de esas zonas.  En 2003/04, 923 comunas se beneficiaban del transporte escolar en autobús, y en 2004/05 el número de comunas beneficiarias aumentó a 1.400, con la dotación de 1.300 nuevos autobuses.</w:t>
      </w:r>
    </w:p>
    <w:p w:rsidR="00DD0682" w:rsidRPr="00DD0682" w:rsidRDefault="00DD0682" w:rsidP="00DD0682">
      <w:pPr>
        <w:adjustRightInd w:val="0"/>
        <w:snapToGrid w:val="0"/>
        <w:spacing w:after="240"/>
        <w:rPr>
          <w:b/>
          <w:snapToGrid w:val="0"/>
        </w:rPr>
      </w:pPr>
      <w:r w:rsidRPr="00DD0682">
        <w:rPr>
          <w:b/>
          <w:bCs/>
          <w:snapToGrid w:val="0"/>
        </w:rPr>
        <w:tab/>
        <w:t>g)</w:t>
      </w:r>
      <w:r w:rsidRPr="00DD0682">
        <w:rPr>
          <w:b/>
          <w:bCs/>
          <w:snapToGrid w:val="0"/>
        </w:rPr>
        <w:tab/>
      </w:r>
      <w:r w:rsidRPr="00DD0682">
        <w:rPr>
          <w:b/>
          <w:iCs/>
          <w:snapToGrid w:val="0"/>
        </w:rPr>
        <w:t>La salud escolar</w:t>
      </w:r>
    </w:p>
    <w:p w:rsidR="00DD0682" w:rsidRPr="00DD0682" w:rsidRDefault="00DD0682" w:rsidP="00DD0682">
      <w:pPr>
        <w:adjustRightInd w:val="0"/>
        <w:snapToGrid w:val="0"/>
        <w:spacing w:after="240"/>
        <w:rPr>
          <w:snapToGrid w:val="0"/>
        </w:rPr>
      </w:pPr>
      <w:r w:rsidRPr="00DD0682">
        <w:rPr>
          <w:snapToGrid w:val="0"/>
        </w:rPr>
        <w:t>383.</w:t>
      </w:r>
      <w:r w:rsidRPr="00DD0682">
        <w:rPr>
          <w:snapToGrid w:val="0"/>
        </w:rPr>
        <w:tab/>
        <w:t>La salud escolar cuenta con una infraestructura de 1.185 unidades de diagnóstico y seguimiento que atienden la salud de los alumnos.  Las actividades de salud escolar están a cargo de 1.115 médicos, 694 dentistas, 205 psicólogos, y 1.470 trabajadores paramédicos.</w:t>
      </w:r>
    </w:p>
    <w:p w:rsidR="00DD0682" w:rsidRPr="00DD0682" w:rsidRDefault="00DD0682" w:rsidP="00DD0682">
      <w:pPr>
        <w:adjustRightInd w:val="0"/>
        <w:snapToGrid w:val="0"/>
        <w:spacing w:after="240"/>
        <w:rPr>
          <w:snapToGrid w:val="0"/>
        </w:rPr>
      </w:pPr>
      <w:r w:rsidRPr="00DD0682">
        <w:rPr>
          <w:snapToGrid w:val="0"/>
        </w:rPr>
        <w:t>384.</w:t>
      </w:r>
      <w:r w:rsidRPr="00DD0682">
        <w:rPr>
          <w:snapToGrid w:val="0"/>
        </w:rPr>
        <w:tab/>
        <w:t>Además, un equipo de inspección vela, desde el inicio y a lo largo del curso escolar, por el respeto de las normas de higiene y de seguridad en los establecimientos.  Por otra parte, el personal de las unidades de diagnóstico y seguimiento debe efectuar visitas médicas periódicas y sistemáticas a las clases, dentro del sector geográfico que tiene asignado, y conservar un expediente del seguimiento médico de cada alumno.</w:t>
      </w:r>
    </w:p>
    <w:p w:rsidR="00DD0682" w:rsidRPr="00DD0682" w:rsidRDefault="00DD0682" w:rsidP="00DD0682">
      <w:pPr>
        <w:adjustRightInd w:val="0"/>
        <w:snapToGrid w:val="0"/>
        <w:spacing w:after="240"/>
        <w:rPr>
          <w:snapToGrid w:val="0"/>
        </w:rPr>
      </w:pPr>
      <w:r w:rsidRPr="00DD0682">
        <w:rPr>
          <w:snapToGrid w:val="0"/>
        </w:rPr>
        <w:t>385.</w:t>
      </w:r>
      <w:r w:rsidRPr="00DD0682">
        <w:rPr>
          <w:snapToGrid w:val="0"/>
        </w:rPr>
        <w:tab/>
        <w:t>En este contexto cabe mencionar también la sistematización de la vacuna contra la caries dental para todos los alumnos.</w:t>
      </w:r>
    </w:p>
    <w:p w:rsidR="00DD0682" w:rsidRPr="00DD0682" w:rsidRDefault="00DD0682" w:rsidP="00DD0682">
      <w:pPr>
        <w:adjustRightInd w:val="0"/>
        <w:snapToGrid w:val="0"/>
        <w:spacing w:after="240"/>
        <w:rPr>
          <w:b/>
          <w:bCs/>
          <w:snapToGrid w:val="0"/>
        </w:rPr>
      </w:pPr>
      <w:r w:rsidRPr="00DD0682">
        <w:rPr>
          <w:b/>
          <w:bCs/>
          <w:snapToGrid w:val="0"/>
        </w:rPr>
        <w:t>6.</w:t>
      </w:r>
      <w:r w:rsidRPr="00DD0682">
        <w:rPr>
          <w:b/>
          <w:bCs/>
          <w:snapToGrid w:val="0"/>
        </w:rPr>
        <w:tab/>
        <w:t>Atención de los niños con necesidades especiales</w:t>
      </w:r>
    </w:p>
    <w:p w:rsidR="00DD0682" w:rsidRPr="00DD0682" w:rsidRDefault="00DD0682" w:rsidP="00DD0682">
      <w:pPr>
        <w:adjustRightInd w:val="0"/>
        <w:snapToGrid w:val="0"/>
        <w:spacing w:after="240"/>
        <w:rPr>
          <w:snapToGrid w:val="0"/>
        </w:rPr>
      </w:pPr>
      <w:r w:rsidRPr="00DD0682">
        <w:rPr>
          <w:snapToGrid w:val="0"/>
        </w:rPr>
        <w:t>386.</w:t>
      </w:r>
      <w:r w:rsidRPr="00DD0682">
        <w:rPr>
          <w:snapToGrid w:val="0"/>
        </w:rPr>
        <w:tab/>
        <w:t>De la escolarización de los niños con necesidades especiales (niños discapacitados, niños hospitalizados, etc.) se hacen cargo las instituciones competentes de los sectores de la educación nacional, la salud o la protección social, en el marco de acuerdos interministeriales que regulan ese tipo de atención y definen sus modalidades, así como las misiones, las atribuciones y las obligaciones de cada sector.</w:t>
      </w:r>
    </w:p>
    <w:p w:rsidR="00DD0682" w:rsidRPr="00DD0682" w:rsidRDefault="00DD0682" w:rsidP="00DD0682">
      <w:pPr>
        <w:adjustRightInd w:val="0"/>
        <w:snapToGrid w:val="0"/>
        <w:spacing w:after="240"/>
        <w:rPr>
          <w:b/>
          <w:bCs/>
          <w:snapToGrid w:val="0"/>
        </w:rPr>
      </w:pPr>
      <w:r w:rsidRPr="00DD0682">
        <w:rPr>
          <w:b/>
          <w:bCs/>
          <w:snapToGrid w:val="0"/>
        </w:rPr>
        <w:t>7.</w:t>
      </w:r>
      <w:r w:rsidRPr="00DD0682">
        <w:rPr>
          <w:b/>
          <w:bCs/>
          <w:snapToGrid w:val="0"/>
        </w:rPr>
        <w:tab/>
        <w:t>Atención de los niños que salen del sistema escolar</w:t>
      </w:r>
    </w:p>
    <w:p w:rsidR="00DD0682" w:rsidRPr="00DD0682" w:rsidRDefault="00DD0682" w:rsidP="00DD0682">
      <w:pPr>
        <w:adjustRightInd w:val="0"/>
        <w:snapToGrid w:val="0"/>
        <w:spacing w:after="240"/>
        <w:rPr>
          <w:snapToGrid w:val="0"/>
        </w:rPr>
      </w:pPr>
      <w:r w:rsidRPr="00DD0682">
        <w:rPr>
          <w:snapToGrid w:val="0"/>
        </w:rPr>
        <w:t>387.</w:t>
      </w:r>
      <w:r w:rsidRPr="00DD0682">
        <w:rPr>
          <w:snapToGrid w:val="0"/>
        </w:rPr>
        <w:tab/>
        <w:t>Al término de la enseñanza obligatoria, los alumnos que no han sido admitidos al ciclo de enseñanza secundaria y los que no tienen derecho a repetir el último año de ese ciclo son orientados hacia el sector de la formación profesional, en el que serán preparados para desempeñar un oficio en función de sus calificaciones y aptitudes.</w:t>
      </w:r>
    </w:p>
    <w:p w:rsidR="00DD0682" w:rsidRPr="00DD0682" w:rsidRDefault="00DD0682" w:rsidP="00DD0682">
      <w:pPr>
        <w:adjustRightInd w:val="0"/>
        <w:snapToGrid w:val="0"/>
        <w:spacing w:after="240"/>
        <w:rPr>
          <w:snapToGrid w:val="0"/>
        </w:rPr>
      </w:pPr>
      <w:r w:rsidRPr="00DD0682">
        <w:rPr>
          <w:snapToGrid w:val="0"/>
        </w:rPr>
        <w:t>388.</w:t>
      </w:r>
      <w:r w:rsidRPr="00DD0682">
        <w:rPr>
          <w:snapToGrid w:val="0"/>
        </w:rPr>
        <w:tab/>
        <w:t>Los que permanecen en el sistema pueden elegir una rama profesional y presentarse a los concursos de acceso a los centros de formación profesional.  También pueden seguir la enseñanza a distancia, a través de la Oficina Nacional de Formación y Enseñanza a Distancia (ONEFD).</w:t>
      </w:r>
    </w:p>
    <w:p w:rsidR="00DD0682" w:rsidRPr="00DD0682" w:rsidRDefault="00DD0682" w:rsidP="00DD0682">
      <w:pPr>
        <w:adjustRightInd w:val="0"/>
        <w:snapToGrid w:val="0"/>
        <w:spacing w:after="240"/>
        <w:rPr>
          <w:snapToGrid w:val="0"/>
        </w:rPr>
      </w:pPr>
      <w:r w:rsidRPr="00DD0682">
        <w:rPr>
          <w:snapToGrid w:val="0"/>
        </w:rPr>
        <w:t>389.</w:t>
      </w:r>
      <w:r w:rsidRPr="00DD0682">
        <w:rPr>
          <w:snapToGrid w:val="0"/>
        </w:rPr>
        <w:tab/>
        <w:t>El número de alumnos que se benefician de ese tipo de enseñanza se eleva a 158.915; de ellos, 58.829 son alumnos de enseñanza básica y 100.086 alumnos de enseñanza secundaria.  En 1999/00, 74.388 alumnos seguían una enseñanza a distancia, 24.051 en el marco de la enseñanza básica y 50.337 en el marco de la enseñanza secundaria.</w:t>
      </w:r>
    </w:p>
    <w:p w:rsidR="00DD0682" w:rsidRPr="00DD0682" w:rsidRDefault="00DD0682" w:rsidP="00DD0682">
      <w:pPr>
        <w:adjustRightInd w:val="0"/>
        <w:snapToGrid w:val="0"/>
        <w:spacing w:after="240"/>
        <w:rPr>
          <w:b/>
          <w:snapToGrid w:val="0"/>
        </w:rPr>
      </w:pPr>
      <w:r w:rsidRPr="00DD0682">
        <w:rPr>
          <w:b/>
          <w:snapToGrid w:val="0"/>
        </w:rPr>
        <w:t>8.</w:t>
      </w:r>
      <w:r w:rsidRPr="00DD0682">
        <w:rPr>
          <w:b/>
          <w:snapToGrid w:val="0"/>
        </w:rPr>
        <w:tab/>
        <w:t>La educación preparatoria</w:t>
      </w:r>
    </w:p>
    <w:p w:rsidR="00DD0682" w:rsidRPr="00DD0682" w:rsidRDefault="00DD0682" w:rsidP="00DD0682">
      <w:pPr>
        <w:adjustRightInd w:val="0"/>
        <w:snapToGrid w:val="0"/>
        <w:spacing w:after="240"/>
        <w:rPr>
          <w:snapToGrid w:val="0"/>
        </w:rPr>
      </w:pPr>
      <w:r w:rsidRPr="00DD0682">
        <w:rPr>
          <w:snapToGrid w:val="0"/>
        </w:rPr>
        <w:t>390.</w:t>
      </w:r>
      <w:r w:rsidRPr="00DD0682">
        <w:rPr>
          <w:snapToGrid w:val="0"/>
        </w:rPr>
        <w:tab/>
        <w:t>En la actualidad cerca de 120.000 niños de 5 años están matriculados en las clases de educación preparatoria, lo que representa el 20% de los niños de esa edad.  La educación preparatoria se generalizará progresivamente hasta 2008, año en el que se dispondrán de las infraestructuras y de los docentes necesarios; sólo en el sector de la educación la medida afectará como mínimo al 80% de los niños de 5 años y el 20% restante quedará a cargo de estructuras de otros sectores, como las colectividades locales, las empresas y el sector privado.</w:t>
      </w:r>
    </w:p>
    <w:p w:rsidR="00DD0682" w:rsidRPr="00DD0682" w:rsidRDefault="00DD0682" w:rsidP="00DD0682">
      <w:pPr>
        <w:adjustRightInd w:val="0"/>
        <w:snapToGrid w:val="0"/>
        <w:spacing w:after="240"/>
        <w:rPr>
          <w:b/>
          <w:snapToGrid w:val="0"/>
        </w:rPr>
      </w:pPr>
      <w:r w:rsidRPr="00DD0682">
        <w:rPr>
          <w:b/>
          <w:snapToGrid w:val="0"/>
        </w:rPr>
        <w:t>9.</w:t>
      </w:r>
      <w:r w:rsidRPr="00DD0682">
        <w:rPr>
          <w:b/>
          <w:snapToGrid w:val="0"/>
        </w:rPr>
        <w:tab/>
        <w:t>La enseñanza privada</w:t>
      </w:r>
    </w:p>
    <w:p w:rsidR="00DD0682" w:rsidRPr="00DD0682" w:rsidRDefault="00DD0682" w:rsidP="00DD0682">
      <w:pPr>
        <w:adjustRightInd w:val="0"/>
        <w:snapToGrid w:val="0"/>
        <w:spacing w:after="240"/>
        <w:rPr>
          <w:snapToGrid w:val="0"/>
        </w:rPr>
      </w:pPr>
      <w:r w:rsidRPr="00DD0682">
        <w:rPr>
          <w:snapToGrid w:val="0"/>
        </w:rPr>
        <w:t>391.</w:t>
      </w:r>
      <w:r w:rsidRPr="00DD0682">
        <w:rPr>
          <w:snapToGrid w:val="0"/>
        </w:rPr>
        <w:tab/>
        <w:t>La enseñanza privada en Argelia se rige por la Ley Nº 05-07 de 23 de agosto de 2005.  Esta ley fija las reglas generales que rigen la enseñanza en los establecimientos de educación y enseñanza privada, en tanto que el Decreto Nº 05-432 de 8 de noviembre de 2005 fija las condiciones de creación, apertura y control de los establecimientos de educación y enseñanza privada.</w:t>
      </w:r>
    </w:p>
    <w:p w:rsidR="00DD0682" w:rsidRPr="00DD0682" w:rsidRDefault="00DD0682" w:rsidP="00DD0682">
      <w:pPr>
        <w:adjustRightInd w:val="0"/>
        <w:snapToGrid w:val="0"/>
        <w:spacing w:after="240"/>
        <w:rPr>
          <w:snapToGrid w:val="0"/>
        </w:rPr>
      </w:pPr>
      <w:r w:rsidRPr="00DD0682">
        <w:rPr>
          <w:snapToGrid w:val="0"/>
        </w:rPr>
        <w:t>392.</w:t>
      </w:r>
      <w:r w:rsidRPr="00DD0682">
        <w:rPr>
          <w:snapToGrid w:val="0"/>
        </w:rPr>
        <w:tab/>
        <w:t xml:space="preserve">En la actualidad se han autorizado 126 establecimientos privados que imparten enseñanzas correspondientes a todos los ciclos.  Estos establecimientos operan en 16 </w:t>
      </w:r>
      <w:r w:rsidRPr="00DD0682">
        <w:rPr>
          <w:i/>
          <w:snapToGrid w:val="0"/>
        </w:rPr>
        <w:t>wilayas</w:t>
      </w:r>
      <w:r w:rsidRPr="00DD0682">
        <w:rPr>
          <w:snapToGrid w:val="0"/>
        </w:rPr>
        <w:t>.</w:t>
      </w:r>
    </w:p>
    <w:p w:rsidR="00DD0682" w:rsidRPr="00DD0682" w:rsidRDefault="00DD0682" w:rsidP="00DD0682">
      <w:pPr>
        <w:adjustRightInd w:val="0"/>
        <w:snapToGrid w:val="0"/>
        <w:spacing w:after="240"/>
        <w:rPr>
          <w:snapToGrid w:val="0"/>
        </w:rPr>
      </w:pPr>
      <w:r w:rsidRPr="00DD0682">
        <w:rPr>
          <w:snapToGrid w:val="0"/>
        </w:rPr>
        <w:t>393.</w:t>
      </w:r>
      <w:r w:rsidRPr="00DD0682">
        <w:rPr>
          <w:snapToGrid w:val="0"/>
        </w:rPr>
        <w:tab/>
        <w:t>El número de alumnos matriculados en los establecimientos privados asciende a 16.560 para la totalidad de los ciclos.  Estos establecimientos operan con arreglo a un pliego de condiciones que se refiere esencialmente a :</w:t>
      </w:r>
    </w:p>
    <w:p w:rsidR="00DD0682" w:rsidRPr="00DD0682" w:rsidRDefault="00DD0682" w:rsidP="00CE2A0B">
      <w:pPr>
        <w:adjustRightInd w:val="0"/>
        <w:snapToGrid w:val="0"/>
        <w:spacing w:after="240"/>
        <w:ind w:left="1134" w:hanging="567"/>
        <w:rPr>
          <w:snapToGrid w:val="0"/>
        </w:rPr>
      </w:pPr>
      <w:r w:rsidRPr="00DD0682">
        <w:rPr>
          <w:snapToGrid w:val="0"/>
        </w:rPr>
        <w:t>a)</w:t>
      </w:r>
      <w:r w:rsidRPr="00DD0682">
        <w:rPr>
          <w:snapToGrid w:val="0"/>
        </w:rPr>
        <w:tab/>
        <w:t>La conformidad de las infraestructuras con las normas decididas para esos establecimientos;</w:t>
      </w:r>
    </w:p>
    <w:p w:rsidR="00DD0682" w:rsidRPr="00DD0682" w:rsidRDefault="00DD0682" w:rsidP="00CE2A0B">
      <w:pPr>
        <w:adjustRightInd w:val="0"/>
        <w:snapToGrid w:val="0"/>
        <w:spacing w:after="240"/>
        <w:ind w:left="1134" w:hanging="567"/>
        <w:rPr>
          <w:snapToGrid w:val="0"/>
        </w:rPr>
      </w:pPr>
      <w:r w:rsidRPr="00DD0682">
        <w:rPr>
          <w:snapToGrid w:val="0"/>
        </w:rPr>
        <w:t>b)</w:t>
      </w:r>
      <w:r w:rsidRPr="00DD0682">
        <w:rPr>
          <w:snapToGrid w:val="0"/>
        </w:rPr>
        <w:tab/>
        <w:t xml:space="preserve">La calificación del personal docente que debe ser como mínimo equivalente a la del personal que ejerce en los establecimientos públicos; </w:t>
      </w:r>
    </w:p>
    <w:p w:rsidR="00DD0682" w:rsidRPr="00DD0682" w:rsidRDefault="00DD0682" w:rsidP="00CE2A0B">
      <w:pPr>
        <w:adjustRightInd w:val="0"/>
        <w:snapToGrid w:val="0"/>
        <w:spacing w:after="240"/>
        <w:ind w:left="1134" w:hanging="567"/>
        <w:rPr>
          <w:snapToGrid w:val="0"/>
        </w:rPr>
      </w:pPr>
      <w:r w:rsidRPr="00DD0682">
        <w:rPr>
          <w:snapToGrid w:val="0"/>
        </w:rPr>
        <w:t>c)</w:t>
      </w:r>
      <w:r w:rsidRPr="00DD0682">
        <w:rPr>
          <w:snapToGrid w:val="0"/>
        </w:rPr>
        <w:tab/>
        <w:t>La aplicación de programas oficiales, en el idioma de enseñanza oficial, con la posibilidad de beneficiarse de un margen horario (de tres horas semanales para la enseñanza primaria y de cinco horas semanales para la enseñanza media y la secundaria, para las actividades opcionales).</w:t>
      </w:r>
    </w:p>
    <w:p w:rsidR="00DD0682" w:rsidRPr="00DD0682" w:rsidRDefault="00DD0682" w:rsidP="00DD0682">
      <w:pPr>
        <w:adjustRightInd w:val="0"/>
        <w:snapToGrid w:val="0"/>
        <w:spacing w:after="240"/>
        <w:rPr>
          <w:snapToGrid w:val="0"/>
        </w:rPr>
      </w:pPr>
      <w:r w:rsidRPr="00DD0682">
        <w:rPr>
          <w:snapToGrid w:val="0"/>
        </w:rPr>
        <w:t>394.</w:t>
      </w:r>
      <w:r w:rsidRPr="00DD0682">
        <w:rPr>
          <w:snapToGrid w:val="0"/>
        </w:rPr>
        <w:tab/>
        <w:t>El presupuesto de educación consagrado al sector representa casi la cuarta parte del presupuesto del Estado (del 20 al 25%).</w:t>
      </w:r>
    </w:p>
    <w:p w:rsidR="00DD0682" w:rsidRPr="00DD0682" w:rsidRDefault="00DD0682" w:rsidP="00DD0682">
      <w:pPr>
        <w:adjustRightInd w:val="0"/>
        <w:snapToGrid w:val="0"/>
        <w:spacing w:after="240"/>
        <w:rPr>
          <w:snapToGrid w:val="0"/>
        </w:rPr>
      </w:pPr>
      <w:r w:rsidRPr="00DD0682">
        <w:rPr>
          <w:snapToGrid w:val="0"/>
        </w:rPr>
        <w:t>395.</w:t>
      </w:r>
      <w:r w:rsidRPr="00DD0682">
        <w:rPr>
          <w:snapToGrid w:val="0"/>
        </w:rPr>
        <w:tab/>
        <w:t>En el cuadro que sigue puede verse la evolución del presupuesto asignado al sector de la educación nacional en los tres últimos años (en miles de millones de dinares).</w:t>
      </w:r>
    </w:p>
    <w:tbl>
      <w:tblPr>
        <w:tblStyle w:val="TableGrid"/>
        <w:tblW w:w="0" w:type="auto"/>
        <w:tblLook w:val="01E0" w:firstRow="1" w:lastRow="1" w:firstColumn="1" w:lastColumn="1" w:noHBand="0" w:noVBand="0"/>
      </w:tblPr>
      <w:tblGrid>
        <w:gridCol w:w="1034"/>
        <w:gridCol w:w="3556"/>
        <w:gridCol w:w="2450"/>
        <w:gridCol w:w="2451"/>
      </w:tblGrid>
      <w:tr w:rsidR="00DD0682" w:rsidRPr="00DD0682" w:rsidTr="00DD0682">
        <w:tc>
          <w:tcPr>
            <w:tcW w:w="1034" w:type="dxa"/>
          </w:tcPr>
          <w:p w:rsidR="00DD0682" w:rsidRPr="00DD0682" w:rsidRDefault="00DD0682" w:rsidP="00CE2A0B">
            <w:pPr>
              <w:adjustRightInd w:val="0"/>
              <w:snapToGrid w:val="0"/>
              <w:jc w:val="center"/>
              <w:rPr>
                <w:b/>
                <w:snapToGrid w:val="0"/>
              </w:rPr>
            </w:pPr>
            <w:r w:rsidRPr="00DD0682">
              <w:rPr>
                <w:b/>
                <w:snapToGrid w:val="0"/>
              </w:rPr>
              <w:t>Año</w:t>
            </w:r>
          </w:p>
        </w:tc>
        <w:tc>
          <w:tcPr>
            <w:tcW w:w="3556" w:type="dxa"/>
          </w:tcPr>
          <w:p w:rsidR="00DD0682" w:rsidRPr="00DD0682" w:rsidRDefault="00DD0682" w:rsidP="00CE2A0B">
            <w:pPr>
              <w:adjustRightInd w:val="0"/>
              <w:snapToGrid w:val="0"/>
              <w:jc w:val="center"/>
              <w:rPr>
                <w:b/>
                <w:snapToGrid w:val="0"/>
              </w:rPr>
            </w:pPr>
            <w:r w:rsidRPr="00DD0682">
              <w:rPr>
                <w:b/>
                <w:snapToGrid w:val="0"/>
              </w:rPr>
              <w:t>Presupuesto de funcionamiento</w:t>
            </w:r>
          </w:p>
        </w:tc>
        <w:tc>
          <w:tcPr>
            <w:tcW w:w="2450" w:type="dxa"/>
          </w:tcPr>
          <w:p w:rsidR="00DD0682" w:rsidRPr="00DD0682" w:rsidRDefault="00DD0682" w:rsidP="00CE2A0B">
            <w:pPr>
              <w:adjustRightInd w:val="0"/>
              <w:snapToGrid w:val="0"/>
              <w:jc w:val="center"/>
              <w:rPr>
                <w:b/>
                <w:snapToGrid w:val="0"/>
              </w:rPr>
            </w:pPr>
            <w:r w:rsidRPr="00DD0682">
              <w:rPr>
                <w:b/>
                <w:snapToGrid w:val="0"/>
              </w:rPr>
              <w:t>Presupuesto de equipo</w:t>
            </w:r>
          </w:p>
        </w:tc>
        <w:tc>
          <w:tcPr>
            <w:tcW w:w="2451" w:type="dxa"/>
          </w:tcPr>
          <w:p w:rsidR="00DD0682" w:rsidRPr="00DD0682" w:rsidRDefault="00DD0682" w:rsidP="00CE2A0B">
            <w:pPr>
              <w:adjustRightInd w:val="0"/>
              <w:snapToGrid w:val="0"/>
              <w:jc w:val="center"/>
              <w:rPr>
                <w:b/>
                <w:snapToGrid w:val="0"/>
              </w:rPr>
            </w:pPr>
            <w:r w:rsidRPr="00DD0682">
              <w:rPr>
                <w:b/>
                <w:snapToGrid w:val="0"/>
              </w:rPr>
              <w:t>Total</w:t>
            </w:r>
          </w:p>
        </w:tc>
      </w:tr>
      <w:tr w:rsidR="00DD0682" w:rsidRPr="00DD0682" w:rsidTr="00DD0682">
        <w:tc>
          <w:tcPr>
            <w:tcW w:w="1034" w:type="dxa"/>
          </w:tcPr>
          <w:p w:rsidR="00DD0682" w:rsidRPr="00DD0682" w:rsidRDefault="00DD0682" w:rsidP="00CE2A0B">
            <w:pPr>
              <w:adjustRightInd w:val="0"/>
              <w:snapToGrid w:val="0"/>
              <w:jc w:val="center"/>
              <w:rPr>
                <w:snapToGrid w:val="0"/>
                <w:lang w:val="fr-FR"/>
              </w:rPr>
            </w:pPr>
            <w:r w:rsidRPr="00DD0682">
              <w:rPr>
                <w:snapToGrid w:val="0"/>
                <w:lang w:val="fr-FR"/>
              </w:rPr>
              <w:t>2005</w:t>
            </w:r>
          </w:p>
        </w:tc>
        <w:tc>
          <w:tcPr>
            <w:tcW w:w="3556" w:type="dxa"/>
          </w:tcPr>
          <w:p w:rsidR="00DD0682" w:rsidRPr="00DD0682" w:rsidRDefault="00DD0682" w:rsidP="00CE2A0B">
            <w:pPr>
              <w:adjustRightInd w:val="0"/>
              <w:snapToGrid w:val="0"/>
              <w:jc w:val="center"/>
              <w:rPr>
                <w:snapToGrid w:val="0"/>
                <w:lang w:val="fr-FR"/>
              </w:rPr>
            </w:pPr>
            <w:r w:rsidRPr="00DD0682">
              <w:rPr>
                <w:snapToGrid w:val="0"/>
                <w:lang w:val="fr-FR"/>
              </w:rPr>
              <w:t>216.908.890.000</w:t>
            </w:r>
          </w:p>
        </w:tc>
        <w:tc>
          <w:tcPr>
            <w:tcW w:w="2450" w:type="dxa"/>
          </w:tcPr>
          <w:p w:rsidR="00DD0682" w:rsidRPr="00DD0682" w:rsidRDefault="00DD0682" w:rsidP="00611367">
            <w:pPr>
              <w:tabs>
                <w:tab w:val="decimal" w:pos="1890"/>
              </w:tabs>
              <w:adjustRightInd w:val="0"/>
              <w:snapToGrid w:val="0"/>
              <w:rPr>
                <w:snapToGrid w:val="0"/>
                <w:lang w:val="fr-FR"/>
              </w:rPr>
            </w:pPr>
            <w:r w:rsidRPr="00DD0682">
              <w:rPr>
                <w:snapToGrid w:val="0"/>
                <w:lang w:val="fr-FR"/>
              </w:rPr>
              <w:t>38.700.000.000</w:t>
            </w:r>
          </w:p>
        </w:tc>
        <w:tc>
          <w:tcPr>
            <w:tcW w:w="2451" w:type="dxa"/>
          </w:tcPr>
          <w:p w:rsidR="00DD0682" w:rsidRPr="00981554" w:rsidRDefault="00DD0682" w:rsidP="00CE2A0B">
            <w:pPr>
              <w:adjustRightInd w:val="0"/>
              <w:snapToGrid w:val="0"/>
              <w:jc w:val="center"/>
              <w:rPr>
                <w:b/>
                <w:snapToGrid w:val="0"/>
                <w:lang w:val="fr-FR"/>
              </w:rPr>
            </w:pPr>
            <w:r w:rsidRPr="00981554">
              <w:rPr>
                <w:b/>
                <w:snapToGrid w:val="0"/>
                <w:lang w:val="fr-FR"/>
              </w:rPr>
              <w:t>255.608.890.000</w:t>
            </w:r>
          </w:p>
        </w:tc>
      </w:tr>
      <w:tr w:rsidR="00DD0682" w:rsidRPr="00DD0682" w:rsidTr="00DD0682">
        <w:tc>
          <w:tcPr>
            <w:tcW w:w="1034" w:type="dxa"/>
          </w:tcPr>
          <w:p w:rsidR="00DD0682" w:rsidRPr="00DD0682" w:rsidRDefault="00DD0682" w:rsidP="00CE2A0B">
            <w:pPr>
              <w:adjustRightInd w:val="0"/>
              <w:snapToGrid w:val="0"/>
              <w:jc w:val="center"/>
              <w:rPr>
                <w:snapToGrid w:val="0"/>
                <w:lang w:val="fr-FR"/>
              </w:rPr>
            </w:pPr>
            <w:r w:rsidRPr="00DD0682">
              <w:rPr>
                <w:snapToGrid w:val="0"/>
                <w:lang w:val="fr-FR"/>
              </w:rPr>
              <w:t>2006</w:t>
            </w:r>
          </w:p>
        </w:tc>
        <w:tc>
          <w:tcPr>
            <w:tcW w:w="3556" w:type="dxa"/>
          </w:tcPr>
          <w:p w:rsidR="00DD0682" w:rsidRPr="00DD0682" w:rsidRDefault="00DD0682" w:rsidP="00CE2A0B">
            <w:pPr>
              <w:adjustRightInd w:val="0"/>
              <w:snapToGrid w:val="0"/>
              <w:jc w:val="center"/>
              <w:rPr>
                <w:snapToGrid w:val="0"/>
                <w:lang w:val="fr-FR"/>
              </w:rPr>
            </w:pPr>
            <w:r w:rsidRPr="00DD0682">
              <w:rPr>
                <w:snapToGrid w:val="0"/>
                <w:lang w:val="fr-FR"/>
              </w:rPr>
              <w:t>222.455.012.000</w:t>
            </w:r>
          </w:p>
        </w:tc>
        <w:tc>
          <w:tcPr>
            <w:tcW w:w="2450" w:type="dxa"/>
          </w:tcPr>
          <w:p w:rsidR="00DD0682" w:rsidRPr="00DD0682" w:rsidRDefault="00DD0682" w:rsidP="00611367">
            <w:pPr>
              <w:tabs>
                <w:tab w:val="decimal" w:pos="1890"/>
              </w:tabs>
              <w:adjustRightInd w:val="0"/>
              <w:snapToGrid w:val="0"/>
              <w:rPr>
                <w:snapToGrid w:val="0"/>
              </w:rPr>
            </w:pPr>
            <w:r w:rsidRPr="00DD0682">
              <w:rPr>
                <w:snapToGrid w:val="0"/>
              </w:rPr>
              <w:t>147.700.000.000</w:t>
            </w:r>
          </w:p>
        </w:tc>
        <w:tc>
          <w:tcPr>
            <w:tcW w:w="2451" w:type="dxa"/>
          </w:tcPr>
          <w:p w:rsidR="00DD0682" w:rsidRPr="00981554" w:rsidRDefault="00DD0682" w:rsidP="00CE2A0B">
            <w:pPr>
              <w:adjustRightInd w:val="0"/>
              <w:snapToGrid w:val="0"/>
              <w:jc w:val="center"/>
              <w:rPr>
                <w:b/>
                <w:snapToGrid w:val="0"/>
              </w:rPr>
            </w:pPr>
            <w:r w:rsidRPr="00981554">
              <w:rPr>
                <w:b/>
                <w:snapToGrid w:val="0"/>
              </w:rPr>
              <w:t>370.155.012.000</w:t>
            </w:r>
          </w:p>
        </w:tc>
      </w:tr>
      <w:tr w:rsidR="00DD0682" w:rsidRPr="00DD0682" w:rsidTr="00DD0682">
        <w:tc>
          <w:tcPr>
            <w:tcW w:w="1034" w:type="dxa"/>
          </w:tcPr>
          <w:p w:rsidR="00DD0682" w:rsidRPr="00DD0682" w:rsidRDefault="00DD0682" w:rsidP="00CE2A0B">
            <w:pPr>
              <w:adjustRightInd w:val="0"/>
              <w:snapToGrid w:val="0"/>
              <w:jc w:val="center"/>
              <w:rPr>
                <w:snapToGrid w:val="0"/>
              </w:rPr>
            </w:pPr>
            <w:r w:rsidRPr="00DD0682">
              <w:rPr>
                <w:snapToGrid w:val="0"/>
              </w:rPr>
              <w:t>2007</w:t>
            </w:r>
          </w:p>
        </w:tc>
        <w:tc>
          <w:tcPr>
            <w:tcW w:w="3556" w:type="dxa"/>
          </w:tcPr>
          <w:p w:rsidR="00DD0682" w:rsidRPr="00DD0682" w:rsidRDefault="00DD0682" w:rsidP="00CE2A0B">
            <w:pPr>
              <w:adjustRightInd w:val="0"/>
              <w:snapToGrid w:val="0"/>
              <w:jc w:val="center"/>
              <w:rPr>
                <w:snapToGrid w:val="0"/>
              </w:rPr>
            </w:pPr>
            <w:r w:rsidRPr="00DD0682">
              <w:rPr>
                <w:snapToGrid w:val="0"/>
              </w:rPr>
              <w:t>268.386.543.000</w:t>
            </w:r>
          </w:p>
        </w:tc>
        <w:tc>
          <w:tcPr>
            <w:tcW w:w="2450" w:type="dxa"/>
          </w:tcPr>
          <w:p w:rsidR="00DD0682" w:rsidRPr="00DD0682" w:rsidRDefault="00DD0682" w:rsidP="00611367">
            <w:pPr>
              <w:tabs>
                <w:tab w:val="decimal" w:pos="1890"/>
              </w:tabs>
              <w:adjustRightInd w:val="0"/>
              <w:snapToGrid w:val="0"/>
              <w:rPr>
                <w:snapToGrid w:val="0"/>
              </w:rPr>
            </w:pPr>
            <w:r w:rsidRPr="00DD0682">
              <w:rPr>
                <w:snapToGrid w:val="0"/>
              </w:rPr>
              <w:t>87.582.000.000</w:t>
            </w:r>
          </w:p>
        </w:tc>
        <w:tc>
          <w:tcPr>
            <w:tcW w:w="2451" w:type="dxa"/>
          </w:tcPr>
          <w:p w:rsidR="00DD0682" w:rsidRPr="00981554" w:rsidRDefault="00DD0682" w:rsidP="00CE2A0B">
            <w:pPr>
              <w:adjustRightInd w:val="0"/>
              <w:snapToGrid w:val="0"/>
              <w:jc w:val="center"/>
              <w:rPr>
                <w:b/>
                <w:snapToGrid w:val="0"/>
              </w:rPr>
            </w:pPr>
            <w:r w:rsidRPr="00981554">
              <w:rPr>
                <w:b/>
                <w:snapToGrid w:val="0"/>
              </w:rPr>
              <w:t>355.968.543.000</w:t>
            </w:r>
          </w:p>
        </w:tc>
      </w:tr>
    </w:tbl>
    <w:p w:rsidR="00DD0682" w:rsidRPr="00DD0682" w:rsidRDefault="00DD0682" w:rsidP="00CE2A0B">
      <w:pPr>
        <w:adjustRightInd w:val="0"/>
        <w:snapToGrid w:val="0"/>
        <w:spacing w:before="480" w:after="240"/>
        <w:rPr>
          <w:b/>
          <w:snapToGrid w:val="0"/>
        </w:rPr>
      </w:pPr>
      <w:r w:rsidRPr="00DD0682">
        <w:rPr>
          <w:b/>
          <w:snapToGrid w:val="0"/>
        </w:rPr>
        <w:t>10.</w:t>
      </w:r>
      <w:r w:rsidRPr="00DD0682">
        <w:rPr>
          <w:b/>
          <w:snapToGrid w:val="0"/>
        </w:rPr>
        <w:tab/>
        <w:t>Los extranjeros residentes en Argelia</w:t>
      </w:r>
    </w:p>
    <w:p w:rsidR="00DD0682" w:rsidRPr="00DD0682" w:rsidRDefault="00DD0682" w:rsidP="00DD0682">
      <w:pPr>
        <w:adjustRightInd w:val="0"/>
        <w:snapToGrid w:val="0"/>
        <w:spacing w:after="240"/>
        <w:rPr>
          <w:snapToGrid w:val="0"/>
        </w:rPr>
      </w:pPr>
      <w:r w:rsidRPr="00DD0682">
        <w:rPr>
          <w:snapToGrid w:val="0"/>
        </w:rPr>
        <w:t>396.</w:t>
      </w:r>
      <w:r w:rsidRPr="00DD0682">
        <w:rPr>
          <w:snapToGrid w:val="0"/>
        </w:rPr>
        <w:tab/>
        <w:t>Los hijos de extranjeros residentes en Argelia se escolarizan, en función de su elección y según los casos, en escuelas extranjeras (escuela saudí, escuela egipcia, escuela libia, liceo francés) o en escuelas argelinas y, en este último caso, están sometidos al mismo sistema y al mismo trato de los alumnos argelinos.  En cambio, los niños saharauis se integran plenamente en el sistema escolar argelino.  El Estado argelino les ofrece la gratuidad de la enseñanza, del equipo escolar y del internado.</w:t>
      </w:r>
    </w:p>
    <w:p w:rsidR="00DD0682" w:rsidRPr="00DD0682" w:rsidRDefault="00DD0682" w:rsidP="00DD0682">
      <w:pPr>
        <w:adjustRightInd w:val="0"/>
        <w:snapToGrid w:val="0"/>
        <w:spacing w:after="240"/>
        <w:rPr>
          <w:snapToGrid w:val="0"/>
        </w:rPr>
      </w:pPr>
      <w:r w:rsidRPr="00DD0682">
        <w:rPr>
          <w:snapToGrid w:val="0"/>
        </w:rPr>
        <w:t>397.</w:t>
      </w:r>
      <w:r w:rsidRPr="00DD0682">
        <w:rPr>
          <w:snapToGrid w:val="0"/>
        </w:rPr>
        <w:tab/>
        <w:t>En cuanto a los docentes extranjeros, son muy poco numerosos dentro del cuerpo docente, que es argelino casi al 100%.  En efecto, de los 339.905 profesores con que cuenta el sector de la educación, sólo 145 son de nacionalidad extranjera.</w:t>
      </w:r>
    </w:p>
    <w:p w:rsidR="00DD0682" w:rsidRPr="00DD0682" w:rsidRDefault="00DD0682" w:rsidP="00DD0682">
      <w:pPr>
        <w:adjustRightInd w:val="0"/>
        <w:snapToGrid w:val="0"/>
        <w:spacing w:after="240"/>
        <w:rPr>
          <w:b/>
          <w:snapToGrid w:val="0"/>
        </w:rPr>
      </w:pPr>
      <w:r w:rsidRPr="00DD0682">
        <w:rPr>
          <w:b/>
          <w:snapToGrid w:val="0"/>
        </w:rPr>
        <w:t>11.</w:t>
      </w:r>
      <w:r w:rsidRPr="00DD0682">
        <w:rPr>
          <w:b/>
          <w:snapToGrid w:val="0"/>
        </w:rPr>
        <w:tab/>
        <w:t>La enseñanza del idioma amazigh</w:t>
      </w:r>
    </w:p>
    <w:p w:rsidR="00DD0682" w:rsidRPr="00DD0682" w:rsidRDefault="00DD0682" w:rsidP="00DD0682">
      <w:pPr>
        <w:adjustRightInd w:val="0"/>
        <w:snapToGrid w:val="0"/>
        <w:spacing w:after="240"/>
        <w:rPr>
          <w:snapToGrid w:val="0"/>
        </w:rPr>
      </w:pPr>
      <w:r w:rsidRPr="00DD0682">
        <w:rPr>
          <w:snapToGrid w:val="0"/>
        </w:rPr>
        <w:t>398.</w:t>
      </w:r>
      <w:r w:rsidRPr="00DD0682">
        <w:rPr>
          <w:snapToGrid w:val="0"/>
        </w:rPr>
        <w:tab/>
        <w:t>El idioma amazigh, consagrado por la Constitución argelina, se enseña como lengua nacional en las escuelas argelinas, en todos los ciclos de la enseñanza cada vez que surge la necesidad y se reúnen las condiciones necesarias para su enseñanza, en particular en materia de organización pedagógica.  Se integra en los cursos escolares como disciplina de pleno derecho que disfruta de su propio número de horas, programa y manuales.  Está sometida al mismo sistema de evaluación y examen que las demás disciplinas.</w:t>
      </w:r>
    </w:p>
    <w:p w:rsidR="00DD0682" w:rsidRPr="00DD0682" w:rsidRDefault="00DD0682" w:rsidP="00DD0682">
      <w:pPr>
        <w:adjustRightInd w:val="0"/>
        <w:snapToGrid w:val="0"/>
        <w:spacing w:after="240"/>
        <w:rPr>
          <w:snapToGrid w:val="0"/>
        </w:rPr>
      </w:pPr>
      <w:r w:rsidRPr="00DD0682">
        <w:rPr>
          <w:snapToGrid w:val="0"/>
        </w:rPr>
        <w:t>399.</w:t>
      </w:r>
      <w:r w:rsidRPr="00DD0682">
        <w:rPr>
          <w:snapToGrid w:val="0"/>
        </w:rPr>
        <w:tab/>
        <w:t>La formación de profesores de lengua amazigh se hace a nivel de las universidades y de los institutos de formación y perfeccionamiento de profesores, de la misma manera que la formación de profesores de otras disciplinas.  Se ha creado un centro encargado de la promoción y desarrollo de la enseñanza de la lengua y de la cultura amazigh, en cuyo seno se agrupan universidades e investigadores de alto nivel con el objetivo de realizar trabajos de investigación en la esfera de la ordenación y la normalización lingüística en todos los aspectos relacionados con la enseñanza de esta materia.</w:t>
      </w:r>
    </w:p>
    <w:p w:rsidR="00DD0682" w:rsidRPr="00DD0682" w:rsidRDefault="00DD0682" w:rsidP="00DD0682">
      <w:pPr>
        <w:adjustRightInd w:val="0"/>
        <w:snapToGrid w:val="0"/>
        <w:spacing w:after="240"/>
        <w:rPr>
          <w:b/>
          <w:snapToGrid w:val="0"/>
        </w:rPr>
      </w:pPr>
      <w:r w:rsidRPr="00DD0682">
        <w:rPr>
          <w:b/>
          <w:snapToGrid w:val="0"/>
        </w:rPr>
        <w:t>12.</w:t>
      </w:r>
      <w:r w:rsidRPr="00DD0682">
        <w:rPr>
          <w:b/>
          <w:snapToGrid w:val="0"/>
        </w:rPr>
        <w:tab/>
        <w:t>La educación para la ciudadanía</w:t>
      </w:r>
    </w:p>
    <w:p w:rsidR="00DD0682" w:rsidRPr="00DD0682" w:rsidRDefault="00DD0682" w:rsidP="00DD0682">
      <w:pPr>
        <w:adjustRightInd w:val="0"/>
        <w:snapToGrid w:val="0"/>
        <w:spacing w:after="240"/>
        <w:rPr>
          <w:snapToGrid w:val="0"/>
        </w:rPr>
      </w:pPr>
      <w:r w:rsidRPr="00DD0682">
        <w:rPr>
          <w:snapToGrid w:val="0"/>
        </w:rPr>
        <w:t>400.</w:t>
      </w:r>
      <w:r w:rsidRPr="00DD0682">
        <w:rPr>
          <w:snapToGrid w:val="0"/>
        </w:rPr>
        <w:tab/>
        <w:t>El sistema educativo argelino tiene por objeto la formación de los futuros ciudadanos.  Con este fin imparte una educación para la ciudadanía, inculca al niño valores nacionales y universales a través de las diferentes disciplinas enseñadas, como la historia, las lenguas árabe y extranjeras, la educación sanitaria, ambiental, cívica, religiosa y demográfica, con el objeto de que pueda adquirir comportamientos sanos, actitudes positivas ya desde el primer ciclo de la enseñanza básica.</w:t>
      </w:r>
    </w:p>
    <w:p w:rsidR="00DD0682" w:rsidRPr="00DD0682" w:rsidRDefault="00DD0682" w:rsidP="00DD0682">
      <w:pPr>
        <w:adjustRightInd w:val="0"/>
        <w:snapToGrid w:val="0"/>
        <w:spacing w:after="240"/>
        <w:rPr>
          <w:snapToGrid w:val="0"/>
        </w:rPr>
      </w:pPr>
      <w:r w:rsidRPr="00DD0682">
        <w:rPr>
          <w:snapToGrid w:val="0"/>
        </w:rPr>
        <w:t>401.</w:t>
      </w:r>
      <w:r w:rsidRPr="00DD0682">
        <w:rPr>
          <w:snapToGrid w:val="0"/>
        </w:rPr>
        <w:tab/>
        <w:t>En esta esfera la educación cívica es una disciplina fundamental.  Desde 1997 se enseña desde el primer año de la enseñanza básica y se integra en los programas oficiales de educación nacional.</w:t>
      </w:r>
    </w:p>
    <w:p w:rsidR="00DD0682" w:rsidRPr="00DD0682" w:rsidRDefault="00DD0682" w:rsidP="00DD0682">
      <w:pPr>
        <w:adjustRightInd w:val="0"/>
        <w:snapToGrid w:val="0"/>
        <w:spacing w:after="240"/>
        <w:rPr>
          <w:b/>
          <w:snapToGrid w:val="0"/>
        </w:rPr>
      </w:pPr>
      <w:r w:rsidRPr="00DD0682">
        <w:rPr>
          <w:b/>
          <w:snapToGrid w:val="0"/>
        </w:rPr>
        <w:t>13.</w:t>
      </w:r>
      <w:r w:rsidRPr="00DD0682">
        <w:rPr>
          <w:b/>
          <w:snapToGrid w:val="0"/>
        </w:rPr>
        <w:tab/>
        <w:t>Las actividades culturales y deportivas</w:t>
      </w:r>
    </w:p>
    <w:p w:rsidR="00DD0682" w:rsidRPr="00DD0682" w:rsidRDefault="00DD0682" w:rsidP="00DD0682">
      <w:pPr>
        <w:adjustRightInd w:val="0"/>
        <w:snapToGrid w:val="0"/>
        <w:spacing w:after="240"/>
        <w:rPr>
          <w:snapToGrid w:val="0"/>
        </w:rPr>
      </w:pPr>
      <w:r w:rsidRPr="00DD0682">
        <w:rPr>
          <w:snapToGrid w:val="0"/>
        </w:rPr>
        <w:t>402.</w:t>
      </w:r>
      <w:r w:rsidRPr="00DD0682">
        <w:rPr>
          <w:snapToGrid w:val="0"/>
        </w:rPr>
        <w:tab/>
        <w:t>En el marco de su misión educativa, la escuela argelina asegura el desarrollo de actividades culturales y deportivas, también en los programas de enseñanza, en las que la educación física y la educación artística (dibujo, música) se integran como disciplinas propias.  Al ser obligatorias, puntúan y cuentan en los exámenes de admisión de todos los alumnos (chicos y chicas).</w:t>
      </w:r>
    </w:p>
    <w:p w:rsidR="00DD0682" w:rsidRPr="00DD0682" w:rsidRDefault="00DD0682" w:rsidP="00DD0682">
      <w:pPr>
        <w:adjustRightInd w:val="0"/>
        <w:snapToGrid w:val="0"/>
        <w:spacing w:after="240"/>
        <w:rPr>
          <w:snapToGrid w:val="0"/>
        </w:rPr>
      </w:pPr>
      <w:r w:rsidRPr="00DD0682">
        <w:rPr>
          <w:snapToGrid w:val="0"/>
        </w:rPr>
        <w:t>403.</w:t>
      </w:r>
      <w:r w:rsidRPr="00DD0682">
        <w:rPr>
          <w:snapToGrid w:val="0"/>
        </w:rPr>
        <w:tab/>
        <w:t>La lectura se desarrolla también en las escuelas argelinas gracias a la creación de bibliotecas escolares en los establecimientos escolares de todos los ciclos.</w:t>
      </w:r>
    </w:p>
    <w:p w:rsidR="00DD0682" w:rsidRPr="00DD0682" w:rsidRDefault="00DD0682" w:rsidP="00DD0682">
      <w:pPr>
        <w:adjustRightInd w:val="0"/>
        <w:snapToGrid w:val="0"/>
        <w:spacing w:after="240"/>
        <w:rPr>
          <w:b/>
          <w:snapToGrid w:val="0"/>
        </w:rPr>
      </w:pPr>
      <w:r w:rsidRPr="00DD0682">
        <w:rPr>
          <w:b/>
          <w:snapToGrid w:val="0"/>
        </w:rPr>
        <w:t>14.</w:t>
      </w:r>
      <w:r w:rsidRPr="00DD0682">
        <w:rPr>
          <w:b/>
          <w:snapToGrid w:val="0"/>
        </w:rPr>
        <w:tab/>
        <w:t>La formación de los maestros</w:t>
      </w:r>
    </w:p>
    <w:p w:rsidR="00DD0682" w:rsidRPr="00DD0682" w:rsidRDefault="00DD0682" w:rsidP="00DD0682">
      <w:pPr>
        <w:adjustRightInd w:val="0"/>
        <w:snapToGrid w:val="0"/>
        <w:spacing w:after="240"/>
        <w:rPr>
          <w:snapToGrid w:val="0"/>
        </w:rPr>
      </w:pPr>
      <w:r w:rsidRPr="00DD0682">
        <w:rPr>
          <w:snapToGrid w:val="0"/>
        </w:rPr>
        <w:t>404.</w:t>
      </w:r>
      <w:r w:rsidRPr="00DD0682">
        <w:rPr>
          <w:snapToGrid w:val="0"/>
        </w:rPr>
        <w:tab/>
        <w:t>La mejora del nivel de calificación de los maestros que asegure una enseñanza de calidad para todos constituye una de las prioridades fundamentales del sistema educativo argelino que, por esta razón, concede a la formación de los maestros un lugar privilegiado.  La formación inicial de los maestros se desarrolla en:</w:t>
      </w:r>
    </w:p>
    <w:p w:rsidR="00DD0682" w:rsidRPr="00DD0682" w:rsidRDefault="00DD0682" w:rsidP="00433E1C">
      <w:pPr>
        <w:adjustRightInd w:val="0"/>
        <w:snapToGrid w:val="0"/>
        <w:spacing w:after="240"/>
        <w:ind w:left="1134" w:hanging="567"/>
        <w:rPr>
          <w:snapToGrid w:val="0"/>
        </w:rPr>
      </w:pPr>
      <w:r w:rsidRPr="00DD0682">
        <w:rPr>
          <w:snapToGrid w:val="0"/>
        </w:rPr>
        <w:t>a)</w:t>
      </w:r>
      <w:r w:rsidRPr="00DD0682">
        <w:rPr>
          <w:snapToGrid w:val="0"/>
        </w:rPr>
        <w:tab/>
        <w:t xml:space="preserve">Las escuelas normales superiores, instituciones dependientes del Ministerio de Enseñanza Superior e Investigación Científica encargadas desde el curso escolar 1999/00 de la formación de los profesores de enseñanza básica (PEB) y de los profesores de enseñanza secundaria y de enseñanza técnica (PES Y PEST); </w:t>
      </w:r>
    </w:p>
    <w:p w:rsidR="00DD0682" w:rsidRPr="00DD0682" w:rsidRDefault="00DD0682" w:rsidP="00433E1C">
      <w:pPr>
        <w:adjustRightInd w:val="0"/>
        <w:snapToGrid w:val="0"/>
        <w:spacing w:after="240"/>
        <w:ind w:left="1134" w:hanging="567"/>
        <w:rPr>
          <w:snapToGrid w:val="0"/>
        </w:rPr>
      </w:pPr>
      <w:r w:rsidRPr="00DD0682">
        <w:rPr>
          <w:snapToGrid w:val="0"/>
        </w:rPr>
        <w:t>b)</w:t>
      </w:r>
      <w:r w:rsidRPr="00DD0682">
        <w:rPr>
          <w:snapToGrid w:val="0"/>
        </w:rPr>
        <w:tab/>
        <w:t>Los institutos de formación y perfeccionamiento de maestros (IFPM), dependientes del Ministerio de Educación Nacional, que se encargan desde el curso 2003/04 de la formación de maestros de enseñanza primaria o de maestros de enseñanza básica (MEB).</w:t>
      </w:r>
    </w:p>
    <w:p w:rsidR="00DD0682" w:rsidRPr="00DD0682" w:rsidRDefault="00DD0682" w:rsidP="00433E1C">
      <w:pPr>
        <w:keepNext/>
        <w:keepLines/>
        <w:adjustRightInd w:val="0"/>
        <w:snapToGrid w:val="0"/>
        <w:spacing w:after="240"/>
        <w:rPr>
          <w:snapToGrid w:val="0"/>
        </w:rPr>
      </w:pPr>
      <w:r w:rsidRPr="00DD0682">
        <w:rPr>
          <w:snapToGrid w:val="0"/>
        </w:rPr>
        <w:t>405.</w:t>
      </w:r>
      <w:r w:rsidRPr="00DD0682">
        <w:rPr>
          <w:snapToGrid w:val="0"/>
        </w:rPr>
        <w:tab/>
        <w:t>Pueden acceder a esta formación todos los bachilleres.  La duración de la formación es de:</w:t>
      </w:r>
    </w:p>
    <w:p w:rsidR="00DD0682" w:rsidRPr="00DD0682" w:rsidRDefault="00DD0682" w:rsidP="00433E1C">
      <w:pPr>
        <w:adjustRightInd w:val="0"/>
        <w:snapToGrid w:val="0"/>
        <w:spacing w:after="240"/>
        <w:ind w:left="924" w:hanging="357"/>
        <w:rPr>
          <w:snapToGrid w:val="0"/>
        </w:rPr>
      </w:pPr>
      <w:r w:rsidRPr="00DD0682">
        <w:rPr>
          <w:snapToGrid w:val="0"/>
        </w:rPr>
        <w:t>-</w:t>
      </w:r>
      <w:r w:rsidRPr="00DD0682">
        <w:rPr>
          <w:snapToGrid w:val="0"/>
        </w:rPr>
        <w:tab/>
        <w:t>Tres años en el caso de los MEB;</w:t>
      </w:r>
    </w:p>
    <w:p w:rsidR="00DD0682" w:rsidRPr="00DD0682" w:rsidRDefault="00DD0682" w:rsidP="00433E1C">
      <w:pPr>
        <w:adjustRightInd w:val="0"/>
        <w:snapToGrid w:val="0"/>
        <w:spacing w:after="240"/>
        <w:ind w:left="924" w:hanging="357"/>
        <w:rPr>
          <w:snapToGrid w:val="0"/>
        </w:rPr>
      </w:pPr>
      <w:r w:rsidRPr="00DD0682">
        <w:rPr>
          <w:snapToGrid w:val="0"/>
        </w:rPr>
        <w:t>-</w:t>
      </w:r>
      <w:r w:rsidRPr="00DD0682">
        <w:rPr>
          <w:snapToGrid w:val="0"/>
        </w:rPr>
        <w:tab/>
        <w:t>Cuatro años en el caso de los PEB;</w:t>
      </w:r>
    </w:p>
    <w:p w:rsidR="00DD0682" w:rsidRPr="00DD0682" w:rsidRDefault="00DD0682" w:rsidP="00433E1C">
      <w:pPr>
        <w:adjustRightInd w:val="0"/>
        <w:snapToGrid w:val="0"/>
        <w:spacing w:after="240"/>
        <w:ind w:left="924" w:hanging="357"/>
        <w:rPr>
          <w:snapToGrid w:val="0"/>
        </w:rPr>
      </w:pPr>
      <w:r w:rsidRPr="00DD0682">
        <w:rPr>
          <w:snapToGrid w:val="0"/>
        </w:rPr>
        <w:t>-</w:t>
      </w:r>
      <w:r w:rsidRPr="00DD0682">
        <w:rPr>
          <w:snapToGrid w:val="0"/>
        </w:rPr>
        <w:tab/>
        <w:t>Cinco años en el caso de los PES y PET.</w:t>
      </w:r>
    </w:p>
    <w:p w:rsidR="00DD0682" w:rsidRPr="00DD0682" w:rsidRDefault="00DD0682" w:rsidP="00DD0682">
      <w:pPr>
        <w:adjustRightInd w:val="0"/>
        <w:snapToGrid w:val="0"/>
        <w:spacing w:after="240"/>
        <w:rPr>
          <w:snapToGrid w:val="0"/>
        </w:rPr>
      </w:pPr>
      <w:r w:rsidRPr="00DD0682">
        <w:rPr>
          <w:snapToGrid w:val="0"/>
        </w:rPr>
        <w:t>406.</w:t>
      </w:r>
      <w:r w:rsidRPr="00DD0682">
        <w:rPr>
          <w:snapToGrid w:val="0"/>
        </w:rPr>
        <w:tab/>
        <w:t>En cuanto a la formación en el empleo, se trata de una formación a distancia destinada a los maestros de enseñanza primaria y media.  Su objeto es situarles al nivel requerido por las nuevas normas y condiciones de calificación exigidas para el ejercicio de la profesión docente, es decir, para la obtención de la licencia de enseñanza superior.</w:t>
      </w:r>
    </w:p>
    <w:p w:rsidR="00DD0682" w:rsidRPr="00DD0682" w:rsidRDefault="00DD0682" w:rsidP="00DD0682">
      <w:pPr>
        <w:adjustRightInd w:val="0"/>
        <w:snapToGrid w:val="0"/>
        <w:spacing w:after="240"/>
        <w:rPr>
          <w:snapToGrid w:val="0"/>
        </w:rPr>
      </w:pPr>
      <w:r w:rsidRPr="00DD0682">
        <w:rPr>
          <w:snapToGrid w:val="0"/>
        </w:rPr>
        <w:t>407.</w:t>
      </w:r>
      <w:r w:rsidRPr="00DD0682">
        <w:rPr>
          <w:snapToGrid w:val="0"/>
        </w:rPr>
        <w:tab/>
        <w:t>Unos 10.000 docentes, 6.000 para la enseñanza privada y 4.000 para la enseñanza media, han constituido el primer contingente de esa formación que se inició en 2005/06.  El segundo contingente prevé la formación de 50.000 docentes (25.000 para la enseñanza primaria y 25.000 para la enseñanza media).</w:t>
      </w:r>
    </w:p>
    <w:p w:rsidR="00DD0682" w:rsidRPr="00DD0682" w:rsidRDefault="00DD0682" w:rsidP="00DD0682">
      <w:pPr>
        <w:adjustRightInd w:val="0"/>
        <w:snapToGrid w:val="0"/>
        <w:spacing w:after="240"/>
        <w:rPr>
          <w:snapToGrid w:val="0"/>
        </w:rPr>
      </w:pPr>
      <w:r w:rsidRPr="00DD0682">
        <w:rPr>
          <w:snapToGrid w:val="0"/>
        </w:rPr>
        <w:t>408.</w:t>
      </w:r>
      <w:r w:rsidRPr="00DD0682">
        <w:rPr>
          <w:snapToGrid w:val="0"/>
        </w:rPr>
        <w:tab/>
        <w:t>En cuanto a los docentes de enseñanza secundaria, reciben una formación de posgrado a nivel de las escuelas normales superiores que les permite el acceso a la categoría de profesor de enseñanza secundaria.</w:t>
      </w:r>
    </w:p>
    <w:p w:rsidR="00DD0682" w:rsidRPr="00DD0682" w:rsidRDefault="00DD0682" w:rsidP="00DD0682">
      <w:pPr>
        <w:adjustRightInd w:val="0"/>
        <w:snapToGrid w:val="0"/>
        <w:spacing w:after="240"/>
        <w:rPr>
          <w:b/>
          <w:snapToGrid w:val="0"/>
        </w:rPr>
      </w:pPr>
      <w:r w:rsidRPr="00DD0682">
        <w:rPr>
          <w:b/>
          <w:snapToGrid w:val="0"/>
        </w:rPr>
        <w:t>15.</w:t>
      </w:r>
      <w:r w:rsidRPr="00DD0682">
        <w:rPr>
          <w:b/>
          <w:snapToGrid w:val="0"/>
        </w:rPr>
        <w:tab/>
        <w:t>La alfabetización y la enseñanza de adultos</w:t>
      </w:r>
    </w:p>
    <w:p w:rsidR="00DD0682" w:rsidRPr="00DD0682" w:rsidRDefault="00DD0682" w:rsidP="00DD0682">
      <w:pPr>
        <w:adjustRightInd w:val="0"/>
        <w:snapToGrid w:val="0"/>
        <w:spacing w:after="240"/>
        <w:rPr>
          <w:b/>
          <w:snapToGrid w:val="0"/>
        </w:rPr>
      </w:pPr>
      <w:r w:rsidRPr="00DD0682">
        <w:rPr>
          <w:b/>
          <w:snapToGrid w:val="0"/>
        </w:rPr>
        <w:tab/>
        <w:t>a)</w:t>
      </w:r>
      <w:r w:rsidRPr="00DD0682">
        <w:rPr>
          <w:b/>
          <w:snapToGrid w:val="0"/>
        </w:rPr>
        <w:tab/>
        <w:t>La alfabetización</w:t>
      </w:r>
    </w:p>
    <w:p w:rsidR="00DD0682" w:rsidRPr="00DD0682" w:rsidRDefault="00DD0682" w:rsidP="00DD0682">
      <w:pPr>
        <w:adjustRightInd w:val="0"/>
        <w:snapToGrid w:val="0"/>
        <w:spacing w:after="240"/>
        <w:rPr>
          <w:snapToGrid w:val="0"/>
        </w:rPr>
      </w:pPr>
      <w:r w:rsidRPr="00DD0682">
        <w:rPr>
          <w:snapToGrid w:val="0"/>
        </w:rPr>
        <w:t>409.</w:t>
      </w:r>
      <w:r w:rsidRPr="00DD0682">
        <w:rPr>
          <w:snapToGrid w:val="0"/>
        </w:rPr>
        <w:tab/>
        <w:t>Paralelamente a los esfuerzos desplegados en la esfera de la escolarización oficial, el Estado argelino ha establecido desde los primeros años de la independencia un mecanismo de lucha contra el analfabetismo que representaba en aquel momento un grave problema.  La consecuencia directa de esta política ha sido la disminución de la tasa de analfabetismo, que pasó del 85% en 1962 al 31,95 en 1998 para disminuir el 26,5% en 2002.  Hoy día se sitúa en torno al 24%.</w:t>
      </w:r>
    </w:p>
    <w:p w:rsidR="00DD0682" w:rsidRPr="00DD0682" w:rsidRDefault="00DD0682" w:rsidP="00DD0682">
      <w:pPr>
        <w:adjustRightInd w:val="0"/>
        <w:snapToGrid w:val="0"/>
        <w:spacing w:after="240"/>
        <w:rPr>
          <w:snapToGrid w:val="0"/>
        </w:rPr>
      </w:pPr>
      <w:r w:rsidRPr="00DD0682">
        <w:rPr>
          <w:snapToGrid w:val="0"/>
        </w:rPr>
        <w:t>410.</w:t>
      </w:r>
      <w:r w:rsidRPr="00DD0682">
        <w:rPr>
          <w:snapToGrid w:val="0"/>
        </w:rPr>
        <w:tab/>
        <w:t>Según una encuesta realizada por el Ministerio de la Salud, la Población y la Reforma Hospitalaria en 2002, la tasa nacional de analfabetismo sigue disminuyendo.  Con relación a 1998, el descenso de la proporción de la población analfabeta se sitúa en torno a los 5 puntos tanto para los hombres como para las mujeres.  Estas últimas representan el 35% contra el 18,2% de los hombres, es decir, 1,92 veces más.  Según el estrato social, el índice de analfabetismo nacional en el medio rural es del 35%, lo que representa una diferencia de 15,14 puntos con relación al del medio urbano.  Asimismo, según el sexo y el estrato social las diferencias son importantes:  así, las proporciones correspondientes a las mujeres y a los hombres del medio rural son el 47 y el 24,5%, como indica el cuadro siguiente.</w:t>
      </w:r>
    </w:p>
    <w:p w:rsidR="00DD0682" w:rsidRPr="00DD0682" w:rsidRDefault="00DD0682" w:rsidP="00433E1C">
      <w:pPr>
        <w:keepNext/>
        <w:keepLines/>
        <w:adjustRightInd w:val="0"/>
        <w:snapToGrid w:val="0"/>
        <w:spacing w:after="240"/>
        <w:jc w:val="center"/>
        <w:rPr>
          <w:b/>
          <w:snapToGrid w:val="0"/>
        </w:rPr>
      </w:pPr>
      <w:r w:rsidRPr="00DD0682">
        <w:rPr>
          <w:b/>
          <w:snapToGrid w:val="0"/>
        </w:rPr>
        <w:t>Evolución de la tasa de analfabetismo de la población de edad igual o</w:t>
      </w:r>
      <w:r w:rsidRPr="00DD0682">
        <w:rPr>
          <w:b/>
          <w:snapToGrid w:val="0"/>
        </w:rPr>
        <w:br/>
        <w:t>superior a 10 años, según el sexo, durante el período 1966-2002</w:t>
      </w:r>
    </w:p>
    <w:p w:rsidR="00DD0682" w:rsidRPr="00DD0682" w:rsidRDefault="00DD0682" w:rsidP="00433E1C">
      <w:pPr>
        <w:keepNext/>
        <w:keepLines/>
        <w:adjustRightInd w:val="0"/>
        <w:snapToGrid w:val="0"/>
        <w:spacing w:after="240"/>
        <w:jc w:val="center"/>
        <w:rPr>
          <w:snapToGrid w:val="0"/>
        </w:rPr>
      </w:pPr>
      <w:r w:rsidRPr="00DD0682">
        <w:rPr>
          <w:snapToGrid w:val="0"/>
        </w:rPr>
        <w:t>(En porcentaje)</w:t>
      </w:r>
    </w:p>
    <w:tbl>
      <w:tblPr>
        <w:tblStyle w:val="TableGrid"/>
        <w:tblW w:w="0" w:type="auto"/>
        <w:tblLook w:val="01E0" w:firstRow="1" w:lastRow="1" w:firstColumn="1" w:lastColumn="1" w:noHBand="0" w:noVBand="0"/>
      </w:tblPr>
      <w:tblGrid>
        <w:gridCol w:w="1250"/>
        <w:gridCol w:w="999"/>
        <w:gridCol w:w="999"/>
        <w:gridCol w:w="999"/>
        <w:gridCol w:w="1000"/>
        <w:gridCol w:w="1003"/>
        <w:gridCol w:w="1032"/>
        <w:gridCol w:w="1006"/>
        <w:gridCol w:w="1203"/>
      </w:tblGrid>
      <w:tr w:rsidR="00DD0682" w:rsidRPr="00DD0682" w:rsidTr="00DD0682">
        <w:tc>
          <w:tcPr>
            <w:tcW w:w="1052" w:type="dxa"/>
            <w:vMerge w:val="restart"/>
            <w:vAlign w:val="center"/>
          </w:tcPr>
          <w:p w:rsidR="00DD0682" w:rsidRPr="00DD0682" w:rsidRDefault="00DD0682" w:rsidP="00433E1C">
            <w:pPr>
              <w:keepNext/>
              <w:keepLines/>
              <w:adjustRightInd w:val="0"/>
              <w:snapToGrid w:val="0"/>
              <w:jc w:val="center"/>
              <w:rPr>
                <w:b/>
                <w:snapToGrid w:val="0"/>
              </w:rPr>
            </w:pPr>
          </w:p>
        </w:tc>
        <w:tc>
          <w:tcPr>
            <w:tcW w:w="1029" w:type="dxa"/>
            <w:vMerge w:val="restart"/>
            <w:vAlign w:val="center"/>
          </w:tcPr>
          <w:p w:rsidR="00DD0682" w:rsidRPr="00DD0682" w:rsidRDefault="00DD0682" w:rsidP="00433E1C">
            <w:pPr>
              <w:keepNext/>
              <w:keepLines/>
              <w:adjustRightInd w:val="0"/>
              <w:snapToGrid w:val="0"/>
              <w:jc w:val="center"/>
              <w:rPr>
                <w:b/>
                <w:snapToGrid w:val="0"/>
              </w:rPr>
            </w:pPr>
            <w:r w:rsidRPr="00DD0682">
              <w:rPr>
                <w:b/>
                <w:snapToGrid w:val="0"/>
              </w:rPr>
              <w:t>1966</w:t>
            </w:r>
          </w:p>
        </w:tc>
        <w:tc>
          <w:tcPr>
            <w:tcW w:w="1029" w:type="dxa"/>
            <w:vMerge w:val="restart"/>
            <w:vAlign w:val="center"/>
          </w:tcPr>
          <w:p w:rsidR="00DD0682" w:rsidRPr="00DD0682" w:rsidRDefault="00DD0682" w:rsidP="00433E1C">
            <w:pPr>
              <w:keepNext/>
              <w:keepLines/>
              <w:adjustRightInd w:val="0"/>
              <w:snapToGrid w:val="0"/>
              <w:jc w:val="center"/>
              <w:rPr>
                <w:b/>
                <w:snapToGrid w:val="0"/>
              </w:rPr>
            </w:pPr>
            <w:r w:rsidRPr="00DD0682">
              <w:rPr>
                <w:b/>
                <w:snapToGrid w:val="0"/>
              </w:rPr>
              <w:t>1977</w:t>
            </w:r>
          </w:p>
        </w:tc>
        <w:tc>
          <w:tcPr>
            <w:tcW w:w="1029" w:type="dxa"/>
            <w:vMerge w:val="restart"/>
            <w:vAlign w:val="center"/>
          </w:tcPr>
          <w:p w:rsidR="00DD0682" w:rsidRPr="00DD0682" w:rsidRDefault="00DD0682" w:rsidP="00433E1C">
            <w:pPr>
              <w:keepNext/>
              <w:keepLines/>
              <w:adjustRightInd w:val="0"/>
              <w:snapToGrid w:val="0"/>
              <w:jc w:val="center"/>
              <w:rPr>
                <w:b/>
                <w:snapToGrid w:val="0"/>
              </w:rPr>
            </w:pPr>
            <w:r w:rsidRPr="00DD0682">
              <w:rPr>
                <w:b/>
                <w:snapToGrid w:val="0"/>
              </w:rPr>
              <w:t>1987</w:t>
            </w:r>
          </w:p>
        </w:tc>
        <w:tc>
          <w:tcPr>
            <w:tcW w:w="1030" w:type="dxa"/>
            <w:vMerge w:val="restart"/>
            <w:vAlign w:val="center"/>
          </w:tcPr>
          <w:p w:rsidR="00DD0682" w:rsidRPr="00DD0682" w:rsidRDefault="00DD0682" w:rsidP="00433E1C">
            <w:pPr>
              <w:keepNext/>
              <w:keepLines/>
              <w:adjustRightInd w:val="0"/>
              <w:snapToGrid w:val="0"/>
              <w:jc w:val="center"/>
              <w:rPr>
                <w:b/>
                <w:snapToGrid w:val="0"/>
              </w:rPr>
            </w:pPr>
            <w:r w:rsidRPr="00DD0682">
              <w:rPr>
                <w:b/>
                <w:snapToGrid w:val="0"/>
              </w:rPr>
              <w:t>1998</w:t>
            </w:r>
          </w:p>
        </w:tc>
        <w:tc>
          <w:tcPr>
            <w:tcW w:w="3119" w:type="dxa"/>
            <w:gridSpan w:val="3"/>
            <w:vAlign w:val="center"/>
          </w:tcPr>
          <w:p w:rsidR="00DD0682" w:rsidRPr="00DD0682" w:rsidRDefault="00DD0682" w:rsidP="00433E1C">
            <w:pPr>
              <w:keepNext/>
              <w:keepLines/>
              <w:adjustRightInd w:val="0"/>
              <w:snapToGrid w:val="0"/>
              <w:jc w:val="center"/>
              <w:rPr>
                <w:b/>
                <w:snapToGrid w:val="0"/>
                <w:vertAlign w:val="superscript"/>
              </w:rPr>
            </w:pPr>
            <w:r w:rsidRPr="00DD0682">
              <w:rPr>
                <w:b/>
                <w:snapToGrid w:val="0"/>
              </w:rPr>
              <w:t>2002</w:t>
            </w:r>
            <w:r w:rsidRPr="00DD0682">
              <w:rPr>
                <w:b/>
                <w:snapToGrid w:val="0"/>
                <w:vertAlign w:val="superscript"/>
              </w:rPr>
              <w:t>a</w:t>
            </w:r>
          </w:p>
        </w:tc>
        <w:tc>
          <w:tcPr>
            <w:tcW w:w="1203" w:type="dxa"/>
            <w:vMerge w:val="restart"/>
            <w:vAlign w:val="center"/>
          </w:tcPr>
          <w:p w:rsidR="00DD0682" w:rsidRPr="00DD0682" w:rsidRDefault="00DD0682" w:rsidP="00433E1C">
            <w:pPr>
              <w:keepNext/>
              <w:keepLines/>
              <w:adjustRightInd w:val="0"/>
              <w:snapToGrid w:val="0"/>
              <w:jc w:val="center"/>
              <w:rPr>
                <w:b/>
                <w:snapToGrid w:val="0"/>
              </w:rPr>
            </w:pPr>
            <w:r w:rsidRPr="00DD0682">
              <w:rPr>
                <w:b/>
                <w:snapToGrid w:val="0"/>
              </w:rPr>
              <w:t>Diferencia</w:t>
            </w:r>
            <w:r w:rsidRPr="00DD0682">
              <w:rPr>
                <w:b/>
                <w:snapToGrid w:val="0"/>
              </w:rPr>
              <w:br/>
              <w:t>1966/2002</w:t>
            </w:r>
          </w:p>
        </w:tc>
      </w:tr>
      <w:tr w:rsidR="00DD0682" w:rsidRPr="00DD0682" w:rsidTr="00DD0682">
        <w:tc>
          <w:tcPr>
            <w:tcW w:w="1052" w:type="dxa"/>
            <w:vMerge/>
          </w:tcPr>
          <w:p w:rsidR="00DD0682" w:rsidRPr="00DD0682" w:rsidRDefault="00DD0682" w:rsidP="00433E1C">
            <w:pPr>
              <w:keepNext/>
              <w:keepLines/>
              <w:adjustRightInd w:val="0"/>
              <w:snapToGrid w:val="0"/>
              <w:rPr>
                <w:snapToGrid w:val="0"/>
              </w:rPr>
            </w:pPr>
          </w:p>
        </w:tc>
        <w:tc>
          <w:tcPr>
            <w:tcW w:w="1029" w:type="dxa"/>
            <w:vMerge/>
          </w:tcPr>
          <w:p w:rsidR="00DD0682" w:rsidRPr="00DD0682" w:rsidRDefault="00DD0682" w:rsidP="00433E1C">
            <w:pPr>
              <w:keepNext/>
              <w:keepLines/>
              <w:adjustRightInd w:val="0"/>
              <w:snapToGrid w:val="0"/>
              <w:rPr>
                <w:snapToGrid w:val="0"/>
              </w:rPr>
            </w:pPr>
          </w:p>
        </w:tc>
        <w:tc>
          <w:tcPr>
            <w:tcW w:w="1029" w:type="dxa"/>
            <w:vMerge/>
          </w:tcPr>
          <w:p w:rsidR="00DD0682" w:rsidRPr="00DD0682" w:rsidRDefault="00DD0682" w:rsidP="00433E1C">
            <w:pPr>
              <w:keepNext/>
              <w:keepLines/>
              <w:adjustRightInd w:val="0"/>
              <w:snapToGrid w:val="0"/>
              <w:rPr>
                <w:snapToGrid w:val="0"/>
              </w:rPr>
            </w:pPr>
          </w:p>
        </w:tc>
        <w:tc>
          <w:tcPr>
            <w:tcW w:w="1029" w:type="dxa"/>
            <w:vMerge/>
          </w:tcPr>
          <w:p w:rsidR="00DD0682" w:rsidRPr="00DD0682" w:rsidRDefault="00DD0682" w:rsidP="00433E1C">
            <w:pPr>
              <w:keepNext/>
              <w:keepLines/>
              <w:adjustRightInd w:val="0"/>
              <w:snapToGrid w:val="0"/>
              <w:rPr>
                <w:snapToGrid w:val="0"/>
              </w:rPr>
            </w:pPr>
          </w:p>
        </w:tc>
        <w:tc>
          <w:tcPr>
            <w:tcW w:w="1030" w:type="dxa"/>
            <w:vMerge/>
          </w:tcPr>
          <w:p w:rsidR="00DD0682" w:rsidRPr="00DD0682" w:rsidRDefault="00DD0682" w:rsidP="00433E1C">
            <w:pPr>
              <w:keepNext/>
              <w:keepLines/>
              <w:adjustRightInd w:val="0"/>
              <w:snapToGrid w:val="0"/>
              <w:rPr>
                <w:snapToGrid w:val="0"/>
              </w:rPr>
            </w:pPr>
          </w:p>
        </w:tc>
        <w:tc>
          <w:tcPr>
            <w:tcW w:w="1034" w:type="dxa"/>
          </w:tcPr>
          <w:p w:rsidR="00DD0682" w:rsidRPr="00DD0682" w:rsidRDefault="00DD0682" w:rsidP="00433E1C">
            <w:pPr>
              <w:keepNext/>
              <w:keepLines/>
              <w:adjustRightInd w:val="0"/>
              <w:snapToGrid w:val="0"/>
              <w:rPr>
                <w:b/>
                <w:snapToGrid w:val="0"/>
              </w:rPr>
            </w:pPr>
            <w:r w:rsidRPr="00DD0682">
              <w:rPr>
                <w:b/>
                <w:snapToGrid w:val="0"/>
              </w:rPr>
              <w:t>Total</w:t>
            </w:r>
          </w:p>
        </w:tc>
        <w:tc>
          <w:tcPr>
            <w:tcW w:w="1048" w:type="dxa"/>
          </w:tcPr>
          <w:p w:rsidR="00DD0682" w:rsidRPr="00DD0682" w:rsidRDefault="00DD0682" w:rsidP="00433E1C">
            <w:pPr>
              <w:keepNext/>
              <w:keepLines/>
              <w:adjustRightInd w:val="0"/>
              <w:snapToGrid w:val="0"/>
              <w:rPr>
                <w:b/>
                <w:snapToGrid w:val="0"/>
              </w:rPr>
            </w:pPr>
            <w:r w:rsidRPr="00DD0682">
              <w:rPr>
                <w:b/>
                <w:snapToGrid w:val="0"/>
              </w:rPr>
              <w:t>Urbana</w:t>
            </w:r>
          </w:p>
        </w:tc>
        <w:tc>
          <w:tcPr>
            <w:tcW w:w="1037" w:type="dxa"/>
          </w:tcPr>
          <w:p w:rsidR="00DD0682" w:rsidRPr="00DD0682" w:rsidRDefault="00DD0682" w:rsidP="00433E1C">
            <w:pPr>
              <w:keepNext/>
              <w:keepLines/>
              <w:adjustRightInd w:val="0"/>
              <w:snapToGrid w:val="0"/>
              <w:rPr>
                <w:b/>
                <w:snapToGrid w:val="0"/>
              </w:rPr>
            </w:pPr>
            <w:r w:rsidRPr="00DD0682">
              <w:rPr>
                <w:b/>
                <w:snapToGrid w:val="0"/>
              </w:rPr>
              <w:t>Rural</w:t>
            </w:r>
          </w:p>
        </w:tc>
        <w:tc>
          <w:tcPr>
            <w:tcW w:w="1203" w:type="dxa"/>
            <w:vMerge/>
          </w:tcPr>
          <w:p w:rsidR="00DD0682" w:rsidRPr="00DD0682" w:rsidRDefault="00DD0682" w:rsidP="00433E1C">
            <w:pPr>
              <w:keepNext/>
              <w:keepLines/>
              <w:adjustRightInd w:val="0"/>
              <w:snapToGrid w:val="0"/>
              <w:rPr>
                <w:snapToGrid w:val="0"/>
              </w:rPr>
            </w:pPr>
          </w:p>
        </w:tc>
      </w:tr>
      <w:tr w:rsidR="00DD0682" w:rsidRPr="00DD0682" w:rsidTr="00DD0682">
        <w:tc>
          <w:tcPr>
            <w:tcW w:w="1052" w:type="dxa"/>
          </w:tcPr>
          <w:p w:rsidR="00DD0682" w:rsidRPr="00DD0682" w:rsidRDefault="00DD0682" w:rsidP="00433E1C">
            <w:pPr>
              <w:keepNext/>
              <w:keepLines/>
              <w:adjustRightInd w:val="0"/>
              <w:snapToGrid w:val="0"/>
              <w:rPr>
                <w:snapToGrid w:val="0"/>
              </w:rPr>
            </w:pPr>
            <w:r w:rsidRPr="00DD0682">
              <w:rPr>
                <w:snapToGrid w:val="0"/>
              </w:rPr>
              <w:t>Hombres</w:t>
            </w:r>
          </w:p>
        </w:tc>
        <w:tc>
          <w:tcPr>
            <w:tcW w:w="1029" w:type="dxa"/>
          </w:tcPr>
          <w:p w:rsidR="00DD0682" w:rsidRPr="00DD0682" w:rsidRDefault="00DD0682" w:rsidP="00611367">
            <w:pPr>
              <w:keepNext/>
              <w:keepLines/>
              <w:tabs>
                <w:tab w:val="decimal" w:pos="474"/>
              </w:tabs>
              <w:adjustRightInd w:val="0"/>
              <w:snapToGrid w:val="0"/>
              <w:rPr>
                <w:snapToGrid w:val="0"/>
              </w:rPr>
            </w:pPr>
            <w:r w:rsidRPr="00DD0682">
              <w:rPr>
                <w:snapToGrid w:val="0"/>
              </w:rPr>
              <w:t>62,3</w:t>
            </w:r>
          </w:p>
        </w:tc>
        <w:tc>
          <w:tcPr>
            <w:tcW w:w="1029" w:type="dxa"/>
          </w:tcPr>
          <w:p w:rsidR="00DD0682" w:rsidRPr="00DD0682" w:rsidRDefault="00DD0682" w:rsidP="00611367">
            <w:pPr>
              <w:keepNext/>
              <w:keepLines/>
              <w:tabs>
                <w:tab w:val="decimal" w:pos="474"/>
              </w:tabs>
              <w:adjustRightInd w:val="0"/>
              <w:snapToGrid w:val="0"/>
              <w:rPr>
                <w:snapToGrid w:val="0"/>
              </w:rPr>
            </w:pPr>
            <w:r w:rsidRPr="00DD0682">
              <w:rPr>
                <w:snapToGrid w:val="0"/>
              </w:rPr>
              <w:t>48,2</w:t>
            </w:r>
          </w:p>
        </w:tc>
        <w:tc>
          <w:tcPr>
            <w:tcW w:w="1029" w:type="dxa"/>
          </w:tcPr>
          <w:p w:rsidR="00DD0682" w:rsidRPr="00DD0682" w:rsidRDefault="00DD0682" w:rsidP="00611367">
            <w:pPr>
              <w:keepNext/>
              <w:keepLines/>
              <w:tabs>
                <w:tab w:val="decimal" w:pos="474"/>
              </w:tabs>
              <w:adjustRightInd w:val="0"/>
              <w:snapToGrid w:val="0"/>
              <w:rPr>
                <w:snapToGrid w:val="0"/>
              </w:rPr>
            </w:pPr>
            <w:r w:rsidRPr="00DD0682">
              <w:rPr>
                <w:snapToGrid w:val="0"/>
              </w:rPr>
              <w:t>30,8</w:t>
            </w:r>
          </w:p>
        </w:tc>
        <w:tc>
          <w:tcPr>
            <w:tcW w:w="1030" w:type="dxa"/>
          </w:tcPr>
          <w:p w:rsidR="00DD0682" w:rsidRPr="00DD0682" w:rsidRDefault="00DD0682" w:rsidP="00611367">
            <w:pPr>
              <w:keepNext/>
              <w:keepLines/>
              <w:tabs>
                <w:tab w:val="decimal" w:pos="474"/>
              </w:tabs>
              <w:adjustRightInd w:val="0"/>
              <w:snapToGrid w:val="0"/>
              <w:rPr>
                <w:snapToGrid w:val="0"/>
              </w:rPr>
            </w:pPr>
            <w:r w:rsidRPr="00DD0682">
              <w:rPr>
                <w:snapToGrid w:val="0"/>
              </w:rPr>
              <w:t>23,7</w:t>
            </w:r>
          </w:p>
        </w:tc>
        <w:tc>
          <w:tcPr>
            <w:tcW w:w="1034" w:type="dxa"/>
          </w:tcPr>
          <w:p w:rsidR="00DD0682" w:rsidRPr="00DD0682" w:rsidRDefault="00DD0682" w:rsidP="00611367">
            <w:pPr>
              <w:keepNext/>
              <w:keepLines/>
              <w:tabs>
                <w:tab w:val="decimal" w:pos="474"/>
              </w:tabs>
              <w:adjustRightInd w:val="0"/>
              <w:snapToGrid w:val="0"/>
              <w:rPr>
                <w:snapToGrid w:val="0"/>
              </w:rPr>
            </w:pPr>
            <w:r w:rsidRPr="00DD0682">
              <w:rPr>
                <w:snapToGrid w:val="0"/>
              </w:rPr>
              <w:t>18,2</w:t>
            </w:r>
          </w:p>
        </w:tc>
        <w:tc>
          <w:tcPr>
            <w:tcW w:w="1048" w:type="dxa"/>
          </w:tcPr>
          <w:p w:rsidR="00DD0682" w:rsidRPr="00DD0682" w:rsidRDefault="00DD0682" w:rsidP="00611367">
            <w:pPr>
              <w:keepNext/>
              <w:keepLines/>
              <w:tabs>
                <w:tab w:val="decimal" w:pos="474"/>
              </w:tabs>
              <w:adjustRightInd w:val="0"/>
              <w:snapToGrid w:val="0"/>
              <w:rPr>
                <w:snapToGrid w:val="0"/>
              </w:rPr>
            </w:pPr>
            <w:r w:rsidRPr="00DD0682">
              <w:rPr>
                <w:snapToGrid w:val="0"/>
              </w:rPr>
              <w:t>13,5</w:t>
            </w:r>
          </w:p>
        </w:tc>
        <w:tc>
          <w:tcPr>
            <w:tcW w:w="1037" w:type="dxa"/>
          </w:tcPr>
          <w:p w:rsidR="00DD0682" w:rsidRPr="00DD0682" w:rsidRDefault="00DD0682" w:rsidP="00611367">
            <w:pPr>
              <w:keepNext/>
              <w:keepLines/>
              <w:tabs>
                <w:tab w:val="decimal" w:pos="474"/>
              </w:tabs>
              <w:adjustRightInd w:val="0"/>
              <w:snapToGrid w:val="0"/>
              <w:rPr>
                <w:snapToGrid w:val="0"/>
              </w:rPr>
            </w:pPr>
            <w:r w:rsidRPr="00DD0682">
              <w:rPr>
                <w:snapToGrid w:val="0"/>
              </w:rPr>
              <w:t>24,6</w:t>
            </w:r>
          </w:p>
        </w:tc>
        <w:tc>
          <w:tcPr>
            <w:tcW w:w="1203" w:type="dxa"/>
          </w:tcPr>
          <w:p w:rsidR="00DD0682" w:rsidRPr="00DD0682" w:rsidRDefault="00DD0682" w:rsidP="00611367">
            <w:pPr>
              <w:keepNext/>
              <w:keepLines/>
              <w:tabs>
                <w:tab w:val="decimal" w:pos="474"/>
              </w:tabs>
              <w:adjustRightInd w:val="0"/>
              <w:snapToGrid w:val="0"/>
              <w:rPr>
                <w:snapToGrid w:val="0"/>
              </w:rPr>
            </w:pPr>
            <w:r w:rsidRPr="00DD0682">
              <w:rPr>
                <w:snapToGrid w:val="0"/>
              </w:rPr>
              <w:t>44,2</w:t>
            </w:r>
          </w:p>
        </w:tc>
      </w:tr>
      <w:tr w:rsidR="00DD0682" w:rsidRPr="00DD0682" w:rsidTr="00DD0682">
        <w:tc>
          <w:tcPr>
            <w:tcW w:w="1052" w:type="dxa"/>
          </w:tcPr>
          <w:p w:rsidR="00DD0682" w:rsidRPr="00DD0682" w:rsidRDefault="00DD0682" w:rsidP="00433E1C">
            <w:pPr>
              <w:keepNext/>
              <w:keepLines/>
              <w:adjustRightInd w:val="0"/>
              <w:snapToGrid w:val="0"/>
              <w:rPr>
                <w:snapToGrid w:val="0"/>
              </w:rPr>
            </w:pPr>
            <w:r w:rsidRPr="00DD0682">
              <w:rPr>
                <w:snapToGrid w:val="0"/>
              </w:rPr>
              <w:t>Mujeres</w:t>
            </w:r>
          </w:p>
        </w:tc>
        <w:tc>
          <w:tcPr>
            <w:tcW w:w="1029" w:type="dxa"/>
          </w:tcPr>
          <w:p w:rsidR="00DD0682" w:rsidRPr="00DD0682" w:rsidRDefault="00DD0682" w:rsidP="00611367">
            <w:pPr>
              <w:keepNext/>
              <w:keepLines/>
              <w:tabs>
                <w:tab w:val="decimal" w:pos="474"/>
              </w:tabs>
              <w:adjustRightInd w:val="0"/>
              <w:snapToGrid w:val="0"/>
              <w:rPr>
                <w:snapToGrid w:val="0"/>
              </w:rPr>
            </w:pPr>
            <w:r w:rsidRPr="00DD0682">
              <w:rPr>
                <w:snapToGrid w:val="0"/>
              </w:rPr>
              <w:t>85,4</w:t>
            </w:r>
          </w:p>
        </w:tc>
        <w:tc>
          <w:tcPr>
            <w:tcW w:w="1029" w:type="dxa"/>
          </w:tcPr>
          <w:p w:rsidR="00DD0682" w:rsidRPr="00DD0682" w:rsidRDefault="00DD0682" w:rsidP="00611367">
            <w:pPr>
              <w:keepNext/>
              <w:keepLines/>
              <w:tabs>
                <w:tab w:val="decimal" w:pos="474"/>
              </w:tabs>
              <w:adjustRightInd w:val="0"/>
              <w:snapToGrid w:val="0"/>
              <w:rPr>
                <w:snapToGrid w:val="0"/>
              </w:rPr>
            </w:pPr>
            <w:r w:rsidRPr="00DD0682">
              <w:rPr>
                <w:snapToGrid w:val="0"/>
              </w:rPr>
              <w:t>74,3</w:t>
            </w:r>
          </w:p>
        </w:tc>
        <w:tc>
          <w:tcPr>
            <w:tcW w:w="1029" w:type="dxa"/>
          </w:tcPr>
          <w:p w:rsidR="00DD0682" w:rsidRPr="00DD0682" w:rsidRDefault="00DD0682" w:rsidP="00611367">
            <w:pPr>
              <w:keepNext/>
              <w:keepLines/>
              <w:tabs>
                <w:tab w:val="decimal" w:pos="474"/>
              </w:tabs>
              <w:adjustRightInd w:val="0"/>
              <w:snapToGrid w:val="0"/>
              <w:rPr>
                <w:snapToGrid w:val="0"/>
              </w:rPr>
            </w:pPr>
            <w:r w:rsidRPr="00DD0682">
              <w:rPr>
                <w:snapToGrid w:val="0"/>
              </w:rPr>
              <w:t>56,7</w:t>
            </w:r>
          </w:p>
        </w:tc>
        <w:tc>
          <w:tcPr>
            <w:tcW w:w="1030" w:type="dxa"/>
          </w:tcPr>
          <w:p w:rsidR="00DD0682" w:rsidRPr="00DD0682" w:rsidRDefault="00DD0682" w:rsidP="00611367">
            <w:pPr>
              <w:keepNext/>
              <w:keepLines/>
              <w:tabs>
                <w:tab w:val="decimal" w:pos="474"/>
              </w:tabs>
              <w:adjustRightInd w:val="0"/>
              <w:snapToGrid w:val="0"/>
              <w:rPr>
                <w:snapToGrid w:val="0"/>
              </w:rPr>
            </w:pPr>
            <w:r w:rsidRPr="00DD0682">
              <w:rPr>
                <w:snapToGrid w:val="0"/>
              </w:rPr>
              <w:t>40,3</w:t>
            </w:r>
          </w:p>
        </w:tc>
        <w:tc>
          <w:tcPr>
            <w:tcW w:w="1034" w:type="dxa"/>
          </w:tcPr>
          <w:p w:rsidR="00DD0682" w:rsidRPr="00DD0682" w:rsidRDefault="00DD0682" w:rsidP="00611367">
            <w:pPr>
              <w:keepNext/>
              <w:keepLines/>
              <w:tabs>
                <w:tab w:val="decimal" w:pos="474"/>
              </w:tabs>
              <w:adjustRightInd w:val="0"/>
              <w:snapToGrid w:val="0"/>
              <w:rPr>
                <w:snapToGrid w:val="0"/>
              </w:rPr>
            </w:pPr>
            <w:r w:rsidRPr="00DD0682">
              <w:rPr>
                <w:snapToGrid w:val="0"/>
              </w:rPr>
              <w:t>35,0</w:t>
            </w:r>
          </w:p>
        </w:tc>
        <w:tc>
          <w:tcPr>
            <w:tcW w:w="1048" w:type="dxa"/>
          </w:tcPr>
          <w:p w:rsidR="00DD0682" w:rsidRPr="00DD0682" w:rsidRDefault="00DD0682" w:rsidP="00611367">
            <w:pPr>
              <w:keepNext/>
              <w:keepLines/>
              <w:tabs>
                <w:tab w:val="decimal" w:pos="474"/>
              </w:tabs>
              <w:adjustRightInd w:val="0"/>
              <w:snapToGrid w:val="0"/>
              <w:rPr>
                <w:snapToGrid w:val="0"/>
              </w:rPr>
            </w:pPr>
            <w:r w:rsidRPr="00DD0682">
              <w:rPr>
                <w:snapToGrid w:val="0"/>
              </w:rPr>
              <w:t>26,6</w:t>
            </w:r>
          </w:p>
        </w:tc>
        <w:tc>
          <w:tcPr>
            <w:tcW w:w="1037" w:type="dxa"/>
          </w:tcPr>
          <w:p w:rsidR="00DD0682" w:rsidRPr="00DD0682" w:rsidRDefault="00DD0682" w:rsidP="00611367">
            <w:pPr>
              <w:keepNext/>
              <w:keepLines/>
              <w:tabs>
                <w:tab w:val="decimal" w:pos="474"/>
              </w:tabs>
              <w:adjustRightInd w:val="0"/>
              <w:snapToGrid w:val="0"/>
              <w:rPr>
                <w:snapToGrid w:val="0"/>
              </w:rPr>
            </w:pPr>
            <w:r w:rsidRPr="00DD0682">
              <w:rPr>
                <w:snapToGrid w:val="0"/>
              </w:rPr>
              <w:t>47,0</w:t>
            </w:r>
          </w:p>
        </w:tc>
        <w:tc>
          <w:tcPr>
            <w:tcW w:w="1203" w:type="dxa"/>
          </w:tcPr>
          <w:p w:rsidR="00DD0682" w:rsidRPr="00DD0682" w:rsidRDefault="00DD0682" w:rsidP="00611367">
            <w:pPr>
              <w:keepNext/>
              <w:keepLines/>
              <w:tabs>
                <w:tab w:val="decimal" w:pos="474"/>
              </w:tabs>
              <w:adjustRightInd w:val="0"/>
              <w:snapToGrid w:val="0"/>
              <w:rPr>
                <w:snapToGrid w:val="0"/>
              </w:rPr>
            </w:pPr>
            <w:r w:rsidRPr="00DD0682">
              <w:rPr>
                <w:snapToGrid w:val="0"/>
              </w:rPr>
              <w:t>50,4</w:t>
            </w:r>
          </w:p>
        </w:tc>
      </w:tr>
      <w:tr w:rsidR="00DD0682" w:rsidRPr="00DD0682" w:rsidTr="00DD0682">
        <w:tc>
          <w:tcPr>
            <w:tcW w:w="1052" w:type="dxa"/>
          </w:tcPr>
          <w:p w:rsidR="00DD0682" w:rsidRPr="00DD0682" w:rsidRDefault="00DD0682" w:rsidP="00433E1C">
            <w:pPr>
              <w:keepNext/>
              <w:keepLines/>
              <w:adjustRightInd w:val="0"/>
              <w:snapToGrid w:val="0"/>
              <w:rPr>
                <w:b/>
                <w:snapToGrid w:val="0"/>
              </w:rPr>
            </w:pPr>
            <w:r w:rsidRPr="00DD0682">
              <w:rPr>
                <w:b/>
                <w:snapToGrid w:val="0"/>
              </w:rPr>
              <w:tab/>
              <w:t>Total</w:t>
            </w:r>
          </w:p>
        </w:tc>
        <w:tc>
          <w:tcPr>
            <w:tcW w:w="1029" w:type="dxa"/>
          </w:tcPr>
          <w:p w:rsidR="00DD0682" w:rsidRPr="00DD0682" w:rsidRDefault="00DD0682" w:rsidP="00611367">
            <w:pPr>
              <w:keepNext/>
              <w:keepLines/>
              <w:tabs>
                <w:tab w:val="decimal" w:pos="474"/>
              </w:tabs>
              <w:adjustRightInd w:val="0"/>
              <w:snapToGrid w:val="0"/>
              <w:rPr>
                <w:b/>
                <w:snapToGrid w:val="0"/>
              </w:rPr>
            </w:pPr>
            <w:r w:rsidRPr="00DD0682">
              <w:rPr>
                <w:b/>
                <w:snapToGrid w:val="0"/>
              </w:rPr>
              <w:t>74,6</w:t>
            </w:r>
          </w:p>
        </w:tc>
        <w:tc>
          <w:tcPr>
            <w:tcW w:w="1029" w:type="dxa"/>
          </w:tcPr>
          <w:p w:rsidR="00DD0682" w:rsidRPr="00DD0682" w:rsidRDefault="00DD0682" w:rsidP="00611367">
            <w:pPr>
              <w:keepNext/>
              <w:keepLines/>
              <w:tabs>
                <w:tab w:val="decimal" w:pos="474"/>
              </w:tabs>
              <w:adjustRightInd w:val="0"/>
              <w:snapToGrid w:val="0"/>
              <w:rPr>
                <w:b/>
                <w:snapToGrid w:val="0"/>
              </w:rPr>
            </w:pPr>
            <w:r w:rsidRPr="00DD0682">
              <w:rPr>
                <w:b/>
                <w:snapToGrid w:val="0"/>
              </w:rPr>
              <w:t>58,1</w:t>
            </w:r>
          </w:p>
        </w:tc>
        <w:tc>
          <w:tcPr>
            <w:tcW w:w="1029" w:type="dxa"/>
          </w:tcPr>
          <w:p w:rsidR="00DD0682" w:rsidRPr="00DD0682" w:rsidRDefault="00DD0682" w:rsidP="00611367">
            <w:pPr>
              <w:keepNext/>
              <w:keepLines/>
              <w:tabs>
                <w:tab w:val="decimal" w:pos="474"/>
              </w:tabs>
              <w:adjustRightInd w:val="0"/>
              <w:snapToGrid w:val="0"/>
              <w:rPr>
                <w:b/>
                <w:snapToGrid w:val="0"/>
              </w:rPr>
            </w:pPr>
            <w:r w:rsidRPr="00DD0682">
              <w:rPr>
                <w:b/>
                <w:snapToGrid w:val="0"/>
              </w:rPr>
              <w:t>43,6</w:t>
            </w:r>
          </w:p>
        </w:tc>
        <w:tc>
          <w:tcPr>
            <w:tcW w:w="1030" w:type="dxa"/>
          </w:tcPr>
          <w:p w:rsidR="00DD0682" w:rsidRPr="00DD0682" w:rsidRDefault="00DD0682" w:rsidP="00611367">
            <w:pPr>
              <w:keepNext/>
              <w:keepLines/>
              <w:tabs>
                <w:tab w:val="decimal" w:pos="474"/>
              </w:tabs>
              <w:adjustRightInd w:val="0"/>
              <w:snapToGrid w:val="0"/>
              <w:rPr>
                <w:b/>
                <w:snapToGrid w:val="0"/>
              </w:rPr>
            </w:pPr>
            <w:r w:rsidRPr="00DD0682">
              <w:rPr>
                <w:b/>
                <w:snapToGrid w:val="0"/>
              </w:rPr>
              <w:t>31,9</w:t>
            </w:r>
          </w:p>
        </w:tc>
        <w:tc>
          <w:tcPr>
            <w:tcW w:w="1034" w:type="dxa"/>
          </w:tcPr>
          <w:p w:rsidR="00DD0682" w:rsidRPr="00DD0682" w:rsidRDefault="00DD0682" w:rsidP="00611367">
            <w:pPr>
              <w:keepNext/>
              <w:keepLines/>
              <w:tabs>
                <w:tab w:val="decimal" w:pos="474"/>
              </w:tabs>
              <w:adjustRightInd w:val="0"/>
              <w:snapToGrid w:val="0"/>
              <w:rPr>
                <w:b/>
                <w:snapToGrid w:val="0"/>
              </w:rPr>
            </w:pPr>
            <w:r w:rsidRPr="00DD0682">
              <w:rPr>
                <w:b/>
                <w:snapToGrid w:val="0"/>
              </w:rPr>
              <w:t>26,5</w:t>
            </w:r>
          </w:p>
        </w:tc>
        <w:tc>
          <w:tcPr>
            <w:tcW w:w="1048" w:type="dxa"/>
          </w:tcPr>
          <w:p w:rsidR="00DD0682" w:rsidRPr="00DD0682" w:rsidRDefault="00DD0682" w:rsidP="00611367">
            <w:pPr>
              <w:keepNext/>
              <w:keepLines/>
              <w:tabs>
                <w:tab w:val="decimal" w:pos="474"/>
              </w:tabs>
              <w:adjustRightInd w:val="0"/>
              <w:snapToGrid w:val="0"/>
              <w:rPr>
                <w:b/>
                <w:snapToGrid w:val="0"/>
              </w:rPr>
            </w:pPr>
            <w:r w:rsidRPr="00DD0682">
              <w:rPr>
                <w:b/>
                <w:snapToGrid w:val="0"/>
              </w:rPr>
              <w:t>20,1</w:t>
            </w:r>
          </w:p>
        </w:tc>
        <w:tc>
          <w:tcPr>
            <w:tcW w:w="1037" w:type="dxa"/>
          </w:tcPr>
          <w:p w:rsidR="00DD0682" w:rsidRPr="00DD0682" w:rsidRDefault="00DD0682" w:rsidP="00611367">
            <w:pPr>
              <w:keepNext/>
              <w:keepLines/>
              <w:tabs>
                <w:tab w:val="decimal" w:pos="474"/>
              </w:tabs>
              <w:adjustRightInd w:val="0"/>
              <w:snapToGrid w:val="0"/>
              <w:rPr>
                <w:b/>
                <w:snapToGrid w:val="0"/>
              </w:rPr>
            </w:pPr>
            <w:r w:rsidRPr="00DD0682">
              <w:rPr>
                <w:b/>
                <w:snapToGrid w:val="0"/>
              </w:rPr>
              <w:t>35,7</w:t>
            </w:r>
          </w:p>
        </w:tc>
        <w:tc>
          <w:tcPr>
            <w:tcW w:w="1203" w:type="dxa"/>
          </w:tcPr>
          <w:p w:rsidR="00DD0682" w:rsidRPr="00DD0682" w:rsidRDefault="00DD0682" w:rsidP="00611367">
            <w:pPr>
              <w:keepNext/>
              <w:keepLines/>
              <w:tabs>
                <w:tab w:val="decimal" w:pos="474"/>
              </w:tabs>
              <w:adjustRightInd w:val="0"/>
              <w:snapToGrid w:val="0"/>
              <w:rPr>
                <w:b/>
                <w:snapToGrid w:val="0"/>
              </w:rPr>
            </w:pPr>
            <w:r w:rsidRPr="00DD0682">
              <w:rPr>
                <w:b/>
                <w:snapToGrid w:val="0"/>
              </w:rPr>
              <w:t>48,1</w:t>
            </w:r>
          </w:p>
        </w:tc>
      </w:tr>
    </w:tbl>
    <w:p w:rsidR="00DD0682" w:rsidRPr="00DD0682" w:rsidRDefault="00DD0682" w:rsidP="00433E1C">
      <w:pPr>
        <w:adjustRightInd w:val="0"/>
        <w:snapToGrid w:val="0"/>
        <w:spacing w:before="240" w:after="240"/>
        <w:rPr>
          <w:b/>
          <w:snapToGrid w:val="0"/>
        </w:rPr>
      </w:pPr>
      <w:r w:rsidRPr="00DD0682">
        <w:rPr>
          <w:i/>
          <w:snapToGrid w:val="0"/>
        </w:rPr>
        <w:t>Fuente:</w:t>
      </w:r>
      <w:r w:rsidRPr="00DD0682">
        <w:rPr>
          <w:snapToGrid w:val="0"/>
        </w:rPr>
        <w:t xml:space="preserve">  Oficina Nacional de estadística - Colección estadística Nº 80 - Censo de 1998.</w:t>
      </w:r>
    </w:p>
    <w:p w:rsidR="00DD0682" w:rsidRPr="00DD0682" w:rsidRDefault="00DD0682" w:rsidP="00DD0682">
      <w:pPr>
        <w:adjustRightInd w:val="0"/>
        <w:snapToGrid w:val="0"/>
        <w:spacing w:after="240"/>
        <w:rPr>
          <w:snapToGrid w:val="0"/>
        </w:rPr>
      </w:pPr>
      <w:r w:rsidRPr="00DD0682">
        <w:rPr>
          <w:b/>
          <w:snapToGrid w:val="0"/>
          <w:vertAlign w:val="superscript"/>
        </w:rPr>
        <w:t xml:space="preserve">a </w:t>
      </w:r>
      <w:r w:rsidRPr="00DD0682">
        <w:rPr>
          <w:snapToGrid w:val="0"/>
        </w:rPr>
        <w:t>Encuesta sobre el estado de salud de la población argelina de 2002 - Ministerio de la Salud, la población y la reforma hospitalaria.</w:t>
      </w:r>
    </w:p>
    <w:p w:rsidR="00DD0682" w:rsidRPr="00DD0682" w:rsidRDefault="00DD0682" w:rsidP="00DD0682">
      <w:pPr>
        <w:adjustRightInd w:val="0"/>
        <w:snapToGrid w:val="0"/>
        <w:spacing w:after="240"/>
        <w:rPr>
          <w:snapToGrid w:val="0"/>
        </w:rPr>
      </w:pPr>
      <w:r w:rsidRPr="00DD0682">
        <w:rPr>
          <w:snapToGrid w:val="0"/>
        </w:rPr>
        <w:t>411.</w:t>
      </w:r>
      <w:r w:rsidRPr="00DD0682">
        <w:rPr>
          <w:snapToGrid w:val="0"/>
        </w:rPr>
        <w:tab/>
        <w:t>En el marco de la reforma del sistema educativo, la lucha contra el analfabetismo representa uno de los elementos importantes a los que el Estado dedica esfuerzos considerables con el fin de alcanzar los objetivos que se ha fijado de acuerdo con las resoluciones del Foro de Dakar sobre la educación para todos.  El objetivo en esta esfera es la erradicación del analfabetismo de aquí a 2015, aplicando para ello la estrategia nacional de alfabetización que se basa esencialmente en los principios siguientes:</w:t>
      </w:r>
    </w:p>
    <w:p w:rsidR="00DD0682" w:rsidRPr="00DD0682" w:rsidRDefault="00DD0682" w:rsidP="00433E1C">
      <w:pPr>
        <w:adjustRightInd w:val="0"/>
        <w:snapToGrid w:val="0"/>
        <w:spacing w:after="240"/>
        <w:ind w:left="1134" w:hanging="567"/>
        <w:rPr>
          <w:snapToGrid w:val="0"/>
        </w:rPr>
      </w:pPr>
      <w:r w:rsidRPr="00DD0682">
        <w:rPr>
          <w:snapToGrid w:val="0"/>
        </w:rPr>
        <w:t>a)</w:t>
      </w:r>
      <w:r w:rsidRPr="00DD0682">
        <w:rPr>
          <w:snapToGrid w:val="0"/>
        </w:rPr>
        <w:tab/>
        <w:t>Concentrarse en el grupo de edad de 17 a 44 años, que es el que mejor se presta para las campañas de alfabetización debido a su receptividad y a su interés por las ventajas de una ruptura como la condición de analfabeto;</w:t>
      </w:r>
    </w:p>
    <w:p w:rsidR="00DD0682" w:rsidRPr="00DD0682" w:rsidRDefault="00DD0682" w:rsidP="00433E1C">
      <w:pPr>
        <w:adjustRightInd w:val="0"/>
        <w:snapToGrid w:val="0"/>
        <w:spacing w:after="240"/>
        <w:ind w:left="1134" w:hanging="567"/>
        <w:rPr>
          <w:snapToGrid w:val="0"/>
        </w:rPr>
      </w:pPr>
      <w:r w:rsidRPr="00DD0682">
        <w:rPr>
          <w:snapToGrid w:val="0"/>
        </w:rPr>
        <w:t>b)</w:t>
      </w:r>
      <w:r w:rsidRPr="00DD0682">
        <w:rPr>
          <w:snapToGrid w:val="0"/>
        </w:rPr>
        <w:tab/>
        <w:t>Concentrarse ante todo en las mujeres, pues son las más afectadas por el fenómeno (el 63% de los analfabetos son mujeres).</w:t>
      </w:r>
    </w:p>
    <w:p w:rsidR="00DD0682" w:rsidRPr="00DD0682" w:rsidRDefault="00DD0682" w:rsidP="00DD0682">
      <w:pPr>
        <w:adjustRightInd w:val="0"/>
        <w:snapToGrid w:val="0"/>
        <w:spacing w:after="240"/>
        <w:rPr>
          <w:snapToGrid w:val="0"/>
        </w:rPr>
      </w:pPr>
      <w:r w:rsidRPr="00DD0682">
        <w:rPr>
          <w:snapToGrid w:val="0"/>
        </w:rPr>
        <w:t>412.</w:t>
      </w:r>
      <w:r w:rsidRPr="00DD0682">
        <w:rPr>
          <w:snapToGrid w:val="0"/>
        </w:rPr>
        <w:tab/>
        <w:t>Las campañas de alfabetización son sufragadas por la Oficina Nacional de alfabetización y enseñanza de adultos, apoyada por el movimiento asociativo que a su vez se apoya en las estructuras del Estado (escuelas, residencias de jóvenes, centros culturales, mezquitas, etc.)</w:t>
      </w:r>
    </w:p>
    <w:p w:rsidR="00DD0682" w:rsidRPr="00DD0682" w:rsidRDefault="00DD0682" w:rsidP="00DD0682">
      <w:pPr>
        <w:adjustRightInd w:val="0"/>
        <w:snapToGrid w:val="0"/>
        <w:spacing w:after="240"/>
        <w:rPr>
          <w:i/>
          <w:snapToGrid w:val="0"/>
        </w:rPr>
      </w:pPr>
      <w:r w:rsidRPr="00DD0682">
        <w:rPr>
          <w:b/>
          <w:snapToGrid w:val="0"/>
        </w:rPr>
        <w:tab/>
      </w:r>
      <w:r w:rsidRPr="00DD0682">
        <w:rPr>
          <w:i/>
          <w:snapToGrid w:val="0"/>
        </w:rPr>
        <w:t>Estadísticas sobre el analfabetismo en Argelia (año 2006)</w:t>
      </w:r>
    </w:p>
    <w:p w:rsidR="00DD0682" w:rsidRPr="00DD0682" w:rsidRDefault="00DD0682" w:rsidP="000015B6">
      <w:pPr>
        <w:adjustRightInd w:val="0"/>
        <w:snapToGrid w:val="0"/>
        <w:spacing w:after="240"/>
        <w:jc w:val="center"/>
        <w:rPr>
          <w:b/>
          <w:snapToGrid w:val="0"/>
        </w:rPr>
      </w:pPr>
      <w:r w:rsidRPr="00DD0682">
        <w:rPr>
          <w:b/>
          <w:snapToGrid w:val="0"/>
        </w:rPr>
        <w:t>Tasa de analfabetismo de la población de edad igual o superior a 10 años</w:t>
      </w:r>
    </w:p>
    <w:p w:rsidR="00DD0682" w:rsidRPr="00DD0682" w:rsidRDefault="00DD0682" w:rsidP="000015B6">
      <w:pPr>
        <w:adjustRightInd w:val="0"/>
        <w:snapToGrid w:val="0"/>
        <w:spacing w:after="240"/>
        <w:jc w:val="center"/>
        <w:rPr>
          <w:snapToGrid w:val="0"/>
        </w:rPr>
      </w:pPr>
      <w:r w:rsidRPr="00DD0682">
        <w:rPr>
          <w:snapToGrid w:val="0"/>
        </w:rPr>
        <w:t>(En porcentaje)</w:t>
      </w:r>
    </w:p>
    <w:tbl>
      <w:tblPr>
        <w:tblStyle w:val="TableGrid"/>
        <w:tblW w:w="0" w:type="auto"/>
        <w:jc w:val="center"/>
        <w:tblInd w:w="1090" w:type="dxa"/>
        <w:tblLook w:val="01E0" w:firstRow="1" w:lastRow="1" w:firstColumn="1" w:lastColumn="1" w:noHBand="0" w:noVBand="0"/>
      </w:tblPr>
      <w:tblGrid>
        <w:gridCol w:w="2073"/>
        <w:gridCol w:w="3164"/>
        <w:gridCol w:w="2546"/>
      </w:tblGrid>
      <w:tr w:rsidR="00DD0682" w:rsidRPr="00DD0682" w:rsidTr="00DD0682">
        <w:trPr>
          <w:jc w:val="center"/>
        </w:trPr>
        <w:tc>
          <w:tcPr>
            <w:tcW w:w="2073" w:type="dxa"/>
            <w:vAlign w:val="center"/>
          </w:tcPr>
          <w:p w:rsidR="00DD0682" w:rsidRPr="00DD0682" w:rsidRDefault="00DD0682" w:rsidP="000015B6">
            <w:pPr>
              <w:adjustRightInd w:val="0"/>
              <w:snapToGrid w:val="0"/>
              <w:jc w:val="center"/>
              <w:rPr>
                <w:b/>
                <w:snapToGrid w:val="0"/>
              </w:rPr>
            </w:pPr>
            <w:r w:rsidRPr="00DD0682">
              <w:rPr>
                <w:b/>
                <w:snapToGrid w:val="0"/>
              </w:rPr>
              <w:t>Población total</w:t>
            </w:r>
          </w:p>
        </w:tc>
        <w:tc>
          <w:tcPr>
            <w:tcW w:w="3164" w:type="dxa"/>
            <w:vAlign w:val="center"/>
          </w:tcPr>
          <w:p w:rsidR="00DD0682" w:rsidRPr="00DD0682" w:rsidRDefault="00DD0682" w:rsidP="000015B6">
            <w:pPr>
              <w:adjustRightInd w:val="0"/>
              <w:snapToGrid w:val="0"/>
              <w:jc w:val="center"/>
              <w:rPr>
                <w:b/>
                <w:snapToGrid w:val="0"/>
              </w:rPr>
            </w:pPr>
            <w:r w:rsidRPr="00DD0682">
              <w:rPr>
                <w:b/>
                <w:snapToGrid w:val="0"/>
              </w:rPr>
              <w:t>Hombres</w:t>
            </w:r>
          </w:p>
        </w:tc>
        <w:tc>
          <w:tcPr>
            <w:tcW w:w="2546" w:type="dxa"/>
            <w:vAlign w:val="center"/>
          </w:tcPr>
          <w:p w:rsidR="00DD0682" w:rsidRPr="00DD0682" w:rsidRDefault="00DD0682" w:rsidP="000015B6">
            <w:pPr>
              <w:adjustRightInd w:val="0"/>
              <w:snapToGrid w:val="0"/>
              <w:jc w:val="center"/>
              <w:rPr>
                <w:b/>
                <w:snapToGrid w:val="0"/>
              </w:rPr>
            </w:pPr>
            <w:r w:rsidRPr="00DD0682">
              <w:rPr>
                <w:b/>
                <w:snapToGrid w:val="0"/>
              </w:rPr>
              <w:t>Mujeres</w:t>
            </w:r>
          </w:p>
        </w:tc>
      </w:tr>
      <w:tr w:rsidR="00DD0682" w:rsidRPr="00DD0682" w:rsidTr="00DD0682">
        <w:trPr>
          <w:jc w:val="center"/>
        </w:trPr>
        <w:tc>
          <w:tcPr>
            <w:tcW w:w="2073" w:type="dxa"/>
          </w:tcPr>
          <w:p w:rsidR="00DD0682" w:rsidRPr="00F7309B" w:rsidRDefault="00DD0682" w:rsidP="000015B6">
            <w:pPr>
              <w:adjustRightInd w:val="0"/>
              <w:snapToGrid w:val="0"/>
              <w:jc w:val="center"/>
              <w:rPr>
                <w:b/>
                <w:snapToGrid w:val="0"/>
              </w:rPr>
            </w:pPr>
            <w:r w:rsidRPr="00F7309B">
              <w:rPr>
                <w:b/>
                <w:snapToGrid w:val="0"/>
              </w:rPr>
              <w:t>24</w:t>
            </w:r>
          </w:p>
        </w:tc>
        <w:tc>
          <w:tcPr>
            <w:tcW w:w="3164" w:type="dxa"/>
          </w:tcPr>
          <w:p w:rsidR="00DD0682" w:rsidRPr="00DD0682" w:rsidRDefault="00DD0682" w:rsidP="000015B6">
            <w:pPr>
              <w:adjustRightInd w:val="0"/>
              <w:snapToGrid w:val="0"/>
              <w:jc w:val="center"/>
              <w:rPr>
                <w:snapToGrid w:val="0"/>
              </w:rPr>
            </w:pPr>
            <w:r w:rsidRPr="00DD0682">
              <w:rPr>
                <w:snapToGrid w:val="0"/>
              </w:rPr>
              <w:t>16,05</w:t>
            </w:r>
          </w:p>
        </w:tc>
        <w:tc>
          <w:tcPr>
            <w:tcW w:w="2546" w:type="dxa"/>
          </w:tcPr>
          <w:p w:rsidR="00DD0682" w:rsidRPr="00DD0682" w:rsidRDefault="00DD0682" w:rsidP="000015B6">
            <w:pPr>
              <w:adjustRightInd w:val="0"/>
              <w:snapToGrid w:val="0"/>
              <w:jc w:val="center"/>
              <w:rPr>
                <w:snapToGrid w:val="0"/>
              </w:rPr>
            </w:pPr>
            <w:r w:rsidRPr="00DD0682">
              <w:rPr>
                <w:snapToGrid w:val="0"/>
              </w:rPr>
              <w:t>31,60</w:t>
            </w:r>
          </w:p>
        </w:tc>
      </w:tr>
    </w:tbl>
    <w:p w:rsidR="00DD0682" w:rsidRPr="00DD0682" w:rsidRDefault="00DD0682" w:rsidP="000015B6">
      <w:pPr>
        <w:keepNext/>
        <w:keepLines/>
        <w:adjustRightInd w:val="0"/>
        <w:snapToGrid w:val="0"/>
        <w:spacing w:before="480" w:after="240"/>
        <w:jc w:val="center"/>
        <w:rPr>
          <w:b/>
          <w:snapToGrid w:val="0"/>
        </w:rPr>
      </w:pPr>
      <w:r w:rsidRPr="00DD0682">
        <w:rPr>
          <w:b/>
          <w:snapToGrid w:val="0"/>
        </w:rPr>
        <w:t>Tasa de analfabetismo de la población de edad igual o superior a 15 años</w:t>
      </w:r>
    </w:p>
    <w:p w:rsidR="00DD0682" w:rsidRPr="00DD0682" w:rsidRDefault="00DD0682" w:rsidP="000015B6">
      <w:pPr>
        <w:keepNext/>
        <w:keepLines/>
        <w:adjustRightInd w:val="0"/>
        <w:snapToGrid w:val="0"/>
        <w:spacing w:after="240"/>
        <w:jc w:val="center"/>
        <w:rPr>
          <w:snapToGrid w:val="0"/>
        </w:rPr>
      </w:pPr>
      <w:r w:rsidRPr="00DD0682">
        <w:rPr>
          <w:snapToGrid w:val="0"/>
        </w:rPr>
        <w:t>(En porcentaje)</w:t>
      </w:r>
    </w:p>
    <w:tbl>
      <w:tblPr>
        <w:tblStyle w:val="TableGrid"/>
        <w:tblW w:w="0" w:type="auto"/>
        <w:jc w:val="center"/>
        <w:tblInd w:w="1090" w:type="dxa"/>
        <w:tblLook w:val="01E0" w:firstRow="1" w:lastRow="1" w:firstColumn="1" w:lastColumn="1" w:noHBand="0" w:noVBand="0"/>
      </w:tblPr>
      <w:tblGrid>
        <w:gridCol w:w="2073"/>
        <w:gridCol w:w="3164"/>
        <w:gridCol w:w="2560"/>
      </w:tblGrid>
      <w:tr w:rsidR="00DD0682" w:rsidRPr="00DD0682" w:rsidTr="00DD0682">
        <w:trPr>
          <w:jc w:val="center"/>
        </w:trPr>
        <w:tc>
          <w:tcPr>
            <w:tcW w:w="2073" w:type="dxa"/>
            <w:vAlign w:val="center"/>
          </w:tcPr>
          <w:p w:rsidR="00DD0682" w:rsidRPr="00DD0682" w:rsidRDefault="00DD0682" w:rsidP="000015B6">
            <w:pPr>
              <w:keepNext/>
              <w:keepLines/>
              <w:adjustRightInd w:val="0"/>
              <w:snapToGrid w:val="0"/>
              <w:jc w:val="center"/>
              <w:rPr>
                <w:b/>
                <w:snapToGrid w:val="0"/>
              </w:rPr>
            </w:pPr>
            <w:r w:rsidRPr="00DD0682">
              <w:rPr>
                <w:b/>
                <w:snapToGrid w:val="0"/>
              </w:rPr>
              <w:t>Población total</w:t>
            </w:r>
          </w:p>
        </w:tc>
        <w:tc>
          <w:tcPr>
            <w:tcW w:w="3164" w:type="dxa"/>
            <w:vAlign w:val="center"/>
          </w:tcPr>
          <w:p w:rsidR="00DD0682" w:rsidRPr="00DD0682" w:rsidRDefault="00DD0682" w:rsidP="000015B6">
            <w:pPr>
              <w:keepNext/>
              <w:keepLines/>
              <w:adjustRightInd w:val="0"/>
              <w:snapToGrid w:val="0"/>
              <w:jc w:val="center"/>
              <w:rPr>
                <w:b/>
                <w:snapToGrid w:val="0"/>
              </w:rPr>
            </w:pPr>
            <w:r w:rsidRPr="00DD0682">
              <w:rPr>
                <w:b/>
                <w:snapToGrid w:val="0"/>
              </w:rPr>
              <w:t>Hombres</w:t>
            </w:r>
          </w:p>
        </w:tc>
        <w:tc>
          <w:tcPr>
            <w:tcW w:w="2560" w:type="dxa"/>
            <w:vAlign w:val="center"/>
          </w:tcPr>
          <w:p w:rsidR="00DD0682" w:rsidRPr="00DD0682" w:rsidRDefault="00DD0682" w:rsidP="000015B6">
            <w:pPr>
              <w:keepNext/>
              <w:keepLines/>
              <w:adjustRightInd w:val="0"/>
              <w:snapToGrid w:val="0"/>
              <w:jc w:val="center"/>
              <w:rPr>
                <w:b/>
                <w:snapToGrid w:val="0"/>
              </w:rPr>
            </w:pPr>
            <w:r w:rsidRPr="00DD0682">
              <w:rPr>
                <w:b/>
                <w:snapToGrid w:val="0"/>
              </w:rPr>
              <w:t>Mujeres</w:t>
            </w:r>
          </w:p>
        </w:tc>
      </w:tr>
      <w:tr w:rsidR="00DD0682" w:rsidRPr="00DD0682" w:rsidTr="00DD0682">
        <w:trPr>
          <w:jc w:val="center"/>
        </w:trPr>
        <w:tc>
          <w:tcPr>
            <w:tcW w:w="2073" w:type="dxa"/>
          </w:tcPr>
          <w:p w:rsidR="00DD0682" w:rsidRPr="00805C25" w:rsidRDefault="00DD0682" w:rsidP="000015B6">
            <w:pPr>
              <w:keepNext/>
              <w:keepLines/>
              <w:adjustRightInd w:val="0"/>
              <w:snapToGrid w:val="0"/>
              <w:jc w:val="center"/>
              <w:rPr>
                <w:b/>
                <w:snapToGrid w:val="0"/>
              </w:rPr>
            </w:pPr>
            <w:r w:rsidRPr="00805C25">
              <w:rPr>
                <w:b/>
                <w:snapToGrid w:val="0"/>
              </w:rPr>
              <w:t>27,2</w:t>
            </w:r>
          </w:p>
        </w:tc>
        <w:tc>
          <w:tcPr>
            <w:tcW w:w="3164" w:type="dxa"/>
          </w:tcPr>
          <w:p w:rsidR="00DD0682" w:rsidRPr="00DD0682" w:rsidRDefault="00DD0682" w:rsidP="000015B6">
            <w:pPr>
              <w:keepNext/>
              <w:keepLines/>
              <w:adjustRightInd w:val="0"/>
              <w:snapToGrid w:val="0"/>
              <w:jc w:val="center"/>
              <w:rPr>
                <w:snapToGrid w:val="0"/>
              </w:rPr>
            </w:pPr>
            <w:r w:rsidRPr="00DD0682">
              <w:rPr>
                <w:snapToGrid w:val="0"/>
              </w:rPr>
              <w:t>18,60</w:t>
            </w:r>
          </w:p>
        </w:tc>
        <w:tc>
          <w:tcPr>
            <w:tcW w:w="2560" w:type="dxa"/>
          </w:tcPr>
          <w:p w:rsidR="00DD0682" w:rsidRPr="00DD0682" w:rsidRDefault="00DD0682" w:rsidP="000015B6">
            <w:pPr>
              <w:keepNext/>
              <w:keepLines/>
              <w:adjustRightInd w:val="0"/>
              <w:snapToGrid w:val="0"/>
              <w:jc w:val="center"/>
              <w:rPr>
                <w:snapToGrid w:val="0"/>
              </w:rPr>
            </w:pPr>
            <w:r w:rsidRPr="00DD0682">
              <w:rPr>
                <w:snapToGrid w:val="0"/>
              </w:rPr>
              <w:t>35,9</w:t>
            </w:r>
          </w:p>
        </w:tc>
      </w:tr>
    </w:tbl>
    <w:p w:rsidR="00DD0682" w:rsidRPr="00DD0682" w:rsidRDefault="00DD0682" w:rsidP="000015B6">
      <w:pPr>
        <w:adjustRightInd w:val="0"/>
        <w:snapToGrid w:val="0"/>
        <w:spacing w:before="480" w:after="240"/>
        <w:jc w:val="center"/>
        <w:rPr>
          <w:b/>
          <w:snapToGrid w:val="0"/>
        </w:rPr>
      </w:pPr>
      <w:r w:rsidRPr="00DD0682">
        <w:rPr>
          <w:b/>
          <w:snapToGrid w:val="0"/>
        </w:rPr>
        <w:t>Tasa de analfabetismo de la población de edad comprendida</w:t>
      </w:r>
      <w:r w:rsidRPr="00DD0682">
        <w:rPr>
          <w:b/>
          <w:snapToGrid w:val="0"/>
        </w:rPr>
        <w:br/>
        <w:t>entre los 10 y los 24 años</w:t>
      </w:r>
    </w:p>
    <w:p w:rsidR="00DD0682" w:rsidRPr="00DD0682" w:rsidRDefault="00DD0682" w:rsidP="000015B6">
      <w:pPr>
        <w:adjustRightInd w:val="0"/>
        <w:snapToGrid w:val="0"/>
        <w:spacing w:after="240"/>
        <w:jc w:val="center"/>
        <w:rPr>
          <w:snapToGrid w:val="0"/>
        </w:rPr>
      </w:pPr>
      <w:r w:rsidRPr="00DD0682">
        <w:rPr>
          <w:snapToGrid w:val="0"/>
        </w:rPr>
        <w:t>(En porcentaje)</w:t>
      </w:r>
    </w:p>
    <w:tbl>
      <w:tblPr>
        <w:tblStyle w:val="TableGrid"/>
        <w:tblW w:w="0" w:type="auto"/>
        <w:jc w:val="center"/>
        <w:tblInd w:w="1076" w:type="dxa"/>
        <w:tblLook w:val="01E0" w:firstRow="1" w:lastRow="1" w:firstColumn="1" w:lastColumn="1" w:noHBand="0" w:noVBand="0"/>
      </w:tblPr>
      <w:tblGrid>
        <w:gridCol w:w="2087"/>
        <w:gridCol w:w="3164"/>
        <w:gridCol w:w="2546"/>
      </w:tblGrid>
      <w:tr w:rsidR="00DD0682" w:rsidRPr="00DD0682" w:rsidTr="00DD0682">
        <w:trPr>
          <w:jc w:val="center"/>
        </w:trPr>
        <w:tc>
          <w:tcPr>
            <w:tcW w:w="2087" w:type="dxa"/>
            <w:vAlign w:val="center"/>
          </w:tcPr>
          <w:p w:rsidR="00DD0682" w:rsidRPr="00DD0682" w:rsidRDefault="00DD0682" w:rsidP="000015B6">
            <w:pPr>
              <w:adjustRightInd w:val="0"/>
              <w:snapToGrid w:val="0"/>
              <w:jc w:val="center"/>
              <w:rPr>
                <w:b/>
                <w:snapToGrid w:val="0"/>
              </w:rPr>
            </w:pPr>
            <w:r w:rsidRPr="00DD0682">
              <w:rPr>
                <w:b/>
                <w:snapToGrid w:val="0"/>
              </w:rPr>
              <w:t>Población total</w:t>
            </w:r>
          </w:p>
        </w:tc>
        <w:tc>
          <w:tcPr>
            <w:tcW w:w="3164" w:type="dxa"/>
            <w:vAlign w:val="center"/>
          </w:tcPr>
          <w:p w:rsidR="00DD0682" w:rsidRPr="00DD0682" w:rsidRDefault="00DD0682" w:rsidP="000015B6">
            <w:pPr>
              <w:adjustRightInd w:val="0"/>
              <w:snapToGrid w:val="0"/>
              <w:jc w:val="center"/>
              <w:rPr>
                <w:b/>
                <w:snapToGrid w:val="0"/>
              </w:rPr>
            </w:pPr>
            <w:r w:rsidRPr="00DD0682">
              <w:rPr>
                <w:b/>
                <w:snapToGrid w:val="0"/>
              </w:rPr>
              <w:t>Hombres</w:t>
            </w:r>
          </w:p>
        </w:tc>
        <w:tc>
          <w:tcPr>
            <w:tcW w:w="2546" w:type="dxa"/>
            <w:vAlign w:val="center"/>
          </w:tcPr>
          <w:p w:rsidR="00DD0682" w:rsidRPr="00DD0682" w:rsidRDefault="00DD0682" w:rsidP="000015B6">
            <w:pPr>
              <w:adjustRightInd w:val="0"/>
              <w:snapToGrid w:val="0"/>
              <w:jc w:val="center"/>
              <w:rPr>
                <w:b/>
                <w:snapToGrid w:val="0"/>
              </w:rPr>
            </w:pPr>
            <w:r w:rsidRPr="00DD0682">
              <w:rPr>
                <w:b/>
                <w:snapToGrid w:val="0"/>
              </w:rPr>
              <w:t>Mujeres</w:t>
            </w:r>
          </w:p>
        </w:tc>
      </w:tr>
      <w:tr w:rsidR="00DD0682" w:rsidRPr="00DD0682" w:rsidTr="00DD0682">
        <w:trPr>
          <w:jc w:val="center"/>
        </w:trPr>
        <w:tc>
          <w:tcPr>
            <w:tcW w:w="2087" w:type="dxa"/>
          </w:tcPr>
          <w:p w:rsidR="00DD0682" w:rsidRPr="00805C25" w:rsidRDefault="00DD0682" w:rsidP="000015B6">
            <w:pPr>
              <w:adjustRightInd w:val="0"/>
              <w:snapToGrid w:val="0"/>
              <w:jc w:val="center"/>
              <w:rPr>
                <w:b/>
                <w:snapToGrid w:val="0"/>
              </w:rPr>
            </w:pPr>
            <w:r w:rsidRPr="00805C25">
              <w:rPr>
                <w:b/>
                <w:snapToGrid w:val="0"/>
              </w:rPr>
              <w:t>8,2</w:t>
            </w:r>
          </w:p>
        </w:tc>
        <w:tc>
          <w:tcPr>
            <w:tcW w:w="3164" w:type="dxa"/>
          </w:tcPr>
          <w:p w:rsidR="00DD0682" w:rsidRPr="00DD0682" w:rsidRDefault="00DD0682" w:rsidP="000015B6">
            <w:pPr>
              <w:adjustRightInd w:val="0"/>
              <w:snapToGrid w:val="0"/>
              <w:jc w:val="center"/>
              <w:rPr>
                <w:snapToGrid w:val="0"/>
              </w:rPr>
            </w:pPr>
            <w:r w:rsidRPr="00DD0682">
              <w:rPr>
                <w:snapToGrid w:val="0"/>
              </w:rPr>
              <w:t>10,8</w:t>
            </w:r>
          </w:p>
        </w:tc>
        <w:tc>
          <w:tcPr>
            <w:tcW w:w="2546" w:type="dxa"/>
          </w:tcPr>
          <w:p w:rsidR="00DD0682" w:rsidRPr="00DD0682" w:rsidRDefault="00DD0682" w:rsidP="000015B6">
            <w:pPr>
              <w:adjustRightInd w:val="0"/>
              <w:snapToGrid w:val="0"/>
              <w:jc w:val="center"/>
              <w:rPr>
                <w:snapToGrid w:val="0"/>
              </w:rPr>
            </w:pPr>
            <w:r w:rsidRPr="00DD0682">
              <w:rPr>
                <w:snapToGrid w:val="0"/>
              </w:rPr>
              <w:t>5,60</w:t>
            </w:r>
          </w:p>
        </w:tc>
      </w:tr>
    </w:tbl>
    <w:p w:rsidR="00DD0682" w:rsidRPr="00DD0682" w:rsidRDefault="00DD0682" w:rsidP="000015B6">
      <w:pPr>
        <w:adjustRightInd w:val="0"/>
        <w:snapToGrid w:val="0"/>
        <w:spacing w:before="480" w:after="240"/>
        <w:rPr>
          <w:b/>
          <w:snapToGrid w:val="0"/>
        </w:rPr>
      </w:pPr>
      <w:r w:rsidRPr="00DD0682">
        <w:rPr>
          <w:snapToGrid w:val="0"/>
        </w:rPr>
        <w:tab/>
      </w:r>
      <w:r w:rsidRPr="00DD0682">
        <w:rPr>
          <w:b/>
          <w:snapToGrid w:val="0"/>
        </w:rPr>
        <w:t>b)</w:t>
      </w:r>
      <w:r w:rsidRPr="00DD0682">
        <w:rPr>
          <w:b/>
          <w:snapToGrid w:val="0"/>
        </w:rPr>
        <w:tab/>
        <w:t>La enseñanza de adultos</w:t>
      </w:r>
    </w:p>
    <w:p w:rsidR="00DD0682" w:rsidRPr="00DD0682" w:rsidRDefault="00DD0682" w:rsidP="00DD0682">
      <w:pPr>
        <w:adjustRightInd w:val="0"/>
        <w:snapToGrid w:val="0"/>
        <w:spacing w:after="240"/>
        <w:rPr>
          <w:snapToGrid w:val="0"/>
        </w:rPr>
      </w:pPr>
      <w:r w:rsidRPr="00DD0682">
        <w:rPr>
          <w:snapToGrid w:val="0"/>
        </w:rPr>
        <w:t>413.</w:t>
      </w:r>
      <w:r w:rsidRPr="00DD0682">
        <w:rPr>
          <w:snapToGrid w:val="0"/>
        </w:rPr>
        <w:tab/>
        <w:t>Tiene por objeto asegurar la alfabetización y la elevación del nivel de enseñanza y de cultura general de los ciudadanos.  Se dirige a las personas que han tenido una escolaridad insuficiente o nula.  La enseñanza de adultos se dispensa en instituciones especialmente creadas al efecto, en instituciones de educación y formación o en las empresas y lugares de trabajo.</w:t>
      </w:r>
    </w:p>
    <w:p w:rsidR="00DD0682" w:rsidRPr="00DD0682" w:rsidRDefault="00DD0682" w:rsidP="00DD0682">
      <w:pPr>
        <w:adjustRightInd w:val="0"/>
        <w:snapToGrid w:val="0"/>
        <w:spacing w:after="240"/>
        <w:rPr>
          <w:snapToGrid w:val="0"/>
        </w:rPr>
      </w:pPr>
      <w:r w:rsidRPr="00DD0682">
        <w:rPr>
          <w:snapToGrid w:val="0"/>
        </w:rPr>
        <w:t>414.</w:t>
      </w:r>
      <w:r w:rsidRPr="00DD0682">
        <w:rPr>
          <w:snapToGrid w:val="0"/>
        </w:rPr>
        <w:tab/>
        <w:t>Del mismo modo que en los establecimientos de educación, la enseñanza de adultos puede preparar para los exámenes y concursos organizados por el sector de la educación a fin de obtener diplomas del Estado, o para los exámenes de ingreso en escuelas, centros e institutos de formación.</w:t>
      </w:r>
    </w:p>
    <w:p w:rsidR="00DD0682" w:rsidRPr="00DD0682" w:rsidRDefault="00DD0682" w:rsidP="00DD0682">
      <w:pPr>
        <w:adjustRightInd w:val="0"/>
        <w:snapToGrid w:val="0"/>
        <w:spacing w:after="240"/>
        <w:rPr>
          <w:snapToGrid w:val="0"/>
        </w:rPr>
      </w:pPr>
      <w:r w:rsidRPr="00DD0682">
        <w:rPr>
          <w:snapToGrid w:val="0"/>
        </w:rPr>
        <w:t>415.</w:t>
      </w:r>
      <w:r w:rsidRPr="00DD0682">
        <w:rPr>
          <w:snapToGrid w:val="0"/>
        </w:rPr>
        <w:tab/>
        <w:t>El análisis de todos los esfuerzos realizados por el Estado para materializar los principios de democratización de la enseñanza y, de igualdad entre los niños argelinos de uno y otro sexo y para aumentar el acceso no sólo a la educación sino también a los medios de enseñanza y, en particular, a los manuales escolares, los comedores, la media pensión, los internados y los servicios de salud escolar, son otros tantos índices cuantificables que vienen a confortar esta voluntad, aunque no sea posible medir el efecto positivo inmediato de estas medidas en la escolaridad de los niños argelinos.</w:t>
      </w:r>
    </w:p>
    <w:p w:rsidR="00DD0682" w:rsidRPr="00DD0682" w:rsidRDefault="000015B6" w:rsidP="000015B6">
      <w:pPr>
        <w:adjustRightInd w:val="0"/>
        <w:snapToGrid w:val="0"/>
        <w:spacing w:after="240"/>
        <w:ind w:left="1320" w:hanging="1320"/>
        <w:rPr>
          <w:b/>
          <w:snapToGrid w:val="0"/>
        </w:rPr>
      </w:pPr>
      <w:r>
        <w:rPr>
          <w:b/>
          <w:snapToGrid w:val="0"/>
        </w:rPr>
        <w:t xml:space="preserve">Artículo 15.  </w:t>
      </w:r>
      <w:r w:rsidR="00DD0682" w:rsidRPr="00DD0682">
        <w:rPr>
          <w:b/>
          <w:snapToGrid w:val="0"/>
        </w:rPr>
        <w:t>Derecho a participar en la vida cultural, a gozar de los beneficios del progreso científico y a la protección de los derechos de autor</w:t>
      </w:r>
    </w:p>
    <w:p w:rsidR="00DD0682" w:rsidRPr="00DD0682" w:rsidRDefault="00DD0682" w:rsidP="00DD0682">
      <w:pPr>
        <w:adjustRightInd w:val="0"/>
        <w:snapToGrid w:val="0"/>
        <w:spacing w:after="240"/>
        <w:rPr>
          <w:snapToGrid w:val="0"/>
        </w:rPr>
      </w:pPr>
      <w:r w:rsidRPr="00DD0682">
        <w:rPr>
          <w:snapToGrid w:val="0"/>
        </w:rPr>
        <w:t>416.</w:t>
      </w:r>
      <w:r w:rsidRPr="00DD0682">
        <w:rPr>
          <w:snapToGrid w:val="0"/>
        </w:rPr>
        <w:tab/>
        <w:t>Las actividades del Estado argelino para desarrollar el sector de la cultura son algo cotidiano y se reflejan en las medidas tomadas en el plano local, regional y nacional.</w:t>
      </w:r>
    </w:p>
    <w:p w:rsidR="00DD0682" w:rsidRPr="00DD0682" w:rsidRDefault="00DD0682" w:rsidP="00DD0682">
      <w:pPr>
        <w:adjustRightInd w:val="0"/>
        <w:snapToGrid w:val="0"/>
        <w:spacing w:after="240"/>
        <w:rPr>
          <w:snapToGrid w:val="0"/>
        </w:rPr>
      </w:pPr>
      <w:r w:rsidRPr="00DD0682">
        <w:rPr>
          <w:snapToGrid w:val="0"/>
        </w:rPr>
        <w:t>417.</w:t>
      </w:r>
      <w:r w:rsidRPr="00DD0682">
        <w:rPr>
          <w:snapToGrid w:val="0"/>
        </w:rPr>
        <w:tab/>
        <w:t>Estas actividades han favorecido la reanudación de la vida cultural y artística, como se puede comprobar cada día por los programas de las diversas manifestaciones y el entusiasmo de los ciudadanos por la creación y participación en la vida cultural.</w:t>
      </w:r>
    </w:p>
    <w:p w:rsidR="00DD0682" w:rsidRPr="00DD0682" w:rsidRDefault="00DD0682" w:rsidP="00DD0682">
      <w:pPr>
        <w:adjustRightInd w:val="0"/>
        <w:snapToGrid w:val="0"/>
        <w:spacing w:after="240"/>
        <w:rPr>
          <w:snapToGrid w:val="0"/>
        </w:rPr>
      </w:pPr>
      <w:r w:rsidRPr="00DD0682">
        <w:rPr>
          <w:snapToGrid w:val="0"/>
        </w:rPr>
        <w:t>418.</w:t>
      </w:r>
      <w:r w:rsidRPr="00DD0682">
        <w:rPr>
          <w:snapToGrid w:val="0"/>
        </w:rPr>
        <w:tab/>
        <w:t>Los grandes ejes de la política cultural de Argelia se articulan principalmente en torno a algunos aspectos principales:</w:t>
      </w:r>
    </w:p>
    <w:p w:rsidR="00DD0682" w:rsidRPr="00DD0682" w:rsidRDefault="00DD0682" w:rsidP="000015B6">
      <w:pPr>
        <w:adjustRightInd w:val="0"/>
        <w:snapToGrid w:val="0"/>
        <w:spacing w:after="240"/>
        <w:ind w:left="1134" w:hanging="567"/>
        <w:rPr>
          <w:snapToGrid w:val="0"/>
        </w:rPr>
      </w:pPr>
      <w:r w:rsidRPr="00DD0682">
        <w:rPr>
          <w:snapToGrid w:val="0"/>
        </w:rPr>
        <w:t>a)</w:t>
      </w:r>
      <w:r w:rsidRPr="00DD0682">
        <w:rPr>
          <w:snapToGrid w:val="0"/>
        </w:rPr>
        <w:tab/>
        <w:t xml:space="preserve">La promoción y el desarrollo de la lectura popular a través de la densificación de la red de bibliotecas que comprende, por una parte, la Biblioteca Nacional que tendrá 14 anexos en todo el territorio nacional y, por otra, la construcción de una casa de la cultura por </w:t>
      </w:r>
      <w:r w:rsidRPr="00DD0682">
        <w:rPr>
          <w:i/>
          <w:snapToGrid w:val="0"/>
        </w:rPr>
        <w:t>wilaya</w:t>
      </w:r>
      <w:r w:rsidRPr="00DD0682">
        <w:rPr>
          <w:snapToGrid w:val="0"/>
        </w:rPr>
        <w:t>, cuyo número actual es de 32, en todo el territorio nacional;</w:t>
      </w:r>
    </w:p>
    <w:p w:rsidR="00DD0682" w:rsidRPr="00DD0682" w:rsidRDefault="00DD0682" w:rsidP="000015B6">
      <w:pPr>
        <w:adjustRightInd w:val="0"/>
        <w:snapToGrid w:val="0"/>
        <w:spacing w:after="240"/>
        <w:ind w:left="1134" w:hanging="567"/>
        <w:rPr>
          <w:snapToGrid w:val="0"/>
        </w:rPr>
      </w:pPr>
      <w:r w:rsidRPr="00DD0682">
        <w:rPr>
          <w:snapToGrid w:val="0"/>
        </w:rPr>
        <w:t>b)</w:t>
      </w:r>
      <w:r w:rsidRPr="00DD0682">
        <w:rPr>
          <w:snapToGrid w:val="0"/>
        </w:rPr>
        <w:tab/>
        <w:t>Gracias a un acuerdo con el Ministerio del Interior se ha convenido en dotar a cada municipio de una biblioteca, hasta un total de 1.543;</w:t>
      </w:r>
    </w:p>
    <w:p w:rsidR="00DD0682" w:rsidRPr="00DD0682" w:rsidRDefault="00DD0682" w:rsidP="000015B6">
      <w:pPr>
        <w:adjustRightInd w:val="0"/>
        <w:snapToGrid w:val="0"/>
        <w:spacing w:after="240"/>
        <w:ind w:left="1134" w:hanging="567"/>
        <w:rPr>
          <w:snapToGrid w:val="0"/>
        </w:rPr>
      </w:pPr>
      <w:r w:rsidRPr="00DD0682">
        <w:rPr>
          <w:snapToGrid w:val="0"/>
        </w:rPr>
        <w:t>c)</w:t>
      </w:r>
      <w:r w:rsidRPr="00DD0682">
        <w:rPr>
          <w:snapToGrid w:val="0"/>
        </w:rPr>
        <w:tab/>
        <w:t>Por último, los poderes públicos han previsto la adquisición progresiva de 40 bibliobuses.</w:t>
      </w:r>
    </w:p>
    <w:p w:rsidR="00DD0682" w:rsidRPr="00DD0682" w:rsidRDefault="00DD0682" w:rsidP="00DD0682">
      <w:pPr>
        <w:adjustRightInd w:val="0"/>
        <w:snapToGrid w:val="0"/>
        <w:spacing w:after="240"/>
        <w:rPr>
          <w:snapToGrid w:val="0"/>
        </w:rPr>
      </w:pPr>
      <w:r w:rsidRPr="00DD0682">
        <w:rPr>
          <w:snapToGrid w:val="0"/>
        </w:rPr>
        <w:t>419.</w:t>
      </w:r>
      <w:r w:rsidRPr="00DD0682">
        <w:rPr>
          <w:snapToGrid w:val="0"/>
        </w:rPr>
        <w:tab/>
        <w:t>En cuanto a las grandes acciones de promoción de la actividad cultural cabe mencionar:</w:t>
      </w:r>
    </w:p>
    <w:p w:rsidR="00DD0682" w:rsidRPr="00DD0682" w:rsidRDefault="00DD0682" w:rsidP="000015B6">
      <w:pPr>
        <w:adjustRightInd w:val="0"/>
        <w:snapToGrid w:val="0"/>
        <w:spacing w:after="240"/>
        <w:ind w:left="1134" w:hanging="567"/>
        <w:rPr>
          <w:snapToGrid w:val="0"/>
        </w:rPr>
      </w:pPr>
      <w:r w:rsidRPr="00DD0682">
        <w:rPr>
          <w:snapToGrid w:val="0"/>
        </w:rPr>
        <w:t>a)</w:t>
      </w:r>
      <w:r w:rsidRPr="00DD0682">
        <w:rPr>
          <w:snapToGrid w:val="0"/>
        </w:rPr>
        <w:tab/>
        <w:t>La rehabilitación de las grandes manifestaciones culturales nacionales, en particular a través de la institucionalización de varios festivales;</w:t>
      </w:r>
    </w:p>
    <w:p w:rsidR="00DD0682" w:rsidRPr="00DD0682" w:rsidRDefault="00DD0682" w:rsidP="000015B6">
      <w:pPr>
        <w:adjustRightInd w:val="0"/>
        <w:snapToGrid w:val="0"/>
        <w:spacing w:after="240"/>
        <w:ind w:left="1134" w:hanging="567"/>
        <w:rPr>
          <w:snapToGrid w:val="0"/>
        </w:rPr>
      </w:pPr>
      <w:r w:rsidRPr="00DD0682">
        <w:rPr>
          <w:snapToGrid w:val="0"/>
        </w:rPr>
        <w:t>b)</w:t>
      </w:r>
      <w:r w:rsidRPr="00DD0682">
        <w:rPr>
          <w:snapToGrid w:val="0"/>
        </w:rPr>
        <w:tab/>
        <w:t>La organización de coloquios sobre la cultura, la música y el sufismo;</w:t>
      </w:r>
    </w:p>
    <w:p w:rsidR="00DD0682" w:rsidRPr="00DD0682" w:rsidRDefault="00DD0682" w:rsidP="000015B6">
      <w:pPr>
        <w:adjustRightInd w:val="0"/>
        <w:snapToGrid w:val="0"/>
        <w:spacing w:after="240"/>
        <w:ind w:left="1134" w:hanging="567"/>
        <w:rPr>
          <w:snapToGrid w:val="0"/>
        </w:rPr>
      </w:pPr>
      <w:r w:rsidRPr="00DD0682">
        <w:rPr>
          <w:snapToGrid w:val="0"/>
        </w:rPr>
        <w:t>c)</w:t>
      </w:r>
      <w:r w:rsidRPr="00DD0682">
        <w:rPr>
          <w:snapToGrid w:val="0"/>
        </w:rPr>
        <w:tab/>
        <w:t>La creación del organismo de proyección cultural;</w:t>
      </w:r>
    </w:p>
    <w:p w:rsidR="00DD0682" w:rsidRPr="00DD0682" w:rsidRDefault="00DD0682" w:rsidP="000015B6">
      <w:pPr>
        <w:adjustRightInd w:val="0"/>
        <w:snapToGrid w:val="0"/>
        <w:spacing w:after="240"/>
        <w:ind w:left="1134" w:hanging="567"/>
        <w:rPr>
          <w:snapToGrid w:val="0"/>
        </w:rPr>
      </w:pPr>
      <w:r w:rsidRPr="00DD0682">
        <w:rPr>
          <w:snapToGrid w:val="0"/>
        </w:rPr>
        <w:t>d)</w:t>
      </w:r>
      <w:r w:rsidRPr="00DD0682">
        <w:rPr>
          <w:snapToGrid w:val="0"/>
        </w:rPr>
        <w:tab/>
        <w:t>La ayuda a las asociaciones culturales;</w:t>
      </w:r>
    </w:p>
    <w:p w:rsidR="00DD0682" w:rsidRPr="00DD0682" w:rsidRDefault="00DD0682" w:rsidP="000015B6">
      <w:pPr>
        <w:adjustRightInd w:val="0"/>
        <w:snapToGrid w:val="0"/>
        <w:spacing w:after="240"/>
        <w:ind w:left="1134" w:hanging="567"/>
        <w:rPr>
          <w:snapToGrid w:val="0"/>
        </w:rPr>
      </w:pPr>
      <w:r w:rsidRPr="00DD0682">
        <w:rPr>
          <w:snapToGrid w:val="0"/>
        </w:rPr>
        <w:t>e)</w:t>
      </w:r>
      <w:r w:rsidRPr="00DD0682">
        <w:rPr>
          <w:snapToGrid w:val="0"/>
        </w:rPr>
        <w:tab/>
        <w:t>La subvención para la representación de obras teatrales;</w:t>
      </w:r>
    </w:p>
    <w:p w:rsidR="00DD0682" w:rsidRPr="00DD0682" w:rsidRDefault="00DD0682" w:rsidP="000015B6">
      <w:pPr>
        <w:adjustRightInd w:val="0"/>
        <w:snapToGrid w:val="0"/>
        <w:spacing w:after="240"/>
        <w:ind w:left="1134" w:hanging="567"/>
        <w:rPr>
          <w:snapToGrid w:val="0"/>
        </w:rPr>
      </w:pPr>
      <w:r w:rsidRPr="00DD0682">
        <w:rPr>
          <w:snapToGrid w:val="0"/>
        </w:rPr>
        <w:t>f)</w:t>
      </w:r>
      <w:r w:rsidRPr="00DD0682">
        <w:rPr>
          <w:snapToGrid w:val="0"/>
        </w:rPr>
        <w:tab/>
        <w:t>La concesión de ayudas a cooperativas teatrales a través del fondo de desarrollo de las artes y las letras;</w:t>
      </w:r>
    </w:p>
    <w:p w:rsidR="00DD0682" w:rsidRPr="00DD0682" w:rsidRDefault="00DD0682" w:rsidP="000015B6">
      <w:pPr>
        <w:adjustRightInd w:val="0"/>
        <w:snapToGrid w:val="0"/>
        <w:spacing w:after="240"/>
        <w:ind w:left="1134" w:hanging="567"/>
        <w:rPr>
          <w:snapToGrid w:val="0"/>
        </w:rPr>
      </w:pPr>
      <w:r w:rsidRPr="00DD0682">
        <w:rPr>
          <w:snapToGrid w:val="0"/>
        </w:rPr>
        <w:t>g)</w:t>
      </w:r>
      <w:r w:rsidRPr="00DD0682">
        <w:rPr>
          <w:snapToGrid w:val="0"/>
        </w:rPr>
        <w:tab/>
        <w:t>La renovación y reequipamiento de ciertos teatros;</w:t>
      </w:r>
    </w:p>
    <w:p w:rsidR="00DD0682" w:rsidRPr="00DD0682" w:rsidRDefault="00DD0682" w:rsidP="000015B6">
      <w:pPr>
        <w:adjustRightInd w:val="0"/>
        <w:snapToGrid w:val="0"/>
        <w:spacing w:after="240"/>
        <w:ind w:left="1134" w:hanging="567"/>
        <w:rPr>
          <w:snapToGrid w:val="0"/>
        </w:rPr>
      </w:pPr>
      <w:r w:rsidRPr="00DD0682">
        <w:rPr>
          <w:snapToGrid w:val="0"/>
        </w:rPr>
        <w:t>h)</w:t>
      </w:r>
      <w:r w:rsidRPr="00DD0682">
        <w:rPr>
          <w:snapToGrid w:val="0"/>
        </w:rPr>
        <w:tab/>
        <w:t>La creación del Instituto superior de oficios del audiovisual y de artes dramáticas.</w:t>
      </w:r>
    </w:p>
    <w:p w:rsidR="00DD0682" w:rsidRPr="00DD0682" w:rsidRDefault="00DD0682" w:rsidP="00DD0682">
      <w:pPr>
        <w:adjustRightInd w:val="0"/>
        <w:snapToGrid w:val="0"/>
        <w:spacing w:after="240"/>
        <w:rPr>
          <w:snapToGrid w:val="0"/>
        </w:rPr>
      </w:pPr>
      <w:r w:rsidRPr="00DD0682">
        <w:rPr>
          <w:snapToGrid w:val="0"/>
        </w:rPr>
        <w:t>420.</w:t>
      </w:r>
      <w:r w:rsidRPr="00DD0682">
        <w:rPr>
          <w:snapToGrid w:val="0"/>
        </w:rPr>
        <w:tab/>
        <w:t>El fomento de la creación intelectual, en la esfera de la propiedad literaria y artística, es un objetivo inmutable y permanente de Argelia.</w:t>
      </w:r>
    </w:p>
    <w:p w:rsidR="00DD0682" w:rsidRPr="00DD0682" w:rsidRDefault="00DD0682" w:rsidP="00DD0682">
      <w:pPr>
        <w:adjustRightInd w:val="0"/>
        <w:snapToGrid w:val="0"/>
        <w:spacing w:after="240"/>
        <w:rPr>
          <w:snapToGrid w:val="0"/>
        </w:rPr>
      </w:pPr>
      <w:r w:rsidRPr="00DD0682">
        <w:rPr>
          <w:snapToGrid w:val="0"/>
        </w:rPr>
        <w:t>421.</w:t>
      </w:r>
      <w:r w:rsidRPr="00DD0682">
        <w:rPr>
          <w:snapToGrid w:val="0"/>
        </w:rPr>
        <w:tab/>
        <w:t>Esta política se concreta en compromisos, en particular en adhesiones a los convenios internacionales, y en la esfera interna, en la promulgación de textos relativos a la protección del derecho de autor.</w:t>
      </w:r>
    </w:p>
    <w:p w:rsidR="00DD0682" w:rsidRPr="00DD0682" w:rsidRDefault="00DD0682" w:rsidP="00DD0682">
      <w:pPr>
        <w:adjustRightInd w:val="0"/>
        <w:snapToGrid w:val="0"/>
        <w:spacing w:after="240"/>
        <w:rPr>
          <w:snapToGrid w:val="0"/>
        </w:rPr>
      </w:pPr>
      <w:r w:rsidRPr="00DD0682">
        <w:rPr>
          <w:snapToGrid w:val="0"/>
        </w:rPr>
        <w:t>422.</w:t>
      </w:r>
      <w:r w:rsidRPr="00DD0682">
        <w:rPr>
          <w:snapToGrid w:val="0"/>
        </w:rPr>
        <w:tab/>
        <w:t>Así, Argelia se ha adherido a los convenios internacionales de protección de los derechos de autor y de los titulares de derechos conexos.  En el plano interno, la protección de derecho de autor está recogida en el artículo 38 de la Constitución, según el cual se reconoce a todo ciudadano la libertad de creación intelectual, artística y científica.  Los derechos de autor están protegidos por la ley.</w:t>
      </w:r>
    </w:p>
    <w:p w:rsidR="00DD0682" w:rsidRPr="00DD0682" w:rsidRDefault="00DD0682" w:rsidP="00DD0682">
      <w:pPr>
        <w:adjustRightInd w:val="0"/>
        <w:snapToGrid w:val="0"/>
        <w:spacing w:after="240"/>
        <w:rPr>
          <w:snapToGrid w:val="0"/>
        </w:rPr>
      </w:pPr>
      <w:r w:rsidRPr="00DD0682">
        <w:rPr>
          <w:snapToGrid w:val="0"/>
        </w:rPr>
        <w:t>423.</w:t>
      </w:r>
      <w:r w:rsidRPr="00DD0682">
        <w:rPr>
          <w:snapToGrid w:val="0"/>
        </w:rPr>
        <w:tab/>
        <w:t>El Decreto Nº 05-03 de 19 de julio de 2003, relativo a los derechos de autor y derechos conexos, tiene por objeto completar la conformidad de la legislación argelina con el Acuerdo relativo a los Aspectos de los Derechos de Propiedad Intelectual relacionados con el Comercio (ADPIC), indispensable para la adhesión de Argelia a la Organización Mundial del Comercio.</w:t>
      </w:r>
    </w:p>
    <w:p w:rsidR="00DD0682" w:rsidRPr="00DD0682" w:rsidRDefault="00DD0682" w:rsidP="000015B6">
      <w:pPr>
        <w:adjustRightInd w:val="0"/>
        <w:snapToGrid w:val="0"/>
        <w:spacing w:after="240"/>
        <w:jc w:val="center"/>
        <w:rPr>
          <w:b/>
          <w:bCs/>
          <w:snapToGrid w:val="0"/>
        </w:rPr>
      </w:pPr>
      <w:r w:rsidRPr="00DD0682">
        <w:rPr>
          <w:b/>
          <w:bCs/>
          <w:snapToGrid w:val="0"/>
        </w:rPr>
        <w:t>A.  Esbozo general del marco legislativo y del panorama de los medios</w:t>
      </w:r>
      <w:r w:rsidRPr="00DD0682">
        <w:rPr>
          <w:b/>
          <w:bCs/>
          <w:snapToGrid w:val="0"/>
        </w:rPr>
        <w:br/>
        <w:t>de comunicación en Argelia</w:t>
      </w:r>
    </w:p>
    <w:p w:rsidR="00DD0682" w:rsidRPr="00DD0682" w:rsidRDefault="00DD0682" w:rsidP="00DD0682">
      <w:pPr>
        <w:adjustRightInd w:val="0"/>
        <w:snapToGrid w:val="0"/>
        <w:spacing w:after="240"/>
        <w:rPr>
          <w:snapToGrid w:val="0"/>
        </w:rPr>
      </w:pPr>
      <w:r w:rsidRPr="00DD0682">
        <w:rPr>
          <w:snapToGrid w:val="0"/>
        </w:rPr>
        <w:t>424.</w:t>
      </w:r>
      <w:r w:rsidRPr="00DD0682">
        <w:rPr>
          <w:snapToGrid w:val="0"/>
        </w:rPr>
        <w:tab/>
        <w:t>La aprobación de la Ley Nº 90-07, de 3 de abril de 1990, relativa a la información, un año después de promulgada la Constitución de 1989, favoreció un desarrollo espectacular del panorama de los medios de comunicación, que benefició esencialmente a la prensa escrita.  La Ley de 1990 facilitó en gran medida la fundación de periódicos, gracias al sistema de declaración, que despejó totalmente el camino para editar todo tipo de publicaciones, integrar la cláusula de conciencia para el periodista, si se han producido cambios en la línea editorial o se han suspendido las actividades, y abrir el sector audiovisual a los promotores privados en la esfera de la producción.</w:t>
      </w:r>
    </w:p>
    <w:p w:rsidR="00DD0682" w:rsidRPr="00DD0682" w:rsidRDefault="00DD0682" w:rsidP="00DD0682">
      <w:pPr>
        <w:adjustRightInd w:val="0"/>
        <w:snapToGrid w:val="0"/>
        <w:spacing w:after="240"/>
        <w:rPr>
          <w:snapToGrid w:val="0"/>
        </w:rPr>
      </w:pPr>
      <w:r w:rsidRPr="00DD0682">
        <w:rPr>
          <w:snapToGrid w:val="0"/>
        </w:rPr>
        <w:t>425.</w:t>
      </w:r>
      <w:r w:rsidRPr="00DD0682">
        <w:rPr>
          <w:snapToGrid w:val="0"/>
        </w:rPr>
        <w:tab/>
        <w:t>Esa ley liberó así la edición de publicaciones, al disponer en su artículo 14, que "la edición de cualquier publicación periódica es libre".  Basta con formular una simple declaración ante el tribunal competente para poder sacar un periódico a la calle en el plazo de un mes.  La libertad de expresión, fruto de esa medida, se refleja en las elevadas tiradas de los periódicos y la diversidad de cabeceras.  En cuanto a los contenidos, la prensa nacional se caracteriza por una gran libertad de voces y de expresión.</w:t>
      </w:r>
    </w:p>
    <w:p w:rsidR="00DD0682" w:rsidRPr="00DD0682" w:rsidRDefault="00DD0682" w:rsidP="00DD0682">
      <w:pPr>
        <w:adjustRightInd w:val="0"/>
        <w:snapToGrid w:val="0"/>
        <w:spacing w:after="240"/>
        <w:rPr>
          <w:snapToGrid w:val="0"/>
        </w:rPr>
      </w:pPr>
      <w:r w:rsidRPr="00DD0682">
        <w:rPr>
          <w:snapToGrid w:val="0"/>
        </w:rPr>
        <w:t>426.</w:t>
      </w:r>
      <w:r w:rsidRPr="00DD0682">
        <w:rPr>
          <w:snapToGrid w:val="0"/>
        </w:rPr>
        <w:tab/>
        <w:t>Hay que recordar, sin duda, que, antes de esa ley, Argelia no disponía más que de una prensa pública, constituida por seis diarios y otras tantas publicaciones semanales.  Desde entonces, el panorama de los medios de comunicación ha sufrido una transformación radical y el lector tiene ahora a su alcance decenas de títulos nuevos.</w:t>
      </w:r>
    </w:p>
    <w:p w:rsidR="00DD0682" w:rsidRPr="00DD0682" w:rsidRDefault="00DD0682" w:rsidP="00DD0682">
      <w:pPr>
        <w:adjustRightInd w:val="0"/>
        <w:snapToGrid w:val="0"/>
        <w:spacing w:after="240"/>
        <w:rPr>
          <w:snapToGrid w:val="0"/>
        </w:rPr>
      </w:pPr>
      <w:r w:rsidRPr="00DD0682">
        <w:rPr>
          <w:snapToGrid w:val="0"/>
        </w:rPr>
        <w:t>427.</w:t>
      </w:r>
      <w:r w:rsidRPr="00DD0682">
        <w:rPr>
          <w:snapToGrid w:val="0"/>
        </w:rPr>
        <w:tab/>
        <w:t>Cuatro años después de la promulgación de la ley, la cifra de diarios se elevaba a 27 y la de publicaciones semanales a 59.  Esa fantástica multiplicación sedujo al lector, que tenía ante sí una gran oferta y un extenso abanico de opiniones.</w:t>
      </w:r>
    </w:p>
    <w:p w:rsidR="00DD0682" w:rsidRPr="00DD0682" w:rsidRDefault="00DD0682" w:rsidP="00DD0682">
      <w:pPr>
        <w:adjustRightInd w:val="0"/>
        <w:snapToGrid w:val="0"/>
        <w:spacing w:after="240"/>
        <w:rPr>
          <w:snapToGrid w:val="0"/>
        </w:rPr>
      </w:pPr>
      <w:r w:rsidRPr="00DD0682">
        <w:rPr>
          <w:snapToGrid w:val="0"/>
        </w:rPr>
        <w:t>428.</w:t>
      </w:r>
      <w:r w:rsidRPr="00DD0682">
        <w:rPr>
          <w:snapToGrid w:val="0"/>
        </w:rPr>
        <w:tab/>
        <w:t>En 2007 el número total de títulos, ascendía a 193 (87 en árabe y 106 en francés); 52 son diarios (6 de ellos públicos), 98 semanales, 14 bimensuales y 29 mensuales.</w:t>
      </w:r>
    </w:p>
    <w:p w:rsidR="00DD0682" w:rsidRPr="00DD0682" w:rsidRDefault="00DD0682" w:rsidP="00DD0682">
      <w:pPr>
        <w:adjustRightInd w:val="0"/>
        <w:snapToGrid w:val="0"/>
        <w:spacing w:after="240"/>
        <w:rPr>
          <w:snapToGrid w:val="0"/>
        </w:rPr>
      </w:pPr>
      <w:r w:rsidRPr="00DD0682">
        <w:rPr>
          <w:snapToGrid w:val="0"/>
        </w:rPr>
        <w:t>429.</w:t>
      </w:r>
      <w:r w:rsidRPr="00DD0682">
        <w:rPr>
          <w:snapToGrid w:val="0"/>
        </w:rPr>
        <w:tab/>
        <w:t>Donde mejor se advierte la apertura a todos los matices políticos, partidistas y asociativos es en la esfera de la libertad de expresión.  Ya sea en la televisión o en la radio nacional, sin distinción de cadenas, se están programando nuevas emisiones que permiten así la expresión del pluralismo.  Además, la televisión y la radio han sido los principales apoyos de los partidos políticos y las asociaciones civiles en sus comunicaciones dirigidas a la opinión pública.  Por otra parte, en las campañas electorales que han caracterizado a las diversas consultas populares desde 1994, se han atribuido horarios de emisión en el marco del fomento de la expresión directa, de conformidad con los resultados del sorteo efectuado por instancias independientes creadas a esos efectos y donde estaban representados los partidos políticos.</w:t>
      </w:r>
    </w:p>
    <w:p w:rsidR="00DD0682" w:rsidRPr="00DD0682" w:rsidRDefault="00DD0682" w:rsidP="00DD0682">
      <w:pPr>
        <w:adjustRightInd w:val="0"/>
        <w:snapToGrid w:val="0"/>
        <w:spacing w:after="240"/>
        <w:rPr>
          <w:snapToGrid w:val="0"/>
        </w:rPr>
      </w:pPr>
      <w:r w:rsidRPr="00DD0682">
        <w:rPr>
          <w:snapToGrid w:val="0"/>
        </w:rPr>
        <w:t>430.</w:t>
      </w:r>
      <w:r w:rsidRPr="00DD0682">
        <w:rPr>
          <w:snapToGrid w:val="0"/>
        </w:rPr>
        <w:tab/>
        <w:t>A pesar de todas las restricciones, el panorama de los medios de comunicación en Argelia se distingue por una verdadera libertad de expresión, garantizada y protegida por la Constitución y por un marco legislativo y reglamentario.  Argelia sigue siendo también uno de los países en que el acceso a los programas de las televisiones extranjeras es libre, gracias a la instalación de antenas parabólicas sin condiciones ni limitaciones.  Se estima que el número de ciudadanos argelinos que sigue esos programas ronda hoy la cifra de diez millones.  Esta evolución ha contribuido, sin duda, con gran rapidez a la percepción de que el mundo ha cambiado y que ahora se rige por principios compartidos por todos, porque son inherentes a la mundialización de la comunicación y de la libertad.</w:t>
      </w:r>
    </w:p>
    <w:p w:rsidR="00DD0682" w:rsidRPr="00DD0682" w:rsidRDefault="00DD0682" w:rsidP="00DD0682">
      <w:pPr>
        <w:adjustRightInd w:val="0"/>
        <w:snapToGrid w:val="0"/>
        <w:spacing w:after="240"/>
        <w:rPr>
          <w:snapToGrid w:val="0"/>
        </w:rPr>
      </w:pPr>
      <w:r w:rsidRPr="00DD0682">
        <w:rPr>
          <w:snapToGrid w:val="0"/>
        </w:rPr>
        <w:t>431.</w:t>
      </w:r>
      <w:r w:rsidRPr="00DD0682">
        <w:rPr>
          <w:snapToGrid w:val="0"/>
        </w:rPr>
        <w:tab/>
        <w:t>Además, la existencia de organizaciones y de asociaciones profesionales de periodistas y de editores constituye también una prueba del interés otorgado por el Estado a la defensa de los derechos materiales y morales de la profesión.</w:t>
      </w:r>
    </w:p>
    <w:p w:rsidR="00DD0682" w:rsidRPr="00DD0682" w:rsidRDefault="00DD0682" w:rsidP="00DD0682">
      <w:pPr>
        <w:adjustRightInd w:val="0"/>
        <w:snapToGrid w:val="0"/>
        <w:spacing w:after="240"/>
        <w:rPr>
          <w:snapToGrid w:val="0"/>
        </w:rPr>
      </w:pPr>
      <w:r w:rsidRPr="00DD0682">
        <w:rPr>
          <w:snapToGrid w:val="0"/>
        </w:rPr>
        <w:t>432.</w:t>
      </w:r>
      <w:r w:rsidRPr="00DD0682">
        <w:rPr>
          <w:snapToGrid w:val="0"/>
        </w:rPr>
        <w:tab/>
        <w:t>Las lecciones extraídas de la experiencia en materia de prensa escrita permitirán obtener una comunicación de calidad, en un clima de respeto a la normativa vigente y a los códigos deontológicos y profesionales, que todos reconocen.  Con el fin de mejorar aún más la comunicación en Argelia, se ha previsto establecer un centro de formación y de perfeccionamiento de los periodistas y poner en práctica programas de mejora de las empresas. Además, existe el proyecto de crear imprentas en Ouargla y Bechar, para facilitar la difusión de la prensa en el sur del país.</w:t>
      </w:r>
    </w:p>
    <w:p w:rsidR="00DD0682" w:rsidRPr="00DD0682" w:rsidRDefault="00DD0682" w:rsidP="00DD0682">
      <w:pPr>
        <w:adjustRightInd w:val="0"/>
        <w:snapToGrid w:val="0"/>
        <w:spacing w:after="240"/>
        <w:rPr>
          <w:snapToGrid w:val="0"/>
        </w:rPr>
      </w:pPr>
      <w:r w:rsidRPr="00DD0682">
        <w:rPr>
          <w:snapToGrid w:val="0"/>
        </w:rPr>
        <w:t>433.</w:t>
      </w:r>
      <w:r w:rsidRPr="00DD0682">
        <w:rPr>
          <w:snapToGrid w:val="0"/>
        </w:rPr>
        <w:tab/>
        <w:t>El sector se esforzará por favorecer todas las actividades de formación destinadas a elevar el nivel de productividad de las empresas y el desarrollo de los recursos humanos.  Se trata, en pocas palabras, de integrarse en un ambiente que permita responder a las exigencias de la mundialización y de un desarrollo cada vez mayor de las nuevas tecnologías de la información y de la comunicación.  La reorganización de las actividades de producción y de difusión audiovisuales potenciará la creación de cadenas temáticas y de una cadena general en amazigh.</w:t>
      </w:r>
    </w:p>
    <w:p w:rsidR="00DD0682" w:rsidRPr="00DD0682" w:rsidRDefault="00DD0682" w:rsidP="000015B6">
      <w:pPr>
        <w:adjustRightInd w:val="0"/>
        <w:snapToGrid w:val="0"/>
        <w:spacing w:after="240"/>
        <w:jc w:val="center"/>
        <w:rPr>
          <w:b/>
          <w:bCs/>
          <w:snapToGrid w:val="0"/>
        </w:rPr>
      </w:pPr>
      <w:r w:rsidRPr="00DD0682">
        <w:rPr>
          <w:b/>
          <w:bCs/>
          <w:snapToGrid w:val="0"/>
        </w:rPr>
        <w:t>B.  Diferentes modalidades de apoyo del Estado a la prensa</w:t>
      </w:r>
    </w:p>
    <w:p w:rsidR="00DD0682" w:rsidRPr="00DD0682" w:rsidRDefault="00DD0682" w:rsidP="00DD0682">
      <w:pPr>
        <w:adjustRightInd w:val="0"/>
        <w:snapToGrid w:val="0"/>
        <w:spacing w:after="240"/>
        <w:rPr>
          <w:snapToGrid w:val="0"/>
        </w:rPr>
      </w:pPr>
      <w:r w:rsidRPr="00DD0682">
        <w:rPr>
          <w:snapToGrid w:val="0"/>
        </w:rPr>
        <w:t>434.</w:t>
      </w:r>
      <w:r w:rsidRPr="00DD0682">
        <w:rPr>
          <w:snapToGrid w:val="0"/>
        </w:rPr>
        <w:tab/>
        <w:t>Las iniciativas del Estado se han traducido en el apoyo directo (Fondo de ayuda y de promoción de la prensa escrita y audiovisual), la subvención al precio de impresión, la liquidación de las deudas de las empresas nacionales de distribución de la prensa (ENAMEP), la concesión de locales a la Casa de la Prensa, la exoneración fiscal y parafiscal, así como otras facilidades materiales.  Con un volumen global estimado de casi 2.500 millones de dinares argelinos, esa ayuda se distribuye del modo siguiente:</w:t>
      </w:r>
    </w:p>
    <w:p w:rsidR="00DD0682" w:rsidRPr="00DD0682" w:rsidRDefault="00DD0682" w:rsidP="000523D6">
      <w:pPr>
        <w:adjustRightInd w:val="0"/>
        <w:snapToGrid w:val="0"/>
        <w:spacing w:after="240"/>
        <w:ind w:left="1134" w:hanging="567"/>
        <w:rPr>
          <w:snapToGrid w:val="0"/>
        </w:rPr>
      </w:pPr>
      <w:r w:rsidRPr="00DD0682">
        <w:rPr>
          <w:snapToGrid w:val="0"/>
        </w:rPr>
        <w:t>a)</w:t>
      </w:r>
      <w:r w:rsidRPr="00DD0682">
        <w:rPr>
          <w:snapToGrid w:val="0"/>
        </w:rPr>
        <w:tab/>
        <w:t>Ayuda directa (503 millones de dinares), cantidad que ha servido para garantizar dos años y medio de sueldos para la totalidad de los periodistas en ejercicio y homologados, en la fecha de la promulgación de la circular gubernamental, de 19 de marzo de 1990, es decir, 297 millones de dinares; ofrecer subvenciones a los órganos de información en dificultades, por una cuantía de 119 millones de dinares argelinos y promover el establecimiento de cooperativas audiovisuales, por la suma de 87 millones de dinares.</w:t>
      </w:r>
    </w:p>
    <w:p w:rsidR="00DD0682" w:rsidRPr="00DD0682" w:rsidRDefault="00DD0682" w:rsidP="000523D6">
      <w:pPr>
        <w:adjustRightInd w:val="0"/>
        <w:snapToGrid w:val="0"/>
        <w:spacing w:after="240"/>
        <w:ind w:left="1134" w:hanging="567"/>
        <w:rPr>
          <w:snapToGrid w:val="0"/>
        </w:rPr>
      </w:pPr>
      <w:r w:rsidRPr="00DD0682">
        <w:rPr>
          <w:snapToGrid w:val="0"/>
        </w:rPr>
        <w:t>b)</w:t>
      </w:r>
      <w:r w:rsidRPr="00DD0682">
        <w:rPr>
          <w:snapToGrid w:val="0"/>
        </w:rPr>
        <w:tab/>
        <w:t>Subvención del precio de impresión (1.234 millones de dinares argelinos) en forma de subsidios abonados directamente a las empresas de edición, por un total de 306 millones de dinares argelinos y, en el marco del saneamiento de las empresas de impresión durante el período de 1994 a 1996, por valor de 928 millones de dinares argelinos.</w:t>
      </w:r>
    </w:p>
    <w:p w:rsidR="00DD0682" w:rsidRPr="00DD0682" w:rsidRDefault="00DD0682" w:rsidP="000523D6">
      <w:pPr>
        <w:adjustRightInd w:val="0"/>
        <w:snapToGrid w:val="0"/>
        <w:spacing w:after="240"/>
        <w:ind w:left="1134" w:hanging="567"/>
        <w:rPr>
          <w:snapToGrid w:val="0"/>
        </w:rPr>
      </w:pPr>
      <w:r w:rsidRPr="00DD0682">
        <w:rPr>
          <w:snapToGrid w:val="0"/>
        </w:rPr>
        <w:t>c)</w:t>
      </w:r>
      <w:r w:rsidRPr="00DD0682">
        <w:rPr>
          <w:snapToGrid w:val="0"/>
        </w:rPr>
        <w:tab/>
        <w:t>Liquidación de las deudas de las empresas distribuidoras de prensa (ENAMEP) (380 millones de dinares argelinos) en el contexto de la decisión adoptada en julio de 1995 de sufragar las deudas de las distribuidoras de prensa establecidas al 31 de julio de 1995, en beneficio de las empresas de impresión, por la cantidad de 380,5 millones de dinares argelinos, de los que 204,5 millones irán a parar a la empresa ENAMEP-Centre, 84,4 millones a ENAMEP-Est y 91,6 millones a ENAMEP-Ouest.</w:t>
      </w:r>
    </w:p>
    <w:p w:rsidR="00DD0682" w:rsidRPr="00DD0682" w:rsidRDefault="00DD0682" w:rsidP="000523D6">
      <w:pPr>
        <w:adjustRightInd w:val="0"/>
        <w:snapToGrid w:val="0"/>
        <w:spacing w:after="240"/>
        <w:ind w:left="1134" w:hanging="567"/>
        <w:rPr>
          <w:snapToGrid w:val="0"/>
        </w:rPr>
      </w:pPr>
      <w:r w:rsidRPr="00DD0682">
        <w:rPr>
          <w:snapToGrid w:val="0"/>
        </w:rPr>
        <w:t>d)</w:t>
      </w:r>
      <w:r w:rsidRPr="00DD0682">
        <w:rPr>
          <w:snapToGrid w:val="0"/>
        </w:rPr>
        <w:tab/>
        <w:t>Otras ayudas (306 millones de dinares argelinos), que se han puesto a disposición de los editores privados en las principales ciudades del país que cuentan con medios de producción (rotativas):  Argel, Orán y Constantina, y de teledifusión (servicio de prensa-fax de Argel a Constantina y Orán), así como de locales que pertenecen al patrimonio público.  Se han articulado así 4 emplazamientos, 2 de ellos en Argel, 1 en Constantina y uno 1 Orán, que constituyen el patrimonio inmobiliario de la empresa pública "Casa de la Prensa", encargada de la gestión y el mantenimiento de esas infraestructuras.</w:t>
      </w:r>
    </w:p>
    <w:p w:rsidR="00DD0682" w:rsidRPr="00DD0682" w:rsidRDefault="00DD0682" w:rsidP="00DD0682">
      <w:pPr>
        <w:adjustRightInd w:val="0"/>
        <w:snapToGrid w:val="0"/>
        <w:spacing w:after="240"/>
        <w:rPr>
          <w:snapToGrid w:val="0"/>
        </w:rPr>
      </w:pPr>
      <w:r w:rsidRPr="00DD0682">
        <w:rPr>
          <w:snapToGrid w:val="0"/>
        </w:rPr>
        <w:t>435.</w:t>
      </w:r>
      <w:r w:rsidRPr="00DD0682">
        <w:rPr>
          <w:snapToGrid w:val="0"/>
        </w:rPr>
        <w:tab/>
        <w:t>Esa ayuda ha ido acompañada de una primera exención fiscal por tres años, seguida de una prórroga de un año, es decir, cuatro años en total; un IVA del 7%; la ampliación de las facilidades concedidas a través de la APSI y el alojamiento de 700 periodistas en el marco de las medidas adoptadas para proteger su seguridad, lo que ha supuesto al Estado un costo de más de 600 millones de dinares.</w:t>
      </w:r>
    </w:p>
    <w:p w:rsidR="00DD0682" w:rsidRPr="00DD0682" w:rsidRDefault="00DD0682" w:rsidP="00DD0682">
      <w:pPr>
        <w:adjustRightInd w:val="0"/>
        <w:snapToGrid w:val="0"/>
        <w:spacing w:after="240"/>
        <w:rPr>
          <w:snapToGrid w:val="0"/>
        </w:rPr>
      </w:pPr>
      <w:r w:rsidRPr="00DD0682">
        <w:rPr>
          <w:snapToGrid w:val="0"/>
        </w:rPr>
        <w:t>436.</w:t>
      </w:r>
      <w:r w:rsidRPr="00DD0682">
        <w:rPr>
          <w:snapToGrid w:val="0"/>
        </w:rPr>
        <w:tab/>
        <w:t>El apoyo del Estado se ha encauzado también hacia la impresión de la prensa, con una tirada media cotidiana, sumando todas las empresas de impresión, evaluada en 2,5 millones de ejemplares, de los que 1,7 millones corresponden a los 48 diarios.</w:t>
      </w:r>
    </w:p>
    <w:p w:rsidR="00DD0682" w:rsidRPr="00DD0682" w:rsidRDefault="00DD0682" w:rsidP="00DD0682">
      <w:pPr>
        <w:adjustRightInd w:val="0"/>
        <w:snapToGrid w:val="0"/>
        <w:spacing w:after="240"/>
        <w:rPr>
          <w:snapToGrid w:val="0"/>
        </w:rPr>
      </w:pPr>
      <w:r w:rsidRPr="00DD0682">
        <w:rPr>
          <w:snapToGrid w:val="0"/>
        </w:rPr>
        <w:t>437.</w:t>
      </w:r>
      <w:r w:rsidRPr="00DD0682">
        <w:rPr>
          <w:snapToGrid w:val="0"/>
        </w:rPr>
        <w:tab/>
        <w:t xml:space="preserve">Se ha procedido así a importar de 30.000 a 40.000 t de papel de periódico, 300.000 planchas de </w:t>
      </w:r>
      <w:r w:rsidRPr="00DD0682">
        <w:rPr>
          <w:i/>
          <w:iCs/>
          <w:snapToGrid w:val="0"/>
        </w:rPr>
        <w:t>offset</w:t>
      </w:r>
      <w:r w:rsidRPr="00DD0682">
        <w:rPr>
          <w:snapToGrid w:val="0"/>
        </w:rPr>
        <w:t xml:space="preserve"> y 250 t de tinta para satisfacer la demanda de esa tirada.  La importación de papel de periódico corre a cargo de una filial denominada ALPAP, en la que están asociadas las empresas públicas de impresión y varios organismos bancarios y de seguros.</w:t>
      </w:r>
    </w:p>
    <w:p w:rsidR="00DD0682" w:rsidRPr="00DD0682" w:rsidRDefault="00DD0682" w:rsidP="000523D6">
      <w:pPr>
        <w:adjustRightInd w:val="0"/>
        <w:snapToGrid w:val="0"/>
        <w:spacing w:after="240"/>
        <w:jc w:val="center"/>
        <w:rPr>
          <w:b/>
          <w:bCs/>
          <w:snapToGrid w:val="0"/>
        </w:rPr>
      </w:pPr>
      <w:r w:rsidRPr="00DD0682">
        <w:rPr>
          <w:b/>
          <w:bCs/>
          <w:snapToGrid w:val="0"/>
        </w:rPr>
        <w:t>C.  Comunicación audiovisual</w:t>
      </w:r>
    </w:p>
    <w:p w:rsidR="00DD0682" w:rsidRPr="00DD0682" w:rsidRDefault="00DD0682" w:rsidP="00DD0682">
      <w:pPr>
        <w:adjustRightInd w:val="0"/>
        <w:snapToGrid w:val="0"/>
        <w:spacing w:after="240"/>
        <w:rPr>
          <w:snapToGrid w:val="0"/>
        </w:rPr>
      </w:pPr>
      <w:r w:rsidRPr="00DD0682">
        <w:rPr>
          <w:snapToGrid w:val="0"/>
        </w:rPr>
        <w:t>438.</w:t>
      </w:r>
      <w:r w:rsidRPr="00DD0682">
        <w:rPr>
          <w:snapToGrid w:val="0"/>
        </w:rPr>
        <w:tab/>
        <w:t>La novedad en el desarrollo de la radio y la televisión ha consistido, desde la Ley de 1990, en el establecimiento de pliegos de condiciones que imponen a los establecimientos públicos audiovisuales la obligación de respetar el pluralismo en la información, programas y producción, y en la garantía del derecho de acceso a las diferentes corrientes de expresión.  En cuanto a la transformación del panorama audiovisual nacional, cabe resumirla en las iniciativas tomadas por el ENRS, que ha puesto en marcha las radios locales.</w:t>
      </w:r>
    </w:p>
    <w:p w:rsidR="00DD0682" w:rsidRPr="00DD0682" w:rsidRDefault="00DD0682" w:rsidP="00611367">
      <w:pPr>
        <w:adjustRightInd w:val="0"/>
        <w:snapToGrid w:val="0"/>
        <w:spacing w:after="240"/>
        <w:ind w:left="1134" w:hanging="567"/>
        <w:rPr>
          <w:snapToGrid w:val="0"/>
        </w:rPr>
      </w:pPr>
      <w:r w:rsidRPr="00DD0682">
        <w:rPr>
          <w:snapToGrid w:val="0"/>
        </w:rPr>
        <w:t>a)</w:t>
      </w:r>
      <w:r w:rsidRPr="00DD0682">
        <w:rPr>
          <w:snapToGrid w:val="0"/>
        </w:rPr>
        <w:tab/>
        <w:t>Extensión al extranjero del campo radiofónico y televisivo:  en el mes de agosto de 1994, los programas de la cadena nacional y de la televisión, así como las tres cadenas de radio (I-II-III) se distribuían por satélite a Europa y el norte del Maghreb.  En 1995, se amplió la cobertura a las cadenas de radio temáticas EL-BAHDJA y a la cadena cultural.  En septiembre de 1995, el ENTV reestructuró la parrilla de programas de la cadena de televisión por satélite y lo hizo nuevamente en 1999, para difundir un programa específico dirigido a Europa (Canal Argelia) y al Oriente Medio (Argelia 3).</w:t>
      </w:r>
    </w:p>
    <w:p w:rsidR="00DD0682" w:rsidRPr="00DD0682" w:rsidRDefault="00DD0682" w:rsidP="00611367">
      <w:pPr>
        <w:adjustRightInd w:val="0"/>
        <w:snapToGrid w:val="0"/>
        <w:spacing w:after="240"/>
        <w:ind w:left="1134" w:hanging="567"/>
        <w:rPr>
          <w:snapToGrid w:val="0"/>
        </w:rPr>
      </w:pPr>
      <w:r w:rsidRPr="00DD0682">
        <w:rPr>
          <w:snapToGrid w:val="0"/>
        </w:rPr>
        <w:t>b)</w:t>
      </w:r>
      <w:r w:rsidRPr="00DD0682">
        <w:rPr>
          <w:snapToGrid w:val="0"/>
        </w:rPr>
        <w:tab/>
        <w:t>Creación de estaciones de radio locales:  desde el comienzo de esta operación el número de estaciones de radio locales se ha incrementado progresivamente hasta registrar en 2007 la entrada en servicio de 32 estaciones, a las que se añadirán otras 16 a lo largo de 2008.</w:t>
      </w:r>
    </w:p>
    <w:p w:rsidR="00DD0682" w:rsidRPr="00DD0682" w:rsidRDefault="00DD0682" w:rsidP="00611367">
      <w:pPr>
        <w:adjustRightInd w:val="0"/>
        <w:snapToGrid w:val="0"/>
        <w:spacing w:after="240"/>
        <w:ind w:left="1134" w:hanging="567"/>
        <w:rPr>
          <w:snapToGrid w:val="0"/>
        </w:rPr>
      </w:pPr>
      <w:r w:rsidRPr="00DD0682">
        <w:rPr>
          <w:snapToGrid w:val="0"/>
        </w:rPr>
        <w:t>c)</w:t>
      </w:r>
      <w:r w:rsidRPr="00DD0682">
        <w:rPr>
          <w:snapToGrid w:val="0"/>
        </w:rPr>
        <w:tab/>
        <w:t>Incremento de la cuota de producción nacional de la parrilla de programas de la televisión:  la ayuda al establecimiento de cooperativas de producción y de prestaciones audiovisuales forma parte de las acciones iniciadas por el sector para promover la producción audiovisual.  Son 92 las cooperativas que se han beneficiado así de subvenciones para su instalación.  La participación de las unidades regionales en la parrilla de la cadena nacional de televisión es digna de mención.  El volumen horario emitido por la cadena de televisión pasó de 17 a 24 horas al día.  La tasa de producción nacional oscila entre el 60 y el 70% del volumen horario total de emisión.</w:t>
      </w:r>
    </w:p>
    <w:p w:rsidR="00DD0682" w:rsidRPr="00DD0682" w:rsidRDefault="00DD0682" w:rsidP="00611367">
      <w:pPr>
        <w:adjustRightInd w:val="0"/>
        <w:snapToGrid w:val="0"/>
        <w:spacing w:after="240"/>
        <w:ind w:left="1134" w:hanging="567"/>
        <w:rPr>
          <w:snapToGrid w:val="0"/>
        </w:rPr>
      </w:pPr>
      <w:r w:rsidRPr="00DD0682">
        <w:rPr>
          <w:snapToGrid w:val="0"/>
        </w:rPr>
        <w:t>d)</w:t>
      </w:r>
      <w:r w:rsidRPr="00DD0682">
        <w:rPr>
          <w:snapToGrid w:val="0"/>
        </w:rPr>
        <w:tab/>
        <w:t>Eliminación de las zonas de sombra y mejora de la tasa de cobertura del territorio nacional:  la tasa de cobertura de la población, garantizada por las redes de emisoras de radio y televisión asciende, según las evaluaciones, al 96%, en las condiciones de funcionamiento normal de las instalaciones técnicas.</w:t>
      </w:r>
    </w:p>
    <w:p w:rsidR="00DD0682" w:rsidRPr="00DD0682" w:rsidRDefault="00DD0682" w:rsidP="000523D6">
      <w:pPr>
        <w:adjustRightInd w:val="0"/>
        <w:snapToGrid w:val="0"/>
        <w:spacing w:after="240"/>
        <w:jc w:val="center"/>
        <w:rPr>
          <w:b/>
          <w:bCs/>
          <w:snapToGrid w:val="0"/>
        </w:rPr>
      </w:pPr>
      <w:r w:rsidRPr="00DD0682">
        <w:rPr>
          <w:b/>
          <w:bCs/>
          <w:snapToGrid w:val="0"/>
        </w:rPr>
        <w:t>D.  Prensa extranjera y cooperación con los mecanismos de la Naciones Unidas</w:t>
      </w:r>
    </w:p>
    <w:p w:rsidR="00DD0682" w:rsidRPr="00DD0682" w:rsidRDefault="00DD0682" w:rsidP="00DD0682">
      <w:pPr>
        <w:adjustRightInd w:val="0"/>
        <w:snapToGrid w:val="0"/>
        <w:spacing w:after="240"/>
        <w:rPr>
          <w:snapToGrid w:val="0"/>
        </w:rPr>
      </w:pPr>
      <w:r w:rsidRPr="00DD0682">
        <w:rPr>
          <w:snapToGrid w:val="0"/>
        </w:rPr>
        <w:t>439.</w:t>
      </w:r>
      <w:r w:rsidRPr="00DD0682">
        <w:rPr>
          <w:snapToGrid w:val="0"/>
        </w:rPr>
        <w:tab/>
        <w:t>Tanto en los acontecimientos nacionales como en los internacionales, la prensa extranjera ha hecho siempre gala de una admiración especial hacia este país, que le ha correspondido ayudándole en su trabajo.</w:t>
      </w:r>
    </w:p>
    <w:p w:rsidR="00DD0682" w:rsidRPr="00DD0682" w:rsidRDefault="00DD0682" w:rsidP="00DD0682">
      <w:pPr>
        <w:adjustRightInd w:val="0"/>
        <w:snapToGrid w:val="0"/>
        <w:spacing w:after="240"/>
        <w:rPr>
          <w:snapToGrid w:val="0"/>
        </w:rPr>
      </w:pPr>
      <w:r w:rsidRPr="00DD0682">
        <w:rPr>
          <w:snapToGrid w:val="0"/>
        </w:rPr>
        <w:t>440.</w:t>
      </w:r>
      <w:r w:rsidRPr="00DD0682">
        <w:rPr>
          <w:snapToGrid w:val="0"/>
        </w:rPr>
        <w:tab/>
        <w:t>La actividad de la prensa extranjera se desarrolló en el pasado en una situación de vacío jurídico.  La promulgación en 2004 de un decreto ejecutivo que rige las acreditaciones constituye sin duda alguna un medio de organizar las actividades de dicha prensa y de facilitar el trabajo de los periodistas extranjeros deseosos de acudir a Argelia, así como de los corresponsales permanentes.</w:t>
      </w:r>
    </w:p>
    <w:p w:rsidR="00DD0682" w:rsidRPr="00DD0682" w:rsidRDefault="00DD0682" w:rsidP="00DD0682">
      <w:pPr>
        <w:adjustRightInd w:val="0"/>
        <w:snapToGrid w:val="0"/>
        <w:spacing w:after="240"/>
        <w:rPr>
          <w:snapToGrid w:val="0"/>
        </w:rPr>
      </w:pPr>
      <w:r w:rsidRPr="00DD0682">
        <w:rPr>
          <w:snapToGrid w:val="0"/>
        </w:rPr>
        <w:t>441.</w:t>
      </w:r>
      <w:r w:rsidRPr="00DD0682">
        <w:rPr>
          <w:snapToGrid w:val="0"/>
        </w:rPr>
        <w:tab/>
        <w:t>Se palpa por tanto una verdadera voluntad de incrementar la transparencia, favoreciendo la apertura a los medios de comunicación internacionales para que puedan juzgar y apreciar por sí mismos los progresos y mejoras registrados en Argelia en estos últimos años.  Esa apertura se ha materializado en la presencia sobre el terreno de centenares de enviados especiales de los medios de comunicación internacionales que cubren un elevado número de acontecimientos nacionales.  A ello es menester agregar la presencia en Argelia, con carácter permanente, de corresponsales que representan a más de 50 órganos de prensa extranjera.</w:t>
      </w:r>
    </w:p>
    <w:p w:rsidR="00DD0682" w:rsidRPr="00DD0682" w:rsidRDefault="00DD0682" w:rsidP="00DD0682">
      <w:pPr>
        <w:adjustRightInd w:val="0"/>
        <w:snapToGrid w:val="0"/>
        <w:spacing w:after="240"/>
        <w:rPr>
          <w:snapToGrid w:val="0"/>
        </w:rPr>
      </w:pPr>
      <w:r w:rsidRPr="00DD0682">
        <w:rPr>
          <w:snapToGrid w:val="0"/>
        </w:rPr>
        <w:t>442.</w:t>
      </w:r>
      <w:r w:rsidRPr="00DD0682">
        <w:rPr>
          <w:snapToGrid w:val="0"/>
        </w:rPr>
        <w:tab/>
        <w:t>En materia de cooperación con los mecanismos de las Naciones Unidas que se ocupan de los temas de libertad de opinión y expresión, conviene señalar el proyecto de visita a Argelia del Relator Especial del Consejo de Derechos Humanos sobre la promoción y protección del derecho a la libertad de opinión y de expresión.</w:t>
      </w:r>
    </w:p>
    <w:p w:rsidR="000523D6" w:rsidRPr="00DD0682" w:rsidRDefault="00DD0682" w:rsidP="00DD0682">
      <w:pPr>
        <w:adjustRightInd w:val="0"/>
        <w:snapToGrid w:val="0"/>
        <w:spacing w:after="240"/>
        <w:jc w:val="center"/>
        <w:rPr>
          <w:snapToGrid w:val="0"/>
        </w:rPr>
      </w:pPr>
      <w:r w:rsidRPr="00DD0682">
        <w:rPr>
          <w:snapToGrid w:val="0"/>
        </w:rPr>
        <w:t>-----</w:t>
      </w:r>
    </w:p>
    <w:sectPr w:rsidR="000523D6" w:rsidRPr="00DD0682" w:rsidSect="00DD0682">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3C0" w:rsidRDefault="002053C0">
      <w:r>
        <w:separator/>
      </w:r>
    </w:p>
  </w:endnote>
  <w:endnote w:type="continuationSeparator" w:id="0">
    <w:p w:rsidR="002053C0" w:rsidRDefault="0020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3C0" w:rsidRDefault="002053C0">
      <w:r>
        <w:separator/>
      </w:r>
    </w:p>
  </w:footnote>
  <w:footnote w:type="continuationSeparator" w:id="0">
    <w:p w:rsidR="002053C0" w:rsidRDefault="002053C0">
      <w:r>
        <w:continuationSeparator/>
      </w:r>
    </w:p>
  </w:footnote>
  <w:footnote w:id="1">
    <w:p w:rsidR="00DD0682" w:rsidRPr="00AE6E3D" w:rsidRDefault="00DD0682" w:rsidP="00DD0682">
      <w:pPr>
        <w:spacing w:after="480"/>
      </w:pPr>
      <w:r>
        <w:rPr>
          <w:rStyle w:val="FootnoteReference"/>
        </w:rPr>
        <w:t>*</w:t>
      </w:r>
      <w:r>
        <w:t xml:space="preserve"> </w:t>
      </w:r>
      <w:r w:rsidRPr="00AE6E3D">
        <w:t>Con arreglo a la información transmitida a los Estados partes acerca de la tramitación de sus informes, el presente documento no fue objeto de revisión editorial oficial antes de ser enviado a los servicios de traducción de las Naciones Unidas</w:t>
      </w:r>
      <w:r>
        <w:t>.</w:t>
      </w:r>
    </w:p>
    <w:p w:rsidR="00DD0682" w:rsidRDefault="00DD0682" w:rsidP="008A19BB">
      <w:r w:rsidRPr="00AE6E3D">
        <w:t>GE-09-40230</w:t>
      </w:r>
      <w:r>
        <w:t xml:space="preserve">  (S)    </w:t>
      </w:r>
      <w:r w:rsidR="008A19BB">
        <w:t>050309    0104</w:t>
      </w:r>
      <w:r>
        <w:t>09</w:t>
      </w:r>
    </w:p>
  </w:footnote>
  <w:footnote w:id="2">
    <w:p w:rsidR="00DD0682" w:rsidRDefault="00DD0682" w:rsidP="00DD0682">
      <w:pPr>
        <w:spacing w:after="240"/>
      </w:pPr>
      <w:r w:rsidRPr="00DB70C6">
        <w:rPr>
          <w:b/>
          <w:vertAlign w:val="superscript"/>
        </w:rPr>
        <w:footnoteRef/>
      </w:r>
      <w:r>
        <w:t xml:space="preserve"> Véanse las observaciones finales del Comité (E/C.12/1/Add.71), párr. 10.</w:t>
      </w:r>
    </w:p>
  </w:footnote>
  <w:footnote w:id="3">
    <w:p w:rsidR="00DD0682" w:rsidRDefault="00DD0682" w:rsidP="00DD0682">
      <w:pPr>
        <w:spacing w:after="240"/>
      </w:pPr>
      <w:r w:rsidRPr="007040C7">
        <w:rPr>
          <w:b/>
          <w:vertAlign w:val="superscript"/>
        </w:rPr>
        <w:footnoteRef/>
      </w:r>
      <w:r>
        <w:t xml:space="preserve"> Ibíd., párr. 11</w:t>
      </w:r>
    </w:p>
  </w:footnote>
  <w:footnote w:id="4">
    <w:p w:rsidR="00DD0682" w:rsidRDefault="00DD0682" w:rsidP="00DD0682">
      <w:pPr>
        <w:spacing w:after="240"/>
      </w:pPr>
      <w:r w:rsidRPr="0028471F">
        <w:rPr>
          <w:b/>
          <w:vertAlign w:val="superscript"/>
        </w:rPr>
        <w:footnoteRef/>
      </w:r>
      <w:r>
        <w:t xml:space="preserve"> Ibíd., párr. 12.</w:t>
      </w:r>
    </w:p>
  </w:footnote>
  <w:footnote w:id="5">
    <w:p w:rsidR="00DD0682" w:rsidRDefault="00DD0682" w:rsidP="00DD0682">
      <w:pPr>
        <w:spacing w:after="240"/>
      </w:pPr>
      <w:r w:rsidRPr="00A1537F">
        <w:rPr>
          <w:b/>
          <w:vertAlign w:val="superscript"/>
        </w:rPr>
        <w:footnoteRef/>
      </w:r>
      <w:r>
        <w:t xml:space="preserve"> Ibíd., párr. 13.</w:t>
      </w:r>
    </w:p>
  </w:footnote>
  <w:footnote w:id="6">
    <w:p w:rsidR="00DD0682" w:rsidRDefault="00DD0682" w:rsidP="00DD0682">
      <w:pPr>
        <w:spacing w:after="240"/>
      </w:pPr>
      <w:r w:rsidRPr="00A1537F">
        <w:rPr>
          <w:b/>
          <w:vertAlign w:val="superscript"/>
        </w:rPr>
        <w:footnoteRef/>
      </w:r>
      <w:r>
        <w:t xml:space="preserve"> Ibíd., párr. 14.</w:t>
      </w:r>
    </w:p>
  </w:footnote>
  <w:footnote w:id="7">
    <w:p w:rsidR="00DD0682" w:rsidRDefault="00DD0682" w:rsidP="00DD0682">
      <w:pPr>
        <w:spacing w:after="240"/>
      </w:pPr>
      <w:r w:rsidRPr="00A63035">
        <w:rPr>
          <w:b/>
          <w:vertAlign w:val="superscript"/>
        </w:rPr>
        <w:footnoteRef/>
      </w:r>
      <w:r>
        <w:t xml:space="preserve"> Ibíd., párr. 15.</w:t>
      </w:r>
    </w:p>
  </w:footnote>
  <w:footnote w:id="8">
    <w:p w:rsidR="00DD0682" w:rsidRDefault="00DD0682" w:rsidP="00DD0682">
      <w:pPr>
        <w:spacing w:after="240"/>
      </w:pPr>
      <w:r w:rsidRPr="00A63035">
        <w:rPr>
          <w:b/>
          <w:vertAlign w:val="superscript"/>
        </w:rPr>
        <w:footnoteRef/>
      </w:r>
      <w:r>
        <w:t xml:space="preserve"> Ibíd., párr. 16.</w:t>
      </w:r>
    </w:p>
  </w:footnote>
  <w:footnote w:id="9">
    <w:p w:rsidR="00DD0682" w:rsidRDefault="00DD0682" w:rsidP="00DD0682">
      <w:pPr>
        <w:spacing w:after="240"/>
      </w:pPr>
      <w:r w:rsidRPr="005A617A">
        <w:rPr>
          <w:b/>
          <w:vertAlign w:val="superscript"/>
        </w:rPr>
        <w:footnoteRef/>
      </w:r>
      <w:r>
        <w:t xml:space="preserve"> Ibíd., párr. 17.</w:t>
      </w:r>
    </w:p>
  </w:footnote>
  <w:footnote w:id="10">
    <w:p w:rsidR="00DD0682" w:rsidRDefault="00DD0682" w:rsidP="00DD0682">
      <w:pPr>
        <w:spacing w:after="240"/>
      </w:pPr>
      <w:r w:rsidRPr="005A617A">
        <w:rPr>
          <w:b/>
          <w:vertAlign w:val="superscript"/>
        </w:rPr>
        <w:footnoteRef/>
      </w:r>
      <w:r>
        <w:t xml:space="preserve"> Ibíd., párr. 18.</w:t>
      </w:r>
    </w:p>
  </w:footnote>
  <w:footnote w:id="11">
    <w:p w:rsidR="00DD0682" w:rsidRDefault="00DD0682" w:rsidP="00DD0682">
      <w:pPr>
        <w:spacing w:after="240"/>
      </w:pPr>
      <w:r w:rsidRPr="00DF4A95">
        <w:rPr>
          <w:b/>
          <w:vertAlign w:val="superscript"/>
        </w:rPr>
        <w:footnoteRef/>
      </w:r>
      <w:r>
        <w:t xml:space="preserve"> Ibíd., párr. 19.</w:t>
      </w:r>
    </w:p>
  </w:footnote>
  <w:footnote w:id="12">
    <w:p w:rsidR="00DD0682" w:rsidRDefault="00DD0682" w:rsidP="00DD0682">
      <w:pPr>
        <w:spacing w:after="240"/>
      </w:pPr>
      <w:r w:rsidRPr="00DF4A95">
        <w:rPr>
          <w:b/>
          <w:vertAlign w:val="superscript"/>
        </w:rPr>
        <w:footnoteRef/>
      </w:r>
      <w:r>
        <w:t xml:space="preserve"> Ibíd., párr. 20.</w:t>
      </w:r>
    </w:p>
  </w:footnote>
  <w:footnote w:id="13">
    <w:p w:rsidR="00DD0682" w:rsidRDefault="00DD0682" w:rsidP="00DD0682">
      <w:pPr>
        <w:spacing w:after="240"/>
      </w:pPr>
      <w:r w:rsidRPr="005F7999">
        <w:rPr>
          <w:b/>
          <w:vertAlign w:val="superscript"/>
        </w:rPr>
        <w:footnoteRef/>
      </w:r>
      <w:r>
        <w:t xml:space="preserve"> Ibíd., párr. 21.</w:t>
      </w:r>
    </w:p>
  </w:footnote>
  <w:footnote w:id="14">
    <w:p w:rsidR="00DD0682" w:rsidRDefault="00DD0682" w:rsidP="00DD0682">
      <w:pPr>
        <w:spacing w:after="240"/>
      </w:pPr>
      <w:r w:rsidRPr="005F7999">
        <w:rPr>
          <w:b/>
          <w:vertAlign w:val="superscript"/>
        </w:rPr>
        <w:footnoteRef/>
      </w:r>
      <w:r>
        <w:t xml:space="preserve"> Ibíd., párr.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82" w:rsidRDefault="00DD0682">
    <w:pPr>
      <w:pStyle w:val="Header"/>
    </w:pPr>
    <w:r>
      <w:t>E/C.12/DZA/4</w:t>
    </w:r>
  </w:p>
  <w:p w:rsidR="00DD0682" w:rsidRDefault="00DD0682">
    <w:pPr>
      <w:pStyle w:val="Header"/>
    </w:pPr>
    <w:r>
      <w:t xml:space="preserve">página </w:t>
    </w:r>
    <w:r>
      <w:fldChar w:fldCharType="begin"/>
    </w:r>
    <w:r>
      <w:instrText xml:space="preserve"> PAGE  \* MERGEFORMAT </w:instrText>
    </w:r>
    <w:r>
      <w:fldChar w:fldCharType="separate"/>
    </w:r>
    <w:r w:rsidR="004B5239">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82" w:rsidRDefault="00DD0682" w:rsidP="00DD0682">
    <w:pPr>
      <w:pStyle w:val="Header"/>
      <w:tabs>
        <w:tab w:val="clear" w:pos="4252"/>
        <w:tab w:val="left" w:pos="7920"/>
      </w:tabs>
    </w:pPr>
    <w:r>
      <w:tab/>
      <w:t>E/C.12/DZA/4</w:t>
    </w:r>
  </w:p>
  <w:p w:rsidR="00DD0682" w:rsidRDefault="00DD0682" w:rsidP="00DD0682">
    <w:pPr>
      <w:pStyle w:val="Header"/>
      <w:tabs>
        <w:tab w:val="clear" w:pos="4252"/>
        <w:tab w:val="left" w:pos="7920"/>
      </w:tabs>
    </w:pPr>
    <w:r>
      <w:tab/>
      <w:t xml:space="preserve">página </w:t>
    </w:r>
    <w:r>
      <w:fldChar w:fldCharType="begin"/>
    </w:r>
    <w:r>
      <w:instrText xml:space="preserve"> PAGE  \* MERGEFORMAT </w:instrText>
    </w:r>
    <w:r>
      <w:fldChar w:fldCharType="separate"/>
    </w:r>
    <w:r w:rsidR="004B5239">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ED3"/>
    <w:rsid w:val="000015B6"/>
    <w:rsid w:val="00030ED7"/>
    <w:rsid w:val="000523D6"/>
    <w:rsid w:val="0007272E"/>
    <w:rsid w:val="000F18F3"/>
    <w:rsid w:val="000F41A7"/>
    <w:rsid w:val="001E79FD"/>
    <w:rsid w:val="001E7D80"/>
    <w:rsid w:val="002009CB"/>
    <w:rsid w:val="002053C0"/>
    <w:rsid w:val="002426E2"/>
    <w:rsid w:val="00273020"/>
    <w:rsid w:val="002E2249"/>
    <w:rsid w:val="00414AE4"/>
    <w:rsid w:val="00433E1C"/>
    <w:rsid w:val="004925AC"/>
    <w:rsid w:val="00493B79"/>
    <w:rsid w:val="004B5239"/>
    <w:rsid w:val="004F6D42"/>
    <w:rsid w:val="00611367"/>
    <w:rsid w:val="00632B87"/>
    <w:rsid w:val="006541BE"/>
    <w:rsid w:val="006C222A"/>
    <w:rsid w:val="006E1814"/>
    <w:rsid w:val="00716E4C"/>
    <w:rsid w:val="0072288C"/>
    <w:rsid w:val="00740862"/>
    <w:rsid w:val="0077727F"/>
    <w:rsid w:val="007857D5"/>
    <w:rsid w:val="0078737B"/>
    <w:rsid w:val="007D362F"/>
    <w:rsid w:val="007E1504"/>
    <w:rsid w:val="007E7BD0"/>
    <w:rsid w:val="00805C25"/>
    <w:rsid w:val="008A19BB"/>
    <w:rsid w:val="008C2547"/>
    <w:rsid w:val="009263C7"/>
    <w:rsid w:val="00934AA2"/>
    <w:rsid w:val="00941D4E"/>
    <w:rsid w:val="00981554"/>
    <w:rsid w:val="009C0ED3"/>
    <w:rsid w:val="009F7163"/>
    <w:rsid w:val="00A263B5"/>
    <w:rsid w:val="00A3211E"/>
    <w:rsid w:val="00A4420C"/>
    <w:rsid w:val="00A528E7"/>
    <w:rsid w:val="00A604E3"/>
    <w:rsid w:val="00AA0CDD"/>
    <w:rsid w:val="00AB008F"/>
    <w:rsid w:val="00AC158B"/>
    <w:rsid w:val="00AE40CB"/>
    <w:rsid w:val="00AE7C07"/>
    <w:rsid w:val="00BE1186"/>
    <w:rsid w:val="00C820BE"/>
    <w:rsid w:val="00CA0F81"/>
    <w:rsid w:val="00CB30D2"/>
    <w:rsid w:val="00CE2A0B"/>
    <w:rsid w:val="00D61003"/>
    <w:rsid w:val="00D76593"/>
    <w:rsid w:val="00DC54B6"/>
    <w:rsid w:val="00DD0682"/>
    <w:rsid w:val="00E01E15"/>
    <w:rsid w:val="00E315E9"/>
    <w:rsid w:val="00E74027"/>
    <w:rsid w:val="00EE2FF1"/>
    <w:rsid w:val="00F01880"/>
    <w:rsid w:val="00F17191"/>
    <w:rsid w:val="00F40E1C"/>
    <w:rsid w:val="00F7309B"/>
    <w:rsid w:val="00F7742E"/>
    <w:rsid w:val="00F82B34"/>
    <w:rsid w:val="00FD0D7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DD0682"/>
    <w:pPr>
      <w:tabs>
        <w:tab w:val="center" w:pos="4252"/>
        <w:tab w:val="right" w:pos="8504"/>
      </w:tabs>
    </w:pPr>
  </w:style>
  <w:style w:type="paragraph" w:styleId="BodyTextIndent3">
    <w:name w:val="Body Text Indent 3"/>
    <w:basedOn w:val="Normal"/>
    <w:rsid w:val="00DD0682"/>
    <w:pPr>
      <w:spacing w:after="120"/>
      <w:ind w:left="283"/>
    </w:pPr>
    <w:rPr>
      <w:sz w:val="16"/>
      <w:szCs w:val="16"/>
      <w:lang w:val="fr-FR" w:eastAsia="fr-FR"/>
    </w:rPr>
  </w:style>
  <w:style w:type="paragraph" w:customStyle="1" w:styleId="BodyText21">
    <w:name w:val="Body Text 21"/>
    <w:basedOn w:val="Normal"/>
    <w:rsid w:val="00DD0682"/>
    <w:pPr>
      <w:widowControl w:val="0"/>
      <w:snapToGrid w:val="0"/>
      <w:jc w:val="both"/>
    </w:pPr>
    <w:rPr>
      <w:rFonts w:ascii="Arial" w:hAnsi="Arial"/>
      <w:b/>
      <w:bCs/>
      <w:sz w:val="28"/>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33272</Words>
  <Characters>182998</Characters>
  <Application>Microsoft Office Word</Application>
  <DocSecurity>4</DocSecurity>
  <Lines>1524</Lines>
  <Paragraphs>431</Paragraphs>
  <ScaleCrop>false</ScaleCrop>
  <HeadingPairs>
    <vt:vector size="2" baseType="variant">
      <vt:variant>
        <vt:lpstr>Título</vt:lpstr>
      </vt:variant>
      <vt:variant>
        <vt:i4>1</vt:i4>
      </vt:variant>
    </vt:vector>
  </HeadingPairs>
  <TitlesOfParts>
    <vt:vector size="1" baseType="lpstr">
      <vt:lpstr>E/C.12/DZ/4 - 09-40230</vt:lpstr>
    </vt:vector>
  </TitlesOfParts>
  <Company>CSD</Company>
  <LinksUpToDate>false</LinksUpToDate>
  <CharactersWithSpaces>215839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E/C.12/DZ/4 - 09-40230</dc:title>
  <dc:subject/>
  <dc:creator>María de la Plaza</dc:creator>
  <cp:keywords/>
  <dc:description/>
  <cp:lastModifiedBy>María de la Plaza</cp:lastModifiedBy>
  <cp:revision>2</cp:revision>
  <cp:lastPrinted>2001-03-13T13:07:00Z</cp:lastPrinted>
  <dcterms:created xsi:type="dcterms:W3CDTF">2009-04-01T13:52:00Z</dcterms:created>
  <dcterms:modified xsi:type="dcterms:W3CDTF">2009-04-01T13:52:00Z</dcterms:modified>
</cp:coreProperties>
</file>