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236C" w:rsidRPr="00DB58B5" w:rsidTr="0002432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80236C" w:rsidRPr="00DB58B5" w:rsidRDefault="0080236C" w:rsidP="00EE196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0236C" w:rsidRPr="00DB58B5" w:rsidRDefault="0080236C" w:rsidP="0002432E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80236C" w:rsidRPr="00DB58B5" w:rsidRDefault="00EE196F" w:rsidP="00EE196F">
            <w:pPr>
              <w:jc w:val="right"/>
            </w:pPr>
            <w:r w:rsidRPr="00EE196F">
              <w:rPr>
                <w:sz w:val="40"/>
              </w:rPr>
              <w:t>E</w:t>
            </w:r>
            <w:r>
              <w:t>/C.12/63/D/7/2015</w:t>
            </w:r>
          </w:p>
        </w:tc>
      </w:tr>
      <w:tr w:rsidR="0080236C" w:rsidRPr="00DB58B5" w:rsidTr="0002432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0236C" w:rsidRPr="00DB58B5" w:rsidRDefault="0080236C" w:rsidP="0002432E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7A5594D" wp14:editId="5D5FAD9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0236C" w:rsidRPr="00740562" w:rsidRDefault="0080236C" w:rsidP="0002432E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0236C" w:rsidRDefault="00EE196F" w:rsidP="0002432E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EE196F" w:rsidRDefault="00EE196F" w:rsidP="00EE196F">
            <w:pPr>
              <w:spacing w:line="240" w:lineRule="exact"/>
            </w:pPr>
            <w:r>
              <w:t>19 avril 2018</w:t>
            </w:r>
          </w:p>
          <w:p w:rsidR="00EE196F" w:rsidRDefault="00EE196F" w:rsidP="00EE196F">
            <w:pPr>
              <w:spacing w:line="240" w:lineRule="exact"/>
            </w:pPr>
            <w:r>
              <w:t>Français</w:t>
            </w:r>
          </w:p>
          <w:p w:rsidR="00EE196F" w:rsidRPr="00DB58B5" w:rsidRDefault="00EE196F" w:rsidP="00EE196F">
            <w:pPr>
              <w:spacing w:line="240" w:lineRule="exact"/>
            </w:pPr>
            <w:r>
              <w:t>Original : espagnol</w:t>
            </w:r>
          </w:p>
        </w:tc>
      </w:tr>
    </w:tbl>
    <w:p w:rsidR="00EE196F" w:rsidRPr="00E4666C" w:rsidRDefault="00EE196F" w:rsidP="00491F60">
      <w:pPr>
        <w:spacing w:before="120"/>
        <w:rPr>
          <w:b/>
          <w:sz w:val="24"/>
          <w:szCs w:val="24"/>
        </w:rPr>
      </w:pPr>
      <w:r w:rsidRPr="00E4666C">
        <w:rPr>
          <w:b/>
          <w:sz w:val="24"/>
          <w:szCs w:val="24"/>
        </w:rPr>
        <w:t>Comité des droits économiques, sociaux et culturels</w:t>
      </w:r>
    </w:p>
    <w:p w:rsidR="00EE196F" w:rsidRDefault="00EE196F" w:rsidP="00EE196F">
      <w:pPr>
        <w:pStyle w:val="HChG"/>
        <w:rPr>
          <w:sz w:val="20"/>
          <w:lang w:val="fr-FR"/>
        </w:rPr>
      </w:pPr>
      <w:r w:rsidRPr="00B74B50">
        <w:rPr>
          <w:lang w:val="fr-FR"/>
        </w:rPr>
        <w:tab/>
      </w:r>
      <w:r w:rsidRPr="00B74B50">
        <w:rPr>
          <w:lang w:val="fr-FR"/>
        </w:rPr>
        <w:tab/>
      </w:r>
      <w:r w:rsidR="00CF7749">
        <w:rPr>
          <w:lang w:val="fr-FR"/>
        </w:rPr>
        <w:t>Décision</w:t>
      </w:r>
      <w:r>
        <w:rPr>
          <w:lang w:val="fr-FR"/>
        </w:rPr>
        <w:t xml:space="preserve"> adoptée par le Comité à sa soixante-troisième session (12-29 mars 2018) concernant la c</w:t>
      </w:r>
      <w:r w:rsidRPr="00B74B50">
        <w:rPr>
          <w:lang w:val="fr-FR"/>
        </w:rPr>
        <w:t xml:space="preserve">ommunication </w:t>
      </w:r>
      <w:r w:rsidRPr="0054677D">
        <w:rPr>
          <w:rFonts w:eastAsia="MS Mincho"/>
          <w:lang w:val="fr-FR"/>
        </w:rPr>
        <w:t>n</w:t>
      </w:r>
      <w:r w:rsidRPr="0054677D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B74B50">
        <w:rPr>
          <w:lang w:val="fr-FR"/>
        </w:rPr>
        <w:t>7/2015</w:t>
      </w: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4253"/>
      </w:tblGrid>
      <w:tr w:rsidR="00EE196F" w:rsidTr="00491F60">
        <w:tc>
          <w:tcPr>
            <w:tcW w:w="2552" w:type="dxa"/>
          </w:tcPr>
          <w:p w:rsidR="00EE196F" w:rsidRDefault="00EE196F" w:rsidP="00491F60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Communication p</w:t>
            </w:r>
            <w:r w:rsidRPr="00FD511F">
              <w:rPr>
                <w:i/>
              </w:rPr>
              <w:t>résentée par</w:t>
            </w:r>
            <w:r>
              <w:t> :</w:t>
            </w:r>
          </w:p>
        </w:tc>
        <w:tc>
          <w:tcPr>
            <w:tcW w:w="4253" w:type="dxa"/>
          </w:tcPr>
          <w:p w:rsidR="00EE196F" w:rsidRPr="00AE68FC" w:rsidRDefault="00EE196F" w:rsidP="00491F60">
            <w:pPr>
              <w:pStyle w:val="SingleTxtG"/>
              <w:ind w:left="57" w:right="0"/>
              <w:jc w:val="left"/>
            </w:pPr>
            <w:r w:rsidRPr="00B74B50">
              <w:rPr>
                <w:lang w:val="fr-FR"/>
              </w:rPr>
              <w:t xml:space="preserve">Jaime </w:t>
            </w:r>
            <w:proofErr w:type="spellStart"/>
            <w:r w:rsidRPr="00B74B50">
              <w:rPr>
                <w:lang w:val="fr-FR"/>
              </w:rPr>
              <w:t>Efraín</w:t>
            </w:r>
            <w:proofErr w:type="spellEnd"/>
            <w:r w:rsidRPr="00B74B50">
              <w:rPr>
                <w:lang w:val="fr-FR"/>
              </w:rPr>
              <w:t xml:space="preserve"> </w:t>
            </w:r>
            <w:proofErr w:type="spellStart"/>
            <w:r w:rsidRPr="00B74B50">
              <w:rPr>
                <w:lang w:val="fr-FR"/>
              </w:rPr>
              <w:t>Arellano</w:t>
            </w:r>
            <w:proofErr w:type="spellEnd"/>
            <w:r w:rsidRPr="00B74B50">
              <w:rPr>
                <w:lang w:val="fr-FR"/>
              </w:rPr>
              <w:t xml:space="preserve"> Medina (représenté par un conseil, Pablo </w:t>
            </w:r>
            <w:proofErr w:type="spellStart"/>
            <w:r w:rsidRPr="00B74B50">
              <w:rPr>
                <w:lang w:val="fr-FR"/>
              </w:rPr>
              <w:t>Albán</w:t>
            </w:r>
            <w:proofErr w:type="spellEnd"/>
            <w:r w:rsidRPr="00B74B50">
              <w:rPr>
                <w:lang w:val="fr-FR"/>
              </w:rPr>
              <w:t xml:space="preserve"> </w:t>
            </w:r>
            <w:proofErr w:type="spellStart"/>
            <w:r w:rsidRPr="00B74B50">
              <w:rPr>
                <w:lang w:val="fr-FR"/>
              </w:rPr>
              <w:t>Alencastro</w:t>
            </w:r>
            <w:proofErr w:type="spellEnd"/>
            <w:r w:rsidRPr="00B74B50">
              <w:rPr>
                <w:lang w:val="fr-FR"/>
              </w:rPr>
              <w:t>)</w:t>
            </w:r>
          </w:p>
        </w:tc>
      </w:tr>
      <w:tr w:rsidR="00EE196F" w:rsidTr="00491F60">
        <w:tc>
          <w:tcPr>
            <w:tcW w:w="2552" w:type="dxa"/>
          </w:tcPr>
          <w:p w:rsidR="00EE196F" w:rsidRPr="00FD511F" w:rsidRDefault="00EE196F" w:rsidP="00491F60">
            <w:pPr>
              <w:pStyle w:val="SingleTxtG"/>
              <w:ind w:left="0" w:right="0"/>
              <w:jc w:val="left"/>
              <w:rPr>
                <w:i/>
              </w:rPr>
            </w:pPr>
            <w:r w:rsidRPr="00FD511F">
              <w:rPr>
                <w:i/>
              </w:rPr>
              <w:t>Au nom de</w:t>
            </w:r>
            <w:r>
              <w:t> :</w:t>
            </w:r>
          </w:p>
        </w:tc>
        <w:tc>
          <w:tcPr>
            <w:tcW w:w="4253" w:type="dxa"/>
          </w:tcPr>
          <w:p w:rsidR="00EE196F" w:rsidRDefault="00EE196F" w:rsidP="00491F60">
            <w:pPr>
              <w:pStyle w:val="SingleTxtG"/>
              <w:ind w:left="57" w:right="0"/>
              <w:jc w:val="left"/>
            </w:pPr>
            <w:r w:rsidRPr="00B74B50">
              <w:rPr>
                <w:lang w:val="fr-FR"/>
              </w:rPr>
              <w:t>L</w:t>
            </w:r>
            <w:r w:rsidR="00864B14">
              <w:rPr>
                <w:lang w:val="fr-FR"/>
              </w:rPr>
              <w:t>’</w:t>
            </w:r>
            <w:r w:rsidRPr="00B74B50">
              <w:rPr>
                <w:lang w:val="fr-FR"/>
              </w:rPr>
              <w:t>auteur</w:t>
            </w:r>
          </w:p>
        </w:tc>
      </w:tr>
      <w:tr w:rsidR="00EE196F" w:rsidTr="00491F60">
        <w:tc>
          <w:tcPr>
            <w:tcW w:w="2552" w:type="dxa"/>
          </w:tcPr>
          <w:p w:rsidR="00EE196F" w:rsidRPr="00FD511F" w:rsidRDefault="00EE196F" w:rsidP="00491F60">
            <w:pPr>
              <w:pStyle w:val="SingleTxtG"/>
              <w:ind w:left="0" w:right="0"/>
              <w:jc w:val="left"/>
              <w:rPr>
                <w:i/>
              </w:rPr>
            </w:pPr>
            <w:r w:rsidRPr="00FD511F">
              <w:rPr>
                <w:i/>
              </w:rPr>
              <w:t>État partie</w:t>
            </w:r>
            <w:r>
              <w:t> :</w:t>
            </w:r>
          </w:p>
        </w:tc>
        <w:tc>
          <w:tcPr>
            <w:tcW w:w="4253" w:type="dxa"/>
          </w:tcPr>
          <w:p w:rsidR="00EE196F" w:rsidRDefault="00EE196F" w:rsidP="00491F60">
            <w:pPr>
              <w:pStyle w:val="SingleTxtG"/>
              <w:ind w:left="57" w:right="0"/>
              <w:jc w:val="left"/>
            </w:pPr>
            <w:r w:rsidRPr="00B74B50">
              <w:rPr>
                <w:lang w:val="fr-FR"/>
              </w:rPr>
              <w:t>Équateur</w:t>
            </w:r>
          </w:p>
        </w:tc>
      </w:tr>
      <w:tr w:rsidR="00EE196F" w:rsidTr="00491F60">
        <w:tc>
          <w:tcPr>
            <w:tcW w:w="2552" w:type="dxa"/>
          </w:tcPr>
          <w:p w:rsidR="00EE196F" w:rsidRPr="00FD511F" w:rsidRDefault="00EE196F" w:rsidP="00491F60">
            <w:pPr>
              <w:pStyle w:val="SingleTxtG"/>
              <w:ind w:left="0" w:right="0"/>
              <w:jc w:val="left"/>
              <w:rPr>
                <w:i/>
              </w:rPr>
            </w:pPr>
            <w:r w:rsidRPr="00FD511F">
              <w:rPr>
                <w:i/>
              </w:rPr>
              <w:t xml:space="preserve">Date de la </w:t>
            </w:r>
            <w:r>
              <w:rPr>
                <w:i/>
              </w:rPr>
              <w:t>requête</w:t>
            </w:r>
            <w:r>
              <w:t> :</w:t>
            </w:r>
          </w:p>
        </w:tc>
        <w:tc>
          <w:tcPr>
            <w:tcW w:w="4253" w:type="dxa"/>
          </w:tcPr>
          <w:p w:rsidR="00EE196F" w:rsidRDefault="00EE196F" w:rsidP="00491F60">
            <w:pPr>
              <w:pStyle w:val="SingleTxtG"/>
              <w:ind w:left="57" w:right="0"/>
              <w:jc w:val="left"/>
            </w:pPr>
            <w:r w:rsidRPr="00B74B50">
              <w:rPr>
                <w:lang w:val="fr-FR"/>
              </w:rPr>
              <w:t>24 avril 2015</w:t>
            </w:r>
          </w:p>
        </w:tc>
      </w:tr>
      <w:tr w:rsidR="00EE196F" w:rsidTr="00491F60">
        <w:tc>
          <w:tcPr>
            <w:tcW w:w="2552" w:type="dxa"/>
          </w:tcPr>
          <w:p w:rsidR="00EE196F" w:rsidRPr="00FD511F" w:rsidRDefault="00EE196F" w:rsidP="00491F60">
            <w:pPr>
              <w:pStyle w:val="SingleTxtG"/>
              <w:ind w:left="0" w:right="0"/>
              <w:jc w:val="left"/>
              <w:rPr>
                <w:i/>
              </w:rPr>
            </w:pPr>
            <w:r w:rsidRPr="00FD511F">
              <w:rPr>
                <w:i/>
              </w:rPr>
              <w:t xml:space="preserve">Date de </w:t>
            </w:r>
            <w:r>
              <w:rPr>
                <w:i/>
              </w:rPr>
              <w:t>l</w:t>
            </w:r>
            <w:r w:rsidR="00864B14">
              <w:rPr>
                <w:i/>
              </w:rPr>
              <w:t>’</w:t>
            </w:r>
            <w:r>
              <w:rPr>
                <w:i/>
              </w:rPr>
              <w:t>adoption</w:t>
            </w:r>
            <w:r>
              <w:rPr>
                <w:i/>
              </w:rPr>
              <w:br/>
              <w:t>de la décision</w:t>
            </w:r>
            <w:r>
              <w:t> :</w:t>
            </w:r>
          </w:p>
        </w:tc>
        <w:tc>
          <w:tcPr>
            <w:tcW w:w="4253" w:type="dxa"/>
            <w:vAlign w:val="bottom"/>
          </w:tcPr>
          <w:p w:rsidR="00EE196F" w:rsidRDefault="00864B14" w:rsidP="00491F60">
            <w:pPr>
              <w:pStyle w:val="SingleTxtG"/>
              <w:ind w:left="57" w:right="0"/>
              <w:jc w:val="left"/>
            </w:pPr>
            <w:r>
              <w:rPr>
                <w:lang w:val="fr-FR"/>
              </w:rPr>
              <w:t>26</w:t>
            </w:r>
            <w:r w:rsidR="00EE196F" w:rsidRPr="00B74B50">
              <w:rPr>
                <w:lang w:val="fr-FR"/>
              </w:rPr>
              <w:t xml:space="preserve"> mars 2018</w:t>
            </w:r>
          </w:p>
        </w:tc>
      </w:tr>
      <w:tr w:rsidR="00EE196F" w:rsidTr="00491F60">
        <w:tc>
          <w:tcPr>
            <w:tcW w:w="2552" w:type="dxa"/>
          </w:tcPr>
          <w:p w:rsidR="00EE196F" w:rsidRPr="00E472B5" w:rsidRDefault="00EE196F" w:rsidP="00491F60">
            <w:pPr>
              <w:pStyle w:val="SingleTxtG"/>
              <w:ind w:left="0" w:right="0"/>
              <w:jc w:val="left"/>
            </w:pPr>
            <w:r>
              <w:rPr>
                <w:i/>
              </w:rPr>
              <w:t>Objet</w:t>
            </w:r>
            <w:r>
              <w:t> :</w:t>
            </w:r>
          </w:p>
        </w:tc>
        <w:tc>
          <w:tcPr>
            <w:tcW w:w="4253" w:type="dxa"/>
            <w:vAlign w:val="bottom"/>
          </w:tcPr>
          <w:p w:rsidR="00EE196F" w:rsidRDefault="00EE196F" w:rsidP="00491F60">
            <w:pPr>
              <w:pStyle w:val="SingleTxtG"/>
              <w:ind w:left="57" w:right="0"/>
              <w:jc w:val="left"/>
            </w:pPr>
            <w:r w:rsidRPr="004F6383">
              <w:rPr>
                <w:lang w:val="fr-FR"/>
              </w:rPr>
              <w:t>Refus de versement d</w:t>
            </w:r>
            <w:r w:rsidR="00864B14">
              <w:rPr>
                <w:lang w:val="fr-FR"/>
              </w:rPr>
              <w:t>’</w:t>
            </w:r>
            <w:r w:rsidRPr="004F6383">
              <w:rPr>
                <w:lang w:val="fr-FR"/>
              </w:rPr>
              <w:t xml:space="preserve">indemnités prévu par </w:t>
            </w:r>
            <w:r>
              <w:rPr>
                <w:lang w:val="fr-FR"/>
              </w:rPr>
              <w:t>contrat</w:t>
            </w:r>
            <w:r w:rsidRPr="004F6383">
              <w:rPr>
                <w:lang w:val="fr-FR"/>
              </w:rPr>
              <w:t xml:space="preserve"> ou convention collective</w:t>
            </w:r>
            <w:r>
              <w:rPr>
                <w:lang w:val="fr-FR"/>
              </w:rPr>
              <w:t xml:space="preserve"> de travail ;</w:t>
            </w:r>
            <w:r w:rsidRPr="004F6383">
              <w:rPr>
                <w:lang w:val="fr-FR"/>
              </w:rPr>
              <w:t xml:space="preserve"> </w:t>
            </w:r>
            <w:r>
              <w:rPr>
                <w:lang w:val="fr-FR"/>
              </w:rPr>
              <w:t>indemnité spéciale réduite</w:t>
            </w:r>
          </w:p>
        </w:tc>
      </w:tr>
      <w:tr w:rsidR="00EE196F" w:rsidTr="00491F60">
        <w:tc>
          <w:tcPr>
            <w:tcW w:w="2552" w:type="dxa"/>
          </w:tcPr>
          <w:p w:rsidR="00EE196F" w:rsidRPr="00E472B5" w:rsidRDefault="00EE196F" w:rsidP="00491F60">
            <w:pPr>
              <w:pStyle w:val="SingleTxtG"/>
              <w:ind w:left="0" w:right="0"/>
              <w:jc w:val="left"/>
            </w:pPr>
            <w:r>
              <w:rPr>
                <w:i/>
              </w:rPr>
              <w:t>Question(s) de procédure</w:t>
            </w:r>
            <w:r>
              <w:t> :</w:t>
            </w:r>
          </w:p>
        </w:tc>
        <w:tc>
          <w:tcPr>
            <w:tcW w:w="4253" w:type="dxa"/>
            <w:vAlign w:val="bottom"/>
          </w:tcPr>
          <w:p w:rsidR="00EE196F" w:rsidRDefault="00EE196F" w:rsidP="00491F60">
            <w:pPr>
              <w:pStyle w:val="SingleTxtG"/>
              <w:ind w:left="57" w:right="0"/>
              <w:jc w:val="left"/>
            </w:pPr>
            <w:r w:rsidRPr="00B74B50">
              <w:rPr>
                <w:lang w:val="fr-FR"/>
              </w:rPr>
              <w:t>Épuisement des recours internes</w:t>
            </w:r>
            <w:r>
              <w:rPr>
                <w:lang w:val="fr-FR"/>
              </w:rPr>
              <w:t> ;</w:t>
            </w:r>
            <w:r w:rsidRPr="00B74B50">
              <w:rPr>
                <w:lang w:val="fr-FR"/>
              </w:rPr>
              <w:t xml:space="preserve"> </w:t>
            </w:r>
            <w:r>
              <w:rPr>
                <w:lang w:val="fr-FR"/>
              </w:rPr>
              <w:t>p</w:t>
            </w:r>
            <w:r w:rsidRPr="00B74B50">
              <w:rPr>
                <w:lang w:val="fr-FR"/>
              </w:rPr>
              <w:t xml:space="preserve">résentation de la communication </w:t>
            </w:r>
            <w:r>
              <w:rPr>
                <w:lang w:val="fr-FR"/>
              </w:rPr>
              <w:t>dans les douze mois suivant l</w:t>
            </w:r>
            <w:r w:rsidR="00864B14">
              <w:rPr>
                <w:lang w:val="fr-FR"/>
              </w:rPr>
              <w:t>’</w:t>
            </w:r>
            <w:r>
              <w:rPr>
                <w:lang w:val="fr-FR"/>
              </w:rPr>
              <w:t>épuisement des recours internes ;</w:t>
            </w:r>
            <w:r w:rsidRPr="00DA7F54">
              <w:rPr>
                <w:lang w:val="fr-FR"/>
              </w:rPr>
              <w:t xml:space="preserve"> </w:t>
            </w:r>
            <w:r>
              <w:rPr>
                <w:lang w:val="fr-FR"/>
              </w:rPr>
              <w:t>c</w:t>
            </w:r>
            <w:r w:rsidRPr="00DA7F54">
              <w:rPr>
                <w:lang w:val="fr-FR"/>
              </w:rPr>
              <w:t xml:space="preserve">ompétence </w:t>
            </w:r>
            <w:proofErr w:type="spellStart"/>
            <w:r w:rsidRPr="00DA7F54">
              <w:rPr>
                <w:i/>
                <w:lang w:val="fr-FR"/>
              </w:rPr>
              <w:t>ratione</w:t>
            </w:r>
            <w:proofErr w:type="spellEnd"/>
            <w:r w:rsidRPr="00DA7F54">
              <w:rPr>
                <w:i/>
                <w:lang w:val="fr-FR"/>
              </w:rPr>
              <w:t xml:space="preserve"> </w:t>
            </w:r>
            <w:proofErr w:type="spellStart"/>
            <w:r w:rsidRPr="00DA7F54">
              <w:rPr>
                <w:i/>
                <w:lang w:val="fr-FR"/>
              </w:rPr>
              <w:t>temporis</w:t>
            </w:r>
            <w:proofErr w:type="spellEnd"/>
            <w:r w:rsidRPr="00DA7F54">
              <w:rPr>
                <w:lang w:val="fr-FR"/>
              </w:rPr>
              <w:t xml:space="preserve"> du Comité</w:t>
            </w:r>
            <w:r>
              <w:rPr>
                <w:lang w:val="fr-FR"/>
              </w:rPr>
              <w:t> ;</w:t>
            </w:r>
            <w:r w:rsidRPr="00DA7F54">
              <w:rPr>
                <w:lang w:val="fr-FR"/>
              </w:rPr>
              <w:t xml:space="preserve"> étayement insuffisant des allégations</w:t>
            </w:r>
          </w:p>
        </w:tc>
      </w:tr>
      <w:tr w:rsidR="00EE196F" w:rsidTr="00491F60">
        <w:tc>
          <w:tcPr>
            <w:tcW w:w="2552" w:type="dxa"/>
          </w:tcPr>
          <w:p w:rsidR="00EE196F" w:rsidRDefault="00EE196F" w:rsidP="00491F60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Question(s) de fond</w:t>
            </w:r>
            <w:r>
              <w:t> :</w:t>
            </w:r>
          </w:p>
        </w:tc>
        <w:tc>
          <w:tcPr>
            <w:tcW w:w="4253" w:type="dxa"/>
            <w:vAlign w:val="bottom"/>
          </w:tcPr>
          <w:p w:rsidR="00EE196F" w:rsidRPr="004032B9" w:rsidRDefault="00EE196F" w:rsidP="00491F60">
            <w:pPr>
              <w:pStyle w:val="SingleTxtG"/>
              <w:ind w:left="0" w:right="0"/>
              <w:jc w:val="left"/>
            </w:pPr>
            <w:r w:rsidRPr="00B74B50">
              <w:rPr>
                <w:lang w:val="fr-FR"/>
              </w:rPr>
              <w:t>Droit au travail</w:t>
            </w:r>
            <w:r>
              <w:rPr>
                <w:lang w:val="fr-FR"/>
              </w:rPr>
              <w:t> ;</w:t>
            </w:r>
            <w:r w:rsidRPr="00B74B50">
              <w:rPr>
                <w:lang w:val="fr-FR"/>
              </w:rPr>
              <w:t xml:space="preserve"> sécurité et hygiène du travail</w:t>
            </w:r>
            <w:r>
              <w:rPr>
                <w:lang w:val="fr-FR"/>
              </w:rPr>
              <w:t> ;</w:t>
            </w:r>
            <w:r w:rsidRPr="00B74B50">
              <w:rPr>
                <w:lang w:val="fr-FR"/>
              </w:rPr>
              <w:t xml:space="preserve"> droit à la santé</w:t>
            </w:r>
          </w:p>
        </w:tc>
      </w:tr>
      <w:tr w:rsidR="00EE196F" w:rsidTr="00491F60">
        <w:tc>
          <w:tcPr>
            <w:tcW w:w="2552" w:type="dxa"/>
          </w:tcPr>
          <w:p w:rsidR="00EE196F" w:rsidRPr="00E472B5" w:rsidRDefault="00EE196F" w:rsidP="00491F60">
            <w:pPr>
              <w:pStyle w:val="SingleTxtG"/>
              <w:ind w:left="0" w:right="0"/>
              <w:jc w:val="left"/>
            </w:pPr>
            <w:r>
              <w:rPr>
                <w:i/>
              </w:rPr>
              <w:t>Article(s) du Pacte</w:t>
            </w:r>
            <w:r>
              <w:t> :</w:t>
            </w:r>
          </w:p>
        </w:tc>
        <w:tc>
          <w:tcPr>
            <w:tcW w:w="4253" w:type="dxa"/>
            <w:vAlign w:val="bottom"/>
          </w:tcPr>
          <w:p w:rsidR="00EE196F" w:rsidRDefault="00EE196F" w:rsidP="00491F60">
            <w:pPr>
              <w:pStyle w:val="SingleTxtG"/>
              <w:ind w:left="57" w:right="0"/>
              <w:jc w:val="left"/>
            </w:pPr>
            <w:r>
              <w:rPr>
                <w:lang w:val="fr-FR"/>
              </w:rPr>
              <w:t xml:space="preserve">2, </w:t>
            </w:r>
            <w:r w:rsidRPr="00B74B50">
              <w:rPr>
                <w:lang w:val="fr-FR"/>
              </w:rPr>
              <w:t>6, 7 et 12</w:t>
            </w:r>
          </w:p>
        </w:tc>
      </w:tr>
      <w:tr w:rsidR="00EE196F" w:rsidTr="00491F60">
        <w:tc>
          <w:tcPr>
            <w:tcW w:w="2552" w:type="dxa"/>
          </w:tcPr>
          <w:p w:rsidR="00EE196F" w:rsidRDefault="00EE196F" w:rsidP="00491F60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Article(s) du Protocole facultatif :</w:t>
            </w:r>
          </w:p>
        </w:tc>
        <w:tc>
          <w:tcPr>
            <w:tcW w:w="4253" w:type="dxa"/>
            <w:vAlign w:val="bottom"/>
          </w:tcPr>
          <w:p w:rsidR="00EE196F" w:rsidRPr="00B74B50" w:rsidRDefault="00EE196F" w:rsidP="00491F60">
            <w:pPr>
              <w:pStyle w:val="SingleTxtG"/>
              <w:ind w:left="57" w:right="0"/>
              <w:jc w:val="left"/>
              <w:rPr>
                <w:lang w:val="fr-FR"/>
              </w:rPr>
            </w:pPr>
            <w:r w:rsidRPr="00B74B50">
              <w:rPr>
                <w:lang w:val="fr-FR"/>
              </w:rPr>
              <w:t>3</w:t>
            </w:r>
            <w:r>
              <w:rPr>
                <w:lang w:val="fr-FR"/>
              </w:rPr>
              <w:t xml:space="preserve"> </w:t>
            </w:r>
            <w:r w:rsidRPr="00B74B50">
              <w:rPr>
                <w:lang w:val="fr-FR"/>
              </w:rPr>
              <w:t>(</w:t>
            </w:r>
            <w:r>
              <w:rPr>
                <w:lang w:val="fr-FR"/>
              </w:rPr>
              <w:t>par. 1 et par. </w:t>
            </w:r>
            <w:r w:rsidRPr="00B74B50">
              <w:rPr>
                <w:lang w:val="fr-FR"/>
              </w:rPr>
              <w:t>2</w:t>
            </w:r>
            <w:r>
              <w:rPr>
                <w:lang w:val="fr-FR"/>
              </w:rPr>
              <w:t xml:space="preserve"> a), </w:t>
            </w:r>
            <w:r w:rsidRPr="00B74B50">
              <w:rPr>
                <w:lang w:val="fr-FR"/>
              </w:rPr>
              <w:t>b) et e)</w:t>
            </w:r>
            <w:r>
              <w:rPr>
                <w:lang w:val="fr-FR"/>
              </w:rPr>
              <w:t>)</w:t>
            </w:r>
          </w:p>
        </w:tc>
      </w:tr>
    </w:tbl>
    <w:p w:rsidR="00EE196F" w:rsidRDefault="00EE196F" w:rsidP="00EE196F">
      <w:pPr>
        <w:pStyle w:val="SingleTxtG"/>
        <w:rPr>
          <w:lang w:val="fr-FR"/>
        </w:rPr>
      </w:pPr>
      <w:r w:rsidRPr="00B74B50">
        <w:rPr>
          <w:lang w:val="fr-FR"/>
        </w:rPr>
        <w:t>1.1</w:t>
      </w:r>
      <w:r w:rsidRPr="00B74B50">
        <w:rPr>
          <w:lang w:val="fr-FR"/>
        </w:rPr>
        <w:tab/>
      </w:r>
      <w:r w:rsidRPr="00852A82">
        <w:rPr>
          <w:lang w:val="fr-FR"/>
        </w:rPr>
        <w:t>L</w:t>
      </w:r>
      <w:r w:rsidR="00864B14">
        <w:rPr>
          <w:lang w:val="fr-FR"/>
        </w:rPr>
        <w:t>’</w:t>
      </w:r>
      <w:r w:rsidRPr="00852A82">
        <w:rPr>
          <w:lang w:val="fr-FR"/>
        </w:rPr>
        <w:t xml:space="preserve">auteur de la communication est Jaime </w:t>
      </w:r>
      <w:proofErr w:type="spellStart"/>
      <w:r w:rsidRPr="00852A82">
        <w:rPr>
          <w:lang w:val="fr-FR"/>
        </w:rPr>
        <w:t>Efraín</w:t>
      </w:r>
      <w:proofErr w:type="spellEnd"/>
      <w:r w:rsidRPr="00852A82">
        <w:rPr>
          <w:lang w:val="fr-FR"/>
        </w:rPr>
        <w:t xml:space="preserve"> </w:t>
      </w:r>
      <w:proofErr w:type="spellStart"/>
      <w:r w:rsidRPr="00852A82">
        <w:rPr>
          <w:lang w:val="fr-FR"/>
        </w:rPr>
        <w:t>Arrellano</w:t>
      </w:r>
      <w:proofErr w:type="spellEnd"/>
      <w:r w:rsidRPr="00852A82">
        <w:rPr>
          <w:lang w:val="fr-FR"/>
        </w:rPr>
        <w:t xml:space="preserve"> Medina, de nationalité équatorienne. Au moment où la communication a été soumise au Comité, </w:t>
      </w:r>
      <w:r>
        <w:rPr>
          <w:lang w:val="fr-FR"/>
        </w:rPr>
        <w:t>il</w:t>
      </w:r>
      <w:r w:rsidRPr="00852A82">
        <w:rPr>
          <w:lang w:val="fr-FR"/>
        </w:rPr>
        <w:t xml:space="preserve"> avait 75</w:t>
      </w:r>
      <w:r>
        <w:rPr>
          <w:lang w:val="fr-FR"/>
        </w:rPr>
        <w:t> </w:t>
      </w:r>
      <w:r w:rsidRPr="00852A82">
        <w:rPr>
          <w:lang w:val="fr-FR"/>
        </w:rPr>
        <w:t>ans. L</w:t>
      </w:r>
      <w:r w:rsidR="00864B14">
        <w:rPr>
          <w:lang w:val="fr-FR"/>
        </w:rPr>
        <w:t>’</w:t>
      </w:r>
      <w:r w:rsidRPr="00852A82">
        <w:rPr>
          <w:lang w:val="fr-FR"/>
        </w:rPr>
        <w:t>auteur affirme qu</w:t>
      </w:r>
      <w:r w:rsidR="00864B14">
        <w:rPr>
          <w:lang w:val="fr-FR"/>
        </w:rPr>
        <w:t>’</w:t>
      </w:r>
      <w:r w:rsidRPr="00852A82">
        <w:rPr>
          <w:lang w:val="fr-FR"/>
        </w:rPr>
        <w:t>il a été victime d</w:t>
      </w:r>
      <w:r w:rsidR="00864B14">
        <w:rPr>
          <w:lang w:val="fr-FR"/>
        </w:rPr>
        <w:t>’</w:t>
      </w:r>
      <w:r w:rsidRPr="00852A82">
        <w:rPr>
          <w:lang w:val="fr-FR"/>
        </w:rPr>
        <w:t>une violation par l</w:t>
      </w:r>
      <w:r w:rsidR="00864B14">
        <w:rPr>
          <w:lang w:val="fr-FR"/>
        </w:rPr>
        <w:t>’</w:t>
      </w:r>
      <w:r w:rsidRPr="00852A82">
        <w:rPr>
          <w:lang w:val="fr-FR"/>
        </w:rPr>
        <w:t>État partie</w:t>
      </w:r>
      <w:r>
        <w:rPr>
          <w:lang w:val="fr-FR"/>
        </w:rPr>
        <w:t xml:space="preserve"> des droits qu</w:t>
      </w:r>
      <w:r w:rsidR="00864B14">
        <w:rPr>
          <w:lang w:val="fr-FR"/>
        </w:rPr>
        <w:t>’</w:t>
      </w:r>
      <w:r>
        <w:rPr>
          <w:lang w:val="fr-FR"/>
        </w:rPr>
        <w:t>il tient</w:t>
      </w:r>
      <w:r w:rsidRPr="00852A82">
        <w:rPr>
          <w:lang w:val="fr-FR"/>
        </w:rPr>
        <w:t xml:space="preserve"> des articles</w:t>
      </w:r>
      <w:r>
        <w:rPr>
          <w:lang w:val="fr-FR"/>
        </w:rPr>
        <w:t> </w:t>
      </w:r>
      <w:r w:rsidRPr="00852A82">
        <w:rPr>
          <w:lang w:val="fr-FR"/>
        </w:rPr>
        <w:t>6,</w:t>
      </w:r>
      <w:r>
        <w:rPr>
          <w:lang w:val="fr-FR"/>
        </w:rPr>
        <w:t xml:space="preserve"> </w:t>
      </w:r>
      <w:r w:rsidRPr="00852A82">
        <w:rPr>
          <w:lang w:val="fr-FR"/>
        </w:rPr>
        <w:t xml:space="preserve">7 et 12, </w:t>
      </w:r>
      <w:r>
        <w:rPr>
          <w:lang w:val="fr-FR"/>
        </w:rPr>
        <w:t xml:space="preserve">lus conjointement </w:t>
      </w:r>
      <w:r w:rsidRPr="00852A82">
        <w:rPr>
          <w:lang w:val="fr-FR"/>
        </w:rPr>
        <w:t>avec l</w:t>
      </w:r>
      <w:r w:rsidR="00864B14">
        <w:rPr>
          <w:lang w:val="fr-FR"/>
        </w:rPr>
        <w:t>’</w:t>
      </w:r>
      <w:r w:rsidRPr="00852A82">
        <w:rPr>
          <w:lang w:val="fr-FR"/>
        </w:rPr>
        <w:t>article 2</w:t>
      </w:r>
      <w:r>
        <w:rPr>
          <w:lang w:val="fr-FR"/>
        </w:rPr>
        <w:t>,</w:t>
      </w:r>
      <w:r w:rsidRPr="00852A82">
        <w:rPr>
          <w:lang w:val="fr-FR"/>
        </w:rPr>
        <w:t xml:space="preserve"> du Pacte international relatif aux droits économiques, sociaux et culturels</w:t>
      </w:r>
      <w:r w:rsidRPr="00B74B50">
        <w:rPr>
          <w:lang w:val="fr-FR"/>
        </w:rPr>
        <w:t xml:space="preserve">. </w:t>
      </w:r>
      <w:r>
        <w:rPr>
          <w:lang w:val="fr-FR"/>
        </w:rPr>
        <w:t>Le Protocole facultatif est entré en vigueur pour l</w:t>
      </w:r>
      <w:r w:rsidR="00864B14">
        <w:rPr>
          <w:lang w:val="fr-FR"/>
        </w:rPr>
        <w:t>’</w:t>
      </w:r>
      <w:r>
        <w:rPr>
          <w:lang w:val="fr-FR"/>
        </w:rPr>
        <w:t>État partie le 5</w:t>
      </w:r>
      <w:r w:rsidR="002814FC">
        <w:rPr>
          <w:lang w:val="fr-FR"/>
        </w:rPr>
        <w:t> </w:t>
      </w:r>
      <w:r>
        <w:rPr>
          <w:lang w:val="fr-FR"/>
        </w:rPr>
        <w:t xml:space="preserve">mai 2013. </w:t>
      </w:r>
      <w:r w:rsidRPr="00E72470">
        <w:rPr>
          <w:lang w:val="fr-FR"/>
        </w:rPr>
        <w:t>L</w:t>
      </w:r>
      <w:r w:rsidR="00864B14">
        <w:rPr>
          <w:lang w:val="fr-FR"/>
        </w:rPr>
        <w:t>’</w:t>
      </w:r>
      <w:r w:rsidRPr="00E72470">
        <w:rPr>
          <w:lang w:val="fr-FR"/>
        </w:rPr>
        <w:t>auteur est représenté par un conseil.</w:t>
      </w:r>
    </w:p>
    <w:p w:rsidR="00EE196F" w:rsidRPr="00B74B50" w:rsidRDefault="00EE196F" w:rsidP="00EE196F">
      <w:pPr>
        <w:pStyle w:val="SingleTxtG"/>
        <w:rPr>
          <w:lang w:val="fr-FR"/>
        </w:rPr>
      </w:pPr>
      <w:r w:rsidRPr="00B74B50">
        <w:rPr>
          <w:lang w:val="fr-FR"/>
        </w:rPr>
        <w:t>1.2</w:t>
      </w:r>
      <w:r w:rsidRPr="00B74B50">
        <w:rPr>
          <w:lang w:val="fr-FR"/>
        </w:rPr>
        <w:tab/>
      </w:r>
      <w:r>
        <w:rPr>
          <w:lang w:val="fr-FR"/>
        </w:rPr>
        <w:t>Dans la</w:t>
      </w:r>
      <w:r w:rsidRPr="00E72470">
        <w:rPr>
          <w:lang w:val="fr-FR"/>
        </w:rPr>
        <w:t xml:space="preserve"> présent</w:t>
      </w:r>
      <w:r>
        <w:rPr>
          <w:lang w:val="fr-FR"/>
        </w:rPr>
        <w:t>e</w:t>
      </w:r>
      <w:r w:rsidRPr="00E72470">
        <w:rPr>
          <w:lang w:val="fr-FR"/>
        </w:rPr>
        <w:t xml:space="preserve"> </w:t>
      </w:r>
      <w:r>
        <w:rPr>
          <w:lang w:val="fr-FR"/>
        </w:rPr>
        <w:t>décision</w:t>
      </w:r>
      <w:r w:rsidRPr="00E72470">
        <w:rPr>
          <w:lang w:val="fr-FR"/>
        </w:rPr>
        <w:t xml:space="preserve">, le Comité </w:t>
      </w:r>
      <w:r>
        <w:rPr>
          <w:lang w:val="fr-FR"/>
        </w:rPr>
        <w:t>fait</w:t>
      </w:r>
      <w:r w:rsidRPr="00E72470">
        <w:rPr>
          <w:lang w:val="fr-FR"/>
        </w:rPr>
        <w:t xml:space="preserve"> d</w:t>
      </w:r>
      <w:r w:rsidR="00864B14">
        <w:rPr>
          <w:lang w:val="fr-FR"/>
        </w:rPr>
        <w:t>’</w:t>
      </w:r>
      <w:r w:rsidRPr="00E72470">
        <w:rPr>
          <w:lang w:val="fr-FR"/>
        </w:rPr>
        <w:t xml:space="preserve">abord </w:t>
      </w:r>
      <w:r>
        <w:rPr>
          <w:lang w:val="fr-FR"/>
        </w:rPr>
        <w:t>la synthèse d</w:t>
      </w:r>
      <w:r w:rsidRPr="00E72470">
        <w:rPr>
          <w:lang w:val="fr-FR"/>
        </w:rPr>
        <w:t xml:space="preserve">es </w:t>
      </w:r>
      <w:r>
        <w:rPr>
          <w:lang w:val="fr-FR"/>
        </w:rPr>
        <w:t>renseignements</w:t>
      </w:r>
      <w:r w:rsidRPr="00E72470">
        <w:rPr>
          <w:lang w:val="fr-FR"/>
        </w:rPr>
        <w:t xml:space="preserve"> et </w:t>
      </w:r>
      <w:r>
        <w:rPr>
          <w:lang w:val="fr-FR"/>
        </w:rPr>
        <w:t xml:space="preserve">des </w:t>
      </w:r>
      <w:r w:rsidRPr="00E72470">
        <w:rPr>
          <w:lang w:val="fr-FR"/>
        </w:rPr>
        <w:t xml:space="preserve">arguments présentés par les parties, sans </w:t>
      </w:r>
      <w:r>
        <w:rPr>
          <w:lang w:val="fr-FR"/>
        </w:rPr>
        <w:t>rendre compte de ses</w:t>
      </w:r>
      <w:r w:rsidRPr="00E72470">
        <w:rPr>
          <w:lang w:val="fr-FR"/>
        </w:rPr>
        <w:t xml:space="preserve"> vues, puis examin</w:t>
      </w:r>
      <w:r>
        <w:rPr>
          <w:lang w:val="fr-FR"/>
        </w:rPr>
        <w:t>e la question de la recevabilité</w:t>
      </w:r>
      <w:r w:rsidRPr="00B74B50">
        <w:rPr>
          <w:lang w:val="fr-FR"/>
        </w:rPr>
        <w:t>.</w:t>
      </w:r>
    </w:p>
    <w:p w:rsidR="00EE196F" w:rsidRPr="00B74B50" w:rsidRDefault="00EE196F" w:rsidP="00EE196F">
      <w:pPr>
        <w:pStyle w:val="H1G"/>
        <w:rPr>
          <w:lang w:val="fr-FR"/>
        </w:rPr>
      </w:pPr>
      <w:r w:rsidRPr="00B74B50">
        <w:rPr>
          <w:lang w:val="fr-FR"/>
        </w:rPr>
        <w:lastRenderedPageBreak/>
        <w:tab/>
        <w:t>A.</w:t>
      </w:r>
      <w:r w:rsidRPr="00B74B50">
        <w:rPr>
          <w:lang w:val="fr-FR"/>
        </w:rPr>
        <w:tab/>
        <w:t xml:space="preserve">Résumé des renseignements fournis et des arguments </w:t>
      </w:r>
      <w:r>
        <w:rPr>
          <w:lang w:val="fr-FR"/>
        </w:rPr>
        <w:br/>
      </w:r>
      <w:r w:rsidRPr="00B74B50">
        <w:rPr>
          <w:lang w:val="fr-FR"/>
        </w:rPr>
        <w:t>avancés par les parties</w:t>
      </w:r>
    </w:p>
    <w:p w:rsidR="00EE196F" w:rsidRPr="00B74B50" w:rsidRDefault="00EE196F" w:rsidP="00EE196F">
      <w:pPr>
        <w:pStyle w:val="H23G"/>
        <w:rPr>
          <w:lang w:val="fr-FR"/>
        </w:rPr>
      </w:pPr>
      <w:r w:rsidRPr="00B74B50">
        <w:rPr>
          <w:lang w:val="fr-FR"/>
        </w:rPr>
        <w:tab/>
      </w:r>
      <w:r w:rsidRPr="00B74B50">
        <w:rPr>
          <w:lang w:val="fr-FR"/>
        </w:rPr>
        <w:tab/>
        <w:t>Rappel des faits présentés par l</w:t>
      </w:r>
      <w:r w:rsidR="00864B14">
        <w:rPr>
          <w:lang w:val="fr-FR"/>
        </w:rPr>
        <w:t>’</w:t>
      </w:r>
      <w:r w:rsidRPr="00B74B50">
        <w:rPr>
          <w:lang w:val="fr-FR"/>
        </w:rPr>
        <w:t>auteur</w:t>
      </w:r>
    </w:p>
    <w:p w:rsidR="00EE196F" w:rsidRPr="007D1EEE" w:rsidRDefault="00EE196F" w:rsidP="00EE196F">
      <w:pPr>
        <w:pStyle w:val="SingleTxtG"/>
        <w:rPr>
          <w:lang w:val="fr-FR"/>
        </w:rPr>
      </w:pPr>
      <w:r w:rsidRPr="00B74B50">
        <w:rPr>
          <w:lang w:val="fr-FR"/>
        </w:rPr>
        <w:t xml:space="preserve">2.1 </w:t>
      </w:r>
      <w:r w:rsidRPr="00B74B50">
        <w:rPr>
          <w:lang w:val="fr-FR"/>
        </w:rPr>
        <w:tab/>
      </w:r>
      <w:r>
        <w:rPr>
          <w:lang w:val="fr-FR"/>
        </w:rPr>
        <w:t>I</w:t>
      </w:r>
      <w:r w:rsidRPr="00532656">
        <w:rPr>
          <w:lang w:val="fr-FR"/>
        </w:rPr>
        <w:t xml:space="preserve">ngénieur chimiste, </w:t>
      </w:r>
      <w:r>
        <w:rPr>
          <w:lang w:val="fr-FR"/>
        </w:rPr>
        <w:t>l</w:t>
      </w:r>
      <w:r w:rsidR="00864B14">
        <w:rPr>
          <w:lang w:val="fr-FR"/>
        </w:rPr>
        <w:t>’</w:t>
      </w:r>
      <w:r>
        <w:rPr>
          <w:lang w:val="fr-FR"/>
        </w:rPr>
        <w:t xml:space="preserve">auteur </w:t>
      </w:r>
      <w:r w:rsidRPr="00532656">
        <w:rPr>
          <w:lang w:val="fr-FR"/>
        </w:rPr>
        <w:t xml:space="preserve">a rejoint </w:t>
      </w:r>
      <w:r>
        <w:rPr>
          <w:lang w:val="fr-FR"/>
        </w:rPr>
        <w:t>l</w:t>
      </w:r>
      <w:r w:rsidR="00864B14">
        <w:rPr>
          <w:lang w:val="fr-FR"/>
        </w:rPr>
        <w:t>’</w:t>
      </w:r>
      <w:r>
        <w:rPr>
          <w:lang w:val="fr-FR"/>
        </w:rPr>
        <w:t>entreprise pétrolière publique de l</w:t>
      </w:r>
      <w:r w:rsidR="00864B14">
        <w:rPr>
          <w:lang w:val="fr-FR"/>
        </w:rPr>
        <w:t>’</w:t>
      </w:r>
      <w:r>
        <w:rPr>
          <w:lang w:val="fr-FR"/>
        </w:rPr>
        <w:t xml:space="preserve">Équateur </w:t>
      </w:r>
      <w:r w:rsidRPr="00532656">
        <w:rPr>
          <w:lang w:val="fr-FR"/>
        </w:rPr>
        <w:t>(CEPE) le 1</w:t>
      </w:r>
      <w:r w:rsidRPr="002856A0">
        <w:rPr>
          <w:vertAlign w:val="superscript"/>
          <w:lang w:val="fr-FR"/>
        </w:rPr>
        <w:t>er</w:t>
      </w:r>
      <w:r>
        <w:rPr>
          <w:lang w:val="fr-FR"/>
        </w:rPr>
        <w:t> </w:t>
      </w:r>
      <w:r w:rsidRPr="00532656">
        <w:rPr>
          <w:lang w:val="fr-FR"/>
        </w:rPr>
        <w:t>octobre 1975 dans la province d</w:t>
      </w:r>
      <w:r w:rsidR="00864B14">
        <w:rPr>
          <w:lang w:val="fr-FR"/>
        </w:rPr>
        <w:t>’</w:t>
      </w:r>
      <w:r w:rsidRPr="00532656">
        <w:rPr>
          <w:lang w:val="fr-FR"/>
        </w:rPr>
        <w:t xml:space="preserve">Esmeraldas. </w:t>
      </w:r>
      <w:r w:rsidRPr="007D1EEE">
        <w:rPr>
          <w:lang w:val="fr-FR"/>
        </w:rPr>
        <w:t>La CEPE a par la suite changé de nom pour s</w:t>
      </w:r>
      <w:r w:rsidR="00864B14">
        <w:rPr>
          <w:lang w:val="fr-FR"/>
        </w:rPr>
        <w:t>’</w:t>
      </w:r>
      <w:r w:rsidRPr="007D1EEE">
        <w:rPr>
          <w:lang w:val="fr-FR"/>
        </w:rPr>
        <w:t>appeler PETROECUADOR (</w:t>
      </w:r>
      <w:proofErr w:type="spellStart"/>
      <w:r w:rsidRPr="007D1EEE">
        <w:rPr>
          <w:lang w:val="fr-FR"/>
        </w:rPr>
        <w:t>Empresa</w:t>
      </w:r>
      <w:proofErr w:type="spellEnd"/>
      <w:r w:rsidRPr="007D1EEE">
        <w:rPr>
          <w:lang w:val="fr-FR"/>
        </w:rPr>
        <w:t xml:space="preserve"> </w:t>
      </w:r>
      <w:proofErr w:type="spellStart"/>
      <w:r w:rsidRPr="007D1EEE">
        <w:rPr>
          <w:lang w:val="fr-FR"/>
        </w:rPr>
        <w:t>Estatal</w:t>
      </w:r>
      <w:proofErr w:type="spellEnd"/>
      <w:r w:rsidRPr="007D1EEE">
        <w:rPr>
          <w:lang w:val="fr-FR"/>
        </w:rPr>
        <w:t xml:space="preserve"> de </w:t>
      </w:r>
      <w:proofErr w:type="spellStart"/>
      <w:r w:rsidRPr="007D1EEE">
        <w:rPr>
          <w:lang w:val="fr-FR"/>
        </w:rPr>
        <w:t>Petróleos</w:t>
      </w:r>
      <w:proofErr w:type="spellEnd"/>
      <w:r w:rsidRPr="007D1EEE">
        <w:rPr>
          <w:lang w:val="fr-FR"/>
        </w:rPr>
        <w:t xml:space="preserve"> </w:t>
      </w:r>
      <w:proofErr w:type="spellStart"/>
      <w:r w:rsidRPr="007D1EEE">
        <w:rPr>
          <w:lang w:val="fr-FR"/>
        </w:rPr>
        <w:t>del</w:t>
      </w:r>
      <w:proofErr w:type="spellEnd"/>
      <w:r w:rsidRPr="007D1EEE">
        <w:rPr>
          <w:lang w:val="fr-FR"/>
        </w:rPr>
        <w:t xml:space="preserve"> </w:t>
      </w:r>
      <w:proofErr w:type="spellStart"/>
      <w:r w:rsidRPr="007D1EEE">
        <w:rPr>
          <w:lang w:val="fr-FR"/>
        </w:rPr>
        <w:t>Ecuador</w:t>
      </w:r>
      <w:proofErr w:type="spellEnd"/>
      <w:r w:rsidRPr="007D1EEE">
        <w:rPr>
          <w:lang w:val="fr-FR"/>
        </w:rPr>
        <w:t>)</w:t>
      </w:r>
      <w:r w:rsidRPr="00FC7ABD">
        <w:rPr>
          <w:rStyle w:val="Appelnotedebasdep"/>
        </w:rPr>
        <w:footnoteReference w:id="2"/>
      </w:r>
      <w:r>
        <w:rPr>
          <w:lang w:val="fr-FR"/>
        </w:rPr>
        <w:t>.</w:t>
      </w:r>
      <w:r w:rsidRPr="007D1EEE">
        <w:rPr>
          <w:lang w:val="fr-FR"/>
        </w:rPr>
        <w:t xml:space="preserve"> </w:t>
      </w:r>
      <w:r w:rsidRPr="002856A0">
        <w:rPr>
          <w:lang w:val="fr-FR"/>
        </w:rPr>
        <w:t>Il</w:t>
      </w:r>
      <w:r>
        <w:rPr>
          <w:lang w:val="fr-FR"/>
        </w:rPr>
        <w:t> </w:t>
      </w:r>
      <w:r w:rsidRPr="002856A0">
        <w:rPr>
          <w:lang w:val="fr-FR"/>
        </w:rPr>
        <w:t xml:space="preserve">a travaillé pendant plus de trente ans en tant que spécialiste administratif II-C à PETROINDUSTRIAL, filiale de PETROECUADOR. </w:t>
      </w:r>
    </w:p>
    <w:p w:rsidR="00EE196F" w:rsidRPr="005E05D5" w:rsidRDefault="00EE196F" w:rsidP="00EE196F">
      <w:pPr>
        <w:pStyle w:val="SingleTxtG"/>
        <w:rPr>
          <w:lang w:val="fr-FR"/>
        </w:rPr>
      </w:pPr>
      <w:r w:rsidRPr="007D1EEE">
        <w:rPr>
          <w:lang w:val="fr-FR"/>
        </w:rPr>
        <w:t xml:space="preserve">2.2 </w:t>
      </w:r>
      <w:r w:rsidRPr="007D1EEE">
        <w:rPr>
          <w:lang w:val="fr-FR"/>
        </w:rPr>
        <w:tab/>
        <w:t>Le 24</w:t>
      </w:r>
      <w:r>
        <w:rPr>
          <w:lang w:val="fr-FR"/>
        </w:rPr>
        <w:t> </w:t>
      </w:r>
      <w:r w:rsidRPr="007D1EEE">
        <w:rPr>
          <w:lang w:val="fr-FR"/>
        </w:rPr>
        <w:t>octobre 2007, l</w:t>
      </w:r>
      <w:r w:rsidR="00864B14">
        <w:rPr>
          <w:lang w:val="fr-FR"/>
        </w:rPr>
        <w:t>’</w:t>
      </w:r>
      <w:r w:rsidRPr="007D1EEE">
        <w:rPr>
          <w:lang w:val="fr-FR"/>
        </w:rPr>
        <w:t>auteur a saisi l</w:t>
      </w:r>
      <w:r w:rsidR="00864B14">
        <w:rPr>
          <w:lang w:val="fr-FR"/>
        </w:rPr>
        <w:t>’</w:t>
      </w:r>
      <w:r w:rsidRPr="007D1EEE">
        <w:rPr>
          <w:lang w:val="fr-FR"/>
        </w:rPr>
        <w:t>Inspecteur du travail d</w:t>
      </w:r>
      <w:r w:rsidR="00864B14">
        <w:rPr>
          <w:lang w:val="fr-FR"/>
        </w:rPr>
        <w:t>’</w:t>
      </w:r>
      <w:r w:rsidRPr="007D1EEE">
        <w:rPr>
          <w:lang w:val="fr-FR"/>
        </w:rPr>
        <w:t xml:space="preserve">Esmeraldas aux fins de la </w:t>
      </w:r>
      <w:r>
        <w:rPr>
          <w:lang w:val="fr-FR"/>
        </w:rPr>
        <w:t>résiliation</w:t>
      </w:r>
      <w:r w:rsidRPr="007D1EEE">
        <w:rPr>
          <w:lang w:val="fr-FR"/>
        </w:rPr>
        <w:t xml:space="preserve"> de son contrat de travail en vertu de l</w:t>
      </w:r>
      <w:r w:rsidR="00864B14">
        <w:rPr>
          <w:lang w:val="fr-FR"/>
        </w:rPr>
        <w:t>’</w:t>
      </w:r>
      <w:r w:rsidRPr="007D1EEE">
        <w:rPr>
          <w:lang w:val="fr-FR"/>
        </w:rPr>
        <w:t>article</w:t>
      </w:r>
      <w:r w:rsidR="002814FC">
        <w:rPr>
          <w:lang w:val="fr-FR"/>
        </w:rPr>
        <w:t xml:space="preserve"> </w:t>
      </w:r>
      <w:r w:rsidRPr="007D1EEE">
        <w:rPr>
          <w:lang w:val="fr-FR"/>
        </w:rPr>
        <w:t>184 du Code du travail</w:t>
      </w:r>
      <w:r>
        <w:rPr>
          <w:lang w:val="fr-FR"/>
        </w:rPr>
        <w:t xml:space="preserve"> (procédure dite de </w:t>
      </w:r>
      <w:proofErr w:type="spellStart"/>
      <w:r w:rsidRPr="00526EE1">
        <w:rPr>
          <w:i/>
          <w:lang w:val="fr-FR"/>
        </w:rPr>
        <w:t>desahucio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laboral</w:t>
      </w:r>
      <w:proofErr w:type="spellEnd"/>
      <w:r>
        <w:rPr>
          <w:lang w:val="fr-FR"/>
        </w:rPr>
        <w:t>)</w:t>
      </w:r>
      <w:r w:rsidRPr="007D1EEE">
        <w:rPr>
          <w:lang w:val="fr-FR"/>
        </w:rPr>
        <w:t xml:space="preserve">. </w:t>
      </w:r>
      <w:r>
        <w:rPr>
          <w:lang w:val="fr-FR"/>
        </w:rPr>
        <w:t>Il affirme que</w:t>
      </w:r>
      <w:r w:rsidRPr="005E05D5">
        <w:rPr>
          <w:lang w:val="fr-FR"/>
        </w:rPr>
        <w:t xml:space="preserve"> </w:t>
      </w:r>
      <w:r>
        <w:rPr>
          <w:lang w:val="fr-FR"/>
        </w:rPr>
        <w:t>son entreprise ne respectait pas l</w:t>
      </w:r>
      <w:r w:rsidRPr="005E05D5">
        <w:rPr>
          <w:lang w:val="fr-FR"/>
        </w:rPr>
        <w:t xml:space="preserve">es conditions minimales </w:t>
      </w:r>
      <w:r>
        <w:rPr>
          <w:lang w:val="fr-FR"/>
        </w:rPr>
        <w:t>d</w:t>
      </w:r>
      <w:r w:rsidR="00864B14">
        <w:rPr>
          <w:lang w:val="fr-FR"/>
        </w:rPr>
        <w:t>’</w:t>
      </w:r>
      <w:r>
        <w:rPr>
          <w:lang w:val="fr-FR"/>
        </w:rPr>
        <w:t>hygiène et ne prenait pas les mesures appropriées pour la manipulation de produits chimiques et de</w:t>
      </w:r>
      <w:r w:rsidRPr="005E05D5">
        <w:rPr>
          <w:lang w:val="fr-FR"/>
        </w:rPr>
        <w:t xml:space="preserve"> substances nocives.</w:t>
      </w:r>
    </w:p>
    <w:p w:rsidR="00EE196F" w:rsidRPr="002D04C2" w:rsidRDefault="002814FC" w:rsidP="00EE196F">
      <w:pPr>
        <w:pStyle w:val="SingleTxtG"/>
        <w:rPr>
          <w:lang w:val="fr-FR"/>
        </w:rPr>
      </w:pPr>
      <w:r>
        <w:rPr>
          <w:lang w:val="fr-FR"/>
        </w:rPr>
        <w:t>2.3</w:t>
      </w:r>
      <w:r w:rsidR="00EE196F" w:rsidRPr="002D04C2">
        <w:rPr>
          <w:lang w:val="fr-FR"/>
        </w:rPr>
        <w:tab/>
        <w:t>L</w:t>
      </w:r>
      <w:r w:rsidR="00864B14">
        <w:rPr>
          <w:lang w:val="fr-FR"/>
        </w:rPr>
        <w:t>’</w:t>
      </w:r>
      <w:r w:rsidR="00EE196F" w:rsidRPr="002D04C2">
        <w:rPr>
          <w:lang w:val="fr-FR"/>
        </w:rPr>
        <w:t xml:space="preserve">auteur fait valoir </w:t>
      </w:r>
      <w:r w:rsidR="00EE196F">
        <w:rPr>
          <w:lang w:val="fr-FR"/>
        </w:rPr>
        <w:t>qu</w:t>
      </w:r>
      <w:r w:rsidR="00864B14">
        <w:rPr>
          <w:lang w:val="fr-FR"/>
        </w:rPr>
        <w:t>’</w:t>
      </w:r>
      <w:r w:rsidR="00EE196F">
        <w:rPr>
          <w:lang w:val="fr-FR"/>
        </w:rPr>
        <w:t>après avoir reçu sa demande</w:t>
      </w:r>
      <w:r w:rsidR="00EE196F" w:rsidRPr="002D04C2">
        <w:rPr>
          <w:lang w:val="fr-FR"/>
        </w:rPr>
        <w:t>, l</w:t>
      </w:r>
      <w:r w:rsidR="00864B14">
        <w:rPr>
          <w:lang w:val="fr-FR"/>
        </w:rPr>
        <w:t>’</w:t>
      </w:r>
      <w:r w:rsidR="00EE196F" w:rsidRPr="002D04C2">
        <w:rPr>
          <w:lang w:val="fr-FR"/>
        </w:rPr>
        <w:t xml:space="preserve">employeur </w:t>
      </w:r>
      <w:r w:rsidR="00EE196F">
        <w:rPr>
          <w:lang w:val="fr-FR"/>
        </w:rPr>
        <w:t>devait lui verser</w:t>
      </w:r>
      <w:r w:rsidR="00EE196F" w:rsidRPr="002D04C2">
        <w:rPr>
          <w:lang w:val="fr-FR"/>
        </w:rPr>
        <w:t xml:space="preserve"> </w:t>
      </w:r>
      <w:r w:rsidR="00EE196F">
        <w:rPr>
          <w:lang w:val="fr-FR"/>
        </w:rPr>
        <w:t>la</w:t>
      </w:r>
      <w:r w:rsidR="00EE196F" w:rsidRPr="002D04C2">
        <w:rPr>
          <w:lang w:val="fr-FR"/>
        </w:rPr>
        <w:t xml:space="preserve"> </w:t>
      </w:r>
      <w:r w:rsidR="00EE196F">
        <w:rPr>
          <w:lang w:val="fr-FR"/>
        </w:rPr>
        <w:t>somme</w:t>
      </w:r>
      <w:r w:rsidR="00EE196F" w:rsidRPr="002D04C2">
        <w:rPr>
          <w:lang w:val="fr-FR"/>
        </w:rPr>
        <w:t xml:space="preserve"> qui lui </w:t>
      </w:r>
      <w:r w:rsidR="00864B14">
        <w:rPr>
          <w:lang w:val="fr-FR"/>
        </w:rPr>
        <w:t>était due</w:t>
      </w:r>
      <w:r w:rsidR="00EE196F" w:rsidRPr="002D04C2">
        <w:rPr>
          <w:lang w:val="fr-FR"/>
        </w:rPr>
        <w:t xml:space="preserve"> </w:t>
      </w:r>
      <w:r w:rsidR="00EE196F">
        <w:rPr>
          <w:lang w:val="fr-FR"/>
        </w:rPr>
        <w:t>à titre d</w:t>
      </w:r>
      <w:r w:rsidR="00864B14">
        <w:rPr>
          <w:lang w:val="fr-FR"/>
        </w:rPr>
        <w:t>’</w:t>
      </w:r>
      <w:r w:rsidR="00EE196F">
        <w:rPr>
          <w:lang w:val="fr-FR"/>
        </w:rPr>
        <w:t>indemnisation</w:t>
      </w:r>
      <w:r w:rsidR="00EE196F" w:rsidRPr="002D04C2">
        <w:rPr>
          <w:lang w:val="fr-FR"/>
        </w:rPr>
        <w:t>, conformément aux dispositions des articles</w:t>
      </w:r>
      <w:r w:rsidR="00EE196F">
        <w:rPr>
          <w:lang w:val="fr-FR"/>
        </w:rPr>
        <w:t> </w:t>
      </w:r>
      <w:r w:rsidR="00EE196F" w:rsidRPr="002D04C2">
        <w:rPr>
          <w:lang w:val="fr-FR"/>
        </w:rPr>
        <w:t xml:space="preserve">13 et 14 </w:t>
      </w:r>
      <w:r w:rsidR="00EE196F">
        <w:rPr>
          <w:lang w:val="fr-FR"/>
        </w:rPr>
        <w:t>de la</w:t>
      </w:r>
      <w:r w:rsidR="00EE196F" w:rsidRPr="002D04C2">
        <w:rPr>
          <w:lang w:val="fr-FR"/>
        </w:rPr>
        <w:t xml:space="preserve"> sixième </w:t>
      </w:r>
      <w:r w:rsidR="00EE196F">
        <w:rPr>
          <w:lang w:val="fr-FR"/>
        </w:rPr>
        <w:t>convention collective de travail</w:t>
      </w:r>
      <w:r w:rsidR="00EE196F" w:rsidRPr="002D04C2">
        <w:rPr>
          <w:lang w:val="fr-FR"/>
        </w:rPr>
        <w:t xml:space="preserve"> signé</w:t>
      </w:r>
      <w:r w:rsidR="00EE196F">
        <w:rPr>
          <w:lang w:val="fr-FR"/>
        </w:rPr>
        <w:t>e</w:t>
      </w:r>
      <w:r w:rsidR="00EE196F" w:rsidRPr="002D04C2">
        <w:rPr>
          <w:lang w:val="fr-FR"/>
        </w:rPr>
        <w:t xml:space="preserve"> entre PETROINDUSTRIAL et le Comité des travailleurs CRTRAPIN le 28</w:t>
      </w:r>
      <w:r w:rsidR="00EE196F">
        <w:rPr>
          <w:lang w:val="fr-FR"/>
        </w:rPr>
        <w:t> </w:t>
      </w:r>
      <w:r w:rsidR="00EE196F" w:rsidRPr="002D04C2">
        <w:rPr>
          <w:lang w:val="fr-FR"/>
        </w:rPr>
        <w:t xml:space="preserve">novembre </w:t>
      </w:r>
      <w:r w:rsidR="00864B14">
        <w:rPr>
          <w:lang w:val="fr-FR"/>
        </w:rPr>
        <w:t>20</w:t>
      </w:r>
      <w:r w:rsidR="00EE196F">
        <w:rPr>
          <w:lang w:val="fr-FR"/>
        </w:rPr>
        <w:t>0</w:t>
      </w:r>
      <w:r w:rsidR="00864B14">
        <w:rPr>
          <w:lang w:val="fr-FR"/>
        </w:rPr>
        <w:t>1</w:t>
      </w:r>
      <w:r w:rsidR="00EE196F" w:rsidRPr="002D04C2">
        <w:rPr>
          <w:lang w:val="fr-FR"/>
        </w:rPr>
        <w:t>.</w:t>
      </w:r>
    </w:p>
    <w:p w:rsidR="00EE196F" w:rsidRPr="009027E7" w:rsidRDefault="002814FC" w:rsidP="00EE196F">
      <w:pPr>
        <w:pStyle w:val="SingleTxtG"/>
        <w:rPr>
          <w:lang w:val="fr-FR"/>
        </w:rPr>
      </w:pPr>
      <w:r>
        <w:rPr>
          <w:lang w:val="fr-FR"/>
        </w:rPr>
        <w:t>2.4</w:t>
      </w:r>
      <w:r w:rsidR="00EE196F" w:rsidRPr="00DB0780">
        <w:rPr>
          <w:lang w:val="fr-FR"/>
        </w:rPr>
        <w:tab/>
        <w:t>PETROINDUSTRIAL a versé à l</w:t>
      </w:r>
      <w:r w:rsidR="00864B14">
        <w:rPr>
          <w:lang w:val="fr-FR"/>
        </w:rPr>
        <w:t>’</w:t>
      </w:r>
      <w:r w:rsidR="00EE196F" w:rsidRPr="00DB0780">
        <w:rPr>
          <w:lang w:val="fr-FR"/>
        </w:rPr>
        <w:t>auteur, pour solde d</w:t>
      </w:r>
      <w:r w:rsidR="00EE196F">
        <w:rPr>
          <w:lang w:val="fr-FR"/>
        </w:rPr>
        <w:t>e tout compte, le montant de 28 </w:t>
      </w:r>
      <w:r w:rsidR="00EE196F" w:rsidRPr="00DB0780">
        <w:rPr>
          <w:lang w:val="fr-FR"/>
        </w:rPr>
        <w:t>589,12</w:t>
      </w:r>
      <w:r w:rsidR="00EE196F">
        <w:rPr>
          <w:lang w:val="fr-FR"/>
        </w:rPr>
        <w:t> dollars des États-Unis</w:t>
      </w:r>
      <w:r w:rsidR="00EE196F" w:rsidRPr="00DB0780">
        <w:rPr>
          <w:lang w:val="fr-FR"/>
        </w:rPr>
        <w:t xml:space="preserve"> correspondant </w:t>
      </w:r>
      <w:r w:rsidR="00EE196F">
        <w:rPr>
          <w:lang w:val="fr-FR"/>
        </w:rPr>
        <w:t>à l</w:t>
      </w:r>
      <w:r w:rsidR="00864B14">
        <w:rPr>
          <w:lang w:val="fr-FR"/>
        </w:rPr>
        <w:t>’</w:t>
      </w:r>
      <w:r w:rsidR="00EE196F">
        <w:rPr>
          <w:lang w:val="fr-FR"/>
        </w:rPr>
        <w:t>indemnisation prévue</w:t>
      </w:r>
      <w:r w:rsidR="00EE196F" w:rsidRPr="00DB0780">
        <w:rPr>
          <w:lang w:val="fr-FR"/>
        </w:rPr>
        <w:t xml:space="preserve"> à l</w:t>
      </w:r>
      <w:r w:rsidR="00864B14">
        <w:rPr>
          <w:lang w:val="fr-FR"/>
        </w:rPr>
        <w:t>’</w:t>
      </w:r>
      <w:r w:rsidR="00EE196F" w:rsidRPr="00DB0780">
        <w:rPr>
          <w:lang w:val="fr-FR"/>
        </w:rPr>
        <w:t>article</w:t>
      </w:r>
      <w:r w:rsidR="00EE196F">
        <w:rPr>
          <w:lang w:val="fr-FR"/>
        </w:rPr>
        <w:t> </w:t>
      </w:r>
      <w:r w:rsidR="00EE196F" w:rsidRPr="00DB0780">
        <w:rPr>
          <w:lang w:val="fr-FR"/>
        </w:rPr>
        <w:t xml:space="preserve">185 du Code du travail. </w:t>
      </w:r>
      <w:r w:rsidR="00EE196F" w:rsidRPr="009027E7">
        <w:rPr>
          <w:lang w:val="fr-FR"/>
        </w:rPr>
        <w:t>L</w:t>
      </w:r>
      <w:r w:rsidR="00864B14">
        <w:rPr>
          <w:lang w:val="fr-FR"/>
        </w:rPr>
        <w:t>’</w:t>
      </w:r>
      <w:r w:rsidR="00EE196F" w:rsidRPr="009027E7">
        <w:rPr>
          <w:lang w:val="fr-FR"/>
        </w:rPr>
        <w:t>aute</w:t>
      </w:r>
      <w:r w:rsidR="00EE196F">
        <w:rPr>
          <w:lang w:val="fr-FR"/>
        </w:rPr>
        <w:t>ur soutient que l</w:t>
      </w:r>
      <w:r w:rsidR="00864B14">
        <w:rPr>
          <w:lang w:val="fr-FR"/>
        </w:rPr>
        <w:t>’</w:t>
      </w:r>
      <w:r w:rsidR="00EE196F">
        <w:rPr>
          <w:lang w:val="fr-FR"/>
        </w:rPr>
        <w:t>entreprise n</w:t>
      </w:r>
      <w:r w:rsidR="00864B14">
        <w:rPr>
          <w:lang w:val="fr-FR"/>
        </w:rPr>
        <w:t>’</w:t>
      </w:r>
      <w:r w:rsidR="00EE196F" w:rsidRPr="009027E7">
        <w:rPr>
          <w:lang w:val="fr-FR"/>
        </w:rPr>
        <w:t xml:space="preserve">a jamais </w:t>
      </w:r>
      <w:r w:rsidR="00EE196F">
        <w:rPr>
          <w:lang w:val="fr-FR"/>
        </w:rPr>
        <w:t>versé</w:t>
      </w:r>
      <w:r w:rsidR="00EE196F" w:rsidRPr="009027E7">
        <w:rPr>
          <w:lang w:val="fr-FR"/>
        </w:rPr>
        <w:t xml:space="preserve"> les </w:t>
      </w:r>
      <w:r w:rsidR="00EE196F">
        <w:rPr>
          <w:lang w:val="fr-FR"/>
        </w:rPr>
        <w:t>montants</w:t>
      </w:r>
      <w:r w:rsidR="00EE196F" w:rsidRPr="009027E7">
        <w:rPr>
          <w:lang w:val="fr-FR"/>
        </w:rPr>
        <w:t xml:space="preserve"> correspondant à </w:t>
      </w:r>
      <w:r w:rsidR="00EE196F">
        <w:rPr>
          <w:lang w:val="fr-FR"/>
        </w:rPr>
        <w:t>la totalité des indemnités prévues à l</w:t>
      </w:r>
      <w:r w:rsidR="00864B14">
        <w:rPr>
          <w:lang w:val="fr-FR"/>
        </w:rPr>
        <w:t>’</w:t>
      </w:r>
      <w:r w:rsidR="00EE196F">
        <w:rPr>
          <w:lang w:val="fr-FR"/>
        </w:rPr>
        <w:t>article</w:t>
      </w:r>
      <w:r>
        <w:rPr>
          <w:lang w:val="fr-FR"/>
        </w:rPr>
        <w:t xml:space="preserve"> </w:t>
      </w:r>
      <w:r w:rsidR="00EE196F" w:rsidRPr="002D04C2">
        <w:rPr>
          <w:lang w:val="fr-FR"/>
        </w:rPr>
        <w:t xml:space="preserve">14 </w:t>
      </w:r>
      <w:r w:rsidR="00EE196F">
        <w:rPr>
          <w:lang w:val="fr-FR"/>
        </w:rPr>
        <w:t>de la</w:t>
      </w:r>
      <w:r w:rsidR="00EE196F" w:rsidRPr="002D04C2">
        <w:rPr>
          <w:lang w:val="fr-FR"/>
        </w:rPr>
        <w:t xml:space="preserve"> sixième </w:t>
      </w:r>
      <w:r w:rsidR="00EE196F">
        <w:rPr>
          <w:lang w:val="fr-FR"/>
        </w:rPr>
        <w:t>convention collective de travail</w:t>
      </w:r>
      <w:r w:rsidR="00EE196F" w:rsidRPr="009027E7">
        <w:rPr>
          <w:lang w:val="fr-FR"/>
        </w:rPr>
        <w:t xml:space="preserve">. </w:t>
      </w:r>
    </w:p>
    <w:p w:rsidR="00EE196F" w:rsidRPr="00BC4ACA" w:rsidRDefault="002814FC" w:rsidP="00EE196F">
      <w:pPr>
        <w:pStyle w:val="SingleTxtG"/>
        <w:rPr>
          <w:lang w:val="fr-FR"/>
        </w:rPr>
      </w:pPr>
      <w:r>
        <w:rPr>
          <w:lang w:val="fr-FR"/>
        </w:rPr>
        <w:t>2.5</w:t>
      </w:r>
      <w:r w:rsidR="00EE196F" w:rsidRPr="00BC4ACA">
        <w:rPr>
          <w:lang w:val="fr-FR"/>
        </w:rPr>
        <w:tab/>
        <w:t>L</w:t>
      </w:r>
      <w:r w:rsidR="00864B14">
        <w:rPr>
          <w:lang w:val="fr-FR"/>
        </w:rPr>
        <w:t>’</w:t>
      </w:r>
      <w:r w:rsidR="00EE196F" w:rsidRPr="00BC4ACA">
        <w:rPr>
          <w:lang w:val="fr-FR"/>
        </w:rPr>
        <w:t>auteur a intenté une action en justice devant le premier tribunal du</w:t>
      </w:r>
      <w:r w:rsidR="00EE196F">
        <w:rPr>
          <w:lang w:val="fr-FR"/>
        </w:rPr>
        <w:t xml:space="preserve"> travail d</w:t>
      </w:r>
      <w:r w:rsidR="00864B14">
        <w:rPr>
          <w:lang w:val="fr-FR"/>
        </w:rPr>
        <w:t>’</w:t>
      </w:r>
      <w:r w:rsidR="00EE196F">
        <w:rPr>
          <w:lang w:val="fr-FR"/>
        </w:rPr>
        <w:t>Esmeraldas (tribunal</w:t>
      </w:r>
      <w:r w:rsidR="00EE196F" w:rsidRPr="00BC4ACA">
        <w:rPr>
          <w:lang w:val="fr-FR"/>
        </w:rPr>
        <w:t xml:space="preserve"> </w:t>
      </w:r>
      <w:r w:rsidR="00EE196F" w:rsidRPr="00FC7ABD">
        <w:rPr>
          <w:rFonts w:eastAsia="MS Mincho"/>
          <w:lang w:val="fr-FR"/>
        </w:rPr>
        <w:t>n</w:t>
      </w:r>
      <w:r w:rsidR="00EE196F" w:rsidRPr="00FC7ABD">
        <w:rPr>
          <w:rFonts w:eastAsia="MS Mincho"/>
          <w:vertAlign w:val="superscript"/>
          <w:lang w:val="fr-FR"/>
        </w:rPr>
        <w:t>o</w:t>
      </w:r>
      <w:r w:rsidR="00EE196F">
        <w:rPr>
          <w:lang w:val="fr-FR"/>
        </w:rPr>
        <w:t> </w:t>
      </w:r>
      <w:r w:rsidR="00EE196F" w:rsidRPr="00BC4ACA">
        <w:rPr>
          <w:lang w:val="fr-FR"/>
        </w:rPr>
        <w:t>1) et réclam</w:t>
      </w:r>
      <w:r w:rsidR="00EE196F">
        <w:rPr>
          <w:lang w:val="fr-FR"/>
        </w:rPr>
        <w:t xml:space="preserve">é notamment </w:t>
      </w:r>
      <w:r w:rsidR="00EE196F" w:rsidRPr="00BC4ACA">
        <w:rPr>
          <w:lang w:val="fr-FR"/>
        </w:rPr>
        <w:t xml:space="preserve">le </w:t>
      </w:r>
      <w:r w:rsidR="00EE196F">
        <w:rPr>
          <w:lang w:val="fr-FR"/>
        </w:rPr>
        <w:t>versement</w:t>
      </w:r>
      <w:r w:rsidR="00EE196F" w:rsidRPr="00BC4ACA">
        <w:rPr>
          <w:lang w:val="fr-FR"/>
        </w:rPr>
        <w:t xml:space="preserve"> des </w:t>
      </w:r>
      <w:r w:rsidR="00EE196F">
        <w:rPr>
          <w:lang w:val="fr-FR"/>
        </w:rPr>
        <w:t>sommes</w:t>
      </w:r>
      <w:r w:rsidR="00EE196F" w:rsidRPr="00BC4ACA">
        <w:rPr>
          <w:lang w:val="fr-FR"/>
        </w:rPr>
        <w:t xml:space="preserve"> correspondant au montant total de l</w:t>
      </w:r>
      <w:r w:rsidR="00864B14">
        <w:rPr>
          <w:lang w:val="fr-FR"/>
        </w:rPr>
        <w:t>’</w:t>
      </w:r>
      <w:r w:rsidR="00EE196F" w:rsidRPr="00BC4ACA">
        <w:rPr>
          <w:lang w:val="fr-FR"/>
        </w:rPr>
        <w:t xml:space="preserve">indemnisation prévue à </w:t>
      </w:r>
      <w:r w:rsidR="00EE196F">
        <w:rPr>
          <w:lang w:val="fr-FR"/>
        </w:rPr>
        <w:t>l</w:t>
      </w:r>
      <w:r w:rsidR="00864B14">
        <w:rPr>
          <w:lang w:val="fr-FR"/>
        </w:rPr>
        <w:t>’</w:t>
      </w:r>
      <w:r w:rsidR="00EE196F">
        <w:rPr>
          <w:lang w:val="fr-FR"/>
        </w:rPr>
        <w:t>article</w:t>
      </w:r>
      <w:r w:rsidR="00EE196F" w:rsidRPr="00BC4ACA">
        <w:rPr>
          <w:lang w:val="fr-FR"/>
        </w:rPr>
        <w:t xml:space="preserve"> 14 </w:t>
      </w:r>
      <w:r w:rsidR="00EE196F">
        <w:rPr>
          <w:lang w:val="fr-FR"/>
        </w:rPr>
        <w:t>de la</w:t>
      </w:r>
      <w:r w:rsidR="00EE196F" w:rsidRPr="00BC4ACA">
        <w:rPr>
          <w:lang w:val="fr-FR"/>
        </w:rPr>
        <w:t xml:space="preserve"> sixième </w:t>
      </w:r>
      <w:r w:rsidR="00EE196F">
        <w:rPr>
          <w:lang w:val="fr-FR"/>
        </w:rPr>
        <w:t>convention collective de travail</w:t>
      </w:r>
      <w:r w:rsidR="00EE196F" w:rsidRPr="00BC4ACA">
        <w:rPr>
          <w:lang w:val="fr-FR"/>
        </w:rPr>
        <w:t xml:space="preserve">, </w:t>
      </w:r>
      <w:r w:rsidR="00EE196F">
        <w:rPr>
          <w:lang w:val="fr-FR"/>
        </w:rPr>
        <w:t xml:space="preserve">soit un montant total </w:t>
      </w:r>
      <w:r w:rsidR="00EE196F" w:rsidRPr="00BC4ACA">
        <w:rPr>
          <w:lang w:val="fr-FR"/>
        </w:rPr>
        <w:t xml:space="preserve">de </w:t>
      </w:r>
      <w:r w:rsidR="00EE196F">
        <w:rPr>
          <w:lang w:val="fr-FR"/>
        </w:rPr>
        <w:t>331 </w:t>
      </w:r>
      <w:r w:rsidR="00EE196F" w:rsidRPr="00BC4ACA">
        <w:rPr>
          <w:lang w:val="fr-FR"/>
        </w:rPr>
        <w:t>576,54</w:t>
      </w:r>
      <w:r w:rsidR="00EE196F">
        <w:rPr>
          <w:lang w:val="fr-FR"/>
        </w:rPr>
        <w:t> dollars</w:t>
      </w:r>
      <w:r w:rsidR="00EE196F" w:rsidRPr="00BC4ACA">
        <w:rPr>
          <w:lang w:val="fr-FR"/>
        </w:rPr>
        <w:t>.</w:t>
      </w:r>
    </w:p>
    <w:p w:rsidR="00EE196F" w:rsidRPr="0099607C" w:rsidRDefault="00EE196F" w:rsidP="00EE196F">
      <w:pPr>
        <w:pStyle w:val="SingleTxtG"/>
        <w:rPr>
          <w:lang w:val="fr-FR"/>
        </w:rPr>
      </w:pPr>
      <w:r w:rsidRPr="0099607C">
        <w:rPr>
          <w:lang w:val="fr-FR"/>
        </w:rPr>
        <w:t xml:space="preserve">2.6 </w:t>
      </w:r>
      <w:r w:rsidRPr="0099607C">
        <w:rPr>
          <w:lang w:val="fr-FR"/>
        </w:rPr>
        <w:tab/>
      </w:r>
      <w:r>
        <w:rPr>
          <w:lang w:val="fr-FR"/>
        </w:rPr>
        <w:t>Le 26 novembre 2008, le t</w:t>
      </w:r>
      <w:r w:rsidRPr="0099607C">
        <w:rPr>
          <w:lang w:val="fr-FR"/>
        </w:rPr>
        <w:t>ribunal</w:t>
      </w:r>
      <w:r>
        <w:rPr>
          <w:lang w:val="fr-FR"/>
        </w:rPr>
        <w:t xml:space="preserve"> </w:t>
      </w:r>
      <w:r w:rsidRPr="002D2E31">
        <w:rPr>
          <w:rFonts w:eastAsia="MS Mincho"/>
          <w:lang w:val="fr-FR"/>
        </w:rPr>
        <w:t>n</w:t>
      </w:r>
      <w:r w:rsidRPr="002D2E31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99607C">
        <w:rPr>
          <w:lang w:val="fr-FR"/>
        </w:rPr>
        <w:t xml:space="preserve">1 a </w:t>
      </w:r>
      <w:r>
        <w:rPr>
          <w:lang w:val="fr-FR"/>
        </w:rPr>
        <w:t>estimé</w:t>
      </w:r>
      <w:r w:rsidRPr="0099607C">
        <w:rPr>
          <w:lang w:val="fr-FR"/>
        </w:rPr>
        <w:t xml:space="preserve"> que la </w:t>
      </w:r>
      <w:r>
        <w:rPr>
          <w:lang w:val="fr-FR"/>
        </w:rPr>
        <w:t>plainte</w:t>
      </w:r>
      <w:r w:rsidRPr="0099607C">
        <w:rPr>
          <w:lang w:val="fr-FR"/>
        </w:rPr>
        <w:t xml:space="preserve"> de l</w:t>
      </w:r>
      <w:r w:rsidR="00864B14">
        <w:rPr>
          <w:lang w:val="fr-FR"/>
        </w:rPr>
        <w:t>’</w:t>
      </w:r>
      <w:r w:rsidRPr="0099607C">
        <w:rPr>
          <w:lang w:val="fr-FR"/>
        </w:rPr>
        <w:t xml:space="preserve">auteur était partiellement </w:t>
      </w:r>
      <w:r>
        <w:rPr>
          <w:lang w:val="fr-FR"/>
        </w:rPr>
        <w:t>fondée</w:t>
      </w:r>
      <w:r w:rsidRPr="0099607C">
        <w:rPr>
          <w:lang w:val="fr-FR"/>
        </w:rPr>
        <w:t xml:space="preserve"> étant donné que le </w:t>
      </w:r>
      <w:r>
        <w:rPr>
          <w:lang w:val="fr-FR"/>
        </w:rPr>
        <w:t>solde de tout compte</w:t>
      </w:r>
      <w:r w:rsidRPr="0099607C">
        <w:rPr>
          <w:lang w:val="fr-FR"/>
        </w:rPr>
        <w:t xml:space="preserve"> </w:t>
      </w:r>
      <w:r>
        <w:rPr>
          <w:lang w:val="fr-FR"/>
        </w:rPr>
        <w:t>ne prévoyait aucun</w:t>
      </w:r>
      <w:r w:rsidRPr="0099607C">
        <w:rPr>
          <w:lang w:val="fr-FR"/>
        </w:rPr>
        <w:t xml:space="preserve"> </w:t>
      </w:r>
      <w:r>
        <w:rPr>
          <w:lang w:val="fr-FR"/>
        </w:rPr>
        <w:t>montant</w:t>
      </w:r>
      <w:r w:rsidRPr="0099607C">
        <w:rPr>
          <w:lang w:val="fr-FR"/>
        </w:rPr>
        <w:t xml:space="preserve"> pour </w:t>
      </w:r>
      <w:r>
        <w:rPr>
          <w:lang w:val="fr-FR"/>
        </w:rPr>
        <w:t>la prime de départ volontaire</w:t>
      </w:r>
      <w:r w:rsidRPr="0099607C">
        <w:rPr>
          <w:lang w:val="fr-FR"/>
        </w:rPr>
        <w:t xml:space="preserve">, </w:t>
      </w:r>
      <w:r>
        <w:rPr>
          <w:lang w:val="fr-FR"/>
        </w:rPr>
        <w:t>a reconnu</w:t>
      </w:r>
      <w:r w:rsidRPr="0099607C">
        <w:rPr>
          <w:lang w:val="fr-FR"/>
        </w:rPr>
        <w:t xml:space="preserve"> le droit </w:t>
      </w:r>
      <w:r>
        <w:rPr>
          <w:lang w:val="fr-FR"/>
        </w:rPr>
        <w:t>de l</w:t>
      </w:r>
      <w:r w:rsidR="00864B14">
        <w:rPr>
          <w:lang w:val="fr-FR"/>
        </w:rPr>
        <w:t>’</w:t>
      </w:r>
      <w:r>
        <w:rPr>
          <w:lang w:val="fr-FR"/>
        </w:rPr>
        <w:t xml:space="preserve">auteur </w:t>
      </w:r>
      <w:r w:rsidRPr="0099607C">
        <w:rPr>
          <w:lang w:val="fr-FR"/>
        </w:rPr>
        <w:t xml:space="preserve">à </w:t>
      </w:r>
      <w:r>
        <w:rPr>
          <w:lang w:val="fr-FR"/>
        </w:rPr>
        <w:t>l</w:t>
      </w:r>
      <w:r w:rsidR="00864B14">
        <w:rPr>
          <w:lang w:val="fr-FR"/>
        </w:rPr>
        <w:t>’</w:t>
      </w:r>
      <w:r w:rsidRPr="0099607C">
        <w:rPr>
          <w:lang w:val="fr-FR"/>
        </w:rPr>
        <w:t xml:space="preserve">indemnisation </w:t>
      </w:r>
      <w:r>
        <w:rPr>
          <w:lang w:val="fr-FR"/>
        </w:rPr>
        <w:t>prévue à</w:t>
      </w:r>
      <w:r w:rsidRPr="0099607C">
        <w:rPr>
          <w:lang w:val="fr-FR"/>
        </w:rPr>
        <w:t xml:space="preserve"> l</w:t>
      </w:r>
      <w:r w:rsidR="00864B14">
        <w:rPr>
          <w:lang w:val="fr-FR"/>
        </w:rPr>
        <w:t>’</w:t>
      </w:r>
      <w:r w:rsidRPr="0099607C">
        <w:rPr>
          <w:lang w:val="fr-FR"/>
        </w:rPr>
        <w:t>article</w:t>
      </w:r>
      <w:r>
        <w:rPr>
          <w:lang w:val="fr-FR"/>
        </w:rPr>
        <w:t> </w:t>
      </w:r>
      <w:r w:rsidRPr="0099607C">
        <w:rPr>
          <w:lang w:val="fr-FR"/>
        </w:rPr>
        <w:t xml:space="preserve">14 </w:t>
      </w:r>
      <w:r>
        <w:rPr>
          <w:lang w:val="fr-FR"/>
        </w:rPr>
        <w:t>de la convention collective de travail</w:t>
      </w:r>
      <w:r w:rsidRPr="0099607C">
        <w:rPr>
          <w:lang w:val="fr-FR"/>
        </w:rPr>
        <w:t xml:space="preserve"> et </w:t>
      </w:r>
      <w:r>
        <w:rPr>
          <w:lang w:val="fr-FR"/>
        </w:rPr>
        <w:t xml:space="preserve">a </w:t>
      </w:r>
      <w:r w:rsidRPr="0099607C">
        <w:rPr>
          <w:lang w:val="fr-FR"/>
        </w:rPr>
        <w:t>ordonné à PETROINDUSTRIAL de verser</w:t>
      </w:r>
      <w:r>
        <w:rPr>
          <w:lang w:val="fr-FR"/>
        </w:rPr>
        <w:t xml:space="preserve"> à l</w:t>
      </w:r>
      <w:r w:rsidR="00864B14">
        <w:rPr>
          <w:lang w:val="fr-FR"/>
        </w:rPr>
        <w:t>’</w:t>
      </w:r>
      <w:r>
        <w:rPr>
          <w:lang w:val="fr-FR"/>
        </w:rPr>
        <w:t>auteur un montant de</w:t>
      </w:r>
      <w:r w:rsidRPr="0099607C">
        <w:rPr>
          <w:lang w:val="fr-FR"/>
        </w:rPr>
        <w:t xml:space="preserve"> 262</w:t>
      </w:r>
      <w:r>
        <w:rPr>
          <w:lang w:val="fr-FR"/>
        </w:rPr>
        <w:t> </w:t>
      </w:r>
      <w:r w:rsidRPr="0099607C">
        <w:rPr>
          <w:lang w:val="fr-FR"/>
        </w:rPr>
        <w:t xml:space="preserve">291,00 </w:t>
      </w:r>
      <w:r>
        <w:rPr>
          <w:lang w:val="fr-FR"/>
        </w:rPr>
        <w:t>dollars</w:t>
      </w:r>
      <w:r w:rsidRPr="0099607C">
        <w:rPr>
          <w:lang w:val="fr-FR"/>
        </w:rPr>
        <w:t>.</w:t>
      </w:r>
    </w:p>
    <w:p w:rsidR="00EE196F" w:rsidRPr="00B73382" w:rsidRDefault="00EE196F" w:rsidP="00EE196F">
      <w:pPr>
        <w:pStyle w:val="SingleTxtG"/>
        <w:rPr>
          <w:lang w:val="fr-FR"/>
        </w:rPr>
      </w:pPr>
      <w:r w:rsidRPr="00B73382">
        <w:rPr>
          <w:lang w:val="fr-FR"/>
        </w:rPr>
        <w:t xml:space="preserve">2.7 </w:t>
      </w:r>
      <w:r w:rsidRPr="00B73382">
        <w:rPr>
          <w:lang w:val="fr-FR"/>
        </w:rPr>
        <w:tab/>
        <w:t xml:space="preserve">Les parties ont interjeté appel du jugement du tribunal </w:t>
      </w:r>
      <w:r w:rsidRPr="002D2E31">
        <w:rPr>
          <w:rFonts w:eastAsia="MS Mincho"/>
          <w:lang w:val="fr-FR"/>
        </w:rPr>
        <w:t>n</w:t>
      </w:r>
      <w:r w:rsidRPr="002D2E31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B73382">
        <w:rPr>
          <w:lang w:val="fr-FR"/>
        </w:rPr>
        <w:t>1 devant la Cour provinciale de justice d</w:t>
      </w:r>
      <w:r w:rsidR="00864B14">
        <w:rPr>
          <w:lang w:val="fr-FR"/>
        </w:rPr>
        <w:t>’</w:t>
      </w:r>
      <w:r w:rsidRPr="00B73382">
        <w:rPr>
          <w:lang w:val="fr-FR"/>
        </w:rPr>
        <w:t>Esmeraldas (Cour provinciale). Le 8</w:t>
      </w:r>
      <w:r>
        <w:rPr>
          <w:lang w:val="fr-FR"/>
        </w:rPr>
        <w:t> </w:t>
      </w:r>
      <w:r w:rsidRPr="00B73382">
        <w:rPr>
          <w:lang w:val="fr-FR"/>
        </w:rPr>
        <w:t xml:space="preserve">mai 2009, la Cour provinciale a confirmé le jugement du tribunal de première instance et ordonné </w:t>
      </w:r>
      <w:r>
        <w:rPr>
          <w:lang w:val="fr-FR"/>
        </w:rPr>
        <w:t xml:space="preserve">de verser </w:t>
      </w:r>
      <w:r w:rsidRPr="00B73382">
        <w:rPr>
          <w:lang w:val="fr-FR"/>
        </w:rPr>
        <w:t>à l</w:t>
      </w:r>
      <w:r w:rsidR="00864B14">
        <w:rPr>
          <w:lang w:val="fr-FR"/>
        </w:rPr>
        <w:t>’</w:t>
      </w:r>
      <w:r w:rsidRPr="00B73382">
        <w:rPr>
          <w:lang w:val="fr-FR"/>
        </w:rPr>
        <w:t xml:space="preserve">auteur </w:t>
      </w:r>
      <w:r>
        <w:rPr>
          <w:lang w:val="fr-FR"/>
        </w:rPr>
        <w:t xml:space="preserve">le montant de </w:t>
      </w:r>
      <w:r w:rsidRPr="00B73382">
        <w:rPr>
          <w:lang w:val="fr-FR"/>
        </w:rPr>
        <w:t>262</w:t>
      </w:r>
      <w:r>
        <w:rPr>
          <w:lang w:val="fr-FR"/>
        </w:rPr>
        <w:t> </w:t>
      </w:r>
      <w:r w:rsidRPr="00B73382">
        <w:rPr>
          <w:lang w:val="fr-FR"/>
        </w:rPr>
        <w:t>291</w:t>
      </w:r>
      <w:r>
        <w:rPr>
          <w:lang w:val="fr-FR"/>
        </w:rPr>
        <w:t>,00</w:t>
      </w:r>
      <w:r w:rsidRPr="00B73382">
        <w:rPr>
          <w:lang w:val="fr-FR"/>
        </w:rPr>
        <w:t xml:space="preserve"> dollars.</w:t>
      </w:r>
    </w:p>
    <w:p w:rsidR="00EE196F" w:rsidRPr="00353F5A" w:rsidRDefault="00EE196F" w:rsidP="00EE196F">
      <w:pPr>
        <w:pStyle w:val="SingleTxtG"/>
        <w:rPr>
          <w:lang w:val="fr-FR"/>
        </w:rPr>
      </w:pPr>
      <w:r w:rsidRPr="00353F5A">
        <w:rPr>
          <w:lang w:val="fr-FR"/>
        </w:rPr>
        <w:t xml:space="preserve">2.8 </w:t>
      </w:r>
      <w:r w:rsidRPr="00353F5A">
        <w:rPr>
          <w:lang w:val="fr-FR"/>
        </w:rPr>
        <w:tab/>
      </w:r>
      <w:r w:rsidRPr="00C1357E">
        <w:rPr>
          <w:spacing w:val="-2"/>
          <w:lang w:val="fr-FR"/>
        </w:rPr>
        <w:t>Par la suite, le Bureau du Procureur général a fait appel en cassation du jugement de la Cour provinciale devan</w:t>
      </w:r>
      <w:r>
        <w:rPr>
          <w:spacing w:val="-2"/>
          <w:lang w:val="fr-FR"/>
        </w:rPr>
        <w:t xml:space="preserve">t la Cour nationale de justice </w:t>
      </w:r>
      <w:r w:rsidRPr="00C1357E">
        <w:rPr>
          <w:spacing w:val="-2"/>
          <w:lang w:val="fr-FR"/>
        </w:rPr>
        <w:t>et a estimé que la Cour avait commis une erreur de calcul, l</w:t>
      </w:r>
      <w:r w:rsidR="00864B14">
        <w:rPr>
          <w:spacing w:val="-2"/>
          <w:lang w:val="fr-FR"/>
        </w:rPr>
        <w:t>’</w:t>
      </w:r>
      <w:r w:rsidRPr="00C1357E">
        <w:rPr>
          <w:spacing w:val="-2"/>
          <w:lang w:val="fr-FR"/>
        </w:rPr>
        <w:t>auteur devant recevoir une somme de 255 091,18 dollars.</w:t>
      </w:r>
    </w:p>
    <w:p w:rsidR="00EE196F" w:rsidRPr="00B51B9F" w:rsidRDefault="00EE196F" w:rsidP="00EE196F">
      <w:pPr>
        <w:pStyle w:val="SingleTxtG"/>
        <w:rPr>
          <w:lang w:val="fr-FR"/>
        </w:rPr>
      </w:pPr>
      <w:r w:rsidRPr="006B1E0D">
        <w:rPr>
          <w:lang w:val="fr-FR"/>
        </w:rPr>
        <w:t xml:space="preserve">2.9 </w:t>
      </w:r>
      <w:r w:rsidRPr="006B1E0D">
        <w:rPr>
          <w:lang w:val="fr-FR"/>
        </w:rPr>
        <w:tab/>
      </w:r>
      <w:r>
        <w:rPr>
          <w:lang w:val="fr-FR"/>
        </w:rPr>
        <w:t>Le 30 mai 2011, la Cour nationale de justice a cass</w:t>
      </w:r>
      <w:r w:rsidRPr="006B1E0D">
        <w:rPr>
          <w:lang w:val="fr-FR"/>
        </w:rPr>
        <w:t xml:space="preserve">é le jugement </w:t>
      </w:r>
      <w:r>
        <w:rPr>
          <w:lang w:val="fr-FR"/>
        </w:rPr>
        <w:t>de la Cour</w:t>
      </w:r>
      <w:r w:rsidRPr="006B1E0D">
        <w:rPr>
          <w:lang w:val="fr-FR"/>
        </w:rPr>
        <w:t xml:space="preserve"> provincial</w:t>
      </w:r>
      <w:r>
        <w:rPr>
          <w:lang w:val="fr-FR"/>
        </w:rPr>
        <w:t>e</w:t>
      </w:r>
      <w:r w:rsidRPr="006B1E0D">
        <w:rPr>
          <w:lang w:val="fr-FR"/>
        </w:rPr>
        <w:t xml:space="preserve"> et </w:t>
      </w:r>
      <w:r>
        <w:rPr>
          <w:lang w:val="fr-FR"/>
        </w:rPr>
        <w:t>débouté l</w:t>
      </w:r>
      <w:r w:rsidR="00864B14">
        <w:rPr>
          <w:lang w:val="fr-FR"/>
        </w:rPr>
        <w:t>’</w:t>
      </w:r>
      <w:r>
        <w:rPr>
          <w:lang w:val="fr-FR"/>
        </w:rPr>
        <w:t xml:space="preserve">auteur de sa </w:t>
      </w:r>
      <w:r w:rsidRPr="006B1E0D">
        <w:rPr>
          <w:lang w:val="fr-FR"/>
        </w:rPr>
        <w:t xml:space="preserve">plainte initiale. </w:t>
      </w:r>
      <w:r>
        <w:rPr>
          <w:lang w:val="fr-FR"/>
        </w:rPr>
        <w:t>Elle</w:t>
      </w:r>
      <w:r w:rsidRPr="006B1E0D">
        <w:rPr>
          <w:lang w:val="fr-FR"/>
        </w:rPr>
        <w:t xml:space="preserve"> a noté que la relation de travail entre les parties avait pris fin à la suite de </w:t>
      </w:r>
      <w:r>
        <w:rPr>
          <w:lang w:val="fr-FR"/>
        </w:rPr>
        <w:t>l</w:t>
      </w:r>
      <w:r w:rsidR="00864B14">
        <w:rPr>
          <w:lang w:val="fr-FR"/>
        </w:rPr>
        <w:t>’</w:t>
      </w:r>
      <w:r>
        <w:rPr>
          <w:lang w:val="fr-FR"/>
        </w:rPr>
        <w:t>avis de résiliation adressé par l</w:t>
      </w:r>
      <w:r w:rsidR="00864B14">
        <w:rPr>
          <w:lang w:val="fr-FR"/>
        </w:rPr>
        <w:t>’</w:t>
      </w:r>
      <w:r>
        <w:rPr>
          <w:lang w:val="fr-FR"/>
        </w:rPr>
        <w:t>auteur.</w:t>
      </w:r>
      <w:r w:rsidRPr="006B1E0D">
        <w:rPr>
          <w:lang w:val="fr-FR"/>
        </w:rPr>
        <w:t xml:space="preserve"> </w:t>
      </w:r>
      <w:r>
        <w:rPr>
          <w:lang w:val="fr-FR"/>
        </w:rPr>
        <w:t xml:space="preserve">À </w:t>
      </w:r>
      <w:r w:rsidRPr="006B1E0D">
        <w:rPr>
          <w:lang w:val="fr-FR"/>
        </w:rPr>
        <w:t xml:space="preserve">cet égard, la </w:t>
      </w:r>
      <w:r>
        <w:rPr>
          <w:lang w:val="fr-FR"/>
        </w:rPr>
        <w:t xml:space="preserve">Cour nationale de justice </w:t>
      </w:r>
      <w:r w:rsidRPr="006B1E0D">
        <w:rPr>
          <w:lang w:val="fr-FR"/>
        </w:rPr>
        <w:t xml:space="preserve">a fait observer que </w:t>
      </w:r>
      <w:r>
        <w:rPr>
          <w:lang w:val="fr-FR"/>
        </w:rPr>
        <w:t xml:space="preserve">le </w:t>
      </w:r>
      <w:proofErr w:type="spellStart"/>
      <w:r w:rsidRPr="00DE3E3B">
        <w:rPr>
          <w:i/>
          <w:lang w:val="fr-FR"/>
        </w:rPr>
        <w:t>desahucio</w:t>
      </w:r>
      <w:proofErr w:type="spellEnd"/>
      <w:r>
        <w:rPr>
          <w:lang w:val="fr-FR"/>
        </w:rPr>
        <w:t xml:space="preserve"> et le départ </w:t>
      </w:r>
      <w:r w:rsidRPr="006B1E0D">
        <w:rPr>
          <w:lang w:val="fr-FR"/>
        </w:rPr>
        <w:t>vol</w:t>
      </w:r>
      <w:r>
        <w:rPr>
          <w:lang w:val="fr-FR"/>
        </w:rPr>
        <w:t xml:space="preserve">ontaire étaient deux notions </w:t>
      </w:r>
      <w:r w:rsidRPr="006B1E0D">
        <w:rPr>
          <w:lang w:val="fr-FR"/>
        </w:rPr>
        <w:t>juridiques différent</w:t>
      </w:r>
      <w:r>
        <w:rPr>
          <w:lang w:val="fr-FR"/>
        </w:rPr>
        <w:t>e</w:t>
      </w:r>
      <w:r w:rsidRPr="006B1E0D">
        <w:rPr>
          <w:lang w:val="fr-FR"/>
        </w:rPr>
        <w:t xml:space="preserve">s, étant donné que la première </w:t>
      </w:r>
      <w:r>
        <w:rPr>
          <w:lang w:val="fr-FR"/>
        </w:rPr>
        <w:t>désignait</w:t>
      </w:r>
      <w:r w:rsidRPr="006B1E0D">
        <w:rPr>
          <w:lang w:val="fr-FR"/>
        </w:rPr>
        <w:t xml:space="preserve"> </w:t>
      </w:r>
      <w:r w:rsidRPr="007D1EEE">
        <w:rPr>
          <w:lang w:val="fr-FR"/>
        </w:rPr>
        <w:t>l</w:t>
      </w:r>
      <w:r w:rsidR="00864B14">
        <w:rPr>
          <w:lang w:val="fr-FR"/>
        </w:rPr>
        <w:t>’</w:t>
      </w:r>
      <w:r w:rsidRPr="007D1EEE">
        <w:rPr>
          <w:lang w:val="fr-FR"/>
        </w:rPr>
        <w:t xml:space="preserve">avis par lequel une partie </w:t>
      </w:r>
      <w:r>
        <w:rPr>
          <w:lang w:val="fr-FR"/>
        </w:rPr>
        <w:t>faisait</w:t>
      </w:r>
      <w:r w:rsidRPr="007D1EEE">
        <w:rPr>
          <w:lang w:val="fr-FR"/>
        </w:rPr>
        <w:t xml:space="preserve"> savoir à l</w:t>
      </w:r>
      <w:r w:rsidR="00864B14">
        <w:rPr>
          <w:lang w:val="fr-FR"/>
        </w:rPr>
        <w:t>’</w:t>
      </w:r>
      <w:r w:rsidRPr="007D1EEE">
        <w:rPr>
          <w:lang w:val="fr-FR"/>
        </w:rPr>
        <w:t>autre partie qu</w:t>
      </w:r>
      <w:r w:rsidR="00864B14">
        <w:rPr>
          <w:lang w:val="fr-FR"/>
        </w:rPr>
        <w:t>’</w:t>
      </w:r>
      <w:r>
        <w:rPr>
          <w:lang w:val="fr-FR"/>
        </w:rPr>
        <w:t>elle souhaitait</w:t>
      </w:r>
      <w:r w:rsidRPr="007D1EEE">
        <w:rPr>
          <w:lang w:val="fr-FR"/>
        </w:rPr>
        <w:t xml:space="preserve"> </w:t>
      </w:r>
      <w:r>
        <w:rPr>
          <w:lang w:val="fr-FR"/>
        </w:rPr>
        <w:t>mettre fin à son contrat de travail, sans obligation</w:t>
      </w:r>
      <w:r w:rsidRPr="006B1E0D">
        <w:rPr>
          <w:lang w:val="fr-FR"/>
        </w:rPr>
        <w:t xml:space="preserve"> </w:t>
      </w:r>
      <w:r>
        <w:rPr>
          <w:lang w:val="fr-FR"/>
        </w:rPr>
        <w:t>d</w:t>
      </w:r>
      <w:r w:rsidR="00864B14">
        <w:rPr>
          <w:lang w:val="fr-FR"/>
        </w:rPr>
        <w:t>’</w:t>
      </w:r>
      <w:r>
        <w:rPr>
          <w:lang w:val="fr-FR"/>
        </w:rPr>
        <w:t>invoquer un motif justifiable,</w:t>
      </w:r>
      <w:r w:rsidRPr="006B1E0D">
        <w:rPr>
          <w:lang w:val="fr-FR"/>
        </w:rPr>
        <w:t xml:space="preserve"> et </w:t>
      </w:r>
      <w:r>
        <w:rPr>
          <w:lang w:val="fr-FR"/>
        </w:rPr>
        <w:t>qu</w:t>
      </w:r>
      <w:r w:rsidR="00864B14">
        <w:rPr>
          <w:lang w:val="fr-FR"/>
        </w:rPr>
        <w:t>’</w:t>
      </w:r>
      <w:r>
        <w:rPr>
          <w:lang w:val="fr-FR"/>
        </w:rPr>
        <w:t>elle impliquait</w:t>
      </w:r>
      <w:r w:rsidRPr="006B1E0D">
        <w:rPr>
          <w:lang w:val="fr-FR"/>
        </w:rPr>
        <w:t xml:space="preserve"> un</w:t>
      </w:r>
      <w:r>
        <w:rPr>
          <w:lang w:val="fr-FR"/>
        </w:rPr>
        <w:t>e</w:t>
      </w:r>
      <w:r w:rsidRPr="006B1E0D">
        <w:rPr>
          <w:lang w:val="fr-FR"/>
        </w:rPr>
        <w:t xml:space="preserve"> </w:t>
      </w:r>
      <w:r>
        <w:rPr>
          <w:lang w:val="fr-FR"/>
        </w:rPr>
        <w:t>procédure administrative</w:t>
      </w:r>
      <w:r w:rsidRPr="006B1E0D">
        <w:rPr>
          <w:lang w:val="fr-FR"/>
        </w:rPr>
        <w:t xml:space="preserve"> </w:t>
      </w:r>
      <w:r>
        <w:rPr>
          <w:lang w:val="fr-FR"/>
        </w:rPr>
        <w:t>avec le versement d</w:t>
      </w:r>
      <w:r w:rsidR="00864B14">
        <w:rPr>
          <w:lang w:val="fr-FR"/>
        </w:rPr>
        <w:t>’</w:t>
      </w:r>
      <w:r>
        <w:rPr>
          <w:lang w:val="fr-FR"/>
        </w:rPr>
        <w:t>indemnités,</w:t>
      </w:r>
      <w:r w:rsidRPr="006B1E0D">
        <w:rPr>
          <w:lang w:val="fr-FR"/>
        </w:rPr>
        <w:t xml:space="preserve"> </w:t>
      </w:r>
      <w:r>
        <w:rPr>
          <w:lang w:val="fr-FR"/>
        </w:rPr>
        <w:t>conformément aux</w:t>
      </w:r>
      <w:r w:rsidRPr="006B1E0D">
        <w:rPr>
          <w:lang w:val="fr-FR"/>
        </w:rPr>
        <w:t xml:space="preserve"> </w:t>
      </w:r>
      <w:r>
        <w:rPr>
          <w:lang w:val="fr-FR"/>
        </w:rPr>
        <w:t>restrictions et</w:t>
      </w:r>
      <w:r w:rsidRPr="006B1E0D">
        <w:rPr>
          <w:lang w:val="fr-FR"/>
        </w:rPr>
        <w:t xml:space="preserve"> interdictions </w:t>
      </w:r>
      <w:r>
        <w:rPr>
          <w:lang w:val="fr-FR"/>
        </w:rPr>
        <w:t>prévues par la loi</w:t>
      </w:r>
      <w:r w:rsidRPr="006B1E0D">
        <w:rPr>
          <w:lang w:val="fr-FR"/>
        </w:rPr>
        <w:t xml:space="preserve">. </w:t>
      </w:r>
      <w:r>
        <w:rPr>
          <w:lang w:val="fr-FR"/>
        </w:rPr>
        <w:t>En revanche, le départ volontaire prévu</w:t>
      </w:r>
      <w:r w:rsidRPr="00900D7D">
        <w:rPr>
          <w:lang w:val="fr-FR"/>
        </w:rPr>
        <w:t xml:space="preserve"> à l</w:t>
      </w:r>
      <w:r w:rsidR="00864B14">
        <w:rPr>
          <w:lang w:val="fr-FR"/>
        </w:rPr>
        <w:t>’</w:t>
      </w:r>
      <w:r w:rsidRPr="00900D7D">
        <w:rPr>
          <w:lang w:val="fr-FR"/>
        </w:rPr>
        <w:t>article</w:t>
      </w:r>
      <w:r>
        <w:rPr>
          <w:lang w:val="fr-FR"/>
        </w:rPr>
        <w:t> </w:t>
      </w:r>
      <w:r w:rsidRPr="00900D7D">
        <w:rPr>
          <w:lang w:val="fr-FR"/>
        </w:rPr>
        <w:t xml:space="preserve">14 de la </w:t>
      </w:r>
      <w:r>
        <w:rPr>
          <w:lang w:val="fr-FR"/>
        </w:rPr>
        <w:t>convention collective était un moyen convenu</w:t>
      </w:r>
      <w:r w:rsidRPr="00900D7D">
        <w:rPr>
          <w:lang w:val="fr-FR"/>
        </w:rPr>
        <w:t xml:space="preserve"> contractuellement </w:t>
      </w:r>
      <w:r>
        <w:rPr>
          <w:lang w:val="fr-FR"/>
        </w:rPr>
        <w:t>de</w:t>
      </w:r>
      <w:r w:rsidRPr="00900D7D">
        <w:rPr>
          <w:lang w:val="fr-FR"/>
        </w:rPr>
        <w:t xml:space="preserve"> mettre fin à la relation de travail, sans </w:t>
      </w:r>
      <w:r>
        <w:rPr>
          <w:lang w:val="fr-FR"/>
        </w:rPr>
        <w:t>obligation de faire intervenir</w:t>
      </w:r>
      <w:r w:rsidRPr="00900D7D">
        <w:rPr>
          <w:lang w:val="fr-FR"/>
        </w:rPr>
        <w:t xml:space="preserve"> l</w:t>
      </w:r>
      <w:r w:rsidR="00864B14">
        <w:rPr>
          <w:lang w:val="fr-FR"/>
        </w:rPr>
        <w:t>’</w:t>
      </w:r>
      <w:r w:rsidRPr="00900D7D">
        <w:rPr>
          <w:lang w:val="fr-FR"/>
        </w:rPr>
        <w:t>inspecteur du travail, puisqu</w:t>
      </w:r>
      <w:r w:rsidR="00864B14">
        <w:rPr>
          <w:lang w:val="fr-FR"/>
        </w:rPr>
        <w:t>’</w:t>
      </w:r>
      <w:r w:rsidRPr="00900D7D">
        <w:rPr>
          <w:lang w:val="fr-FR"/>
        </w:rPr>
        <w:t>il s</w:t>
      </w:r>
      <w:r w:rsidR="00864B14">
        <w:rPr>
          <w:lang w:val="fr-FR"/>
        </w:rPr>
        <w:t>’</w:t>
      </w:r>
      <w:r w:rsidRPr="00900D7D">
        <w:rPr>
          <w:lang w:val="fr-FR"/>
        </w:rPr>
        <w:t xml:space="preserve">agissait </w:t>
      </w:r>
      <w:r>
        <w:rPr>
          <w:lang w:val="fr-FR"/>
        </w:rPr>
        <w:t>d</w:t>
      </w:r>
      <w:r w:rsidR="00864B14">
        <w:rPr>
          <w:lang w:val="fr-FR"/>
        </w:rPr>
        <w:t>’</w:t>
      </w:r>
      <w:r>
        <w:rPr>
          <w:lang w:val="fr-FR"/>
        </w:rPr>
        <w:t>une option</w:t>
      </w:r>
      <w:r w:rsidRPr="00900D7D">
        <w:rPr>
          <w:lang w:val="fr-FR"/>
        </w:rPr>
        <w:t xml:space="preserve"> </w:t>
      </w:r>
      <w:r>
        <w:rPr>
          <w:lang w:val="fr-FR"/>
        </w:rPr>
        <w:t>que</w:t>
      </w:r>
      <w:r w:rsidRPr="00900D7D">
        <w:rPr>
          <w:lang w:val="fr-FR"/>
        </w:rPr>
        <w:t xml:space="preserve"> pouvait </w:t>
      </w:r>
      <w:r>
        <w:rPr>
          <w:lang w:val="fr-FR"/>
        </w:rPr>
        <w:t>choisir</w:t>
      </w:r>
      <w:r w:rsidRPr="00900D7D">
        <w:rPr>
          <w:lang w:val="fr-FR"/>
        </w:rPr>
        <w:t xml:space="preserve"> le travailleur et avec laquelle </w:t>
      </w:r>
      <w:r>
        <w:rPr>
          <w:lang w:val="fr-FR"/>
        </w:rPr>
        <w:t>il percevrait une prime</w:t>
      </w:r>
      <w:r w:rsidRPr="00900D7D">
        <w:rPr>
          <w:lang w:val="fr-FR"/>
        </w:rPr>
        <w:t xml:space="preserve"> </w:t>
      </w:r>
      <w:r w:rsidRPr="00900D7D">
        <w:rPr>
          <w:lang w:val="fr-FR"/>
        </w:rPr>
        <w:lastRenderedPageBreak/>
        <w:t xml:space="preserve">calculée selon la formule </w:t>
      </w:r>
      <w:r>
        <w:rPr>
          <w:lang w:val="fr-FR"/>
        </w:rPr>
        <w:t>fixée dans la convention</w:t>
      </w:r>
      <w:r w:rsidRPr="00900D7D">
        <w:rPr>
          <w:lang w:val="fr-FR"/>
        </w:rPr>
        <w:t xml:space="preserve">. </w:t>
      </w:r>
      <w:r>
        <w:rPr>
          <w:lang w:val="fr-FR"/>
        </w:rPr>
        <w:t xml:space="preserve">La Cour nationale de justice </w:t>
      </w:r>
      <w:r w:rsidRPr="00B51B9F">
        <w:rPr>
          <w:lang w:val="fr-FR"/>
        </w:rPr>
        <w:t xml:space="preserve">a </w:t>
      </w:r>
      <w:r>
        <w:rPr>
          <w:lang w:val="fr-FR"/>
        </w:rPr>
        <w:t>fait valoir</w:t>
      </w:r>
      <w:r w:rsidRPr="00B51B9F">
        <w:rPr>
          <w:lang w:val="fr-FR"/>
        </w:rPr>
        <w:t xml:space="preserve"> que l</w:t>
      </w:r>
      <w:r w:rsidR="00864B14">
        <w:rPr>
          <w:lang w:val="fr-FR"/>
        </w:rPr>
        <w:t>’</w:t>
      </w:r>
      <w:r w:rsidRPr="00B51B9F">
        <w:rPr>
          <w:lang w:val="fr-FR"/>
        </w:rPr>
        <w:t xml:space="preserve">auteur avait </w:t>
      </w:r>
      <w:r>
        <w:rPr>
          <w:lang w:val="fr-FR"/>
        </w:rPr>
        <w:t>demandé à</w:t>
      </w:r>
      <w:r w:rsidRPr="00B51B9F">
        <w:rPr>
          <w:lang w:val="fr-FR"/>
        </w:rPr>
        <w:t xml:space="preserve"> </w:t>
      </w:r>
      <w:r>
        <w:rPr>
          <w:lang w:val="fr-FR"/>
        </w:rPr>
        <w:t>mettre fin à s</w:t>
      </w:r>
      <w:r w:rsidRPr="00B51B9F">
        <w:rPr>
          <w:lang w:val="fr-FR"/>
        </w:rPr>
        <w:t>a relation de travail avec l</w:t>
      </w:r>
      <w:r w:rsidR="00864B14">
        <w:rPr>
          <w:lang w:val="fr-FR"/>
        </w:rPr>
        <w:t>’</w:t>
      </w:r>
      <w:r w:rsidRPr="00B51B9F">
        <w:rPr>
          <w:lang w:val="fr-FR"/>
        </w:rPr>
        <w:t xml:space="preserve">entreprise </w:t>
      </w:r>
      <w:r>
        <w:rPr>
          <w:lang w:val="fr-FR"/>
        </w:rPr>
        <w:t>et qu</w:t>
      </w:r>
      <w:r w:rsidR="00864B14">
        <w:rPr>
          <w:lang w:val="fr-FR"/>
        </w:rPr>
        <w:t>’</w:t>
      </w:r>
      <w:r>
        <w:rPr>
          <w:lang w:val="fr-FR"/>
        </w:rPr>
        <w:t xml:space="preserve">il avait perçu les indemnités auxquelles il avait droit </w:t>
      </w:r>
      <w:r w:rsidRPr="00B51B9F">
        <w:rPr>
          <w:lang w:val="fr-FR"/>
        </w:rPr>
        <w:t>légalement</w:t>
      </w:r>
      <w:r>
        <w:rPr>
          <w:lang w:val="fr-FR"/>
        </w:rPr>
        <w:t> ;</w:t>
      </w:r>
      <w:r w:rsidRPr="00B51B9F">
        <w:rPr>
          <w:lang w:val="fr-FR"/>
        </w:rPr>
        <w:t xml:space="preserve"> que ni la loi ni la convention collective </w:t>
      </w:r>
      <w:r>
        <w:rPr>
          <w:lang w:val="fr-FR"/>
        </w:rPr>
        <w:t>ne prévoyaient</w:t>
      </w:r>
      <w:r w:rsidRPr="00B51B9F">
        <w:rPr>
          <w:lang w:val="fr-FR"/>
        </w:rPr>
        <w:t xml:space="preserve"> le versement </w:t>
      </w:r>
      <w:r>
        <w:rPr>
          <w:lang w:val="fr-FR"/>
        </w:rPr>
        <w:t>d</w:t>
      </w:r>
      <w:r w:rsidR="00864B14">
        <w:rPr>
          <w:lang w:val="fr-FR"/>
        </w:rPr>
        <w:t>’</w:t>
      </w:r>
      <w:r>
        <w:rPr>
          <w:lang w:val="fr-FR"/>
        </w:rPr>
        <w:t>indemnités</w:t>
      </w:r>
      <w:r w:rsidRPr="00B51B9F">
        <w:rPr>
          <w:lang w:val="fr-FR"/>
        </w:rPr>
        <w:t xml:space="preserve"> cumulée</w:t>
      </w:r>
      <w:r>
        <w:rPr>
          <w:lang w:val="fr-FR"/>
        </w:rPr>
        <w:t>s</w:t>
      </w:r>
      <w:r w:rsidRPr="00B51B9F">
        <w:rPr>
          <w:lang w:val="fr-FR"/>
        </w:rPr>
        <w:t xml:space="preserve"> générée</w:t>
      </w:r>
      <w:r>
        <w:rPr>
          <w:lang w:val="fr-FR"/>
        </w:rPr>
        <w:t>s</w:t>
      </w:r>
      <w:r w:rsidRPr="00B51B9F">
        <w:rPr>
          <w:lang w:val="fr-FR"/>
        </w:rPr>
        <w:t xml:space="preserve"> par </w:t>
      </w:r>
      <w:r>
        <w:rPr>
          <w:lang w:val="fr-FR"/>
        </w:rPr>
        <w:t>une</w:t>
      </w:r>
      <w:r w:rsidRPr="00B51B9F">
        <w:rPr>
          <w:lang w:val="fr-FR"/>
        </w:rPr>
        <w:t xml:space="preserve"> même cause ou </w:t>
      </w:r>
      <w:r>
        <w:rPr>
          <w:lang w:val="fr-FR"/>
        </w:rPr>
        <w:t>un</w:t>
      </w:r>
      <w:r w:rsidRPr="00B51B9F">
        <w:rPr>
          <w:lang w:val="fr-FR"/>
        </w:rPr>
        <w:t xml:space="preserve"> même motif </w:t>
      </w:r>
      <w:r>
        <w:rPr>
          <w:lang w:val="fr-FR"/>
        </w:rPr>
        <w:t>de</w:t>
      </w:r>
      <w:r w:rsidRPr="00B51B9F">
        <w:rPr>
          <w:lang w:val="fr-FR"/>
        </w:rPr>
        <w:t xml:space="preserve"> départ volontaire, puisqu</w:t>
      </w:r>
      <w:r w:rsidR="00864B14">
        <w:rPr>
          <w:lang w:val="fr-FR"/>
        </w:rPr>
        <w:t>’</w:t>
      </w:r>
      <w:r w:rsidRPr="00B51B9F">
        <w:rPr>
          <w:lang w:val="fr-FR"/>
        </w:rPr>
        <w:t>il s</w:t>
      </w:r>
      <w:r w:rsidR="00864B14">
        <w:rPr>
          <w:lang w:val="fr-FR"/>
        </w:rPr>
        <w:t>’</w:t>
      </w:r>
      <w:r w:rsidRPr="00B51B9F">
        <w:rPr>
          <w:lang w:val="fr-FR"/>
        </w:rPr>
        <w:t>agissait de deux faits juridiques différents, de sorte qu</w:t>
      </w:r>
      <w:r w:rsidR="00864B14">
        <w:rPr>
          <w:lang w:val="fr-FR"/>
        </w:rPr>
        <w:t>’</w:t>
      </w:r>
      <w:r w:rsidRPr="00B51B9F">
        <w:rPr>
          <w:lang w:val="fr-FR"/>
        </w:rPr>
        <w:t>il n</w:t>
      </w:r>
      <w:r w:rsidR="00864B14">
        <w:rPr>
          <w:lang w:val="fr-FR"/>
        </w:rPr>
        <w:t>’</w:t>
      </w:r>
      <w:r w:rsidRPr="00B51B9F">
        <w:rPr>
          <w:lang w:val="fr-FR"/>
        </w:rPr>
        <w:t>é</w:t>
      </w:r>
      <w:r>
        <w:rPr>
          <w:lang w:val="fr-FR"/>
        </w:rPr>
        <w:t>tait pas possible pour le juge</w:t>
      </w:r>
      <w:r w:rsidRPr="00B51B9F">
        <w:rPr>
          <w:lang w:val="fr-FR"/>
        </w:rPr>
        <w:t xml:space="preserve"> d</w:t>
      </w:r>
      <w:r w:rsidR="00864B14">
        <w:rPr>
          <w:lang w:val="fr-FR"/>
        </w:rPr>
        <w:t>’</w:t>
      </w:r>
      <w:r w:rsidRPr="00B51B9F">
        <w:rPr>
          <w:lang w:val="fr-FR"/>
        </w:rPr>
        <w:t>ignorer</w:t>
      </w:r>
      <w:r>
        <w:rPr>
          <w:lang w:val="fr-FR"/>
        </w:rPr>
        <w:t xml:space="preserve"> de façon arbitraire</w:t>
      </w:r>
      <w:r w:rsidRPr="00B51B9F">
        <w:rPr>
          <w:lang w:val="fr-FR"/>
        </w:rPr>
        <w:t xml:space="preserve"> la forme de cessation de la relation de travail et d</w:t>
      </w:r>
      <w:r w:rsidR="00864B14">
        <w:rPr>
          <w:lang w:val="fr-FR"/>
        </w:rPr>
        <w:t>’</w:t>
      </w:r>
      <w:r w:rsidRPr="00B51B9F">
        <w:rPr>
          <w:lang w:val="fr-FR"/>
        </w:rPr>
        <w:t xml:space="preserve">accorder </w:t>
      </w:r>
      <w:r>
        <w:rPr>
          <w:lang w:val="fr-FR"/>
        </w:rPr>
        <w:t>un</w:t>
      </w:r>
      <w:r w:rsidRPr="00B51B9F">
        <w:rPr>
          <w:lang w:val="fr-FR"/>
        </w:rPr>
        <w:t xml:space="preserve"> droit </w:t>
      </w:r>
      <w:r>
        <w:rPr>
          <w:lang w:val="fr-FR"/>
        </w:rPr>
        <w:t>qui ne correspondait pas aux circonstances de l</w:t>
      </w:r>
      <w:r w:rsidR="00864B14">
        <w:rPr>
          <w:lang w:val="fr-FR"/>
        </w:rPr>
        <w:t>’</w:t>
      </w:r>
      <w:r>
        <w:rPr>
          <w:lang w:val="fr-FR"/>
        </w:rPr>
        <w:t>affaire</w:t>
      </w:r>
      <w:r w:rsidRPr="00B51B9F">
        <w:rPr>
          <w:lang w:val="fr-FR"/>
        </w:rPr>
        <w:t>.</w:t>
      </w:r>
    </w:p>
    <w:p w:rsidR="00EE196F" w:rsidRPr="005E69E6" w:rsidRDefault="00EE196F" w:rsidP="00EE196F">
      <w:pPr>
        <w:pStyle w:val="SingleTxtG"/>
        <w:rPr>
          <w:lang w:val="fr-FR"/>
        </w:rPr>
      </w:pPr>
      <w:r w:rsidRPr="005220FF">
        <w:rPr>
          <w:lang w:val="fr-FR"/>
        </w:rPr>
        <w:t>2.10</w:t>
      </w:r>
      <w:r w:rsidRPr="005220FF">
        <w:rPr>
          <w:lang w:val="fr-FR"/>
        </w:rPr>
        <w:tab/>
        <w:t>Le 14</w:t>
      </w:r>
      <w:r>
        <w:rPr>
          <w:lang w:val="fr-FR"/>
        </w:rPr>
        <w:t> </w:t>
      </w:r>
      <w:r w:rsidRPr="005220FF">
        <w:rPr>
          <w:lang w:val="fr-FR"/>
        </w:rPr>
        <w:t>juin 2011, l</w:t>
      </w:r>
      <w:r w:rsidR="00864B14">
        <w:rPr>
          <w:lang w:val="fr-FR"/>
        </w:rPr>
        <w:t>’</w:t>
      </w:r>
      <w:r w:rsidRPr="005220FF">
        <w:rPr>
          <w:lang w:val="fr-FR"/>
        </w:rPr>
        <w:t xml:space="preserve">auteur a intenté une action extraordinaire </w:t>
      </w:r>
      <w:r>
        <w:rPr>
          <w:lang w:val="fr-FR"/>
        </w:rPr>
        <w:t>en</w:t>
      </w:r>
      <w:r w:rsidRPr="005220FF">
        <w:rPr>
          <w:lang w:val="fr-FR"/>
        </w:rPr>
        <w:t xml:space="preserve"> protection devant la Cour constitutionnelle contre le jugement en cassation d</w:t>
      </w:r>
      <w:r>
        <w:rPr>
          <w:lang w:val="fr-FR"/>
        </w:rPr>
        <w:t>u 30 mai 2011 et a demandé que c</w:t>
      </w:r>
      <w:r w:rsidRPr="005220FF">
        <w:rPr>
          <w:lang w:val="fr-FR"/>
        </w:rPr>
        <w:t xml:space="preserve">e jugement en cassation de la </w:t>
      </w:r>
      <w:r>
        <w:rPr>
          <w:lang w:val="fr-FR"/>
        </w:rPr>
        <w:t xml:space="preserve">Cour nationale de justice </w:t>
      </w:r>
      <w:r w:rsidRPr="005220FF">
        <w:rPr>
          <w:lang w:val="fr-FR"/>
        </w:rPr>
        <w:t>soit an</w:t>
      </w:r>
      <w:r>
        <w:rPr>
          <w:lang w:val="fr-FR"/>
        </w:rPr>
        <w:t>nulé et que la décision de la Cour provinciale soit exécutée</w:t>
      </w:r>
      <w:r w:rsidRPr="005220FF">
        <w:rPr>
          <w:lang w:val="fr-FR"/>
        </w:rPr>
        <w:t>. L</w:t>
      </w:r>
      <w:r w:rsidR="00864B14">
        <w:rPr>
          <w:lang w:val="fr-FR"/>
        </w:rPr>
        <w:t>’</w:t>
      </w:r>
      <w:r w:rsidRPr="005220FF">
        <w:rPr>
          <w:lang w:val="fr-FR"/>
        </w:rPr>
        <w:t xml:space="preserve">auteur a fait valoir que le jugement </w:t>
      </w:r>
      <w:r>
        <w:rPr>
          <w:lang w:val="fr-FR"/>
        </w:rPr>
        <w:t>de la Cour nationale de justice n</w:t>
      </w:r>
      <w:r w:rsidR="00864B14">
        <w:rPr>
          <w:lang w:val="fr-FR"/>
        </w:rPr>
        <w:t>’</w:t>
      </w:r>
      <w:r w:rsidRPr="005220FF">
        <w:rPr>
          <w:lang w:val="fr-FR"/>
        </w:rPr>
        <w:t xml:space="preserve">était </w:t>
      </w:r>
      <w:r>
        <w:rPr>
          <w:lang w:val="fr-FR"/>
        </w:rPr>
        <w:t>pas fondé</w:t>
      </w:r>
      <w:r w:rsidRPr="005220FF">
        <w:rPr>
          <w:lang w:val="fr-FR"/>
        </w:rPr>
        <w:t xml:space="preserve"> et qu</w:t>
      </w:r>
      <w:r w:rsidR="00864B14">
        <w:rPr>
          <w:lang w:val="fr-FR"/>
        </w:rPr>
        <w:t>’</w:t>
      </w:r>
      <w:r w:rsidRPr="005220FF">
        <w:rPr>
          <w:lang w:val="fr-FR"/>
        </w:rPr>
        <w:t xml:space="preserve">il </w:t>
      </w:r>
      <w:r>
        <w:rPr>
          <w:lang w:val="fr-FR"/>
        </w:rPr>
        <w:t>portait atteinte à</w:t>
      </w:r>
      <w:r w:rsidRPr="005220FF">
        <w:rPr>
          <w:lang w:val="fr-FR"/>
        </w:rPr>
        <w:t xml:space="preserve"> son droit à une protection juridictionnelle effective, car </w:t>
      </w:r>
      <w:r>
        <w:rPr>
          <w:lang w:val="fr-FR"/>
        </w:rPr>
        <w:t>la Cour</w:t>
      </w:r>
      <w:r w:rsidRPr="005220FF">
        <w:rPr>
          <w:lang w:val="fr-FR"/>
        </w:rPr>
        <w:t xml:space="preserve"> n</w:t>
      </w:r>
      <w:r w:rsidR="00864B14">
        <w:rPr>
          <w:lang w:val="fr-FR"/>
        </w:rPr>
        <w:t>’</w:t>
      </w:r>
      <w:r w:rsidRPr="005220FF">
        <w:rPr>
          <w:lang w:val="fr-FR"/>
        </w:rPr>
        <w:t xml:space="preserve">avait pas analysé </w:t>
      </w:r>
      <w:r>
        <w:rPr>
          <w:lang w:val="fr-FR"/>
        </w:rPr>
        <w:t>« </w:t>
      </w:r>
      <w:r w:rsidRPr="005220FF">
        <w:rPr>
          <w:lang w:val="fr-FR"/>
        </w:rPr>
        <w:t>l</w:t>
      </w:r>
      <w:r w:rsidR="00864B14">
        <w:rPr>
          <w:lang w:val="fr-FR"/>
        </w:rPr>
        <w:t>’</w:t>
      </w:r>
      <w:r w:rsidRPr="005220FF">
        <w:rPr>
          <w:lang w:val="fr-FR"/>
        </w:rPr>
        <w:t>existence de la négociation collective, sa validité et sa supéri</w:t>
      </w:r>
      <w:r>
        <w:rPr>
          <w:lang w:val="fr-FR"/>
        </w:rPr>
        <w:t>orité sur le contrat de travail</w:t>
      </w:r>
      <w:r w:rsidRPr="005220FF">
        <w:rPr>
          <w:lang w:val="fr-FR"/>
        </w:rPr>
        <w:t xml:space="preserve">. Le </w:t>
      </w:r>
      <w:r>
        <w:rPr>
          <w:lang w:val="fr-FR"/>
        </w:rPr>
        <w:t>défaut</w:t>
      </w:r>
      <w:r w:rsidRPr="005220FF">
        <w:rPr>
          <w:lang w:val="fr-FR"/>
        </w:rPr>
        <w:t xml:space="preserve"> de </w:t>
      </w:r>
      <w:r>
        <w:rPr>
          <w:lang w:val="fr-FR"/>
        </w:rPr>
        <w:t>fondement</w:t>
      </w:r>
      <w:r w:rsidRPr="005220FF">
        <w:rPr>
          <w:lang w:val="fr-FR"/>
        </w:rPr>
        <w:t xml:space="preserve"> et l</w:t>
      </w:r>
      <w:r w:rsidR="00864B14">
        <w:rPr>
          <w:lang w:val="fr-FR"/>
        </w:rPr>
        <w:t>’</w:t>
      </w:r>
      <w:r w:rsidRPr="005220FF">
        <w:rPr>
          <w:lang w:val="fr-FR"/>
        </w:rPr>
        <w:t>absence d</w:t>
      </w:r>
      <w:r w:rsidR="00864B14">
        <w:rPr>
          <w:lang w:val="fr-FR"/>
        </w:rPr>
        <w:t>’</w:t>
      </w:r>
      <w:r w:rsidRPr="005220FF">
        <w:rPr>
          <w:lang w:val="fr-FR"/>
        </w:rPr>
        <w:t xml:space="preserve">étude du droit collectif </w:t>
      </w:r>
      <w:r>
        <w:rPr>
          <w:lang w:val="fr-FR"/>
        </w:rPr>
        <w:t xml:space="preserve">du travail </w:t>
      </w:r>
      <w:r w:rsidRPr="005220FF">
        <w:rPr>
          <w:lang w:val="fr-FR"/>
        </w:rPr>
        <w:t xml:space="preserve">en tant que droit social et la </w:t>
      </w:r>
      <w:r>
        <w:rPr>
          <w:lang w:val="fr-FR"/>
        </w:rPr>
        <w:t>primauté</w:t>
      </w:r>
      <w:r w:rsidRPr="005220FF">
        <w:rPr>
          <w:lang w:val="fr-FR"/>
        </w:rPr>
        <w:t xml:space="preserve"> constitutionnelle de la convention collective sur toute autre </w:t>
      </w:r>
      <w:r>
        <w:rPr>
          <w:lang w:val="fr-FR"/>
        </w:rPr>
        <w:t>disposition</w:t>
      </w:r>
      <w:r w:rsidRPr="005220FF">
        <w:rPr>
          <w:lang w:val="fr-FR"/>
        </w:rPr>
        <w:t xml:space="preserve"> contraire conduisent la </w:t>
      </w:r>
      <w:r>
        <w:rPr>
          <w:lang w:val="fr-FR"/>
        </w:rPr>
        <w:t>Cour</w:t>
      </w:r>
      <w:r w:rsidRPr="005220FF">
        <w:rPr>
          <w:lang w:val="fr-FR"/>
        </w:rPr>
        <w:t xml:space="preserve"> à cette violation constitutionnelle en </w:t>
      </w:r>
      <w:r>
        <w:rPr>
          <w:lang w:val="fr-FR"/>
        </w:rPr>
        <w:t>cassant</w:t>
      </w:r>
      <w:r w:rsidRPr="005220FF">
        <w:rPr>
          <w:lang w:val="fr-FR"/>
        </w:rPr>
        <w:t xml:space="preserve"> une décision rendue e</w:t>
      </w:r>
      <w:r>
        <w:rPr>
          <w:lang w:val="fr-FR"/>
        </w:rPr>
        <w:t>n application stricte de la loi ».</w:t>
      </w:r>
    </w:p>
    <w:p w:rsidR="00EE196F" w:rsidRPr="003C20F3" w:rsidRDefault="00EE196F" w:rsidP="00EE196F">
      <w:pPr>
        <w:spacing w:after="120"/>
        <w:ind w:left="1134" w:right="1134"/>
        <w:jc w:val="both"/>
        <w:rPr>
          <w:lang w:val="fr-FR"/>
        </w:rPr>
      </w:pPr>
      <w:r w:rsidRPr="00AB3D43">
        <w:rPr>
          <w:lang w:val="fr-FR"/>
        </w:rPr>
        <w:t>2.11</w:t>
      </w:r>
      <w:r w:rsidRPr="00AB3D43">
        <w:rPr>
          <w:lang w:val="fr-FR"/>
        </w:rPr>
        <w:tab/>
        <w:t>Le 9</w:t>
      </w:r>
      <w:r>
        <w:rPr>
          <w:lang w:val="fr-FR"/>
        </w:rPr>
        <w:t> </w:t>
      </w:r>
      <w:r w:rsidRPr="00AB3D43">
        <w:rPr>
          <w:lang w:val="fr-FR"/>
        </w:rPr>
        <w:t>avril 2014, la Cour const</w:t>
      </w:r>
      <w:r>
        <w:rPr>
          <w:lang w:val="fr-FR"/>
        </w:rPr>
        <w:t>itutionnelle a considéré qu</w:t>
      </w:r>
      <w:r w:rsidR="00864B14">
        <w:rPr>
          <w:lang w:val="fr-FR"/>
        </w:rPr>
        <w:t>’</w:t>
      </w:r>
      <w:r>
        <w:rPr>
          <w:lang w:val="fr-FR"/>
        </w:rPr>
        <w:t>il n</w:t>
      </w:r>
      <w:r w:rsidR="00864B14">
        <w:rPr>
          <w:lang w:val="fr-FR"/>
        </w:rPr>
        <w:t>’</w:t>
      </w:r>
      <w:r w:rsidRPr="00AB3D43">
        <w:rPr>
          <w:lang w:val="fr-FR"/>
        </w:rPr>
        <w:t>y avait pas</w:t>
      </w:r>
      <w:r>
        <w:rPr>
          <w:lang w:val="fr-FR"/>
        </w:rPr>
        <w:t xml:space="preserve"> eu</w:t>
      </w:r>
      <w:r w:rsidRPr="00AB3D43">
        <w:rPr>
          <w:lang w:val="fr-FR"/>
        </w:rPr>
        <w:t xml:space="preserve"> de violation des droits constitutionnels puisque </w:t>
      </w:r>
      <w:r>
        <w:rPr>
          <w:lang w:val="fr-FR"/>
        </w:rPr>
        <w:t>le jugement de la Cour nationale de justice était dûment motivé, que la Cour avait examiné l</w:t>
      </w:r>
      <w:r w:rsidRPr="003C20F3">
        <w:rPr>
          <w:lang w:val="fr-FR"/>
        </w:rPr>
        <w:t xml:space="preserve">es questions principales et controversées </w:t>
      </w:r>
      <w:r>
        <w:rPr>
          <w:lang w:val="fr-FR"/>
        </w:rPr>
        <w:t>soulevées pendant</w:t>
      </w:r>
      <w:r w:rsidRPr="003C20F3">
        <w:rPr>
          <w:lang w:val="fr-FR"/>
        </w:rPr>
        <w:t xml:space="preserve"> la procédure</w:t>
      </w:r>
      <w:r w:rsidRPr="00AB3D43">
        <w:rPr>
          <w:lang w:val="fr-FR"/>
        </w:rPr>
        <w:t xml:space="preserve"> et q</w:t>
      </w:r>
      <w:r>
        <w:rPr>
          <w:lang w:val="fr-FR"/>
        </w:rPr>
        <w:t>u</w:t>
      </w:r>
      <w:r w:rsidR="00864B14">
        <w:rPr>
          <w:lang w:val="fr-FR"/>
        </w:rPr>
        <w:t>’</w:t>
      </w:r>
      <w:r>
        <w:rPr>
          <w:lang w:val="fr-FR"/>
        </w:rPr>
        <w:t>elle n</w:t>
      </w:r>
      <w:r w:rsidR="00864B14">
        <w:rPr>
          <w:lang w:val="fr-FR"/>
        </w:rPr>
        <w:t>’</w:t>
      </w:r>
      <w:r>
        <w:rPr>
          <w:lang w:val="fr-FR"/>
        </w:rPr>
        <w:t xml:space="preserve">avait pas violé </w:t>
      </w:r>
      <w:r w:rsidRPr="003C20F3">
        <w:rPr>
          <w:lang w:val="fr-FR"/>
        </w:rPr>
        <w:t>le principe de la protection juridictionnelle effecti</w:t>
      </w:r>
      <w:r>
        <w:rPr>
          <w:lang w:val="fr-FR"/>
        </w:rPr>
        <w:t xml:space="preserve">ve et </w:t>
      </w:r>
      <w:r w:rsidRPr="00AB3D43">
        <w:rPr>
          <w:lang w:val="fr-FR"/>
        </w:rPr>
        <w:t>le droit à une procédure régulière</w:t>
      </w:r>
      <w:r w:rsidRPr="003C20F3">
        <w:rPr>
          <w:lang w:val="fr-FR"/>
        </w:rPr>
        <w:t>.</w:t>
      </w:r>
    </w:p>
    <w:p w:rsidR="00EE196F" w:rsidRPr="00726050" w:rsidRDefault="00EE196F" w:rsidP="00EE196F">
      <w:pPr>
        <w:spacing w:after="120"/>
        <w:ind w:left="1134" w:right="1134"/>
        <w:jc w:val="both"/>
        <w:rPr>
          <w:lang w:val="fr-FR"/>
        </w:rPr>
      </w:pPr>
      <w:r w:rsidRPr="00726050">
        <w:rPr>
          <w:lang w:val="fr-FR"/>
        </w:rPr>
        <w:t>2.12</w:t>
      </w:r>
      <w:r w:rsidRPr="00726050">
        <w:rPr>
          <w:lang w:val="fr-FR"/>
        </w:rPr>
        <w:tab/>
        <w:t>L</w:t>
      </w:r>
      <w:r w:rsidR="00864B14">
        <w:rPr>
          <w:lang w:val="fr-FR"/>
        </w:rPr>
        <w:t>’</w:t>
      </w:r>
      <w:r w:rsidRPr="00726050">
        <w:rPr>
          <w:lang w:val="fr-FR"/>
        </w:rPr>
        <w:t>auteur affirme que sa communication satisfait aux conditions de recevabilité énoncé</w:t>
      </w:r>
      <w:r>
        <w:rPr>
          <w:lang w:val="fr-FR"/>
        </w:rPr>
        <w:t>es dans le Protocole facultatif</w:t>
      </w:r>
      <w:r w:rsidRPr="00726050">
        <w:rPr>
          <w:lang w:val="fr-FR"/>
        </w:rPr>
        <w:t>.</w:t>
      </w:r>
    </w:p>
    <w:p w:rsidR="00EE196F" w:rsidRPr="00B74B50" w:rsidRDefault="00EE196F" w:rsidP="00EE196F">
      <w:pPr>
        <w:pStyle w:val="H23G"/>
        <w:rPr>
          <w:lang w:val="fr-FR"/>
        </w:rPr>
      </w:pPr>
      <w:r w:rsidRPr="00726050">
        <w:rPr>
          <w:lang w:val="fr-FR"/>
        </w:rPr>
        <w:tab/>
      </w:r>
      <w:r w:rsidRPr="00726050">
        <w:rPr>
          <w:lang w:val="fr-FR"/>
        </w:rPr>
        <w:tab/>
      </w:r>
      <w:r w:rsidRPr="00B74B50">
        <w:rPr>
          <w:lang w:val="fr-FR"/>
        </w:rPr>
        <w:t>Teneur de la plainte</w:t>
      </w:r>
    </w:p>
    <w:p w:rsidR="00EE196F" w:rsidRPr="00B74B50" w:rsidRDefault="00EE196F" w:rsidP="00EE196F">
      <w:pPr>
        <w:pStyle w:val="SingleTxtG"/>
        <w:rPr>
          <w:lang w:val="fr-FR"/>
        </w:rPr>
      </w:pPr>
      <w:r w:rsidRPr="00B74B50">
        <w:rPr>
          <w:lang w:val="fr-FR"/>
        </w:rPr>
        <w:t xml:space="preserve">3.1 </w:t>
      </w:r>
      <w:r w:rsidRPr="00B74B50">
        <w:rPr>
          <w:lang w:val="fr-FR"/>
        </w:rPr>
        <w:tab/>
        <w:t>L</w:t>
      </w:r>
      <w:r w:rsidR="00864B14">
        <w:rPr>
          <w:lang w:val="fr-FR"/>
        </w:rPr>
        <w:t>’</w:t>
      </w:r>
      <w:r w:rsidRPr="00B74B50">
        <w:rPr>
          <w:lang w:val="fr-FR"/>
        </w:rPr>
        <w:t>auteur affirme que l</w:t>
      </w:r>
      <w:r w:rsidR="00864B14">
        <w:rPr>
          <w:lang w:val="fr-FR"/>
        </w:rPr>
        <w:t>’</w:t>
      </w:r>
      <w:r w:rsidRPr="00B74B50">
        <w:rPr>
          <w:lang w:val="fr-FR"/>
        </w:rPr>
        <w:t>État partie a violé les droits qu</w:t>
      </w:r>
      <w:r w:rsidR="00864B14">
        <w:rPr>
          <w:lang w:val="fr-FR"/>
        </w:rPr>
        <w:t>’</w:t>
      </w:r>
      <w:r w:rsidRPr="00B74B50">
        <w:rPr>
          <w:lang w:val="fr-FR"/>
        </w:rPr>
        <w:t>il tient des articles 6,</w:t>
      </w:r>
      <w:r w:rsidR="002814FC">
        <w:rPr>
          <w:lang w:val="fr-FR"/>
        </w:rPr>
        <w:t xml:space="preserve"> </w:t>
      </w:r>
      <w:r w:rsidRPr="00B74B50">
        <w:rPr>
          <w:lang w:val="fr-FR"/>
        </w:rPr>
        <w:t>7 et 12, lus conjointement avec l</w:t>
      </w:r>
      <w:r w:rsidR="00864B14">
        <w:rPr>
          <w:lang w:val="fr-FR"/>
        </w:rPr>
        <w:t>’</w:t>
      </w:r>
      <w:r w:rsidRPr="00B74B50">
        <w:rPr>
          <w:lang w:val="fr-FR"/>
        </w:rPr>
        <w:t>article 2</w:t>
      </w:r>
      <w:r>
        <w:rPr>
          <w:lang w:val="fr-FR"/>
        </w:rPr>
        <w:t>,</w:t>
      </w:r>
      <w:r w:rsidRPr="00B74B50">
        <w:rPr>
          <w:lang w:val="fr-FR"/>
        </w:rPr>
        <w:t xml:space="preserve"> du Pacte.</w:t>
      </w:r>
    </w:p>
    <w:p w:rsidR="00EE196F" w:rsidRPr="00E000E6" w:rsidRDefault="00EE196F" w:rsidP="00EE196F">
      <w:pPr>
        <w:pStyle w:val="SingleTxtG"/>
        <w:rPr>
          <w:lang w:val="fr-FR"/>
        </w:rPr>
      </w:pPr>
      <w:r w:rsidRPr="006370FC">
        <w:rPr>
          <w:lang w:val="fr-FR"/>
        </w:rPr>
        <w:t xml:space="preserve">3.2 </w:t>
      </w:r>
      <w:r w:rsidRPr="006370FC">
        <w:rPr>
          <w:lang w:val="fr-FR"/>
        </w:rPr>
        <w:tab/>
        <w:t>En ce qui concerne la violation des droits qu</w:t>
      </w:r>
      <w:r w:rsidR="00864B14">
        <w:rPr>
          <w:lang w:val="fr-FR"/>
        </w:rPr>
        <w:t>’</w:t>
      </w:r>
      <w:r w:rsidRPr="006370FC">
        <w:rPr>
          <w:lang w:val="fr-FR"/>
        </w:rPr>
        <w:t>il tient des</w:t>
      </w:r>
      <w:r w:rsidR="00491F60">
        <w:rPr>
          <w:lang w:val="fr-FR"/>
        </w:rPr>
        <w:t xml:space="preserve"> </w:t>
      </w:r>
      <w:r w:rsidRPr="006370FC">
        <w:rPr>
          <w:lang w:val="fr-FR"/>
        </w:rPr>
        <w:t>articles 6 et 7, l</w:t>
      </w:r>
      <w:r w:rsidR="00864B14">
        <w:rPr>
          <w:lang w:val="fr-FR"/>
        </w:rPr>
        <w:t>’</w:t>
      </w:r>
      <w:r w:rsidRPr="006370FC">
        <w:rPr>
          <w:lang w:val="fr-FR"/>
        </w:rPr>
        <w:t>auteur affirme qu</w:t>
      </w:r>
      <w:r w:rsidR="00864B14">
        <w:rPr>
          <w:lang w:val="fr-FR"/>
        </w:rPr>
        <w:t>’</w:t>
      </w:r>
      <w:r w:rsidRPr="006370FC">
        <w:rPr>
          <w:lang w:val="fr-FR"/>
        </w:rPr>
        <w:t xml:space="preserve">après avoir adressé </w:t>
      </w:r>
      <w:r>
        <w:rPr>
          <w:lang w:val="fr-FR"/>
        </w:rPr>
        <w:t>l</w:t>
      </w:r>
      <w:r w:rsidR="00864B14">
        <w:rPr>
          <w:lang w:val="fr-FR"/>
        </w:rPr>
        <w:t>’</w:t>
      </w:r>
      <w:r>
        <w:rPr>
          <w:lang w:val="fr-FR"/>
        </w:rPr>
        <w:t>avis de résiliation du contrat de travail</w:t>
      </w:r>
      <w:r w:rsidRPr="006370FC">
        <w:rPr>
          <w:lang w:val="fr-FR"/>
        </w:rPr>
        <w:t xml:space="preserve"> à l</w:t>
      </w:r>
      <w:r w:rsidR="00864B14">
        <w:rPr>
          <w:lang w:val="fr-FR"/>
        </w:rPr>
        <w:t>’</w:t>
      </w:r>
      <w:r w:rsidRPr="006370FC">
        <w:rPr>
          <w:lang w:val="fr-FR"/>
        </w:rPr>
        <w:t>inspecteur du travail de la province d</w:t>
      </w:r>
      <w:r w:rsidR="00864B14">
        <w:rPr>
          <w:lang w:val="fr-FR"/>
        </w:rPr>
        <w:t>’</w:t>
      </w:r>
      <w:r w:rsidRPr="006370FC">
        <w:rPr>
          <w:lang w:val="fr-FR"/>
        </w:rPr>
        <w:t>Esmeraldas le 24</w:t>
      </w:r>
      <w:r>
        <w:rPr>
          <w:lang w:val="fr-FR"/>
        </w:rPr>
        <w:t> </w:t>
      </w:r>
      <w:r w:rsidRPr="006370FC">
        <w:rPr>
          <w:lang w:val="fr-FR"/>
        </w:rPr>
        <w:t xml:space="preserve">octobre 2007, il avait droit à une indemnité spéciale </w:t>
      </w:r>
      <w:r>
        <w:rPr>
          <w:lang w:val="fr-FR"/>
        </w:rPr>
        <w:t xml:space="preserve">complémentaire </w:t>
      </w:r>
      <w:r w:rsidRPr="006370FC">
        <w:rPr>
          <w:lang w:val="fr-FR"/>
        </w:rPr>
        <w:t>en vertu de la convention collective, puisqu</w:t>
      </w:r>
      <w:r w:rsidR="00864B14">
        <w:rPr>
          <w:lang w:val="fr-FR"/>
        </w:rPr>
        <w:t>’</w:t>
      </w:r>
      <w:r w:rsidRPr="006370FC">
        <w:rPr>
          <w:lang w:val="fr-FR"/>
        </w:rPr>
        <w:t>il s</w:t>
      </w:r>
      <w:r w:rsidR="00864B14">
        <w:rPr>
          <w:lang w:val="fr-FR"/>
        </w:rPr>
        <w:t>’</w:t>
      </w:r>
      <w:r w:rsidRPr="006370FC">
        <w:rPr>
          <w:lang w:val="fr-FR"/>
        </w:rPr>
        <w:t>était volontaire</w:t>
      </w:r>
      <w:r>
        <w:rPr>
          <w:lang w:val="fr-FR"/>
        </w:rPr>
        <w:t>ment séparé de PETROINDUSTRIAL ;</w:t>
      </w:r>
      <w:r w:rsidRPr="006370FC">
        <w:rPr>
          <w:lang w:val="fr-FR"/>
        </w:rPr>
        <w:t xml:space="preserve"> </w:t>
      </w:r>
      <w:r w:rsidRPr="00927717">
        <w:rPr>
          <w:lang w:val="fr-FR"/>
        </w:rPr>
        <w:t xml:space="preserve">et que </w:t>
      </w:r>
      <w:r>
        <w:rPr>
          <w:lang w:val="fr-FR"/>
        </w:rPr>
        <w:t xml:space="preserve">selon </w:t>
      </w:r>
      <w:r w:rsidRPr="00927717">
        <w:rPr>
          <w:lang w:val="fr-FR"/>
        </w:rPr>
        <w:t>l</w:t>
      </w:r>
      <w:r w:rsidR="00864B14">
        <w:rPr>
          <w:lang w:val="fr-FR"/>
        </w:rPr>
        <w:t>’</w:t>
      </w:r>
      <w:r w:rsidRPr="00927717">
        <w:rPr>
          <w:lang w:val="fr-FR"/>
        </w:rPr>
        <w:t>article</w:t>
      </w:r>
      <w:r w:rsidR="002814FC">
        <w:rPr>
          <w:lang w:val="fr-FR"/>
        </w:rPr>
        <w:t xml:space="preserve"> </w:t>
      </w:r>
      <w:r w:rsidRPr="00927717">
        <w:rPr>
          <w:lang w:val="fr-FR"/>
        </w:rPr>
        <w:t>185 du Code du travail</w:t>
      </w:r>
      <w:r>
        <w:rPr>
          <w:lang w:val="fr-FR"/>
        </w:rPr>
        <w:t>,</w:t>
      </w:r>
      <w:r w:rsidRPr="00927717">
        <w:rPr>
          <w:lang w:val="fr-FR"/>
        </w:rPr>
        <w:t xml:space="preserve"> l</w:t>
      </w:r>
      <w:r w:rsidR="00864B14">
        <w:rPr>
          <w:lang w:val="fr-FR"/>
        </w:rPr>
        <w:t>’</w:t>
      </w:r>
      <w:r w:rsidRPr="00927717">
        <w:rPr>
          <w:lang w:val="fr-FR"/>
        </w:rPr>
        <w:t>indemnité</w:t>
      </w:r>
      <w:r>
        <w:rPr>
          <w:lang w:val="fr-FR"/>
        </w:rPr>
        <w:t xml:space="preserve"> prévue en cas de résiliation du contrat de travail</w:t>
      </w:r>
      <w:r w:rsidRPr="00927717">
        <w:rPr>
          <w:lang w:val="fr-FR"/>
        </w:rPr>
        <w:t xml:space="preserve"> </w:t>
      </w:r>
      <w:r>
        <w:rPr>
          <w:lang w:val="fr-FR"/>
        </w:rPr>
        <w:t>n</w:t>
      </w:r>
      <w:r w:rsidR="00864B14">
        <w:rPr>
          <w:lang w:val="fr-FR"/>
        </w:rPr>
        <w:t>’</w:t>
      </w:r>
      <w:r>
        <w:rPr>
          <w:lang w:val="fr-FR"/>
        </w:rPr>
        <w:t>empêchait pas le travailleur</w:t>
      </w:r>
      <w:r w:rsidRPr="00927717">
        <w:rPr>
          <w:lang w:val="fr-FR"/>
        </w:rPr>
        <w:t xml:space="preserve"> </w:t>
      </w:r>
      <w:r>
        <w:rPr>
          <w:lang w:val="fr-FR"/>
        </w:rPr>
        <w:t>d</w:t>
      </w:r>
      <w:r w:rsidR="00864B14">
        <w:rPr>
          <w:lang w:val="fr-FR"/>
        </w:rPr>
        <w:t>’</w:t>
      </w:r>
      <w:r>
        <w:rPr>
          <w:lang w:val="fr-FR"/>
        </w:rPr>
        <w:t>être indemnisé</w:t>
      </w:r>
      <w:r w:rsidRPr="00927717">
        <w:rPr>
          <w:lang w:val="fr-FR"/>
        </w:rPr>
        <w:t xml:space="preserve"> en vertu d</w:t>
      </w:r>
      <w:r w:rsidR="00864B14">
        <w:rPr>
          <w:lang w:val="fr-FR"/>
        </w:rPr>
        <w:t>’</w:t>
      </w:r>
      <w:r w:rsidRPr="00927717">
        <w:rPr>
          <w:lang w:val="fr-FR"/>
        </w:rPr>
        <w:t xml:space="preserve">autres dispositions </w:t>
      </w:r>
      <w:r>
        <w:rPr>
          <w:lang w:val="fr-FR"/>
        </w:rPr>
        <w:t>dont il pouvait se prévaloir</w:t>
      </w:r>
      <w:r w:rsidRPr="006370FC">
        <w:rPr>
          <w:lang w:val="fr-FR"/>
        </w:rPr>
        <w:t xml:space="preserve">. </w:t>
      </w:r>
      <w:r w:rsidRPr="008B10D6">
        <w:rPr>
          <w:lang w:val="fr-FR"/>
        </w:rPr>
        <w:t>Pourtant, en l</w:t>
      </w:r>
      <w:r w:rsidR="00864B14">
        <w:rPr>
          <w:lang w:val="fr-FR"/>
        </w:rPr>
        <w:t>’</w:t>
      </w:r>
      <w:r w:rsidRPr="008B10D6">
        <w:rPr>
          <w:lang w:val="fr-FR"/>
        </w:rPr>
        <w:t>espèce, l</w:t>
      </w:r>
      <w:r w:rsidR="00864B14">
        <w:rPr>
          <w:lang w:val="fr-FR"/>
        </w:rPr>
        <w:t>’</w:t>
      </w:r>
      <w:r w:rsidRPr="008B10D6">
        <w:rPr>
          <w:lang w:val="fr-FR"/>
        </w:rPr>
        <w:t>employeur</w:t>
      </w:r>
      <w:r>
        <w:rPr>
          <w:lang w:val="fr-FR"/>
        </w:rPr>
        <w:t xml:space="preserve"> n</w:t>
      </w:r>
      <w:r w:rsidR="00864B14">
        <w:rPr>
          <w:lang w:val="fr-FR"/>
        </w:rPr>
        <w:t>’</w:t>
      </w:r>
      <w:r w:rsidRPr="008B10D6">
        <w:rPr>
          <w:lang w:val="fr-FR"/>
        </w:rPr>
        <w:t>a</w:t>
      </w:r>
      <w:r>
        <w:rPr>
          <w:lang w:val="fr-FR"/>
        </w:rPr>
        <w:t>vait</w:t>
      </w:r>
      <w:r w:rsidRPr="008B10D6">
        <w:rPr>
          <w:lang w:val="fr-FR"/>
        </w:rPr>
        <w:t xml:space="preserve"> </w:t>
      </w:r>
      <w:r>
        <w:rPr>
          <w:lang w:val="fr-FR"/>
        </w:rPr>
        <w:t>versé dans le solde de tout compte que l</w:t>
      </w:r>
      <w:r w:rsidR="00864B14">
        <w:rPr>
          <w:lang w:val="fr-FR"/>
        </w:rPr>
        <w:t>’</w:t>
      </w:r>
      <w:r>
        <w:rPr>
          <w:lang w:val="fr-FR"/>
        </w:rPr>
        <w:t xml:space="preserve">indemnité due au titre de la résiliation du contrat de travail, </w:t>
      </w:r>
      <w:r w:rsidRPr="008B10D6">
        <w:rPr>
          <w:lang w:val="fr-FR"/>
        </w:rPr>
        <w:t xml:space="preserve">en </w:t>
      </w:r>
      <w:r>
        <w:rPr>
          <w:lang w:val="fr-FR"/>
        </w:rPr>
        <w:t>oubliant</w:t>
      </w:r>
      <w:r w:rsidRPr="008B10D6">
        <w:rPr>
          <w:lang w:val="fr-FR"/>
        </w:rPr>
        <w:t xml:space="preserve"> </w:t>
      </w:r>
      <w:r>
        <w:rPr>
          <w:lang w:val="fr-FR"/>
        </w:rPr>
        <w:t>l</w:t>
      </w:r>
      <w:r w:rsidR="00864B14">
        <w:rPr>
          <w:lang w:val="fr-FR"/>
        </w:rPr>
        <w:t>’</w:t>
      </w:r>
      <w:r>
        <w:rPr>
          <w:lang w:val="fr-FR"/>
        </w:rPr>
        <w:t xml:space="preserve">indemnité </w:t>
      </w:r>
      <w:r w:rsidRPr="008B10D6">
        <w:rPr>
          <w:lang w:val="fr-FR"/>
        </w:rPr>
        <w:t xml:space="preserve">spéciale </w:t>
      </w:r>
      <w:r>
        <w:rPr>
          <w:lang w:val="fr-FR"/>
        </w:rPr>
        <w:t>complémentaire</w:t>
      </w:r>
      <w:r w:rsidRPr="008B10D6">
        <w:rPr>
          <w:lang w:val="fr-FR"/>
        </w:rPr>
        <w:t xml:space="preserve">. Par la suite, la procédure judiciaire </w:t>
      </w:r>
      <w:r>
        <w:rPr>
          <w:lang w:val="fr-FR"/>
        </w:rPr>
        <w:t>engagée par l</w:t>
      </w:r>
      <w:r w:rsidR="00864B14">
        <w:rPr>
          <w:lang w:val="fr-FR"/>
        </w:rPr>
        <w:t>’</w:t>
      </w:r>
      <w:r>
        <w:rPr>
          <w:lang w:val="fr-FR"/>
        </w:rPr>
        <w:t>auteur n</w:t>
      </w:r>
      <w:r w:rsidR="00864B14">
        <w:rPr>
          <w:lang w:val="fr-FR"/>
        </w:rPr>
        <w:t>’</w:t>
      </w:r>
      <w:r w:rsidRPr="008B10D6">
        <w:rPr>
          <w:lang w:val="fr-FR"/>
        </w:rPr>
        <w:t xml:space="preserve">a pas permis de remédier à la violation dont il </w:t>
      </w:r>
      <w:r>
        <w:rPr>
          <w:lang w:val="fr-FR"/>
        </w:rPr>
        <w:t>a</w:t>
      </w:r>
      <w:r w:rsidRPr="008B10D6">
        <w:rPr>
          <w:lang w:val="fr-FR"/>
        </w:rPr>
        <w:t xml:space="preserve"> été victime</w:t>
      </w:r>
      <w:r>
        <w:rPr>
          <w:lang w:val="fr-FR"/>
        </w:rPr>
        <w:t xml:space="preserve">, à savoir le refus de lui accorder </w:t>
      </w:r>
      <w:r w:rsidRPr="008B10D6">
        <w:rPr>
          <w:lang w:val="fr-FR"/>
        </w:rPr>
        <w:t>la prime prévue à l</w:t>
      </w:r>
      <w:r w:rsidR="00864B14">
        <w:rPr>
          <w:lang w:val="fr-FR"/>
        </w:rPr>
        <w:t>’</w:t>
      </w:r>
      <w:r w:rsidRPr="008B10D6">
        <w:rPr>
          <w:lang w:val="fr-FR"/>
        </w:rPr>
        <w:t>article</w:t>
      </w:r>
      <w:r w:rsidR="002814FC">
        <w:rPr>
          <w:lang w:val="fr-FR"/>
        </w:rPr>
        <w:t xml:space="preserve"> </w:t>
      </w:r>
      <w:r w:rsidRPr="008B10D6">
        <w:rPr>
          <w:lang w:val="fr-FR"/>
        </w:rPr>
        <w:t xml:space="preserve">14 de la convention collective, </w:t>
      </w:r>
      <w:r>
        <w:rPr>
          <w:lang w:val="fr-FR"/>
        </w:rPr>
        <w:t>qui correspond</w:t>
      </w:r>
      <w:r w:rsidRPr="008B10D6">
        <w:rPr>
          <w:lang w:val="fr-FR"/>
        </w:rPr>
        <w:t xml:space="preserve"> à sa relation de travail de plus</w:t>
      </w:r>
      <w:r>
        <w:rPr>
          <w:lang w:val="fr-FR"/>
        </w:rPr>
        <w:t xml:space="preserve"> de trente ans avec PETROINDUSTRIAL</w:t>
      </w:r>
      <w:r w:rsidRPr="000171E4">
        <w:rPr>
          <w:lang w:val="fr-FR"/>
        </w:rPr>
        <w:t xml:space="preserve">. </w:t>
      </w:r>
      <w:r w:rsidRPr="00E000E6">
        <w:rPr>
          <w:lang w:val="fr-FR"/>
        </w:rPr>
        <w:t>L</w:t>
      </w:r>
      <w:r w:rsidR="00864B14">
        <w:rPr>
          <w:lang w:val="fr-FR"/>
        </w:rPr>
        <w:t>’</w:t>
      </w:r>
      <w:r w:rsidRPr="00E000E6">
        <w:rPr>
          <w:lang w:val="fr-FR"/>
        </w:rPr>
        <w:t>auteur fait valoir que d</w:t>
      </w:r>
      <w:r w:rsidR="00864B14">
        <w:rPr>
          <w:lang w:val="fr-FR"/>
        </w:rPr>
        <w:t>’</w:t>
      </w:r>
      <w:r w:rsidRPr="00E000E6">
        <w:rPr>
          <w:lang w:val="fr-FR"/>
        </w:rPr>
        <w:t xml:space="preserve">autres travailleurs se trouvant dans des situations similaires, qui </w:t>
      </w:r>
      <w:r>
        <w:rPr>
          <w:lang w:val="fr-FR"/>
        </w:rPr>
        <w:t>avaient</w:t>
      </w:r>
      <w:r w:rsidRPr="00E000E6">
        <w:rPr>
          <w:lang w:val="fr-FR"/>
        </w:rPr>
        <w:t xml:space="preserve"> demandé</w:t>
      </w:r>
      <w:r>
        <w:rPr>
          <w:lang w:val="fr-FR"/>
        </w:rPr>
        <w:t xml:space="preserve"> la résiliation de leur contrat de travail</w:t>
      </w:r>
      <w:r w:rsidRPr="00E000E6">
        <w:rPr>
          <w:lang w:val="fr-FR"/>
        </w:rPr>
        <w:t xml:space="preserve">, ont </w:t>
      </w:r>
      <w:r>
        <w:rPr>
          <w:lang w:val="fr-FR"/>
        </w:rPr>
        <w:t xml:space="preserve">bien </w:t>
      </w:r>
      <w:r w:rsidRPr="00E000E6">
        <w:rPr>
          <w:lang w:val="fr-FR"/>
        </w:rPr>
        <w:t xml:space="preserve">reçu </w:t>
      </w:r>
      <w:r>
        <w:rPr>
          <w:lang w:val="fr-FR"/>
        </w:rPr>
        <w:t>des indemnités</w:t>
      </w:r>
      <w:r w:rsidRPr="00E000E6">
        <w:rPr>
          <w:lang w:val="fr-FR"/>
        </w:rPr>
        <w:t xml:space="preserve"> de départ volontaire, soit directement de l</w:t>
      </w:r>
      <w:r w:rsidR="00864B14">
        <w:rPr>
          <w:lang w:val="fr-FR"/>
        </w:rPr>
        <w:t>’</w:t>
      </w:r>
      <w:r w:rsidRPr="00E000E6">
        <w:rPr>
          <w:lang w:val="fr-FR"/>
        </w:rPr>
        <w:t>empl</w:t>
      </w:r>
      <w:r>
        <w:rPr>
          <w:lang w:val="fr-FR"/>
        </w:rPr>
        <w:t>oyeur, soit par voie judiciaire</w:t>
      </w:r>
      <w:r w:rsidRPr="00E000E6">
        <w:rPr>
          <w:lang w:val="fr-FR"/>
        </w:rPr>
        <w:t xml:space="preserve">. </w:t>
      </w:r>
    </w:p>
    <w:p w:rsidR="00EE196F" w:rsidRPr="0097201D" w:rsidRDefault="00EE196F" w:rsidP="00EE196F">
      <w:pPr>
        <w:pStyle w:val="SingleTxtG"/>
        <w:rPr>
          <w:lang w:val="fr-FR"/>
        </w:rPr>
      </w:pPr>
      <w:r w:rsidRPr="0039122A">
        <w:rPr>
          <w:lang w:val="fr-FR"/>
        </w:rPr>
        <w:t xml:space="preserve">3.3 </w:t>
      </w:r>
      <w:r w:rsidRPr="0039122A">
        <w:rPr>
          <w:lang w:val="fr-FR"/>
        </w:rPr>
        <w:tab/>
        <w:t>L</w:t>
      </w:r>
      <w:r w:rsidR="00864B14">
        <w:rPr>
          <w:lang w:val="fr-FR"/>
        </w:rPr>
        <w:t>’</w:t>
      </w:r>
      <w:r w:rsidRPr="0039122A">
        <w:rPr>
          <w:lang w:val="fr-FR"/>
        </w:rPr>
        <w:t>auteur affirme que son droit à des conditions de travail sûres et saines et à la santé a été violé car, pendant les années où il a travaillé che</w:t>
      </w:r>
      <w:r>
        <w:rPr>
          <w:lang w:val="fr-FR"/>
        </w:rPr>
        <w:t>z PETROECUADOR, l</w:t>
      </w:r>
      <w:r w:rsidR="00864B14">
        <w:rPr>
          <w:lang w:val="fr-FR"/>
        </w:rPr>
        <w:t>’</w:t>
      </w:r>
      <w:r>
        <w:rPr>
          <w:lang w:val="fr-FR"/>
        </w:rPr>
        <w:t>entreprise n</w:t>
      </w:r>
      <w:r w:rsidR="00864B14">
        <w:rPr>
          <w:lang w:val="fr-FR"/>
        </w:rPr>
        <w:t>’</w:t>
      </w:r>
      <w:r w:rsidRPr="0039122A">
        <w:rPr>
          <w:lang w:val="fr-FR"/>
        </w:rPr>
        <w:t>a pas maintenu les conditi</w:t>
      </w:r>
      <w:r>
        <w:rPr>
          <w:lang w:val="fr-FR"/>
        </w:rPr>
        <w:t>ons minimales de propreté et n</w:t>
      </w:r>
      <w:r w:rsidR="00864B14">
        <w:rPr>
          <w:lang w:val="fr-FR"/>
        </w:rPr>
        <w:t>’</w:t>
      </w:r>
      <w:r>
        <w:rPr>
          <w:lang w:val="fr-FR"/>
        </w:rPr>
        <w:t xml:space="preserve">a pas adopté les mesures nécessaires </w:t>
      </w:r>
      <w:r w:rsidRPr="0039122A">
        <w:rPr>
          <w:lang w:val="fr-FR"/>
        </w:rPr>
        <w:t xml:space="preserve">pour la manipulation de substances chimiques et nocives. </w:t>
      </w:r>
      <w:r w:rsidRPr="0097201D">
        <w:rPr>
          <w:lang w:val="fr-FR"/>
        </w:rPr>
        <w:t>Par conséquent, à l</w:t>
      </w:r>
      <w:r w:rsidR="00864B14">
        <w:rPr>
          <w:lang w:val="fr-FR"/>
        </w:rPr>
        <w:t>’</w:t>
      </w:r>
      <w:r>
        <w:rPr>
          <w:lang w:val="fr-FR"/>
        </w:rPr>
        <w:t>âge de 67 </w:t>
      </w:r>
      <w:r w:rsidRPr="0097201D">
        <w:rPr>
          <w:lang w:val="fr-FR"/>
        </w:rPr>
        <w:t>ans, l</w:t>
      </w:r>
      <w:r w:rsidR="00864B14">
        <w:rPr>
          <w:lang w:val="fr-FR"/>
        </w:rPr>
        <w:t>’</w:t>
      </w:r>
      <w:r w:rsidRPr="0097201D">
        <w:rPr>
          <w:lang w:val="fr-FR"/>
        </w:rPr>
        <w:t xml:space="preserve">auteur a commencé à avoir des tremblements de mains et a reçu un diagnostic de maladie de Parkinson et de déficience auditive en 2013. </w:t>
      </w:r>
    </w:p>
    <w:p w:rsidR="00EE196F" w:rsidRPr="00B74B50" w:rsidRDefault="00EE196F" w:rsidP="00013A9E">
      <w:pPr>
        <w:pStyle w:val="H23G"/>
        <w:rPr>
          <w:lang w:val="fr-FR"/>
        </w:rPr>
      </w:pPr>
      <w:r w:rsidRPr="0097201D">
        <w:rPr>
          <w:lang w:val="fr-FR"/>
        </w:rPr>
        <w:tab/>
      </w:r>
      <w:r w:rsidRPr="0097201D">
        <w:rPr>
          <w:lang w:val="fr-FR"/>
        </w:rPr>
        <w:tab/>
      </w:r>
      <w:r w:rsidRPr="00B74B50">
        <w:rPr>
          <w:lang w:val="fr-FR"/>
        </w:rPr>
        <w:t>Observations de l</w:t>
      </w:r>
      <w:r w:rsidR="00864B14">
        <w:rPr>
          <w:lang w:val="fr-FR"/>
        </w:rPr>
        <w:t>’</w:t>
      </w:r>
      <w:r w:rsidRPr="00B74B50">
        <w:rPr>
          <w:lang w:val="fr-FR"/>
        </w:rPr>
        <w:t>État partie sur la recevabilité et sur le fond</w:t>
      </w:r>
    </w:p>
    <w:p w:rsidR="00EE196F" w:rsidRPr="00863ADE" w:rsidRDefault="00EE196F" w:rsidP="00EE196F">
      <w:pPr>
        <w:pStyle w:val="SingleTxtG"/>
        <w:rPr>
          <w:lang w:val="fr-FR"/>
        </w:rPr>
      </w:pPr>
      <w:r w:rsidRPr="00863ADE">
        <w:rPr>
          <w:lang w:val="fr-FR"/>
        </w:rPr>
        <w:t>4.1</w:t>
      </w:r>
      <w:r w:rsidRPr="00863ADE">
        <w:rPr>
          <w:lang w:val="fr-FR"/>
        </w:rPr>
        <w:tab/>
        <w:t>Le 5</w:t>
      </w:r>
      <w:r>
        <w:rPr>
          <w:lang w:val="fr-FR"/>
        </w:rPr>
        <w:t> </w:t>
      </w:r>
      <w:r w:rsidRPr="00863ADE">
        <w:rPr>
          <w:lang w:val="fr-FR"/>
        </w:rPr>
        <w:t>mai et le 6</w:t>
      </w:r>
      <w:r>
        <w:rPr>
          <w:lang w:val="fr-FR"/>
        </w:rPr>
        <w:t> </w:t>
      </w:r>
      <w:r w:rsidRPr="00863ADE">
        <w:rPr>
          <w:lang w:val="fr-FR"/>
        </w:rPr>
        <w:t>septembre 2016, l</w:t>
      </w:r>
      <w:r w:rsidR="00864B14">
        <w:rPr>
          <w:lang w:val="fr-FR"/>
        </w:rPr>
        <w:t>’</w:t>
      </w:r>
      <w:r w:rsidRPr="00863ADE">
        <w:rPr>
          <w:lang w:val="fr-FR"/>
        </w:rPr>
        <w:t xml:space="preserve">État partie a présenté ses observations sur la recevabilité et </w:t>
      </w:r>
      <w:r>
        <w:rPr>
          <w:lang w:val="fr-FR"/>
        </w:rPr>
        <w:t xml:space="preserve">sur </w:t>
      </w:r>
      <w:r w:rsidRPr="00863ADE">
        <w:rPr>
          <w:lang w:val="fr-FR"/>
        </w:rPr>
        <w:t xml:space="preserve">le fond, respectivement, et a estimé que la communication ne répondait </w:t>
      </w:r>
      <w:r w:rsidRPr="00863ADE">
        <w:rPr>
          <w:lang w:val="fr-FR"/>
        </w:rPr>
        <w:lastRenderedPageBreak/>
        <w:t xml:space="preserve">pas aux critères de recevabilité du Protocole facultatif. Si le Comité considère que la communication est recevable, </w:t>
      </w:r>
      <w:r>
        <w:rPr>
          <w:lang w:val="fr-FR"/>
        </w:rPr>
        <w:t>celle-ci</w:t>
      </w:r>
      <w:r w:rsidRPr="00863ADE">
        <w:rPr>
          <w:lang w:val="fr-FR"/>
        </w:rPr>
        <w:t xml:space="preserve"> ne fait </w:t>
      </w:r>
      <w:r>
        <w:rPr>
          <w:lang w:val="fr-FR"/>
        </w:rPr>
        <w:t xml:space="preserve">apparaître </w:t>
      </w:r>
      <w:r w:rsidRPr="00863ADE">
        <w:rPr>
          <w:lang w:val="fr-FR"/>
        </w:rPr>
        <w:t>aucune violation des droit</w:t>
      </w:r>
      <w:r>
        <w:rPr>
          <w:lang w:val="fr-FR"/>
        </w:rPr>
        <w:t>s de l</w:t>
      </w:r>
      <w:r w:rsidR="00864B14">
        <w:rPr>
          <w:lang w:val="fr-FR"/>
        </w:rPr>
        <w:t>’</w:t>
      </w:r>
      <w:r>
        <w:rPr>
          <w:lang w:val="fr-FR"/>
        </w:rPr>
        <w:t>auteur garantis par le Pacte</w:t>
      </w:r>
      <w:r w:rsidRPr="00863ADE">
        <w:rPr>
          <w:lang w:val="fr-FR"/>
        </w:rPr>
        <w:t xml:space="preserve">. </w:t>
      </w:r>
    </w:p>
    <w:p w:rsidR="00EE196F" w:rsidRPr="00892EA4" w:rsidRDefault="00EE196F" w:rsidP="00EE196F">
      <w:pPr>
        <w:pStyle w:val="SingleTxtG"/>
        <w:rPr>
          <w:color w:val="000000"/>
          <w:lang w:val="fr-FR"/>
        </w:rPr>
      </w:pPr>
      <w:r w:rsidRPr="000D2FAD">
        <w:rPr>
          <w:lang w:val="fr-FR"/>
        </w:rPr>
        <w:t xml:space="preserve">4.2 </w:t>
      </w:r>
      <w:r w:rsidRPr="000D2FAD">
        <w:rPr>
          <w:lang w:val="fr-FR"/>
        </w:rPr>
        <w:tab/>
        <w:t>L</w:t>
      </w:r>
      <w:r w:rsidR="00864B14">
        <w:rPr>
          <w:lang w:val="fr-FR"/>
        </w:rPr>
        <w:t>’</w:t>
      </w:r>
      <w:r w:rsidRPr="000D2FAD">
        <w:rPr>
          <w:lang w:val="fr-FR"/>
        </w:rPr>
        <w:t xml:space="preserve">État partie fait valoir que les faits </w:t>
      </w:r>
      <w:r>
        <w:rPr>
          <w:lang w:val="fr-FR"/>
        </w:rPr>
        <w:t>rapportés dans la communication</w:t>
      </w:r>
      <w:r w:rsidRPr="000D2FAD">
        <w:rPr>
          <w:lang w:val="fr-FR"/>
        </w:rPr>
        <w:t xml:space="preserve"> sont survenus avant le 5</w:t>
      </w:r>
      <w:r>
        <w:rPr>
          <w:lang w:val="fr-FR"/>
        </w:rPr>
        <w:t> </w:t>
      </w:r>
      <w:r w:rsidRPr="000D2FAD">
        <w:rPr>
          <w:lang w:val="fr-FR"/>
        </w:rPr>
        <w:t>mai 2013, date d</w:t>
      </w:r>
      <w:r w:rsidR="00864B14">
        <w:rPr>
          <w:lang w:val="fr-FR"/>
        </w:rPr>
        <w:t>’</w:t>
      </w:r>
      <w:r w:rsidRPr="000D2FAD">
        <w:rPr>
          <w:lang w:val="fr-FR"/>
        </w:rPr>
        <w:t>entrée en vigueur du Protocole facultatif pour l</w:t>
      </w:r>
      <w:r w:rsidR="00864B14">
        <w:rPr>
          <w:lang w:val="fr-FR"/>
        </w:rPr>
        <w:t>’</w:t>
      </w:r>
      <w:r w:rsidRPr="000D2FAD">
        <w:rPr>
          <w:lang w:val="fr-FR"/>
        </w:rPr>
        <w:t>Équateur, et que le Comité n</w:t>
      </w:r>
      <w:r w:rsidR="00864B14">
        <w:rPr>
          <w:lang w:val="fr-FR"/>
        </w:rPr>
        <w:t>’</w:t>
      </w:r>
      <w:r w:rsidRPr="000D2FAD">
        <w:rPr>
          <w:lang w:val="fr-FR"/>
        </w:rPr>
        <w:t xml:space="preserve">est donc pas compétent </w:t>
      </w:r>
      <w:proofErr w:type="spellStart"/>
      <w:r w:rsidRPr="000D2FAD">
        <w:rPr>
          <w:i/>
          <w:lang w:val="fr-FR"/>
        </w:rPr>
        <w:t>ratione</w:t>
      </w:r>
      <w:proofErr w:type="spellEnd"/>
      <w:r w:rsidRPr="000D2FAD">
        <w:rPr>
          <w:i/>
          <w:lang w:val="fr-FR"/>
        </w:rPr>
        <w:t xml:space="preserve"> </w:t>
      </w:r>
      <w:proofErr w:type="spellStart"/>
      <w:r w:rsidRPr="000D2FAD">
        <w:rPr>
          <w:i/>
          <w:lang w:val="fr-FR"/>
        </w:rPr>
        <w:t>temporis</w:t>
      </w:r>
      <w:proofErr w:type="spellEnd"/>
      <w:r w:rsidRPr="000D2FAD">
        <w:rPr>
          <w:lang w:val="fr-FR"/>
        </w:rPr>
        <w:t xml:space="preserve"> </w:t>
      </w:r>
      <w:r>
        <w:rPr>
          <w:lang w:val="fr-FR"/>
        </w:rPr>
        <w:t>pour examiner la communication conformément au</w:t>
      </w:r>
      <w:r w:rsidRPr="000D2FAD">
        <w:rPr>
          <w:lang w:val="fr-FR"/>
        </w:rPr>
        <w:t xml:space="preserve"> paragraphe 2</w:t>
      </w:r>
      <w:r>
        <w:rPr>
          <w:lang w:val="fr-FR"/>
        </w:rPr>
        <w:t xml:space="preserve"> b) </w:t>
      </w:r>
      <w:r w:rsidRPr="000D2FAD">
        <w:rPr>
          <w:lang w:val="fr-FR"/>
        </w:rPr>
        <w:t>de l</w:t>
      </w:r>
      <w:r w:rsidR="00864B14">
        <w:rPr>
          <w:lang w:val="fr-FR"/>
        </w:rPr>
        <w:t>’</w:t>
      </w:r>
      <w:r w:rsidRPr="000D2FAD">
        <w:rPr>
          <w:lang w:val="fr-FR"/>
        </w:rPr>
        <w:t>ar</w:t>
      </w:r>
      <w:r>
        <w:rPr>
          <w:lang w:val="fr-FR"/>
        </w:rPr>
        <w:t>ticle</w:t>
      </w:r>
      <w:r w:rsidR="00013A9E">
        <w:rPr>
          <w:lang w:val="fr-FR"/>
        </w:rPr>
        <w:t xml:space="preserve"> </w:t>
      </w:r>
      <w:r>
        <w:rPr>
          <w:lang w:val="fr-FR"/>
        </w:rPr>
        <w:t>3 du Protocole facultatif</w:t>
      </w:r>
      <w:r w:rsidRPr="000D2FAD">
        <w:rPr>
          <w:lang w:val="fr-FR"/>
        </w:rPr>
        <w:t xml:space="preserve">. </w:t>
      </w:r>
      <w:r w:rsidRPr="008A14E3">
        <w:rPr>
          <w:lang w:val="fr-FR"/>
        </w:rPr>
        <w:t xml:space="preserve">Il souligne que la communication est directement liée </w:t>
      </w:r>
      <w:r>
        <w:rPr>
          <w:lang w:val="fr-FR"/>
        </w:rPr>
        <w:t>à des</w:t>
      </w:r>
      <w:r w:rsidRPr="008A14E3">
        <w:rPr>
          <w:lang w:val="fr-FR"/>
        </w:rPr>
        <w:t xml:space="preserve"> faits </w:t>
      </w:r>
      <w:r>
        <w:rPr>
          <w:lang w:val="fr-FR"/>
        </w:rPr>
        <w:t>survenus</w:t>
      </w:r>
      <w:r w:rsidRPr="008A14E3">
        <w:rPr>
          <w:lang w:val="fr-FR"/>
        </w:rPr>
        <w:t xml:space="preserve"> en octobre 2007, lorsque l</w:t>
      </w:r>
      <w:r w:rsidR="00864B14">
        <w:rPr>
          <w:lang w:val="fr-FR"/>
        </w:rPr>
        <w:t>’</w:t>
      </w:r>
      <w:r w:rsidRPr="008A14E3">
        <w:rPr>
          <w:lang w:val="fr-FR"/>
        </w:rPr>
        <w:t xml:space="preserve">auteur a </w:t>
      </w:r>
      <w:r>
        <w:rPr>
          <w:lang w:val="fr-FR"/>
        </w:rPr>
        <w:t>présenté</w:t>
      </w:r>
      <w:r w:rsidRPr="008A14E3">
        <w:rPr>
          <w:lang w:val="fr-FR"/>
        </w:rPr>
        <w:t xml:space="preserve"> une demande </w:t>
      </w:r>
      <w:r>
        <w:rPr>
          <w:lang w:val="fr-FR"/>
        </w:rPr>
        <w:t>visant à</w:t>
      </w:r>
      <w:r w:rsidRPr="008A14E3">
        <w:rPr>
          <w:lang w:val="fr-FR"/>
        </w:rPr>
        <w:t xml:space="preserve"> mettre fin à sa relation de travail et que l</w:t>
      </w:r>
      <w:r w:rsidR="00864B14">
        <w:rPr>
          <w:lang w:val="fr-FR"/>
        </w:rPr>
        <w:t>’</w:t>
      </w:r>
      <w:r w:rsidRPr="008A14E3">
        <w:rPr>
          <w:lang w:val="fr-FR"/>
        </w:rPr>
        <w:t xml:space="preserve">employeur a </w:t>
      </w:r>
      <w:r>
        <w:rPr>
          <w:lang w:val="fr-FR"/>
        </w:rPr>
        <w:t>versé</w:t>
      </w:r>
      <w:r w:rsidRPr="008A14E3">
        <w:rPr>
          <w:lang w:val="fr-FR"/>
        </w:rPr>
        <w:t xml:space="preserve"> </w:t>
      </w:r>
      <w:r>
        <w:rPr>
          <w:lang w:val="fr-FR"/>
        </w:rPr>
        <w:t>pour solde de tout compte</w:t>
      </w:r>
      <w:r w:rsidRPr="008A14E3">
        <w:rPr>
          <w:lang w:val="fr-FR"/>
        </w:rPr>
        <w:t xml:space="preserve"> </w:t>
      </w:r>
      <w:r>
        <w:rPr>
          <w:lang w:val="fr-FR"/>
        </w:rPr>
        <w:t xml:space="preserve">la seule </w:t>
      </w:r>
      <w:r w:rsidRPr="00927717">
        <w:rPr>
          <w:lang w:val="fr-FR"/>
        </w:rPr>
        <w:t>indemnité</w:t>
      </w:r>
      <w:r>
        <w:rPr>
          <w:lang w:val="fr-FR"/>
        </w:rPr>
        <w:t xml:space="preserve"> prévue en cas de résiliation du contrat de travail</w:t>
      </w:r>
      <w:r w:rsidRPr="00927717">
        <w:rPr>
          <w:lang w:val="fr-FR"/>
        </w:rPr>
        <w:t xml:space="preserve"> </w:t>
      </w:r>
      <w:r>
        <w:rPr>
          <w:lang w:val="fr-FR"/>
        </w:rPr>
        <w:t>par</w:t>
      </w:r>
      <w:r w:rsidRPr="008A14E3">
        <w:rPr>
          <w:lang w:val="fr-FR"/>
        </w:rPr>
        <w:t xml:space="preserve"> l</w:t>
      </w:r>
      <w:r w:rsidR="00864B14">
        <w:rPr>
          <w:lang w:val="fr-FR"/>
        </w:rPr>
        <w:t>’</w:t>
      </w:r>
      <w:r>
        <w:rPr>
          <w:lang w:val="fr-FR"/>
        </w:rPr>
        <w:t>article</w:t>
      </w:r>
      <w:r w:rsidR="00013A9E">
        <w:rPr>
          <w:lang w:val="fr-FR"/>
        </w:rPr>
        <w:t xml:space="preserve"> </w:t>
      </w:r>
      <w:r>
        <w:rPr>
          <w:lang w:val="fr-FR"/>
        </w:rPr>
        <w:t xml:space="preserve">185 du Code du travail. </w:t>
      </w:r>
      <w:r w:rsidRPr="007F3712">
        <w:rPr>
          <w:lang w:val="fr-FR"/>
        </w:rPr>
        <w:t xml:space="preserve">Les décisions judiciaires ultérieures ne peuvent pas être prises en compte pour déterminer la compétence </w:t>
      </w:r>
      <w:proofErr w:type="spellStart"/>
      <w:r w:rsidRPr="007F3712">
        <w:rPr>
          <w:i/>
          <w:lang w:val="fr-FR"/>
        </w:rPr>
        <w:t>ratione</w:t>
      </w:r>
      <w:proofErr w:type="spellEnd"/>
      <w:r w:rsidRPr="007F3712">
        <w:rPr>
          <w:i/>
          <w:lang w:val="fr-FR"/>
        </w:rPr>
        <w:t xml:space="preserve"> </w:t>
      </w:r>
      <w:proofErr w:type="spellStart"/>
      <w:r w:rsidRPr="007F3712">
        <w:rPr>
          <w:i/>
          <w:lang w:val="fr-FR"/>
        </w:rPr>
        <w:t>temporis</w:t>
      </w:r>
      <w:proofErr w:type="spellEnd"/>
      <w:r w:rsidRPr="007F3712">
        <w:rPr>
          <w:lang w:val="fr-FR"/>
        </w:rPr>
        <w:t xml:space="preserve"> du Comité. Cependant, même dans ce cas, la décision pertinente est celle </w:t>
      </w:r>
      <w:r>
        <w:rPr>
          <w:lang w:val="fr-FR"/>
        </w:rPr>
        <w:t>rendue</w:t>
      </w:r>
      <w:r w:rsidRPr="007F3712">
        <w:rPr>
          <w:lang w:val="fr-FR"/>
        </w:rPr>
        <w:t xml:space="preserve"> par la </w:t>
      </w:r>
      <w:r>
        <w:rPr>
          <w:lang w:val="fr-FR"/>
        </w:rPr>
        <w:t>Cour nationale de justice</w:t>
      </w:r>
      <w:r w:rsidRPr="007F3712">
        <w:rPr>
          <w:lang w:val="fr-FR"/>
        </w:rPr>
        <w:t xml:space="preserve"> le 30</w:t>
      </w:r>
      <w:r>
        <w:rPr>
          <w:lang w:val="fr-FR"/>
        </w:rPr>
        <w:t> </w:t>
      </w:r>
      <w:r w:rsidRPr="007F3712">
        <w:rPr>
          <w:lang w:val="fr-FR"/>
        </w:rPr>
        <w:t>mai 2011, qui a mis fin à la procédure j</w:t>
      </w:r>
      <w:r>
        <w:rPr>
          <w:lang w:val="fr-FR"/>
        </w:rPr>
        <w:t>udiciaire liée au droit du travail</w:t>
      </w:r>
      <w:r w:rsidRPr="007F3712">
        <w:rPr>
          <w:lang w:val="fr-FR"/>
        </w:rPr>
        <w:t xml:space="preserve">. </w:t>
      </w:r>
      <w:r>
        <w:rPr>
          <w:lang w:val="fr-FR"/>
        </w:rPr>
        <w:t>À</w:t>
      </w:r>
      <w:r w:rsidR="00013A9E">
        <w:rPr>
          <w:lang w:val="fr-FR"/>
        </w:rPr>
        <w:t> </w:t>
      </w:r>
      <w:r w:rsidRPr="00892EA4">
        <w:rPr>
          <w:lang w:val="fr-FR"/>
        </w:rPr>
        <w:t>cet égard, l</w:t>
      </w:r>
      <w:r w:rsidR="00864B14">
        <w:rPr>
          <w:lang w:val="fr-FR"/>
        </w:rPr>
        <w:t>’</w:t>
      </w:r>
      <w:r w:rsidRPr="00892EA4">
        <w:rPr>
          <w:lang w:val="fr-FR"/>
        </w:rPr>
        <w:t>État partie fait observer que l</w:t>
      </w:r>
      <w:r w:rsidR="00864B14">
        <w:rPr>
          <w:lang w:val="fr-FR"/>
        </w:rPr>
        <w:t>’</w:t>
      </w:r>
      <w:r w:rsidRPr="00892EA4">
        <w:rPr>
          <w:lang w:val="fr-FR"/>
        </w:rPr>
        <w:t xml:space="preserve">auteur a contesté </w:t>
      </w:r>
      <w:r>
        <w:rPr>
          <w:lang w:val="fr-FR"/>
        </w:rPr>
        <w:t>le solde de tout compte</w:t>
      </w:r>
      <w:r w:rsidRPr="00892EA4">
        <w:rPr>
          <w:lang w:val="fr-FR"/>
        </w:rPr>
        <w:t xml:space="preserve"> devant les tribunaux et que cette procédure s</w:t>
      </w:r>
      <w:r w:rsidR="00864B14">
        <w:rPr>
          <w:lang w:val="fr-FR"/>
        </w:rPr>
        <w:t>’</w:t>
      </w:r>
      <w:r w:rsidRPr="00892EA4">
        <w:rPr>
          <w:lang w:val="fr-FR"/>
        </w:rPr>
        <w:t xml:space="preserve">est conclue par le jugement en cassation de la </w:t>
      </w:r>
      <w:r>
        <w:rPr>
          <w:lang w:val="fr-FR"/>
        </w:rPr>
        <w:t>Cour nationale de justice</w:t>
      </w:r>
      <w:r w:rsidRPr="007F3712">
        <w:rPr>
          <w:lang w:val="fr-FR"/>
        </w:rPr>
        <w:t xml:space="preserve"> </w:t>
      </w:r>
      <w:r>
        <w:rPr>
          <w:lang w:val="fr-FR"/>
        </w:rPr>
        <w:t xml:space="preserve">en date </w:t>
      </w:r>
      <w:r w:rsidRPr="00892EA4">
        <w:rPr>
          <w:lang w:val="fr-FR"/>
        </w:rPr>
        <w:t>du 30</w:t>
      </w:r>
      <w:r>
        <w:rPr>
          <w:lang w:val="fr-FR"/>
        </w:rPr>
        <w:t> </w:t>
      </w:r>
      <w:r w:rsidRPr="00892EA4">
        <w:rPr>
          <w:lang w:val="fr-FR"/>
        </w:rPr>
        <w:t>mai 2011. Par la suite, l</w:t>
      </w:r>
      <w:r w:rsidR="00864B14">
        <w:rPr>
          <w:lang w:val="fr-FR"/>
        </w:rPr>
        <w:t>’</w:t>
      </w:r>
      <w:r w:rsidRPr="00892EA4">
        <w:rPr>
          <w:lang w:val="fr-FR"/>
        </w:rPr>
        <w:t xml:space="preserve">auteur a intenté une action extraordinaire </w:t>
      </w:r>
      <w:r>
        <w:rPr>
          <w:lang w:val="fr-FR"/>
        </w:rPr>
        <w:t>en</w:t>
      </w:r>
      <w:r w:rsidRPr="00892EA4">
        <w:rPr>
          <w:lang w:val="fr-FR"/>
        </w:rPr>
        <w:t xml:space="preserve"> protection devant la Cour constitutionnelle, mais l</w:t>
      </w:r>
      <w:r w:rsidR="00864B14">
        <w:rPr>
          <w:lang w:val="fr-FR"/>
        </w:rPr>
        <w:t>’</w:t>
      </w:r>
      <w:r w:rsidRPr="00892EA4">
        <w:rPr>
          <w:lang w:val="fr-FR"/>
        </w:rPr>
        <w:t xml:space="preserve">auteur y a allégué des violations du droit à une procédure régulière pour défaut de </w:t>
      </w:r>
      <w:r>
        <w:rPr>
          <w:lang w:val="fr-FR"/>
        </w:rPr>
        <w:t>fondement</w:t>
      </w:r>
      <w:r w:rsidRPr="00892EA4">
        <w:rPr>
          <w:lang w:val="fr-FR"/>
        </w:rPr>
        <w:t xml:space="preserve"> et du droit à une protection juridictionnelle effective</w:t>
      </w:r>
      <w:r>
        <w:rPr>
          <w:lang w:val="fr-FR"/>
        </w:rPr>
        <w:t> ;</w:t>
      </w:r>
      <w:r w:rsidRPr="00892EA4">
        <w:rPr>
          <w:lang w:val="fr-FR"/>
        </w:rPr>
        <w:t xml:space="preserve"> </w:t>
      </w:r>
      <w:r>
        <w:rPr>
          <w:lang w:val="fr-FR"/>
        </w:rPr>
        <w:t xml:space="preserve">par conséquent, </w:t>
      </w:r>
      <w:r w:rsidRPr="00892EA4">
        <w:rPr>
          <w:lang w:val="fr-FR"/>
        </w:rPr>
        <w:t>cette action</w:t>
      </w:r>
      <w:r>
        <w:rPr>
          <w:lang w:val="fr-FR"/>
        </w:rPr>
        <w:t xml:space="preserve"> n</w:t>
      </w:r>
      <w:r w:rsidR="00864B14">
        <w:rPr>
          <w:lang w:val="fr-FR"/>
        </w:rPr>
        <w:t>’</w:t>
      </w:r>
      <w:r>
        <w:rPr>
          <w:lang w:val="fr-FR"/>
        </w:rPr>
        <w:t xml:space="preserve">avait pas pour objet </w:t>
      </w:r>
      <w:r w:rsidRPr="00892EA4">
        <w:rPr>
          <w:lang w:val="fr-FR"/>
        </w:rPr>
        <w:t xml:space="preserve">de </w:t>
      </w:r>
      <w:r>
        <w:rPr>
          <w:lang w:val="fr-FR"/>
        </w:rPr>
        <w:t>dénoncer</w:t>
      </w:r>
      <w:r w:rsidRPr="00892EA4">
        <w:rPr>
          <w:lang w:val="fr-FR"/>
        </w:rPr>
        <w:t xml:space="preserve"> une violation du droit au tr</w:t>
      </w:r>
      <w:r>
        <w:rPr>
          <w:lang w:val="fr-FR"/>
        </w:rPr>
        <w:t>avail ou à la santé, mais bien d</w:t>
      </w:r>
      <w:r w:rsidRPr="00892EA4">
        <w:rPr>
          <w:lang w:val="fr-FR"/>
        </w:rPr>
        <w:t>es garanties du droit à une procédure régulièr</w:t>
      </w:r>
      <w:r>
        <w:rPr>
          <w:lang w:val="fr-FR"/>
        </w:rPr>
        <w:t>e dans le jugement de cassation</w:t>
      </w:r>
      <w:r w:rsidR="00013A9E">
        <w:rPr>
          <w:color w:val="000000"/>
          <w:lang w:val="fr-FR"/>
        </w:rPr>
        <w:t>.</w:t>
      </w:r>
    </w:p>
    <w:p w:rsidR="00EE196F" w:rsidRPr="00BC3CEC" w:rsidRDefault="00EE196F" w:rsidP="00EE196F">
      <w:pPr>
        <w:pStyle w:val="SingleTxtG"/>
        <w:rPr>
          <w:lang w:val="fr-FR"/>
        </w:rPr>
      </w:pPr>
      <w:r w:rsidRPr="00BC3CEC">
        <w:rPr>
          <w:lang w:val="fr-FR"/>
        </w:rPr>
        <w:t>4.3</w:t>
      </w:r>
      <w:r w:rsidRPr="00BC3CEC">
        <w:rPr>
          <w:lang w:val="fr-FR"/>
        </w:rPr>
        <w:tab/>
        <w:t>L</w:t>
      </w:r>
      <w:r w:rsidR="00864B14">
        <w:rPr>
          <w:lang w:val="fr-FR"/>
        </w:rPr>
        <w:t>’</w:t>
      </w:r>
      <w:r w:rsidRPr="00BC3CEC">
        <w:rPr>
          <w:lang w:val="fr-FR"/>
        </w:rPr>
        <w:t>État partie souligne</w:t>
      </w:r>
      <w:r>
        <w:rPr>
          <w:lang w:val="fr-FR"/>
        </w:rPr>
        <w:t> :</w:t>
      </w:r>
      <w:r w:rsidRPr="00BC3CEC">
        <w:rPr>
          <w:lang w:val="fr-FR"/>
        </w:rPr>
        <w:t xml:space="preserve"> que </w:t>
      </w:r>
      <w:r>
        <w:rPr>
          <w:lang w:val="fr-FR"/>
        </w:rPr>
        <w:t>l</w:t>
      </w:r>
      <w:r w:rsidR="00864B14">
        <w:rPr>
          <w:lang w:val="fr-FR"/>
        </w:rPr>
        <w:t>’</w:t>
      </w:r>
      <w:r>
        <w:rPr>
          <w:lang w:val="fr-FR"/>
        </w:rPr>
        <w:t xml:space="preserve">action extraordinaire en protection a </w:t>
      </w:r>
      <w:r w:rsidRPr="00BC3CEC">
        <w:rPr>
          <w:lang w:val="fr-FR"/>
        </w:rPr>
        <w:t>pour objet de protéger les droits constitutionnels et l</w:t>
      </w:r>
      <w:r w:rsidR="00864B14">
        <w:rPr>
          <w:lang w:val="fr-FR"/>
        </w:rPr>
        <w:t>’</w:t>
      </w:r>
      <w:r w:rsidRPr="00BC3CEC">
        <w:rPr>
          <w:lang w:val="fr-FR"/>
        </w:rPr>
        <w:t xml:space="preserve">application régulière de la loi dans les jugements, les décisions finales et les </w:t>
      </w:r>
      <w:r>
        <w:rPr>
          <w:lang w:val="fr-FR"/>
        </w:rPr>
        <w:t>décisions</w:t>
      </w:r>
      <w:r w:rsidRPr="00BC3CEC">
        <w:rPr>
          <w:lang w:val="fr-FR"/>
        </w:rPr>
        <w:t xml:space="preserve"> ayant force de chose jugée, dans lesquels les droits reconnus dans la Constitution ont été violés par action ou par omission</w:t>
      </w:r>
      <w:r>
        <w:rPr>
          <w:lang w:val="fr-FR"/>
        </w:rPr>
        <w:t> ;</w:t>
      </w:r>
      <w:r w:rsidRPr="00BC3CEC">
        <w:rPr>
          <w:lang w:val="fr-FR"/>
        </w:rPr>
        <w:t xml:space="preserve"> que la Cour constitutionnelle a </w:t>
      </w:r>
      <w:r>
        <w:rPr>
          <w:lang w:val="fr-FR"/>
        </w:rPr>
        <w:t>indiqué</w:t>
      </w:r>
      <w:r w:rsidRPr="00BC3CEC">
        <w:rPr>
          <w:lang w:val="fr-FR"/>
        </w:rPr>
        <w:t xml:space="preserve"> que </w:t>
      </w:r>
      <w:r>
        <w:rPr>
          <w:lang w:val="fr-FR"/>
        </w:rPr>
        <w:t>l</w:t>
      </w:r>
      <w:r w:rsidR="00864B14">
        <w:rPr>
          <w:lang w:val="fr-FR"/>
        </w:rPr>
        <w:t>’</w:t>
      </w:r>
      <w:r>
        <w:rPr>
          <w:lang w:val="fr-FR"/>
        </w:rPr>
        <w:t>action extraordinaire en protection ne constituait pas</w:t>
      </w:r>
      <w:r w:rsidRPr="00BC3CEC">
        <w:rPr>
          <w:lang w:val="fr-FR"/>
        </w:rPr>
        <w:t xml:space="preserve"> un </w:t>
      </w:r>
      <w:r>
        <w:rPr>
          <w:lang w:val="fr-FR"/>
        </w:rPr>
        <w:t>nouveau</w:t>
      </w:r>
      <w:r w:rsidRPr="00BC3CEC">
        <w:rPr>
          <w:lang w:val="fr-FR"/>
        </w:rPr>
        <w:t xml:space="preserve"> </w:t>
      </w:r>
      <w:r>
        <w:rPr>
          <w:lang w:val="fr-FR"/>
        </w:rPr>
        <w:t>degré de juridiction ;</w:t>
      </w:r>
      <w:r w:rsidRPr="00BC3CEC">
        <w:rPr>
          <w:lang w:val="fr-FR"/>
        </w:rPr>
        <w:t xml:space="preserve"> et que, étant donné que son champ d</w:t>
      </w:r>
      <w:r w:rsidR="00864B14">
        <w:rPr>
          <w:lang w:val="fr-FR"/>
        </w:rPr>
        <w:t>’</w:t>
      </w:r>
      <w:r w:rsidRPr="00BC3CEC">
        <w:rPr>
          <w:lang w:val="fr-FR"/>
        </w:rPr>
        <w:t xml:space="preserve">application </w:t>
      </w:r>
      <w:r>
        <w:rPr>
          <w:lang w:val="fr-FR"/>
        </w:rPr>
        <w:t>était exclusivement constitutionnel</w:t>
      </w:r>
      <w:r w:rsidRPr="00BC3CEC">
        <w:rPr>
          <w:lang w:val="fr-FR"/>
        </w:rPr>
        <w:t xml:space="preserve">, il </w:t>
      </w:r>
      <w:r>
        <w:rPr>
          <w:lang w:val="fr-FR"/>
        </w:rPr>
        <w:t>était</w:t>
      </w:r>
      <w:r w:rsidRPr="00BC3CEC">
        <w:rPr>
          <w:lang w:val="fr-FR"/>
        </w:rPr>
        <w:t xml:space="preserve"> impossible d</w:t>
      </w:r>
      <w:r w:rsidR="00864B14">
        <w:rPr>
          <w:lang w:val="fr-FR"/>
        </w:rPr>
        <w:t>’</w:t>
      </w:r>
      <w:r w:rsidRPr="00BC3CEC">
        <w:rPr>
          <w:lang w:val="fr-FR"/>
        </w:rPr>
        <w:t>utiliser cette garantie juridictionnelle pour l</w:t>
      </w:r>
      <w:r w:rsidR="00864B14">
        <w:rPr>
          <w:lang w:val="fr-FR"/>
        </w:rPr>
        <w:t>’</w:t>
      </w:r>
      <w:r w:rsidRPr="00BC3CEC">
        <w:rPr>
          <w:lang w:val="fr-FR"/>
        </w:rPr>
        <w:t xml:space="preserve">analyse de simples questions de légalité déjà </w:t>
      </w:r>
      <w:r>
        <w:rPr>
          <w:lang w:val="fr-FR"/>
        </w:rPr>
        <w:t>jugées par la justice ordinaire</w:t>
      </w:r>
      <w:r w:rsidRPr="00BC3CEC">
        <w:rPr>
          <w:lang w:val="fr-FR"/>
        </w:rPr>
        <w:t>.</w:t>
      </w:r>
    </w:p>
    <w:p w:rsidR="00EE196F" w:rsidRPr="00CA1BF8" w:rsidRDefault="00EE196F" w:rsidP="00EE196F">
      <w:pPr>
        <w:pStyle w:val="SingleTxtG"/>
        <w:rPr>
          <w:lang w:val="fr-FR"/>
        </w:rPr>
      </w:pPr>
      <w:r w:rsidRPr="00587549">
        <w:rPr>
          <w:lang w:val="fr-FR"/>
        </w:rPr>
        <w:t>4.4</w:t>
      </w:r>
      <w:r w:rsidRPr="00587549">
        <w:rPr>
          <w:lang w:val="fr-FR"/>
        </w:rPr>
        <w:tab/>
        <w:t xml:space="preserve"> En ce qui concerne le</w:t>
      </w:r>
      <w:r>
        <w:rPr>
          <w:lang w:val="fr-FR"/>
        </w:rPr>
        <w:t xml:space="preserve"> critère de recevabilité énoncé au paragraphe</w:t>
      </w:r>
      <w:r w:rsidR="00013A9E">
        <w:rPr>
          <w:lang w:val="fr-FR"/>
        </w:rPr>
        <w:t xml:space="preserve"> </w:t>
      </w:r>
      <w:r>
        <w:rPr>
          <w:lang w:val="fr-FR"/>
        </w:rPr>
        <w:t>2 a) de</w:t>
      </w:r>
      <w:r w:rsidRPr="00587549">
        <w:rPr>
          <w:lang w:val="fr-FR"/>
        </w:rPr>
        <w:t xml:space="preserve"> l</w:t>
      </w:r>
      <w:r w:rsidR="00864B14">
        <w:rPr>
          <w:lang w:val="fr-FR"/>
        </w:rPr>
        <w:t>’</w:t>
      </w:r>
      <w:r w:rsidRPr="00587549">
        <w:rPr>
          <w:lang w:val="fr-FR"/>
        </w:rPr>
        <w:t>article</w:t>
      </w:r>
      <w:r w:rsidR="00013A9E">
        <w:rPr>
          <w:lang w:val="fr-FR"/>
        </w:rPr>
        <w:t xml:space="preserve"> </w:t>
      </w:r>
      <w:r w:rsidRPr="00587549">
        <w:rPr>
          <w:lang w:val="fr-FR"/>
        </w:rPr>
        <w:t>3 du Protocole facultatif, l</w:t>
      </w:r>
      <w:r w:rsidR="00864B14">
        <w:rPr>
          <w:lang w:val="fr-FR"/>
        </w:rPr>
        <w:t>’</w:t>
      </w:r>
      <w:r w:rsidRPr="00587549">
        <w:rPr>
          <w:lang w:val="fr-FR"/>
        </w:rPr>
        <w:t>État partie fait</w:t>
      </w:r>
      <w:r>
        <w:rPr>
          <w:lang w:val="fr-FR"/>
        </w:rPr>
        <w:t xml:space="preserve"> valoir que la communication n</w:t>
      </w:r>
      <w:r w:rsidR="00864B14">
        <w:rPr>
          <w:lang w:val="fr-FR"/>
        </w:rPr>
        <w:t>’</w:t>
      </w:r>
      <w:r w:rsidRPr="00587549">
        <w:rPr>
          <w:lang w:val="fr-FR"/>
        </w:rPr>
        <w:t>a pas été présentée dans un délai d</w:t>
      </w:r>
      <w:r w:rsidR="00864B14">
        <w:rPr>
          <w:lang w:val="fr-FR"/>
        </w:rPr>
        <w:t>’</w:t>
      </w:r>
      <w:r w:rsidRPr="00587549">
        <w:rPr>
          <w:lang w:val="fr-FR"/>
        </w:rPr>
        <w:t>un an après l</w:t>
      </w:r>
      <w:r w:rsidR="00864B14">
        <w:rPr>
          <w:lang w:val="fr-FR"/>
        </w:rPr>
        <w:t>’</w:t>
      </w:r>
      <w:r w:rsidRPr="00587549">
        <w:rPr>
          <w:lang w:val="fr-FR"/>
        </w:rPr>
        <w:t xml:space="preserve">épuisement des recours internes, étant donné que le jugement pertinent pour déterminer la recevabilité de la communication est </w:t>
      </w:r>
      <w:r>
        <w:rPr>
          <w:lang w:val="fr-FR"/>
        </w:rPr>
        <w:t>l</w:t>
      </w:r>
      <w:r w:rsidR="00864B14">
        <w:rPr>
          <w:lang w:val="fr-FR"/>
        </w:rPr>
        <w:t>’</w:t>
      </w:r>
      <w:r>
        <w:rPr>
          <w:lang w:val="fr-FR"/>
        </w:rPr>
        <w:t>arrêt de</w:t>
      </w:r>
      <w:r w:rsidRPr="00587549">
        <w:rPr>
          <w:lang w:val="fr-FR"/>
        </w:rPr>
        <w:t xml:space="preserve"> cassation de la </w:t>
      </w:r>
      <w:r>
        <w:rPr>
          <w:lang w:val="fr-FR"/>
        </w:rPr>
        <w:t>Cour nationale de justice</w:t>
      </w:r>
      <w:r w:rsidRPr="007F3712">
        <w:rPr>
          <w:lang w:val="fr-FR"/>
        </w:rPr>
        <w:t xml:space="preserve"> </w:t>
      </w:r>
      <w:r>
        <w:rPr>
          <w:lang w:val="fr-FR"/>
        </w:rPr>
        <w:t xml:space="preserve">daté </w:t>
      </w:r>
      <w:r w:rsidRPr="00587549">
        <w:rPr>
          <w:lang w:val="fr-FR"/>
        </w:rPr>
        <w:t>du 30</w:t>
      </w:r>
      <w:r>
        <w:rPr>
          <w:lang w:val="fr-FR"/>
        </w:rPr>
        <w:t> </w:t>
      </w:r>
      <w:r w:rsidRPr="00587549">
        <w:rPr>
          <w:lang w:val="fr-FR"/>
        </w:rPr>
        <w:t xml:space="preserve">mai 2011, qui a mis fin à la plainte </w:t>
      </w:r>
      <w:r>
        <w:rPr>
          <w:lang w:val="fr-FR"/>
        </w:rPr>
        <w:t>liée au</w:t>
      </w:r>
      <w:r w:rsidRPr="00587549">
        <w:rPr>
          <w:lang w:val="fr-FR"/>
        </w:rPr>
        <w:t xml:space="preserve"> droit du travail par laquelle l</w:t>
      </w:r>
      <w:r w:rsidR="00864B14">
        <w:rPr>
          <w:lang w:val="fr-FR"/>
        </w:rPr>
        <w:t>’</w:t>
      </w:r>
      <w:r w:rsidRPr="00587549">
        <w:rPr>
          <w:lang w:val="fr-FR"/>
        </w:rPr>
        <w:t xml:space="preserve">auteur a contesté </w:t>
      </w:r>
      <w:r>
        <w:rPr>
          <w:lang w:val="fr-FR"/>
        </w:rPr>
        <w:t>le solde de tout compte</w:t>
      </w:r>
      <w:r w:rsidRPr="00CA1BF8">
        <w:rPr>
          <w:lang w:val="fr-FR"/>
        </w:rPr>
        <w:t xml:space="preserve">. </w:t>
      </w:r>
      <w:r w:rsidRPr="00AC6B5B">
        <w:rPr>
          <w:lang w:val="fr-FR"/>
        </w:rPr>
        <w:t>Il ajoute que, bien que l</w:t>
      </w:r>
      <w:r w:rsidR="00864B14">
        <w:rPr>
          <w:lang w:val="fr-FR"/>
        </w:rPr>
        <w:t>’</w:t>
      </w:r>
      <w:r w:rsidRPr="00AC6B5B">
        <w:rPr>
          <w:lang w:val="fr-FR"/>
        </w:rPr>
        <w:t xml:space="preserve">auteur ait par la suite intenté une action extraordinaire </w:t>
      </w:r>
      <w:r>
        <w:rPr>
          <w:lang w:val="fr-FR"/>
        </w:rPr>
        <w:t>en</w:t>
      </w:r>
      <w:r w:rsidRPr="00AC6B5B">
        <w:rPr>
          <w:lang w:val="fr-FR"/>
        </w:rPr>
        <w:t xml:space="preserve"> protection devant la Cour constitutionnelle, </w:t>
      </w:r>
      <w:r>
        <w:rPr>
          <w:lang w:val="fr-FR"/>
        </w:rPr>
        <w:t xml:space="preserve">dont le rejet en date du </w:t>
      </w:r>
      <w:r w:rsidRPr="00AC6B5B">
        <w:rPr>
          <w:lang w:val="fr-FR"/>
        </w:rPr>
        <w:t>9</w:t>
      </w:r>
      <w:r>
        <w:rPr>
          <w:lang w:val="fr-FR"/>
        </w:rPr>
        <w:t> </w:t>
      </w:r>
      <w:r w:rsidRPr="00AC6B5B">
        <w:rPr>
          <w:lang w:val="fr-FR"/>
        </w:rPr>
        <w:t xml:space="preserve">avril 2014 </w:t>
      </w:r>
      <w:r>
        <w:rPr>
          <w:lang w:val="fr-FR"/>
        </w:rPr>
        <w:t xml:space="preserve">a été </w:t>
      </w:r>
      <w:r w:rsidRPr="00AC6B5B">
        <w:rPr>
          <w:lang w:val="fr-FR"/>
        </w:rPr>
        <w:t>notifié à l</w:t>
      </w:r>
      <w:r w:rsidR="00864B14">
        <w:rPr>
          <w:lang w:val="fr-FR"/>
        </w:rPr>
        <w:t>’</w:t>
      </w:r>
      <w:r w:rsidRPr="00AC6B5B">
        <w:rPr>
          <w:lang w:val="fr-FR"/>
        </w:rPr>
        <w:t>auteur le 24</w:t>
      </w:r>
      <w:r>
        <w:rPr>
          <w:lang w:val="fr-FR"/>
        </w:rPr>
        <w:t> </w:t>
      </w:r>
      <w:r w:rsidRPr="00AC6B5B">
        <w:rPr>
          <w:lang w:val="fr-FR"/>
        </w:rPr>
        <w:t>avril 2014, cette action n</w:t>
      </w:r>
      <w:r w:rsidR="00864B14">
        <w:rPr>
          <w:lang w:val="fr-FR"/>
        </w:rPr>
        <w:t>’</w:t>
      </w:r>
      <w:r w:rsidRPr="00AC6B5B">
        <w:rPr>
          <w:lang w:val="fr-FR"/>
        </w:rPr>
        <w:t xml:space="preserve">avait pas pour but de remédier à une violation du droit au travail ou à la santé, mais plutôt de garantir </w:t>
      </w:r>
      <w:r>
        <w:rPr>
          <w:lang w:val="fr-FR"/>
        </w:rPr>
        <w:t>son droit à une</w:t>
      </w:r>
      <w:r w:rsidRPr="00AC6B5B">
        <w:rPr>
          <w:lang w:val="fr-FR"/>
        </w:rPr>
        <w:t xml:space="preserve"> procédure régulière</w:t>
      </w:r>
      <w:r>
        <w:rPr>
          <w:lang w:val="fr-FR"/>
        </w:rPr>
        <w:t xml:space="preserve"> </w:t>
      </w:r>
      <w:r w:rsidRPr="00AC6B5B">
        <w:rPr>
          <w:lang w:val="fr-FR"/>
        </w:rPr>
        <w:t>(</w:t>
      </w:r>
      <w:r>
        <w:rPr>
          <w:lang w:val="fr-FR"/>
        </w:rPr>
        <w:t>voir</w:t>
      </w:r>
      <w:r w:rsidRPr="00AC6B5B">
        <w:rPr>
          <w:lang w:val="fr-FR"/>
        </w:rPr>
        <w:t xml:space="preserve"> </w:t>
      </w:r>
      <w:r>
        <w:rPr>
          <w:lang w:val="fr-FR"/>
        </w:rPr>
        <w:t>les paragraphes</w:t>
      </w:r>
      <w:r w:rsidR="00013A9E">
        <w:rPr>
          <w:lang w:val="fr-FR"/>
        </w:rPr>
        <w:t xml:space="preserve"> </w:t>
      </w:r>
      <w:r w:rsidRPr="00AC6B5B">
        <w:rPr>
          <w:lang w:val="fr-FR"/>
        </w:rPr>
        <w:t>4.2</w:t>
      </w:r>
      <w:r>
        <w:rPr>
          <w:lang w:val="fr-FR"/>
        </w:rPr>
        <w:t xml:space="preserve"> et </w:t>
      </w:r>
      <w:r w:rsidRPr="00AC6B5B">
        <w:rPr>
          <w:lang w:val="fr-FR"/>
        </w:rPr>
        <w:t xml:space="preserve">4.3). </w:t>
      </w:r>
      <w:r w:rsidRPr="00FC2C5F">
        <w:rPr>
          <w:lang w:val="fr-FR"/>
        </w:rPr>
        <w:t>Par conséquent, étant donné que l</w:t>
      </w:r>
      <w:r w:rsidR="00864B14">
        <w:rPr>
          <w:lang w:val="fr-FR"/>
        </w:rPr>
        <w:t>’</w:t>
      </w:r>
      <w:r w:rsidRPr="00FC2C5F">
        <w:rPr>
          <w:lang w:val="fr-FR"/>
        </w:rPr>
        <w:t>auteur a présenté sa communication au Comité le 24</w:t>
      </w:r>
      <w:r>
        <w:rPr>
          <w:lang w:val="fr-FR"/>
        </w:rPr>
        <w:t> </w:t>
      </w:r>
      <w:r w:rsidRPr="00FC2C5F">
        <w:rPr>
          <w:lang w:val="fr-FR"/>
        </w:rPr>
        <w:t xml:space="preserve">avril 2015, cela </w:t>
      </w:r>
      <w:r>
        <w:rPr>
          <w:lang w:val="fr-FR"/>
        </w:rPr>
        <w:t>représente</w:t>
      </w:r>
      <w:r w:rsidRPr="00FC2C5F">
        <w:rPr>
          <w:lang w:val="fr-FR"/>
        </w:rPr>
        <w:t xml:space="preserve"> un </w:t>
      </w:r>
      <w:r>
        <w:rPr>
          <w:lang w:val="fr-FR"/>
        </w:rPr>
        <w:t>délai</w:t>
      </w:r>
      <w:r w:rsidRPr="00FC2C5F">
        <w:rPr>
          <w:lang w:val="fr-FR"/>
        </w:rPr>
        <w:t xml:space="preserve"> de trois ans et </w:t>
      </w:r>
      <w:r>
        <w:rPr>
          <w:lang w:val="fr-FR"/>
        </w:rPr>
        <w:t>onze</w:t>
      </w:r>
      <w:r w:rsidRPr="00FC2C5F">
        <w:rPr>
          <w:lang w:val="fr-FR"/>
        </w:rPr>
        <w:t xml:space="preserve"> mois </w:t>
      </w:r>
      <w:r>
        <w:rPr>
          <w:lang w:val="fr-FR"/>
        </w:rPr>
        <w:t>après</w:t>
      </w:r>
      <w:r w:rsidRPr="00FC2C5F">
        <w:rPr>
          <w:lang w:val="fr-FR"/>
        </w:rPr>
        <w:t xml:space="preserve"> l</w:t>
      </w:r>
      <w:r w:rsidR="00864B14">
        <w:rPr>
          <w:lang w:val="fr-FR"/>
        </w:rPr>
        <w:t>’</w:t>
      </w:r>
      <w:r w:rsidRPr="00FC2C5F">
        <w:rPr>
          <w:lang w:val="fr-FR"/>
        </w:rPr>
        <w:t>é</w:t>
      </w:r>
      <w:r w:rsidR="00CF7749">
        <w:rPr>
          <w:lang w:val="fr-FR"/>
        </w:rPr>
        <w:t>puisement des recours internes.</w:t>
      </w:r>
    </w:p>
    <w:p w:rsidR="00EE196F" w:rsidRPr="005D17AD" w:rsidRDefault="00CF7749" w:rsidP="00EE196F">
      <w:pPr>
        <w:pStyle w:val="SingleTxtG"/>
        <w:rPr>
          <w:lang w:val="fr-FR"/>
        </w:rPr>
      </w:pPr>
      <w:r>
        <w:rPr>
          <w:lang w:val="fr-FR"/>
        </w:rPr>
        <w:t>4.5</w:t>
      </w:r>
      <w:r w:rsidR="00EE196F" w:rsidRPr="00842270">
        <w:rPr>
          <w:lang w:val="fr-FR"/>
        </w:rPr>
        <w:tab/>
      </w:r>
      <w:r w:rsidR="00EE196F">
        <w:rPr>
          <w:lang w:val="fr-FR"/>
        </w:rPr>
        <w:t>L</w:t>
      </w:r>
      <w:r w:rsidR="00864B14">
        <w:rPr>
          <w:lang w:val="fr-FR"/>
        </w:rPr>
        <w:t>’</w:t>
      </w:r>
      <w:r w:rsidR="00EE196F">
        <w:rPr>
          <w:lang w:val="fr-FR"/>
        </w:rPr>
        <w:t>auteur n</w:t>
      </w:r>
      <w:r w:rsidR="00864B14">
        <w:rPr>
          <w:lang w:val="fr-FR"/>
        </w:rPr>
        <w:t>’</w:t>
      </w:r>
      <w:r w:rsidR="00EE196F" w:rsidRPr="00842270">
        <w:rPr>
          <w:lang w:val="fr-FR"/>
        </w:rPr>
        <w:t xml:space="preserve">a </w:t>
      </w:r>
      <w:r w:rsidR="00EE196F">
        <w:rPr>
          <w:lang w:val="fr-FR"/>
        </w:rPr>
        <w:t>exercé</w:t>
      </w:r>
      <w:r w:rsidR="00EE196F" w:rsidRPr="00842270">
        <w:rPr>
          <w:lang w:val="fr-FR"/>
        </w:rPr>
        <w:t xml:space="preserve"> </w:t>
      </w:r>
      <w:r w:rsidR="00EE196F">
        <w:rPr>
          <w:lang w:val="fr-FR"/>
        </w:rPr>
        <w:t>aucun</w:t>
      </w:r>
      <w:r w:rsidR="00EE196F" w:rsidRPr="00842270">
        <w:rPr>
          <w:lang w:val="fr-FR"/>
        </w:rPr>
        <w:t xml:space="preserve"> recours interne</w:t>
      </w:r>
      <w:r w:rsidR="00EE196F">
        <w:rPr>
          <w:lang w:val="fr-FR"/>
        </w:rPr>
        <w:t>, comme il aurait pu le faire,</w:t>
      </w:r>
      <w:r w:rsidR="00EE196F" w:rsidRPr="00842270">
        <w:rPr>
          <w:lang w:val="fr-FR"/>
        </w:rPr>
        <w:t xml:space="preserve"> </w:t>
      </w:r>
      <w:r w:rsidR="00EE196F">
        <w:rPr>
          <w:lang w:val="fr-FR"/>
        </w:rPr>
        <w:t>concernant</w:t>
      </w:r>
      <w:r w:rsidR="00EE196F" w:rsidRPr="00842270">
        <w:rPr>
          <w:lang w:val="fr-FR"/>
        </w:rPr>
        <w:t xml:space="preserve"> </w:t>
      </w:r>
      <w:r w:rsidR="00EE196F">
        <w:rPr>
          <w:lang w:val="fr-FR"/>
        </w:rPr>
        <w:t>l</w:t>
      </w:r>
      <w:r w:rsidR="00EE196F" w:rsidRPr="00842270">
        <w:rPr>
          <w:lang w:val="fr-FR"/>
        </w:rPr>
        <w:t xml:space="preserve">es </w:t>
      </w:r>
      <w:r w:rsidR="00EE196F">
        <w:rPr>
          <w:lang w:val="fr-FR"/>
        </w:rPr>
        <w:t>faits qui constitueraient une violation</w:t>
      </w:r>
      <w:r w:rsidR="00EE196F" w:rsidRPr="00842270">
        <w:rPr>
          <w:lang w:val="fr-FR"/>
        </w:rPr>
        <w:t xml:space="preserve"> de son droit à la santé, </w:t>
      </w:r>
      <w:r w:rsidR="00EE196F">
        <w:rPr>
          <w:lang w:val="fr-FR"/>
        </w:rPr>
        <w:t>à savoir les</w:t>
      </w:r>
      <w:r w:rsidR="00EE196F" w:rsidRPr="00842270">
        <w:rPr>
          <w:lang w:val="fr-FR"/>
        </w:rPr>
        <w:t xml:space="preserve"> conditions </w:t>
      </w:r>
      <w:r w:rsidR="00EE196F">
        <w:rPr>
          <w:lang w:val="fr-FR"/>
        </w:rPr>
        <w:t>dans lesquelles il aurait travaillé,</w:t>
      </w:r>
      <w:r w:rsidR="00EE196F" w:rsidRPr="00842270">
        <w:rPr>
          <w:lang w:val="fr-FR"/>
        </w:rPr>
        <w:t xml:space="preserve"> qui </w:t>
      </w:r>
      <w:r w:rsidR="00EE196F">
        <w:rPr>
          <w:lang w:val="fr-FR"/>
        </w:rPr>
        <w:t>seraient à l</w:t>
      </w:r>
      <w:r w:rsidR="00864B14">
        <w:rPr>
          <w:lang w:val="fr-FR"/>
        </w:rPr>
        <w:t>’</w:t>
      </w:r>
      <w:r w:rsidR="00EE196F">
        <w:rPr>
          <w:lang w:val="fr-FR"/>
        </w:rPr>
        <w:t xml:space="preserve">origine de son handicap physique. </w:t>
      </w:r>
      <w:r w:rsidR="00EE196F" w:rsidRPr="00842270">
        <w:rPr>
          <w:lang w:val="fr-FR"/>
        </w:rPr>
        <w:t>En</w:t>
      </w:r>
      <w:r w:rsidR="00EE196F">
        <w:rPr>
          <w:lang w:val="fr-FR"/>
        </w:rPr>
        <w:t> </w:t>
      </w:r>
      <w:r w:rsidR="00EE196F" w:rsidRPr="00842270">
        <w:rPr>
          <w:lang w:val="fr-FR"/>
        </w:rPr>
        <w:t>conséquence, cette partie de la communication est irrecevable pour non-épuisement des recours internes en vertu du paragraphe</w:t>
      </w:r>
      <w:r w:rsidR="00013A9E">
        <w:rPr>
          <w:lang w:val="fr-FR"/>
        </w:rPr>
        <w:t xml:space="preserve"> </w:t>
      </w:r>
      <w:r w:rsidR="00EE196F" w:rsidRPr="00842270">
        <w:rPr>
          <w:lang w:val="fr-FR"/>
        </w:rPr>
        <w:t>1 de l</w:t>
      </w:r>
      <w:r w:rsidR="00864B14">
        <w:rPr>
          <w:lang w:val="fr-FR"/>
        </w:rPr>
        <w:t>’</w:t>
      </w:r>
      <w:r w:rsidR="00EE196F" w:rsidRPr="00842270">
        <w:rPr>
          <w:lang w:val="fr-FR"/>
        </w:rPr>
        <w:t>art</w:t>
      </w:r>
      <w:r w:rsidR="00EE196F">
        <w:rPr>
          <w:lang w:val="fr-FR"/>
        </w:rPr>
        <w:t>icle</w:t>
      </w:r>
      <w:r w:rsidR="00013A9E">
        <w:rPr>
          <w:lang w:val="fr-FR"/>
        </w:rPr>
        <w:t xml:space="preserve"> </w:t>
      </w:r>
      <w:r w:rsidR="00EE196F">
        <w:rPr>
          <w:lang w:val="fr-FR"/>
        </w:rPr>
        <w:t>3 du Protocole facultatif</w:t>
      </w:r>
      <w:r w:rsidR="00EE196F" w:rsidRPr="005D17AD">
        <w:rPr>
          <w:lang w:val="fr-FR"/>
        </w:rPr>
        <w:t xml:space="preserve">. </w:t>
      </w:r>
      <w:r w:rsidR="00EE196F" w:rsidRPr="00E82D02">
        <w:rPr>
          <w:lang w:val="fr-FR"/>
        </w:rPr>
        <w:t>L</w:t>
      </w:r>
      <w:r w:rsidR="00864B14">
        <w:rPr>
          <w:lang w:val="fr-FR"/>
        </w:rPr>
        <w:t>’</w:t>
      </w:r>
      <w:r w:rsidR="00EE196F" w:rsidRPr="00E82D02">
        <w:rPr>
          <w:lang w:val="fr-FR"/>
        </w:rPr>
        <w:t>article</w:t>
      </w:r>
      <w:r w:rsidR="00013A9E">
        <w:rPr>
          <w:lang w:val="fr-FR"/>
        </w:rPr>
        <w:t xml:space="preserve"> </w:t>
      </w:r>
      <w:r w:rsidR="00EE196F" w:rsidRPr="00E82D02">
        <w:rPr>
          <w:lang w:val="fr-FR"/>
        </w:rPr>
        <w:t>102 de la loi sur la sécurité sociale dispose que l</w:t>
      </w:r>
      <w:r w:rsidR="00864B14">
        <w:rPr>
          <w:lang w:val="fr-FR"/>
        </w:rPr>
        <w:t>’</w:t>
      </w:r>
      <w:r w:rsidR="00EE196F" w:rsidRPr="00E82D02">
        <w:rPr>
          <w:lang w:val="fr-FR"/>
        </w:rPr>
        <w:t>assurance maladie générale protège la personne assurée contre les risques de maladie et que la prévention des accidents du travail et des maladies professionnelles est couverte par l</w:t>
      </w:r>
      <w:r w:rsidR="00864B14">
        <w:rPr>
          <w:lang w:val="fr-FR"/>
        </w:rPr>
        <w:t>’</w:t>
      </w:r>
      <w:r w:rsidR="00EE196F" w:rsidRPr="00E82D02">
        <w:rPr>
          <w:lang w:val="fr-FR"/>
        </w:rPr>
        <w:t xml:space="preserve">assurance générale </w:t>
      </w:r>
      <w:r w:rsidR="00EE196F">
        <w:rPr>
          <w:lang w:val="fr-FR"/>
        </w:rPr>
        <w:t>contre les</w:t>
      </w:r>
      <w:r w:rsidR="00EE196F" w:rsidRPr="00E82D02">
        <w:rPr>
          <w:lang w:val="fr-FR"/>
        </w:rPr>
        <w:t xml:space="preserve"> risques </w:t>
      </w:r>
      <w:r w:rsidR="00EE196F">
        <w:rPr>
          <w:lang w:val="fr-FR"/>
        </w:rPr>
        <w:t>du travail</w:t>
      </w:r>
      <w:r w:rsidR="00EE196F" w:rsidRPr="00E82D02">
        <w:rPr>
          <w:lang w:val="fr-FR"/>
        </w:rPr>
        <w:t xml:space="preserve">. </w:t>
      </w:r>
      <w:r w:rsidR="00EE196F">
        <w:rPr>
          <w:lang w:val="fr-FR"/>
        </w:rPr>
        <w:t>En outre</w:t>
      </w:r>
      <w:r w:rsidR="00EE196F" w:rsidRPr="00E82D02">
        <w:rPr>
          <w:lang w:val="fr-FR"/>
        </w:rPr>
        <w:t xml:space="preserve">, le </w:t>
      </w:r>
      <w:r w:rsidR="00EE196F">
        <w:rPr>
          <w:lang w:val="fr-FR"/>
        </w:rPr>
        <w:t>r</w:t>
      </w:r>
      <w:r w:rsidR="00EE196F" w:rsidRPr="00E82D02">
        <w:rPr>
          <w:lang w:val="fr-FR"/>
        </w:rPr>
        <w:t xml:space="preserve">èglement </w:t>
      </w:r>
      <w:r w:rsidR="00EE196F">
        <w:rPr>
          <w:lang w:val="fr-FR"/>
        </w:rPr>
        <w:t xml:space="preserve">relatif à </w:t>
      </w:r>
      <w:r w:rsidR="00EE196F" w:rsidRPr="00E82D02">
        <w:rPr>
          <w:lang w:val="fr-FR"/>
        </w:rPr>
        <w:t>l</w:t>
      </w:r>
      <w:r w:rsidR="00864B14">
        <w:rPr>
          <w:lang w:val="fr-FR"/>
        </w:rPr>
        <w:t>’</w:t>
      </w:r>
      <w:r w:rsidR="00EE196F" w:rsidRPr="00E82D02">
        <w:rPr>
          <w:lang w:val="fr-FR"/>
        </w:rPr>
        <w:t xml:space="preserve">assurance </w:t>
      </w:r>
      <w:r w:rsidR="00EE196F">
        <w:rPr>
          <w:lang w:val="fr-FR"/>
        </w:rPr>
        <w:t>générale contre les</w:t>
      </w:r>
      <w:r w:rsidR="00EE196F" w:rsidRPr="00E82D02">
        <w:rPr>
          <w:lang w:val="fr-FR"/>
        </w:rPr>
        <w:t xml:space="preserve"> risques du travail prévoit que dans les cas où il y a preuve d</w:t>
      </w:r>
      <w:r w:rsidR="00864B14">
        <w:rPr>
          <w:lang w:val="fr-FR"/>
        </w:rPr>
        <w:t>’</w:t>
      </w:r>
      <w:r w:rsidR="00EE196F" w:rsidRPr="00E82D02">
        <w:rPr>
          <w:lang w:val="fr-FR"/>
        </w:rPr>
        <w:t>une maladie professionnelle, l</w:t>
      </w:r>
      <w:r w:rsidR="00864B14">
        <w:rPr>
          <w:lang w:val="fr-FR"/>
        </w:rPr>
        <w:t>’</w:t>
      </w:r>
      <w:r w:rsidR="00EE196F" w:rsidRPr="00E82D02">
        <w:rPr>
          <w:lang w:val="fr-FR"/>
        </w:rPr>
        <w:t xml:space="preserve">employeur ou le travailleur doit </w:t>
      </w:r>
      <w:r w:rsidR="00EE196F">
        <w:rPr>
          <w:lang w:val="fr-FR"/>
        </w:rPr>
        <w:t>en informer les services</w:t>
      </w:r>
      <w:r w:rsidR="00EE196F" w:rsidRPr="00E82D02">
        <w:rPr>
          <w:lang w:val="fr-FR"/>
        </w:rPr>
        <w:t xml:space="preserve"> de l</w:t>
      </w:r>
      <w:r w:rsidR="00864B14">
        <w:rPr>
          <w:lang w:val="fr-FR"/>
        </w:rPr>
        <w:t>’</w:t>
      </w:r>
      <w:r w:rsidR="00EE196F" w:rsidRPr="00E82D02">
        <w:rPr>
          <w:lang w:val="fr-FR"/>
        </w:rPr>
        <w:t xml:space="preserve">assurance générale </w:t>
      </w:r>
      <w:r w:rsidR="00EE196F">
        <w:rPr>
          <w:lang w:val="fr-FR"/>
        </w:rPr>
        <w:t>contre les risques du travail</w:t>
      </w:r>
      <w:r w:rsidR="00EE196F" w:rsidRPr="00F86033">
        <w:rPr>
          <w:lang w:val="fr-FR"/>
        </w:rPr>
        <w:t xml:space="preserve">. </w:t>
      </w:r>
      <w:r w:rsidR="00EE196F" w:rsidRPr="000E2B0F">
        <w:rPr>
          <w:lang w:val="fr-FR"/>
        </w:rPr>
        <w:t>Par conséquent, si l</w:t>
      </w:r>
      <w:r w:rsidR="00864B14">
        <w:rPr>
          <w:lang w:val="fr-FR"/>
        </w:rPr>
        <w:t>’</w:t>
      </w:r>
      <w:r w:rsidR="00EE196F" w:rsidRPr="000E2B0F">
        <w:rPr>
          <w:lang w:val="fr-FR"/>
        </w:rPr>
        <w:t xml:space="preserve">auteur </w:t>
      </w:r>
      <w:r w:rsidR="00EE196F">
        <w:rPr>
          <w:lang w:val="fr-FR"/>
        </w:rPr>
        <w:t>pensait avoir</w:t>
      </w:r>
      <w:r w:rsidR="00EE196F" w:rsidRPr="000E2B0F">
        <w:rPr>
          <w:lang w:val="fr-FR"/>
        </w:rPr>
        <w:t xml:space="preserve"> contracté une maladie professionnelle en raison de</w:t>
      </w:r>
      <w:r w:rsidR="00EE196F">
        <w:rPr>
          <w:lang w:val="fr-FR"/>
        </w:rPr>
        <w:t xml:space="preserve"> </w:t>
      </w:r>
      <w:r w:rsidR="00EE196F" w:rsidRPr="000E2B0F">
        <w:rPr>
          <w:lang w:val="fr-FR"/>
        </w:rPr>
        <w:t>s</w:t>
      </w:r>
      <w:r w:rsidR="00EE196F">
        <w:rPr>
          <w:lang w:val="fr-FR"/>
        </w:rPr>
        <w:t>es</w:t>
      </w:r>
      <w:r w:rsidR="00EE196F" w:rsidRPr="000E2B0F">
        <w:rPr>
          <w:lang w:val="fr-FR"/>
        </w:rPr>
        <w:t xml:space="preserve"> conditions </w:t>
      </w:r>
      <w:r w:rsidR="00EE196F">
        <w:rPr>
          <w:lang w:val="fr-FR"/>
        </w:rPr>
        <w:t>de travail</w:t>
      </w:r>
      <w:r w:rsidR="00EE196F" w:rsidRPr="000E2B0F">
        <w:rPr>
          <w:lang w:val="fr-FR"/>
        </w:rPr>
        <w:t xml:space="preserve">, il aurait dû en informer la </w:t>
      </w:r>
      <w:r w:rsidR="00EE196F">
        <w:rPr>
          <w:lang w:val="fr-FR"/>
        </w:rPr>
        <w:t>s</w:t>
      </w:r>
      <w:r w:rsidR="00EE196F" w:rsidRPr="000E2B0F">
        <w:rPr>
          <w:lang w:val="fr-FR"/>
        </w:rPr>
        <w:t xml:space="preserve">écurité sociale afin </w:t>
      </w:r>
      <w:r w:rsidR="00EE196F">
        <w:rPr>
          <w:lang w:val="fr-FR"/>
        </w:rPr>
        <w:t>d</w:t>
      </w:r>
      <w:r w:rsidR="00864B14">
        <w:rPr>
          <w:lang w:val="fr-FR"/>
        </w:rPr>
        <w:t>’</w:t>
      </w:r>
      <w:r w:rsidR="00EE196F">
        <w:rPr>
          <w:lang w:val="fr-FR"/>
        </w:rPr>
        <w:t>engager des démarches permettant d</w:t>
      </w:r>
      <w:r w:rsidR="00864B14">
        <w:rPr>
          <w:lang w:val="fr-FR"/>
        </w:rPr>
        <w:t>’</w:t>
      </w:r>
      <w:r w:rsidR="00EE196F">
        <w:rPr>
          <w:lang w:val="fr-FR"/>
        </w:rPr>
        <w:t xml:space="preserve">avoir </w:t>
      </w:r>
      <w:r w:rsidR="00EE196F" w:rsidRPr="000E2B0F">
        <w:rPr>
          <w:lang w:val="fr-FR"/>
        </w:rPr>
        <w:t>accès à l</w:t>
      </w:r>
      <w:r w:rsidR="00864B14">
        <w:rPr>
          <w:lang w:val="fr-FR"/>
        </w:rPr>
        <w:t>’</w:t>
      </w:r>
      <w:r w:rsidR="00EE196F" w:rsidRPr="000E2B0F">
        <w:rPr>
          <w:lang w:val="fr-FR"/>
        </w:rPr>
        <w:t xml:space="preserve">assurance générale contre les risques </w:t>
      </w:r>
      <w:r w:rsidR="00EE196F">
        <w:rPr>
          <w:lang w:val="fr-FR"/>
        </w:rPr>
        <w:t xml:space="preserve">du travail. </w:t>
      </w:r>
      <w:r w:rsidR="00EE196F">
        <w:rPr>
          <w:lang w:val="fr-FR"/>
        </w:rPr>
        <w:lastRenderedPageBreak/>
        <w:t xml:space="preserve">Un examen </w:t>
      </w:r>
      <w:r w:rsidR="00EE196F" w:rsidRPr="000E2B0F">
        <w:rPr>
          <w:lang w:val="fr-FR"/>
        </w:rPr>
        <w:t>médical</w:t>
      </w:r>
      <w:r w:rsidR="00EE196F">
        <w:rPr>
          <w:lang w:val="fr-FR"/>
        </w:rPr>
        <w:t xml:space="preserve"> aurait été réalisé </w:t>
      </w:r>
      <w:r w:rsidR="00EE196F" w:rsidRPr="000E2B0F">
        <w:rPr>
          <w:lang w:val="fr-FR"/>
        </w:rPr>
        <w:t xml:space="preserve">et, </w:t>
      </w:r>
      <w:r w:rsidR="00EE196F">
        <w:rPr>
          <w:lang w:val="fr-FR"/>
        </w:rPr>
        <w:t>à la suite d</w:t>
      </w:r>
      <w:r w:rsidR="00EE196F" w:rsidRPr="000E2B0F">
        <w:rPr>
          <w:lang w:val="fr-FR"/>
        </w:rPr>
        <w:t>es rapports médicaux et techniques correspondants, l</w:t>
      </w:r>
      <w:r w:rsidR="00864B14">
        <w:rPr>
          <w:lang w:val="fr-FR"/>
        </w:rPr>
        <w:t>’</w:t>
      </w:r>
      <w:r w:rsidR="00EE196F" w:rsidRPr="000E2B0F">
        <w:rPr>
          <w:lang w:val="fr-FR"/>
        </w:rPr>
        <w:t>existence d</w:t>
      </w:r>
      <w:r w:rsidR="00864B14">
        <w:rPr>
          <w:lang w:val="fr-FR"/>
        </w:rPr>
        <w:t>’</w:t>
      </w:r>
      <w:r w:rsidR="00EE196F" w:rsidRPr="000E2B0F">
        <w:rPr>
          <w:lang w:val="fr-FR"/>
        </w:rPr>
        <w:t xml:space="preserve">une maladie professionnelle </w:t>
      </w:r>
      <w:r w:rsidR="00EE196F">
        <w:rPr>
          <w:lang w:val="fr-FR"/>
        </w:rPr>
        <w:t xml:space="preserve">aurait pu être établie </w:t>
      </w:r>
      <w:r w:rsidR="00EE196F" w:rsidRPr="000E2B0F">
        <w:rPr>
          <w:lang w:val="fr-FR"/>
        </w:rPr>
        <w:t xml:space="preserve">et des mesures </w:t>
      </w:r>
      <w:r w:rsidR="00EE196F">
        <w:rPr>
          <w:lang w:val="fr-FR"/>
        </w:rPr>
        <w:t xml:space="preserve">recommandées </w:t>
      </w:r>
      <w:r w:rsidR="00EE196F" w:rsidRPr="000E2B0F">
        <w:rPr>
          <w:lang w:val="fr-FR"/>
        </w:rPr>
        <w:t>telles que la séparation de l</w:t>
      </w:r>
      <w:r w:rsidR="00864B14">
        <w:rPr>
          <w:lang w:val="fr-FR"/>
        </w:rPr>
        <w:t>’</w:t>
      </w:r>
      <w:r w:rsidR="00EE196F" w:rsidRPr="000E2B0F">
        <w:rPr>
          <w:lang w:val="fr-FR"/>
        </w:rPr>
        <w:t>assuré de son employeur et l</w:t>
      </w:r>
      <w:r w:rsidR="00864B14">
        <w:rPr>
          <w:lang w:val="fr-FR"/>
        </w:rPr>
        <w:t>’</w:t>
      </w:r>
      <w:r w:rsidR="00EE196F" w:rsidRPr="000E2B0F">
        <w:rPr>
          <w:lang w:val="fr-FR"/>
        </w:rPr>
        <w:t>interdiction de tout contact avec des substances nocives ayant un effet potentiellement nocif sur sa santé, ainsi que la fourniture d</w:t>
      </w:r>
      <w:r w:rsidR="00864B14">
        <w:rPr>
          <w:lang w:val="fr-FR"/>
        </w:rPr>
        <w:t>’</w:t>
      </w:r>
      <w:r w:rsidR="00EE196F" w:rsidRPr="000E2B0F">
        <w:rPr>
          <w:lang w:val="fr-FR"/>
        </w:rPr>
        <w:t>avantages éc</w:t>
      </w:r>
      <w:r w:rsidR="00EE196F">
        <w:rPr>
          <w:lang w:val="fr-FR"/>
        </w:rPr>
        <w:t>onomiques et d</w:t>
      </w:r>
      <w:r w:rsidR="00864B14">
        <w:rPr>
          <w:lang w:val="fr-FR"/>
        </w:rPr>
        <w:t>’</w:t>
      </w:r>
      <w:r w:rsidR="00EE196F">
        <w:rPr>
          <w:lang w:val="fr-FR"/>
        </w:rPr>
        <w:t>une assistance appropriée</w:t>
      </w:r>
      <w:r w:rsidR="00EE196F" w:rsidRPr="000E2B0F">
        <w:rPr>
          <w:lang w:val="fr-FR"/>
        </w:rPr>
        <w:t>.</w:t>
      </w:r>
    </w:p>
    <w:p w:rsidR="00EE196F" w:rsidRPr="00F7506F" w:rsidRDefault="00EE196F" w:rsidP="00EE196F">
      <w:pPr>
        <w:pStyle w:val="SingleTxtG"/>
        <w:keepLines/>
        <w:rPr>
          <w:lang w:val="fr-FR"/>
        </w:rPr>
      </w:pPr>
      <w:r w:rsidRPr="00A260FF">
        <w:rPr>
          <w:lang w:val="fr-FR"/>
        </w:rPr>
        <w:t xml:space="preserve">4.6 </w:t>
      </w:r>
      <w:r w:rsidRPr="00A260FF">
        <w:rPr>
          <w:lang w:val="fr-FR"/>
        </w:rPr>
        <w:tab/>
        <w:t xml:space="preserve">La communication ne satisfait pas au critère de recevabilité énoncé </w:t>
      </w:r>
      <w:r>
        <w:rPr>
          <w:lang w:val="fr-FR"/>
        </w:rPr>
        <w:t>au paragraphe 2 e) de</w:t>
      </w:r>
      <w:r w:rsidRPr="00A260FF">
        <w:rPr>
          <w:lang w:val="fr-FR"/>
        </w:rPr>
        <w:t xml:space="preserve"> l</w:t>
      </w:r>
      <w:r w:rsidR="00864B14">
        <w:rPr>
          <w:lang w:val="fr-FR"/>
        </w:rPr>
        <w:t>’</w:t>
      </w:r>
      <w:r w:rsidRPr="00A260FF">
        <w:rPr>
          <w:lang w:val="fr-FR"/>
        </w:rPr>
        <w:t xml:space="preserve">article 3 du Protocole facultatif car elle est manifestement infondée et ne </w:t>
      </w:r>
      <w:r>
        <w:rPr>
          <w:lang w:val="fr-FR"/>
        </w:rPr>
        <w:t>fait apparaître aucune</w:t>
      </w:r>
      <w:r w:rsidRPr="00A260FF">
        <w:rPr>
          <w:lang w:val="fr-FR"/>
        </w:rPr>
        <w:t xml:space="preserve"> violation des droits énoncés dans le Pacte. </w:t>
      </w:r>
      <w:r w:rsidRPr="00FA0063">
        <w:rPr>
          <w:lang w:val="fr-FR"/>
        </w:rPr>
        <w:t xml:space="preserve">Les </w:t>
      </w:r>
      <w:r>
        <w:rPr>
          <w:lang w:val="fr-FR"/>
        </w:rPr>
        <w:t>renseignements fournis</w:t>
      </w:r>
      <w:r w:rsidRPr="00FA0063">
        <w:rPr>
          <w:lang w:val="fr-FR"/>
        </w:rPr>
        <w:t xml:space="preserve"> dans la communication n</w:t>
      </w:r>
      <w:r w:rsidR="00864B14">
        <w:rPr>
          <w:lang w:val="fr-FR"/>
        </w:rPr>
        <w:t>’</w:t>
      </w:r>
      <w:r w:rsidRPr="00FA0063">
        <w:rPr>
          <w:lang w:val="fr-FR"/>
        </w:rPr>
        <w:t xml:space="preserve">indiquent pas que les autorités judiciaires qui ont </w:t>
      </w:r>
      <w:r>
        <w:rPr>
          <w:lang w:val="fr-FR"/>
        </w:rPr>
        <w:t>débouté</w:t>
      </w:r>
      <w:r w:rsidRPr="00FA0063">
        <w:rPr>
          <w:lang w:val="fr-FR"/>
        </w:rPr>
        <w:t xml:space="preserve"> l</w:t>
      </w:r>
      <w:r w:rsidR="00864B14">
        <w:rPr>
          <w:lang w:val="fr-FR"/>
        </w:rPr>
        <w:t>’</w:t>
      </w:r>
      <w:r w:rsidRPr="00FA0063">
        <w:rPr>
          <w:lang w:val="fr-FR"/>
        </w:rPr>
        <w:t>auteur</w:t>
      </w:r>
      <w:r>
        <w:rPr>
          <w:lang w:val="fr-FR"/>
        </w:rPr>
        <w:t xml:space="preserve"> de sa plainte</w:t>
      </w:r>
      <w:r w:rsidRPr="00FA0063">
        <w:rPr>
          <w:lang w:val="fr-FR"/>
        </w:rPr>
        <w:t xml:space="preserve"> ont délibérément agi pour porter atteinte à ses droits, étant donné que les juges</w:t>
      </w:r>
      <w:r>
        <w:rPr>
          <w:lang w:val="fr-FR"/>
        </w:rPr>
        <w:t>,</w:t>
      </w:r>
      <w:r w:rsidRPr="00FA0063">
        <w:rPr>
          <w:lang w:val="fr-FR"/>
        </w:rPr>
        <w:t xml:space="preserve"> dans l</w:t>
      </w:r>
      <w:r w:rsidR="00864B14">
        <w:rPr>
          <w:lang w:val="fr-FR"/>
        </w:rPr>
        <w:t>’</w:t>
      </w:r>
      <w:r w:rsidRPr="00FA0063">
        <w:rPr>
          <w:lang w:val="fr-FR"/>
        </w:rPr>
        <w:t>arrêt de cassation</w:t>
      </w:r>
      <w:r>
        <w:rPr>
          <w:lang w:val="fr-FR"/>
        </w:rPr>
        <w:t>,</w:t>
      </w:r>
      <w:r w:rsidRPr="00FA0063">
        <w:rPr>
          <w:lang w:val="fr-FR"/>
        </w:rPr>
        <w:t xml:space="preserve"> ont analysé en droit la manière dont la relation de travail a</w:t>
      </w:r>
      <w:r>
        <w:rPr>
          <w:lang w:val="fr-FR"/>
        </w:rPr>
        <w:t xml:space="preserve">vait été résiliée et le bien-fondé </w:t>
      </w:r>
      <w:r w:rsidRPr="00FA0063">
        <w:rPr>
          <w:lang w:val="fr-FR"/>
        </w:rPr>
        <w:t xml:space="preserve">du </w:t>
      </w:r>
      <w:r>
        <w:rPr>
          <w:lang w:val="fr-FR"/>
        </w:rPr>
        <w:t>versement</w:t>
      </w:r>
      <w:r w:rsidRPr="00FA0063">
        <w:rPr>
          <w:lang w:val="fr-FR"/>
        </w:rPr>
        <w:t xml:space="preserve"> d</w:t>
      </w:r>
      <w:r w:rsidR="00864B14">
        <w:rPr>
          <w:lang w:val="fr-FR"/>
        </w:rPr>
        <w:t>’</w:t>
      </w:r>
      <w:r w:rsidRPr="00FA0063">
        <w:rPr>
          <w:lang w:val="fr-FR"/>
        </w:rPr>
        <w:t xml:space="preserve">une </w:t>
      </w:r>
      <w:r>
        <w:rPr>
          <w:lang w:val="fr-FR"/>
        </w:rPr>
        <w:t>indemnité prévue dans une</w:t>
      </w:r>
      <w:r w:rsidRPr="00FA0063">
        <w:rPr>
          <w:lang w:val="fr-FR"/>
        </w:rPr>
        <w:t xml:space="preserve"> </w:t>
      </w:r>
      <w:r>
        <w:rPr>
          <w:lang w:val="fr-FR"/>
        </w:rPr>
        <w:t>convention collective de travail</w:t>
      </w:r>
      <w:r w:rsidRPr="00FA0063">
        <w:rPr>
          <w:lang w:val="fr-FR"/>
        </w:rPr>
        <w:t>, prestation à laquelle l</w:t>
      </w:r>
      <w:r w:rsidR="00864B14">
        <w:rPr>
          <w:lang w:val="fr-FR"/>
        </w:rPr>
        <w:t>’</w:t>
      </w:r>
      <w:r w:rsidRPr="00FA0063">
        <w:rPr>
          <w:lang w:val="fr-FR"/>
        </w:rPr>
        <w:t>auteur n</w:t>
      </w:r>
      <w:r w:rsidR="00864B14">
        <w:rPr>
          <w:lang w:val="fr-FR"/>
        </w:rPr>
        <w:t>’</w:t>
      </w:r>
      <w:r w:rsidRPr="00FA0063">
        <w:rPr>
          <w:lang w:val="fr-FR"/>
        </w:rPr>
        <w:t>avait pas droit</w:t>
      </w:r>
      <w:r w:rsidRPr="00A923D1">
        <w:rPr>
          <w:lang w:val="fr-FR"/>
        </w:rPr>
        <w:t xml:space="preserve">. </w:t>
      </w:r>
      <w:r>
        <w:rPr>
          <w:lang w:val="fr-FR"/>
        </w:rPr>
        <w:t>Dans s</w:t>
      </w:r>
      <w:r w:rsidRPr="00A923D1">
        <w:rPr>
          <w:lang w:val="fr-FR"/>
        </w:rPr>
        <w:t>a communication</w:t>
      </w:r>
      <w:r>
        <w:rPr>
          <w:lang w:val="fr-FR"/>
        </w:rPr>
        <w:t>, l</w:t>
      </w:r>
      <w:r w:rsidR="00864B14">
        <w:rPr>
          <w:lang w:val="fr-FR"/>
        </w:rPr>
        <w:t>’</w:t>
      </w:r>
      <w:r>
        <w:rPr>
          <w:lang w:val="fr-FR"/>
        </w:rPr>
        <w:t>auteur</w:t>
      </w:r>
      <w:r w:rsidRPr="00A923D1">
        <w:rPr>
          <w:lang w:val="fr-FR"/>
        </w:rPr>
        <w:t xml:space="preserve"> ne fait qu</w:t>
      </w:r>
      <w:r w:rsidR="00864B14">
        <w:rPr>
          <w:lang w:val="fr-FR"/>
        </w:rPr>
        <w:t>’</w:t>
      </w:r>
      <w:r w:rsidRPr="00A923D1">
        <w:rPr>
          <w:lang w:val="fr-FR"/>
        </w:rPr>
        <w:t xml:space="preserve">exprimer son désaccord avec la décision de la </w:t>
      </w:r>
      <w:r>
        <w:rPr>
          <w:lang w:val="fr-FR"/>
        </w:rPr>
        <w:t>Cour nationale de justice</w:t>
      </w:r>
      <w:r w:rsidRPr="00A923D1">
        <w:rPr>
          <w:lang w:val="fr-FR"/>
        </w:rPr>
        <w:t xml:space="preserve">, qui a rejeté sa demande, sans étayer ses allégations de violation du Pacte, dans le but que le Comité </w:t>
      </w:r>
      <w:r>
        <w:rPr>
          <w:lang w:val="fr-FR"/>
        </w:rPr>
        <w:t>annule cette décision</w:t>
      </w:r>
      <w:r w:rsidRPr="00A923D1">
        <w:rPr>
          <w:lang w:val="fr-FR"/>
        </w:rPr>
        <w:t xml:space="preserve">. </w:t>
      </w:r>
      <w:r w:rsidRPr="00BF5103">
        <w:rPr>
          <w:lang w:val="fr-FR"/>
        </w:rPr>
        <w:t xml:space="preserve">Toutefois, le Comité ne peut agir en quatrième instance. </w:t>
      </w:r>
      <w:r>
        <w:rPr>
          <w:lang w:val="fr-FR"/>
        </w:rPr>
        <w:t>L</w:t>
      </w:r>
      <w:r w:rsidR="00864B14">
        <w:rPr>
          <w:lang w:val="fr-FR"/>
        </w:rPr>
        <w:t>’</w:t>
      </w:r>
      <w:r>
        <w:rPr>
          <w:lang w:val="fr-FR"/>
        </w:rPr>
        <w:t>État partie</w:t>
      </w:r>
      <w:r w:rsidRPr="00BF5103">
        <w:rPr>
          <w:lang w:val="fr-FR"/>
        </w:rPr>
        <w:t xml:space="preserve"> ajoute que la plainte déposée par l</w:t>
      </w:r>
      <w:r w:rsidR="00864B14">
        <w:rPr>
          <w:lang w:val="fr-FR"/>
        </w:rPr>
        <w:t>’</w:t>
      </w:r>
      <w:r w:rsidRPr="00BF5103">
        <w:rPr>
          <w:lang w:val="fr-FR"/>
        </w:rPr>
        <w:t xml:space="preserve">auteur au sujet de </w:t>
      </w:r>
      <w:r>
        <w:rPr>
          <w:lang w:val="fr-FR"/>
        </w:rPr>
        <w:t>l</w:t>
      </w:r>
      <w:r w:rsidR="00864B14">
        <w:rPr>
          <w:lang w:val="fr-FR"/>
        </w:rPr>
        <w:t>’</w:t>
      </w:r>
      <w:r>
        <w:rPr>
          <w:lang w:val="fr-FR"/>
        </w:rPr>
        <w:t>indemnité</w:t>
      </w:r>
      <w:r w:rsidRPr="00BF5103">
        <w:rPr>
          <w:lang w:val="fr-FR"/>
        </w:rPr>
        <w:t xml:space="preserve"> prévue dans la convention collective a été examinée par trois organes judiciaires différents et que </w:t>
      </w:r>
      <w:r>
        <w:rPr>
          <w:lang w:val="fr-FR"/>
        </w:rPr>
        <w:t>les juridictions</w:t>
      </w:r>
      <w:r w:rsidRPr="00BF5103">
        <w:rPr>
          <w:lang w:val="fr-FR"/>
        </w:rPr>
        <w:t xml:space="preserve"> de première et de deuxième instance ont toutes deux accepté les griefs de l</w:t>
      </w:r>
      <w:r w:rsidR="00864B14">
        <w:rPr>
          <w:lang w:val="fr-FR"/>
        </w:rPr>
        <w:t>’</w:t>
      </w:r>
      <w:r w:rsidRPr="00BF5103">
        <w:rPr>
          <w:lang w:val="fr-FR"/>
        </w:rPr>
        <w:t xml:space="preserve">auteur. </w:t>
      </w:r>
      <w:r>
        <w:rPr>
          <w:color w:val="000000"/>
          <w:lang w:val="fr-FR"/>
        </w:rPr>
        <w:t xml:space="preserve">Cette procédure </w:t>
      </w:r>
      <w:r w:rsidRPr="00F7506F">
        <w:rPr>
          <w:color w:val="000000"/>
          <w:lang w:val="fr-FR"/>
        </w:rPr>
        <w:t>judiciaire s</w:t>
      </w:r>
      <w:r w:rsidR="00864B14">
        <w:rPr>
          <w:color w:val="000000"/>
          <w:lang w:val="fr-FR"/>
        </w:rPr>
        <w:t>’</w:t>
      </w:r>
      <w:r w:rsidRPr="00F7506F">
        <w:rPr>
          <w:color w:val="000000"/>
          <w:lang w:val="fr-FR"/>
        </w:rPr>
        <w:t>est déroulé</w:t>
      </w:r>
      <w:r>
        <w:rPr>
          <w:color w:val="000000"/>
          <w:lang w:val="fr-FR"/>
        </w:rPr>
        <w:t>e</w:t>
      </w:r>
      <w:r w:rsidRPr="00F7506F">
        <w:rPr>
          <w:color w:val="000000"/>
          <w:lang w:val="fr-FR"/>
        </w:rPr>
        <w:t xml:space="preserve"> dans le respect de l</w:t>
      </w:r>
      <w:r w:rsidR="00864B14">
        <w:rPr>
          <w:color w:val="000000"/>
          <w:lang w:val="fr-FR"/>
        </w:rPr>
        <w:t>’</w:t>
      </w:r>
      <w:r w:rsidRPr="00F7506F">
        <w:rPr>
          <w:color w:val="000000"/>
          <w:lang w:val="fr-FR"/>
        </w:rPr>
        <w:t>application régulière de la loi et conformément au cadre constitutionnel et juridique en vigueur.</w:t>
      </w:r>
    </w:p>
    <w:p w:rsidR="00EE196F" w:rsidRPr="00765C28" w:rsidRDefault="00EE196F" w:rsidP="00EE196F">
      <w:pPr>
        <w:pStyle w:val="SingleTxtG"/>
        <w:rPr>
          <w:lang w:val="fr-FR"/>
        </w:rPr>
      </w:pPr>
      <w:r w:rsidRPr="00C10619">
        <w:rPr>
          <w:lang w:val="fr-FR"/>
        </w:rPr>
        <w:t xml:space="preserve">4.7 </w:t>
      </w:r>
      <w:r w:rsidRPr="00C10619">
        <w:rPr>
          <w:lang w:val="fr-FR"/>
        </w:rPr>
        <w:tab/>
        <w:t>Si la communication est jugée recevable par le Comité, l</w:t>
      </w:r>
      <w:r w:rsidR="00864B14">
        <w:rPr>
          <w:lang w:val="fr-FR"/>
        </w:rPr>
        <w:t>’</w:t>
      </w:r>
      <w:r w:rsidRPr="00C10619">
        <w:rPr>
          <w:lang w:val="fr-FR"/>
        </w:rPr>
        <w:t xml:space="preserve">État partie fait valoir </w:t>
      </w:r>
      <w:r>
        <w:rPr>
          <w:lang w:val="fr-FR"/>
        </w:rPr>
        <w:t>qu</w:t>
      </w:r>
      <w:r w:rsidR="00864B14">
        <w:rPr>
          <w:lang w:val="fr-FR"/>
        </w:rPr>
        <w:t>’</w:t>
      </w:r>
      <w:r>
        <w:rPr>
          <w:lang w:val="fr-FR"/>
        </w:rPr>
        <w:t>elle</w:t>
      </w:r>
      <w:r w:rsidRPr="00C10619">
        <w:rPr>
          <w:lang w:val="fr-FR"/>
        </w:rPr>
        <w:t xml:space="preserve"> ne </w:t>
      </w:r>
      <w:r>
        <w:rPr>
          <w:lang w:val="fr-FR"/>
        </w:rPr>
        <w:t>fait apparaître</w:t>
      </w:r>
      <w:r w:rsidRPr="00C10619">
        <w:rPr>
          <w:lang w:val="fr-FR"/>
        </w:rPr>
        <w:t xml:space="preserve"> aucune violation des droits de l</w:t>
      </w:r>
      <w:r w:rsidR="00864B14">
        <w:rPr>
          <w:lang w:val="fr-FR"/>
        </w:rPr>
        <w:t>’</w:t>
      </w:r>
      <w:r w:rsidRPr="00C10619">
        <w:rPr>
          <w:lang w:val="fr-FR"/>
        </w:rPr>
        <w:t xml:space="preserve">auteur en vertu du Pacte. En ce qui concerne les </w:t>
      </w:r>
      <w:r>
        <w:rPr>
          <w:lang w:val="fr-FR"/>
        </w:rPr>
        <w:t>griefs</w:t>
      </w:r>
      <w:r w:rsidRPr="00C10619">
        <w:rPr>
          <w:lang w:val="fr-FR"/>
        </w:rPr>
        <w:t xml:space="preserve"> de violation de l</w:t>
      </w:r>
      <w:r w:rsidR="00864B14">
        <w:rPr>
          <w:lang w:val="fr-FR"/>
        </w:rPr>
        <w:t>’</w:t>
      </w:r>
      <w:r w:rsidRPr="00C10619">
        <w:rPr>
          <w:lang w:val="fr-FR"/>
        </w:rPr>
        <w:t>article</w:t>
      </w:r>
      <w:r w:rsidR="00013A9E">
        <w:rPr>
          <w:lang w:val="fr-FR"/>
        </w:rPr>
        <w:t xml:space="preserve"> </w:t>
      </w:r>
      <w:r w:rsidRPr="00C10619">
        <w:rPr>
          <w:lang w:val="fr-FR"/>
        </w:rPr>
        <w:t>6 du Pacte formulés par l</w:t>
      </w:r>
      <w:r w:rsidR="00864B14">
        <w:rPr>
          <w:lang w:val="fr-FR"/>
        </w:rPr>
        <w:t>’</w:t>
      </w:r>
      <w:r w:rsidRPr="00C10619">
        <w:rPr>
          <w:lang w:val="fr-FR"/>
        </w:rPr>
        <w:t>auteur, l</w:t>
      </w:r>
      <w:r w:rsidR="00864B14">
        <w:rPr>
          <w:lang w:val="fr-FR"/>
        </w:rPr>
        <w:t>’</w:t>
      </w:r>
      <w:r w:rsidRPr="00C10619">
        <w:rPr>
          <w:lang w:val="fr-FR"/>
        </w:rPr>
        <w:t xml:space="preserve">État partie fait valoir que la communication ne contient pas de motifs permettant de conclure à une violation du droit au travail, étant donné </w:t>
      </w:r>
      <w:r>
        <w:rPr>
          <w:lang w:val="fr-FR"/>
        </w:rPr>
        <w:t>que l</w:t>
      </w:r>
      <w:r w:rsidR="00864B14">
        <w:rPr>
          <w:lang w:val="fr-FR"/>
        </w:rPr>
        <w:t>’</w:t>
      </w:r>
      <w:r>
        <w:rPr>
          <w:lang w:val="fr-FR"/>
        </w:rPr>
        <w:t>auteur</w:t>
      </w:r>
      <w:r w:rsidRPr="00C10619">
        <w:rPr>
          <w:lang w:val="fr-FR"/>
        </w:rPr>
        <w:t xml:space="preserve"> a toujours été reconnu et </w:t>
      </w:r>
      <w:r>
        <w:rPr>
          <w:lang w:val="fr-FR"/>
        </w:rPr>
        <w:t xml:space="preserve">a </w:t>
      </w:r>
      <w:r w:rsidRPr="00C10619">
        <w:rPr>
          <w:lang w:val="fr-FR"/>
        </w:rPr>
        <w:t xml:space="preserve">exercé son droit </w:t>
      </w:r>
      <w:r>
        <w:rPr>
          <w:lang w:val="fr-FR"/>
        </w:rPr>
        <w:t>au travail</w:t>
      </w:r>
      <w:r w:rsidRPr="00C10619">
        <w:rPr>
          <w:lang w:val="fr-FR"/>
        </w:rPr>
        <w:t xml:space="preserve"> sans </w:t>
      </w:r>
      <w:r>
        <w:rPr>
          <w:lang w:val="fr-FR"/>
        </w:rPr>
        <w:t>aucune entrave</w:t>
      </w:r>
      <w:r w:rsidRPr="00C10619">
        <w:rPr>
          <w:lang w:val="fr-FR"/>
        </w:rPr>
        <w:t xml:space="preserve"> avant, après et pendant tout</w:t>
      </w:r>
      <w:r>
        <w:rPr>
          <w:lang w:val="fr-FR"/>
        </w:rPr>
        <w:t>es</w:t>
      </w:r>
      <w:r w:rsidRPr="00C10619">
        <w:rPr>
          <w:lang w:val="fr-FR"/>
        </w:rPr>
        <w:t xml:space="preserve"> </w:t>
      </w:r>
      <w:r>
        <w:rPr>
          <w:lang w:val="fr-FR"/>
        </w:rPr>
        <w:t xml:space="preserve">les années où il a été employé chez </w:t>
      </w:r>
      <w:r w:rsidRPr="00C10619">
        <w:rPr>
          <w:lang w:val="fr-FR"/>
        </w:rPr>
        <w:t xml:space="preserve">PETROECUADOR. </w:t>
      </w:r>
    </w:p>
    <w:p w:rsidR="00EE196F" w:rsidRPr="00F076EB" w:rsidRDefault="00EE196F" w:rsidP="00EE196F">
      <w:pPr>
        <w:pStyle w:val="SingleTxtG"/>
        <w:rPr>
          <w:lang w:val="fr-FR" w:eastAsia="es-EC"/>
        </w:rPr>
      </w:pPr>
      <w:r w:rsidRPr="004E484D">
        <w:rPr>
          <w:lang w:val="fr-FR"/>
        </w:rPr>
        <w:t xml:space="preserve">4.8 </w:t>
      </w:r>
      <w:r w:rsidRPr="004E484D">
        <w:rPr>
          <w:lang w:val="fr-FR"/>
        </w:rPr>
        <w:tab/>
        <w:t xml:space="preserve">La communication ne contient </w:t>
      </w:r>
      <w:r>
        <w:rPr>
          <w:lang w:val="fr-FR"/>
        </w:rPr>
        <w:t>aucun renseignement</w:t>
      </w:r>
      <w:r w:rsidRPr="004E484D">
        <w:rPr>
          <w:lang w:val="fr-FR"/>
        </w:rPr>
        <w:t xml:space="preserve"> </w:t>
      </w:r>
      <w:r>
        <w:rPr>
          <w:lang w:val="fr-FR"/>
        </w:rPr>
        <w:t>ni</w:t>
      </w:r>
      <w:r w:rsidRPr="004E484D">
        <w:rPr>
          <w:lang w:val="fr-FR"/>
        </w:rPr>
        <w:t xml:space="preserve"> argument </w:t>
      </w:r>
      <w:r>
        <w:rPr>
          <w:lang w:val="fr-FR"/>
        </w:rPr>
        <w:t>faisant apparaître</w:t>
      </w:r>
      <w:r w:rsidRPr="004E484D">
        <w:rPr>
          <w:lang w:val="fr-FR"/>
        </w:rPr>
        <w:t xml:space="preserve"> une violation de l</w:t>
      </w:r>
      <w:r w:rsidR="00864B14">
        <w:rPr>
          <w:lang w:val="fr-FR"/>
        </w:rPr>
        <w:t>’</w:t>
      </w:r>
      <w:r w:rsidRPr="004E484D">
        <w:rPr>
          <w:lang w:val="fr-FR"/>
        </w:rPr>
        <w:t>article</w:t>
      </w:r>
      <w:r w:rsidR="00864B14">
        <w:rPr>
          <w:lang w:val="fr-FR"/>
        </w:rPr>
        <w:t xml:space="preserve"> </w:t>
      </w:r>
      <w:r w:rsidRPr="004E484D">
        <w:rPr>
          <w:lang w:val="fr-FR"/>
        </w:rPr>
        <w:t>7 du Pacte. L</w:t>
      </w:r>
      <w:r w:rsidR="00864B14">
        <w:rPr>
          <w:lang w:val="fr-FR"/>
        </w:rPr>
        <w:t>’</w:t>
      </w:r>
      <w:r w:rsidRPr="004E484D">
        <w:rPr>
          <w:lang w:val="fr-FR"/>
        </w:rPr>
        <w:t>État partie se réfère aux mesures prises par PETROECUADOR en matière de sécurité et de santé au travail et fait valoir que le droit de l</w:t>
      </w:r>
      <w:r w:rsidR="00864B14">
        <w:rPr>
          <w:lang w:val="fr-FR"/>
        </w:rPr>
        <w:t>’</w:t>
      </w:r>
      <w:r w:rsidRPr="004E484D">
        <w:rPr>
          <w:lang w:val="fr-FR"/>
        </w:rPr>
        <w:t xml:space="preserve">auteur de jouir de conditions de travail justes et satisfaisantes a été garanti, en particulier son droit </w:t>
      </w:r>
      <w:r>
        <w:rPr>
          <w:lang w:val="fr-FR"/>
        </w:rPr>
        <w:t>de travailler</w:t>
      </w:r>
      <w:r w:rsidRPr="004E484D">
        <w:rPr>
          <w:lang w:val="fr-FR"/>
        </w:rPr>
        <w:t xml:space="preserve"> dans un environnement approprié et propice qui garanti</w:t>
      </w:r>
      <w:r>
        <w:rPr>
          <w:lang w:val="fr-FR"/>
        </w:rPr>
        <w:t>sse</w:t>
      </w:r>
      <w:r w:rsidRPr="004E484D">
        <w:rPr>
          <w:lang w:val="fr-FR"/>
        </w:rPr>
        <w:t xml:space="preserve"> sa sant</w:t>
      </w:r>
      <w:r>
        <w:rPr>
          <w:lang w:val="fr-FR"/>
        </w:rPr>
        <w:t>é, son intégrité et sa sécurité</w:t>
      </w:r>
      <w:r w:rsidRPr="004E484D">
        <w:rPr>
          <w:lang w:val="fr-FR"/>
        </w:rPr>
        <w:t xml:space="preserve">. </w:t>
      </w:r>
      <w:r w:rsidRPr="00DB4320">
        <w:rPr>
          <w:lang w:val="fr-FR"/>
        </w:rPr>
        <w:t>Il ajoute que</w:t>
      </w:r>
      <w:r>
        <w:rPr>
          <w:lang w:val="fr-FR"/>
        </w:rPr>
        <w:t xml:space="preserve"> d</w:t>
      </w:r>
      <w:r w:rsidR="00864B14">
        <w:rPr>
          <w:lang w:val="fr-FR"/>
        </w:rPr>
        <w:t>’</w:t>
      </w:r>
      <w:r>
        <w:rPr>
          <w:lang w:val="fr-FR"/>
        </w:rPr>
        <w:t>après</w:t>
      </w:r>
      <w:r w:rsidRPr="00DB4320">
        <w:rPr>
          <w:lang w:val="fr-FR"/>
        </w:rPr>
        <w:t xml:space="preserve"> l</w:t>
      </w:r>
      <w:r w:rsidR="00864B14">
        <w:rPr>
          <w:lang w:val="fr-FR"/>
        </w:rPr>
        <w:t>’</w:t>
      </w:r>
      <w:r w:rsidRPr="00DB4320">
        <w:rPr>
          <w:lang w:val="fr-FR"/>
        </w:rPr>
        <w:t>auteur</w:t>
      </w:r>
      <w:r>
        <w:rPr>
          <w:lang w:val="fr-FR"/>
        </w:rPr>
        <w:t xml:space="preserve">, </w:t>
      </w:r>
      <w:r w:rsidRPr="00DB4320">
        <w:rPr>
          <w:lang w:val="fr-FR"/>
        </w:rPr>
        <w:t xml:space="preserve">PETROECUADOR a violé ce droit en ne lui accordant </w:t>
      </w:r>
      <w:r>
        <w:rPr>
          <w:lang w:val="fr-FR"/>
        </w:rPr>
        <w:t>pas la prime</w:t>
      </w:r>
      <w:r w:rsidRPr="00DB4320">
        <w:rPr>
          <w:lang w:val="fr-FR"/>
        </w:rPr>
        <w:t xml:space="preserve"> de départ volontaire prévue dans la convention collective. Toutefois, </w:t>
      </w:r>
      <w:r>
        <w:rPr>
          <w:lang w:val="fr-FR"/>
        </w:rPr>
        <w:t>la Cour nationale de justice</w:t>
      </w:r>
      <w:r w:rsidRPr="00DB4320">
        <w:rPr>
          <w:lang w:val="fr-FR"/>
        </w:rPr>
        <w:t xml:space="preserve"> a établi </w:t>
      </w:r>
      <w:r>
        <w:rPr>
          <w:lang w:val="fr-FR"/>
        </w:rPr>
        <w:t>que</w:t>
      </w:r>
      <w:r w:rsidRPr="00DB4320">
        <w:rPr>
          <w:lang w:val="fr-FR"/>
        </w:rPr>
        <w:t xml:space="preserve"> l</w:t>
      </w:r>
      <w:r w:rsidR="00864B14">
        <w:rPr>
          <w:lang w:val="fr-FR"/>
        </w:rPr>
        <w:t>’</w:t>
      </w:r>
      <w:r w:rsidRPr="00DB4320">
        <w:rPr>
          <w:lang w:val="fr-FR"/>
        </w:rPr>
        <w:t xml:space="preserve">auteur </w:t>
      </w:r>
      <w:r>
        <w:rPr>
          <w:lang w:val="fr-FR"/>
        </w:rPr>
        <w:t xml:space="preserve">ayant présenté lui-même une demande </w:t>
      </w:r>
      <w:r w:rsidRPr="00DB4320">
        <w:rPr>
          <w:lang w:val="fr-FR"/>
        </w:rPr>
        <w:t xml:space="preserve">pour mettre fin à </w:t>
      </w:r>
      <w:r>
        <w:rPr>
          <w:lang w:val="fr-FR"/>
        </w:rPr>
        <w:t>sa</w:t>
      </w:r>
      <w:r w:rsidRPr="00DB4320">
        <w:rPr>
          <w:lang w:val="fr-FR"/>
        </w:rPr>
        <w:t xml:space="preserve"> relation de travail</w:t>
      </w:r>
      <w:r>
        <w:rPr>
          <w:lang w:val="fr-FR"/>
        </w:rPr>
        <w:t xml:space="preserve"> (</w:t>
      </w:r>
      <w:proofErr w:type="spellStart"/>
      <w:r w:rsidRPr="008B3AEB">
        <w:rPr>
          <w:i/>
          <w:lang w:val="fr-FR"/>
        </w:rPr>
        <w:t>desahucio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laboral</w:t>
      </w:r>
      <w:proofErr w:type="spellEnd"/>
      <w:r>
        <w:rPr>
          <w:lang w:val="fr-FR"/>
        </w:rPr>
        <w:t>)</w:t>
      </w:r>
      <w:r w:rsidRPr="00DB4320">
        <w:rPr>
          <w:lang w:val="fr-FR"/>
        </w:rPr>
        <w:t xml:space="preserve">, il </w:t>
      </w:r>
      <w:r>
        <w:rPr>
          <w:lang w:val="fr-FR"/>
        </w:rPr>
        <w:t>n</w:t>
      </w:r>
      <w:r w:rsidR="00864B14">
        <w:rPr>
          <w:lang w:val="fr-FR"/>
        </w:rPr>
        <w:t>’</w:t>
      </w:r>
      <w:r>
        <w:rPr>
          <w:lang w:val="fr-FR"/>
        </w:rPr>
        <w:t xml:space="preserve">avait pas le droit </w:t>
      </w:r>
      <w:r w:rsidRPr="00DB4320">
        <w:rPr>
          <w:lang w:val="fr-FR"/>
        </w:rPr>
        <w:t>d</w:t>
      </w:r>
      <w:r w:rsidR="00864B14">
        <w:rPr>
          <w:lang w:val="fr-FR"/>
        </w:rPr>
        <w:t>’</w:t>
      </w:r>
      <w:r w:rsidRPr="00DB4320">
        <w:rPr>
          <w:lang w:val="fr-FR"/>
        </w:rPr>
        <w:t xml:space="preserve">obtenir une </w:t>
      </w:r>
      <w:r>
        <w:rPr>
          <w:lang w:val="fr-FR"/>
        </w:rPr>
        <w:t>indemnité</w:t>
      </w:r>
      <w:r w:rsidRPr="00DB4320">
        <w:rPr>
          <w:lang w:val="fr-FR"/>
        </w:rPr>
        <w:t xml:space="preserve"> supplémentaire qui s</w:t>
      </w:r>
      <w:r w:rsidR="00864B14">
        <w:rPr>
          <w:lang w:val="fr-FR"/>
        </w:rPr>
        <w:t>’</w:t>
      </w:r>
      <w:r w:rsidRPr="00DB4320">
        <w:rPr>
          <w:lang w:val="fr-FR"/>
        </w:rPr>
        <w:t xml:space="preserve">appliquait </w:t>
      </w:r>
      <w:r>
        <w:rPr>
          <w:lang w:val="fr-FR"/>
        </w:rPr>
        <w:t>à la procédure de départ volontaire</w:t>
      </w:r>
      <w:r w:rsidRPr="00F076EB">
        <w:rPr>
          <w:lang w:val="fr-FR"/>
        </w:rPr>
        <w:t xml:space="preserve">. </w:t>
      </w:r>
    </w:p>
    <w:p w:rsidR="00EE196F" w:rsidRPr="00CA0B3E" w:rsidRDefault="00EE196F" w:rsidP="00EE196F">
      <w:pPr>
        <w:pStyle w:val="SingleTxtG"/>
        <w:rPr>
          <w:lang w:val="fr-FR"/>
        </w:rPr>
      </w:pPr>
      <w:r w:rsidRPr="005849BA">
        <w:rPr>
          <w:lang w:val="fr-FR"/>
        </w:rPr>
        <w:t xml:space="preserve">4.9 </w:t>
      </w:r>
      <w:r w:rsidRPr="005849BA">
        <w:rPr>
          <w:lang w:val="fr-FR"/>
        </w:rPr>
        <w:tab/>
        <w:t>En ce qui concerne les griefs que l</w:t>
      </w:r>
      <w:r w:rsidR="00864B14">
        <w:rPr>
          <w:lang w:val="fr-FR"/>
        </w:rPr>
        <w:t>’</w:t>
      </w:r>
      <w:r w:rsidRPr="005849BA">
        <w:rPr>
          <w:lang w:val="fr-FR"/>
        </w:rPr>
        <w:t>auteur tire de l</w:t>
      </w:r>
      <w:r w:rsidR="00864B14">
        <w:rPr>
          <w:lang w:val="fr-FR"/>
        </w:rPr>
        <w:t>’</w:t>
      </w:r>
      <w:r w:rsidRPr="005849BA">
        <w:rPr>
          <w:lang w:val="fr-FR"/>
        </w:rPr>
        <w:t>article</w:t>
      </w:r>
      <w:r w:rsidR="00013A9E">
        <w:rPr>
          <w:lang w:val="fr-FR"/>
        </w:rPr>
        <w:t xml:space="preserve"> </w:t>
      </w:r>
      <w:r w:rsidRPr="005849BA">
        <w:rPr>
          <w:lang w:val="fr-FR"/>
        </w:rPr>
        <w:t>12 du Pacte, l</w:t>
      </w:r>
      <w:r w:rsidR="00864B14">
        <w:rPr>
          <w:lang w:val="fr-FR"/>
        </w:rPr>
        <w:t>’</w:t>
      </w:r>
      <w:r w:rsidRPr="005849BA">
        <w:rPr>
          <w:lang w:val="fr-FR"/>
        </w:rPr>
        <w:t>É</w:t>
      </w:r>
      <w:r>
        <w:rPr>
          <w:lang w:val="fr-FR"/>
        </w:rPr>
        <w:t>tat partie note qu</w:t>
      </w:r>
      <w:r w:rsidR="00864B14">
        <w:rPr>
          <w:lang w:val="fr-FR"/>
        </w:rPr>
        <w:t>’</w:t>
      </w:r>
      <w:r>
        <w:rPr>
          <w:lang w:val="fr-FR"/>
        </w:rPr>
        <w:t>au sein de</w:t>
      </w:r>
      <w:r w:rsidRPr="005849BA">
        <w:rPr>
          <w:lang w:val="fr-FR"/>
        </w:rPr>
        <w:t xml:space="preserve"> PETROECUADOR</w:t>
      </w:r>
      <w:r w:rsidRPr="000C41A6">
        <w:rPr>
          <w:rStyle w:val="Appelnotedebasdep"/>
        </w:rPr>
        <w:footnoteReference w:id="3"/>
      </w:r>
      <w:r w:rsidRPr="005849BA">
        <w:rPr>
          <w:lang w:val="fr-FR"/>
        </w:rPr>
        <w:t xml:space="preserve">, il a toujours assuré des conditions adéquates de sécurité et de santé au travail et, partant, </w:t>
      </w:r>
      <w:r>
        <w:rPr>
          <w:lang w:val="fr-FR"/>
        </w:rPr>
        <w:t xml:space="preserve">garanti </w:t>
      </w:r>
      <w:r w:rsidRPr="005849BA">
        <w:rPr>
          <w:lang w:val="fr-FR"/>
        </w:rPr>
        <w:t>le droit de l</w:t>
      </w:r>
      <w:r w:rsidR="00864B14">
        <w:rPr>
          <w:lang w:val="fr-FR"/>
        </w:rPr>
        <w:t>’</w:t>
      </w:r>
      <w:r w:rsidRPr="005849BA">
        <w:rPr>
          <w:lang w:val="fr-FR"/>
        </w:rPr>
        <w:t xml:space="preserve">auteur </w:t>
      </w:r>
      <w:r>
        <w:rPr>
          <w:lang w:val="fr-FR"/>
        </w:rPr>
        <w:t xml:space="preserve">au meilleur état </w:t>
      </w:r>
      <w:r w:rsidRPr="005849BA">
        <w:rPr>
          <w:lang w:val="fr-FR"/>
        </w:rPr>
        <w:t>de santé physique et mentale</w:t>
      </w:r>
      <w:r>
        <w:rPr>
          <w:lang w:val="fr-FR"/>
        </w:rPr>
        <w:t xml:space="preserve"> possible</w:t>
      </w:r>
      <w:r w:rsidRPr="005849BA">
        <w:rPr>
          <w:lang w:val="fr-FR"/>
        </w:rPr>
        <w:t xml:space="preserve">. </w:t>
      </w:r>
      <w:r>
        <w:rPr>
          <w:lang w:val="fr-FR"/>
        </w:rPr>
        <w:t xml:space="preserve">À </w:t>
      </w:r>
      <w:r w:rsidRPr="005849BA">
        <w:rPr>
          <w:lang w:val="fr-FR"/>
        </w:rPr>
        <w:t xml:space="preserve">cet égard, il souligne que </w:t>
      </w:r>
      <w:r>
        <w:rPr>
          <w:lang w:val="fr-FR"/>
        </w:rPr>
        <w:t>durant ses années de service chez</w:t>
      </w:r>
      <w:r w:rsidRPr="005849BA">
        <w:rPr>
          <w:lang w:val="fr-FR"/>
        </w:rPr>
        <w:t xml:space="preserve"> PETROECUADOR</w:t>
      </w:r>
      <w:r>
        <w:rPr>
          <w:lang w:val="fr-FR"/>
        </w:rPr>
        <w:t>, l</w:t>
      </w:r>
      <w:r w:rsidR="00864B14">
        <w:rPr>
          <w:lang w:val="fr-FR"/>
        </w:rPr>
        <w:t>’</w:t>
      </w:r>
      <w:r>
        <w:rPr>
          <w:lang w:val="fr-FR"/>
        </w:rPr>
        <w:t>auteur</w:t>
      </w:r>
      <w:r w:rsidRPr="005849BA">
        <w:rPr>
          <w:lang w:val="fr-FR"/>
        </w:rPr>
        <w:t xml:space="preserve"> a </w:t>
      </w:r>
      <w:r>
        <w:rPr>
          <w:lang w:val="fr-FR"/>
        </w:rPr>
        <w:t xml:space="preserve">passé régulièrement </w:t>
      </w:r>
      <w:r w:rsidRPr="005849BA">
        <w:rPr>
          <w:lang w:val="fr-FR"/>
        </w:rPr>
        <w:t xml:space="preserve">des </w:t>
      </w:r>
      <w:r>
        <w:rPr>
          <w:lang w:val="fr-FR"/>
        </w:rPr>
        <w:t>visites</w:t>
      </w:r>
      <w:r w:rsidRPr="005849BA">
        <w:rPr>
          <w:lang w:val="fr-FR"/>
        </w:rPr>
        <w:t xml:space="preserve"> médicales </w:t>
      </w:r>
      <w:r>
        <w:rPr>
          <w:lang w:val="fr-FR"/>
        </w:rPr>
        <w:t>entre</w:t>
      </w:r>
      <w:r w:rsidRPr="005849BA">
        <w:rPr>
          <w:lang w:val="fr-FR"/>
        </w:rPr>
        <w:t xml:space="preserve"> 1977 </w:t>
      </w:r>
      <w:r>
        <w:rPr>
          <w:lang w:val="fr-FR"/>
        </w:rPr>
        <w:t>et</w:t>
      </w:r>
      <w:r w:rsidRPr="005849BA">
        <w:rPr>
          <w:lang w:val="fr-FR"/>
        </w:rPr>
        <w:t xml:space="preserve"> 2005, </w:t>
      </w:r>
      <w:r>
        <w:rPr>
          <w:lang w:val="fr-FR"/>
        </w:rPr>
        <w:t>à l</w:t>
      </w:r>
      <w:r w:rsidR="00864B14">
        <w:rPr>
          <w:lang w:val="fr-FR"/>
        </w:rPr>
        <w:t>’</w:t>
      </w:r>
      <w:r>
        <w:rPr>
          <w:lang w:val="fr-FR"/>
        </w:rPr>
        <w:t>instar</w:t>
      </w:r>
      <w:r w:rsidRPr="005849BA">
        <w:rPr>
          <w:lang w:val="fr-FR"/>
        </w:rPr>
        <w:t xml:space="preserve"> des </w:t>
      </w:r>
      <w:r>
        <w:rPr>
          <w:lang w:val="fr-FR"/>
        </w:rPr>
        <w:t>autres employés</w:t>
      </w:r>
      <w:r w:rsidRPr="00CA0B3E">
        <w:rPr>
          <w:lang w:val="fr-FR"/>
        </w:rPr>
        <w:t>.</w:t>
      </w:r>
    </w:p>
    <w:p w:rsidR="00EE196F" w:rsidRPr="00B852C4" w:rsidRDefault="00EE196F" w:rsidP="00EE196F">
      <w:pPr>
        <w:pStyle w:val="SingleTxtG"/>
        <w:rPr>
          <w:lang w:val="fr-FR"/>
        </w:rPr>
      </w:pPr>
      <w:r w:rsidRPr="00D8792C">
        <w:rPr>
          <w:lang w:val="fr-FR"/>
        </w:rPr>
        <w:t>4.10</w:t>
      </w:r>
      <w:r w:rsidRPr="00D8792C">
        <w:rPr>
          <w:lang w:val="fr-FR"/>
        </w:rPr>
        <w:tab/>
        <w:t xml:space="preserve">En ce qui concerne </w:t>
      </w:r>
      <w:r>
        <w:rPr>
          <w:lang w:val="fr-FR"/>
        </w:rPr>
        <w:t>le grief</w:t>
      </w:r>
      <w:r w:rsidRPr="00D8792C">
        <w:rPr>
          <w:lang w:val="fr-FR"/>
        </w:rPr>
        <w:t xml:space="preserve"> de l</w:t>
      </w:r>
      <w:r w:rsidR="00864B14">
        <w:rPr>
          <w:lang w:val="fr-FR"/>
        </w:rPr>
        <w:t>’</w:t>
      </w:r>
      <w:r w:rsidRPr="00D8792C">
        <w:rPr>
          <w:lang w:val="fr-FR"/>
        </w:rPr>
        <w:t xml:space="preserve">auteur selon </w:t>
      </w:r>
      <w:r>
        <w:rPr>
          <w:lang w:val="fr-FR"/>
        </w:rPr>
        <w:t>lequel</w:t>
      </w:r>
      <w:r w:rsidRPr="00D8792C">
        <w:rPr>
          <w:lang w:val="fr-FR"/>
        </w:rPr>
        <w:t xml:space="preserve"> il </w:t>
      </w:r>
      <w:r>
        <w:rPr>
          <w:lang w:val="fr-FR"/>
        </w:rPr>
        <w:t>a</w:t>
      </w:r>
      <w:r w:rsidRPr="00D8792C">
        <w:rPr>
          <w:lang w:val="fr-FR"/>
        </w:rPr>
        <w:t xml:space="preserve"> été exposé à des substances nocives, l</w:t>
      </w:r>
      <w:r w:rsidR="00864B14">
        <w:rPr>
          <w:lang w:val="fr-FR"/>
        </w:rPr>
        <w:t>’</w:t>
      </w:r>
      <w:r w:rsidRPr="00D8792C">
        <w:rPr>
          <w:lang w:val="fr-FR"/>
        </w:rPr>
        <w:t xml:space="preserve">État partie fait observer que, </w:t>
      </w:r>
      <w:r>
        <w:rPr>
          <w:lang w:val="fr-FR"/>
        </w:rPr>
        <w:t>lors</w:t>
      </w:r>
      <w:r w:rsidRPr="00D8792C">
        <w:rPr>
          <w:lang w:val="fr-FR"/>
        </w:rPr>
        <w:t>qu</w:t>
      </w:r>
      <w:r w:rsidR="00864B14">
        <w:rPr>
          <w:lang w:val="fr-FR"/>
        </w:rPr>
        <w:t>’</w:t>
      </w:r>
      <w:r w:rsidRPr="00D8792C">
        <w:rPr>
          <w:lang w:val="fr-FR"/>
        </w:rPr>
        <w:t xml:space="preserve">il travaillait </w:t>
      </w:r>
      <w:r>
        <w:rPr>
          <w:lang w:val="fr-FR"/>
        </w:rPr>
        <w:t>chez</w:t>
      </w:r>
      <w:r w:rsidRPr="00D8792C">
        <w:rPr>
          <w:lang w:val="fr-FR"/>
        </w:rPr>
        <w:t xml:space="preserve"> PETROECUADOR, en particulier </w:t>
      </w:r>
      <w:r>
        <w:rPr>
          <w:lang w:val="fr-FR"/>
        </w:rPr>
        <w:t>dans</w:t>
      </w:r>
      <w:r w:rsidRPr="00D8792C">
        <w:rPr>
          <w:lang w:val="fr-FR"/>
        </w:rPr>
        <w:t xml:space="preserve"> la raffinerie d</w:t>
      </w:r>
      <w:r w:rsidR="00864B14">
        <w:rPr>
          <w:lang w:val="fr-FR"/>
        </w:rPr>
        <w:t>’</w:t>
      </w:r>
      <w:r w:rsidRPr="00D8792C">
        <w:rPr>
          <w:lang w:val="fr-FR"/>
        </w:rPr>
        <w:t>Esmeraldas, l</w:t>
      </w:r>
      <w:r w:rsidR="00864B14">
        <w:rPr>
          <w:lang w:val="fr-FR"/>
        </w:rPr>
        <w:t>’</w:t>
      </w:r>
      <w:r w:rsidRPr="00D8792C">
        <w:rPr>
          <w:lang w:val="fr-FR"/>
        </w:rPr>
        <w:t xml:space="preserve">auteur </w:t>
      </w:r>
      <w:r>
        <w:rPr>
          <w:lang w:val="fr-FR"/>
        </w:rPr>
        <w:t>exerçait principalement</w:t>
      </w:r>
      <w:r w:rsidRPr="00D8792C">
        <w:rPr>
          <w:lang w:val="fr-FR"/>
        </w:rPr>
        <w:t xml:space="preserve"> </w:t>
      </w:r>
      <w:r>
        <w:rPr>
          <w:lang w:val="fr-FR"/>
        </w:rPr>
        <w:t>d</w:t>
      </w:r>
      <w:r w:rsidRPr="00D8792C">
        <w:rPr>
          <w:lang w:val="fr-FR"/>
        </w:rPr>
        <w:t xml:space="preserve">es fonctions administratives, dans le domaine des ressources humaines </w:t>
      </w:r>
      <w:r>
        <w:rPr>
          <w:lang w:val="fr-FR"/>
        </w:rPr>
        <w:t>et de la formation du personnel</w:t>
      </w:r>
      <w:r w:rsidRPr="002E6B63">
        <w:rPr>
          <w:lang w:val="fr-FR"/>
        </w:rPr>
        <w:t>. Il souligne que l</w:t>
      </w:r>
      <w:r w:rsidR="00864B14">
        <w:rPr>
          <w:lang w:val="fr-FR"/>
        </w:rPr>
        <w:t>’</w:t>
      </w:r>
      <w:r w:rsidRPr="002E6B63">
        <w:rPr>
          <w:lang w:val="fr-FR"/>
        </w:rPr>
        <w:t>auteur affirme lui-même qu</w:t>
      </w:r>
      <w:r w:rsidR="00864B14">
        <w:rPr>
          <w:lang w:val="fr-FR"/>
        </w:rPr>
        <w:t>’</w:t>
      </w:r>
      <w:r w:rsidRPr="002E6B63">
        <w:rPr>
          <w:lang w:val="fr-FR"/>
        </w:rPr>
        <w:t>il a commencé à manifester des symptômes de la maladie de Parkinson à 74</w:t>
      </w:r>
      <w:r>
        <w:rPr>
          <w:lang w:val="fr-FR"/>
        </w:rPr>
        <w:t> </w:t>
      </w:r>
      <w:r w:rsidRPr="002E6B63">
        <w:rPr>
          <w:lang w:val="fr-FR"/>
        </w:rPr>
        <w:t xml:space="preserve">ans, soit sept ans après avoir quitté PETROECUADOR, et </w:t>
      </w:r>
      <w:r w:rsidRPr="002E6B63">
        <w:rPr>
          <w:lang w:val="fr-FR"/>
        </w:rPr>
        <w:lastRenderedPageBreak/>
        <w:t>que dans son cas</w:t>
      </w:r>
      <w:r>
        <w:rPr>
          <w:lang w:val="fr-FR"/>
        </w:rPr>
        <w:t>,</w:t>
      </w:r>
      <w:r w:rsidRPr="002E6B63">
        <w:rPr>
          <w:lang w:val="fr-FR"/>
        </w:rPr>
        <w:t xml:space="preserve"> il n</w:t>
      </w:r>
      <w:r w:rsidR="00864B14">
        <w:rPr>
          <w:lang w:val="fr-FR"/>
        </w:rPr>
        <w:t>’</w:t>
      </w:r>
      <w:r w:rsidRPr="002E6B63">
        <w:rPr>
          <w:lang w:val="fr-FR"/>
        </w:rPr>
        <w:t>est pas possible d</w:t>
      </w:r>
      <w:r w:rsidR="00864B14">
        <w:rPr>
          <w:lang w:val="fr-FR"/>
        </w:rPr>
        <w:t>’</w:t>
      </w:r>
      <w:r w:rsidRPr="002E6B63">
        <w:rPr>
          <w:lang w:val="fr-FR"/>
        </w:rPr>
        <w:t>établir un lien entre l</w:t>
      </w:r>
      <w:r w:rsidR="00864B14">
        <w:rPr>
          <w:lang w:val="fr-FR"/>
        </w:rPr>
        <w:t>’</w:t>
      </w:r>
      <w:r w:rsidRPr="002E6B63">
        <w:rPr>
          <w:lang w:val="fr-FR"/>
        </w:rPr>
        <w:t>apparition de cette maladie et ses activités professionnelles, puisque celles-ci étaient de nature administrative</w:t>
      </w:r>
      <w:r>
        <w:rPr>
          <w:lang w:val="fr-FR"/>
        </w:rPr>
        <w:t>,</w:t>
      </w:r>
      <w:r w:rsidRPr="002E6B63">
        <w:rPr>
          <w:lang w:val="fr-FR"/>
        </w:rPr>
        <w:t xml:space="preserve"> et qu</w:t>
      </w:r>
      <w:r w:rsidR="00864B14">
        <w:rPr>
          <w:lang w:val="fr-FR"/>
        </w:rPr>
        <w:t>’</w:t>
      </w:r>
      <w:r w:rsidRPr="002E6B63">
        <w:rPr>
          <w:lang w:val="fr-FR"/>
        </w:rPr>
        <w:t>il n</w:t>
      </w:r>
      <w:r w:rsidR="00864B14">
        <w:rPr>
          <w:lang w:val="fr-FR"/>
        </w:rPr>
        <w:t>’</w:t>
      </w:r>
      <w:r w:rsidRPr="002E6B63">
        <w:rPr>
          <w:lang w:val="fr-FR"/>
        </w:rPr>
        <w:t xml:space="preserve">a pas été exposé à des substances pouvant </w:t>
      </w:r>
      <w:r>
        <w:rPr>
          <w:lang w:val="fr-FR"/>
        </w:rPr>
        <w:t>influer sur</w:t>
      </w:r>
      <w:r w:rsidRPr="002E6B63">
        <w:rPr>
          <w:lang w:val="fr-FR"/>
        </w:rPr>
        <w:t xml:space="preserve"> l</w:t>
      </w:r>
      <w:r w:rsidR="00864B14">
        <w:rPr>
          <w:lang w:val="fr-FR"/>
        </w:rPr>
        <w:t>’</w:t>
      </w:r>
      <w:r w:rsidRPr="002E6B63">
        <w:rPr>
          <w:lang w:val="fr-FR"/>
        </w:rPr>
        <w:t>apparition de cette maladie</w:t>
      </w:r>
      <w:r w:rsidRPr="000C41A6">
        <w:rPr>
          <w:rStyle w:val="Appelnotedebasdep"/>
        </w:rPr>
        <w:footnoteReference w:id="4"/>
      </w:r>
      <w:r w:rsidRPr="002E6B63">
        <w:rPr>
          <w:lang w:val="fr-FR"/>
        </w:rPr>
        <w:t xml:space="preserve">. </w:t>
      </w:r>
      <w:r w:rsidRPr="00B852C4">
        <w:rPr>
          <w:lang w:val="fr-FR"/>
        </w:rPr>
        <w:t>En ce qui concerne la déficience auditive de l</w:t>
      </w:r>
      <w:r w:rsidR="00864B14">
        <w:rPr>
          <w:lang w:val="fr-FR"/>
        </w:rPr>
        <w:t>’</w:t>
      </w:r>
      <w:r w:rsidRPr="00B852C4">
        <w:rPr>
          <w:lang w:val="fr-FR"/>
        </w:rPr>
        <w:t>auteur, l</w:t>
      </w:r>
      <w:r w:rsidR="00864B14">
        <w:rPr>
          <w:lang w:val="fr-FR"/>
        </w:rPr>
        <w:t>’</w:t>
      </w:r>
      <w:r w:rsidRPr="00B852C4">
        <w:rPr>
          <w:lang w:val="fr-FR"/>
        </w:rPr>
        <w:t>État partie se réfère aux résultats des tests d</w:t>
      </w:r>
      <w:r w:rsidR="00864B14">
        <w:rPr>
          <w:lang w:val="fr-FR"/>
        </w:rPr>
        <w:t>’</w:t>
      </w:r>
      <w:r w:rsidRPr="00B852C4">
        <w:rPr>
          <w:lang w:val="fr-FR"/>
        </w:rPr>
        <w:t>audiométrie qui ont permis d</w:t>
      </w:r>
      <w:r w:rsidR="00864B14">
        <w:rPr>
          <w:lang w:val="fr-FR"/>
        </w:rPr>
        <w:t>’</w:t>
      </w:r>
      <w:r w:rsidRPr="00B852C4">
        <w:rPr>
          <w:lang w:val="fr-FR"/>
        </w:rPr>
        <w:t xml:space="preserve">établir une presbyacousie ou déficience auditive </w:t>
      </w:r>
      <w:r>
        <w:rPr>
          <w:lang w:val="fr-FR"/>
        </w:rPr>
        <w:t>due</w:t>
      </w:r>
      <w:r w:rsidRPr="00B852C4">
        <w:rPr>
          <w:lang w:val="fr-FR"/>
        </w:rPr>
        <w:t xml:space="preserve"> à l</w:t>
      </w:r>
      <w:r w:rsidR="00864B14">
        <w:rPr>
          <w:lang w:val="fr-FR"/>
        </w:rPr>
        <w:t>’</w:t>
      </w:r>
      <w:r w:rsidRPr="00B852C4">
        <w:rPr>
          <w:lang w:val="fr-FR"/>
        </w:rPr>
        <w:t xml:space="preserve">âge et </w:t>
      </w:r>
      <w:r>
        <w:rPr>
          <w:lang w:val="fr-FR"/>
        </w:rPr>
        <w:t xml:space="preserve">fait observer </w:t>
      </w:r>
      <w:r w:rsidRPr="00B852C4">
        <w:rPr>
          <w:lang w:val="fr-FR"/>
        </w:rPr>
        <w:t>qu</w:t>
      </w:r>
      <w:r w:rsidR="00864B14">
        <w:rPr>
          <w:lang w:val="fr-FR"/>
        </w:rPr>
        <w:t>’</w:t>
      </w:r>
      <w:r w:rsidRPr="00B852C4">
        <w:rPr>
          <w:lang w:val="fr-FR"/>
        </w:rPr>
        <w:t xml:space="preserve">il </w:t>
      </w:r>
      <w:r>
        <w:rPr>
          <w:lang w:val="fr-FR"/>
        </w:rPr>
        <w:t>s</w:t>
      </w:r>
      <w:r w:rsidR="00864B14">
        <w:rPr>
          <w:lang w:val="fr-FR"/>
        </w:rPr>
        <w:t>’</w:t>
      </w:r>
      <w:r>
        <w:rPr>
          <w:lang w:val="fr-FR"/>
        </w:rPr>
        <w:t>agit</w:t>
      </w:r>
      <w:r w:rsidRPr="00B852C4">
        <w:rPr>
          <w:lang w:val="fr-FR"/>
        </w:rPr>
        <w:t xml:space="preserve"> d</w:t>
      </w:r>
      <w:r w:rsidR="00864B14">
        <w:rPr>
          <w:lang w:val="fr-FR"/>
        </w:rPr>
        <w:t>’</w:t>
      </w:r>
      <w:r w:rsidRPr="00B852C4">
        <w:rPr>
          <w:lang w:val="fr-FR"/>
        </w:rPr>
        <w:t>une maladie neurodégénérative, répandue dans la population âgée de 55</w:t>
      </w:r>
      <w:r>
        <w:rPr>
          <w:lang w:val="fr-FR"/>
        </w:rPr>
        <w:t> </w:t>
      </w:r>
      <w:r w:rsidRPr="00B852C4">
        <w:rPr>
          <w:lang w:val="fr-FR"/>
        </w:rPr>
        <w:t xml:space="preserve">ans et plus, en raison de facteurs génétiques et héréditaires. </w:t>
      </w:r>
    </w:p>
    <w:p w:rsidR="00EE196F" w:rsidRPr="00B74B50" w:rsidRDefault="00EE196F" w:rsidP="00EE196F">
      <w:pPr>
        <w:pStyle w:val="H23G"/>
        <w:rPr>
          <w:lang w:val="fr-FR"/>
        </w:rPr>
      </w:pPr>
      <w:r w:rsidRPr="00B852C4">
        <w:rPr>
          <w:lang w:val="fr-FR"/>
        </w:rPr>
        <w:tab/>
      </w:r>
      <w:r w:rsidRPr="00B852C4">
        <w:rPr>
          <w:lang w:val="fr-FR"/>
        </w:rPr>
        <w:tab/>
      </w:r>
      <w:r w:rsidRPr="00B74B50">
        <w:rPr>
          <w:lang w:val="fr-FR"/>
        </w:rPr>
        <w:t>Commentaires de l</w:t>
      </w:r>
      <w:r w:rsidR="00864B14">
        <w:rPr>
          <w:lang w:val="fr-FR"/>
        </w:rPr>
        <w:t>’</w:t>
      </w:r>
      <w:r w:rsidRPr="00B74B50">
        <w:rPr>
          <w:lang w:val="fr-FR"/>
        </w:rPr>
        <w:t>auteur sur les observations de l</w:t>
      </w:r>
      <w:r w:rsidR="00864B14">
        <w:rPr>
          <w:lang w:val="fr-FR"/>
        </w:rPr>
        <w:t>’</w:t>
      </w:r>
      <w:r w:rsidRPr="00B74B50">
        <w:rPr>
          <w:lang w:val="fr-FR"/>
        </w:rPr>
        <w:t xml:space="preserve">État partie </w:t>
      </w:r>
    </w:p>
    <w:p w:rsidR="00EE196F" w:rsidRPr="00E96DF2" w:rsidRDefault="00EE196F" w:rsidP="00EE196F">
      <w:pPr>
        <w:pStyle w:val="SingleTxtG"/>
        <w:rPr>
          <w:lang w:val="fr-FR"/>
        </w:rPr>
      </w:pPr>
      <w:r w:rsidRPr="00E96DF2">
        <w:rPr>
          <w:lang w:val="fr-FR"/>
        </w:rPr>
        <w:t xml:space="preserve">5.1 </w:t>
      </w:r>
      <w:r w:rsidRPr="00E96DF2">
        <w:rPr>
          <w:lang w:val="fr-FR"/>
        </w:rPr>
        <w:tab/>
      </w:r>
      <w:r>
        <w:rPr>
          <w:lang w:val="fr-FR"/>
        </w:rPr>
        <w:t>Dans des lettres</w:t>
      </w:r>
      <w:r w:rsidRPr="00E96DF2">
        <w:rPr>
          <w:lang w:val="fr-FR"/>
        </w:rPr>
        <w:t xml:space="preserve"> datée</w:t>
      </w:r>
      <w:r>
        <w:rPr>
          <w:lang w:val="fr-FR"/>
        </w:rPr>
        <w:t>s</w:t>
      </w:r>
      <w:r w:rsidRPr="00E96DF2">
        <w:rPr>
          <w:lang w:val="fr-FR"/>
        </w:rPr>
        <w:t xml:space="preserve"> des 11</w:t>
      </w:r>
      <w:r w:rsidR="00013A9E">
        <w:rPr>
          <w:lang w:val="fr-FR"/>
        </w:rPr>
        <w:t> </w:t>
      </w:r>
      <w:r w:rsidRPr="00E96DF2">
        <w:rPr>
          <w:lang w:val="fr-FR"/>
        </w:rPr>
        <w:t>juillet 2016 et 23</w:t>
      </w:r>
      <w:r w:rsidR="00013A9E">
        <w:rPr>
          <w:lang w:val="fr-FR"/>
        </w:rPr>
        <w:t> </w:t>
      </w:r>
      <w:r w:rsidRPr="00E96DF2">
        <w:rPr>
          <w:lang w:val="fr-FR"/>
        </w:rPr>
        <w:t>janvier 2017, l</w:t>
      </w:r>
      <w:r w:rsidR="00864B14">
        <w:rPr>
          <w:lang w:val="fr-FR"/>
        </w:rPr>
        <w:t>’</w:t>
      </w:r>
      <w:r w:rsidRPr="00E96DF2">
        <w:rPr>
          <w:lang w:val="fr-FR"/>
        </w:rPr>
        <w:t xml:space="preserve">auteur a présenté ses </w:t>
      </w:r>
      <w:r>
        <w:rPr>
          <w:lang w:val="fr-FR"/>
        </w:rPr>
        <w:t>commentaires</w:t>
      </w:r>
      <w:r w:rsidRPr="00E96DF2">
        <w:rPr>
          <w:lang w:val="fr-FR"/>
        </w:rPr>
        <w:t xml:space="preserve"> sur les observations de l</w:t>
      </w:r>
      <w:r w:rsidR="00864B14">
        <w:rPr>
          <w:lang w:val="fr-FR"/>
        </w:rPr>
        <w:t>’</w:t>
      </w:r>
      <w:r w:rsidRPr="00E96DF2">
        <w:rPr>
          <w:lang w:val="fr-FR"/>
        </w:rPr>
        <w:t xml:space="preserve">État partie, réitéré ses </w:t>
      </w:r>
      <w:r>
        <w:rPr>
          <w:lang w:val="fr-FR"/>
        </w:rPr>
        <w:t>griefs</w:t>
      </w:r>
      <w:r w:rsidRPr="00E96DF2">
        <w:rPr>
          <w:lang w:val="fr-FR"/>
        </w:rPr>
        <w:t xml:space="preserve"> de violation du Pacte et déclaré que la communication était conforme à toutes les conditions de recevabilité énoncé</w:t>
      </w:r>
      <w:r>
        <w:rPr>
          <w:lang w:val="fr-FR"/>
        </w:rPr>
        <w:t>es dans le Protocole facultatif</w:t>
      </w:r>
      <w:r w:rsidRPr="00E96DF2">
        <w:rPr>
          <w:lang w:val="fr-FR"/>
        </w:rPr>
        <w:t>.</w:t>
      </w:r>
    </w:p>
    <w:p w:rsidR="00EE196F" w:rsidRPr="00B6374B" w:rsidRDefault="00013A9E" w:rsidP="00EE196F">
      <w:pPr>
        <w:spacing w:after="120"/>
        <w:ind w:left="1134" w:right="1134"/>
        <w:jc w:val="both"/>
        <w:rPr>
          <w:lang w:val="fr-FR"/>
        </w:rPr>
      </w:pPr>
      <w:r>
        <w:rPr>
          <w:lang w:val="fr-FR"/>
        </w:rPr>
        <w:t>5.2.</w:t>
      </w:r>
      <w:r w:rsidR="00EE196F" w:rsidRPr="00765C28">
        <w:rPr>
          <w:lang w:val="fr-FR"/>
        </w:rPr>
        <w:tab/>
      </w:r>
      <w:r w:rsidR="00EE196F" w:rsidRPr="00AD4CBF">
        <w:rPr>
          <w:lang w:val="fr-FR"/>
        </w:rPr>
        <w:t>L</w:t>
      </w:r>
      <w:r w:rsidR="00864B14">
        <w:rPr>
          <w:lang w:val="fr-FR"/>
        </w:rPr>
        <w:t>’</w:t>
      </w:r>
      <w:r w:rsidR="00EE196F" w:rsidRPr="00AD4CBF">
        <w:rPr>
          <w:lang w:val="fr-FR"/>
        </w:rPr>
        <w:t>auteur fait valoir qu</w:t>
      </w:r>
      <w:r w:rsidR="00864B14">
        <w:rPr>
          <w:lang w:val="fr-FR"/>
        </w:rPr>
        <w:t>’</w:t>
      </w:r>
      <w:r w:rsidR="00EE196F" w:rsidRPr="00AD4CBF">
        <w:rPr>
          <w:lang w:val="fr-FR"/>
        </w:rPr>
        <w:t xml:space="preserve">en droit équatorien, le </w:t>
      </w:r>
      <w:proofErr w:type="spellStart"/>
      <w:r w:rsidR="00EE196F" w:rsidRPr="008B3AEB">
        <w:rPr>
          <w:i/>
          <w:lang w:val="fr-FR"/>
        </w:rPr>
        <w:t>desahucio</w:t>
      </w:r>
      <w:proofErr w:type="spellEnd"/>
      <w:r w:rsidR="00EE196F">
        <w:rPr>
          <w:i/>
          <w:lang w:val="fr-FR"/>
        </w:rPr>
        <w:t xml:space="preserve"> </w:t>
      </w:r>
      <w:proofErr w:type="spellStart"/>
      <w:r w:rsidR="00EE196F">
        <w:rPr>
          <w:i/>
          <w:lang w:val="fr-FR"/>
        </w:rPr>
        <w:t>laboral</w:t>
      </w:r>
      <w:proofErr w:type="spellEnd"/>
      <w:r w:rsidR="00EE196F" w:rsidRPr="00AD4CBF">
        <w:rPr>
          <w:lang w:val="fr-FR"/>
        </w:rPr>
        <w:t xml:space="preserve"> est une décision unilatérale et volontaire du travailleur de mettre fin à la relation de travail</w:t>
      </w:r>
      <w:r w:rsidR="00EE196F" w:rsidRPr="000C41A6">
        <w:rPr>
          <w:rStyle w:val="Appelnotedebasdep"/>
        </w:rPr>
        <w:footnoteReference w:id="5"/>
      </w:r>
      <w:r>
        <w:rPr>
          <w:lang w:val="fr-FR"/>
        </w:rPr>
        <w:t xml:space="preserve"> </w:t>
      </w:r>
      <w:r w:rsidR="00EE196F" w:rsidRPr="00AD4CBF">
        <w:rPr>
          <w:lang w:val="fr-FR"/>
        </w:rPr>
        <w:t>et que, conformément à l</w:t>
      </w:r>
      <w:r w:rsidR="00864B14">
        <w:rPr>
          <w:lang w:val="fr-FR"/>
        </w:rPr>
        <w:t>’</w:t>
      </w:r>
      <w:r w:rsidR="00EE196F" w:rsidRPr="00AD4CBF">
        <w:rPr>
          <w:lang w:val="fr-FR"/>
        </w:rPr>
        <w:t>article</w:t>
      </w:r>
      <w:r>
        <w:rPr>
          <w:lang w:val="fr-FR"/>
        </w:rPr>
        <w:t xml:space="preserve"> </w:t>
      </w:r>
      <w:r w:rsidR="00EE196F" w:rsidRPr="00AD4CBF">
        <w:rPr>
          <w:lang w:val="fr-FR"/>
        </w:rPr>
        <w:t>14 de la convention collective,</w:t>
      </w:r>
      <w:r w:rsidR="00EE196F">
        <w:rPr>
          <w:lang w:val="fr-FR"/>
        </w:rPr>
        <w:t xml:space="preserve"> </w:t>
      </w:r>
      <w:r w:rsidR="00EE196F" w:rsidRPr="00AD4CBF">
        <w:rPr>
          <w:lang w:val="fr-FR"/>
        </w:rPr>
        <w:t>le travailleur qui se sépare volontairement de l</w:t>
      </w:r>
      <w:r w:rsidR="00864B14">
        <w:rPr>
          <w:lang w:val="fr-FR"/>
        </w:rPr>
        <w:t>’</w:t>
      </w:r>
      <w:r w:rsidR="00EE196F" w:rsidRPr="00AD4CBF">
        <w:rPr>
          <w:lang w:val="fr-FR"/>
        </w:rPr>
        <w:t xml:space="preserve">entreprise </w:t>
      </w:r>
      <w:r w:rsidR="00EE196F">
        <w:rPr>
          <w:lang w:val="fr-FR"/>
        </w:rPr>
        <w:t>perçoit</w:t>
      </w:r>
      <w:r w:rsidR="00EE196F" w:rsidRPr="00AD4CBF">
        <w:rPr>
          <w:lang w:val="fr-FR"/>
        </w:rPr>
        <w:t xml:space="preserve"> une </w:t>
      </w:r>
      <w:r w:rsidR="00EE196F">
        <w:rPr>
          <w:lang w:val="fr-FR"/>
        </w:rPr>
        <w:t>indemnité</w:t>
      </w:r>
      <w:r w:rsidR="00EE196F" w:rsidRPr="00AD4CBF">
        <w:rPr>
          <w:lang w:val="fr-FR"/>
        </w:rPr>
        <w:t xml:space="preserve">. Par conséquent, </w:t>
      </w:r>
      <w:r w:rsidR="00EE196F">
        <w:rPr>
          <w:lang w:val="fr-FR"/>
        </w:rPr>
        <w:t xml:space="preserve">le </w:t>
      </w:r>
      <w:proofErr w:type="spellStart"/>
      <w:r w:rsidR="00EE196F" w:rsidRPr="008B3AEB">
        <w:rPr>
          <w:i/>
          <w:lang w:val="fr-FR"/>
        </w:rPr>
        <w:t>desahucio</w:t>
      </w:r>
      <w:proofErr w:type="spellEnd"/>
      <w:r w:rsidR="00EE196F">
        <w:rPr>
          <w:i/>
          <w:lang w:val="fr-FR"/>
        </w:rPr>
        <w:t xml:space="preserve"> </w:t>
      </w:r>
      <w:proofErr w:type="spellStart"/>
      <w:r w:rsidR="00EE196F">
        <w:rPr>
          <w:i/>
          <w:lang w:val="fr-FR"/>
        </w:rPr>
        <w:t>laboral</w:t>
      </w:r>
      <w:proofErr w:type="spellEnd"/>
      <w:r w:rsidR="00EE196F">
        <w:rPr>
          <w:lang w:val="fr-FR"/>
        </w:rPr>
        <w:t xml:space="preserve"> et le départ </w:t>
      </w:r>
      <w:r w:rsidR="00EE196F" w:rsidRPr="00AD4CBF">
        <w:rPr>
          <w:lang w:val="fr-FR"/>
        </w:rPr>
        <w:t xml:space="preserve">volontaire </w:t>
      </w:r>
      <w:r w:rsidR="00EE196F">
        <w:rPr>
          <w:lang w:val="fr-FR"/>
        </w:rPr>
        <w:t>sont complémentaires et ne s</w:t>
      </w:r>
      <w:r w:rsidR="00864B14">
        <w:rPr>
          <w:lang w:val="fr-FR"/>
        </w:rPr>
        <w:t>’</w:t>
      </w:r>
      <w:r w:rsidR="00EE196F">
        <w:rPr>
          <w:lang w:val="fr-FR"/>
        </w:rPr>
        <w:t>excluent pas</w:t>
      </w:r>
      <w:r w:rsidR="00EE196F" w:rsidRPr="00AD4CBF">
        <w:rPr>
          <w:lang w:val="fr-FR"/>
        </w:rPr>
        <w:t xml:space="preserve">, puisque les deux </w:t>
      </w:r>
      <w:r w:rsidR="00EE196F">
        <w:rPr>
          <w:lang w:val="fr-FR"/>
        </w:rPr>
        <w:t>procédures s</w:t>
      </w:r>
      <w:r w:rsidR="00EE196F" w:rsidRPr="00AD4CBF">
        <w:rPr>
          <w:lang w:val="fr-FR"/>
        </w:rPr>
        <w:t>ont</w:t>
      </w:r>
      <w:r w:rsidR="00EE196F">
        <w:rPr>
          <w:lang w:val="fr-FR"/>
        </w:rPr>
        <w:t xml:space="preserve"> essentiellement</w:t>
      </w:r>
      <w:r w:rsidR="00EE196F" w:rsidRPr="00AD4CBF">
        <w:rPr>
          <w:lang w:val="fr-FR"/>
        </w:rPr>
        <w:t xml:space="preserve"> </w:t>
      </w:r>
      <w:r w:rsidR="00EE196F">
        <w:rPr>
          <w:lang w:val="fr-FR"/>
        </w:rPr>
        <w:t>fondées sur</w:t>
      </w:r>
      <w:r w:rsidR="00EE196F" w:rsidRPr="00AD4CBF">
        <w:rPr>
          <w:lang w:val="fr-FR"/>
        </w:rPr>
        <w:t xml:space="preserve"> la déclaration volontaire et unilatérale du travailleur</w:t>
      </w:r>
      <w:r w:rsidR="00EE196F" w:rsidRPr="000C41A6">
        <w:rPr>
          <w:rStyle w:val="Appelnotedebasdep"/>
        </w:rPr>
        <w:footnoteReference w:id="6"/>
      </w:r>
      <w:r w:rsidR="00EE196F" w:rsidRPr="00AD4CBF">
        <w:rPr>
          <w:lang w:val="fr-FR"/>
        </w:rPr>
        <w:t xml:space="preserve">. </w:t>
      </w:r>
      <w:r w:rsidR="00EE196F" w:rsidRPr="00B6374B">
        <w:rPr>
          <w:lang w:val="fr-FR"/>
        </w:rPr>
        <w:t>En conséquence, l</w:t>
      </w:r>
      <w:r w:rsidR="00864B14">
        <w:rPr>
          <w:lang w:val="fr-FR"/>
        </w:rPr>
        <w:t>’</w:t>
      </w:r>
      <w:r w:rsidR="00EE196F" w:rsidRPr="00B6374B">
        <w:rPr>
          <w:lang w:val="fr-FR"/>
        </w:rPr>
        <w:t>auteur affirme qu</w:t>
      </w:r>
      <w:r w:rsidR="00864B14">
        <w:rPr>
          <w:lang w:val="fr-FR"/>
        </w:rPr>
        <w:t>’</w:t>
      </w:r>
      <w:r w:rsidR="00EE196F" w:rsidRPr="00B6374B">
        <w:rPr>
          <w:lang w:val="fr-FR"/>
        </w:rPr>
        <w:t xml:space="preserve">il avait droit à une </w:t>
      </w:r>
      <w:r w:rsidR="00EE196F">
        <w:rPr>
          <w:lang w:val="fr-FR"/>
        </w:rPr>
        <w:t>indemnité</w:t>
      </w:r>
      <w:r w:rsidR="00EE196F" w:rsidRPr="00B6374B">
        <w:rPr>
          <w:lang w:val="fr-FR"/>
        </w:rPr>
        <w:t xml:space="preserve"> </w:t>
      </w:r>
      <w:r w:rsidR="00EE196F">
        <w:rPr>
          <w:lang w:val="fr-FR"/>
        </w:rPr>
        <w:t>de résiliation du contrat de travail</w:t>
      </w:r>
      <w:r w:rsidR="00EE196F" w:rsidRPr="00B6374B">
        <w:rPr>
          <w:lang w:val="fr-FR"/>
        </w:rPr>
        <w:t xml:space="preserve"> en vertu de l</w:t>
      </w:r>
      <w:r w:rsidR="00864B14">
        <w:rPr>
          <w:lang w:val="fr-FR"/>
        </w:rPr>
        <w:t>’</w:t>
      </w:r>
      <w:r w:rsidR="00EE196F">
        <w:rPr>
          <w:lang w:val="fr-FR"/>
        </w:rPr>
        <w:t>article</w:t>
      </w:r>
      <w:r>
        <w:rPr>
          <w:lang w:val="fr-FR"/>
        </w:rPr>
        <w:t xml:space="preserve"> </w:t>
      </w:r>
      <w:r w:rsidR="00EE196F">
        <w:rPr>
          <w:lang w:val="fr-FR"/>
        </w:rPr>
        <w:t>184 du Code du travail</w:t>
      </w:r>
      <w:r w:rsidR="00EE196F" w:rsidRPr="00B6374B">
        <w:rPr>
          <w:lang w:val="fr-FR"/>
        </w:rPr>
        <w:t xml:space="preserve"> </w:t>
      </w:r>
      <w:r w:rsidR="00EE196F">
        <w:rPr>
          <w:lang w:val="fr-FR"/>
        </w:rPr>
        <w:t xml:space="preserve">et </w:t>
      </w:r>
      <w:r w:rsidR="00EE196F" w:rsidRPr="00B6374B">
        <w:rPr>
          <w:lang w:val="fr-FR"/>
        </w:rPr>
        <w:t xml:space="preserve">à </w:t>
      </w:r>
      <w:r w:rsidR="00EE196F">
        <w:rPr>
          <w:lang w:val="fr-FR"/>
        </w:rPr>
        <w:t>une prime</w:t>
      </w:r>
      <w:r w:rsidR="00EE196F" w:rsidRPr="00B6374B">
        <w:rPr>
          <w:lang w:val="fr-FR"/>
        </w:rPr>
        <w:t xml:space="preserve"> de </w:t>
      </w:r>
      <w:r w:rsidR="00EE196F">
        <w:rPr>
          <w:lang w:val="fr-FR"/>
        </w:rPr>
        <w:t>départ</w:t>
      </w:r>
      <w:r w:rsidR="00EE196F" w:rsidRPr="00B6374B">
        <w:rPr>
          <w:lang w:val="fr-FR"/>
        </w:rPr>
        <w:t xml:space="preserve"> volontaire en vertu de la convention collective. S</w:t>
      </w:r>
      <w:r w:rsidR="00864B14">
        <w:rPr>
          <w:lang w:val="fr-FR"/>
        </w:rPr>
        <w:t>’</w:t>
      </w:r>
      <w:r w:rsidR="00EE196F" w:rsidRPr="00B6374B">
        <w:rPr>
          <w:lang w:val="fr-FR"/>
        </w:rPr>
        <w:t xml:space="preserve">il </w:t>
      </w:r>
      <w:r w:rsidR="00EE196F">
        <w:rPr>
          <w:lang w:val="fr-FR"/>
        </w:rPr>
        <w:t xml:space="preserve">existe </w:t>
      </w:r>
      <w:r w:rsidR="00EE196F" w:rsidRPr="00B6374B">
        <w:rPr>
          <w:lang w:val="fr-FR"/>
        </w:rPr>
        <w:t>un doute quant à la portée de l</w:t>
      </w:r>
      <w:r w:rsidR="00864B14">
        <w:rPr>
          <w:lang w:val="fr-FR"/>
        </w:rPr>
        <w:t>’</w:t>
      </w:r>
      <w:r w:rsidR="00EE196F" w:rsidRPr="00B6374B">
        <w:rPr>
          <w:lang w:val="fr-FR"/>
        </w:rPr>
        <w:t>article</w:t>
      </w:r>
      <w:r>
        <w:rPr>
          <w:lang w:val="fr-FR"/>
        </w:rPr>
        <w:t xml:space="preserve"> </w:t>
      </w:r>
      <w:r w:rsidR="00EE196F" w:rsidRPr="00B6374B">
        <w:rPr>
          <w:lang w:val="fr-FR"/>
        </w:rPr>
        <w:t xml:space="preserve">14 de la convention collective, il doit être interprété </w:t>
      </w:r>
      <w:r w:rsidR="00EE196F">
        <w:rPr>
          <w:lang w:val="fr-FR"/>
        </w:rPr>
        <w:t xml:space="preserve">dans le sens le plus favorable aux </w:t>
      </w:r>
      <w:r w:rsidR="00EE196F" w:rsidRPr="00B6374B">
        <w:rPr>
          <w:lang w:val="fr-FR"/>
        </w:rPr>
        <w:t>droits du travailleur</w:t>
      </w:r>
      <w:r w:rsidR="00EE196F" w:rsidRPr="000C41A6">
        <w:rPr>
          <w:rStyle w:val="Appelnotedebasdep"/>
        </w:rPr>
        <w:footnoteReference w:id="7"/>
      </w:r>
      <w:r w:rsidR="00EE196F" w:rsidRPr="00B6374B">
        <w:rPr>
          <w:lang w:val="fr-FR"/>
        </w:rPr>
        <w:t>.</w:t>
      </w:r>
    </w:p>
    <w:p w:rsidR="00EE196F" w:rsidRPr="00174386" w:rsidRDefault="00EE196F" w:rsidP="00EE196F">
      <w:pPr>
        <w:pStyle w:val="SingleTxtG"/>
        <w:rPr>
          <w:lang w:val="fr-FR"/>
        </w:rPr>
      </w:pPr>
      <w:r w:rsidRPr="000E1FE7">
        <w:rPr>
          <w:lang w:val="fr-FR"/>
        </w:rPr>
        <w:t xml:space="preserve">5.3 </w:t>
      </w:r>
      <w:r w:rsidRPr="000E1FE7">
        <w:rPr>
          <w:lang w:val="fr-FR"/>
        </w:rPr>
        <w:tab/>
        <w:t>En ce qui concerne les observations de l</w:t>
      </w:r>
      <w:r w:rsidR="00864B14">
        <w:rPr>
          <w:lang w:val="fr-FR"/>
        </w:rPr>
        <w:t>’</w:t>
      </w:r>
      <w:r w:rsidRPr="000E1FE7">
        <w:rPr>
          <w:lang w:val="fr-FR"/>
        </w:rPr>
        <w:t>État part</w:t>
      </w:r>
      <w:r>
        <w:rPr>
          <w:lang w:val="fr-FR"/>
        </w:rPr>
        <w:t>ie selon lesquelles l</w:t>
      </w:r>
      <w:r w:rsidR="00864B14">
        <w:rPr>
          <w:lang w:val="fr-FR"/>
        </w:rPr>
        <w:t>’</w:t>
      </w:r>
      <w:r>
        <w:rPr>
          <w:lang w:val="fr-FR"/>
        </w:rPr>
        <w:t>auteur n</w:t>
      </w:r>
      <w:r w:rsidR="00864B14">
        <w:rPr>
          <w:lang w:val="fr-FR"/>
        </w:rPr>
        <w:t>’</w:t>
      </w:r>
      <w:r w:rsidRPr="000E1FE7">
        <w:rPr>
          <w:lang w:val="fr-FR"/>
        </w:rPr>
        <w:t>a pas expressément invoqué une violation de son droit au travail et à la santé dans l</w:t>
      </w:r>
      <w:r w:rsidR="00864B14">
        <w:rPr>
          <w:lang w:val="fr-FR"/>
        </w:rPr>
        <w:t>’</w:t>
      </w:r>
      <w:r w:rsidRPr="000E1FE7">
        <w:rPr>
          <w:lang w:val="fr-FR"/>
        </w:rPr>
        <w:t xml:space="preserve">action extraordinaire </w:t>
      </w:r>
      <w:r>
        <w:rPr>
          <w:lang w:val="fr-FR"/>
        </w:rPr>
        <w:t>en</w:t>
      </w:r>
      <w:r w:rsidRPr="000E1FE7">
        <w:rPr>
          <w:lang w:val="fr-FR"/>
        </w:rPr>
        <w:t xml:space="preserve"> protection qu</w:t>
      </w:r>
      <w:r w:rsidR="00864B14">
        <w:rPr>
          <w:lang w:val="fr-FR"/>
        </w:rPr>
        <w:t>’</w:t>
      </w:r>
      <w:r w:rsidRPr="000E1FE7">
        <w:rPr>
          <w:lang w:val="fr-FR"/>
        </w:rPr>
        <w:t>il a introduite devant la Cour constitutionnelle, l</w:t>
      </w:r>
      <w:r w:rsidR="00864B14">
        <w:rPr>
          <w:lang w:val="fr-FR"/>
        </w:rPr>
        <w:t>’</w:t>
      </w:r>
      <w:r w:rsidRPr="000E1FE7">
        <w:rPr>
          <w:lang w:val="fr-FR"/>
        </w:rPr>
        <w:t xml:space="preserve">auteur fait valoir que son recours visait fondamentalement à </w:t>
      </w:r>
      <w:r>
        <w:rPr>
          <w:lang w:val="fr-FR"/>
        </w:rPr>
        <w:t>faire reconnaître</w:t>
      </w:r>
      <w:r w:rsidRPr="000E1FE7">
        <w:rPr>
          <w:lang w:val="fr-FR"/>
        </w:rPr>
        <w:t xml:space="preserve"> que le jugement de cassation de la </w:t>
      </w:r>
      <w:r>
        <w:rPr>
          <w:lang w:val="fr-FR"/>
        </w:rPr>
        <w:t>Cour nationale de justice</w:t>
      </w:r>
      <w:r w:rsidRPr="000E1FE7">
        <w:rPr>
          <w:lang w:val="fr-FR"/>
        </w:rPr>
        <w:t xml:space="preserve"> n</w:t>
      </w:r>
      <w:r w:rsidR="00864B14">
        <w:rPr>
          <w:lang w:val="fr-FR"/>
        </w:rPr>
        <w:t>’</w:t>
      </w:r>
      <w:r w:rsidRPr="000E1FE7">
        <w:rPr>
          <w:lang w:val="fr-FR"/>
        </w:rPr>
        <w:t xml:space="preserve">était pas </w:t>
      </w:r>
      <w:r>
        <w:rPr>
          <w:lang w:val="fr-FR"/>
        </w:rPr>
        <w:t>fondé</w:t>
      </w:r>
      <w:r w:rsidRPr="000E1FE7">
        <w:rPr>
          <w:lang w:val="fr-FR"/>
        </w:rPr>
        <w:t xml:space="preserve"> et que, par conséquent, </w:t>
      </w:r>
      <w:r>
        <w:rPr>
          <w:lang w:val="fr-FR"/>
        </w:rPr>
        <w:t>son</w:t>
      </w:r>
      <w:r w:rsidRPr="000E1FE7">
        <w:rPr>
          <w:lang w:val="fr-FR"/>
        </w:rPr>
        <w:t xml:space="preserve"> droit au travail </w:t>
      </w:r>
      <w:r>
        <w:rPr>
          <w:lang w:val="fr-FR"/>
        </w:rPr>
        <w:t>n</w:t>
      </w:r>
      <w:r w:rsidR="00864B14">
        <w:rPr>
          <w:lang w:val="fr-FR"/>
        </w:rPr>
        <w:t>’</w:t>
      </w:r>
      <w:r>
        <w:rPr>
          <w:lang w:val="fr-FR"/>
        </w:rPr>
        <w:t>avait pas été protégé</w:t>
      </w:r>
      <w:r w:rsidRPr="000E1FE7">
        <w:rPr>
          <w:lang w:val="fr-FR"/>
        </w:rPr>
        <w:t xml:space="preserve">. </w:t>
      </w:r>
      <w:r w:rsidRPr="00F064C1">
        <w:rPr>
          <w:lang w:val="fr-FR"/>
        </w:rPr>
        <w:t xml:space="preserve">La </w:t>
      </w:r>
      <w:r>
        <w:rPr>
          <w:lang w:val="fr-FR"/>
        </w:rPr>
        <w:t xml:space="preserve">régularité de la </w:t>
      </w:r>
      <w:r w:rsidRPr="00F064C1">
        <w:rPr>
          <w:lang w:val="fr-FR"/>
        </w:rPr>
        <w:t>procédure est directement liée à la protection du droit au</w:t>
      </w:r>
      <w:r>
        <w:rPr>
          <w:lang w:val="fr-FR"/>
        </w:rPr>
        <w:t xml:space="preserve"> travail et à la santé et il n</w:t>
      </w:r>
      <w:r w:rsidR="00864B14">
        <w:rPr>
          <w:lang w:val="fr-FR"/>
        </w:rPr>
        <w:t>’</w:t>
      </w:r>
      <w:r>
        <w:rPr>
          <w:lang w:val="fr-FR"/>
        </w:rPr>
        <w:t xml:space="preserve">était </w:t>
      </w:r>
      <w:r w:rsidRPr="00F064C1">
        <w:rPr>
          <w:lang w:val="fr-FR"/>
        </w:rPr>
        <w:t xml:space="preserve">donc pas nécessaire </w:t>
      </w:r>
      <w:r>
        <w:rPr>
          <w:lang w:val="fr-FR"/>
        </w:rPr>
        <w:t>d</w:t>
      </w:r>
      <w:r w:rsidR="00864B14">
        <w:rPr>
          <w:lang w:val="fr-FR"/>
        </w:rPr>
        <w:t>’</w:t>
      </w:r>
      <w:r>
        <w:rPr>
          <w:lang w:val="fr-FR"/>
        </w:rPr>
        <w:t>invoquer</w:t>
      </w:r>
      <w:r w:rsidRPr="00F064C1">
        <w:rPr>
          <w:lang w:val="fr-FR"/>
        </w:rPr>
        <w:t xml:space="preserve"> expressément la violation du droit à la santé et au travail dans le cadre de l</w:t>
      </w:r>
      <w:r w:rsidR="00864B14">
        <w:rPr>
          <w:lang w:val="fr-FR"/>
        </w:rPr>
        <w:t>’</w:t>
      </w:r>
      <w:r w:rsidRPr="00F064C1">
        <w:rPr>
          <w:lang w:val="fr-FR"/>
        </w:rPr>
        <w:t xml:space="preserve">action extraordinaire. </w:t>
      </w:r>
      <w:r w:rsidRPr="00E1767C">
        <w:rPr>
          <w:lang w:val="fr-FR"/>
        </w:rPr>
        <w:t>En outre, conformément à la Constitution et à l</w:t>
      </w:r>
      <w:r w:rsidR="00864B14">
        <w:rPr>
          <w:lang w:val="fr-FR"/>
        </w:rPr>
        <w:t>’</w:t>
      </w:r>
      <w:r w:rsidRPr="00E1767C">
        <w:rPr>
          <w:lang w:val="fr-FR"/>
        </w:rPr>
        <w:t>article 4 de la loi organique sur les garanties juridictionnelles</w:t>
      </w:r>
      <w:r>
        <w:rPr>
          <w:lang w:val="fr-FR"/>
        </w:rPr>
        <w:t xml:space="preserve"> et le contrôle constitutionnel</w:t>
      </w:r>
      <w:r w:rsidRPr="00E1767C">
        <w:rPr>
          <w:lang w:val="fr-FR"/>
        </w:rPr>
        <w:t xml:space="preserve">, </w:t>
      </w:r>
      <w:r w:rsidRPr="00C3004F">
        <w:rPr>
          <w:lang w:val="fr-FR"/>
        </w:rPr>
        <w:t>les juges sont tenus, dans les procédures constitutionnelles, de statuer sur les violations des droits constitutionnels sans préjudice de leu</w:t>
      </w:r>
      <w:r>
        <w:rPr>
          <w:lang w:val="fr-FR"/>
        </w:rPr>
        <w:t>r absence d</w:t>
      </w:r>
      <w:r w:rsidR="00864B14">
        <w:rPr>
          <w:lang w:val="fr-FR"/>
        </w:rPr>
        <w:t>’</w:t>
      </w:r>
      <w:r>
        <w:rPr>
          <w:lang w:val="fr-FR"/>
        </w:rPr>
        <w:t>allégation expresse</w:t>
      </w:r>
      <w:r w:rsidRPr="00E1767C">
        <w:rPr>
          <w:lang w:val="fr-FR"/>
        </w:rPr>
        <w:t xml:space="preserve">. </w:t>
      </w:r>
      <w:r w:rsidRPr="00C3004F">
        <w:rPr>
          <w:lang w:val="fr-FR"/>
        </w:rPr>
        <w:t>Ainsi, l</w:t>
      </w:r>
      <w:r w:rsidR="00864B14">
        <w:rPr>
          <w:lang w:val="fr-FR"/>
        </w:rPr>
        <w:t>’</w:t>
      </w:r>
      <w:r w:rsidRPr="00C3004F">
        <w:rPr>
          <w:lang w:val="fr-FR"/>
        </w:rPr>
        <w:t xml:space="preserve">action extraordinaire </w:t>
      </w:r>
      <w:r>
        <w:rPr>
          <w:lang w:val="fr-FR"/>
        </w:rPr>
        <w:t>en</w:t>
      </w:r>
      <w:r w:rsidRPr="00C3004F">
        <w:rPr>
          <w:lang w:val="fr-FR"/>
        </w:rPr>
        <w:t xml:space="preserve"> protection était le dernier </w:t>
      </w:r>
      <w:r>
        <w:rPr>
          <w:lang w:val="fr-FR"/>
        </w:rPr>
        <w:t>recours</w:t>
      </w:r>
      <w:r w:rsidRPr="00C3004F">
        <w:rPr>
          <w:lang w:val="fr-FR"/>
        </w:rPr>
        <w:t xml:space="preserve"> disponible et </w:t>
      </w:r>
      <w:r>
        <w:rPr>
          <w:lang w:val="fr-FR"/>
        </w:rPr>
        <w:t>utile</w:t>
      </w:r>
      <w:r w:rsidRPr="00C3004F">
        <w:rPr>
          <w:lang w:val="fr-FR"/>
        </w:rPr>
        <w:t xml:space="preserve"> épuisé par l</w:t>
      </w:r>
      <w:r w:rsidR="00864B14">
        <w:rPr>
          <w:lang w:val="fr-FR"/>
        </w:rPr>
        <w:t>’</w:t>
      </w:r>
      <w:r w:rsidRPr="00C3004F">
        <w:rPr>
          <w:lang w:val="fr-FR"/>
        </w:rPr>
        <w:t xml:space="preserve">auteur. Il ajoute </w:t>
      </w:r>
      <w:r>
        <w:rPr>
          <w:lang w:val="fr-FR"/>
        </w:rPr>
        <w:t xml:space="preserve">que compte tenu du caractère </w:t>
      </w:r>
      <w:r w:rsidRPr="00C3004F">
        <w:rPr>
          <w:lang w:val="fr-FR"/>
        </w:rPr>
        <w:t>interdépendan</w:t>
      </w:r>
      <w:r>
        <w:rPr>
          <w:lang w:val="fr-FR"/>
        </w:rPr>
        <w:t>t</w:t>
      </w:r>
      <w:r w:rsidRPr="00C3004F">
        <w:rPr>
          <w:lang w:val="fr-FR"/>
        </w:rPr>
        <w:t xml:space="preserve"> des droits</w:t>
      </w:r>
      <w:r>
        <w:rPr>
          <w:lang w:val="fr-FR"/>
        </w:rPr>
        <w:t xml:space="preserve"> de l</w:t>
      </w:r>
      <w:r w:rsidR="00864B14">
        <w:rPr>
          <w:lang w:val="fr-FR"/>
        </w:rPr>
        <w:t>’</w:t>
      </w:r>
      <w:r>
        <w:rPr>
          <w:lang w:val="fr-FR"/>
        </w:rPr>
        <w:t>homme</w:t>
      </w:r>
      <w:r w:rsidRPr="00C3004F">
        <w:rPr>
          <w:lang w:val="fr-FR"/>
        </w:rPr>
        <w:t xml:space="preserve">, il faut </w:t>
      </w:r>
      <w:r>
        <w:rPr>
          <w:lang w:val="fr-FR"/>
        </w:rPr>
        <w:t>considérer</w:t>
      </w:r>
      <w:r w:rsidRPr="00C3004F">
        <w:rPr>
          <w:lang w:val="fr-FR"/>
        </w:rPr>
        <w:t xml:space="preserve"> qu</w:t>
      </w:r>
      <w:r w:rsidR="00864B14">
        <w:rPr>
          <w:lang w:val="fr-FR"/>
        </w:rPr>
        <w:t>’</w:t>
      </w:r>
      <w:r w:rsidRPr="00C3004F">
        <w:rPr>
          <w:lang w:val="fr-FR"/>
        </w:rPr>
        <w:t>il a</w:t>
      </w:r>
      <w:r>
        <w:rPr>
          <w:lang w:val="fr-FR"/>
        </w:rPr>
        <w:t xml:space="preserve"> épuisé les recours internes pour ce qui est également de</w:t>
      </w:r>
      <w:r w:rsidRPr="00C3004F">
        <w:rPr>
          <w:lang w:val="fr-FR"/>
        </w:rPr>
        <w:t xml:space="preserve"> ses </w:t>
      </w:r>
      <w:r>
        <w:rPr>
          <w:lang w:val="fr-FR"/>
        </w:rPr>
        <w:t>griefs</w:t>
      </w:r>
      <w:r w:rsidRPr="00C3004F">
        <w:rPr>
          <w:lang w:val="fr-FR"/>
        </w:rPr>
        <w:t xml:space="preserve"> de </w:t>
      </w:r>
      <w:r>
        <w:rPr>
          <w:lang w:val="fr-FR"/>
        </w:rPr>
        <w:t xml:space="preserve">violation du droit à la santé. </w:t>
      </w:r>
      <w:r w:rsidRPr="00174386">
        <w:rPr>
          <w:lang w:val="fr-FR"/>
        </w:rPr>
        <w:t>À cet égard, il fait valoir que le droit à la santé est étroitement lié à l</w:t>
      </w:r>
      <w:r w:rsidR="00864B14">
        <w:rPr>
          <w:lang w:val="fr-FR"/>
        </w:rPr>
        <w:t>’</w:t>
      </w:r>
      <w:r w:rsidRPr="00174386">
        <w:rPr>
          <w:lang w:val="fr-FR"/>
        </w:rPr>
        <w:t>exercice d</w:t>
      </w:r>
      <w:r w:rsidR="00864B14">
        <w:rPr>
          <w:lang w:val="fr-FR"/>
        </w:rPr>
        <w:t>’</w:t>
      </w:r>
      <w:r w:rsidRPr="00174386">
        <w:rPr>
          <w:lang w:val="fr-FR"/>
        </w:rPr>
        <w:t>autres droits de l</w:t>
      </w:r>
      <w:r w:rsidR="00864B14">
        <w:rPr>
          <w:lang w:val="fr-FR"/>
        </w:rPr>
        <w:t>’</w:t>
      </w:r>
      <w:r w:rsidRPr="00174386">
        <w:rPr>
          <w:lang w:val="fr-FR"/>
        </w:rPr>
        <w:t xml:space="preserve">homme et en dépend, </w:t>
      </w:r>
      <w:r>
        <w:rPr>
          <w:lang w:val="fr-FR"/>
        </w:rPr>
        <w:t>notamment</w:t>
      </w:r>
      <w:r w:rsidRPr="00174386">
        <w:rPr>
          <w:lang w:val="fr-FR"/>
        </w:rPr>
        <w:t xml:space="preserve"> le droit au travail</w:t>
      </w:r>
      <w:r w:rsidRPr="000C41A6">
        <w:rPr>
          <w:rStyle w:val="Appelnotedebasdep"/>
        </w:rPr>
        <w:footnoteReference w:id="8"/>
      </w:r>
      <w:r>
        <w:rPr>
          <w:lang w:val="fr-FR"/>
        </w:rPr>
        <w:t xml:space="preserve">, </w:t>
      </w:r>
      <w:r w:rsidRPr="00070BD5">
        <w:rPr>
          <w:lang w:val="fr-FR"/>
        </w:rPr>
        <w:t>et qu</w:t>
      </w:r>
      <w:r w:rsidR="00864B14">
        <w:rPr>
          <w:lang w:val="fr-FR"/>
        </w:rPr>
        <w:t>’</w:t>
      </w:r>
      <w:r w:rsidRPr="00070BD5">
        <w:rPr>
          <w:lang w:val="fr-FR"/>
        </w:rPr>
        <w:t xml:space="preserve">une composante du droit du travail est la garantie de conditions </w:t>
      </w:r>
      <w:r>
        <w:rPr>
          <w:lang w:val="fr-FR"/>
        </w:rPr>
        <w:t>satisfaisantes</w:t>
      </w:r>
      <w:r w:rsidRPr="00070BD5">
        <w:rPr>
          <w:lang w:val="fr-FR"/>
        </w:rPr>
        <w:t xml:space="preserve"> pour que les personnes puissent travailler en toute sécurité</w:t>
      </w:r>
      <w:r w:rsidR="00013A9E">
        <w:rPr>
          <w:lang w:val="fr-FR"/>
        </w:rPr>
        <w:t>.</w:t>
      </w:r>
    </w:p>
    <w:p w:rsidR="00EE196F" w:rsidRPr="003F49AF" w:rsidRDefault="00EE196F" w:rsidP="00EE196F">
      <w:pPr>
        <w:pStyle w:val="SingleTxtG"/>
        <w:rPr>
          <w:lang w:val="fr-FR"/>
        </w:rPr>
      </w:pPr>
      <w:r w:rsidRPr="003F49AF">
        <w:rPr>
          <w:lang w:val="fr-FR"/>
        </w:rPr>
        <w:t xml:space="preserve">5.4 </w:t>
      </w:r>
      <w:r w:rsidRPr="003F49AF">
        <w:rPr>
          <w:lang w:val="fr-FR"/>
        </w:rPr>
        <w:tab/>
        <w:t xml:space="preserve">Le Comité est compétent </w:t>
      </w:r>
      <w:proofErr w:type="spellStart"/>
      <w:r w:rsidRPr="003F49AF">
        <w:rPr>
          <w:i/>
          <w:lang w:val="fr-FR"/>
        </w:rPr>
        <w:t>ratione</w:t>
      </w:r>
      <w:proofErr w:type="spellEnd"/>
      <w:r w:rsidRPr="003F49AF">
        <w:rPr>
          <w:i/>
          <w:lang w:val="fr-FR"/>
        </w:rPr>
        <w:t xml:space="preserve"> </w:t>
      </w:r>
      <w:proofErr w:type="spellStart"/>
      <w:r w:rsidRPr="003F49AF">
        <w:rPr>
          <w:i/>
          <w:lang w:val="fr-FR"/>
        </w:rPr>
        <w:t>temporis</w:t>
      </w:r>
      <w:proofErr w:type="spellEnd"/>
      <w:r w:rsidRPr="003F49AF">
        <w:rPr>
          <w:lang w:val="fr-FR"/>
        </w:rPr>
        <w:t xml:space="preserve"> pour connaître de la présente communication </w:t>
      </w:r>
      <w:r>
        <w:rPr>
          <w:lang w:val="fr-FR"/>
        </w:rPr>
        <w:t>car</w:t>
      </w:r>
      <w:r w:rsidRPr="003F49AF">
        <w:rPr>
          <w:lang w:val="fr-FR"/>
        </w:rPr>
        <w:t xml:space="preserve"> le dernier acte violant le droit de l</w:t>
      </w:r>
      <w:r w:rsidR="00864B14">
        <w:rPr>
          <w:lang w:val="fr-FR"/>
        </w:rPr>
        <w:t>’</w:t>
      </w:r>
      <w:r w:rsidRPr="003F49AF">
        <w:rPr>
          <w:lang w:val="fr-FR"/>
        </w:rPr>
        <w:t xml:space="preserve">auteur au travail et à la santé a été </w:t>
      </w:r>
      <w:r w:rsidRPr="003F49AF">
        <w:rPr>
          <w:lang w:val="fr-FR"/>
        </w:rPr>
        <w:lastRenderedPageBreak/>
        <w:t>l</w:t>
      </w:r>
      <w:r w:rsidR="00864B14">
        <w:rPr>
          <w:lang w:val="fr-FR"/>
        </w:rPr>
        <w:t>’</w:t>
      </w:r>
      <w:r w:rsidRPr="003F49AF">
        <w:rPr>
          <w:lang w:val="fr-FR"/>
        </w:rPr>
        <w:t>arrêt rendu par la Cour constitutionnelle le 9</w:t>
      </w:r>
      <w:r>
        <w:rPr>
          <w:lang w:val="fr-FR"/>
        </w:rPr>
        <w:t> </w:t>
      </w:r>
      <w:r w:rsidRPr="003F49AF">
        <w:rPr>
          <w:lang w:val="fr-FR"/>
        </w:rPr>
        <w:t xml:space="preserve">avril 2014, </w:t>
      </w:r>
      <w:r>
        <w:rPr>
          <w:lang w:val="fr-FR"/>
        </w:rPr>
        <w:t xml:space="preserve">après </w:t>
      </w:r>
      <w:r w:rsidRPr="003F49AF">
        <w:rPr>
          <w:lang w:val="fr-FR"/>
        </w:rPr>
        <w:t>l</w:t>
      </w:r>
      <w:r w:rsidR="00864B14">
        <w:rPr>
          <w:lang w:val="fr-FR"/>
        </w:rPr>
        <w:t>’</w:t>
      </w:r>
      <w:r w:rsidRPr="003F49AF">
        <w:rPr>
          <w:lang w:val="fr-FR"/>
        </w:rPr>
        <w:t>entrée en vigueur du Protocole facultati</w:t>
      </w:r>
      <w:r>
        <w:rPr>
          <w:lang w:val="fr-FR"/>
        </w:rPr>
        <w:t>f se rapportant à l</w:t>
      </w:r>
      <w:r w:rsidR="00864B14">
        <w:rPr>
          <w:lang w:val="fr-FR"/>
        </w:rPr>
        <w:t>’</w:t>
      </w:r>
      <w:r>
        <w:rPr>
          <w:lang w:val="fr-FR"/>
        </w:rPr>
        <w:t>État partie</w:t>
      </w:r>
      <w:r w:rsidR="00013A9E">
        <w:rPr>
          <w:lang w:val="fr-FR"/>
        </w:rPr>
        <w:t>.</w:t>
      </w:r>
    </w:p>
    <w:p w:rsidR="00EE196F" w:rsidRPr="00C7446C" w:rsidRDefault="00EE196F" w:rsidP="00EE196F">
      <w:pPr>
        <w:pStyle w:val="SingleTxtG"/>
        <w:rPr>
          <w:lang w:val="fr-FR"/>
        </w:rPr>
      </w:pPr>
      <w:r w:rsidRPr="00C7446C">
        <w:rPr>
          <w:lang w:val="fr-FR"/>
        </w:rPr>
        <w:t>5.5</w:t>
      </w:r>
      <w:r w:rsidRPr="00C7446C">
        <w:rPr>
          <w:lang w:val="fr-FR"/>
        </w:rPr>
        <w:tab/>
      </w:r>
      <w:r>
        <w:rPr>
          <w:lang w:val="fr-FR"/>
        </w:rPr>
        <w:t>En ce qui concerne l</w:t>
      </w:r>
      <w:r w:rsidRPr="00C7446C">
        <w:rPr>
          <w:lang w:val="fr-FR"/>
        </w:rPr>
        <w:t xml:space="preserve">es griefs </w:t>
      </w:r>
      <w:r>
        <w:rPr>
          <w:lang w:val="fr-FR"/>
        </w:rPr>
        <w:t>qu</w:t>
      </w:r>
      <w:r w:rsidR="00864B14">
        <w:rPr>
          <w:lang w:val="fr-FR"/>
        </w:rPr>
        <w:t>’</w:t>
      </w:r>
      <w:r>
        <w:rPr>
          <w:lang w:val="fr-FR"/>
        </w:rPr>
        <w:t>il tire</w:t>
      </w:r>
      <w:r w:rsidRPr="00C7446C">
        <w:rPr>
          <w:lang w:val="fr-FR"/>
        </w:rPr>
        <w:t xml:space="preserve"> de l</w:t>
      </w:r>
      <w:r w:rsidR="00864B14">
        <w:rPr>
          <w:lang w:val="fr-FR"/>
        </w:rPr>
        <w:t>’</w:t>
      </w:r>
      <w:r w:rsidRPr="00C7446C">
        <w:rPr>
          <w:lang w:val="fr-FR"/>
        </w:rPr>
        <w:t>article</w:t>
      </w:r>
      <w:r>
        <w:rPr>
          <w:lang w:val="fr-FR"/>
        </w:rPr>
        <w:t> </w:t>
      </w:r>
      <w:r w:rsidRPr="00C7446C">
        <w:rPr>
          <w:lang w:val="fr-FR"/>
        </w:rPr>
        <w:t>6 du Pacte, l</w:t>
      </w:r>
      <w:r w:rsidR="00864B14">
        <w:rPr>
          <w:lang w:val="fr-FR"/>
        </w:rPr>
        <w:t>’</w:t>
      </w:r>
      <w:r w:rsidRPr="00C7446C">
        <w:rPr>
          <w:lang w:val="fr-FR"/>
        </w:rPr>
        <w:t>auteur note que les obligations découlant du droit au travail ne se limitent pas à une attitude passive des États parties à l</w:t>
      </w:r>
      <w:r w:rsidR="00864B14">
        <w:rPr>
          <w:lang w:val="fr-FR"/>
        </w:rPr>
        <w:t>’</w:t>
      </w:r>
      <w:r w:rsidRPr="00C7446C">
        <w:rPr>
          <w:lang w:val="fr-FR"/>
        </w:rPr>
        <w:t>égard de l</w:t>
      </w:r>
      <w:r w:rsidR="00864B14">
        <w:rPr>
          <w:lang w:val="fr-FR"/>
        </w:rPr>
        <w:t>’</w:t>
      </w:r>
      <w:r w:rsidRPr="00C7446C">
        <w:rPr>
          <w:lang w:val="fr-FR"/>
        </w:rPr>
        <w:t>accès</w:t>
      </w:r>
      <w:r>
        <w:rPr>
          <w:lang w:val="fr-FR"/>
        </w:rPr>
        <w:t xml:space="preserve"> au travail</w:t>
      </w:r>
      <w:r w:rsidRPr="00C7446C">
        <w:rPr>
          <w:lang w:val="fr-FR"/>
        </w:rPr>
        <w:t xml:space="preserve">, mais </w:t>
      </w:r>
      <w:r>
        <w:rPr>
          <w:lang w:val="fr-FR"/>
        </w:rPr>
        <w:t>comprennent</w:t>
      </w:r>
      <w:r w:rsidRPr="00C7446C">
        <w:rPr>
          <w:lang w:val="fr-FR"/>
        </w:rPr>
        <w:t xml:space="preserve"> </w:t>
      </w:r>
      <w:r>
        <w:rPr>
          <w:lang w:val="fr-FR"/>
        </w:rPr>
        <w:t xml:space="preserve">toute </w:t>
      </w:r>
      <w:r w:rsidRPr="00C7446C">
        <w:rPr>
          <w:lang w:val="fr-FR"/>
        </w:rPr>
        <w:t>une série de garanties dès lors que la personne a la qualité d</w:t>
      </w:r>
      <w:r w:rsidR="00864B14">
        <w:rPr>
          <w:lang w:val="fr-FR"/>
        </w:rPr>
        <w:t>’</w:t>
      </w:r>
      <w:r w:rsidRPr="00C7446C">
        <w:rPr>
          <w:lang w:val="fr-FR"/>
        </w:rPr>
        <w:t>employé. Par exemple, l</w:t>
      </w:r>
      <w:r w:rsidR="00864B14">
        <w:rPr>
          <w:lang w:val="fr-FR"/>
        </w:rPr>
        <w:t>’</w:t>
      </w:r>
      <w:r w:rsidRPr="00C7446C">
        <w:rPr>
          <w:lang w:val="fr-FR"/>
        </w:rPr>
        <w:t>article</w:t>
      </w:r>
      <w:r w:rsidR="00013A9E">
        <w:rPr>
          <w:lang w:val="fr-FR"/>
        </w:rPr>
        <w:t xml:space="preserve"> </w:t>
      </w:r>
      <w:r w:rsidRPr="00C7446C">
        <w:rPr>
          <w:lang w:val="fr-FR"/>
        </w:rPr>
        <w:t xml:space="preserve">7 du Pacte consacre le droit de toute personne à des conditions de travail justes et favorables, y compris la sécurité des conditions de travail. </w:t>
      </w:r>
    </w:p>
    <w:p w:rsidR="00EE196F" w:rsidRPr="003837B5" w:rsidRDefault="00EE196F" w:rsidP="00EE196F">
      <w:pPr>
        <w:pStyle w:val="SingleTxtG"/>
        <w:rPr>
          <w:lang w:val="fr-FR"/>
        </w:rPr>
      </w:pPr>
      <w:r w:rsidRPr="005C1DDC">
        <w:rPr>
          <w:lang w:val="fr-FR"/>
        </w:rPr>
        <w:t xml:space="preserve">5.6 </w:t>
      </w:r>
      <w:r w:rsidRPr="005C1DDC">
        <w:rPr>
          <w:lang w:val="fr-FR"/>
        </w:rPr>
        <w:tab/>
        <w:t>En l</w:t>
      </w:r>
      <w:r w:rsidR="00864B14">
        <w:rPr>
          <w:lang w:val="fr-FR"/>
        </w:rPr>
        <w:t>’</w:t>
      </w:r>
      <w:r w:rsidRPr="005C1DDC">
        <w:rPr>
          <w:lang w:val="fr-FR"/>
        </w:rPr>
        <w:t>espèce, l</w:t>
      </w:r>
      <w:r w:rsidR="00864B14">
        <w:rPr>
          <w:lang w:val="fr-FR"/>
        </w:rPr>
        <w:t>’</w:t>
      </w:r>
      <w:r w:rsidRPr="005C1DDC">
        <w:rPr>
          <w:lang w:val="fr-FR"/>
        </w:rPr>
        <w:t>auteur était partie à une convention collective</w:t>
      </w:r>
      <w:r>
        <w:rPr>
          <w:lang w:val="fr-FR"/>
        </w:rPr>
        <w:t> ;</w:t>
      </w:r>
      <w:r w:rsidRPr="005C1DDC">
        <w:rPr>
          <w:lang w:val="fr-FR"/>
        </w:rPr>
        <w:t xml:space="preserve"> par conséquent, ses droits </w:t>
      </w:r>
      <w:r>
        <w:rPr>
          <w:lang w:val="fr-FR"/>
        </w:rPr>
        <w:t>en matière d</w:t>
      </w:r>
      <w:r w:rsidR="00864B14">
        <w:rPr>
          <w:lang w:val="fr-FR"/>
        </w:rPr>
        <w:t>’</w:t>
      </w:r>
      <w:r>
        <w:rPr>
          <w:lang w:val="fr-FR"/>
        </w:rPr>
        <w:t>emploi</w:t>
      </w:r>
      <w:r w:rsidRPr="005C1DDC">
        <w:rPr>
          <w:lang w:val="fr-FR"/>
        </w:rPr>
        <w:t xml:space="preserve"> étaient </w:t>
      </w:r>
      <w:r>
        <w:rPr>
          <w:lang w:val="fr-FR"/>
        </w:rPr>
        <w:t>définis</w:t>
      </w:r>
      <w:r w:rsidRPr="005C1DDC">
        <w:rPr>
          <w:lang w:val="fr-FR"/>
        </w:rPr>
        <w:t xml:space="preserve"> dans le Code du travail et dans la </w:t>
      </w:r>
      <w:r>
        <w:rPr>
          <w:lang w:val="fr-FR"/>
        </w:rPr>
        <w:t>c</w:t>
      </w:r>
      <w:r w:rsidRPr="005C1DDC">
        <w:rPr>
          <w:lang w:val="fr-FR"/>
        </w:rPr>
        <w:t xml:space="preserve">onvention collective. </w:t>
      </w:r>
      <w:r w:rsidRPr="00731EFB">
        <w:rPr>
          <w:lang w:val="fr-FR"/>
        </w:rPr>
        <w:t xml:space="preserve">Le droit à la prime de départ volontaire était expressément réglementé dans </w:t>
      </w:r>
      <w:r>
        <w:rPr>
          <w:lang w:val="fr-FR"/>
        </w:rPr>
        <w:t xml:space="preserve">la convention </w:t>
      </w:r>
      <w:r w:rsidRPr="00731EFB">
        <w:rPr>
          <w:lang w:val="fr-FR"/>
        </w:rPr>
        <w:t>susmentionné</w:t>
      </w:r>
      <w:r>
        <w:rPr>
          <w:lang w:val="fr-FR"/>
        </w:rPr>
        <w:t>e</w:t>
      </w:r>
      <w:r w:rsidRPr="00731EFB">
        <w:rPr>
          <w:lang w:val="fr-FR"/>
        </w:rPr>
        <w:t xml:space="preserve"> et </w:t>
      </w:r>
      <w:r>
        <w:rPr>
          <w:lang w:val="fr-FR"/>
        </w:rPr>
        <w:t xml:space="preserve">faisait partie du </w:t>
      </w:r>
      <w:r w:rsidRPr="00731EFB">
        <w:rPr>
          <w:lang w:val="fr-FR"/>
        </w:rPr>
        <w:t xml:space="preserve">droit </w:t>
      </w:r>
      <w:r>
        <w:rPr>
          <w:lang w:val="fr-FR"/>
        </w:rPr>
        <w:t xml:space="preserve">du </w:t>
      </w:r>
      <w:r w:rsidRPr="00731EFB">
        <w:rPr>
          <w:lang w:val="fr-FR"/>
        </w:rPr>
        <w:t>travail de l</w:t>
      </w:r>
      <w:r w:rsidR="00864B14">
        <w:rPr>
          <w:lang w:val="fr-FR"/>
        </w:rPr>
        <w:t>’</w:t>
      </w:r>
      <w:r w:rsidRPr="00731EFB">
        <w:rPr>
          <w:lang w:val="fr-FR"/>
        </w:rPr>
        <w:t>auteur. La négation de ce droit par l</w:t>
      </w:r>
      <w:r w:rsidR="00864B14">
        <w:rPr>
          <w:lang w:val="fr-FR"/>
        </w:rPr>
        <w:t>’</w:t>
      </w:r>
      <w:r w:rsidRPr="00731EFB">
        <w:rPr>
          <w:lang w:val="fr-FR"/>
        </w:rPr>
        <w:t>État partie constitue donc une violation de l</w:t>
      </w:r>
      <w:r w:rsidR="00864B14">
        <w:rPr>
          <w:lang w:val="fr-FR"/>
        </w:rPr>
        <w:t>’</w:t>
      </w:r>
      <w:r w:rsidRPr="00731EFB">
        <w:rPr>
          <w:lang w:val="fr-FR"/>
        </w:rPr>
        <w:t>obligation de garantir l</w:t>
      </w:r>
      <w:r w:rsidR="00864B14">
        <w:rPr>
          <w:lang w:val="fr-FR"/>
        </w:rPr>
        <w:t>’</w:t>
      </w:r>
      <w:r w:rsidRPr="00731EFB">
        <w:rPr>
          <w:lang w:val="fr-FR"/>
        </w:rPr>
        <w:t>accès au droit au travail tel q</w:t>
      </w:r>
      <w:r>
        <w:rPr>
          <w:lang w:val="fr-FR"/>
        </w:rPr>
        <w:t>u</w:t>
      </w:r>
      <w:r w:rsidR="00864B14">
        <w:rPr>
          <w:lang w:val="fr-FR"/>
        </w:rPr>
        <w:t>’</w:t>
      </w:r>
      <w:r>
        <w:rPr>
          <w:lang w:val="fr-FR"/>
        </w:rPr>
        <w:t>énoncé à l</w:t>
      </w:r>
      <w:r w:rsidR="00864B14">
        <w:rPr>
          <w:lang w:val="fr-FR"/>
        </w:rPr>
        <w:t>’</w:t>
      </w:r>
      <w:r>
        <w:rPr>
          <w:lang w:val="fr-FR"/>
        </w:rPr>
        <w:t>article 6 du Pacte</w:t>
      </w:r>
      <w:r w:rsidRPr="000C41A6">
        <w:rPr>
          <w:rStyle w:val="Appelnotedebasdep"/>
        </w:rPr>
        <w:footnoteReference w:id="9"/>
      </w:r>
      <w:r w:rsidRPr="00D44AEF">
        <w:rPr>
          <w:lang w:val="fr-FR"/>
        </w:rPr>
        <w:t xml:space="preserve">. </w:t>
      </w:r>
      <w:r w:rsidRPr="00A466D9">
        <w:rPr>
          <w:lang w:val="fr-FR"/>
        </w:rPr>
        <w:t>Étant donné que les droits énoncés dans la convention collective sont directement liés au droit du travail, il faut comprendre que l</w:t>
      </w:r>
      <w:r w:rsidR="00864B14">
        <w:rPr>
          <w:lang w:val="fr-FR"/>
        </w:rPr>
        <w:t>’</w:t>
      </w:r>
      <w:r w:rsidRPr="00A466D9">
        <w:rPr>
          <w:lang w:val="fr-FR"/>
        </w:rPr>
        <w:t>État partie n</w:t>
      </w:r>
      <w:r w:rsidR="00864B14">
        <w:rPr>
          <w:lang w:val="fr-FR"/>
        </w:rPr>
        <w:t>’</w:t>
      </w:r>
      <w:r w:rsidRPr="00A466D9">
        <w:rPr>
          <w:lang w:val="fr-FR"/>
        </w:rPr>
        <w:t>a pas respecté son obligation de protéger et de mettre en œuvre l</w:t>
      </w:r>
      <w:r>
        <w:rPr>
          <w:lang w:val="fr-FR"/>
        </w:rPr>
        <w:t>es droits énoncés dans le Pacte</w:t>
      </w:r>
      <w:r w:rsidRPr="00A466D9">
        <w:rPr>
          <w:lang w:val="fr-FR"/>
        </w:rPr>
        <w:t xml:space="preserve">. </w:t>
      </w:r>
      <w:r w:rsidRPr="00EF5B23">
        <w:rPr>
          <w:lang w:val="fr-FR"/>
        </w:rPr>
        <w:t>L</w:t>
      </w:r>
      <w:r w:rsidR="00864B14">
        <w:rPr>
          <w:lang w:val="fr-FR"/>
        </w:rPr>
        <w:t>’</w:t>
      </w:r>
      <w:r w:rsidRPr="00EF5B23">
        <w:rPr>
          <w:lang w:val="fr-FR"/>
        </w:rPr>
        <w:t>auteur ajoute que l</w:t>
      </w:r>
      <w:r w:rsidR="00864B14">
        <w:rPr>
          <w:lang w:val="fr-FR"/>
        </w:rPr>
        <w:t>’</w:t>
      </w:r>
      <w:r w:rsidRPr="00EF5B23">
        <w:rPr>
          <w:lang w:val="fr-FR"/>
        </w:rPr>
        <w:t>article</w:t>
      </w:r>
      <w:r w:rsidR="00013A9E">
        <w:rPr>
          <w:lang w:val="fr-FR"/>
        </w:rPr>
        <w:t xml:space="preserve"> </w:t>
      </w:r>
      <w:r w:rsidRPr="00EF5B23">
        <w:rPr>
          <w:lang w:val="fr-FR"/>
        </w:rPr>
        <w:t>8 du Code du travail énonce les éléments d</w:t>
      </w:r>
      <w:r w:rsidR="00864B14">
        <w:rPr>
          <w:lang w:val="fr-FR"/>
        </w:rPr>
        <w:t>’</w:t>
      </w:r>
      <w:r w:rsidRPr="00EF5B23">
        <w:rPr>
          <w:lang w:val="fr-FR"/>
        </w:rPr>
        <w:t>une relation de travail</w:t>
      </w:r>
      <w:r>
        <w:rPr>
          <w:lang w:val="fr-FR"/>
        </w:rPr>
        <w:t xml:space="preserve">, dont fait partie </w:t>
      </w:r>
      <w:r w:rsidRPr="00EF5B23">
        <w:rPr>
          <w:lang w:val="fr-FR"/>
        </w:rPr>
        <w:t xml:space="preserve">la rémunération, qui est également un droit du travailleur. </w:t>
      </w:r>
      <w:r w:rsidRPr="003837B5">
        <w:rPr>
          <w:lang w:val="fr-FR"/>
        </w:rPr>
        <w:t xml:space="preserve">La notion de rémunération ne </w:t>
      </w:r>
      <w:r>
        <w:rPr>
          <w:lang w:val="fr-FR"/>
        </w:rPr>
        <w:t>saurait</w:t>
      </w:r>
      <w:r w:rsidRPr="003837B5">
        <w:rPr>
          <w:lang w:val="fr-FR"/>
        </w:rPr>
        <w:t xml:space="preserve"> être comprise </w:t>
      </w:r>
      <w:r>
        <w:rPr>
          <w:lang w:val="fr-FR"/>
        </w:rPr>
        <w:t>comme un simple</w:t>
      </w:r>
      <w:r w:rsidRPr="003837B5">
        <w:rPr>
          <w:lang w:val="fr-FR"/>
        </w:rPr>
        <w:t xml:space="preserve"> salaire, mais </w:t>
      </w:r>
      <w:r>
        <w:rPr>
          <w:lang w:val="fr-FR"/>
        </w:rPr>
        <w:t>aussi</w:t>
      </w:r>
      <w:r w:rsidRPr="003837B5">
        <w:rPr>
          <w:lang w:val="fr-FR"/>
        </w:rPr>
        <w:t xml:space="preserve"> comme un droit du travailleur à </w:t>
      </w:r>
      <w:r>
        <w:rPr>
          <w:lang w:val="fr-FR"/>
        </w:rPr>
        <w:t>des indemnités ou à des primes</w:t>
      </w:r>
      <w:r w:rsidRPr="003837B5">
        <w:rPr>
          <w:lang w:val="fr-FR"/>
        </w:rPr>
        <w:t>.</w:t>
      </w:r>
    </w:p>
    <w:p w:rsidR="00EE196F" w:rsidRPr="00525542" w:rsidRDefault="00EE196F" w:rsidP="00EE196F">
      <w:pPr>
        <w:pStyle w:val="SingleTxtG"/>
        <w:rPr>
          <w:lang w:val="fr-FR"/>
        </w:rPr>
      </w:pPr>
      <w:r w:rsidRPr="00044641">
        <w:rPr>
          <w:lang w:val="fr-FR"/>
        </w:rPr>
        <w:t xml:space="preserve">5.7 </w:t>
      </w:r>
      <w:r w:rsidRPr="00044641">
        <w:rPr>
          <w:lang w:val="fr-FR"/>
        </w:rPr>
        <w:tab/>
        <w:t>L</w:t>
      </w:r>
      <w:r w:rsidR="00864B14">
        <w:rPr>
          <w:lang w:val="fr-FR"/>
        </w:rPr>
        <w:t>’</w:t>
      </w:r>
      <w:r w:rsidRPr="00044641">
        <w:rPr>
          <w:lang w:val="fr-FR"/>
        </w:rPr>
        <w:t xml:space="preserve">auteur </w:t>
      </w:r>
      <w:r>
        <w:rPr>
          <w:lang w:val="fr-FR"/>
        </w:rPr>
        <w:t>rappelle les griefs qu</w:t>
      </w:r>
      <w:r w:rsidR="00864B14">
        <w:rPr>
          <w:lang w:val="fr-FR"/>
        </w:rPr>
        <w:t>’</w:t>
      </w:r>
      <w:r>
        <w:rPr>
          <w:lang w:val="fr-FR"/>
        </w:rPr>
        <w:t xml:space="preserve">il tire de la </w:t>
      </w:r>
      <w:r w:rsidRPr="00044641">
        <w:rPr>
          <w:lang w:val="fr-FR"/>
        </w:rPr>
        <w:t>violation de l</w:t>
      </w:r>
      <w:r w:rsidR="00864B14">
        <w:rPr>
          <w:lang w:val="fr-FR"/>
        </w:rPr>
        <w:t>’</w:t>
      </w:r>
      <w:r w:rsidRPr="00044641">
        <w:rPr>
          <w:lang w:val="fr-FR"/>
        </w:rPr>
        <w:t>article</w:t>
      </w:r>
      <w:r>
        <w:rPr>
          <w:lang w:val="fr-FR"/>
        </w:rPr>
        <w:t> </w:t>
      </w:r>
      <w:r w:rsidRPr="00044641">
        <w:rPr>
          <w:lang w:val="fr-FR"/>
        </w:rPr>
        <w:t xml:space="preserve">12 du Pacte. Le droit à la santé ne </w:t>
      </w:r>
      <w:r>
        <w:rPr>
          <w:lang w:val="fr-FR"/>
        </w:rPr>
        <w:t>saurait</w:t>
      </w:r>
      <w:r w:rsidRPr="00044641">
        <w:rPr>
          <w:lang w:val="fr-FR"/>
        </w:rPr>
        <w:t xml:space="preserve"> être compris comme un simple droit à la santé, </w:t>
      </w:r>
      <w:r>
        <w:rPr>
          <w:lang w:val="fr-FR"/>
        </w:rPr>
        <w:t>car</w:t>
      </w:r>
      <w:r w:rsidRPr="00044641">
        <w:rPr>
          <w:lang w:val="fr-FR"/>
        </w:rPr>
        <w:t xml:space="preserve"> les États parties ont </w:t>
      </w:r>
      <w:r>
        <w:rPr>
          <w:lang w:val="fr-FR"/>
        </w:rPr>
        <w:t xml:space="preserve">aussi </w:t>
      </w:r>
      <w:r w:rsidRPr="00044641">
        <w:rPr>
          <w:lang w:val="fr-FR"/>
        </w:rPr>
        <w:t>l</w:t>
      </w:r>
      <w:r w:rsidR="00864B14">
        <w:rPr>
          <w:lang w:val="fr-FR"/>
        </w:rPr>
        <w:t>’</w:t>
      </w:r>
      <w:r w:rsidRPr="00044641">
        <w:rPr>
          <w:lang w:val="fr-FR"/>
        </w:rPr>
        <w:t>obligation positive d</w:t>
      </w:r>
      <w:r w:rsidR="00864B14">
        <w:rPr>
          <w:lang w:val="fr-FR"/>
        </w:rPr>
        <w:t>’</w:t>
      </w:r>
      <w:r w:rsidRPr="00044641">
        <w:rPr>
          <w:lang w:val="fr-FR"/>
        </w:rPr>
        <w:t>assurer des conditions de travail saines en vertu de l</w:t>
      </w:r>
      <w:r w:rsidR="00864B14">
        <w:rPr>
          <w:lang w:val="fr-FR"/>
        </w:rPr>
        <w:t>’</w:t>
      </w:r>
      <w:r w:rsidRPr="00044641">
        <w:rPr>
          <w:lang w:val="fr-FR"/>
        </w:rPr>
        <w:t>article</w:t>
      </w:r>
      <w:r w:rsidR="00013A9E">
        <w:rPr>
          <w:lang w:val="fr-FR"/>
        </w:rPr>
        <w:t xml:space="preserve"> </w:t>
      </w:r>
      <w:r w:rsidRPr="00044641">
        <w:rPr>
          <w:lang w:val="fr-FR"/>
        </w:rPr>
        <w:t>12 du Pacte</w:t>
      </w:r>
      <w:r w:rsidRPr="000C41A6">
        <w:rPr>
          <w:rStyle w:val="Appelnotedebasdep"/>
        </w:rPr>
        <w:footnoteReference w:id="10"/>
      </w:r>
      <w:r w:rsidRPr="00CC5BA5">
        <w:rPr>
          <w:lang w:val="fr-FR"/>
        </w:rPr>
        <w:t xml:space="preserve">. </w:t>
      </w:r>
      <w:r w:rsidRPr="006F174B">
        <w:rPr>
          <w:lang w:val="fr-FR"/>
        </w:rPr>
        <w:t>En l</w:t>
      </w:r>
      <w:r w:rsidR="00864B14">
        <w:rPr>
          <w:lang w:val="fr-FR"/>
        </w:rPr>
        <w:t>’</w:t>
      </w:r>
      <w:r w:rsidRPr="006F174B">
        <w:rPr>
          <w:lang w:val="fr-FR"/>
        </w:rPr>
        <w:t>espèce, par l</w:t>
      </w:r>
      <w:r w:rsidR="00864B14">
        <w:rPr>
          <w:lang w:val="fr-FR"/>
        </w:rPr>
        <w:t>’</w:t>
      </w:r>
      <w:r w:rsidRPr="006F174B">
        <w:rPr>
          <w:lang w:val="fr-FR"/>
        </w:rPr>
        <w:t>intermédiaire de PETROECUADOR, l</w:t>
      </w:r>
      <w:r w:rsidR="00864B14">
        <w:rPr>
          <w:lang w:val="fr-FR"/>
        </w:rPr>
        <w:t>’</w:t>
      </w:r>
      <w:r w:rsidRPr="006F174B">
        <w:rPr>
          <w:lang w:val="fr-FR"/>
        </w:rPr>
        <w:t>État partie a manqué à ses obligations de garantir le droit de l</w:t>
      </w:r>
      <w:r w:rsidR="00864B14">
        <w:rPr>
          <w:lang w:val="fr-FR"/>
        </w:rPr>
        <w:t>’</w:t>
      </w:r>
      <w:r w:rsidRPr="006F174B">
        <w:rPr>
          <w:lang w:val="fr-FR"/>
        </w:rPr>
        <w:t>auteur au meilleur état de santé possible. L</w:t>
      </w:r>
      <w:r w:rsidR="00864B14">
        <w:rPr>
          <w:lang w:val="fr-FR"/>
        </w:rPr>
        <w:t>’</w:t>
      </w:r>
      <w:r w:rsidRPr="006F174B">
        <w:rPr>
          <w:lang w:val="fr-FR"/>
        </w:rPr>
        <w:t xml:space="preserve">auteur </w:t>
      </w:r>
      <w:r>
        <w:rPr>
          <w:lang w:val="fr-FR"/>
        </w:rPr>
        <w:t>rappelle qu</w:t>
      </w:r>
      <w:r w:rsidR="00864B14">
        <w:rPr>
          <w:lang w:val="fr-FR"/>
        </w:rPr>
        <w:t>’</w:t>
      </w:r>
      <w:r>
        <w:rPr>
          <w:lang w:val="fr-FR"/>
        </w:rPr>
        <w:t>en l</w:t>
      </w:r>
      <w:r w:rsidR="00864B14">
        <w:rPr>
          <w:lang w:val="fr-FR"/>
        </w:rPr>
        <w:t>’</w:t>
      </w:r>
      <w:r>
        <w:rPr>
          <w:lang w:val="fr-FR"/>
        </w:rPr>
        <w:t>absence de</w:t>
      </w:r>
      <w:r w:rsidRPr="006F174B">
        <w:rPr>
          <w:lang w:val="fr-FR"/>
        </w:rPr>
        <w:t xml:space="preserve"> conditions de travail sûres</w:t>
      </w:r>
      <w:r>
        <w:rPr>
          <w:lang w:val="fr-FR"/>
        </w:rPr>
        <w:t xml:space="preserve"> et satisfaisantes chez</w:t>
      </w:r>
      <w:r w:rsidRPr="006F174B">
        <w:rPr>
          <w:lang w:val="fr-FR"/>
        </w:rPr>
        <w:t xml:space="preserve"> PETROECUADOR, il souffre actuellement de la maladie de Parkinson et d</w:t>
      </w:r>
      <w:r w:rsidR="00864B14">
        <w:rPr>
          <w:lang w:val="fr-FR"/>
        </w:rPr>
        <w:t>’</w:t>
      </w:r>
      <w:r w:rsidRPr="006F174B">
        <w:rPr>
          <w:lang w:val="fr-FR"/>
        </w:rPr>
        <w:t>une déficience auditive</w:t>
      </w:r>
      <w:r w:rsidRPr="000C41A6">
        <w:rPr>
          <w:rStyle w:val="Appelnotedebasdep"/>
        </w:rPr>
        <w:footnoteReference w:id="11"/>
      </w:r>
      <w:r w:rsidRPr="006F174B">
        <w:rPr>
          <w:lang w:val="fr-FR"/>
        </w:rPr>
        <w:t xml:space="preserve">. </w:t>
      </w:r>
      <w:r w:rsidRPr="00525542">
        <w:rPr>
          <w:lang w:val="fr-FR"/>
        </w:rPr>
        <w:t>L</w:t>
      </w:r>
      <w:r w:rsidR="00864B14">
        <w:rPr>
          <w:lang w:val="fr-FR"/>
        </w:rPr>
        <w:t>’</w:t>
      </w:r>
      <w:r w:rsidRPr="00525542">
        <w:rPr>
          <w:lang w:val="fr-FR"/>
        </w:rPr>
        <w:t>aut</w:t>
      </w:r>
      <w:r>
        <w:rPr>
          <w:lang w:val="fr-FR"/>
        </w:rPr>
        <w:t>eur ajoute que l</w:t>
      </w:r>
      <w:r w:rsidR="00864B14">
        <w:rPr>
          <w:lang w:val="fr-FR"/>
        </w:rPr>
        <w:t>’</w:t>
      </w:r>
      <w:r>
        <w:rPr>
          <w:lang w:val="fr-FR"/>
        </w:rPr>
        <w:t>État partie ne l</w:t>
      </w:r>
      <w:r w:rsidR="00864B14">
        <w:rPr>
          <w:lang w:val="fr-FR"/>
        </w:rPr>
        <w:t>’</w:t>
      </w:r>
      <w:r w:rsidRPr="00525542">
        <w:rPr>
          <w:lang w:val="fr-FR"/>
        </w:rPr>
        <w:t xml:space="preserve">a pas aidé à </w:t>
      </w:r>
      <w:r>
        <w:rPr>
          <w:lang w:val="fr-FR"/>
        </w:rPr>
        <w:t>se soigner</w:t>
      </w:r>
      <w:r w:rsidRPr="00525542">
        <w:rPr>
          <w:lang w:val="fr-FR"/>
        </w:rPr>
        <w:t xml:space="preserve"> parce </w:t>
      </w:r>
      <w:r>
        <w:rPr>
          <w:lang w:val="fr-FR"/>
        </w:rPr>
        <w:t>que</w:t>
      </w:r>
      <w:r w:rsidRPr="00525542">
        <w:rPr>
          <w:lang w:val="fr-FR"/>
        </w:rPr>
        <w:t xml:space="preserve"> l</w:t>
      </w:r>
      <w:r w:rsidR="00864B14">
        <w:rPr>
          <w:lang w:val="fr-FR"/>
        </w:rPr>
        <w:t>’</w:t>
      </w:r>
      <w:r w:rsidRPr="00525542">
        <w:rPr>
          <w:lang w:val="fr-FR"/>
        </w:rPr>
        <w:t>Institut équatorien de sécurité sociale</w:t>
      </w:r>
      <w:r>
        <w:rPr>
          <w:lang w:val="fr-FR"/>
        </w:rPr>
        <w:t xml:space="preserve"> où il s</w:t>
      </w:r>
      <w:r w:rsidR="00864B14">
        <w:rPr>
          <w:lang w:val="fr-FR"/>
        </w:rPr>
        <w:t>’</w:t>
      </w:r>
      <w:r>
        <w:rPr>
          <w:lang w:val="fr-FR"/>
        </w:rPr>
        <w:t xml:space="preserve">est rendu </w:t>
      </w:r>
      <w:r w:rsidRPr="00525542">
        <w:rPr>
          <w:lang w:val="fr-FR"/>
        </w:rPr>
        <w:t xml:space="preserve">ne disposait pas du médicament </w:t>
      </w:r>
      <w:r>
        <w:rPr>
          <w:lang w:val="fr-FR"/>
        </w:rPr>
        <w:t>adapté</w:t>
      </w:r>
      <w:r w:rsidRPr="00525542">
        <w:rPr>
          <w:lang w:val="fr-FR"/>
        </w:rPr>
        <w:t xml:space="preserve"> </w:t>
      </w:r>
      <w:r>
        <w:rPr>
          <w:lang w:val="fr-FR"/>
        </w:rPr>
        <w:t>à son</w:t>
      </w:r>
      <w:r w:rsidRPr="00525542">
        <w:rPr>
          <w:lang w:val="fr-FR"/>
        </w:rPr>
        <w:t xml:space="preserve"> traitement </w:t>
      </w:r>
      <w:r>
        <w:rPr>
          <w:lang w:val="fr-FR"/>
        </w:rPr>
        <w:t>et qu</w:t>
      </w:r>
      <w:r w:rsidR="00864B14">
        <w:rPr>
          <w:lang w:val="fr-FR"/>
        </w:rPr>
        <w:t>’</w:t>
      </w:r>
      <w:r>
        <w:rPr>
          <w:lang w:val="fr-FR"/>
        </w:rPr>
        <w:t xml:space="preserve">il a dû </w:t>
      </w:r>
      <w:r w:rsidRPr="00525542">
        <w:rPr>
          <w:lang w:val="fr-FR"/>
        </w:rPr>
        <w:t>s</w:t>
      </w:r>
      <w:r w:rsidR="00864B14">
        <w:rPr>
          <w:lang w:val="fr-FR"/>
        </w:rPr>
        <w:t>’</w:t>
      </w:r>
      <w:r w:rsidRPr="00525542">
        <w:rPr>
          <w:lang w:val="fr-FR"/>
        </w:rPr>
        <w:t>adre</w:t>
      </w:r>
      <w:r w:rsidR="00013A9E">
        <w:rPr>
          <w:lang w:val="fr-FR"/>
        </w:rPr>
        <w:t>sser à des prestataires privés.</w:t>
      </w:r>
    </w:p>
    <w:p w:rsidR="00EE196F" w:rsidRPr="00B74B50" w:rsidRDefault="00EE196F" w:rsidP="00013A9E">
      <w:pPr>
        <w:pStyle w:val="H23G"/>
        <w:rPr>
          <w:lang w:val="fr-FR"/>
        </w:rPr>
      </w:pPr>
      <w:r w:rsidRPr="00525542">
        <w:rPr>
          <w:lang w:val="fr-FR"/>
        </w:rPr>
        <w:tab/>
      </w:r>
      <w:r w:rsidRPr="00525542">
        <w:rPr>
          <w:lang w:val="fr-FR"/>
        </w:rPr>
        <w:tab/>
      </w:r>
      <w:r w:rsidRPr="00B74B50">
        <w:rPr>
          <w:lang w:val="fr-FR"/>
        </w:rPr>
        <w:t xml:space="preserve">Renseignements complémentaires communiqués par les parties </w:t>
      </w:r>
    </w:p>
    <w:p w:rsidR="00EE196F" w:rsidRPr="00B32A98" w:rsidRDefault="00EE196F" w:rsidP="00013A9E">
      <w:pPr>
        <w:pStyle w:val="H4G"/>
        <w:rPr>
          <w:lang w:val="fr-FR"/>
        </w:rPr>
      </w:pPr>
      <w:r>
        <w:rPr>
          <w:lang w:val="fr-FR"/>
        </w:rPr>
        <w:tab/>
      </w:r>
      <w:r w:rsidRPr="00B74B50">
        <w:rPr>
          <w:lang w:val="fr-FR"/>
        </w:rPr>
        <w:tab/>
      </w:r>
      <w:r w:rsidRPr="00B32A98">
        <w:rPr>
          <w:lang w:val="fr-FR"/>
        </w:rPr>
        <w:t>État partie</w:t>
      </w:r>
    </w:p>
    <w:p w:rsidR="00EE196F" w:rsidRPr="00A822D6" w:rsidRDefault="00EE196F" w:rsidP="00EE196F">
      <w:pPr>
        <w:pStyle w:val="SingleTxtG"/>
        <w:rPr>
          <w:lang w:val="fr-FR"/>
        </w:rPr>
      </w:pPr>
      <w:r w:rsidRPr="00A822D6">
        <w:rPr>
          <w:lang w:val="fr-FR"/>
        </w:rPr>
        <w:t>6.1</w:t>
      </w:r>
      <w:r w:rsidRPr="00A822D6">
        <w:rPr>
          <w:lang w:val="fr-FR"/>
        </w:rPr>
        <w:tab/>
        <w:t>Le 3</w:t>
      </w:r>
      <w:r>
        <w:rPr>
          <w:lang w:val="fr-FR"/>
        </w:rPr>
        <w:t> </w:t>
      </w:r>
      <w:r w:rsidRPr="00A822D6">
        <w:rPr>
          <w:lang w:val="fr-FR"/>
        </w:rPr>
        <w:t>mars 2017, l</w:t>
      </w:r>
      <w:r w:rsidR="00864B14">
        <w:rPr>
          <w:lang w:val="fr-FR"/>
        </w:rPr>
        <w:t>’</w:t>
      </w:r>
      <w:r w:rsidRPr="00A822D6">
        <w:rPr>
          <w:lang w:val="fr-FR"/>
        </w:rPr>
        <w:t xml:space="preserve">État partie a présenté des observations complémentaires et </w:t>
      </w:r>
      <w:r>
        <w:rPr>
          <w:lang w:val="fr-FR"/>
        </w:rPr>
        <w:t>rappelé</w:t>
      </w:r>
      <w:r w:rsidRPr="00A822D6">
        <w:rPr>
          <w:lang w:val="fr-FR"/>
        </w:rPr>
        <w:t xml:space="preserve"> ses observations sur la recevabilité et le fond de la communication. Il souligne que les observations de l</w:t>
      </w:r>
      <w:r w:rsidR="00864B14">
        <w:rPr>
          <w:lang w:val="fr-FR"/>
        </w:rPr>
        <w:t>’</w:t>
      </w:r>
      <w:r w:rsidRPr="00A822D6">
        <w:rPr>
          <w:lang w:val="fr-FR"/>
        </w:rPr>
        <w:t xml:space="preserve">auteur ne présentent aucune nouvelle information susceptible de </w:t>
      </w:r>
      <w:r>
        <w:rPr>
          <w:lang w:val="fr-FR"/>
        </w:rPr>
        <w:t>faire apparaître</w:t>
      </w:r>
      <w:r w:rsidRPr="00A822D6">
        <w:rPr>
          <w:lang w:val="fr-FR"/>
        </w:rPr>
        <w:t xml:space="preserve"> une violation des droits que lui reconnaît le Pacte.</w:t>
      </w:r>
    </w:p>
    <w:p w:rsidR="00EE196F" w:rsidRPr="00671A17" w:rsidRDefault="00EE196F" w:rsidP="00EE196F">
      <w:pPr>
        <w:pStyle w:val="SingleTxtG"/>
        <w:rPr>
          <w:color w:val="000000"/>
          <w:lang w:val="fr-FR"/>
        </w:rPr>
      </w:pPr>
      <w:r w:rsidRPr="00765C28">
        <w:rPr>
          <w:lang w:val="fr-FR"/>
        </w:rPr>
        <w:t xml:space="preserve">6.2 </w:t>
      </w:r>
      <w:r w:rsidRPr="00765C28">
        <w:rPr>
          <w:lang w:val="fr-FR"/>
        </w:rPr>
        <w:tab/>
        <w:t>L</w:t>
      </w:r>
      <w:r w:rsidR="00864B14">
        <w:rPr>
          <w:lang w:val="fr-FR"/>
        </w:rPr>
        <w:t>’</w:t>
      </w:r>
      <w:r w:rsidRPr="00765C28">
        <w:rPr>
          <w:lang w:val="fr-FR"/>
        </w:rPr>
        <w:t>action extraordinaire e</w:t>
      </w:r>
      <w:r>
        <w:rPr>
          <w:lang w:val="fr-FR"/>
        </w:rPr>
        <w:t xml:space="preserve">n protection </w:t>
      </w:r>
      <w:r w:rsidRPr="00765C28">
        <w:rPr>
          <w:lang w:val="fr-FR"/>
        </w:rPr>
        <w:t>engagée par l</w:t>
      </w:r>
      <w:r w:rsidR="00864B14">
        <w:rPr>
          <w:lang w:val="fr-FR"/>
        </w:rPr>
        <w:t>’</w:t>
      </w:r>
      <w:r w:rsidRPr="00765C28">
        <w:rPr>
          <w:lang w:val="fr-FR"/>
        </w:rPr>
        <w:t xml:space="preserve">auteur devant la Cour constitutionnelle </w:t>
      </w:r>
      <w:r>
        <w:rPr>
          <w:lang w:val="fr-FR"/>
        </w:rPr>
        <w:t>n</w:t>
      </w:r>
      <w:r w:rsidR="00864B14">
        <w:rPr>
          <w:lang w:val="fr-FR"/>
        </w:rPr>
        <w:t>’</w:t>
      </w:r>
      <w:r>
        <w:rPr>
          <w:lang w:val="fr-FR"/>
        </w:rPr>
        <w:t>avait pas pour objet de dénoncer une</w:t>
      </w:r>
      <w:r w:rsidRPr="00765C28">
        <w:rPr>
          <w:lang w:val="fr-FR"/>
        </w:rPr>
        <w:t xml:space="preserve"> violation de son droit </w:t>
      </w:r>
      <w:r>
        <w:rPr>
          <w:lang w:val="fr-FR"/>
        </w:rPr>
        <w:t>de percevoir une prime ou des indemnités d</w:t>
      </w:r>
      <w:r w:rsidR="00864B14">
        <w:rPr>
          <w:lang w:val="fr-FR"/>
        </w:rPr>
        <w:t>’</w:t>
      </w:r>
      <w:r>
        <w:rPr>
          <w:lang w:val="fr-FR"/>
        </w:rPr>
        <w:t>emploi</w:t>
      </w:r>
      <w:r w:rsidRPr="00340D93">
        <w:rPr>
          <w:lang w:val="fr-FR"/>
        </w:rPr>
        <w:t xml:space="preserve"> </w:t>
      </w:r>
      <w:r w:rsidRPr="00765C28">
        <w:rPr>
          <w:lang w:val="fr-FR"/>
        </w:rPr>
        <w:t xml:space="preserve">ou de son droit à la santé </w:t>
      </w:r>
      <w:r>
        <w:rPr>
          <w:lang w:val="fr-FR"/>
        </w:rPr>
        <w:t>du fait</w:t>
      </w:r>
      <w:r w:rsidRPr="00765C28">
        <w:rPr>
          <w:lang w:val="fr-FR"/>
        </w:rPr>
        <w:t xml:space="preserve"> de</w:t>
      </w:r>
      <w:r>
        <w:rPr>
          <w:lang w:val="fr-FR"/>
        </w:rPr>
        <w:t xml:space="preserve"> mauvaise</w:t>
      </w:r>
      <w:r w:rsidRPr="00765C28">
        <w:rPr>
          <w:lang w:val="fr-FR"/>
        </w:rPr>
        <w:t xml:space="preserve">s conditions de travail, mais une </w:t>
      </w:r>
      <w:r>
        <w:rPr>
          <w:lang w:val="fr-FR"/>
        </w:rPr>
        <w:t xml:space="preserve">supposée </w:t>
      </w:r>
      <w:r w:rsidRPr="00765C28">
        <w:rPr>
          <w:lang w:val="fr-FR"/>
        </w:rPr>
        <w:t>violation des garanties du droit à une procédure régulière découlant de l</w:t>
      </w:r>
      <w:r w:rsidR="00864B14">
        <w:rPr>
          <w:lang w:val="fr-FR"/>
        </w:rPr>
        <w:t>’</w:t>
      </w:r>
      <w:r w:rsidRPr="00765C28">
        <w:rPr>
          <w:lang w:val="fr-FR"/>
        </w:rPr>
        <w:t xml:space="preserve">arrêt en cassation. </w:t>
      </w:r>
      <w:r w:rsidRPr="0091129E">
        <w:rPr>
          <w:lang w:val="fr-FR"/>
        </w:rPr>
        <w:t>Par conséquent, l</w:t>
      </w:r>
      <w:r w:rsidR="00864B14">
        <w:rPr>
          <w:lang w:val="fr-FR"/>
        </w:rPr>
        <w:t>’</w:t>
      </w:r>
      <w:r w:rsidRPr="0091129E">
        <w:rPr>
          <w:lang w:val="fr-FR"/>
        </w:rPr>
        <w:t xml:space="preserve">auteur a intenté une action en justice devant les tribunaux ordinaires pour violation </w:t>
      </w:r>
      <w:r>
        <w:rPr>
          <w:lang w:val="fr-FR"/>
        </w:rPr>
        <w:t>présumée</w:t>
      </w:r>
      <w:r w:rsidRPr="0091129E">
        <w:rPr>
          <w:lang w:val="fr-FR"/>
        </w:rPr>
        <w:t xml:space="preserve"> de son droit à </w:t>
      </w:r>
      <w:r>
        <w:rPr>
          <w:lang w:val="fr-FR"/>
        </w:rPr>
        <w:t>percevoir</w:t>
      </w:r>
      <w:r w:rsidRPr="0091129E">
        <w:rPr>
          <w:lang w:val="fr-FR"/>
        </w:rPr>
        <w:t xml:space="preserve"> une prime </w:t>
      </w:r>
      <w:r>
        <w:rPr>
          <w:lang w:val="fr-FR"/>
        </w:rPr>
        <w:t xml:space="preserve">prévue par </w:t>
      </w:r>
      <w:r w:rsidRPr="0091129E">
        <w:rPr>
          <w:lang w:val="fr-FR"/>
        </w:rPr>
        <w:t>u</w:t>
      </w:r>
      <w:r>
        <w:rPr>
          <w:lang w:val="fr-FR"/>
        </w:rPr>
        <w:t xml:space="preserve">ne convention </w:t>
      </w:r>
      <w:r w:rsidRPr="0091129E">
        <w:rPr>
          <w:lang w:val="fr-FR"/>
        </w:rPr>
        <w:t>collecti</w:t>
      </w:r>
      <w:r>
        <w:rPr>
          <w:lang w:val="fr-FR"/>
        </w:rPr>
        <w:t>ve</w:t>
      </w:r>
      <w:r w:rsidRPr="0091129E">
        <w:rPr>
          <w:lang w:val="fr-FR"/>
        </w:rPr>
        <w:t xml:space="preserve"> de travail, dans le cadre d</w:t>
      </w:r>
      <w:r w:rsidR="00864B14">
        <w:rPr>
          <w:lang w:val="fr-FR"/>
        </w:rPr>
        <w:t>’</w:t>
      </w:r>
      <w:r w:rsidRPr="0091129E">
        <w:rPr>
          <w:lang w:val="fr-FR"/>
        </w:rPr>
        <w:t xml:space="preserve">une procédure devant un tribunal du travail, seul mécanisme approprié et efficace à cet effet, </w:t>
      </w:r>
      <w:r>
        <w:rPr>
          <w:lang w:val="fr-FR"/>
        </w:rPr>
        <w:t>qui s</w:t>
      </w:r>
      <w:r w:rsidR="00864B14">
        <w:rPr>
          <w:lang w:val="fr-FR"/>
        </w:rPr>
        <w:t>’</w:t>
      </w:r>
      <w:r>
        <w:rPr>
          <w:lang w:val="fr-FR"/>
        </w:rPr>
        <w:t>était soldée</w:t>
      </w:r>
      <w:r w:rsidRPr="0091129E">
        <w:rPr>
          <w:lang w:val="fr-FR"/>
        </w:rPr>
        <w:t xml:space="preserve"> par un jugement de </w:t>
      </w:r>
      <w:r>
        <w:rPr>
          <w:lang w:val="fr-FR"/>
        </w:rPr>
        <w:t>cassation l</w:t>
      </w:r>
      <w:r w:rsidR="00864B14">
        <w:rPr>
          <w:lang w:val="fr-FR"/>
        </w:rPr>
        <w:t>’</w:t>
      </w:r>
      <w:r>
        <w:rPr>
          <w:lang w:val="fr-FR"/>
        </w:rPr>
        <w:t>ayant débouté de ses demandes</w:t>
      </w:r>
      <w:r w:rsidRPr="0091129E">
        <w:rPr>
          <w:lang w:val="fr-FR"/>
        </w:rPr>
        <w:t xml:space="preserve">. </w:t>
      </w:r>
      <w:r w:rsidRPr="00671A17">
        <w:rPr>
          <w:lang w:val="fr-FR"/>
        </w:rPr>
        <w:t>L</w:t>
      </w:r>
      <w:r w:rsidR="00864B14">
        <w:rPr>
          <w:lang w:val="fr-FR"/>
        </w:rPr>
        <w:t>’</w:t>
      </w:r>
      <w:r w:rsidRPr="00671A17">
        <w:rPr>
          <w:lang w:val="fr-FR"/>
        </w:rPr>
        <w:t xml:space="preserve">action extraordinaire </w:t>
      </w:r>
      <w:r>
        <w:rPr>
          <w:lang w:val="fr-FR"/>
        </w:rPr>
        <w:t>en</w:t>
      </w:r>
      <w:r w:rsidRPr="00671A17">
        <w:rPr>
          <w:lang w:val="fr-FR"/>
        </w:rPr>
        <w:t xml:space="preserve"> protection </w:t>
      </w:r>
      <w:r>
        <w:rPr>
          <w:lang w:val="fr-FR"/>
        </w:rPr>
        <w:t>ne constituait</w:t>
      </w:r>
      <w:r w:rsidRPr="00671A17">
        <w:rPr>
          <w:lang w:val="fr-FR"/>
        </w:rPr>
        <w:t xml:space="preserve"> en aucun cas un recours supplémentaire ou une quatrième instance pour </w:t>
      </w:r>
      <w:r>
        <w:rPr>
          <w:lang w:val="fr-FR"/>
        </w:rPr>
        <w:t>connaître</w:t>
      </w:r>
      <w:r w:rsidRPr="00671A17">
        <w:rPr>
          <w:lang w:val="fr-FR"/>
        </w:rPr>
        <w:t xml:space="preserve"> </w:t>
      </w:r>
      <w:r>
        <w:rPr>
          <w:lang w:val="fr-FR"/>
        </w:rPr>
        <w:t>de</w:t>
      </w:r>
      <w:r w:rsidRPr="00671A17">
        <w:rPr>
          <w:lang w:val="fr-FR"/>
        </w:rPr>
        <w:t xml:space="preserve"> prétendues violations </w:t>
      </w:r>
      <w:r>
        <w:rPr>
          <w:lang w:val="fr-FR"/>
        </w:rPr>
        <w:t xml:space="preserve">du droit </w:t>
      </w:r>
      <w:r w:rsidRPr="00671A17">
        <w:rPr>
          <w:lang w:val="fr-FR"/>
        </w:rPr>
        <w:t xml:space="preserve">du travail, </w:t>
      </w:r>
      <w:r>
        <w:rPr>
          <w:lang w:val="fr-FR"/>
        </w:rPr>
        <w:t>car cela</w:t>
      </w:r>
      <w:r w:rsidRPr="00671A17">
        <w:rPr>
          <w:lang w:val="fr-FR"/>
        </w:rPr>
        <w:t xml:space="preserve"> ne correspond</w:t>
      </w:r>
      <w:r>
        <w:rPr>
          <w:lang w:val="fr-FR"/>
        </w:rPr>
        <w:t>ait</w:t>
      </w:r>
      <w:r w:rsidRPr="00671A17">
        <w:rPr>
          <w:lang w:val="fr-FR"/>
        </w:rPr>
        <w:t xml:space="preserve"> pas à la na</w:t>
      </w:r>
      <w:r>
        <w:rPr>
          <w:lang w:val="fr-FR"/>
        </w:rPr>
        <w:t>ture juridique de cette action</w:t>
      </w:r>
      <w:r w:rsidRPr="00671A17">
        <w:rPr>
          <w:lang w:val="fr-FR"/>
        </w:rPr>
        <w:t>.</w:t>
      </w:r>
    </w:p>
    <w:p w:rsidR="00EE196F" w:rsidRPr="000C41A6" w:rsidRDefault="00EE196F" w:rsidP="00EE196F">
      <w:pPr>
        <w:pStyle w:val="SingleTxtG"/>
        <w:keepLines/>
      </w:pPr>
      <w:r w:rsidRPr="00114EBE">
        <w:rPr>
          <w:lang w:val="fr-FR"/>
        </w:rPr>
        <w:lastRenderedPageBreak/>
        <w:t xml:space="preserve">6.3 </w:t>
      </w:r>
      <w:r w:rsidRPr="00114EBE">
        <w:rPr>
          <w:lang w:val="fr-FR"/>
        </w:rPr>
        <w:tab/>
        <w:t>L</w:t>
      </w:r>
      <w:r w:rsidR="00864B14">
        <w:rPr>
          <w:lang w:val="fr-FR"/>
        </w:rPr>
        <w:t>’</w:t>
      </w:r>
      <w:r w:rsidRPr="00114EBE">
        <w:rPr>
          <w:lang w:val="fr-FR"/>
        </w:rPr>
        <w:t>État partie souligne que</w:t>
      </w:r>
      <w:r>
        <w:rPr>
          <w:lang w:val="fr-FR"/>
        </w:rPr>
        <w:t> </w:t>
      </w:r>
      <w:r w:rsidRPr="00114EBE">
        <w:rPr>
          <w:lang w:val="fr-FR"/>
        </w:rPr>
        <w:t>le pourvoi en cassation est un pourvoi extraordinaire tendant à l</w:t>
      </w:r>
      <w:r w:rsidR="00864B14">
        <w:rPr>
          <w:lang w:val="fr-FR"/>
        </w:rPr>
        <w:t>’</w:t>
      </w:r>
      <w:r w:rsidRPr="00114EBE">
        <w:rPr>
          <w:lang w:val="fr-FR"/>
        </w:rPr>
        <w:t>annulation d</w:t>
      </w:r>
      <w:r w:rsidR="00864B14">
        <w:rPr>
          <w:lang w:val="fr-FR"/>
        </w:rPr>
        <w:t>’</w:t>
      </w:r>
      <w:r w:rsidRPr="00114EBE">
        <w:rPr>
          <w:lang w:val="fr-FR"/>
        </w:rPr>
        <w:t>un jugement rendu en ce qu</w:t>
      </w:r>
      <w:r w:rsidR="00864B14">
        <w:rPr>
          <w:lang w:val="fr-FR"/>
        </w:rPr>
        <w:t>’</w:t>
      </w:r>
      <w:r w:rsidRPr="00114EBE">
        <w:rPr>
          <w:lang w:val="fr-FR"/>
        </w:rPr>
        <w:t>il est entaché d</w:t>
      </w:r>
      <w:r w:rsidR="00864B14">
        <w:rPr>
          <w:lang w:val="fr-FR"/>
        </w:rPr>
        <w:t>’</w:t>
      </w:r>
      <w:r w:rsidRPr="00114EBE">
        <w:rPr>
          <w:lang w:val="fr-FR"/>
        </w:rPr>
        <w:t>une erreur substantielle dans l</w:t>
      </w:r>
      <w:r w:rsidR="00864B14">
        <w:rPr>
          <w:lang w:val="fr-FR"/>
        </w:rPr>
        <w:t>’</w:t>
      </w:r>
      <w:r w:rsidRPr="00114EBE">
        <w:rPr>
          <w:lang w:val="fr-FR"/>
        </w:rPr>
        <w:t>application ou l</w:t>
      </w:r>
      <w:r w:rsidR="00864B14">
        <w:rPr>
          <w:lang w:val="fr-FR"/>
        </w:rPr>
        <w:t>’</w:t>
      </w:r>
      <w:r w:rsidRPr="00114EBE">
        <w:rPr>
          <w:lang w:val="fr-FR"/>
        </w:rPr>
        <w:t>interprétation d</w:t>
      </w:r>
      <w:r w:rsidR="00864B14">
        <w:rPr>
          <w:lang w:val="fr-FR"/>
        </w:rPr>
        <w:t>’</w:t>
      </w:r>
      <w:r w:rsidRPr="00114EBE">
        <w:rPr>
          <w:lang w:val="fr-FR"/>
        </w:rPr>
        <w:t>une norme</w:t>
      </w:r>
      <w:r>
        <w:rPr>
          <w:lang w:val="fr-FR"/>
        </w:rPr>
        <w:t xml:space="preserve"> juridique ; que, selon </w:t>
      </w:r>
      <w:r w:rsidRPr="00114EBE">
        <w:rPr>
          <w:lang w:val="fr-FR"/>
        </w:rPr>
        <w:t>l</w:t>
      </w:r>
      <w:r w:rsidR="00864B14">
        <w:rPr>
          <w:lang w:val="fr-FR"/>
        </w:rPr>
        <w:t>’</w:t>
      </w:r>
      <w:r w:rsidRPr="00114EBE">
        <w:rPr>
          <w:lang w:val="fr-FR"/>
        </w:rPr>
        <w:t>article</w:t>
      </w:r>
      <w:r w:rsidR="00013A9E">
        <w:rPr>
          <w:lang w:val="fr-FR"/>
        </w:rPr>
        <w:t xml:space="preserve"> </w:t>
      </w:r>
      <w:r w:rsidRPr="00114EBE">
        <w:rPr>
          <w:lang w:val="fr-FR"/>
        </w:rPr>
        <w:t xml:space="preserve">2 de la loi sur le pourvoi en cassation, en vigueur au moment des faits, ce pourvoi était </w:t>
      </w:r>
      <w:r>
        <w:rPr>
          <w:lang w:val="fr-FR"/>
        </w:rPr>
        <w:t>formé</w:t>
      </w:r>
      <w:r w:rsidRPr="00114EBE">
        <w:rPr>
          <w:lang w:val="fr-FR"/>
        </w:rPr>
        <w:t xml:space="preserve"> contre les jugements et ordonnances mettant fin aux procédures de connaissance, </w:t>
      </w:r>
      <w:r>
        <w:rPr>
          <w:lang w:val="fr-FR"/>
        </w:rPr>
        <w:t>rendu</w:t>
      </w:r>
      <w:r w:rsidRPr="00114EBE">
        <w:rPr>
          <w:lang w:val="fr-FR"/>
        </w:rPr>
        <w:t>s par les juridictions supérieures (</w:t>
      </w:r>
      <w:r>
        <w:rPr>
          <w:lang w:val="fr-FR"/>
        </w:rPr>
        <w:t xml:space="preserve">les tribunaux de province) et </w:t>
      </w:r>
      <w:r w:rsidRPr="00114EBE">
        <w:rPr>
          <w:lang w:val="fr-FR"/>
        </w:rPr>
        <w:t xml:space="preserve">par les </w:t>
      </w:r>
      <w:r>
        <w:rPr>
          <w:lang w:val="fr-FR"/>
        </w:rPr>
        <w:t>tribunaux de district en matière de contentieux</w:t>
      </w:r>
      <w:r w:rsidRPr="00114EBE">
        <w:rPr>
          <w:lang w:val="fr-FR"/>
        </w:rPr>
        <w:t xml:space="preserve"> fiscal et </w:t>
      </w:r>
      <w:r>
        <w:rPr>
          <w:lang w:val="fr-FR"/>
        </w:rPr>
        <w:t>de contentieux administratif</w:t>
      </w:r>
      <w:r>
        <w:rPr>
          <w:lang w:val="fr-FR" w:eastAsia="es-EC"/>
        </w:rPr>
        <w:t> ;</w:t>
      </w:r>
      <w:r w:rsidRPr="00114EBE">
        <w:rPr>
          <w:lang w:val="fr-FR" w:eastAsia="es-EC"/>
        </w:rPr>
        <w:t xml:space="preserve"> </w:t>
      </w:r>
      <w:r w:rsidRPr="007D6463">
        <w:rPr>
          <w:lang w:val="fr-FR" w:eastAsia="es-EC"/>
        </w:rPr>
        <w:t xml:space="preserve">et que la possibilité </w:t>
      </w:r>
      <w:r>
        <w:rPr>
          <w:lang w:val="fr-FR" w:eastAsia="es-EC"/>
        </w:rPr>
        <w:t>d</w:t>
      </w:r>
      <w:r w:rsidR="00864B14">
        <w:rPr>
          <w:lang w:val="fr-FR" w:eastAsia="es-EC"/>
        </w:rPr>
        <w:t>’</w:t>
      </w:r>
      <w:r>
        <w:rPr>
          <w:lang w:val="fr-FR" w:eastAsia="es-EC"/>
        </w:rPr>
        <w:t xml:space="preserve">interjeter </w:t>
      </w:r>
      <w:r w:rsidRPr="007D6463">
        <w:rPr>
          <w:lang w:val="fr-FR" w:eastAsia="es-EC"/>
        </w:rPr>
        <w:t xml:space="preserve">un tel </w:t>
      </w:r>
      <w:r>
        <w:rPr>
          <w:lang w:val="fr-FR" w:eastAsia="es-EC"/>
        </w:rPr>
        <w:t>recours</w:t>
      </w:r>
      <w:r w:rsidRPr="007D6463">
        <w:rPr>
          <w:lang w:val="fr-FR" w:eastAsia="es-EC"/>
        </w:rPr>
        <w:t xml:space="preserve"> dans les conflits du travail était déterminée par l</w:t>
      </w:r>
      <w:r w:rsidR="00864B14">
        <w:rPr>
          <w:lang w:val="fr-FR" w:eastAsia="es-EC"/>
        </w:rPr>
        <w:t>’</w:t>
      </w:r>
      <w:r w:rsidRPr="007D6463">
        <w:rPr>
          <w:lang w:val="fr-FR" w:eastAsia="es-EC"/>
        </w:rPr>
        <w:t>article</w:t>
      </w:r>
      <w:r w:rsidR="00013A9E">
        <w:rPr>
          <w:lang w:val="fr-FR" w:eastAsia="es-EC"/>
        </w:rPr>
        <w:t xml:space="preserve"> </w:t>
      </w:r>
      <w:r w:rsidRPr="007D6463">
        <w:rPr>
          <w:lang w:val="fr-FR" w:eastAsia="es-EC"/>
        </w:rPr>
        <w:t>613 du Code du travail, en vigueur au moment des faits.</w:t>
      </w:r>
      <w:r>
        <w:rPr>
          <w:lang w:val="fr-FR" w:eastAsia="es-EC"/>
        </w:rPr>
        <w:t xml:space="preserve"> </w:t>
      </w:r>
      <w:r>
        <w:rPr>
          <w:lang w:val="fr-FR"/>
        </w:rPr>
        <w:t>Il</w:t>
      </w:r>
      <w:r w:rsidRPr="001E7A32">
        <w:rPr>
          <w:lang w:val="fr-FR"/>
        </w:rPr>
        <w:t xml:space="preserve"> ajoute que </w:t>
      </w:r>
      <w:r>
        <w:rPr>
          <w:lang w:val="fr-FR"/>
        </w:rPr>
        <w:t>l</w:t>
      </w:r>
      <w:r w:rsidR="00864B14">
        <w:rPr>
          <w:lang w:val="fr-FR"/>
        </w:rPr>
        <w:t>’</w:t>
      </w:r>
      <w:r>
        <w:rPr>
          <w:lang w:val="fr-FR"/>
        </w:rPr>
        <w:t>objet</w:t>
      </w:r>
      <w:r w:rsidRPr="001E7A32">
        <w:rPr>
          <w:lang w:val="fr-FR"/>
        </w:rPr>
        <w:t xml:space="preserve"> du pourvoi est de réformer l</w:t>
      </w:r>
      <w:r w:rsidR="00864B14">
        <w:rPr>
          <w:lang w:val="fr-FR"/>
        </w:rPr>
        <w:t>’</w:t>
      </w:r>
      <w:r w:rsidRPr="001E7A32">
        <w:rPr>
          <w:lang w:val="fr-FR"/>
        </w:rPr>
        <w:t>arrêt attaqué et d</w:t>
      </w:r>
      <w:r w:rsidR="00864B14">
        <w:rPr>
          <w:lang w:val="fr-FR"/>
        </w:rPr>
        <w:t>’</w:t>
      </w:r>
      <w:r w:rsidRPr="001E7A32">
        <w:rPr>
          <w:lang w:val="fr-FR"/>
        </w:rPr>
        <w:t>émettre un autre jugement à sa place, situation qui rend l</w:t>
      </w:r>
      <w:r w:rsidR="00864B14">
        <w:rPr>
          <w:lang w:val="fr-FR"/>
        </w:rPr>
        <w:t>’</w:t>
      </w:r>
      <w:r w:rsidRPr="001E7A32">
        <w:rPr>
          <w:lang w:val="fr-FR"/>
        </w:rPr>
        <w:t>ensemble de l</w:t>
      </w:r>
      <w:r w:rsidR="00864B14">
        <w:rPr>
          <w:lang w:val="fr-FR"/>
        </w:rPr>
        <w:t>’</w:t>
      </w:r>
      <w:r w:rsidRPr="001E7A32">
        <w:rPr>
          <w:lang w:val="fr-FR"/>
        </w:rPr>
        <w:t>arrêt en appel sans valeur juridique d</w:t>
      </w:r>
      <w:r w:rsidR="00864B14">
        <w:rPr>
          <w:lang w:val="fr-FR"/>
        </w:rPr>
        <w:t>’</w:t>
      </w:r>
      <w:r w:rsidRPr="001E7A32">
        <w:rPr>
          <w:lang w:val="fr-FR"/>
        </w:rPr>
        <w:t>aucune sorte, comme s</w:t>
      </w:r>
      <w:r w:rsidR="00864B14">
        <w:rPr>
          <w:lang w:val="fr-FR"/>
        </w:rPr>
        <w:t>’</w:t>
      </w:r>
      <w:r w:rsidRPr="001E7A32">
        <w:rPr>
          <w:lang w:val="fr-FR"/>
        </w:rPr>
        <w:t>il n</w:t>
      </w:r>
      <w:r w:rsidR="00864B14">
        <w:rPr>
          <w:lang w:val="fr-FR"/>
        </w:rPr>
        <w:t>’</w:t>
      </w:r>
      <w:r w:rsidRPr="001E7A32">
        <w:rPr>
          <w:lang w:val="fr-FR"/>
        </w:rPr>
        <w:t>avait jamais été rendu. Par conséquent, le pourvoi en cassation est le dernier recours à employer dans une procédure de travail avant que la sentence n</w:t>
      </w:r>
      <w:r w:rsidR="00864B14">
        <w:rPr>
          <w:lang w:val="fr-FR"/>
        </w:rPr>
        <w:t>’</w:t>
      </w:r>
      <w:r w:rsidRPr="001E7A32">
        <w:rPr>
          <w:lang w:val="fr-FR"/>
        </w:rPr>
        <w:t>acquière la caractéristique de la chose jugée</w:t>
      </w:r>
      <w:r>
        <w:rPr>
          <w:lang w:val="fr-FR"/>
        </w:rPr>
        <w:t> ;</w:t>
      </w:r>
      <w:r w:rsidRPr="001E7A32">
        <w:rPr>
          <w:lang w:val="fr-FR"/>
        </w:rPr>
        <w:t xml:space="preserve"> par conséquent, le pourvoi en cassation met fin à la procédure de travail.</w:t>
      </w:r>
    </w:p>
    <w:p w:rsidR="00EE196F" w:rsidRPr="00F217F9" w:rsidRDefault="00EE196F" w:rsidP="00EE196F">
      <w:pPr>
        <w:pStyle w:val="SingleTxtG"/>
        <w:rPr>
          <w:lang w:val="fr-FR"/>
        </w:rPr>
      </w:pPr>
      <w:r w:rsidRPr="00F217F9">
        <w:rPr>
          <w:lang w:val="fr-FR"/>
        </w:rPr>
        <w:t xml:space="preserve">6.4 </w:t>
      </w:r>
      <w:r w:rsidRPr="00F217F9">
        <w:rPr>
          <w:lang w:val="fr-FR"/>
        </w:rPr>
        <w:tab/>
        <w:t>L</w:t>
      </w:r>
      <w:r w:rsidR="00864B14">
        <w:rPr>
          <w:lang w:val="fr-FR"/>
        </w:rPr>
        <w:t>’</w:t>
      </w:r>
      <w:r w:rsidRPr="00F217F9">
        <w:rPr>
          <w:lang w:val="fr-FR"/>
        </w:rPr>
        <w:t>État partie réitère ses observations sur l</w:t>
      </w:r>
      <w:r w:rsidR="00864B14">
        <w:rPr>
          <w:lang w:val="fr-FR"/>
        </w:rPr>
        <w:t>’</w:t>
      </w:r>
      <w:r w:rsidRPr="00F217F9">
        <w:rPr>
          <w:lang w:val="fr-FR"/>
        </w:rPr>
        <w:t>action extraordinaire en protection et sa portée (voir</w:t>
      </w:r>
      <w:r>
        <w:rPr>
          <w:lang w:val="fr-FR"/>
        </w:rPr>
        <w:t xml:space="preserve"> le paragraphe</w:t>
      </w:r>
      <w:r w:rsidR="00013A9E">
        <w:rPr>
          <w:lang w:val="fr-FR"/>
        </w:rPr>
        <w:t xml:space="preserve"> </w:t>
      </w:r>
      <w:r w:rsidRPr="00F217F9">
        <w:rPr>
          <w:lang w:val="fr-FR"/>
        </w:rPr>
        <w:t xml:space="preserve">4.3) et souligne que la Cour constitutionnelle a </w:t>
      </w:r>
      <w:r>
        <w:rPr>
          <w:lang w:val="fr-FR"/>
        </w:rPr>
        <w:t>fait valoir</w:t>
      </w:r>
      <w:r w:rsidRPr="00F217F9">
        <w:rPr>
          <w:lang w:val="fr-FR"/>
        </w:rPr>
        <w:t xml:space="preserve"> que </w:t>
      </w:r>
      <w:r>
        <w:rPr>
          <w:lang w:val="fr-FR"/>
        </w:rPr>
        <w:t xml:space="preserve">cette </w:t>
      </w:r>
      <w:r w:rsidRPr="00F217F9">
        <w:rPr>
          <w:lang w:val="fr-FR"/>
        </w:rPr>
        <w:t xml:space="preserve">action </w:t>
      </w:r>
      <w:r>
        <w:rPr>
          <w:lang w:val="fr-FR"/>
        </w:rPr>
        <w:t>n</w:t>
      </w:r>
      <w:r w:rsidR="00864B14">
        <w:rPr>
          <w:lang w:val="fr-FR"/>
        </w:rPr>
        <w:t>’</w:t>
      </w:r>
      <w:r>
        <w:rPr>
          <w:lang w:val="fr-FR"/>
        </w:rPr>
        <w:t>était</w:t>
      </w:r>
      <w:r w:rsidRPr="00F217F9">
        <w:rPr>
          <w:lang w:val="fr-FR"/>
        </w:rPr>
        <w:t xml:space="preserve"> pas une instance supplémentaire, qu</w:t>
      </w:r>
      <w:r w:rsidR="00864B14">
        <w:rPr>
          <w:lang w:val="fr-FR"/>
        </w:rPr>
        <w:t>’</w:t>
      </w:r>
      <w:r w:rsidRPr="00F217F9">
        <w:rPr>
          <w:lang w:val="fr-FR"/>
        </w:rPr>
        <w:t xml:space="preserve">elle ne </w:t>
      </w:r>
      <w:r>
        <w:rPr>
          <w:lang w:val="fr-FR"/>
        </w:rPr>
        <w:t>pouvait</w:t>
      </w:r>
      <w:r w:rsidRPr="00F217F9">
        <w:rPr>
          <w:lang w:val="fr-FR"/>
        </w:rPr>
        <w:t xml:space="preserve"> être confondue avec un recours supplémentaire et encore moins qu</w:t>
      </w:r>
      <w:r w:rsidR="00864B14">
        <w:rPr>
          <w:lang w:val="fr-FR"/>
        </w:rPr>
        <w:t>’</w:t>
      </w:r>
      <w:r w:rsidRPr="00F217F9">
        <w:rPr>
          <w:lang w:val="fr-FR"/>
        </w:rPr>
        <w:t xml:space="preserve">elle ne </w:t>
      </w:r>
      <w:r>
        <w:rPr>
          <w:lang w:val="fr-FR"/>
        </w:rPr>
        <w:t>pouvait</w:t>
      </w:r>
      <w:r w:rsidRPr="00F217F9">
        <w:rPr>
          <w:lang w:val="fr-FR"/>
        </w:rPr>
        <w:t xml:space="preserve"> </w:t>
      </w:r>
      <w:r>
        <w:rPr>
          <w:lang w:val="fr-FR"/>
        </w:rPr>
        <w:t>servir à reconsidérer</w:t>
      </w:r>
      <w:r w:rsidRPr="00F217F9">
        <w:rPr>
          <w:lang w:val="fr-FR"/>
        </w:rPr>
        <w:t xml:space="preserve"> un processus d</w:t>
      </w:r>
      <w:r w:rsidR="00864B14">
        <w:rPr>
          <w:lang w:val="fr-FR"/>
        </w:rPr>
        <w:t>’</w:t>
      </w:r>
      <w:r w:rsidRPr="00F217F9">
        <w:rPr>
          <w:lang w:val="fr-FR"/>
        </w:rPr>
        <w:t>appréciation de la preuve lorsque la décision faisant l</w:t>
      </w:r>
      <w:r w:rsidR="00864B14">
        <w:rPr>
          <w:lang w:val="fr-FR"/>
        </w:rPr>
        <w:t>’</w:t>
      </w:r>
      <w:r w:rsidRPr="00F217F9">
        <w:rPr>
          <w:lang w:val="fr-FR"/>
        </w:rPr>
        <w:t xml:space="preserve">objet </w:t>
      </w:r>
      <w:r>
        <w:rPr>
          <w:lang w:val="fr-FR"/>
        </w:rPr>
        <w:t>de l</w:t>
      </w:r>
      <w:r w:rsidR="00864B14">
        <w:rPr>
          <w:lang w:val="fr-FR"/>
        </w:rPr>
        <w:t>’</w:t>
      </w:r>
      <w:r w:rsidRPr="00F217F9">
        <w:rPr>
          <w:lang w:val="fr-FR"/>
        </w:rPr>
        <w:t xml:space="preserve">action extraordinaire </w:t>
      </w:r>
      <w:r>
        <w:rPr>
          <w:lang w:val="fr-FR"/>
        </w:rPr>
        <w:t>en</w:t>
      </w:r>
      <w:r w:rsidRPr="00F217F9">
        <w:rPr>
          <w:lang w:val="fr-FR"/>
        </w:rPr>
        <w:t xml:space="preserve"> protection éman</w:t>
      </w:r>
      <w:r>
        <w:rPr>
          <w:lang w:val="fr-FR"/>
        </w:rPr>
        <w:t>ait</w:t>
      </w:r>
      <w:r w:rsidRPr="00F217F9">
        <w:rPr>
          <w:lang w:val="fr-FR"/>
        </w:rPr>
        <w:t xml:space="preserve"> de la justice ordinaire</w:t>
      </w:r>
      <w:r w:rsidRPr="000C41A6">
        <w:rPr>
          <w:rStyle w:val="Appelnotedebasdep"/>
        </w:rPr>
        <w:footnoteReference w:id="12"/>
      </w:r>
      <w:r w:rsidRPr="00F217F9">
        <w:rPr>
          <w:lang w:val="fr-FR"/>
        </w:rPr>
        <w:t xml:space="preserve">. </w:t>
      </w:r>
    </w:p>
    <w:p w:rsidR="00EE196F" w:rsidRPr="008052A9" w:rsidRDefault="00EE196F" w:rsidP="00EE196F">
      <w:pPr>
        <w:pStyle w:val="SingleTxtG"/>
        <w:rPr>
          <w:lang w:val="fr-FR"/>
        </w:rPr>
      </w:pPr>
      <w:r w:rsidRPr="00034EEE">
        <w:rPr>
          <w:lang w:val="fr-FR"/>
        </w:rPr>
        <w:t xml:space="preserve">6.5 </w:t>
      </w:r>
      <w:r w:rsidRPr="00034EEE">
        <w:rPr>
          <w:lang w:val="fr-FR"/>
        </w:rPr>
        <w:tab/>
        <w:t>En ce qui concerne le paragraphe</w:t>
      </w:r>
      <w:r>
        <w:rPr>
          <w:lang w:val="fr-FR"/>
        </w:rPr>
        <w:t> </w:t>
      </w:r>
      <w:r w:rsidRPr="00034EEE">
        <w:rPr>
          <w:lang w:val="fr-FR"/>
        </w:rPr>
        <w:t>1 de l</w:t>
      </w:r>
      <w:r w:rsidR="00864B14">
        <w:rPr>
          <w:lang w:val="fr-FR"/>
        </w:rPr>
        <w:t>’</w:t>
      </w:r>
      <w:r w:rsidRPr="00034EEE">
        <w:rPr>
          <w:lang w:val="fr-FR"/>
        </w:rPr>
        <w:t>article 3 du Protocole facultatif, l</w:t>
      </w:r>
      <w:r w:rsidR="00864B14">
        <w:rPr>
          <w:lang w:val="fr-FR"/>
        </w:rPr>
        <w:t>’</w:t>
      </w:r>
      <w:r w:rsidRPr="00034EEE">
        <w:rPr>
          <w:lang w:val="fr-FR"/>
        </w:rPr>
        <w:t>É</w:t>
      </w:r>
      <w:r>
        <w:rPr>
          <w:lang w:val="fr-FR"/>
        </w:rPr>
        <w:t>tat partie note que l</w:t>
      </w:r>
      <w:r w:rsidR="00864B14">
        <w:rPr>
          <w:lang w:val="fr-FR"/>
        </w:rPr>
        <w:t>’</w:t>
      </w:r>
      <w:r>
        <w:rPr>
          <w:lang w:val="fr-FR"/>
        </w:rPr>
        <w:t>auteur n</w:t>
      </w:r>
      <w:r w:rsidR="00864B14">
        <w:rPr>
          <w:lang w:val="fr-FR"/>
        </w:rPr>
        <w:t>’</w:t>
      </w:r>
      <w:r w:rsidRPr="00034EEE">
        <w:rPr>
          <w:lang w:val="fr-FR"/>
        </w:rPr>
        <w:t xml:space="preserve">a pas épuisé les recours internes en ce qui concerne ses </w:t>
      </w:r>
      <w:r>
        <w:rPr>
          <w:lang w:val="fr-FR"/>
        </w:rPr>
        <w:t>griefs</w:t>
      </w:r>
      <w:r w:rsidRPr="00034EEE">
        <w:rPr>
          <w:lang w:val="fr-FR"/>
        </w:rPr>
        <w:t xml:space="preserve"> de mauvaises conditions de travail et </w:t>
      </w:r>
      <w:r>
        <w:rPr>
          <w:lang w:val="fr-FR"/>
        </w:rPr>
        <w:t xml:space="preserve">de violation de </w:t>
      </w:r>
      <w:r w:rsidRPr="00034EEE">
        <w:rPr>
          <w:lang w:val="fr-FR"/>
        </w:rPr>
        <w:t>son droit à la santé.</w:t>
      </w:r>
      <w:r>
        <w:rPr>
          <w:lang w:val="fr-FR"/>
        </w:rPr>
        <w:t xml:space="preserve"> </w:t>
      </w:r>
      <w:r w:rsidRPr="008052A9">
        <w:rPr>
          <w:lang w:val="fr-FR"/>
        </w:rPr>
        <w:t>Au moment où l</w:t>
      </w:r>
      <w:r w:rsidR="00864B14">
        <w:rPr>
          <w:lang w:val="fr-FR"/>
        </w:rPr>
        <w:t>’</w:t>
      </w:r>
      <w:r w:rsidRPr="008052A9">
        <w:rPr>
          <w:lang w:val="fr-FR"/>
        </w:rPr>
        <w:t>État partie a présenté ses observations au Comité, l</w:t>
      </w:r>
      <w:r w:rsidR="00864B14">
        <w:rPr>
          <w:lang w:val="fr-FR"/>
        </w:rPr>
        <w:t>’</w:t>
      </w:r>
      <w:r w:rsidRPr="008052A9">
        <w:rPr>
          <w:lang w:val="fr-FR"/>
        </w:rPr>
        <w:t>auteur n</w:t>
      </w:r>
      <w:r w:rsidR="00864B14">
        <w:rPr>
          <w:lang w:val="fr-FR"/>
        </w:rPr>
        <w:t>’</w:t>
      </w:r>
      <w:r w:rsidRPr="008052A9">
        <w:rPr>
          <w:lang w:val="fr-FR"/>
        </w:rPr>
        <w:t>avait engagé aucune action administrative ou judiciaire à l</w:t>
      </w:r>
      <w:r w:rsidR="00864B14">
        <w:rPr>
          <w:lang w:val="fr-FR"/>
        </w:rPr>
        <w:t>’</w:t>
      </w:r>
      <w:r w:rsidRPr="008052A9">
        <w:rPr>
          <w:lang w:val="fr-FR"/>
        </w:rPr>
        <w:t xml:space="preserve">encontre de son ancien employeur ou de la sécurité sociale pour violation présumée du droit à la santé en raison des </w:t>
      </w:r>
      <w:r>
        <w:rPr>
          <w:lang w:val="fr-FR"/>
        </w:rPr>
        <w:t xml:space="preserve">mauvaises </w:t>
      </w:r>
      <w:r w:rsidRPr="008052A9">
        <w:rPr>
          <w:lang w:val="fr-FR"/>
        </w:rPr>
        <w:t xml:space="preserve">conditions de travail auxquelles il aurait été soumis, </w:t>
      </w:r>
      <w:r>
        <w:rPr>
          <w:lang w:val="fr-FR"/>
        </w:rPr>
        <w:t xml:space="preserve">comme une plainte </w:t>
      </w:r>
      <w:r w:rsidRPr="008052A9">
        <w:rPr>
          <w:lang w:val="fr-FR"/>
        </w:rPr>
        <w:t>auprès de l</w:t>
      </w:r>
      <w:r w:rsidR="00864B14">
        <w:rPr>
          <w:lang w:val="fr-FR"/>
        </w:rPr>
        <w:t>’</w:t>
      </w:r>
      <w:r w:rsidRPr="008052A9">
        <w:rPr>
          <w:lang w:val="fr-FR"/>
        </w:rPr>
        <w:t xml:space="preserve">Inspection du travail ou </w:t>
      </w:r>
      <w:r>
        <w:rPr>
          <w:lang w:val="fr-FR"/>
        </w:rPr>
        <w:t>une demande</w:t>
      </w:r>
      <w:r w:rsidRPr="008052A9">
        <w:rPr>
          <w:lang w:val="fr-FR"/>
        </w:rPr>
        <w:t xml:space="preserve"> d</w:t>
      </w:r>
      <w:r w:rsidR="00864B14">
        <w:rPr>
          <w:lang w:val="fr-FR"/>
        </w:rPr>
        <w:t>’</w:t>
      </w:r>
      <w:r w:rsidRPr="008052A9">
        <w:rPr>
          <w:lang w:val="fr-FR"/>
        </w:rPr>
        <w:t>indemnisation pour maladie professionnelle.</w:t>
      </w:r>
    </w:p>
    <w:p w:rsidR="00EE196F" w:rsidRPr="00C56101" w:rsidRDefault="00EE196F" w:rsidP="00EE196F">
      <w:pPr>
        <w:pStyle w:val="SingleTxtG"/>
        <w:rPr>
          <w:lang w:val="fr-FR"/>
        </w:rPr>
      </w:pPr>
      <w:r w:rsidRPr="00801B1E">
        <w:rPr>
          <w:lang w:val="fr-FR"/>
        </w:rPr>
        <w:t xml:space="preserve">6.6 </w:t>
      </w:r>
      <w:r w:rsidRPr="00801B1E">
        <w:rPr>
          <w:lang w:val="fr-FR"/>
        </w:rPr>
        <w:tab/>
        <w:t>L</w:t>
      </w:r>
      <w:r w:rsidR="00864B14">
        <w:rPr>
          <w:lang w:val="fr-FR"/>
        </w:rPr>
        <w:t>’</w:t>
      </w:r>
      <w:r w:rsidRPr="00801B1E">
        <w:rPr>
          <w:lang w:val="fr-FR"/>
        </w:rPr>
        <w:t xml:space="preserve">État partie réaffirme que selon la jurisprudence équatorienne, le </w:t>
      </w:r>
      <w:proofErr w:type="spellStart"/>
      <w:r w:rsidRPr="008B3AEB">
        <w:rPr>
          <w:i/>
          <w:lang w:val="fr-FR"/>
        </w:rPr>
        <w:t>desahucio</w:t>
      </w:r>
      <w:proofErr w:type="spellEnd"/>
      <w:r>
        <w:rPr>
          <w:i/>
          <w:lang w:val="fr-FR"/>
        </w:rPr>
        <w:t xml:space="preserve"> </w:t>
      </w:r>
      <w:r w:rsidRPr="00801B1E">
        <w:rPr>
          <w:lang w:val="fr-FR"/>
        </w:rPr>
        <w:t>et le départ volontaire constituent deux figures juridiques distinctes et que, dans le cas de l</w:t>
      </w:r>
      <w:r w:rsidR="00864B14">
        <w:rPr>
          <w:lang w:val="fr-FR"/>
        </w:rPr>
        <w:t>’</w:t>
      </w:r>
      <w:r w:rsidRPr="00801B1E">
        <w:rPr>
          <w:lang w:val="fr-FR"/>
        </w:rPr>
        <w:t xml:space="preserve">auteur, la </w:t>
      </w:r>
      <w:r>
        <w:rPr>
          <w:lang w:val="fr-FR"/>
        </w:rPr>
        <w:t>Cour nationale de justice</w:t>
      </w:r>
      <w:r w:rsidRPr="00801B1E">
        <w:rPr>
          <w:lang w:val="fr-FR"/>
        </w:rPr>
        <w:t xml:space="preserve"> a établi une distinction claire entre le </w:t>
      </w:r>
      <w:proofErr w:type="spellStart"/>
      <w:r w:rsidRPr="008B3AEB">
        <w:rPr>
          <w:i/>
          <w:lang w:val="fr-FR"/>
        </w:rPr>
        <w:t>desahucio</w:t>
      </w:r>
      <w:proofErr w:type="spellEnd"/>
      <w:r>
        <w:rPr>
          <w:i/>
          <w:lang w:val="fr-FR"/>
        </w:rPr>
        <w:t xml:space="preserve"> </w:t>
      </w:r>
      <w:r w:rsidRPr="00801B1E">
        <w:rPr>
          <w:lang w:val="fr-FR"/>
        </w:rPr>
        <w:t xml:space="preserve">et le départ volontaire, étant donné que si le </w:t>
      </w:r>
      <w:proofErr w:type="spellStart"/>
      <w:r w:rsidRPr="008B3AEB">
        <w:rPr>
          <w:i/>
          <w:lang w:val="fr-FR"/>
        </w:rPr>
        <w:t>desahucio</w:t>
      </w:r>
      <w:proofErr w:type="spellEnd"/>
      <w:r>
        <w:rPr>
          <w:i/>
          <w:lang w:val="fr-FR"/>
        </w:rPr>
        <w:t xml:space="preserve"> </w:t>
      </w:r>
      <w:r w:rsidRPr="00801B1E">
        <w:rPr>
          <w:lang w:val="fr-FR"/>
        </w:rPr>
        <w:t>constitue une procédure légale d</w:t>
      </w:r>
      <w:r w:rsidR="00864B14">
        <w:rPr>
          <w:lang w:val="fr-FR"/>
        </w:rPr>
        <w:t>’</w:t>
      </w:r>
      <w:r w:rsidRPr="00801B1E">
        <w:rPr>
          <w:lang w:val="fr-FR"/>
        </w:rPr>
        <w:t>avis de résiliation du contrat de travail</w:t>
      </w:r>
      <w:r>
        <w:rPr>
          <w:lang w:val="fr-FR"/>
        </w:rPr>
        <w:t xml:space="preserve">, </w:t>
      </w:r>
      <w:r w:rsidRPr="00801B1E">
        <w:rPr>
          <w:lang w:val="fr-FR"/>
        </w:rPr>
        <w:t>l</w:t>
      </w:r>
      <w:r>
        <w:rPr>
          <w:lang w:val="fr-FR"/>
        </w:rPr>
        <w:t>e</w:t>
      </w:r>
      <w:r w:rsidRPr="00801B1E">
        <w:rPr>
          <w:lang w:val="fr-FR"/>
        </w:rPr>
        <w:t xml:space="preserve"> </w:t>
      </w:r>
      <w:r>
        <w:rPr>
          <w:lang w:val="fr-FR"/>
        </w:rPr>
        <w:t>« départ</w:t>
      </w:r>
      <w:r w:rsidRPr="00801B1E">
        <w:rPr>
          <w:lang w:val="fr-FR"/>
        </w:rPr>
        <w:t xml:space="preserve"> volontaire</w:t>
      </w:r>
      <w:r>
        <w:rPr>
          <w:lang w:val="fr-FR"/>
        </w:rPr>
        <w:t> »</w:t>
      </w:r>
      <w:r w:rsidRPr="00801B1E">
        <w:rPr>
          <w:lang w:val="fr-FR"/>
        </w:rPr>
        <w:t xml:space="preserve"> est un </w:t>
      </w:r>
      <w:r>
        <w:rPr>
          <w:lang w:val="fr-FR"/>
        </w:rPr>
        <w:t>« avantage »</w:t>
      </w:r>
      <w:r w:rsidRPr="00801B1E">
        <w:rPr>
          <w:lang w:val="fr-FR"/>
        </w:rPr>
        <w:t xml:space="preserve"> contractuel que le travailleur peut </w:t>
      </w:r>
      <w:r>
        <w:rPr>
          <w:lang w:val="fr-FR"/>
        </w:rPr>
        <w:t xml:space="preserve">faire valoir </w:t>
      </w:r>
      <w:r w:rsidRPr="00801B1E">
        <w:rPr>
          <w:lang w:val="fr-FR"/>
        </w:rPr>
        <w:t xml:space="preserve">pour percevoir la </w:t>
      </w:r>
      <w:r>
        <w:rPr>
          <w:lang w:val="fr-FR"/>
        </w:rPr>
        <w:t>prime</w:t>
      </w:r>
      <w:r w:rsidRPr="00801B1E">
        <w:rPr>
          <w:lang w:val="fr-FR"/>
        </w:rPr>
        <w:t xml:space="preserve"> </w:t>
      </w:r>
      <w:r>
        <w:rPr>
          <w:lang w:val="fr-FR"/>
        </w:rPr>
        <w:t>prévue</w:t>
      </w:r>
      <w:r w:rsidRPr="00801B1E">
        <w:rPr>
          <w:lang w:val="fr-FR"/>
        </w:rPr>
        <w:t xml:space="preserve"> à cet effet</w:t>
      </w:r>
      <w:r>
        <w:rPr>
          <w:lang w:val="fr-FR"/>
        </w:rPr>
        <w:t> ; la première est</w:t>
      </w:r>
      <w:r w:rsidRPr="00E370D5">
        <w:rPr>
          <w:lang w:val="fr-FR"/>
        </w:rPr>
        <w:t xml:space="preserve"> </w:t>
      </w:r>
      <w:r>
        <w:rPr>
          <w:lang w:val="fr-FR"/>
        </w:rPr>
        <w:t xml:space="preserve">une procédure </w:t>
      </w:r>
      <w:r w:rsidRPr="00E370D5">
        <w:rPr>
          <w:lang w:val="fr-FR"/>
        </w:rPr>
        <w:t>administrative devant l</w:t>
      </w:r>
      <w:r w:rsidR="00864B14">
        <w:rPr>
          <w:lang w:val="fr-FR"/>
        </w:rPr>
        <w:t>’</w:t>
      </w:r>
      <w:r w:rsidRPr="00E370D5">
        <w:rPr>
          <w:lang w:val="fr-FR"/>
        </w:rPr>
        <w:t>inspecteur du travail</w:t>
      </w:r>
      <w:r>
        <w:rPr>
          <w:lang w:val="fr-FR"/>
        </w:rPr>
        <w:t>, la seconde, une procédure</w:t>
      </w:r>
      <w:r w:rsidRPr="00E370D5">
        <w:rPr>
          <w:lang w:val="fr-FR"/>
        </w:rPr>
        <w:t xml:space="preserve"> conventionnelle directe entre le travailleur et l</w:t>
      </w:r>
      <w:r w:rsidR="00864B14">
        <w:rPr>
          <w:lang w:val="fr-FR"/>
        </w:rPr>
        <w:t>’</w:t>
      </w:r>
      <w:r w:rsidRPr="00E370D5">
        <w:rPr>
          <w:lang w:val="fr-FR"/>
        </w:rPr>
        <w:t>employeur</w:t>
      </w:r>
      <w:r>
        <w:rPr>
          <w:lang w:val="fr-FR"/>
        </w:rPr>
        <w:t> ;</w:t>
      </w:r>
      <w:r w:rsidRPr="00E370D5">
        <w:rPr>
          <w:lang w:val="fr-FR"/>
        </w:rPr>
        <w:t xml:space="preserve"> par conséquent, nul ne peut bénéfic</w:t>
      </w:r>
      <w:r>
        <w:rPr>
          <w:lang w:val="fr-FR"/>
        </w:rPr>
        <w:t>ier deux fois du même acte</w:t>
      </w:r>
      <w:r w:rsidRPr="00E370D5">
        <w:rPr>
          <w:lang w:val="fr-FR"/>
        </w:rPr>
        <w:t xml:space="preserve"> ou prétendre bénéficier d</w:t>
      </w:r>
      <w:r w:rsidR="00864B14">
        <w:rPr>
          <w:lang w:val="fr-FR"/>
        </w:rPr>
        <w:t>’</w:t>
      </w:r>
      <w:r w:rsidRPr="00E370D5">
        <w:rPr>
          <w:lang w:val="fr-FR"/>
        </w:rPr>
        <w:t>un double droit que ni la loi ni la négociation collective n</w:t>
      </w:r>
      <w:r w:rsidR="00864B14">
        <w:rPr>
          <w:lang w:val="fr-FR"/>
        </w:rPr>
        <w:t>’</w:t>
      </w:r>
      <w:r>
        <w:rPr>
          <w:lang w:val="fr-FR"/>
        </w:rPr>
        <w:t>a établi</w:t>
      </w:r>
      <w:r w:rsidRPr="00801B1E">
        <w:rPr>
          <w:lang w:val="fr-FR"/>
        </w:rPr>
        <w:t xml:space="preserve">. </w:t>
      </w:r>
      <w:r w:rsidRPr="008D75DF">
        <w:rPr>
          <w:lang w:val="fr-FR"/>
        </w:rPr>
        <w:t>À cet égard, l</w:t>
      </w:r>
      <w:r w:rsidR="00864B14">
        <w:rPr>
          <w:lang w:val="fr-FR"/>
        </w:rPr>
        <w:t>’</w:t>
      </w:r>
      <w:r w:rsidRPr="008D75DF">
        <w:rPr>
          <w:lang w:val="fr-FR"/>
        </w:rPr>
        <w:t xml:space="preserve">État partie rappelle que, dans le cadre de procédures judiciaires </w:t>
      </w:r>
      <w:r>
        <w:rPr>
          <w:lang w:val="fr-FR"/>
        </w:rPr>
        <w:t>analogues</w:t>
      </w:r>
      <w:r w:rsidRPr="008D75DF">
        <w:rPr>
          <w:lang w:val="fr-FR"/>
        </w:rPr>
        <w:t xml:space="preserve">, la </w:t>
      </w:r>
      <w:r>
        <w:rPr>
          <w:lang w:val="fr-FR"/>
        </w:rPr>
        <w:t>Cour nationale de justice</w:t>
      </w:r>
      <w:r w:rsidRPr="00801B1E">
        <w:rPr>
          <w:lang w:val="fr-FR"/>
        </w:rPr>
        <w:t xml:space="preserve"> </w:t>
      </w:r>
      <w:r>
        <w:rPr>
          <w:lang w:val="fr-FR"/>
        </w:rPr>
        <w:t xml:space="preserve">a </w:t>
      </w:r>
      <w:r w:rsidRPr="008D75DF">
        <w:rPr>
          <w:lang w:val="fr-FR"/>
        </w:rPr>
        <w:t>appliqu</w:t>
      </w:r>
      <w:r>
        <w:rPr>
          <w:lang w:val="fr-FR"/>
        </w:rPr>
        <w:t>é</w:t>
      </w:r>
      <w:r w:rsidRPr="008D75DF">
        <w:rPr>
          <w:lang w:val="fr-FR"/>
        </w:rPr>
        <w:t xml:space="preserve"> le même critère</w:t>
      </w:r>
      <w:r>
        <w:rPr>
          <w:lang w:val="fr-FR"/>
        </w:rPr>
        <w:t xml:space="preserve">, établissant ainsi </w:t>
      </w:r>
      <w:r w:rsidRPr="008D75DF">
        <w:rPr>
          <w:lang w:val="fr-FR"/>
        </w:rPr>
        <w:t xml:space="preserve">un précédent jurisprudentiel impératif. </w:t>
      </w:r>
      <w:r>
        <w:rPr>
          <w:lang w:val="fr-FR"/>
        </w:rPr>
        <w:t>L</w:t>
      </w:r>
      <w:r w:rsidR="00864B14">
        <w:rPr>
          <w:lang w:val="fr-FR"/>
        </w:rPr>
        <w:t>’</w:t>
      </w:r>
      <w:r w:rsidRPr="008D75DF">
        <w:rPr>
          <w:lang w:val="fr-FR"/>
        </w:rPr>
        <w:t>État partie fait valoir qu</w:t>
      </w:r>
      <w:r w:rsidR="00864B14">
        <w:rPr>
          <w:lang w:val="fr-FR"/>
        </w:rPr>
        <w:t>’</w:t>
      </w:r>
      <w:r w:rsidRPr="008D75DF">
        <w:rPr>
          <w:lang w:val="fr-FR"/>
        </w:rPr>
        <w:t>il appartient exclusivement à ses autorités judiciaires d</w:t>
      </w:r>
      <w:r w:rsidR="00864B14">
        <w:rPr>
          <w:lang w:val="fr-FR"/>
        </w:rPr>
        <w:t>’</w:t>
      </w:r>
      <w:r w:rsidRPr="008D75DF">
        <w:rPr>
          <w:lang w:val="fr-FR"/>
        </w:rPr>
        <w:t xml:space="preserve">interpréter et de déterminer la portée de ces </w:t>
      </w:r>
      <w:r>
        <w:rPr>
          <w:lang w:val="fr-FR"/>
        </w:rPr>
        <w:t>figures</w:t>
      </w:r>
      <w:r w:rsidRPr="008D75DF">
        <w:rPr>
          <w:lang w:val="fr-FR"/>
        </w:rPr>
        <w:t xml:space="preserve"> juridiques </w:t>
      </w:r>
      <w:r>
        <w:rPr>
          <w:lang w:val="fr-FR"/>
        </w:rPr>
        <w:t>lorsqu</w:t>
      </w:r>
      <w:r w:rsidR="00864B14">
        <w:rPr>
          <w:lang w:val="fr-FR"/>
        </w:rPr>
        <w:t>’</w:t>
      </w:r>
      <w:r w:rsidRPr="008D75DF">
        <w:rPr>
          <w:lang w:val="fr-FR"/>
        </w:rPr>
        <w:t xml:space="preserve">un différend </w:t>
      </w:r>
      <w:r>
        <w:rPr>
          <w:lang w:val="fr-FR"/>
        </w:rPr>
        <w:t xml:space="preserve">a été </w:t>
      </w:r>
      <w:r w:rsidRPr="008D75DF">
        <w:rPr>
          <w:lang w:val="fr-FR"/>
        </w:rPr>
        <w:t xml:space="preserve">porté à </w:t>
      </w:r>
      <w:r>
        <w:rPr>
          <w:lang w:val="fr-FR"/>
        </w:rPr>
        <w:t>leur</w:t>
      </w:r>
      <w:r w:rsidRPr="008D75DF">
        <w:rPr>
          <w:lang w:val="fr-FR"/>
        </w:rPr>
        <w:t xml:space="preserve"> attention.</w:t>
      </w:r>
    </w:p>
    <w:p w:rsidR="00EE196F" w:rsidRPr="00765C28" w:rsidRDefault="00EE196F" w:rsidP="00013A9E">
      <w:pPr>
        <w:pStyle w:val="H4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765C28">
        <w:rPr>
          <w:lang w:val="fr-FR"/>
        </w:rPr>
        <w:t>Auteur</w:t>
      </w:r>
    </w:p>
    <w:p w:rsidR="00EE196F" w:rsidRPr="006926DF" w:rsidRDefault="00EE196F" w:rsidP="00EE196F">
      <w:pPr>
        <w:pStyle w:val="SingleTxtG"/>
        <w:rPr>
          <w:lang w:val="fr-FR"/>
        </w:rPr>
      </w:pPr>
      <w:r>
        <w:rPr>
          <w:lang w:val="fr-FR"/>
        </w:rPr>
        <w:t>7.</w:t>
      </w:r>
      <w:r w:rsidRPr="00765C28">
        <w:rPr>
          <w:lang w:val="fr-FR"/>
        </w:rPr>
        <w:tab/>
      </w:r>
      <w:r w:rsidRPr="006926DF">
        <w:rPr>
          <w:lang w:val="fr-FR"/>
        </w:rPr>
        <w:t>Dans une lettre datée du 28</w:t>
      </w:r>
      <w:r w:rsidR="00013A9E">
        <w:rPr>
          <w:lang w:val="fr-FR"/>
        </w:rPr>
        <w:t> </w:t>
      </w:r>
      <w:r w:rsidRPr="006926DF">
        <w:rPr>
          <w:lang w:val="fr-FR"/>
        </w:rPr>
        <w:t>avril 2017, l</w:t>
      </w:r>
      <w:r w:rsidR="00864B14">
        <w:rPr>
          <w:lang w:val="fr-FR"/>
        </w:rPr>
        <w:t>’</w:t>
      </w:r>
      <w:r w:rsidRPr="006926DF">
        <w:rPr>
          <w:lang w:val="fr-FR"/>
        </w:rPr>
        <w:t xml:space="preserve">auteur a réaffirmé que la communication </w:t>
      </w:r>
      <w:r>
        <w:rPr>
          <w:lang w:val="fr-FR"/>
        </w:rPr>
        <w:t xml:space="preserve">satisfaisait </w:t>
      </w:r>
      <w:r w:rsidRPr="006926DF">
        <w:rPr>
          <w:lang w:val="fr-FR"/>
        </w:rPr>
        <w:t>à toutes les conditions de recevabilité énoncé</w:t>
      </w:r>
      <w:r>
        <w:rPr>
          <w:lang w:val="fr-FR"/>
        </w:rPr>
        <w:t>es dans le Protocole facultatif</w:t>
      </w:r>
      <w:r w:rsidRPr="006926DF">
        <w:rPr>
          <w:lang w:val="fr-FR"/>
        </w:rPr>
        <w:t>.</w:t>
      </w:r>
    </w:p>
    <w:p w:rsidR="00EE196F" w:rsidRPr="00B74B50" w:rsidRDefault="00EE196F" w:rsidP="00EE196F">
      <w:pPr>
        <w:pStyle w:val="H1G"/>
        <w:rPr>
          <w:lang w:val="fr-FR"/>
        </w:rPr>
      </w:pPr>
      <w:r w:rsidRPr="006926DF">
        <w:rPr>
          <w:lang w:val="fr-FR"/>
        </w:rPr>
        <w:tab/>
      </w:r>
      <w:r w:rsidRPr="00B74B50">
        <w:rPr>
          <w:lang w:val="fr-FR"/>
        </w:rPr>
        <w:t>B.</w:t>
      </w:r>
      <w:r w:rsidRPr="00B74B50">
        <w:rPr>
          <w:lang w:val="fr-FR"/>
        </w:rPr>
        <w:tab/>
      </w:r>
      <w:r>
        <w:rPr>
          <w:lang w:val="fr-FR"/>
        </w:rPr>
        <w:t>Délibérations du Comité sur</w:t>
      </w:r>
      <w:r w:rsidRPr="00B74B50">
        <w:rPr>
          <w:lang w:val="fr-FR"/>
        </w:rPr>
        <w:t xml:space="preserve"> la recevabilité</w:t>
      </w:r>
    </w:p>
    <w:p w:rsidR="00EE196F" w:rsidRPr="00B74B50" w:rsidRDefault="00EE196F" w:rsidP="00EE196F">
      <w:pPr>
        <w:pStyle w:val="SingleTxtG"/>
        <w:spacing w:line="242" w:lineRule="atLeast"/>
        <w:rPr>
          <w:lang w:val="fr-FR"/>
        </w:rPr>
      </w:pPr>
      <w:r w:rsidRPr="00B74B50">
        <w:rPr>
          <w:bCs/>
          <w:lang w:val="fr-FR"/>
        </w:rPr>
        <w:t>8.1</w:t>
      </w:r>
      <w:r w:rsidRPr="00B74B50">
        <w:rPr>
          <w:bCs/>
          <w:lang w:val="fr-FR"/>
        </w:rPr>
        <w:tab/>
      </w:r>
      <w:r w:rsidRPr="00B74B50">
        <w:rPr>
          <w:lang w:val="fr-FR"/>
        </w:rPr>
        <w:t>Avant d</w:t>
      </w:r>
      <w:r w:rsidR="00864B14">
        <w:rPr>
          <w:lang w:val="fr-FR"/>
        </w:rPr>
        <w:t>’</w:t>
      </w:r>
      <w:r w:rsidRPr="00B74B50">
        <w:rPr>
          <w:lang w:val="fr-FR"/>
        </w:rPr>
        <w:t>examiner tout grief formulé dans une communication, le Comité doit déterminer si la communication est recevable au regard du Protocole facultatif se rapportant au Pacte.</w:t>
      </w:r>
    </w:p>
    <w:p w:rsidR="00EE196F" w:rsidRPr="00B72B15" w:rsidRDefault="00EE196F" w:rsidP="00EE196F">
      <w:pPr>
        <w:pStyle w:val="SingleTxtG"/>
        <w:spacing w:line="242" w:lineRule="atLeast"/>
        <w:rPr>
          <w:lang w:val="fr-FR"/>
        </w:rPr>
      </w:pPr>
      <w:r w:rsidRPr="00B72B15">
        <w:rPr>
          <w:lang w:val="fr-FR"/>
        </w:rPr>
        <w:t xml:space="preserve">8.2 </w:t>
      </w:r>
      <w:r w:rsidRPr="00B72B15">
        <w:rPr>
          <w:lang w:val="fr-FR"/>
        </w:rPr>
        <w:tab/>
      </w:r>
      <w:r w:rsidRPr="00B72B15">
        <w:rPr>
          <w:lang w:val="fr-FR" w:bidi="es-ES"/>
        </w:rPr>
        <w:t>Le Comité prend note de l</w:t>
      </w:r>
      <w:r w:rsidR="00864B14">
        <w:rPr>
          <w:lang w:val="fr-FR" w:bidi="es-ES"/>
        </w:rPr>
        <w:t>’</w:t>
      </w:r>
      <w:r w:rsidRPr="00B72B15">
        <w:rPr>
          <w:lang w:val="fr-FR" w:bidi="es-ES"/>
        </w:rPr>
        <w:t>argument de l</w:t>
      </w:r>
      <w:r w:rsidR="00864B14">
        <w:rPr>
          <w:lang w:val="fr-FR" w:bidi="es-ES"/>
        </w:rPr>
        <w:t>’</w:t>
      </w:r>
      <w:r w:rsidRPr="00B72B15">
        <w:rPr>
          <w:lang w:val="fr-FR" w:bidi="es-ES"/>
        </w:rPr>
        <w:t>État partie selon lequel le Comité n</w:t>
      </w:r>
      <w:r w:rsidR="00864B14">
        <w:rPr>
          <w:lang w:val="fr-FR" w:bidi="es-ES"/>
        </w:rPr>
        <w:t>’</w:t>
      </w:r>
      <w:r w:rsidRPr="00B72B15">
        <w:rPr>
          <w:lang w:val="fr-FR" w:bidi="es-ES"/>
        </w:rPr>
        <w:t xml:space="preserve">est pas compétent </w:t>
      </w:r>
      <w:proofErr w:type="spellStart"/>
      <w:r w:rsidRPr="00B72B15">
        <w:rPr>
          <w:i/>
          <w:lang w:val="fr-FR" w:bidi="es-ES"/>
        </w:rPr>
        <w:t>ratione</w:t>
      </w:r>
      <w:proofErr w:type="spellEnd"/>
      <w:r w:rsidRPr="00B72B15">
        <w:rPr>
          <w:i/>
          <w:lang w:val="fr-FR" w:bidi="es-ES"/>
        </w:rPr>
        <w:t xml:space="preserve"> </w:t>
      </w:r>
      <w:proofErr w:type="spellStart"/>
      <w:r w:rsidRPr="00B72B15">
        <w:rPr>
          <w:i/>
          <w:lang w:val="fr-FR" w:bidi="es-ES"/>
        </w:rPr>
        <w:t>temporis</w:t>
      </w:r>
      <w:proofErr w:type="spellEnd"/>
      <w:r w:rsidRPr="00B72B15">
        <w:rPr>
          <w:lang w:val="fr-FR" w:bidi="es-ES"/>
        </w:rPr>
        <w:t xml:space="preserve"> pour examiner la présente communication, étant donné que les </w:t>
      </w:r>
      <w:r w:rsidRPr="00B72B15">
        <w:rPr>
          <w:lang w:val="fr-FR" w:bidi="es-ES"/>
        </w:rPr>
        <w:lastRenderedPageBreak/>
        <w:t>faits à l</w:t>
      </w:r>
      <w:r w:rsidR="00864B14">
        <w:rPr>
          <w:lang w:val="fr-FR" w:bidi="es-ES"/>
        </w:rPr>
        <w:t>’</w:t>
      </w:r>
      <w:r w:rsidRPr="00B72B15">
        <w:rPr>
          <w:lang w:val="fr-FR" w:bidi="es-ES"/>
        </w:rPr>
        <w:t>origine des violations alléguées se sont produits en octobre 2007, avant l</w:t>
      </w:r>
      <w:r w:rsidR="00864B14">
        <w:rPr>
          <w:lang w:val="fr-FR" w:bidi="es-ES"/>
        </w:rPr>
        <w:t>’</w:t>
      </w:r>
      <w:r w:rsidRPr="00B72B15">
        <w:rPr>
          <w:lang w:val="fr-FR" w:bidi="es-ES"/>
        </w:rPr>
        <w:t xml:space="preserve">entrée en vigueur du Protocole facultatif </w:t>
      </w:r>
      <w:r>
        <w:rPr>
          <w:lang w:val="fr-FR" w:bidi="es-ES"/>
        </w:rPr>
        <w:t>pour</w:t>
      </w:r>
      <w:r w:rsidRPr="00B72B15">
        <w:rPr>
          <w:lang w:val="fr-FR" w:bidi="es-ES"/>
        </w:rPr>
        <w:t xml:space="preserve"> l</w:t>
      </w:r>
      <w:r w:rsidR="00864B14">
        <w:rPr>
          <w:lang w:val="fr-FR" w:bidi="es-ES"/>
        </w:rPr>
        <w:t>’</w:t>
      </w:r>
      <w:r w:rsidRPr="00B72B15">
        <w:rPr>
          <w:lang w:val="fr-FR" w:bidi="es-ES"/>
        </w:rPr>
        <w:t xml:space="preserve">Équateur, </w:t>
      </w:r>
      <w:r>
        <w:rPr>
          <w:lang w:val="fr-FR" w:bidi="es-ES"/>
        </w:rPr>
        <w:t>à savoir le 5</w:t>
      </w:r>
      <w:r w:rsidR="00013A9E">
        <w:rPr>
          <w:lang w:val="fr-FR" w:bidi="es-ES"/>
        </w:rPr>
        <w:t> </w:t>
      </w:r>
      <w:r>
        <w:rPr>
          <w:lang w:val="fr-FR" w:bidi="es-ES"/>
        </w:rPr>
        <w:t>mai 2013</w:t>
      </w:r>
      <w:r>
        <w:rPr>
          <w:lang w:val="fr-FR"/>
        </w:rPr>
        <w:t xml:space="preserve"> ; </w:t>
      </w:r>
      <w:r w:rsidRPr="009B56FB">
        <w:rPr>
          <w:lang w:val="fr-FR"/>
        </w:rPr>
        <w:t xml:space="preserve">et les décisions judiciaires rendues après cette date ne peuvent être prises en compte pour déterminer la compétence </w:t>
      </w:r>
      <w:proofErr w:type="spellStart"/>
      <w:r w:rsidRPr="009B56FB">
        <w:rPr>
          <w:i/>
          <w:lang w:val="fr-FR"/>
        </w:rPr>
        <w:t>ratione</w:t>
      </w:r>
      <w:proofErr w:type="spellEnd"/>
      <w:r w:rsidRPr="009B56FB">
        <w:rPr>
          <w:i/>
          <w:lang w:val="fr-FR"/>
        </w:rPr>
        <w:t xml:space="preserve"> </w:t>
      </w:r>
      <w:proofErr w:type="spellStart"/>
      <w:r w:rsidRPr="009B56FB">
        <w:rPr>
          <w:i/>
          <w:lang w:val="fr-FR"/>
        </w:rPr>
        <w:t>temporis</w:t>
      </w:r>
      <w:proofErr w:type="spellEnd"/>
      <w:r>
        <w:rPr>
          <w:lang w:val="fr-FR"/>
        </w:rPr>
        <w:t xml:space="preserve"> du Comité</w:t>
      </w:r>
      <w:r w:rsidRPr="00B72B15">
        <w:rPr>
          <w:lang w:val="fr-FR"/>
        </w:rPr>
        <w:t>.</w:t>
      </w:r>
    </w:p>
    <w:p w:rsidR="00EE196F" w:rsidRPr="00BC0895" w:rsidRDefault="00EE196F" w:rsidP="00EE196F">
      <w:pPr>
        <w:pStyle w:val="SingleTxtG"/>
        <w:spacing w:line="242" w:lineRule="atLeast"/>
        <w:rPr>
          <w:lang w:val="fr-FR"/>
        </w:rPr>
      </w:pPr>
      <w:r w:rsidRPr="00F61613">
        <w:rPr>
          <w:lang w:val="fr-FR"/>
        </w:rPr>
        <w:t>8.3</w:t>
      </w:r>
      <w:r w:rsidRPr="00F61613">
        <w:rPr>
          <w:lang w:val="fr-FR"/>
        </w:rPr>
        <w:tab/>
        <w:t>Le Comité rappelle qu</w:t>
      </w:r>
      <w:r w:rsidR="00864B14">
        <w:rPr>
          <w:lang w:val="fr-FR"/>
        </w:rPr>
        <w:t>’</w:t>
      </w:r>
      <w:r w:rsidRPr="00F61613">
        <w:rPr>
          <w:lang w:val="fr-FR"/>
        </w:rPr>
        <w:t>en vertu du paragraphe</w:t>
      </w:r>
      <w:r w:rsidR="00013A9E">
        <w:rPr>
          <w:lang w:val="fr-FR"/>
        </w:rPr>
        <w:t xml:space="preserve"> </w:t>
      </w:r>
      <w:r w:rsidRPr="00F61613">
        <w:rPr>
          <w:lang w:val="fr-FR"/>
        </w:rPr>
        <w:t>2</w:t>
      </w:r>
      <w:r>
        <w:rPr>
          <w:lang w:val="fr-FR"/>
        </w:rPr>
        <w:t> </w:t>
      </w:r>
      <w:r w:rsidRPr="00F61613">
        <w:rPr>
          <w:lang w:val="fr-FR"/>
        </w:rPr>
        <w:t>b) de l</w:t>
      </w:r>
      <w:r w:rsidR="00864B14">
        <w:rPr>
          <w:lang w:val="fr-FR"/>
        </w:rPr>
        <w:t>’</w:t>
      </w:r>
      <w:r w:rsidRPr="00F61613">
        <w:rPr>
          <w:lang w:val="fr-FR"/>
        </w:rPr>
        <w:t>article</w:t>
      </w:r>
      <w:r w:rsidR="00013A9E">
        <w:rPr>
          <w:lang w:val="fr-FR"/>
        </w:rPr>
        <w:t xml:space="preserve"> </w:t>
      </w:r>
      <w:r w:rsidRPr="00F61613">
        <w:rPr>
          <w:lang w:val="fr-FR"/>
        </w:rPr>
        <w:t>3 du Protocole facultatif, le Comité déclare irrecevable toute communication si elle porte sur des faits antérieurs à la date d</w:t>
      </w:r>
      <w:r w:rsidR="00864B14">
        <w:rPr>
          <w:lang w:val="fr-FR"/>
        </w:rPr>
        <w:t>’</w:t>
      </w:r>
      <w:r w:rsidRPr="00F61613">
        <w:rPr>
          <w:lang w:val="fr-FR"/>
        </w:rPr>
        <w:t>entrée en vigueur du Protocole facultatif pour l</w:t>
      </w:r>
      <w:r w:rsidR="00864B14">
        <w:rPr>
          <w:lang w:val="fr-FR"/>
        </w:rPr>
        <w:t>’</w:t>
      </w:r>
      <w:r w:rsidRPr="00F61613">
        <w:rPr>
          <w:lang w:val="fr-FR"/>
        </w:rPr>
        <w:t xml:space="preserve">État partie concerné, </w:t>
      </w:r>
      <w:r>
        <w:rPr>
          <w:lang w:val="fr-FR"/>
        </w:rPr>
        <w:t>« </w:t>
      </w:r>
      <w:r w:rsidRPr="00F61613">
        <w:rPr>
          <w:lang w:val="fr-FR"/>
        </w:rPr>
        <w:t>à moins que ces faits ne persistent après cette date</w:t>
      </w:r>
      <w:r>
        <w:rPr>
          <w:lang w:val="fr-FR"/>
        </w:rPr>
        <w:t> »,</w:t>
      </w:r>
      <w:r w:rsidRPr="00F61613">
        <w:rPr>
          <w:lang w:val="fr-FR"/>
        </w:rPr>
        <w:t xml:space="preserve"> et sa jurisprudence, selon laquelle, les décisions judiciaires ou administratives des autorités nationales sont également considérées comme faisant partie des </w:t>
      </w:r>
      <w:r>
        <w:rPr>
          <w:lang w:val="fr-FR"/>
        </w:rPr>
        <w:t>« </w:t>
      </w:r>
      <w:r w:rsidRPr="00F61613">
        <w:rPr>
          <w:lang w:val="fr-FR"/>
        </w:rPr>
        <w:t>faits</w:t>
      </w:r>
      <w:r>
        <w:rPr>
          <w:lang w:val="fr-FR"/>
        </w:rPr>
        <w:t> »</w:t>
      </w:r>
      <w:r w:rsidRPr="00F61613">
        <w:rPr>
          <w:lang w:val="fr-FR"/>
        </w:rPr>
        <w:t xml:space="preserve"> au sens du paragraphe</w:t>
      </w:r>
      <w:r w:rsidR="00013A9E">
        <w:rPr>
          <w:lang w:val="fr-FR"/>
        </w:rPr>
        <w:t xml:space="preserve"> </w:t>
      </w:r>
      <w:r w:rsidRPr="00F61613">
        <w:rPr>
          <w:lang w:val="fr-FR"/>
        </w:rPr>
        <w:t>2</w:t>
      </w:r>
      <w:r>
        <w:rPr>
          <w:lang w:val="fr-FR"/>
        </w:rPr>
        <w:t> </w:t>
      </w:r>
      <w:r w:rsidRPr="00F61613">
        <w:rPr>
          <w:lang w:val="fr-FR"/>
        </w:rPr>
        <w:t>b) de l</w:t>
      </w:r>
      <w:r w:rsidR="00864B14">
        <w:rPr>
          <w:lang w:val="fr-FR"/>
        </w:rPr>
        <w:t>’</w:t>
      </w:r>
      <w:r w:rsidRPr="00F61613">
        <w:rPr>
          <w:lang w:val="fr-FR"/>
        </w:rPr>
        <w:t>article</w:t>
      </w:r>
      <w:r w:rsidR="00013A9E">
        <w:rPr>
          <w:lang w:val="fr-FR"/>
        </w:rPr>
        <w:t xml:space="preserve"> </w:t>
      </w:r>
      <w:r w:rsidRPr="00F61613">
        <w:rPr>
          <w:lang w:val="fr-FR"/>
        </w:rPr>
        <w:t>3 du Protocole facultatif, lorsqu</w:t>
      </w:r>
      <w:r w:rsidR="00864B14">
        <w:rPr>
          <w:lang w:val="fr-FR"/>
        </w:rPr>
        <w:t>’</w:t>
      </w:r>
      <w:r w:rsidRPr="00F61613">
        <w:rPr>
          <w:lang w:val="fr-FR"/>
        </w:rPr>
        <w:t xml:space="preserve">elles résultent de procédures directement liées aux </w:t>
      </w:r>
      <w:r>
        <w:rPr>
          <w:lang w:val="fr-FR"/>
        </w:rPr>
        <w:t>faits initiaux</w:t>
      </w:r>
      <w:r w:rsidRPr="00F61613">
        <w:rPr>
          <w:lang w:val="fr-FR"/>
        </w:rPr>
        <w:t>, ac</w:t>
      </w:r>
      <w:r>
        <w:rPr>
          <w:lang w:val="fr-FR"/>
        </w:rPr>
        <w:t xml:space="preserve">tes ou omissions, </w:t>
      </w:r>
      <w:r w:rsidRPr="00F61613">
        <w:rPr>
          <w:lang w:val="fr-FR"/>
        </w:rPr>
        <w:t>qu</w:t>
      </w:r>
      <w:r>
        <w:rPr>
          <w:lang w:val="fr-FR"/>
        </w:rPr>
        <w:t>i ont donné lieu à la violation ;</w:t>
      </w:r>
      <w:r w:rsidRPr="00B4777B">
        <w:t xml:space="preserve"> </w:t>
      </w:r>
      <w:r w:rsidRPr="00B4777B">
        <w:rPr>
          <w:lang w:val="fr-FR"/>
        </w:rPr>
        <w:t xml:space="preserve">et </w:t>
      </w:r>
      <w:r>
        <w:rPr>
          <w:lang w:val="fr-FR"/>
        </w:rPr>
        <w:t>pour autant</w:t>
      </w:r>
      <w:r w:rsidRPr="00B4777B">
        <w:rPr>
          <w:lang w:val="fr-FR"/>
        </w:rPr>
        <w:t xml:space="preserve"> </w:t>
      </w:r>
      <w:r>
        <w:rPr>
          <w:lang w:val="fr-FR"/>
        </w:rPr>
        <w:t>qu</w:t>
      </w:r>
      <w:r w:rsidR="00864B14">
        <w:rPr>
          <w:lang w:val="fr-FR"/>
        </w:rPr>
        <w:t>’</w:t>
      </w:r>
      <w:r>
        <w:rPr>
          <w:lang w:val="fr-FR"/>
        </w:rPr>
        <w:t>elles</w:t>
      </w:r>
      <w:r w:rsidRPr="00B4777B">
        <w:rPr>
          <w:lang w:val="fr-FR"/>
        </w:rPr>
        <w:t xml:space="preserve"> </w:t>
      </w:r>
      <w:r>
        <w:rPr>
          <w:lang w:val="fr-FR"/>
        </w:rPr>
        <w:t>permettent de</w:t>
      </w:r>
      <w:r w:rsidRPr="00B4777B">
        <w:rPr>
          <w:lang w:val="fr-FR"/>
        </w:rPr>
        <w:t xml:space="preserve"> remédier à la violation alléguée, conformément au d</w:t>
      </w:r>
      <w:r>
        <w:rPr>
          <w:lang w:val="fr-FR"/>
        </w:rPr>
        <w:t>roit applicable à ce moment-là</w:t>
      </w:r>
      <w:r w:rsidRPr="00F61613">
        <w:rPr>
          <w:lang w:val="fr-FR"/>
        </w:rPr>
        <w:t xml:space="preserve">. </w:t>
      </w:r>
      <w:r>
        <w:t>Lorsque ces procédures surviennent après l</w:t>
      </w:r>
      <w:r w:rsidR="00864B14">
        <w:t>’</w:t>
      </w:r>
      <w:r>
        <w:t>entrée en vigueur du Protocole facultatif pour l</w:t>
      </w:r>
      <w:r w:rsidR="00864B14">
        <w:t>’</w:t>
      </w:r>
      <w:r>
        <w:t>État partie concerné, le critère prévu au paragraphe</w:t>
      </w:r>
      <w:r w:rsidR="00013A9E">
        <w:t xml:space="preserve"> </w:t>
      </w:r>
      <w:r>
        <w:t>2 b) de l</w:t>
      </w:r>
      <w:r w:rsidR="00864B14">
        <w:t>’</w:t>
      </w:r>
      <w:r>
        <w:t>article</w:t>
      </w:r>
      <w:r w:rsidR="007D70AF">
        <w:t xml:space="preserve"> </w:t>
      </w:r>
      <w:r>
        <w:t>3 n</w:t>
      </w:r>
      <w:r w:rsidR="00864B14">
        <w:t>’</w:t>
      </w:r>
      <w:r>
        <w:t>est pas un obstacle pour déclarer une communication recevable</w:t>
      </w:r>
      <w:r w:rsidRPr="000C41A6">
        <w:rPr>
          <w:rStyle w:val="Appelnotedebasdep"/>
        </w:rPr>
        <w:footnoteReference w:id="13"/>
      </w:r>
      <w:r w:rsidRPr="00E863D2">
        <w:rPr>
          <w:lang w:val="fr-FR"/>
        </w:rPr>
        <w:t xml:space="preserve">. </w:t>
      </w:r>
      <w:r w:rsidRPr="00BC0895">
        <w:rPr>
          <w:lang w:val="fr-FR"/>
        </w:rPr>
        <w:t>Le Comité doit donc déterminer si l</w:t>
      </w:r>
      <w:r w:rsidR="00864B14">
        <w:rPr>
          <w:lang w:val="fr-FR"/>
        </w:rPr>
        <w:t>’</w:t>
      </w:r>
      <w:r w:rsidRPr="00BC0895">
        <w:rPr>
          <w:lang w:val="fr-FR"/>
        </w:rPr>
        <w:t xml:space="preserve">arrêt de la Cour constitutionnelle </w:t>
      </w:r>
      <w:r>
        <w:rPr>
          <w:lang w:val="fr-FR"/>
        </w:rPr>
        <w:t xml:space="preserve">daté </w:t>
      </w:r>
      <w:r w:rsidRPr="00BC0895">
        <w:rPr>
          <w:lang w:val="fr-FR"/>
        </w:rPr>
        <w:t>du 9</w:t>
      </w:r>
      <w:r w:rsidR="00013A9E">
        <w:rPr>
          <w:lang w:val="fr-FR"/>
        </w:rPr>
        <w:t> </w:t>
      </w:r>
      <w:r w:rsidRPr="00BC0895">
        <w:rPr>
          <w:lang w:val="fr-FR"/>
        </w:rPr>
        <w:t xml:space="preserve">avril 2014, qui a rejeté </w:t>
      </w:r>
      <w:r>
        <w:rPr>
          <w:lang w:val="fr-FR"/>
        </w:rPr>
        <w:t>l</w:t>
      </w:r>
      <w:r w:rsidR="00864B14">
        <w:rPr>
          <w:lang w:val="fr-FR"/>
        </w:rPr>
        <w:t>’</w:t>
      </w:r>
      <w:r>
        <w:rPr>
          <w:lang w:val="fr-FR"/>
        </w:rPr>
        <w:t>action</w:t>
      </w:r>
      <w:r w:rsidRPr="00BC0895">
        <w:rPr>
          <w:lang w:val="fr-FR"/>
        </w:rPr>
        <w:t xml:space="preserve"> extraordinaire </w:t>
      </w:r>
      <w:r>
        <w:rPr>
          <w:lang w:val="fr-FR"/>
        </w:rPr>
        <w:t xml:space="preserve">en protection </w:t>
      </w:r>
      <w:r w:rsidRPr="00BC0895">
        <w:rPr>
          <w:lang w:val="fr-FR"/>
        </w:rPr>
        <w:t>de l</w:t>
      </w:r>
      <w:r w:rsidR="00864B14">
        <w:rPr>
          <w:lang w:val="fr-FR"/>
        </w:rPr>
        <w:t>’</w:t>
      </w:r>
      <w:r w:rsidRPr="00BC0895">
        <w:rPr>
          <w:lang w:val="fr-FR"/>
        </w:rPr>
        <w:t xml:space="preserve">auteur, </w:t>
      </w:r>
      <w:r>
        <w:rPr>
          <w:lang w:val="fr-FR"/>
        </w:rPr>
        <w:t>satisfait</w:t>
      </w:r>
      <w:r w:rsidRPr="00BC0895">
        <w:rPr>
          <w:lang w:val="fr-FR"/>
        </w:rPr>
        <w:t xml:space="preserve"> à ces critères.</w:t>
      </w:r>
    </w:p>
    <w:p w:rsidR="00EE196F" w:rsidRPr="00340D93" w:rsidRDefault="00EE196F" w:rsidP="00EE196F">
      <w:pPr>
        <w:pStyle w:val="SingleTxtG"/>
        <w:spacing w:line="242" w:lineRule="atLeast"/>
        <w:rPr>
          <w:color w:val="000000"/>
          <w:lang w:val="fr-FR"/>
        </w:rPr>
      </w:pPr>
      <w:r w:rsidRPr="00340D93">
        <w:rPr>
          <w:lang w:val="fr-FR"/>
        </w:rPr>
        <w:t xml:space="preserve">8.4 </w:t>
      </w:r>
      <w:r w:rsidRPr="00340D93">
        <w:rPr>
          <w:lang w:val="fr-FR"/>
        </w:rPr>
        <w:tab/>
        <w:t>L</w:t>
      </w:r>
      <w:r w:rsidR="00864B14">
        <w:rPr>
          <w:lang w:val="fr-FR"/>
        </w:rPr>
        <w:t>’</w:t>
      </w:r>
      <w:r w:rsidRPr="00340D93">
        <w:rPr>
          <w:lang w:val="fr-FR"/>
        </w:rPr>
        <w:t>État partie soutient que la décision pertinente pour déterminer la compétence du Comité est l</w:t>
      </w:r>
      <w:r w:rsidR="00864B14">
        <w:rPr>
          <w:lang w:val="fr-FR"/>
        </w:rPr>
        <w:t>’</w:t>
      </w:r>
      <w:r w:rsidRPr="00340D93">
        <w:rPr>
          <w:lang w:val="fr-FR"/>
        </w:rPr>
        <w:t xml:space="preserve">arrêt rendu par la </w:t>
      </w:r>
      <w:r>
        <w:rPr>
          <w:lang w:val="fr-FR"/>
        </w:rPr>
        <w:t>Cour nationale de justice</w:t>
      </w:r>
      <w:r w:rsidRPr="00801B1E">
        <w:rPr>
          <w:lang w:val="fr-FR"/>
        </w:rPr>
        <w:t xml:space="preserve"> </w:t>
      </w:r>
      <w:r w:rsidRPr="00340D93">
        <w:rPr>
          <w:lang w:val="fr-FR"/>
        </w:rPr>
        <w:t>le 30</w:t>
      </w:r>
      <w:r>
        <w:rPr>
          <w:lang w:val="fr-FR"/>
        </w:rPr>
        <w:t> </w:t>
      </w:r>
      <w:r w:rsidRPr="00340D93">
        <w:rPr>
          <w:lang w:val="fr-FR"/>
        </w:rPr>
        <w:t>mai 2011, qui a mis fin à la procédure judiciaire liée au droit du travail</w:t>
      </w:r>
      <w:r>
        <w:rPr>
          <w:lang w:val="fr-FR"/>
        </w:rPr>
        <w:t> ;</w:t>
      </w:r>
      <w:r w:rsidRPr="00340D93">
        <w:rPr>
          <w:lang w:val="fr-FR"/>
        </w:rPr>
        <w:t xml:space="preserve"> que l</w:t>
      </w:r>
      <w:r w:rsidR="00864B14">
        <w:rPr>
          <w:lang w:val="fr-FR"/>
        </w:rPr>
        <w:t>’</w:t>
      </w:r>
      <w:r w:rsidRPr="00340D93">
        <w:rPr>
          <w:lang w:val="fr-FR"/>
        </w:rPr>
        <w:t xml:space="preserve">arrêt de la Cour constitutionnelle </w:t>
      </w:r>
      <w:r>
        <w:rPr>
          <w:lang w:val="fr-FR"/>
        </w:rPr>
        <w:t xml:space="preserve">daté </w:t>
      </w:r>
      <w:r w:rsidRPr="00340D93">
        <w:rPr>
          <w:lang w:val="fr-FR"/>
        </w:rPr>
        <w:t>du 9</w:t>
      </w:r>
      <w:r>
        <w:rPr>
          <w:lang w:val="fr-FR"/>
        </w:rPr>
        <w:t> </w:t>
      </w:r>
      <w:r w:rsidRPr="00340D93">
        <w:rPr>
          <w:lang w:val="fr-FR"/>
        </w:rPr>
        <w:t>avril 2014 ne devrait pas être pris en compte parce que l</w:t>
      </w:r>
      <w:r w:rsidR="00864B14">
        <w:rPr>
          <w:lang w:val="fr-FR"/>
        </w:rPr>
        <w:t>’</w:t>
      </w:r>
      <w:r w:rsidRPr="00340D93">
        <w:rPr>
          <w:lang w:val="fr-FR"/>
        </w:rPr>
        <w:t>action extraordinaire</w:t>
      </w:r>
      <w:r>
        <w:rPr>
          <w:lang w:val="fr-FR"/>
        </w:rPr>
        <w:t xml:space="preserve"> en protection</w:t>
      </w:r>
      <w:r w:rsidRPr="00340D93">
        <w:rPr>
          <w:lang w:val="fr-FR"/>
        </w:rPr>
        <w:t xml:space="preserve"> n</w:t>
      </w:r>
      <w:r w:rsidR="00864B14">
        <w:rPr>
          <w:lang w:val="fr-FR"/>
        </w:rPr>
        <w:t>’</w:t>
      </w:r>
      <w:r w:rsidRPr="00340D93">
        <w:rPr>
          <w:lang w:val="fr-FR"/>
        </w:rPr>
        <w:t xml:space="preserve">est pas une instance supplémentaire ou </w:t>
      </w:r>
      <w:r>
        <w:rPr>
          <w:lang w:val="fr-FR"/>
        </w:rPr>
        <w:t>de révision</w:t>
      </w:r>
      <w:r w:rsidRPr="00340D93">
        <w:rPr>
          <w:lang w:val="fr-FR"/>
        </w:rPr>
        <w:t xml:space="preserve"> du système de justice ordinaire du travail</w:t>
      </w:r>
      <w:r>
        <w:rPr>
          <w:lang w:val="fr-FR"/>
        </w:rPr>
        <w:t> ;</w:t>
      </w:r>
      <w:r w:rsidRPr="00340D93">
        <w:rPr>
          <w:lang w:val="fr-FR"/>
        </w:rPr>
        <w:t xml:space="preserve"> et que l</w:t>
      </w:r>
      <w:r w:rsidR="00864B14">
        <w:rPr>
          <w:lang w:val="fr-FR"/>
        </w:rPr>
        <w:t>’</w:t>
      </w:r>
      <w:r w:rsidRPr="00340D93">
        <w:rPr>
          <w:lang w:val="fr-FR"/>
        </w:rPr>
        <w:t>action de l</w:t>
      </w:r>
      <w:r w:rsidR="00864B14">
        <w:rPr>
          <w:lang w:val="fr-FR"/>
        </w:rPr>
        <w:t>’</w:t>
      </w:r>
      <w:r w:rsidRPr="00340D93">
        <w:rPr>
          <w:lang w:val="fr-FR"/>
        </w:rPr>
        <w:t xml:space="preserve">auteur </w:t>
      </w:r>
      <w:r>
        <w:rPr>
          <w:lang w:val="fr-FR"/>
        </w:rPr>
        <w:t>n</w:t>
      </w:r>
      <w:r w:rsidR="00864B14">
        <w:rPr>
          <w:lang w:val="fr-FR"/>
        </w:rPr>
        <w:t>’</w:t>
      </w:r>
      <w:r>
        <w:rPr>
          <w:lang w:val="fr-FR"/>
        </w:rPr>
        <w:t>avait pas pour objet de dénoncer</w:t>
      </w:r>
      <w:r w:rsidRPr="00340D93">
        <w:rPr>
          <w:lang w:val="fr-FR"/>
        </w:rPr>
        <w:t xml:space="preserve"> une violation de son droit au travail, </w:t>
      </w:r>
      <w:r>
        <w:rPr>
          <w:lang w:val="fr-FR"/>
        </w:rPr>
        <w:t>de son droit de</w:t>
      </w:r>
      <w:r w:rsidRPr="00340D93">
        <w:rPr>
          <w:lang w:val="fr-FR"/>
        </w:rPr>
        <w:t xml:space="preserve"> </w:t>
      </w:r>
      <w:r>
        <w:rPr>
          <w:lang w:val="fr-FR"/>
        </w:rPr>
        <w:t>percevoir</w:t>
      </w:r>
      <w:r w:rsidRPr="00340D93">
        <w:rPr>
          <w:lang w:val="fr-FR"/>
        </w:rPr>
        <w:t xml:space="preserve"> </w:t>
      </w:r>
      <w:r>
        <w:rPr>
          <w:lang w:val="fr-FR"/>
        </w:rPr>
        <w:t>une prime ou des indemnités d</w:t>
      </w:r>
      <w:r w:rsidR="00864B14">
        <w:rPr>
          <w:lang w:val="fr-FR"/>
        </w:rPr>
        <w:t>’</w:t>
      </w:r>
      <w:r>
        <w:rPr>
          <w:lang w:val="fr-FR"/>
        </w:rPr>
        <w:t>emploi,</w:t>
      </w:r>
      <w:r w:rsidRPr="00340D93">
        <w:rPr>
          <w:lang w:val="fr-FR"/>
        </w:rPr>
        <w:t xml:space="preserve"> ou de son droit à la santé </w:t>
      </w:r>
      <w:r>
        <w:rPr>
          <w:lang w:val="fr-FR"/>
        </w:rPr>
        <w:t>du fait</w:t>
      </w:r>
      <w:r w:rsidRPr="00340D93">
        <w:rPr>
          <w:lang w:val="fr-FR"/>
        </w:rPr>
        <w:t xml:space="preserve"> de</w:t>
      </w:r>
      <w:r>
        <w:rPr>
          <w:lang w:val="fr-FR"/>
        </w:rPr>
        <w:t xml:space="preserve"> mauvaises </w:t>
      </w:r>
      <w:r w:rsidRPr="00340D93">
        <w:rPr>
          <w:lang w:val="fr-FR"/>
        </w:rPr>
        <w:t>conditions de travail</w:t>
      </w:r>
      <w:r w:rsidRPr="00340D93">
        <w:rPr>
          <w:color w:val="000000"/>
          <w:lang w:val="fr-FR"/>
        </w:rPr>
        <w:t>.</w:t>
      </w:r>
    </w:p>
    <w:p w:rsidR="00EE196F" w:rsidRPr="00E731F4" w:rsidRDefault="00EE196F" w:rsidP="00EE196F">
      <w:pPr>
        <w:pStyle w:val="SingleTxtG"/>
        <w:spacing w:line="242" w:lineRule="atLeast"/>
        <w:rPr>
          <w:lang w:val="fr-FR"/>
        </w:rPr>
      </w:pPr>
      <w:r w:rsidRPr="0056750D">
        <w:rPr>
          <w:lang w:val="fr-FR"/>
        </w:rPr>
        <w:t xml:space="preserve">8.5 </w:t>
      </w:r>
      <w:r w:rsidRPr="0056750D">
        <w:rPr>
          <w:lang w:val="fr-FR"/>
        </w:rPr>
        <w:tab/>
        <w:t>Nonobstant le fait que l</w:t>
      </w:r>
      <w:r w:rsidR="00864B14">
        <w:rPr>
          <w:lang w:val="fr-FR"/>
        </w:rPr>
        <w:t>’</w:t>
      </w:r>
      <w:r w:rsidRPr="0056750D">
        <w:rPr>
          <w:lang w:val="fr-FR"/>
        </w:rPr>
        <w:t xml:space="preserve">action extraordinaire </w:t>
      </w:r>
      <w:r>
        <w:rPr>
          <w:lang w:val="fr-FR"/>
        </w:rPr>
        <w:t xml:space="preserve">en </w:t>
      </w:r>
      <w:r w:rsidRPr="0056750D">
        <w:rPr>
          <w:lang w:val="fr-FR"/>
        </w:rPr>
        <w:t>protection de l</w:t>
      </w:r>
      <w:r w:rsidR="00864B14">
        <w:rPr>
          <w:lang w:val="fr-FR"/>
        </w:rPr>
        <w:t>’</w:t>
      </w:r>
      <w:r w:rsidRPr="0056750D">
        <w:rPr>
          <w:lang w:val="fr-FR"/>
        </w:rPr>
        <w:t>auteur n</w:t>
      </w:r>
      <w:r w:rsidR="00864B14">
        <w:rPr>
          <w:lang w:val="fr-FR"/>
        </w:rPr>
        <w:t>’</w:t>
      </w:r>
      <w:r w:rsidRPr="0056750D">
        <w:rPr>
          <w:lang w:val="fr-FR"/>
        </w:rPr>
        <w:t>a porté que sur des allégations de violation du droit à une procédure régulière et du droit à une protection juridictionnell</w:t>
      </w:r>
      <w:r>
        <w:rPr>
          <w:lang w:val="fr-FR"/>
        </w:rPr>
        <w:t>e effective, le Comité note qu</w:t>
      </w:r>
      <w:r w:rsidR="00864B14">
        <w:rPr>
          <w:lang w:val="fr-FR"/>
        </w:rPr>
        <w:t>’</w:t>
      </w:r>
      <w:r>
        <w:rPr>
          <w:lang w:val="fr-FR"/>
        </w:rPr>
        <w:t xml:space="preserve">elle visait à faire reconnaître le caractère infondé du </w:t>
      </w:r>
      <w:r w:rsidRPr="0056750D">
        <w:rPr>
          <w:lang w:val="fr-FR"/>
        </w:rPr>
        <w:t xml:space="preserve">jugement de cassation de la </w:t>
      </w:r>
      <w:r>
        <w:rPr>
          <w:lang w:val="fr-FR"/>
        </w:rPr>
        <w:t>Cour nationale de justice</w:t>
      </w:r>
      <w:r w:rsidRPr="00801B1E">
        <w:rPr>
          <w:lang w:val="fr-FR"/>
        </w:rPr>
        <w:t xml:space="preserve"> </w:t>
      </w:r>
      <w:r w:rsidRPr="0056750D">
        <w:rPr>
          <w:lang w:val="fr-FR"/>
        </w:rPr>
        <w:t xml:space="preserve">en ce qui concerne les critères </w:t>
      </w:r>
      <w:r>
        <w:rPr>
          <w:lang w:val="fr-FR"/>
        </w:rPr>
        <w:t>à partir desquels celle-ci</w:t>
      </w:r>
      <w:r w:rsidRPr="0056750D">
        <w:rPr>
          <w:lang w:val="fr-FR"/>
        </w:rPr>
        <w:t xml:space="preserve"> avait conclu que l</w:t>
      </w:r>
      <w:r w:rsidR="00864B14">
        <w:rPr>
          <w:lang w:val="fr-FR"/>
        </w:rPr>
        <w:t>’</w:t>
      </w:r>
      <w:r w:rsidRPr="0056750D">
        <w:rPr>
          <w:lang w:val="fr-FR"/>
        </w:rPr>
        <w:t>auteur n</w:t>
      </w:r>
      <w:r w:rsidR="00864B14">
        <w:rPr>
          <w:lang w:val="fr-FR"/>
        </w:rPr>
        <w:t>’</w:t>
      </w:r>
      <w:r w:rsidRPr="0056750D">
        <w:rPr>
          <w:lang w:val="fr-FR"/>
        </w:rPr>
        <w:t>avait pas droit à la prime prévue dans la convention collective</w:t>
      </w:r>
      <w:r>
        <w:rPr>
          <w:lang w:val="fr-FR"/>
        </w:rPr>
        <w:t xml:space="preserve">, </w:t>
      </w:r>
      <w:r w:rsidRPr="0056750D">
        <w:rPr>
          <w:lang w:val="fr-FR"/>
        </w:rPr>
        <w:t xml:space="preserve">et que, de plus, la </w:t>
      </w:r>
      <w:r>
        <w:rPr>
          <w:lang w:val="fr-FR"/>
        </w:rPr>
        <w:t>Cour nationale de justice</w:t>
      </w:r>
      <w:r w:rsidRPr="00801B1E">
        <w:rPr>
          <w:lang w:val="fr-FR"/>
        </w:rPr>
        <w:t xml:space="preserve"> </w:t>
      </w:r>
      <w:r w:rsidRPr="0056750D">
        <w:rPr>
          <w:lang w:val="fr-FR"/>
        </w:rPr>
        <w:t xml:space="preserve">était le seul organe judiciaire à </w:t>
      </w:r>
      <w:r>
        <w:rPr>
          <w:lang w:val="fr-FR"/>
        </w:rPr>
        <w:t>avoir débouté l</w:t>
      </w:r>
      <w:r w:rsidR="00864B14">
        <w:rPr>
          <w:lang w:val="fr-FR"/>
        </w:rPr>
        <w:t>’</w:t>
      </w:r>
      <w:r>
        <w:rPr>
          <w:lang w:val="fr-FR"/>
        </w:rPr>
        <w:t>auteur de sa plainte</w:t>
      </w:r>
      <w:r w:rsidRPr="0056750D">
        <w:rPr>
          <w:lang w:val="fr-FR"/>
        </w:rPr>
        <w:t xml:space="preserve">. </w:t>
      </w:r>
      <w:r w:rsidRPr="0019437A">
        <w:rPr>
          <w:color w:val="000000"/>
          <w:lang w:val="fr-FR"/>
        </w:rPr>
        <w:t xml:space="preserve">Ainsi, dans les circonstances particulières </w:t>
      </w:r>
      <w:r>
        <w:rPr>
          <w:color w:val="000000"/>
          <w:lang w:val="fr-FR"/>
        </w:rPr>
        <w:t>de l</w:t>
      </w:r>
      <w:r w:rsidR="00864B14">
        <w:rPr>
          <w:color w:val="000000"/>
          <w:lang w:val="fr-FR"/>
        </w:rPr>
        <w:t>’</w:t>
      </w:r>
      <w:r>
        <w:rPr>
          <w:color w:val="000000"/>
          <w:lang w:val="fr-FR"/>
        </w:rPr>
        <w:t>espèce</w:t>
      </w:r>
      <w:r w:rsidRPr="0019437A">
        <w:rPr>
          <w:color w:val="000000"/>
          <w:lang w:val="fr-FR"/>
        </w:rPr>
        <w:t>, cette procédure a donné à la Cour constitutionnelle l</w:t>
      </w:r>
      <w:r w:rsidR="00864B14">
        <w:rPr>
          <w:color w:val="000000"/>
          <w:lang w:val="fr-FR"/>
        </w:rPr>
        <w:t>’</w:t>
      </w:r>
      <w:r w:rsidRPr="0019437A">
        <w:rPr>
          <w:color w:val="000000"/>
          <w:lang w:val="fr-FR"/>
        </w:rPr>
        <w:t>occasion de remédier aux violations alléguées des droits fondamentaux de l</w:t>
      </w:r>
      <w:r w:rsidR="00864B14">
        <w:rPr>
          <w:color w:val="000000"/>
          <w:lang w:val="fr-FR"/>
        </w:rPr>
        <w:t>’</w:t>
      </w:r>
      <w:r w:rsidRPr="0019437A">
        <w:rPr>
          <w:color w:val="000000"/>
          <w:lang w:val="fr-FR"/>
        </w:rPr>
        <w:t xml:space="preserve">auteur </w:t>
      </w:r>
      <w:r>
        <w:rPr>
          <w:color w:val="000000"/>
          <w:lang w:val="fr-FR"/>
        </w:rPr>
        <w:t xml:space="preserve">dénoncées dans </w:t>
      </w:r>
      <w:r w:rsidRPr="0019437A">
        <w:rPr>
          <w:color w:val="000000"/>
          <w:lang w:val="fr-FR"/>
        </w:rPr>
        <w:t>la présente communication</w:t>
      </w:r>
      <w:r w:rsidRPr="000C41A6">
        <w:rPr>
          <w:rStyle w:val="Appelnotedebasdep"/>
        </w:rPr>
        <w:footnoteReference w:id="14"/>
      </w:r>
      <w:r w:rsidRPr="00E731F4">
        <w:rPr>
          <w:lang w:val="fr-FR"/>
        </w:rPr>
        <w:t xml:space="preserve">. </w:t>
      </w:r>
      <w:r w:rsidRPr="00E731F4">
        <w:rPr>
          <w:color w:val="000000"/>
          <w:lang w:val="fr-FR"/>
        </w:rPr>
        <w:t xml:space="preserve">Le Comité considère donc que la communication est conforme au critère de recevabilité énoncé au </w:t>
      </w:r>
      <w:r w:rsidRPr="00E731F4">
        <w:rPr>
          <w:lang w:val="fr-FR"/>
        </w:rPr>
        <w:t>paragraphe</w:t>
      </w:r>
      <w:r>
        <w:rPr>
          <w:lang w:val="fr-FR"/>
        </w:rPr>
        <w:t> </w:t>
      </w:r>
      <w:r w:rsidRPr="00E731F4">
        <w:rPr>
          <w:lang w:val="fr-FR"/>
        </w:rPr>
        <w:t>2</w:t>
      </w:r>
      <w:r>
        <w:rPr>
          <w:lang w:val="fr-FR"/>
        </w:rPr>
        <w:t xml:space="preserve"> </w:t>
      </w:r>
      <w:r w:rsidRPr="00E731F4">
        <w:rPr>
          <w:lang w:val="fr-FR"/>
        </w:rPr>
        <w:t>b) de l</w:t>
      </w:r>
      <w:r w:rsidR="00864B14">
        <w:rPr>
          <w:lang w:val="fr-FR"/>
        </w:rPr>
        <w:t>’</w:t>
      </w:r>
      <w:r w:rsidRPr="00E731F4">
        <w:rPr>
          <w:lang w:val="fr-FR"/>
        </w:rPr>
        <w:t>article</w:t>
      </w:r>
      <w:r>
        <w:rPr>
          <w:lang w:val="fr-FR"/>
        </w:rPr>
        <w:t> </w:t>
      </w:r>
      <w:r w:rsidRPr="00E731F4">
        <w:rPr>
          <w:lang w:val="fr-FR"/>
        </w:rPr>
        <w:t xml:space="preserve">3 </w:t>
      </w:r>
      <w:r w:rsidRPr="00E731F4">
        <w:rPr>
          <w:color w:val="000000"/>
          <w:lang w:val="fr-FR"/>
        </w:rPr>
        <w:t>du P</w:t>
      </w:r>
      <w:r>
        <w:rPr>
          <w:color w:val="000000"/>
          <w:lang w:val="fr-FR"/>
        </w:rPr>
        <w:t>rotocole facultatif</w:t>
      </w:r>
      <w:r w:rsidRPr="00E731F4">
        <w:rPr>
          <w:lang w:val="fr-FR"/>
        </w:rPr>
        <w:t>.</w:t>
      </w:r>
    </w:p>
    <w:p w:rsidR="00EE196F" w:rsidRPr="00466330" w:rsidRDefault="00EE196F" w:rsidP="00EE196F">
      <w:pPr>
        <w:pStyle w:val="SingleTxtG"/>
        <w:spacing w:line="242" w:lineRule="atLeast"/>
        <w:rPr>
          <w:lang w:val="fr-FR"/>
        </w:rPr>
      </w:pPr>
      <w:r w:rsidRPr="00B328AB">
        <w:rPr>
          <w:lang w:val="fr-FR"/>
        </w:rPr>
        <w:t xml:space="preserve">8.6 </w:t>
      </w:r>
      <w:r w:rsidRPr="00B328AB">
        <w:rPr>
          <w:lang w:val="fr-FR"/>
        </w:rPr>
        <w:tab/>
        <w:t>Le Comité prend note des observations de l</w:t>
      </w:r>
      <w:r w:rsidR="00864B14">
        <w:rPr>
          <w:lang w:val="fr-FR"/>
        </w:rPr>
        <w:t>’</w:t>
      </w:r>
      <w:r w:rsidRPr="00B328AB">
        <w:rPr>
          <w:lang w:val="fr-FR"/>
        </w:rPr>
        <w:t>État partie selon lesquelles la communication, présentée au Comité le 24</w:t>
      </w:r>
      <w:r>
        <w:rPr>
          <w:lang w:val="fr-FR"/>
        </w:rPr>
        <w:t> </w:t>
      </w:r>
      <w:r w:rsidRPr="00B328AB">
        <w:rPr>
          <w:lang w:val="fr-FR"/>
        </w:rPr>
        <w:t xml:space="preserve">avril 2015, est irrecevable </w:t>
      </w:r>
      <w:r>
        <w:rPr>
          <w:lang w:val="fr-FR"/>
        </w:rPr>
        <w:t>au regard</w:t>
      </w:r>
      <w:r w:rsidRPr="00B328AB">
        <w:rPr>
          <w:lang w:val="fr-FR"/>
        </w:rPr>
        <w:t xml:space="preserve"> d</w:t>
      </w:r>
      <w:r>
        <w:rPr>
          <w:lang w:val="fr-FR"/>
        </w:rPr>
        <w:t>u</w:t>
      </w:r>
      <w:r w:rsidRPr="00B328AB">
        <w:rPr>
          <w:lang w:val="fr-FR"/>
        </w:rPr>
        <w:t xml:space="preserve"> </w:t>
      </w:r>
      <w:r>
        <w:t>paragraphe 2 a) de l</w:t>
      </w:r>
      <w:r w:rsidR="00864B14">
        <w:t>’</w:t>
      </w:r>
      <w:r>
        <w:t>article</w:t>
      </w:r>
      <w:r w:rsidR="00144054">
        <w:t xml:space="preserve"> </w:t>
      </w:r>
      <w:r>
        <w:t xml:space="preserve">3 </w:t>
      </w:r>
      <w:r w:rsidRPr="00B328AB">
        <w:rPr>
          <w:lang w:val="fr-FR"/>
        </w:rPr>
        <w:t>du Pr</w:t>
      </w:r>
      <w:r>
        <w:rPr>
          <w:lang w:val="fr-FR"/>
        </w:rPr>
        <w:t>otocole facultatif, car elle n</w:t>
      </w:r>
      <w:r w:rsidR="00864B14">
        <w:rPr>
          <w:lang w:val="fr-FR"/>
        </w:rPr>
        <w:t>’</w:t>
      </w:r>
      <w:r w:rsidRPr="00B328AB">
        <w:rPr>
          <w:lang w:val="fr-FR"/>
        </w:rPr>
        <w:t>a pas été présentée dans un délai d</w:t>
      </w:r>
      <w:r w:rsidR="00864B14">
        <w:rPr>
          <w:lang w:val="fr-FR"/>
        </w:rPr>
        <w:t>’</w:t>
      </w:r>
      <w:r w:rsidRPr="00B328AB">
        <w:rPr>
          <w:lang w:val="fr-FR"/>
        </w:rPr>
        <w:t xml:space="preserve">un an </w:t>
      </w:r>
      <w:r>
        <w:rPr>
          <w:lang w:val="fr-FR"/>
        </w:rPr>
        <w:t>après</w:t>
      </w:r>
      <w:r w:rsidRPr="00B328AB">
        <w:rPr>
          <w:lang w:val="fr-FR"/>
        </w:rPr>
        <w:t xml:space="preserve"> l</w:t>
      </w:r>
      <w:r w:rsidR="00864B14">
        <w:rPr>
          <w:lang w:val="fr-FR"/>
        </w:rPr>
        <w:t>’</w:t>
      </w:r>
      <w:r w:rsidRPr="00B328AB">
        <w:rPr>
          <w:lang w:val="fr-FR"/>
        </w:rPr>
        <w:t>épuisement des recours internes. L</w:t>
      </w:r>
      <w:r w:rsidR="00864B14">
        <w:rPr>
          <w:lang w:val="fr-FR"/>
        </w:rPr>
        <w:t>’</w:t>
      </w:r>
      <w:r w:rsidRPr="00B328AB">
        <w:rPr>
          <w:lang w:val="fr-FR"/>
        </w:rPr>
        <w:t xml:space="preserve">État partie fait valoir que le jugement pertinent pour déterminer la recevabilité de la communication est celui </w:t>
      </w:r>
      <w:r>
        <w:rPr>
          <w:lang w:val="fr-FR"/>
        </w:rPr>
        <w:t>que</w:t>
      </w:r>
      <w:r w:rsidRPr="00B328AB">
        <w:rPr>
          <w:lang w:val="fr-FR"/>
        </w:rPr>
        <w:t xml:space="preserve"> </w:t>
      </w:r>
      <w:r>
        <w:rPr>
          <w:lang w:val="fr-FR"/>
        </w:rPr>
        <w:t>la</w:t>
      </w:r>
      <w:r w:rsidRPr="00B328AB">
        <w:rPr>
          <w:lang w:val="fr-FR"/>
        </w:rPr>
        <w:t xml:space="preserve"> </w:t>
      </w:r>
      <w:r>
        <w:rPr>
          <w:lang w:val="fr-FR"/>
        </w:rPr>
        <w:t>Cour nationale de justice</w:t>
      </w:r>
      <w:r w:rsidRPr="00801B1E">
        <w:rPr>
          <w:lang w:val="fr-FR"/>
        </w:rPr>
        <w:t xml:space="preserve"> </w:t>
      </w:r>
      <w:r>
        <w:rPr>
          <w:lang w:val="fr-FR"/>
        </w:rPr>
        <w:t xml:space="preserve">a rendu </w:t>
      </w:r>
      <w:r w:rsidRPr="00B328AB">
        <w:rPr>
          <w:lang w:val="fr-FR"/>
        </w:rPr>
        <w:t>le 30</w:t>
      </w:r>
      <w:r w:rsidR="007D70AF">
        <w:rPr>
          <w:lang w:val="fr-FR"/>
        </w:rPr>
        <w:t> </w:t>
      </w:r>
      <w:r w:rsidRPr="00B328AB">
        <w:rPr>
          <w:lang w:val="fr-FR"/>
        </w:rPr>
        <w:t xml:space="preserve">mai 2011 </w:t>
      </w:r>
      <w:r>
        <w:rPr>
          <w:lang w:val="fr-FR"/>
        </w:rPr>
        <w:t>en déboutant l</w:t>
      </w:r>
      <w:r w:rsidR="00864B14">
        <w:rPr>
          <w:lang w:val="fr-FR"/>
        </w:rPr>
        <w:t>’</w:t>
      </w:r>
      <w:r>
        <w:rPr>
          <w:lang w:val="fr-FR"/>
        </w:rPr>
        <w:t>auteur de sa plainte initiale</w:t>
      </w:r>
      <w:r w:rsidRPr="00B328AB">
        <w:rPr>
          <w:lang w:val="fr-FR"/>
        </w:rPr>
        <w:t>.</w:t>
      </w:r>
    </w:p>
    <w:p w:rsidR="00EE196F" w:rsidRPr="00832A8B" w:rsidRDefault="00EE196F" w:rsidP="00EE196F">
      <w:pPr>
        <w:pStyle w:val="SingleTxtG"/>
        <w:rPr>
          <w:lang w:val="fr-FR"/>
        </w:rPr>
      </w:pPr>
      <w:r w:rsidRPr="002C284D">
        <w:rPr>
          <w:lang w:val="fr-FR"/>
        </w:rPr>
        <w:t xml:space="preserve">8.7 </w:t>
      </w:r>
      <w:r w:rsidRPr="002C284D">
        <w:rPr>
          <w:lang w:val="fr-FR"/>
        </w:rPr>
        <w:tab/>
        <w:t>Le Comité considère que, aux fins de l</w:t>
      </w:r>
      <w:r w:rsidR="00864B14">
        <w:rPr>
          <w:lang w:val="fr-FR"/>
        </w:rPr>
        <w:t>’</w:t>
      </w:r>
      <w:r w:rsidRPr="002C284D">
        <w:rPr>
          <w:lang w:val="fr-FR"/>
        </w:rPr>
        <w:t>application paragraphe</w:t>
      </w:r>
      <w:r w:rsidR="007D70AF">
        <w:rPr>
          <w:lang w:val="fr-FR"/>
        </w:rPr>
        <w:t xml:space="preserve"> </w:t>
      </w:r>
      <w:r w:rsidRPr="002C284D">
        <w:rPr>
          <w:lang w:val="fr-FR"/>
        </w:rPr>
        <w:t>2</w:t>
      </w:r>
      <w:r>
        <w:rPr>
          <w:lang w:val="fr-FR"/>
        </w:rPr>
        <w:t xml:space="preserve"> a) </w:t>
      </w:r>
      <w:r w:rsidRPr="002C284D">
        <w:rPr>
          <w:lang w:val="fr-FR"/>
        </w:rPr>
        <w:t>de l</w:t>
      </w:r>
      <w:r w:rsidR="00864B14">
        <w:rPr>
          <w:lang w:val="fr-FR"/>
        </w:rPr>
        <w:t>’</w:t>
      </w:r>
      <w:r w:rsidRPr="002C284D">
        <w:rPr>
          <w:lang w:val="fr-FR"/>
        </w:rPr>
        <w:t>article</w:t>
      </w:r>
      <w:r w:rsidR="007D70AF">
        <w:rPr>
          <w:lang w:val="fr-FR"/>
        </w:rPr>
        <w:t xml:space="preserve"> </w:t>
      </w:r>
      <w:r w:rsidRPr="002C284D">
        <w:rPr>
          <w:lang w:val="fr-FR"/>
        </w:rPr>
        <w:t>3 du Protocole facultatif, les</w:t>
      </w:r>
      <w:r>
        <w:rPr>
          <w:lang w:val="fr-FR"/>
        </w:rPr>
        <w:t xml:space="preserve"> « </w:t>
      </w:r>
      <w:r w:rsidRPr="002C284D">
        <w:rPr>
          <w:lang w:val="fr-FR"/>
        </w:rPr>
        <w:t>recours internes</w:t>
      </w:r>
      <w:r>
        <w:rPr>
          <w:lang w:val="fr-FR"/>
        </w:rPr>
        <w:t> »</w:t>
      </w:r>
      <w:r w:rsidRPr="002C284D">
        <w:rPr>
          <w:lang w:val="fr-FR"/>
        </w:rPr>
        <w:t xml:space="preserve"> sont tous les recours internes</w:t>
      </w:r>
      <w:r>
        <w:rPr>
          <w:lang w:val="fr-FR"/>
        </w:rPr>
        <w:t>,</w:t>
      </w:r>
      <w:r w:rsidRPr="002C284D">
        <w:rPr>
          <w:lang w:val="fr-FR"/>
        </w:rPr>
        <w:t xml:space="preserve"> ordinaires et extraordinaires</w:t>
      </w:r>
      <w:r>
        <w:rPr>
          <w:lang w:val="fr-FR"/>
        </w:rPr>
        <w:t>,</w:t>
      </w:r>
      <w:r w:rsidRPr="002C284D">
        <w:rPr>
          <w:lang w:val="fr-FR"/>
        </w:rPr>
        <w:t xml:space="preserve"> </w:t>
      </w:r>
      <w:r>
        <w:rPr>
          <w:lang w:val="fr-FR"/>
        </w:rPr>
        <w:t xml:space="preserve">qui ont été </w:t>
      </w:r>
      <w:r w:rsidRPr="002C284D">
        <w:rPr>
          <w:lang w:val="fr-FR"/>
        </w:rPr>
        <w:t xml:space="preserve">présentés par la </w:t>
      </w:r>
      <w:r>
        <w:rPr>
          <w:lang w:val="fr-FR"/>
        </w:rPr>
        <w:t xml:space="preserve">présumée </w:t>
      </w:r>
      <w:r w:rsidRPr="002C284D">
        <w:rPr>
          <w:lang w:val="fr-FR"/>
        </w:rPr>
        <w:t xml:space="preserve">victime ou ses représentants en </w:t>
      </w:r>
      <w:r w:rsidRPr="002C284D">
        <w:rPr>
          <w:lang w:val="fr-FR"/>
        </w:rPr>
        <w:lastRenderedPageBreak/>
        <w:t xml:space="preserve">rapport direct avec les </w:t>
      </w:r>
      <w:r>
        <w:rPr>
          <w:lang w:val="fr-FR"/>
        </w:rPr>
        <w:t>faits</w:t>
      </w:r>
      <w:r w:rsidRPr="002C284D">
        <w:rPr>
          <w:lang w:val="fr-FR"/>
        </w:rPr>
        <w:t xml:space="preserve"> à l</w:t>
      </w:r>
      <w:r w:rsidR="00864B14">
        <w:rPr>
          <w:lang w:val="fr-FR"/>
        </w:rPr>
        <w:t>’</w:t>
      </w:r>
      <w:r w:rsidRPr="002C284D">
        <w:rPr>
          <w:lang w:val="fr-FR"/>
        </w:rPr>
        <w:t>origine de la violation alléguée et qu</w:t>
      </w:r>
      <w:r>
        <w:rPr>
          <w:lang w:val="fr-FR"/>
        </w:rPr>
        <w:t xml:space="preserve">i peuvent être </w:t>
      </w:r>
      <w:r w:rsidRPr="002C284D">
        <w:rPr>
          <w:lang w:val="fr-FR"/>
        </w:rPr>
        <w:t>raisonnablement considér</w:t>
      </w:r>
      <w:r>
        <w:rPr>
          <w:lang w:val="fr-FR"/>
        </w:rPr>
        <w:t>és</w:t>
      </w:r>
      <w:r w:rsidRPr="002C284D">
        <w:rPr>
          <w:lang w:val="fr-FR"/>
        </w:rPr>
        <w:t xml:space="preserve">, à première vue, </w:t>
      </w:r>
      <w:r>
        <w:rPr>
          <w:lang w:val="fr-FR"/>
        </w:rPr>
        <w:t>comme utiles pour</w:t>
      </w:r>
      <w:r w:rsidRPr="002C284D">
        <w:rPr>
          <w:lang w:val="fr-FR"/>
        </w:rPr>
        <w:t xml:space="preserve"> remédier efficacement au</w:t>
      </w:r>
      <w:r>
        <w:rPr>
          <w:lang w:val="fr-FR"/>
        </w:rPr>
        <w:t>x violations alléguées du Pacte</w:t>
      </w:r>
      <w:r w:rsidRPr="002C284D">
        <w:rPr>
          <w:lang w:val="fr-FR"/>
        </w:rPr>
        <w:t xml:space="preserve">. </w:t>
      </w:r>
      <w:r w:rsidRPr="00F95ABB">
        <w:rPr>
          <w:lang w:val="fr-FR"/>
        </w:rPr>
        <w:t>En l</w:t>
      </w:r>
      <w:r w:rsidR="00864B14">
        <w:rPr>
          <w:lang w:val="fr-FR"/>
        </w:rPr>
        <w:t>’</w:t>
      </w:r>
      <w:r w:rsidRPr="00F95ABB">
        <w:rPr>
          <w:lang w:val="fr-FR"/>
        </w:rPr>
        <w:t>espèce, compte tenu des considérations exposées ci</w:t>
      </w:r>
      <w:r>
        <w:rPr>
          <w:lang w:val="fr-FR"/>
        </w:rPr>
        <w:noBreakHyphen/>
      </w:r>
      <w:r w:rsidRPr="00F95ABB">
        <w:rPr>
          <w:lang w:val="fr-FR"/>
        </w:rPr>
        <w:t xml:space="preserve">dessus (voir </w:t>
      </w:r>
      <w:r>
        <w:rPr>
          <w:lang w:val="fr-FR"/>
        </w:rPr>
        <w:t>le paragraphe</w:t>
      </w:r>
      <w:r w:rsidR="00144054">
        <w:rPr>
          <w:lang w:val="fr-FR"/>
        </w:rPr>
        <w:t xml:space="preserve"> </w:t>
      </w:r>
      <w:r w:rsidRPr="00F95ABB">
        <w:rPr>
          <w:lang w:val="fr-FR"/>
        </w:rPr>
        <w:t xml:space="preserve">8.5), le Comité considère que les recours internes ont été épuisés </w:t>
      </w:r>
      <w:r>
        <w:rPr>
          <w:lang w:val="fr-FR"/>
        </w:rPr>
        <w:t>avec</w:t>
      </w:r>
      <w:r w:rsidRPr="00F95ABB">
        <w:rPr>
          <w:lang w:val="fr-FR"/>
        </w:rPr>
        <w:t xml:space="preserve"> l</w:t>
      </w:r>
      <w:r w:rsidR="00864B14">
        <w:rPr>
          <w:lang w:val="fr-FR"/>
        </w:rPr>
        <w:t>’</w:t>
      </w:r>
      <w:r w:rsidRPr="00F95ABB">
        <w:rPr>
          <w:lang w:val="fr-FR"/>
        </w:rPr>
        <w:t xml:space="preserve">arrêt de la Cour constitutionnelle </w:t>
      </w:r>
      <w:r>
        <w:rPr>
          <w:lang w:val="fr-FR"/>
        </w:rPr>
        <w:t xml:space="preserve">daté </w:t>
      </w:r>
      <w:r w:rsidRPr="00F95ABB">
        <w:rPr>
          <w:lang w:val="fr-FR"/>
        </w:rPr>
        <w:t>du 9</w:t>
      </w:r>
      <w:r>
        <w:rPr>
          <w:lang w:val="fr-FR"/>
        </w:rPr>
        <w:t> </w:t>
      </w:r>
      <w:r w:rsidRPr="00F95ABB">
        <w:rPr>
          <w:lang w:val="fr-FR"/>
        </w:rPr>
        <w:t>avril 2014, qui a été notifié à l</w:t>
      </w:r>
      <w:r w:rsidR="00864B14">
        <w:rPr>
          <w:lang w:val="fr-FR"/>
        </w:rPr>
        <w:t>’</w:t>
      </w:r>
      <w:r w:rsidRPr="00F95ABB">
        <w:rPr>
          <w:lang w:val="fr-FR"/>
        </w:rPr>
        <w:t>auteur le 24</w:t>
      </w:r>
      <w:r>
        <w:rPr>
          <w:lang w:val="fr-FR"/>
        </w:rPr>
        <w:t> </w:t>
      </w:r>
      <w:r w:rsidRPr="00F95ABB">
        <w:rPr>
          <w:lang w:val="fr-FR"/>
        </w:rPr>
        <w:t xml:space="preserve">avril 2014. </w:t>
      </w:r>
      <w:r>
        <w:rPr>
          <w:lang w:val="fr-FR"/>
        </w:rPr>
        <w:t>Il estime</w:t>
      </w:r>
      <w:r w:rsidRPr="00F95ABB">
        <w:rPr>
          <w:lang w:val="fr-FR"/>
        </w:rPr>
        <w:t xml:space="preserve"> donc que la présente communication a été présentée dans le délai fixé </w:t>
      </w:r>
      <w:r>
        <w:rPr>
          <w:lang w:val="fr-FR"/>
        </w:rPr>
        <w:t>au</w:t>
      </w:r>
      <w:r w:rsidRPr="00F95ABB">
        <w:rPr>
          <w:lang w:val="fr-FR"/>
        </w:rPr>
        <w:t xml:space="preserve"> paragraphe</w:t>
      </w:r>
      <w:r w:rsidR="00144054">
        <w:rPr>
          <w:lang w:val="fr-FR"/>
        </w:rPr>
        <w:t xml:space="preserve"> </w:t>
      </w:r>
      <w:r w:rsidRPr="00F95ABB">
        <w:rPr>
          <w:lang w:val="fr-FR"/>
        </w:rPr>
        <w:t>2</w:t>
      </w:r>
      <w:r>
        <w:rPr>
          <w:lang w:val="fr-FR"/>
        </w:rPr>
        <w:t xml:space="preserve"> a) </w:t>
      </w:r>
      <w:r w:rsidRPr="00F95ABB">
        <w:rPr>
          <w:lang w:val="fr-FR"/>
        </w:rPr>
        <w:t>de l</w:t>
      </w:r>
      <w:r w:rsidR="00864B14">
        <w:rPr>
          <w:lang w:val="fr-FR"/>
        </w:rPr>
        <w:t>’</w:t>
      </w:r>
      <w:r w:rsidRPr="00F95ABB">
        <w:rPr>
          <w:lang w:val="fr-FR"/>
        </w:rPr>
        <w:t>ar</w:t>
      </w:r>
      <w:r>
        <w:rPr>
          <w:lang w:val="fr-FR"/>
        </w:rPr>
        <w:t>ticle 3 du Protocole facultatif</w:t>
      </w:r>
      <w:r w:rsidRPr="00832A8B">
        <w:rPr>
          <w:lang w:val="fr-FR"/>
        </w:rPr>
        <w:t>.</w:t>
      </w:r>
    </w:p>
    <w:p w:rsidR="00EE196F" w:rsidRPr="00080A15" w:rsidRDefault="00EE196F" w:rsidP="00EE196F">
      <w:pPr>
        <w:pStyle w:val="SingleTxtG"/>
        <w:rPr>
          <w:lang w:val="fr-FR"/>
        </w:rPr>
      </w:pPr>
      <w:r w:rsidRPr="00DB38FE">
        <w:rPr>
          <w:lang w:val="fr-FR"/>
        </w:rPr>
        <w:t xml:space="preserve">8.8 </w:t>
      </w:r>
      <w:r w:rsidRPr="00DB38FE">
        <w:rPr>
          <w:lang w:val="fr-FR"/>
        </w:rPr>
        <w:tab/>
        <w:t>En ce qui concerne le critère de recevabilité énoncé au paragraphe</w:t>
      </w:r>
      <w:r w:rsidR="00144054">
        <w:rPr>
          <w:lang w:val="fr-FR"/>
        </w:rPr>
        <w:t xml:space="preserve"> </w:t>
      </w:r>
      <w:r w:rsidRPr="00DB38FE">
        <w:rPr>
          <w:lang w:val="fr-FR"/>
        </w:rPr>
        <w:t>1 de l</w:t>
      </w:r>
      <w:r w:rsidR="00864B14">
        <w:rPr>
          <w:lang w:val="fr-FR"/>
        </w:rPr>
        <w:t>’</w:t>
      </w:r>
      <w:r w:rsidRPr="00DB38FE">
        <w:rPr>
          <w:lang w:val="fr-FR"/>
        </w:rPr>
        <w:t>article</w:t>
      </w:r>
      <w:r w:rsidR="00144054">
        <w:rPr>
          <w:lang w:val="fr-FR"/>
        </w:rPr>
        <w:t xml:space="preserve"> </w:t>
      </w:r>
      <w:r w:rsidRPr="00DB38FE">
        <w:rPr>
          <w:lang w:val="fr-FR"/>
        </w:rPr>
        <w:t xml:space="preserve">3 du Protocole facultatif, le Comité note </w:t>
      </w:r>
      <w:r>
        <w:rPr>
          <w:lang w:val="fr-FR"/>
        </w:rPr>
        <w:t>que selon</w:t>
      </w:r>
      <w:r w:rsidRPr="00DB38FE">
        <w:rPr>
          <w:lang w:val="fr-FR"/>
        </w:rPr>
        <w:t xml:space="preserve"> l</w:t>
      </w:r>
      <w:r w:rsidR="00864B14">
        <w:rPr>
          <w:lang w:val="fr-FR"/>
        </w:rPr>
        <w:t>’</w:t>
      </w:r>
      <w:r w:rsidRPr="00DB38FE">
        <w:rPr>
          <w:lang w:val="fr-FR"/>
        </w:rPr>
        <w:t>État partie</w:t>
      </w:r>
      <w:r>
        <w:rPr>
          <w:lang w:val="fr-FR"/>
        </w:rPr>
        <w:t xml:space="preserve">, </w:t>
      </w:r>
      <w:r w:rsidRPr="00DB38FE">
        <w:rPr>
          <w:lang w:val="fr-FR"/>
        </w:rPr>
        <w:t>l</w:t>
      </w:r>
      <w:r w:rsidR="00864B14">
        <w:rPr>
          <w:lang w:val="fr-FR"/>
        </w:rPr>
        <w:t>’</w:t>
      </w:r>
      <w:r w:rsidRPr="00DB38FE">
        <w:rPr>
          <w:lang w:val="fr-FR"/>
        </w:rPr>
        <w:t>auteur n</w:t>
      </w:r>
      <w:r w:rsidR="00864B14">
        <w:rPr>
          <w:lang w:val="fr-FR"/>
        </w:rPr>
        <w:t>’</w:t>
      </w:r>
      <w:r w:rsidRPr="00DB38FE">
        <w:rPr>
          <w:lang w:val="fr-FR"/>
        </w:rPr>
        <w:t xml:space="preserve">a </w:t>
      </w:r>
      <w:r>
        <w:rPr>
          <w:lang w:val="fr-FR"/>
        </w:rPr>
        <w:t>exercé</w:t>
      </w:r>
      <w:r w:rsidRPr="00DB38FE">
        <w:rPr>
          <w:lang w:val="fr-FR"/>
        </w:rPr>
        <w:t xml:space="preserve"> aucun recours interne à sa disposition concernant les faits qui seraient à l</w:t>
      </w:r>
      <w:r w:rsidR="00864B14">
        <w:rPr>
          <w:lang w:val="fr-FR"/>
        </w:rPr>
        <w:t>’</w:t>
      </w:r>
      <w:r w:rsidRPr="00DB38FE">
        <w:rPr>
          <w:lang w:val="fr-FR"/>
        </w:rPr>
        <w:t>origine de ses problèmes de santé, à savoir les conditions dans lesquelles il aurait travaillé à PETROECUADOR</w:t>
      </w:r>
      <w:r>
        <w:rPr>
          <w:lang w:val="fr-FR"/>
        </w:rPr>
        <w:t> ; l</w:t>
      </w:r>
      <w:r w:rsidR="00864B14">
        <w:rPr>
          <w:lang w:val="fr-FR"/>
        </w:rPr>
        <w:t>’</w:t>
      </w:r>
      <w:r>
        <w:rPr>
          <w:lang w:val="fr-FR"/>
        </w:rPr>
        <w:t>auteur, conformément au</w:t>
      </w:r>
      <w:r w:rsidRPr="00E82D02">
        <w:rPr>
          <w:lang w:val="fr-FR"/>
        </w:rPr>
        <w:t xml:space="preserve"> </w:t>
      </w:r>
      <w:r>
        <w:rPr>
          <w:lang w:val="fr-FR"/>
        </w:rPr>
        <w:t>r</w:t>
      </w:r>
      <w:r w:rsidRPr="00E82D02">
        <w:rPr>
          <w:lang w:val="fr-FR"/>
        </w:rPr>
        <w:t xml:space="preserve">èglement </w:t>
      </w:r>
      <w:r>
        <w:rPr>
          <w:lang w:val="fr-FR"/>
        </w:rPr>
        <w:t>relatif à</w:t>
      </w:r>
      <w:r w:rsidRPr="00E82D02">
        <w:rPr>
          <w:lang w:val="fr-FR"/>
        </w:rPr>
        <w:t xml:space="preserve"> l</w:t>
      </w:r>
      <w:r w:rsidR="00864B14">
        <w:rPr>
          <w:lang w:val="fr-FR"/>
        </w:rPr>
        <w:t>’</w:t>
      </w:r>
      <w:r w:rsidRPr="00E82D02">
        <w:rPr>
          <w:lang w:val="fr-FR"/>
        </w:rPr>
        <w:t>assurance</w:t>
      </w:r>
      <w:r>
        <w:rPr>
          <w:lang w:val="fr-FR"/>
        </w:rPr>
        <w:t xml:space="preserve"> générale</w:t>
      </w:r>
      <w:r w:rsidRPr="00E82D02">
        <w:rPr>
          <w:lang w:val="fr-FR"/>
        </w:rPr>
        <w:t xml:space="preserve"> </w:t>
      </w:r>
      <w:r>
        <w:rPr>
          <w:lang w:val="fr-FR"/>
        </w:rPr>
        <w:t>contre les</w:t>
      </w:r>
      <w:r w:rsidRPr="00E82D02">
        <w:rPr>
          <w:lang w:val="fr-FR"/>
        </w:rPr>
        <w:t xml:space="preserve"> risques du travail</w:t>
      </w:r>
      <w:r>
        <w:rPr>
          <w:lang w:val="fr-FR"/>
        </w:rPr>
        <w:t>, devait faire connaître sa maladie professionnelle à la sécurité sociale ;</w:t>
      </w:r>
      <w:r w:rsidRPr="00DB38FE">
        <w:rPr>
          <w:lang w:val="fr-FR"/>
        </w:rPr>
        <w:t xml:space="preserve"> </w:t>
      </w:r>
      <w:r>
        <w:rPr>
          <w:lang w:val="fr-FR"/>
        </w:rPr>
        <w:t>et, e</w:t>
      </w:r>
      <w:r w:rsidRPr="00DB38FE">
        <w:rPr>
          <w:lang w:val="fr-FR"/>
        </w:rPr>
        <w:t>n outre,</w:t>
      </w:r>
      <w:r>
        <w:rPr>
          <w:lang w:val="fr-FR"/>
        </w:rPr>
        <w:t xml:space="preserve"> l</w:t>
      </w:r>
      <w:r w:rsidR="00864B14">
        <w:rPr>
          <w:lang w:val="fr-FR"/>
        </w:rPr>
        <w:t>’</w:t>
      </w:r>
      <w:r>
        <w:rPr>
          <w:lang w:val="fr-FR"/>
        </w:rPr>
        <w:t>auteur pouvait e</w:t>
      </w:r>
      <w:r w:rsidRPr="00DB38FE">
        <w:rPr>
          <w:lang w:val="fr-FR"/>
        </w:rPr>
        <w:t>ngager des poursuites administratives ou judiciaires à l</w:t>
      </w:r>
      <w:r w:rsidR="00864B14">
        <w:rPr>
          <w:lang w:val="fr-FR"/>
        </w:rPr>
        <w:t>’</w:t>
      </w:r>
      <w:r w:rsidRPr="00DB38FE">
        <w:rPr>
          <w:lang w:val="fr-FR"/>
        </w:rPr>
        <w:t xml:space="preserve">encontre de son ancien employeur ou de la </w:t>
      </w:r>
      <w:r>
        <w:rPr>
          <w:lang w:val="fr-FR"/>
        </w:rPr>
        <w:t>s</w:t>
      </w:r>
      <w:r w:rsidRPr="00DB38FE">
        <w:rPr>
          <w:lang w:val="fr-FR"/>
        </w:rPr>
        <w:t>écurité sociale, par exemple en déposant des plaintes auprès de l</w:t>
      </w:r>
      <w:r w:rsidR="00864B14">
        <w:rPr>
          <w:lang w:val="fr-FR"/>
        </w:rPr>
        <w:t>’</w:t>
      </w:r>
      <w:r w:rsidRPr="00DB38FE">
        <w:rPr>
          <w:lang w:val="fr-FR"/>
        </w:rPr>
        <w:t>Inspection du travail ou en déposant des demandes d</w:t>
      </w:r>
      <w:r w:rsidR="00864B14">
        <w:rPr>
          <w:lang w:val="fr-FR"/>
        </w:rPr>
        <w:t>’</w:t>
      </w:r>
      <w:r w:rsidRPr="00DB38FE">
        <w:rPr>
          <w:lang w:val="fr-FR"/>
        </w:rPr>
        <w:t>indemnisati</w:t>
      </w:r>
      <w:r>
        <w:rPr>
          <w:lang w:val="fr-FR"/>
        </w:rPr>
        <w:t>on pour maladie professionnelle</w:t>
      </w:r>
      <w:r w:rsidRPr="00DB38FE">
        <w:rPr>
          <w:lang w:val="fr-FR"/>
        </w:rPr>
        <w:t xml:space="preserve">. </w:t>
      </w:r>
      <w:r>
        <w:rPr>
          <w:lang w:val="fr-FR"/>
        </w:rPr>
        <w:t>Le Comité prend aussi note des allégations de l</w:t>
      </w:r>
      <w:r w:rsidR="00864B14">
        <w:rPr>
          <w:lang w:val="fr-FR"/>
        </w:rPr>
        <w:t>’</w:t>
      </w:r>
      <w:r>
        <w:rPr>
          <w:lang w:val="fr-FR"/>
        </w:rPr>
        <w:t xml:space="preserve">auteur, selon lesquelles, compte tenu du caractère </w:t>
      </w:r>
      <w:r w:rsidRPr="00C3004F">
        <w:rPr>
          <w:lang w:val="fr-FR"/>
        </w:rPr>
        <w:t>interdépendan</w:t>
      </w:r>
      <w:r>
        <w:rPr>
          <w:lang w:val="fr-FR"/>
        </w:rPr>
        <w:t>t</w:t>
      </w:r>
      <w:r w:rsidRPr="00C3004F">
        <w:rPr>
          <w:lang w:val="fr-FR"/>
        </w:rPr>
        <w:t xml:space="preserve"> des droits</w:t>
      </w:r>
      <w:r>
        <w:rPr>
          <w:lang w:val="fr-FR"/>
        </w:rPr>
        <w:t xml:space="preserve"> de l</w:t>
      </w:r>
      <w:r w:rsidR="00864B14">
        <w:rPr>
          <w:lang w:val="fr-FR"/>
        </w:rPr>
        <w:t>’</w:t>
      </w:r>
      <w:r>
        <w:rPr>
          <w:lang w:val="fr-FR"/>
        </w:rPr>
        <w:t>homme</w:t>
      </w:r>
      <w:r w:rsidRPr="00C3004F">
        <w:rPr>
          <w:lang w:val="fr-FR"/>
        </w:rPr>
        <w:t xml:space="preserve">, il faut </w:t>
      </w:r>
      <w:r>
        <w:rPr>
          <w:lang w:val="fr-FR"/>
        </w:rPr>
        <w:t>considérer</w:t>
      </w:r>
      <w:r w:rsidRPr="00C3004F">
        <w:rPr>
          <w:lang w:val="fr-FR"/>
        </w:rPr>
        <w:t xml:space="preserve"> qu</w:t>
      </w:r>
      <w:r w:rsidR="00864B14">
        <w:rPr>
          <w:lang w:val="fr-FR"/>
        </w:rPr>
        <w:t>’</w:t>
      </w:r>
      <w:r w:rsidRPr="00C3004F">
        <w:rPr>
          <w:lang w:val="fr-FR"/>
        </w:rPr>
        <w:t>il a</w:t>
      </w:r>
      <w:r>
        <w:rPr>
          <w:lang w:val="fr-FR"/>
        </w:rPr>
        <w:t xml:space="preserve"> épuisé les recours internes pour ce qui est également de</w:t>
      </w:r>
      <w:r w:rsidRPr="00C3004F">
        <w:rPr>
          <w:lang w:val="fr-FR"/>
        </w:rPr>
        <w:t xml:space="preserve"> ses </w:t>
      </w:r>
      <w:r>
        <w:rPr>
          <w:lang w:val="fr-FR"/>
        </w:rPr>
        <w:t>griefs</w:t>
      </w:r>
      <w:r w:rsidRPr="00C3004F">
        <w:rPr>
          <w:lang w:val="fr-FR"/>
        </w:rPr>
        <w:t xml:space="preserve"> de </w:t>
      </w:r>
      <w:r>
        <w:rPr>
          <w:lang w:val="fr-FR"/>
        </w:rPr>
        <w:t xml:space="preserve">violation du droit à la santé, étant donné notamment que </w:t>
      </w:r>
      <w:r w:rsidRPr="00070BD5">
        <w:rPr>
          <w:lang w:val="fr-FR"/>
        </w:rPr>
        <w:t xml:space="preserve">la garantie de conditions </w:t>
      </w:r>
      <w:r>
        <w:rPr>
          <w:lang w:val="fr-FR"/>
        </w:rPr>
        <w:t>d</w:t>
      </w:r>
      <w:r w:rsidR="00864B14">
        <w:rPr>
          <w:lang w:val="fr-FR"/>
        </w:rPr>
        <w:t>’</w:t>
      </w:r>
      <w:r>
        <w:rPr>
          <w:lang w:val="fr-FR"/>
        </w:rPr>
        <w:t>hygiène et de sécurité satisfaisantes</w:t>
      </w:r>
      <w:r w:rsidRPr="00070BD5">
        <w:rPr>
          <w:lang w:val="fr-FR"/>
        </w:rPr>
        <w:t xml:space="preserve"> pour </w:t>
      </w:r>
      <w:r>
        <w:rPr>
          <w:lang w:val="fr-FR"/>
        </w:rPr>
        <w:t>les travailleurs</w:t>
      </w:r>
      <w:r w:rsidRPr="00070BD5">
        <w:rPr>
          <w:lang w:val="fr-FR"/>
        </w:rPr>
        <w:t xml:space="preserve"> </w:t>
      </w:r>
      <w:r>
        <w:rPr>
          <w:lang w:val="fr-FR"/>
        </w:rPr>
        <w:t>est u</w:t>
      </w:r>
      <w:r w:rsidRPr="00070BD5">
        <w:rPr>
          <w:lang w:val="fr-FR"/>
        </w:rPr>
        <w:t>ne composante du droit du travail</w:t>
      </w:r>
      <w:r w:rsidRPr="00732FA3">
        <w:rPr>
          <w:lang w:val="fr-FR"/>
        </w:rPr>
        <w:t xml:space="preserve">. </w:t>
      </w:r>
      <w:r w:rsidRPr="00080A15">
        <w:rPr>
          <w:lang w:val="fr-FR"/>
        </w:rPr>
        <w:t xml:space="preserve">Le Comité </w:t>
      </w:r>
      <w:r>
        <w:rPr>
          <w:lang w:val="fr-FR"/>
        </w:rPr>
        <w:t>constate</w:t>
      </w:r>
      <w:r w:rsidRPr="00080A15">
        <w:rPr>
          <w:lang w:val="fr-FR"/>
        </w:rPr>
        <w:t xml:space="preserve"> toutefois que l</w:t>
      </w:r>
      <w:r w:rsidR="00864B14">
        <w:rPr>
          <w:lang w:val="fr-FR"/>
        </w:rPr>
        <w:t>’</w:t>
      </w:r>
      <w:r w:rsidRPr="00080A15">
        <w:rPr>
          <w:lang w:val="fr-FR"/>
        </w:rPr>
        <w:t>auteur n</w:t>
      </w:r>
      <w:r w:rsidR="00864B14">
        <w:rPr>
          <w:lang w:val="fr-FR"/>
        </w:rPr>
        <w:t>’</w:t>
      </w:r>
      <w:r w:rsidRPr="00080A15">
        <w:rPr>
          <w:lang w:val="fr-FR"/>
        </w:rPr>
        <w:t>a pas réfuté de manière convaincante le fait que les recours internes mentionnés par l</w:t>
      </w:r>
      <w:r w:rsidR="00864B14">
        <w:rPr>
          <w:lang w:val="fr-FR"/>
        </w:rPr>
        <w:t>’</w:t>
      </w:r>
      <w:r w:rsidRPr="00080A15">
        <w:rPr>
          <w:lang w:val="fr-FR"/>
        </w:rPr>
        <w:t>État partie n</w:t>
      </w:r>
      <w:r w:rsidR="00864B14">
        <w:rPr>
          <w:lang w:val="fr-FR"/>
        </w:rPr>
        <w:t>’</w:t>
      </w:r>
      <w:r w:rsidRPr="00080A15">
        <w:rPr>
          <w:lang w:val="fr-FR"/>
        </w:rPr>
        <w:t>auraient pas été efficaces pour remédier aux</w:t>
      </w:r>
      <w:r>
        <w:rPr>
          <w:lang w:val="fr-FR"/>
        </w:rPr>
        <w:t> </w:t>
      </w:r>
      <w:r w:rsidRPr="00080A15">
        <w:rPr>
          <w:lang w:val="fr-FR"/>
        </w:rPr>
        <w:t xml:space="preserve">violations alléguées. </w:t>
      </w:r>
      <w:r>
        <w:rPr>
          <w:lang w:val="fr-FR"/>
        </w:rPr>
        <w:t>Il</w:t>
      </w:r>
      <w:r w:rsidRPr="00080A15">
        <w:rPr>
          <w:lang w:val="fr-FR"/>
        </w:rPr>
        <w:t xml:space="preserve"> considère donc que l</w:t>
      </w:r>
      <w:r w:rsidR="00864B14">
        <w:rPr>
          <w:lang w:val="fr-FR"/>
        </w:rPr>
        <w:t>’</w:t>
      </w:r>
      <w:r w:rsidRPr="00080A15">
        <w:rPr>
          <w:lang w:val="fr-FR"/>
        </w:rPr>
        <w:t>auteur n</w:t>
      </w:r>
      <w:r w:rsidR="00864B14">
        <w:rPr>
          <w:lang w:val="fr-FR"/>
        </w:rPr>
        <w:t>’</w:t>
      </w:r>
      <w:r w:rsidRPr="00080A15">
        <w:rPr>
          <w:lang w:val="fr-FR"/>
        </w:rPr>
        <w:t xml:space="preserve">a pas épuisé tous les recours internes disponibles et que cette partie de la communication est irrecevable </w:t>
      </w:r>
      <w:r>
        <w:rPr>
          <w:lang w:val="fr-FR"/>
        </w:rPr>
        <w:t>au regard</w:t>
      </w:r>
      <w:r w:rsidRPr="00080A15">
        <w:rPr>
          <w:lang w:val="fr-FR"/>
        </w:rPr>
        <w:t xml:space="preserve"> du paragraphe</w:t>
      </w:r>
      <w:r>
        <w:rPr>
          <w:lang w:val="fr-FR"/>
        </w:rPr>
        <w:t> </w:t>
      </w:r>
      <w:r w:rsidRPr="00080A15">
        <w:rPr>
          <w:lang w:val="fr-FR"/>
        </w:rPr>
        <w:t>1 de l</w:t>
      </w:r>
      <w:r w:rsidR="00864B14">
        <w:rPr>
          <w:lang w:val="fr-FR"/>
        </w:rPr>
        <w:t>’</w:t>
      </w:r>
      <w:r w:rsidRPr="00080A15">
        <w:rPr>
          <w:lang w:val="fr-FR"/>
        </w:rPr>
        <w:t>ar</w:t>
      </w:r>
      <w:r>
        <w:rPr>
          <w:lang w:val="fr-FR"/>
        </w:rPr>
        <w:t>ticle 3 du Protocole facultatif</w:t>
      </w:r>
      <w:r w:rsidRPr="00080A15">
        <w:rPr>
          <w:lang w:val="fr-FR"/>
        </w:rPr>
        <w:t>.</w:t>
      </w:r>
    </w:p>
    <w:p w:rsidR="00EE196F" w:rsidRPr="00BA01FC" w:rsidRDefault="00EE196F" w:rsidP="00EE196F">
      <w:pPr>
        <w:pStyle w:val="SingleTxtG"/>
        <w:rPr>
          <w:lang w:val="fr-FR"/>
        </w:rPr>
      </w:pPr>
      <w:r w:rsidRPr="000518C3">
        <w:rPr>
          <w:lang w:val="fr-FR"/>
        </w:rPr>
        <w:t xml:space="preserve">8.9 </w:t>
      </w:r>
      <w:r w:rsidRPr="000518C3">
        <w:rPr>
          <w:lang w:val="fr-FR"/>
        </w:rPr>
        <w:tab/>
        <w:t xml:space="preserve">Le Comité prend note des </w:t>
      </w:r>
      <w:r>
        <w:rPr>
          <w:lang w:val="fr-FR"/>
        </w:rPr>
        <w:t>griefs de l</w:t>
      </w:r>
      <w:r w:rsidR="00864B14">
        <w:rPr>
          <w:lang w:val="fr-FR"/>
        </w:rPr>
        <w:t>’</w:t>
      </w:r>
      <w:r>
        <w:rPr>
          <w:lang w:val="fr-FR"/>
        </w:rPr>
        <w:t>auteur selon lesquel</w:t>
      </w:r>
      <w:r w:rsidRPr="000518C3">
        <w:rPr>
          <w:lang w:val="fr-FR"/>
        </w:rPr>
        <w:t xml:space="preserve">s la décision de PETROECUADOR de </w:t>
      </w:r>
      <w:r>
        <w:rPr>
          <w:lang w:val="fr-FR"/>
        </w:rPr>
        <w:t>ne pas lui octroyer</w:t>
      </w:r>
      <w:r w:rsidRPr="000518C3">
        <w:rPr>
          <w:lang w:val="fr-FR"/>
        </w:rPr>
        <w:t xml:space="preserve"> la prime prévue à l</w:t>
      </w:r>
      <w:r w:rsidR="00864B14">
        <w:rPr>
          <w:lang w:val="fr-FR"/>
        </w:rPr>
        <w:t>’</w:t>
      </w:r>
      <w:r w:rsidRPr="000518C3">
        <w:rPr>
          <w:lang w:val="fr-FR"/>
        </w:rPr>
        <w:t>article</w:t>
      </w:r>
      <w:r w:rsidR="00144054">
        <w:rPr>
          <w:lang w:val="fr-FR"/>
        </w:rPr>
        <w:t xml:space="preserve"> </w:t>
      </w:r>
      <w:r w:rsidRPr="000518C3">
        <w:rPr>
          <w:lang w:val="fr-FR"/>
        </w:rPr>
        <w:t xml:space="preserve">14 de la convention collective pour les travailleurs qui </w:t>
      </w:r>
      <w:r>
        <w:rPr>
          <w:lang w:val="fr-FR"/>
        </w:rPr>
        <w:t>quittent</w:t>
      </w:r>
      <w:r w:rsidRPr="000518C3">
        <w:rPr>
          <w:lang w:val="fr-FR"/>
        </w:rPr>
        <w:t xml:space="preserve"> volontairement l</w:t>
      </w:r>
      <w:r w:rsidR="00864B14">
        <w:rPr>
          <w:lang w:val="fr-FR"/>
        </w:rPr>
        <w:t>’</w:t>
      </w:r>
      <w:r w:rsidRPr="000518C3">
        <w:rPr>
          <w:lang w:val="fr-FR"/>
        </w:rPr>
        <w:t xml:space="preserve">entreprise, ainsi que les décisions des tribunaux qui ont rejeté ses recours judiciaires, constituent une violation des droits </w:t>
      </w:r>
      <w:r>
        <w:rPr>
          <w:lang w:val="fr-FR"/>
        </w:rPr>
        <w:t>qu</w:t>
      </w:r>
      <w:r w:rsidR="00864B14">
        <w:rPr>
          <w:lang w:val="fr-FR"/>
        </w:rPr>
        <w:t>’</w:t>
      </w:r>
      <w:r>
        <w:rPr>
          <w:lang w:val="fr-FR"/>
        </w:rPr>
        <w:t>il tire d</w:t>
      </w:r>
      <w:r w:rsidRPr="000518C3">
        <w:rPr>
          <w:lang w:val="fr-FR"/>
        </w:rPr>
        <w:t>es articles</w:t>
      </w:r>
      <w:r w:rsidR="00144054">
        <w:rPr>
          <w:lang w:val="fr-FR"/>
        </w:rPr>
        <w:t xml:space="preserve"> </w:t>
      </w:r>
      <w:r w:rsidRPr="000518C3">
        <w:rPr>
          <w:lang w:val="fr-FR"/>
        </w:rPr>
        <w:t xml:space="preserve">6 et 7 du Pacte. </w:t>
      </w:r>
      <w:r w:rsidRPr="00BA01FC">
        <w:rPr>
          <w:lang w:val="fr-FR"/>
        </w:rPr>
        <w:t>Le Comité prend également note des observations de l</w:t>
      </w:r>
      <w:r w:rsidR="00864B14">
        <w:rPr>
          <w:lang w:val="fr-FR"/>
        </w:rPr>
        <w:t>’</w:t>
      </w:r>
      <w:r w:rsidRPr="00BA01FC">
        <w:rPr>
          <w:lang w:val="fr-FR"/>
        </w:rPr>
        <w:t xml:space="preserve">État partie selon lesquelles ces </w:t>
      </w:r>
      <w:r>
        <w:rPr>
          <w:lang w:val="fr-FR"/>
        </w:rPr>
        <w:t>griefs sont manifestement dénué</w:t>
      </w:r>
      <w:r w:rsidRPr="00BA01FC">
        <w:rPr>
          <w:lang w:val="fr-FR"/>
        </w:rPr>
        <w:t xml:space="preserve">s de fondement, ne </w:t>
      </w:r>
      <w:r>
        <w:rPr>
          <w:lang w:val="fr-FR"/>
        </w:rPr>
        <w:t>font apparaître aucune</w:t>
      </w:r>
      <w:r w:rsidRPr="00BA01FC">
        <w:rPr>
          <w:lang w:val="fr-FR"/>
        </w:rPr>
        <w:t xml:space="preserve"> violation des droits énoncés dans le Pacte et sont censés faire du</w:t>
      </w:r>
      <w:r>
        <w:rPr>
          <w:lang w:val="fr-FR"/>
        </w:rPr>
        <w:t xml:space="preserve"> Comité une quatrième instance.</w:t>
      </w:r>
    </w:p>
    <w:p w:rsidR="00EE196F" w:rsidRPr="00D2056E" w:rsidRDefault="00EE196F" w:rsidP="00EE196F">
      <w:pPr>
        <w:pStyle w:val="SingleTxtG"/>
        <w:rPr>
          <w:lang w:val="fr-FR"/>
        </w:rPr>
      </w:pPr>
      <w:r w:rsidRPr="00E55A53">
        <w:rPr>
          <w:lang w:val="fr-FR"/>
        </w:rPr>
        <w:t xml:space="preserve">8.10 </w:t>
      </w:r>
      <w:r w:rsidRPr="00E55A53">
        <w:rPr>
          <w:lang w:val="fr-FR"/>
        </w:rPr>
        <w:tab/>
        <w:t>En l</w:t>
      </w:r>
      <w:r w:rsidR="00864B14">
        <w:rPr>
          <w:lang w:val="fr-FR"/>
        </w:rPr>
        <w:t>’</w:t>
      </w:r>
      <w:r w:rsidRPr="00E55A53">
        <w:rPr>
          <w:lang w:val="fr-FR"/>
        </w:rPr>
        <w:t xml:space="preserve">espèce, le Comité </w:t>
      </w:r>
      <w:r>
        <w:rPr>
          <w:lang w:val="fr-FR"/>
        </w:rPr>
        <w:t>constate</w:t>
      </w:r>
      <w:r w:rsidRPr="00E55A53">
        <w:rPr>
          <w:lang w:val="fr-FR"/>
        </w:rPr>
        <w:t xml:space="preserve"> que les allégations de l</w:t>
      </w:r>
      <w:r w:rsidR="00864B14">
        <w:rPr>
          <w:lang w:val="fr-FR"/>
        </w:rPr>
        <w:t>’</w:t>
      </w:r>
      <w:r w:rsidRPr="00E55A53">
        <w:rPr>
          <w:lang w:val="fr-FR"/>
        </w:rPr>
        <w:t>auteur remettent fondamentalement en c</w:t>
      </w:r>
      <w:r>
        <w:rPr>
          <w:lang w:val="fr-FR"/>
        </w:rPr>
        <w:t>ause les critères établis par la</w:t>
      </w:r>
      <w:r w:rsidRPr="00E55A53">
        <w:rPr>
          <w:lang w:val="fr-FR"/>
        </w:rPr>
        <w:t xml:space="preserve"> </w:t>
      </w:r>
      <w:r>
        <w:rPr>
          <w:lang w:val="fr-FR"/>
        </w:rPr>
        <w:t>Cour nationale de justice</w:t>
      </w:r>
      <w:r w:rsidRPr="00801B1E">
        <w:rPr>
          <w:lang w:val="fr-FR"/>
        </w:rPr>
        <w:t xml:space="preserve"> </w:t>
      </w:r>
      <w:r w:rsidRPr="00E55A53">
        <w:rPr>
          <w:lang w:val="fr-FR"/>
        </w:rPr>
        <w:t>dans son arrêt du 30</w:t>
      </w:r>
      <w:r>
        <w:rPr>
          <w:lang w:val="fr-FR"/>
        </w:rPr>
        <w:t> </w:t>
      </w:r>
      <w:r w:rsidRPr="00E55A53">
        <w:rPr>
          <w:lang w:val="fr-FR"/>
        </w:rPr>
        <w:t>mai 2011, selon lesquels l</w:t>
      </w:r>
      <w:r w:rsidR="00864B14">
        <w:rPr>
          <w:lang w:val="fr-FR"/>
        </w:rPr>
        <w:t>’</w:t>
      </w:r>
      <w:r w:rsidRPr="00E55A53">
        <w:rPr>
          <w:lang w:val="fr-FR"/>
        </w:rPr>
        <w:t>auteur n</w:t>
      </w:r>
      <w:r w:rsidR="00864B14">
        <w:rPr>
          <w:lang w:val="fr-FR"/>
        </w:rPr>
        <w:t>’</w:t>
      </w:r>
      <w:r w:rsidRPr="00E55A53">
        <w:rPr>
          <w:lang w:val="fr-FR"/>
        </w:rPr>
        <w:t>avait pas droit au versement d</w:t>
      </w:r>
      <w:r w:rsidR="00864B14">
        <w:rPr>
          <w:lang w:val="fr-FR"/>
        </w:rPr>
        <w:t>’</w:t>
      </w:r>
      <w:r w:rsidRPr="00E55A53">
        <w:rPr>
          <w:lang w:val="fr-FR"/>
        </w:rPr>
        <w:t>une prime en ve</w:t>
      </w:r>
      <w:r>
        <w:rPr>
          <w:lang w:val="fr-FR"/>
        </w:rPr>
        <w:t>rtu de la convention collective, e</w:t>
      </w:r>
      <w:r w:rsidRPr="00B436EA">
        <w:rPr>
          <w:lang w:val="fr-FR"/>
        </w:rPr>
        <w:t>n</w:t>
      </w:r>
      <w:r>
        <w:rPr>
          <w:lang w:val="fr-FR"/>
        </w:rPr>
        <w:t xml:space="preserve"> raison particulièrement des</w:t>
      </w:r>
      <w:r w:rsidRPr="00B436EA">
        <w:rPr>
          <w:lang w:val="fr-FR"/>
        </w:rPr>
        <w:t xml:space="preserve"> différences </w:t>
      </w:r>
      <w:r>
        <w:rPr>
          <w:lang w:val="fr-FR"/>
        </w:rPr>
        <w:t xml:space="preserve">qui existent </w:t>
      </w:r>
      <w:r w:rsidRPr="00B436EA">
        <w:rPr>
          <w:lang w:val="fr-FR"/>
        </w:rPr>
        <w:t xml:space="preserve">dans </w:t>
      </w:r>
      <w:r>
        <w:rPr>
          <w:lang w:val="fr-FR"/>
        </w:rPr>
        <w:t>l</w:t>
      </w:r>
      <w:r w:rsidR="00864B14">
        <w:rPr>
          <w:lang w:val="fr-FR"/>
        </w:rPr>
        <w:t>’</w:t>
      </w:r>
      <w:r>
        <w:rPr>
          <w:lang w:val="fr-FR"/>
        </w:rPr>
        <w:t>ordre juridique de</w:t>
      </w:r>
      <w:r w:rsidRPr="00B436EA">
        <w:rPr>
          <w:lang w:val="fr-FR"/>
        </w:rPr>
        <w:t xml:space="preserve"> l</w:t>
      </w:r>
      <w:r w:rsidR="00864B14">
        <w:rPr>
          <w:lang w:val="fr-FR"/>
        </w:rPr>
        <w:t>’</w:t>
      </w:r>
      <w:r w:rsidRPr="00B436EA">
        <w:rPr>
          <w:lang w:val="fr-FR"/>
        </w:rPr>
        <w:t xml:space="preserve">État partie entre </w:t>
      </w:r>
      <w:r>
        <w:rPr>
          <w:lang w:val="fr-FR"/>
        </w:rPr>
        <w:t xml:space="preserve">le </w:t>
      </w:r>
      <w:proofErr w:type="spellStart"/>
      <w:r w:rsidRPr="00EA7501">
        <w:rPr>
          <w:i/>
          <w:lang w:val="fr-FR"/>
        </w:rPr>
        <w:t>desahucio</w:t>
      </w:r>
      <w:proofErr w:type="spellEnd"/>
      <w:r w:rsidRPr="00B436EA">
        <w:rPr>
          <w:lang w:val="fr-FR"/>
        </w:rPr>
        <w:t xml:space="preserve"> et </w:t>
      </w:r>
      <w:r>
        <w:rPr>
          <w:lang w:val="fr-FR"/>
        </w:rPr>
        <w:t>le</w:t>
      </w:r>
      <w:r w:rsidRPr="00B436EA">
        <w:rPr>
          <w:lang w:val="fr-FR"/>
        </w:rPr>
        <w:t xml:space="preserve"> départ volontaire, et leurs </w:t>
      </w:r>
      <w:r>
        <w:rPr>
          <w:lang w:val="fr-FR"/>
        </w:rPr>
        <w:t>incidences sur</w:t>
      </w:r>
      <w:r w:rsidRPr="00B436EA">
        <w:rPr>
          <w:lang w:val="fr-FR"/>
        </w:rPr>
        <w:t xml:space="preserve"> les primes auxquelles les travailleurs ont droit, critère qui, selon l</w:t>
      </w:r>
      <w:r w:rsidR="00864B14">
        <w:rPr>
          <w:lang w:val="fr-FR"/>
        </w:rPr>
        <w:t>’</w:t>
      </w:r>
      <w:r w:rsidRPr="00B436EA">
        <w:rPr>
          <w:lang w:val="fr-FR"/>
        </w:rPr>
        <w:t>État partie, constitue un précédent jurisprudentie</w:t>
      </w:r>
      <w:r>
        <w:rPr>
          <w:lang w:val="fr-FR"/>
        </w:rPr>
        <w:t>l obligatoire (voir les paragraphes</w:t>
      </w:r>
      <w:r w:rsidR="00144054">
        <w:rPr>
          <w:lang w:val="fr-FR"/>
        </w:rPr>
        <w:t xml:space="preserve"> </w:t>
      </w:r>
      <w:r>
        <w:rPr>
          <w:lang w:val="fr-FR"/>
        </w:rPr>
        <w:t>2.9 et 6.6)</w:t>
      </w:r>
      <w:r w:rsidRPr="00B436EA">
        <w:rPr>
          <w:lang w:val="fr-FR"/>
        </w:rPr>
        <w:t xml:space="preserve">. </w:t>
      </w:r>
      <w:r w:rsidRPr="00FC02C3">
        <w:rPr>
          <w:lang w:val="fr-FR"/>
        </w:rPr>
        <w:t>Le Comité considère que, dans les circonstances particulières de l</w:t>
      </w:r>
      <w:r w:rsidR="00864B14">
        <w:rPr>
          <w:lang w:val="fr-FR"/>
        </w:rPr>
        <w:t>’</w:t>
      </w:r>
      <w:r w:rsidRPr="00FC02C3">
        <w:rPr>
          <w:lang w:val="fr-FR"/>
        </w:rPr>
        <w:t>espèce, ces allégations, telles qu</w:t>
      </w:r>
      <w:r w:rsidR="00864B14">
        <w:rPr>
          <w:lang w:val="fr-FR"/>
        </w:rPr>
        <w:t>’</w:t>
      </w:r>
      <w:r w:rsidRPr="00FC02C3">
        <w:rPr>
          <w:lang w:val="fr-FR"/>
        </w:rPr>
        <w:t>elles ont été présentées par l</w:t>
      </w:r>
      <w:r w:rsidR="00864B14">
        <w:rPr>
          <w:lang w:val="fr-FR"/>
        </w:rPr>
        <w:t>’</w:t>
      </w:r>
      <w:r w:rsidRPr="00FC02C3">
        <w:rPr>
          <w:lang w:val="fr-FR"/>
        </w:rPr>
        <w:t>auteur, soulèvent des questions concernant l</w:t>
      </w:r>
      <w:r w:rsidR="00864B14">
        <w:rPr>
          <w:lang w:val="fr-FR"/>
        </w:rPr>
        <w:t>’</w:t>
      </w:r>
      <w:r w:rsidRPr="00FC02C3">
        <w:rPr>
          <w:lang w:val="fr-FR"/>
        </w:rPr>
        <w:t xml:space="preserve">interprétation de la législation nationale </w:t>
      </w:r>
      <w:r>
        <w:rPr>
          <w:lang w:val="fr-FR"/>
        </w:rPr>
        <w:t>par les autorités judiciaires</w:t>
      </w:r>
      <w:r w:rsidRPr="00FC02C3">
        <w:rPr>
          <w:lang w:val="fr-FR"/>
        </w:rPr>
        <w:t xml:space="preserve">. </w:t>
      </w:r>
      <w:r w:rsidRPr="001814D3">
        <w:rPr>
          <w:lang w:val="fr-FR"/>
        </w:rPr>
        <w:t xml:space="preserve">Il </w:t>
      </w:r>
      <w:r w:rsidRPr="001814D3">
        <w:rPr>
          <w:snapToGrid w:val="0"/>
          <w:lang w:val="fr-FR"/>
        </w:rPr>
        <w:t xml:space="preserve">rappelle sa jurisprudence selon laquelle </w:t>
      </w:r>
      <w:r>
        <w:rPr>
          <w:snapToGrid w:val="0"/>
          <w:lang w:val="fr-FR"/>
        </w:rPr>
        <w:t>sa tâche</w:t>
      </w:r>
      <w:r w:rsidRPr="001814D3">
        <w:rPr>
          <w:snapToGrid w:val="0"/>
          <w:lang w:val="fr-FR"/>
        </w:rPr>
        <w:t>, lorsqu</w:t>
      </w:r>
      <w:r w:rsidR="00864B14">
        <w:rPr>
          <w:snapToGrid w:val="0"/>
          <w:lang w:val="fr-FR"/>
        </w:rPr>
        <w:t>’</w:t>
      </w:r>
      <w:r w:rsidRPr="001814D3">
        <w:rPr>
          <w:snapToGrid w:val="0"/>
          <w:lang w:val="fr-FR"/>
        </w:rPr>
        <w:t>il examine une communication, se limite à analyser si les faits décrits</w:t>
      </w:r>
      <w:r>
        <w:rPr>
          <w:snapToGrid w:val="0"/>
          <w:lang w:val="fr-FR"/>
        </w:rPr>
        <w:t>, y compris l</w:t>
      </w:r>
      <w:r w:rsidR="00864B14">
        <w:rPr>
          <w:snapToGrid w:val="0"/>
          <w:lang w:val="fr-FR"/>
        </w:rPr>
        <w:t>’</w:t>
      </w:r>
      <w:r>
        <w:rPr>
          <w:snapToGrid w:val="0"/>
          <w:lang w:val="fr-FR"/>
        </w:rPr>
        <w:t>application du droit interne,</w:t>
      </w:r>
      <w:r w:rsidRPr="001814D3">
        <w:rPr>
          <w:snapToGrid w:val="0"/>
          <w:lang w:val="fr-FR"/>
        </w:rPr>
        <w:t xml:space="preserve"> </w:t>
      </w:r>
      <w:r>
        <w:rPr>
          <w:snapToGrid w:val="0"/>
          <w:lang w:val="fr-FR"/>
        </w:rPr>
        <w:t>dénotent</w:t>
      </w:r>
      <w:r w:rsidRPr="001814D3">
        <w:rPr>
          <w:snapToGrid w:val="0"/>
          <w:lang w:val="fr-FR"/>
        </w:rPr>
        <w:t xml:space="preserve"> une violation par l</w:t>
      </w:r>
      <w:r w:rsidR="00864B14">
        <w:rPr>
          <w:snapToGrid w:val="0"/>
          <w:lang w:val="fr-FR"/>
        </w:rPr>
        <w:t>’</w:t>
      </w:r>
      <w:r w:rsidRPr="001814D3">
        <w:rPr>
          <w:snapToGrid w:val="0"/>
          <w:lang w:val="fr-FR"/>
        </w:rPr>
        <w:t>État partie des droits économiques, sociaux et culturels énoncés dans le Pacte</w:t>
      </w:r>
      <w:r>
        <w:rPr>
          <w:lang w:val="fr-FR"/>
        </w:rPr>
        <w:t> ;</w:t>
      </w:r>
      <w:r w:rsidRPr="001814D3">
        <w:rPr>
          <w:lang w:val="fr-FR"/>
        </w:rPr>
        <w:t xml:space="preserve"> il appartient en premier lieu aux </w:t>
      </w:r>
      <w:r>
        <w:rPr>
          <w:lang w:val="fr-FR"/>
        </w:rPr>
        <w:t>juridictions</w:t>
      </w:r>
      <w:r w:rsidRPr="001814D3">
        <w:rPr>
          <w:lang w:val="fr-FR"/>
        </w:rPr>
        <w:t xml:space="preserve"> des États parties d</w:t>
      </w:r>
      <w:r w:rsidR="00864B14">
        <w:rPr>
          <w:lang w:val="fr-FR"/>
        </w:rPr>
        <w:t>’</w:t>
      </w:r>
      <w:r w:rsidRPr="001814D3">
        <w:rPr>
          <w:lang w:val="fr-FR"/>
        </w:rPr>
        <w:t xml:space="preserve">apprécier les faits et les éléments de preuve dans chaque affaire, </w:t>
      </w:r>
      <w:r>
        <w:t>et d</w:t>
      </w:r>
      <w:r w:rsidR="00864B14">
        <w:t>’</w:t>
      </w:r>
      <w:r>
        <w:t>interpréter</w:t>
      </w:r>
      <w:r w:rsidRPr="00CD169B">
        <w:t xml:space="preserve"> la législa</w:t>
      </w:r>
      <w:r>
        <w:t xml:space="preserve">tion pertinente. Le </w:t>
      </w:r>
      <w:r w:rsidRPr="00CD169B">
        <w:t>rôle</w:t>
      </w:r>
      <w:r>
        <w:t xml:space="preserve"> du Comité consiste </w:t>
      </w:r>
      <w:r w:rsidRPr="00CD169B">
        <w:t>seulement à dire si l</w:t>
      </w:r>
      <w:r w:rsidR="00864B14">
        <w:t>’</w:t>
      </w:r>
      <w:r w:rsidRPr="00CD169B">
        <w:t>appréciation des éléments probants ou l</w:t>
      </w:r>
      <w:r w:rsidR="00864B14">
        <w:t>’</w:t>
      </w:r>
      <w:r w:rsidRPr="00CD169B">
        <w:t>application du droit interne ont été manifestement arbitraires, ou ont constitué un déni de justice qui a porté atteinte à un droit reconnu dans le Pacte</w:t>
      </w:r>
      <w:r w:rsidRPr="000C41A6">
        <w:rPr>
          <w:rStyle w:val="Appelnotedebasdep"/>
        </w:rPr>
        <w:footnoteReference w:id="15"/>
      </w:r>
      <w:r w:rsidRPr="001814D3">
        <w:rPr>
          <w:lang w:val="fr-FR"/>
        </w:rPr>
        <w:t xml:space="preserve">. </w:t>
      </w:r>
      <w:r w:rsidRPr="00712178">
        <w:rPr>
          <w:lang w:val="fr-FR"/>
        </w:rPr>
        <w:t>Dans cette perspective, il appartient en premier lieu à l</w:t>
      </w:r>
      <w:r w:rsidR="00864B14">
        <w:rPr>
          <w:lang w:val="fr-FR"/>
        </w:rPr>
        <w:t>’</w:t>
      </w:r>
      <w:r w:rsidRPr="00712178">
        <w:rPr>
          <w:lang w:val="fr-FR"/>
        </w:rPr>
        <w:t>auteur de la communication de fournir au Comité suffisamment d</w:t>
      </w:r>
      <w:r w:rsidR="00864B14">
        <w:rPr>
          <w:lang w:val="fr-FR"/>
        </w:rPr>
        <w:t>’</w:t>
      </w:r>
      <w:r w:rsidRPr="00712178">
        <w:rPr>
          <w:lang w:val="fr-FR"/>
        </w:rPr>
        <w:t>informations et de documents pour démontrer que l</w:t>
      </w:r>
      <w:r w:rsidR="00864B14">
        <w:rPr>
          <w:lang w:val="fr-FR"/>
        </w:rPr>
        <w:t>’</w:t>
      </w:r>
      <w:r w:rsidRPr="00712178">
        <w:rPr>
          <w:lang w:val="fr-FR"/>
        </w:rPr>
        <w:t xml:space="preserve">un des </w:t>
      </w:r>
      <w:r>
        <w:rPr>
          <w:lang w:val="fr-FR"/>
        </w:rPr>
        <w:t>éléments</w:t>
      </w:r>
      <w:r w:rsidRPr="00712178">
        <w:rPr>
          <w:lang w:val="fr-FR"/>
        </w:rPr>
        <w:t xml:space="preserve"> susmentionnés </w:t>
      </w:r>
      <w:r>
        <w:rPr>
          <w:lang w:val="fr-FR"/>
        </w:rPr>
        <w:lastRenderedPageBreak/>
        <w:t>s</w:t>
      </w:r>
      <w:r w:rsidR="00864B14">
        <w:rPr>
          <w:lang w:val="fr-FR"/>
        </w:rPr>
        <w:t>’</w:t>
      </w:r>
      <w:r>
        <w:rPr>
          <w:lang w:val="fr-FR"/>
        </w:rPr>
        <w:t>applique bien à</w:t>
      </w:r>
      <w:r w:rsidRPr="00712178">
        <w:rPr>
          <w:lang w:val="fr-FR"/>
        </w:rPr>
        <w:t xml:space="preserve"> son cas. </w:t>
      </w:r>
      <w:r w:rsidRPr="00FB7E4B">
        <w:rPr>
          <w:lang w:val="fr-FR"/>
        </w:rPr>
        <w:t>Le Comité a examiné les documents présentés par l</w:t>
      </w:r>
      <w:r w:rsidR="00864B14">
        <w:rPr>
          <w:lang w:val="fr-FR"/>
        </w:rPr>
        <w:t>’</w:t>
      </w:r>
      <w:r w:rsidRPr="00FB7E4B">
        <w:rPr>
          <w:lang w:val="fr-FR"/>
        </w:rPr>
        <w:t xml:space="preserve">auteur, notamment les décisions </w:t>
      </w:r>
      <w:r>
        <w:rPr>
          <w:lang w:val="fr-FR"/>
        </w:rPr>
        <w:t>de la</w:t>
      </w:r>
      <w:r w:rsidRPr="00FB7E4B">
        <w:rPr>
          <w:lang w:val="fr-FR"/>
        </w:rPr>
        <w:t xml:space="preserve"> </w:t>
      </w:r>
      <w:r>
        <w:rPr>
          <w:lang w:val="fr-FR"/>
        </w:rPr>
        <w:t>Cour nationale de justice</w:t>
      </w:r>
      <w:r w:rsidRPr="00FB7E4B">
        <w:rPr>
          <w:lang w:val="fr-FR"/>
        </w:rPr>
        <w:t xml:space="preserve"> et de la Cour constitutionnelle en date du 30</w:t>
      </w:r>
      <w:r>
        <w:rPr>
          <w:lang w:val="fr-FR"/>
        </w:rPr>
        <w:t> </w:t>
      </w:r>
      <w:r w:rsidRPr="00FB7E4B">
        <w:rPr>
          <w:lang w:val="fr-FR"/>
        </w:rPr>
        <w:t>mai 2011 et du 9</w:t>
      </w:r>
      <w:r w:rsidR="00CF4E75">
        <w:rPr>
          <w:lang w:val="fr-FR"/>
        </w:rPr>
        <w:t> </w:t>
      </w:r>
      <w:r w:rsidRPr="00FB7E4B">
        <w:rPr>
          <w:lang w:val="fr-FR"/>
        </w:rPr>
        <w:t>avril 2014, respectivement, et considère que ces documents ne montrent pas que l</w:t>
      </w:r>
      <w:r w:rsidR="00864B14">
        <w:rPr>
          <w:lang w:val="fr-FR"/>
        </w:rPr>
        <w:t>’</w:t>
      </w:r>
      <w:r w:rsidRPr="00FB7E4B">
        <w:rPr>
          <w:lang w:val="fr-FR"/>
        </w:rPr>
        <w:t>affai</w:t>
      </w:r>
      <w:r>
        <w:rPr>
          <w:lang w:val="fr-FR"/>
        </w:rPr>
        <w:t>re est entachée d</w:t>
      </w:r>
      <w:r w:rsidR="00864B14">
        <w:rPr>
          <w:lang w:val="fr-FR"/>
        </w:rPr>
        <w:t>’</w:t>
      </w:r>
      <w:r>
        <w:rPr>
          <w:lang w:val="fr-FR"/>
        </w:rPr>
        <w:t>irrégularités</w:t>
      </w:r>
      <w:r w:rsidRPr="00FB7E4B">
        <w:rPr>
          <w:lang w:val="fr-FR"/>
        </w:rPr>
        <w:t xml:space="preserve">. </w:t>
      </w:r>
      <w:r w:rsidRPr="00480B05">
        <w:rPr>
          <w:lang w:val="fr-FR"/>
        </w:rPr>
        <w:t xml:space="preserve">Le Comité </w:t>
      </w:r>
      <w:r>
        <w:rPr>
          <w:lang w:val="fr-FR"/>
        </w:rPr>
        <w:t>estime</w:t>
      </w:r>
      <w:r w:rsidRPr="00480B05">
        <w:rPr>
          <w:lang w:val="fr-FR"/>
        </w:rPr>
        <w:t xml:space="preserve"> donc qu</w:t>
      </w:r>
      <w:r w:rsidR="00864B14">
        <w:rPr>
          <w:lang w:val="fr-FR"/>
        </w:rPr>
        <w:t>’</w:t>
      </w:r>
      <w:r w:rsidRPr="00480B05">
        <w:rPr>
          <w:lang w:val="fr-FR"/>
        </w:rPr>
        <w:t>il n</w:t>
      </w:r>
      <w:r>
        <w:rPr>
          <w:lang w:val="fr-FR"/>
        </w:rPr>
        <w:t xml:space="preserve">e lui </w:t>
      </w:r>
      <w:r w:rsidRPr="00480B05">
        <w:rPr>
          <w:lang w:val="fr-FR"/>
        </w:rPr>
        <w:t>appartient pas d</w:t>
      </w:r>
      <w:r w:rsidR="00864B14">
        <w:rPr>
          <w:lang w:val="fr-FR"/>
        </w:rPr>
        <w:t>’</w:t>
      </w:r>
      <w:r w:rsidRPr="00480B05">
        <w:rPr>
          <w:lang w:val="fr-FR"/>
        </w:rPr>
        <w:t xml:space="preserve">interpréter </w:t>
      </w:r>
      <w:r>
        <w:rPr>
          <w:lang w:val="fr-FR"/>
        </w:rPr>
        <w:t>l</w:t>
      </w:r>
      <w:r w:rsidR="00864B14">
        <w:rPr>
          <w:lang w:val="fr-FR"/>
        </w:rPr>
        <w:t>’</w:t>
      </w:r>
      <w:r>
        <w:rPr>
          <w:lang w:val="fr-FR"/>
        </w:rPr>
        <w:t>ordre</w:t>
      </w:r>
      <w:r w:rsidRPr="00480B05">
        <w:rPr>
          <w:lang w:val="fr-FR"/>
        </w:rPr>
        <w:t xml:space="preserve"> juridique </w:t>
      </w:r>
      <w:r>
        <w:rPr>
          <w:lang w:val="fr-FR"/>
        </w:rPr>
        <w:t xml:space="preserve">interne </w:t>
      </w:r>
      <w:r w:rsidRPr="00480B05">
        <w:rPr>
          <w:lang w:val="fr-FR"/>
        </w:rPr>
        <w:t>de l</w:t>
      </w:r>
      <w:r w:rsidR="00864B14">
        <w:rPr>
          <w:lang w:val="fr-FR"/>
        </w:rPr>
        <w:t>’</w:t>
      </w:r>
      <w:r w:rsidRPr="00480B05">
        <w:rPr>
          <w:lang w:val="fr-FR"/>
        </w:rPr>
        <w:t>État partie et de déterminer si l</w:t>
      </w:r>
      <w:r w:rsidR="00864B14">
        <w:rPr>
          <w:lang w:val="fr-FR"/>
        </w:rPr>
        <w:t>’</w:t>
      </w:r>
      <w:r w:rsidRPr="00480B05">
        <w:rPr>
          <w:lang w:val="fr-FR"/>
        </w:rPr>
        <w:t xml:space="preserve">auteur avait droit aux </w:t>
      </w:r>
      <w:r>
        <w:rPr>
          <w:lang w:val="fr-FR"/>
        </w:rPr>
        <w:t>indemnités prévues au titre de la résiliation du contrat de travail (</w:t>
      </w:r>
      <w:proofErr w:type="spellStart"/>
      <w:r w:rsidRPr="00480B05">
        <w:rPr>
          <w:i/>
          <w:lang w:val="fr-FR"/>
        </w:rPr>
        <w:t>desahucio</w:t>
      </w:r>
      <w:proofErr w:type="spellEnd"/>
      <w:r w:rsidRPr="00480B05">
        <w:rPr>
          <w:i/>
          <w:lang w:val="fr-FR"/>
        </w:rPr>
        <w:t xml:space="preserve"> </w:t>
      </w:r>
      <w:proofErr w:type="spellStart"/>
      <w:r w:rsidRPr="00480B05">
        <w:rPr>
          <w:i/>
          <w:lang w:val="fr-FR"/>
        </w:rPr>
        <w:t>laboral</w:t>
      </w:r>
      <w:proofErr w:type="spellEnd"/>
      <w:r>
        <w:rPr>
          <w:lang w:val="fr-FR"/>
        </w:rPr>
        <w:t xml:space="preserve">) </w:t>
      </w:r>
      <w:r w:rsidRPr="00480B05">
        <w:rPr>
          <w:lang w:val="fr-FR"/>
        </w:rPr>
        <w:t xml:space="preserve">et </w:t>
      </w:r>
      <w:r>
        <w:rPr>
          <w:lang w:val="fr-FR"/>
        </w:rPr>
        <w:t>du départ</w:t>
      </w:r>
      <w:r w:rsidRPr="00480B05">
        <w:rPr>
          <w:lang w:val="fr-FR"/>
        </w:rPr>
        <w:t xml:space="preserve"> volontaire. </w:t>
      </w:r>
      <w:r>
        <w:rPr>
          <w:lang w:val="fr-FR"/>
        </w:rPr>
        <w:t>Par</w:t>
      </w:r>
      <w:r w:rsidR="00CF4E75">
        <w:rPr>
          <w:lang w:val="fr-FR"/>
        </w:rPr>
        <w:t xml:space="preserve"> </w:t>
      </w:r>
      <w:r>
        <w:rPr>
          <w:lang w:val="fr-FR"/>
        </w:rPr>
        <w:t>conséquent, il</w:t>
      </w:r>
      <w:r w:rsidRPr="00D2056E">
        <w:rPr>
          <w:lang w:val="fr-FR"/>
        </w:rPr>
        <w:t xml:space="preserve"> considère </w:t>
      </w:r>
      <w:r>
        <w:rPr>
          <w:lang w:val="fr-FR"/>
        </w:rPr>
        <w:t>que l</w:t>
      </w:r>
      <w:r w:rsidR="00864B14">
        <w:rPr>
          <w:lang w:val="fr-FR"/>
        </w:rPr>
        <w:t>’</w:t>
      </w:r>
      <w:r>
        <w:rPr>
          <w:lang w:val="fr-FR"/>
        </w:rPr>
        <w:t>auteur n</w:t>
      </w:r>
      <w:r w:rsidR="00864B14">
        <w:rPr>
          <w:lang w:val="fr-FR"/>
        </w:rPr>
        <w:t>’</w:t>
      </w:r>
      <w:r w:rsidRPr="00D2056E">
        <w:rPr>
          <w:lang w:val="fr-FR"/>
        </w:rPr>
        <w:t xml:space="preserve">a pas suffisamment étayé </w:t>
      </w:r>
      <w:r>
        <w:rPr>
          <w:lang w:val="fr-FR"/>
        </w:rPr>
        <w:t>l</w:t>
      </w:r>
      <w:r w:rsidRPr="00D2056E">
        <w:rPr>
          <w:lang w:val="fr-FR"/>
        </w:rPr>
        <w:t xml:space="preserve">es </w:t>
      </w:r>
      <w:r>
        <w:rPr>
          <w:lang w:val="fr-FR"/>
        </w:rPr>
        <w:t>griefs</w:t>
      </w:r>
      <w:r w:rsidRPr="00D2056E">
        <w:rPr>
          <w:lang w:val="fr-FR"/>
        </w:rPr>
        <w:t xml:space="preserve"> </w:t>
      </w:r>
      <w:r>
        <w:rPr>
          <w:lang w:val="fr-FR"/>
        </w:rPr>
        <w:t>qu</w:t>
      </w:r>
      <w:r w:rsidR="00864B14">
        <w:rPr>
          <w:lang w:val="fr-FR"/>
        </w:rPr>
        <w:t>’</w:t>
      </w:r>
      <w:r>
        <w:rPr>
          <w:lang w:val="fr-FR"/>
        </w:rPr>
        <w:t>il tire des</w:t>
      </w:r>
      <w:r w:rsidRPr="00D2056E">
        <w:rPr>
          <w:lang w:val="fr-FR"/>
        </w:rPr>
        <w:t xml:space="preserve"> articles</w:t>
      </w:r>
      <w:r w:rsidR="00CF4E75">
        <w:rPr>
          <w:lang w:val="fr-FR"/>
        </w:rPr>
        <w:t xml:space="preserve"> </w:t>
      </w:r>
      <w:r w:rsidRPr="00D2056E">
        <w:rPr>
          <w:lang w:val="fr-FR"/>
        </w:rPr>
        <w:t xml:space="preserve">6 et 7 du Pacte et </w:t>
      </w:r>
      <w:r>
        <w:rPr>
          <w:lang w:val="fr-FR"/>
        </w:rPr>
        <w:t>que ceux-ci</w:t>
      </w:r>
      <w:r w:rsidRPr="00D2056E">
        <w:rPr>
          <w:lang w:val="fr-FR"/>
        </w:rPr>
        <w:t xml:space="preserve"> sont irrecevables </w:t>
      </w:r>
      <w:r>
        <w:rPr>
          <w:lang w:val="fr-FR"/>
        </w:rPr>
        <w:t>au regard</w:t>
      </w:r>
      <w:r w:rsidRPr="00D2056E">
        <w:rPr>
          <w:lang w:val="fr-FR"/>
        </w:rPr>
        <w:t xml:space="preserve"> </w:t>
      </w:r>
      <w:r>
        <w:rPr>
          <w:lang w:val="fr-FR"/>
        </w:rPr>
        <w:t>du paragraphe</w:t>
      </w:r>
      <w:r w:rsidR="00CF4E75">
        <w:rPr>
          <w:lang w:val="fr-FR"/>
        </w:rPr>
        <w:t xml:space="preserve"> </w:t>
      </w:r>
      <w:r>
        <w:rPr>
          <w:lang w:val="fr-FR"/>
        </w:rPr>
        <w:t>2 e) de</w:t>
      </w:r>
      <w:r w:rsidRPr="00D2056E">
        <w:rPr>
          <w:lang w:val="fr-FR"/>
        </w:rPr>
        <w:t xml:space="preserve"> l</w:t>
      </w:r>
      <w:r w:rsidR="00864B14">
        <w:rPr>
          <w:lang w:val="fr-FR"/>
        </w:rPr>
        <w:t>’</w:t>
      </w:r>
      <w:r w:rsidRPr="00D2056E">
        <w:rPr>
          <w:lang w:val="fr-FR"/>
        </w:rPr>
        <w:t>article</w:t>
      </w:r>
      <w:r w:rsidR="00CF4E75">
        <w:rPr>
          <w:lang w:val="fr-FR"/>
        </w:rPr>
        <w:t xml:space="preserve"> </w:t>
      </w:r>
      <w:r w:rsidRPr="00D2056E">
        <w:rPr>
          <w:lang w:val="fr-FR"/>
        </w:rPr>
        <w:t>3</w:t>
      </w:r>
      <w:r>
        <w:rPr>
          <w:lang w:val="fr-FR"/>
        </w:rPr>
        <w:t xml:space="preserve"> du Protocole facultatif</w:t>
      </w:r>
      <w:r w:rsidRPr="00D2056E">
        <w:rPr>
          <w:lang w:val="fr-FR"/>
        </w:rPr>
        <w:t>.</w:t>
      </w:r>
    </w:p>
    <w:p w:rsidR="00EE196F" w:rsidRPr="00765C28" w:rsidRDefault="00EE196F" w:rsidP="00EE196F">
      <w:pPr>
        <w:pStyle w:val="H1G"/>
        <w:rPr>
          <w:lang w:val="fr-FR"/>
        </w:rPr>
      </w:pPr>
      <w:r w:rsidRPr="00D2056E">
        <w:rPr>
          <w:lang w:val="fr-FR"/>
        </w:rPr>
        <w:tab/>
      </w:r>
      <w:r w:rsidRPr="00765C28">
        <w:rPr>
          <w:lang w:val="fr-FR"/>
        </w:rPr>
        <w:t>C.</w:t>
      </w:r>
      <w:r w:rsidRPr="00765C28">
        <w:rPr>
          <w:lang w:val="fr-FR"/>
        </w:rPr>
        <w:tab/>
      </w:r>
      <w:r w:rsidRPr="002F2C59">
        <w:rPr>
          <w:lang w:val="fr-FR"/>
        </w:rPr>
        <w:t>Conclusion</w:t>
      </w:r>
    </w:p>
    <w:p w:rsidR="00EE196F" w:rsidRPr="0077018F" w:rsidRDefault="00EE196F" w:rsidP="00EE196F">
      <w:pPr>
        <w:pStyle w:val="SingleTxtG"/>
        <w:rPr>
          <w:lang w:val="fr-FR"/>
        </w:rPr>
      </w:pPr>
      <w:r w:rsidRPr="0077018F">
        <w:rPr>
          <w:lang w:val="fr-FR"/>
        </w:rPr>
        <w:t>9.</w:t>
      </w:r>
      <w:r w:rsidRPr="0077018F">
        <w:rPr>
          <w:lang w:val="fr-FR"/>
        </w:rPr>
        <w:tab/>
        <w:t xml:space="preserve">Compte tenu de </w:t>
      </w:r>
      <w:r>
        <w:rPr>
          <w:lang w:val="fr-FR"/>
        </w:rPr>
        <w:t>tous les renseignements fournis</w:t>
      </w:r>
      <w:r w:rsidRPr="0077018F">
        <w:rPr>
          <w:lang w:val="fr-FR"/>
        </w:rPr>
        <w:t xml:space="preserve">, le Comité, agissant en vertu du Protocole facultatif, </w:t>
      </w:r>
      <w:r>
        <w:rPr>
          <w:lang w:val="fr-FR"/>
        </w:rPr>
        <w:t>considère</w:t>
      </w:r>
      <w:r w:rsidRPr="0077018F">
        <w:rPr>
          <w:lang w:val="fr-FR"/>
        </w:rPr>
        <w:t xml:space="preserve"> </w:t>
      </w:r>
      <w:r>
        <w:rPr>
          <w:lang w:val="fr-FR"/>
        </w:rPr>
        <w:t xml:space="preserve">que </w:t>
      </w:r>
      <w:r w:rsidRPr="0077018F">
        <w:rPr>
          <w:lang w:val="fr-FR"/>
        </w:rPr>
        <w:t xml:space="preserve">la communication </w:t>
      </w:r>
      <w:r>
        <w:rPr>
          <w:lang w:val="fr-FR"/>
        </w:rPr>
        <w:t xml:space="preserve">est </w:t>
      </w:r>
      <w:r w:rsidRPr="0077018F">
        <w:rPr>
          <w:lang w:val="fr-FR"/>
        </w:rPr>
        <w:t xml:space="preserve">irrecevable. </w:t>
      </w:r>
    </w:p>
    <w:p w:rsidR="00EE196F" w:rsidRDefault="00EE196F" w:rsidP="00EE196F">
      <w:pPr>
        <w:pStyle w:val="SingleTxtG"/>
        <w:keepNext/>
        <w:rPr>
          <w:lang w:val="fr-FR"/>
        </w:rPr>
      </w:pPr>
      <w:r w:rsidRPr="00B74B50">
        <w:rPr>
          <w:lang w:val="fr-FR"/>
        </w:rPr>
        <w:t>10.</w:t>
      </w:r>
      <w:r w:rsidRPr="00B74B50">
        <w:rPr>
          <w:lang w:val="fr-FR"/>
        </w:rPr>
        <w:tab/>
        <w:t>En conséquence, le Comité décide</w:t>
      </w:r>
      <w:r>
        <w:rPr>
          <w:lang w:val="fr-FR"/>
        </w:rPr>
        <w:t> :</w:t>
      </w:r>
    </w:p>
    <w:p w:rsidR="00EE196F" w:rsidRDefault="00EE196F" w:rsidP="00EE196F">
      <w:pPr>
        <w:pStyle w:val="SingleTxtG"/>
        <w:ind w:firstLine="567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</w:r>
      <w:r w:rsidRPr="0084662A">
        <w:rPr>
          <w:lang w:val="fr-FR"/>
        </w:rPr>
        <w:t xml:space="preserve">Que les </w:t>
      </w:r>
      <w:r>
        <w:rPr>
          <w:lang w:val="fr-FR"/>
        </w:rPr>
        <w:t>griefs de l</w:t>
      </w:r>
      <w:r w:rsidR="00864B14">
        <w:rPr>
          <w:lang w:val="fr-FR"/>
        </w:rPr>
        <w:t>’</w:t>
      </w:r>
      <w:r>
        <w:rPr>
          <w:lang w:val="fr-FR"/>
        </w:rPr>
        <w:t>auteur</w:t>
      </w:r>
      <w:r w:rsidRPr="0084662A">
        <w:rPr>
          <w:lang w:val="fr-FR"/>
        </w:rPr>
        <w:t xml:space="preserve"> concernant les atteintes à sa santé </w:t>
      </w:r>
      <w:r>
        <w:rPr>
          <w:lang w:val="fr-FR"/>
        </w:rPr>
        <w:t>en raison des</w:t>
      </w:r>
      <w:r w:rsidRPr="0084662A">
        <w:rPr>
          <w:lang w:val="fr-FR"/>
        </w:rPr>
        <w:t xml:space="preserve"> conditions de travail à PETROECUADOR sont irrecevables en vertu du paragraphe 1 de l</w:t>
      </w:r>
      <w:r w:rsidR="00864B14">
        <w:rPr>
          <w:lang w:val="fr-FR"/>
        </w:rPr>
        <w:t>’</w:t>
      </w:r>
      <w:r w:rsidRPr="0084662A">
        <w:rPr>
          <w:lang w:val="fr-FR"/>
        </w:rPr>
        <w:t>ar</w:t>
      </w:r>
      <w:r>
        <w:rPr>
          <w:lang w:val="fr-FR"/>
        </w:rPr>
        <w:t>ticle 3 du Protocole facultatif ;</w:t>
      </w:r>
    </w:p>
    <w:p w:rsidR="00EE196F" w:rsidRPr="00B74B50" w:rsidRDefault="00EE196F" w:rsidP="00EE196F">
      <w:pPr>
        <w:pStyle w:val="SingleTxtG"/>
        <w:ind w:firstLine="567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</w:r>
      <w:r w:rsidRPr="001344A3">
        <w:rPr>
          <w:lang w:val="fr-FR"/>
        </w:rPr>
        <w:t xml:space="preserve">Que les </w:t>
      </w:r>
      <w:r>
        <w:rPr>
          <w:lang w:val="fr-FR"/>
        </w:rPr>
        <w:t>griefs de l</w:t>
      </w:r>
      <w:r w:rsidR="00864B14">
        <w:rPr>
          <w:lang w:val="fr-FR"/>
        </w:rPr>
        <w:t>’</w:t>
      </w:r>
      <w:r>
        <w:rPr>
          <w:lang w:val="fr-FR"/>
        </w:rPr>
        <w:t>auteur</w:t>
      </w:r>
      <w:r w:rsidRPr="001344A3">
        <w:rPr>
          <w:lang w:val="fr-FR"/>
        </w:rPr>
        <w:t xml:space="preserve"> concernant le refus </w:t>
      </w:r>
      <w:r>
        <w:rPr>
          <w:lang w:val="fr-FR"/>
        </w:rPr>
        <w:t>de lui verser une indemnité complémentaire</w:t>
      </w:r>
      <w:r w:rsidRPr="001344A3">
        <w:rPr>
          <w:lang w:val="fr-FR"/>
        </w:rPr>
        <w:t xml:space="preserve"> spéciale (</w:t>
      </w:r>
      <w:r>
        <w:rPr>
          <w:lang w:val="fr-FR"/>
        </w:rPr>
        <w:t xml:space="preserve">prévue par </w:t>
      </w:r>
      <w:r w:rsidRPr="001344A3">
        <w:rPr>
          <w:lang w:val="fr-FR"/>
        </w:rPr>
        <w:t>la sixième convention collective de travail) sont irrecevables en vertu du paragraphe 2 e) de l</w:t>
      </w:r>
      <w:r w:rsidR="00864B14">
        <w:rPr>
          <w:lang w:val="fr-FR"/>
        </w:rPr>
        <w:t>’</w:t>
      </w:r>
      <w:r w:rsidRPr="001344A3">
        <w:rPr>
          <w:lang w:val="fr-FR"/>
        </w:rPr>
        <w:t>ar</w:t>
      </w:r>
      <w:r>
        <w:rPr>
          <w:lang w:val="fr-FR"/>
        </w:rPr>
        <w:t>ticle 3 du Protocole facultatif ;</w:t>
      </w:r>
    </w:p>
    <w:p w:rsidR="00EE196F" w:rsidRPr="00B74B50" w:rsidRDefault="00EE196F" w:rsidP="00EE196F">
      <w:pPr>
        <w:pStyle w:val="SingleTxtG"/>
        <w:ind w:firstLine="567"/>
        <w:rPr>
          <w:lang w:val="fr-FR"/>
        </w:rPr>
      </w:pPr>
      <w:r>
        <w:rPr>
          <w:lang w:val="fr-FR"/>
        </w:rPr>
        <w:t>c</w:t>
      </w:r>
      <w:r w:rsidRPr="00B74B50">
        <w:rPr>
          <w:lang w:val="fr-FR"/>
        </w:rPr>
        <w:t>)</w:t>
      </w:r>
      <w:r w:rsidRPr="00B74B50">
        <w:rPr>
          <w:lang w:val="fr-FR"/>
        </w:rPr>
        <w:tab/>
        <w:t>Que la communication est irrecevable au regard des paragraphes</w:t>
      </w:r>
      <w:r w:rsidR="00CF4E75">
        <w:rPr>
          <w:lang w:val="fr-FR"/>
        </w:rPr>
        <w:t xml:space="preserve"> </w:t>
      </w:r>
      <w:r w:rsidRPr="00B74B50">
        <w:rPr>
          <w:lang w:val="fr-FR"/>
        </w:rPr>
        <w:t>1 et 2</w:t>
      </w:r>
      <w:r>
        <w:rPr>
          <w:lang w:val="fr-FR"/>
        </w:rPr>
        <w:t> </w:t>
      </w:r>
      <w:r w:rsidRPr="00B74B50">
        <w:rPr>
          <w:lang w:val="fr-FR"/>
        </w:rPr>
        <w:t>e) de l</w:t>
      </w:r>
      <w:r w:rsidR="00864B14">
        <w:rPr>
          <w:lang w:val="fr-FR"/>
        </w:rPr>
        <w:t>’</w:t>
      </w:r>
      <w:r w:rsidRPr="00B74B50">
        <w:rPr>
          <w:lang w:val="fr-FR"/>
        </w:rPr>
        <w:t>article</w:t>
      </w:r>
      <w:r>
        <w:rPr>
          <w:lang w:val="fr-FR"/>
        </w:rPr>
        <w:t> </w:t>
      </w:r>
      <w:r w:rsidRPr="00B74B50">
        <w:rPr>
          <w:lang w:val="fr-FR"/>
        </w:rPr>
        <w:t>3 du Protocole facultatif</w:t>
      </w:r>
      <w:r>
        <w:rPr>
          <w:lang w:val="fr-FR"/>
        </w:rPr>
        <w:t> ;</w:t>
      </w:r>
    </w:p>
    <w:p w:rsidR="00EE196F" w:rsidRDefault="00EE196F" w:rsidP="00EE196F">
      <w:pPr>
        <w:pStyle w:val="SingleTxtG"/>
        <w:ind w:firstLine="567"/>
      </w:pPr>
      <w:r>
        <w:rPr>
          <w:lang w:val="fr-FR"/>
        </w:rPr>
        <w:t>d</w:t>
      </w:r>
      <w:r w:rsidRPr="00B74B50">
        <w:rPr>
          <w:lang w:val="fr-FR"/>
        </w:rPr>
        <w:t>)</w:t>
      </w:r>
      <w:r w:rsidRPr="00B74B50">
        <w:rPr>
          <w:lang w:val="fr-FR"/>
        </w:rPr>
        <w:tab/>
        <w:t>Que la présente décision sera communiquée à l</w:t>
      </w:r>
      <w:r w:rsidR="00864B14">
        <w:rPr>
          <w:lang w:val="fr-FR"/>
        </w:rPr>
        <w:t>’</w:t>
      </w:r>
      <w:r w:rsidRPr="00B74B50">
        <w:rPr>
          <w:lang w:val="fr-FR"/>
        </w:rPr>
        <w:t>auteur et à l</w:t>
      </w:r>
      <w:r w:rsidR="00864B14">
        <w:rPr>
          <w:lang w:val="fr-FR"/>
        </w:rPr>
        <w:t>’</w:t>
      </w:r>
      <w:r w:rsidRPr="00B74B50">
        <w:rPr>
          <w:lang w:val="fr-FR"/>
        </w:rPr>
        <w:t xml:space="preserve">État partie </w:t>
      </w:r>
      <w:r>
        <w:rPr>
          <w:lang w:val="fr-FR"/>
        </w:rPr>
        <w:t>en vertu du</w:t>
      </w:r>
      <w:r w:rsidRPr="00B74B50">
        <w:rPr>
          <w:lang w:val="fr-FR"/>
        </w:rPr>
        <w:t xml:space="preserve"> paragraphe</w:t>
      </w:r>
      <w:r w:rsidR="00CF4E75">
        <w:rPr>
          <w:lang w:val="fr-FR"/>
        </w:rPr>
        <w:t xml:space="preserve"> </w:t>
      </w:r>
      <w:r w:rsidRPr="00B74B50">
        <w:rPr>
          <w:lang w:val="fr-FR"/>
        </w:rPr>
        <w:t>1 de l</w:t>
      </w:r>
      <w:r w:rsidR="00864B14">
        <w:rPr>
          <w:lang w:val="fr-FR"/>
        </w:rPr>
        <w:t>’</w:t>
      </w:r>
      <w:r w:rsidRPr="00B74B50">
        <w:rPr>
          <w:lang w:val="fr-FR"/>
        </w:rPr>
        <w:t>article 9 du Protocole facultatif.</w:t>
      </w:r>
    </w:p>
    <w:p w:rsidR="00EE196F" w:rsidRPr="00EE196F" w:rsidRDefault="00EE196F" w:rsidP="00EE196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E196F" w:rsidRPr="00EE196F" w:rsidSect="00EE196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B14" w:rsidRDefault="00864B14" w:rsidP="00F95C08">
      <w:pPr>
        <w:spacing w:line="240" w:lineRule="auto"/>
      </w:pPr>
    </w:p>
  </w:endnote>
  <w:endnote w:type="continuationSeparator" w:id="0">
    <w:p w:rsidR="00864B14" w:rsidRPr="00AC3823" w:rsidRDefault="00864B14" w:rsidP="00AC3823">
      <w:pPr>
        <w:pStyle w:val="Pieddepage"/>
      </w:pPr>
    </w:p>
  </w:endnote>
  <w:endnote w:type="continuationNotice" w:id="1">
    <w:p w:rsidR="00864B14" w:rsidRDefault="00864B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B14" w:rsidRPr="00EE196F" w:rsidRDefault="00864B14" w:rsidP="00EE196F">
    <w:pPr>
      <w:pStyle w:val="Pieddepage"/>
      <w:tabs>
        <w:tab w:val="right" w:pos="9638"/>
      </w:tabs>
    </w:pPr>
    <w:r w:rsidRPr="00EE196F">
      <w:rPr>
        <w:b/>
        <w:sz w:val="18"/>
      </w:rPr>
      <w:fldChar w:fldCharType="begin"/>
    </w:r>
    <w:r w:rsidRPr="00EE196F">
      <w:rPr>
        <w:b/>
        <w:sz w:val="18"/>
      </w:rPr>
      <w:instrText xml:space="preserve"> PAGE  \* MERGEFORMAT </w:instrText>
    </w:r>
    <w:r w:rsidRPr="00EE196F">
      <w:rPr>
        <w:b/>
        <w:sz w:val="18"/>
      </w:rPr>
      <w:fldChar w:fldCharType="separate"/>
    </w:r>
    <w:r w:rsidR="00496071">
      <w:rPr>
        <w:b/>
        <w:noProof/>
        <w:sz w:val="18"/>
      </w:rPr>
      <w:t>10</w:t>
    </w:r>
    <w:r w:rsidRPr="00EE196F">
      <w:rPr>
        <w:b/>
        <w:sz w:val="18"/>
      </w:rPr>
      <w:fldChar w:fldCharType="end"/>
    </w:r>
    <w:r>
      <w:rPr>
        <w:b/>
        <w:sz w:val="18"/>
      </w:rPr>
      <w:tab/>
    </w:r>
    <w:r>
      <w:t>GE.18-06244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B14" w:rsidRPr="00EE196F" w:rsidRDefault="00864B14" w:rsidP="00EE196F">
    <w:pPr>
      <w:pStyle w:val="Pieddepage"/>
      <w:tabs>
        <w:tab w:val="right" w:pos="9638"/>
      </w:tabs>
      <w:rPr>
        <w:b/>
        <w:sz w:val="18"/>
      </w:rPr>
    </w:pPr>
    <w:r>
      <w:t>GE.18-06244</w:t>
    </w:r>
    <w:r>
      <w:tab/>
    </w:r>
    <w:r w:rsidRPr="00EE196F">
      <w:rPr>
        <w:b/>
        <w:sz w:val="18"/>
      </w:rPr>
      <w:fldChar w:fldCharType="begin"/>
    </w:r>
    <w:r w:rsidRPr="00EE196F">
      <w:rPr>
        <w:b/>
        <w:sz w:val="18"/>
      </w:rPr>
      <w:instrText xml:space="preserve"> PAGE  \* MERGEFORMAT </w:instrText>
    </w:r>
    <w:r w:rsidRPr="00EE196F">
      <w:rPr>
        <w:b/>
        <w:sz w:val="18"/>
      </w:rPr>
      <w:fldChar w:fldCharType="separate"/>
    </w:r>
    <w:r w:rsidR="00496071">
      <w:rPr>
        <w:b/>
        <w:noProof/>
        <w:sz w:val="18"/>
      </w:rPr>
      <w:t>11</w:t>
    </w:r>
    <w:r w:rsidRPr="00EE196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B14" w:rsidRPr="00EE196F" w:rsidRDefault="00864B14" w:rsidP="00EE196F">
    <w:pPr>
      <w:pStyle w:val="Pieddepage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7C8992D7" wp14:editId="44D338D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18-06244  (F)    240418    180518</w:t>
    </w:r>
    <w:r>
      <w:rPr>
        <w:sz w:val="20"/>
      </w:rPr>
      <w:br/>
    </w:r>
    <w:r w:rsidRPr="00EE196F">
      <w:rPr>
        <w:rFonts w:ascii="C39T30Lfz" w:hAnsi="C39T30Lfz"/>
        <w:sz w:val="56"/>
      </w:rPr>
      <w:t></w:t>
    </w:r>
    <w:r w:rsidRPr="00EE196F">
      <w:rPr>
        <w:rFonts w:ascii="C39T30Lfz" w:hAnsi="C39T30Lfz"/>
        <w:sz w:val="56"/>
      </w:rPr>
      <w:t></w:t>
    </w:r>
    <w:r w:rsidRPr="00EE196F">
      <w:rPr>
        <w:rFonts w:ascii="C39T30Lfz" w:hAnsi="C39T30Lfz"/>
        <w:sz w:val="56"/>
      </w:rPr>
      <w:t></w:t>
    </w:r>
    <w:r w:rsidRPr="00EE196F">
      <w:rPr>
        <w:rFonts w:ascii="C39T30Lfz" w:hAnsi="C39T30Lfz"/>
        <w:sz w:val="56"/>
      </w:rPr>
      <w:t></w:t>
    </w:r>
    <w:r w:rsidRPr="00EE196F">
      <w:rPr>
        <w:rFonts w:ascii="C39T30Lfz" w:hAnsi="C39T30Lfz"/>
        <w:sz w:val="56"/>
      </w:rPr>
      <w:t></w:t>
    </w:r>
    <w:r w:rsidRPr="00EE196F">
      <w:rPr>
        <w:rFonts w:ascii="C39T30Lfz" w:hAnsi="C39T30Lfz"/>
        <w:sz w:val="56"/>
      </w:rPr>
      <w:t></w:t>
    </w:r>
    <w:r w:rsidRPr="00EE196F">
      <w:rPr>
        <w:rFonts w:ascii="C39T30Lfz" w:hAnsi="C39T30Lfz"/>
        <w:sz w:val="56"/>
      </w:rPr>
      <w:t></w:t>
    </w:r>
    <w:r w:rsidRPr="00EE196F">
      <w:rPr>
        <w:rFonts w:ascii="C39T30Lfz" w:hAnsi="C39T30Lfz"/>
        <w:sz w:val="56"/>
      </w:rPr>
      <w:t></w:t>
    </w:r>
    <w:r w:rsidRPr="00EE196F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/C.12/63/D/7/201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63/D/7/201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B14" w:rsidRPr="00AC3823" w:rsidRDefault="00864B1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64B14" w:rsidRPr="00AC3823" w:rsidRDefault="00864B1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64B14" w:rsidRPr="00AC3823" w:rsidRDefault="00864B14">
      <w:pPr>
        <w:spacing w:line="240" w:lineRule="auto"/>
        <w:rPr>
          <w:sz w:val="2"/>
          <w:szCs w:val="2"/>
        </w:rPr>
      </w:pPr>
    </w:p>
  </w:footnote>
  <w:footnote w:id="2">
    <w:p w:rsidR="00864B14" w:rsidRPr="003179BF" w:rsidRDefault="00864B14" w:rsidP="00EE196F">
      <w:pPr>
        <w:pStyle w:val="Notedebasdepage"/>
        <w:rPr>
          <w:lang w:val="fr-FR"/>
        </w:rPr>
      </w:pPr>
      <w:r w:rsidRPr="00AB5BAF">
        <w:rPr>
          <w:lang w:val="fr-FR"/>
        </w:rPr>
        <w:tab/>
      </w:r>
      <w:r w:rsidRPr="000C41A6">
        <w:rPr>
          <w:rStyle w:val="Appelnotedebasdep"/>
        </w:rPr>
        <w:footnoteRef/>
      </w:r>
      <w:r w:rsidRPr="002856A0">
        <w:rPr>
          <w:lang w:val="fr-FR"/>
        </w:rPr>
        <w:tab/>
        <w:t>Par décret présidentiel</w:t>
      </w:r>
      <w:r>
        <w:rPr>
          <w:lang w:val="fr-FR"/>
        </w:rPr>
        <w:t xml:space="preserve"> daté</w:t>
      </w:r>
      <w:r w:rsidRPr="002856A0">
        <w:rPr>
          <w:lang w:val="fr-FR"/>
        </w:rPr>
        <w:t xml:space="preserve"> du 6 avril 2010, PETROECU</w:t>
      </w:r>
      <w:r>
        <w:rPr>
          <w:lang w:val="fr-FR"/>
        </w:rPr>
        <w:t>A</w:t>
      </w:r>
      <w:r w:rsidRPr="002856A0">
        <w:rPr>
          <w:lang w:val="fr-FR"/>
        </w:rPr>
        <w:t>D</w:t>
      </w:r>
      <w:r>
        <w:rPr>
          <w:lang w:val="fr-FR"/>
        </w:rPr>
        <w:t>OR est devenue l’entreprise publique des</w:t>
      </w:r>
      <w:r w:rsidRPr="002856A0">
        <w:rPr>
          <w:lang w:val="fr-FR"/>
        </w:rPr>
        <w:t xml:space="preserve"> hydrocarbures de l</w:t>
      </w:r>
      <w:r>
        <w:rPr>
          <w:lang w:val="fr-FR"/>
        </w:rPr>
        <w:t>’</w:t>
      </w:r>
      <w:r w:rsidRPr="002856A0">
        <w:rPr>
          <w:lang w:val="fr-FR"/>
        </w:rPr>
        <w:t>Équateur.</w:t>
      </w:r>
    </w:p>
  </w:footnote>
  <w:footnote w:id="3">
    <w:p w:rsidR="00864B14" w:rsidRPr="00BA43B5" w:rsidRDefault="00864B14" w:rsidP="00EE196F">
      <w:pPr>
        <w:pStyle w:val="Notedebasdepage"/>
        <w:rPr>
          <w:lang w:val="fr-FR"/>
        </w:rPr>
      </w:pPr>
      <w:r w:rsidRPr="00863ADE">
        <w:rPr>
          <w:lang w:val="fr-FR"/>
        </w:rPr>
        <w:tab/>
      </w:r>
      <w:r w:rsidRPr="000C41A6">
        <w:rPr>
          <w:rStyle w:val="Appelnotedebasdep"/>
        </w:rPr>
        <w:footnoteRef/>
      </w:r>
      <w:r w:rsidRPr="00BA43B5">
        <w:rPr>
          <w:lang w:val="fr-FR"/>
        </w:rPr>
        <w:t xml:space="preserve"> </w:t>
      </w:r>
      <w:r w:rsidRPr="00BA43B5">
        <w:rPr>
          <w:lang w:val="fr-FR"/>
        </w:rPr>
        <w:tab/>
        <w:t>L</w:t>
      </w:r>
      <w:r>
        <w:rPr>
          <w:lang w:val="fr-FR"/>
        </w:rPr>
        <w:t>’</w:t>
      </w:r>
      <w:r w:rsidRPr="00BA43B5">
        <w:rPr>
          <w:lang w:val="fr-FR"/>
        </w:rPr>
        <w:t xml:space="preserve">État partie joint un certain nombre de documents, </w:t>
      </w:r>
      <w:r>
        <w:rPr>
          <w:lang w:val="fr-FR"/>
        </w:rPr>
        <w:t xml:space="preserve">concernant notamment les </w:t>
      </w:r>
      <w:r w:rsidRPr="00BA43B5">
        <w:rPr>
          <w:lang w:val="fr-FR"/>
        </w:rPr>
        <w:t>procédures de PETROECUADOR en matière de sécuri</w:t>
      </w:r>
      <w:r>
        <w:rPr>
          <w:lang w:val="fr-FR"/>
        </w:rPr>
        <w:t>té, de santé</w:t>
      </w:r>
      <w:bookmarkStart w:id="0" w:name="_GoBack"/>
      <w:bookmarkEnd w:id="0"/>
      <w:r>
        <w:rPr>
          <w:lang w:val="fr-FR"/>
        </w:rPr>
        <w:t xml:space="preserve"> et d’environnement</w:t>
      </w:r>
      <w:r w:rsidRPr="00BA43B5">
        <w:rPr>
          <w:lang w:val="fr-FR"/>
        </w:rPr>
        <w:t>.</w:t>
      </w:r>
    </w:p>
  </w:footnote>
  <w:footnote w:id="4">
    <w:p w:rsidR="00864B14" w:rsidRPr="002F58F3" w:rsidRDefault="00864B14" w:rsidP="00EE196F">
      <w:pPr>
        <w:pStyle w:val="Notedebasdepage"/>
        <w:rPr>
          <w:lang w:val="fr-FR"/>
        </w:rPr>
      </w:pPr>
      <w:r w:rsidRPr="00D8792C">
        <w:rPr>
          <w:lang w:val="fr-FR"/>
        </w:rPr>
        <w:tab/>
      </w:r>
      <w:r w:rsidRPr="000C41A6">
        <w:rPr>
          <w:rStyle w:val="Appelnotedebasdep"/>
        </w:rPr>
        <w:footnoteRef/>
      </w:r>
      <w:r w:rsidRPr="002F58F3">
        <w:rPr>
          <w:lang w:val="fr-FR"/>
        </w:rPr>
        <w:t xml:space="preserve"> </w:t>
      </w:r>
      <w:r w:rsidRPr="002F58F3">
        <w:rPr>
          <w:lang w:val="fr-FR"/>
        </w:rPr>
        <w:tab/>
        <w:t>L</w:t>
      </w:r>
      <w:r>
        <w:rPr>
          <w:lang w:val="fr-FR"/>
        </w:rPr>
        <w:t>’</w:t>
      </w:r>
      <w:r w:rsidRPr="002F58F3">
        <w:rPr>
          <w:lang w:val="fr-FR"/>
        </w:rPr>
        <w:t>État partie présente un rapport daté du 28</w:t>
      </w:r>
      <w:r>
        <w:rPr>
          <w:lang w:val="fr-FR"/>
        </w:rPr>
        <w:t> </w:t>
      </w:r>
      <w:r w:rsidRPr="002F58F3">
        <w:rPr>
          <w:lang w:val="fr-FR"/>
        </w:rPr>
        <w:t xml:space="preserve">avril 2016, signé par la direction générale </w:t>
      </w:r>
      <w:r>
        <w:rPr>
          <w:lang w:val="fr-FR"/>
        </w:rPr>
        <w:t xml:space="preserve">de </w:t>
      </w:r>
      <w:r w:rsidRPr="002F58F3">
        <w:rPr>
          <w:lang w:val="fr-FR"/>
        </w:rPr>
        <w:t>PETROECUADOR.</w:t>
      </w:r>
    </w:p>
  </w:footnote>
  <w:footnote w:id="5">
    <w:p w:rsidR="00864B14" w:rsidRPr="0000459B" w:rsidRDefault="00864B14" w:rsidP="00EE196F">
      <w:pPr>
        <w:pStyle w:val="Notedebasdepage"/>
        <w:rPr>
          <w:lang w:val="fr-FR"/>
        </w:rPr>
      </w:pPr>
      <w:r w:rsidRPr="002F58F3">
        <w:rPr>
          <w:lang w:val="fr-FR"/>
        </w:rPr>
        <w:tab/>
      </w:r>
      <w:r w:rsidRPr="000C41A6">
        <w:rPr>
          <w:rStyle w:val="Appelnotedebasdep"/>
        </w:rPr>
        <w:footnoteRef/>
      </w:r>
      <w:r w:rsidRPr="0000459B">
        <w:rPr>
          <w:lang w:val="fr-FR"/>
        </w:rPr>
        <w:t xml:space="preserve"> </w:t>
      </w:r>
      <w:r w:rsidRPr="0000459B">
        <w:rPr>
          <w:lang w:val="fr-FR"/>
        </w:rPr>
        <w:tab/>
        <w:t>L</w:t>
      </w:r>
      <w:r>
        <w:rPr>
          <w:lang w:val="fr-FR"/>
        </w:rPr>
        <w:t>’</w:t>
      </w:r>
      <w:r w:rsidRPr="0000459B">
        <w:rPr>
          <w:lang w:val="fr-FR"/>
        </w:rPr>
        <w:t>auteur renvoie à l</w:t>
      </w:r>
      <w:r>
        <w:rPr>
          <w:lang w:val="fr-FR"/>
        </w:rPr>
        <w:t>’</w:t>
      </w:r>
      <w:r w:rsidRPr="0000459B">
        <w:rPr>
          <w:lang w:val="fr-FR"/>
        </w:rPr>
        <w:t>article 184 du Code du travail.</w:t>
      </w:r>
    </w:p>
  </w:footnote>
  <w:footnote w:id="6">
    <w:p w:rsidR="00864B14" w:rsidRPr="009C45B7" w:rsidRDefault="00864B14" w:rsidP="00EE196F">
      <w:pPr>
        <w:pStyle w:val="Notedebasdepage"/>
        <w:rPr>
          <w:lang w:val="fr-FR"/>
        </w:rPr>
      </w:pPr>
      <w:r w:rsidRPr="0000459B">
        <w:rPr>
          <w:lang w:val="fr-FR"/>
        </w:rPr>
        <w:tab/>
      </w:r>
      <w:r w:rsidRPr="000C41A6">
        <w:rPr>
          <w:rStyle w:val="Appelnotedebasdep"/>
        </w:rPr>
        <w:footnoteRef/>
      </w:r>
      <w:r w:rsidRPr="00A95160">
        <w:rPr>
          <w:lang w:val="fr-FR"/>
        </w:rPr>
        <w:t xml:space="preserve"> </w:t>
      </w:r>
      <w:r w:rsidRPr="00A95160">
        <w:rPr>
          <w:lang w:val="fr-FR"/>
        </w:rPr>
        <w:tab/>
        <w:t>L</w:t>
      </w:r>
      <w:r>
        <w:rPr>
          <w:lang w:val="fr-FR"/>
        </w:rPr>
        <w:t>’</w:t>
      </w:r>
      <w:r w:rsidRPr="00A95160">
        <w:rPr>
          <w:lang w:val="fr-FR"/>
        </w:rPr>
        <w:t xml:space="preserve">auteur renvoie à </w:t>
      </w:r>
      <w:r>
        <w:rPr>
          <w:lang w:val="fr-FR"/>
        </w:rPr>
        <w:t xml:space="preserve">l’arrêt </w:t>
      </w:r>
      <w:r w:rsidRPr="00426EAE">
        <w:rPr>
          <w:rFonts w:eastAsia="MS Mincho"/>
          <w:lang w:val="fr-FR"/>
        </w:rPr>
        <w:t>n</w:t>
      </w:r>
      <w:r w:rsidRPr="00426EAE">
        <w:rPr>
          <w:rFonts w:eastAsia="MS Mincho"/>
          <w:vertAlign w:val="superscript"/>
          <w:lang w:val="fr-FR"/>
        </w:rPr>
        <w:t>o</w:t>
      </w:r>
      <w:r>
        <w:t> </w:t>
      </w:r>
      <w:r w:rsidRPr="00A95160">
        <w:rPr>
          <w:lang w:val="fr-FR"/>
        </w:rPr>
        <w:t>040-114-SEP-CC de la Cour constitutionnelle, dans l</w:t>
      </w:r>
      <w:r>
        <w:rPr>
          <w:lang w:val="fr-FR"/>
        </w:rPr>
        <w:t>e</w:t>
      </w:r>
      <w:r w:rsidRPr="00A95160">
        <w:rPr>
          <w:lang w:val="fr-FR"/>
        </w:rPr>
        <w:t xml:space="preserve">quel elle </w:t>
      </w:r>
      <w:r>
        <w:rPr>
          <w:lang w:val="fr-FR"/>
        </w:rPr>
        <w:t>estime</w:t>
      </w:r>
      <w:r w:rsidRPr="00A95160">
        <w:rPr>
          <w:lang w:val="fr-FR"/>
        </w:rPr>
        <w:t xml:space="preserve"> que</w:t>
      </w:r>
      <w:r>
        <w:rPr>
          <w:lang w:val="fr-FR"/>
        </w:rPr>
        <w:t xml:space="preserve"> </w:t>
      </w:r>
      <w:r w:rsidRPr="00A95160">
        <w:rPr>
          <w:lang w:val="fr-FR"/>
        </w:rPr>
        <w:t xml:space="preserve">dans le cas de </w:t>
      </w:r>
      <w:r>
        <w:rPr>
          <w:lang w:val="fr-FR"/>
        </w:rPr>
        <w:t xml:space="preserve">la prime </w:t>
      </w:r>
      <w:r w:rsidRPr="00A95160">
        <w:rPr>
          <w:lang w:val="fr-FR"/>
        </w:rPr>
        <w:t xml:space="preserve">de départ volontaire, </w:t>
      </w:r>
      <w:r>
        <w:rPr>
          <w:lang w:val="fr-FR"/>
        </w:rPr>
        <w:t xml:space="preserve">il n’y a pas de </w:t>
      </w:r>
      <w:r w:rsidRPr="00A95160">
        <w:rPr>
          <w:lang w:val="fr-FR"/>
        </w:rPr>
        <w:t>sanction, car prédomine</w:t>
      </w:r>
      <w:r>
        <w:rPr>
          <w:lang w:val="fr-FR"/>
        </w:rPr>
        <w:t xml:space="preserve"> en pareil cas</w:t>
      </w:r>
      <w:r w:rsidRPr="00A95160">
        <w:rPr>
          <w:lang w:val="fr-FR"/>
        </w:rPr>
        <w:t xml:space="preserve"> la volonté du travailleur de </w:t>
      </w:r>
      <w:r>
        <w:rPr>
          <w:lang w:val="fr-FR"/>
        </w:rPr>
        <w:t>quitter</w:t>
      </w:r>
      <w:r w:rsidRPr="00A95160">
        <w:rPr>
          <w:lang w:val="fr-FR"/>
        </w:rPr>
        <w:t xml:space="preserve"> son emploi et </w:t>
      </w:r>
      <w:r>
        <w:rPr>
          <w:lang w:val="fr-FR"/>
        </w:rPr>
        <w:t xml:space="preserve">celle </w:t>
      </w:r>
      <w:r w:rsidRPr="00A95160">
        <w:rPr>
          <w:lang w:val="fr-FR"/>
        </w:rPr>
        <w:t xml:space="preserve">de son employeur </w:t>
      </w:r>
      <w:r>
        <w:rPr>
          <w:lang w:val="fr-FR"/>
        </w:rPr>
        <w:t>d’offrir</w:t>
      </w:r>
      <w:r w:rsidRPr="00A95160">
        <w:rPr>
          <w:lang w:val="fr-FR"/>
        </w:rPr>
        <w:t xml:space="preserve"> un avantage économique au travailleur qui </w:t>
      </w:r>
      <w:r>
        <w:rPr>
          <w:lang w:val="fr-FR"/>
        </w:rPr>
        <w:t>démissionne</w:t>
      </w:r>
      <w:r w:rsidRPr="00A95160">
        <w:rPr>
          <w:lang w:val="fr-FR"/>
        </w:rPr>
        <w:t xml:space="preserve"> pour </w:t>
      </w:r>
      <w:r>
        <w:rPr>
          <w:lang w:val="fr-FR"/>
        </w:rPr>
        <w:t>bénéficier de la prime convenue.</w:t>
      </w:r>
    </w:p>
  </w:footnote>
  <w:footnote w:id="7">
    <w:p w:rsidR="00864B14" w:rsidRPr="00FC0673" w:rsidRDefault="00864B14" w:rsidP="00EE196F">
      <w:pPr>
        <w:pStyle w:val="Notedebasdepage"/>
        <w:rPr>
          <w:lang w:val="fr-FR"/>
        </w:rPr>
      </w:pPr>
      <w:r w:rsidRPr="009C45B7">
        <w:rPr>
          <w:lang w:val="fr-FR"/>
        </w:rPr>
        <w:tab/>
      </w:r>
      <w:r w:rsidRPr="000C41A6">
        <w:rPr>
          <w:rStyle w:val="Appelnotedebasdep"/>
        </w:rPr>
        <w:footnoteRef/>
      </w:r>
      <w:r w:rsidRPr="00FC0673">
        <w:rPr>
          <w:lang w:val="fr-FR"/>
        </w:rPr>
        <w:t xml:space="preserve"> </w:t>
      </w:r>
      <w:r w:rsidRPr="00FC0673">
        <w:rPr>
          <w:lang w:val="fr-FR"/>
        </w:rPr>
        <w:tab/>
      </w:r>
      <w:r>
        <w:rPr>
          <w:lang w:val="fr-FR"/>
        </w:rPr>
        <w:t xml:space="preserve">Art. 326 de la </w:t>
      </w:r>
      <w:r w:rsidRPr="00FC0673">
        <w:rPr>
          <w:lang w:val="fr-FR"/>
        </w:rPr>
        <w:t>Constitution équatorienne</w:t>
      </w:r>
      <w:r>
        <w:rPr>
          <w:lang w:val="fr-FR"/>
        </w:rPr>
        <w:t> :</w:t>
      </w:r>
      <w:r w:rsidRPr="00FC0673">
        <w:rPr>
          <w:lang w:val="fr-FR"/>
        </w:rPr>
        <w:t xml:space="preserve"> </w:t>
      </w:r>
      <w:r>
        <w:rPr>
          <w:lang w:val="fr-FR"/>
        </w:rPr>
        <w:t>« </w:t>
      </w:r>
      <w:r w:rsidRPr="00FC0673">
        <w:rPr>
          <w:lang w:val="fr-FR"/>
        </w:rPr>
        <w:t xml:space="preserve">En cas de doute sur la portée des dispositions </w:t>
      </w:r>
      <w:r>
        <w:rPr>
          <w:lang w:val="fr-FR"/>
        </w:rPr>
        <w:t>légales</w:t>
      </w:r>
      <w:r w:rsidRPr="00FC0673">
        <w:rPr>
          <w:lang w:val="fr-FR"/>
        </w:rPr>
        <w:t>, réglementaires ou contractuelles relatives à l</w:t>
      </w:r>
      <w:r>
        <w:rPr>
          <w:lang w:val="fr-FR"/>
        </w:rPr>
        <w:t>’</w:t>
      </w:r>
      <w:r w:rsidRPr="00FC0673">
        <w:rPr>
          <w:lang w:val="fr-FR"/>
        </w:rPr>
        <w:t>emploi, s</w:t>
      </w:r>
      <w:r>
        <w:rPr>
          <w:lang w:val="fr-FR"/>
        </w:rPr>
        <w:t>’</w:t>
      </w:r>
      <w:r w:rsidRPr="00FC0673">
        <w:rPr>
          <w:lang w:val="fr-FR"/>
        </w:rPr>
        <w:t xml:space="preserve">appliquent </w:t>
      </w:r>
      <w:r>
        <w:rPr>
          <w:lang w:val="fr-FR"/>
        </w:rPr>
        <w:t xml:space="preserve">celles qui sont </w:t>
      </w:r>
      <w:r w:rsidRPr="00FC0673">
        <w:rPr>
          <w:lang w:val="fr-FR"/>
        </w:rPr>
        <w:t>le plus favorable</w:t>
      </w:r>
      <w:r>
        <w:rPr>
          <w:lang w:val="fr-FR"/>
        </w:rPr>
        <w:t>s aux travailleurs ».</w:t>
      </w:r>
    </w:p>
  </w:footnote>
  <w:footnote w:id="8">
    <w:p w:rsidR="00864B14" w:rsidRPr="00D6516C" w:rsidRDefault="00864B14" w:rsidP="00EE196F">
      <w:pPr>
        <w:pStyle w:val="Notedebasdepage"/>
        <w:rPr>
          <w:lang w:val="fr-FR"/>
        </w:rPr>
      </w:pPr>
      <w:r w:rsidRPr="005D4736">
        <w:rPr>
          <w:lang w:val="fr-FR"/>
        </w:rPr>
        <w:tab/>
      </w:r>
      <w:r w:rsidRPr="000C41A6">
        <w:rPr>
          <w:rStyle w:val="Appelnotedebasdep"/>
        </w:rPr>
        <w:footnoteRef/>
      </w:r>
      <w:r w:rsidRPr="00D6516C">
        <w:rPr>
          <w:lang w:val="fr-FR"/>
        </w:rPr>
        <w:t xml:space="preserve"> </w:t>
      </w:r>
      <w:r w:rsidRPr="00D6516C">
        <w:rPr>
          <w:lang w:val="fr-FR"/>
        </w:rPr>
        <w:tab/>
        <w:t>L</w:t>
      </w:r>
      <w:r>
        <w:rPr>
          <w:lang w:val="fr-FR"/>
        </w:rPr>
        <w:t>’</w:t>
      </w:r>
      <w:r w:rsidRPr="00D6516C">
        <w:rPr>
          <w:lang w:val="fr-FR"/>
        </w:rPr>
        <w:t>auteur se réfère à l</w:t>
      </w:r>
      <w:r>
        <w:rPr>
          <w:lang w:val="fr-FR"/>
        </w:rPr>
        <w:t>’</w:t>
      </w:r>
      <w:r w:rsidRPr="00D6516C">
        <w:rPr>
          <w:lang w:val="fr-FR"/>
        </w:rPr>
        <w:t xml:space="preserve">observation générale </w:t>
      </w:r>
      <w:r w:rsidRPr="002C412A">
        <w:rPr>
          <w:rFonts w:eastAsia="MS Mincho"/>
          <w:lang w:val="fr-FR"/>
        </w:rPr>
        <w:t>n</w:t>
      </w:r>
      <w:r w:rsidRPr="002C412A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D6516C">
        <w:rPr>
          <w:lang w:val="fr-FR"/>
        </w:rPr>
        <w:t>14</w:t>
      </w:r>
      <w:r>
        <w:rPr>
          <w:lang w:val="fr-FR"/>
        </w:rPr>
        <w:t xml:space="preserve"> (2000) sur le droit au meilleur état de santé susceptible d’être atteint</w:t>
      </w:r>
      <w:r w:rsidRPr="00D6516C">
        <w:rPr>
          <w:lang w:val="fr-FR"/>
        </w:rPr>
        <w:t xml:space="preserve">. </w:t>
      </w:r>
    </w:p>
  </w:footnote>
  <w:footnote w:id="9">
    <w:p w:rsidR="00864B14" w:rsidRPr="00D6516C" w:rsidRDefault="00864B14" w:rsidP="00EE196F">
      <w:pPr>
        <w:pStyle w:val="Notedebasdepage"/>
        <w:rPr>
          <w:lang w:val="fr-FR"/>
        </w:rPr>
      </w:pPr>
      <w:r w:rsidRPr="00D6516C">
        <w:rPr>
          <w:lang w:val="fr-FR"/>
        </w:rPr>
        <w:tab/>
      </w:r>
      <w:r w:rsidRPr="000C41A6">
        <w:rPr>
          <w:rStyle w:val="Appelnotedebasdep"/>
        </w:rPr>
        <w:footnoteRef/>
      </w:r>
      <w:r w:rsidRPr="00D6516C">
        <w:rPr>
          <w:lang w:val="fr-FR"/>
        </w:rPr>
        <w:t xml:space="preserve"> </w:t>
      </w:r>
      <w:r w:rsidRPr="00D6516C">
        <w:rPr>
          <w:lang w:val="fr-FR"/>
        </w:rPr>
        <w:tab/>
        <w:t>L</w:t>
      </w:r>
      <w:r>
        <w:rPr>
          <w:lang w:val="fr-FR"/>
        </w:rPr>
        <w:t>’</w:t>
      </w:r>
      <w:r w:rsidRPr="00D6516C">
        <w:rPr>
          <w:lang w:val="fr-FR"/>
        </w:rPr>
        <w:t>auteur se réfère à l</w:t>
      </w:r>
      <w:r>
        <w:rPr>
          <w:lang w:val="fr-FR"/>
        </w:rPr>
        <w:t>’</w:t>
      </w:r>
      <w:r w:rsidRPr="00D6516C">
        <w:rPr>
          <w:lang w:val="fr-FR"/>
        </w:rPr>
        <w:t xml:space="preserve">observation générale </w:t>
      </w:r>
      <w:r w:rsidRPr="002C412A">
        <w:rPr>
          <w:rFonts w:eastAsia="MS Mincho"/>
          <w:lang w:val="fr-FR"/>
        </w:rPr>
        <w:t>n</w:t>
      </w:r>
      <w:r w:rsidRPr="002C412A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D6516C">
        <w:rPr>
          <w:lang w:val="fr-FR"/>
        </w:rPr>
        <w:t>18</w:t>
      </w:r>
      <w:r>
        <w:rPr>
          <w:lang w:val="fr-FR"/>
        </w:rPr>
        <w:t xml:space="preserve"> (2006) sur le droit au travail.</w:t>
      </w:r>
    </w:p>
  </w:footnote>
  <w:footnote w:id="10">
    <w:p w:rsidR="00864B14" w:rsidRPr="00D1051E" w:rsidRDefault="00864B14" w:rsidP="00EE196F">
      <w:pPr>
        <w:pStyle w:val="Notedebasdepage"/>
        <w:rPr>
          <w:lang w:val="fr-FR"/>
        </w:rPr>
      </w:pPr>
      <w:r w:rsidRPr="00D6516C">
        <w:rPr>
          <w:lang w:val="fr-FR"/>
        </w:rPr>
        <w:tab/>
      </w:r>
      <w:r w:rsidRPr="000C41A6">
        <w:rPr>
          <w:rStyle w:val="Appelnotedebasdep"/>
        </w:rPr>
        <w:footnoteRef/>
      </w:r>
      <w:r w:rsidRPr="00D1051E">
        <w:rPr>
          <w:lang w:val="fr-FR"/>
        </w:rPr>
        <w:t xml:space="preserve"> </w:t>
      </w:r>
      <w:r w:rsidRPr="00D1051E">
        <w:rPr>
          <w:lang w:val="fr-FR"/>
        </w:rPr>
        <w:tab/>
      </w:r>
      <w:r w:rsidRPr="00D6516C">
        <w:rPr>
          <w:lang w:val="fr-FR"/>
        </w:rPr>
        <w:t>L</w:t>
      </w:r>
      <w:r>
        <w:rPr>
          <w:lang w:val="fr-FR"/>
        </w:rPr>
        <w:t>’</w:t>
      </w:r>
      <w:r w:rsidRPr="00D6516C">
        <w:rPr>
          <w:lang w:val="fr-FR"/>
        </w:rPr>
        <w:t>auteur se réfère à l</w:t>
      </w:r>
      <w:r>
        <w:rPr>
          <w:lang w:val="fr-FR"/>
        </w:rPr>
        <w:t>’</w:t>
      </w:r>
      <w:r w:rsidRPr="00D6516C">
        <w:rPr>
          <w:lang w:val="fr-FR"/>
        </w:rPr>
        <w:t xml:space="preserve">observation générale </w:t>
      </w:r>
      <w:r w:rsidRPr="002C412A">
        <w:rPr>
          <w:rFonts w:eastAsia="MS Mincho"/>
          <w:lang w:val="fr-FR"/>
        </w:rPr>
        <w:t>n</w:t>
      </w:r>
      <w:r w:rsidRPr="002C412A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D1051E">
        <w:rPr>
          <w:lang w:val="fr-FR"/>
        </w:rPr>
        <w:t>14.</w:t>
      </w:r>
    </w:p>
  </w:footnote>
  <w:footnote w:id="11">
    <w:p w:rsidR="00864B14" w:rsidRPr="00CD7BC9" w:rsidRDefault="00864B14" w:rsidP="00EE196F">
      <w:pPr>
        <w:pStyle w:val="Notedebasdepage"/>
        <w:rPr>
          <w:lang w:val="fr-FR"/>
        </w:rPr>
      </w:pPr>
      <w:r w:rsidRPr="00D1051E">
        <w:rPr>
          <w:lang w:val="fr-FR"/>
        </w:rPr>
        <w:tab/>
      </w:r>
      <w:r w:rsidRPr="000C41A6">
        <w:rPr>
          <w:rStyle w:val="Appelnotedebasdep"/>
        </w:rPr>
        <w:footnoteRef/>
      </w:r>
      <w:r w:rsidRPr="00CD7BC9">
        <w:rPr>
          <w:lang w:val="fr-FR"/>
        </w:rPr>
        <w:t xml:space="preserve"> </w:t>
      </w:r>
      <w:r w:rsidRPr="00CD7BC9">
        <w:rPr>
          <w:lang w:val="fr-FR"/>
        </w:rPr>
        <w:tab/>
        <w:t>Par un certificat médical délivré le 12</w:t>
      </w:r>
      <w:r>
        <w:rPr>
          <w:lang w:val="fr-FR"/>
        </w:rPr>
        <w:t> </w:t>
      </w:r>
      <w:r w:rsidRPr="00CD7BC9">
        <w:rPr>
          <w:lang w:val="fr-FR"/>
        </w:rPr>
        <w:t>novembre 2013, l</w:t>
      </w:r>
      <w:r>
        <w:rPr>
          <w:lang w:val="fr-FR"/>
        </w:rPr>
        <w:t>’</w:t>
      </w:r>
      <w:r w:rsidRPr="00CD7BC9">
        <w:rPr>
          <w:lang w:val="fr-FR"/>
        </w:rPr>
        <w:t>auteur a reçu un diagnostic d</w:t>
      </w:r>
      <w:r>
        <w:rPr>
          <w:lang w:val="fr-FR"/>
        </w:rPr>
        <w:t>’</w:t>
      </w:r>
      <w:r w:rsidRPr="00CD7BC9">
        <w:rPr>
          <w:lang w:val="fr-FR"/>
        </w:rPr>
        <w:t xml:space="preserve">invalidité </w:t>
      </w:r>
      <w:r>
        <w:rPr>
          <w:lang w:val="fr-FR"/>
        </w:rPr>
        <w:t>à</w:t>
      </w:r>
      <w:r w:rsidRPr="00CD7BC9">
        <w:rPr>
          <w:lang w:val="fr-FR"/>
        </w:rPr>
        <w:t xml:space="preserve"> 65</w:t>
      </w:r>
      <w:r>
        <w:rPr>
          <w:lang w:val="fr-FR"/>
        </w:rPr>
        <w:t> </w:t>
      </w:r>
      <w:r w:rsidRPr="00CD7BC9">
        <w:rPr>
          <w:lang w:val="fr-FR"/>
        </w:rPr>
        <w:t xml:space="preserve">% pour la maladie de Parkinson et </w:t>
      </w:r>
      <w:r>
        <w:rPr>
          <w:lang w:val="fr-FR"/>
        </w:rPr>
        <w:t>de</w:t>
      </w:r>
      <w:r w:rsidRPr="00CD7BC9">
        <w:rPr>
          <w:lang w:val="fr-FR"/>
        </w:rPr>
        <w:t xml:space="preserve"> déficience auditive bilatér</w:t>
      </w:r>
      <w:r>
        <w:rPr>
          <w:lang w:val="fr-FR"/>
        </w:rPr>
        <w:t>ale à 70 % le 29 novembre 2007</w:t>
      </w:r>
      <w:r w:rsidRPr="00CD7BC9">
        <w:rPr>
          <w:lang w:val="fr-FR"/>
        </w:rPr>
        <w:t>.</w:t>
      </w:r>
    </w:p>
  </w:footnote>
  <w:footnote w:id="12">
    <w:p w:rsidR="00864B14" w:rsidRPr="00F217F9" w:rsidRDefault="00864B14" w:rsidP="00EE196F">
      <w:pPr>
        <w:pStyle w:val="Notedebasdepage"/>
        <w:rPr>
          <w:lang w:val="fr-FR"/>
        </w:rPr>
      </w:pPr>
      <w:r w:rsidRPr="00CD7BC9">
        <w:rPr>
          <w:lang w:val="fr-FR"/>
        </w:rPr>
        <w:tab/>
      </w:r>
      <w:r w:rsidRPr="000C41A6">
        <w:rPr>
          <w:rStyle w:val="Appelnotedebasdep"/>
        </w:rPr>
        <w:footnoteRef/>
      </w:r>
      <w:r w:rsidRPr="00F217F9">
        <w:rPr>
          <w:lang w:val="fr-FR"/>
        </w:rPr>
        <w:t xml:space="preserve"> </w:t>
      </w:r>
      <w:r w:rsidRPr="00F217F9">
        <w:rPr>
          <w:lang w:val="fr-FR"/>
        </w:rPr>
        <w:tab/>
        <w:t>Cour constitutionnelle, arrêt</w:t>
      </w:r>
      <w:r>
        <w:rPr>
          <w:lang w:val="fr-FR"/>
        </w:rPr>
        <w:t>s</w:t>
      </w:r>
      <w:r w:rsidRPr="00F217F9">
        <w:rPr>
          <w:lang w:val="fr-FR"/>
        </w:rPr>
        <w:t xml:space="preserve"> </w:t>
      </w:r>
      <w:r w:rsidRPr="00D43590">
        <w:rPr>
          <w:rFonts w:eastAsia="MS Mincho"/>
          <w:lang w:val="fr-FR"/>
        </w:rPr>
        <w:t>n</w:t>
      </w:r>
      <w:r w:rsidRPr="00D43590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F217F9">
        <w:rPr>
          <w:lang w:val="fr-FR"/>
        </w:rPr>
        <w:t>0048-08-EP et 022-10-SEP.</w:t>
      </w:r>
    </w:p>
  </w:footnote>
  <w:footnote w:id="13">
    <w:p w:rsidR="00864B14" w:rsidRPr="000C41A6" w:rsidRDefault="00864B14" w:rsidP="00EE196F">
      <w:pPr>
        <w:pStyle w:val="Notedebasdepage"/>
      </w:pPr>
      <w:r w:rsidRPr="00E05A21">
        <w:rPr>
          <w:lang w:val="fr-FR"/>
        </w:rPr>
        <w:tab/>
      </w:r>
      <w:r w:rsidRPr="000C41A6">
        <w:rPr>
          <w:rStyle w:val="Appelnotedebasdep"/>
        </w:rPr>
        <w:footnoteRef/>
      </w:r>
      <w:r w:rsidRPr="000C41A6">
        <w:t xml:space="preserve"> </w:t>
      </w:r>
      <w:r w:rsidRPr="000C41A6">
        <w:tab/>
      </w:r>
      <w:r w:rsidRPr="008A56C7">
        <w:rPr>
          <w:lang w:val="fr-FR"/>
        </w:rPr>
        <w:t>Communication</w:t>
      </w:r>
      <w:r w:rsidRPr="000C41A6">
        <w:t xml:space="preserve">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14</w:t>
      </w:r>
      <w:r w:rsidRPr="000C41A6">
        <w:t>/2016, par.</w:t>
      </w:r>
      <w:r>
        <w:t> </w:t>
      </w:r>
      <w:r w:rsidRPr="000C41A6">
        <w:t>9.8.</w:t>
      </w:r>
    </w:p>
  </w:footnote>
  <w:footnote w:id="14">
    <w:p w:rsidR="00864B14" w:rsidRPr="00ED5196" w:rsidRDefault="00864B14" w:rsidP="00EE196F">
      <w:pPr>
        <w:pStyle w:val="Notedebasdepage"/>
        <w:rPr>
          <w:lang w:val="fr-FR"/>
        </w:rPr>
      </w:pPr>
      <w:r w:rsidRPr="000C41A6">
        <w:tab/>
      </w:r>
      <w:r w:rsidRPr="000C41A6">
        <w:rPr>
          <w:rStyle w:val="Appelnotedebasdep"/>
        </w:rPr>
        <w:footnoteRef/>
      </w:r>
      <w:r w:rsidRPr="00ED5196">
        <w:rPr>
          <w:lang w:val="fr-FR"/>
        </w:rPr>
        <w:t xml:space="preserve"> </w:t>
      </w:r>
      <w:r w:rsidRPr="00ED5196">
        <w:rPr>
          <w:lang w:val="fr-FR"/>
        </w:rPr>
        <w:tab/>
      </w:r>
      <w:r w:rsidRPr="00ED5196">
        <w:rPr>
          <w:color w:val="000000"/>
          <w:lang w:val="fr-FR"/>
        </w:rPr>
        <w:t>Le Comité note qu</w:t>
      </w:r>
      <w:r>
        <w:rPr>
          <w:color w:val="000000"/>
          <w:lang w:val="fr-FR"/>
        </w:rPr>
        <w:t>’</w:t>
      </w:r>
      <w:r w:rsidRPr="00ED5196">
        <w:rPr>
          <w:color w:val="000000"/>
          <w:lang w:val="fr-FR"/>
        </w:rPr>
        <w:t>en vertu de l</w:t>
      </w:r>
      <w:r>
        <w:rPr>
          <w:color w:val="000000"/>
          <w:lang w:val="fr-FR"/>
        </w:rPr>
        <w:t>’</w:t>
      </w:r>
      <w:r w:rsidRPr="00ED5196">
        <w:rPr>
          <w:color w:val="000000"/>
          <w:lang w:val="fr-FR"/>
        </w:rPr>
        <w:t>article</w:t>
      </w:r>
      <w:r>
        <w:rPr>
          <w:color w:val="000000"/>
          <w:lang w:val="fr-FR"/>
        </w:rPr>
        <w:t xml:space="preserve"> </w:t>
      </w:r>
      <w:r w:rsidRPr="00ED5196">
        <w:rPr>
          <w:color w:val="000000"/>
          <w:lang w:val="fr-FR"/>
        </w:rPr>
        <w:t>94 de la Constitution de l</w:t>
      </w:r>
      <w:r>
        <w:rPr>
          <w:color w:val="000000"/>
          <w:lang w:val="fr-FR"/>
        </w:rPr>
        <w:t>’</w:t>
      </w:r>
      <w:r w:rsidRPr="00ED5196">
        <w:rPr>
          <w:color w:val="000000"/>
          <w:lang w:val="fr-FR"/>
        </w:rPr>
        <w:t>État partie, l</w:t>
      </w:r>
      <w:r>
        <w:rPr>
          <w:color w:val="000000"/>
          <w:lang w:val="fr-FR"/>
        </w:rPr>
        <w:t>’</w:t>
      </w:r>
      <w:r w:rsidRPr="00ED5196">
        <w:rPr>
          <w:color w:val="000000"/>
          <w:lang w:val="fr-FR"/>
        </w:rPr>
        <w:t>action extraordinaire en protection est engagée contre les jugements ou décisions définitifs dans lesquels les droits reconnus dans la Constitution ont été violés par action ou par omission</w:t>
      </w:r>
      <w:r w:rsidRPr="00ED5196">
        <w:rPr>
          <w:lang w:val="fr-FR"/>
        </w:rPr>
        <w:t xml:space="preserve"> </w:t>
      </w:r>
      <w:r>
        <w:rPr>
          <w:lang w:val="fr-FR"/>
        </w:rPr>
        <w:t>et qu’en vertu de</w:t>
      </w:r>
      <w:r w:rsidRPr="00ED5196">
        <w:rPr>
          <w:lang w:val="fr-FR"/>
        </w:rPr>
        <w:t xml:space="preserve"> l</w:t>
      </w:r>
      <w:r>
        <w:rPr>
          <w:lang w:val="fr-FR"/>
        </w:rPr>
        <w:t>’</w:t>
      </w:r>
      <w:r w:rsidRPr="00ED5196">
        <w:rPr>
          <w:lang w:val="fr-FR"/>
        </w:rPr>
        <w:t>article 63 de la loi organique sur les garanties juridictionnelles et le contrô</w:t>
      </w:r>
      <w:r>
        <w:rPr>
          <w:lang w:val="fr-FR"/>
        </w:rPr>
        <w:t xml:space="preserve">le constitutionnel, </w:t>
      </w:r>
      <w:r w:rsidRPr="00ED5196">
        <w:rPr>
          <w:lang w:val="fr-FR"/>
        </w:rPr>
        <w:t xml:space="preserve">la Cour constitutionnelle détermine </w:t>
      </w:r>
      <w:r>
        <w:rPr>
          <w:lang w:val="fr-FR"/>
        </w:rPr>
        <w:t>si</w:t>
      </w:r>
      <w:r w:rsidRPr="00ED5196">
        <w:rPr>
          <w:lang w:val="fr-FR"/>
        </w:rPr>
        <w:t xml:space="preserve"> les droits constitutionnels du </w:t>
      </w:r>
      <w:r>
        <w:rPr>
          <w:lang w:val="fr-FR"/>
        </w:rPr>
        <w:t>plaignant ont été violés dans le jugement</w:t>
      </w:r>
      <w:r w:rsidRPr="00ED5196">
        <w:rPr>
          <w:lang w:val="fr-FR"/>
        </w:rPr>
        <w:t xml:space="preserve"> et, si elle </w:t>
      </w:r>
      <w:r>
        <w:rPr>
          <w:lang w:val="fr-FR"/>
        </w:rPr>
        <w:t>constate</w:t>
      </w:r>
      <w:r w:rsidRPr="00ED5196">
        <w:rPr>
          <w:lang w:val="fr-FR"/>
        </w:rPr>
        <w:t xml:space="preserve"> la violation, ordonne la réparat</w:t>
      </w:r>
      <w:r>
        <w:rPr>
          <w:lang w:val="fr-FR"/>
        </w:rPr>
        <w:t>ion intégrale du préjudice subi</w:t>
      </w:r>
      <w:r w:rsidRPr="00ED5196">
        <w:rPr>
          <w:lang w:val="fr-FR"/>
        </w:rPr>
        <w:t xml:space="preserve">. </w:t>
      </w:r>
    </w:p>
    <w:p w:rsidR="00864B14" w:rsidRPr="00ED5196" w:rsidRDefault="00864B14" w:rsidP="00EE196F">
      <w:pPr>
        <w:pStyle w:val="Notedebasdepage"/>
        <w:rPr>
          <w:lang w:val="fr-FR"/>
        </w:rPr>
      </w:pPr>
    </w:p>
  </w:footnote>
  <w:footnote w:id="15">
    <w:p w:rsidR="00864B14" w:rsidRPr="00084D78" w:rsidRDefault="00864B14" w:rsidP="00EE196F">
      <w:pPr>
        <w:pStyle w:val="Notedebasdepage"/>
        <w:rPr>
          <w:lang w:val="fr-FR"/>
        </w:rPr>
      </w:pPr>
      <w:r w:rsidRPr="00ED5196">
        <w:rPr>
          <w:lang w:val="fr-FR"/>
        </w:rPr>
        <w:tab/>
      </w:r>
      <w:r w:rsidRPr="000C41A6">
        <w:rPr>
          <w:rStyle w:val="Appelnotedebasdep"/>
        </w:rPr>
        <w:footnoteRef/>
      </w:r>
      <w:r w:rsidRPr="00084D78">
        <w:rPr>
          <w:lang w:val="fr-FR"/>
        </w:rPr>
        <w:tab/>
        <w:t>Voir</w:t>
      </w:r>
      <w:r>
        <w:rPr>
          <w:lang w:val="fr-FR"/>
        </w:rPr>
        <w:t xml:space="preserve"> les</w:t>
      </w:r>
      <w:r w:rsidRPr="00084D78">
        <w:rPr>
          <w:lang w:val="fr-FR"/>
        </w:rPr>
        <w:t xml:space="preserve"> communications </w:t>
      </w:r>
      <w:r w:rsidRPr="008A325B">
        <w:rPr>
          <w:rFonts w:eastAsia="MS Mincho"/>
          <w:lang w:val="fr-FR"/>
        </w:rPr>
        <w:t>n</w:t>
      </w:r>
      <w:r w:rsidRPr="008A325B">
        <w:rPr>
          <w:rFonts w:eastAsia="MS Mincho"/>
          <w:vertAlign w:val="superscript"/>
          <w:lang w:val="fr-FR"/>
        </w:rPr>
        <w:t>o</w:t>
      </w:r>
      <w:r>
        <w:rPr>
          <w:rFonts w:eastAsia="MS Mincho"/>
          <w:vertAlign w:val="superscript"/>
          <w:lang w:val="fr-FR"/>
        </w:rPr>
        <w:t>s</w:t>
      </w:r>
      <w:r>
        <w:rPr>
          <w:lang w:val="fr-FR"/>
        </w:rPr>
        <w:t> </w:t>
      </w:r>
      <w:r w:rsidRPr="00084D78">
        <w:rPr>
          <w:lang w:val="fr-FR"/>
        </w:rPr>
        <w:t xml:space="preserve">1/2013, </w:t>
      </w:r>
      <w:proofErr w:type="spellStart"/>
      <w:r w:rsidRPr="00084D78">
        <w:rPr>
          <w:i/>
          <w:lang w:val="fr-FR"/>
        </w:rPr>
        <w:t>López</w:t>
      </w:r>
      <w:proofErr w:type="spellEnd"/>
      <w:r w:rsidRPr="00084D78">
        <w:rPr>
          <w:i/>
          <w:lang w:val="fr-FR"/>
        </w:rPr>
        <w:t xml:space="preserve"> </w:t>
      </w:r>
      <w:proofErr w:type="spellStart"/>
      <w:r w:rsidRPr="00084D78">
        <w:rPr>
          <w:i/>
          <w:lang w:val="fr-FR"/>
        </w:rPr>
        <w:t>Rodríguez</w:t>
      </w:r>
      <w:proofErr w:type="spellEnd"/>
      <w:r w:rsidRPr="00084D78">
        <w:rPr>
          <w:i/>
          <w:lang w:val="fr-FR"/>
        </w:rPr>
        <w:t xml:space="preserve"> </w:t>
      </w:r>
      <w:r w:rsidRPr="007636B1">
        <w:rPr>
          <w:lang w:val="fr-FR"/>
        </w:rPr>
        <w:t>c.</w:t>
      </w:r>
      <w:r w:rsidRPr="00084D78">
        <w:rPr>
          <w:i/>
          <w:lang w:val="fr-FR"/>
        </w:rPr>
        <w:t xml:space="preserve"> Espagne</w:t>
      </w:r>
      <w:r w:rsidRPr="00084D78">
        <w:rPr>
          <w:lang w:val="fr-FR"/>
        </w:rPr>
        <w:t>, constatations adoptées le 4</w:t>
      </w:r>
      <w:r>
        <w:rPr>
          <w:lang w:val="fr-FR"/>
        </w:rPr>
        <w:t> </w:t>
      </w:r>
      <w:r w:rsidRPr="00084D78">
        <w:rPr>
          <w:lang w:val="fr-FR"/>
        </w:rPr>
        <w:t>mars 2016, par.</w:t>
      </w:r>
      <w:r>
        <w:rPr>
          <w:lang w:val="fr-FR"/>
        </w:rPr>
        <w:t> </w:t>
      </w:r>
      <w:r w:rsidRPr="00084D78">
        <w:rPr>
          <w:lang w:val="fr-FR"/>
        </w:rPr>
        <w:t>12</w:t>
      </w:r>
      <w:r>
        <w:rPr>
          <w:lang w:val="fr-FR"/>
        </w:rPr>
        <w:t xml:space="preserve"> ; et </w:t>
      </w:r>
      <w:r w:rsidRPr="00084D78">
        <w:rPr>
          <w:lang w:val="fr-FR"/>
        </w:rPr>
        <w:t xml:space="preserve">2/2014, </w:t>
      </w:r>
      <w:r w:rsidRPr="00084D78">
        <w:rPr>
          <w:i/>
          <w:iCs/>
          <w:lang w:val="fr-FR"/>
        </w:rPr>
        <w:t>I.</w:t>
      </w:r>
      <w:r>
        <w:rPr>
          <w:i/>
          <w:iCs/>
          <w:lang w:val="fr-FR"/>
        </w:rPr>
        <w:t> </w:t>
      </w:r>
      <w:r w:rsidRPr="00084D78">
        <w:rPr>
          <w:i/>
          <w:iCs/>
          <w:lang w:val="fr-FR"/>
        </w:rPr>
        <w:t>D</w:t>
      </w:r>
      <w:r>
        <w:rPr>
          <w:i/>
          <w:iCs/>
          <w:lang w:val="fr-FR"/>
        </w:rPr>
        <w:t xml:space="preserve">. G. </w:t>
      </w:r>
      <w:r w:rsidRPr="007636B1">
        <w:rPr>
          <w:iCs/>
          <w:lang w:val="fr-FR"/>
        </w:rPr>
        <w:t>c.</w:t>
      </w:r>
      <w:r>
        <w:rPr>
          <w:i/>
          <w:iCs/>
          <w:lang w:val="fr-FR"/>
        </w:rPr>
        <w:t xml:space="preserve"> Espagne</w:t>
      </w:r>
      <w:r w:rsidRPr="00084D78">
        <w:rPr>
          <w:lang w:val="fr-FR"/>
        </w:rPr>
        <w:t xml:space="preserve">, constatations adoptées le </w:t>
      </w:r>
      <w:r>
        <w:rPr>
          <w:lang w:val="fr-FR"/>
        </w:rPr>
        <w:t>17 juin</w:t>
      </w:r>
      <w:r w:rsidRPr="00084D78">
        <w:rPr>
          <w:lang w:val="fr-FR"/>
        </w:rPr>
        <w:t xml:space="preserve"> 2015, p</w:t>
      </w:r>
      <w:r>
        <w:rPr>
          <w:lang w:val="fr-FR"/>
        </w:rPr>
        <w:t>ar</w:t>
      </w:r>
      <w:r w:rsidRPr="00084D78">
        <w:rPr>
          <w:lang w:val="fr-FR"/>
        </w:rPr>
        <w:t xml:space="preserve">. 13.1.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B14" w:rsidRPr="00EE196F" w:rsidRDefault="00211B0B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864B14">
      <w:t>E/C.12/63/D/7/2015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B14" w:rsidRPr="00EE196F" w:rsidRDefault="00211B0B" w:rsidP="00EE196F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64B14">
      <w:t>E/C.12/63/D/7/2015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hybridMultilevel"/>
    <w:tmpl w:val="140E0F76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3"/>
    <w:multiLevelType w:val="hybridMultilevel"/>
    <w:tmpl w:val="3352255A"/>
    <w:lvl w:ilvl="0" w:tplc="FFFFFFFF">
      <w:start w:val="3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4"/>
    <w:multiLevelType w:val="hybridMultilevel"/>
    <w:tmpl w:val="238E1F28"/>
    <w:lvl w:ilvl="0" w:tplc="FFFFFFFF">
      <w:start w:val="9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5"/>
    <w:multiLevelType w:val="hybridMultilevel"/>
    <w:tmpl w:val="46E87CCC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7"/>
    <w:multiLevelType w:val="hybridMultilevel"/>
    <w:tmpl w:val="419AC240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08"/>
    <w:multiLevelType w:val="hybridMultilevel"/>
    <w:tmpl w:val="41A7C4C8"/>
    <w:lvl w:ilvl="0" w:tplc="FFFFFFFF">
      <w:start w:val="8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0B"/>
    <w:multiLevelType w:val="hybridMultilevel"/>
    <w:tmpl w:val="3804823E"/>
    <w:lvl w:ilvl="0" w:tplc="FFFFFFFF">
      <w:start w:val="14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0C"/>
    <w:multiLevelType w:val="hybridMultilevel"/>
    <w:tmpl w:val="519B500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0D"/>
    <w:multiLevelType w:val="hybridMultilevel"/>
    <w:tmpl w:val="F214AC9C"/>
    <w:lvl w:ilvl="0" w:tplc="66D8F540">
      <w:start w:val="1"/>
      <w:numFmt w:val="decimal"/>
      <w:lvlText w:val="%1."/>
      <w:lvlJc w:val="left"/>
      <w:rPr>
        <w:sz w:val="18"/>
        <w:szCs w:val="18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0"/>
    <w:multiLevelType w:val="hybridMultilevel"/>
    <w:tmpl w:val="5E884ADC"/>
    <w:lvl w:ilvl="0" w:tplc="FFFFFFFF">
      <w:start w:val="1"/>
      <w:numFmt w:val="decimal"/>
      <w:lvlText w:val="%1"/>
      <w:lvlJc w:val="left"/>
    </w:lvl>
    <w:lvl w:ilvl="1" w:tplc="FFFFFFFF">
      <w:start w:val="2"/>
      <w:numFmt w:val="lowerLetter"/>
      <w:lvlText w:val="%2."/>
      <w:lvlJc w:val="left"/>
    </w:lvl>
    <w:lvl w:ilvl="2" w:tplc="FFFFFFFF">
      <w:start w:val="1"/>
      <w:numFmt w:val="lowerRoman"/>
      <w:lvlText w:val="%3."/>
      <w:lvlJc w:val="left"/>
    </w:lvl>
    <w:lvl w:ilvl="3" w:tplc="FFFFFFFF">
      <w:start w:val="1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7"/>
    <w:multiLevelType w:val="hybridMultilevel"/>
    <w:tmpl w:val="6A2342EC"/>
    <w:lvl w:ilvl="0" w:tplc="FFFFFFFF">
      <w:start w:val="5"/>
      <w:numFmt w:val="upperLetter"/>
      <w:lvlText w:val="%1)"/>
      <w:lvlJc w:val="left"/>
    </w:lvl>
    <w:lvl w:ilvl="1" w:tplc="FFFFFFFF">
      <w:start w:val="24"/>
      <w:numFmt w:val="decimal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D954887"/>
    <w:multiLevelType w:val="hybridMultilevel"/>
    <w:tmpl w:val="AC2A46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9D5712"/>
    <w:multiLevelType w:val="hybridMultilevel"/>
    <w:tmpl w:val="174C1E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B29ED190">
      <w:start w:val="1"/>
      <w:numFmt w:val="lowerLetter"/>
      <w:lvlText w:val="%2)"/>
      <w:lvlJc w:val="left"/>
      <w:pPr>
        <w:ind w:left="1644" w:hanging="564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444D2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CF4EB2"/>
    <w:multiLevelType w:val="hybridMultilevel"/>
    <w:tmpl w:val="3FE4844A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6" w15:restartNumberingAfterBreak="0">
    <w:nsid w:val="461D10AF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B401468"/>
    <w:multiLevelType w:val="hybridMultilevel"/>
    <w:tmpl w:val="1E1A479C"/>
    <w:lvl w:ilvl="0" w:tplc="8BBA01CA">
      <w:start w:val="3"/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F757C0F"/>
    <w:multiLevelType w:val="hybridMultilevel"/>
    <w:tmpl w:val="362219D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75A1C"/>
    <w:multiLevelType w:val="hybridMultilevel"/>
    <w:tmpl w:val="539877DE"/>
    <w:lvl w:ilvl="0" w:tplc="27AE88E4">
      <w:start w:val="121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sz w:val="22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B4B8E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68AD07B2"/>
    <w:multiLevelType w:val="hybridMultilevel"/>
    <w:tmpl w:val="27B22ADA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F0298"/>
    <w:multiLevelType w:val="hybridMultilevel"/>
    <w:tmpl w:val="61C2C53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2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1"/>
  </w:num>
  <w:num w:numId="15">
    <w:abstractNumId w:val="25"/>
  </w:num>
  <w:num w:numId="16">
    <w:abstractNumId w:val="21"/>
  </w:num>
  <w:num w:numId="17">
    <w:abstractNumId w:val="32"/>
  </w:num>
  <w:num w:numId="18">
    <w:abstractNumId w:val="24"/>
  </w:num>
  <w:num w:numId="19">
    <w:abstractNumId w:val="30"/>
  </w:num>
  <w:num w:numId="20">
    <w:abstractNumId w:val="26"/>
  </w:num>
  <w:num w:numId="21">
    <w:abstractNumId w:val="23"/>
  </w:num>
  <w:num w:numId="22">
    <w:abstractNumId w:val="14"/>
  </w:num>
  <w:num w:numId="23">
    <w:abstractNumId w:val="16"/>
  </w:num>
  <w:num w:numId="24">
    <w:abstractNumId w:val="19"/>
  </w:num>
  <w:num w:numId="25">
    <w:abstractNumId w:val="20"/>
  </w:num>
  <w:num w:numId="26">
    <w:abstractNumId w:val="27"/>
  </w:num>
  <w:num w:numId="27">
    <w:abstractNumId w:val="28"/>
  </w:num>
  <w:num w:numId="28">
    <w:abstractNumId w:val="33"/>
  </w:num>
  <w:num w:numId="29">
    <w:abstractNumId w:val="10"/>
  </w:num>
  <w:num w:numId="30">
    <w:abstractNumId w:val="11"/>
  </w:num>
  <w:num w:numId="31">
    <w:abstractNumId w:val="15"/>
  </w:num>
  <w:num w:numId="32">
    <w:abstractNumId w:val="17"/>
  </w:num>
  <w:num w:numId="33">
    <w:abstractNumId w:val="18"/>
  </w:num>
  <w:num w:numId="34">
    <w:abstractNumId w:val="12"/>
  </w:num>
  <w:num w:numId="35">
    <w:abstractNumId w:val="13"/>
  </w:num>
  <w:num w:numId="36">
    <w:abstractNumId w:val="29"/>
  </w:num>
  <w:num w:numId="37">
    <w:abstractNumId w:val="22"/>
  </w:num>
  <w:num w:numId="38">
    <w:abstractNumId w:val="31"/>
  </w:num>
  <w:num w:numId="39">
    <w:abstractNumId w:val="25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51"/>
    <w:rsid w:val="00013A9E"/>
    <w:rsid w:val="00017F94"/>
    <w:rsid w:val="00023842"/>
    <w:rsid w:val="0002432E"/>
    <w:rsid w:val="000334F9"/>
    <w:rsid w:val="0007796D"/>
    <w:rsid w:val="000B7790"/>
    <w:rsid w:val="00111F2F"/>
    <w:rsid w:val="0014365E"/>
    <w:rsid w:val="00144054"/>
    <w:rsid w:val="00176178"/>
    <w:rsid w:val="001C3868"/>
    <w:rsid w:val="001F525A"/>
    <w:rsid w:val="00223272"/>
    <w:rsid w:val="0024779E"/>
    <w:rsid w:val="00266ACE"/>
    <w:rsid w:val="002814FC"/>
    <w:rsid w:val="002832AC"/>
    <w:rsid w:val="002D7C93"/>
    <w:rsid w:val="002E5251"/>
    <w:rsid w:val="003C7910"/>
    <w:rsid w:val="00441C3B"/>
    <w:rsid w:val="00446FE5"/>
    <w:rsid w:val="00452396"/>
    <w:rsid w:val="00491F60"/>
    <w:rsid w:val="00496071"/>
    <w:rsid w:val="004E468C"/>
    <w:rsid w:val="0051599B"/>
    <w:rsid w:val="005505B7"/>
    <w:rsid w:val="00573BE5"/>
    <w:rsid w:val="00586ED3"/>
    <w:rsid w:val="00596AA9"/>
    <w:rsid w:val="005A027D"/>
    <w:rsid w:val="0071601D"/>
    <w:rsid w:val="007A62E6"/>
    <w:rsid w:val="007D70AF"/>
    <w:rsid w:val="0080236C"/>
    <w:rsid w:val="0080684C"/>
    <w:rsid w:val="00864B14"/>
    <w:rsid w:val="00871C75"/>
    <w:rsid w:val="008776DC"/>
    <w:rsid w:val="00967489"/>
    <w:rsid w:val="009705C8"/>
    <w:rsid w:val="009C1CF4"/>
    <w:rsid w:val="00A30353"/>
    <w:rsid w:val="00AA42FA"/>
    <w:rsid w:val="00AC3823"/>
    <w:rsid w:val="00AE323C"/>
    <w:rsid w:val="00AF1CFA"/>
    <w:rsid w:val="00AF290F"/>
    <w:rsid w:val="00B00181"/>
    <w:rsid w:val="00B00B0D"/>
    <w:rsid w:val="00B765F7"/>
    <w:rsid w:val="00BA0CA9"/>
    <w:rsid w:val="00C02897"/>
    <w:rsid w:val="00CF4E75"/>
    <w:rsid w:val="00CF7749"/>
    <w:rsid w:val="00D3439C"/>
    <w:rsid w:val="00D75300"/>
    <w:rsid w:val="00DB1831"/>
    <w:rsid w:val="00DD3BFD"/>
    <w:rsid w:val="00DF6678"/>
    <w:rsid w:val="00EE196F"/>
    <w:rsid w:val="00EF2E22"/>
    <w:rsid w:val="00F62683"/>
    <w:rsid w:val="00F660DF"/>
    <w:rsid w:val="00F95C08"/>
    <w:rsid w:val="00FA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DF55B7"/>
  <w15:docId w15:val="{9D5E7D20-6676-4692-A7CB-8BC230BF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814F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2814F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qFormat/>
    <w:rsid w:val="002814FC"/>
    <w:pPr>
      <w:outlineLvl w:val="1"/>
    </w:pPr>
  </w:style>
  <w:style w:type="paragraph" w:styleId="Titre3">
    <w:name w:val="heading 3"/>
    <w:basedOn w:val="Normal"/>
    <w:next w:val="Normal"/>
    <w:link w:val="Titre3Car"/>
    <w:qFormat/>
    <w:rsid w:val="002814FC"/>
    <w:pPr>
      <w:outlineLvl w:val="2"/>
    </w:pPr>
  </w:style>
  <w:style w:type="paragraph" w:styleId="Titre4">
    <w:name w:val="heading 4"/>
    <w:basedOn w:val="Normal"/>
    <w:next w:val="Normal"/>
    <w:link w:val="Titre4Car"/>
    <w:qFormat/>
    <w:rsid w:val="002814FC"/>
    <w:pPr>
      <w:outlineLvl w:val="3"/>
    </w:pPr>
  </w:style>
  <w:style w:type="paragraph" w:styleId="Titre5">
    <w:name w:val="heading 5"/>
    <w:basedOn w:val="Normal"/>
    <w:next w:val="Normal"/>
    <w:link w:val="Titre5Car"/>
    <w:qFormat/>
    <w:rsid w:val="002814FC"/>
    <w:pPr>
      <w:outlineLvl w:val="4"/>
    </w:pPr>
  </w:style>
  <w:style w:type="paragraph" w:styleId="Titre6">
    <w:name w:val="heading 6"/>
    <w:basedOn w:val="Normal"/>
    <w:next w:val="Normal"/>
    <w:link w:val="Titre6Car"/>
    <w:qFormat/>
    <w:rsid w:val="002814FC"/>
    <w:pPr>
      <w:outlineLvl w:val="5"/>
    </w:pPr>
  </w:style>
  <w:style w:type="paragraph" w:styleId="Titre7">
    <w:name w:val="heading 7"/>
    <w:basedOn w:val="Normal"/>
    <w:next w:val="Normal"/>
    <w:link w:val="Titre7Car"/>
    <w:qFormat/>
    <w:rsid w:val="002814FC"/>
    <w:pPr>
      <w:outlineLvl w:val="6"/>
    </w:pPr>
  </w:style>
  <w:style w:type="paragraph" w:styleId="Titre8">
    <w:name w:val="heading 8"/>
    <w:basedOn w:val="Normal"/>
    <w:next w:val="Normal"/>
    <w:link w:val="Titre8Car"/>
    <w:qFormat/>
    <w:rsid w:val="002814FC"/>
    <w:pPr>
      <w:outlineLvl w:val="7"/>
    </w:pPr>
  </w:style>
  <w:style w:type="paragraph" w:styleId="Titre9">
    <w:name w:val="heading 9"/>
    <w:basedOn w:val="Normal"/>
    <w:next w:val="Normal"/>
    <w:link w:val="Titre9Car"/>
    <w:qFormat/>
    <w:rsid w:val="002814FC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2814F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2814FC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2814F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2814F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2814F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2814F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2814F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2814F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2814F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2814F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2814F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2814F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2814F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2814F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2814F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2814FC"/>
    <w:pPr>
      <w:numPr>
        <w:numId w:val="38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2814FC"/>
    <w:pPr>
      <w:numPr>
        <w:numId w:val="39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2814FC"/>
    <w:pPr>
      <w:numPr>
        <w:numId w:val="40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2814FC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2814FC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2814FC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2814FC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2814FC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2814F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2814FC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2814FC"/>
  </w:style>
  <w:style w:type="character" w:customStyle="1" w:styleId="NotedefinCar">
    <w:name w:val="Note de fin Car"/>
    <w:aliases w:val="2_G Car"/>
    <w:basedOn w:val="Policepardfaut"/>
    <w:link w:val="Notedefin"/>
    <w:rsid w:val="002814FC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2814FC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2814F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rsid w:val="002814F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rsid w:val="002814F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rsid w:val="002814F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rsid w:val="002814F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rsid w:val="002814F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rsid w:val="002814F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rsid w:val="002814F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rsid w:val="002814FC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3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36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967489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967489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EE196F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1B7D2-8A70-4FBF-965D-9F9B2B3B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11</Pages>
  <Words>6049</Words>
  <Characters>36299</Characters>
  <Application>Microsoft Office Word</Application>
  <DocSecurity>0</DocSecurity>
  <Lines>5185</Lines>
  <Paragraphs>2228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E/C.12/63/D/7/2015</vt:lpstr>
    </vt:vector>
  </TitlesOfParts>
  <Company>DCM</Company>
  <LinksUpToDate>false</LinksUpToDate>
  <CharactersWithSpaces>40120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E/C.12/63/D/7/2015</dc:title>
  <dc:subject/>
  <dc:creator>Fabienne CRELIER</dc:creator>
  <cp:keywords/>
  <cp:lastModifiedBy>Fabienne Crelier</cp:lastModifiedBy>
  <cp:revision>2</cp:revision>
  <cp:lastPrinted>2018-05-18T09:15:00Z</cp:lastPrinted>
  <dcterms:created xsi:type="dcterms:W3CDTF">2018-05-18T14:20:00Z</dcterms:created>
  <dcterms:modified xsi:type="dcterms:W3CDTF">2018-05-18T14:20:00Z</dcterms:modified>
</cp:coreProperties>
</file>