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4D5125" w:rsidTr="003A0D0D">
        <w:trPr>
          <w:trHeight w:hRule="exact" w:val="851"/>
        </w:trPr>
        <w:tc>
          <w:tcPr>
            <w:tcW w:w="1276" w:type="dxa"/>
            <w:tcBorders>
              <w:bottom w:val="single" w:sz="4" w:space="0" w:color="auto"/>
            </w:tcBorders>
          </w:tcPr>
          <w:p w:rsidR="003D1DF3" w:rsidRPr="004D5125" w:rsidRDefault="003D1DF3" w:rsidP="00021FDF">
            <w:pPr>
              <w:pStyle w:val="Heading3"/>
              <w:rPr>
                <w:lang w:val="en-US"/>
              </w:rPr>
            </w:pPr>
          </w:p>
        </w:tc>
        <w:tc>
          <w:tcPr>
            <w:tcW w:w="2268" w:type="dxa"/>
            <w:tcBorders>
              <w:bottom w:val="single" w:sz="4" w:space="0" w:color="auto"/>
            </w:tcBorders>
            <w:vAlign w:val="bottom"/>
          </w:tcPr>
          <w:p w:rsidR="003D1DF3" w:rsidRPr="00DB58B5" w:rsidRDefault="003D1DF3" w:rsidP="00832505">
            <w:pPr>
              <w:spacing w:after="80" w:line="300" w:lineRule="exact"/>
              <w:ind w:left="0" w:right="0"/>
              <w:rPr>
                <w:sz w:val="28"/>
              </w:rPr>
            </w:pPr>
            <w:r w:rsidRPr="00DB58B5">
              <w:rPr>
                <w:sz w:val="28"/>
              </w:rPr>
              <w:t>Nations Unies</w:t>
            </w:r>
          </w:p>
        </w:tc>
        <w:tc>
          <w:tcPr>
            <w:tcW w:w="6095" w:type="dxa"/>
            <w:gridSpan w:val="2"/>
            <w:tcBorders>
              <w:bottom w:val="single" w:sz="4" w:space="0" w:color="auto"/>
            </w:tcBorders>
            <w:vAlign w:val="bottom"/>
          </w:tcPr>
          <w:p w:rsidR="003D1DF3" w:rsidRPr="007E5492" w:rsidRDefault="00B566DE" w:rsidP="00832505">
            <w:pPr>
              <w:spacing w:after="0" w:line="240" w:lineRule="atLeast"/>
              <w:ind w:left="0" w:right="0"/>
              <w:jc w:val="right"/>
              <w:rPr>
                <w:sz w:val="20"/>
                <w:lang w:val="en-US"/>
              </w:rPr>
            </w:pPr>
            <w:r w:rsidRPr="007E5492">
              <w:rPr>
                <w:sz w:val="40"/>
                <w:szCs w:val="40"/>
                <w:lang w:val="pt-BR"/>
              </w:rPr>
              <w:t>E</w:t>
            </w:r>
            <w:r w:rsidRPr="007E5492">
              <w:rPr>
                <w:sz w:val="20"/>
                <w:lang w:val="pt-BR"/>
              </w:rPr>
              <w:t>/C.12/</w:t>
            </w:r>
            <w:r w:rsidR="00330E0A" w:rsidRPr="007E5492">
              <w:rPr>
                <w:sz w:val="20"/>
                <w:lang w:val="pt-BR"/>
              </w:rPr>
              <w:t>WG/</w:t>
            </w:r>
            <w:r w:rsidR="00035734" w:rsidRPr="007E5492">
              <w:rPr>
                <w:sz w:val="20"/>
                <w:lang w:val="pt-BR"/>
              </w:rPr>
              <w:t>DJI</w:t>
            </w:r>
            <w:r w:rsidRPr="007E5492">
              <w:rPr>
                <w:sz w:val="20"/>
                <w:lang w:val="pt-BR"/>
              </w:rPr>
              <w:t>/Q/</w:t>
            </w:r>
            <w:r w:rsidR="00035734" w:rsidRPr="007E5492">
              <w:rPr>
                <w:sz w:val="20"/>
                <w:lang w:val="pt-BR"/>
              </w:rPr>
              <w:t>1-2</w:t>
            </w:r>
          </w:p>
        </w:tc>
      </w:tr>
      <w:tr w:rsidR="003D1DF3" w:rsidRPr="00DB58B5" w:rsidTr="003A0D0D">
        <w:trPr>
          <w:trHeight w:hRule="exact" w:val="2835"/>
        </w:trPr>
        <w:tc>
          <w:tcPr>
            <w:tcW w:w="1276" w:type="dxa"/>
            <w:tcBorders>
              <w:top w:val="single" w:sz="4" w:space="0" w:color="auto"/>
              <w:bottom w:val="single" w:sz="12" w:space="0" w:color="auto"/>
            </w:tcBorders>
          </w:tcPr>
          <w:p w:rsidR="003D1DF3" w:rsidRPr="00DB58B5" w:rsidRDefault="00832505" w:rsidP="00832505">
            <w:pPr>
              <w:spacing w:before="120"/>
              <w:ind w:left="0" w:right="850"/>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832505">
            <w:pPr>
              <w:spacing w:before="120" w:after="0" w:line="420" w:lineRule="exact"/>
              <w:ind w:left="0" w:right="0"/>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566DE" w:rsidRPr="00832505" w:rsidRDefault="00B566DE" w:rsidP="00832505">
            <w:pPr>
              <w:spacing w:before="240" w:after="0" w:line="240" w:lineRule="atLeast"/>
              <w:ind w:left="0" w:right="0"/>
              <w:rPr>
                <w:sz w:val="20"/>
              </w:rPr>
            </w:pPr>
            <w:r w:rsidRPr="00832505">
              <w:rPr>
                <w:sz w:val="20"/>
              </w:rPr>
              <w:t xml:space="preserve">Distr. </w:t>
            </w:r>
            <w:r w:rsidR="002F403A">
              <w:rPr>
                <w:sz w:val="20"/>
              </w:rPr>
              <w:t>général</w:t>
            </w:r>
            <w:r w:rsidR="004836E6">
              <w:rPr>
                <w:sz w:val="20"/>
              </w:rPr>
              <w:t>e</w:t>
            </w:r>
          </w:p>
          <w:p w:rsidR="00B566DE" w:rsidRPr="00832505" w:rsidRDefault="00D12ECB" w:rsidP="000F2232">
            <w:pPr>
              <w:spacing w:after="0" w:line="240" w:lineRule="exact"/>
              <w:ind w:left="0" w:right="0"/>
              <w:rPr>
                <w:sz w:val="20"/>
              </w:rPr>
            </w:pPr>
            <w:r w:rsidRPr="0033129A">
              <w:rPr>
                <w:sz w:val="20"/>
              </w:rPr>
              <w:t>1</w:t>
            </w:r>
            <w:r w:rsidR="000F2232" w:rsidRPr="0033129A">
              <w:rPr>
                <w:sz w:val="20"/>
              </w:rPr>
              <w:t>1</w:t>
            </w:r>
            <w:r w:rsidR="00847A4C" w:rsidRPr="0033129A">
              <w:rPr>
                <w:sz w:val="20"/>
              </w:rPr>
              <w:t xml:space="preserve"> </w:t>
            </w:r>
            <w:r w:rsidRPr="0033129A">
              <w:rPr>
                <w:sz w:val="20"/>
              </w:rPr>
              <w:t>juin</w:t>
            </w:r>
            <w:r>
              <w:rPr>
                <w:sz w:val="20"/>
              </w:rPr>
              <w:t xml:space="preserve"> </w:t>
            </w:r>
            <w:r w:rsidR="007B5DC3">
              <w:rPr>
                <w:sz w:val="20"/>
              </w:rPr>
              <w:t>2013</w:t>
            </w:r>
          </w:p>
          <w:p w:rsidR="00B566DE" w:rsidRPr="00832505" w:rsidRDefault="00B110C3" w:rsidP="00832505">
            <w:pPr>
              <w:spacing w:after="0" w:line="240" w:lineRule="exact"/>
              <w:ind w:left="0" w:right="0"/>
              <w:rPr>
                <w:sz w:val="20"/>
              </w:rPr>
            </w:pPr>
            <w:r>
              <w:rPr>
                <w:sz w:val="20"/>
              </w:rPr>
              <w:br/>
            </w:r>
            <w:r w:rsidR="00C522D3" w:rsidRPr="00832505">
              <w:rPr>
                <w:sz w:val="20"/>
              </w:rPr>
              <w:t>Original: f</w:t>
            </w:r>
            <w:r w:rsidR="00B566DE" w:rsidRPr="00832505">
              <w:rPr>
                <w:sz w:val="20"/>
              </w:rPr>
              <w:t>rançais</w:t>
            </w:r>
          </w:p>
          <w:p w:rsidR="003D1DF3" w:rsidRPr="004D5125" w:rsidRDefault="00B110C3" w:rsidP="00A822E3">
            <w:pPr>
              <w:spacing w:after="0" w:line="240" w:lineRule="exact"/>
              <w:ind w:left="0" w:right="0"/>
              <w:rPr>
                <w:b/>
              </w:rPr>
            </w:pPr>
            <w:r>
              <w:rPr>
                <w:b/>
                <w:sz w:val="20"/>
              </w:rPr>
              <w:br/>
            </w:r>
          </w:p>
        </w:tc>
      </w:tr>
    </w:tbl>
    <w:p w:rsidR="000B30C7" w:rsidRDefault="000B30C7" w:rsidP="00A9682C">
      <w:pPr>
        <w:spacing w:before="120" w:after="0" w:line="240" w:lineRule="atLeast"/>
        <w:ind w:left="0" w:right="0"/>
        <w:rPr>
          <w:b/>
          <w:sz w:val="24"/>
          <w:szCs w:val="24"/>
        </w:rPr>
      </w:pPr>
      <w:r w:rsidRPr="00D12ECB">
        <w:rPr>
          <w:b/>
          <w:sz w:val="24"/>
          <w:szCs w:val="24"/>
        </w:rPr>
        <w:t xml:space="preserve">Comité </w:t>
      </w:r>
      <w:r w:rsidRPr="00D12ECB">
        <w:rPr>
          <w:rFonts w:cs="Times New Roman"/>
          <w:b/>
          <w:sz w:val="24"/>
          <w:szCs w:val="24"/>
        </w:rPr>
        <w:t>des</w:t>
      </w:r>
      <w:r w:rsidRPr="00D12ECB">
        <w:rPr>
          <w:b/>
          <w:sz w:val="24"/>
          <w:szCs w:val="24"/>
        </w:rPr>
        <w:t xml:space="preserve"> droits économiques, sociaux et culturels</w:t>
      </w:r>
    </w:p>
    <w:p w:rsidR="00644D1D" w:rsidRPr="00003240" w:rsidRDefault="00644D1D" w:rsidP="00644D1D">
      <w:pPr>
        <w:spacing w:after="0"/>
        <w:ind w:left="0" w:right="0"/>
        <w:jc w:val="both"/>
        <w:rPr>
          <w:rFonts w:cs="Times New Roman"/>
          <w:b/>
          <w:sz w:val="20"/>
          <w:lang w:val="fr-FR"/>
        </w:rPr>
      </w:pPr>
      <w:r w:rsidRPr="00644D1D">
        <w:rPr>
          <w:rFonts w:cs="Times New Roman"/>
          <w:b/>
          <w:sz w:val="20"/>
        </w:rPr>
        <w:t>Groupe de travail de présession</w:t>
      </w:r>
    </w:p>
    <w:p w:rsidR="000B30C7" w:rsidRPr="000B30C7" w:rsidRDefault="000B30C7" w:rsidP="00847A4C">
      <w:pPr>
        <w:pStyle w:val="HChG"/>
      </w:pPr>
      <w:r w:rsidRPr="000B30C7">
        <w:tab/>
      </w:r>
      <w:r w:rsidRPr="000B30C7">
        <w:tab/>
      </w:r>
      <w:r w:rsidR="005111CB">
        <w:t>Liste des points relatifs à l</w:t>
      </w:r>
      <w:r w:rsidR="008734D3">
        <w:t>’</w:t>
      </w:r>
      <w:r w:rsidR="005111CB">
        <w:t xml:space="preserve">examen </w:t>
      </w:r>
      <w:r w:rsidR="006F7CA3">
        <w:t>du rapport initial et du deuxième</w:t>
      </w:r>
      <w:r w:rsidR="005111CB">
        <w:t xml:space="preserve"> rapport périodique</w:t>
      </w:r>
      <w:r w:rsidR="006F7CA3">
        <w:t xml:space="preserve"> de Djibouti</w:t>
      </w:r>
      <w:r w:rsidR="007B5DC3">
        <w:t xml:space="preserve"> </w:t>
      </w:r>
      <w:r w:rsidR="008F2E5D" w:rsidRPr="008F2E5D">
        <w:rPr>
          <w:spacing w:val="-2"/>
        </w:rPr>
        <w:t>présentés en un seul document</w:t>
      </w:r>
      <w:r w:rsidR="008F2E5D">
        <w:t xml:space="preserve"> </w:t>
      </w:r>
      <w:r w:rsidR="007B5DC3">
        <w:t>(E/C.12/DJI</w:t>
      </w:r>
      <w:r w:rsidR="004D5125">
        <w:t>/1</w:t>
      </w:r>
      <w:r w:rsidR="007B5DC3">
        <w:t>-2</w:t>
      </w:r>
      <w:r w:rsidR="004D5125">
        <w:t>)</w:t>
      </w:r>
      <w:r w:rsidR="00C77BC4">
        <w:t xml:space="preserve">, adoptée par le </w:t>
      </w:r>
      <w:r w:rsidR="00C77BC4" w:rsidRPr="0035006F">
        <w:t xml:space="preserve">Groupe de travail </w:t>
      </w:r>
      <w:r w:rsidR="00C77BC4">
        <w:t xml:space="preserve">de </w:t>
      </w:r>
      <w:r w:rsidR="00C77BC4" w:rsidRPr="0035006F">
        <w:t>présession</w:t>
      </w:r>
      <w:r w:rsidR="00C77BC4">
        <w:t xml:space="preserve"> à sa</w:t>
      </w:r>
      <w:r w:rsidR="00C77BC4" w:rsidRPr="00486DC6">
        <w:t xml:space="preserve"> cinquante et unième </w:t>
      </w:r>
      <w:r w:rsidR="00C77BC4">
        <w:t xml:space="preserve">session </w:t>
      </w:r>
      <w:r w:rsidR="00FD35C7">
        <w:br/>
      </w:r>
      <w:r w:rsidR="00C77BC4">
        <w:t>(21-24 mai 2013)</w:t>
      </w:r>
    </w:p>
    <w:p w:rsidR="000B30C7" w:rsidRDefault="00936F79" w:rsidP="005111CB">
      <w:pPr>
        <w:pStyle w:val="HChG"/>
      </w:pPr>
      <w:r>
        <w:tab/>
      </w:r>
      <w:r w:rsidR="000B30C7" w:rsidRPr="000B30C7">
        <w:t>I.</w:t>
      </w:r>
      <w:r w:rsidR="000B30C7" w:rsidRPr="000B30C7">
        <w:tab/>
        <w:t>Renseignements d</w:t>
      </w:r>
      <w:r w:rsidR="00E408C5">
        <w:t>’</w:t>
      </w:r>
      <w:r w:rsidR="000B30C7" w:rsidRPr="000B30C7">
        <w:t>ordre général</w:t>
      </w:r>
    </w:p>
    <w:p w:rsidR="00A85732" w:rsidRDefault="00A85732" w:rsidP="00C10F90">
      <w:pPr>
        <w:pStyle w:val="SingleTxtG"/>
        <w:numPr>
          <w:ilvl w:val="0"/>
          <w:numId w:val="7"/>
        </w:numPr>
        <w:tabs>
          <w:tab w:val="left" w:pos="1080"/>
          <w:tab w:val="left" w:pos="1701"/>
        </w:tabs>
        <w:suppressAutoHyphens w:val="0"/>
        <w:ind w:left="1134"/>
        <w:rPr>
          <w:sz w:val="20"/>
          <w:lang w:val="fr-FR"/>
        </w:rPr>
      </w:pPr>
      <w:r w:rsidRPr="00A85732">
        <w:rPr>
          <w:rStyle w:val="FootnoteReference"/>
          <w:sz w:val="20"/>
          <w:vertAlign w:val="baseline"/>
          <w:lang w:val="fr-FR"/>
        </w:rPr>
        <w:t>Donner des renseignements sur les mesures prises pour sensibiliser davantage l’appareil judiciaire aux droits économiques, sociaux et culturels contenus dans le Pacte et à leur justiciabilité.</w:t>
      </w:r>
      <w:r w:rsidR="000126EF">
        <w:rPr>
          <w:sz w:val="20"/>
          <w:lang w:val="fr-FR"/>
        </w:rPr>
        <w:t xml:space="preserve"> </w:t>
      </w:r>
      <w:r w:rsidR="000126EF" w:rsidRPr="00FC7BD9">
        <w:rPr>
          <w:sz w:val="20"/>
        </w:rPr>
        <w:t>Donner</w:t>
      </w:r>
      <w:r w:rsidR="000126EF">
        <w:rPr>
          <w:sz w:val="20"/>
        </w:rPr>
        <w:t xml:space="preserve"> également</w:t>
      </w:r>
      <w:r w:rsidR="000126EF" w:rsidRPr="00A85732">
        <w:rPr>
          <w:sz w:val="20"/>
          <w:lang w:val="fr-FR"/>
        </w:rPr>
        <w:t xml:space="preserve"> des informations sur la jurisprudence invoquant le Pacte dans le règlement de litiges.</w:t>
      </w:r>
    </w:p>
    <w:p w:rsidR="00A85732" w:rsidRDefault="00A85732" w:rsidP="008734D3">
      <w:pPr>
        <w:pStyle w:val="HChG"/>
      </w:pPr>
      <w:r w:rsidRPr="004D5125">
        <w:rPr>
          <w:lang w:val="fr-FR"/>
        </w:rPr>
        <w:tab/>
      </w:r>
      <w:r>
        <w:t>II</w:t>
      </w:r>
      <w:r w:rsidRPr="000B30C7">
        <w:t>.</w:t>
      </w:r>
      <w:r w:rsidRPr="000B30C7">
        <w:tab/>
      </w:r>
      <w:r w:rsidRPr="00A85732">
        <w:t>Points se rapportant aux dispositions générales du Pacte (art.</w:t>
      </w:r>
      <w:r w:rsidR="008734D3">
        <w:t> </w:t>
      </w:r>
      <w:r w:rsidRPr="00A85732">
        <w:t>1er à 5)</w:t>
      </w:r>
      <w:r>
        <w:tab/>
      </w:r>
    </w:p>
    <w:p w:rsidR="00A85732" w:rsidRDefault="00A85732" w:rsidP="001335A4">
      <w:pPr>
        <w:spacing w:before="360" w:after="240"/>
        <w:rPr>
          <w:sz w:val="24"/>
          <w:szCs w:val="24"/>
          <w:lang w:val="fr-FR"/>
        </w:rPr>
      </w:pPr>
      <w:r>
        <w:rPr>
          <w:b/>
          <w:bCs/>
          <w:sz w:val="24"/>
          <w:szCs w:val="24"/>
          <w:lang w:val="fr-FR"/>
        </w:rPr>
        <w:t xml:space="preserve">Article 2, paragraphe 1 – </w:t>
      </w:r>
      <w:r w:rsidRPr="009E5674">
        <w:rPr>
          <w:b/>
          <w:bCs/>
          <w:sz w:val="24"/>
          <w:szCs w:val="24"/>
          <w:lang w:val="fr-FR"/>
        </w:rPr>
        <w:t xml:space="preserve">Obligation d’agir au maximum des </w:t>
      </w:r>
      <w:r>
        <w:rPr>
          <w:b/>
          <w:bCs/>
          <w:sz w:val="24"/>
          <w:szCs w:val="24"/>
          <w:lang w:val="fr-FR"/>
        </w:rPr>
        <w:t>ressources disponibles</w:t>
      </w:r>
    </w:p>
    <w:p w:rsidR="00A85732" w:rsidRPr="00A85732" w:rsidRDefault="00A85732" w:rsidP="004A191E">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Décrire les résultats des efforts de </w:t>
      </w:r>
      <w:r w:rsidRPr="00A85732">
        <w:rPr>
          <w:rStyle w:val="FootnoteReference"/>
          <w:sz w:val="20"/>
          <w:vertAlign w:val="baseline"/>
          <w:lang w:val="fr-FR"/>
        </w:rPr>
        <w:t>mobilisation</w:t>
      </w:r>
      <w:r w:rsidRPr="00A85732">
        <w:rPr>
          <w:sz w:val="20"/>
          <w:lang w:val="fr-FR"/>
        </w:rPr>
        <w:t xml:space="preserve"> de ressources internes</w:t>
      </w:r>
      <w:r w:rsidR="00EB6939">
        <w:rPr>
          <w:sz w:val="20"/>
          <w:lang w:val="fr-FR"/>
        </w:rPr>
        <w:t>, y compris les mesures prises pour lutter contre la corruption,</w:t>
      </w:r>
      <w:r w:rsidRPr="00A85732">
        <w:rPr>
          <w:sz w:val="20"/>
          <w:lang w:val="fr-FR"/>
        </w:rPr>
        <w:t xml:space="preserve"> et de </w:t>
      </w:r>
      <w:r w:rsidR="00C10F90">
        <w:rPr>
          <w:sz w:val="20"/>
          <w:lang w:val="fr-FR"/>
        </w:rPr>
        <w:t xml:space="preserve">ceux de </w:t>
      </w:r>
      <w:r w:rsidRPr="00A85732">
        <w:rPr>
          <w:sz w:val="20"/>
          <w:lang w:val="fr-FR"/>
        </w:rPr>
        <w:t>réaffectation des ressources publiques vers les secteurs sociaux.</w:t>
      </w:r>
    </w:p>
    <w:p w:rsidR="00A85732" w:rsidRPr="004A0587" w:rsidRDefault="00A85732" w:rsidP="00A85732">
      <w:pPr>
        <w:spacing w:before="360" w:after="240"/>
        <w:rPr>
          <w:b/>
          <w:bCs/>
          <w:sz w:val="24"/>
          <w:szCs w:val="24"/>
          <w:lang w:val="fr-FR"/>
        </w:rPr>
      </w:pPr>
      <w:r>
        <w:rPr>
          <w:b/>
          <w:bCs/>
          <w:sz w:val="24"/>
          <w:szCs w:val="24"/>
          <w:lang w:val="fr-FR"/>
        </w:rPr>
        <w:t xml:space="preserve">Article 2, paragraphe 2 – Non-discrimination </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Donner des informations </w:t>
      </w:r>
      <w:r w:rsidR="0076371D">
        <w:rPr>
          <w:sz w:val="20"/>
          <w:lang w:val="fr-FR"/>
        </w:rPr>
        <w:t xml:space="preserve">sur l’incidence des mesures adoptées pour lutter contre la discrimination </w:t>
      </w:r>
      <w:r w:rsidR="00A738B7">
        <w:rPr>
          <w:sz w:val="20"/>
          <w:lang w:val="fr-FR"/>
        </w:rPr>
        <w:t xml:space="preserve">à l’égard des personnes handicapées </w:t>
      </w:r>
      <w:r w:rsidRPr="00A85732">
        <w:rPr>
          <w:sz w:val="20"/>
          <w:lang w:val="fr-FR"/>
        </w:rPr>
        <w:t>sur l</w:t>
      </w:r>
      <w:r w:rsidR="00A738B7">
        <w:rPr>
          <w:sz w:val="20"/>
          <w:lang w:val="fr-FR"/>
        </w:rPr>
        <w:t>eur</w:t>
      </w:r>
      <w:r w:rsidRPr="00A85732">
        <w:rPr>
          <w:sz w:val="20"/>
          <w:lang w:val="fr-FR"/>
        </w:rPr>
        <w:t xml:space="preserve"> jouissance des droits économiques et sociaux. </w:t>
      </w:r>
      <w:r w:rsidR="00A738B7">
        <w:rPr>
          <w:sz w:val="20"/>
          <w:lang w:val="fr-FR"/>
        </w:rPr>
        <w:t>En particulier, i</w:t>
      </w:r>
      <w:r w:rsidRPr="00A85732">
        <w:rPr>
          <w:sz w:val="20"/>
          <w:lang w:val="fr-FR"/>
        </w:rPr>
        <w:t xml:space="preserve">ndiquer </w:t>
      </w:r>
      <w:r w:rsidR="00A738B7">
        <w:rPr>
          <w:sz w:val="20"/>
          <w:lang w:val="fr-FR"/>
        </w:rPr>
        <w:t>si</w:t>
      </w:r>
      <w:r w:rsidR="0076371D">
        <w:rPr>
          <w:sz w:val="20"/>
          <w:lang w:val="fr-FR"/>
        </w:rPr>
        <w:t xml:space="preserve"> </w:t>
      </w:r>
      <w:r w:rsidR="00A738B7">
        <w:rPr>
          <w:sz w:val="20"/>
          <w:lang w:val="fr-FR"/>
        </w:rPr>
        <w:t>l</w:t>
      </w:r>
      <w:r w:rsidRPr="00A85732">
        <w:rPr>
          <w:sz w:val="20"/>
          <w:lang w:val="fr-FR"/>
        </w:rPr>
        <w:t xml:space="preserve">es mesures fiscales incitatives adoptées par l’État partie ont </w:t>
      </w:r>
      <w:r w:rsidR="00A738B7">
        <w:rPr>
          <w:sz w:val="20"/>
          <w:lang w:val="fr-FR"/>
        </w:rPr>
        <w:t>favorisé</w:t>
      </w:r>
      <w:r w:rsidRPr="00A85732">
        <w:rPr>
          <w:sz w:val="20"/>
          <w:lang w:val="fr-FR"/>
        </w:rPr>
        <w:t xml:space="preserve"> l’emploi des personnes handicapées.</w:t>
      </w:r>
    </w:p>
    <w:p w:rsidR="00A85732" w:rsidRPr="004A0587" w:rsidRDefault="00A85732" w:rsidP="00A85732">
      <w:pPr>
        <w:spacing w:before="360" w:after="240"/>
        <w:rPr>
          <w:b/>
          <w:bCs/>
          <w:sz w:val="24"/>
          <w:szCs w:val="24"/>
          <w:lang w:val="fr-FR"/>
        </w:rPr>
      </w:pPr>
      <w:r>
        <w:rPr>
          <w:b/>
          <w:bCs/>
          <w:sz w:val="24"/>
          <w:szCs w:val="24"/>
          <w:lang w:val="fr-FR"/>
        </w:rPr>
        <w:t>Article 3 – Égalité de droits des hommes et des femmes</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Indiquer </w:t>
      </w:r>
      <w:r w:rsidR="0076371D">
        <w:rPr>
          <w:sz w:val="20"/>
          <w:lang w:val="fr-FR"/>
        </w:rPr>
        <w:t>les mesures adoptées par l’</w:t>
      </w:r>
      <w:r w:rsidR="008734D3">
        <w:rPr>
          <w:sz w:val="20"/>
          <w:lang w:val="fr-FR"/>
        </w:rPr>
        <w:t>État</w:t>
      </w:r>
      <w:r w:rsidR="0076371D">
        <w:rPr>
          <w:sz w:val="20"/>
          <w:lang w:val="fr-FR"/>
        </w:rPr>
        <w:t xml:space="preserve"> partie pour garantir l’égalité de droit des hommes et des femmes dans la jouissance des droits économiques, sociaux et culturels, y compris par le biais </w:t>
      </w:r>
      <w:r w:rsidR="00D83295">
        <w:rPr>
          <w:sz w:val="20"/>
          <w:lang w:val="fr-FR"/>
        </w:rPr>
        <w:t>d’</w:t>
      </w:r>
      <w:r w:rsidRPr="00A85732">
        <w:rPr>
          <w:sz w:val="20"/>
          <w:lang w:val="fr-FR"/>
        </w:rPr>
        <w:t>un examen d’ensemble de la législation dans le but d’amender les dispositions qui sont discriminatoires ou qui ont des effets discriminatoires envers les hommes ou les femmes.</w:t>
      </w:r>
    </w:p>
    <w:p w:rsidR="00A85732" w:rsidRPr="00A85732" w:rsidRDefault="00A85732" w:rsidP="009D1442">
      <w:pPr>
        <w:pStyle w:val="SingleTxtG"/>
        <w:numPr>
          <w:ilvl w:val="0"/>
          <w:numId w:val="7"/>
        </w:numPr>
        <w:tabs>
          <w:tab w:val="left" w:pos="1080"/>
          <w:tab w:val="left" w:pos="1701"/>
        </w:tabs>
        <w:suppressAutoHyphens w:val="0"/>
        <w:ind w:left="1134"/>
        <w:rPr>
          <w:sz w:val="20"/>
          <w:lang w:val="fr-FR"/>
        </w:rPr>
      </w:pPr>
      <w:r w:rsidRPr="00A85732">
        <w:rPr>
          <w:sz w:val="20"/>
          <w:lang w:val="fr-FR"/>
        </w:rPr>
        <w:t>Fournir des renseignements sur l’incidence de la Stratégie nationale d’intégration de la femme dans le développement sur la jouissance sans discrimination par les femmes des droits économiques, sociaux et culturels. Indiquer dans quelle mesure la lutte menée par l’État partie contre la discrimination directe et indirecte fondée sur le genre a conduit au changement des pratiques anciennes rattachées au droit coutumier et religieux et qui sont discriminatoires envers les femmes et les enfants</w:t>
      </w:r>
      <w:r w:rsidR="00002137">
        <w:rPr>
          <w:sz w:val="20"/>
          <w:lang w:val="fr-FR"/>
        </w:rPr>
        <w:t xml:space="preserve">, ainsi qu’à une meilleure connaissance de leurs droits et des </w:t>
      </w:r>
      <w:r w:rsidR="00002137" w:rsidRPr="004D5125">
        <w:rPr>
          <w:sz w:val="20"/>
          <w:lang w:val="fr-FR"/>
        </w:rPr>
        <w:t xml:space="preserve">voies de recours </w:t>
      </w:r>
      <w:r w:rsidR="00002137">
        <w:rPr>
          <w:sz w:val="20"/>
          <w:lang w:val="fr-FR"/>
        </w:rPr>
        <w:t>à leur disposition</w:t>
      </w:r>
      <w:r w:rsidRPr="00A85732">
        <w:rPr>
          <w:sz w:val="20"/>
          <w:lang w:val="fr-FR"/>
        </w:rPr>
        <w:t>.</w:t>
      </w:r>
    </w:p>
    <w:p w:rsidR="00A85732" w:rsidRDefault="00A738B7" w:rsidP="005B490C">
      <w:pPr>
        <w:pStyle w:val="SingleTxtG"/>
        <w:numPr>
          <w:ilvl w:val="0"/>
          <w:numId w:val="7"/>
        </w:numPr>
        <w:tabs>
          <w:tab w:val="left" w:pos="1080"/>
          <w:tab w:val="left" w:pos="1701"/>
        </w:tabs>
        <w:suppressAutoHyphens w:val="0"/>
        <w:ind w:left="1134"/>
        <w:rPr>
          <w:sz w:val="24"/>
          <w:szCs w:val="24"/>
          <w:lang w:val="fr-FR"/>
        </w:rPr>
      </w:pPr>
      <w:r>
        <w:rPr>
          <w:sz w:val="20"/>
          <w:lang w:val="fr-FR"/>
        </w:rPr>
        <w:t xml:space="preserve">Indiquer les </w:t>
      </w:r>
      <w:r w:rsidR="00A85732" w:rsidRPr="00A85732">
        <w:rPr>
          <w:sz w:val="20"/>
          <w:lang w:val="fr-FR"/>
        </w:rPr>
        <w:t>mesures</w:t>
      </w:r>
      <w:r w:rsidR="006F22BE">
        <w:rPr>
          <w:sz w:val="20"/>
          <w:lang w:val="fr-FR"/>
        </w:rPr>
        <w:t xml:space="preserve"> supplémentaires</w:t>
      </w:r>
      <w:r w:rsidR="00A85732" w:rsidRPr="00A85732">
        <w:rPr>
          <w:sz w:val="20"/>
          <w:lang w:val="fr-FR"/>
        </w:rPr>
        <w:t xml:space="preserve"> </w:t>
      </w:r>
      <w:r>
        <w:rPr>
          <w:sz w:val="20"/>
          <w:lang w:val="fr-FR"/>
        </w:rPr>
        <w:t xml:space="preserve">envisagées par </w:t>
      </w:r>
      <w:r w:rsidR="00A85732" w:rsidRPr="00A85732">
        <w:rPr>
          <w:sz w:val="20"/>
          <w:lang w:val="fr-FR"/>
        </w:rPr>
        <w:t xml:space="preserve">l’État partie afin que les femmes jouissent de manière égale </w:t>
      </w:r>
      <w:r w:rsidR="0086023B">
        <w:rPr>
          <w:sz w:val="20"/>
          <w:lang w:val="fr-FR"/>
        </w:rPr>
        <w:t xml:space="preserve">de </w:t>
      </w:r>
      <w:r w:rsidR="00A85732" w:rsidRPr="00A85732">
        <w:rPr>
          <w:sz w:val="20"/>
          <w:lang w:val="fr-FR"/>
        </w:rPr>
        <w:t>leur droit au travail</w:t>
      </w:r>
      <w:r>
        <w:rPr>
          <w:sz w:val="20"/>
          <w:lang w:val="fr-FR"/>
        </w:rPr>
        <w:t xml:space="preserve"> et </w:t>
      </w:r>
      <w:r w:rsidR="005B490C">
        <w:rPr>
          <w:sz w:val="20"/>
          <w:lang w:val="fr-FR"/>
        </w:rPr>
        <w:t xml:space="preserve">de </w:t>
      </w:r>
      <w:r>
        <w:rPr>
          <w:sz w:val="20"/>
          <w:lang w:val="fr-FR"/>
        </w:rPr>
        <w:t>l’accès aux postes de responsabilité</w:t>
      </w:r>
      <w:r w:rsidR="00A85732" w:rsidRPr="00A85732">
        <w:rPr>
          <w:sz w:val="20"/>
          <w:lang w:val="fr-FR"/>
        </w:rPr>
        <w:t>.</w:t>
      </w:r>
    </w:p>
    <w:p w:rsidR="00A85732" w:rsidRPr="00AA35BD" w:rsidRDefault="00A94E06" w:rsidP="001335A4">
      <w:pPr>
        <w:pStyle w:val="HChG"/>
        <w:rPr>
          <w:sz w:val="24"/>
          <w:szCs w:val="24"/>
          <w:lang w:val="fr-FR"/>
        </w:rPr>
      </w:pPr>
      <w:r>
        <w:tab/>
      </w:r>
      <w:r w:rsidR="00A85732" w:rsidRPr="00A85732">
        <w:t>I</w:t>
      </w:r>
      <w:r w:rsidR="00A85732">
        <w:t>I</w:t>
      </w:r>
      <w:r w:rsidR="00A85732" w:rsidRPr="00A85732">
        <w:t>I.</w:t>
      </w:r>
      <w:r w:rsidR="00A85732" w:rsidRPr="00A85732">
        <w:tab/>
        <w:t xml:space="preserve">Points se rapportant </w:t>
      </w:r>
      <w:r w:rsidR="001335A4">
        <w:t>à des</w:t>
      </w:r>
      <w:r w:rsidR="00A85732" w:rsidRPr="00A85732">
        <w:t xml:space="preserve"> dispositions </w:t>
      </w:r>
      <w:r w:rsidR="00A85732">
        <w:t>spécifiques</w:t>
      </w:r>
      <w:r w:rsidR="00A85732" w:rsidRPr="00A85732">
        <w:t xml:space="preserve"> du Pacte (art.</w:t>
      </w:r>
      <w:r w:rsidR="008734D3">
        <w:t> </w:t>
      </w:r>
      <w:r w:rsidR="00A85732">
        <w:t>6 à 15</w:t>
      </w:r>
      <w:r w:rsidR="00A85732" w:rsidRPr="00A85732">
        <w:t>)</w:t>
      </w:r>
    </w:p>
    <w:p w:rsidR="00A85732" w:rsidRPr="004A0587" w:rsidRDefault="00A85732" w:rsidP="00A85732">
      <w:pPr>
        <w:spacing w:before="360" w:after="240"/>
        <w:rPr>
          <w:b/>
          <w:bCs/>
          <w:sz w:val="24"/>
          <w:szCs w:val="24"/>
          <w:lang w:val="fr-FR"/>
        </w:rPr>
      </w:pPr>
      <w:r>
        <w:rPr>
          <w:b/>
          <w:bCs/>
          <w:sz w:val="24"/>
          <w:szCs w:val="24"/>
          <w:lang w:val="fr-FR"/>
        </w:rPr>
        <w:t>Article 6 – Droit au travail</w:t>
      </w:r>
    </w:p>
    <w:p w:rsidR="00A85732" w:rsidRPr="00A85732" w:rsidRDefault="00A85732" w:rsidP="00493AD9">
      <w:pPr>
        <w:pStyle w:val="SingleTxtG"/>
        <w:numPr>
          <w:ilvl w:val="0"/>
          <w:numId w:val="7"/>
        </w:numPr>
        <w:tabs>
          <w:tab w:val="left" w:pos="1080"/>
          <w:tab w:val="left" w:pos="1701"/>
        </w:tabs>
        <w:suppressAutoHyphens w:val="0"/>
        <w:ind w:left="1134"/>
        <w:rPr>
          <w:sz w:val="20"/>
          <w:lang w:val="fr-FR"/>
        </w:rPr>
      </w:pPr>
      <w:r w:rsidRPr="00A85732">
        <w:rPr>
          <w:sz w:val="20"/>
          <w:lang w:val="fr-FR"/>
        </w:rPr>
        <w:t>Donner des informations actualisées sur le</w:t>
      </w:r>
      <w:r w:rsidR="005B490C">
        <w:rPr>
          <w:sz w:val="20"/>
          <w:lang w:val="fr-FR"/>
        </w:rPr>
        <w:t>s</w:t>
      </w:r>
      <w:r w:rsidRPr="00A85732">
        <w:rPr>
          <w:sz w:val="20"/>
          <w:lang w:val="fr-FR"/>
        </w:rPr>
        <w:t xml:space="preserve"> taux de chômage et de sous-emploi, y compris parmi les femmes et les jeunes. Fournir également des renseignements sur l’incidence des mesures prises, notamment par l’Agence national</w:t>
      </w:r>
      <w:r w:rsidR="005B490C">
        <w:rPr>
          <w:sz w:val="20"/>
          <w:lang w:val="fr-FR"/>
        </w:rPr>
        <w:t>e</w:t>
      </w:r>
      <w:r w:rsidRPr="00A85732">
        <w:rPr>
          <w:sz w:val="20"/>
          <w:lang w:val="fr-FR"/>
        </w:rPr>
        <w:t xml:space="preserve"> </w:t>
      </w:r>
      <w:r w:rsidR="005B490C">
        <w:rPr>
          <w:sz w:val="20"/>
          <w:lang w:val="fr-FR"/>
        </w:rPr>
        <w:t xml:space="preserve">de </w:t>
      </w:r>
      <w:r w:rsidRPr="00A85732">
        <w:rPr>
          <w:sz w:val="20"/>
          <w:lang w:val="fr-FR"/>
        </w:rPr>
        <w:t>l’emploi</w:t>
      </w:r>
      <w:r w:rsidR="005B490C">
        <w:rPr>
          <w:sz w:val="20"/>
          <w:lang w:val="fr-FR"/>
        </w:rPr>
        <w:t>,</w:t>
      </w:r>
      <w:r w:rsidRPr="00A85732">
        <w:rPr>
          <w:sz w:val="20"/>
          <w:lang w:val="fr-FR"/>
        </w:rPr>
        <w:t xml:space="preserve"> </w:t>
      </w:r>
      <w:r w:rsidR="005B490C">
        <w:rPr>
          <w:sz w:val="20"/>
          <w:lang w:val="fr-FR"/>
        </w:rPr>
        <w:t xml:space="preserve">de </w:t>
      </w:r>
      <w:r w:rsidRPr="00A85732">
        <w:rPr>
          <w:sz w:val="20"/>
          <w:lang w:val="fr-FR"/>
        </w:rPr>
        <w:t xml:space="preserve">la formation </w:t>
      </w:r>
      <w:r w:rsidR="005B490C">
        <w:rPr>
          <w:sz w:val="20"/>
          <w:lang w:val="fr-FR"/>
        </w:rPr>
        <w:t xml:space="preserve">et de l’insertion </w:t>
      </w:r>
      <w:r w:rsidRPr="00A85732">
        <w:rPr>
          <w:sz w:val="20"/>
          <w:lang w:val="fr-FR"/>
        </w:rPr>
        <w:t xml:space="preserve">professionnelle, </w:t>
      </w:r>
      <w:r w:rsidR="005B490C">
        <w:rPr>
          <w:sz w:val="20"/>
          <w:lang w:val="fr-FR"/>
        </w:rPr>
        <w:t xml:space="preserve">pour </w:t>
      </w:r>
      <w:r w:rsidRPr="00A85732">
        <w:rPr>
          <w:sz w:val="20"/>
          <w:lang w:val="fr-FR"/>
        </w:rPr>
        <w:t>la réinsertion professionnelle des femmes et des jeunes et la promotion de l’employabilité des chômeurs.</w:t>
      </w:r>
      <w:r w:rsidR="008734D3">
        <w:rPr>
          <w:sz w:val="20"/>
          <w:lang w:val="fr-FR"/>
        </w:rPr>
        <w:t xml:space="preserve"> </w:t>
      </w:r>
      <w:r w:rsidR="007B5DC3">
        <w:rPr>
          <w:sz w:val="20"/>
          <w:lang w:val="fr-FR"/>
        </w:rPr>
        <w:t>Fournir des renseignements sur</w:t>
      </w:r>
      <w:r w:rsidR="00D85C5F">
        <w:rPr>
          <w:sz w:val="20"/>
          <w:lang w:val="fr-FR"/>
        </w:rPr>
        <w:t xml:space="preserve"> les mesures prises afin de fournir aux jeunes des formations répondant aux besoins du marché, dans la mesure où le chômage </w:t>
      </w:r>
      <w:r w:rsidR="00D85C5F" w:rsidRPr="004D5125">
        <w:rPr>
          <w:sz w:val="20"/>
          <w:lang w:val="fr-FR"/>
        </w:rPr>
        <w:t>touch</w:t>
      </w:r>
      <w:r w:rsidR="00D85C5F">
        <w:rPr>
          <w:sz w:val="20"/>
          <w:lang w:val="fr-FR"/>
        </w:rPr>
        <w:t>e</w:t>
      </w:r>
      <w:r w:rsidR="00D85C5F" w:rsidRPr="004D5125">
        <w:rPr>
          <w:sz w:val="20"/>
          <w:lang w:val="fr-FR"/>
        </w:rPr>
        <w:t xml:space="preserve"> </w:t>
      </w:r>
      <w:r w:rsidR="00D85C5F">
        <w:rPr>
          <w:sz w:val="20"/>
          <w:lang w:val="fr-FR"/>
        </w:rPr>
        <w:t>également les personnes diplômées.</w:t>
      </w:r>
    </w:p>
    <w:p w:rsidR="00A85732" w:rsidRPr="00A85732" w:rsidRDefault="00A85732" w:rsidP="00493AD9">
      <w:pPr>
        <w:pStyle w:val="SingleTxtG"/>
        <w:numPr>
          <w:ilvl w:val="0"/>
          <w:numId w:val="7"/>
        </w:numPr>
        <w:tabs>
          <w:tab w:val="left" w:pos="1080"/>
          <w:tab w:val="left" w:pos="1701"/>
        </w:tabs>
        <w:suppressAutoHyphens w:val="0"/>
        <w:ind w:left="1134"/>
        <w:rPr>
          <w:sz w:val="20"/>
          <w:lang w:val="fr-FR"/>
        </w:rPr>
      </w:pPr>
      <w:r w:rsidRPr="00A85732">
        <w:rPr>
          <w:sz w:val="20"/>
          <w:lang w:val="fr-FR"/>
        </w:rPr>
        <w:t>Fournir de</w:t>
      </w:r>
      <w:r w:rsidR="00504201">
        <w:rPr>
          <w:sz w:val="20"/>
          <w:lang w:val="fr-FR"/>
        </w:rPr>
        <w:t>s</w:t>
      </w:r>
      <w:r w:rsidRPr="00A85732">
        <w:rPr>
          <w:sz w:val="20"/>
          <w:lang w:val="fr-FR"/>
        </w:rPr>
        <w:t xml:space="preserve"> renseignements sur l’impact de la mise en œuvre de la </w:t>
      </w:r>
      <w:r w:rsidR="00493AD9">
        <w:rPr>
          <w:rFonts w:cs="Times New Roman"/>
          <w:sz w:val="20"/>
          <w:lang w:val="fr-FR"/>
        </w:rPr>
        <w:t>«</w:t>
      </w:r>
      <w:r w:rsidR="00592308">
        <w:rPr>
          <w:sz w:val="20"/>
          <w:lang w:val="fr-FR"/>
        </w:rPr>
        <w:t>s</w:t>
      </w:r>
      <w:r w:rsidRPr="00A85732">
        <w:rPr>
          <w:sz w:val="20"/>
          <w:lang w:val="fr-FR"/>
        </w:rPr>
        <w:t>tratégie d’encadrement et de mutation progressive du secteur informel</w:t>
      </w:r>
      <w:r w:rsidR="00493AD9">
        <w:rPr>
          <w:rFonts w:cs="Times New Roman"/>
          <w:sz w:val="20"/>
          <w:lang w:val="fr-FR"/>
        </w:rPr>
        <w:t>»</w:t>
      </w:r>
      <w:r w:rsidRPr="00A85732">
        <w:rPr>
          <w:sz w:val="20"/>
          <w:lang w:val="fr-FR"/>
        </w:rPr>
        <w:t xml:space="preserve"> sur la régularisation de la situation des travailleurs dans ce secteur, et en particulier </w:t>
      </w:r>
      <w:r w:rsidR="00493AD9">
        <w:rPr>
          <w:sz w:val="20"/>
          <w:lang w:val="fr-FR"/>
        </w:rPr>
        <w:t>d</w:t>
      </w:r>
      <w:r w:rsidRPr="00A85732">
        <w:rPr>
          <w:sz w:val="20"/>
          <w:lang w:val="fr-FR"/>
        </w:rPr>
        <w:t>es femmes.</w:t>
      </w:r>
    </w:p>
    <w:p w:rsidR="00A85732" w:rsidRPr="004A0587" w:rsidRDefault="00A85732" w:rsidP="00A85732">
      <w:pPr>
        <w:spacing w:before="360" w:after="240"/>
        <w:rPr>
          <w:b/>
          <w:bCs/>
          <w:sz w:val="24"/>
          <w:szCs w:val="24"/>
          <w:lang w:val="fr-FR"/>
        </w:rPr>
      </w:pPr>
      <w:r>
        <w:rPr>
          <w:b/>
          <w:bCs/>
          <w:sz w:val="24"/>
          <w:szCs w:val="24"/>
          <w:lang w:val="fr-FR"/>
        </w:rPr>
        <w:t>Article 7 – Droit à des conditions de travail justes et favorables</w:t>
      </w:r>
    </w:p>
    <w:p w:rsidR="00A85732" w:rsidRPr="00A85732" w:rsidRDefault="00C10550" w:rsidP="00A85732">
      <w:pPr>
        <w:pStyle w:val="SingleTxtG"/>
        <w:numPr>
          <w:ilvl w:val="0"/>
          <w:numId w:val="7"/>
        </w:numPr>
        <w:tabs>
          <w:tab w:val="left" w:pos="1080"/>
          <w:tab w:val="left" w:pos="1701"/>
        </w:tabs>
        <w:suppressAutoHyphens w:val="0"/>
        <w:ind w:left="1134"/>
        <w:rPr>
          <w:sz w:val="20"/>
          <w:lang w:val="fr-FR"/>
        </w:rPr>
      </w:pPr>
      <w:r>
        <w:rPr>
          <w:sz w:val="20"/>
          <w:lang w:val="fr-FR"/>
        </w:rPr>
        <w:t>E</w:t>
      </w:r>
      <w:r w:rsidR="006F22BE">
        <w:rPr>
          <w:sz w:val="20"/>
          <w:lang w:val="fr-FR"/>
        </w:rPr>
        <w:t xml:space="preserve">st-ce que l’État partie entend établir un salaire minimum </w:t>
      </w:r>
      <w:r w:rsidR="00A85732" w:rsidRPr="00A85732">
        <w:rPr>
          <w:sz w:val="20"/>
          <w:lang w:val="fr-FR"/>
        </w:rPr>
        <w:t>qui permettrait au salarié et à sa famille une vie décente.</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Indiquer si l’État partie entend réglementer l’exercice des professions énumérées au paragraphe 64 du rapport de l’État partie afin de protéger le droit des travailleurs à des conditions justes et favorables.</w:t>
      </w:r>
    </w:p>
    <w:p w:rsidR="00A85732" w:rsidRPr="00A85732" w:rsidRDefault="00A85732" w:rsidP="0033129A">
      <w:pPr>
        <w:pStyle w:val="SingleTxtG"/>
        <w:numPr>
          <w:ilvl w:val="0"/>
          <w:numId w:val="7"/>
        </w:numPr>
        <w:tabs>
          <w:tab w:val="left" w:pos="1080"/>
          <w:tab w:val="left" w:pos="1701"/>
        </w:tabs>
        <w:suppressAutoHyphens w:val="0"/>
        <w:ind w:left="1134"/>
        <w:rPr>
          <w:sz w:val="20"/>
          <w:lang w:val="fr-FR"/>
        </w:rPr>
      </w:pPr>
      <w:r w:rsidRPr="00A85732">
        <w:rPr>
          <w:sz w:val="20"/>
          <w:lang w:val="fr-FR"/>
        </w:rPr>
        <w:t>Indiquer si l’État partie dispose d’un système d’inspection du travail</w:t>
      </w:r>
      <w:r w:rsidR="009F3D03">
        <w:rPr>
          <w:sz w:val="20"/>
          <w:lang w:val="fr-FR"/>
        </w:rPr>
        <w:t xml:space="preserve"> pour surveiller</w:t>
      </w:r>
      <w:r w:rsidR="002D32F4">
        <w:rPr>
          <w:sz w:val="20"/>
          <w:lang w:val="fr-FR"/>
        </w:rPr>
        <w:t xml:space="preserve"> </w:t>
      </w:r>
      <w:r w:rsidR="00137C70">
        <w:rPr>
          <w:sz w:val="20"/>
          <w:lang w:val="fr-FR"/>
        </w:rPr>
        <w:t xml:space="preserve">le </w:t>
      </w:r>
      <w:r w:rsidR="002D32F4">
        <w:rPr>
          <w:sz w:val="20"/>
          <w:lang w:val="fr-FR"/>
        </w:rPr>
        <w:t xml:space="preserve">respect des obligations </w:t>
      </w:r>
      <w:r w:rsidR="0079172C">
        <w:rPr>
          <w:sz w:val="20"/>
          <w:lang w:val="fr-FR"/>
        </w:rPr>
        <w:t xml:space="preserve">qui lui incombent en application de </w:t>
      </w:r>
      <w:r w:rsidR="002D32F4">
        <w:rPr>
          <w:sz w:val="20"/>
          <w:lang w:val="fr-FR"/>
        </w:rPr>
        <w:t>l’article</w:t>
      </w:r>
      <w:r w:rsidR="0079172C">
        <w:rPr>
          <w:sz w:val="20"/>
          <w:lang w:val="fr-FR"/>
        </w:rPr>
        <w:t> </w:t>
      </w:r>
      <w:r w:rsidR="002D32F4">
        <w:rPr>
          <w:sz w:val="20"/>
          <w:lang w:val="fr-FR"/>
        </w:rPr>
        <w:t>7</w:t>
      </w:r>
      <w:r w:rsidRPr="00A85732">
        <w:rPr>
          <w:sz w:val="20"/>
          <w:lang w:val="fr-FR"/>
        </w:rPr>
        <w:t xml:space="preserve">. Fournir des renseignements sur les recours disponibles </w:t>
      </w:r>
      <w:r w:rsidR="002D32F4">
        <w:rPr>
          <w:sz w:val="20"/>
          <w:lang w:val="fr-FR"/>
        </w:rPr>
        <w:t>en cas de</w:t>
      </w:r>
      <w:r w:rsidRPr="00A85732">
        <w:rPr>
          <w:sz w:val="20"/>
          <w:lang w:val="fr-FR"/>
        </w:rPr>
        <w:t xml:space="preserve"> </w:t>
      </w:r>
      <w:r w:rsidR="002D32F4">
        <w:rPr>
          <w:sz w:val="20"/>
          <w:lang w:val="fr-FR"/>
        </w:rPr>
        <w:t xml:space="preserve">violations du droit à des </w:t>
      </w:r>
      <w:r w:rsidRPr="00A85732">
        <w:rPr>
          <w:sz w:val="20"/>
          <w:lang w:val="fr-FR"/>
        </w:rPr>
        <w:t>conditions de travail</w:t>
      </w:r>
      <w:r w:rsidR="002D32F4">
        <w:rPr>
          <w:sz w:val="20"/>
          <w:lang w:val="fr-FR"/>
        </w:rPr>
        <w:t xml:space="preserve"> justes et favorables</w:t>
      </w:r>
      <w:r w:rsidRPr="00A85732">
        <w:rPr>
          <w:sz w:val="20"/>
          <w:lang w:val="fr-FR"/>
        </w:rPr>
        <w:t>. Préciser également si ces recours sont accessibles aux travailleurs migrants en situation irrégulière</w:t>
      </w:r>
      <w:r w:rsidR="00137C70">
        <w:rPr>
          <w:sz w:val="20"/>
          <w:lang w:val="fr-FR"/>
        </w:rPr>
        <w:t xml:space="preserve">, tel que mentionné au paragraphe </w:t>
      </w:r>
      <w:r w:rsidR="0033129A">
        <w:rPr>
          <w:sz w:val="20"/>
          <w:lang w:val="fr-FR"/>
        </w:rPr>
        <w:t>6</w:t>
      </w:r>
      <w:r w:rsidR="00137C70">
        <w:rPr>
          <w:sz w:val="20"/>
          <w:lang w:val="fr-FR"/>
        </w:rPr>
        <w:t>5 du rapport de l’État partie</w:t>
      </w:r>
      <w:r w:rsidRPr="00A85732">
        <w:rPr>
          <w:sz w:val="20"/>
          <w:lang w:val="fr-FR"/>
        </w:rPr>
        <w:t>.</w:t>
      </w:r>
    </w:p>
    <w:p w:rsidR="00A85732" w:rsidRPr="004D5125" w:rsidRDefault="00A85732" w:rsidP="00A85732">
      <w:pPr>
        <w:spacing w:before="360" w:after="240"/>
        <w:rPr>
          <w:b/>
          <w:bCs/>
          <w:sz w:val="24"/>
          <w:szCs w:val="24"/>
          <w:lang w:val="en-US"/>
        </w:rPr>
      </w:pPr>
      <w:r>
        <w:rPr>
          <w:b/>
          <w:bCs/>
          <w:sz w:val="24"/>
          <w:szCs w:val="24"/>
          <w:lang w:val="fr-FR"/>
        </w:rPr>
        <w:t>Article 8 – Droits syndicaux</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Fournir des renseignements sur les mesures prises pour protéger les employés contre des représailles suite à leur engagement dans l’activité syndicale.</w:t>
      </w:r>
    </w:p>
    <w:p w:rsidR="00A85732" w:rsidRDefault="00A85732" w:rsidP="00A85732">
      <w:pPr>
        <w:spacing w:before="360" w:after="240"/>
        <w:rPr>
          <w:b/>
          <w:bCs/>
          <w:sz w:val="24"/>
          <w:szCs w:val="24"/>
          <w:lang w:val="fr-FR"/>
        </w:rPr>
      </w:pPr>
      <w:r>
        <w:rPr>
          <w:b/>
          <w:bCs/>
          <w:sz w:val="24"/>
          <w:szCs w:val="24"/>
          <w:lang w:val="fr-FR"/>
        </w:rPr>
        <w:t>Article 9 – Droit à la sécurité sociale</w:t>
      </w:r>
    </w:p>
    <w:p w:rsidR="00A85732" w:rsidRPr="00A85732" w:rsidRDefault="00A85732" w:rsidP="00D14223">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Donner davantage de renseignements sur la mise en place de </w:t>
      </w:r>
      <w:r w:rsidR="00D14223">
        <w:rPr>
          <w:sz w:val="20"/>
          <w:lang w:val="fr-FR"/>
        </w:rPr>
        <w:t xml:space="preserve">la </w:t>
      </w:r>
      <w:r w:rsidRPr="00A85732">
        <w:rPr>
          <w:sz w:val="20"/>
          <w:lang w:val="fr-FR"/>
        </w:rPr>
        <w:t>microassurance communautaire mentionnée au paragraphe</w:t>
      </w:r>
      <w:r w:rsidR="004D6448">
        <w:rPr>
          <w:sz w:val="20"/>
          <w:lang w:val="fr-FR"/>
        </w:rPr>
        <w:t> </w:t>
      </w:r>
      <w:r w:rsidRPr="00A85732">
        <w:rPr>
          <w:sz w:val="20"/>
          <w:lang w:val="fr-FR"/>
        </w:rPr>
        <w:t xml:space="preserve">208 du </w:t>
      </w:r>
      <w:r w:rsidR="00D14223">
        <w:rPr>
          <w:sz w:val="20"/>
          <w:lang w:val="fr-FR"/>
        </w:rPr>
        <w:t>d</w:t>
      </w:r>
      <w:r w:rsidRPr="00A85732">
        <w:rPr>
          <w:sz w:val="20"/>
          <w:lang w:val="fr-FR"/>
        </w:rPr>
        <w:t>ocument de base, notamment les prestations proposées ainsi que le nombre de personnes couvertes ou visées par ce régime de microassurance.</w:t>
      </w:r>
      <w:r w:rsidR="009C6CE4">
        <w:rPr>
          <w:sz w:val="20"/>
          <w:lang w:val="fr-FR"/>
        </w:rPr>
        <w:t xml:space="preserve"> </w:t>
      </w:r>
      <w:r w:rsidR="00A738B7">
        <w:rPr>
          <w:sz w:val="20"/>
          <w:lang w:val="fr-FR"/>
        </w:rPr>
        <w:t xml:space="preserve">Préciser de quelle </w:t>
      </w:r>
      <w:r w:rsidR="009C6CE4">
        <w:rPr>
          <w:sz w:val="20"/>
          <w:lang w:val="fr-FR"/>
        </w:rPr>
        <w:t xml:space="preserve">manière </w:t>
      </w:r>
      <w:r w:rsidR="00D14223">
        <w:rPr>
          <w:sz w:val="20"/>
          <w:lang w:val="fr-FR"/>
        </w:rPr>
        <w:t xml:space="preserve">ce régime </w:t>
      </w:r>
      <w:r w:rsidR="00A738B7">
        <w:rPr>
          <w:sz w:val="20"/>
          <w:lang w:val="fr-FR"/>
        </w:rPr>
        <w:t xml:space="preserve">est </w:t>
      </w:r>
      <w:r w:rsidR="009C6CE4">
        <w:rPr>
          <w:sz w:val="20"/>
          <w:lang w:val="fr-FR"/>
        </w:rPr>
        <w:t>lié au système de sécurité sociale</w:t>
      </w:r>
      <w:r w:rsidR="00A738B7">
        <w:rPr>
          <w:sz w:val="20"/>
          <w:lang w:val="fr-FR"/>
        </w:rPr>
        <w:t xml:space="preserve"> de l’État partie</w:t>
      </w:r>
      <w:r w:rsidR="009C6CE4">
        <w:rPr>
          <w:sz w:val="20"/>
          <w:lang w:val="fr-FR"/>
        </w:rPr>
        <w:t xml:space="preserve"> dans son ensemble.</w:t>
      </w:r>
    </w:p>
    <w:p w:rsidR="00A85732" w:rsidRDefault="00A85732" w:rsidP="00A85732">
      <w:pPr>
        <w:spacing w:before="360" w:after="240"/>
        <w:rPr>
          <w:b/>
          <w:bCs/>
          <w:sz w:val="24"/>
          <w:szCs w:val="24"/>
          <w:lang w:val="fr-FR"/>
        </w:rPr>
      </w:pPr>
      <w:r>
        <w:rPr>
          <w:b/>
          <w:bCs/>
          <w:sz w:val="24"/>
          <w:szCs w:val="24"/>
          <w:lang w:val="fr-FR"/>
        </w:rPr>
        <w:t>Article 10 – Protection de la famille, de la mère et de l’enfant</w:t>
      </w:r>
    </w:p>
    <w:p w:rsidR="00A85732" w:rsidRPr="00A85732" w:rsidRDefault="009C6CE4" w:rsidP="00A85732">
      <w:pPr>
        <w:pStyle w:val="SingleTxtG"/>
        <w:numPr>
          <w:ilvl w:val="0"/>
          <w:numId w:val="7"/>
        </w:numPr>
        <w:tabs>
          <w:tab w:val="left" w:pos="1080"/>
          <w:tab w:val="left" w:pos="1701"/>
        </w:tabs>
        <w:suppressAutoHyphens w:val="0"/>
        <w:ind w:left="1134"/>
        <w:rPr>
          <w:sz w:val="20"/>
          <w:lang w:val="fr-FR"/>
        </w:rPr>
      </w:pPr>
      <w:r>
        <w:rPr>
          <w:sz w:val="20"/>
          <w:lang w:val="fr-FR"/>
        </w:rPr>
        <w:t>Fournir des informations, y compris des statistiques, sur</w:t>
      </w:r>
      <w:r w:rsidR="00A85732" w:rsidRPr="00A85732">
        <w:rPr>
          <w:sz w:val="20"/>
          <w:lang w:val="fr-FR"/>
        </w:rPr>
        <w:t xml:space="preserve"> </w:t>
      </w:r>
      <w:r w:rsidRPr="00A85732">
        <w:rPr>
          <w:sz w:val="20"/>
          <w:lang w:val="fr-FR"/>
        </w:rPr>
        <w:t>l’i</w:t>
      </w:r>
      <w:r>
        <w:rPr>
          <w:sz w:val="20"/>
          <w:lang w:val="fr-FR"/>
        </w:rPr>
        <w:t>ncidence</w:t>
      </w:r>
      <w:r w:rsidRPr="00A85732">
        <w:rPr>
          <w:sz w:val="20"/>
          <w:lang w:val="fr-FR"/>
        </w:rPr>
        <w:t xml:space="preserve"> </w:t>
      </w:r>
      <w:r w:rsidR="00A85732" w:rsidRPr="00A85732">
        <w:rPr>
          <w:sz w:val="20"/>
          <w:lang w:val="fr-FR"/>
        </w:rPr>
        <w:t xml:space="preserve">des mesures prises pour </w:t>
      </w:r>
      <w:r>
        <w:rPr>
          <w:sz w:val="20"/>
          <w:lang w:val="fr-FR"/>
        </w:rPr>
        <w:t>lutte</w:t>
      </w:r>
      <w:r w:rsidR="00A738B7">
        <w:rPr>
          <w:sz w:val="20"/>
          <w:lang w:val="fr-FR"/>
        </w:rPr>
        <w:t>r contre le travail des enfants</w:t>
      </w:r>
      <w:r>
        <w:rPr>
          <w:sz w:val="20"/>
          <w:lang w:val="fr-FR"/>
        </w:rPr>
        <w:t xml:space="preserve"> et </w:t>
      </w:r>
      <w:r w:rsidR="00A738B7">
        <w:rPr>
          <w:sz w:val="20"/>
          <w:lang w:val="fr-FR"/>
        </w:rPr>
        <w:t xml:space="preserve">pour les </w:t>
      </w:r>
      <w:r w:rsidR="00A85732" w:rsidRPr="00A85732">
        <w:rPr>
          <w:sz w:val="20"/>
          <w:lang w:val="fr-FR"/>
        </w:rPr>
        <w:t xml:space="preserve">protéger contre le travail dans des conditions dangereuses et </w:t>
      </w:r>
      <w:r w:rsidR="005A7492">
        <w:rPr>
          <w:sz w:val="20"/>
          <w:lang w:val="fr-FR"/>
        </w:rPr>
        <w:t xml:space="preserve">contre </w:t>
      </w:r>
      <w:r w:rsidR="00A85732" w:rsidRPr="00A85732">
        <w:rPr>
          <w:sz w:val="20"/>
          <w:lang w:val="fr-FR"/>
        </w:rPr>
        <w:t>l’exposition à différentes formes d’exploitation.</w:t>
      </w:r>
    </w:p>
    <w:p w:rsidR="00A85732" w:rsidRDefault="00A85732" w:rsidP="00A74C31">
      <w:pPr>
        <w:pStyle w:val="SingleTxtG"/>
        <w:numPr>
          <w:ilvl w:val="0"/>
          <w:numId w:val="7"/>
        </w:numPr>
        <w:tabs>
          <w:tab w:val="left" w:pos="1080"/>
          <w:tab w:val="left" w:pos="1701"/>
        </w:tabs>
        <w:suppressAutoHyphens w:val="0"/>
        <w:ind w:left="1134"/>
        <w:rPr>
          <w:sz w:val="20"/>
          <w:lang w:val="fr-FR"/>
        </w:rPr>
      </w:pPr>
      <w:r w:rsidRPr="00A85732">
        <w:rPr>
          <w:sz w:val="20"/>
          <w:lang w:val="fr-FR"/>
        </w:rPr>
        <w:t>Fournir des informations sur la jouissance des droits économiques et sociaux par les personnes âgées, y compris le pourcentage de personnes âgées qui perçoivent une rente de vieillesse, l’accessibilité des services sociaux leur permettant de rester dans leur cadre de vie habituel le plus longtemps possible et l’accessibilité des soins gériatriques.</w:t>
      </w:r>
      <w:r w:rsidR="0093422E">
        <w:rPr>
          <w:sz w:val="20"/>
          <w:lang w:val="fr-FR"/>
        </w:rPr>
        <w:t xml:space="preserve"> </w:t>
      </w:r>
      <w:r w:rsidRPr="00A85732">
        <w:rPr>
          <w:sz w:val="20"/>
          <w:lang w:val="fr-FR"/>
        </w:rPr>
        <w:t>Décrire les mesures prises pour</w:t>
      </w:r>
      <w:r w:rsidR="008734D3">
        <w:rPr>
          <w:sz w:val="20"/>
          <w:lang w:val="fr-FR"/>
        </w:rPr>
        <w:t xml:space="preserve"> </w:t>
      </w:r>
      <w:r w:rsidRPr="00A85732">
        <w:rPr>
          <w:sz w:val="20"/>
          <w:lang w:val="fr-FR"/>
        </w:rPr>
        <w:t>protéger les personnes âgées contre l’abandon, la négligence et la maltraitance.</w:t>
      </w:r>
    </w:p>
    <w:p w:rsidR="0093422E" w:rsidRPr="00A85732" w:rsidRDefault="0093422E" w:rsidP="00A74C31">
      <w:pPr>
        <w:pStyle w:val="SingleTxtG"/>
        <w:numPr>
          <w:ilvl w:val="0"/>
          <w:numId w:val="7"/>
        </w:numPr>
        <w:tabs>
          <w:tab w:val="left" w:pos="1080"/>
          <w:tab w:val="left" w:pos="1701"/>
        </w:tabs>
        <w:suppressAutoHyphens w:val="0"/>
        <w:ind w:left="1134"/>
        <w:rPr>
          <w:sz w:val="20"/>
          <w:lang w:val="fr-FR"/>
        </w:rPr>
      </w:pPr>
      <w:r>
        <w:rPr>
          <w:sz w:val="20"/>
          <w:lang w:val="fr-FR"/>
        </w:rPr>
        <w:t>Fournir des re</w:t>
      </w:r>
      <w:r w:rsidR="009C6CE4">
        <w:rPr>
          <w:sz w:val="20"/>
          <w:lang w:val="fr-FR"/>
        </w:rPr>
        <w:t>n</w:t>
      </w:r>
      <w:r>
        <w:rPr>
          <w:sz w:val="20"/>
          <w:lang w:val="fr-FR"/>
        </w:rPr>
        <w:t xml:space="preserve">seignements sur les mesures prises afin de </w:t>
      </w:r>
      <w:r w:rsidRPr="004D5125">
        <w:rPr>
          <w:sz w:val="20"/>
          <w:lang w:val="fr-FR"/>
        </w:rPr>
        <w:t>faire appliquer</w:t>
      </w:r>
      <w:r>
        <w:rPr>
          <w:sz w:val="20"/>
          <w:lang w:val="fr-FR"/>
        </w:rPr>
        <w:t xml:space="preserve"> de manière effective</w:t>
      </w:r>
      <w:r w:rsidRPr="004D5125">
        <w:rPr>
          <w:sz w:val="20"/>
          <w:lang w:val="fr-FR"/>
        </w:rPr>
        <w:t xml:space="preserve"> l</w:t>
      </w:r>
      <w:r>
        <w:rPr>
          <w:sz w:val="20"/>
          <w:lang w:val="fr-FR"/>
        </w:rPr>
        <w:t>es dispositions de l’article 333 du Code pénal qui puni</w:t>
      </w:r>
      <w:r w:rsidR="00D85C5F">
        <w:rPr>
          <w:sz w:val="20"/>
          <w:lang w:val="fr-FR"/>
        </w:rPr>
        <w:t>ssen</w:t>
      </w:r>
      <w:r>
        <w:rPr>
          <w:sz w:val="20"/>
          <w:lang w:val="fr-FR"/>
        </w:rPr>
        <w:t xml:space="preserve">t les violences </w:t>
      </w:r>
      <w:r w:rsidRPr="004D5125">
        <w:rPr>
          <w:sz w:val="20"/>
          <w:lang w:val="fr-FR"/>
        </w:rPr>
        <w:t>ayant entra</w:t>
      </w:r>
      <w:r>
        <w:rPr>
          <w:sz w:val="20"/>
          <w:lang w:val="fr-FR"/>
        </w:rPr>
        <w:t>îné une mutilation génitale</w:t>
      </w:r>
      <w:r w:rsidR="00D85C5F">
        <w:rPr>
          <w:sz w:val="20"/>
          <w:lang w:val="fr-FR"/>
        </w:rPr>
        <w:t xml:space="preserve"> et </w:t>
      </w:r>
      <w:r>
        <w:rPr>
          <w:sz w:val="20"/>
          <w:lang w:val="fr-FR"/>
        </w:rPr>
        <w:t xml:space="preserve">de renforcer l’implication des </w:t>
      </w:r>
      <w:r w:rsidRPr="004D5125">
        <w:rPr>
          <w:sz w:val="20"/>
          <w:lang w:val="fr-FR"/>
        </w:rPr>
        <w:t>chefs traditionnels et religieux dans l</w:t>
      </w:r>
      <w:r>
        <w:rPr>
          <w:sz w:val="20"/>
          <w:lang w:val="fr-FR"/>
        </w:rPr>
        <w:t xml:space="preserve">es efforts </w:t>
      </w:r>
      <w:r w:rsidRPr="004D5125">
        <w:rPr>
          <w:sz w:val="20"/>
          <w:lang w:val="fr-FR"/>
        </w:rPr>
        <w:t xml:space="preserve">visant </w:t>
      </w:r>
      <w:r>
        <w:rPr>
          <w:sz w:val="20"/>
          <w:lang w:val="fr-FR"/>
        </w:rPr>
        <w:t>à mettre fin aux mutilations g</w:t>
      </w:r>
      <w:r w:rsidR="00D85C5F">
        <w:rPr>
          <w:sz w:val="20"/>
          <w:lang w:val="fr-FR"/>
        </w:rPr>
        <w:t>énitales</w:t>
      </w:r>
      <w:r>
        <w:rPr>
          <w:sz w:val="20"/>
          <w:lang w:val="fr-FR"/>
        </w:rPr>
        <w:t xml:space="preserve">. </w:t>
      </w:r>
    </w:p>
    <w:p w:rsidR="00A85732" w:rsidRPr="006F75A7" w:rsidRDefault="00A85732" w:rsidP="00A85732">
      <w:pPr>
        <w:spacing w:before="360" w:after="240"/>
        <w:rPr>
          <w:b/>
          <w:bCs/>
          <w:sz w:val="24"/>
          <w:szCs w:val="24"/>
          <w:lang w:val="fr-FR"/>
        </w:rPr>
      </w:pPr>
      <w:r>
        <w:rPr>
          <w:b/>
          <w:bCs/>
          <w:sz w:val="24"/>
          <w:szCs w:val="24"/>
          <w:lang w:val="fr-FR"/>
        </w:rPr>
        <w:t>Article 11 – Droit à un niveau de vie suffisant</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Décrire l’incidence des programmes et stratégies mis en œuvre pour lutter contre la pauvreté. Donner des informations sur l’impact des mesures prises contre l’exclusion économique et sociale des personnes et des familles appartenant à des groupes défavorisés et marginalisés, notamment celles entreprises par le Secrétariat d’État à la solidarité nationale.</w:t>
      </w:r>
    </w:p>
    <w:p w:rsidR="00A85732" w:rsidRPr="00A85732" w:rsidRDefault="00B05D95" w:rsidP="00A85732">
      <w:pPr>
        <w:pStyle w:val="SingleTxtG"/>
        <w:numPr>
          <w:ilvl w:val="0"/>
          <w:numId w:val="7"/>
        </w:numPr>
        <w:tabs>
          <w:tab w:val="left" w:pos="1080"/>
          <w:tab w:val="left" w:pos="1701"/>
        </w:tabs>
        <w:suppressAutoHyphens w:val="0"/>
        <w:ind w:left="1134"/>
        <w:rPr>
          <w:sz w:val="20"/>
          <w:lang w:val="fr-FR"/>
        </w:rPr>
      </w:pPr>
      <w:r>
        <w:rPr>
          <w:sz w:val="20"/>
          <w:lang w:val="fr-FR"/>
        </w:rPr>
        <w:t>I</w:t>
      </w:r>
      <w:r w:rsidR="00A85732" w:rsidRPr="00A85732">
        <w:rPr>
          <w:sz w:val="20"/>
          <w:lang w:val="fr-FR"/>
        </w:rPr>
        <w:t>ndiquer si les mesures décrites au paragraphe 129 du rapport de l’État partie permettront d</w:t>
      </w:r>
      <w:r>
        <w:rPr>
          <w:sz w:val="20"/>
          <w:lang w:val="fr-FR"/>
        </w:rPr>
        <w:t>e réaliser le droit à l’alimentation suffisante</w:t>
      </w:r>
      <w:r w:rsidR="00383353">
        <w:rPr>
          <w:sz w:val="20"/>
          <w:lang w:val="fr-FR"/>
        </w:rPr>
        <w:t xml:space="preserve"> pour toute la population</w:t>
      </w:r>
      <w:r w:rsidR="00A85732" w:rsidRPr="00A85732">
        <w:rPr>
          <w:sz w:val="20"/>
          <w:lang w:val="fr-FR"/>
        </w:rPr>
        <w:t>. Décrire les progrès réalisés à cet égard.</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Décrire la situation actuelle de l’accès à l’eau potable en milieux urbain et rural suite à la mise en œuvre jusqu’en 2011 du plan triennal et de la stratégie de sécurisation de l’accès à l’eau en milieu rural. Donner également des informations sur le</w:t>
      </w:r>
      <w:r w:rsidR="00EF7201">
        <w:rPr>
          <w:sz w:val="20"/>
          <w:lang w:val="fr-FR"/>
        </w:rPr>
        <w:t>s</w:t>
      </w:r>
      <w:r w:rsidRPr="00A85732">
        <w:rPr>
          <w:sz w:val="20"/>
          <w:lang w:val="fr-FR"/>
        </w:rPr>
        <w:t xml:space="preserve"> progrès réalisé</w:t>
      </w:r>
      <w:r w:rsidR="00EF7201">
        <w:rPr>
          <w:sz w:val="20"/>
          <w:lang w:val="fr-FR"/>
        </w:rPr>
        <w:t>s</w:t>
      </w:r>
      <w:r w:rsidRPr="00A85732">
        <w:rPr>
          <w:sz w:val="20"/>
          <w:lang w:val="fr-FR"/>
        </w:rPr>
        <w:t xml:space="preserve"> en matière de désalinisation et de lutte contre le gaspillage de l’eau.</w:t>
      </w:r>
    </w:p>
    <w:p w:rsidR="00A85732" w:rsidRP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Fournir des renseignements sur les mesures prises ou envisagées par l’État partie afin d’améliorer les conditions de ceux qui habitent dans des logements </w:t>
      </w:r>
      <w:r w:rsidR="00866A0D">
        <w:rPr>
          <w:sz w:val="20"/>
          <w:lang w:val="fr-FR"/>
        </w:rPr>
        <w:t>précaires</w:t>
      </w:r>
      <w:r w:rsidRPr="00A85732">
        <w:rPr>
          <w:sz w:val="20"/>
          <w:lang w:val="fr-FR"/>
        </w:rPr>
        <w:t>.</w:t>
      </w:r>
    </w:p>
    <w:p w:rsidR="00A85732" w:rsidRPr="004E0901" w:rsidRDefault="00213E6D" w:rsidP="00213E6D">
      <w:pPr>
        <w:pStyle w:val="H1G"/>
        <w:rPr>
          <w:lang w:val="fr-FR"/>
        </w:rPr>
      </w:pPr>
      <w:r>
        <w:rPr>
          <w:lang w:val="fr-FR"/>
        </w:rPr>
        <w:tab/>
      </w:r>
      <w:r>
        <w:rPr>
          <w:lang w:val="fr-FR"/>
        </w:rPr>
        <w:tab/>
      </w:r>
      <w:r w:rsidR="00A85732" w:rsidRPr="004E0901">
        <w:rPr>
          <w:lang w:val="fr-FR"/>
        </w:rPr>
        <w:t>Article 12 – Droit à la santé physique et mentale</w:t>
      </w:r>
    </w:p>
    <w:p w:rsidR="00A85732" w:rsidRPr="00A85732" w:rsidRDefault="00A85732" w:rsidP="008E69DE">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Indiquer </w:t>
      </w:r>
      <w:r w:rsidR="00504201">
        <w:rPr>
          <w:sz w:val="20"/>
          <w:lang w:val="fr-FR"/>
        </w:rPr>
        <w:t>le nombre</w:t>
      </w:r>
      <w:r w:rsidRPr="00A85732">
        <w:rPr>
          <w:sz w:val="20"/>
          <w:lang w:val="fr-FR"/>
        </w:rPr>
        <w:t xml:space="preserve"> </w:t>
      </w:r>
      <w:r w:rsidR="00504201">
        <w:rPr>
          <w:sz w:val="20"/>
          <w:lang w:val="fr-FR"/>
        </w:rPr>
        <w:t>de</w:t>
      </w:r>
      <w:r w:rsidR="00504201" w:rsidRPr="00A85732">
        <w:rPr>
          <w:sz w:val="20"/>
          <w:lang w:val="fr-FR"/>
        </w:rPr>
        <w:t xml:space="preserve"> </w:t>
      </w:r>
      <w:r w:rsidRPr="00A85732">
        <w:rPr>
          <w:sz w:val="20"/>
          <w:lang w:val="fr-FR"/>
        </w:rPr>
        <w:t xml:space="preserve">citoyens </w:t>
      </w:r>
      <w:r w:rsidR="008E69DE">
        <w:rPr>
          <w:sz w:val="20"/>
          <w:lang w:val="fr-FR"/>
        </w:rPr>
        <w:t xml:space="preserve">couverts par une </w:t>
      </w:r>
      <w:r w:rsidR="007B5DC3">
        <w:rPr>
          <w:sz w:val="20"/>
          <w:lang w:val="fr-FR"/>
        </w:rPr>
        <w:t xml:space="preserve">assurance </w:t>
      </w:r>
      <w:r w:rsidR="008E69DE">
        <w:rPr>
          <w:sz w:val="20"/>
          <w:lang w:val="fr-FR"/>
        </w:rPr>
        <w:t>santé</w:t>
      </w:r>
      <w:r w:rsidRPr="00A85732">
        <w:rPr>
          <w:sz w:val="20"/>
          <w:lang w:val="fr-FR"/>
        </w:rPr>
        <w:t>, tel que mentionné au paragraphe</w:t>
      </w:r>
      <w:r w:rsidR="008E69DE">
        <w:rPr>
          <w:sz w:val="20"/>
          <w:lang w:val="fr-FR"/>
        </w:rPr>
        <w:t> </w:t>
      </w:r>
      <w:r w:rsidRPr="00A85732">
        <w:rPr>
          <w:sz w:val="20"/>
          <w:lang w:val="fr-FR"/>
        </w:rPr>
        <w:t xml:space="preserve">159 du rapport de l’État partie. Par ailleurs, expliquer pourquoi les coûts des soins dans les établissements </w:t>
      </w:r>
      <w:r w:rsidR="007B5DC3" w:rsidRPr="00A85732">
        <w:rPr>
          <w:sz w:val="20"/>
          <w:lang w:val="fr-FR"/>
        </w:rPr>
        <w:t xml:space="preserve">publics </w:t>
      </w:r>
      <w:r w:rsidRPr="00A85732">
        <w:rPr>
          <w:sz w:val="20"/>
          <w:lang w:val="fr-FR"/>
        </w:rPr>
        <w:t xml:space="preserve">de santé sont plus élevés que dans le secteur privé. Décrire les mesures prises par l’État partie pour faire en sorte que le coût des services de santé et de l’assurance </w:t>
      </w:r>
      <w:r w:rsidR="008E69DE">
        <w:rPr>
          <w:sz w:val="20"/>
          <w:lang w:val="fr-FR"/>
        </w:rPr>
        <w:t xml:space="preserve">santé </w:t>
      </w:r>
      <w:r w:rsidRPr="00A85732">
        <w:rPr>
          <w:sz w:val="20"/>
          <w:lang w:val="fr-FR"/>
        </w:rPr>
        <w:t>soit abordable pour tous, y compris pour les groupes socialement défavorisés et la population rurale.</w:t>
      </w:r>
    </w:p>
    <w:p w:rsidR="00A85732" w:rsidRPr="00A85732" w:rsidRDefault="00A85732" w:rsidP="00616313">
      <w:pPr>
        <w:pStyle w:val="SingleTxtG"/>
        <w:numPr>
          <w:ilvl w:val="0"/>
          <w:numId w:val="7"/>
        </w:numPr>
        <w:tabs>
          <w:tab w:val="left" w:pos="1080"/>
          <w:tab w:val="left" w:pos="1701"/>
        </w:tabs>
        <w:suppressAutoHyphens w:val="0"/>
        <w:ind w:left="1134"/>
        <w:rPr>
          <w:sz w:val="20"/>
          <w:lang w:val="fr-FR"/>
        </w:rPr>
      </w:pPr>
      <w:r w:rsidRPr="00A85732">
        <w:rPr>
          <w:sz w:val="20"/>
          <w:lang w:val="fr-FR"/>
        </w:rPr>
        <w:t>Quel mécanisme a été mis en place afin de pérenniser le financement de la santé, qui est l’un des axes stratégiques du plan décennal de santé 2002-2011. En particulier, quelles mesures ont été prises afin d’éviter la réduction de l’allocation budgétaire pour les services de santé essentiels</w:t>
      </w:r>
      <w:r w:rsidR="004912A9">
        <w:rPr>
          <w:sz w:val="20"/>
          <w:lang w:val="fr-FR"/>
        </w:rPr>
        <w:t>,</w:t>
      </w:r>
      <w:r w:rsidRPr="00A85732">
        <w:rPr>
          <w:sz w:val="20"/>
          <w:lang w:val="fr-FR"/>
        </w:rPr>
        <w:t xml:space="preserve"> </w:t>
      </w:r>
      <w:r w:rsidR="004912A9">
        <w:rPr>
          <w:sz w:val="20"/>
          <w:lang w:val="fr-FR"/>
        </w:rPr>
        <w:t>y compris</w:t>
      </w:r>
      <w:r w:rsidRPr="00A85732">
        <w:rPr>
          <w:sz w:val="20"/>
          <w:lang w:val="fr-FR"/>
        </w:rPr>
        <w:t xml:space="preserve"> le dépistage et l’assistance aux malades de tuberculose et aux personnes vivant avec le </w:t>
      </w:r>
      <w:r w:rsidR="0033129A">
        <w:rPr>
          <w:sz w:val="20"/>
          <w:lang w:val="fr-FR"/>
        </w:rPr>
        <w:t>VIH/</w:t>
      </w:r>
      <w:r w:rsidR="00616313">
        <w:rPr>
          <w:sz w:val="20"/>
          <w:lang w:val="fr-FR"/>
        </w:rPr>
        <w:t>sida</w:t>
      </w:r>
      <w:r w:rsidRPr="00A85732">
        <w:rPr>
          <w:sz w:val="20"/>
          <w:lang w:val="fr-FR"/>
        </w:rPr>
        <w:t>.</w:t>
      </w:r>
    </w:p>
    <w:p w:rsidR="00A85732" w:rsidRPr="00A85732" w:rsidRDefault="00D85C5F" w:rsidP="00A40E33">
      <w:pPr>
        <w:pStyle w:val="SingleTxtG"/>
        <w:numPr>
          <w:ilvl w:val="0"/>
          <w:numId w:val="7"/>
        </w:numPr>
        <w:tabs>
          <w:tab w:val="left" w:pos="1080"/>
          <w:tab w:val="left" w:pos="1701"/>
        </w:tabs>
        <w:suppressAutoHyphens w:val="0"/>
        <w:ind w:left="1134"/>
        <w:rPr>
          <w:sz w:val="20"/>
          <w:lang w:val="fr-FR"/>
        </w:rPr>
      </w:pPr>
      <w:r>
        <w:rPr>
          <w:sz w:val="20"/>
          <w:lang w:val="fr-FR"/>
        </w:rPr>
        <w:t xml:space="preserve">Fournir des informations sur les mesures entreprises par l’État partie pour lutter contre </w:t>
      </w:r>
      <w:r w:rsidR="00A40E33" w:rsidRPr="004D5125">
        <w:rPr>
          <w:sz w:val="20"/>
          <w:lang w:val="fr-FR"/>
        </w:rPr>
        <w:t>l</w:t>
      </w:r>
      <w:r w:rsidR="00A40E33">
        <w:rPr>
          <w:sz w:val="20"/>
          <w:lang w:val="fr-FR"/>
        </w:rPr>
        <w:t xml:space="preserve">’usage de </w:t>
      </w:r>
      <w:r w:rsidR="00A40E33" w:rsidRPr="004D5125">
        <w:rPr>
          <w:sz w:val="20"/>
          <w:lang w:val="fr-FR"/>
        </w:rPr>
        <w:t>drogues et l</w:t>
      </w:r>
      <w:r w:rsidR="00A40E33">
        <w:rPr>
          <w:sz w:val="20"/>
          <w:lang w:val="fr-FR"/>
        </w:rPr>
        <w:t xml:space="preserve">’abus d’alcool ainsi </w:t>
      </w:r>
      <w:r w:rsidR="007B5DC3">
        <w:rPr>
          <w:sz w:val="20"/>
          <w:lang w:val="fr-FR"/>
        </w:rPr>
        <w:t xml:space="preserve">que </w:t>
      </w:r>
      <w:r w:rsidR="00A40E33">
        <w:rPr>
          <w:sz w:val="20"/>
          <w:lang w:val="fr-FR"/>
        </w:rPr>
        <w:t xml:space="preserve">sur les </w:t>
      </w:r>
      <w:r w:rsidR="00A40E33" w:rsidRPr="004D5125">
        <w:rPr>
          <w:sz w:val="20"/>
          <w:lang w:val="fr-FR"/>
        </w:rPr>
        <w:t xml:space="preserve">services de traitement et de soins </w:t>
      </w:r>
      <w:r w:rsidR="00A40E33">
        <w:rPr>
          <w:sz w:val="20"/>
          <w:lang w:val="fr-FR"/>
        </w:rPr>
        <w:t>proposés</w:t>
      </w:r>
      <w:r w:rsidR="00A40E33" w:rsidRPr="004D5125">
        <w:rPr>
          <w:sz w:val="20"/>
          <w:lang w:val="fr-FR"/>
        </w:rPr>
        <w:t xml:space="preserve"> </w:t>
      </w:r>
      <w:r w:rsidR="003B6840">
        <w:rPr>
          <w:sz w:val="20"/>
          <w:lang w:val="fr-FR"/>
        </w:rPr>
        <w:t>aux consommateurs de drogues</w:t>
      </w:r>
      <w:r w:rsidR="00A40E33">
        <w:rPr>
          <w:sz w:val="20"/>
          <w:lang w:val="fr-FR"/>
        </w:rPr>
        <w:t xml:space="preserve">. </w:t>
      </w:r>
    </w:p>
    <w:p w:rsidR="00A85732" w:rsidRPr="00DF7339" w:rsidRDefault="00213E6D" w:rsidP="00213E6D">
      <w:pPr>
        <w:pStyle w:val="H1G"/>
        <w:rPr>
          <w:lang w:val="fr-FR"/>
        </w:rPr>
      </w:pPr>
      <w:r>
        <w:rPr>
          <w:lang w:val="fr-FR"/>
        </w:rPr>
        <w:tab/>
      </w:r>
      <w:r>
        <w:rPr>
          <w:lang w:val="fr-FR"/>
        </w:rPr>
        <w:tab/>
      </w:r>
      <w:r w:rsidR="00A85732">
        <w:rPr>
          <w:lang w:val="fr-FR"/>
        </w:rPr>
        <w:t>Articles 13 et 14 – Droit à l’éducation</w:t>
      </w:r>
    </w:p>
    <w:p w:rsidR="00A85732" w:rsidRPr="00A85732" w:rsidRDefault="00A85732" w:rsidP="00F17497">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Donner des renseignements actualisés sur les résultats de la stratégie </w:t>
      </w:r>
      <w:r w:rsidR="007B5DC3">
        <w:rPr>
          <w:sz w:val="20"/>
          <w:lang w:val="fr-FR"/>
        </w:rPr>
        <w:t xml:space="preserve">décennale </w:t>
      </w:r>
      <w:r w:rsidRPr="00A85732">
        <w:rPr>
          <w:sz w:val="20"/>
          <w:lang w:val="fr-FR"/>
        </w:rPr>
        <w:t>de l’enseignement adoptée en 2000, notamment en ce qui concerne le taux de scolarisation au cycle fondamental, l’accès à l’éducation pour tous, la réduction de la disparité entre les sexes et l’amélioration de la qualité de l’enseignement.</w:t>
      </w:r>
    </w:p>
    <w:p w:rsidR="00A85732" w:rsidRPr="00021FDF" w:rsidRDefault="00A85732" w:rsidP="00B64229">
      <w:pPr>
        <w:pStyle w:val="SingleTxtG"/>
        <w:numPr>
          <w:ilvl w:val="0"/>
          <w:numId w:val="7"/>
        </w:numPr>
        <w:tabs>
          <w:tab w:val="left" w:pos="1080"/>
          <w:tab w:val="left" w:pos="1701"/>
        </w:tabs>
        <w:suppressAutoHyphens w:val="0"/>
        <w:ind w:left="1134"/>
        <w:rPr>
          <w:sz w:val="20"/>
          <w:lang w:val="fr-FR"/>
        </w:rPr>
      </w:pPr>
      <w:r w:rsidRPr="00021FDF">
        <w:rPr>
          <w:sz w:val="20"/>
          <w:lang w:val="fr-FR"/>
        </w:rPr>
        <w:t>Fournir des informations sur la str</w:t>
      </w:r>
      <w:r w:rsidRPr="00A822E3">
        <w:rPr>
          <w:sz w:val="20"/>
          <w:lang w:val="fr-FR"/>
        </w:rPr>
        <w:t>atégie adopt</w:t>
      </w:r>
      <w:r w:rsidRPr="00B64229">
        <w:rPr>
          <w:sz w:val="20"/>
          <w:lang w:val="fr-FR"/>
        </w:rPr>
        <w:t xml:space="preserve">ée par l’État partie afin d’améliorer l’accès à l’éducation </w:t>
      </w:r>
      <w:r w:rsidRPr="00C47278">
        <w:rPr>
          <w:sz w:val="20"/>
          <w:lang w:val="fr-FR"/>
        </w:rPr>
        <w:t>parmi les populations nomades</w:t>
      </w:r>
      <w:r w:rsidR="00137C70">
        <w:rPr>
          <w:sz w:val="20"/>
          <w:lang w:val="fr-FR"/>
        </w:rPr>
        <w:t xml:space="preserve"> et les </w:t>
      </w:r>
      <w:r w:rsidRPr="00021FDF">
        <w:rPr>
          <w:sz w:val="20"/>
          <w:lang w:val="fr-FR"/>
        </w:rPr>
        <w:t>enfants qui ne sont pas scolarisés en raison de la dist</w:t>
      </w:r>
      <w:r w:rsidRPr="00A822E3">
        <w:rPr>
          <w:sz w:val="20"/>
          <w:lang w:val="fr-FR"/>
        </w:rPr>
        <w:t>ance</w:t>
      </w:r>
      <w:r w:rsidRPr="00C47278">
        <w:rPr>
          <w:sz w:val="20"/>
          <w:lang w:val="fr-FR"/>
        </w:rPr>
        <w:t>.</w:t>
      </w:r>
      <w:r w:rsidR="00137C70">
        <w:rPr>
          <w:sz w:val="20"/>
          <w:lang w:val="fr-FR"/>
        </w:rPr>
        <w:t xml:space="preserve"> </w:t>
      </w:r>
    </w:p>
    <w:p w:rsidR="00A85732" w:rsidRPr="00A85732" w:rsidRDefault="00A85732" w:rsidP="00F17497">
      <w:pPr>
        <w:pStyle w:val="SingleTxtG"/>
        <w:numPr>
          <w:ilvl w:val="0"/>
          <w:numId w:val="7"/>
        </w:numPr>
        <w:tabs>
          <w:tab w:val="left" w:pos="1080"/>
          <w:tab w:val="left" w:pos="1701"/>
        </w:tabs>
        <w:suppressAutoHyphens w:val="0"/>
        <w:ind w:left="1134"/>
        <w:rPr>
          <w:sz w:val="20"/>
          <w:lang w:val="fr-FR"/>
        </w:rPr>
      </w:pPr>
      <w:r w:rsidRPr="00A85732">
        <w:rPr>
          <w:sz w:val="20"/>
          <w:lang w:val="fr-FR"/>
        </w:rPr>
        <w:t>Donner des informations sur l’incidence des mesures mentionnées au paragraphe</w:t>
      </w:r>
      <w:r w:rsidR="00F17497">
        <w:rPr>
          <w:sz w:val="20"/>
          <w:lang w:val="fr-FR"/>
        </w:rPr>
        <w:t> </w:t>
      </w:r>
      <w:r w:rsidRPr="00A85732">
        <w:rPr>
          <w:sz w:val="20"/>
          <w:lang w:val="fr-FR"/>
        </w:rPr>
        <w:t xml:space="preserve">176 </w:t>
      </w:r>
      <w:r w:rsidR="00504201">
        <w:rPr>
          <w:sz w:val="20"/>
          <w:lang w:val="fr-FR"/>
        </w:rPr>
        <w:t xml:space="preserve">du rapport de l’État partie </w:t>
      </w:r>
      <w:r w:rsidRPr="00A85732">
        <w:rPr>
          <w:sz w:val="20"/>
          <w:lang w:val="fr-FR"/>
        </w:rPr>
        <w:t>– la mise en œuvre de programme d’alphabétisation et l’ouverture de centres d’alphabétisation – sur le taux d’alphabétis</w:t>
      </w:r>
      <w:r w:rsidR="00137C70">
        <w:rPr>
          <w:sz w:val="20"/>
          <w:lang w:val="fr-FR"/>
        </w:rPr>
        <w:t>ation</w:t>
      </w:r>
      <w:r w:rsidRPr="00A85732">
        <w:rPr>
          <w:sz w:val="20"/>
          <w:lang w:val="fr-FR"/>
        </w:rPr>
        <w:t xml:space="preserve"> </w:t>
      </w:r>
      <w:r w:rsidR="00F17497">
        <w:rPr>
          <w:sz w:val="20"/>
          <w:lang w:val="fr-FR"/>
        </w:rPr>
        <w:t>d</w:t>
      </w:r>
      <w:r w:rsidRPr="00A85732">
        <w:rPr>
          <w:sz w:val="20"/>
          <w:lang w:val="fr-FR"/>
        </w:rPr>
        <w:t>es adultes</w:t>
      </w:r>
      <w:r w:rsidR="00002137">
        <w:rPr>
          <w:sz w:val="20"/>
          <w:lang w:val="fr-FR"/>
        </w:rPr>
        <w:t>, hommes et femmes</w:t>
      </w:r>
      <w:r w:rsidRPr="00A85732">
        <w:rPr>
          <w:sz w:val="20"/>
          <w:lang w:val="fr-FR"/>
        </w:rPr>
        <w:t>.</w:t>
      </w:r>
    </w:p>
    <w:p w:rsidR="00A85732" w:rsidRPr="00B824A7" w:rsidRDefault="00213E6D" w:rsidP="00213E6D">
      <w:pPr>
        <w:pStyle w:val="H1G"/>
        <w:rPr>
          <w:lang w:val="fr-FR"/>
        </w:rPr>
      </w:pPr>
      <w:r>
        <w:rPr>
          <w:lang w:val="fr-FR"/>
        </w:rPr>
        <w:tab/>
      </w:r>
      <w:r>
        <w:rPr>
          <w:lang w:val="fr-FR"/>
        </w:rPr>
        <w:tab/>
      </w:r>
      <w:r w:rsidR="00A85732">
        <w:rPr>
          <w:lang w:val="fr-FR"/>
        </w:rPr>
        <w:t>Article 15 – Droits culturels</w:t>
      </w:r>
    </w:p>
    <w:p w:rsidR="00A85732" w:rsidRPr="00A85732" w:rsidRDefault="00A85732" w:rsidP="0033129A">
      <w:pPr>
        <w:pStyle w:val="SingleTxtG"/>
        <w:numPr>
          <w:ilvl w:val="0"/>
          <w:numId w:val="7"/>
        </w:numPr>
        <w:tabs>
          <w:tab w:val="left" w:pos="1080"/>
          <w:tab w:val="left" w:pos="1701"/>
        </w:tabs>
        <w:suppressAutoHyphens w:val="0"/>
        <w:ind w:left="1134"/>
        <w:rPr>
          <w:sz w:val="20"/>
          <w:lang w:val="fr-FR"/>
        </w:rPr>
      </w:pPr>
      <w:r w:rsidRPr="00A85732">
        <w:rPr>
          <w:sz w:val="20"/>
          <w:lang w:val="fr-FR"/>
        </w:rPr>
        <w:t xml:space="preserve">Donner des </w:t>
      </w:r>
      <w:r w:rsidR="002A2AD7">
        <w:rPr>
          <w:sz w:val="20"/>
          <w:lang w:val="fr-FR"/>
        </w:rPr>
        <w:t>informations</w:t>
      </w:r>
      <w:r w:rsidR="002A2AD7" w:rsidRPr="00A85732">
        <w:rPr>
          <w:sz w:val="20"/>
          <w:lang w:val="fr-FR"/>
        </w:rPr>
        <w:t xml:space="preserve"> </w:t>
      </w:r>
      <w:r w:rsidRPr="00A85732">
        <w:rPr>
          <w:sz w:val="20"/>
          <w:lang w:val="fr-FR"/>
        </w:rPr>
        <w:t xml:space="preserve">sur les mesures prises afin de permettre aux nomades de préserver leur mode de vie </w:t>
      </w:r>
      <w:r w:rsidR="00137C70">
        <w:rPr>
          <w:sz w:val="20"/>
          <w:lang w:val="fr-FR"/>
        </w:rPr>
        <w:t xml:space="preserve">et </w:t>
      </w:r>
      <w:r w:rsidR="007E274A">
        <w:rPr>
          <w:sz w:val="20"/>
          <w:lang w:val="fr-FR"/>
        </w:rPr>
        <w:t>préciser l’</w:t>
      </w:r>
      <w:r w:rsidR="009F3D03">
        <w:rPr>
          <w:sz w:val="20"/>
          <w:lang w:val="fr-FR"/>
        </w:rPr>
        <w:t>impact</w:t>
      </w:r>
      <w:r w:rsidR="007E274A">
        <w:rPr>
          <w:sz w:val="20"/>
          <w:lang w:val="fr-FR"/>
        </w:rPr>
        <w:t xml:space="preserve"> </w:t>
      </w:r>
      <w:r w:rsidR="0033129A">
        <w:rPr>
          <w:sz w:val="20"/>
          <w:lang w:val="fr-FR"/>
        </w:rPr>
        <w:t xml:space="preserve">sur ce mode de vie </w:t>
      </w:r>
      <w:r w:rsidR="007E274A">
        <w:rPr>
          <w:sz w:val="20"/>
          <w:lang w:val="fr-FR"/>
        </w:rPr>
        <w:t>de</w:t>
      </w:r>
      <w:r w:rsidR="00137C70">
        <w:rPr>
          <w:sz w:val="20"/>
          <w:lang w:val="fr-FR"/>
        </w:rPr>
        <w:t xml:space="preserve"> la politique de</w:t>
      </w:r>
      <w:r w:rsidR="009F3D03">
        <w:rPr>
          <w:sz w:val="20"/>
          <w:lang w:val="fr-FR"/>
        </w:rPr>
        <w:t xml:space="preserve"> l’État partie de</w:t>
      </w:r>
      <w:r w:rsidRPr="00A85732">
        <w:rPr>
          <w:sz w:val="20"/>
          <w:lang w:val="fr-FR"/>
        </w:rPr>
        <w:t xml:space="preserve"> </w:t>
      </w:r>
      <w:r w:rsidR="002A2AD7">
        <w:rPr>
          <w:rFonts w:cs="Times New Roman"/>
          <w:sz w:val="20"/>
          <w:lang w:val="fr-FR"/>
        </w:rPr>
        <w:t>«</w:t>
      </w:r>
      <w:r w:rsidRPr="00A85732">
        <w:rPr>
          <w:sz w:val="20"/>
          <w:lang w:val="fr-FR"/>
        </w:rPr>
        <w:t>fixer les populations nomades de l’intérieur du pays</w:t>
      </w:r>
      <w:r w:rsidR="002A2AD7">
        <w:rPr>
          <w:rFonts w:cs="Times New Roman"/>
          <w:sz w:val="20"/>
          <w:lang w:val="fr-FR"/>
        </w:rPr>
        <w:t>»</w:t>
      </w:r>
      <w:r w:rsidR="00AE152D">
        <w:rPr>
          <w:rFonts w:cs="Times New Roman"/>
          <w:sz w:val="20"/>
          <w:lang w:val="fr-FR"/>
        </w:rPr>
        <w:t>.</w:t>
      </w:r>
      <w:r w:rsidR="008734D3">
        <w:rPr>
          <w:sz w:val="20"/>
          <w:lang w:val="fr-FR"/>
        </w:rPr>
        <w:t xml:space="preserve"> </w:t>
      </w:r>
    </w:p>
    <w:p w:rsidR="00A85732" w:rsidRDefault="00A85732" w:rsidP="00A85732">
      <w:pPr>
        <w:pStyle w:val="SingleTxtG"/>
        <w:numPr>
          <w:ilvl w:val="0"/>
          <w:numId w:val="7"/>
        </w:numPr>
        <w:tabs>
          <w:tab w:val="left" w:pos="1080"/>
          <w:tab w:val="left" w:pos="1701"/>
        </w:tabs>
        <w:suppressAutoHyphens w:val="0"/>
        <w:ind w:left="1134"/>
        <w:rPr>
          <w:sz w:val="20"/>
          <w:lang w:val="fr-FR"/>
        </w:rPr>
      </w:pPr>
      <w:r w:rsidRPr="00A85732">
        <w:rPr>
          <w:sz w:val="20"/>
          <w:lang w:val="fr-FR"/>
        </w:rPr>
        <w:t>Préciser le statut des langues parlées dans l’État partie, autre</w:t>
      </w:r>
      <w:r w:rsidR="006E3971">
        <w:rPr>
          <w:sz w:val="20"/>
          <w:lang w:val="fr-FR"/>
        </w:rPr>
        <w:t>s</w:t>
      </w:r>
      <w:r w:rsidRPr="00A85732">
        <w:rPr>
          <w:sz w:val="20"/>
          <w:lang w:val="fr-FR"/>
        </w:rPr>
        <w:t xml:space="preserve"> que les langues officielles. Informer le Comité sur l’état d’avancement de l’introduction de l’enseignement du Somali et de l’Afar dans le cursus scolaire.</w:t>
      </w:r>
    </w:p>
    <w:p w:rsidR="00BE435E" w:rsidRPr="00BE435E" w:rsidRDefault="00BE435E" w:rsidP="00BE435E">
      <w:pPr>
        <w:pStyle w:val="SingleTxtG"/>
        <w:tabs>
          <w:tab w:val="left" w:pos="1080"/>
          <w:tab w:val="left" w:pos="1701"/>
        </w:tabs>
        <w:spacing w:before="240" w:after="0" w:line="240" w:lineRule="atLeast"/>
        <w:jc w:val="center"/>
        <w:rPr>
          <w:sz w:val="20"/>
          <w:u w:val="single"/>
          <w:lang w:val="fr-FR"/>
        </w:rPr>
      </w:pPr>
      <w:r>
        <w:rPr>
          <w:sz w:val="20"/>
          <w:u w:val="single"/>
          <w:lang w:val="fr-FR"/>
        </w:rPr>
        <w:tab/>
      </w:r>
      <w:r>
        <w:rPr>
          <w:sz w:val="20"/>
          <w:u w:val="single"/>
          <w:lang w:val="fr-FR"/>
        </w:rPr>
        <w:tab/>
      </w:r>
      <w:r>
        <w:rPr>
          <w:sz w:val="20"/>
          <w:u w:val="single"/>
          <w:lang w:val="fr-FR"/>
        </w:rPr>
        <w:tab/>
      </w:r>
    </w:p>
    <w:p w:rsidR="00330E0A" w:rsidRPr="008E1838" w:rsidRDefault="008E1838" w:rsidP="00A85732">
      <w:pPr>
        <w:pStyle w:val="SingleTxtG"/>
        <w:tabs>
          <w:tab w:val="left" w:pos="1701"/>
        </w:tabs>
      </w:pPr>
      <w:r>
        <w:tab/>
      </w:r>
    </w:p>
    <w:sectPr w:rsidR="00330E0A" w:rsidRPr="008E1838" w:rsidSect="00B566D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CB" w:rsidRDefault="006816CB"/>
  </w:endnote>
  <w:endnote w:type="continuationSeparator" w:id="0">
    <w:p w:rsidR="006816CB" w:rsidRDefault="006816CB"/>
  </w:endnote>
  <w:endnote w:type="continuationNotice" w:id="1">
    <w:p w:rsidR="006816CB" w:rsidRDefault="0068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Pr="00B566DE" w:rsidRDefault="0066011D" w:rsidP="00D757C8">
    <w:pPr>
      <w:pStyle w:val="Footer"/>
      <w:tabs>
        <w:tab w:val="right" w:pos="9638"/>
      </w:tabs>
      <w:ind w:left="0"/>
    </w:pPr>
    <w:r w:rsidRPr="00B566DE">
      <w:rPr>
        <w:b/>
        <w:sz w:val="18"/>
      </w:rPr>
      <w:fldChar w:fldCharType="begin"/>
    </w:r>
    <w:r w:rsidRPr="00B566DE">
      <w:rPr>
        <w:b/>
        <w:sz w:val="18"/>
      </w:rPr>
      <w:instrText xml:space="preserve"> PAGE  \* MERGEFORMAT </w:instrText>
    </w:r>
    <w:r w:rsidRPr="00B566DE">
      <w:rPr>
        <w:b/>
        <w:sz w:val="18"/>
      </w:rPr>
      <w:fldChar w:fldCharType="separate"/>
    </w:r>
    <w:r w:rsidR="00003240">
      <w:rPr>
        <w:b/>
        <w:noProof/>
        <w:sz w:val="18"/>
      </w:rPr>
      <w:t>4</w:t>
    </w:r>
    <w:r w:rsidRPr="00B566D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Pr="00B566DE" w:rsidRDefault="0066011D" w:rsidP="00B566DE">
    <w:pPr>
      <w:pStyle w:val="Footer"/>
      <w:tabs>
        <w:tab w:val="right" w:pos="9638"/>
      </w:tabs>
      <w:rPr>
        <w:b/>
        <w:sz w:val="18"/>
      </w:rPr>
    </w:pPr>
    <w:r>
      <w:tab/>
    </w:r>
    <w:r w:rsidRPr="00B566DE">
      <w:rPr>
        <w:b/>
        <w:sz w:val="18"/>
      </w:rPr>
      <w:fldChar w:fldCharType="begin"/>
    </w:r>
    <w:r w:rsidRPr="00B566DE">
      <w:rPr>
        <w:b/>
        <w:sz w:val="18"/>
      </w:rPr>
      <w:instrText xml:space="preserve"> PAGE  \* MERGEFORMAT </w:instrText>
    </w:r>
    <w:r w:rsidRPr="00B566DE">
      <w:rPr>
        <w:b/>
        <w:sz w:val="18"/>
      </w:rPr>
      <w:fldChar w:fldCharType="separate"/>
    </w:r>
    <w:r w:rsidR="00003240">
      <w:rPr>
        <w:b/>
        <w:noProof/>
        <w:sz w:val="18"/>
      </w:rPr>
      <w:t>3</w:t>
    </w:r>
    <w:r w:rsidRPr="00B56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Pr="00B566DE" w:rsidRDefault="0066011D" w:rsidP="00B110C3">
    <w:pPr>
      <w:pStyle w:val="Footer"/>
      <w:ind w:left="0" w:right="0"/>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w:t>
    </w:r>
    <w:r w:rsidR="00003240">
      <w:rPr>
        <w:sz w:val="20"/>
      </w:rPr>
      <w:t>-44467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CB" w:rsidRPr="00D27D5E" w:rsidRDefault="006816CB" w:rsidP="00D27D5E">
      <w:pPr>
        <w:tabs>
          <w:tab w:val="right" w:pos="2155"/>
        </w:tabs>
        <w:spacing w:after="80"/>
        <w:ind w:left="680"/>
        <w:rPr>
          <w:u w:val="single"/>
        </w:rPr>
      </w:pPr>
      <w:r>
        <w:rPr>
          <w:u w:val="single"/>
        </w:rPr>
        <w:tab/>
      </w:r>
    </w:p>
  </w:footnote>
  <w:footnote w:type="continuationSeparator" w:id="0">
    <w:p w:rsidR="006816CB" w:rsidRPr="005B09DD" w:rsidRDefault="006816CB" w:rsidP="005B09DD">
      <w:pPr>
        <w:tabs>
          <w:tab w:val="right" w:pos="2155"/>
        </w:tabs>
        <w:spacing w:after="80"/>
        <w:ind w:left="680"/>
        <w:rPr>
          <w:u w:val="single"/>
        </w:rPr>
      </w:pPr>
      <w:r w:rsidRPr="005B09DD">
        <w:rPr>
          <w:u w:val="single"/>
        </w:rPr>
        <w:tab/>
      </w:r>
    </w:p>
  </w:footnote>
  <w:footnote w:type="continuationNotice" w:id="1">
    <w:p w:rsidR="006816CB" w:rsidRDefault="00681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Pr="00B566DE" w:rsidRDefault="0066011D" w:rsidP="00D757C8">
    <w:pPr>
      <w:pStyle w:val="Header"/>
      <w:ind w:left="0" w:right="0"/>
    </w:pPr>
    <w:r>
      <w:t>E/C.12/WG/DJI/Q/1-2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Pr="00B566DE" w:rsidRDefault="0066011D" w:rsidP="00D757C8">
    <w:pPr>
      <w:pStyle w:val="Header"/>
      <w:ind w:left="0" w:right="0"/>
      <w:jc w:val="right"/>
    </w:pPr>
    <w:r>
      <w:t>E/C.12/WG/DJI/Q/1-2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1D" w:rsidRDefault="0066011D" w:rsidP="00B110C3">
    <w:pPr>
      <w:pStyle w:val="Header"/>
      <w:tabs>
        <w:tab w:val="left" w:pos="7524"/>
      </w:tabs>
      <w:ind w:left="0" w:right="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C3"/>
    <w:multiLevelType w:val="hybridMultilevel"/>
    <w:tmpl w:val="4AA2A3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20C42B56"/>
    <w:multiLevelType w:val="hybridMultilevel"/>
    <w:tmpl w:val="DB086C00"/>
    <w:lvl w:ilvl="0" w:tplc="DD9AE6D8">
      <w:start w:val="1"/>
      <w:numFmt w:val="decimal"/>
      <w:lvlText w:val="%1."/>
      <w:lvlJc w:val="left"/>
      <w:pPr>
        <w:tabs>
          <w:tab w:val="num" w:pos="786"/>
        </w:tabs>
        <w:ind w:left="993" w:firstLine="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F4984"/>
    <w:multiLevelType w:val="hybridMultilevel"/>
    <w:tmpl w:val="C62AF2F2"/>
    <w:lvl w:ilvl="0" w:tplc="E5048F22">
      <w:start w:val="1"/>
      <w:numFmt w:val="upperRoman"/>
      <w:lvlText w:val="%1."/>
      <w:lvlJc w:val="left"/>
      <w:pPr>
        <w:tabs>
          <w:tab w:val="num" w:pos="567"/>
        </w:tabs>
        <w:ind w:left="0" w:firstLine="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80C99"/>
    <w:multiLevelType w:val="hybridMultilevel"/>
    <w:tmpl w:val="16A28A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92512FB"/>
    <w:multiLevelType w:val="hybridMultilevel"/>
    <w:tmpl w:val="43BE5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56F8419C"/>
    <w:multiLevelType w:val="hybridMultilevel"/>
    <w:tmpl w:val="724E9E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6"/>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32"/>
    <w:rsid w:val="00002137"/>
    <w:rsid w:val="00003240"/>
    <w:rsid w:val="0000696F"/>
    <w:rsid w:val="00006C44"/>
    <w:rsid w:val="000126EF"/>
    <w:rsid w:val="00016AC5"/>
    <w:rsid w:val="00021FDF"/>
    <w:rsid w:val="0002228C"/>
    <w:rsid w:val="00023790"/>
    <w:rsid w:val="000274EA"/>
    <w:rsid w:val="00027F53"/>
    <w:rsid w:val="00030ADE"/>
    <w:rsid w:val="00035734"/>
    <w:rsid w:val="00041362"/>
    <w:rsid w:val="00060CED"/>
    <w:rsid w:val="00076207"/>
    <w:rsid w:val="000901A9"/>
    <w:rsid w:val="00094998"/>
    <w:rsid w:val="000A390F"/>
    <w:rsid w:val="000B30C7"/>
    <w:rsid w:val="000B3F0A"/>
    <w:rsid w:val="000C01A2"/>
    <w:rsid w:val="000C5F35"/>
    <w:rsid w:val="000D629B"/>
    <w:rsid w:val="000F2232"/>
    <w:rsid w:val="000F41F2"/>
    <w:rsid w:val="00103E27"/>
    <w:rsid w:val="00106D4A"/>
    <w:rsid w:val="00124D83"/>
    <w:rsid w:val="00125779"/>
    <w:rsid w:val="00130F09"/>
    <w:rsid w:val="001335A4"/>
    <w:rsid w:val="001352BD"/>
    <w:rsid w:val="00135C0D"/>
    <w:rsid w:val="00137C70"/>
    <w:rsid w:val="00160540"/>
    <w:rsid w:val="0016423E"/>
    <w:rsid w:val="00177007"/>
    <w:rsid w:val="001818DD"/>
    <w:rsid w:val="00186EE9"/>
    <w:rsid w:val="00192EEB"/>
    <w:rsid w:val="001A022D"/>
    <w:rsid w:val="001A20FB"/>
    <w:rsid w:val="001A6A74"/>
    <w:rsid w:val="001B647E"/>
    <w:rsid w:val="001B6F40"/>
    <w:rsid w:val="001D7F8A"/>
    <w:rsid w:val="001E3FEB"/>
    <w:rsid w:val="001E4A02"/>
    <w:rsid w:val="00213E6D"/>
    <w:rsid w:val="0021781F"/>
    <w:rsid w:val="00223B89"/>
    <w:rsid w:val="00225A8C"/>
    <w:rsid w:val="002356DA"/>
    <w:rsid w:val="00241DFF"/>
    <w:rsid w:val="00246B55"/>
    <w:rsid w:val="00247C8E"/>
    <w:rsid w:val="0026142F"/>
    <w:rsid w:val="002659F1"/>
    <w:rsid w:val="0027164E"/>
    <w:rsid w:val="00280142"/>
    <w:rsid w:val="00287743"/>
    <w:rsid w:val="00287E79"/>
    <w:rsid w:val="002928F9"/>
    <w:rsid w:val="002A2AD7"/>
    <w:rsid w:val="002A5D07"/>
    <w:rsid w:val="002B0521"/>
    <w:rsid w:val="002D0845"/>
    <w:rsid w:val="002D32F4"/>
    <w:rsid w:val="002F403A"/>
    <w:rsid w:val="0030080B"/>
    <w:rsid w:val="003016B7"/>
    <w:rsid w:val="003021C1"/>
    <w:rsid w:val="00311056"/>
    <w:rsid w:val="00330E0A"/>
    <w:rsid w:val="0033129A"/>
    <w:rsid w:val="00340C35"/>
    <w:rsid w:val="0035027A"/>
    <w:rsid w:val="003515AA"/>
    <w:rsid w:val="00354314"/>
    <w:rsid w:val="00356B33"/>
    <w:rsid w:val="00370E0F"/>
    <w:rsid w:val="003739D7"/>
    <w:rsid w:val="00374106"/>
    <w:rsid w:val="00376270"/>
    <w:rsid w:val="00383353"/>
    <w:rsid w:val="003976D5"/>
    <w:rsid w:val="003A0D0D"/>
    <w:rsid w:val="003A3B0D"/>
    <w:rsid w:val="003B5D8F"/>
    <w:rsid w:val="003B6840"/>
    <w:rsid w:val="003C0F25"/>
    <w:rsid w:val="003C285A"/>
    <w:rsid w:val="003D091C"/>
    <w:rsid w:val="003D1DF3"/>
    <w:rsid w:val="003D46A7"/>
    <w:rsid w:val="003D6C68"/>
    <w:rsid w:val="003F1B3B"/>
    <w:rsid w:val="004159D0"/>
    <w:rsid w:val="004249E7"/>
    <w:rsid w:val="00431019"/>
    <w:rsid w:val="004478F7"/>
    <w:rsid w:val="00447C0A"/>
    <w:rsid w:val="004836E6"/>
    <w:rsid w:val="00484A9B"/>
    <w:rsid w:val="004912A9"/>
    <w:rsid w:val="00493AD9"/>
    <w:rsid w:val="00497F5D"/>
    <w:rsid w:val="004A191E"/>
    <w:rsid w:val="004A7FCC"/>
    <w:rsid w:val="004B74CC"/>
    <w:rsid w:val="004D5125"/>
    <w:rsid w:val="004D6448"/>
    <w:rsid w:val="004F3E8B"/>
    <w:rsid w:val="00504201"/>
    <w:rsid w:val="005046DB"/>
    <w:rsid w:val="0050623B"/>
    <w:rsid w:val="005105EF"/>
    <w:rsid w:val="005111CB"/>
    <w:rsid w:val="00524E22"/>
    <w:rsid w:val="0052610D"/>
    <w:rsid w:val="005422A3"/>
    <w:rsid w:val="00543D5E"/>
    <w:rsid w:val="0056227B"/>
    <w:rsid w:val="00571F41"/>
    <w:rsid w:val="00591AB9"/>
    <w:rsid w:val="00592308"/>
    <w:rsid w:val="005A7492"/>
    <w:rsid w:val="005B09DD"/>
    <w:rsid w:val="005B490C"/>
    <w:rsid w:val="005E5D1F"/>
    <w:rsid w:val="00603391"/>
    <w:rsid w:val="00610203"/>
    <w:rsid w:val="00611D43"/>
    <w:rsid w:val="00612D48"/>
    <w:rsid w:val="00616313"/>
    <w:rsid w:val="00616B45"/>
    <w:rsid w:val="00630D9B"/>
    <w:rsid w:val="0063165B"/>
    <w:rsid w:val="00631953"/>
    <w:rsid w:val="006342D6"/>
    <w:rsid w:val="006439EC"/>
    <w:rsid w:val="00644D1D"/>
    <w:rsid w:val="00652353"/>
    <w:rsid w:val="0066011D"/>
    <w:rsid w:val="006721D1"/>
    <w:rsid w:val="006816CB"/>
    <w:rsid w:val="00683114"/>
    <w:rsid w:val="006A3800"/>
    <w:rsid w:val="006B1443"/>
    <w:rsid w:val="006B4590"/>
    <w:rsid w:val="006C340C"/>
    <w:rsid w:val="006C3BD5"/>
    <w:rsid w:val="006E3971"/>
    <w:rsid w:val="006F14C6"/>
    <w:rsid w:val="006F22BE"/>
    <w:rsid w:val="006F7CA3"/>
    <w:rsid w:val="0070347C"/>
    <w:rsid w:val="007176C1"/>
    <w:rsid w:val="00725527"/>
    <w:rsid w:val="00757221"/>
    <w:rsid w:val="0076371D"/>
    <w:rsid w:val="00771A34"/>
    <w:rsid w:val="007721BC"/>
    <w:rsid w:val="00774DA0"/>
    <w:rsid w:val="0079172C"/>
    <w:rsid w:val="007B4C80"/>
    <w:rsid w:val="007B5DC3"/>
    <w:rsid w:val="007C0E8B"/>
    <w:rsid w:val="007D35AC"/>
    <w:rsid w:val="007E274A"/>
    <w:rsid w:val="007E5492"/>
    <w:rsid w:val="007F55CB"/>
    <w:rsid w:val="007F632B"/>
    <w:rsid w:val="00804838"/>
    <w:rsid w:val="008317F6"/>
    <w:rsid w:val="00832505"/>
    <w:rsid w:val="00832682"/>
    <w:rsid w:val="00844750"/>
    <w:rsid w:val="00847A4C"/>
    <w:rsid w:val="00851719"/>
    <w:rsid w:val="0086023B"/>
    <w:rsid w:val="00860443"/>
    <w:rsid w:val="00866A0D"/>
    <w:rsid w:val="008734D3"/>
    <w:rsid w:val="00892BF6"/>
    <w:rsid w:val="008938CD"/>
    <w:rsid w:val="008B44C4"/>
    <w:rsid w:val="008B7879"/>
    <w:rsid w:val="008C13DC"/>
    <w:rsid w:val="008E1838"/>
    <w:rsid w:val="008E561F"/>
    <w:rsid w:val="008E69DE"/>
    <w:rsid w:val="008E7FAE"/>
    <w:rsid w:val="008F2E5D"/>
    <w:rsid w:val="008F6BE7"/>
    <w:rsid w:val="00903252"/>
    <w:rsid w:val="009072EF"/>
    <w:rsid w:val="00910E25"/>
    <w:rsid w:val="00911BF7"/>
    <w:rsid w:val="0093422E"/>
    <w:rsid w:val="00936F79"/>
    <w:rsid w:val="009422C4"/>
    <w:rsid w:val="00967C0A"/>
    <w:rsid w:val="0097282B"/>
    <w:rsid w:val="00977EC8"/>
    <w:rsid w:val="009840A3"/>
    <w:rsid w:val="009B6C14"/>
    <w:rsid w:val="009C6CE4"/>
    <w:rsid w:val="009D1442"/>
    <w:rsid w:val="009D3A8C"/>
    <w:rsid w:val="009D5398"/>
    <w:rsid w:val="009D6978"/>
    <w:rsid w:val="009E7956"/>
    <w:rsid w:val="009F3D03"/>
    <w:rsid w:val="009F5257"/>
    <w:rsid w:val="009F759C"/>
    <w:rsid w:val="00A01E77"/>
    <w:rsid w:val="00A02E14"/>
    <w:rsid w:val="00A06394"/>
    <w:rsid w:val="00A07E78"/>
    <w:rsid w:val="00A13031"/>
    <w:rsid w:val="00A2492E"/>
    <w:rsid w:val="00A40E33"/>
    <w:rsid w:val="00A62632"/>
    <w:rsid w:val="00A67C4F"/>
    <w:rsid w:val="00A70163"/>
    <w:rsid w:val="00A738B7"/>
    <w:rsid w:val="00A7472F"/>
    <w:rsid w:val="00A74C31"/>
    <w:rsid w:val="00A76ACB"/>
    <w:rsid w:val="00A822E3"/>
    <w:rsid w:val="00A85732"/>
    <w:rsid w:val="00A8786A"/>
    <w:rsid w:val="00A94E06"/>
    <w:rsid w:val="00A9682C"/>
    <w:rsid w:val="00AC67A1"/>
    <w:rsid w:val="00AC7977"/>
    <w:rsid w:val="00AE152D"/>
    <w:rsid w:val="00AE352C"/>
    <w:rsid w:val="00B05D95"/>
    <w:rsid w:val="00B110C3"/>
    <w:rsid w:val="00B161A1"/>
    <w:rsid w:val="00B17916"/>
    <w:rsid w:val="00B20BB5"/>
    <w:rsid w:val="00B26BDC"/>
    <w:rsid w:val="00B30346"/>
    <w:rsid w:val="00B32E2D"/>
    <w:rsid w:val="00B4466B"/>
    <w:rsid w:val="00B566DE"/>
    <w:rsid w:val="00B61990"/>
    <w:rsid w:val="00B62CCA"/>
    <w:rsid w:val="00B638D6"/>
    <w:rsid w:val="00B64229"/>
    <w:rsid w:val="00B72958"/>
    <w:rsid w:val="00B74925"/>
    <w:rsid w:val="00B74E88"/>
    <w:rsid w:val="00B85D99"/>
    <w:rsid w:val="00B86E7A"/>
    <w:rsid w:val="00B87495"/>
    <w:rsid w:val="00BB2A10"/>
    <w:rsid w:val="00BB4F83"/>
    <w:rsid w:val="00BE435E"/>
    <w:rsid w:val="00BF0556"/>
    <w:rsid w:val="00C10550"/>
    <w:rsid w:val="00C105E6"/>
    <w:rsid w:val="00C10F90"/>
    <w:rsid w:val="00C14446"/>
    <w:rsid w:val="00C2074A"/>
    <w:rsid w:val="00C261F8"/>
    <w:rsid w:val="00C33100"/>
    <w:rsid w:val="00C47278"/>
    <w:rsid w:val="00C522D3"/>
    <w:rsid w:val="00C678AA"/>
    <w:rsid w:val="00C72432"/>
    <w:rsid w:val="00C77BC4"/>
    <w:rsid w:val="00C940E9"/>
    <w:rsid w:val="00CB25DD"/>
    <w:rsid w:val="00CB2AC6"/>
    <w:rsid w:val="00CB6A0B"/>
    <w:rsid w:val="00CD1A71"/>
    <w:rsid w:val="00CD1FBB"/>
    <w:rsid w:val="00CE6848"/>
    <w:rsid w:val="00CF31E2"/>
    <w:rsid w:val="00D016B5"/>
    <w:rsid w:val="00D017DE"/>
    <w:rsid w:val="00D034F1"/>
    <w:rsid w:val="00D11B17"/>
    <w:rsid w:val="00D11D4B"/>
    <w:rsid w:val="00D12ECB"/>
    <w:rsid w:val="00D14223"/>
    <w:rsid w:val="00D27D5E"/>
    <w:rsid w:val="00D305CC"/>
    <w:rsid w:val="00D44D5B"/>
    <w:rsid w:val="00D62F58"/>
    <w:rsid w:val="00D64E07"/>
    <w:rsid w:val="00D757C8"/>
    <w:rsid w:val="00D81E5D"/>
    <w:rsid w:val="00D83295"/>
    <w:rsid w:val="00D85C5F"/>
    <w:rsid w:val="00DA57D4"/>
    <w:rsid w:val="00DB4793"/>
    <w:rsid w:val="00DB5F7A"/>
    <w:rsid w:val="00DB714E"/>
    <w:rsid w:val="00DD3EBC"/>
    <w:rsid w:val="00DE01E3"/>
    <w:rsid w:val="00DE6D90"/>
    <w:rsid w:val="00DF002F"/>
    <w:rsid w:val="00DF7EEA"/>
    <w:rsid w:val="00E0244D"/>
    <w:rsid w:val="00E077DF"/>
    <w:rsid w:val="00E408C5"/>
    <w:rsid w:val="00E436C0"/>
    <w:rsid w:val="00E53641"/>
    <w:rsid w:val="00E53E12"/>
    <w:rsid w:val="00E55D71"/>
    <w:rsid w:val="00E81E94"/>
    <w:rsid w:val="00E82607"/>
    <w:rsid w:val="00E84104"/>
    <w:rsid w:val="00EA31C2"/>
    <w:rsid w:val="00EB6939"/>
    <w:rsid w:val="00EC4698"/>
    <w:rsid w:val="00ED6C96"/>
    <w:rsid w:val="00EE124A"/>
    <w:rsid w:val="00EE2EA3"/>
    <w:rsid w:val="00EF6CE4"/>
    <w:rsid w:val="00EF7201"/>
    <w:rsid w:val="00F01516"/>
    <w:rsid w:val="00F140E8"/>
    <w:rsid w:val="00F17497"/>
    <w:rsid w:val="00F344A2"/>
    <w:rsid w:val="00F44455"/>
    <w:rsid w:val="00F87B74"/>
    <w:rsid w:val="00F94771"/>
    <w:rsid w:val="00FA5A79"/>
    <w:rsid w:val="00FB0BFE"/>
    <w:rsid w:val="00FB4C51"/>
    <w:rsid w:val="00FC5287"/>
    <w:rsid w:val="00FC7BD9"/>
    <w:rsid w:val="00FD35C7"/>
    <w:rsid w:val="00FD3664"/>
    <w:rsid w:val="00FE0E42"/>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732"/>
    <w:pPr>
      <w:suppressAutoHyphens/>
      <w:spacing w:after="120"/>
      <w:ind w:left="1134" w:right="1134"/>
    </w:pPr>
    <w:rPr>
      <w:sz w:val="18"/>
      <w:lang w:val="fr-CH"/>
    </w:rPr>
  </w:style>
  <w:style w:type="paragraph" w:styleId="Heading1">
    <w:name w:val="heading 1"/>
    <w:aliases w:val="Table_G"/>
    <w:basedOn w:val="SingleTxtG"/>
    <w:next w:val="SingleTxtG"/>
    <w:qFormat/>
    <w:rsid w:val="0000696F"/>
    <w:pPr>
      <w:keepNext/>
      <w:keepLines/>
      <w:spacing w:after="0"/>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link w:val="Heading7Char"/>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00696F"/>
    <w:pPr>
      <w:keepNext/>
      <w:keepLines/>
      <w:tabs>
        <w:tab w:val="right" w:pos="851"/>
      </w:tabs>
      <w:spacing w:before="240" w:line="240" w:lineRule="exact"/>
      <w:ind w:hanging="1134"/>
    </w:pPr>
    <w:rPr>
      <w:b/>
    </w:rPr>
  </w:style>
  <w:style w:type="paragraph" w:customStyle="1" w:styleId="H4G">
    <w:name w:val="_ H_4_G"/>
    <w:basedOn w:val="Normal"/>
    <w:next w:val="Normal"/>
    <w:rsid w:val="0000696F"/>
    <w:pPr>
      <w:keepNext/>
      <w:keepLines/>
      <w:tabs>
        <w:tab w:val="right" w:pos="851"/>
      </w:tabs>
      <w:spacing w:before="240" w:line="240" w:lineRule="exact"/>
      <w:ind w:hanging="1134"/>
    </w:pPr>
    <w:rPr>
      <w:i/>
    </w:rPr>
  </w:style>
  <w:style w:type="paragraph" w:customStyle="1" w:styleId="H56G">
    <w:name w:val="_ H_5/6_G"/>
    <w:basedOn w:val="Normal"/>
    <w:next w:val="Normal"/>
    <w:rsid w:val="0000696F"/>
    <w:pPr>
      <w:keepNext/>
      <w:keepLines/>
      <w:tabs>
        <w:tab w:val="right" w:pos="851"/>
      </w:tabs>
      <w:spacing w:before="240" w:line="240" w:lineRule="exact"/>
      <w:ind w:hanging="1134"/>
    </w:pPr>
  </w:style>
  <w:style w:type="paragraph" w:customStyle="1" w:styleId="SingleTxtG">
    <w:name w:val="_ Single Txt_G"/>
    <w:basedOn w:val="Normal"/>
    <w:rsid w:val="0000696F"/>
    <w:pPr>
      <w:jc w:val="both"/>
    </w:pPr>
  </w:style>
  <w:style w:type="paragraph" w:customStyle="1" w:styleId="SLG">
    <w:name w:val="__S_L_G"/>
    <w:basedOn w:val="Normal"/>
    <w:next w:val="Normal"/>
    <w:rsid w:val="0000696F"/>
    <w:pPr>
      <w:keepNext/>
      <w:keepLines/>
      <w:spacing w:before="240" w:after="240" w:line="580" w:lineRule="exact"/>
    </w:pPr>
    <w:rPr>
      <w:b/>
      <w:sz w:val="56"/>
    </w:rPr>
  </w:style>
  <w:style w:type="paragraph" w:customStyle="1" w:styleId="SMG">
    <w:name w:val="__S_M_G"/>
    <w:basedOn w:val="Normal"/>
    <w:next w:val="Normal"/>
    <w:rsid w:val="0000696F"/>
    <w:pPr>
      <w:keepNext/>
      <w:keepLines/>
      <w:spacing w:before="240" w:after="240" w:line="420" w:lineRule="exact"/>
    </w:pPr>
    <w:rPr>
      <w:b/>
      <w:sz w:val="40"/>
    </w:rPr>
  </w:style>
  <w:style w:type="paragraph" w:customStyle="1" w:styleId="SSG">
    <w:name w:val="__S_S_G"/>
    <w:basedOn w:val="Normal"/>
    <w:next w:val="Normal"/>
    <w:rsid w:val="0000696F"/>
    <w:pPr>
      <w:keepNext/>
      <w:keepLines/>
      <w:spacing w:before="240" w:after="240" w:line="300" w:lineRule="exact"/>
    </w:pPr>
    <w:rPr>
      <w:b/>
      <w:sz w:val="28"/>
    </w:rPr>
  </w:style>
  <w:style w:type="paragraph" w:customStyle="1" w:styleId="XLargeG">
    <w:name w:val="__XLarge_G"/>
    <w:basedOn w:val="Normal"/>
    <w:next w:val="Normal"/>
    <w:rsid w:val="0000696F"/>
    <w:pPr>
      <w:keepNext/>
      <w:keepLines/>
      <w:spacing w:before="240" w:after="240" w:line="420" w:lineRule="exact"/>
    </w:pPr>
    <w:rPr>
      <w:b/>
      <w:sz w:val="40"/>
    </w:rPr>
  </w:style>
  <w:style w:type="paragraph" w:customStyle="1" w:styleId="Bullet1G">
    <w:name w:val="_Bullet 1_G"/>
    <w:basedOn w:val="Normal"/>
    <w:rsid w:val="0000696F"/>
    <w:pPr>
      <w:numPr>
        <w:numId w:val="1"/>
      </w:numPr>
      <w:jc w:val="both"/>
    </w:pPr>
  </w:style>
  <w:style w:type="paragraph" w:customStyle="1" w:styleId="Bullet2G">
    <w:name w:val="_Bullet 2_G"/>
    <w:basedOn w:val="Normal"/>
    <w:rsid w:val="0000696F"/>
    <w:pPr>
      <w:numPr>
        <w:numId w:val="2"/>
      </w:numPr>
      <w:jc w:val="both"/>
    </w:p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BVI fnr"/>
    <w:uiPriority w:val="99"/>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pPr>
    <w:rPr>
      <w:b/>
    </w:rPr>
  </w:style>
  <w:style w:type="paragraph" w:styleId="FootnoteText">
    <w:name w:val="footnote text"/>
    <w:aliases w:val="5_G,Footnote Text Char1,Footnote Text Char Char,Char,Char Char Char,Char Char Char Char,single space,Footnote Text Char Char Char Char Char Char Char,Note de bas de page2,Текст сноски Знак,Fußnotentext RAXEN,Footnote Text Char2 Char,fn,5_"/>
    <w:basedOn w:val="Normal"/>
    <w:link w:val="FootnoteTextChar"/>
    <w:uiPriority w:val="99"/>
    <w:rsid w:val="00A85732"/>
    <w:pPr>
      <w:tabs>
        <w:tab w:val="right" w:pos="1021"/>
      </w:tabs>
    </w:p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Note de bas de page2 Char,fn Char,5_ Char"/>
    <w:link w:val="FootnoteText"/>
    <w:uiPriority w:val="99"/>
    <w:rsid w:val="00A85732"/>
    <w:rPr>
      <w:sz w:val="18"/>
      <w:lang w:val="fr-CH" w:eastAsia="en-US"/>
    </w:rPr>
  </w:style>
  <w:style w:type="character" w:customStyle="1" w:styleId="Heading7Char">
    <w:name w:val="Heading 7 Char"/>
    <w:link w:val="Heading7"/>
    <w:rsid w:val="00E436C0"/>
    <w:rPr>
      <w:lang w:val="fr-CH" w:eastAsia="en-US"/>
    </w:rPr>
  </w:style>
  <w:style w:type="character" w:customStyle="1" w:styleId="hps">
    <w:name w:val="hps"/>
    <w:rsid w:val="005111CB"/>
  </w:style>
  <w:style w:type="paragraph" w:styleId="BalloonText">
    <w:name w:val="Balloon Text"/>
    <w:basedOn w:val="Normal"/>
    <w:link w:val="BalloonTextChar"/>
    <w:rsid w:val="00FC7BD9"/>
    <w:pPr>
      <w:spacing w:after="0"/>
    </w:pPr>
    <w:rPr>
      <w:rFonts w:ascii="Tahoma" w:hAnsi="Tahoma" w:cs="Tahoma"/>
      <w:sz w:val="16"/>
      <w:szCs w:val="16"/>
    </w:rPr>
  </w:style>
  <w:style w:type="character" w:customStyle="1" w:styleId="BalloonTextChar">
    <w:name w:val="Balloon Text Char"/>
    <w:link w:val="BalloonText"/>
    <w:rsid w:val="00FC7BD9"/>
    <w:rPr>
      <w:rFonts w:ascii="Tahoma" w:hAnsi="Tahoma" w:cs="Tahoma"/>
      <w:sz w:val="16"/>
      <w:szCs w:val="16"/>
      <w:lang w:val="fr-CH" w:eastAsia="en-US"/>
    </w:rPr>
  </w:style>
  <w:style w:type="character" w:styleId="Emphasis">
    <w:name w:val="Emphasis"/>
    <w:uiPriority w:val="20"/>
    <w:qFormat/>
    <w:rsid w:val="00D62F58"/>
    <w:rPr>
      <w:b/>
      <w:bCs/>
      <w:i w:val="0"/>
      <w:iCs w:val="0"/>
    </w:rPr>
  </w:style>
  <w:style w:type="character" w:customStyle="1" w:styleId="st1">
    <w:name w:val="st1"/>
    <w:rsid w:val="00D62F58"/>
  </w:style>
  <w:style w:type="character" w:styleId="CommentReference">
    <w:name w:val="annotation reference"/>
    <w:semiHidden/>
    <w:rsid w:val="001352BD"/>
    <w:rPr>
      <w:sz w:val="16"/>
      <w:szCs w:val="16"/>
    </w:rPr>
  </w:style>
  <w:style w:type="paragraph" w:styleId="CommentText">
    <w:name w:val="annotation text"/>
    <w:basedOn w:val="Normal"/>
    <w:semiHidden/>
    <w:rsid w:val="001352BD"/>
    <w:rPr>
      <w:sz w:val="20"/>
    </w:rPr>
  </w:style>
  <w:style w:type="paragraph" w:styleId="CommentSubject">
    <w:name w:val="annotation subject"/>
    <w:basedOn w:val="CommentText"/>
    <w:next w:val="CommentText"/>
    <w:semiHidden/>
    <w:rsid w:val="0013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1565">
      <w:bodyDiv w:val="1"/>
      <w:marLeft w:val="0"/>
      <w:marRight w:val="0"/>
      <w:marTop w:val="0"/>
      <w:marBottom w:val="0"/>
      <w:divBdr>
        <w:top w:val="none" w:sz="0" w:space="0" w:color="auto"/>
        <w:left w:val="none" w:sz="0" w:space="0" w:color="auto"/>
        <w:bottom w:val="none" w:sz="0" w:space="0" w:color="auto"/>
        <w:right w:val="none" w:sz="0" w:space="0" w:color="auto"/>
      </w:divBdr>
    </w:div>
    <w:div w:id="2137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1544</Words>
  <Characters>8355</Characters>
  <Application>Microsoft Office Word</Application>
  <DocSecurity>4</DocSecurity>
  <Lines>128</Lines>
  <Paragraphs>28</Paragraphs>
  <ScaleCrop>false</ScaleCrop>
  <HeadingPairs>
    <vt:vector size="2" baseType="variant">
      <vt:variant>
        <vt:lpstr>Title</vt:lpstr>
      </vt:variant>
      <vt:variant>
        <vt:i4>1</vt:i4>
      </vt:variant>
    </vt:vector>
  </HeadingPairs>
  <TitlesOfParts>
    <vt:vector size="1" baseType="lpstr">
      <vt:lpstr>E/C.12/MRT/Q/1</vt:lpstr>
    </vt:vector>
  </TitlesOfParts>
  <Company>Corinne</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E/C.12/MRT/Q/1</dc:title>
  <dc:subject>final</dc:subject>
  <dc:creator>BEAUNEE</dc:creator>
  <cp:keywords/>
  <cp:lastModifiedBy>DCM</cp:lastModifiedBy>
  <cp:revision>2</cp:revision>
  <cp:lastPrinted>2013-05-23T16:33:00Z</cp:lastPrinted>
  <dcterms:created xsi:type="dcterms:W3CDTF">2013-06-12T09:48:00Z</dcterms:created>
  <dcterms:modified xsi:type="dcterms:W3CDTF">2013-06-12T09:48:00Z</dcterms:modified>
</cp:coreProperties>
</file>