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0313CD" w:rsidP="000313CD">
            <w:pPr>
              <w:bidi w:val="0"/>
              <w:spacing w:after="20"/>
              <w:jc w:val="left"/>
              <w:rPr>
                <w:szCs w:val="20"/>
              </w:rPr>
            </w:pPr>
            <w:r w:rsidRPr="000313CD">
              <w:rPr>
                <w:sz w:val="40"/>
                <w:szCs w:val="20"/>
              </w:rPr>
              <w:t>E</w:t>
            </w:r>
            <w:r>
              <w:rPr>
                <w:szCs w:val="20"/>
              </w:rPr>
              <w:t>/C.12/WG/DJI/Q/1-2</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0313CD" w:rsidRDefault="000313CD" w:rsidP="000313CD">
            <w:pPr>
              <w:bidi w:val="0"/>
              <w:spacing w:before="240"/>
              <w:jc w:val="left"/>
            </w:pPr>
            <w:r>
              <w:t>Distr.: General</w:t>
            </w:r>
          </w:p>
          <w:p w:rsidR="000313CD" w:rsidRDefault="000313CD" w:rsidP="000313CD">
            <w:pPr>
              <w:bidi w:val="0"/>
              <w:jc w:val="left"/>
            </w:pPr>
            <w:r>
              <w:t>11 June 2013</w:t>
            </w:r>
          </w:p>
          <w:p w:rsidR="000313CD" w:rsidRDefault="000313CD" w:rsidP="000313CD">
            <w:pPr>
              <w:bidi w:val="0"/>
              <w:jc w:val="left"/>
            </w:pPr>
            <w:r>
              <w:t>Arabic</w:t>
            </w:r>
          </w:p>
          <w:p w:rsidR="00257225" w:rsidRPr="008B4BC6" w:rsidRDefault="000313CD" w:rsidP="000313CD">
            <w:pPr>
              <w:bidi w:val="0"/>
              <w:jc w:val="left"/>
            </w:pPr>
            <w:r>
              <w:t>Original: French</w:t>
            </w:r>
          </w:p>
        </w:tc>
      </w:tr>
    </w:tbl>
    <w:p w:rsidR="00043E91" w:rsidRPr="005715C5" w:rsidRDefault="00043E91" w:rsidP="00043E91">
      <w:pPr>
        <w:spacing w:before="120" w:line="380" w:lineRule="exact"/>
        <w:rPr>
          <w:rFonts w:hint="cs"/>
          <w:b/>
          <w:bCs/>
          <w:sz w:val="26"/>
          <w:szCs w:val="36"/>
          <w:rtl/>
          <w:lang w:val="fr-CH"/>
        </w:rPr>
      </w:pPr>
      <w:r w:rsidRPr="005715C5">
        <w:rPr>
          <w:rFonts w:hint="cs"/>
          <w:b/>
          <w:bCs/>
          <w:sz w:val="26"/>
          <w:szCs w:val="36"/>
          <w:rtl/>
          <w:lang w:val="fr-CH"/>
        </w:rPr>
        <w:t xml:space="preserve">اللجنة المعنية بالحقوق الاقتصادية والاجتماعية والثقافية </w:t>
      </w:r>
    </w:p>
    <w:p w:rsidR="00043E91" w:rsidRPr="00861AD3" w:rsidRDefault="00043E91" w:rsidP="00970CB1">
      <w:pPr>
        <w:spacing w:after="120" w:line="380" w:lineRule="exact"/>
        <w:rPr>
          <w:rFonts w:hint="cs"/>
          <w:sz w:val="22"/>
          <w:rtl/>
        </w:rPr>
      </w:pPr>
      <w:r>
        <w:rPr>
          <w:rFonts w:hint="cs"/>
          <w:b/>
          <w:bCs/>
          <w:rtl/>
          <w:lang w:val="fr-CH"/>
        </w:rPr>
        <w:t>الفريق العامل لما قبل الدورة</w:t>
      </w:r>
    </w:p>
    <w:p w:rsidR="00043E91" w:rsidRPr="00925E8C" w:rsidRDefault="003C74AE" w:rsidP="003C74AE">
      <w:pPr>
        <w:pStyle w:val="HChGA"/>
        <w:rPr>
          <w:rFonts w:hint="cs"/>
          <w:spacing w:val="-4"/>
          <w:rtl/>
        </w:rPr>
      </w:pPr>
      <w:r>
        <w:rPr>
          <w:rFonts w:hint="cs"/>
          <w:rtl/>
          <w:lang w:val="fr-CH"/>
        </w:rPr>
        <w:tab/>
      </w:r>
      <w:r>
        <w:rPr>
          <w:rFonts w:hint="cs"/>
          <w:rtl/>
          <w:lang w:val="fr-CH"/>
        </w:rPr>
        <w:tab/>
      </w:r>
      <w:r w:rsidR="00043E91" w:rsidRPr="00925E8C">
        <w:rPr>
          <w:rFonts w:hint="cs"/>
          <w:spacing w:val="-4"/>
          <w:rtl/>
          <w:lang w:val="fr-CH"/>
        </w:rPr>
        <w:t>قائمة القضايا المتعلقة ب</w:t>
      </w:r>
      <w:r w:rsidR="00AC6B0D" w:rsidRPr="00925E8C">
        <w:rPr>
          <w:rFonts w:hint="cs"/>
          <w:spacing w:val="-4"/>
          <w:rtl/>
          <w:lang w:val="fr-CH"/>
        </w:rPr>
        <w:t xml:space="preserve">النظر </w:t>
      </w:r>
      <w:r w:rsidR="003C0F25">
        <w:rPr>
          <w:rFonts w:hint="cs"/>
          <w:spacing w:val="-4"/>
          <w:rtl/>
          <w:lang w:val="fr-CH"/>
        </w:rPr>
        <w:t xml:space="preserve">في </w:t>
      </w:r>
      <w:r w:rsidR="00043E91" w:rsidRPr="00925E8C">
        <w:rPr>
          <w:rFonts w:hint="cs"/>
          <w:spacing w:val="-4"/>
          <w:rtl/>
          <w:lang w:val="fr-CH"/>
        </w:rPr>
        <w:t>التقرير الجامع للتقرير الأولي والتقرير الدوري الثاني لجيبوتي (</w:t>
      </w:r>
      <w:r w:rsidR="00043E91" w:rsidRPr="00925E8C">
        <w:rPr>
          <w:spacing w:val="-4"/>
          <w:szCs w:val="28"/>
        </w:rPr>
        <w:t>E/C.12/DJI/1-2</w:t>
      </w:r>
      <w:r w:rsidR="00043E91" w:rsidRPr="00925E8C">
        <w:rPr>
          <w:rFonts w:hint="cs"/>
          <w:spacing w:val="-4"/>
          <w:rtl/>
        </w:rPr>
        <w:t xml:space="preserve">)، التي اعتمدها الفريق العامل </w:t>
      </w:r>
      <w:r w:rsidR="00925E8C" w:rsidRPr="00925E8C">
        <w:rPr>
          <w:rFonts w:hint="cs"/>
          <w:spacing w:val="-4"/>
          <w:rtl/>
        </w:rPr>
        <w:t xml:space="preserve">لما </w:t>
      </w:r>
      <w:r w:rsidR="00043E91" w:rsidRPr="00925E8C">
        <w:rPr>
          <w:rFonts w:hint="cs"/>
          <w:spacing w:val="-4"/>
          <w:rtl/>
        </w:rPr>
        <w:t>قبل الدورة في دورته الحادية والخمسين (21-24 أيار/مايو 2013)</w:t>
      </w:r>
    </w:p>
    <w:p w:rsidR="00043E91" w:rsidRPr="004C1385" w:rsidRDefault="0034060D" w:rsidP="00776674">
      <w:pPr>
        <w:pStyle w:val="HChGA"/>
        <w:rPr>
          <w:rFonts w:hint="cs"/>
          <w:rtl/>
        </w:rPr>
      </w:pPr>
      <w:r>
        <w:rPr>
          <w:rFonts w:hint="cs"/>
          <w:rtl/>
        </w:rPr>
        <w:tab/>
      </w:r>
      <w:r w:rsidR="00043E91" w:rsidRPr="004C1385">
        <w:rPr>
          <w:rFonts w:hint="cs"/>
          <w:rtl/>
        </w:rPr>
        <w:t>أولاً-</w:t>
      </w:r>
      <w:r w:rsidR="00043E91" w:rsidRPr="004C1385">
        <w:rPr>
          <w:rFonts w:hint="cs"/>
          <w:rtl/>
        </w:rPr>
        <w:tab/>
        <w:t>معلومات عامة</w:t>
      </w:r>
    </w:p>
    <w:p w:rsidR="00043E91" w:rsidRDefault="00043E91" w:rsidP="0034060D">
      <w:pPr>
        <w:pStyle w:val="SingleTxtGA"/>
        <w:rPr>
          <w:rFonts w:hint="cs"/>
          <w:rtl/>
        </w:rPr>
      </w:pPr>
      <w:r>
        <w:rPr>
          <w:rFonts w:hint="cs"/>
          <w:rtl/>
        </w:rPr>
        <w:t>1-</w:t>
      </w:r>
      <w:r>
        <w:rPr>
          <w:rFonts w:hint="cs"/>
          <w:rtl/>
        </w:rPr>
        <w:tab/>
        <w:t xml:space="preserve">يرجى تقديم معلومات عن التدابير المتخذة </w:t>
      </w:r>
      <w:r w:rsidR="0034060D">
        <w:rPr>
          <w:rFonts w:hint="cs"/>
          <w:rtl/>
        </w:rPr>
        <w:t>لزيادة</w:t>
      </w:r>
      <w:r>
        <w:rPr>
          <w:rFonts w:hint="cs"/>
          <w:rtl/>
        </w:rPr>
        <w:t xml:space="preserve"> وعي العاملين في سلك القضاء بالحقوق الاقتصادية والاجتماعية والثقافية الواردة في العهد وخضوعهم للمقاضاة، وعن السوابق التي تحتج بالعهد في فض النزاعات.</w:t>
      </w:r>
    </w:p>
    <w:p w:rsidR="00043E91" w:rsidRPr="00BA68CD" w:rsidRDefault="00CD0349" w:rsidP="00CD0349">
      <w:pPr>
        <w:pStyle w:val="HChGA"/>
        <w:rPr>
          <w:rFonts w:hint="cs"/>
          <w:rtl/>
        </w:rPr>
      </w:pPr>
      <w:r>
        <w:rPr>
          <w:rFonts w:hint="cs"/>
          <w:rtl/>
        </w:rPr>
        <w:tab/>
      </w:r>
      <w:r w:rsidR="00043E91" w:rsidRPr="00BA68CD">
        <w:rPr>
          <w:rFonts w:hint="cs"/>
          <w:rtl/>
        </w:rPr>
        <w:t>ثانيا</w:t>
      </w:r>
      <w:r>
        <w:rPr>
          <w:rFonts w:hint="cs"/>
          <w:rtl/>
        </w:rPr>
        <w:t>ً-</w:t>
      </w:r>
      <w:r>
        <w:rPr>
          <w:rFonts w:hint="cs"/>
          <w:rtl/>
        </w:rPr>
        <w:tab/>
      </w:r>
      <w:r w:rsidR="00043E91" w:rsidRPr="00BA68CD">
        <w:rPr>
          <w:rFonts w:hint="cs"/>
          <w:rtl/>
        </w:rPr>
        <w:t>القضايا المتعلقة بأحكام العهد العامة (المواد من 1 إلى 5)</w:t>
      </w:r>
    </w:p>
    <w:p w:rsidR="00043E91" w:rsidRPr="00BA68CD" w:rsidRDefault="00E335CE" w:rsidP="00D86E47">
      <w:pPr>
        <w:pStyle w:val="H1GA"/>
        <w:jc w:val="left"/>
        <w:rPr>
          <w:rFonts w:hint="cs"/>
          <w:rtl/>
        </w:rPr>
      </w:pPr>
      <w:r>
        <w:rPr>
          <w:rFonts w:hint="cs"/>
          <w:rtl/>
        </w:rPr>
        <w:tab/>
      </w:r>
      <w:r>
        <w:rPr>
          <w:rFonts w:hint="cs"/>
          <w:rtl/>
        </w:rPr>
        <w:tab/>
      </w:r>
      <w:r w:rsidR="00043E91" w:rsidRPr="00BA68CD">
        <w:rPr>
          <w:rFonts w:hint="cs"/>
          <w:rtl/>
        </w:rPr>
        <w:t>المادة 2، الفقرة 1</w:t>
      </w:r>
      <w:r w:rsidR="00D86E47">
        <w:rPr>
          <w:rFonts w:hint="cs"/>
          <w:rtl/>
        </w:rPr>
        <w:t>-</w:t>
      </w:r>
      <w:r w:rsidR="00314B24">
        <w:rPr>
          <w:rFonts w:hint="cs"/>
          <w:rtl/>
        </w:rPr>
        <w:t xml:space="preserve"> </w:t>
      </w:r>
      <w:r w:rsidR="00043E91" w:rsidRPr="00BA68CD">
        <w:rPr>
          <w:rFonts w:hint="cs"/>
          <w:rtl/>
        </w:rPr>
        <w:t xml:space="preserve">واجب </w:t>
      </w:r>
      <w:r w:rsidR="00043E91">
        <w:rPr>
          <w:rFonts w:hint="cs"/>
          <w:rtl/>
        </w:rPr>
        <w:t>تسخير</w:t>
      </w:r>
      <w:r w:rsidR="00043E91" w:rsidRPr="00BA68CD">
        <w:rPr>
          <w:rFonts w:hint="cs"/>
          <w:rtl/>
        </w:rPr>
        <w:t xml:space="preserve"> أقصى ما تسمح </w:t>
      </w:r>
      <w:proofErr w:type="spellStart"/>
      <w:r w:rsidR="00043E91" w:rsidRPr="00BA68CD">
        <w:rPr>
          <w:rFonts w:hint="cs"/>
          <w:rtl/>
        </w:rPr>
        <w:t>به</w:t>
      </w:r>
      <w:proofErr w:type="spellEnd"/>
      <w:r w:rsidR="00043E91" w:rsidRPr="00BA68CD">
        <w:rPr>
          <w:rFonts w:hint="cs"/>
          <w:rtl/>
        </w:rPr>
        <w:t xml:space="preserve"> الموارد المتاحة</w:t>
      </w:r>
    </w:p>
    <w:p w:rsidR="00043E91" w:rsidRDefault="00043E91" w:rsidP="00722956">
      <w:pPr>
        <w:pStyle w:val="SingleTxtGA"/>
        <w:rPr>
          <w:rFonts w:hint="cs"/>
          <w:rtl/>
        </w:rPr>
      </w:pPr>
      <w:r>
        <w:rPr>
          <w:rFonts w:hint="cs"/>
          <w:rtl/>
        </w:rPr>
        <w:t>2-</w:t>
      </w:r>
      <w:r>
        <w:rPr>
          <w:rFonts w:hint="cs"/>
          <w:rtl/>
        </w:rPr>
        <w:tab/>
        <w:t xml:space="preserve">يرجى </w:t>
      </w:r>
      <w:r w:rsidR="00722956">
        <w:rPr>
          <w:rFonts w:hint="cs"/>
          <w:rtl/>
        </w:rPr>
        <w:t>عرض</w:t>
      </w:r>
      <w:r>
        <w:rPr>
          <w:rFonts w:hint="cs"/>
          <w:rtl/>
        </w:rPr>
        <w:t xml:space="preserve"> </w:t>
      </w:r>
      <w:r w:rsidR="00722956">
        <w:rPr>
          <w:rFonts w:hint="cs"/>
          <w:rtl/>
        </w:rPr>
        <w:t>ال</w:t>
      </w:r>
      <w:r>
        <w:rPr>
          <w:rFonts w:hint="cs"/>
          <w:rtl/>
        </w:rPr>
        <w:t xml:space="preserve">نتائج </w:t>
      </w:r>
      <w:r w:rsidR="00722956">
        <w:rPr>
          <w:rFonts w:hint="cs"/>
          <w:rtl/>
        </w:rPr>
        <w:t xml:space="preserve">التي أسفرت عنها </w:t>
      </w:r>
      <w:r>
        <w:rPr>
          <w:rFonts w:hint="cs"/>
          <w:rtl/>
        </w:rPr>
        <w:t>جهود تعبئة الموارد الداخلية، بما فيها التدابير المتخذة لمكافحة الفساد، وكذلك جهود إعادة توزيع الموارد العامة على القطاعات الاجتماعية.</w:t>
      </w:r>
    </w:p>
    <w:p w:rsidR="00043E91" w:rsidRPr="00BA68CD" w:rsidRDefault="00314B24" w:rsidP="00EE70DC">
      <w:pPr>
        <w:pStyle w:val="H1GA"/>
        <w:spacing w:before="120"/>
        <w:rPr>
          <w:rFonts w:hint="cs"/>
          <w:rtl/>
        </w:rPr>
      </w:pPr>
      <w:r>
        <w:rPr>
          <w:rFonts w:hint="cs"/>
          <w:rtl/>
        </w:rPr>
        <w:tab/>
      </w:r>
      <w:r>
        <w:rPr>
          <w:rFonts w:hint="cs"/>
          <w:rtl/>
        </w:rPr>
        <w:tab/>
      </w:r>
      <w:r w:rsidR="00043E91" w:rsidRPr="00BA68CD">
        <w:rPr>
          <w:rFonts w:hint="cs"/>
          <w:rtl/>
        </w:rPr>
        <w:t>المادة 2، الفقرة 2- عدم التمييز</w:t>
      </w:r>
    </w:p>
    <w:p w:rsidR="00043E91" w:rsidRDefault="00043E91" w:rsidP="00EE70DC">
      <w:pPr>
        <w:pStyle w:val="SingleTxtGA"/>
        <w:rPr>
          <w:rFonts w:hint="cs"/>
          <w:rtl/>
        </w:rPr>
      </w:pPr>
      <w:r>
        <w:rPr>
          <w:rFonts w:hint="cs"/>
          <w:rtl/>
        </w:rPr>
        <w:t>3-</w:t>
      </w:r>
      <w:r>
        <w:rPr>
          <w:rFonts w:hint="cs"/>
          <w:rtl/>
        </w:rPr>
        <w:tab/>
        <w:t xml:space="preserve">يرجى تقديم معلومات عن آثار التدابير المعتمدة لمكافحة التمييز </w:t>
      </w:r>
      <w:r w:rsidR="00EE70DC">
        <w:rPr>
          <w:rFonts w:hint="cs"/>
          <w:rtl/>
        </w:rPr>
        <w:t>ضد</w:t>
      </w:r>
      <w:r>
        <w:rPr>
          <w:rFonts w:hint="cs"/>
          <w:rtl/>
        </w:rPr>
        <w:t xml:space="preserve"> المعاقين على تمتعهم بالحقوق الاقتصادية والاجتماعية. ويرجى بالخصوص الإشارة إلى ما إذا كانت التدابير الضريبية التحفيزية التي اتخذتها الدولة الطرف شجعت على توظيف المعاقين.</w:t>
      </w:r>
    </w:p>
    <w:p w:rsidR="00043E91" w:rsidRPr="00BA68CD" w:rsidRDefault="00EE70DC" w:rsidP="00EE70DC">
      <w:pPr>
        <w:pStyle w:val="H1GA"/>
        <w:rPr>
          <w:rFonts w:hint="cs"/>
          <w:rtl/>
        </w:rPr>
      </w:pPr>
      <w:r>
        <w:rPr>
          <w:rFonts w:hint="cs"/>
          <w:rtl/>
        </w:rPr>
        <w:tab/>
      </w:r>
      <w:r>
        <w:rPr>
          <w:rFonts w:hint="cs"/>
          <w:rtl/>
        </w:rPr>
        <w:tab/>
      </w:r>
      <w:r w:rsidR="00043E91" w:rsidRPr="00BA68CD">
        <w:rPr>
          <w:rFonts w:hint="cs"/>
          <w:rtl/>
        </w:rPr>
        <w:t>المادة 3- المساواة بين الرجل والمرأة في الحقوق</w:t>
      </w:r>
    </w:p>
    <w:p w:rsidR="00043E91" w:rsidRDefault="00043E91" w:rsidP="001F114C">
      <w:pPr>
        <w:pStyle w:val="SingleTxtGA"/>
        <w:rPr>
          <w:rFonts w:hint="cs"/>
          <w:rtl/>
        </w:rPr>
      </w:pPr>
      <w:r>
        <w:rPr>
          <w:rFonts w:hint="cs"/>
          <w:rtl/>
        </w:rPr>
        <w:t>4-</w:t>
      </w:r>
      <w:r>
        <w:rPr>
          <w:rFonts w:hint="cs"/>
          <w:rtl/>
        </w:rPr>
        <w:tab/>
        <w:t xml:space="preserve">يرجى ذكر التدابير التي اعتمدتها الدولة الطرف لضمان المساواة بين الرجال والنساء في التمتع بالحقوق الاقتصادية والاجتماعية والثقافية، </w:t>
      </w:r>
      <w:r w:rsidR="001F114C">
        <w:rPr>
          <w:rFonts w:hint="cs"/>
          <w:rtl/>
        </w:rPr>
        <w:t>بوسائل منها</w:t>
      </w:r>
      <w:r>
        <w:rPr>
          <w:rFonts w:hint="cs"/>
          <w:rtl/>
        </w:rPr>
        <w:t xml:space="preserve"> استعراض شامل للتشريعات قصد تعديل الأحكام التي تنطوي على تمييز أو التي لها آثار تمييزية على الرجال </w:t>
      </w:r>
      <w:r w:rsidR="00FB7DA1">
        <w:rPr>
          <w:rFonts w:hint="cs"/>
          <w:rtl/>
        </w:rPr>
        <w:t xml:space="preserve">     </w:t>
      </w:r>
      <w:r>
        <w:rPr>
          <w:rFonts w:hint="cs"/>
          <w:rtl/>
        </w:rPr>
        <w:t>أو النساء.</w:t>
      </w:r>
    </w:p>
    <w:p w:rsidR="00043E91" w:rsidRDefault="00043E91" w:rsidP="00232940">
      <w:pPr>
        <w:pStyle w:val="SingleTxtGA"/>
        <w:rPr>
          <w:rFonts w:hint="cs"/>
          <w:rtl/>
        </w:rPr>
      </w:pPr>
      <w:r>
        <w:rPr>
          <w:rFonts w:hint="cs"/>
          <w:rtl/>
        </w:rPr>
        <w:t xml:space="preserve"> 5-</w:t>
      </w:r>
      <w:r>
        <w:rPr>
          <w:rFonts w:hint="cs"/>
          <w:rtl/>
        </w:rPr>
        <w:tab/>
        <w:t xml:space="preserve">ويرجى تقديم معلومات عن </w:t>
      </w:r>
      <w:r w:rsidR="00AC7519">
        <w:rPr>
          <w:rFonts w:hint="cs"/>
          <w:rtl/>
        </w:rPr>
        <w:t>آثار</w:t>
      </w:r>
      <w:r>
        <w:rPr>
          <w:rFonts w:hint="cs"/>
          <w:rtl/>
        </w:rPr>
        <w:t xml:space="preserve"> </w:t>
      </w:r>
      <w:proofErr w:type="spellStart"/>
      <w:r>
        <w:rPr>
          <w:rFonts w:hint="cs"/>
          <w:rtl/>
        </w:rPr>
        <w:t>الاستراتيجية</w:t>
      </w:r>
      <w:proofErr w:type="spellEnd"/>
      <w:r>
        <w:rPr>
          <w:rFonts w:hint="cs"/>
          <w:rtl/>
        </w:rPr>
        <w:t xml:space="preserve"> الوطنية </w:t>
      </w:r>
      <w:r w:rsidR="00AC7519">
        <w:rPr>
          <w:rFonts w:hint="cs"/>
          <w:rtl/>
        </w:rPr>
        <w:t>لإدماج</w:t>
      </w:r>
      <w:r>
        <w:rPr>
          <w:rFonts w:hint="cs"/>
          <w:rtl/>
        </w:rPr>
        <w:t xml:space="preserve"> المرأة في التنمية في تمتع النساء بالحقوق الاقتصادية والاجتماعية والثقافية دون تمييز. ويرجى أيضا</w:t>
      </w:r>
      <w:r w:rsidR="00D15A70">
        <w:rPr>
          <w:rFonts w:hint="cs"/>
          <w:rtl/>
        </w:rPr>
        <w:t>ً</w:t>
      </w:r>
      <w:r>
        <w:rPr>
          <w:rFonts w:hint="cs"/>
          <w:rtl/>
        </w:rPr>
        <w:t xml:space="preserve"> الإشارة إلى أي مدى أدت مكافحة الدولة الطرف التمييز الجنساني المباشر وغير المباشر إلى تغيير الممارسات القديمة المرتبطة بالقانون العرفي والديني والتي تنطوي على تمييز </w:t>
      </w:r>
      <w:r w:rsidR="00232940">
        <w:rPr>
          <w:rFonts w:hint="cs"/>
          <w:rtl/>
        </w:rPr>
        <w:t>ضد</w:t>
      </w:r>
      <w:r>
        <w:rPr>
          <w:rFonts w:hint="cs"/>
          <w:rtl/>
        </w:rPr>
        <w:t xml:space="preserve"> النساء والأطفال، وإلى معرفةٍ أفضل بحقوقهم وسبل الانتصاف المتاحة لهم.</w:t>
      </w:r>
    </w:p>
    <w:p w:rsidR="00043E91" w:rsidRDefault="00043E91" w:rsidP="00232940">
      <w:pPr>
        <w:pStyle w:val="SingleTxtGA"/>
        <w:rPr>
          <w:rFonts w:hint="cs"/>
          <w:rtl/>
        </w:rPr>
      </w:pPr>
      <w:r>
        <w:rPr>
          <w:rFonts w:hint="cs"/>
          <w:rtl/>
        </w:rPr>
        <w:t>6-</w:t>
      </w:r>
      <w:r>
        <w:rPr>
          <w:rFonts w:hint="cs"/>
          <w:rtl/>
        </w:rPr>
        <w:tab/>
        <w:t xml:space="preserve">ويرجى الإشارة إلى التدابير الإضافية التي تعتزم الدولة الطرف اتخاذها كي يتسنى للنساء التمتع مثل الرجل بالحق في العمل وبتقلد مناصب </w:t>
      </w:r>
      <w:r w:rsidR="00232940">
        <w:rPr>
          <w:rFonts w:hint="cs"/>
          <w:rtl/>
        </w:rPr>
        <w:t>المسؤولية</w:t>
      </w:r>
      <w:r>
        <w:rPr>
          <w:rFonts w:hint="cs"/>
          <w:rtl/>
        </w:rPr>
        <w:t>.</w:t>
      </w:r>
    </w:p>
    <w:p w:rsidR="00043E91" w:rsidRPr="00767D2E" w:rsidRDefault="00B11CA2" w:rsidP="00B11CA2">
      <w:pPr>
        <w:pStyle w:val="HChGA"/>
        <w:rPr>
          <w:rFonts w:hint="cs"/>
          <w:rtl/>
        </w:rPr>
      </w:pPr>
      <w:r>
        <w:rPr>
          <w:rFonts w:hint="cs"/>
          <w:rtl/>
        </w:rPr>
        <w:tab/>
      </w:r>
      <w:r w:rsidR="00043E91" w:rsidRPr="00767D2E">
        <w:rPr>
          <w:rFonts w:hint="cs"/>
          <w:rtl/>
        </w:rPr>
        <w:t>ثالثا</w:t>
      </w:r>
      <w:r>
        <w:rPr>
          <w:rFonts w:hint="cs"/>
          <w:rtl/>
        </w:rPr>
        <w:t>ً-</w:t>
      </w:r>
      <w:r>
        <w:rPr>
          <w:rFonts w:hint="cs"/>
          <w:rtl/>
        </w:rPr>
        <w:tab/>
      </w:r>
      <w:r w:rsidR="00043E91" w:rsidRPr="00767D2E">
        <w:rPr>
          <w:rFonts w:hint="cs"/>
          <w:rtl/>
        </w:rPr>
        <w:t>القضايا المتعلقة بأحكام بعينها في العهد (المواد من 6 إلى 15)</w:t>
      </w:r>
    </w:p>
    <w:p w:rsidR="00043E91" w:rsidRPr="00767D2E" w:rsidRDefault="00B11CA2" w:rsidP="00B11CA2">
      <w:pPr>
        <w:pStyle w:val="H1GA"/>
        <w:rPr>
          <w:rFonts w:hint="cs"/>
          <w:rtl/>
        </w:rPr>
      </w:pPr>
      <w:r>
        <w:rPr>
          <w:rFonts w:hint="cs"/>
          <w:rtl/>
        </w:rPr>
        <w:tab/>
      </w:r>
      <w:r>
        <w:rPr>
          <w:rFonts w:hint="cs"/>
          <w:rtl/>
        </w:rPr>
        <w:tab/>
      </w:r>
      <w:r w:rsidR="00043E91" w:rsidRPr="00767D2E">
        <w:rPr>
          <w:rFonts w:hint="cs"/>
          <w:rtl/>
        </w:rPr>
        <w:t>المادة 6-</w:t>
      </w:r>
      <w:r>
        <w:rPr>
          <w:rFonts w:hint="cs"/>
          <w:rtl/>
        </w:rPr>
        <w:t xml:space="preserve"> </w:t>
      </w:r>
      <w:r w:rsidR="00043E91" w:rsidRPr="00767D2E">
        <w:rPr>
          <w:rFonts w:hint="cs"/>
          <w:rtl/>
        </w:rPr>
        <w:t>الحق في العمل</w:t>
      </w:r>
    </w:p>
    <w:p w:rsidR="00043E91" w:rsidRDefault="00043E91" w:rsidP="00927D7F">
      <w:pPr>
        <w:pStyle w:val="SingleTxtGA"/>
        <w:rPr>
          <w:rFonts w:hint="cs"/>
          <w:rtl/>
        </w:rPr>
      </w:pPr>
      <w:r>
        <w:rPr>
          <w:rFonts w:hint="cs"/>
          <w:rtl/>
        </w:rPr>
        <w:t>7-</w:t>
      </w:r>
      <w:r>
        <w:rPr>
          <w:rFonts w:hint="cs"/>
          <w:rtl/>
        </w:rPr>
        <w:tab/>
        <w:t>يرجى تقديم معلومات مستجدة عن معدَّلي البطالة والنقص في العمالة</w:t>
      </w:r>
      <w:r w:rsidR="00911311">
        <w:rPr>
          <w:rFonts w:hint="cs"/>
          <w:rtl/>
        </w:rPr>
        <w:t xml:space="preserve"> </w:t>
      </w:r>
      <w:r w:rsidR="00B27599">
        <w:rPr>
          <w:rFonts w:hint="cs"/>
          <w:rtl/>
        </w:rPr>
        <w:t>بين فئات المجتمع، ومنها</w:t>
      </w:r>
      <w:r>
        <w:rPr>
          <w:rFonts w:hint="cs"/>
          <w:rtl/>
        </w:rPr>
        <w:t xml:space="preserve"> النساء والشباب، وعن آثار التدابير التي اتخذتها بعض الجهات، لا</w:t>
      </w:r>
      <w:r w:rsidR="00EF0816">
        <w:rPr>
          <w:rFonts w:hint="cs"/>
          <w:rtl/>
        </w:rPr>
        <w:t xml:space="preserve"> </w:t>
      </w:r>
      <w:r>
        <w:rPr>
          <w:rFonts w:hint="cs"/>
          <w:rtl/>
        </w:rPr>
        <w:t>سيما الوكالة الوطنية للعمالة والتدريب والإدماج المهني، من أجل إدماج النساء والشباب مهنيا</w:t>
      </w:r>
      <w:r w:rsidR="00D15A70">
        <w:rPr>
          <w:rFonts w:hint="cs"/>
          <w:rtl/>
        </w:rPr>
        <w:t>ً</w:t>
      </w:r>
      <w:r>
        <w:rPr>
          <w:rFonts w:hint="cs"/>
          <w:rtl/>
        </w:rPr>
        <w:t xml:space="preserve"> وتشجيع</w:t>
      </w:r>
      <w:r w:rsidR="00927D7F">
        <w:rPr>
          <w:rFonts w:hint="cs"/>
          <w:rtl/>
        </w:rPr>
        <w:t xml:space="preserve"> قابلية</w:t>
      </w:r>
      <w:r>
        <w:rPr>
          <w:rFonts w:hint="cs"/>
          <w:rtl/>
        </w:rPr>
        <w:t xml:space="preserve"> توظيف العاطلين. ويرجى أيضا</w:t>
      </w:r>
      <w:r w:rsidR="00D15A70">
        <w:rPr>
          <w:rFonts w:hint="cs"/>
          <w:rtl/>
        </w:rPr>
        <w:t>ً</w:t>
      </w:r>
      <w:r>
        <w:rPr>
          <w:rFonts w:hint="cs"/>
          <w:rtl/>
        </w:rPr>
        <w:t xml:space="preserve"> تقديم معلومات عن التدابير المتخذة لتوفير برامج تدريب للشباب تلبي احتياجات السوق نظرا</w:t>
      </w:r>
      <w:r w:rsidR="00911311">
        <w:rPr>
          <w:rFonts w:hint="cs"/>
          <w:rtl/>
        </w:rPr>
        <w:t>ً</w:t>
      </w:r>
      <w:r>
        <w:rPr>
          <w:rFonts w:hint="cs"/>
          <w:rtl/>
        </w:rPr>
        <w:t xml:space="preserve"> إلى أن أصحاب الشهادات يعانون البطالة أيضا</w:t>
      </w:r>
      <w:r w:rsidR="00911311">
        <w:rPr>
          <w:rFonts w:hint="cs"/>
          <w:rtl/>
        </w:rPr>
        <w:t>ً</w:t>
      </w:r>
      <w:r>
        <w:rPr>
          <w:rFonts w:hint="cs"/>
          <w:rtl/>
        </w:rPr>
        <w:t>.</w:t>
      </w:r>
    </w:p>
    <w:p w:rsidR="00043E91" w:rsidRDefault="00043E91" w:rsidP="0075240B">
      <w:pPr>
        <w:pStyle w:val="SingleTxtGA"/>
        <w:rPr>
          <w:rFonts w:hint="cs"/>
          <w:rtl/>
        </w:rPr>
      </w:pPr>
      <w:r>
        <w:rPr>
          <w:rFonts w:hint="cs"/>
          <w:rtl/>
        </w:rPr>
        <w:t>8-</w:t>
      </w:r>
      <w:r>
        <w:rPr>
          <w:rFonts w:hint="cs"/>
          <w:rtl/>
        </w:rPr>
        <w:tab/>
        <w:t>ويرجى تقديم معلومات عن آثار تنفيذ "</w:t>
      </w:r>
      <w:proofErr w:type="spellStart"/>
      <w:r>
        <w:rPr>
          <w:rFonts w:hint="cs"/>
          <w:rtl/>
        </w:rPr>
        <w:t>استراتيجية</w:t>
      </w:r>
      <w:proofErr w:type="spellEnd"/>
      <w:r>
        <w:rPr>
          <w:rFonts w:hint="cs"/>
          <w:rtl/>
        </w:rPr>
        <w:t xml:space="preserve"> </w:t>
      </w:r>
      <w:proofErr w:type="spellStart"/>
      <w:r>
        <w:rPr>
          <w:rFonts w:hint="cs"/>
          <w:rtl/>
        </w:rPr>
        <w:t>تأطير</w:t>
      </w:r>
      <w:proofErr w:type="spellEnd"/>
      <w:r>
        <w:rPr>
          <w:rFonts w:hint="cs"/>
          <w:rtl/>
        </w:rPr>
        <w:t xml:space="preserve"> القطاع غير الرسمي وتحويله تدريجيا</w:t>
      </w:r>
      <w:r w:rsidR="0075240B">
        <w:rPr>
          <w:rFonts w:hint="cs"/>
          <w:rtl/>
        </w:rPr>
        <w:t>ً</w:t>
      </w:r>
      <w:r>
        <w:rPr>
          <w:rFonts w:hint="cs"/>
          <w:rtl/>
        </w:rPr>
        <w:t xml:space="preserve">" على تسوية أوضاع </w:t>
      </w:r>
      <w:r w:rsidR="00442910">
        <w:rPr>
          <w:rFonts w:hint="cs"/>
          <w:rtl/>
        </w:rPr>
        <w:t>العاملين في هذا</w:t>
      </w:r>
      <w:r>
        <w:rPr>
          <w:rFonts w:hint="cs"/>
          <w:rtl/>
        </w:rPr>
        <w:t xml:space="preserve"> القطاع، خاصة النساء.</w:t>
      </w:r>
    </w:p>
    <w:p w:rsidR="00043E91" w:rsidRPr="009E1706" w:rsidRDefault="0059300B" w:rsidP="00EC532D">
      <w:pPr>
        <w:pStyle w:val="H1GA"/>
        <w:spacing w:before="120"/>
        <w:rPr>
          <w:rFonts w:hint="cs"/>
          <w:rtl/>
        </w:rPr>
      </w:pPr>
      <w:r>
        <w:rPr>
          <w:rFonts w:hint="cs"/>
          <w:rtl/>
        </w:rPr>
        <w:tab/>
      </w:r>
      <w:r>
        <w:rPr>
          <w:rFonts w:hint="cs"/>
          <w:rtl/>
        </w:rPr>
        <w:tab/>
      </w:r>
      <w:r w:rsidR="00043E91" w:rsidRPr="009E1706">
        <w:rPr>
          <w:rFonts w:hint="cs"/>
          <w:rtl/>
        </w:rPr>
        <w:t>المادة 7- الحق في</w:t>
      </w:r>
      <w:r w:rsidR="00043E91">
        <w:rPr>
          <w:rFonts w:hint="cs"/>
          <w:rtl/>
        </w:rPr>
        <w:t xml:space="preserve"> التمتع</w:t>
      </w:r>
      <w:r w:rsidR="00043E91" w:rsidRPr="009E1706">
        <w:rPr>
          <w:rFonts w:hint="cs"/>
          <w:rtl/>
        </w:rPr>
        <w:t xml:space="preserve"> </w:t>
      </w:r>
      <w:r w:rsidR="00622359">
        <w:rPr>
          <w:rFonts w:hint="cs"/>
          <w:rtl/>
        </w:rPr>
        <w:t>بشروط</w:t>
      </w:r>
      <w:r w:rsidR="00043E91" w:rsidRPr="009E1706">
        <w:rPr>
          <w:rFonts w:hint="cs"/>
          <w:rtl/>
        </w:rPr>
        <w:t xml:space="preserve"> عمل عادلة </w:t>
      </w:r>
      <w:r w:rsidR="00622359">
        <w:rPr>
          <w:rFonts w:hint="cs"/>
          <w:rtl/>
        </w:rPr>
        <w:t>ومرضية</w:t>
      </w:r>
    </w:p>
    <w:p w:rsidR="00043E91" w:rsidRDefault="00043E91" w:rsidP="00632624">
      <w:pPr>
        <w:pStyle w:val="SingleTxtGA"/>
        <w:rPr>
          <w:rFonts w:hint="cs"/>
          <w:rtl/>
        </w:rPr>
      </w:pPr>
      <w:r>
        <w:rPr>
          <w:rFonts w:hint="cs"/>
          <w:rtl/>
        </w:rPr>
        <w:t>9-</w:t>
      </w:r>
      <w:r>
        <w:rPr>
          <w:rFonts w:hint="cs"/>
          <w:rtl/>
        </w:rPr>
        <w:tab/>
        <w:t>يرجى توضيح ما إذا كانت الدولة الطرف ترى سَن حد أدنى للأجور يسمح للعمال وأسرهم بأن يحيوا حياة كريمة.</w:t>
      </w:r>
    </w:p>
    <w:p w:rsidR="00043E91" w:rsidRDefault="00043E91" w:rsidP="005511CB">
      <w:pPr>
        <w:pStyle w:val="SingleTxtGA"/>
        <w:rPr>
          <w:rFonts w:hint="cs"/>
          <w:rtl/>
        </w:rPr>
      </w:pPr>
      <w:r>
        <w:rPr>
          <w:rFonts w:hint="cs"/>
          <w:rtl/>
        </w:rPr>
        <w:t>10-</w:t>
      </w:r>
      <w:r>
        <w:rPr>
          <w:rFonts w:hint="cs"/>
          <w:rtl/>
        </w:rPr>
        <w:tab/>
        <w:t xml:space="preserve">ويرجى الإشارة إلى ما إذا كانت الدولة الطرف </w:t>
      </w:r>
      <w:r w:rsidR="00632624">
        <w:rPr>
          <w:rFonts w:hint="cs"/>
          <w:rtl/>
        </w:rPr>
        <w:t>تعتزم</w:t>
      </w:r>
      <w:r>
        <w:rPr>
          <w:rFonts w:hint="cs"/>
          <w:rtl/>
        </w:rPr>
        <w:t xml:space="preserve"> تنظيم مزاولة المهن المشار إليها في الفقرة 64 من تقريرها لحماية حق العمال في </w:t>
      </w:r>
      <w:r w:rsidR="005511CB">
        <w:rPr>
          <w:rFonts w:hint="cs"/>
          <w:rtl/>
        </w:rPr>
        <w:t>التمتع بشروط عمل عادية ومرضية</w:t>
      </w:r>
      <w:r>
        <w:rPr>
          <w:rFonts w:hint="cs"/>
          <w:rtl/>
        </w:rPr>
        <w:t>.</w:t>
      </w:r>
    </w:p>
    <w:p w:rsidR="00043E91" w:rsidRDefault="00043E91" w:rsidP="00904F5C">
      <w:pPr>
        <w:pStyle w:val="SingleTxtGA"/>
        <w:rPr>
          <w:rFonts w:hint="cs"/>
          <w:rtl/>
        </w:rPr>
      </w:pPr>
      <w:r>
        <w:rPr>
          <w:rFonts w:hint="cs"/>
          <w:rtl/>
        </w:rPr>
        <w:t>11-</w:t>
      </w:r>
      <w:r>
        <w:rPr>
          <w:rFonts w:hint="cs"/>
          <w:rtl/>
        </w:rPr>
        <w:tab/>
        <w:t xml:space="preserve">ويرجى الإشارة إلى ما إذا كان للدولة الطرف </w:t>
      </w:r>
      <w:r w:rsidR="00F017AD">
        <w:rPr>
          <w:rFonts w:hint="cs"/>
          <w:rtl/>
        </w:rPr>
        <w:t>نظام لتفتيش</w:t>
      </w:r>
      <w:r>
        <w:rPr>
          <w:rFonts w:hint="cs"/>
          <w:rtl/>
        </w:rPr>
        <w:t xml:space="preserve"> </w:t>
      </w:r>
      <w:r w:rsidR="00F017AD">
        <w:rPr>
          <w:rFonts w:hint="cs"/>
          <w:rtl/>
        </w:rPr>
        <w:t>ا</w:t>
      </w:r>
      <w:r>
        <w:rPr>
          <w:rFonts w:hint="cs"/>
          <w:rtl/>
        </w:rPr>
        <w:t>لعمل لمراقبة مدى التقيد بالتزاماتها التي تقضي بها المادة 7. ويرجى أيضا</w:t>
      </w:r>
      <w:r w:rsidR="00D15A70">
        <w:rPr>
          <w:rFonts w:hint="cs"/>
          <w:rtl/>
        </w:rPr>
        <w:t>ً</w:t>
      </w:r>
      <w:r>
        <w:rPr>
          <w:rFonts w:hint="cs"/>
          <w:rtl/>
        </w:rPr>
        <w:t xml:space="preserve"> تقديم معلومات عن سبل الانتصاف المتاحة عند انتهاك الحق في التمتع </w:t>
      </w:r>
      <w:r w:rsidR="00F017AD">
        <w:rPr>
          <w:rFonts w:hint="cs"/>
          <w:rtl/>
        </w:rPr>
        <w:t>بشروط عمل عادلة ومرضية</w:t>
      </w:r>
      <w:r>
        <w:rPr>
          <w:rFonts w:hint="cs"/>
          <w:rtl/>
        </w:rPr>
        <w:t xml:space="preserve">، وتحديد ما إذا كانت تلك السبل متاحة للعمال المهاجرين </w:t>
      </w:r>
      <w:r w:rsidR="00675246">
        <w:rPr>
          <w:rFonts w:hint="cs"/>
          <w:rtl/>
        </w:rPr>
        <w:t>غير النظاميين</w:t>
      </w:r>
      <w:r>
        <w:rPr>
          <w:rFonts w:hint="cs"/>
          <w:rtl/>
        </w:rPr>
        <w:t xml:space="preserve">، </w:t>
      </w:r>
      <w:r w:rsidR="00675246">
        <w:rPr>
          <w:rFonts w:hint="cs"/>
          <w:rtl/>
        </w:rPr>
        <w:t>ك</w:t>
      </w:r>
      <w:r>
        <w:rPr>
          <w:rFonts w:hint="cs"/>
          <w:rtl/>
        </w:rPr>
        <w:t>ما جاء في الفقرة 65 من تقرير الدولة الطرف.</w:t>
      </w:r>
    </w:p>
    <w:p w:rsidR="00043E91" w:rsidRPr="00075400" w:rsidRDefault="0059300B" w:rsidP="0059300B">
      <w:pPr>
        <w:pStyle w:val="H1GA"/>
        <w:rPr>
          <w:rFonts w:hint="cs"/>
          <w:rtl/>
        </w:rPr>
      </w:pPr>
      <w:r>
        <w:rPr>
          <w:rFonts w:hint="cs"/>
          <w:rtl/>
        </w:rPr>
        <w:tab/>
      </w:r>
      <w:r>
        <w:rPr>
          <w:rFonts w:hint="cs"/>
          <w:rtl/>
        </w:rPr>
        <w:tab/>
      </w:r>
      <w:r w:rsidR="00043E91" w:rsidRPr="00075400">
        <w:rPr>
          <w:rFonts w:hint="cs"/>
          <w:rtl/>
        </w:rPr>
        <w:t>المادة 8- الحقوق النقابية</w:t>
      </w:r>
    </w:p>
    <w:p w:rsidR="00043E91" w:rsidRDefault="00043E91" w:rsidP="00E66489">
      <w:pPr>
        <w:pStyle w:val="SingleTxtGA"/>
        <w:rPr>
          <w:rFonts w:hint="cs"/>
          <w:rtl/>
        </w:rPr>
      </w:pPr>
      <w:r>
        <w:rPr>
          <w:rFonts w:hint="cs"/>
          <w:rtl/>
        </w:rPr>
        <w:t>12-</w:t>
      </w:r>
      <w:r>
        <w:rPr>
          <w:rFonts w:hint="cs"/>
          <w:rtl/>
        </w:rPr>
        <w:tab/>
        <w:t>يرجى تقديم معلومات عن التدابير المتخذة لحماية الموظفين من الانتقام بسبب انخراطهم في العمل النقابي.</w:t>
      </w:r>
    </w:p>
    <w:p w:rsidR="00043E91" w:rsidRPr="00075400" w:rsidRDefault="0059300B" w:rsidP="0059300B">
      <w:pPr>
        <w:pStyle w:val="H1GA"/>
        <w:rPr>
          <w:rFonts w:hint="cs"/>
          <w:rtl/>
        </w:rPr>
      </w:pPr>
      <w:r>
        <w:rPr>
          <w:rFonts w:hint="cs"/>
          <w:rtl/>
        </w:rPr>
        <w:tab/>
      </w:r>
      <w:r>
        <w:rPr>
          <w:rFonts w:hint="cs"/>
          <w:rtl/>
        </w:rPr>
        <w:tab/>
      </w:r>
      <w:r w:rsidR="00043E91" w:rsidRPr="00075400">
        <w:rPr>
          <w:rFonts w:hint="cs"/>
          <w:rtl/>
        </w:rPr>
        <w:t xml:space="preserve">المادة 9- الحق في </w:t>
      </w:r>
      <w:r w:rsidR="00043E91">
        <w:rPr>
          <w:rFonts w:hint="cs"/>
          <w:rtl/>
        </w:rPr>
        <w:t>الرعاية</w:t>
      </w:r>
      <w:r w:rsidR="00043E91" w:rsidRPr="00075400">
        <w:rPr>
          <w:rFonts w:hint="cs"/>
          <w:rtl/>
        </w:rPr>
        <w:t xml:space="preserve"> الاجتماعي</w:t>
      </w:r>
      <w:r w:rsidR="00043E91">
        <w:rPr>
          <w:rFonts w:hint="cs"/>
          <w:rtl/>
        </w:rPr>
        <w:t>ة</w:t>
      </w:r>
    </w:p>
    <w:p w:rsidR="00043E91" w:rsidRDefault="00043E91" w:rsidP="00EB17D8">
      <w:pPr>
        <w:pStyle w:val="SingleTxtGA"/>
        <w:rPr>
          <w:rFonts w:hint="cs"/>
          <w:rtl/>
        </w:rPr>
      </w:pPr>
      <w:r>
        <w:rPr>
          <w:rFonts w:hint="cs"/>
          <w:rtl/>
        </w:rPr>
        <w:t>13-</w:t>
      </w:r>
      <w:r>
        <w:rPr>
          <w:rFonts w:hint="cs"/>
          <w:rtl/>
        </w:rPr>
        <w:tab/>
        <w:t xml:space="preserve"> يرجى تقديم المزيد من المعلومات عن</w:t>
      </w:r>
      <w:r w:rsidR="00AC4FE1">
        <w:rPr>
          <w:rFonts w:hint="cs"/>
          <w:rtl/>
        </w:rPr>
        <w:t xml:space="preserve"> إنشاء</w:t>
      </w:r>
      <w:r>
        <w:rPr>
          <w:rFonts w:hint="cs"/>
          <w:rtl/>
        </w:rPr>
        <w:t xml:space="preserve"> التأمين المتناهي الصغر على صعيد المجتمعات المحلية المشار إليه في الفقرة 208 من الوثيقة الأساسية، خاصة الخدمات المقترحة وعدد الأشخاص المؤمَّنين أو الذين يستهدفهم نظام التأمين ذلك. ويرجى تحديد الطريقة التي يرتبط بها هذا النظام بنظام </w:t>
      </w:r>
      <w:r w:rsidR="00EB17D8">
        <w:rPr>
          <w:rFonts w:hint="cs"/>
          <w:rtl/>
        </w:rPr>
        <w:t>الضمان الاجتماعي</w:t>
      </w:r>
      <w:r>
        <w:rPr>
          <w:rFonts w:hint="cs"/>
          <w:rtl/>
        </w:rPr>
        <w:t xml:space="preserve"> في الدولة الطرف برمّتها.</w:t>
      </w:r>
    </w:p>
    <w:p w:rsidR="00043E91" w:rsidRPr="00CF1A65" w:rsidRDefault="0059300B" w:rsidP="005722B7">
      <w:pPr>
        <w:pStyle w:val="H1GA"/>
        <w:rPr>
          <w:rFonts w:hint="cs"/>
          <w:rtl/>
        </w:rPr>
      </w:pPr>
      <w:r>
        <w:rPr>
          <w:rFonts w:hint="cs"/>
          <w:rtl/>
        </w:rPr>
        <w:tab/>
      </w:r>
      <w:r>
        <w:rPr>
          <w:rFonts w:hint="cs"/>
          <w:rtl/>
        </w:rPr>
        <w:tab/>
      </w:r>
      <w:r w:rsidR="00043E91" w:rsidRPr="00CF1A65">
        <w:rPr>
          <w:rFonts w:hint="cs"/>
          <w:rtl/>
        </w:rPr>
        <w:t>المادة 1</w:t>
      </w:r>
      <w:r w:rsidR="005722B7">
        <w:rPr>
          <w:rFonts w:hint="cs"/>
          <w:rtl/>
        </w:rPr>
        <w:t>0</w:t>
      </w:r>
      <w:r w:rsidR="00043E91" w:rsidRPr="00CF1A65">
        <w:rPr>
          <w:rFonts w:hint="cs"/>
          <w:rtl/>
        </w:rPr>
        <w:t>- حماية الأسرة والأم والطفل</w:t>
      </w:r>
    </w:p>
    <w:p w:rsidR="00043E91" w:rsidRDefault="00043E91" w:rsidP="00EC246E">
      <w:pPr>
        <w:pStyle w:val="SingleTxtGA"/>
        <w:rPr>
          <w:rFonts w:hint="cs"/>
          <w:rtl/>
        </w:rPr>
      </w:pPr>
      <w:r>
        <w:rPr>
          <w:rFonts w:hint="cs"/>
          <w:rtl/>
        </w:rPr>
        <w:t>14-</w:t>
      </w:r>
      <w:r>
        <w:rPr>
          <w:rFonts w:hint="cs"/>
          <w:rtl/>
        </w:rPr>
        <w:tab/>
        <w:t xml:space="preserve">يرجى تقديم معلومات، بما فيها إحصاءات، عن </w:t>
      </w:r>
      <w:r w:rsidR="00EC246E">
        <w:rPr>
          <w:rFonts w:hint="cs"/>
          <w:rtl/>
        </w:rPr>
        <w:t>آثار</w:t>
      </w:r>
      <w:r>
        <w:rPr>
          <w:rFonts w:hint="cs"/>
          <w:rtl/>
        </w:rPr>
        <w:t xml:space="preserve"> التدابير المتخذة لمكافحة عمل الأطفال وحمايتهم من العمل في ظروف خطرة ومن التعرض لمختلِف أشكال الاستغلال.</w:t>
      </w:r>
    </w:p>
    <w:p w:rsidR="00043E91" w:rsidRDefault="00043E91" w:rsidP="00E806AD">
      <w:pPr>
        <w:pStyle w:val="SingleTxtGA"/>
        <w:rPr>
          <w:rFonts w:hint="cs"/>
          <w:rtl/>
        </w:rPr>
      </w:pPr>
      <w:r>
        <w:rPr>
          <w:rFonts w:hint="cs"/>
          <w:rtl/>
        </w:rPr>
        <w:t>15-</w:t>
      </w:r>
      <w:r>
        <w:rPr>
          <w:rFonts w:hint="cs"/>
          <w:rtl/>
        </w:rPr>
        <w:tab/>
        <w:t>ويرجى تقديم معلومات عن تمتع المسنين بالحقوق الاقتصادية والاجتماعية، بما في ذلك نسبة المسنين الذين يتلقون معاش</w:t>
      </w:r>
      <w:r w:rsidR="005118AC">
        <w:rPr>
          <w:rFonts w:hint="cs"/>
          <w:rtl/>
        </w:rPr>
        <w:t>اً</w:t>
      </w:r>
      <w:r>
        <w:rPr>
          <w:rFonts w:hint="cs"/>
          <w:rtl/>
        </w:rPr>
        <w:t xml:space="preserve"> تقاعد</w:t>
      </w:r>
      <w:r w:rsidR="005118AC">
        <w:rPr>
          <w:rFonts w:hint="cs"/>
          <w:rtl/>
        </w:rPr>
        <w:t>ياً</w:t>
      </w:r>
      <w:r>
        <w:rPr>
          <w:rFonts w:hint="cs"/>
          <w:rtl/>
        </w:rPr>
        <w:t xml:space="preserve">، </w:t>
      </w:r>
      <w:r w:rsidR="005118AC">
        <w:rPr>
          <w:rFonts w:hint="cs"/>
          <w:rtl/>
        </w:rPr>
        <w:t xml:space="preserve">وإمكانية حصولهم على </w:t>
      </w:r>
      <w:r>
        <w:rPr>
          <w:rFonts w:hint="cs"/>
          <w:rtl/>
        </w:rPr>
        <w:t xml:space="preserve">خدمات اجتماعية تسمح لهم بالبقاء ضمن إطار العيش المعتاد أطول مدة ممكنة، </w:t>
      </w:r>
      <w:r w:rsidR="00E806AD">
        <w:rPr>
          <w:rFonts w:hint="cs"/>
          <w:rtl/>
        </w:rPr>
        <w:t>وإمكانية حصولهم على</w:t>
      </w:r>
      <w:r>
        <w:rPr>
          <w:rFonts w:hint="cs"/>
          <w:rtl/>
        </w:rPr>
        <w:t xml:space="preserve"> الرعاية الطبية الخاصة بالمسنين. ويرجى وصف التدابير المتخذة لحماية المسنين من الهجر والإهمال وسوء المعاملة.</w:t>
      </w:r>
    </w:p>
    <w:p w:rsidR="00043E91" w:rsidRPr="00BA6531" w:rsidRDefault="00043E91" w:rsidP="002319A8">
      <w:pPr>
        <w:pStyle w:val="SingleTxtGA"/>
        <w:rPr>
          <w:rFonts w:hint="cs"/>
          <w:rtl/>
        </w:rPr>
      </w:pPr>
      <w:r>
        <w:rPr>
          <w:rFonts w:hint="cs"/>
          <w:rtl/>
        </w:rPr>
        <w:t>16-</w:t>
      </w:r>
      <w:r>
        <w:rPr>
          <w:rFonts w:hint="cs"/>
          <w:rtl/>
        </w:rPr>
        <w:tab/>
        <w:t xml:space="preserve">ويرجى تقديم معلومات عن التدابير المتخذة </w:t>
      </w:r>
      <w:r w:rsidR="00E10F09">
        <w:rPr>
          <w:rFonts w:hint="cs"/>
          <w:rtl/>
        </w:rPr>
        <w:t>لتطبيق</w:t>
      </w:r>
      <w:r>
        <w:rPr>
          <w:rFonts w:hint="cs"/>
          <w:rtl/>
        </w:rPr>
        <w:t xml:space="preserve"> أحكام المادة 333 من قانون العقوبات </w:t>
      </w:r>
      <w:r w:rsidR="00E10F09">
        <w:rPr>
          <w:rFonts w:hint="cs"/>
          <w:rtl/>
        </w:rPr>
        <w:t>تطبيقاً فعالاً</w:t>
      </w:r>
      <w:r>
        <w:rPr>
          <w:rFonts w:hint="cs"/>
          <w:rtl/>
        </w:rPr>
        <w:t>، وهي أحكام تعاقب على أعمال العنف التي تؤدي إلى تشويه الأعضاء التناسلية، وتعزيز إشراك الزعماء التقليديين والدينيين في جهود وضع حد لعمليات تشويه الأعضاء التنا</w:t>
      </w:r>
      <w:r w:rsidR="00C1563F">
        <w:rPr>
          <w:rFonts w:hint="cs"/>
          <w:rtl/>
        </w:rPr>
        <w:t>سل</w:t>
      </w:r>
      <w:r>
        <w:rPr>
          <w:rFonts w:hint="cs"/>
          <w:rtl/>
        </w:rPr>
        <w:t>ية.</w:t>
      </w:r>
    </w:p>
    <w:p w:rsidR="00043E91" w:rsidRPr="00BA6531" w:rsidRDefault="0059300B" w:rsidP="002319A8">
      <w:pPr>
        <w:pStyle w:val="H1GA"/>
        <w:rPr>
          <w:rFonts w:hint="cs"/>
          <w:rtl/>
        </w:rPr>
      </w:pPr>
      <w:r>
        <w:rPr>
          <w:rFonts w:hint="cs"/>
          <w:rtl/>
        </w:rPr>
        <w:tab/>
      </w:r>
      <w:r>
        <w:rPr>
          <w:rFonts w:hint="cs"/>
          <w:rtl/>
        </w:rPr>
        <w:tab/>
      </w:r>
      <w:r w:rsidR="00043E91" w:rsidRPr="00BA6531">
        <w:rPr>
          <w:rFonts w:hint="cs"/>
          <w:rtl/>
        </w:rPr>
        <w:t xml:space="preserve">المادة 11- الحق في مستوى معيشي </w:t>
      </w:r>
      <w:r w:rsidR="002319A8">
        <w:rPr>
          <w:rFonts w:hint="cs"/>
          <w:rtl/>
        </w:rPr>
        <w:t>كافٍ</w:t>
      </w:r>
    </w:p>
    <w:p w:rsidR="00043E91" w:rsidRDefault="00043E91" w:rsidP="008F7ACE">
      <w:pPr>
        <w:pStyle w:val="SingleTxtGA"/>
        <w:rPr>
          <w:rFonts w:hint="cs"/>
          <w:rtl/>
        </w:rPr>
      </w:pPr>
      <w:r>
        <w:rPr>
          <w:rFonts w:hint="cs"/>
          <w:rtl/>
        </w:rPr>
        <w:t>17-</w:t>
      </w:r>
      <w:r>
        <w:rPr>
          <w:rFonts w:hint="cs"/>
          <w:rtl/>
        </w:rPr>
        <w:tab/>
        <w:t xml:space="preserve">يرجى </w:t>
      </w:r>
      <w:r w:rsidR="0001482A">
        <w:rPr>
          <w:rFonts w:hint="cs"/>
          <w:rtl/>
        </w:rPr>
        <w:t>وصف الآثار التي تحدثها</w:t>
      </w:r>
      <w:r>
        <w:rPr>
          <w:rFonts w:hint="cs"/>
          <w:rtl/>
        </w:rPr>
        <w:t xml:space="preserve"> البرامج والاستراتيجيات المطبقة لمكافحة الفقر. ويرجى تقديم معلومات عن آثار التدابير المتخذة لمكافحة الإقصاء الاقتصادي والاجتماعي للأشخاص والأسر </w:t>
      </w:r>
      <w:r w:rsidR="008F7ACE">
        <w:rPr>
          <w:rFonts w:hint="cs"/>
          <w:rtl/>
        </w:rPr>
        <w:t xml:space="preserve">المنتمية لفئات </w:t>
      </w:r>
      <w:r>
        <w:rPr>
          <w:rFonts w:hint="cs"/>
          <w:rtl/>
        </w:rPr>
        <w:t>محرومة ومهمشة، لا</w:t>
      </w:r>
      <w:r w:rsidR="000624F7">
        <w:rPr>
          <w:rFonts w:hint="cs"/>
          <w:rtl/>
        </w:rPr>
        <w:t xml:space="preserve"> </w:t>
      </w:r>
      <w:r>
        <w:rPr>
          <w:rFonts w:hint="cs"/>
          <w:rtl/>
        </w:rPr>
        <w:t>سيما تلك المتخذة من أمانة الدولة للتضامن الوطني.</w:t>
      </w:r>
    </w:p>
    <w:p w:rsidR="00043E91" w:rsidRDefault="00043E91" w:rsidP="006D16D6">
      <w:pPr>
        <w:pStyle w:val="SingleTxtGA"/>
        <w:rPr>
          <w:rFonts w:hint="cs"/>
          <w:rtl/>
        </w:rPr>
      </w:pPr>
      <w:r>
        <w:rPr>
          <w:rFonts w:hint="cs"/>
          <w:rtl/>
        </w:rPr>
        <w:t>18-</w:t>
      </w:r>
      <w:r>
        <w:rPr>
          <w:rFonts w:hint="cs"/>
          <w:rtl/>
        </w:rPr>
        <w:tab/>
        <w:t xml:space="preserve">ويرجى الإشارة إلى ما إذا كانت التدابير المذكورة في الفقرة 129 من تقرير الدولة الطرف </w:t>
      </w:r>
      <w:r w:rsidR="006D16D6">
        <w:rPr>
          <w:rFonts w:hint="cs"/>
          <w:rtl/>
        </w:rPr>
        <w:t>س</w:t>
      </w:r>
      <w:r>
        <w:rPr>
          <w:rFonts w:hint="cs"/>
          <w:rtl/>
        </w:rPr>
        <w:t>تسمح بإعمال الحق في الغذاء الكافي لجميع السكان. ويرجى ذكر ما أحرز من تقدم في هذا المجال.</w:t>
      </w:r>
    </w:p>
    <w:p w:rsidR="00043E91" w:rsidRDefault="00043E91" w:rsidP="003038E3">
      <w:pPr>
        <w:pStyle w:val="SingleTxtGA"/>
        <w:rPr>
          <w:rFonts w:hint="cs"/>
          <w:rtl/>
        </w:rPr>
      </w:pPr>
      <w:r>
        <w:rPr>
          <w:rFonts w:hint="cs"/>
          <w:rtl/>
        </w:rPr>
        <w:t>19-</w:t>
      </w:r>
      <w:r>
        <w:rPr>
          <w:rFonts w:hint="cs"/>
          <w:rtl/>
        </w:rPr>
        <w:tab/>
        <w:t xml:space="preserve">ويرجى وصف الوضع الراهن المتعلق بالحصول على الماء الصالح للشرب في المناطق الحضرية والريفية في أعقاب </w:t>
      </w:r>
      <w:r w:rsidR="006D16D6">
        <w:rPr>
          <w:rFonts w:hint="cs"/>
          <w:rtl/>
        </w:rPr>
        <w:t>العمل</w:t>
      </w:r>
      <w:r w:rsidR="0009201A">
        <w:rPr>
          <w:rFonts w:hint="cs"/>
          <w:rtl/>
        </w:rPr>
        <w:t>،</w:t>
      </w:r>
      <w:r w:rsidR="006D16D6">
        <w:rPr>
          <w:rFonts w:hint="cs"/>
          <w:rtl/>
        </w:rPr>
        <w:t xml:space="preserve"> حتى عام 2011</w:t>
      </w:r>
      <w:r w:rsidR="000F6657">
        <w:rPr>
          <w:rFonts w:hint="cs"/>
          <w:rtl/>
        </w:rPr>
        <w:t>،</w:t>
      </w:r>
      <w:r w:rsidR="006D16D6">
        <w:rPr>
          <w:rFonts w:hint="cs"/>
          <w:rtl/>
        </w:rPr>
        <w:t xml:space="preserve"> على </w:t>
      </w:r>
      <w:r>
        <w:rPr>
          <w:rFonts w:hint="cs"/>
          <w:rtl/>
        </w:rPr>
        <w:t xml:space="preserve">تنفيذ الخطة الثلاثية </w:t>
      </w:r>
      <w:proofErr w:type="spellStart"/>
      <w:r>
        <w:rPr>
          <w:rFonts w:hint="cs"/>
          <w:rtl/>
        </w:rPr>
        <w:t>واستراتيجية</w:t>
      </w:r>
      <w:proofErr w:type="spellEnd"/>
      <w:r>
        <w:rPr>
          <w:rFonts w:hint="cs"/>
          <w:rtl/>
        </w:rPr>
        <w:t xml:space="preserve"> تأمين الحصول على الماء </w:t>
      </w:r>
      <w:r w:rsidR="006D16D6">
        <w:rPr>
          <w:rFonts w:hint="cs"/>
          <w:rtl/>
        </w:rPr>
        <w:t>الصالح</w:t>
      </w:r>
      <w:r>
        <w:rPr>
          <w:rFonts w:hint="cs"/>
          <w:rtl/>
        </w:rPr>
        <w:t xml:space="preserve"> للشرب في المناطق الريفية. ويرجى أيضا</w:t>
      </w:r>
      <w:r w:rsidR="00D15A70">
        <w:rPr>
          <w:rFonts w:hint="cs"/>
          <w:rtl/>
        </w:rPr>
        <w:t>ً</w:t>
      </w:r>
      <w:r>
        <w:rPr>
          <w:rFonts w:hint="cs"/>
          <w:rtl/>
        </w:rPr>
        <w:t xml:space="preserve"> تقديم معلومات عن التقدم الذي تحقق في ميدان </w:t>
      </w:r>
      <w:proofErr w:type="spellStart"/>
      <w:r>
        <w:rPr>
          <w:rFonts w:hint="cs"/>
          <w:rtl/>
        </w:rPr>
        <w:t>التحلية</w:t>
      </w:r>
      <w:proofErr w:type="spellEnd"/>
      <w:r>
        <w:rPr>
          <w:rFonts w:hint="cs"/>
          <w:rtl/>
        </w:rPr>
        <w:t xml:space="preserve"> ومكافحة إهدار الماء.</w:t>
      </w:r>
    </w:p>
    <w:p w:rsidR="00043E91" w:rsidRDefault="00043E91" w:rsidP="007C7C97">
      <w:pPr>
        <w:pStyle w:val="SingleTxtGA"/>
        <w:rPr>
          <w:rFonts w:hint="cs"/>
          <w:rtl/>
        </w:rPr>
      </w:pPr>
      <w:r>
        <w:rPr>
          <w:rFonts w:hint="cs"/>
          <w:rtl/>
        </w:rPr>
        <w:t>20-</w:t>
      </w:r>
      <w:r>
        <w:rPr>
          <w:rFonts w:hint="cs"/>
          <w:rtl/>
        </w:rPr>
        <w:tab/>
        <w:t>ويرجى تقديم معلومات عن التدابير التي اتخذتها الدولة الطرف أو تعتزم اتخاذها لتحسين ظروف من يعيشون في مساكن غير مأمونة.</w:t>
      </w:r>
    </w:p>
    <w:p w:rsidR="00043E91" w:rsidRPr="00AF7861" w:rsidRDefault="00B417F7" w:rsidP="00B417F7">
      <w:pPr>
        <w:pStyle w:val="H1GA"/>
        <w:rPr>
          <w:rFonts w:hint="cs"/>
          <w:rtl/>
        </w:rPr>
      </w:pPr>
      <w:r>
        <w:rPr>
          <w:rFonts w:hint="cs"/>
          <w:rtl/>
        </w:rPr>
        <w:tab/>
      </w:r>
      <w:r>
        <w:rPr>
          <w:rFonts w:hint="cs"/>
          <w:rtl/>
        </w:rPr>
        <w:tab/>
      </w:r>
      <w:r w:rsidR="00043E91" w:rsidRPr="00AF7861">
        <w:rPr>
          <w:rFonts w:hint="cs"/>
          <w:rtl/>
        </w:rPr>
        <w:t>المادة 12- الحق في الصحة البدنية والنفسية</w:t>
      </w:r>
    </w:p>
    <w:p w:rsidR="00043E91" w:rsidRDefault="00043E91" w:rsidP="007C7C97">
      <w:pPr>
        <w:pStyle w:val="SingleTxtGA"/>
        <w:rPr>
          <w:rFonts w:hint="cs"/>
          <w:rtl/>
        </w:rPr>
      </w:pPr>
      <w:r>
        <w:rPr>
          <w:rFonts w:hint="cs"/>
          <w:rtl/>
        </w:rPr>
        <w:t>21-</w:t>
      </w:r>
      <w:r>
        <w:rPr>
          <w:rFonts w:hint="cs"/>
          <w:rtl/>
        </w:rPr>
        <w:tab/>
        <w:t>يرجى الإشارة إلى عدد المواطنين المشمولين بالتأمين الصحي، مثلما جاء في</w:t>
      </w:r>
      <w:r w:rsidR="000F6657">
        <w:rPr>
          <w:rFonts w:hint="cs"/>
          <w:rtl/>
        </w:rPr>
        <w:t xml:space="preserve">          </w:t>
      </w:r>
      <w:r>
        <w:rPr>
          <w:rFonts w:hint="cs"/>
          <w:rtl/>
        </w:rPr>
        <w:t xml:space="preserve"> الفقرة 159 من تقرير الدولة الطرف. ويرجى أيضا</w:t>
      </w:r>
      <w:r w:rsidR="00D15A70">
        <w:rPr>
          <w:rFonts w:hint="cs"/>
          <w:rtl/>
        </w:rPr>
        <w:t>ً</w:t>
      </w:r>
      <w:r>
        <w:rPr>
          <w:rFonts w:hint="cs"/>
          <w:rtl/>
        </w:rPr>
        <w:t xml:space="preserve"> توضيح سبب ارتفاع تكاليف الرعاية في المؤسسات الصحية العامة مقارنة بالقطاع الخاص. ويرجى ذكر التدابير التي اتخذتها الدولة الطرف لجعل تكلفة الخدمات الصحية والتأمين الصحي في متناول الجميع، بمن فهيم الفئات المحرومة اجتماعيا</w:t>
      </w:r>
      <w:r w:rsidR="007C7C97">
        <w:rPr>
          <w:rFonts w:hint="cs"/>
          <w:rtl/>
        </w:rPr>
        <w:t>ً</w:t>
      </w:r>
      <w:r>
        <w:rPr>
          <w:rFonts w:hint="cs"/>
          <w:rtl/>
        </w:rPr>
        <w:t xml:space="preserve"> وسكان الأرياف.</w:t>
      </w:r>
    </w:p>
    <w:p w:rsidR="00043E91" w:rsidRDefault="00043E91" w:rsidP="00A20CA9">
      <w:pPr>
        <w:pStyle w:val="SingleTxtGA"/>
        <w:rPr>
          <w:rFonts w:hint="cs"/>
          <w:rtl/>
        </w:rPr>
      </w:pPr>
      <w:r>
        <w:rPr>
          <w:rFonts w:hint="cs"/>
          <w:rtl/>
        </w:rPr>
        <w:t>22-</w:t>
      </w:r>
      <w:r>
        <w:rPr>
          <w:rFonts w:hint="cs"/>
          <w:rtl/>
        </w:rPr>
        <w:tab/>
        <w:t xml:space="preserve">وما هي الآلية التي أنشئت لإدامة تمويل قطاع الصحة، وهو أحد المحاور </w:t>
      </w:r>
      <w:proofErr w:type="spellStart"/>
      <w:r>
        <w:rPr>
          <w:rFonts w:hint="cs"/>
          <w:rtl/>
        </w:rPr>
        <w:t>الاستراتيجية</w:t>
      </w:r>
      <w:proofErr w:type="spellEnd"/>
      <w:r>
        <w:rPr>
          <w:rFonts w:hint="cs"/>
          <w:rtl/>
        </w:rPr>
        <w:t xml:space="preserve"> للخطة العشرية للصحة 2002-2011. وبالتحديد، ما هي التدابير التي اتخذت لتفادي تقليص </w:t>
      </w:r>
      <w:r w:rsidR="008B69B9">
        <w:rPr>
          <w:rFonts w:hint="cs"/>
          <w:rtl/>
        </w:rPr>
        <w:t>الميزانية المخصصة ل</w:t>
      </w:r>
      <w:r>
        <w:rPr>
          <w:rFonts w:hint="cs"/>
          <w:rtl/>
        </w:rPr>
        <w:t xml:space="preserve">لخدمات الصحية الأساسية، بما في ذلك كشف </w:t>
      </w:r>
      <w:r w:rsidR="00A42FD2">
        <w:rPr>
          <w:rFonts w:hint="cs"/>
          <w:rtl/>
        </w:rPr>
        <w:t xml:space="preserve">الإصابة بالسل وفيروس نقص المناعة البشرية/الإيدز ومساعدة المصابين </w:t>
      </w:r>
      <w:proofErr w:type="spellStart"/>
      <w:r w:rsidR="00A42FD2">
        <w:rPr>
          <w:rFonts w:hint="cs"/>
          <w:rtl/>
        </w:rPr>
        <w:t>بهما</w:t>
      </w:r>
      <w:proofErr w:type="spellEnd"/>
      <w:r>
        <w:rPr>
          <w:rFonts w:hint="cs"/>
          <w:rtl/>
        </w:rPr>
        <w:t>.</w:t>
      </w:r>
    </w:p>
    <w:p w:rsidR="00043E91" w:rsidRDefault="00043E91" w:rsidP="00855E9A">
      <w:pPr>
        <w:pStyle w:val="SingleTxtGA"/>
        <w:rPr>
          <w:rFonts w:hint="cs"/>
          <w:rtl/>
        </w:rPr>
      </w:pPr>
      <w:r>
        <w:rPr>
          <w:rFonts w:hint="cs"/>
          <w:rtl/>
        </w:rPr>
        <w:t>23-</w:t>
      </w:r>
      <w:r>
        <w:rPr>
          <w:rFonts w:hint="cs"/>
          <w:rtl/>
        </w:rPr>
        <w:tab/>
        <w:t>ويرجى تقديم معلومات عن التدابير المتخذة من الدولة الطرف لمكافحة تعاطي المخدرات وإدمان الكحول، وعن خدمات العلاج والرعاية المقترحة على متعاطي المخدرات.</w:t>
      </w:r>
    </w:p>
    <w:p w:rsidR="00043E91" w:rsidRPr="005716EC" w:rsidRDefault="000624F7" w:rsidP="000624F7">
      <w:pPr>
        <w:pStyle w:val="H1GA"/>
        <w:rPr>
          <w:rFonts w:hint="cs"/>
          <w:rtl/>
        </w:rPr>
      </w:pPr>
      <w:r>
        <w:rPr>
          <w:rFonts w:hint="cs"/>
          <w:rtl/>
        </w:rPr>
        <w:tab/>
      </w:r>
      <w:r w:rsidR="00F97205">
        <w:rPr>
          <w:rFonts w:hint="cs"/>
          <w:rtl/>
        </w:rPr>
        <w:tab/>
      </w:r>
      <w:r w:rsidR="00043E91" w:rsidRPr="005716EC">
        <w:rPr>
          <w:rFonts w:hint="cs"/>
          <w:rtl/>
        </w:rPr>
        <w:t>المادتان 13 و14- الحق في التعليم</w:t>
      </w:r>
    </w:p>
    <w:p w:rsidR="00043E91" w:rsidRDefault="00043E91" w:rsidP="003637C9">
      <w:pPr>
        <w:pStyle w:val="SingleTxtGA"/>
        <w:rPr>
          <w:rFonts w:hint="cs"/>
          <w:rtl/>
        </w:rPr>
      </w:pPr>
      <w:r>
        <w:rPr>
          <w:rFonts w:hint="cs"/>
          <w:rtl/>
        </w:rPr>
        <w:t>24-</w:t>
      </w:r>
      <w:r>
        <w:rPr>
          <w:rFonts w:hint="cs"/>
          <w:rtl/>
        </w:rPr>
        <w:tab/>
        <w:t xml:space="preserve">يرجى تقديم معلومات مستجدة عن نتائج </w:t>
      </w:r>
      <w:proofErr w:type="spellStart"/>
      <w:r>
        <w:rPr>
          <w:rFonts w:hint="cs"/>
          <w:rtl/>
        </w:rPr>
        <w:t>الاستراتيجية</w:t>
      </w:r>
      <w:proofErr w:type="spellEnd"/>
      <w:r>
        <w:rPr>
          <w:rFonts w:hint="cs"/>
          <w:rtl/>
        </w:rPr>
        <w:t xml:space="preserve"> العشرية للتعليم المعتمدة في عام 2000، لا</w:t>
      </w:r>
      <w:r w:rsidR="000624F7">
        <w:rPr>
          <w:rFonts w:hint="cs"/>
          <w:rtl/>
        </w:rPr>
        <w:t xml:space="preserve"> </w:t>
      </w:r>
      <w:r>
        <w:rPr>
          <w:rFonts w:hint="cs"/>
          <w:rtl/>
        </w:rPr>
        <w:t>سيما معدل الالتحاق بالتعليم الأساسي، والتعليم للجميع، وتقليص التفاوت بين الجنسين، وتحسين نوعية التعليم.</w:t>
      </w:r>
    </w:p>
    <w:p w:rsidR="00043E91" w:rsidRDefault="00043E91" w:rsidP="009624E3">
      <w:pPr>
        <w:pStyle w:val="SingleTxtGA"/>
        <w:rPr>
          <w:rFonts w:hint="cs"/>
          <w:rtl/>
        </w:rPr>
      </w:pPr>
      <w:r>
        <w:rPr>
          <w:rFonts w:hint="cs"/>
          <w:rtl/>
        </w:rPr>
        <w:t>25-</w:t>
      </w:r>
      <w:r>
        <w:rPr>
          <w:rFonts w:hint="cs"/>
          <w:rtl/>
        </w:rPr>
        <w:tab/>
        <w:t>ويرجى تقد</w:t>
      </w:r>
      <w:r w:rsidR="003637C9">
        <w:rPr>
          <w:rFonts w:hint="cs"/>
          <w:rtl/>
        </w:rPr>
        <w:t xml:space="preserve">يم معلومات أيضاً عن </w:t>
      </w:r>
      <w:proofErr w:type="spellStart"/>
      <w:r w:rsidR="003637C9">
        <w:rPr>
          <w:rFonts w:hint="cs"/>
          <w:rtl/>
        </w:rPr>
        <w:t>الاستراتيجية</w:t>
      </w:r>
      <w:proofErr w:type="spellEnd"/>
      <w:r>
        <w:rPr>
          <w:rFonts w:hint="cs"/>
          <w:rtl/>
        </w:rPr>
        <w:t xml:space="preserve"> التي اعتمدتها الدولة الطرف </w:t>
      </w:r>
      <w:r w:rsidR="009624E3">
        <w:rPr>
          <w:rFonts w:hint="cs"/>
          <w:rtl/>
        </w:rPr>
        <w:t>لتحسين</w:t>
      </w:r>
      <w:r>
        <w:rPr>
          <w:rFonts w:hint="cs"/>
          <w:rtl/>
        </w:rPr>
        <w:t xml:space="preserve"> سبل </w:t>
      </w:r>
      <w:r w:rsidR="009624E3">
        <w:rPr>
          <w:rFonts w:hint="cs"/>
          <w:rtl/>
        </w:rPr>
        <w:t>استفادة</w:t>
      </w:r>
      <w:r>
        <w:rPr>
          <w:rFonts w:hint="cs"/>
          <w:rtl/>
        </w:rPr>
        <w:t xml:space="preserve"> الرّحّل</w:t>
      </w:r>
      <w:r w:rsidR="009624E3">
        <w:rPr>
          <w:rFonts w:hint="cs"/>
          <w:rtl/>
        </w:rPr>
        <w:t xml:space="preserve"> من</w:t>
      </w:r>
      <w:r>
        <w:rPr>
          <w:rFonts w:hint="cs"/>
          <w:rtl/>
        </w:rPr>
        <w:t xml:space="preserve"> التعليم، وكذلك الأطفال الذين لا يتلقون التعليم بسبب بعد المسافة.</w:t>
      </w:r>
    </w:p>
    <w:p w:rsidR="00043E91" w:rsidRDefault="00043E91" w:rsidP="00642F69">
      <w:pPr>
        <w:pStyle w:val="SingleTxtGA"/>
        <w:rPr>
          <w:rFonts w:hint="cs"/>
          <w:rtl/>
        </w:rPr>
      </w:pPr>
      <w:r>
        <w:rPr>
          <w:rFonts w:hint="cs"/>
          <w:rtl/>
        </w:rPr>
        <w:t>26-</w:t>
      </w:r>
      <w:r>
        <w:rPr>
          <w:rFonts w:hint="cs"/>
          <w:rtl/>
        </w:rPr>
        <w:tab/>
        <w:t xml:space="preserve">ويرجى تقديم معلومات عن </w:t>
      </w:r>
      <w:r w:rsidR="008401E1">
        <w:rPr>
          <w:rFonts w:hint="cs"/>
          <w:rtl/>
        </w:rPr>
        <w:t>آثار</w:t>
      </w:r>
      <w:r>
        <w:rPr>
          <w:rFonts w:hint="cs"/>
          <w:rtl/>
        </w:rPr>
        <w:t xml:space="preserve"> التدابير المشار إليها في الفقرة 176 من تقرير الدولة الطرف، أي تنفيذ برنامج محو الأمية وإنشاء مراكز لهذا الغرض، </w:t>
      </w:r>
      <w:r w:rsidR="007C11F1">
        <w:rPr>
          <w:rFonts w:hint="cs"/>
          <w:rtl/>
        </w:rPr>
        <w:t>على</w:t>
      </w:r>
      <w:r>
        <w:rPr>
          <w:rFonts w:hint="cs"/>
          <w:rtl/>
        </w:rPr>
        <w:t xml:space="preserve"> معدل إلمام البالغين </w:t>
      </w:r>
      <w:r w:rsidR="007C11F1">
        <w:rPr>
          <w:rFonts w:hint="cs"/>
          <w:rtl/>
        </w:rPr>
        <w:t xml:space="preserve">رجالاً ونساءً </w:t>
      </w:r>
      <w:r>
        <w:rPr>
          <w:rFonts w:hint="cs"/>
          <w:rtl/>
        </w:rPr>
        <w:t>بالقراءة والكتابة.</w:t>
      </w:r>
    </w:p>
    <w:p w:rsidR="00043E91" w:rsidRPr="00BD6BE5" w:rsidRDefault="00642F69" w:rsidP="00642F69">
      <w:pPr>
        <w:pStyle w:val="H1GA"/>
        <w:rPr>
          <w:rFonts w:hint="cs"/>
          <w:rtl/>
        </w:rPr>
      </w:pPr>
      <w:r>
        <w:rPr>
          <w:rFonts w:hint="cs"/>
          <w:rtl/>
        </w:rPr>
        <w:tab/>
      </w:r>
      <w:r>
        <w:rPr>
          <w:rFonts w:hint="cs"/>
          <w:rtl/>
        </w:rPr>
        <w:tab/>
      </w:r>
      <w:r w:rsidR="00043E91" w:rsidRPr="00BD6BE5">
        <w:rPr>
          <w:rFonts w:hint="cs"/>
          <w:rtl/>
        </w:rPr>
        <w:t>المادة 15- الحقوق الثقافية</w:t>
      </w:r>
    </w:p>
    <w:p w:rsidR="00043E91" w:rsidRDefault="00043E91" w:rsidP="000E3B2E">
      <w:pPr>
        <w:pStyle w:val="SingleTxtGA"/>
        <w:rPr>
          <w:rFonts w:hint="cs"/>
          <w:rtl/>
        </w:rPr>
      </w:pPr>
      <w:r>
        <w:rPr>
          <w:rFonts w:hint="cs"/>
          <w:rtl/>
        </w:rPr>
        <w:t>27-</w:t>
      </w:r>
      <w:r>
        <w:rPr>
          <w:rFonts w:hint="cs"/>
          <w:rtl/>
        </w:rPr>
        <w:tab/>
        <w:t xml:space="preserve">يرجى تقديم معلومات عن التدابير المتخذة لتمكين الرّحّل من الحفاظ على أسلوب حياتهم، والإشارة إلى </w:t>
      </w:r>
      <w:r w:rsidR="00BE4FE8">
        <w:rPr>
          <w:rFonts w:hint="cs"/>
          <w:rtl/>
        </w:rPr>
        <w:t xml:space="preserve">مدى </w:t>
      </w:r>
      <w:r>
        <w:rPr>
          <w:rFonts w:hint="cs"/>
          <w:rtl/>
        </w:rPr>
        <w:t xml:space="preserve">تأثير سياسة الدولة الطرف القاضية </w:t>
      </w:r>
      <w:r w:rsidRPr="00043E91">
        <w:rPr>
          <w:rFonts w:hint="cs"/>
          <w:sz w:val="30"/>
          <w:rtl/>
        </w:rPr>
        <w:t>ب‍</w:t>
      </w:r>
      <w:r>
        <w:rPr>
          <w:rFonts w:hint="cs"/>
          <w:rtl/>
        </w:rPr>
        <w:t xml:space="preserve"> "تثبيت الرّحّل </w:t>
      </w:r>
      <w:r w:rsidR="000E3B2E">
        <w:rPr>
          <w:rFonts w:hint="cs"/>
          <w:rtl/>
        </w:rPr>
        <w:t xml:space="preserve">الذين يعيشون </w:t>
      </w:r>
      <w:r>
        <w:rPr>
          <w:rFonts w:hint="cs"/>
          <w:rtl/>
        </w:rPr>
        <w:t>داخل البلد"</w:t>
      </w:r>
      <w:r w:rsidR="000E3B2E">
        <w:rPr>
          <w:rFonts w:hint="cs"/>
          <w:rtl/>
        </w:rPr>
        <w:t xml:space="preserve"> في هذا الأسلوب</w:t>
      </w:r>
      <w:r>
        <w:rPr>
          <w:rFonts w:hint="cs"/>
          <w:rtl/>
        </w:rPr>
        <w:t>.</w:t>
      </w:r>
    </w:p>
    <w:p w:rsidR="00043E91" w:rsidRDefault="00043E91" w:rsidP="00D86E47">
      <w:pPr>
        <w:pStyle w:val="SingleTxtGA"/>
        <w:rPr>
          <w:rFonts w:hint="cs"/>
          <w:rtl/>
        </w:rPr>
      </w:pPr>
      <w:r>
        <w:rPr>
          <w:rFonts w:hint="cs"/>
          <w:rtl/>
        </w:rPr>
        <w:t>28-</w:t>
      </w:r>
      <w:r>
        <w:rPr>
          <w:rFonts w:hint="cs"/>
          <w:rtl/>
        </w:rPr>
        <w:tab/>
        <w:t xml:space="preserve">ويرجى تحديد وضع اللغات التي </w:t>
      </w:r>
      <w:proofErr w:type="spellStart"/>
      <w:r>
        <w:rPr>
          <w:rFonts w:hint="cs"/>
          <w:rtl/>
        </w:rPr>
        <w:t>يتحدثها</w:t>
      </w:r>
      <w:proofErr w:type="spellEnd"/>
      <w:r>
        <w:rPr>
          <w:rFonts w:hint="cs"/>
          <w:rtl/>
        </w:rPr>
        <w:t xml:space="preserve"> الناس في الدولة الطرف، إضافة إلى اللغات الرسمية. ويرجى إبلاغ اللجنة بمدى تقدم إدراج التعليم باللغة الصومالية </w:t>
      </w:r>
      <w:proofErr w:type="spellStart"/>
      <w:r>
        <w:rPr>
          <w:rFonts w:hint="cs"/>
          <w:rtl/>
        </w:rPr>
        <w:t>والعفرية</w:t>
      </w:r>
      <w:proofErr w:type="spellEnd"/>
      <w:r>
        <w:rPr>
          <w:rFonts w:hint="cs"/>
          <w:rtl/>
        </w:rPr>
        <w:t xml:space="preserve"> في المقررات الدراسية.</w:t>
      </w:r>
    </w:p>
    <w:p w:rsidR="00D86E47" w:rsidRPr="00D86E47" w:rsidRDefault="00D86E47" w:rsidP="00D86E47">
      <w:pPr>
        <w:spacing w:before="120"/>
        <w:jc w:val="center"/>
        <w:rPr>
          <w:rFonts w:hint="cs"/>
          <w:u w:val="single"/>
          <w:rtl/>
        </w:rPr>
      </w:pPr>
      <w:r>
        <w:rPr>
          <w:u w:val="single"/>
          <w:rtl/>
        </w:rPr>
        <w:tab/>
      </w:r>
      <w:r>
        <w:rPr>
          <w:u w:val="single"/>
          <w:rtl/>
        </w:rPr>
        <w:tab/>
      </w:r>
      <w:r>
        <w:rPr>
          <w:u w:val="single"/>
          <w:rtl/>
        </w:rPr>
        <w:tab/>
      </w:r>
    </w:p>
    <w:sectPr w:rsidR="00D86E47" w:rsidRPr="00D86E47" w:rsidSect="000313CD">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3B" w:rsidRPr="00FE6865" w:rsidRDefault="0014223B" w:rsidP="00FE6865">
      <w:pPr>
        <w:pStyle w:val="Footer"/>
      </w:pPr>
    </w:p>
  </w:endnote>
  <w:endnote w:type="continuationSeparator" w:id="0">
    <w:p w:rsidR="0014223B" w:rsidRDefault="0014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3B" w:rsidRPr="000313CD" w:rsidRDefault="0014223B" w:rsidP="000313CD">
    <w:pPr>
      <w:pStyle w:val="Footer"/>
      <w:tabs>
        <w:tab w:val="right" w:pos="9598"/>
      </w:tabs>
    </w:pPr>
    <w:r>
      <w:t>GE.13-44465</w:t>
    </w:r>
    <w:r>
      <w:tab/>
    </w:r>
    <w:r w:rsidRPr="000313CD">
      <w:rPr>
        <w:b/>
        <w:sz w:val="18"/>
      </w:rPr>
      <w:fldChar w:fldCharType="begin"/>
    </w:r>
    <w:r w:rsidRPr="000313CD">
      <w:rPr>
        <w:b/>
        <w:sz w:val="18"/>
      </w:rPr>
      <w:instrText xml:space="preserve"> PAGE  \* MERGEFORMAT </w:instrText>
    </w:r>
    <w:r w:rsidRPr="000313CD">
      <w:rPr>
        <w:b/>
        <w:sz w:val="18"/>
      </w:rPr>
      <w:fldChar w:fldCharType="separate"/>
    </w:r>
    <w:r>
      <w:rPr>
        <w:b/>
        <w:noProof/>
        <w:sz w:val="18"/>
      </w:rPr>
      <w:t>4</w:t>
    </w:r>
    <w:r w:rsidRPr="000313C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3B" w:rsidRPr="000313CD" w:rsidRDefault="0014223B" w:rsidP="000313CD">
    <w:pPr>
      <w:pStyle w:val="Footer"/>
      <w:tabs>
        <w:tab w:val="right" w:pos="9598"/>
      </w:tabs>
      <w:rPr>
        <w:b/>
        <w:sz w:val="18"/>
      </w:rPr>
    </w:pPr>
    <w:r w:rsidRPr="000313CD">
      <w:rPr>
        <w:b/>
        <w:sz w:val="18"/>
      </w:rPr>
      <w:fldChar w:fldCharType="begin"/>
    </w:r>
    <w:r w:rsidRPr="000313CD">
      <w:rPr>
        <w:b/>
        <w:sz w:val="18"/>
      </w:rPr>
      <w:instrText xml:space="preserve"> PAGE  \* MERGEFORMAT </w:instrText>
    </w:r>
    <w:r w:rsidRPr="000313CD">
      <w:rPr>
        <w:b/>
        <w:sz w:val="18"/>
      </w:rPr>
      <w:fldChar w:fldCharType="separate"/>
    </w:r>
    <w:r>
      <w:rPr>
        <w:b/>
        <w:noProof/>
        <w:sz w:val="18"/>
      </w:rPr>
      <w:t>5</w:t>
    </w:r>
    <w:r w:rsidRPr="000313CD">
      <w:rPr>
        <w:b/>
        <w:sz w:val="18"/>
      </w:rPr>
      <w:fldChar w:fldCharType="end"/>
    </w:r>
    <w:r>
      <w:rPr>
        <w:b/>
        <w:sz w:val="18"/>
      </w:rPr>
      <w:tab/>
    </w:r>
    <w:r>
      <w:t>GE.13-44465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3B" w:rsidRDefault="0014223B" w:rsidP="0009201A">
    <w:pPr>
      <w:pStyle w:val="Footer"/>
      <w:jc w:val="right"/>
    </w:pPr>
    <w:r>
      <w:rPr>
        <w:sz w:val="20"/>
      </w:rPr>
      <w:t>(A)   GE.13-44465    140613    170613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3B" w:rsidRDefault="0014223B" w:rsidP="003F6FD7">
      <w:pPr>
        <w:pStyle w:val="Footer"/>
        <w:bidi/>
        <w:spacing w:after="80" w:line="200" w:lineRule="exact"/>
        <w:ind w:left="680"/>
      </w:pPr>
      <w:r>
        <w:rPr>
          <w:rFonts w:hint="cs"/>
          <w:rtl/>
        </w:rPr>
        <w:t>__________</w:t>
      </w:r>
    </w:p>
  </w:footnote>
  <w:footnote w:type="continuationSeparator" w:id="0">
    <w:p w:rsidR="0014223B" w:rsidRDefault="0014223B" w:rsidP="003F6FD7">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3B" w:rsidRPr="000313CD" w:rsidRDefault="0014223B" w:rsidP="000313CD">
    <w:pPr>
      <w:pStyle w:val="Header"/>
      <w:jc w:val="right"/>
    </w:pPr>
    <w:r w:rsidRPr="000313CD">
      <w:t>E/C.12/WG/DJI/Q/1-2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3B" w:rsidRPr="000313CD" w:rsidRDefault="0014223B" w:rsidP="000313CD">
    <w:pPr>
      <w:pStyle w:val="Header"/>
      <w:jc w:val="left"/>
    </w:pPr>
    <w:r w:rsidRPr="000313CD">
      <w:t>E/C.12/WG/DJI/Q/1-2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475"/>
    <w:rsid w:val="0001482A"/>
    <w:rsid w:val="000313CD"/>
    <w:rsid w:val="00040E25"/>
    <w:rsid w:val="00042149"/>
    <w:rsid w:val="00043E91"/>
    <w:rsid w:val="000624F7"/>
    <w:rsid w:val="000648EA"/>
    <w:rsid w:val="0009201A"/>
    <w:rsid w:val="000957C8"/>
    <w:rsid w:val="000B52F2"/>
    <w:rsid w:val="000D0EAE"/>
    <w:rsid w:val="000D5380"/>
    <w:rsid w:val="000D6654"/>
    <w:rsid w:val="000E3B2E"/>
    <w:rsid w:val="000F0264"/>
    <w:rsid w:val="000F2EBF"/>
    <w:rsid w:val="000F5FF6"/>
    <w:rsid w:val="000F6657"/>
    <w:rsid w:val="00113FA5"/>
    <w:rsid w:val="0014223B"/>
    <w:rsid w:val="001455A0"/>
    <w:rsid w:val="001602A3"/>
    <w:rsid w:val="001A406B"/>
    <w:rsid w:val="001A5161"/>
    <w:rsid w:val="001A60BD"/>
    <w:rsid w:val="001B2169"/>
    <w:rsid w:val="001F114C"/>
    <w:rsid w:val="002319A8"/>
    <w:rsid w:val="00232940"/>
    <w:rsid w:val="0023736D"/>
    <w:rsid w:val="00257225"/>
    <w:rsid w:val="002C1D38"/>
    <w:rsid w:val="003038E3"/>
    <w:rsid w:val="00310160"/>
    <w:rsid w:val="00314B24"/>
    <w:rsid w:val="0034060D"/>
    <w:rsid w:val="00341A8C"/>
    <w:rsid w:val="003519E6"/>
    <w:rsid w:val="003637C9"/>
    <w:rsid w:val="003B4356"/>
    <w:rsid w:val="003C0F25"/>
    <w:rsid w:val="003C74AE"/>
    <w:rsid w:val="003F08A8"/>
    <w:rsid w:val="003F6AF7"/>
    <w:rsid w:val="003F6FD7"/>
    <w:rsid w:val="004216D3"/>
    <w:rsid w:val="004250E3"/>
    <w:rsid w:val="00442910"/>
    <w:rsid w:val="00461A2D"/>
    <w:rsid w:val="0046705E"/>
    <w:rsid w:val="00472A81"/>
    <w:rsid w:val="004B2C92"/>
    <w:rsid w:val="004D5CB1"/>
    <w:rsid w:val="004D6A3A"/>
    <w:rsid w:val="004F4AD7"/>
    <w:rsid w:val="005118AC"/>
    <w:rsid w:val="005511CB"/>
    <w:rsid w:val="00557CD3"/>
    <w:rsid w:val="00567691"/>
    <w:rsid w:val="00571432"/>
    <w:rsid w:val="005722B7"/>
    <w:rsid w:val="005732A2"/>
    <w:rsid w:val="005762A5"/>
    <w:rsid w:val="00590BA3"/>
    <w:rsid w:val="0059300B"/>
    <w:rsid w:val="00597735"/>
    <w:rsid w:val="005B7AE0"/>
    <w:rsid w:val="005F146F"/>
    <w:rsid w:val="005F71B6"/>
    <w:rsid w:val="00622359"/>
    <w:rsid w:val="00632624"/>
    <w:rsid w:val="00642F69"/>
    <w:rsid w:val="00660FD4"/>
    <w:rsid w:val="00674B69"/>
    <w:rsid w:val="00675246"/>
    <w:rsid w:val="0068691F"/>
    <w:rsid w:val="006A4425"/>
    <w:rsid w:val="006B4669"/>
    <w:rsid w:val="006D16D6"/>
    <w:rsid w:val="006F6BF8"/>
    <w:rsid w:val="00707BDF"/>
    <w:rsid w:val="007101BA"/>
    <w:rsid w:val="00710727"/>
    <w:rsid w:val="00715F45"/>
    <w:rsid w:val="00722956"/>
    <w:rsid w:val="00731B84"/>
    <w:rsid w:val="00734AE7"/>
    <w:rsid w:val="0075240B"/>
    <w:rsid w:val="00773A9F"/>
    <w:rsid w:val="00776674"/>
    <w:rsid w:val="007B4C75"/>
    <w:rsid w:val="007C11F1"/>
    <w:rsid w:val="007C7C97"/>
    <w:rsid w:val="007E197F"/>
    <w:rsid w:val="007F68C4"/>
    <w:rsid w:val="008153DE"/>
    <w:rsid w:val="008401E1"/>
    <w:rsid w:val="00852A10"/>
    <w:rsid w:val="00855E9A"/>
    <w:rsid w:val="00862634"/>
    <w:rsid w:val="00866C59"/>
    <w:rsid w:val="00877306"/>
    <w:rsid w:val="008A6242"/>
    <w:rsid w:val="008B4BC6"/>
    <w:rsid w:val="008B69B9"/>
    <w:rsid w:val="008E7E08"/>
    <w:rsid w:val="008E7EB6"/>
    <w:rsid w:val="008F7ACE"/>
    <w:rsid w:val="00901E57"/>
    <w:rsid w:val="00904F5C"/>
    <w:rsid w:val="00911311"/>
    <w:rsid w:val="00925E8C"/>
    <w:rsid w:val="00927D7F"/>
    <w:rsid w:val="00935F0E"/>
    <w:rsid w:val="00951475"/>
    <w:rsid w:val="0095208F"/>
    <w:rsid w:val="009619F8"/>
    <w:rsid w:val="009624E3"/>
    <w:rsid w:val="0096661A"/>
    <w:rsid w:val="00970CB1"/>
    <w:rsid w:val="00977B3F"/>
    <w:rsid w:val="009814AE"/>
    <w:rsid w:val="00996BBE"/>
    <w:rsid w:val="009D1DD5"/>
    <w:rsid w:val="00A11DDA"/>
    <w:rsid w:val="00A20CA9"/>
    <w:rsid w:val="00A26157"/>
    <w:rsid w:val="00A265C3"/>
    <w:rsid w:val="00A42FD2"/>
    <w:rsid w:val="00A43F9A"/>
    <w:rsid w:val="00A543D4"/>
    <w:rsid w:val="00AC4FE1"/>
    <w:rsid w:val="00AC6B0D"/>
    <w:rsid w:val="00AC7519"/>
    <w:rsid w:val="00AD0014"/>
    <w:rsid w:val="00AD4CF2"/>
    <w:rsid w:val="00AF0BBA"/>
    <w:rsid w:val="00B104AC"/>
    <w:rsid w:val="00B11CA2"/>
    <w:rsid w:val="00B27599"/>
    <w:rsid w:val="00B30468"/>
    <w:rsid w:val="00B417F7"/>
    <w:rsid w:val="00BA5F5C"/>
    <w:rsid w:val="00BB2C41"/>
    <w:rsid w:val="00BC55C8"/>
    <w:rsid w:val="00BC5C10"/>
    <w:rsid w:val="00BE2964"/>
    <w:rsid w:val="00BE4FE8"/>
    <w:rsid w:val="00C1563F"/>
    <w:rsid w:val="00C24FBD"/>
    <w:rsid w:val="00C473BA"/>
    <w:rsid w:val="00C611ED"/>
    <w:rsid w:val="00C6490A"/>
    <w:rsid w:val="00C64FE1"/>
    <w:rsid w:val="00C66164"/>
    <w:rsid w:val="00C8345E"/>
    <w:rsid w:val="00C925A8"/>
    <w:rsid w:val="00CA5F7C"/>
    <w:rsid w:val="00CD0349"/>
    <w:rsid w:val="00CD3685"/>
    <w:rsid w:val="00D05540"/>
    <w:rsid w:val="00D07787"/>
    <w:rsid w:val="00D15A70"/>
    <w:rsid w:val="00D224DA"/>
    <w:rsid w:val="00D51067"/>
    <w:rsid w:val="00D75657"/>
    <w:rsid w:val="00D86E47"/>
    <w:rsid w:val="00D960AD"/>
    <w:rsid w:val="00DA0E0E"/>
    <w:rsid w:val="00DB0C39"/>
    <w:rsid w:val="00DB7679"/>
    <w:rsid w:val="00DF1702"/>
    <w:rsid w:val="00DF4DD8"/>
    <w:rsid w:val="00DF668E"/>
    <w:rsid w:val="00DF68B8"/>
    <w:rsid w:val="00E10F09"/>
    <w:rsid w:val="00E14D2B"/>
    <w:rsid w:val="00E20DBA"/>
    <w:rsid w:val="00E335CE"/>
    <w:rsid w:val="00E660D6"/>
    <w:rsid w:val="00E66489"/>
    <w:rsid w:val="00E771AB"/>
    <w:rsid w:val="00E806AD"/>
    <w:rsid w:val="00EA796F"/>
    <w:rsid w:val="00EB077B"/>
    <w:rsid w:val="00EB17D8"/>
    <w:rsid w:val="00EC246E"/>
    <w:rsid w:val="00EC50B9"/>
    <w:rsid w:val="00EC532D"/>
    <w:rsid w:val="00ED26A0"/>
    <w:rsid w:val="00EE70DC"/>
    <w:rsid w:val="00EF0816"/>
    <w:rsid w:val="00F017AD"/>
    <w:rsid w:val="00F1727A"/>
    <w:rsid w:val="00F34764"/>
    <w:rsid w:val="00F54E3C"/>
    <w:rsid w:val="00F738A4"/>
    <w:rsid w:val="00F874BD"/>
    <w:rsid w:val="00F97205"/>
    <w:rsid w:val="00FB7DA1"/>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5</Pages>
  <Words>1117</Words>
  <Characters>6272</Characters>
  <Application>Microsoft Office Word</Application>
  <DocSecurity>4</DocSecurity>
  <Lines>95</Lines>
  <Paragraphs>9</Paragraphs>
  <ScaleCrop>false</ScaleCrop>
  <HeadingPairs>
    <vt:vector size="2" baseType="variant">
      <vt:variant>
        <vt:lpstr>العنوان</vt:lpstr>
      </vt:variant>
      <vt:variant>
        <vt:i4>1</vt:i4>
      </vt:variant>
    </vt:vector>
  </HeadingPairs>
  <TitlesOfParts>
    <vt:vector size="1" baseType="lpstr">
      <vt:lpstr>E/C.12/WG/DJI/Q/1-2</vt:lpstr>
    </vt:vector>
  </TitlesOfParts>
  <Company>CSD</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E/C.12/WG/DJI/Q/1-2</dc:title>
  <dc:subject>ghannami-sefraoui</dc:subject>
  <dc:creator>Mervat</dc:creator>
  <cp:keywords/>
  <dc:description/>
  <cp:lastModifiedBy>Mervat</cp:lastModifiedBy>
  <cp:revision>2</cp:revision>
  <cp:lastPrinted>2013-06-14T15:40:00Z</cp:lastPrinted>
  <dcterms:created xsi:type="dcterms:W3CDTF">2013-06-17T14:09:00Z</dcterms:created>
  <dcterms:modified xsi:type="dcterms:W3CDTF">2013-06-17T14:09:00Z</dcterms:modified>
</cp:coreProperties>
</file>