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7F4B17">
                <w:t>С.12/WG/EGY/Q/2-4</w:t>
              </w:r>
            </w:fldSimple>
            <w:r w:rsidR="000F36FB">
              <w:t xml:space="preserve">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7F4B17">
              <w:rPr>
                <w:lang w:val="en-US"/>
              </w:rPr>
              <w:fldChar w:fldCharType="separate"/>
            </w:r>
            <w:r w:rsidR="007F4B17">
              <w:rPr>
                <w:lang w:val="en-US"/>
              </w:rPr>
              <w:t>10 June 2013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3224FE" w:rsidRPr="006A33A3" w:rsidRDefault="003224FE" w:rsidP="001A6182">
      <w:pPr>
        <w:spacing w:before="120"/>
        <w:rPr>
          <w:b/>
          <w:sz w:val="24"/>
          <w:szCs w:val="24"/>
        </w:rPr>
      </w:pPr>
      <w:r w:rsidRPr="001A6182">
        <w:rPr>
          <w:b/>
          <w:sz w:val="24"/>
          <w:szCs w:val="24"/>
        </w:rPr>
        <w:t>Комит</w:t>
      </w:r>
      <w:r w:rsidR="006A33A3">
        <w:rPr>
          <w:b/>
          <w:sz w:val="24"/>
          <w:szCs w:val="24"/>
        </w:rPr>
        <w:t>ет по экономическим, социальным</w:t>
      </w:r>
      <w:r w:rsidRPr="001A6182">
        <w:rPr>
          <w:b/>
          <w:sz w:val="24"/>
          <w:szCs w:val="24"/>
        </w:rPr>
        <w:br/>
        <w:t>и культурным правам</w:t>
      </w:r>
    </w:p>
    <w:p w:rsidR="003224FE" w:rsidRPr="001A6182" w:rsidRDefault="001A6182" w:rsidP="003224FE">
      <w:pPr>
        <w:rPr>
          <w:b/>
        </w:rPr>
      </w:pPr>
      <w:r w:rsidRPr="001A6182">
        <w:rPr>
          <w:b/>
        </w:rPr>
        <w:t>Предсессионная рабочая группа</w:t>
      </w:r>
    </w:p>
    <w:p w:rsidR="003224FE" w:rsidRPr="003224FE" w:rsidRDefault="003224FE" w:rsidP="001A6182">
      <w:pPr>
        <w:pStyle w:val="HChGR"/>
      </w:pPr>
      <w:r w:rsidRPr="003224FE">
        <w:tab/>
      </w:r>
      <w:r w:rsidRPr="003224FE">
        <w:tab/>
        <w:t>Перечень вопросов, касающихся объединенных второго, третьего и четвертого периодических докладов Египта (E/C.12/EGY/2-4), принятый предсессионной рабочей группой на ее пятьдесят первой сессии (21</w:t>
      </w:r>
      <w:r w:rsidR="00571E8B">
        <w:t>−</w:t>
      </w:r>
      <w:r w:rsidRPr="003224FE">
        <w:t>24 мая 2013 года)</w:t>
      </w:r>
    </w:p>
    <w:p w:rsidR="003224FE" w:rsidRPr="003224FE" w:rsidRDefault="003224FE" w:rsidP="001A6182">
      <w:pPr>
        <w:pStyle w:val="HChGR"/>
      </w:pPr>
      <w:r w:rsidRPr="003224FE">
        <w:tab/>
        <w:t>I.</w:t>
      </w:r>
      <w:r w:rsidRPr="003224FE">
        <w:tab/>
        <w:t>Общая информация</w:t>
      </w:r>
    </w:p>
    <w:p w:rsidR="003224FE" w:rsidRPr="00DE3870" w:rsidRDefault="003224FE" w:rsidP="00DE3870">
      <w:pPr>
        <w:pStyle w:val="SingleTxtGR"/>
      </w:pPr>
      <w:r w:rsidRPr="00DE3870">
        <w:t>1.</w:t>
      </w:r>
      <w:r w:rsidRPr="00DE3870">
        <w:tab/>
        <w:t>Ввиду того что международные договоры, как считается, имеют силу внутренних законов после их опубликования в "Официальных ведом</w:t>
      </w:r>
      <w:r w:rsidRPr="00DE3870">
        <w:t>о</w:t>
      </w:r>
      <w:r w:rsidRPr="00DE3870">
        <w:t>стях", просьба пояснить, можно ли ссылаться на все права, закрепленные в Пакте, и имеют ли они прямое применение в египетских судах, а также привести прим</w:t>
      </w:r>
      <w:r w:rsidRPr="00DE3870">
        <w:t>е</w:t>
      </w:r>
      <w:r w:rsidRPr="00DE3870">
        <w:t>ры, если таковые имеются, соответствующих основных судебных р</w:t>
      </w:r>
      <w:r w:rsidRPr="00DE3870">
        <w:t>е</w:t>
      </w:r>
      <w:r w:rsidRPr="00DE3870">
        <w:t>шений.</w:t>
      </w:r>
    </w:p>
    <w:p w:rsidR="003224FE" w:rsidRPr="003224FE" w:rsidRDefault="003224FE" w:rsidP="000F36FB">
      <w:pPr>
        <w:pStyle w:val="SingleTxtGR"/>
      </w:pPr>
      <w:r w:rsidRPr="003224FE">
        <w:t>2.</w:t>
      </w:r>
      <w:r w:rsidRPr="003224FE">
        <w:tab/>
        <w:t xml:space="preserve">Просьба </w:t>
      </w:r>
      <w:r w:rsidR="006A33A3">
        <w:t>представи</w:t>
      </w:r>
      <w:r w:rsidRPr="003224FE">
        <w:t>ть информацию о том, рассматривает ли в настоящее время государство-участник вопрос о ратификации Факультативного протокола к Пакту.</w:t>
      </w:r>
    </w:p>
    <w:p w:rsidR="003224FE" w:rsidRPr="003224FE" w:rsidRDefault="003224FE" w:rsidP="000F36FB">
      <w:pPr>
        <w:pStyle w:val="SingleTxtGR"/>
      </w:pPr>
      <w:r w:rsidRPr="003224FE">
        <w:t>3.</w:t>
      </w:r>
      <w:r w:rsidRPr="003224FE">
        <w:tab/>
        <w:t xml:space="preserve">Просьба </w:t>
      </w:r>
      <w:r w:rsidR="006A33A3">
        <w:t>представи</w:t>
      </w:r>
      <w:r w:rsidRPr="003224FE">
        <w:t xml:space="preserve">ть информацию о процессе регистрации организаций гражданского общества, включая те из них, которые базируются за рубежом, и об условиях их иностранного финансирования. Просьба также </w:t>
      </w:r>
      <w:r w:rsidR="006A33A3">
        <w:t>представи</w:t>
      </w:r>
      <w:r w:rsidRPr="003224FE">
        <w:t>ть и</w:t>
      </w:r>
      <w:r w:rsidRPr="003224FE">
        <w:t>н</w:t>
      </w:r>
      <w:r w:rsidRPr="003224FE">
        <w:t>формацию о состоянии законопроекта по этому вопросу, который в настоящее время рассматривается Советом шуры.</w:t>
      </w:r>
    </w:p>
    <w:p w:rsidR="003224FE" w:rsidRPr="003224FE" w:rsidRDefault="003224FE" w:rsidP="001A6182">
      <w:pPr>
        <w:pStyle w:val="HChGR"/>
      </w:pPr>
      <w:r w:rsidRPr="003224FE">
        <w:tab/>
        <w:t>II.</w:t>
      </w:r>
      <w:r w:rsidRPr="003224FE">
        <w:tab/>
        <w:t xml:space="preserve">Вопросы, касающиеся </w:t>
      </w:r>
      <w:r w:rsidR="00571E8B">
        <w:t>общих положений Пакта (статьи 1−</w:t>
      </w:r>
      <w:r w:rsidRPr="003224FE">
        <w:t>5)</w:t>
      </w:r>
    </w:p>
    <w:p w:rsidR="003224FE" w:rsidRPr="003224FE" w:rsidRDefault="003224FE" w:rsidP="0003497B">
      <w:pPr>
        <w:pStyle w:val="H1GR0"/>
      </w:pPr>
      <w:r w:rsidRPr="003224FE">
        <w:tab/>
      </w:r>
      <w:r w:rsidRPr="003224FE">
        <w:tab/>
        <w:t>Пункт 1 статьи 2</w:t>
      </w:r>
      <w:r w:rsidR="000F36FB">
        <w:t xml:space="preserve"> −</w:t>
      </w:r>
      <w:r w:rsidRPr="003224FE">
        <w:t xml:space="preserve"> Максимальные пределы имеющихся ресурсов</w:t>
      </w:r>
    </w:p>
    <w:p w:rsidR="003224FE" w:rsidRPr="003224FE" w:rsidRDefault="003224FE" w:rsidP="000F36FB">
      <w:pPr>
        <w:pStyle w:val="SingleTxtGR"/>
      </w:pPr>
      <w:r w:rsidRPr="003224FE">
        <w:t>4.</w:t>
      </w:r>
      <w:r w:rsidRPr="003224FE">
        <w:tab/>
        <w:t>С учетом того, что государство-участник находится в процессе политич</w:t>
      </w:r>
      <w:r w:rsidRPr="003224FE">
        <w:t>е</w:t>
      </w:r>
      <w:r w:rsidRPr="003224FE">
        <w:t xml:space="preserve">ских преобразований, просьба </w:t>
      </w:r>
      <w:r w:rsidR="006A33A3">
        <w:t>представи</w:t>
      </w:r>
      <w:r w:rsidRPr="003224FE">
        <w:t>ть информацию об эффективных зак</w:t>
      </w:r>
      <w:r w:rsidRPr="003224FE">
        <w:t>о</w:t>
      </w:r>
      <w:r w:rsidRPr="003224FE">
        <w:t>нодательных, структурных и других соответствующих мерах, которые были приняты государством-участником с целью борьбы с коррупцией, преследов</w:t>
      </w:r>
      <w:r w:rsidRPr="003224FE">
        <w:t>а</w:t>
      </w:r>
      <w:r w:rsidRPr="003224FE">
        <w:t>ния тех, кто к этому причастен, и решения проблемы незаконного обог</w:t>
      </w:r>
      <w:r w:rsidRPr="003224FE">
        <w:t>а</w:t>
      </w:r>
      <w:r w:rsidRPr="003224FE">
        <w:t>щения.</w:t>
      </w:r>
    </w:p>
    <w:p w:rsidR="003224FE" w:rsidRPr="003224FE" w:rsidRDefault="003224FE" w:rsidP="000F36FB">
      <w:pPr>
        <w:pStyle w:val="SingleTxtGR"/>
      </w:pPr>
      <w:r w:rsidRPr="003224FE">
        <w:t>5.</w:t>
      </w:r>
      <w:r w:rsidRPr="003224FE">
        <w:tab/>
        <w:t xml:space="preserve">Просьба </w:t>
      </w:r>
      <w:r w:rsidR="006A33A3">
        <w:t>представи</w:t>
      </w:r>
      <w:r w:rsidRPr="003224FE">
        <w:t>ть актуальную статистическую информацию за отче</w:t>
      </w:r>
      <w:r w:rsidRPr="003224FE">
        <w:t>т</w:t>
      </w:r>
      <w:r w:rsidRPr="003224FE">
        <w:t xml:space="preserve">ный период, </w:t>
      </w:r>
      <w:r w:rsidR="006A33A3">
        <w:t xml:space="preserve">отражающую </w:t>
      </w:r>
      <w:r w:rsidRPr="003224FE">
        <w:t>уровни государственных ассигнов</w:t>
      </w:r>
      <w:r w:rsidRPr="003224FE">
        <w:t>а</w:t>
      </w:r>
      <w:r w:rsidRPr="003224FE">
        <w:t>ний, выраженные в процентах от валового внутреннего продукта, в различные сектор</w:t>
      </w:r>
      <w:r w:rsidR="006A33A3">
        <w:t>ы</w:t>
      </w:r>
      <w:r w:rsidRPr="003224FE">
        <w:t>, име</w:t>
      </w:r>
      <w:r w:rsidRPr="003224FE">
        <w:t>ю</w:t>
      </w:r>
      <w:r w:rsidRPr="003224FE">
        <w:t>щие отношение к экономическим, социальным и культурным пр</w:t>
      </w:r>
      <w:r w:rsidRPr="003224FE">
        <w:t>а</w:t>
      </w:r>
      <w:r w:rsidRPr="003224FE">
        <w:t>вам.</w:t>
      </w:r>
    </w:p>
    <w:p w:rsidR="003224FE" w:rsidRPr="003224FE" w:rsidRDefault="003224FE" w:rsidP="0003497B">
      <w:pPr>
        <w:pStyle w:val="H1GR0"/>
      </w:pPr>
      <w:r w:rsidRPr="003224FE">
        <w:tab/>
      </w:r>
      <w:r w:rsidRPr="003224FE">
        <w:tab/>
        <w:t>Пункт 2 статьи 2</w:t>
      </w:r>
      <w:r w:rsidR="000F36FB" w:rsidRPr="0003497B">
        <w:t xml:space="preserve"> −</w:t>
      </w:r>
      <w:r w:rsidRPr="003224FE">
        <w:t xml:space="preserve"> Недискриминация</w:t>
      </w:r>
    </w:p>
    <w:p w:rsidR="003224FE" w:rsidRPr="003224FE" w:rsidRDefault="003224FE" w:rsidP="000F36FB">
      <w:pPr>
        <w:pStyle w:val="SingleTxtGR"/>
      </w:pPr>
      <w:r w:rsidRPr="003224FE">
        <w:t>6.</w:t>
      </w:r>
      <w:r w:rsidRPr="003224FE">
        <w:tab/>
        <w:t>В свете положений статьи 33 новой Конституции Египта просьба поя</w:t>
      </w:r>
      <w:r w:rsidRPr="003224FE">
        <w:t>с</w:t>
      </w:r>
      <w:r w:rsidR="006A33A3">
        <w:t xml:space="preserve">нить, какова сфера ее </w:t>
      </w:r>
      <w:r w:rsidRPr="003224FE">
        <w:t>защиты от дискриминации</w:t>
      </w:r>
      <w:r w:rsidR="006A33A3">
        <w:t xml:space="preserve">, какой </w:t>
      </w:r>
      <w:r w:rsidRPr="003224FE">
        <w:t xml:space="preserve">уровень защиты </w:t>
      </w:r>
      <w:r w:rsidR="002E27D1">
        <w:t>обе</w:t>
      </w:r>
      <w:r w:rsidR="002E27D1">
        <w:t>с</w:t>
      </w:r>
      <w:r w:rsidR="002E27D1">
        <w:t xml:space="preserve">печивается для </w:t>
      </w:r>
      <w:r w:rsidR="00571E8B">
        <w:t>неграждан</w:t>
      </w:r>
      <w:r w:rsidRPr="003224FE">
        <w:t xml:space="preserve"> </w:t>
      </w:r>
      <w:r w:rsidR="002E27D1">
        <w:t>и</w:t>
      </w:r>
      <w:r w:rsidRPr="003224FE">
        <w:t xml:space="preserve"> являются ли запрещенные признаки всеобъемл</w:t>
      </w:r>
      <w:r w:rsidRPr="003224FE">
        <w:t>ю</w:t>
      </w:r>
      <w:r w:rsidRPr="003224FE">
        <w:t>щими. Просьба также указать, содержит ли законодательство госуда</w:t>
      </w:r>
      <w:r w:rsidRPr="003224FE">
        <w:t>р</w:t>
      </w:r>
      <w:r w:rsidRPr="003224FE">
        <w:t>ства-участника полож</w:t>
      </w:r>
      <w:r w:rsidRPr="003224FE">
        <w:t>е</w:t>
      </w:r>
      <w:r w:rsidRPr="003224FE">
        <w:t>ния, касающиеся косвенной дискриминации.</w:t>
      </w:r>
    </w:p>
    <w:p w:rsidR="003224FE" w:rsidRPr="003224FE" w:rsidRDefault="003224FE" w:rsidP="000F36FB">
      <w:pPr>
        <w:pStyle w:val="SingleTxtGR"/>
      </w:pPr>
      <w:r w:rsidRPr="003224FE">
        <w:t>7.</w:t>
      </w:r>
      <w:r w:rsidRPr="003224FE">
        <w:tab/>
        <w:t>Просьба указать, какие меры были приняты с целью борьбы с дискрим</w:t>
      </w:r>
      <w:r w:rsidRPr="003224FE">
        <w:t>и</w:t>
      </w:r>
      <w:r w:rsidRPr="003224FE">
        <w:t xml:space="preserve">нацией в отношении инвалидов и ее предотвращения, в частности в том, что касается права на образование, труд, жилье и социальную помощь. Просьба </w:t>
      </w:r>
      <w:r w:rsidR="002E27D1">
        <w:t xml:space="preserve">также </w:t>
      </w:r>
      <w:r w:rsidRPr="003224FE">
        <w:t>объяснить, каким образом концепция "разумного приспособления" для инвалидов находит отражение в законодательстве государства-участника, в ч</w:t>
      </w:r>
      <w:r w:rsidRPr="003224FE">
        <w:t>а</w:t>
      </w:r>
      <w:r w:rsidRPr="003224FE">
        <w:t>стности применительно к обязательствам, установленным для работодателей.</w:t>
      </w:r>
    </w:p>
    <w:p w:rsidR="003224FE" w:rsidRPr="003224FE" w:rsidRDefault="003224FE" w:rsidP="0003497B">
      <w:pPr>
        <w:pStyle w:val="H1GR0"/>
      </w:pPr>
      <w:r w:rsidRPr="003224FE">
        <w:tab/>
      </w:r>
      <w:r w:rsidRPr="003224FE">
        <w:tab/>
        <w:t>Статья 3</w:t>
      </w:r>
      <w:r w:rsidR="000F36FB" w:rsidRPr="0003497B">
        <w:t xml:space="preserve"> −</w:t>
      </w:r>
      <w:r w:rsidRPr="003224FE">
        <w:t xml:space="preserve"> Равные права мужчин и женщин</w:t>
      </w:r>
    </w:p>
    <w:p w:rsidR="003224FE" w:rsidRPr="003224FE" w:rsidRDefault="003224FE" w:rsidP="000F36FB">
      <w:pPr>
        <w:pStyle w:val="SingleTxtGR"/>
      </w:pPr>
      <w:r w:rsidRPr="003224FE">
        <w:t>8.</w:t>
      </w:r>
      <w:r w:rsidRPr="003224FE">
        <w:tab/>
        <w:t xml:space="preserve">Просьба </w:t>
      </w:r>
      <w:r w:rsidR="006A33A3">
        <w:t>представи</w:t>
      </w:r>
      <w:r w:rsidRPr="003224FE">
        <w:t>ть информацию о воздействии мер, принятых с ц</w:t>
      </w:r>
      <w:r w:rsidRPr="003224FE">
        <w:t>е</w:t>
      </w:r>
      <w:r w:rsidRPr="003224FE">
        <w:t>лью увеличения представленности женщин на руководящих должностях, в частн</w:t>
      </w:r>
      <w:r w:rsidRPr="003224FE">
        <w:t>о</w:t>
      </w:r>
      <w:r w:rsidRPr="003224FE">
        <w:t>сти в судебных органах, Совете шуры и Народном собр</w:t>
      </w:r>
      <w:r w:rsidRPr="003224FE">
        <w:t>а</w:t>
      </w:r>
      <w:r w:rsidRPr="003224FE">
        <w:t>нии.</w:t>
      </w:r>
    </w:p>
    <w:p w:rsidR="003224FE" w:rsidRPr="003224FE" w:rsidRDefault="003224FE" w:rsidP="000F36FB">
      <w:pPr>
        <w:pStyle w:val="SingleTxtGR"/>
      </w:pPr>
      <w:r w:rsidRPr="003224FE">
        <w:t>9.</w:t>
      </w:r>
      <w:r w:rsidRPr="003224FE">
        <w:tab/>
        <w:t xml:space="preserve">Просьба </w:t>
      </w:r>
      <w:r w:rsidR="006A33A3">
        <w:t>представи</w:t>
      </w:r>
      <w:r w:rsidRPr="003224FE">
        <w:t>ть обновленную информацию о последующих мерах в</w:t>
      </w:r>
      <w:r w:rsidR="000F36FB">
        <w:t xml:space="preserve"> </w:t>
      </w:r>
      <w:r w:rsidRPr="003224FE">
        <w:t>связи с представленными Национальным советом женщин предложениями о</w:t>
      </w:r>
      <w:r w:rsidR="000F36FB">
        <w:t xml:space="preserve"> </w:t>
      </w:r>
      <w:r w:rsidRPr="003224FE">
        <w:t>внесении поправок в Уголовный кодекс в целях криминализации сексуального домогательства на рабочем месте, ликвидации дискриминации в</w:t>
      </w:r>
      <w:r w:rsidR="000F36FB">
        <w:t xml:space="preserve"> </w:t>
      </w:r>
      <w:r w:rsidRPr="003224FE">
        <w:t xml:space="preserve">отношении женщин в том, что касается нарушения супружеской верности, </w:t>
      </w:r>
      <w:r w:rsidR="002E27D1">
        <w:t xml:space="preserve">и </w:t>
      </w:r>
      <w:r w:rsidRPr="003224FE">
        <w:t>ограничения полномочий судей на вынесение мягких приговоров по делам об изнасилован</w:t>
      </w:r>
      <w:r w:rsidRPr="003224FE">
        <w:t>и</w:t>
      </w:r>
      <w:r w:rsidRPr="003224FE">
        <w:t>ях и развратных действиях. Кроме того, просьба проинформировать о воздейс</w:t>
      </w:r>
      <w:r w:rsidRPr="003224FE">
        <w:t>т</w:t>
      </w:r>
      <w:r w:rsidRPr="003224FE">
        <w:t>вии программ, направленных на борьбу с распространенными негативными с</w:t>
      </w:r>
      <w:r w:rsidRPr="003224FE">
        <w:t>о</w:t>
      </w:r>
      <w:r w:rsidRPr="003224FE">
        <w:t>циальными обычаями и традициями и содействие экономическому росту и о</w:t>
      </w:r>
      <w:r w:rsidRPr="003224FE">
        <w:t>с</w:t>
      </w:r>
      <w:r w:rsidRPr="003224FE">
        <w:t>вобождению женщин. В частности, просьба проиллюстрировать, какие были приняты меры для противодействия насилию в отношении женщин на секс</w:t>
      </w:r>
      <w:r w:rsidRPr="003224FE">
        <w:t>у</w:t>
      </w:r>
      <w:r w:rsidRPr="003224FE">
        <w:t>альной и гендерной почве, включая насилие с целью сдерживания женщин от участия в демонстрац</w:t>
      </w:r>
      <w:r w:rsidRPr="003224FE">
        <w:t>и</w:t>
      </w:r>
      <w:r w:rsidRPr="003224FE">
        <w:t>ях.</w:t>
      </w:r>
    </w:p>
    <w:p w:rsidR="003224FE" w:rsidRPr="003224FE" w:rsidRDefault="003224FE" w:rsidP="000F36FB">
      <w:pPr>
        <w:pStyle w:val="SingleTxtGR"/>
      </w:pPr>
      <w:r w:rsidRPr="003224FE">
        <w:t>10.</w:t>
      </w:r>
      <w:r w:rsidRPr="003224FE">
        <w:tab/>
        <w:t xml:space="preserve">Просьба </w:t>
      </w:r>
      <w:r w:rsidR="006A33A3">
        <w:t>представи</w:t>
      </w:r>
      <w:r w:rsidRPr="003224FE">
        <w:t>ть информацию о количестве преследований, если т</w:t>
      </w:r>
      <w:r w:rsidRPr="003224FE">
        <w:t>а</w:t>
      </w:r>
      <w:r w:rsidRPr="003224FE">
        <w:t>ковые имели место, лиц, проводящих калечащие операции на женских пол</w:t>
      </w:r>
      <w:r w:rsidRPr="003224FE">
        <w:t>о</w:t>
      </w:r>
      <w:r w:rsidRPr="003224FE">
        <w:t>вых органах (КЖ</w:t>
      </w:r>
      <w:r w:rsidR="002E27D1">
        <w:t>П</w:t>
      </w:r>
      <w:r w:rsidRPr="003224FE">
        <w:t xml:space="preserve">О), и о результатах таких преследований. Кроме того, просьба </w:t>
      </w:r>
      <w:r w:rsidR="006A33A3">
        <w:t>представи</w:t>
      </w:r>
      <w:r w:rsidRPr="003224FE">
        <w:t>ть информацию о прогрессе, достигнутом в осуществлении Наци</w:t>
      </w:r>
      <w:r w:rsidRPr="003224FE">
        <w:t>о</w:t>
      </w:r>
      <w:r w:rsidRPr="003224FE">
        <w:t>нальной программы по борьбе с калечащими операциями на женских половых органах, включая проекты "Деревни, св</w:t>
      </w:r>
      <w:r w:rsidRPr="003224FE">
        <w:t>о</w:t>
      </w:r>
      <w:r w:rsidRPr="003224FE">
        <w:t>бодные от КЖ</w:t>
      </w:r>
      <w:r w:rsidR="00472D7C">
        <w:t>П</w:t>
      </w:r>
      <w:r w:rsidRPr="003224FE">
        <w:t>О".</w:t>
      </w:r>
    </w:p>
    <w:p w:rsidR="003224FE" w:rsidRPr="003224FE" w:rsidRDefault="003224FE" w:rsidP="001A6182">
      <w:pPr>
        <w:pStyle w:val="HChGR"/>
      </w:pPr>
      <w:r w:rsidRPr="003224FE">
        <w:tab/>
        <w:t>II</w:t>
      </w:r>
      <w:r w:rsidRPr="001A6182">
        <w:t>I</w:t>
      </w:r>
      <w:r w:rsidRPr="003224FE">
        <w:t>.</w:t>
      </w:r>
      <w:r w:rsidRPr="003224FE">
        <w:tab/>
        <w:t>Вопросы, касающиеся конкретных положений Пакта (статьи 6−15)</w:t>
      </w:r>
    </w:p>
    <w:p w:rsidR="003224FE" w:rsidRPr="003224FE" w:rsidRDefault="003224FE" w:rsidP="0003497B">
      <w:pPr>
        <w:pStyle w:val="H1GR0"/>
      </w:pPr>
      <w:r w:rsidRPr="003224FE">
        <w:tab/>
      </w:r>
      <w:r w:rsidRPr="003224FE">
        <w:tab/>
        <w:t>Статья 6</w:t>
      </w:r>
      <w:r w:rsidR="000F36FB" w:rsidRPr="0003497B">
        <w:t xml:space="preserve"> −</w:t>
      </w:r>
      <w:r w:rsidRPr="003224FE">
        <w:t xml:space="preserve"> Право на труд</w:t>
      </w:r>
    </w:p>
    <w:p w:rsidR="003224FE" w:rsidRPr="003224FE" w:rsidRDefault="003224FE" w:rsidP="000F36FB">
      <w:pPr>
        <w:pStyle w:val="SingleTxtGR"/>
      </w:pPr>
      <w:r w:rsidRPr="003224FE">
        <w:t>11.</w:t>
      </w:r>
      <w:r w:rsidRPr="003224FE">
        <w:tab/>
        <w:t xml:space="preserve">Просьба </w:t>
      </w:r>
      <w:r w:rsidR="006A33A3">
        <w:t>представи</w:t>
      </w:r>
      <w:r w:rsidRPr="003224FE">
        <w:t>ть обновленную годовую информацию за период н</w:t>
      </w:r>
      <w:r w:rsidRPr="003224FE">
        <w:t>а</w:t>
      </w:r>
      <w:r w:rsidRPr="003224FE">
        <w:t>чиная с 2006 года об уровне занятости (безработицы); за более поз</w:t>
      </w:r>
      <w:r w:rsidRPr="003224FE">
        <w:t>д</w:t>
      </w:r>
      <w:r w:rsidRPr="003224FE">
        <w:t>ние годы</w:t>
      </w:r>
      <w:r w:rsidR="000F36FB">
        <w:t xml:space="preserve"> −</w:t>
      </w:r>
      <w:r w:rsidRPr="003224FE">
        <w:t xml:space="preserve"> информацию о занятости (безработице), дезагрегированную по по</w:t>
      </w:r>
      <w:r w:rsidRPr="003224FE">
        <w:t>л</w:t>
      </w:r>
      <w:r w:rsidRPr="003224FE">
        <w:t>ной/</w:t>
      </w:r>
      <w:r w:rsidR="00BE50C4">
        <w:br/>
      </w:r>
      <w:r w:rsidRPr="003224FE">
        <w:t>частичной занятости, частному</w:t>
      </w:r>
      <w:r w:rsidR="00472D7C">
        <w:t>/</w:t>
      </w:r>
      <w:r w:rsidRPr="003224FE">
        <w:t>государственному секторам, полу, возра</w:t>
      </w:r>
      <w:r w:rsidRPr="003224FE">
        <w:t>с</w:t>
      </w:r>
      <w:r w:rsidRPr="003224FE">
        <w:t>ту, проживанию в городах/сельской местности. Просьба также сообщить о</w:t>
      </w:r>
      <w:r w:rsidR="000F36FB">
        <w:t xml:space="preserve"> </w:t>
      </w:r>
      <w:r w:rsidRPr="003224FE">
        <w:t>возде</w:t>
      </w:r>
      <w:r w:rsidRPr="003224FE">
        <w:t>й</w:t>
      </w:r>
      <w:r w:rsidRPr="003224FE">
        <w:t>ствии мер, принятых Высоким советом по развитию людских ресурсов, и ос</w:t>
      </w:r>
      <w:r w:rsidRPr="003224FE">
        <w:t>у</w:t>
      </w:r>
      <w:r w:rsidRPr="003224FE">
        <w:t>ществлении программы, учрежденной согласно Трудовому кодексу</w:t>
      </w:r>
      <w:r w:rsidR="000F36FB">
        <w:t xml:space="preserve"> </w:t>
      </w:r>
      <w:r w:rsidRPr="003224FE">
        <w:t>2003</w:t>
      </w:r>
      <w:r w:rsidR="000F36FB">
        <w:t xml:space="preserve"> </w:t>
      </w:r>
      <w:r w:rsidRPr="003224FE">
        <w:t>года. Кроме того, какие были приняты внутрисекторальные и межучрежденческие стратегии для борьбы с безработицей среди молодежи, в частности же</w:t>
      </w:r>
      <w:r w:rsidRPr="003224FE">
        <w:t>н</w:t>
      </w:r>
      <w:r w:rsidRPr="003224FE">
        <w:t>щин?</w:t>
      </w:r>
    </w:p>
    <w:p w:rsidR="003224FE" w:rsidRPr="003224FE" w:rsidRDefault="003224FE" w:rsidP="0003497B">
      <w:pPr>
        <w:pStyle w:val="H1GR0"/>
      </w:pPr>
      <w:r w:rsidRPr="0003497B">
        <w:tab/>
      </w:r>
      <w:r w:rsidRPr="0003497B">
        <w:tab/>
      </w:r>
      <w:r w:rsidRPr="003224FE">
        <w:t>Статья 7</w:t>
      </w:r>
      <w:r w:rsidR="000F36FB" w:rsidRPr="0003497B">
        <w:t xml:space="preserve"> −</w:t>
      </w:r>
      <w:r w:rsidRPr="003224FE">
        <w:t xml:space="preserve"> Право на справедливые и благоприятные условия труда</w:t>
      </w:r>
    </w:p>
    <w:p w:rsidR="003224FE" w:rsidRPr="003224FE" w:rsidRDefault="003224FE" w:rsidP="000F36FB">
      <w:pPr>
        <w:pStyle w:val="SingleTxtGR"/>
      </w:pPr>
      <w:r w:rsidRPr="003224FE">
        <w:t>12.</w:t>
      </w:r>
      <w:r w:rsidRPr="003224FE">
        <w:tab/>
        <w:t xml:space="preserve">Просьба </w:t>
      </w:r>
      <w:r w:rsidR="006A33A3">
        <w:t>представи</w:t>
      </w:r>
      <w:r w:rsidRPr="003224FE">
        <w:t>ть обновленные данные о занятости в неформальном секторе экономики, включая социально-демографические характеристики, о</w:t>
      </w:r>
      <w:r w:rsidRPr="003224FE">
        <w:t>т</w:t>
      </w:r>
      <w:r w:rsidRPr="003224FE">
        <w:t>расли, часы работы и заработную плату с разбивкой по ра</w:t>
      </w:r>
      <w:r w:rsidRPr="003224FE">
        <w:t>з</w:t>
      </w:r>
      <w:r w:rsidRPr="003224FE">
        <w:t>личным видам работ. Просьба указать, какие приняты меры с целью гарантировать доступ лиц, зан</w:t>
      </w:r>
      <w:r w:rsidRPr="003224FE">
        <w:t>я</w:t>
      </w:r>
      <w:r w:rsidRPr="003224FE">
        <w:t>тых в неформальном секторе экономики, в частности женщин, к базовым усл</w:t>
      </w:r>
      <w:r w:rsidRPr="003224FE">
        <w:t>у</w:t>
      </w:r>
      <w:r w:rsidRPr="003224FE">
        <w:t xml:space="preserve">гам и социальной защите. Просьба также </w:t>
      </w:r>
      <w:r w:rsidR="006A33A3">
        <w:t>представи</w:t>
      </w:r>
      <w:r w:rsidRPr="003224FE">
        <w:t>ть информацию о мерах, принятых с целью оказания содействия трудящимся в выходе из неформального сектора экономики.</w:t>
      </w:r>
    </w:p>
    <w:p w:rsidR="003224FE" w:rsidRPr="003224FE" w:rsidRDefault="003224FE" w:rsidP="000F36FB">
      <w:pPr>
        <w:pStyle w:val="SingleTxtGR"/>
      </w:pPr>
      <w:r w:rsidRPr="003224FE">
        <w:t>13.</w:t>
      </w:r>
      <w:r w:rsidRPr="003224FE">
        <w:tab/>
        <w:t xml:space="preserve">После принятия новой Конституции просьба </w:t>
      </w:r>
      <w:r w:rsidR="006A33A3">
        <w:t>представи</w:t>
      </w:r>
      <w:r w:rsidRPr="003224FE">
        <w:t>ть обновленную информацию о нынешнем положении дел с минимальной заработной платой, в</w:t>
      </w:r>
      <w:r w:rsidR="000F36FB">
        <w:t xml:space="preserve"> </w:t>
      </w:r>
      <w:r w:rsidRPr="003224FE">
        <w:t>том числе информацию о предложениях, которые в настоящее время рассматр</w:t>
      </w:r>
      <w:r w:rsidRPr="003224FE">
        <w:t>и</w:t>
      </w:r>
      <w:r w:rsidRPr="003224FE">
        <w:t>ваются Советом шуры. Кроме того, просьба пояснить, каким образом госуда</w:t>
      </w:r>
      <w:r w:rsidRPr="003224FE">
        <w:t>р</w:t>
      </w:r>
      <w:r w:rsidRPr="003224FE">
        <w:t>ство-участник обеспечивает соблюдение правил, регламентирующих мин</w:t>
      </w:r>
      <w:r w:rsidRPr="003224FE">
        <w:t>и</w:t>
      </w:r>
      <w:r w:rsidRPr="003224FE">
        <w:t>мальную заработную плату.</w:t>
      </w:r>
      <w:r w:rsidR="00945B21">
        <w:t xml:space="preserve"> Просьба также разъяснить, каким образом обесп</w:t>
      </w:r>
      <w:r w:rsidR="00945B21">
        <w:t>е</w:t>
      </w:r>
      <w:r w:rsidR="00945B21">
        <w:t>чивается защита заработной платы трудящихся от инфляции.</w:t>
      </w:r>
    </w:p>
    <w:p w:rsidR="003224FE" w:rsidRPr="003224FE" w:rsidRDefault="003224FE" w:rsidP="000F36FB">
      <w:pPr>
        <w:pStyle w:val="SingleTxtGR"/>
      </w:pPr>
      <w:r w:rsidRPr="003224FE">
        <w:t>14.</w:t>
      </w:r>
      <w:r w:rsidRPr="003224FE">
        <w:tab/>
        <w:t xml:space="preserve">Просьба </w:t>
      </w:r>
      <w:r w:rsidR="006A33A3">
        <w:t>представи</w:t>
      </w:r>
      <w:r w:rsidRPr="003224FE">
        <w:t xml:space="preserve">ть дополнительную информацию о </w:t>
      </w:r>
      <w:r w:rsidR="00571E8B">
        <w:t>мерах</w:t>
      </w:r>
      <w:r w:rsidRPr="003224FE">
        <w:t>, принятых с целью устранения различий в заработной плате мужчин и женщин в частном секторе.</w:t>
      </w:r>
    </w:p>
    <w:p w:rsidR="003224FE" w:rsidRPr="003224FE" w:rsidRDefault="003224FE" w:rsidP="0003497B">
      <w:pPr>
        <w:pStyle w:val="H1GR0"/>
      </w:pPr>
      <w:r w:rsidRPr="0003497B">
        <w:tab/>
      </w:r>
      <w:r w:rsidRPr="0003497B">
        <w:tab/>
      </w:r>
      <w:r w:rsidRPr="003224FE">
        <w:t>Статья 8</w:t>
      </w:r>
      <w:r w:rsidR="000F36FB" w:rsidRPr="0003497B">
        <w:t xml:space="preserve"> −</w:t>
      </w:r>
      <w:r w:rsidRPr="003224FE">
        <w:t xml:space="preserve"> Профсоюзные права</w:t>
      </w:r>
    </w:p>
    <w:p w:rsidR="000F36FB" w:rsidRDefault="003224FE" w:rsidP="000F36FB">
      <w:pPr>
        <w:pStyle w:val="SingleTxtGR"/>
      </w:pPr>
      <w:r w:rsidRPr="003224FE">
        <w:t>15.</w:t>
      </w:r>
      <w:r w:rsidRPr="003224FE">
        <w:tab/>
        <w:t>Просьба пояснить, при каких обстоятельствах законодательство госуда</w:t>
      </w:r>
      <w:r w:rsidRPr="003224FE">
        <w:t>р</w:t>
      </w:r>
      <w:r w:rsidRPr="003224FE">
        <w:t>ства-участника, включая Уголовный кодекс (статьи 124 и 124-бис), Закон о тр</w:t>
      </w:r>
      <w:r w:rsidRPr="003224FE">
        <w:t>у</w:t>
      </w:r>
      <w:r w:rsidRPr="003224FE">
        <w:t xml:space="preserve">де 1976 года (статья 192) и Закон 34/2011, предусматривает меры уголовного наказания за призыв к забастовкам и участие в них, а также </w:t>
      </w:r>
      <w:r w:rsidR="00945B21">
        <w:t>разъ</w:t>
      </w:r>
      <w:r w:rsidRPr="003224FE">
        <w:t>яснить, с</w:t>
      </w:r>
      <w:r w:rsidRPr="003224FE">
        <w:t>о</w:t>
      </w:r>
      <w:r w:rsidRPr="003224FE">
        <w:t>вместимы ли эти положения с правом на забастовку, гарантируемым Пактом. Кроме того, просьба прокомментировать сообщения о том, что за организацию забастовок к определенному числу трудящихся были применены дисциплина</w:t>
      </w:r>
      <w:r w:rsidRPr="003224FE">
        <w:t>р</w:t>
      </w:r>
      <w:r w:rsidRPr="003224FE">
        <w:t xml:space="preserve">ные меры, </w:t>
      </w:r>
      <w:r w:rsidR="00945B21">
        <w:t xml:space="preserve">что </w:t>
      </w:r>
      <w:r w:rsidRPr="003224FE">
        <w:t xml:space="preserve">против них были возбуждены уголовные расследования и </w:t>
      </w:r>
      <w:r w:rsidR="00945B21">
        <w:t xml:space="preserve">что </w:t>
      </w:r>
      <w:r w:rsidRPr="003224FE">
        <w:t>н</w:t>
      </w:r>
      <w:r w:rsidRPr="003224FE">
        <w:t>е</w:t>
      </w:r>
      <w:r w:rsidRPr="003224FE">
        <w:t>которых из них даже судили в</w:t>
      </w:r>
      <w:r w:rsidRPr="003224FE">
        <w:t>о</w:t>
      </w:r>
      <w:r w:rsidRPr="003224FE">
        <w:t>енные трибуналы.</w:t>
      </w:r>
    </w:p>
    <w:p w:rsidR="00867960" w:rsidRPr="00AC5BF1" w:rsidRDefault="00867960" w:rsidP="00867960">
      <w:pPr>
        <w:pStyle w:val="SingleTxtGR"/>
      </w:pPr>
      <w:r w:rsidRPr="00AC5BF1">
        <w:t>16.</w:t>
      </w:r>
      <w:r w:rsidRPr="00AC5BF1">
        <w:tab/>
        <w:t>Просьба пояснить, каким образом статья 53 Конституции, которая допу</w:t>
      </w:r>
      <w:r w:rsidRPr="00AC5BF1">
        <w:t>с</w:t>
      </w:r>
      <w:r w:rsidRPr="00AC5BF1">
        <w:t>кает создание лишь одн</w:t>
      </w:r>
      <w:r w:rsidRPr="00AC5BF1">
        <w:t>о</w:t>
      </w:r>
      <w:r w:rsidRPr="00AC5BF1">
        <w:t>го профсоюза по какой-либо профессии, совместима с правом каждого человека создавать професси</w:t>
      </w:r>
      <w:r w:rsidRPr="00AC5BF1">
        <w:t>о</w:t>
      </w:r>
      <w:r w:rsidRPr="00AC5BF1">
        <w:t>нальные союзы и вступать в них по своему выбору, провозглашенным в Пакте. Кроме того, просьба пояснить, как организована система коллективных договоров, в том числе проинформир</w:t>
      </w:r>
      <w:r w:rsidRPr="00AC5BF1">
        <w:t>о</w:t>
      </w:r>
      <w:r w:rsidRPr="00AC5BF1">
        <w:t>вать об ограничениях, установленных для этого права, и сообщить, какие сущ</w:t>
      </w:r>
      <w:r w:rsidRPr="00AC5BF1">
        <w:t>е</w:t>
      </w:r>
      <w:r w:rsidRPr="00AC5BF1">
        <w:t>ствуют гарантии свободы профсоюзов.</w:t>
      </w:r>
    </w:p>
    <w:p w:rsidR="00867960" w:rsidRPr="00AC5BF1" w:rsidRDefault="00867960" w:rsidP="00867960">
      <w:pPr>
        <w:pStyle w:val="H1GR0"/>
      </w:pPr>
      <w:r w:rsidRPr="00AC5BF1">
        <w:tab/>
      </w:r>
      <w:r w:rsidRPr="00AC5BF1">
        <w:tab/>
        <w:t>Статья 9 — Право на социальное обеспечение</w:t>
      </w:r>
    </w:p>
    <w:p w:rsidR="00867960" w:rsidRPr="00AC5BF1" w:rsidRDefault="00867960" w:rsidP="00867960">
      <w:pPr>
        <w:pStyle w:val="SingleTxtGR"/>
      </w:pPr>
      <w:r w:rsidRPr="00AC5BF1">
        <w:t>17.</w:t>
      </w:r>
      <w:r w:rsidRPr="00AC5BF1">
        <w:tab/>
        <w:t>Просьба представить информацию о процент</w:t>
      </w:r>
      <w:r w:rsidRPr="00A014F7">
        <w:t>ной доле</w:t>
      </w:r>
      <w:r w:rsidRPr="00AC5BF1">
        <w:t xml:space="preserve"> трудящихся, не о</w:t>
      </w:r>
      <w:r w:rsidRPr="00AC5BF1">
        <w:t>х</w:t>
      </w:r>
      <w:r w:rsidRPr="00AC5BF1">
        <w:t xml:space="preserve">ваченных системой социального обеспечения, и </w:t>
      </w:r>
      <w:r>
        <w:t xml:space="preserve">о </w:t>
      </w:r>
      <w:r w:rsidRPr="00AC5BF1">
        <w:t>причинах такого положения дел. Включите информацию о мерах, принятых с целью увеличения пособий по линии социального обеспечения для каждого человека, в том числе для лиц и групп, находящихся в наиболее неблагоприятном и маргинальном положении, как того требует Пакт.</w:t>
      </w:r>
    </w:p>
    <w:p w:rsidR="00867960" w:rsidRPr="00AC5BF1" w:rsidRDefault="00867960" w:rsidP="00867960">
      <w:pPr>
        <w:pStyle w:val="SingleTxtGR"/>
      </w:pPr>
      <w:r w:rsidRPr="00AC5BF1">
        <w:t>18.</w:t>
      </w:r>
      <w:r w:rsidRPr="00AC5BF1">
        <w:tab/>
        <w:t>Просьба представить информацию о процент</w:t>
      </w:r>
      <w:r>
        <w:t xml:space="preserve">ной доле </w:t>
      </w:r>
      <w:r w:rsidRPr="00AC5BF1">
        <w:t>населения, охв</w:t>
      </w:r>
      <w:r w:rsidRPr="00AC5BF1">
        <w:t>а</w:t>
      </w:r>
      <w:r w:rsidRPr="00AC5BF1">
        <w:t>ченного медицинским страхованием, с разбивкой по экономическим секторам и географическим регионам.</w:t>
      </w:r>
    </w:p>
    <w:p w:rsidR="00867960" w:rsidRPr="00AC5BF1" w:rsidRDefault="00867960" w:rsidP="00867960">
      <w:pPr>
        <w:pStyle w:val="H1GR0"/>
      </w:pPr>
      <w:r w:rsidRPr="00AC5BF1">
        <w:tab/>
      </w:r>
      <w:r w:rsidRPr="00AC5BF1">
        <w:tab/>
        <w:t>Статья 10 — Защита семьи, матерей и детей</w:t>
      </w:r>
    </w:p>
    <w:p w:rsidR="00867960" w:rsidRPr="00AC5BF1" w:rsidRDefault="00867960" w:rsidP="00867960">
      <w:pPr>
        <w:pStyle w:val="SingleTxtGR"/>
      </w:pPr>
      <w:r w:rsidRPr="00AC5BF1">
        <w:t>19.</w:t>
      </w:r>
      <w:r w:rsidRPr="00AC5BF1">
        <w:tab/>
        <w:t>Просьба пояснить, в какой степени статья 70 Конституции все еще д</w:t>
      </w:r>
      <w:r w:rsidRPr="00AC5BF1">
        <w:t>о</w:t>
      </w:r>
      <w:r w:rsidRPr="00AC5BF1">
        <w:t>пускает детский труд. Просьба также более подробно осветить практические результаты мер по ликвидации детского труда, достигнутые инспекциями де</w:t>
      </w:r>
      <w:r w:rsidRPr="00AC5BF1">
        <w:t>т</w:t>
      </w:r>
      <w:r w:rsidRPr="00AC5BF1">
        <w:t>ского труда, созданными при Управлениях по вопросам рабочей силы, и пре</w:t>
      </w:r>
      <w:r w:rsidRPr="00AC5BF1">
        <w:t>д</w:t>
      </w:r>
      <w:r w:rsidRPr="00AC5BF1">
        <w:t>ставить информацию о том, возбуждались ли в этой связи какие-либо уголо</w:t>
      </w:r>
      <w:r w:rsidRPr="00AC5BF1">
        <w:t>в</w:t>
      </w:r>
      <w:r w:rsidRPr="00AC5BF1">
        <w:t>ные преследования. Кроме того, просьба представить информацию о результ</w:t>
      </w:r>
      <w:r w:rsidRPr="00AC5BF1">
        <w:t>а</w:t>
      </w:r>
      <w:r w:rsidRPr="00AC5BF1">
        <w:t xml:space="preserve">тах общенационального </w:t>
      </w:r>
      <w:r>
        <w:t>исследования</w:t>
      </w:r>
      <w:r w:rsidRPr="001B76F9">
        <w:t xml:space="preserve"> </w:t>
      </w:r>
      <w:r w:rsidRPr="00AC5BF1">
        <w:t xml:space="preserve">проблемы детского труда, упомянутого в докладе государства-участника (E/C.12/EGY/2-4, пункт 407), и </w:t>
      </w:r>
      <w:r>
        <w:t xml:space="preserve">направить </w:t>
      </w:r>
      <w:r w:rsidRPr="00AC5BF1">
        <w:t>о</w:t>
      </w:r>
      <w:r w:rsidRPr="00AC5BF1">
        <w:t>б</w:t>
      </w:r>
      <w:r w:rsidRPr="00AC5BF1">
        <w:t>новленную информацию о распространенности детского труда в государстве-участнике.</w:t>
      </w:r>
    </w:p>
    <w:p w:rsidR="00867960" w:rsidRPr="00AC5BF1" w:rsidRDefault="00867960" w:rsidP="00867960">
      <w:pPr>
        <w:pStyle w:val="SingleTxtGR"/>
      </w:pPr>
      <w:r w:rsidRPr="00AC5BF1">
        <w:t>20.</w:t>
      </w:r>
      <w:r w:rsidRPr="00AC5BF1">
        <w:tab/>
        <w:t xml:space="preserve">Просьба представить информацию о результатах, достигнутых </w:t>
      </w:r>
      <w:r>
        <w:t>подразд</w:t>
      </w:r>
      <w:r>
        <w:t>е</w:t>
      </w:r>
      <w:r>
        <w:t>лением</w:t>
      </w:r>
      <w:r w:rsidRPr="00AC5BF1">
        <w:t>, созданным Национальным советом по детству и материнству в 2007 г</w:t>
      </w:r>
      <w:r w:rsidRPr="00AC5BF1">
        <w:t>о</w:t>
      </w:r>
      <w:r w:rsidRPr="00AC5BF1">
        <w:t xml:space="preserve">ду </w:t>
      </w:r>
      <w:r>
        <w:t xml:space="preserve">с целью </w:t>
      </w:r>
      <w:r w:rsidRPr="00AC5BF1">
        <w:t>борьбы с торговлей детьми (E/C.12/EGY/2-4, пункт 189), и о пр</w:t>
      </w:r>
      <w:r w:rsidRPr="00AC5BF1">
        <w:t>о</w:t>
      </w:r>
      <w:r w:rsidRPr="00AC5BF1">
        <w:t>блемах, с которыми он</w:t>
      </w:r>
      <w:r>
        <w:t>о</w:t>
      </w:r>
      <w:r w:rsidRPr="00AC5BF1">
        <w:t xml:space="preserve"> сталкивается.</w:t>
      </w:r>
    </w:p>
    <w:p w:rsidR="00867960" w:rsidRPr="00AC5BF1" w:rsidRDefault="00867960" w:rsidP="00867960">
      <w:pPr>
        <w:pStyle w:val="SingleTxtGR"/>
      </w:pPr>
      <w:r w:rsidRPr="00AC5BF1">
        <w:t>21.</w:t>
      </w:r>
      <w:r w:rsidRPr="00AC5BF1">
        <w:tab/>
        <w:t>Просьба пояснить, содержит ли закон</w:t>
      </w:r>
      <w:r>
        <w:t>одательство</w:t>
      </w:r>
      <w:r w:rsidRPr="00AC5BF1">
        <w:t xml:space="preserve"> государства-участника </w:t>
      </w:r>
      <w:r>
        <w:t xml:space="preserve">положения об </w:t>
      </w:r>
      <w:r w:rsidRPr="00AC5BF1">
        <w:t>эксплицит</w:t>
      </w:r>
      <w:r>
        <w:t>ном</w:t>
      </w:r>
      <w:r w:rsidRPr="00AC5BF1">
        <w:t xml:space="preserve"> запрещени</w:t>
      </w:r>
      <w:r>
        <w:t>и</w:t>
      </w:r>
      <w:r w:rsidRPr="00AC5BF1">
        <w:t xml:space="preserve"> телесного наказания детей где бы то ни было, в том числе дома, в школах и учреждениях альтернативного ухода; просьба </w:t>
      </w:r>
      <w:r>
        <w:t xml:space="preserve">также </w:t>
      </w:r>
      <w:r w:rsidRPr="00AC5BF1">
        <w:t>проинформировать Комитет о результатах любых преследований в этой связи.</w:t>
      </w:r>
    </w:p>
    <w:p w:rsidR="00867960" w:rsidRPr="00AC5BF1" w:rsidRDefault="00867960" w:rsidP="00867960">
      <w:pPr>
        <w:pStyle w:val="SingleTxtGR"/>
      </w:pPr>
      <w:r w:rsidRPr="00AC5BF1">
        <w:t>22.</w:t>
      </w:r>
      <w:r w:rsidRPr="00AC5BF1">
        <w:tab/>
        <w:t>В связи с Трудовым кодексом (Закон 12 от 2003 года) просьба предст</w:t>
      </w:r>
      <w:r w:rsidRPr="00AC5BF1">
        <w:t>а</w:t>
      </w:r>
      <w:r w:rsidRPr="00AC5BF1">
        <w:t>вить более подробную информацию об использовании на практике декретного отпуска женщинами, работающими в неформальном секторе экономики и час</w:t>
      </w:r>
      <w:r w:rsidRPr="00AC5BF1">
        <w:t>т</w:t>
      </w:r>
      <w:r w:rsidRPr="00AC5BF1">
        <w:t>ном секторе.</w:t>
      </w:r>
    </w:p>
    <w:p w:rsidR="00867960" w:rsidRPr="00AC5BF1" w:rsidRDefault="00867960" w:rsidP="00867960">
      <w:pPr>
        <w:pStyle w:val="H1GR0"/>
      </w:pPr>
      <w:r w:rsidRPr="00AC5BF1">
        <w:tab/>
      </w:r>
      <w:r w:rsidRPr="00AC5BF1">
        <w:tab/>
        <w:t xml:space="preserve">Статья 11 </w:t>
      </w:r>
      <w:r>
        <w:t>−</w:t>
      </w:r>
      <w:r w:rsidRPr="00AC5BF1">
        <w:t xml:space="preserve"> Право на достаточный жизненный уровень</w:t>
      </w:r>
    </w:p>
    <w:p w:rsidR="00867960" w:rsidRPr="00AC5BF1" w:rsidRDefault="00867960" w:rsidP="00867960">
      <w:pPr>
        <w:pStyle w:val="SingleTxtGR"/>
      </w:pPr>
      <w:r w:rsidRPr="00AC5BF1">
        <w:t>23.</w:t>
      </w:r>
      <w:r w:rsidRPr="00AC5BF1">
        <w:tab/>
        <w:t>Со ссылкой на предыдущие заключительные замечания Комитета (E/C.12/1/Add.44, пункт 15) просьба проинформировать Комитет о том, устан</w:t>
      </w:r>
      <w:r w:rsidRPr="00AC5BF1">
        <w:t>о</w:t>
      </w:r>
      <w:r w:rsidRPr="00AC5BF1">
        <w:t>вило ли государство-участник официальную национальную черту бедности и, если нет, какие механизмы используются для изме</w:t>
      </w:r>
      <w:r>
        <w:t>р</w:t>
      </w:r>
      <w:r w:rsidRPr="00AC5BF1">
        <w:t>ения и мониторинга распр</w:t>
      </w:r>
      <w:r w:rsidRPr="00AC5BF1">
        <w:t>о</w:t>
      </w:r>
      <w:r w:rsidRPr="00AC5BF1">
        <w:t>страненности нищеты.</w:t>
      </w:r>
    </w:p>
    <w:p w:rsidR="00867960" w:rsidRPr="00AC5BF1" w:rsidRDefault="00867960" w:rsidP="00867960">
      <w:pPr>
        <w:pStyle w:val="SingleTxtGR"/>
      </w:pPr>
      <w:r w:rsidRPr="00AC5BF1">
        <w:t>24.</w:t>
      </w:r>
      <w:r w:rsidRPr="00AC5BF1">
        <w:tab/>
        <w:t>Просьба представить информацию о результатах и проблемах осущест</w:t>
      </w:r>
      <w:r w:rsidRPr="00AC5BF1">
        <w:t>в</w:t>
      </w:r>
      <w:r w:rsidRPr="00AC5BF1">
        <w:t>ления Плана действий по продовольственной безопасности, упомянутого в до</w:t>
      </w:r>
      <w:r w:rsidRPr="00AC5BF1">
        <w:t>к</w:t>
      </w:r>
      <w:r w:rsidRPr="00AC5BF1">
        <w:t>ладе государства-участника (E/C.12/EGY/2-4, пункт 204). Просьба также объя</w:t>
      </w:r>
      <w:r w:rsidRPr="00AC5BF1">
        <w:t>с</w:t>
      </w:r>
      <w:r w:rsidRPr="00AC5BF1">
        <w:t>нить, как имевшие место в последнее время сокращения размеров субсидий на муку могут отразиться на наличии субсидируемого хлеба, и сообщить, каким образом государство-участник намерено смягчить воздействие уменьшения субсидий на пользование правом на питание.</w:t>
      </w:r>
    </w:p>
    <w:p w:rsidR="00867960" w:rsidRPr="00AC5BF1" w:rsidRDefault="00867960" w:rsidP="00867960">
      <w:pPr>
        <w:pStyle w:val="SingleTxtGR"/>
      </w:pPr>
      <w:r w:rsidRPr="00AC5BF1">
        <w:t>25.</w:t>
      </w:r>
      <w:r w:rsidRPr="00AC5BF1">
        <w:tab/>
        <w:t>Просьба проинформировать Комитет о том, провело ли государство-участник всеобъемлющее о</w:t>
      </w:r>
      <w:r w:rsidRPr="00AC5BF1">
        <w:t>б</w:t>
      </w:r>
      <w:r w:rsidRPr="00AC5BF1">
        <w:t>следование по вопросу о доступе к безопасной питьевой воде и санитарным услугам, в том числе о доступе к ним людей, ж</w:t>
      </w:r>
      <w:r w:rsidRPr="00AC5BF1">
        <w:t>и</w:t>
      </w:r>
      <w:r w:rsidRPr="00AC5BF1">
        <w:t>вущих в трущобах, беженцев и просителей убежища, а также населения сел</w:t>
      </w:r>
      <w:r w:rsidRPr="00AC5BF1">
        <w:t>ь</w:t>
      </w:r>
      <w:r w:rsidRPr="00AC5BF1">
        <w:t>ских районов. Просьба также представить информацию о ходе осуществления плана полного охвата всех городов</w:t>
      </w:r>
      <w:r>
        <w:t xml:space="preserve">, городских населенных пунктов </w:t>
      </w:r>
      <w:r w:rsidRPr="00AC5BF1">
        <w:t>и поселков, описанного в докладе государства-участника (E/C.12/EGY/2-4, пункт 218).</w:t>
      </w:r>
    </w:p>
    <w:p w:rsidR="00867960" w:rsidRPr="00AC5BF1" w:rsidRDefault="00867960" w:rsidP="00867960">
      <w:pPr>
        <w:pStyle w:val="SingleTxtGR"/>
      </w:pPr>
      <w:r w:rsidRPr="00AC5BF1">
        <w:t>26.</w:t>
      </w:r>
      <w:r w:rsidRPr="00AC5BF1">
        <w:tab/>
        <w:t>Просьба представить информацию о том, как применяется в обычном з</w:t>
      </w:r>
      <w:r w:rsidRPr="00AC5BF1">
        <w:t>а</w:t>
      </w:r>
      <w:r w:rsidRPr="00AC5BF1">
        <w:t>конодательстве понятие "достаточное жилище", фигурирующее в Констит</w:t>
      </w:r>
      <w:r w:rsidRPr="00AC5BF1">
        <w:t>у</w:t>
      </w:r>
      <w:r w:rsidRPr="00AC5BF1">
        <w:t>ции (статья 68). Просьба также представить статистические данные в разбивке по регионам и городским или сельским районам о пользовании правом на дост</w:t>
      </w:r>
      <w:r w:rsidRPr="00AC5BF1">
        <w:t>а</w:t>
      </w:r>
      <w:r w:rsidRPr="00AC5BF1">
        <w:t>точное жилище и включить информацию о количестве принудительных выс</w:t>
      </w:r>
      <w:r w:rsidRPr="00AC5BF1">
        <w:t>е</w:t>
      </w:r>
      <w:r w:rsidRPr="00AC5BF1">
        <w:t>лений, имевших место в последние годы, и о принятых мерах по обеспечению того, чтобы выселения производились в соответствии с международными при</w:t>
      </w:r>
      <w:r w:rsidRPr="00AC5BF1">
        <w:t>н</w:t>
      </w:r>
      <w:r w:rsidRPr="00AC5BF1">
        <w:t>ципами и рекомендациями, а также с учетом замечания общего порядка Ком</w:t>
      </w:r>
      <w:r w:rsidRPr="00AC5BF1">
        <w:t>и</w:t>
      </w:r>
      <w:r w:rsidRPr="00AC5BF1">
        <w:t>тета № 7 (1997) о праве на достаточное жилище. Просьба также сообщить о прогресс</w:t>
      </w:r>
      <w:r>
        <w:t>е, достигнутом в осуществлении Н</w:t>
      </w:r>
      <w:r w:rsidRPr="00AC5BF1">
        <w:t>ационального жилищного проекта, который должен был быть завершен к 30 сентября 2011 года, и проинформир</w:t>
      </w:r>
      <w:r w:rsidRPr="00AC5BF1">
        <w:t>о</w:t>
      </w:r>
      <w:r w:rsidRPr="00AC5BF1">
        <w:t xml:space="preserve">вать Комитет о том, какие </w:t>
      </w:r>
      <w:r>
        <w:t xml:space="preserve">были приняты </w:t>
      </w:r>
      <w:r w:rsidRPr="00AC5BF1">
        <w:t xml:space="preserve">другие стратегии или проекты, </w:t>
      </w:r>
      <w:r>
        <w:t>н</w:t>
      </w:r>
      <w:r>
        <w:t>а</w:t>
      </w:r>
      <w:r>
        <w:t xml:space="preserve">правленные на обеспечение </w:t>
      </w:r>
      <w:r w:rsidRPr="00AC5BF1">
        <w:t>права на достаточное жилище</w:t>
      </w:r>
      <w:r>
        <w:t>.</w:t>
      </w:r>
    </w:p>
    <w:p w:rsidR="00867960" w:rsidRPr="00AC5BF1" w:rsidRDefault="00867960" w:rsidP="00867960">
      <w:pPr>
        <w:pStyle w:val="SingleTxtGR"/>
      </w:pPr>
      <w:r w:rsidRPr="00AC5BF1">
        <w:t>27.</w:t>
      </w:r>
      <w:r w:rsidRPr="00AC5BF1">
        <w:tab/>
        <w:t xml:space="preserve">Просьба указать, какие меры государство-участник намерено принять для улучшения положения </w:t>
      </w:r>
      <w:r>
        <w:t xml:space="preserve">значительного </w:t>
      </w:r>
      <w:r w:rsidRPr="00AC5BF1">
        <w:t xml:space="preserve">числа </w:t>
      </w:r>
      <w:r>
        <w:t>лиц</w:t>
      </w:r>
      <w:r w:rsidRPr="00AC5BF1">
        <w:t>, живущих в настоящее время в неформальных поселениях, которые были квалифицированы Фондом по улу</w:t>
      </w:r>
      <w:r w:rsidRPr="00AC5BF1">
        <w:t>ч</w:t>
      </w:r>
      <w:r w:rsidRPr="00AC5BF1">
        <w:t>шению состояния неформальных поселений как "небезопасные". В этой связи просьба пояснить, какие средства судебной или иной правовой защиты пред</w:t>
      </w:r>
      <w:r w:rsidRPr="00AC5BF1">
        <w:t>у</w:t>
      </w:r>
      <w:r w:rsidRPr="00AC5BF1">
        <w:t>смотрены в случае принудительных выселений и для обеспечения надл</w:t>
      </w:r>
      <w:r w:rsidRPr="00AC5BF1">
        <w:t>е</w:t>
      </w:r>
      <w:r w:rsidRPr="00AC5BF1">
        <w:t>жащих консультаций в контексте плана "Каир 2050/Египет 2052".</w:t>
      </w:r>
    </w:p>
    <w:p w:rsidR="00867960" w:rsidRPr="00AC5BF1" w:rsidRDefault="00867960" w:rsidP="00867960">
      <w:pPr>
        <w:pStyle w:val="H1GR0"/>
      </w:pPr>
      <w:r w:rsidRPr="00AC5BF1">
        <w:tab/>
      </w:r>
      <w:r w:rsidRPr="00AC5BF1">
        <w:tab/>
        <w:t xml:space="preserve">Статья 12 </w:t>
      </w:r>
      <w:r>
        <w:t>−</w:t>
      </w:r>
      <w:r w:rsidRPr="00AC5BF1">
        <w:t xml:space="preserve"> Право на физическое и психическое здоровье</w:t>
      </w:r>
    </w:p>
    <w:p w:rsidR="00867960" w:rsidRPr="00AC5BF1" w:rsidRDefault="00867960" w:rsidP="00867960">
      <w:pPr>
        <w:pStyle w:val="SingleTxtGR"/>
      </w:pPr>
      <w:r w:rsidRPr="00AC5BF1">
        <w:t>28.</w:t>
      </w:r>
      <w:r w:rsidRPr="00AC5BF1">
        <w:tab/>
        <w:t>Просьба представить обновленную информацию о материнской смертн</w:t>
      </w:r>
      <w:r w:rsidRPr="00AC5BF1">
        <w:t>о</w:t>
      </w:r>
      <w:r w:rsidRPr="00AC5BF1">
        <w:t>сти/заболеваемости, а также о детской заболеваемости и заболеваемости д</w:t>
      </w:r>
      <w:r w:rsidRPr="00AC5BF1">
        <w:t>е</w:t>
      </w:r>
      <w:r w:rsidRPr="00AC5BF1">
        <w:t>тей в возрасте до пяти лет за текущий отчетный период.</w:t>
      </w:r>
    </w:p>
    <w:p w:rsidR="00867960" w:rsidRPr="00AC5BF1" w:rsidRDefault="00867960" w:rsidP="00867960">
      <w:pPr>
        <w:pStyle w:val="SingleTxtGR"/>
      </w:pPr>
      <w:r w:rsidRPr="00AC5BF1">
        <w:t>29.</w:t>
      </w:r>
      <w:r w:rsidRPr="00AC5BF1">
        <w:tab/>
        <w:t>Просьба пояснить, каковы причины непрерывного сокращения в госуда</w:t>
      </w:r>
      <w:r w:rsidRPr="00AC5BF1">
        <w:t>р</w:t>
      </w:r>
      <w:r w:rsidRPr="00AC5BF1">
        <w:t>стве-участнике госуда</w:t>
      </w:r>
      <w:r w:rsidRPr="00AC5BF1">
        <w:t>р</w:t>
      </w:r>
      <w:r w:rsidRPr="00AC5BF1">
        <w:t>ственных ассигнований на здравоохранение в пересчете на проценты от валового внутреннего продукта</w:t>
      </w:r>
      <w:r>
        <w:t>,</w:t>
      </w:r>
      <w:r w:rsidRPr="00AC5BF1">
        <w:t xml:space="preserve"> и представить информацию о мерах, принятых для </w:t>
      </w:r>
      <w:r>
        <w:t xml:space="preserve">обращения </w:t>
      </w:r>
      <w:r w:rsidRPr="00AC5BF1">
        <w:t>этой тенденции</w:t>
      </w:r>
      <w:r>
        <w:t xml:space="preserve"> вспять</w:t>
      </w:r>
      <w:r w:rsidRPr="00AC5BF1">
        <w:t>. Указать также, каким образом государство-участник намерено в свете растущей приватизации сект</w:t>
      </w:r>
      <w:r w:rsidRPr="00AC5BF1">
        <w:t>о</w:t>
      </w:r>
      <w:r w:rsidRPr="00AC5BF1">
        <w:t xml:space="preserve">ра здравоохранения обеспечить всеобщий доступ к качественным и недорогим услугам </w:t>
      </w:r>
      <w:r>
        <w:t xml:space="preserve">в сфере </w:t>
      </w:r>
      <w:r w:rsidRPr="00AC5BF1">
        <w:t>здравоохранения. В этой связи просьба сообщить о р</w:t>
      </w:r>
      <w:r w:rsidRPr="00AC5BF1">
        <w:t>е</w:t>
      </w:r>
      <w:r w:rsidRPr="00AC5BF1">
        <w:t>зультатах осуществления шестого пятилетнего плана, который должен был обеспечить полный охват населения в соответствии с будущим законом о едином медици</w:t>
      </w:r>
      <w:r w:rsidRPr="00AC5BF1">
        <w:t>н</w:t>
      </w:r>
      <w:r w:rsidRPr="00AC5BF1">
        <w:t>ском страховании.</w:t>
      </w:r>
    </w:p>
    <w:p w:rsidR="00867960" w:rsidRPr="00AC5BF1" w:rsidRDefault="00867960" w:rsidP="00867960">
      <w:pPr>
        <w:pStyle w:val="SingleTxtGR"/>
      </w:pPr>
      <w:r w:rsidRPr="00AC5BF1">
        <w:t>30.</w:t>
      </w:r>
      <w:r w:rsidRPr="00AC5BF1">
        <w:tab/>
        <w:t>Просьба указать, какие шаги были предприняты государством-участником для обеспечения для всех слоев населения доступа к услугам по линии сексуального и репродуктивного здоровья и для содействия просвещ</w:t>
      </w:r>
      <w:r w:rsidRPr="00AC5BF1">
        <w:t>е</w:t>
      </w:r>
      <w:r w:rsidRPr="00AC5BF1">
        <w:t>нию в области сексуального и репродуктивного здоровья, в частности девочек и мальчиков подросткового возраста.</w:t>
      </w:r>
    </w:p>
    <w:p w:rsidR="00867960" w:rsidRPr="00AC5BF1" w:rsidRDefault="00867960" w:rsidP="00867960">
      <w:pPr>
        <w:pStyle w:val="H1GR0"/>
      </w:pPr>
      <w:r w:rsidRPr="00AC5BF1">
        <w:tab/>
      </w:r>
      <w:r w:rsidRPr="00AC5BF1">
        <w:tab/>
        <w:t xml:space="preserve">Статьи 13 и 14 </w:t>
      </w:r>
      <w:r>
        <w:t>−</w:t>
      </w:r>
      <w:r w:rsidRPr="00AC5BF1">
        <w:t xml:space="preserve"> Право на образование</w:t>
      </w:r>
    </w:p>
    <w:p w:rsidR="00867960" w:rsidRPr="00AC5BF1" w:rsidRDefault="00867960" w:rsidP="00867960">
      <w:pPr>
        <w:pStyle w:val="SingleTxtGR"/>
      </w:pPr>
      <w:r w:rsidRPr="00AC5BF1">
        <w:t>31.</w:t>
      </w:r>
      <w:r w:rsidRPr="00AC5BF1">
        <w:tab/>
        <w:t>Просьба представить обновленную статистическую информацию о чи</w:t>
      </w:r>
      <w:r w:rsidRPr="00AC5BF1">
        <w:t>с</w:t>
      </w:r>
      <w:r w:rsidRPr="00AC5BF1">
        <w:t>ле школьников, выпускников школ, уровнях отсева и грамотности в разбивке по городам и селам, регионам и полу. Просьба прокомментировать рост сектора частного образования в государстве-участнике, обусловленный ухудшением к</w:t>
      </w:r>
      <w:r w:rsidRPr="00AC5BF1">
        <w:t>а</w:t>
      </w:r>
      <w:r w:rsidRPr="00AC5BF1">
        <w:t>чества государственного образования.</w:t>
      </w:r>
    </w:p>
    <w:p w:rsidR="00867960" w:rsidRPr="00AC5BF1" w:rsidRDefault="00867960" w:rsidP="00867960">
      <w:pPr>
        <w:pStyle w:val="H1GR0"/>
      </w:pPr>
      <w:r w:rsidRPr="00AC5BF1">
        <w:tab/>
      </w:r>
      <w:r w:rsidRPr="00AC5BF1">
        <w:tab/>
        <w:t xml:space="preserve">Статья 15 </w:t>
      </w:r>
      <w:r>
        <w:t>−</w:t>
      </w:r>
      <w:r w:rsidRPr="00AC5BF1">
        <w:t xml:space="preserve"> Право </w:t>
      </w:r>
      <w:r>
        <w:t>на участие в культурной жизни и </w:t>
      </w:r>
      <w:r w:rsidRPr="00AC5BF1">
        <w:t>пользование результатами научного прогресса</w:t>
      </w:r>
    </w:p>
    <w:p w:rsidR="00867960" w:rsidRPr="00AC5BF1" w:rsidRDefault="00867960" w:rsidP="00867960">
      <w:pPr>
        <w:pStyle w:val="SingleTxtGR"/>
      </w:pPr>
      <w:r w:rsidRPr="00AC5BF1">
        <w:t>32.</w:t>
      </w:r>
      <w:r w:rsidRPr="00AC5BF1">
        <w:tab/>
        <w:t xml:space="preserve">Просьба пояснить, </w:t>
      </w:r>
      <w:r>
        <w:t xml:space="preserve">каким образом </w:t>
      </w:r>
      <w:r w:rsidRPr="00AC5BF1">
        <w:t>государство-участник гарантирует пр</w:t>
      </w:r>
      <w:r w:rsidRPr="00AC5BF1">
        <w:t>а</w:t>
      </w:r>
      <w:r w:rsidRPr="00AC5BF1">
        <w:t>во доступа к культурной жизни для всех.</w:t>
      </w:r>
    </w:p>
    <w:p w:rsidR="00867960" w:rsidRPr="00AC5BF1" w:rsidRDefault="00867960" w:rsidP="00867960">
      <w:pPr>
        <w:pStyle w:val="SingleTxtGR"/>
      </w:pPr>
      <w:r w:rsidRPr="00AC5BF1">
        <w:t>33.</w:t>
      </w:r>
      <w:r w:rsidRPr="00AC5BF1">
        <w:tab/>
        <w:t>Просьба представить дополнительную информацию о роли государства в планировании радио- и телевизионных передач и сообщить о содержании уп</w:t>
      </w:r>
      <w:r w:rsidRPr="00AC5BF1">
        <w:t>о</w:t>
      </w:r>
      <w:r w:rsidRPr="00AC5BF1">
        <w:t>мянутого в докладе государства-участника инфо</w:t>
      </w:r>
      <w:r w:rsidRPr="00AC5BF1">
        <w:t>р</w:t>
      </w:r>
      <w:r w:rsidRPr="00AC5BF1">
        <w:t>мационного плана для средств массовой информации (E/C.12/EGY/2-4, пункт 340). Просьба также предст</w:t>
      </w:r>
      <w:r w:rsidRPr="00AC5BF1">
        <w:t>а</w:t>
      </w:r>
      <w:r w:rsidRPr="00AC5BF1">
        <w:t>вить информацию о положении дел в государстве-участнике с печатными сре</w:t>
      </w:r>
      <w:r w:rsidRPr="00AC5BF1">
        <w:t>д</w:t>
      </w:r>
      <w:r w:rsidRPr="00AC5BF1">
        <w:t>ствами массовой информации.</w:t>
      </w:r>
    </w:p>
    <w:p w:rsidR="00867960" w:rsidRPr="00AC5BF1" w:rsidRDefault="00867960" w:rsidP="00867960">
      <w:pPr>
        <w:pStyle w:val="SingleTxtGR"/>
      </w:pPr>
      <w:r w:rsidRPr="00AC5BF1">
        <w:t>34.</w:t>
      </w:r>
      <w:r w:rsidRPr="00AC5BF1">
        <w:tab/>
        <w:t>Просьба представить информацию о защите меньшинств, в том числе р</w:t>
      </w:r>
      <w:r w:rsidRPr="00AC5BF1">
        <w:t>е</w:t>
      </w:r>
      <w:r w:rsidRPr="00AC5BF1">
        <w:t>лигиозных меньшинств, и о сохранении их исторического и культурного насл</w:t>
      </w:r>
      <w:r w:rsidRPr="00AC5BF1">
        <w:t>е</w:t>
      </w:r>
      <w:r w:rsidRPr="00AC5BF1">
        <w:t>дия. Просьба также представить информацию о мерах, принятых государс</w:t>
      </w:r>
      <w:r w:rsidRPr="00AC5BF1">
        <w:t>т</w:t>
      </w:r>
      <w:r w:rsidRPr="00AC5BF1">
        <w:t xml:space="preserve">вом-участником в целях поощрения понимания различных культур, терпимости и взаимного уважения среди различных </w:t>
      </w:r>
      <w:r>
        <w:t xml:space="preserve">частей </w:t>
      </w:r>
      <w:r w:rsidRPr="00AC5BF1">
        <w:t>общества.</w:t>
      </w:r>
    </w:p>
    <w:p w:rsidR="00867960" w:rsidRPr="00AC5BF1" w:rsidRDefault="00867960" w:rsidP="00867960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7960" w:rsidRPr="00AC5BF1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16" w:rsidRDefault="000F3516">
      <w:r>
        <w:rPr>
          <w:lang w:val="en-US"/>
        </w:rPr>
        <w:tab/>
      </w:r>
      <w:r>
        <w:separator/>
      </w:r>
    </w:p>
  </w:endnote>
  <w:endnote w:type="continuationSeparator" w:id="0">
    <w:p w:rsidR="000F3516" w:rsidRDefault="000F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16" w:rsidRPr="009A6F4A" w:rsidRDefault="000F351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0BA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GE.13-44424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16" w:rsidRPr="009A6F4A" w:rsidRDefault="000F3516">
    <w:pPr>
      <w:pStyle w:val="Footer"/>
      <w:rPr>
        <w:lang w:val="en-US"/>
      </w:rPr>
    </w:pPr>
    <w:r>
      <w:rPr>
        <w:lang w:val="en-US"/>
      </w:rPr>
      <w:t>GE.13-44424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0BA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16" w:rsidRPr="009A6F4A" w:rsidRDefault="000F3516">
    <w:pPr>
      <w:pStyle w:val="Footer"/>
      <w:rPr>
        <w:sz w:val="20"/>
        <w:lang w:val="en-US"/>
      </w:rPr>
    </w:pPr>
    <w:r>
      <w:rPr>
        <w:sz w:val="20"/>
        <w:lang w:val="en-US"/>
      </w:rPr>
      <w:t>GE.13-4442</w:t>
    </w:r>
    <w:r>
      <w:rPr>
        <w:sz w:val="20"/>
        <w:lang w:val="ru-RU"/>
      </w:rPr>
      <w:t>4</w:t>
    </w:r>
    <w:r>
      <w:rPr>
        <w:sz w:val="20"/>
        <w:lang w:val="en-US"/>
      </w:rPr>
      <w:t xml:space="preserve">  (R)  0</w:t>
    </w:r>
    <w:r>
      <w:rPr>
        <w:sz w:val="20"/>
        <w:lang w:val="ru-RU"/>
      </w:rPr>
      <w:t>1</w:t>
    </w:r>
    <w:r>
      <w:rPr>
        <w:sz w:val="20"/>
        <w:lang w:val="en-US"/>
      </w:rPr>
      <w:t xml:space="preserve">0713 </w:t>
    </w:r>
    <w:r>
      <w:rPr>
        <w:sz w:val="20"/>
        <w:lang w:val="ru-RU"/>
      </w:rPr>
      <w:t xml:space="preserve"> 02</w:t>
    </w:r>
    <w:r>
      <w:rPr>
        <w:sz w:val="20"/>
        <w:lang w:val="en-US"/>
      </w:rPr>
      <w:t>0712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16" w:rsidRPr="00F71F63" w:rsidRDefault="000F351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F3516" w:rsidRPr="00F71F63" w:rsidRDefault="000F351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F3516" w:rsidRPr="00635E86" w:rsidRDefault="000F3516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16" w:rsidRPr="006D75BF" w:rsidRDefault="000F3516">
    <w:pPr>
      <w:pStyle w:val="Header"/>
      <w:rPr>
        <w:lang w:val="en-US"/>
      </w:rPr>
    </w:pPr>
    <w:r>
      <w:rPr>
        <w:lang w:val="en-US"/>
      </w:rPr>
      <w:t>E/</w:t>
    </w:r>
    <w:r w:rsidRPr="006D75BF">
      <w:rPr>
        <w:lang w:val="en-US"/>
      </w:rPr>
      <w:t>С.12/WG/EGY/Q/2-4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16" w:rsidRPr="006D75BF" w:rsidRDefault="000F3516">
    <w:pPr>
      <w:pStyle w:val="Header"/>
      <w:rPr>
        <w:lang w:val="en-US"/>
      </w:rPr>
    </w:pPr>
    <w:r>
      <w:rPr>
        <w:lang w:val="en-US"/>
      </w:rPr>
      <w:tab/>
      <w:t>E/</w:t>
    </w:r>
    <w:r w:rsidRPr="006D75BF">
      <w:rPr>
        <w:lang w:val="en-US"/>
      </w:rPr>
      <w:t>С.12/WG/EGY/Q/2-4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B17"/>
    <w:rsid w:val="000033D8"/>
    <w:rsid w:val="00005C1C"/>
    <w:rsid w:val="00016553"/>
    <w:rsid w:val="000233B3"/>
    <w:rsid w:val="00023E9E"/>
    <w:rsid w:val="00026B0C"/>
    <w:rsid w:val="0003497B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0F3516"/>
    <w:rsid w:val="000F36FB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6182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27D1"/>
    <w:rsid w:val="002E43F3"/>
    <w:rsid w:val="00306D2D"/>
    <w:rsid w:val="003215F5"/>
    <w:rsid w:val="003224FE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2D7C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1E8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33A3"/>
    <w:rsid w:val="006A401C"/>
    <w:rsid w:val="006A7C6E"/>
    <w:rsid w:val="006B23D9"/>
    <w:rsid w:val="006C1814"/>
    <w:rsid w:val="006C2F45"/>
    <w:rsid w:val="006C361A"/>
    <w:rsid w:val="006C5657"/>
    <w:rsid w:val="006D0025"/>
    <w:rsid w:val="006D5E4E"/>
    <w:rsid w:val="006D75BF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117C"/>
    <w:rsid w:val="007A79EB"/>
    <w:rsid w:val="007D4CA0"/>
    <w:rsid w:val="007D7A23"/>
    <w:rsid w:val="007E38C3"/>
    <w:rsid w:val="007E549E"/>
    <w:rsid w:val="007E71C9"/>
    <w:rsid w:val="007F4B17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7960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6DF"/>
    <w:rsid w:val="00937FBD"/>
    <w:rsid w:val="00945B21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BE50C4"/>
    <w:rsid w:val="00C07C0F"/>
    <w:rsid w:val="00C07EE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330E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E387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BAD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">
    <w:name w:val="_ H_1_GR Знак"/>
    <w:link w:val="H1GR0"/>
    <w:rsid w:val="00867960"/>
    <w:rPr>
      <w:b/>
      <w:spacing w:val="4"/>
      <w:w w:val="103"/>
      <w:kern w:val="14"/>
      <w:sz w:val="2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6</Pages>
  <Words>2237</Words>
  <Characters>12751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1344424</vt:lpstr>
    </vt:vector>
  </TitlesOfParts>
  <Company>CSD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1344424</dc:title>
  <dc:subject>Овчинников</dc:subject>
  <dc:creator>Belova</dc:creator>
  <cp:keywords/>
  <dc:description/>
  <cp:lastModifiedBy>Anna Petelina</cp:lastModifiedBy>
  <cp:revision>2</cp:revision>
  <cp:lastPrinted>1601-01-01T00:00:00Z</cp:lastPrinted>
  <dcterms:created xsi:type="dcterms:W3CDTF">2013-07-02T13:02:00Z</dcterms:created>
  <dcterms:modified xsi:type="dcterms:W3CDTF">2013-07-02T13:02:00Z</dcterms:modified>
</cp:coreProperties>
</file>