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2E4295" w:rsidTr="00C3643E">
        <w:trPr>
          <w:trHeight w:hRule="exact" w:val="851"/>
        </w:trPr>
        <w:tc>
          <w:tcPr>
            <w:tcW w:w="1276" w:type="dxa"/>
            <w:tcBorders>
              <w:bottom w:val="single" w:sz="4" w:space="0" w:color="auto"/>
            </w:tcBorders>
          </w:tcPr>
          <w:p w:rsidR="003D1DF3" w:rsidRPr="002E4295" w:rsidRDefault="003D1DF3" w:rsidP="00E675B4">
            <w:pPr>
              <w:rPr>
                <w:lang w:val="fr-FR"/>
              </w:rPr>
            </w:pPr>
          </w:p>
        </w:tc>
        <w:tc>
          <w:tcPr>
            <w:tcW w:w="2268" w:type="dxa"/>
            <w:tcBorders>
              <w:bottom w:val="single" w:sz="4" w:space="0" w:color="auto"/>
            </w:tcBorders>
            <w:vAlign w:val="bottom"/>
          </w:tcPr>
          <w:p w:rsidR="003D1DF3" w:rsidRPr="002E4295" w:rsidRDefault="003D1DF3" w:rsidP="00E675B4">
            <w:pPr>
              <w:spacing w:after="80" w:line="300" w:lineRule="exact"/>
              <w:rPr>
                <w:sz w:val="28"/>
                <w:lang w:val="fr-FR"/>
              </w:rPr>
            </w:pPr>
            <w:r w:rsidRPr="002E4295">
              <w:rPr>
                <w:sz w:val="28"/>
                <w:lang w:val="fr-FR"/>
              </w:rPr>
              <w:t>Nations Unies</w:t>
            </w:r>
          </w:p>
        </w:tc>
        <w:tc>
          <w:tcPr>
            <w:tcW w:w="6095" w:type="dxa"/>
            <w:gridSpan w:val="2"/>
            <w:tcBorders>
              <w:bottom w:val="single" w:sz="4" w:space="0" w:color="auto"/>
            </w:tcBorders>
            <w:vAlign w:val="bottom"/>
          </w:tcPr>
          <w:p w:rsidR="003D1DF3" w:rsidRPr="002E4295" w:rsidRDefault="004758DA" w:rsidP="004758DA">
            <w:pPr>
              <w:jc w:val="right"/>
              <w:rPr>
                <w:lang w:val="fr-FR"/>
              </w:rPr>
            </w:pPr>
            <w:r w:rsidRPr="002E4295">
              <w:rPr>
                <w:sz w:val="40"/>
                <w:lang w:val="fr-FR"/>
              </w:rPr>
              <w:t>E</w:t>
            </w:r>
            <w:r w:rsidRPr="002E4295">
              <w:rPr>
                <w:lang w:val="fr-FR"/>
              </w:rPr>
              <w:t>/C.12/CMR/4</w:t>
            </w:r>
          </w:p>
        </w:tc>
      </w:tr>
      <w:tr w:rsidR="003D1DF3" w:rsidRPr="002E4295" w:rsidTr="00E675B4">
        <w:trPr>
          <w:trHeight w:hRule="exact" w:val="2835"/>
        </w:trPr>
        <w:tc>
          <w:tcPr>
            <w:tcW w:w="1276" w:type="dxa"/>
            <w:tcBorders>
              <w:top w:val="single" w:sz="4" w:space="0" w:color="auto"/>
              <w:bottom w:val="single" w:sz="12" w:space="0" w:color="auto"/>
            </w:tcBorders>
          </w:tcPr>
          <w:p w:rsidR="003D1DF3" w:rsidRPr="002E4295" w:rsidRDefault="007D192F" w:rsidP="00E675B4">
            <w:pPr>
              <w:spacing w:before="120"/>
              <w:jc w:val="center"/>
              <w:rPr>
                <w:lang w:val="fr-FR"/>
              </w:rPr>
            </w:pPr>
            <w:r w:rsidRPr="002E4295">
              <w:rPr>
                <w:noProof/>
                <w:lang w:eastAsia="fr-CH"/>
              </w:rPr>
              <w:drawing>
                <wp:inline distT="0" distB="0" distL="0" distR="0" wp14:anchorId="3523F55B" wp14:editId="3F887FC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2E4295" w:rsidRDefault="003D1DF3" w:rsidP="00E675B4">
            <w:pPr>
              <w:spacing w:before="120" w:line="420" w:lineRule="exact"/>
              <w:rPr>
                <w:b/>
                <w:sz w:val="40"/>
                <w:szCs w:val="40"/>
                <w:lang w:val="fr-FR"/>
              </w:rPr>
            </w:pPr>
            <w:r w:rsidRPr="002E4295">
              <w:rPr>
                <w:b/>
                <w:sz w:val="40"/>
                <w:szCs w:val="40"/>
                <w:lang w:val="fr-FR"/>
              </w:rPr>
              <w:t>Conseil économique et social</w:t>
            </w:r>
          </w:p>
        </w:tc>
        <w:tc>
          <w:tcPr>
            <w:tcW w:w="2835" w:type="dxa"/>
            <w:tcBorders>
              <w:top w:val="single" w:sz="4" w:space="0" w:color="auto"/>
              <w:bottom w:val="single" w:sz="12" w:space="0" w:color="auto"/>
            </w:tcBorders>
          </w:tcPr>
          <w:p w:rsidR="003D1DF3" w:rsidRPr="002E4295" w:rsidRDefault="004758DA" w:rsidP="004758DA">
            <w:pPr>
              <w:spacing w:before="240" w:line="240" w:lineRule="exact"/>
              <w:rPr>
                <w:lang w:val="fr-FR"/>
              </w:rPr>
            </w:pPr>
            <w:proofErr w:type="spellStart"/>
            <w:r w:rsidRPr="002E4295">
              <w:rPr>
                <w:lang w:val="fr-FR"/>
              </w:rPr>
              <w:t>Distr</w:t>
            </w:r>
            <w:proofErr w:type="spellEnd"/>
            <w:r w:rsidRPr="002E4295">
              <w:rPr>
                <w:lang w:val="fr-FR"/>
              </w:rPr>
              <w:t xml:space="preserve">. </w:t>
            </w:r>
            <w:r w:rsidR="009E44DD">
              <w:rPr>
                <w:lang w:val="fr-FR"/>
              </w:rPr>
              <w:t>g</w:t>
            </w:r>
            <w:r w:rsidRPr="002E4295">
              <w:rPr>
                <w:lang w:val="fr-FR"/>
              </w:rPr>
              <w:t>énérale</w:t>
            </w:r>
          </w:p>
          <w:p w:rsidR="004758DA" w:rsidRPr="002E4295" w:rsidRDefault="00704072" w:rsidP="004758DA">
            <w:pPr>
              <w:spacing w:line="240" w:lineRule="exact"/>
              <w:rPr>
                <w:lang w:val="fr-FR"/>
              </w:rPr>
            </w:pPr>
            <w:r>
              <w:rPr>
                <w:lang w:val="fr-FR"/>
              </w:rPr>
              <w:t>11</w:t>
            </w:r>
            <w:r w:rsidR="008F5388">
              <w:rPr>
                <w:lang w:val="fr-FR"/>
              </w:rPr>
              <w:t xml:space="preserve"> décembre</w:t>
            </w:r>
            <w:r w:rsidR="004758DA" w:rsidRPr="002E4295">
              <w:rPr>
                <w:lang w:val="fr-FR"/>
              </w:rPr>
              <w:t xml:space="preserve"> 2017</w:t>
            </w:r>
          </w:p>
          <w:p w:rsidR="004758DA" w:rsidRPr="002E4295" w:rsidRDefault="004758DA" w:rsidP="004758DA">
            <w:pPr>
              <w:spacing w:line="240" w:lineRule="exact"/>
              <w:rPr>
                <w:lang w:val="fr-FR"/>
              </w:rPr>
            </w:pPr>
          </w:p>
          <w:p w:rsidR="004758DA" w:rsidRDefault="004758DA" w:rsidP="004758DA">
            <w:pPr>
              <w:spacing w:line="240" w:lineRule="exact"/>
              <w:rPr>
                <w:lang w:val="fr-FR"/>
              </w:rPr>
            </w:pPr>
            <w:r w:rsidRPr="002E4295">
              <w:rPr>
                <w:lang w:val="fr-FR"/>
              </w:rPr>
              <w:t>Original</w:t>
            </w:r>
            <w:r w:rsidR="00DA0404">
              <w:rPr>
                <w:lang w:val="fr-FR"/>
              </w:rPr>
              <w:t> :</w:t>
            </w:r>
            <w:r w:rsidRPr="002E4295">
              <w:rPr>
                <w:lang w:val="fr-FR"/>
              </w:rPr>
              <w:t xml:space="preserve"> français</w:t>
            </w:r>
          </w:p>
          <w:p w:rsidR="00B916CD" w:rsidRPr="002E4295" w:rsidRDefault="00B916CD" w:rsidP="00EC78CA">
            <w:pPr>
              <w:spacing w:line="240" w:lineRule="exact"/>
              <w:rPr>
                <w:lang w:val="fr-FR"/>
              </w:rPr>
            </w:pPr>
            <w:r>
              <w:rPr>
                <w:lang w:val="fr-FR"/>
              </w:rPr>
              <w:t xml:space="preserve">Anglais, espagnol </w:t>
            </w:r>
            <w:r w:rsidR="001C4795">
              <w:rPr>
                <w:lang w:val="fr-FR"/>
              </w:rPr>
              <w:t xml:space="preserve">et français </w:t>
            </w:r>
            <w:r>
              <w:rPr>
                <w:lang w:val="fr-FR"/>
              </w:rPr>
              <w:t>seulement</w:t>
            </w:r>
          </w:p>
        </w:tc>
      </w:tr>
    </w:tbl>
    <w:p w:rsidR="00C3643E" w:rsidRPr="002E4295" w:rsidRDefault="00C3643E" w:rsidP="00C3643E">
      <w:pPr>
        <w:spacing w:before="120"/>
        <w:rPr>
          <w:b/>
          <w:sz w:val="24"/>
          <w:szCs w:val="24"/>
          <w:lang w:val="fr-FR"/>
        </w:rPr>
      </w:pPr>
      <w:r w:rsidRPr="002E4295">
        <w:rPr>
          <w:b/>
          <w:sz w:val="24"/>
          <w:szCs w:val="24"/>
          <w:lang w:val="fr-FR"/>
        </w:rPr>
        <w:t>Comité des droits économiques, sociaux et culturels</w:t>
      </w:r>
    </w:p>
    <w:p w:rsidR="004758DA" w:rsidRPr="002E4295" w:rsidRDefault="00C3643E" w:rsidP="009E44DD">
      <w:pPr>
        <w:pStyle w:val="HMG"/>
        <w:rPr>
          <w:lang w:val="fr-FR"/>
        </w:rPr>
      </w:pPr>
      <w:r w:rsidRPr="002E4295">
        <w:rPr>
          <w:lang w:val="fr-FR"/>
        </w:rPr>
        <w:tab/>
      </w:r>
      <w:r w:rsidRPr="002E4295">
        <w:rPr>
          <w:lang w:val="fr-FR"/>
        </w:rPr>
        <w:tab/>
      </w:r>
      <w:r w:rsidR="009E44DD" w:rsidRPr="002E4295">
        <w:rPr>
          <w:lang w:val="fr-FR"/>
        </w:rPr>
        <w:t xml:space="preserve">Quatrième rapport périodique </w:t>
      </w:r>
      <w:r w:rsidR="009E44DD">
        <w:rPr>
          <w:lang w:val="fr-FR"/>
        </w:rPr>
        <w:t xml:space="preserve">soumis par </w:t>
      </w:r>
      <w:r w:rsidR="00B96B2C">
        <w:rPr>
          <w:lang w:val="fr-FR"/>
        </w:rPr>
        <w:t xml:space="preserve">le </w:t>
      </w:r>
      <w:r w:rsidR="009E44DD">
        <w:rPr>
          <w:lang w:val="fr-FR"/>
        </w:rPr>
        <w:t>Cameroun en application des articles 16 et 17 du</w:t>
      </w:r>
      <w:r w:rsidR="009A1BDD">
        <w:rPr>
          <w:lang w:val="fr-FR"/>
        </w:rPr>
        <w:t> </w:t>
      </w:r>
      <w:r w:rsidR="009E44DD">
        <w:rPr>
          <w:lang w:val="fr-FR"/>
        </w:rPr>
        <w:t>Pacte, attendu en 2016</w:t>
      </w:r>
      <w:r w:rsidR="009E44DD" w:rsidRPr="0017665A">
        <w:rPr>
          <w:rStyle w:val="Appelnotedebasdep"/>
          <w:b w:val="0"/>
          <w:sz w:val="20"/>
          <w:vertAlign w:val="baseline"/>
        </w:rPr>
        <w:footnoteReference w:customMarkFollows="1" w:id="2"/>
        <w:t>*</w:t>
      </w:r>
      <w:r w:rsidR="009E44DD" w:rsidRPr="0017665A">
        <w:rPr>
          <w:b w:val="0"/>
          <w:position w:val="4"/>
          <w:sz w:val="20"/>
        </w:rPr>
        <w:t>,</w:t>
      </w:r>
      <w:r w:rsidR="00003E7D">
        <w:rPr>
          <w:b w:val="0"/>
          <w:sz w:val="20"/>
        </w:rPr>
        <w:t xml:space="preserve"> </w:t>
      </w:r>
      <w:r w:rsidR="009E44DD" w:rsidRPr="0017665A">
        <w:rPr>
          <w:rStyle w:val="Appelnotedebasdep"/>
          <w:b w:val="0"/>
          <w:sz w:val="20"/>
          <w:vertAlign w:val="baseline"/>
        </w:rPr>
        <w:footnoteReference w:customMarkFollows="1" w:id="3"/>
        <w:t>**</w:t>
      </w:r>
    </w:p>
    <w:p w:rsidR="003D16BA" w:rsidRPr="002E4295" w:rsidRDefault="003D16BA" w:rsidP="003D16BA">
      <w:pPr>
        <w:jc w:val="right"/>
        <w:rPr>
          <w:lang w:val="fr-FR"/>
        </w:rPr>
      </w:pPr>
      <w:r w:rsidRPr="002E4295">
        <w:rPr>
          <w:lang w:val="fr-FR"/>
        </w:rPr>
        <w:t>[Date de réception</w:t>
      </w:r>
      <w:r w:rsidR="00DA0404">
        <w:rPr>
          <w:lang w:val="fr-FR"/>
        </w:rPr>
        <w:t> :</w:t>
      </w:r>
      <w:r w:rsidRPr="002E4295">
        <w:rPr>
          <w:lang w:val="fr-FR"/>
        </w:rPr>
        <w:t xml:space="preserve"> 16 novembre 201</w:t>
      </w:r>
      <w:r w:rsidR="00284361">
        <w:rPr>
          <w:lang w:val="fr-FR"/>
        </w:rPr>
        <w:t>7</w:t>
      </w:r>
      <w:r w:rsidRPr="002E4295">
        <w:rPr>
          <w:lang w:val="fr-FR"/>
        </w:rPr>
        <w:t>]</w:t>
      </w:r>
    </w:p>
    <w:p w:rsidR="003D16BA" w:rsidRPr="002E4295" w:rsidRDefault="003D16BA">
      <w:pPr>
        <w:suppressAutoHyphens w:val="0"/>
        <w:spacing w:line="240" w:lineRule="auto"/>
        <w:rPr>
          <w:lang w:val="fr-FR"/>
        </w:rPr>
      </w:pPr>
      <w:r w:rsidRPr="002E4295">
        <w:rPr>
          <w:lang w:val="fr-FR"/>
        </w:rPr>
        <w:br w:type="page"/>
      </w:r>
    </w:p>
    <w:p w:rsidR="00D77A85" w:rsidRPr="002E4295" w:rsidRDefault="00D77A85" w:rsidP="009E44DD">
      <w:pPr>
        <w:pStyle w:val="HChG"/>
        <w:rPr>
          <w:lang w:val="fr-FR"/>
        </w:rPr>
      </w:pPr>
      <w:r w:rsidRPr="002E4295">
        <w:rPr>
          <w:lang w:val="fr-FR"/>
        </w:rPr>
        <w:lastRenderedPageBreak/>
        <w:t>Table des matières</w:t>
      </w:r>
    </w:p>
    <w:p w:rsidR="00D77A85" w:rsidRPr="002E4295" w:rsidRDefault="00D77A85" w:rsidP="00AE634D">
      <w:pPr>
        <w:tabs>
          <w:tab w:val="right" w:pos="9638"/>
        </w:tabs>
        <w:spacing w:after="120"/>
        <w:ind w:left="283"/>
        <w:rPr>
          <w:sz w:val="18"/>
          <w:lang w:val="fr-FR"/>
        </w:rPr>
      </w:pPr>
      <w:r w:rsidRPr="002E4295">
        <w:rPr>
          <w:i/>
          <w:sz w:val="18"/>
          <w:lang w:val="fr-FR"/>
        </w:rPr>
        <w:tab/>
        <w:t>Page</w:t>
      </w:r>
    </w:p>
    <w:p w:rsidR="00F36FBE" w:rsidRDefault="00145244" w:rsidP="00D44E49">
      <w:pPr>
        <w:tabs>
          <w:tab w:val="right" w:pos="850"/>
          <w:tab w:val="left" w:pos="1134"/>
          <w:tab w:val="left" w:pos="1559"/>
          <w:tab w:val="left" w:pos="1984"/>
          <w:tab w:val="left" w:leader="dot" w:pos="8929"/>
          <w:tab w:val="right" w:pos="9638"/>
        </w:tabs>
        <w:spacing w:after="120" w:line="220" w:lineRule="atLeast"/>
        <w:rPr>
          <w:lang w:val="fr-FR"/>
        </w:rPr>
      </w:pPr>
      <w:r w:rsidRPr="002E4295">
        <w:rPr>
          <w:lang w:val="fr-FR"/>
        </w:rPr>
        <w:tab/>
      </w:r>
      <w:r w:rsidRPr="002E4295">
        <w:rPr>
          <w:lang w:val="fr-FR"/>
        </w:rPr>
        <w:tab/>
      </w:r>
      <w:r w:rsidR="002E4295" w:rsidRPr="002E4295">
        <w:rPr>
          <w:lang w:val="fr-FR"/>
        </w:rPr>
        <w:t>Liste des sigles et des abréviations</w:t>
      </w:r>
      <w:r w:rsidRPr="002E4295">
        <w:rPr>
          <w:lang w:val="fr-FR"/>
        </w:rPr>
        <w:tab/>
      </w:r>
      <w:r w:rsidRPr="002E4295">
        <w:rPr>
          <w:lang w:val="fr-FR"/>
        </w:rPr>
        <w:tab/>
      </w:r>
      <w:r w:rsidR="00BC6701">
        <w:rPr>
          <w:lang w:val="fr-FR"/>
        </w:rPr>
        <w:t>5</w:t>
      </w:r>
    </w:p>
    <w:p w:rsidR="00140F99" w:rsidRDefault="00F36FBE" w:rsidP="00D44E49">
      <w:pPr>
        <w:tabs>
          <w:tab w:val="right" w:pos="850"/>
          <w:tab w:val="left" w:pos="1134"/>
          <w:tab w:val="left" w:pos="1559"/>
          <w:tab w:val="left" w:pos="1984"/>
          <w:tab w:val="left" w:leader="dot" w:pos="8929"/>
          <w:tab w:val="right" w:pos="9638"/>
        </w:tabs>
        <w:spacing w:after="120" w:line="220" w:lineRule="atLeast"/>
        <w:rPr>
          <w:lang w:val="fr-FR"/>
        </w:rPr>
      </w:pPr>
      <w:r>
        <w:rPr>
          <w:lang w:val="fr-FR"/>
        </w:rPr>
        <w:tab/>
      </w:r>
      <w:r w:rsidR="005B42B0" w:rsidRPr="002E4295">
        <w:rPr>
          <w:lang w:val="fr-FR"/>
        </w:rPr>
        <w:t>I.</w:t>
      </w:r>
      <w:r>
        <w:rPr>
          <w:lang w:val="fr-FR"/>
        </w:rPr>
        <w:tab/>
      </w:r>
      <w:r w:rsidR="00145244" w:rsidRPr="002E4295">
        <w:rPr>
          <w:lang w:val="fr-FR"/>
        </w:rPr>
        <w:t xml:space="preserve">Introduction </w:t>
      </w:r>
      <w:r w:rsidR="005B42B0" w:rsidRPr="002E4295">
        <w:rPr>
          <w:lang w:val="fr-FR"/>
        </w:rPr>
        <w:t>générale</w:t>
      </w:r>
      <w:r w:rsidR="00145244" w:rsidRPr="002E4295">
        <w:rPr>
          <w:lang w:val="fr-FR"/>
        </w:rPr>
        <w:tab/>
      </w:r>
      <w:r w:rsidR="00145244" w:rsidRPr="002E4295">
        <w:rPr>
          <w:lang w:val="fr-FR"/>
        </w:rPr>
        <w:tab/>
      </w:r>
      <w:r w:rsidR="00A36E37">
        <w:rPr>
          <w:lang w:val="fr-FR"/>
        </w:rPr>
        <w:t>7</w:t>
      </w:r>
    </w:p>
    <w:p w:rsidR="00DC3055" w:rsidRDefault="005B42B0" w:rsidP="00D44E49">
      <w:pPr>
        <w:tabs>
          <w:tab w:val="right" w:pos="850"/>
          <w:tab w:val="left" w:pos="1134"/>
          <w:tab w:val="left" w:pos="1559"/>
          <w:tab w:val="left" w:pos="1984"/>
          <w:tab w:val="left" w:leader="dot" w:pos="8929"/>
          <w:tab w:val="right" w:pos="9638"/>
        </w:tabs>
        <w:spacing w:after="120" w:line="220" w:lineRule="atLeast"/>
        <w:rPr>
          <w:lang w:val="fr-FR"/>
        </w:rPr>
      </w:pPr>
      <w:r w:rsidRPr="002E4295">
        <w:rPr>
          <w:lang w:val="fr-FR"/>
        </w:rPr>
        <w:tab/>
      </w:r>
      <w:r w:rsidR="00C12F58" w:rsidRPr="002E4295">
        <w:rPr>
          <w:lang w:val="fr-FR"/>
        </w:rPr>
        <w:t>II</w:t>
      </w:r>
      <w:r w:rsidRPr="002E4295">
        <w:rPr>
          <w:lang w:val="fr-FR"/>
        </w:rPr>
        <w:t>.</w:t>
      </w:r>
      <w:r w:rsidR="00140F99">
        <w:rPr>
          <w:lang w:val="fr-FR"/>
        </w:rPr>
        <w:tab/>
      </w:r>
      <w:r w:rsidR="00145244" w:rsidRPr="002E4295">
        <w:rPr>
          <w:lang w:val="fr-FR"/>
        </w:rPr>
        <w:t>Rec.</w:t>
      </w:r>
      <w:r w:rsidR="00E9431E">
        <w:rPr>
          <w:lang w:val="fr-FR"/>
        </w:rPr>
        <w:t> </w:t>
      </w:r>
      <w:r w:rsidR="00145244" w:rsidRPr="002E4295">
        <w:rPr>
          <w:lang w:val="fr-FR"/>
        </w:rPr>
        <w:t>7.</w:t>
      </w:r>
      <w:r w:rsidR="00FB7ADC">
        <w:rPr>
          <w:lang w:val="fr-FR"/>
        </w:rPr>
        <w:t> </w:t>
      </w:r>
      <w:r w:rsidR="00145244" w:rsidRPr="002E4295">
        <w:rPr>
          <w:lang w:val="fr-FR"/>
        </w:rPr>
        <w:t>Internalisation et application du PIDESC</w:t>
      </w:r>
      <w:r w:rsidR="00145244" w:rsidRPr="002E4295">
        <w:rPr>
          <w:lang w:val="fr-FR"/>
        </w:rPr>
        <w:tab/>
      </w:r>
      <w:r w:rsidR="00145244" w:rsidRPr="002E4295">
        <w:rPr>
          <w:lang w:val="fr-FR"/>
        </w:rPr>
        <w:tab/>
      </w:r>
      <w:r w:rsidR="00A36E37">
        <w:rPr>
          <w:lang w:val="fr-FR"/>
        </w:rPr>
        <w:t>7</w:t>
      </w:r>
    </w:p>
    <w:p w:rsidR="00DC3055" w:rsidRDefault="00145244" w:rsidP="00813498">
      <w:pPr>
        <w:tabs>
          <w:tab w:val="right" w:pos="850"/>
          <w:tab w:val="left" w:pos="1134"/>
          <w:tab w:val="left" w:pos="1559"/>
          <w:tab w:val="left" w:pos="1984"/>
          <w:tab w:val="left" w:leader="dot" w:pos="8929"/>
          <w:tab w:val="right" w:pos="9638"/>
        </w:tabs>
        <w:spacing w:after="120" w:line="220" w:lineRule="atLeast"/>
        <w:rPr>
          <w:lang w:val="fr-FR"/>
        </w:rPr>
      </w:pPr>
      <w:r w:rsidRPr="002E4295">
        <w:rPr>
          <w:lang w:val="fr-FR"/>
        </w:rPr>
        <w:tab/>
      </w:r>
      <w:r w:rsidR="00140F99">
        <w:rPr>
          <w:lang w:val="fr-FR"/>
        </w:rPr>
        <w:t>I</w:t>
      </w:r>
      <w:r w:rsidR="00C12F58" w:rsidRPr="002E4295">
        <w:rPr>
          <w:lang w:val="fr-FR"/>
        </w:rPr>
        <w:t>II.</w:t>
      </w:r>
      <w:r w:rsidR="00140F99">
        <w:rPr>
          <w:lang w:val="fr-FR"/>
        </w:rPr>
        <w:tab/>
      </w:r>
      <w:r w:rsidRPr="002E4295">
        <w:rPr>
          <w:lang w:val="fr-FR"/>
        </w:rPr>
        <w:t>Rec.</w:t>
      </w:r>
      <w:r w:rsidR="00FE3705">
        <w:rPr>
          <w:lang w:val="fr-FR"/>
        </w:rPr>
        <w:t> </w:t>
      </w:r>
      <w:r w:rsidRPr="002E4295">
        <w:rPr>
          <w:lang w:val="fr-FR"/>
        </w:rPr>
        <w:t>8.</w:t>
      </w:r>
      <w:r w:rsidR="00FB7ADC">
        <w:rPr>
          <w:lang w:val="fr-FR"/>
        </w:rPr>
        <w:t> </w:t>
      </w:r>
      <w:r w:rsidRPr="002E4295">
        <w:rPr>
          <w:lang w:val="fr-FR"/>
        </w:rPr>
        <w:t>Mesures effective</w:t>
      </w:r>
      <w:r w:rsidR="00D76006">
        <w:rPr>
          <w:lang w:val="fr-FR"/>
        </w:rPr>
        <w:t xml:space="preserve">s </w:t>
      </w:r>
      <w:r w:rsidR="00A36E37">
        <w:rPr>
          <w:lang w:val="fr-FR"/>
        </w:rPr>
        <w:t>de lutte contre la corruption</w:t>
      </w:r>
      <w:r w:rsidR="00A36E37">
        <w:rPr>
          <w:lang w:val="fr-FR"/>
        </w:rPr>
        <w:tab/>
      </w:r>
      <w:r w:rsidR="00A36E37">
        <w:rPr>
          <w:lang w:val="fr-FR"/>
        </w:rPr>
        <w:tab/>
        <w:t>7</w:t>
      </w:r>
    </w:p>
    <w:p w:rsidR="00DC3055" w:rsidRDefault="00DC3055" w:rsidP="00D44E49">
      <w:pPr>
        <w:tabs>
          <w:tab w:val="right" w:pos="850"/>
          <w:tab w:val="left" w:pos="1134"/>
          <w:tab w:val="left" w:pos="1559"/>
          <w:tab w:val="left" w:pos="1984"/>
          <w:tab w:val="left" w:leader="dot" w:pos="8929"/>
          <w:tab w:val="right" w:pos="9638"/>
        </w:tabs>
        <w:spacing w:after="120" w:line="220" w:lineRule="atLeast"/>
        <w:rPr>
          <w:lang w:val="fr-FR"/>
        </w:rPr>
      </w:pPr>
      <w:r>
        <w:rPr>
          <w:lang w:val="fr-FR"/>
        </w:rPr>
        <w:tab/>
      </w:r>
      <w:r>
        <w:rPr>
          <w:lang w:val="fr-FR"/>
        </w:rPr>
        <w:tab/>
      </w:r>
      <w:r w:rsidR="00C12F58" w:rsidRPr="002E4295">
        <w:rPr>
          <w:lang w:val="fr-FR"/>
        </w:rPr>
        <w:t>A</w:t>
      </w:r>
      <w:r w:rsidR="00CA2599">
        <w:rPr>
          <w:lang w:val="fr-FR"/>
        </w:rPr>
        <w:t>.</w:t>
      </w:r>
      <w:r w:rsidR="00CC162E">
        <w:rPr>
          <w:lang w:val="fr-FR"/>
        </w:rPr>
        <w:tab/>
      </w:r>
      <w:r w:rsidR="005B42B0" w:rsidRPr="002E4295">
        <w:rPr>
          <w:lang w:val="fr-FR"/>
        </w:rPr>
        <w:t>Le renforcement du dispositif institutionnel de lutte contre la corruption</w:t>
      </w:r>
      <w:r w:rsidR="005B42B0" w:rsidRPr="002E4295">
        <w:rPr>
          <w:lang w:val="fr-FR"/>
        </w:rPr>
        <w:tab/>
      </w:r>
      <w:r w:rsidR="005B42B0" w:rsidRPr="002E4295">
        <w:rPr>
          <w:lang w:val="fr-FR"/>
        </w:rPr>
        <w:tab/>
      </w:r>
      <w:r w:rsidR="00A36E37">
        <w:rPr>
          <w:lang w:val="fr-FR"/>
        </w:rPr>
        <w:t>7</w:t>
      </w:r>
    </w:p>
    <w:p w:rsidR="00DC3055" w:rsidRDefault="00DC3055" w:rsidP="00D44E49">
      <w:pPr>
        <w:tabs>
          <w:tab w:val="right" w:pos="850"/>
          <w:tab w:val="left" w:pos="1134"/>
          <w:tab w:val="left" w:pos="1559"/>
          <w:tab w:val="left" w:pos="1984"/>
          <w:tab w:val="left" w:leader="dot" w:pos="8929"/>
          <w:tab w:val="right" w:pos="9638"/>
        </w:tabs>
        <w:spacing w:after="120" w:line="220" w:lineRule="atLeast"/>
        <w:rPr>
          <w:lang w:val="fr-FR"/>
        </w:rPr>
      </w:pPr>
      <w:r>
        <w:rPr>
          <w:lang w:val="fr-FR"/>
        </w:rPr>
        <w:tab/>
      </w:r>
      <w:r w:rsidR="00C7442B" w:rsidRPr="002E4295">
        <w:rPr>
          <w:lang w:val="fr-FR"/>
        </w:rPr>
        <w:tab/>
      </w:r>
      <w:r w:rsidR="00C12F58" w:rsidRPr="002E4295">
        <w:rPr>
          <w:lang w:val="fr-FR"/>
        </w:rPr>
        <w:t>B</w:t>
      </w:r>
      <w:r w:rsidR="00CA2599">
        <w:rPr>
          <w:lang w:val="fr-FR"/>
        </w:rPr>
        <w:t>.</w:t>
      </w:r>
      <w:r w:rsidR="00CC162E">
        <w:rPr>
          <w:lang w:val="fr-FR"/>
        </w:rPr>
        <w:tab/>
      </w:r>
      <w:r w:rsidR="000B0D68" w:rsidRPr="002E4295">
        <w:rPr>
          <w:lang w:val="fr-FR"/>
        </w:rPr>
        <w:t xml:space="preserve">La consolidation du dispositif normatif </w:t>
      </w:r>
      <w:r w:rsidR="000B0D68" w:rsidRPr="002E4295">
        <w:rPr>
          <w:lang w:val="fr-FR"/>
        </w:rPr>
        <w:tab/>
      </w:r>
      <w:r w:rsidR="000B0D68" w:rsidRPr="002E4295">
        <w:rPr>
          <w:lang w:val="fr-FR"/>
        </w:rPr>
        <w:tab/>
      </w:r>
      <w:r w:rsidR="00A36E37">
        <w:rPr>
          <w:lang w:val="fr-FR"/>
        </w:rPr>
        <w:t>9</w:t>
      </w:r>
    </w:p>
    <w:p w:rsidR="00140F99" w:rsidRDefault="00DC3055" w:rsidP="00D44E49">
      <w:pPr>
        <w:tabs>
          <w:tab w:val="right" w:pos="850"/>
          <w:tab w:val="left" w:pos="1134"/>
          <w:tab w:val="left" w:pos="1559"/>
          <w:tab w:val="left" w:pos="1984"/>
          <w:tab w:val="left" w:leader="dot" w:pos="8929"/>
          <w:tab w:val="right" w:pos="9638"/>
        </w:tabs>
        <w:spacing w:after="120" w:line="220" w:lineRule="atLeast"/>
        <w:rPr>
          <w:lang w:val="fr-FR"/>
        </w:rPr>
      </w:pPr>
      <w:r>
        <w:rPr>
          <w:lang w:val="fr-FR"/>
        </w:rPr>
        <w:tab/>
      </w:r>
      <w:r w:rsidR="00C7442B" w:rsidRPr="002E4295">
        <w:rPr>
          <w:lang w:val="fr-FR"/>
        </w:rPr>
        <w:tab/>
      </w:r>
      <w:r w:rsidR="00C12F58" w:rsidRPr="002E4295">
        <w:rPr>
          <w:lang w:val="fr-FR"/>
        </w:rPr>
        <w:t>C</w:t>
      </w:r>
      <w:r w:rsidR="00CA2599">
        <w:rPr>
          <w:lang w:val="fr-FR"/>
        </w:rPr>
        <w:t>.</w:t>
      </w:r>
      <w:r w:rsidR="00CC162E">
        <w:rPr>
          <w:lang w:val="fr-FR"/>
        </w:rPr>
        <w:tab/>
      </w:r>
      <w:r w:rsidR="000B0D68" w:rsidRPr="002E4295">
        <w:rPr>
          <w:lang w:val="fr-FR"/>
        </w:rPr>
        <w:t xml:space="preserve">La consolidation du dispositif juridictionnel </w:t>
      </w:r>
      <w:r w:rsidR="000B0D68" w:rsidRPr="002E4295">
        <w:rPr>
          <w:lang w:val="fr-FR"/>
        </w:rPr>
        <w:tab/>
      </w:r>
      <w:r w:rsidR="000B0D68" w:rsidRPr="002E4295">
        <w:rPr>
          <w:lang w:val="fr-FR"/>
        </w:rPr>
        <w:tab/>
      </w:r>
      <w:r w:rsidR="00A36E37">
        <w:rPr>
          <w:lang w:val="fr-FR"/>
        </w:rPr>
        <w:t>9</w:t>
      </w:r>
    </w:p>
    <w:p w:rsidR="00DC3055" w:rsidRDefault="00140F99" w:rsidP="00D44E49">
      <w:pPr>
        <w:tabs>
          <w:tab w:val="right" w:pos="850"/>
          <w:tab w:val="left" w:pos="1134"/>
          <w:tab w:val="left" w:pos="1559"/>
          <w:tab w:val="left" w:pos="1984"/>
          <w:tab w:val="left" w:leader="dot" w:pos="8929"/>
          <w:tab w:val="right" w:pos="9638"/>
        </w:tabs>
        <w:spacing w:after="120" w:line="220" w:lineRule="atLeast"/>
        <w:ind w:left="1134" w:hanging="1134"/>
        <w:rPr>
          <w:lang w:val="fr-FR"/>
        </w:rPr>
      </w:pPr>
      <w:r>
        <w:rPr>
          <w:lang w:val="fr-FR"/>
        </w:rPr>
        <w:tab/>
      </w:r>
      <w:r w:rsidR="00C12F58" w:rsidRPr="002E4295">
        <w:rPr>
          <w:lang w:val="fr-FR"/>
        </w:rPr>
        <w:t>IV</w:t>
      </w:r>
      <w:r w:rsidR="000B0D68" w:rsidRPr="002E4295">
        <w:rPr>
          <w:lang w:val="fr-FR"/>
        </w:rPr>
        <w:t>.</w:t>
      </w:r>
      <w:r>
        <w:rPr>
          <w:lang w:val="fr-FR"/>
        </w:rPr>
        <w:tab/>
      </w:r>
      <w:r w:rsidR="000B0D68" w:rsidRPr="002E4295">
        <w:rPr>
          <w:lang w:val="fr-FR"/>
        </w:rPr>
        <w:t>Rec.</w:t>
      </w:r>
      <w:r w:rsidR="00E9431E">
        <w:rPr>
          <w:lang w:val="fr-FR"/>
        </w:rPr>
        <w:t> </w:t>
      </w:r>
      <w:r w:rsidR="000B0D68" w:rsidRPr="002E4295">
        <w:rPr>
          <w:lang w:val="fr-FR"/>
        </w:rPr>
        <w:t>9.</w:t>
      </w:r>
      <w:r w:rsidR="00FB7ADC">
        <w:rPr>
          <w:lang w:val="fr-FR"/>
        </w:rPr>
        <w:t> </w:t>
      </w:r>
      <w:r w:rsidR="000B0D68" w:rsidRPr="002E4295">
        <w:rPr>
          <w:lang w:val="fr-FR"/>
        </w:rPr>
        <w:t>L’allocation de ressources financières et humaines suffisantes</w:t>
      </w:r>
      <w:r w:rsidR="006A57AD">
        <w:rPr>
          <w:lang w:val="fr-FR"/>
        </w:rPr>
        <w:br/>
      </w:r>
      <w:r w:rsidR="000B0D68" w:rsidRPr="002E4295">
        <w:rPr>
          <w:lang w:val="fr-FR"/>
        </w:rPr>
        <w:t>à la Commission Nationale des Droits de l’Homme et des Libertés (CNDHL)</w:t>
      </w:r>
      <w:r w:rsidR="00DC3055">
        <w:rPr>
          <w:lang w:val="fr-FR"/>
        </w:rPr>
        <w:tab/>
      </w:r>
      <w:r w:rsidR="00DC3055">
        <w:rPr>
          <w:lang w:val="fr-FR"/>
        </w:rPr>
        <w:tab/>
      </w:r>
      <w:r w:rsidR="00A36E37">
        <w:rPr>
          <w:lang w:val="fr-FR"/>
        </w:rPr>
        <w:t>10</w:t>
      </w:r>
    </w:p>
    <w:p w:rsidR="00DC3055" w:rsidRDefault="00DC3055" w:rsidP="00D44E49">
      <w:pPr>
        <w:tabs>
          <w:tab w:val="right" w:pos="850"/>
          <w:tab w:val="left" w:pos="1134"/>
          <w:tab w:val="left" w:pos="1559"/>
          <w:tab w:val="left" w:pos="1984"/>
          <w:tab w:val="left" w:leader="dot" w:pos="8929"/>
          <w:tab w:val="right" w:pos="9638"/>
        </w:tabs>
        <w:spacing w:after="120" w:line="220" w:lineRule="atLeast"/>
        <w:ind w:left="1134" w:hanging="1134"/>
        <w:rPr>
          <w:rStyle w:val="Lienhypertexte"/>
          <w:lang w:val="fr-FR"/>
        </w:rPr>
      </w:pPr>
      <w:r>
        <w:rPr>
          <w:lang w:val="fr-FR"/>
        </w:rPr>
        <w:tab/>
      </w:r>
      <w:r>
        <w:rPr>
          <w:lang w:val="fr-FR"/>
        </w:rPr>
        <w:tab/>
      </w:r>
      <w:r w:rsidR="00C12F58" w:rsidRPr="007B1FF0">
        <w:rPr>
          <w:lang w:val="fr-FR"/>
        </w:rPr>
        <w:t>A</w:t>
      </w:r>
      <w:r w:rsidR="00CA2599">
        <w:rPr>
          <w:lang w:val="fr-FR"/>
        </w:rPr>
        <w:t>.</w:t>
      </w:r>
      <w:r w:rsidR="00CC162E" w:rsidRPr="007B1FF0">
        <w:rPr>
          <w:lang w:val="fr-FR"/>
        </w:rPr>
        <w:tab/>
      </w:r>
      <w:r w:rsidR="000B0D68" w:rsidRPr="007B1FF0">
        <w:rPr>
          <w:lang w:val="fr-FR"/>
        </w:rPr>
        <w:t>Ressources humaines</w:t>
      </w:r>
      <w:r w:rsidR="000B0D68" w:rsidRPr="007B1FF0">
        <w:rPr>
          <w:webHidden/>
          <w:lang w:val="fr-FR"/>
        </w:rPr>
        <w:tab/>
      </w:r>
      <w:r w:rsidR="000B0D68" w:rsidRPr="007B1FF0">
        <w:rPr>
          <w:webHidden/>
          <w:lang w:val="fr-FR"/>
        </w:rPr>
        <w:tab/>
      </w:r>
      <w:r w:rsidR="00507169">
        <w:rPr>
          <w:webHidden/>
          <w:lang w:val="fr-FR"/>
        </w:rPr>
        <w:t>10</w:t>
      </w:r>
    </w:p>
    <w:p w:rsidR="00DC3055" w:rsidRDefault="00DC3055" w:rsidP="00D44E49">
      <w:pPr>
        <w:tabs>
          <w:tab w:val="right" w:pos="850"/>
          <w:tab w:val="left" w:pos="1134"/>
          <w:tab w:val="left" w:pos="1559"/>
          <w:tab w:val="left" w:pos="1984"/>
          <w:tab w:val="left" w:leader="dot" w:pos="8929"/>
          <w:tab w:val="right" w:pos="9638"/>
        </w:tabs>
        <w:spacing w:after="120" w:line="220" w:lineRule="atLeast"/>
        <w:ind w:left="1134" w:hanging="1134"/>
        <w:rPr>
          <w:rStyle w:val="Lienhypertexte"/>
          <w:lang w:val="fr-FR"/>
        </w:rPr>
      </w:pPr>
      <w:r>
        <w:rPr>
          <w:rStyle w:val="Lienhypertexte"/>
          <w:lang w:val="fr-FR"/>
        </w:rPr>
        <w:tab/>
      </w:r>
      <w:r>
        <w:rPr>
          <w:rStyle w:val="Lienhypertexte"/>
          <w:lang w:val="fr-FR"/>
        </w:rPr>
        <w:tab/>
      </w:r>
      <w:r w:rsidR="00C12F58" w:rsidRPr="007B1FF0">
        <w:rPr>
          <w:lang w:val="fr-FR"/>
        </w:rPr>
        <w:t>B</w:t>
      </w:r>
      <w:r w:rsidR="00CA2599">
        <w:rPr>
          <w:lang w:val="fr-FR"/>
        </w:rPr>
        <w:t>.</w:t>
      </w:r>
      <w:r w:rsidR="00CC162E" w:rsidRPr="007B1FF0">
        <w:rPr>
          <w:lang w:val="fr-FR"/>
        </w:rPr>
        <w:tab/>
      </w:r>
      <w:r w:rsidR="000B0D68" w:rsidRPr="007B1FF0">
        <w:rPr>
          <w:lang w:val="fr-FR"/>
        </w:rPr>
        <w:t>Ressources financières</w:t>
      </w:r>
      <w:r w:rsidR="000B0D68" w:rsidRPr="007B1FF0">
        <w:rPr>
          <w:webHidden/>
          <w:lang w:val="fr-FR"/>
        </w:rPr>
        <w:tab/>
      </w:r>
      <w:r w:rsidR="000B0D68" w:rsidRPr="007B1FF0">
        <w:rPr>
          <w:webHidden/>
          <w:lang w:val="fr-FR"/>
        </w:rPr>
        <w:tab/>
      </w:r>
      <w:r w:rsidR="00507169">
        <w:rPr>
          <w:webHidden/>
          <w:lang w:val="fr-FR"/>
        </w:rPr>
        <w:t>10</w:t>
      </w:r>
    </w:p>
    <w:p w:rsidR="00140F99" w:rsidRDefault="00DC3055" w:rsidP="00D44E49">
      <w:pPr>
        <w:tabs>
          <w:tab w:val="right" w:pos="850"/>
          <w:tab w:val="left" w:pos="1134"/>
          <w:tab w:val="left" w:pos="1559"/>
          <w:tab w:val="left" w:pos="1984"/>
          <w:tab w:val="left" w:leader="dot" w:pos="8929"/>
          <w:tab w:val="right" w:pos="9638"/>
        </w:tabs>
        <w:spacing w:after="120" w:line="220" w:lineRule="atLeast"/>
        <w:ind w:left="1134" w:hanging="1134"/>
        <w:rPr>
          <w:lang w:val="fr-FR"/>
        </w:rPr>
      </w:pPr>
      <w:r>
        <w:rPr>
          <w:rStyle w:val="Lienhypertexte"/>
          <w:lang w:val="fr-FR"/>
        </w:rPr>
        <w:tab/>
      </w:r>
      <w:r w:rsidR="00C12F58" w:rsidRPr="007B1FF0">
        <w:rPr>
          <w:lang w:val="fr-FR"/>
        </w:rPr>
        <w:t>V.</w:t>
      </w:r>
      <w:r w:rsidR="00140F99" w:rsidRPr="007B1FF0">
        <w:rPr>
          <w:lang w:val="fr-FR"/>
        </w:rPr>
        <w:tab/>
      </w:r>
      <w:r w:rsidR="000B0D68" w:rsidRPr="007B1FF0">
        <w:rPr>
          <w:lang w:val="fr-FR"/>
        </w:rPr>
        <w:t>Rec.</w:t>
      </w:r>
      <w:r w:rsidR="00B4646F">
        <w:rPr>
          <w:lang w:val="fr-FR"/>
        </w:rPr>
        <w:t> </w:t>
      </w:r>
      <w:r w:rsidR="000B0D68" w:rsidRPr="007B1FF0">
        <w:rPr>
          <w:lang w:val="fr-FR"/>
        </w:rPr>
        <w:t>10.</w:t>
      </w:r>
      <w:r w:rsidR="00FB7ADC">
        <w:rPr>
          <w:lang w:val="fr-FR"/>
        </w:rPr>
        <w:t> </w:t>
      </w:r>
      <w:r w:rsidR="000B0D68" w:rsidRPr="007B1FF0">
        <w:rPr>
          <w:lang w:val="fr-FR"/>
        </w:rPr>
        <w:t>Adoption d’une législation antidiscriminatoire globale</w:t>
      </w:r>
      <w:r w:rsidR="000B0D68" w:rsidRPr="007B1FF0">
        <w:rPr>
          <w:lang w:val="fr-FR"/>
        </w:rPr>
        <w:tab/>
      </w:r>
      <w:r w:rsidR="000B0D68" w:rsidRPr="007B1FF0">
        <w:rPr>
          <w:webHidden/>
          <w:lang w:val="fr-FR"/>
        </w:rPr>
        <w:tab/>
      </w:r>
      <w:r w:rsidR="00507169">
        <w:rPr>
          <w:webHidden/>
          <w:lang w:val="fr-FR"/>
        </w:rPr>
        <w:t>10</w:t>
      </w:r>
    </w:p>
    <w:p w:rsidR="00DC3055" w:rsidRDefault="00140F99" w:rsidP="00813498">
      <w:pPr>
        <w:tabs>
          <w:tab w:val="right" w:pos="850"/>
          <w:tab w:val="left" w:pos="1134"/>
          <w:tab w:val="left" w:pos="1559"/>
          <w:tab w:val="left" w:pos="1984"/>
          <w:tab w:val="left" w:leader="dot" w:pos="8929"/>
          <w:tab w:val="right" w:pos="9638"/>
        </w:tabs>
        <w:spacing w:after="120" w:line="220" w:lineRule="atLeast"/>
        <w:rPr>
          <w:rStyle w:val="Lienhypertexte"/>
          <w:lang w:val="fr-FR"/>
        </w:rPr>
      </w:pPr>
      <w:r>
        <w:rPr>
          <w:lang w:val="fr-FR"/>
        </w:rPr>
        <w:tab/>
      </w:r>
      <w:r w:rsidR="00C12F58" w:rsidRPr="002E4295">
        <w:rPr>
          <w:lang w:val="fr-FR"/>
        </w:rPr>
        <w:t>VI.</w:t>
      </w:r>
      <w:r>
        <w:rPr>
          <w:lang w:val="fr-FR"/>
        </w:rPr>
        <w:tab/>
      </w:r>
      <w:r w:rsidR="000B0D68" w:rsidRPr="007B1FF0">
        <w:rPr>
          <w:lang w:val="fr-FR"/>
        </w:rPr>
        <w:t>Rec.</w:t>
      </w:r>
      <w:r w:rsidR="00B4646F">
        <w:rPr>
          <w:lang w:val="fr-FR"/>
        </w:rPr>
        <w:t> </w:t>
      </w:r>
      <w:r w:rsidR="000B0D68" w:rsidRPr="007B1FF0">
        <w:rPr>
          <w:lang w:val="fr-FR"/>
        </w:rPr>
        <w:t>11.</w:t>
      </w:r>
      <w:r w:rsidR="00FB7ADC">
        <w:rPr>
          <w:lang w:val="fr-FR"/>
        </w:rPr>
        <w:t> </w:t>
      </w:r>
      <w:r w:rsidR="000B0D68" w:rsidRPr="007B1FF0">
        <w:rPr>
          <w:lang w:val="fr-FR"/>
        </w:rPr>
        <w:t xml:space="preserve">Jouissance des droits économiques, sociaux et culturels en faveur </w:t>
      </w:r>
      <w:r w:rsidR="006A57AD">
        <w:rPr>
          <w:lang w:val="fr-FR"/>
        </w:rPr>
        <w:br/>
      </w:r>
      <w:r w:rsidR="006A57AD">
        <w:rPr>
          <w:lang w:val="fr-FR"/>
        </w:rPr>
        <w:tab/>
      </w:r>
      <w:r w:rsidR="006A57AD">
        <w:rPr>
          <w:lang w:val="fr-FR"/>
        </w:rPr>
        <w:tab/>
      </w:r>
      <w:r w:rsidR="000B0D68" w:rsidRPr="007B1FF0">
        <w:rPr>
          <w:lang w:val="fr-FR"/>
        </w:rPr>
        <w:t>des populations autochtones</w:t>
      </w:r>
      <w:r w:rsidR="00A72427" w:rsidRPr="007B1FF0">
        <w:rPr>
          <w:lang w:val="fr-FR"/>
        </w:rPr>
        <w:tab/>
      </w:r>
      <w:r w:rsidR="006A57AD">
        <w:rPr>
          <w:lang w:val="fr-FR"/>
        </w:rPr>
        <w:tab/>
      </w:r>
      <w:r w:rsidR="00507169">
        <w:rPr>
          <w:lang w:val="fr-FR"/>
        </w:rPr>
        <w:t>11</w:t>
      </w:r>
    </w:p>
    <w:p w:rsidR="00DC3055" w:rsidRDefault="00DC3055" w:rsidP="00D44E49">
      <w:pPr>
        <w:tabs>
          <w:tab w:val="right" w:pos="850"/>
          <w:tab w:val="left" w:pos="1134"/>
          <w:tab w:val="left" w:pos="1559"/>
          <w:tab w:val="left" w:pos="1984"/>
          <w:tab w:val="left" w:leader="dot" w:pos="8929"/>
          <w:tab w:val="right" w:pos="9638"/>
        </w:tabs>
        <w:spacing w:after="120" w:line="220" w:lineRule="atLeast"/>
        <w:ind w:left="1134" w:hanging="1134"/>
        <w:rPr>
          <w:rStyle w:val="Lienhypertexte"/>
          <w:lang w:val="fr-FR"/>
        </w:rPr>
      </w:pPr>
      <w:r>
        <w:rPr>
          <w:rStyle w:val="Lienhypertexte"/>
          <w:lang w:val="fr-FR"/>
        </w:rPr>
        <w:tab/>
      </w:r>
      <w:r w:rsidR="00C7442B" w:rsidRPr="002E4295">
        <w:rPr>
          <w:lang w:val="fr-FR"/>
        </w:rPr>
        <w:tab/>
      </w:r>
      <w:r w:rsidR="00C12F58" w:rsidRPr="007B1FF0">
        <w:rPr>
          <w:lang w:val="fr-FR"/>
        </w:rPr>
        <w:t>A</w:t>
      </w:r>
      <w:r w:rsidR="00CA2599">
        <w:rPr>
          <w:lang w:val="fr-FR"/>
        </w:rPr>
        <w:t>.</w:t>
      </w:r>
      <w:r w:rsidR="00CC162E" w:rsidRPr="007B1FF0">
        <w:rPr>
          <w:lang w:val="fr-FR"/>
        </w:rPr>
        <w:tab/>
      </w:r>
      <w:r w:rsidR="000B0D68" w:rsidRPr="007B1FF0">
        <w:rPr>
          <w:lang w:val="fr-FR"/>
        </w:rPr>
        <w:t>Adoption d</w:t>
      </w:r>
      <w:r w:rsidR="006A57AD">
        <w:rPr>
          <w:lang w:val="fr-FR"/>
        </w:rPr>
        <w:t>’</w:t>
      </w:r>
      <w:r w:rsidR="000B0D68" w:rsidRPr="007B1FF0">
        <w:rPr>
          <w:lang w:val="fr-FR"/>
        </w:rPr>
        <w:t xml:space="preserve">une politique globale et cohérente pour promouvoir le droit </w:t>
      </w:r>
      <w:r w:rsidR="006A57AD">
        <w:rPr>
          <w:lang w:val="fr-FR"/>
        </w:rPr>
        <w:br/>
      </w:r>
      <w:r w:rsidR="002251C4">
        <w:rPr>
          <w:lang w:val="fr-FR"/>
        </w:rPr>
        <w:tab/>
      </w:r>
      <w:r w:rsidR="000B0D68" w:rsidRPr="007B1FF0">
        <w:rPr>
          <w:lang w:val="fr-FR"/>
        </w:rPr>
        <w:t>des populations autochtones à un niveau de vie suffisant</w:t>
      </w:r>
      <w:r w:rsidR="000B0D68" w:rsidRPr="007B1FF0">
        <w:rPr>
          <w:lang w:val="fr-FR"/>
        </w:rPr>
        <w:tab/>
      </w:r>
      <w:r w:rsidR="000B0D68" w:rsidRPr="007B1FF0">
        <w:rPr>
          <w:webHidden/>
          <w:lang w:val="fr-FR"/>
        </w:rPr>
        <w:tab/>
      </w:r>
      <w:r w:rsidR="008D6AB2">
        <w:rPr>
          <w:webHidden/>
          <w:lang w:val="fr-FR"/>
        </w:rPr>
        <w:t>11</w:t>
      </w:r>
    </w:p>
    <w:p w:rsidR="00DC3055" w:rsidRDefault="00DC3055" w:rsidP="00D44E49">
      <w:pPr>
        <w:tabs>
          <w:tab w:val="right" w:pos="850"/>
          <w:tab w:val="left" w:pos="1134"/>
          <w:tab w:val="left" w:pos="1559"/>
          <w:tab w:val="left" w:pos="1984"/>
          <w:tab w:val="left" w:leader="dot" w:pos="8929"/>
          <w:tab w:val="right" w:pos="9638"/>
        </w:tabs>
        <w:spacing w:after="120" w:line="220" w:lineRule="atLeast"/>
        <w:ind w:left="1134" w:hanging="1134"/>
        <w:rPr>
          <w:rStyle w:val="Lienhypertexte"/>
          <w:lang w:val="fr-FR"/>
        </w:rPr>
      </w:pPr>
      <w:r>
        <w:rPr>
          <w:rStyle w:val="Lienhypertexte"/>
          <w:lang w:val="fr-FR"/>
        </w:rPr>
        <w:tab/>
      </w:r>
      <w:r w:rsidR="00C7442B" w:rsidRPr="002E4295">
        <w:rPr>
          <w:lang w:val="fr-FR"/>
        </w:rPr>
        <w:tab/>
      </w:r>
      <w:r w:rsidR="00C12F58" w:rsidRPr="007B1FF0">
        <w:rPr>
          <w:lang w:val="fr-FR"/>
        </w:rPr>
        <w:t>B</w:t>
      </w:r>
      <w:r w:rsidR="00CA2599">
        <w:rPr>
          <w:lang w:val="fr-FR"/>
        </w:rPr>
        <w:t>.</w:t>
      </w:r>
      <w:r w:rsidR="00CC162E" w:rsidRPr="007B1FF0">
        <w:rPr>
          <w:lang w:val="fr-FR"/>
        </w:rPr>
        <w:tab/>
      </w:r>
      <w:r w:rsidR="000B0D68" w:rsidRPr="007B1FF0">
        <w:rPr>
          <w:lang w:val="fr-FR"/>
        </w:rPr>
        <w:t>Garantie des droits économiques, sociaux et culture</w:t>
      </w:r>
      <w:r w:rsidR="002251C4">
        <w:rPr>
          <w:lang w:val="fr-FR"/>
        </w:rPr>
        <w:t>l</w:t>
      </w:r>
      <w:r w:rsidR="000B0D68" w:rsidRPr="007B1FF0">
        <w:rPr>
          <w:lang w:val="fr-FR"/>
        </w:rPr>
        <w:t xml:space="preserve">s des populations autochtones </w:t>
      </w:r>
      <w:r w:rsidR="002E4295" w:rsidRPr="007B1FF0">
        <w:rPr>
          <w:lang w:val="fr-FR"/>
        </w:rPr>
        <w:br/>
      </w:r>
      <w:r w:rsidR="00507169">
        <w:rPr>
          <w:lang w:val="fr-FR"/>
        </w:rPr>
        <w:tab/>
      </w:r>
      <w:r w:rsidR="006A57AD" w:rsidRPr="007B1FF0">
        <w:rPr>
          <w:lang w:val="fr-FR"/>
        </w:rPr>
        <w:t xml:space="preserve">lors </w:t>
      </w:r>
      <w:r w:rsidR="000B0D68" w:rsidRPr="007B1FF0">
        <w:rPr>
          <w:lang w:val="fr-FR"/>
        </w:rPr>
        <w:t>de la mise en œuvre des Grands Projets compris dans le DSCE</w:t>
      </w:r>
      <w:r w:rsidR="000B0D68" w:rsidRPr="007B1FF0">
        <w:rPr>
          <w:lang w:val="fr-FR"/>
        </w:rPr>
        <w:tab/>
      </w:r>
      <w:r w:rsidR="000B0D68" w:rsidRPr="007B1FF0">
        <w:rPr>
          <w:webHidden/>
          <w:lang w:val="fr-FR"/>
        </w:rPr>
        <w:tab/>
      </w:r>
      <w:r w:rsidR="008D6AB2">
        <w:rPr>
          <w:webHidden/>
          <w:lang w:val="fr-FR"/>
        </w:rPr>
        <w:t>11</w:t>
      </w:r>
    </w:p>
    <w:p w:rsidR="00DC3055" w:rsidRDefault="00DC3055" w:rsidP="00D44E49">
      <w:pPr>
        <w:tabs>
          <w:tab w:val="right" w:pos="850"/>
          <w:tab w:val="left" w:pos="1134"/>
          <w:tab w:val="left" w:pos="1559"/>
          <w:tab w:val="left" w:pos="1984"/>
          <w:tab w:val="left" w:leader="dot" w:pos="8929"/>
          <w:tab w:val="right" w:pos="9638"/>
        </w:tabs>
        <w:spacing w:after="120" w:line="220" w:lineRule="atLeast"/>
        <w:rPr>
          <w:rStyle w:val="Lienhypertexte"/>
          <w:lang w:val="fr-FR"/>
        </w:rPr>
      </w:pPr>
      <w:r>
        <w:rPr>
          <w:lang w:val="fr-FR"/>
        </w:rPr>
        <w:tab/>
      </w:r>
      <w:r w:rsidR="00C12F58" w:rsidRPr="002E4295">
        <w:rPr>
          <w:lang w:val="fr-FR"/>
        </w:rPr>
        <w:t>VII.</w:t>
      </w:r>
      <w:r w:rsidR="00DC0150">
        <w:rPr>
          <w:lang w:val="fr-FR"/>
        </w:rPr>
        <w:tab/>
      </w:r>
      <w:r w:rsidR="000B0D68" w:rsidRPr="00551156">
        <w:rPr>
          <w:lang w:val="fr-FR"/>
        </w:rPr>
        <w:t>Rec.</w:t>
      </w:r>
      <w:r w:rsidR="002251C4">
        <w:rPr>
          <w:lang w:val="fr-FR"/>
        </w:rPr>
        <w:t> </w:t>
      </w:r>
      <w:r w:rsidR="000B0D68" w:rsidRPr="00551156">
        <w:rPr>
          <w:lang w:val="fr-FR"/>
        </w:rPr>
        <w:t>12</w:t>
      </w:r>
      <w:r w:rsidR="008A7B6D" w:rsidRPr="00551156">
        <w:rPr>
          <w:lang w:val="fr-FR"/>
        </w:rPr>
        <w:t>.</w:t>
      </w:r>
      <w:r w:rsidR="00FB7ADC">
        <w:rPr>
          <w:lang w:val="fr-FR"/>
        </w:rPr>
        <w:t> </w:t>
      </w:r>
      <w:r w:rsidR="000B0D68" w:rsidRPr="00551156">
        <w:rPr>
          <w:lang w:val="fr-FR"/>
        </w:rPr>
        <w:t>Intégration des personnes handicapées dans l’éducation et sur le marché du travail</w:t>
      </w:r>
      <w:r w:rsidR="002E4295" w:rsidRPr="00551156">
        <w:rPr>
          <w:webHidden/>
          <w:lang w:val="fr-FR"/>
        </w:rPr>
        <w:tab/>
      </w:r>
      <w:r w:rsidR="002E4295" w:rsidRPr="00551156">
        <w:rPr>
          <w:webHidden/>
          <w:lang w:val="fr-FR"/>
        </w:rPr>
        <w:tab/>
      </w:r>
      <w:r w:rsidR="008D6AB2">
        <w:rPr>
          <w:webHidden/>
          <w:lang w:val="fr-FR"/>
        </w:rPr>
        <w:t>12</w:t>
      </w:r>
    </w:p>
    <w:p w:rsidR="00DC3055" w:rsidRDefault="00DC3055" w:rsidP="00D44E49">
      <w:pPr>
        <w:tabs>
          <w:tab w:val="right" w:pos="850"/>
          <w:tab w:val="left" w:pos="1134"/>
          <w:tab w:val="left" w:pos="1559"/>
          <w:tab w:val="left" w:pos="1984"/>
          <w:tab w:val="left" w:leader="dot" w:pos="8929"/>
          <w:tab w:val="right" w:pos="9638"/>
        </w:tabs>
        <w:spacing w:after="120" w:line="220" w:lineRule="atLeast"/>
        <w:rPr>
          <w:rStyle w:val="Lienhypertexte"/>
          <w:lang w:val="fr-FR"/>
        </w:rPr>
      </w:pPr>
      <w:r>
        <w:rPr>
          <w:rStyle w:val="Lienhypertexte"/>
          <w:lang w:val="fr-FR"/>
        </w:rPr>
        <w:tab/>
      </w:r>
      <w:r>
        <w:rPr>
          <w:rStyle w:val="Lienhypertexte"/>
          <w:lang w:val="fr-FR"/>
        </w:rPr>
        <w:tab/>
      </w:r>
      <w:r w:rsidR="00C12F58" w:rsidRPr="002E4295">
        <w:rPr>
          <w:lang w:val="fr-FR"/>
        </w:rPr>
        <w:t>A</w:t>
      </w:r>
      <w:r w:rsidR="00CA2599">
        <w:rPr>
          <w:lang w:val="fr-FR"/>
        </w:rPr>
        <w:t>.</w:t>
      </w:r>
      <w:r w:rsidR="00CC162E" w:rsidRPr="00551156">
        <w:rPr>
          <w:lang w:val="fr-FR"/>
        </w:rPr>
        <w:tab/>
      </w:r>
      <w:r w:rsidR="000B0D68" w:rsidRPr="00551156">
        <w:rPr>
          <w:lang w:val="fr-FR"/>
        </w:rPr>
        <w:t>Dans le secteur de l’éducation</w:t>
      </w:r>
      <w:r w:rsidR="000B0D68" w:rsidRPr="00551156">
        <w:rPr>
          <w:lang w:val="fr-FR"/>
        </w:rPr>
        <w:tab/>
      </w:r>
      <w:r w:rsidR="000B0D68" w:rsidRPr="00551156">
        <w:rPr>
          <w:webHidden/>
          <w:lang w:val="fr-FR"/>
        </w:rPr>
        <w:tab/>
      </w:r>
      <w:r w:rsidR="00D93427">
        <w:rPr>
          <w:webHidden/>
          <w:lang w:val="fr-FR"/>
        </w:rPr>
        <w:t>1</w:t>
      </w:r>
      <w:r w:rsidR="008D6AB2">
        <w:rPr>
          <w:webHidden/>
          <w:lang w:val="fr-FR"/>
        </w:rPr>
        <w:t>2</w:t>
      </w:r>
    </w:p>
    <w:p w:rsidR="000B0D68" w:rsidRPr="002E4295" w:rsidRDefault="00DC3055" w:rsidP="00D44E49">
      <w:pPr>
        <w:tabs>
          <w:tab w:val="right" w:pos="850"/>
          <w:tab w:val="left" w:pos="1134"/>
          <w:tab w:val="left" w:pos="1559"/>
          <w:tab w:val="left" w:pos="1984"/>
          <w:tab w:val="left" w:leader="dot" w:pos="8929"/>
          <w:tab w:val="right" w:pos="9638"/>
        </w:tabs>
        <w:spacing w:after="120" w:line="220" w:lineRule="atLeast"/>
        <w:rPr>
          <w:lang w:val="fr-FR"/>
        </w:rPr>
      </w:pPr>
      <w:r>
        <w:rPr>
          <w:rStyle w:val="Lienhypertexte"/>
          <w:lang w:val="fr-FR"/>
        </w:rPr>
        <w:tab/>
      </w:r>
      <w:r>
        <w:rPr>
          <w:rStyle w:val="Lienhypertexte"/>
          <w:lang w:val="fr-FR"/>
        </w:rPr>
        <w:tab/>
      </w:r>
      <w:r w:rsidR="00C12F58" w:rsidRPr="00551156">
        <w:rPr>
          <w:lang w:val="fr-FR"/>
        </w:rPr>
        <w:t>B</w:t>
      </w:r>
      <w:r w:rsidR="00CA2599">
        <w:rPr>
          <w:lang w:val="fr-FR"/>
        </w:rPr>
        <w:t>.</w:t>
      </w:r>
      <w:r w:rsidR="00CC162E" w:rsidRPr="00551156">
        <w:rPr>
          <w:lang w:val="fr-FR"/>
        </w:rPr>
        <w:tab/>
      </w:r>
      <w:r w:rsidR="000B0D68" w:rsidRPr="00551156">
        <w:rPr>
          <w:lang w:val="fr-FR"/>
        </w:rPr>
        <w:t>Dans les secteurs de l’emploi et du travail</w:t>
      </w:r>
      <w:r w:rsidR="000B0D68" w:rsidRPr="00551156">
        <w:rPr>
          <w:lang w:val="fr-FR"/>
        </w:rPr>
        <w:tab/>
      </w:r>
      <w:r w:rsidR="000B0D68" w:rsidRPr="00551156">
        <w:rPr>
          <w:webHidden/>
          <w:lang w:val="fr-FR"/>
        </w:rPr>
        <w:tab/>
      </w:r>
      <w:r w:rsidR="008D6AB2">
        <w:rPr>
          <w:webHidden/>
          <w:lang w:val="fr-FR"/>
        </w:rPr>
        <w:t>13</w:t>
      </w:r>
    </w:p>
    <w:p w:rsidR="00DC3055" w:rsidRDefault="00C12F58" w:rsidP="00D44E49">
      <w:pPr>
        <w:tabs>
          <w:tab w:val="left" w:pos="426"/>
          <w:tab w:val="left" w:pos="1134"/>
          <w:tab w:val="right" w:pos="1276"/>
          <w:tab w:val="left" w:pos="1559"/>
          <w:tab w:val="left" w:pos="1984"/>
          <w:tab w:val="left" w:leader="dot" w:pos="8929"/>
          <w:tab w:val="right" w:pos="9638"/>
        </w:tabs>
        <w:spacing w:after="120" w:line="220" w:lineRule="atLeast"/>
        <w:ind w:left="1134" w:hanging="708"/>
        <w:rPr>
          <w:rStyle w:val="Lienhypertexte"/>
          <w:lang w:val="fr-FR"/>
        </w:rPr>
      </w:pPr>
      <w:r w:rsidRPr="002E4295">
        <w:rPr>
          <w:lang w:val="fr-FR"/>
        </w:rPr>
        <w:t>VIII</w:t>
      </w:r>
      <w:r w:rsidR="000905B0">
        <w:rPr>
          <w:lang w:val="fr-FR"/>
        </w:rPr>
        <w:t>.</w:t>
      </w:r>
      <w:r w:rsidR="0067085F">
        <w:rPr>
          <w:lang w:val="fr-FR"/>
        </w:rPr>
        <w:tab/>
      </w:r>
      <w:r w:rsidR="000905B0">
        <w:rPr>
          <w:lang w:val="fr-FR"/>
        </w:rPr>
        <w:tab/>
      </w:r>
      <w:r w:rsidR="000B0D68" w:rsidRPr="00551156">
        <w:rPr>
          <w:lang w:val="fr-FR"/>
        </w:rPr>
        <w:t>R</w:t>
      </w:r>
      <w:r w:rsidR="008A7B6D" w:rsidRPr="00551156">
        <w:rPr>
          <w:lang w:val="fr-FR"/>
        </w:rPr>
        <w:t>ec.</w:t>
      </w:r>
      <w:r w:rsidR="004F5142">
        <w:rPr>
          <w:lang w:val="fr-FR"/>
        </w:rPr>
        <w:t> </w:t>
      </w:r>
      <w:r w:rsidR="000B0D68" w:rsidRPr="00551156">
        <w:rPr>
          <w:lang w:val="fr-FR"/>
        </w:rPr>
        <w:t>13</w:t>
      </w:r>
      <w:r w:rsidR="008A7B6D" w:rsidRPr="00551156">
        <w:rPr>
          <w:lang w:val="fr-FR"/>
        </w:rPr>
        <w:t>.</w:t>
      </w:r>
      <w:r w:rsidR="00FB7ADC">
        <w:rPr>
          <w:lang w:val="fr-FR"/>
        </w:rPr>
        <w:t> </w:t>
      </w:r>
      <w:r w:rsidR="000B0D68" w:rsidRPr="00551156">
        <w:rPr>
          <w:lang w:val="fr-FR"/>
        </w:rPr>
        <w:t>Révision des dispositions législatives discriminatoires à l’égard des femmes</w:t>
      </w:r>
      <w:r w:rsidR="000B0D68" w:rsidRPr="00551156">
        <w:rPr>
          <w:webHidden/>
          <w:lang w:val="fr-FR"/>
        </w:rPr>
        <w:tab/>
      </w:r>
      <w:r w:rsidRPr="00551156">
        <w:rPr>
          <w:webHidden/>
          <w:lang w:val="fr-FR"/>
        </w:rPr>
        <w:tab/>
      </w:r>
      <w:r w:rsidR="00D93427">
        <w:rPr>
          <w:webHidden/>
          <w:lang w:val="fr-FR"/>
        </w:rPr>
        <w:t>13</w:t>
      </w:r>
    </w:p>
    <w:p w:rsidR="0067085F" w:rsidRDefault="00C12F58" w:rsidP="00D44E49">
      <w:pPr>
        <w:tabs>
          <w:tab w:val="left" w:pos="1134"/>
          <w:tab w:val="right" w:pos="1276"/>
          <w:tab w:val="left" w:pos="1559"/>
          <w:tab w:val="left" w:pos="1984"/>
          <w:tab w:val="left" w:leader="dot" w:pos="8929"/>
          <w:tab w:val="right" w:pos="9638"/>
        </w:tabs>
        <w:spacing w:after="120" w:line="220" w:lineRule="atLeast"/>
        <w:ind w:left="1134" w:hanging="567"/>
        <w:rPr>
          <w:rStyle w:val="Lienhypertexte"/>
          <w:lang w:val="fr-FR"/>
        </w:rPr>
      </w:pPr>
      <w:r w:rsidRPr="002E4295">
        <w:rPr>
          <w:lang w:val="fr-FR"/>
        </w:rPr>
        <w:t>IX.</w:t>
      </w:r>
      <w:r w:rsidR="00F51CE8">
        <w:rPr>
          <w:lang w:val="fr-FR"/>
        </w:rPr>
        <w:tab/>
      </w:r>
      <w:r w:rsidR="000B0D68" w:rsidRPr="00551156">
        <w:rPr>
          <w:lang w:val="fr-FR"/>
        </w:rPr>
        <w:t>R</w:t>
      </w:r>
      <w:r w:rsidR="008A7B6D" w:rsidRPr="00551156">
        <w:rPr>
          <w:lang w:val="fr-FR"/>
        </w:rPr>
        <w:t>ec.</w:t>
      </w:r>
      <w:r w:rsidR="004F5142">
        <w:rPr>
          <w:lang w:val="fr-FR"/>
        </w:rPr>
        <w:t> </w:t>
      </w:r>
      <w:r w:rsidR="000B0D68" w:rsidRPr="00551156">
        <w:rPr>
          <w:lang w:val="fr-FR"/>
        </w:rPr>
        <w:t>14</w:t>
      </w:r>
      <w:r w:rsidR="008A7B6D" w:rsidRPr="00551156">
        <w:rPr>
          <w:lang w:val="fr-FR"/>
        </w:rPr>
        <w:t>.</w:t>
      </w:r>
      <w:r w:rsidR="00FB7ADC">
        <w:rPr>
          <w:lang w:val="fr-FR"/>
        </w:rPr>
        <w:t> </w:t>
      </w:r>
      <w:r w:rsidR="000B0D68" w:rsidRPr="00551156">
        <w:rPr>
          <w:lang w:val="fr-FR"/>
        </w:rPr>
        <w:t>Abolition du travail forcé en milieu carcéral et consentement des détenus au travail</w:t>
      </w:r>
      <w:r w:rsidR="000B0D68" w:rsidRPr="00551156">
        <w:rPr>
          <w:webHidden/>
          <w:lang w:val="fr-FR"/>
        </w:rPr>
        <w:tab/>
      </w:r>
      <w:r w:rsidR="00DC4059" w:rsidRPr="00551156">
        <w:rPr>
          <w:webHidden/>
          <w:lang w:val="fr-FR"/>
        </w:rPr>
        <w:tab/>
      </w:r>
      <w:r w:rsidR="008D6AB2">
        <w:rPr>
          <w:webHidden/>
          <w:lang w:val="fr-FR"/>
        </w:rPr>
        <w:t>14</w:t>
      </w:r>
    </w:p>
    <w:p w:rsidR="005D33E2" w:rsidRDefault="00AE634D" w:rsidP="00D44E49">
      <w:pPr>
        <w:tabs>
          <w:tab w:val="left" w:pos="1134"/>
          <w:tab w:val="right" w:pos="1276"/>
          <w:tab w:val="left" w:pos="1559"/>
          <w:tab w:val="left" w:pos="1984"/>
          <w:tab w:val="left" w:leader="dot" w:pos="8929"/>
          <w:tab w:val="right" w:pos="9638"/>
        </w:tabs>
        <w:spacing w:after="120" w:line="220" w:lineRule="atLeast"/>
        <w:ind w:left="1134" w:hanging="567"/>
        <w:rPr>
          <w:rStyle w:val="Lienhypertexte"/>
          <w:lang w:val="fr-FR"/>
        </w:rPr>
      </w:pPr>
      <w:r>
        <w:rPr>
          <w:lang w:val="fr-FR"/>
        </w:rPr>
        <w:t>X</w:t>
      </w:r>
      <w:r w:rsidR="00963596">
        <w:rPr>
          <w:lang w:val="fr-FR"/>
        </w:rPr>
        <w:t>.</w:t>
      </w:r>
      <w:r>
        <w:rPr>
          <w:lang w:val="fr-FR"/>
        </w:rPr>
        <w:tab/>
      </w:r>
      <w:r w:rsidR="000B0D68" w:rsidRPr="007B1FF0">
        <w:rPr>
          <w:lang w:val="fr-FR"/>
        </w:rPr>
        <w:t>R</w:t>
      </w:r>
      <w:r w:rsidR="008A7B6D" w:rsidRPr="007B1FF0">
        <w:rPr>
          <w:lang w:val="fr-FR"/>
        </w:rPr>
        <w:t>ec.</w:t>
      </w:r>
      <w:r w:rsidR="004F5142">
        <w:rPr>
          <w:lang w:val="fr-FR"/>
        </w:rPr>
        <w:t> </w:t>
      </w:r>
      <w:r w:rsidR="000B0D68" w:rsidRPr="007B1FF0">
        <w:rPr>
          <w:lang w:val="fr-FR"/>
        </w:rPr>
        <w:t>15</w:t>
      </w:r>
      <w:r w:rsidR="008A7B6D" w:rsidRPr="007B1FF0">
        <w:rPr>
          <w:lang w:val="fr-FR"/>
        </w:rPr>
        <w:t>.</w:t>
      </w:r>
      <w:r w:rsidR="00FB7ADC">
        <w:rPr>
          <w:lang w:val="fr-FR"/>
        </w:rPr>
        <w:t> </w:t>
      </w:r>
      <w:r w:rsidR="000B0D68" w:rsidRPr="007B1FF0">
        <w:rPr>
          <w:lang w:val="fr-FR"/>
        </w:rPr>
        <w:t>Augmentation de l’offre sur le marché du travail</w:t>
      </w:r>
      <w:r w:rsidR="000B0D68" w:rsidRPr="007B1FF0">
        <w:rPr>
          <w:webHidden/>
          <w:lang w:val="fr-FR"/>
        </w:rPr>
        <w:tab/>
      </w:r>
      <w:r w:rsidR="00C12F58" w:rsidRPr="007B1FF0">
        <w:rPr>
          <w:webHidden/>
          <w:lang w:val="fr-FR"/>
        </w:rPr>
        <w:tab/>
      </w:r>
      <w:r w:rsidR="008D6AB2">
        <w:rPr>
          <w:webHidden/>
          <w:lang w:val="fr-FR"/>
        </w:rPr>
        <w:t>14</w:t>
      </w:r>
    </w:p>
    <w:p w:rsidR="005D33E2" w:rsidRDefault="00E01066" w:rsidP="00D44E49">
      <w:pPr>
        <w:tabs>
          <w:tab w:val="left" w:pos="1134"/>
          <w:tab w:val="right" w:pos="1276"/>
          <w:tab w:val="left" w:pos="1559"/>
          <w:tab w:val="left" w:pos="1984"/>
          <w:tab w:val="left" w:leader="dot" w:pos="8929"/>
          <w:tab w:val="right" w:pos="9638"/>
        </w:tabs>
        <w:spacing w:after="120" w:line="220" w:lineRule="atLeast"/>
        <w:ind w:left="1134" w:hanging="567"/>
        <w:rPr>
          <w:rStyle w:val="Lienhypertexte"/>
          <w:lang w:val="fr-FR"/>
        </w:rPr>
      </w:pPr>
      <w:r>
        <w:rPr>
          <w:rStyle w:val="Lienhypertexte"/>
          <w:lang w:val="fr-FR"/>
        </w:rPr>
        <w:tab/>
      </w:r>
      <w:r w:rsidR="00C12F58" w:rsidRPr="007B1FF0">
        <w:rPr>
          <w:lang w:val="fr-FR"/>
        </w:rPr>
        <w:t>A</w:t>
      </w:r>
      <w:r w:rsidR="00CA2599">
        <w:rPr>
          <w:lang w:val="fr-FR"/>
        </w:rPr>
        <w:t>.</w:t>
      </w:r>
      <w:r w:rsidR="00CC162E" w:rsidRPr="007B1FF0">
        <w:rPr>
          <w:lang w:val="fr-FR"/>
        </w:rPr>
        <w:tab/>
      </w:r>
      <w:r w:rsidR="000B0D68" w:rsidRPr="007B1FF0">
        <w:rPr>
          <w:lang w:val="fr-FR"/>
        </w:rPr>
        <w:t xml:space="preserve">Inclusion dans la politique d’emploi de mesures pour remédier </w:t>
      </w:r>
      <w:r w:rsidR="00507169" w:rsidRPr="007B1FF0">
        <w:rPr>
          <w:lang w:val="fr-FR"/>
        </w:rPr>
        <w:t>aux difficultés</w:t>
      </w:r>
      <w:r w:rsidR="006A57AD">
        <w:rPr>
          <w:lang w:val="fr-FR"/>
        </w:rPr>
        <w:br/>
      </w:r>
      <w:r w:rsidR="00507169">
        <w:rPr>
          <w:lang w:val="fr-FR"/>
        </w:rPr>
        <w:tab/>
      </w:r>
      <w:r w:rsidR="00507169">
        <w:rPr>
          <w:lang w:val="fr-FR"/>
        </w:rPr>
        <w:tab/>
      </w:r>
      <w:r w:rsidR="000B0D68" w:rsidRPr="007B1FF0">
        <w:rPr>
          <w:lang w:val="fr-FR"/>
        </w:rPr>
        <w:t>d’insertion des jeunes et des femmes dans le marché du travail formel</w:t>
      </w:r>
      <w:r w:rsidR="000B0D68" w:rsidRPr="007B1FF0">
        <w:rPr>
          <w:webHidden/>
          <w:lang w:val="fr-FR"/>
        </w:rPr>
        <w:tab/>
      </w:r>
      <w:r w:rsidR="00C12F58" w:rsidRPr="007B1FF0">
        <w:rPr>
          <w:webHidden/>
          <w:lang w:val="fr-FR"/>
        </w:rPr>
        <w:tab/>
      </w:r>
      <w:r w:rsidR="008D6AB2">
        <w:rPr>
          <w:webHidden/>
          <w:lang w:val="fr-FR"/>
        </w:rPr>
        <w:t>14</w:t>
      </w:r>
    </w:p>
    <w:p w:rsidR="005D33E2" w:rsidRDefault="00E01066" w:rsidP="00D44E49">
      <w:pPr>
        <w:tabs>
          <w:tab w:val="left" w:pos="1134"/>
          <w:tab w:val="right" w:pos="1276"/>
          <w:tab w:val="left" w:pos="1559"/>
          <w:tab w:val="left" w:pos="1984"/>
          <w:tab w:val="left" w:leader="dot" w:pos="8929"/>
          <w:tab w:val="right" w:pos="9638"/>
        </w:tabs>
        <w:spacing w:after="120" w:line="220" w:lineRule="atLeast"/>
        <w:ind w:left="1134" w:hanging="567"/>
        <w:rPr>
          <w:webHidden/>
          <w:lang w:val="fr-FR"/>
        </w:rPr>
      </w:pPr>
      <w:r>
        <w:rPr>
          <w:rStyle w:val="Lienhypertexte"/>
          <w:lang w:val="fr-FR"/>
        </w:rPr>
        <w:tab/>
      </w:r>
      <w:r w:rsidR="00C12F58" w:rsidRPr="007B1FF0">
        <w:rPr>
          <w:lang w:val="fr-FR"/>
        </w:rPr>
        <w:t>B</w:t>
      </w:r>
      <w:r w:rsidR="00CA2599">
        <w:rPr>
          <w:lang w:val="fr-FR"/>
        </w:rPr>
        <w:t>.</w:t>
      </w:r>
      <w:r w:rsidR="00CC162E" w:rsidRPr="007B1FF0">
        <w:rPr>
          <w:lang w:val="fr-FR"/>
        </w:rPr>
        <w:tab/>
      </w:r>
      <w:r w:rsidR="000B0D68" w:rsidRPr="007B1FF0">
        <w:rPr>
          <w:lang w:val="fr-FR"/>
        </w:rPr>
        <w:t xml:space="preserve">Développement des formations professionnelles répondant aux besoins </w:t>
      </w:r>
      <w:r w:rsidR="00507169">
        <w:rPr>
          <w:lang w:val="fr-FR"/>
        </w:rPr>
        <w:br/>
      </w:r>
      <w:r w:rsidR="00507169">
        <w:rPr>
          <w:lang w:val="fr-FR"/>
        </w:rPr>
        <w:tab/>
      </w:r>
      <w:r w:rsidR="00507169">
        <w:rPr>
          <w:lang w:val="fr-FR"/>
        </w:rPr>
        <w:tab/>
      </w:r>
      <w:r w:rsidR="000B0D68" w:rsidRPr="007B1FF0">
        <w:rPr>
          <w:lang w:val="fr-FR"/>
        </w:rPr>
        <w:t>du marché du travail</w:t>
      </w:r>
      <w:r w:rsidRPr="007B1FF0">
        <w:rPr>
          <w:lang w:val="fr-FR"/>
        </w:rPr>
        <w:tab/>
      </w:r>
      <w:r w:rsidR="00507169">
        <w:rPr>
          <w:lang w:val="fr-FR"/>
        </w:rPr>
        <w:tab/>
      </w:r>
      <w:r w:rsidR="00507169">
        <w:rPr>
          <w:webHidden/>
          <w:lang w:val="fr-FR"/>
        </w:rPr>
        <w:t>15</w:t>
      </w:r>
    </w:p>
    <w:p w:rsidR="005D33E2" w:rsidRDefault="00E01066" w:rsidP="00D44E49">
      <w:pPr>
        <w:tabs>
          <w:tab w:val="left" w:pos="1134"/>
          <w:tab w:val="right" w:pos="1276"/>
          <w:tab w:val="left" w:pos="1559"/>
          <w:tab w:val="left" w:pos="1984"/>
          <w:tab w:val="left" w:leader="dot" w:pos="8929"/>
          <w:tab w:val="right" w:pos="9638"/>
        </w:tabs>
        <w:spacing w:after="120" w:line="220" w:lineRule="atLeast"/>
        <w:ind w:left="1134" w:hanging="567"/>
        <w:rPr>
          <w:rStyle w:val="Lienhypertexte"/>
          <w:lang w:val="fr-FR"/>
        </w:rPr>
      </w:pPr>
      <w:r>
        <w:rPr>
          <w:rStyle w:val="Lienhypertexte"/>
          <w:lang w:val="fr-FR"/>
        </w:rPr>
        <w:tab/>
      </w:r>
      <w:r w:rsidR="000D3B97" w:rsidRPr="007B1FF0">
        <w:rPr>
          <w:lang w:val="fr-FR"/>
        </w:rPr>
        <w:t>C</w:t>
      </w:r>
      <w:r w:rsidR="00CA2599">
        <w:rPr>
          <w:lang w:val="fr-FR"/>
        </w:rPr>
        <w:t>.</w:t>
      </w:r>
      <w:r w:rsidR="00CC162E" w:rsidRPr="007B1FF0">
        <w:rPr>
          <w:lang w:val="fr-FR"/>
        </w:rPr>
        <w:tab/>
      </w:r>
      <w:r w:rsidR="000B0D68" w:rsidRPr="007B1FF0">
        <w:rPr>
          <w:lang w:val="fr-FR"/>
        </w:rPr>
        <w:t xml:space="preserve">Les activités promues par le </w:t>
      </w:r>
      <w:r w:rsidR="00823CDD" w:rsidRPr="002E4295">
        <w:rPr>
          <w:lang w:val="fr-FR"/>
        </w:rPr>
        <w:t xml:space="preserve">Fonds National de l’Emploi </w:t>
      </w:r>
      <w:r w:rsidR="000B0D68" w:rsidRPr="007B1FF0">
        <w:rPr>
          <w:lang w:val="fr-FR"/>
        </w:rPr>
        <w:t>FNE, telles l’appui à la création</w:t>
      </w:r>
      <w:r w:rsidR="00823CDD">
        <w:rPr>
          <w:lang w:val="fr-FR"/>
        </w:rPr>
        <w:br/>
      </w:r>
      <w:r w:rsidR="00823CDD">
        <w:rPr>
          <w:lang w:val="fr-FR"/>
        </w:rPr>
        <w:tab/>
      </w:r>
      <w:r w:rsidR="00823CDD">
        <w:rPr>
          <w:lang w:val="fr-FR"/>
        </w:rPr>
        <w:tab/>
      </w:r>
      <w:r w:rsidR="000B0D68" w:rsidRPr="007B1FF0">
        <w:rPr>
          <w:lang w:val="fr-FR"/>
        </w:rPr>
        <w:t>de micro-entreprises et la formation dans les métiers favorisant la création d’emplois</w:t>
      </w:r>
      <w:r w:rsidR="000B0D68" w:rsidRPr="007B1FF0">
        <w:rPr>
          <w:webHidden/>
          <w:lang w:val="fr-FR"/>
        </w:rPr>
        <w:tab/>
      </w:r>
      <w:r w:rsidR="00C12F58" w:rsidRPr="007B1FF0">
        <w:rPr>
          <w:webHidden/>
          <w:lang w:val="fr-FR"/>
        </w:rPr>
        <w:tab/>
      </w:r>
      <w:r w:rsidR="00823CDD">
        <w:rPr>
          <w:webHidden/>
          <w:lang w:val="fr-FR"/>
        </w:rPr>
        <w:t>15</w:t>
      </w:r>
    </w:p>
    <w:p w:rsidR="00E01066" w:rsidRDefault="00E01066" w:rsidP="00D44E49">
      <w:pPr>
        <w:tabs>
          <w:tab w:val="left" w:pos="1134"/>
          <w:tab w:val="right" w:pos="1276"/>
          <w:tab w:val="left" w:pos="1559"/>
          <w:tab w:val="left" w:pos="1984"/>
          <w:tab w:val="left" w:leader="dot" w:pos="8929"/>
          <w:tab w:val="right" w:pos="9638"/>
        </w:tabs>
        <w:spacing w:after="120" w:line="220" w:lineRule="atLeast"/>
        <w:ind w:left="1134" w:hanging="567"/>
        <w:rPr>
          <w:rStyle w:val="Lienhypertexte"/>
          <w:lang w:val="fr-FR"/>
        </w:rPr>
      </w:pPr>
      <w:r>
        <w:rPr>
          <w:rStyle w:val="Lienhypertexte"/>
          <w:lang w:val="fr-FR"/>
        </w:rPr>
        <w:tab/>
      </w:r>
      <w:r w:rsidR="000D3B97" w:rsidRPr="007B1FF0">
        <w:rPr>
          <w:lang w:val="fr-FR"/>
        </w:rPr>
        <w:t>D</w:t>
      </w:r>
      <w:r w:rsidR="00CA2599">
        <w:rPr>
          <w:lang w:val="fr-FR"/>
        </w:rPr>
        <w:t>.</w:t>
      </w:r>
      <w:r w:rsidR="00CC162E" w:rsidRPr="007B1FF0">
        <w:rPr>
          <w:lang w:val="fr-FR"/>
        </w:rPr>
        <w:tab/>
      </w:r>
      <w:r w:rsidR="000B0D68" w:rsidRPr="007B1FF0">
        <w:rPr>
          <w:lang w:val="fr-FR"/>
        </w:rPr>
        <w:t xml:space="preserve">Ressources du FNE et l’Observatoire National de l’Emploi </w:t>
      </w:r>
      <w:r w:rsidR="006A57AD">
        <w:rPr>
          <w:lang w:val="fr-FR"/>
        </w:rPr>
        <w:br/>
      </w:r>
      <w:r w:rsidR="00507169">
        <w:rPr>
          <w:lang w:val="fr-FR"/>
        </w:rPr>
        <w:tab/>
      </w:r>
      <w:r w:rsidR="00507169">
        <w:rPr>
          <w:lang w:val="fr-FR"/>
        </w:rPr>
        <w:tab/>
      </w:r>
      <w:r w:rsidR="000B0D68" w:rsidRPr="007B1FF0">
        <w:rPr>
          <w:lang w:val="fr-FR"/>
        </w:rPr>
        <w:t>et de la Formation Professionnelle</w:t>
      </w:r>
      <w:r w:rsidR="00DC3055" w:rsidRPr="007B1FF0">
        <w:rPr>
          <w:webHidden/>
          <w:lang w:val="fr-FR"/>
        </w:rPr>
        <w:tab/>
      </w:r>
      <w:r w:rsidR="006A57AD">
        <w:rPr>
          <w:webHidden/>
          <w:lang w:val="fr-FR"/>
        </w:rPr>
        <w:tab/>
      </w:r>
      <w:r w:rsidR="004B301D">
        <w:rPr>
          <w:webHidden/>
          <w:lang w:val="fr-FR"/>
        </w:rPr>
        <w:t>15</w:t>
      </w:r>
    </w:p>
    <w:p w:rsidR="0067085F" w:rsidRDefault="00E01066" w:rsidP="00D44E49">
      <w:pPr>
        <w:tabs>
          <w:tab w:val="left" w:pos="567"/>
          <w:tab w:val="right" w:pos="1276"/>
          <w:tab w:val="left" w:pos="1559"/>
          <w:tab w:val="left" w:pos="1984"/>
          <w:tab w:val="left" w:leader="dot" w:pos="8929"/>
          <w:tab w:val="right" w:pos="9638"/>
        </w:tabs>
        <w:spacing w:after="120" w:line="220" w:lineRule="atLeast"/>
        <w:ind w:left="1134" w:hanging="567"/>
        <w:rPr>
          <w:rStyle w:val="Lienhypertexte"/>
          <w:lang w:val="fr-FR"/>
        </w:rPr>
      </w:pPr>
      <w:r>
        <w:rPr>
          <w:rStyle w:val="Lienhypertexte"/>
          <w:lang w:val="fr-FR"/>
        </w:rPr>
        <w:tab/>
      </w:r>
      <w:r w:rsidR="00C12F58" w:rsidRPr="002E4295">
        <w:rPr>
          <w:lang w:val="fr-FR"/>
        </w:rPr>
        <w:t>XI</w:t>
      </w:r>
      <w:r>
        <w:rPr>
          <w:lang w:val="fr-FR"/>
        </w:rPr>
        <w:t>.</w:t>
      </w:r>
      <w:r>
        <w:rPr>
          <w:lang w:val="fr-FR"/>
        </w:rPr>
        <w:tab/>
      </w:r>
      <w:r w:rsidR="008A7B6D" w:rsidRPr="002E4295">
        <w:rPr>
          <w:lang w:val="fr-FR"/>
        </w:rPr>
        <w:t>Rec.</w:t>
      </w:r>
      <w:r w:rsidR="00823CDD">
        <w:rPr>
          <w:lang w:val="fr-FR"/>
        </w:rPr>
        <w:t> </w:t>
      </w:r>
      <w:r w:rsidR="000B0D68" w:rsidRPr="007B1FF0">
        <w:rPr>
          <w:lang w:val="fr-FR"/>
        </w:rPr>
        <w:t>16</w:t>
      </w:r>
      <w:r w:rsidR="00C12F58" w:rsidRPr="007B1FF0">
        <w:rPr>
          <w:lang w:val="fr-FR"/>
        </w:rPr>
        <w:t>.</w:t>
      </w:r>
      <w:r w:rsidR="00823CDD">
        <w:rPr>
          <w:lang w:val="fr-FR"/>
        </w:rPr>
        <w:t> </w:t>
      </w:r>
      <w:r w:rsidR="000B0D68" w:rsidRPr="007B1FF0">
        <w:rPr>
          <w:lang w:val="fr-FR"/>
        </w:rPr>
        <w:t>Valeur du Salaire Minimum Interprofessionnel Garanti</w:t>
      </w:r>
      <w:r w:rsidR="000B0D68" w:rsidRPr="007B1FF0">
        <w:rPr>
          <w:webHidden/>
          <w:lang w:val="fr-FR"/>
        </w:rPr>
        <w:tab/>
      </w:r>
      <w:r w:rsidR="00C12F58" w:rsidRPr="007B1FF0">
        <w:rPr>
          <w:webHidden/>
          <w:lang w:val="fr-FR"/>
        </w:rPr>
        <w:tab/>
      </w:r>
      <w:r w:rsidR="00823CDD">
        <w:rPr>
          <w:webHidden/>
          <w:lang w:val="fr-FR"/>
        </w:rPr>
        <w:t>16</w:t>
      </w:r>
    </w:p>
    <w:p w:rsidR="00CC162E" w:rsidRDefault="00E01066" w:rsidP="00D44E49">
      <w:pPr>
        <w:tabs>
          <w:tab w:val="right" w:pos="850"/>
          <w:tab w:val="left" w:pos="1134"/>
          <w:tab w:val="left" w:pos="1559"/>
          <w:tab w:val="left" w:pos="1984"/>
          <w:tab w:val="left" w:leader="dot" w:pos="8929"/>
          <w:tab w:val="right" w:pos="9638"/>
        </w:tabs>
        <w:spacing w:after="120" w:line="220" w:lineRule="atLeast"/>
        <w:ind w:left="1134" w:hanging="567"/>
        <w:rPr>
          <w:rStyle w:val="Lienhypertexte"/>
          <w:lang w:val="fr-FR"/>
        </w:rPr>
      </w:pPr>
      <w:r>
        <w:rPr>
          <w:lang w:val="fr-FR"/>
        </w:rPr>
        <w:t>XII.</w:t>
      </w:r>
      <w:r>
        <w:rPr>
          <w:lang w:val="fr-FR"/>
        </w:rPr>
        <w:tab/>
      </w:r>
      <w:r w:rsidR="008A7B6D" w:rsidRPr="007B1FF0">
        <w:rPr>
          <w:lang w:val="fr-FR"/>
        </w:rPr>
        <w:t>Rec.</w:t>
      </w:r>
      <w:r w:rsidR="00823CDD">
        <w:rPr>
          <w:lang w:val="fr-FR"/>
        </w:rPr>
        <w:t> </w:t>
      </w:r>
      <w:r w:rsidR="00C12F58" w:rsidRPr="007B1FF0">
        <w:rPr>
          <w:lang w:val="fr-FR"/>
        </w:rPr>
        <w:t>17.</w:t>
      </w:r>
      <w:r w:rsidR="00823CDD">
        <w:rPr>
          <w:lang w:val="fr-FR"/>
        </w:rPr>
        <w:t> </w:t>
      </w:r>
      <w:r w:rsidR="000B0D68" w:rsidRPr="007B1FF0">
        <w:rPr>
          <w:lang w:val="fr-FR"/>
        </w:rPr>
        <w:t>Respect des normes fondamentales de travail dans les plantations</w:t>
      </w:r>
      <w:r w:rsidR="000B0D68" w:rsidRPr="007B1FF0">
        <w:rPr>
          <w:webHidden/>
          <w:lang w:val="fr-FR"/>
        </w:rPr>
        <w:tab/>
      </w:r>
      <w:r w:rsidR="00C12F58" w:rsidRPr="007B1FF0">
        <w:rPr>
          <w:webHidden/>
          <w:lang w:val="fr-FR"/>
        </w:rPr>
        <w:tab/>
      </w:r>
      <w:r w:rsidR="00823CDD">
        <w:rPr>
          <w:webHidden/>
          <w:lang w:val="fr-FR"/>
        </w:rPr>
        <w:t>16</w:t>
      </w:r>
    </w:p>
    <w:p w:rsidR="00DC3055" w:rsidRDefault="00CC162E" w:rsidP="00D44E49">
      <w:pPr>
        <w:tabs>
          <w:tab w:val="right" w:pos="1276"/>
          <w:tab w:val="left" w:pos="1559"/>
          <w:tab w:val="left" w:pos="1984"/>
          <w:tab w:val="left" w:leader="dot" w:pos="8929"/>
          <w:tab w:val="right" w:pos="9638"/>
        </w:tabs>
        <w:spacing w:after="120" w:line="220" w:lineRule="atLeast"/>
        <w:ind w:left="1134" w:hanging="708"/>
        <w:rPr>
          <w:rStyle w:val="Lienhypertexte"/>
          <w:lang w:val="fr-FR"/>
        </w:rPr>
      </w:pPr>
      <w:r>
        <w:rPr>
          <w:rStyle w:val="Lienhypertexte"/>
          <w:lang w:val="fr-FR"/>
        </w:rPr>
        <w:t>X</w:t>
      </w:r>
      <w:r w:rsidR="00E01066">
        <w:rPr>
          <w:lang w:val="fr-FR"/>
        </w:rPr>
        <w:t>III.</w:t>
      </w:r>
      <w:r w:rsidR="00E01066">
        <w:rPr>
          <w:lang w:val="fr-FR"/>
        </w:rPr>
        <w:tab/>
      </w:r>
      <w:r w:rsidR="008A7B6D" w:rsidRPr="007B1FF0">
        <w:rPr>
          <w:lang w:val="fr-FR"/>
        </w:rPr>
        <w:t>Rec.</w:t>
      </w:r>
      <w:r w:rsidR="0078209B">
        <w:rPr>
          <w:lang w:val="fr-FR"/>
        </w:rPr>
        <w:t> </w:t>
      </w:r>
      <w:r w:rsidR="00C12F58" w:rsidRPr="007B1FF0">
        <w:rPr>
          <w:lang w:val="fr-FR"/>
        </w:rPr>
        <w:t>18.</w:t>
      </w:r>
      <w:r w:rsidR="0078209B">
        <w:rPr>
          <w:lang w:val="fr-FR"/>
        </w:rPr>
        <w:t> </w:t>
      </w:r>
      <w:r w:rsidR="000B0D68" w:rsidRPr="007B1FF0">
        <w:rPr>
          <w:lang w:val="fr-FR"/>
        </w:rPr>
        <w:t>Liberté syndicale et participation à des activités syndicales</w:t>
      </w:r>
      <w:r w:rsidR="000B0D68" w:rsidRPr="007B1FF0">
        <w:rPr>
          <w:webHidden/>
          <w:lang w:val="fr-FR"/>
        </w:rPr>
        <w:tab/>
      </w:r>
      <w:r w:rsidR="00C12F58" w:rsidRPr="007B1FF0">
        <w:rPr>
          <w:webHidden/>
          <w:lang w:val="fr-FR"/>
        </w:rPr>
        <w:tab/>
      </w:r>
      <w:r w:rsidR="00823CDD">
        <w:rPr>
          <w:webHidden/>
          <w:lang w:val="fr-FR"/>
        </w:rPr>
        <w:t>16</w:t>
      </w:r>
    </w:p>
    <w:p w:rsidR="00DC3055" w:rsidRDefault="00C12F58" w:rsidP="00D44E49">
      <w:pPr>
        <w:tabs>
          <w:tab w:val="right" w:pos="850"/>
          <w:tab w:val="left" w:pos="1134"/>
          <w:tab w:val="left" w:pos="1559"/>
          <w:tab w:val="left" w:pos="1984"/>
          <w:tab w:val="left" w:leader="dot" w:pos="8929"/>
          <w:tab w:val="right" w:pos="9638"/>
        </w:tabs>
        <w:spacing w:after="120" w:line="220" w:lineRule="atLeast"/>
        <w:ind w:left="1162" w:hanging="708"/>
        <w:rPr>
          <w:rStyle w:val="Lienhypertexte"/>
          <w:lang w:val="fr-FR"/>
        </w:rPr>
      </w:pPr>
      <w:r w:rsidRPr="002E4295">
        <w:rPr>
          <w:lang w:val="fr-FR"/>
        </w:rPr>
        <w:t>XIV</w:t>
      </w:r>
      <w:r w:rsidR="00CC162E">
        <w:rPr>
          <w:lang w:val="fr-FR"/>
        </w:rPr>
        <w:t>.</w:t>
      </w:r>
      <w:r w:rsidR="00CC162E">
        <w:rPr>
          <w:lang w:val="fr-FR"/>
        </w:rPr>
        <w:tab/>
      </w:r>
      <w:r w:rsidR="008A7B6D" w:rsidRPr="00551156">
        <w:rPr>
          <w:lang w:val="fr-FR"/>
        </w:rPr>
        <w:t>Rec.</w:t>
      </w:r>
      <w:r w:rsidR="0078209B">
        <w:rPr>
          <w:lang w:val="fr-FR"/>
        </w:rPr>
        <w:t> </w:t>
      </w:r>
      <w:r w:rsidR="000B0D68" w:rsidRPr="00551156">
        <w:rPr>
          <w:lang w:val="fr-FR"/>
        </w:rPr>
        <w:t>19</w:t>
      </w:r>
      <w:r w:rsidRPr="00551156">
        <w:rPr>
          <w:lang w:val="fr-FR"/>
        </w:rPr>
        <w:t>.</w:t>
      </w:r>
      <w:r w:rsidR="0078209B">
        <w:rPr>
          <w:lang w:val="fr-FR"/>
        </w:rPr>
        <w:t> </w:t>
      </w:r>
      <w:r w:rsidR="000B0D68" w:rsidRPr="00551156">
        <w:rPr>
          <w:lang w:val="fr-FR"/>
        </w:rPr>
        <w:t>Modernisation de la sécurité sociale visant à assurer ce droit à tous</w:t>
      </w:r>
      <w:r w:rsidR="000B0D68" w:rsidRPr="00551156">
        <w:rPr>
          <w:webHidden/>
          <w:lang w:val="fr-FR"/>
        </w:rPr>
        <w:tab/>
      </w:r>
      <w:r w:rsidRPr="00551156">
        <w:rPr>
          <w:webHidden/>
          <w:lang w:val="fr-FR"/>
        </w:rPr>
        <w:tab/>
      </w:r>
      <w:r w:rsidR="008619A6">
        <w:rPr>
          <w:webHidden/>
          <w:lang w:val="fr-FR"/>
        </w:rPr>
        <w:t>1</w:t>
      </w:r>
      <w:r w:rsidR="003928BD">
        <w:rPr>
          <w:webHidden/>
          <w:lang w:val="fr-FR"/>
        </w:rPr>
        <w:t>7</w:t>
      </w:r>
    </w:p>
    <w:p w:rsidR="005D33E2" w:rsidRDefault="00813498" w:rsidP="00813498">
      <w:pPr>
        <w:tabs>
          <w:tab w:val="right" w:pos="850"/>
          <w:tab w:val="left" w:pos="1134"/>
          <w:tab w:val="left" w:pos="1559"/>
          <w:tab w:val="left" w:pos="1984"/>
          <w:tab w:val="left" w:leader="dot" w:pos="8929"/>
          <w:tab w:val="right" w:pos="9638"/>
        </w:tabs>
        <w:spacing w:after="120" w:line="220" w:lineRule="atLeast"/>
        <w:rPr>
          <w:rStyle w:val="Lienhypertexte"/>
          <w:lang w:val="fr-FR"/>
        </w:rPr>
      </w:pPr>
      <w:r>
        <w:rPr>
          <w:lang w:val="fr-FR"/>
        </w:rPr>
        <w:tab/>
      </w:r>
      <w:r w:rsidR="00C12F58" w:rsidRPr="002E4295">
        <w:rPr>
          <w:lang w:val="fr-FR"/>
        </w:rPr>
        <w:t>XV</w:t>
      </w:r>
      <w:r w:rsidR="00E01066">
        <w:rPr>
          <w:lang w:val="fr-FR"/>
        </w:rPr>
        <w:t>.</w:t>
      </w:r>
      <w:r w:rsidR="00E01066">
        <w:rPr>
          <w:lang w:val="fr-FR"/>
        </w:rPr>
        <w:tab/>
      </w:r>
      <w:r w:rsidR="000B0D68" w:rsidRPr="00551156">
        <w:rPr>
          <w:lang w:val="fr-FR"/>
        </w:rPr>
        <w:t>R</w:t>
      </w:r>
      <w:r w:rsidR="008A7B6D" w:rsidRPr="00551156">
        <w:rPr>
          <w:lang w:val="fr-FR"/>
        </w:rPr>
        <w:t>ec.</w:t>
      </w:r>
      <w:r w:rsidR="0078209B">
        <w:rPr>
          <w:lang w:val="fr-FR"/>
        </w:rPr>
        <w:t> </w:t>
      </w:r>
      <w:r w:rsidR="00C12F58" w:rsidRPr="00551156">
        <w:rPr>
          <w:lang w:val="fr-FR"/>
        </w:rPr>
        <w:t>20.</w:t>
      </w:r>
      <w:r w:rsidR="0078209B">
        <w:rPr>
          <w:lang w:val="fr-FR"/>
        </w:rPr>
        <w:t> </w:t>
      </w:r>
      <w:r w:rsidR="000B0D68" w:rsidRPr="00551156">
        <w:rPr>
          <w:lang w:val="fr-FR"/>
        </w:rPr>
        <w:t xml:space="preserve">Conformité de la législation nationale avec les normes internationales </w:t>
      </w:r>
      <w:r w:rsidR="006A57AD">
        <w:rPr>
          <w:lang w:val="fr-FR"/>
        </w:rPr>
        <w:br/>
      </w:r>
      <w:r>
        <w:rPr>
          <w:lang w:val="fr-FR"/>
        </w:rPr>
        <w:tab/>
      </w:r>
      <w:r>
        <w:rPr>
          <w:lang w:val="fr-FR"/>
        </w:rPr>
        <w:tab/>
      </w:r>
      <w:r w:rsidR="000B0D68" w:rsidRPr="00551156">
        <w:rPr>
          <w:lang w:val="fr-FR"/>
        </w:rPr>
        <w:t>sur le travail des enfants et sanctions du non-respect de la législation</w:t>
      </w:r>
      <w:r w:rsidR="000B0D68" w:rsidRPr="00551156">
        <w:rPr>
          <w:webHidden/>
          <w:lang w:val="fr-FR"/>
        </w:rPr>
        <w:tab/>
      </w:r>
      <w:r w:rsidR="00C12F58" w:rsidRPr="00551156">
        <w:rPr>
          <w:webHidden/>
          <w:lang w:val="fr-FR"/>
        </w:rPr>
        <w:tab/>
      </w:r>
      <w:r w:rsidR="007D1D7F">
        <w:rPr>
          <w:webHidden/>
          <w:lang w:val="fr-FR"/>
        </w:rPr>
        <w:t>17</w:t>
      </w:r>
    </w:p>
    <w:p w:rsidR="005D33E2" w:rsidRDefault="00DC3055" w:rsidP="00D44E49">
      <w:pPr>
        <w:tabs>
          <w:tab w:val="left" w:pos="1134"/>
          <w:tab w:val="right" w:pos="1276"/>
          <w:tab w:val="left" w:pos="1559"/>
          <w:tab w:val="left" w:pos="1984"/>
          <w:tab w:val="left" w:leader="dot" w:pos="8929"/>
          <w:tab w:val="right" w:pos="9638"/>
        </w:tabs>
        <w:spacing w:after="120" w:line="220" w:lineRule="atLeast"/>
        <w:ind w:left="1218" w:hanging="708"/>
        <w:rPr>
          <w:rStyle w:val="Lienhypertexte"/>
          <w:lang w:val="fr-FR"/>
        </w:rPr>
      </w:pPr>
      <w:r>
        <w:rPr>
          <w:rStyle w:val="Lienhypertexte"/>
          <w:lang w:val="fr-FR"/>
        </w:rPr>
        <w:tab/>
      </w:r>
      <w:r w:rsidR="000D3B97" w:rsidRPr="00551156">
        <w:rPr>
          <w:lang w:val="fr-FR"/>
        </w:rPr>
        <w:t>A</w:t>
      </w:r>
      <w:r w:rsidR="00CA2599">
        <w:rPr>
          <w:lang w:val="fr-FR"/>
        </w:rPr>
        <w:t>.</w:t>
      </w:r>
      <w:r w:rsidR="00CC162E" w:rsidRPr="00551156">
        <w:rPr>
          <w:lang w:val="fr-FR"/>
        </w:rPr>
        <w:tab/>
      </w:r>
      <w:r w:rsidR="000B0D68" w:rsidRPr="00551156">
        <w:rPr>
          <w:lang w:val="fr-FR"/>
        </w:rPr>
        <w:t>Sur l’âge minimum d’accès à l’emploi et catégories de travaux dangereux</w:t>
      </w:r>
      <w:r w:rsidR="000B0D68" w:rsidRPr="00551156">
        <w:rPr>
          <w:webHidden/>
          <w:lang w:val="fr-FR"/>
        </w:rPr>
        <w:tab/>
      </w:r>
      <w:r w:rsidR="00C12F58" w:rsidRPr="00551156">
        <w:rPr>
          <w:webHidden/>
          <w:lang w:val="fr-FR"/>
        </w:rPr>
        <w:tab/>
      </w:r>
      <w:r w:rsidR="009579D3">
        <w:rPr>
          <w:webHidden/>
          <w:lang w:val="fr-FR"/>
        </w:rPr>
        <w:t>1</w:t>
      </w:r>
      <w:r w:rsidR="007D1D7F">
        <w:rPr>
          <w:webHidden/>
          <w:lang w:val="fr-FR"/>
        </w:rPr>
        <w:t>7</w:t>
      </w:r>
    </w:p>
    <w:p w:rsidR="005D33E2" w:rsidRDefault="00DC3055" w:rsidP="00D44E49">
      <w:pPr>
        <w:tabs>
          <w:tab w:val="left" w:pos="1134"/>
          <w:tab w:val="right" w:pos="1276"/>
          <w:tab w:val="left" w:pos="1559"/>
          <w:tab w:val="left" w:pos="1984"/>
          <w:tab w:val="left" w:leader="dot" w:pos="8929"/>
          <w:tab w:val="right" w:pos="9638"/>
        </w:tabs>
        <w:spacing w:after="120" w:line="220" w:lineRule="atLeast"/>
        <w:ind w:left="1218" w:hanging="708"/>
        <w:rPr>
          <w:webHidden/>
          <w:lang w:val="fr-FR"/>
        </w:rPr>
      </w:pPr>
      <w:r>
        <w:rPr>
          <w:rStyle w:val="Lienhypertexte"/>
          <w:lang w:val="fr-FR"/>
        </w:rPr>
        <w:tab/>
      </w:r>
      <w:r w:rsidR="000D3B97" w:rsidRPr="00551156">
        <w:rPr>
          <w:lang w:val="fr-FR"/>
        </w:rPr>
        <w:t>B</w:t>
      </w:r>
      <w:r w:rsidR="00CA2599">
        <w:rPr>
          <w:lang w:val="fr-FR"/>
        </w:rPr>
        <w:t>.</w:t>
      </w:r>
      <w:r w:rsidR="00CC162E" w:rsidRPr="00551156">
        <w:rPr>
          <w:lang w:val="fr-FR"/>
        </w:rPr>
        <w:tab/>
      </w:r>
      <w:r w:rsidR="000B0D68" w:rsidRPr="00551156">
        <w:rPr>
          <w:lang w:val="fr-FR"/>
        </w:rPr>
        <w:t>Sur la sensibilisation</w:t>
      </w:r>
      <w:r w:rsidR="000B0D68" w:rsidRPr="00551156">
        <w:rPr>
          <w:webHidden/>
          <w:lang w:val="fr-FR"/>
        </w:rPr>
        <w:tab/>
      </w:r>
      <w:r w:rsidR="00C12F58" w:rsidRPr="00551156">
        <w:rPr>
          <w:webHidden/>
          <w:lang w:val="fr-FR"/>
        </w:rPr>
        <w:tab/>
      </w:r>
      <w:r w:rsidR="00B72B49">
        <w:rPr>
          <w:webHidden/>
          <w:lang w:val="fr-FR"/>
        </w:rPr>
        <w:t>1</w:t>
      </w:r>
      <w:r w:rsidR="00CA2599">
        <w:rPr>
          <w:webHidden/>
          <w:lang w:val="fr-FR"/>
        </w:rPr>
        <w:t>7</w:t>
      </w:r>
    </w:p>
    <w:p w:rsidR="005D33E2" w:rsidRDefault="00DC3055" w:rsidP="005D33E2">
      <w:pPr>
        <w:tabs>
          <w:tab w:val="left" w:pos="1134"/>
          <w:tab w:val="right" w:pos="1276"/>
          <w:tab w:val="left" w:pos="1559"/>
          <w:tab w:val="left" w:pos="1984"/>
          <w:tab w:val="left" w:leader="dot" w:pos="8929"/>
          <w:tab w:val="right" w:pos="9638"/>
        </w:tabs>
        <w:spacing w:after="120"/>
        <w:ind w:left="1218" w:hanging="708"/>
        <w:rPr>
          <w:rStyle w:val="Lienhypertexte"/>
          <w:lang w:val="fr-FR"/>
        </w:rPr>
      </w:pPr>
      <w:r>
        <w:rPr>
          <w:rStyle w:val="Lienhypertexte"/>
          <w:lang w:val="fr-FR"/>
        </w:rPr>
        <w:tab/>
      </w:r>
      <w:r w:rsidR="000D3B97" w:rsidRPr="00551156">
        <w:rPr>
          <w:lang w:val="fr-FR"/>
        </w:rPr>
        <w:t>C</w:t>
      </w:r>
      <w:r w:rsidR="00CA2599">
        <w:rPr>
          <w:lang w:val="fr-FR"/>
        </w:rPr>
        <w:t>.</w:t>
      </w:r>
      <w:r w:rsidR="00CC162E" w:rsidRPr="00551156">
        <w:rPr>
          <w:lang w:val="fr-FR"/>
        </w:rPr>
        <w:tab/>
      </w:r>
      <w:r w:rsidR="000B0D68" w:rsidRPr="00551156">
        <w:rPr>
          <w:lang w:val="fr-FR"/>
        </w:rPr>
        <w:t>Sur la répression des cas de trafic d’enfants et de travail des enfants</w:t>
      </w:r>
      <w:r w:rsidR="000B0D68" w:rsidRPr="00551156">
        <w:rPr>
          <w:webHidden/>
          <w:lang w:val="fr-FR"/>
        </w:rPr>
        <w:tab/>
      </w:r>
      <w:r w:rsidR="00DE1A8C" w:rsidRPr="00551156">
        <w:rPr>
          <w:webHidden/>
          <w:lang w:val="fr-FR"/>
        </w:rPr>
        <w:tab/>
      </w:r>
      <w:r w:rsidR="00B72B49">
        <w:rPr>
          <w:webHidden/>
          <w:lang w:val="fr-FR"/>
        </w:rPr>
        <w:t>1</w:t>
      </w:r>
      <w:r w:rsidR="00CA2599">
        <w:rPr>
          <w:webHidden/>
          <w:lang w:val="fr-FR"/>
        </w:rPr>
        <w:t>8</w:t>
      </w:r>
    </w:p>
    <w:p w:rsidR="00DC3055" w:rsidRDefault="00C12F58" w:rsidP="005D33E2">
      <w:pPr>
        <w:tabs>
          <w:tab w:val="right" w:pos="1276"/>
          <w:tab w:val="left" w:pos="1559"/>
          <w:tab w:val="left" w:pos="1984"/>
          <w:tab w:val="left" w:leader="dot" w:pos="8929"/>
          <w:tab w:val="right" w:pos="9638"/>
        </w:tabs>
        <w:spacing w:after="120"/>
        <w:ind w:left="1134" w:hanging="708"/>
        <w:rPr>
          <w:rStyle w:val="Lienhypertexte"/>
          <w:lang w:val="fr-FR"/>
        </w:rPr>
      </w:pPr>
      <w:r w:rsidRPr="002E4295">
        <w:rPr>
          <w:lang w:val="fr-FR"/>
        </w:rPr>
        <w:lastRenderedPageBreak/>
        <w:t>XVI.</w:t>
      </w:r>
      <w:r w:rsidR="00DC3055">
        <w:rPr>
          <w:lang w:val="fr-FR"/>
        </w:rPr>
        <w:tab/>
      </w:r>
      <w:r w:rsidR="00DC4059" w:rsidRPr="00551156">
        <w:rPr>
          <w:lang w:val="fr-FR"/>
        </w:rPr>
        <w:t>Rec.</w:t>
      </w:r>
      <w:r w:rsidR="00111D41">
        <w:rPr>
          <w:lang w:val="fr-FR"/>
        </w:rPr>
        <w:t> </w:t>
      </w:r>
      <w:r w:rsidRPr="00551156">
        <w:rPr>
          <w:lang w:val="fr-FR"/>
        </w:rPr>
        <w:t>21.</w:t>
      </w:r>
      <w:r w:rsidR="00111D41">
        <w:rPr>
          <w:lang w:val="fr-FR"/>
        </w:rPr>
        <w:t> </w:t>
      </w:r>
      <w:r w:rsidR="000B0D68" w:rsidRPr="00551156">
        <w:rPr>
          <w:lang w:val="fr-FR"/>
        </w:rPr>
        <w:t>Cadre légal de lutte contre la violence à l’égard des femmes et des filles</w:t>
      </w:r>
      <w:r w:rsidR="000B0D68" w:rsidRPr="00551156">
        <w:rPr>
          <w:webHidden/>
          <w:lang w:val="fr-FR"/>
        </w:rPr>
        <w:tab/>
      </w:r>
      <w:r w:rsidR="00DE1A8C" w:rsidRPr="00551156">
        <w:rPr>
          <w:webHidden/>
          <w:lang w:val="fr-FR"/>
        </w:rPr>
        <w:tab/>
      </w:r>
      <w:r w:rsidR="00B72B49">
        <w:rPr>
          <w:webHidden/>
          <w:lang w:val="fr-FR"/>
        </w:rPr>
        <w:t>1</w:t>
      </w:r>
      <w:r w:rsidR="00CA2599">
        <w:rPr>
          <w:webHidden/>
          <w:lang w:val="fr-FR"/>
        </w:rPr>
        <w:t>8</w:t>
      </w:r>
    </w:p>
    <w:p w:rsidR="00DC3055" w:rsidRDefault="00DC3055" w:rsidP="00AE634D">
      <w:pPr>
        <w:tabs>
          <w:tab w:val="left" w:pos="1134"/>
          <w:tab w:val="left" w:pos="1559"/>
          <w:tab w:val="left" w:pos="1984"/>
          <w:tab w:val="left" w:leader="dot" w:pos="8929"/>
          <w:tab w:val="right" w:pos="9638"/>
        </w:tabs>
        <w:spacing w:after="120"/>
        <w:ind w:left="1134" w:hanging="708"/>
        <w:rPr>
          <w:rStyle w:val="Lienhypertexte"/>
          <w:lang w:val="fr-FR"/>
        </w:rPr>
      </w:pPr>
      <w:r>
        <w:rPr>
          <w:rStyle w:val="Lienhypertexte"/>
          <w:lang w:val="fr-FR"/>
        </w:rPr>
        <w:tab/>
      </w:r>
      <w:r w:rsidR="000D3B97" w:rsidRPr="0067085F">
        <w:rPr>
          <w:lang w:val="fr-FR"/>
        </w:rPr>
        <w:t>A</w:t>
      </w:r>
      <w:r w:rsidR="00CA2599">
        <w:rPr>
          <w:lang w:val="fr-FR"/>
        </w:rPr>
        <w:t>.</w:t>
      </w:r>
      <w:r w:rsidR="00CC162E" w:rsidRPr="0067085F">
        <w:rPr>
          <w:lang w:val="fr-FR"/>
        </w:rPr>
        <w:tab/>
      </w:r>
      <w:r w:rsidR="000B0D68" w:rsidRPr="0067085F">
        <w:rPr>
          <w:lang w:val="fr-FR"/>
        </w:rPr>
        <w:t xml:space="preserve">Révision et adoption des lois visant à renforcer le cadre juridique </w:t>
      </w:r>
      <w:r w:rsidR="00B3745E">
        <w:rPr>
          <w:lang w:val="fr-FR"/>
        </w:rPr>
        <w:br/>
      </w:r>
      <w:r w:rsidR="00B3745E">
        <w:rPr>
          <w:lang w:val="fr-FR"/>
        </w:rPr>
        <w:tab/>
      </w:r>
      <w:r w:rsidR="000B0D68" w:rsidRPr="0067085F">
        <w:rPr>
          <w:lang w:val="fr-FR"/>
        </w:rPr>
        <w:t>de lutte contre les violences</w:t>
      </w:r>
      <w:r w:rsidR="000B0D68" w:rsidRPr="0067085F">
        <w:rPr>
          <w:webHidden/>
          <w:lang w:val="fr-FR"/>
        </w:rPr>
        <w:tab/>
      </w:r>
      <w:r w:rsidR="00B3745E">
        <w:rPr>
          <w:webHidden/>
          <w:lang w:val="fr-FR"/>
        </w:rPr>
        <w:tab/>
      </w:r>
      <w:r w:rsidR="00B72B49">
        <w:rPr>
          <w:webHidden/>
          <w:lang w:val="fr-FR"/>
        </w:rPr>
        <w:t>1</w:t>
      </w:r>
      <w:r w:rsidR="00CA2599">
        <w:rPr>
          <w:webHidden/>
          <w:lang w:val="fr-FR"/>
        </w:rPr>
        <w:t>8</w:t>
      </w:r>
    </w:p>
    <w:p w:rsidR="00DC3055" w:rsidRDefault="00DC3055" w:rsidP="00AE634D">
      <w:pPr>
        <w:tabs>
          <w:tab w:val="left" w:pos="1134"/>
          <w:tab w:val="left" w:pos="1559"/>
          <w:tab w:val="left" w:pos="1984"/>
          <w:tab w:val="left" w:leader="dot" w:pos="8929"/>
          <w:tab w:val="right" w:pos="9638"/>
        </w:tabs>
        <w:spacing w:after="120"/>
        <w:ind w:left="1134" w:hanging="708"/>
        <w:rPr>
          <w:rStyle w:val="Lienhypertexte"/>
          <w:lang w:val="fr-FR"/>
        </w:rPr>
      </w:pPr>
      <w:r>
        <w:rPr>
          <w:rStyle w:val="Lienhypertexte"/>
          <w:lang w:val="fr-FR"/>
        </w:rPr>
        <w:tab/>
      </w:r>
      <w:r w:rsidR="000D3B97" w:rsidRPr="0067085F">
        <w:rPr>
          <w:lang w:val="fr-FR"/>
        </w:rPr>
        <w:t>B</w:t>
      </w:r>
      <w:r w:rsidR="00CA2599">
        <w:rPr>
          <w:lang w:val="fr-FR"/>
        </w:rPr>
        <w:t>.</w:t>
      </w:r>
      <w:r w:rsidR="00CC162E" w:rsidRPr="0067085F">
        <w:rPr>
          <w:lang w:val="fr-FR"/>
        </w:rPr>
        <w:tab/>
      </w:r>
      <w:r w:rsidR="000B0D68" w:rsidRPr="0067085F">
        <w:rPr>
          <w:lang w:val="fr-FR"/>
        </w:rPr>
        <w:t>Les campagnes de sensibilisation en vue de combattre toutes les formes de violences</w:t>
      </w:r>
      <w:r w:rsidR="000B0D68" w:rsidRPr="0067085F">
        <w:rPr>
          <w:webHidden/>
          <w:lang w:val="fr-FR"/>
        </w:rPr>
        <w:tab/>
      </w:r>
      <w:r w:rsidR="00DE1A8C" w:rsidRPr="0067085F">
        <w:rPr>
          <w:webHidden/>
          <w:lang w:val="fr-FR"/>
        </w:rPr>
        <w:tab/>
      </w:r>
      <w:r w:rsidR="002D2588">
        <w:rPr>
          <w:webHidden/>
          <w:lang w:val="fr-FR"/>
        </w:rPr>
        <w:t>1</w:t>
      </w:r>
      <w:r w:rsidR="003C3DA4">
        <w:rPr>
          <w:webHidden/>
          <w:lang w:val="fr-FR"/>
        </w:rPr>
        <w:t>9</w:t>
      </w:r>
    </w:p>
    <w:p w:rsidR="00DC3055" w:rsidRDefault="00DC3055" w:rsidP="00AE634D">
      <w:pPr>
        <w:tabs>
          <w:tab w:val="left" w:pos="1134"/>
          <w:tab w:val="left" w:pos="1559"/>
          <w:tab w:val="left" w:pos="1984"/>
          <w:tab w:val="left" w:leader="dot" w:pos="8929"/>
          <w:tab w:val="right" w:pos="9638"/>
        </w:tabs>
        <w:spacing w:after="120"/>
        <w:ind w:left="1134" w:hanging="708"/>
        <w:rPr>
          <w:rStyle w:val="Lienhypertexte"/>
          <w:lang w:val="fr-FR"/>
        </w:rPr>
      </w:pPr>
      <w:r>
        <w:rPr>
          <w:rStyle w:val="Lienhypertexte"/>
          <w:lang w:val="fr-FR"/>
        </w:rPr>
        <w:tab/>
      </w:r>
      <w:r w:rsidR="000D3B97" w:rsidRPr="0067085F">
        <w:rPr>
          <w:lang w:val="fr-FR"/>
        </w:rPr>
        <w:t>C</w:t>
      </w:r>
      <w:r w:rsidR="00CA2599">
        <w:rPr>
          <w:lang w:val="fr-FR"/>
        </w:rPr>
        <w:t>.</w:t>
      </w:r>
      <w:r w:rsidR="00CC162E" w:rsidRPr="0067085F">
        <w:rPr>
          <w:lang w:val="fr-FR"/>
        </w:rPr>
        <w:tab/>
      </w:r>
      <w:r w:rsidR="000B0D68" w:rsidRPr="0067085F">
        <w:rPr>
          <w:lang w:val="fr-FR"/>
        </w:rPr>
        <w:t xml:space="preserve">Renseignements sur l’ampleur des différentes formes de violences contre les femmes </w:t>
      </w:r>
      <w:r w:rsidR="003C3DA4">
        <w:rPr>
          <w:lang w:val="fr-FR"/>
        </w:rPr>
        <w:br/>
      </w:r>
      <w:r w:rsidR="003C3DA4">
        <w:rPr>
          <w:lang w:val="fr-FR"/>
        </w:rPr>
        <w:tab/>
      </w:r>
      <w:r w:rsidR="000B0D68" w:rsidRPr="0067085F">
        <w:rPr>
          <w:lang w:val="fr-FR"/>
        </w:rPr>
        <w:t xml:space="preserve">et les filles, ainsi que les statistiques sur les poursuites engagées </w:t>
      </w:r>
      <w:r w:rsidR="003C3DA4">
        <w:rPr>
          <w:lang w:val="fr-FR"/>
        </w:rPr>
        <w:br/>
      </w:r>
      <w:r w:rsidR="003C3DA4">
        <w:rPr>
          <w:lang w:val="fr-FR"/>
        </w:rPr>
        <w:tab/>
      </w:r>
      <w:r w:rsidR="000B0D68" w:rsidRPr="0067085F">
        <w:rPr>
          <w:lang w:val="fr-FR"/>
        </w:rPr>
        <w:t>et les condamnations prononcées</w:t>
      </w:r>
      <w:r w:rsidR="000B0D68" w:rsidRPr="0067085F">
        <w:rPr>
          <w:webHidden/>
          <w:lang w:val="fr-FR"/>
        </w:rPr>
        <w:tab/>
      </w:r>
      <w:r w:rsidR="00DE1A8C" w:rsidRPr="0067085F">
        <w:rPr>
          <w:webHidden/>
          <w:lang w:val="fr-FR"/>
        </w:rPr>
        <w:tab/>
      </w:r>
      <w:r w:rsidR="001E4532">
        <w:rPr>
          <w:webHidden/>
          <w:lang w:val="fr-FR"/>
        </w:rPr>
        <w:t>19</w:t>
      </w:r>
    </w:p>
    <w:p w:rsidR="00DC3055" w:rsidRDefault="00C12F58" w:rsidP="005D33E2">
      <w:pPr>
        <w:tabs>
          <w:tab w:val="left" w:pos="851"/>
          <w:tab w:val="left" w:pos="1418"/>
          <w:tab w:val="left" w:pos="1559"/>
          <w:tab w:val="left" w:pos="1984"/>
          <w:tab w:val="left" w:leader="dot" w:pos="8929"/>
          <w:tab w:val="right" w:pos="9638"/>
        </w:tabs>
        <w:spacing w:after="120"/>
        <w:ind w:left="1134" w:hanging="708"/>
        <w:rPr>
          <w:rStyle w:val="Lienhypertexte"/>
          <w:lang w:val="fr-FR"/>
        </w:rPr>
      </w:pPr>
      <w:r w:rsidRPr="002E4295">
        <w:rPr>
          <w:lang w:val="fr-FR"/>
        </w:rPr>
        <w:t>XVII</w:t>
      </w:r>
      <w:r w:rsidR="005D33E2">
        <w:rPr>
          <w:lang w:val="fr-FR"/>
        </w:rPr>
        <w:t>.</w:t>
      </w:r>
      <w:r w:rsidR="00DC3055">
        <w:rPr>
          <w:lang w:val="fr-FR"/>
        </w:rPr>
        <w:tab/>
      </w:r>
      <w:r w:rsidR="000B0D68" w:rsidRPr="0067085F">
        <w:rPr>
          <w:lang w:val="fr-FR"/>
        </w:rPr>
        <w:t>R</w:t>
      </w:r>
      <w:r w:rsidR="00F211B1" w:rsidRPr="0067085F">
        <w:rPr>
          <w:lang w:val="fr-FR"/>
        </w:rPr>
        <w:t>ec.</w:t>
      </w:r>
      <w:r w:rsidR="00111D41">
        <w:rPr>
          <w:lang w:val="fr-FR"/>
        </w:rPr>
        <w:t> </w:t>
      </w:r>
      <w:r w:rsidR="000B0D68" w:rsidRPr="0067085F">
        <w:rPr>
          <w:lang w:val="fr-FR"/>
        </w:rPr>
        <w:t>22</w:t>
      </w:r>
      <w:r w:rsidR="00F211B1" w:rsidRPr="0067085F">
        <w:rPr>
          <w:lang w:val="fr-FR"/>
        </w:rPr>
        <w:t>.</w:t>
      </w:r>
      <w:r w:rsidR="00111D41">
        <w:rPr>
          <w:lang w:val="fr-FR"/>
        </w:rPr>
        <w:t> </w:t>
      </w:r>
      <w:r w:rsidR="000B0D68" w:rsidRPr="0067085F">
        <w:rPr>
          <w:lang w:val="fr-FR"/>
        </w:rPr>
        <w:t>Intensification de la lutte contre la pauvreté</w:t>
      </w:r>
      <w:r w:rsidR="000B0D68" w:rsidRPr="0067085F">
        <w:rPr>
          <w:webHidden/>
          <w:lang w:val="fr-FR"/>
        </w:rPr>
        <w:tab/>
      </w:r>
      <w:r w:rsidR="00DE1A8C" w:rsidRPr="0067085F">
        <w:rPr>
          <w:webHidden/>
          <w:lang w:val="fr-FR"/>
        </w:rPr>
        <w:tab/>
      </w:r>
      <w:r w:rsidR="00EC5347">
        <w:rPr>
          <w:noProof/>
          <w:webHidden/>
          <w:lang w:val="fr-FR"/>
        </w:rPr>
        <w:t>2</w:t>
      </w:r>
      <w:r w:rsidR="001E4532">
        <w:rPr>
          <w:webHidden/>
          <w:lang w:val="fr-FR"/>
        </w:rPr>
        <w:t>0</w:t>
      </w:r>
    </w:p>
    <w:p w:rsidR="00CC162E" w:rsidRPr="0067085F" w:rsidRDefault="00DC3055" w:rsidP="00AE634D">
      <w:pPr>
        <w:tabs>
          <w:tab w:val="left" w:pos="1134"/>
          <w:tab w:val="left" w:pos="1559"/>
          <w:tab w:val="left" w:pos="1984"/>
          <w:tab w:val="left" w:leader="dot" w:pos="8929"/>
          <w:tab w:val="right" w:pos="9638"/>
        </w:tabs>
        <w:spacing w:after="120"/>
        <w:ind w:left="1134" w:hanging="708"/>
      </w:pPr>
      <w:r>
        <w:rPr>
          <w:rStyle w:val="Lienhypertexte"/>
          <w:lang w:val="fr-FR"/>
        </w:rPr>
        <w:tab/>
      </w:r>
      <w:r w:rsidR="00F878AB" w:rsidRPr="0067085F">
        <w:rPr>
          <w:lang w:val="fr-FR"/>
        </w:rPr>
        <w:t>A</w:t>
      </w:r>
      <w:r w:rsidR="00CA2599">
        <w:rPr>
          <w:lang w:val="fr-FR"/>
        </w:rPr>
        <w:t>.</w:t>
      </w:r>
      <w:r w:rsidR="00CC162E" w:rsidRPr="0067085F">
        <w:rPr>
          <w:lang w:val="fr-FR"/>
        </w:rPr>
        <w:tab/>
      </w:r>
      <w:r w:rsidR="000B0D68" w:rsidRPr="0067085F">
        <w:rPr>
          <w:lang w:val="fr-FR"/>
        </w:rPr>
        <w:t>Lutte contre la pauvreté, particulièrement dans les zones défavorisées et marginalisées</w:t>
      </w:r>
      <w:r w:rsidR="00DE1A8C" w:rsidRPr="0067085F">
        <w:rPr>
          <w:lang w:val="fr-FR"/>
        </w:rPr>
        <w:tab/>
      </w:r>
      <w:r w:rsidR="000B0D68" w:rsidRPr="0067085F">
        <w:rPr>
          <w:webHidden/>
          <w:lang w:val="fr-FR"/>
        </w:rPr>
        <w:tab/>
      </w:r>
      <w:r w:rsidR="00EC5347">
        <w:rPr>
          <w:noProof/>
          <w:webHidden/>
          <w:lang w:val="fr-FR"/>
        </w:rPr>
        <w:t>2</w:t>
      </w:r>
      <w:r w:rsidR="001E4532">
        <w:rPr>
          <w:webHidden/>
          <w:lang w:val="fr-FR"/>
        </w:rPr>
        <w:t>0</w:t>
      </w:r>
    </w:p>
    <w:p w:rsidR="00CC162E" w:rsidRDefault="00CC162E" w:rsidP="00AE634D">
      <w:pPr>
        <w:tabs>
          <w:tab w:val="left" w:pos="1134"/>
          <w:tab w:val="left" w:pos="1559"/>
          <w:tab w:val="left" w:pos="1984"/>
          <w:tab w:val="left" w:leader="dot" w:pos="8929"/>
          <w:tab w:val="right" w:pos="9638"/>
        </w:tabs>
        <w:spacing w:after="120"/>
        <w:ind w:left="1134" w:hanging="708"/>
        <w:rPr>
          <w:rStyle w:val="Lienhypertexte"/>
          <w:lang w:val="fr-FR"/>
        </w:rPr>
      </w:pPr>
      <w:r>
        <w:rPr>
          <w:rStyle w:val="Lienhypertexte"/>
        </w:rPr>
        <w:tab/>
      </w:r>
      <w:r w:rsidR="006B0386" w:rsidRPr="0067085F">
        <w:rPr>
          <w:lang w:val="fr-FR"/>
        </w:rPr>
        <w:t>B</w:t>
      </w:r>
      <w:r w:rsidR="00CA2599">
        <w:rPr>
          <w:lang w:val="fr-FR"/>
        </w:rPr>
        <w:t>.</w:t>
      </w:r>
      <w:r w:rsidRPr="0067085F">
        <w:rPr>
          <w:lang w:val="fr-FR"/>
        </w:rPr>
        <w:tab/>
      </w:r>
      <w:r w:rsidR="000B0D68" w:rsidRPr="0067085F">
        <w:rPr>
          <w:lang w:val="fr-FR"/>
        </w:rPr>
        <w:t>Protection des femmes et des enfants et des autres groupes défavorisés</w:t>
      </w:r>
      <w:r w:rsidR="000B0D68" w:rsidRPr="0067085F">
        <w:rPr>
          <w:webHidden/>
          <w:lang w:val="fr-FR"/>
        </w:rPr>
        <w:tab/>
      </w:r>
      <w:r w:rsidR="00DE1A8C" w:rsidRPr="0067085F">
        <w:rPr>
          <w:webHidden/>
          <w:lang w:val="fr-FR"/>
        </w:rPr>
        <w:tab/>
      </w:r>
      <w:r w:rsidR="00EC5347">
        <w:rPr>
          <w:noProof/>
          <w:webHidden/>
          <w:lang w:val="fr-FR"/>
        </w:rPr>
        <w:t>2</w:t>
      </w:r>
      <w:r w:rsidR="001E4532">
        <w:rPr>
          <w:webHidden/>
          <w:lang w:val="fr-FR"/>
        </w:rPr>
        <w:t>1</w:t>
      </w:r>
    </w:p>
    <w:p w:rsidR="00CC162E" w:rsidRDefault="00CC162E" w:rsidP="005D33E2">
      <w:pPr>
        <w:tabs>
          <w:tab w:val="left" w:pos="851"/>
          <w:tab w:val="left" w:pos="1418"/>
          <w:tab w:val="left" w:pos="1559"/>
          <w:tab w:val="left" w:pos="1984"/>
          <w:tab w:val="left" w:leader="dot" w:pos="8929"/>
          <w:tab w:val="right" w:pos="9638"/>
        </w:tabs>
        <w:spacing w:after="120"/>
        <w:ind w:left="1134" w:hanging="708"/>
        <w:rPr>
          <w:rStyle w:val="Lienhypertexte"/>
          <w:lang w:val="fr-FR"/>
        </w:rPr>
      </w:pPr>
      <w:r>
        <w:rPr>
          <w:rStyle w:val="Lienhypertexte"/>
          <w:lang w:val="fr-FR"/>
        </w:rPr>
        <w:t>XVIII.</w:t>
      </w:r>
      <w:r>
        <w:rPr>
          <w:rStyle w:val="Lienhypertexte"/>
          <w:lang w:val="fr-FR"/>
        </w:rPr>
        <w:tab/>
      </w:r>
      <w:r w:rsidR="000B0D68" w:rsidRPr="0067085F">
        <w:rPr>
          <w:lang w:val="fr-FR"/>
        </w:rPr>
        <w:t>R</w:t>
      </w:r>
      <w:r w:rsidR="00F878AB" w:rsidRPr="0067085F">
        <w:rPr>
          <w:lang w:val="fr-FR"/>
        </w:rPr>
        <w:t>ec.</w:t>
      </w:r>
      <w:r w:rsidR="00111D41">
        <w:rPr>
          <w:lang w:val="fr-FR"/>
        </w:rPr>
        <w:t> </w:t>
      </w:r>
      <w:r w:rsidR="000B0D68" w:rsidRPr="0067085F">
        <w:rPr>
          <w:lang w:val="fr-FR"/>
        </w:rPr>
        <w:t>23</w:t>
      </w:r>
      <w:r w:rsidR="00F878AB" w:rsidRPr="0067085F">
        <w:rPr>
          <w:lang w:val="fr-FR"/>
        </w:rPr>
        <w:t>.</w:t>
      </w:r>
      <w:r w:rsidR="00111D41">
        <w:rPr>
          <w:lang w:val="fr-FR"/>
        </w:rPr>
        <w:t> </w:t>
      </w:r>
      <w:r w:rsidR="000B0D68" w:rsidRPr="0067085F">
        <w:rPr>
          <w:lang w:val="fr-FR"/>
        </w:rPr>
        <w:t>Une stratégie nati</w:t>
      </w:r>
      <w:r w:rsidR="00CA2599">
        <w:rPr>
          <w:lang w:val="fr-FR"/>
        </w:rPr>
        <w:t xml:space="preserve">onale et un plan d’action pour </w:t>
      </w:r>
      <w:r w:rsidR="000B0D68" w:rsidRPr="0067085F">
        <w:rPr>
          <w:lang w:val="fr-FR"/>
        </w:rPr>
        <w:t xml:space="preserve">le droit à un logement décent </w:t>
      </w:r>
      <w:r w:rsidR="006A57AD">
        <w:rPr>
          <w:lang w:val="fr-FR"/>
        </w:rPr>
        <w:br/>
      </w:r>
      <w:r w:rsidR="000B0D68" w:rsidRPr="0067085F">
        <w:rPr>
          <w:lang w:val="fr-FR"/>
        </w:rPr>
        <w:t>et répartition des logements sociaux</w:t>
      </w:r>
      <w:r w:rsidR="000B0D68" w:rsidRPr="0067085F">
        <w:rPr>
          <w:webHidden/>
          <w:lang w:val="fr-FR"/>
        </w:rPr>
        <w:tab/>
      </w:r>
      <w:r w:rsidR="00DE1A8C" w:rsidRPr="0067085F">
        <w:rPr>
          <w:webHidden/>
          <w:lang w:val="fr-FR"/>
        </w:rPr>
        <w:tab/>
      </w:r>
      <w:r w:rsidR="00EC5347">
        <w:rPr>
          <w:noProof/>
          <w:webHidden/>
          <w:lang w:val="fr-FR"/>
        </w:rPr>
        <w:t>2</w:t>
      </w:r>
      <w:r w:rsidR="001E4532">
        <w:rPr>
          <w:webHidden/>
          <w:lang w:val="fr-FR"/>
        </w:rPr>
        <w:t>2</w:t>
      </w:r>
    </w:p>
    <w:p w:rsidR="00CC162E" w:rsidRDefault="00CC162E" w:rsidP="00AE634D">
      <w:pPr>
        <w:tabs>
          <w:tab w:val="left" w:pos="1134"/>
          <w:tab w:val="left" w:pos="1559"/>
          <w:tab w:val="left" w:pos="1984"/>
          <w:tab w:val="left" w:leader="dot" w:pos="8929"/>
          <w:tab w:val="right" w:pos="9638"/>
        </w:tabs>
        <w:spacing w:after="120"/>
        <w:ind w:left="1134" w:hanging="708"/>
        <w:rPr>
          <w:rStyle w:val="Lienhypertexte"/>
          <w:lang w:val="fr-FR"/>
        </w:rPr>
      </w:pPr>
      <w:r>
        <w:rPr>
          <w:rStyle w:val="Lienhypertexte"/>
          <w:lang w:val="fr-FR"/>
        </w:rPr>
        <w:tab/>
      </w:r>
      <w:r w:rsidR="005B21DD">
        <w:rPr>
          <w:lang w:val="fr-FR"/>
        </w:rPr>
        <w:t>A</w:t>
      </w:r>
      <w:r w:rsidR="00CA2599">
        <w:rPr>
          <w:lang w:val="fr-FR"/>
        </w:rPr>
        <w:t>.</w:t>
      </w:r>
      <w:r w:rsidR="005B21DD">
        <w:rPr>
          <w:lang w:val="fr-FR"/>
        </w:rPr>
        <w:tab/>
      </w:r>
      <w:r w:rsidR="000B0D68" w:rsidRPr="0067085F">
        <w:rPr>
          <w:lang w:val="fr-FR"/>
        </w:rPr>
        <w:t>Sur la stratégie nationale de logement</w:t>
      </w:r>
      <w:r w:rsidR="000B0D68" w:rsidRPr="0067085F">
        <w:rPr>
          <w:webHidden/>
          <w:lang w:val="fr-FR"/>
        </w:rPr>
        <w:tab/>
      </w:r>
      <w:r w:rsidR="00DE1A8C" w:rsidRPr="0067085F">
        <w:rPr>
          <w:webHidden/>
          <w:lang w:val="fr-FR"/>
        </w:rPr>
        <w:tab/>
      </w:r>
      <w:r w:rsidR="00EC5347">
        <w:rPr>
          <w:noProof/>
          <w:webHidden/>
          <w:lang w:val="fr-FR"/>
        </w:rPr>
        <w:t>2</w:t>
      </w:r>
      <w:r w:rsidR="001E4532">
        <w:rPr>
          <w:webHidden/>
          <w:lang w:val="fr-FR"/>
        </w:rPr>
        <w:t>2</w:t>
      </w:r>
    </w:p>
    <w:p w:rsidR="00CC162E" w:rsidRDefault="00CC162E" w:rsidP="00AE634D">
      <w:pPr>
        <w:tabs>
          <w:tab w:val="left" w:pos="1134"/>
          <w:tab w:val="left" w:pos="1559"/>
          <w:tab w:val="left" w:pos="1984"/>
          <w:tab w:val="left" w:leader="dot" w:pos="8929"/>
          <w:tab w:val="right" w:pos="9638"/>
        </w:tabs>
        <w:spacing w:after="120"/>
        <w:ind w:left="1134" w:hanging="708"/>
        <w:rPr>
          <w:rStyle w:val="Lienhypertexte"/>
          <w:lang w:val="fr-FR"/>
        </w:rPr>
      </w:pPr>
      <w:r>
        <w:rPr>
          <w:rStyle w:val="Lienhypertexte"/>
          <w:lang w:val="fr-FR"/>
        </w:rPr>
        <w:tab/>
      </w:r>
      <w:r w:rsidR="005B21DD">
        <w:rPr>
          <w:lang w:val="fr-FR"/>
        </w:rPr>
        <w:t>B</w:t>
      </w:r>
      <w:r w:rsidR="00CA2599">
        <w:rPr>
          <w:lang w:val="fr-FR"/>
        </w:rPr>
        <w:t>.</w:t>
      </w:r>
      <w:r w:rsidR="005B21DD">
        <w:rPr>
          <w:lang w:val="fr-FR"/>
        </w:rPr>
        <w:tab/>
      </w:r>
      <w:r w:rsidR="000B0D68" w:rsidRPr="0067085F">
        <w:rPr>
          <w:lang w:val="fr-FR"/>
        </w:rPr>
        <w:t>Sur les logements sociaux en faveur des habitants des taudis</w:t>
      </w:r>
      <w:r w:rsidR="000B0D68" w:rsidRPr="0067085F">
        <w:rPr>
          <w:webHidden/>
          <w:lang w:val="fr-FR"/>
        </w:rPr>
        <w:tab/>
      </w:r>
      <w:r w:rsidR="00DE1A8C" w:rsidRPr="0067085F">
        <w:rPr>
          <w:webHidden/>
          <w:lang w:val="fr-FR"/>
        </w:rPr>
        <w:tab/>
      </w:r>
      <w:r w:rsidR="001E4532">
        <w:rPr>
          <w:webHidden/>
          <w:lang w:val="fr-FR"/>
        </w:rPr>
        <w:t>2</w:t>
      </w:r>
      <w:r w:rsidR="00A6291C">
        <w:rPr>
          <w:webHidden/>
          <w:lang w:val="fr-FR"/>
        </w:rPr>
        <w:t>3</w:t>
      </w:r>
    </w:p>
    <w:p w:rsidR="00CC162E" w:rsidRDefault="005D33E2" w:rsidP="005D33E2">
      <w:pPr>
        <w:tabs>
          <w:tab w:val="left" w:pos="1276"/>
          <w:tab w:val="left" w:pos="1418"/>
          <w:tab w:val="left" w:pos="1559"/>
          <w:tab w:val="left" w:pos="1984"/>
          <w:tab w:val="left" w:leader="dot" w:pos="8929"/>
          <w:tab w:val="right" w:pos="9638"/>
        </w:tabs>
        <w:spacing w:after="120"/>
        <w:ind w:left="1134" w:hanging="567"/>
        <w:rPr>
          <w:rStyle w:val="Lienhypertexte"/>
          <w:lang w:val="fr-FR"/>
        </w:rPr>
      </w:pPr>
      <w:r>
        <w:rPr>
          <w:lang w:val="fr-FR"/>
        </w:rPr>
        <w:t>XIX.</w:t>
      </w:r>
      <w:r>
        <w:rPr>
          <w:lang w:val="fr-FR"/>
        </w:rPr>
        <w:tab/>
      </w:r>
      <w:r w:rsidR="000B0D68" w:rsidRPr="0067085F">
        <w:rPr>
          <w:lang w:val="fr-FR"/>
        </w:rPr>
        <w:t>R</w:t>
      </w:r>
      <w:r w:rsidR="00F878AB" w:rsidRPr="0067085F">
        <w:rPr>
          <w:lang w:val="fr-FR"/>
        </w:rPr>
        <w:t>ec.</w:t>
      </w:r>
      <w:r w:rsidR="00111D41">
        <w:rPr>
          <w:lang w:val="fr-FR"/>
        </w:rPr>
        <w:t> </w:t>
      </w:r>
      <w:r w:rsidR="000B0D68" w:rsidRPr="0067085F">
        <w:rPr>
          <w:lang w:val="fr-FR"/>
        </w:rPr>
        <w:t>24</w:t>
      </w:r>
      <w:r w:rsidR="00F878AB" w:rsidRPr="0067085F">
        <w:rPr>
          <w:lang w:val="fr-FR"/>
        </w:rPr>
        <w:t>.</w:t>
      </w:r>
      <w:r w:rsidR="00111D41">
        <w:rPr>
          <w:lang w:val="fr-FR"/>
        </w:rPr>
        <w:t> </w:t>
      </w:r>
      <w:r w:rsidR="000B0D68" w:rsidRPr="0067085F">
        <w:rPr>
          <w:lang w:val="fr-FR"/>
        </w:rPr>
        <w:t>Droit à indemnisation ou à un relogement approprié en cas d’expulsion</w:t>
      </w:r>
      <w:r w:rsidR="000B0D68" w:rsidRPr="0067085F">
        <w:rPr>
          <w:webHidden/>
          <w:lang w:val="fr-FR"/>
        </w:rPr>
        <w:tab/>
      </w:r>
      <w:r w:rsidR="00DE1A8C" w:rsidRPr="0067085F">
        <w:rPr>
          <w:webHidden/>
          <w:lang w:val="fr-FR"/>
        </w:rPr>
        <w:tab/>
      </w:r>
      <w:r w:rsidR="00EC5347">
        <w:rPr>
          <w:noProof/>
          <w:webHidden/>
          <w:lang w:val="fr-FR"/>
        </w:rPr>
        <w:t>2</w:t>
      </w:r>
      <w:r w:rsidR="00B83235">
        <w:rPr>
          <w:webHidden/>
          <w:lang w:val="fr-FR"/>
        </w:rPr>
        <w:t>3</w:t>
      </w:r>
    </w:p>
    <w:p w:rsidR="00CC162E" w:rsidRDefault="00CC162E" w:rsidP="00AE634D">
      <w:pPr>
        <w:tabs>
          <w:tab w:val="left" w:pos="1134"/>
          <w:tab w:val="left" w:pos="1559"/>
          <w:tab w:val="left" w:pos="1984"/>
          <w:tab w:val="left" w:leader="dot" w:pos="8929"/>
          <w:tab w:val="right" w:pos="9638"/>
        </w:tabs>
        <w:spacing w:after="120"/>
        <w:ind w:left="1134" w:hanging="708"/>
        <w:rPr>
          <w:rStyle w:val="Lienhypertexte"/>
          <w:lang w:val="fr-FR"/>
        </w:rPr>
      </w:pPr>
      <w:r>
        <w:rPr>
          <w:rStyle w:val="Lienhypertexte"/>
          <w:lang w:val="fr-FR"/>
        </w:rPr>
        <w:tab/>
      </w:r>
      <w:r w:rsidRPr="0067085F">
        <w:rPr>
          <w:lang w:val="fr-FR"/>
        </w:rPr>
        <w:t>A</w:t>
      </w:r>
      <w:r w:rsidR="00CA2599">
        <w:rPr>
          <w:lang w:val="fr-FR"/>
        </w:rPr>
        <w:t>.</w:t>
      </w:r>
      <w:r w:rsidRPr="0067085F">
        <w:rPr>
          <w:lang w:val="fr-FR"/>
        </w:rPr>
        <w:tab/>
      </w:r>
      <w:r w:rsidR="000B0D68" w:rsidRPr="0067085F">
        <w:rPr>
          <w:lang w:val="fr-FR"/>
        </w:rPr>
        <w:t>Le cadre juridique</w:t>
      </w:r>
      <w:r w:rsidR="000B0D68" w:rsidRPr="0067085F">
        <w:rPr>
          <w:webHidden/>
          <w:lang w:val="fr-FR"/>
        </w:rPr>
        <w:tab/>
      </w:r>
      <w:r w:rsidR="00DE1A8C" w:rsidRPr="0067085F">
        <w:rPr>
          <w:webHidden/>
          <w:lang w:val="fr-FR"/>
        </w:rPr>
        <w:tab/>
      </w:r>
      <w:r w:rsidR="00EC5347">
        <w:rPr>
          <w:noProof/>
          <w:webHidden/>
          <w:lang w:val="fr-FR"/>
        </w:rPr>
        <w:t>2</w:t>
      </w:r>
      <w:r w:rsidR="00B83235">
        <w:rPr>
          <w:webHidden/>
          <w:lang w:val="fr-FR"/>
        </w:rPr>
        <w:t>3</w:t>
      </w:r>
    </w:p>
    <w:p w:rsidR="00CC162E" w:rsidRDefault="00CC162E" w:rsidP="00AE634D">
      <w:pPr>
        <w:tabs>
          <w:tab w:val="left" w:pos="1134"/>
          <w:tab w:val="left" w:pos="1559"/>
          <w:tab w:val="left" w:pos="1984"/>
          <w:tab w:val="left" w:leader="dot" w:pos="8929"/>
          <w:tab w:val="right" w:pos="9638"/>
        </w:tabs>
        <w:spacing w:after="120"/>
        <w:ind w:left="1134" w:hanging="708"/>
        <w:rPr>
          <w:rStyle w:val="Lienhypertexte"/>
          <w:lang w:val="fr-FR"/>
        </w:rPr>
      </w:pPr>
      <w:r>
        <w:rPr>
          <w:rStyle w:val="Lienhypertexte"/>
          <w:lang w:val="fr-FR"/>
        </w:rPr>
        <w:tab/>
      </w:r>
      <w:r w:rsidRPr="0067085F">
        <w:rPr>
          <w:lang w:val="fr-FR"/>
        </w:rPr>
        <w:t>B</w:t>
      </w:r>
      <w:r w:rsidR="00CA2599">
        <w:rPr>
          <w:lang w:val="fr-FR"/>
        </w:rPr>
        <w:t>.</w:t>
      </w:r>
      <w:r w:rsidRPr="0067085F">
        <w:rPr>
          <w:lang w:val="fr-FR"/>
        </w:rPr>
        <w:tab/>
      </w:r>
      <w:r w:rsidR="000B0D68" w:rsidRPr="0067085F">
        <w:rPr>
          <w:lang w:val="fr-FR"/>
        </w:rPr>
        <w:t xml:space="preserve">Sur les expropriations pour cause d’utilité publique et les voies de recours offertes </w:t>
      </w:r>
      <w:r w:rsidR="006A57AD">
        <w:rPr>
          <w:lang w:val="fr-FR"/>
        </w:rPr>
        <w:br/>
      </w:r>
      <w:r w:rsidR="00B83235">
        <w:rPr>
          <w:lang w:val="fr-FR"/>
        </w:rPr>
        <w:tab/>
      </w:r>
      <w:r w:rsidR="000B0D68" w:rsidRPr="0067085F">
        <w:rPr>
          <w:lang w:val="fr-FR"/>
        </w:rPr>
        <w:t>aux populations</w:t>
      </w:r>
      <w:r w:rsidR="0067085F" w:rsidRPr="0067085F">
        <w:rPr>
          <w:lang w:val="fr-FR"/>
        </w:rPr>
        <w:tab/>
      </w:r>
      <w:r w:rsidR="0067085F" w:rsidRPr="0067085F">
        <w:rPr>
          <w:lang w:val="fr-FR"/>
        </w:rPr>
        <w:tab/>
      </w:r>
      <w:r w:rsidR="00EC5347">
        <w:rPr>
          <w:noProof/>
          <w:webHidden/>
          <w:lang w:val="fr-FR"/>
        </w:rPr>
        <w:t>2</w:t>
      </w:r>
      <w:r w:rsidR="00B83235">
        <w:rPr>
          <w:webHidden/>
          <w:lang w:val="fr-FR"/>
        </w:rPr>
        <w:t>3</w:t>
      </w:r>
    </w:p>
    <w:p w:rsidR="00CC162E" w:rsidRDefault="00F878AB" w:rsidP="00EC61A0">
      <w:pPr>
        <w:tabs>
          <w:tab w:val="left" w:pos="1134"/>
          <w:tab w:val="left" w:pos="1418"/>
          <w:tab w:val="left" w:pos="1559"/>
          <w:tab w:val="left" w:pos="1984"/>
          <w:tab w:val="left" w:leader="dot" w:pos="8929"/>
          <w:tab w:val="right" w:pos="9638"/>
        </w:tabs>
        <w:spacing w:after="120"/>
        <w:ind w:left="1134" w:hanging="567"/>
        <w:rPr>
          <w:rStyle w:val="Lienhypertexte"/>
          <w:lang w:val="fr-FR"/>
        </w:rPr>
      </w:pPr>
      <w:r w:rsidRPr="002E4295">
        <w:rPr>
          <w:lang w:val="fr-FR"/>
        </w:rPr>
        <w:t>XX.</w:t>
      </w:r>
      <w:r w:rsidR="00CC162E">
        <w:rPr>
          <w:lang w:val="fr-FR"/>
        </w:rPr>
        <w:tab/>
      </w:r>
      <w:r w:rsidR="000B0D68" w:rsidRPr="0067085F">
        <w:rPr>
          <w:lang w:val="fr-FR"/>
        </w:rPr>
        <w:t>R</w:t>
      </w:r>
      <w:r w:rsidRPr="0067085F">
        <w:rPr>
          <w:lang w:val="fr-FR"/>
        </w:rPr>
        <w:t>ec.</w:t>
      </w:r>
      <w:r w:rsidR="00111D41">
        <w:rPr>
          <w:lang w:val="fr-FR"/>
        </w:rPr>
        <w:t> </w:t>
      </w:r>
      <w:r w:rsidR="000B0D68" w:rsidRPr="0067085F">
        <w:rPr>
          <w:lang w:val="fr-FR"/>
        </w:rPr>
        <w:t>25</w:t>
      </w:r>
      <w:r w:rsidRPr="0067085F">
        <w:rPr>
          <w:lang w:val="fr-FR"/>
        </w:rPr>
        <w:t>.</w:t>
      </w:r>
      <w:r w:rsidR="00111D41">
        <w:rPr>
          <w:lang w:val="fr-FR"/>
        </w:rPr>
        <w:t> </w:t>
      </w:r>
      <w:r w:rsidR="000B0D68" w:rsidRPr="0067085F">
        <w:rPr>
          <w:lang w:val="fr-FR"/>
        </w:rPr>
        <w:t xml:space="preserve">Refonte du régime foncier et droit aux terres ancestrales et communautaires </w:t>
      </w:r>
      <w:r w:rsidR="006A57AD">
        <w:rPr>
          <w:lang w:val="fr-FR"/>
        </w:rPr>
        <w:br/>
      </w:r>
      <w:r w:rsidR="000B0D68" w:rsidRPr="0067085F">
        <w:rPr>
          <w:lang w:val="fr-FR"/>
        </w:rPr>
        <w:t>par les populations autochtones</w:t>
      </w:r>
      <w:r w:rsidR="00DE1A8C" w:rsidRPr="0067085F">
        <w:rPr>
          <w:webHidden/>
          <w:lang w:val="fr-FR"/>
        </w:rPr>
        <w:tab/>
      </w:r>
      <w:r w:rsidR="009B6A3E" w:rsidRPr="0067085F">
        <w:rPr>
          <w:webHidden/>
          <w:lang w:val="fr-FR"/>
        </w:rPr>
        <w:tab/>
      </w:r>
      <w:r w:rsidR="00EC5347">
        <w:rPr>
          <w:noProof/>
          <w:webHidden/>
          <w:lang w:val="fr-FR"/>
        </w:rPr>
        <w:t>2</w:t>
      </w:r>
      <w:r w:rsidR="00CE09BB">
        <w:rPr>
          <w:webHidden/>
          <w:lang w:val="fr-FR"/>
        </w:rPr>
        <w:t>4</w:t>
      </w:r>
    </w:p>
    <w:p w:rsidR="00CC162E" w:rsidRDefault="005D33E2" w:rsidP="005B21DD">
      <w:pPr>
        <w:tabs>
          <w:tab w:val="left" w:pos="1134"/>
          <w:tab w:val="left" w:pos="1418"/>
          <w:tab w:val="left" w:pos="1559"/>
          <w:tab w:val="left" w:pos="1984"/>
          <w:tab w:val="left" w:leader="dot" w:pos="8929"/>
          <w:tab w:val="right" w:pos="9638"/>
        </w:tabs>
        <w:spacing w:after="120"/>
        <w:ind w:left="1134" w:hanging="567"/>
        <w:rPr>
          <w:rStyle w:val="Lienhypertexte"/>
          <w:lang w:val="fr-FR"/>
        </w:rPr>
      </w:pPr>
      <w:r>
        <w:rPr>
          <w:lang w:val="fr-FR"/>
        </w:rPr>
        <w:t>XXI.</w:t>
      </w:r>
      <w:r w:rsidR="005B21DD">
        <w:rPr>
          <w:lang w:val="fr-FR"/>
        </w:rPr>
        <w:tab/>
      </w:r>
      <w:r w:rsidR="000B0D68" w:rsidRPr="002B73FE">
        <w:rPr>
          <w:lang w:val="fr-FR"/>
        </w:rPr>
        <w:t>R</w:t>
      </w:r>
      <w:r w:rsidR="006410B6" w:rsidRPr="002B73FE">
        <w:rPr>
          <w:lang w:val="fr-FR"/>
        </w:rPr>
        <w:t>ec.</w:t>
      </w:r>
      <w:r w:rsidR="00111D41" w:rsidRPr="002B73FE">
        <w:rPr>
          <w:lang w:val="fr-FR"/>
        </w:rPr>
        <w:t> </w:t>
      </w:r>
      <w:r w:rsidR="000B0D68" w:rsidRPr="002B73FE">
        <w:rPr>
          <w:lang w:val="fr-FR"/>
        </w:rPr>
        <w:t>26</w:t>
      </w:r>
      <w:r w:rsidR="006410B6" w:rsidRPr="002B73FE">
        <w:rPr>
          <w:lang w:val="fr-FR"/>
        </w:rPr>
        <w:t>.</w:t>
      </w:r>
      <w:r w:rsidR="00111D41" w:rsidRPr="002B73FE">
        <w:rPr>
          <w:lang w:val="fr-FR"/>
        </w:rPr>
        <w:t> </w:t>
      </w:r>
      <w:r w:rsidR="000B0D68" w:rsidRPr="002B73FE">
        <w:rPr>
          <w:lang w:val="fr-FR"/>
        </w:rPr>
        <w:t>Droit à l’eau potable, particulièrement dans les zones rurales</w:t>
      </w:r>
      <w:r w:rsidR="00DE1A8C" w:rsidRPr="002B73FE">
        <w:rPr>
          <w:lang w:val="fr-FR"/>
        </w:rPr>
        <w:tab/>
      </w:r>
      <w:r w:rsidR="000B0D68" w:rsidRPr="002B73FE">
        <w:rPr>
          <w:webHidden/>
          <w:lang w:val="fr-FR"/>
        </w:rPr>
        <w:tab/>
      </w:r>
      <w:r w:rsidR="00EC5347" w:rsidRPr="002B73FE">
        <w:rPr>
          <w:noProof/>
          <w:webHidden/>
          <w:lang w:val="fr-FR"/>
        </w:rPr>
        <w:t>2</w:t>
      </w:r>
      <w:r w:rsidR="00A6291C">
        <w:rPr>
          <w:rStyle w:val="Lienhypertexte"/>
          <w:lang w:val="fr-FR"/>
        </w:rPr>
        <w:t>4</w:t>
      </w:r>
    </w:p>
    <w:p w:rsidR="00D86918" w:rsidRDefault="00CC162E" w:rsidP="00AE634D">
      <w:pPr>
        <w:tabs>
          <w:tab w:val="left" w:pos="1134"/>
          <w:tab w:val="left" w:pos="1559"/>
          <w:tab w:val="left" w:pos="1984"/>
          <w:tab w:val="left" w:leader="dot" w:pos="8929"/>
          <w:tab w:val="right" w:pos="9638"/>
        </w:tabs>
        <w:spacing w:after="120"/>
        <w:ind w:left="1134" w:hanging="708"/>
        <w:rPr>
          <w:rStyle w:val="Lienhypertexte"/>
          <w:lang w:val="fr-FR"/>
        </w:rPr>
      </w:pPr>
      <w:r>
        <w:rPr>
          <w:rStyle w:val="Lienhypertexte"/>
          <w:lang w:val="fr-FR"/>
        </w:rPr>
        <w:tab/>
      </w:r>
      <w:r w:rsidR="005B21DD">
        <w:rPr>
          <w:lang w:val="fr-FR"/>
        </w:rPr>
        <w:t>A</w:t>
      </w:r>
      <w:r w:rsidR="00CA2599">
        <w:rPr>
          <w:lang w:val="fr-FR"/>
        </w:rPr>
        <w:t>.</w:t>
      </w:r>
      <w:r w:rsidR="005B21DD">
        <w:rPr>
          <w:lang w:val="fr-FR"/>
        </w:rPr>
        <w:tab/>
      </w:r>
      <w:r w:rsidR="000B0D68" w:rsidRPr="00B86E53">
        <w:rPr>
          <w:lang w:val="fr-FR"/>
        </w:rPr>
        <w:t>Sur l’accès à l’eau potable</w:t>
      </w:r>
      <w:r w:rsidR="000B0D68" w:rsidRPr="00B86E53">
        <w:rPr>
          <w:webHidden/>
          <w:lang w:val="fr-FR"/>
        </w:rPr>
        <w:tab/>
      </w:r>
      <w:r w:rsidR="00DE1A8C" w:rsidRPr="00B86E53">
        <w:rPr>
          <w:webHidden/>
          <w:lang w:val="fr-FR"/>
        </w:rPr>
        <w:tab/>
      </w:r>
      <w:r w:rsidR="00EC5347">
        <w:rPr>
          <w:noProof/>
          <w:webHidden/>
          <w:lang w:val="fr-FR"/>
        </w:rPr>
        <w:t>2</w:t>
      </w:r>
      <w:r w:rsidR="00CE09BB">
        <w:rPr>
          <w:webHidden/>
          <w:lang w:val="fr-FR"/>
        </w:rPr>
        <w:t>4</w:t>
      </w:r>
    </w:p>
    <w:p w:rsidR="00D86918" w:rsidRDefault="00D86918" w:rsidP="00AE634D">
      <w:pPr>
        <w:tabs>
          <w:tab w:val="left" w:pos="1134"/>
          <w:tab w:val="left" w:pos="1559"/>
          <w:tab w:val="left" w:pos="1984"/>
          <w:tab w:val="left" w:leader="dot" w:pos="8929"/>
          <w:tab w:val="right" w:pos="9638"/>
        </w:tabs>
        <w:spacing w:after="120"/>
        <w:ind w:left="1134" w:hanging="708"/>
        <w:rPr>
          <w:rStyle w:val="Lienhypertexte"/>
          <w:lang w:val="fr-FR"/>
        </w:rPr>
      </w:pPr>
      <w:r>
        <w:rPr>
          <w:rStyle w:val="Lienhypertexte"/>
          <w:lang w:val="fr-FR"/>
        </w:rPr>
        <w:tab/>
      </w:r>
      <w:r w:rsidR="005B21DD">
        <w:rPr>
          <w:lang w:val="fr-FR"/>
        </w:rPr>
        <w:t>B</w:t>
      </w:r>
      <w:r w:rsidR="00CA2599">
        <w:rPr>
          <w:lang w:val="fr-FR"/>
        </w:rPr>
        <w:t>.</w:t>
      </w:r>
      <w:r w:rsidR="005B21DD">
        <w:rPr>
          <w:lang w:val="fr-FR"/>
        </w:rPr>
        <w:tab/>
      </w:r>
      <w:r w:rsidR="000B0D68" w:rsidRPr="00B86E53">
        <w:rPr>
          <w:lang w:val="fr-FR"/>
        </w:rPr>
        <w:t>Sur l’accès à l’eau dans les logements</w:t>
      </w:r>
      <w:r w:rsidR="000B0D68" w:rsidRPr="00B86E53">
        <w:rPr>
          <w:webHidden/>
          <w:lang w:val="fr-FR"/>
        </w:rPr>
        <w:tab/>
      </w:r>
      <w:r w:rsidR="00DE1A8C" w:rsidRPr="00B86E53">
        <w:rPr>
          <w:webHidden/>
          <w:lang w:val="fr-FR"/>
        </w:rPr>
        <w:tab/>
      </w:r>
      <w:r w:rsidR="00B72B49">
        <w:rPr>
          <w:webHidden/>
          <w:lang w:val="fr-FR"/>
        </w:rPr>
        <w:t>2</w:t>
      </w:r>
      <w:r w:rsidR="00CA2599">
        <w:rPr>
          <w:webHidden/>
          <w:lang w:val="fr-FR"/>
        </w:rPr>
        <w:t>5</w:t>
      </w:r>
    </w:p>
    <w:p w:rsidR="00CC162E" w:rsidRDefault="00CC162E" w:rsidP="00AE634D">
      <w:pPr>
        <w:tabs>
          <w:tab w:val="left" w:pos="1134"/>
          <w:tab w:val="left" w:pos="1559"/>
          <w:tab w:val="left" w:pos="1984"/>
          <w:tab w:val="left" w:leader="dot" w:pos="8929"/>
          <w:tab w:val="right" w:pos="9638"/>
        </w:tabs>
        <w:spacing w:after="120"/>
        <w:ind w:left="1134" w:hanging="708"/>
        <w:rPr>
          <w:rStyle w:val="Lienhypertexte"/>
          <w:lang w:val="fr-FR"/>
        </w:rPr>
      </w:pPr>
      <w:r>
        <w:rPr>
          <w:rStyle w:val="Lienhypertexte"/>
          <w:lang w:val="fr-FR"/>
        </w:rPr>
        <w:tab/>
      </w:r>
      <w:r w:rsidR="00D86918">
        <w:rPr>
          <w:lang w:val="fr-FR"/>
        </w:rPr>
        <w:t>C</w:t>
      </w:r>
      <w:r w:rsidR="00CA2599">
        <w:rPr>
          <w:lang w:val="fr-FR"/>
        </w:rPr>
        <w:t>.</w:t>
      </w:r>
      <w:r w:rsidR="00D86918">
        <w:rPr>
          <w:lang w:val="fr-FR"/>
        </w:rPr>
        <w:tab/>
      </w:r>
      <w:r w:rsidR="000B0D68" w:rsidRPr="00B86E53">
        <w:rPr>
          <w:lang w:val="fr-FR"/>
        </w:rPr>
        <w:t>Sur les branchements sociaux</w:t>
      </w:r>
      <w:r w:rsidR="000B0D68" w:rsidRPr="00B86E53">
        <w:rPr>
          <w:webHidden/>
          <w:lang w:val="fr-FR"/>
        </w:rPr>
        <w:tab/>
      </w:r>
      <w:r w:rsidR="00DE1A8C" w:rsidRPr="00B86E53">
        <w:rPr>
          <w:webHidden/>
          <w:lang w:val="fr-FR"/>
        </w:rPr>
        <w:tab/>
      </w:r>
      <w:r w:rsidR="00B72B49">
        <w:rPr>
          <w:webHidden/>
          <w:lang w:val="fr-FR"/>
        </w:rPr>
        <w:t>2</w:t>
      </w:r>
      <w:r w:rsidR="00C075B5">
        <w:rPr>
          <w:webHidden/>
          <w:lang w:val="fr-FR"/>
        </w:rPr>
        <w:t>5</w:t>
      </w:r>
    </w:p>
    <w:p w:rsidR="00CC162E" w:rsidRDefault="00CC162E" w:rsidP="00AE634D">
      <w:pPr>
        <w:tabs>
          <w:tab w:val="left" w:pos="1134"/>
          <w:tab w:val="left" w:pos="1559"/>
          <w:tab w:val="left" w:pos="1984"/>
          <w:tab w:val="left" w:leader="dot" w:pos="8929"/>
          <w:tab w:val="right" w:pos="9638"/>
        </w:tabs>
        <w:spacing w:after="120"/>
        <w:ind w:left="1134" w:hanging="708"/>
        <w:rPr>
          <w:rStyle w:val="Lienhypertexte"/>
          <w:lang w:val="fr-FR"/>
        </w:rPr>
      </w:pPr>
      <w:r>
        <w:rPr>
          <w:lang w:val="fr-FR"/>
        </w:rPr>
        <w:t>XXII.</w:t>
      </w:r>
      <w:r>
        <w:rPr>
          <w:lang w:val="fr-FR"/>
        </w:rPr>
        <w:tab/>
      </w:r>
      <w:r w:rsidR="000B0D68" w:rsidRPr="00B86E53">
        <w:rPr>
          <w:lang w:val="fr-FR"/>
        </w:rPr>
        <w:t>R</w:t>
      </w:r>
      <w:r w:rsidR="006410B6" w:rsidRPr="00B86E53">
        <w:rPr>
          <w:lang w:val="fr-FR"/>
        </w:rPr>
        <w:t>ec.</w:t>
      </w:r>
      <w:r w:rsidR="00111D41">
        <w:rPr>
          <w:lang w:val="fr-FR"/>
        </w:rPr>
        <w:t> </w:t>
      </w:r>
      <w:r w:rsidR="000B0D68" w:rsidRPr="00B86E53">
        <w:rPr>
          <w:lang w:val="fr-FR"/>
        </w:rPr>
        <w:t>27</w:t>
      </w:r>
      <w:r w:rsidR="006410B6" w:rsidRPr="00B86E53">
        <w:rPr>
          <w:lang w:val="fr-FR"/>
        </w:rPr>
        <w:t>.</w:t>
      </w:r>
      <w:r w:rsidR="00111D41">
        <w:rPr>
          <w:lang w:val="fr-FR"/>
        </w:rPr>
        <w:t> </w:t>
      </w:r>
      <w:r w:rsidR="000B0D68" w:rsidRPr="00B86E53">
        <w:rPr>
          <w:lang w:val="fr-FR"/>
        </w:rPr>
        <w:t>Droit à une alimentation suffisante et lutte contre l’insécurité alimentaire</w:t>
      </w:r>
      <w:r w:rsidR="000B0D68" w:rsidRPr="00B86E53">
        <w:rPr>
          <w:webHidden/>
          <w:lang w:val="fr-FR"/>
        </w:rPr>
        <w:tab/>
      </w:r>
      <w:r w:rsidR="00DE1A8C" w:rsidRPr="00B86E53">
        <w:rPr>
          <w:webHidden/>
          <w:lang w:val="fr-FR"/>
        </w:rPr>
        <w:tab/>
      </w:r>
      <w:r w:rsidR="00B72B49">
        <w:rPr>
          <w:webHidden/>
          <w:lang w:val="fr-FR"/>
        </w:rPr>
        <w:t>2</w:t>
      </w:r>
      <w:r w:rsidR="00CA2599">
        <w:rPr>
          <w:webHidden/>
          <w:lang w:val="fr-FR"/>
        </w:rPr>
        <w:t>6</w:t>
      </w:r>
    </w:p>
    <w:p w:rsidR="00CC162E" w:rsidRDefault="00CC162E" w:rsidP="00AE634D">
      <w:pPr>
        <w:tabs>
          <w:tab w:val="left" w:pos="1134"/>
          <w:tab w:val="left" w:pos="1559"/>
          <w:tab w:val="left" w:pos="1984"/>
          <w:tab w:val="left" w:leader="dot" w:pos="8929"/>
          <w:tab w:val="right" w:pos="9638"/>
        </w:tabs>
        <w:spacing w:after="120"/>
        <w:ind w:left="1134" w:hanging="708"/>
        <w:rPr>
          <w:rStyle w:val="Lienhypertexte"/>
          <w:lang w:val="fr-FR"/>
        </w:rPr>
      </w:pPr>
      <w:r>
        <w:rPr>
          <w:rStyle w:val="Lienhypertexte"/>
          <w:lang w:val="fr-FR"/>
        </w:rPr>
        <w:tab/>
      </w:r>
      <w:r w:rsidRPr="00B86E53">
        <w:rPr>
          <w:lang w:val="fr-FR"/>
        </w:rPr>
        <w:t>A</w:t>
      </w:r>
      <w:r w:rsidR="00CA2599">
        <w:rPr>
          <w:lang w:val="fr-FR"/>
        </w:rPr>
        <w:t>.</w:t>
      </w:r>
      <w:r w:rsidRPr="00B86E53">
        <w:rPr>
          <w:lang w:val="fr-FR"/>
        </w:rPr>
        <w:tab/>
      </w:r>
      <w:r w:rsidR="000B0D68" w:rsidRPr="00B86E53">
        <w:rPr>
          <w:lang w:val="fr-FR"/>
        </w:rPr>
        <w:t xml:space="preserve">La mise en place d’un système public de distribution des denrées aux régions </w:t>
      </w:r>
      <w:r w:rsidR="00CA2599">
        <w:rPr>
          <w:lang w:val="fr-FR"/>
        </w:rPr>
        <w:br/>
      </w:r>
      <w:r w:rsidR="00C075B5">
        <w:rPr>
          <w:lang w:val="fr-FR"/>
        </w:rPr>
        <w:tab/>
      </w:r>
      <w:r w:rsidR="000B0D68" w:rsidRPr="00B86E53">
        <w:rPr>
          <w:lang w:val="fr-FR"/>
        </w:rPr>
        <w:t>et groupes défavorisés</w:t>
      </w:r>
      <w:r w:rsidR="00B86E53" w:rsidRPr="00B86E53">
        <w:rPr>
          <w:lang w:val="fr-FR"/>
        </w:rPr>
        <w:tab/>
      </w:r>
      <w:r w:rsidR="00B86E53" w:rsidRPr="00B86E53">
        <w:rPr>
          <w:lang w:val="fr-FR"/>
        </w:rPr>
        <w:tab/>
      </w:r>
      <w:r w:rsidR="00CA2599">
        <w:rPr>
          <w:lang w:val="fr-FR"/>
        </w:rPr>
        <w:t>26</w:t>
      </w:r>
    </w:p>
    <w:p w:rsidR="00D86918" w:rsidRDefault="00CC162E" w:rsidP="00AE634D">
      <w:pPr>
        <w:tabs>
          <w:tab w:val="left" w:pos="1134"/>
          <w:tab w:val="left" w:pos="1559"/>
          <w:tab w:val="left" w:pos="1984"/>
          <w:tab w:val="left" w:leader="dot" w:pos="8929"/>
          <w:tab w:val="right" w:pos="9638"/>
        </w:tabs>
        <w:spacing w:after="120"/>
        <w:ind w:left="1134" w:hanging="708"/>
        <w:rPr>
          <w:rStyle w:val="Lienhypertexte"/>
          <w:lang w:val="fr-FR"/>
        </w:rPr>
      </w:pPr>
      <w:r>
        <w:rPr>
          <w:rStyle w:val="Lienhypertexte"/>
          <w:lang w:val="fr-FR"/>
        </w:rPr>
        <w:tab/>
      </w:r>
      <w:r w:rsidR="006C2882" w:rsidRPr="00B86E53">
        <w:rPr>
          <w:lang w:val="fr-FR"/>
        </w:rPr>
        <w:t>B</w:t>
      </w:r>
      <w:r w:rsidR="00CA2599">
        <w:rPr>
          <w:lang w:val="fr-FR"/>
        </w:rPr>
        <w:t>.</w:t>
      </w:r>
      <w:r w:rsidR="00111D41">
        <w:rPr>
          <w:lang w:val="fr-FR"/>
        </w:rPr>
        <w:tab/>
      </w:r>
      <w:r w:rsidR="000B0D68" w:rsidRPr="00B86E53">
        <w:rPr>
          <w:lang w:val="fr-FR"/>
        </w:rPr>
        <w:t>Les mesures visant à s’attaquer aux problèmes structurels liés à l’insécurité alimentaire</w:t>
      </w:r>
      <w:r w:rsidR="000B0D68" w:rsidRPr="00B86E53">
        <w:rPr>
          <w:webHidden/>
          <w:lang w:val="fr-FR"/>
        </w:rPr>
        <w:tab/>
      </w:r>
      <w:r w:rsidR="00872837" w:rsidRPr="00B86E53">
        <w:rPr>
          <w:webHidden/>
          <w:lang w:val="fr-FR"/>
        </w:rPr>
        <w:tab/>
      </w:r>
      <w:r w:rsidR="00B72B49">
        <w:rPr>
          <w:webHidden/>
          <w:lang w:val="fr-FR"/>
        </w:rPr>
        <w:t>2</w:t>
      </w:r>
      <w:r w:rsidR="00CA2599">
        <w:rPr>
          <w:webHidden/>
          <w:lang w:val="fr-FR"/>
        </w:rPr>
        <w:t>6</w:t>
      </w:r>
    </w:p>
    <w:p w:rsidR="00F36FBE" w:rsidRDefault="00F36FBE" w:rsidP="00AE634D">
      <w:pPr>
        <w:tabs>
          <w:tab w:val="left" w:pos="1134"/>
          <w:tab w:val="left" w:pos="1559"/>
          <w:tab w:val="left" w:pos="1984"/>
          <w:tab w:val="left" w:leader="dot" w:pos="8929"/>
          <w:tab w:val="right" w:pos="9638"/>
        </w:tabs>
        <w:spacing w:after="120"/>
        <w:ind w:left="1134" w:hanging="708"/>
        <w:rPr>
          <w:rStyle w:val="Lienhypertexte"/>
          <w:lang w:val="fr-FR"/>
        </w:rPr>
      </w:pPr>
      <w:r>
        <w:rPr>
          <w:lang w:val="fr-FR"/>
        </w:rPr>
        <w:t>XXIII.</w:t>
      </w:r>
      <w:r>
        <w:rPr>
          <w:lang w:val="fr-FR"/>
        </w:rPr>
        <w:tab/>
      </w:r>
      <w:r w:rsidR="000B0D68" w:rsidRPr="00B86E53">
        <w:rPr>
          <w:lang w:val="fr-FR"/>
        </w:rPr>
        <w:t>R</w:t>
      </w:r>
      <w:r w:rsidR="006410B6" w:rsidRPr="00B86E53">
        <w:rPr>
          <w:lang w:val="fr-FR"/>
        </w:rPr>
        <w:t>ec.</w:t>
      </w:r>
      <w:r w:rsidR="00111D41">
        <w:rPr>
          <w:lang w:val="fr-FR"/>
        </w:rPr>
        <w:t> </w:t>
      </w:r>
      <w:r w:rsidR="006410B6" w:rsidRPr="00B86E53">
        <w:rPr>
          <w:lang w:val="fr-FR"/>
        </w:rPr>
        <w:t>28.</w:t>
      </w:r>
      <w:r w:rsidR="00111D41">
        <w:rPr>
          <w:lang w:val="fr-FR"/>
        </w:rPr>
        <w:t> </w:t>
      </w:r>
      <w:r w:rsidR="000B0D68" w:rsidRPr="00B86E53">
        <w:rPr>
          <w:lang w:val="fr-FR"/>
        </w:rPr>
        <w:t>Lutte contre la mortalité maternelle et infantile</w:t>
      </w:r>
      <w:r w:rsidR="000B0D68" w:rsidRPr="00B86E53">
        <w:rPr>
          <w:webHidden/>
          <w:lang w:val="fr-FR"/>
        </w:rPr>
        <w:tab/>
      </w:r>
      <w:r w:rsidR="00DE1A8C" w:rsidRPr="00B86E53">
        <w:rPr>
          <w:webHidden/>
          <w:lang w:val="fr-FR"/>
        </w:rPr>
        <w:tab/>
      </w:r>
      <w:r w:rsidR="0011253A">
        <w:rPr>
          <w:webHidden/>
          <w:lang w:val="fr-FR"/>
        </w:rPr>
        <w:t>2</w:t>
      </w:r>
      <w:r w:rsidR="00CA2599">
        <w:rPr>
          <w:webHidden/>
          <w:lang w:val="fr-FR"/>
        </w:rPr>
        <w:t>7</w:t>
      </w:r>
    </w:p>
    <w:p w:rsidR="00F36FBE" w:rsidRDefault="00F36FBE" w:rsidP="00AE634D">
      <w:pPr>
        <w:tabs>
          <w:tab w:val="left" w:pos="1134"/>
          <w:tab w:val="left" w:pos="1559"/>
          <w:tab w:val="left" w:pos="1984"/>
          <w:tab w:val="left" w:leader="dot" w:pos="8929"/>
          <w:tab w:val="right" w:pos="9638"/>
        </w:tabs>
        <w:spacing w:after="120"/>
        <w:ind w:left="1134" w:hanging="708"/>
        <w:rPr>
          <w:rStyle w:val="Lienhypertexte"/>
          <w:lang w:val="fr-FR"/>
        </w:rPr>
      </w:pPr>
      <w:r>
        <w:rPr>
          <w:rStyle w:val="Lienhypertexte"/>
          <w:lang w:val="fr-FR"/>
        </w:rPr>
        <w:tab/>
      </w:r>
      <w:r w:rsidR="006C2882" w:rsidRPr="00B86E53">
        <w:rPr>
          <w:lang w:val="fr-FR"/>
        </w:rPr>
        <w:t>A</w:t>
      </w:r>
      <w:r w:rsidR="00CA2599">
        <w:rPr>
          <w:lang w:val="fr-FR"/>
        </w:rPr>
        <w:t>.</w:t>
      </w:r>
      <w:r w:rsidR="00D86918">
        <w:rPr>
          <w:lang w:val="fr-FR"/>
        </w:rPr>
        <w:tab/>
      </w:r>
      <w:r w:rsidR="000B0D68" w:rsidRPr="00B86E53">
        <w:rPr>
          <w:lang w:val="fr-FR"/>
        </w:rPr>
        <w:t>Les mesures visant à réduire la mortalité maternelle</w:t>
      </w:r>
      <w:r w:rsidR="000B0D68" w:rsidRPr="00B86E53">
        <w:rPr>
          <w:webHidden/>
          <w:lang w:val="fr-FR"/>
        </w:rPr>
        <w:tab/>
      </w:r>
      <w:r w:rsidR="00DE1A8C" w:rsidRPr="00B86E53">
        <w:rPr>
          <w:webHidden/>
          <w:lang w:val="fr-FR"/>
        </w:rPr>
        <w:tab/>
      </w:r>
      <w:r w:rsidR="0011253A">
        <w:rPr>
          <w:webHidden/>
          <w:lang w:val="fr-FR"/>
        </w:rPr>
        <w:t>2</w:t>
      </w:r>
      <w:r w:rsidR="00CA2599">
        <w:rPr>
          <w:webHidden/>
          <w:lang w:val="fr-FR"/>
        </w:rPr>
        <w:t>7</w:t>
      </w:r>
    </w:p>
    <w:p w:rsidR="00F36FBE" w:rsidRDefault="00F36FBE" w:rsidP="00AE634D">
      <w:pPr>
        <w:tabs>
          <w:tab w:val="left" w:pos="1134"/>
          <w:tab w:val="left" w:pos="1559"/>
          <w:tab w:val="left" w:pos="1984"/>
          <w:tab w:val="left" w:leader="dot" w:pos="8929"/>
          <w:tab w:val="right" w:pos="9638"/>
        </w:tabs>
        <w:spacing w:after="120"/>
        <w:ind w:left="1134" w:hanging="708"/>
        <w:rPr>
          <w:rStyle w:val="Lienhypertexte"/>
          <w:lang w:val="fr-FR"/>
        </w:rPr>
      </w:pPr>
      <w:r>
        <w:rPr>
          <w:rStyle w:val="Lienhypertexte"/>
          <w:lang w:val="fr-FR"/>
        </w:rPr>
        <w:tab/>
      </w:r>
      <w:r w:rsidR="00CA2599">
        <w:rPr>
          <w:lang w:val="fr-FR"/>
        </w:rPr>
        <w:t>B.</w:t>
      </w:r>
      <w:r w:rsidR="00D86918">
        <w:rPr>
          <w:lang w:val="fr-FR"/>
        </w:rPr>
        <w:tab/>
      </w:r>
      <w:r w:rsidR="000B0D68" w:rsidRPr="00B86E53">
        <w:rPr>
          <w:lang w:val="fr-FR"/>
        </w:rPr>
        <w:t>Les mesures visant à réduire la mortalité infantile</w:t>
      </w:r>
      <w:r w:rsidR="000B0D68" w:rsidRPr="00B86E53">
        <w:rPr>
          <w:webHidden/>
          <w:lang w:val="fr-FR"/>
        </w:rPr>
        <w:tab/>
      </w:r>
      <w:r w:rsidR="00DE1A8C" w:rsidRPr="00B86E53">
        <w:rPr>
          <w:webHidden/>
          <w:lang w:val="fr-FR"/>
        </w:rPr>
        <w:tab/>
      </w:r>
      <w:r w:rsidR="00FB36CA">
        <w:rPr>
          <w:webHidden/>
          <w:lang w:val="fr-FR"/>
        </w:rPr>
        <w:t>2</w:t>
      </w:r>
      <w:r w:rsidR="00CA2599">
        <w:rPr>
          <w:webHidden/>
          <w:lang w:val="fr-FR"/>
        </w:rPr>
        <w:t>8</w:t>
      </w:r>
    </w:p>
    <w:p w:rsidR="00F36FBE" w:rsidRDefault="00F36FBE" w:rsidP="00AE634D">
      <w:pPr>
        <w:tabs>
          <w:tab w:val="left" w:pos="1134"/>
          <w:tab w:val="left" w:pos="1559"/>
          <w:tab w:val="left" w:pos="1984"/>
          <w:tab w:val="left" w:leader="dot" w:pos="8929"/>
          <w:tab w:val="right" w:pos="9638"/>
        </w:tabs>
        <w:spacing w:after="120"/>
        <w:ind w:left="1134" w:hanging="708"/>
        <w:rPr>
          <w:rStyle w:val="Lienhypertexte"/>
          <w:lang w:val="fr-FR"/>
        </w:rPr>
      </w:pPr>
      <w:r>
        <w:rPr>
          <w:rStyle w:val="Lienhypertexte"/>
          <w:lang w:val="fr-FR"/>
        </w:rPr>
        <w:tab/>
      </w:r>
      <w:r w:rsidR="00CA2599">
        <w:rPr>
          <w:lang w:val="fr-FR"/>
        </w:rPr>
        <w:t>C.</w:t>
      </w:r>
      <w:r w:rsidR="00D86918">
        <w:rPr>
          <w:lang w:val="fr-FR"/>
        </w:rPr>
        <w:tab/>
      </w:r>
      <w:r w:rsidR="000B0D68" w:rsidRPr="00B86E53">
        <w:rPr>
          <w:lang w:val="fr-FR"/>
        </w:rPr>
        <w:t>L’accès à la santé sexuelle et de reproduction des femmes et des</w:t>
      </w:r>
      <w:r w:rsidR="000B0D68" w:rsidRPr="00B86E53">
        <w:rPr>
          <w:bCs/>
          <w:lang w:val="fr-FR"/>
        </w:rPr>
        <w:t xml:space="preserve"> adolescentes</w:t>
      </w:r>
      <w:r w:rsidR="000B0D68" w:rsidRPr="00B86E53">
        <w:rPr>
          <w:webHidden/>
          <w:lang w:val="fr-FR"/>
        </w:rPr>
        <w:tab/>
      </w:r>
      <w:r w:rsidR="00DE1A8C" w:rsidRPr="00B86E53">
        <w:rPr>
          <w:webHidden/>
          <w:lang w:val="fr-FR"/>
        </w:rPr>
        <w:tab/>
      </w:r>
      <w:r w:rsidR="00CA2599">
        <w:rPr>
          <w:webHidden/>
          <w:lang w:val="fr-FR"/>
        </w:rPr>
        <w:t>29</w:t>
      </w:r>
    </w:p>
    <w:p w:rsidR="00F36FBE" w:rsidRDefault="00F36FBE" w:rsidP="00CA2599">
      <w:pPr>
        <w:tabs>
          <w:tab w:val="left" w:pos="1134"/>
          <w:tab w:val="left" w:pos="1559"/>
          <w:tab w:val="left" w:pos="1984"/>
          <w:tab w:val="left" w:leader="dot" w:pos="8929"/>
          <w:tab w:val="right" w:pos="9638"/>
        </w:tabs>
        <w:spacing w:after="120"/>
        <w:ind w:left="1559" w:hanging="1133"/>
        <w:rPr>
          <w:rStyle w:val="Lienhypertexte"/>
          <w:lang w:val="fr-FR"/>
        </w:rPr>
      </w:pPr>
      <w:r>
        <w:rPr>
          <w:rStyle w:val="Lienhypertexte"/>
          <w:lang w:val="fr-FR"/>
        </w:rPr>
        <w:tab/>
      </w:r>
      <w:r w:rsidR="00D86918">
        <w:rPr>
          <w:lang w:val="fr-FR"/>
        </w:rPr>
        <w:t>D</w:t>
      </w:r>
      <w:r w:rsidR="00CA2599">
        <w:rPr>
          <w:lang w:val="fr-FR"/>
        </w:rPr>
        <w:t>.</w:t>
      </w:r>
      <w:r w:rsidR="00D86918">
        <w:rPr>
          <w:lang w:val="fr-FR"/>
        </w:rPr>
        <w:tab/>
      </w:r>
      <w:r w:rsidR="000B0D68" w:rsidRPr="00B86E53">
        <w:rPr>
          <w:lang w:val="fr-FR"/>
        </w:rPr>
        <w:t xml:space="preserve">L’efficacité de la législation visant à prévenir la mortalité maternelle </w:t>
      </w:r>
      <w:r w:rsidR="00CA2599">
        <w:rPr>
          <w:lang w:val="fr-FR"/>
        </w:rPr>
        <w:br/>
      </w:r>
      <w:r w:rsidR="000B0D68" w:rsidRPr="00B86E53">
        <w:rPr>
          <w:lang w:val="fr-FR"/>
        </w:rPr>
        <w:t>due à un avortement clandestin</w:t>
      </w:r>
      <w:r w:rsidR="000B0D68" w:rsidRPr="00B86E53">
        <w:rPr>
          <w:webHidden/>
          <w:lang w:val="fr-FR"/>
        </w:rPr>
        <w:tab/>
      </w:r>
      <w:r w:rsidR="00CA2599">
        <w:rPr>
          <w:webHidden/>
          <w:lang w:val="fr-FR"/>
        </w:rPr>
        <w:tab/>
        <w:t>29</w:t>
      </w:r>
    </w:p>
    <w:p w:rsidR="00F36FBE" w:rsidRDefault="00270754" w:rsidP="00D86918">
      <w:pPr>
        <w:tabs>
          <w:tab w:val="left" w:pos="1134"/>
          <w:tab w:val="left" w:pos="1559"/>
          <w:tab w:val="left" w:pos="1984"/>
          <w:tab w:val="left" w:leader="dot" w:pos="8929"/>
          <w:tab w:val="right" w:pos="9638"/>
        </w:tabs>
        <w:spacing w:after="120"/>
        <w:ind w:left="1134" w:hanging="567"/>
        <w:rPr>
          <w:rStyle w:val="Lienhypertexte"/>
          <w:lang w:val="fr-FR"/>
        </w:rPr>
      </w:pPr>
      <w:r w:rsidRPr="002E4295">
        <w:rPr>
          <w:lang w:val="fr-FR"/>
        </w:rPr>
        <w:t>XIV.</w:t>
      </w:r>
      <w:r w:rsidR="00F36FBE">
        <w:rPr>
          <w:lang w:val="fr-FR"/>
        </w:rPr>
        <w:tab/>
      </w:r>
      <w:r w:rsidRPr="00B86E53">
        <w:rPr>
          <w:lang w:val="fr-FR"/>
        </w:rPr>
        <w:t>Rec.</w:t>
      </w:r>
      <w:r w:rsidR="00111D41">
        <w:rPr>
          <w:lang w:val="fr-FR"/>
        </w:rPr>
        <w:t> </w:t>
      </w:r>
      <w:r w:rsidR="000B0D68" w:rsidRPr="00B86E53">
        <w:rPr>
          <w:lang w:val="fr-FR"/>
        </w:rPr>
        <w:t>29</w:t>
      </w:r>
      <w:r w:rsidR="00F36FBE" w:rsidRPr="00B86E53">
        <w:rPr>
          <w:lang w:val="fr-FR"/>
        </w:rPr>
        <w:t>.</w:t>
      </w:r>
      <w:r w:rsidR="00111D41">
        <w:rPr>
          <w:lang w:val="fr-FR"/>
        </w:rPr>
        <w:t> </w:t>
      </w:r>
      <w:r w:rsidR="000B0D68" w:rsidRPr="00B86E53">
        <w:rPr>
          <w:lang w:val="fr-FR"/>
        </w:rPr>
        <w:t>Lutte contre les médicaments contrefaits et accès aux médicaments de qualité</w:t>
      </w:r>
      <w:r w:rsidR="000B0D68" w:rsidRPr="00B86E53">
        <w:rPr>
          <w:webHidden/>
          <w:lang w:val="fr-FR"/>
        </w:rPr>
        <w:tab/>
      </w:r>
      <w:r w:rsidR="00DE1A8C" w:rsidRPr="00B86E53">
        <w:rPr>
          <w:webHidden/>
          <w:lang w:val="fr-FR"/>
        </w:rPr>
        <w:tab/>
      </w:r>
      <w:r w:rsidR="00EC5347">
        <w:rPr>
          <w:noProof/>
          <w:webHidden/>
          <w:lang w:val="fr-FR"/>
        </w:rPr>
        <w:t>2</w:t>
      </w:r>
      <w:r w:rsidR="002B4B84">
        <w:rPr>
          <w:webHidden/>
          <w:lang w:val="fr-FR"/>
        </w:rPr>
        <w:t>9</w:t>
      </w:r>
    </w:p>
    <w:p w:rsidR="00F36FBE" w:rsidRDefault="00F36FBE" w:rsidP="00AE634D">
      <w:pPr>
        <w:tabs>
          <w:tab w:val="left" w:pos="1134"/>
          <w:tab w:val="left" w:pos="1559"/>
          <w:tab w:val="left" w:pos="1984"/>
          <w:tab w:val="left" w:leader="dot" w:pos="8929"/>
          <w:tab w:val="right" w:pos="9638"/>
        </w:tabs>
        <w:spacing w:after="120"/>
        <w:ind w:left="1134" w:hanging="708"/>
        <w:rPr>
          <w:rStyle w:val="Lienhypertexte"/>
          <w:lang w:val="fr-FR"/>
        </w:rPr>
      </w:pPr>
      <w:r>
        <w:rPr>
          <w:rStyle w:val="Lienhypertexte"/>
          <w:lang w:val="fr-FR"/>
        </w:rPr>
        <w:tab/>
      </w:r>
      <w:r w:rsidR="000B0D68" w:rsidRPr="00B86E53">
        <w:rPr>
          <w:lang w:val="fr-FR"/>
        </w:rPr>
        <w:t>A</w:t>
      </w:r>
      <w:r w:rsidR="00CA2599">
        <w:rPr>
          <w:lang w:val="fr-FR"/>
        </w:rPr>
        <w:t>.</w:t>
      </w:r>
      <w:r w:rsidR="000B0D68" w:rsidRPr="00B86E53">
        <w:rPr>
          <w:lang w:val="fr-FR"/>
        </w:rPr>
        <w:tab/>
        <w:t>Mesures en vue de l’</w:t>
      </w:r>
      <w:r w:rsidR="002B4B84">
        <w:rPr>
          <w:lang w:val="fr-FR"/>
        </w:rPr>
        <w:t>a</w:t>
      </w:r>
      <w:r w:rsidR="000B0D68" w:rsidRPr="00B86E53">
        <w:rPr>
          <w:lang w:val="fr-FR"/>
        </w:rPr>
        <w:t xml:space="preserve">pprovisionnement en </w:t>
      </w:r>
      <w:r w:rsidR="002B4B84">
        <w:rPr>
          <w:lang w:val="fr-FR"/>
        </w:rPr>
        <w:t>m</w:t>
      </w:r>
      <w:r w:rsidR="000B0D68" w:rsidRPr="00B86E53">
        <w:rPr>
          <w:lang w:val="fr-FR"/>
        </w:rPr>
        <w:t xml:space="preserve">édicaments de </w:t>
      </w:r>
      <w:r w:rsidR="002B4B84">
        <w:rPr>
          <w:lang w:val="fr-FR"/>
        </w:rPr>
        <w:t>q</w:t>
      </w:r>
      <w:r w:rsidR="000B0D68" w:rsidRPr="00B86E53">
        <w:rPr>
          <w:lang w:val="fr-FR"/>
        </w:rPr>
        <w:t>ualité</w:t>
      </w:r>
      <w:r w:rsidR="00DE1A8C" w:rsidRPr="00B86E53">
        <w:rPr>
          <w:lang w:val="fr-FR"/>
        </w:rPr>
        <w:tab/>
      </w:r>
      <w:r w:rsidR="000B0D68" w:rsidRPr="00B86E53">
        <w:rPr>
          <w:webHidden/>
          <w:lang w:val="fr-FR"/>
        </w:rPr>
        <w:tab/>
      </w:r>
      <w:r w:rsidR="002B4B84">
        <w:rPr>
          <w:webHidden/>
          <w:lang w:val="fr-FR"/>
        </w:rPr>
        <w:t>29</w:t>
      </w:r>
    </w:p>
    <w:p w:rsidR="00F36FBE" w:rsidRDefault="00F36FBE" w:rsidP="00AE634D">
      <w:pPr>
        <w:tabs>
          <w:tab w:val="left" w:pos="1134"/>
          <w:tab w:val="left" w:pos="1559"/>
          <w:tab w:val="left" w:pos="1984"/>
          <w:tab w:val="left" w:leader="dot" w:pos="8929"/>
          <w:tab w:val="right" w:pos="9638"/>
        </w:tabs>
        <w:spacing w:after="120"/>
        <w:ind w:left="1134" w:hanging="708"/>
        <w:rPr>
          <w:rStyle w:val="Lienhypertexte"/>
          <w:lang w:val="fr-FR"/>
        </w:rPr>
      </w:pPr>
      <w:r>
        <w:rPr>
          <w:rStyle w:val="Lienhypertexte"/>
          <w:lang w:val="fr-FR"/>
        </w:rPr>
        <w:tab/>
      </w:r>
      <w:r w:rsidR="00CA2599">
        <w:rPr>
          <w:lang w:val="fr-FR"/>
        </w:rPr>
        <w:t>B.</w:t>
      </w:r>
      <w:r w:rsidR="000B0D68" w:rsidRPr="00B86E53">
        <w:rPr>
          <w:lang w:val="fr-FR"/>
        </w:rPr>
        <w:tab/>
        <w:t xml:space="preserve">Démantèlement du Réseau d’approvisionnement et de Distribution informels </w:t>
      </w:r>
      <w:r w:rsidR="006A57AD">
        <w:rPr>
          <w:lang w:val="fr-FR"/>
        </w:rPr>
        <w:br/>
      </w:r>
      <w:r w:rsidR="000B0D68" w:rsidRPr="00B86E53">
        <w:rPr>
          <w:lang w:val="fr-FR"/>
        </w:rPr>
        <w:t xml:space="preserve">des </w:t>
      </w:r>
      <w:r w:rsidR="008D1E2E">
        <w:rPr>
          <w:lang w:val="fr-FR"/>
        </w:rPr>
        <w:t>m</w:t>
      </w:r>
      <w:r w:rsidR="000B0D68" w:rsidRPr="00B86E53">
        <w:rPr>
          <w:lang w:val="fr-FR"/>
        </w:rPr>
        <w:t xml:space="preserve">édicaments de </w:t>
      </w:r>
      <w:r w:rsidR="008D1E2E">
        <w:rPr>
          <w:lang w:val="fr-FR"/>
        </w:rPr>
        <w:t>m</w:t>
      </w:r>
      <w:r w:rsidR="000B0D68" w:rsidRPr="00B86E53">
        <w:rPr>
          <w:lang w:val="fr-FR"/>
        </w:rPr>
        <w:t xml:space="preserve">auvaise </w:t>
      </w:r>
      <w:r w:rsidR="008D1E2E">
        <w:rPr>
          <w:lang w:val="fr-FR"/>
        </w:rPr>
        <w:t>q</w:t>
      </w:r>
      <w:r w:rsidR="000B0D68" w:rsidRPr="00B86E53">
        <w:rPr>
          <w:lang w:val="fr-FR"/>
        </w:rPr>
        <w:t>ualité</w:t>
      </w:r>
      <w:r w:rsidR="000B0D68" w:rsidRPr="00B86E53">
        <w:rPr>
          <w:webHidden/>
          <w:lang w:val="fr-FR"/>
        </w:rPr>
        <w:tab/>
      </w:r>
      <w:r w:rsidR="00B368B3" w:rsidRPr="00B86E53">
        <w:rPr>
          <w:webHidden/>
          <w:lang w:val="fr-FR"/>
        </w:rPr>
        <w:tab/>
      </w:r>
      <w:r w:rsidR="00331F85">
        <w:rPr>
          <w:webHidden/>
          <w:lang w:val="fr-FR"/>
        </w:rPr>
        <w:t>30</w:t>
      </w:r>
    </w:p>
    <w:p w:rsidR="00F36FBE" w:rsidRDefault="00270754" w:rsidP="00AE634D">
      <w:pPr>
        <w:tabs>
          <w:tab w:val="left" w:pos="1134"/>
          <w:tab w:val="left" w:pos="1559"/>
          <w:tab w:val="left" w:pos="1984"/>
          <w:tab w:val="left" w:leader="dot" w:pos="8929"/>
          <w:tab w:val="right" w:pos="9638"/>
        </w:tabs>
        <w:spacing w:after="120"/>
        <w:ind w:left="1134" w:hanging="708"/>
        <w:rPr>
          <w:rStyle w:val="Lienhypertexte"/>
          <w:lang w:val="fr-FR"/>
        </w:rPr>
      </w:pPr>
      <w:r w:rsidRPr="002E4295">
        <w:rPr>
          <w:lang w:val="fr-FR"/>
        </w:rPr>
        <w:t>XXV.</w:t>
      </w:r>
      <w:r w:rsidR="00F36FBE">
        <w:rPr>
          <w:lang w:val="fr-FR"/>
        </w:rPr>
        <w:tab/>
      </w:r>
      <w:r w:rsidR="000B0D68" w:rsidRPr="00B86E53">
        <w:rPr>
          <w:lang w:val="fr-FR"/>
        </w:rPr>
        <w:t>R</w:t>
      </w:r>
      <w:r w:rsidRPr="00B86E53">
        <w:rPr>
          <w:lang w:val="fr-FR"/>
        </w:rPr>
        <w:t>ec.</w:t>
      </w:r>
      <w:r w:rsidR="00111D41">
        <w:rPr>
          <w:lang w:val="fr-FR"/>
        </w:rPr>
        <w:t> </w:t>
      </w:r>
      <w:r w:rsidR="000B0D68" w:rsidRPr="00B86E53">
        <w:rPr>
          <w:lang w:val="fr-FR"/>
        </w:rPr>
        <w:t>30</w:t>
      </w:r>
      <w:r w:rsidRPr="00B86E53">
        <w:rPr>
          <w:lang w:val="fr-FR"/>
        </w:rPr>
        <w:t>.</w:t>
      </w:r>
      <w:r w:rsidR="00111D41">
        <w:rPr>
          <w:lang w:val="fr-FR"/>
        </w:rPr>
        <w:t> </w:t>
      </w:r>
      <w:r w:rsidR="000B0D68" w:rsidRPr="00B86E53">
        <w:rPr>
          <w:lang w:val="fr-FR"/>
        </w:rPr>
        <w:t>Les mesures générales d’assainissement</w:t>
      </w:r>
      <w:r w:rsidR="000B0D68" w:rsidRPr="00B86E53">
        <w:rPr>
          <w:webHidden/>
          <w:lang w:val="fr-FR"/>
        </w:rPr>
        <w:tab/>
      </w:r>
      <w:r w:rsidR="00DE1A8C" w:rsidRPr="00B86E53">
        <w:rPr>
          <w:webHidden/>
          <w:lang w:val="fr-FR"/>
        </w:rPr>
        <w:tab/>
      </w:r>
      <w:r w:rsidR="00331F85">
        <w:rPr>
          <w:webHidden/>
          <w:lang w:val="fr-FR"/>
        </w:rPr>
        <w:t>31</w:t>
      </w:r>
    </w:p>
    <w:p w:rsidR="00F36FBE" w:rsidRDefault="00F36FBE" w:rsidP="00AE634D">
      <w:pPr>
        <w:tabs>
          <w:tab w:val="left" w:pos="1134"/>
          <w:tab w:val="left" w:pos="1559"/>
          <w:tab w:val="left" w:pos="1984"/>
          <w:tab w:val="left" w:leader="dot" w:pos="8929"/>
          <w:tab w:val="right" w:pos="9638"/>
        </w:tabs>
        <w:spacing w:after="120"/>
        <w:ind w:left="1134" w:hanging="708"/>
        <w:rPr>
          <w:lang w:val="fr-FR"/>
        </w:rPr>
      </w:pPr>
      <w:r>
        <w:rPr>
          <w:rStyle w:val="Lienhypertexte"/>
          <w:lang w:val="fr-FR"/>
        </w:rPr>
        <w:tab/>
      </w:r>
      <w:r w:rsidR="000B0D68" w:rsidRPr="00B86E53">
        <w:rPr>
          <w:lang w:val="fr-FR"/>
        </w:rPr>
        <w:t>A</w:t>
      </w:r>
      <w:r w:rsidR="00CA2599">
        <w:rPr>
          <w:lang w:val="fr-FR"/>
        </w:rPr>
        <w:t>.</w:t>
      </w:r>
      <w:r w:rsidR="00331F85">
        <w:rPr>
          <w:lang w:val="fr-FR"/>
        </w:rPr>
        <w:tab/>
        <w:t>Le d</w:t>
      </w:r>
      <w:r w:rsidR="000B0D68" w:rsidRPr="00B86E53">
        <w:rPr>
          <w:lang w:val="fr-FR"/>
        </w:rPr>
        <w:t>éveloppement des services publics d’assainissement</w:t>
      </w:r>
      <w:r w:rsidR="000B0D68" w:rsidRPr="00B86E53">
        <w:rPr>
          <w:webHidden/>
          <w:lang w:val="fr-FR"/>
        </w:rPr>
        <w:tab/>
      </w:r>
      <w:r w:rsidR="00DE1A8C" w:rsidRPr="002E4295">
        <w:rPr>
          <w:lang w:val="fr-FR"/>
        </w:rPr>
        <w:tab/>
      </w:r>
      <w:r w:rsidR="00CA2599">
        <w:rPr>
          <w:lang w:val="fr-FR"/>
        </w:rPr>
        <w:t>31</w:t>
      </w:r>
    </w:p>
    <w:p w:rsidR="008C2F9B" w:rsidRDefault="00F36FBE" w:rsidP="00AE634D">
      <w:pPr>
        <w:tabs>
          <w:tab w:val="left" w:pos="1134"/>
          <w:tab w:val="left" w:pos="1559"/>
          <w:tab w:val="left" w:pos="1984"/>
          <w:tab w:val="left" w:leader="dot" w:pos="8929"/>
          <w:tab w:val="right" w:pos="9638"/>
        </w:tabs>
        <w:spacing w:after="120"/>
        <w:ind w:left="1134" w:hanging="708"/>
        <w:rPr>
          <w:webHidden/>
          <w:lang w:val="fr-FR"/>
        </w:rPr>
      </w:pPr>
      <w:r>
        <w:rPr>
          <w:lang w:val="fr-FR"/>
        </w:rPr>
        <w:tab/>
      </w:r>
      <w:r w:rsidR="00CA2599">
        <w:rPr>
          <w:lang w:val="fr-FR"/>
        </w:rPr>
        <w:t>B.</w:t>
      </w:r>
      <w:r w:rsidR="000B0D68" w:rsidRPr="00B86E53">
        <w:rPr>
          <w:lang w:val="fr-FR"/>
        </w:rPr>
        <w:tab/>
        <w:t>Mesures d’assainissement en milieu scolaire</w:t>
      </w:r>
      <w:r w:rsidR="000B0D68" w:rsidRPr="00B86E53">
        <w:rPr>
          <w:webHidden/>
          <w:lang w:val="fr-FR"/>
        </w:rPr>
        <w:tab/>
      </w:r>
      <w:r w:rsidR="00DE1A8C" w:rsidRPr="00B86E53">
        <w:rPr>
          <w:webHidden/>
          <w:lang w:val="fr-FR"/>
        </w:rPr>
        <w:tab/>
      </w:r>
      <w:r w:rsidR="007B5471">
        <w:rPr>
          <w:webHidden/>
          <w:lang w:val="fr-FR"/>
        </w:rPr>
        <w:t>3</w:t>
      </w:r>
      <w:r w:rsidR="00005C62">
        <w:rPr>
          <w:webHidden/>
          <w:lang w:val="fr-FR"/>
        </w:rPr>
        <w:t>2</w:t>
      </w:r>
    </w:p>
    <w:p w:rsidR="00F36FBE" w:rsidRDefault="00596ADE" w:rsidP="00D44E49">
      <w:pPr>
        <w:keepNext/>
        <w:tabs>
          <w:tab w:val="left" w:pos="1134"/>
          <w:tab w:val="left" w:pos="1559"/>
          <w:tab w:val="left" w:pos="1984"/>
          <w:tab w:val="left" w:leader="dot" w:pos="8929"/>
          <w:tab w:val="right" w:pos="9638"/>
        </w:tabs>
        <w:spacing w:after="120"/>
        <w:ind w:left="1134" w:hanging="709"/>
        <w:rPr>
          <w:rStyle w:val="Lienhypertexte"/>
          <w:lang w:val="fr-FR"/>
        </w:rPr>
      </w:pPr>
      <w:r w:rsidRPr="002E4295">
        <w:rPr>
          <w:lang w:val="fr-FR"/>
        </w:rPr>
        <w:lastRenderedPageBreak/>
        <w:t>XXVI.</w:t>
      </w:r>
      <w:r w:rsidR="00F36FBE">
        <w:rPr>
          <w:lang w:val="fr-FR"/>
        </w:rPr>
        <w:tab/>
      </w:r>
      <w:r w:rsidR="000B0D68" w:rsidRPr="00B86E53">
        <w:rPr>
          <w:lang w:val="fr-FR"/>
        </w:rPr>
        <w:t>R</w:t>
      </w:r>
      <w:r w:rsidRPr="00B86E53">
        <w:rPr>
          <w:lang w:val="fr-FR"/>
        </w:rPr>
        <w:t>ec.</w:t>
      </w:r>
      <w:r w:rsidR="00111D41">
        <w:rPr>
          <w:lang w:val="fr-FR"/>
        </w:rPr>
        <w:t> </w:t>
      </w:r>
      <w:r w:rsidR="00DE1A8C" w:rsidRPr="00B86E53">
        <w:rPr>
          <w:lang w:val="fr-FR"/>
        </w:rPr>
        <w:t>31.</w:t>
      </w:r>
      <w:r w:rsidR="00111D41">
        <w:rPr>
          <w:lang w:val="fr-FR"/>
        </w:rPr>
        <w:t> </w:t>
      </w:r>
      <w:r w:rsidR="000B0D68" w:rsidRPr="00B86E53">
        <w:rPr>
          <w:lang w:val="fr-FR"/>
        </w:rPr>
        <w:t>Prévention et traitement du VIH/</w:t>
      </w:r>
      <w:r w:rsidR="0011157C">
        <w:rPr>
          <w:lang w:val="fr-FR"/>
        </w:rPr>
        <w:t>s</w:t>
      </w:r>
      <w:r w:rsidR="000B0D68" w:rsidRPr="00B86E53">
        <w:rPr>
          <w:lang w:val="fr-FR"/>
        </w:rPr>
        <w:t>ida, en particulier au profit des groupes vulnérables</w:t>
      </w:r>
      <w:r w:rsidR="000B0D68" w:rsidRPr="00B86E53">
        <w:rPr>
          <w:webHidden/>
          <w:lang w:val="fr-FR"/>
        </w:rPr>
        <w:tab/>
      </w:r>
      <w:r w:rsidR="00681F86" w:rsidRPr="00B86E53">
        <w:rPr>
          <w:webHidden/>
          <w:lang w:val="fr-FR"/>
        </w:rPr>
        <w:tab/>
      </w:r>
      <w:r w:rsidR="00627D63">
        <w:rPr>
          <w:webHidden/>
          <w:lang w:val="fr-FR"/>
        </w:rPr>
        <w:t>3</w:t>
      </w:r>
      <w:r w:rsidR="00556E6D">
        <w:rPr>
          <w:webHidden/>
          <w:lang w:val="fr-FR"/>
        </w:rPr>
        <w:t>3</w:t>
      </w:r>
    </w:p>
    <w:p w:rsidR="00555A55" w:rsidRDefault="00F36FBE" w:rsidP="00D44E49">
      <w:pPr>
        <w:keepNext/>
        <w:tabs>
          <w:tab w:val="left" w:pos="1134"/>
          <w:tab w:val="left" w:pos="1559"/>
          <w:tab w:val="left" w:pos="1984"/>
          <w:tab w:val="left" w:leader="dot" w:pos="8929"/>
          <w:tab w:val="right" w:pos="9638"/>
        </w:tabs>
        <w:spacing w:after="120"/>
        <w:ind w:left="1134" w:hanging="708"/>
        <w:rPr>
          <w:rStyle w:val="Lienhypertexte"/>
          <w:lang w:val="fr-FR"/>
        </w:rPr>
      </w:pPr>
      <w:r>
        <w:rPr>
          <w:rStyle w:val="Lienhypertexte"/>
          <w:lang w:val="fr-FR"/>
        </w:rPr>
        <w:tab/>
      </w:r>
      <w:r w:rsidR="00CA2599">
        <w:rPr>
          <w:rStyle w:val="Lienhypertexte"/>
          <w:lang w:val="fr-FR"/>
        </w:rPr>
        <w:t>A</w:t>
      </w:r>
      <w:r w:rsidR="000B0D68" w:rsidRPr="00B86E53">
        <w:rPr>
          <w:lang w:val="fr-FR"/>
        </w:rPr>
        <w:tab/>
        <w:t>Actions contre le VIH/</w:t>
      </w:r>
      <w:r w:rsidR="00D17943">
        <w:rPr>
          <w:lang w:val="fr-FR"/>
        </w:rPr>
        <w:t>s</w:t>
      </w:r>
      <w:r w:rsidR="00D17943" w:rsidRPr="00B86E53">
        <w:rPr>
          <w:lang w:val="fr-FR"/>
        </w:rPr>
        <w:t>ida</w:t>
      </w:r>
      <w:r w:rsidR="000B0D68" w:rsidRPr="00B86E53">
        <w:rPr>
          <w:lang w:val="fr-FR"/>
        </w:rPr>
        <w:t xml:space="preserve"> en général</w:t>
      </w:r>
      <w:r w:rsidR="000B0D68" w:rsidRPr="00B86E53">
        <w:rPr>
          <w:webHidden/>
          <w:lang w:val="fr-FR"/>
        </w:rPr>
        <w:tab/>
      </w:r>
      <w:r w:rsidR="00DE1A8C" w:rsidRPr="00B86E53">
        <w:rPr>
          <w:webHidden/>
          <w:lang w:val="fr-FR"/>
        </w:rPr>
        <w:tab/>
      </w:r>
      <w:r w:rsidR="00627D63">
        <w:rPr>
          <w:webHidden/>
          <w:lang w:val="fr-FR"/>
        </w:rPr>
        <w:t>3</w:t>
      </w:r>
      <w:r w:rsidR="00D17943">
        <w:rPr>
          <w:webHidden/>
          <w:lang w:val="fr-FR"/>
        </w:rPr>
        <w:t>3</w:t>
      </w:r>
    </w:p>
    <w:p w:rsidR="00555A55" w:rsidRDefault="00F36FBE" w:rsidP="00AE634D">
      <w:pPr>
        <w:tabs>
          <w:tab w:val="left" w:pos="1134"/>
          <w:tab w:val="left" w:pos="1559"/>
          <w:tab w:val="left" w:pos="1984"/>
          <w:tab w:val="left" w:leader="dot" w:pos="8929"/>
          <w:tab w:val="right" w:pos="9638"/>
        </w:tabs>
        <w:spacing w:after="120"/>
        <w:ind w:left="1134" w:hanging="708"/>
        <w:rPr>
          <w:rStyle w:val="Lienhypertexte"/>
          <w:lang w:val="fr-FR"/>
        </w:rPr>
      </w:pPr>
      <w:r>
        <w:rPr>
          <w:rStyle w:val="Lienhypertexte"/>
          <w:lang w:val="fr-FR"/>
        </w:rPr>
        <w:tab/>
      </w:r>
      <w:r w:rsidR="00CA2599">
        <w:rPr>
          <w:lang w:val="fr-FR"/>
        </w:rPr>
        <w:t>B.</w:t>
      </w:r>
      <w:r w:rsidR="000B0D68" w:rsidRPr="00B86E53">
        <w:rPr>
          <w:lang w:val="fr-FR"/>
        </w:rPr>
        <w:tab/>
        <w:t>Prise en charge du VIH/</w:t>
      </w:r>
      <w:r w:rsidR="00D17943">
        <w:rPr>
          <w:lang w:val="fr-FR"/>
        </w:rPr>
        <w:t>s</w:t>
      </w:r>
      <w:r w:rsidR="000B0D68" w:rsidRPr="00B86E53">
        <w:rPr>
          <w:lang w:val="fr-FR"/>
        </w:rPr>
        <w:t>ida chez les groupes vulnérables</w:t>
      </w:r>
      <w:r w:rsidR="000B0D68" w:rsidRPr="00B86E53">
        <w:rPr>
          <w:webHidden/>
          <w:lang w:val="fr-FR"/>
        </w:rPr>
        <w:tab/>
      </w:r>
      <w:r w:rsidR="00DE1A8C" w:rsidRPr="00B86E53">
        <w:rPr>
          <w:webHidden/>
          <w:lang w:val="fr-FR"/>
        </w:rPr>
        <w:tab/>
      </w:r>
      <w:r w:rsidR="00FB36CA">
        <w:rPr>
          <w:webHidden/>
          <w:lang w:val="fr-FR"/>
        </w:rPr>
        <w:t>3</w:t>
      </w:r>
      <w:r w:rsidR="00CA2599">
        <w:rPr>
          <w:webHidden/>
          <w:lang w:val="fr-FR"/>
        </w:rPr>
        <w:t>4</w:t>
      </w:r>
    </w:p>
    <w:p w:rsidR="00F36FBE" w:rsidRDefault="00F36FBE" w:rsidP="00AE634D">
      <w:pPr>
        <w:tabs>
          <w:tab w:val="left" w:pos="1134"/>
          <w:tab w:val="left" w:pos="1559"/>
          <w:tab w:val="left" w:pos="1984"/>
          <w:tab w:val="left" w:leader="dot" w:pos="8929"/>
          <w:tab w:val="right" w:pos="9638"/>
        </w:tabs>
        <w:spacing w:after="120"/>
        <w:ind w:left="1134" w:hanging="708"/>
        <w:rPr>
          <w:rStyle w:val="Lienhypertexte"/>
          <w:lang w:val="fr-FR"/>
        </w:rPr>
      </w:pPr>
      <w:r>
        <w:rPr>
          <w:rStyle w:val="Lienhypertexte"/>
          <w:lang w:val="fr-FR"/>
        </w:rPr>
        <w:tab/>
      </w:r>
      <w:r w:rsidR="00CA2599">
        <w:rPr>
          <w:lang w:val="fr-FR"/>
        </w:rPr>
        <w:t>C.</w:t>
      </w:r>
      <w:r w:rsidR="000B0D68" w:rsidRPr="00B86E53">
        <w:rPr>
          <w:lang w:val="fr-FR"/>
        </w:rPr>
        <w:tab/>
        <w:t xml:space="preserve">Sensibilisation des PVVIH sur leurs droits humains et sur la protection légale </w:t>
      </w:r>
      <w:r w:rsidR="006A57AD">
        <w:rPr>
          <w:lang w:val="fr-FR"/>
        </w:rPr>
        <w:br/>
      </w:r>
      <w:r w:rsidR="00111D41">
        <w:rPr>
          <w:lang w:val="fr-FR"/>
        </w:rPr>
        <w:tab/>
      </w:r>
      <w:r w:rsidR="000B0D68" w:rsidRPr="00B86E53">
        <w:rPr>
          <w:lang w:val="fr-FR"/>
        </w:rPr>
        <w:t>les concernant</w:t>
      </w:r>
      <w:r w:rsidR="000B0D68" w:rsidRPr="00B86E53">
        <w:rPr>
          <w:webHidden/>
          <w:lang w:val="fr-FR"/>
        </w:rPr>
        <w:tab/>
      </w:r>
      <w:r w:rsidR="006A57AD">
        <w:rPr>
          <w:webHidden/>
          <w:lang w:val="fr-FR"/>
        </w:rPr>
        <w:tab/>
      </w:r>
      <w:r w:rsidR="00627D63">
        <w:rPr>
          <w:webHidden/>
          <w:lang w:val="fr-FR"/>
        </w:rPr>
        <w:t>3</w:t>
      </w:r>
      <w:r w:rsidR="00962401">
        <w:rPr>
          <w:webHidden/>
          <w:lang w:val="fr-FR"/>
        </w:rPr>
        <w:t>5</w:t>
      </w:r>
    </w:p>
    <w:p w:rsidR="00F36FBE" w:rsidRDefault="00962401" w:rsidP="00EC38FA">
      <w:pPr>
        <w:tabs>
          <w:tab w:val="left" w:pos="851"/>
          <w:tab w:val="left" w:pos="1134"/>
          <w:tab w:val="left" w:pos="1559"/>
          <w:tab w:val="left" w:pos="1984"/>
          <w:tab w:val="left" w:leader="dot" w:pos="8929"/>
          <w:tab w:val="right" w:pos="9638"/>
        </w:tabs>
        <w:spacing w:after="120"/>
        <w:ind w:left="1134" w:hanging="708"/>
        <w:rPr>
          <w:rStyle w:val="Lienhypertexte"/>
          <w:lang w:val="fr-FR"/>
        </w:rPr>
      </w:pPr>
      <w:r>
        <w:rPr>
          <w:lang w:val="fr-FR"/>
        </w:rPr>
        <w:t>X</w:t>
      </w:r>
      <w:r w:rsidR="00DE1A8C" w:rsidRPr="002E4295">
        <w:rPr>
          <w:lang w:val="fr-FR"/>
        </w:rPr>
        <w:t>XVII.</w:t>
      </w:r>
      <w:r w:rsidR="00963F65">
        <w:rPr>
          <w:lang w:val="fr-FR"/>
        </w:rPr>
        <w:tab/>
      </w:r>
      <w:r w:rsidR="000B0D68" w:rsidRPr="00B86E53">
        <w:rPr>
          <w:lang w:val="fr-FR"/>
        </w:rPr>
        <w:t>R</w:t>
      </w:r>
      <w:r w:rsidR="00DE1A8C" w:rsidRPr="00B86E53">
        <w:rPr>
          <w:lang w:val="fr-FR"/>
        </w:rPr>
        <w:t>ec.</w:t>
      </w:r>
      <w:r w:rsidR="00111D41">
        <w:rPr>
          <w:lang w:val="fr-FR"/>
        </w:rPr>
        <w:t> </w:t>
      </w:r>
      <w:r w:rsidR="000B0D68" w:rsidRPr="00B86E53">
        <w:rPr>
          <w:lang w:val="fr-FR"/>
        </w:rPr>
        <w:t>32</w:t>
      </w:r>
      <w:r w:rsidR="00DE1A8C" w:rsidRPr="00B86E53">
        <w:rPr>
          <w:lang w:val="fr-FR"/>
        </w:rPr>
        <w:t>.</w:t>
      </w:r>
      <w:r w:rsidR="00111D41">
        <w:rPr>
          <w:lang w:val="fr-FR"/>
        </w:rPr>
        <w:t> </w:t>
      </w:r>
      <w:r w:rsidR="000B0D68" w:rsidRPr="00B86E53">
        <w:rPr>
          <w:lang w:val="fr-FR"/>
        </w:rPr>
        <w:t>Politique de lutte contre le tabagisme</w:t>
      </w:r>
      <w:r w:rsidR="000B0D68" w:rsidRPr="00B86E53">
        <w:rPr>
          <w:webHidden/>
          <w:lang w:val="fr-FR"/>
        </w:rPr>
        <w:tab/>
      </w:r>
      <w:r w:rsidR="00DE1A8C" w:rsidRPr="00B86E53">
        <w:rPr>
          <w:webHidden/>
          <w:lang w:val="fr-FR"/>
        </w:rPr>
        <w:tab/>
      </w:r>
      <w:r w:rsidR="00B82B9C">
        <w:rPr>
          <w:webHidden/>
          <w:lang w:val="fr-FR"/>
        </w:rPr>
        <w:t>3</w:t>
      </w:r>
      <w:r w:rsidR="00CA2599">
        <w:rPr>
          <w:webHidden/>
          <w:lang w:val="fr-FR"/>
        </w:rPr>
        <w:t>6</w:t>
      </w:r>
    </w:p>
    <w:p w:rsidR="00F36FBE" w:rsidRDefault="00DE1A8C" w:rsidP="00EC38FA">
      <w:pPr>
        <w:tabs>
          <w:tab w:val="left" w:pos="1134"/>
          <w:tab w:val="left" w:pos="1559"/>
          <w:tab w:val="left" w:pos="1984"/>
          <w:tab w:val="left" w:leader="dot" w:pos="8929"/>
          <w:tab w:val="right" w:pos="9638"/>
        </w:tabs>
        <w:spacing w:after="120"/>
        <w:ind w:left="1134" w:hanging="850"/>
        <w:rPr>
          <w:rStyle w:val="Lienhypertexte"/>
          <w:lang w:val="fr-FR"/>
        </w:rPr>
      </w:pPr>
      <w:r w:rsidRPr="002E4295">
        <w:rPr>
          <w:lang w:val="fr-FR"/>
        </w:rPr>
        <w:t>XXVIII</w:t>
      </w:r>
      <w:r w:rsidR="00555A55">
        <w:rPr>
          <w:lang w:val="fr-FR"/>
        </w:rPr>
        <w:t>.</w:t>
      </w:r>
      <w:r w:rsidR="00555A55">
        <w:rPr>
          <w:lang w:val="fr-FR"/>
        </w:rPr>
        <w:tab/>
      </w:r>
      <w:r w:rsidR="000B0D68" w:rsidRPr="00B86E53">
        <w:rPr>
          <w:lang w:val="fr-FR"/>
        </w:rPr>
        <w:t>R</w:t>
      </w:r>
      <w:r w:rsidRPr="00B86E53">
        <w:rPr>
          <w:lang w:val="fr-FR"/>
        </w:rPr>
        <w:t>ec.</w:t>
      </w:r>
      <w:r w:rsidR="00111D41">
        <w:rPr>
          <w:lang w:val="fr-FR"/>
        </w:rPr>
        <w:t> </w:t>
      </w:r>
      <w:r w:rsidRPr="00B86E53">
        <w:rPr>
          <w:lang w:val="fr-FR"/>
        </w:rPr>
        <w:t>33.</w:t>
      </w:r>
      <w:r w:rsidR="00111D41">
        <w:rPr>
          <w:lang w:val="fr-FR"/>
        </w:rPr>
        <w:t> </w:t>
      </w:r>
      <w:r w:rsidR="000B0D68" w:rsidRPr="00B86E53">
        <w:rPr>
          <w:lang w:val="fr-FR"/>
        </w:rPr>
        <w:t>La jouissance du droit à l’éducation dans des conditions d’égalité</w:t>
      </w:r>
      <w:r w:rsidR="000B0D68" w:rsidRPr="00B86E53">
        <w:rPr>
          <w:webHidden/>
          <w:lang w:val="fr-FR"/>
        </w:rPr>
        <w:tab/>
      </w:r>
      <w:r w:rsidRPr="00B86E53">
        <w:rPr>
          <w:webHidden/>
          <w:lang w:val="fr-FR"/>
        </w:rPr>
        <w:tab/>
      </w:r>
      <w:r w:rsidR="00B82B9C">
        <w:rPr>
          <w:webHidden/>
          <w:lang w:val="fr-FR"/>
        </w:rPr>
        <w:t>3</w:t>
      </w:r>
      <w:r w:rsidR="00CA2599">
        <w:rPr>
          <w:webHidden/>
          <w:lang w:val="fr-FR"/>
        </w:rPr>
        <w:t>7</w:t>
      </w:r>
    </w:p>
    <w:p w:rsidR="00F36FBE" w:rsidRDefault="00F36FBE" w:rsidP="00AE634D">
      <w:pPr>
        <w:tabs>
          <w:tab w:val="left" w:pos="1134"/>
          <w:tab w:val="left" w:pos="1559"/>
          <w:tab w:val="left" w:pos="1984"/>
          <w:tab w:val="left" w:leader="dot" w:pos="8929"/>
          <w:tab w:val="right" w:pos="9638"/>
        </w:tabs>
        <w:spacing w:after="120"/>
        <w:ind w:left="1134" w:hanging="850"/>
        <w:rPr>
          <w:rStyle w:val="Lienhypertexte"/>
          <w:lang w:val="fr-FR"/>
        </w:rPr>
      </w:pPr>
      <w:r>
        <w:rPr>
          <w:rStyle w:val="Lienhypertexte"/>
          <w:lang w:val="fr-FR"/>
        </w:rPr>
        <w:tab/>
      </w:r>
      <w:r w:rsidR="000B0D68" w:rsidRPr="00B86E53">
        <w:rPr>
          <w:lang w:val="fr-FR"/>
        </w:rPr>
        <w:t>A</w:t>
      </w:r>
      <w:r w:rsidR="00CA2599">
        <w:rPr>
          <w:lang w:val="fr-FR"/>
        </w:rPr>
        <w:t>.</w:t>
      </w:r>
      <w:r w:rsidR="000B0D68" w:rsidRPr="00B86E53">
        <w:rPr>
          <w:lang w:val="fr-FR"/>
        </w:rPr>
        <w:tab/>
        <w:t>La gratuité et l’accessibilité à l’éducation dans des conditions d’égalité</w:t>
      </w:r>
      <w:r w:rsidR="00DE1A8C" w:rsidRPr="00B86E53">
        <w:rPr>
          <w:lang w:val="fr-FR"/>
        </w:rPr>
        <w:tab/>
      </w:r>
      <w:r w:rsidR="000B0D68" w:rsidRPr="00B86E53">
        <w:rPr>
          <w:webHidden/>
          <w:lang w:val="fr-FR"/>
        </w:rPr>
        <w:tab/>
      </w:r>
      <w:r w:rsidR="00627D63">
        <w:rPr>
          <w:webHidden/>
          <w:lang w:val="fr-FR"/>
        </w:rPr>
        <w:t>3</w:t>
      </w:r>
      <w:r w:rsidR="00962401">
        <w:rPr>
          <w:webHidden/>
          <w:lang w:val="fr-FR"/>
        </w:rPr>
        <w:t>7</w:t>
      </w:r>
    </w:p>
    <w:p w:rsidR="00F36FBE" w:rsidRDefault="00F36FBE" w:rsidP="00AE634D">
      <w:pPr>
        <w:tabs>
          <w:tab w:val="left" w:pos="1134"/>
          <w:tab w:val="left" w:pos="1559"/>
          <w:tab w:val="left" w:pos="1984"/>
          <w:tab w:val="left" w:leader="dot" w:pos="8929"/>
          <w:tab w:val="right" w:pos="9638"/>
        </w:tabs>
        <w:spacing w:after="120"/>
        <w:ind w:left="1134" w:hanging="850"/>
        <w:rPr>
          <w:rStyle w:val="Lienhypertexte"/>
          <w:lang w:val="fr-FR"/>
        </w:rPr>
      </w:pPr>
      <w:r>
        <w:rPr>
          <w:rStyle w:val="Lienhypertexte"/>
          <w:lang w:val="fr-FR"/>
        </w:rPr>
        <w:tab/>
      </w:r>
      <w:r w:rsidR="000B0D68" w:rsidRPr="00B86E53">
        <w:rPr>
          <w:lang w:val="fr-FR"/>
        </w:rPr>
        <w:t>B</w:t>
      </w:r>
      <w:r w:rsidR="00CA2599">
        <w:rPr>
          <w:lang w:val="fr-FR"/>
        </w:rPr>
        <w:t>.</w:t>
      </w:r>
      <w:r w:rsidR="000B0D68" w:rsidRPr="00B86E53">
        <w:rPr>
          <w:lang w:val="fr-FR"/>
        </w:rPr>
        <w:tab/>
        <w:t>L’aide financière aux familles à faibles revenus</w:t>
      </w:r>
      <w:r w:rsidR="000B0D68" w:rsidRPr="00B86E53">
        <w:rPr>
          <w:webHidden/>
          <w:lang w:val="fr-FR"/>
        </w:rPr>
        <w:tab/>
      </w:r>
      <w:r w:rsidR="00CA2599">
        <w:rPr>
          <w:webHidden/>
          <w:lang w:val="fr-FR"/>
        </w:rPr>
        <w:tab/>
        <w:t>37</w:t>
      </w:r>
    </w:p>
    <w:p w:rsidR="00F36FBE" w:rsidRDefault="00F36FBE" w:rsidP="00AE634D">
      <w:pPr>
        <w:tabs>
          <w:tab w:val="left" w:pos="1134"/>
          <w:tab w:val="left" w:pos="1559"/>
          <w:tab w:val="left" w:pos="1984"/>
          <w:tab w:val="left" w:leader="dot" w:pos="8929"/>
          <w:tab w:val="right" w:pos="9638"/>
        </w:tabs>
        <w:spacing w:after="120"/>
        <w:ind w:left="1134" w:hanging="850"/>
        <w:rPr>
          <w:rStyle w:val="Lienhypertexte"/>
          <w:lang w:val="fr-FR"/>
        </w:rPr>
      </w:pPr>
      <w:r>
        <w:rPr>
          <w:rStyle w:val="Lienhypertexte"/>
          <w:lang w:val="fr-FR"/>
        </w:rPr>
        <w:tab/>
      </w:r>
      <w:r w:rsidR="00CA2599">
        <w:rPr>
          <w:lang w:val="fr-FR"/>
        </w:rPr>
        <w:t>C.</w:t>
      </w:r>
      <w:r w:rsidR="000B0D68" w:rsidRPr="00B86E53">
        <w:rPr>
          <w:lang w:val="fr-FR"/>
        </w:rPr>
        <w:tab/>
        <w:t>Mesures visant à réduire le taux d’abandon scolaire</w:t>
      </w:r>
      <w:r w:rsidR="000B0D68" w:rsidRPr="00B86E53">
        <w:rPr>
          <w:webHidden/>
          <w:lang w:val="fr-FR"/>
        </w:rPr>
        <w:tab/>
      </w:r>
      <w:r w:rsidR="00DE1A8C" w:rsidRPr="00B86E53">
        <w:rPr>
          <w:webHidden/>
          <w:lang w:val="fr-FR"/>
        </w:rPr>
        <w:tab/>
      </w:r>
      <w:r w:rsidR="00B82B9C">
        <w:rPr>
          <w:webHidden/>
          <w:lang w:val="fr-FR"/>
        </w:rPr>
        <w:t>3</w:t>
      </w:r>
      <w:r w:rsidR="00CA2599">
        <w:rPr>
          <w:webHidden/>
          <w:lang w:val="fr-FR"/>
        </w:rPr>
        <w:t>8</w:t>
      </w:r>
    </w:p>
    <w:p w:rsidR="00F36FBE" w:rsidRDefault="00F36FBE" w:rsidP="00CA2599">
      <w:pPr>
        <w:tabs>
          <w:tab w:val="left" w:pos="1134"/>
          <w:tab w:val="left" w:pos="1559"/>
          <w:tab w:val="left" w:pos="1984"/>
          <w:tab w:val="left" w:leader="dot" w:pos="8929"/>
          <w:tab w:val="right" w:pos="9638"/>
        </w:tabs>
        <w:spacing w:after="120"/>
        <w:ind w:left="1134" w:hanging="850"/>
        <w:rPr>
          <w:rStyle w:val="Lienhypertexte"/>
          <w:lang w:val="fr-FR"/>
        </w:rPr>
      </w:pPr>
      <w:r>
        <w:rPr>
          <w:rStyle w:val="Lienhypertexte"/>
          <w:lang w:val="fr-FR"/>
        </w:rPr>
        <w:tab/>
      </w:r>
      <w:r w:rsidR="00CA2599">
        <w:rPr>
          <w:rStyle w:val="Lienhypertexte"/>
          <w:lang w:val="fr-FR"/>
        </w:rPr>
        <w:t>D.</w:t>
      </w:r>
      <w:r w:rsidR="000B0D68" w:rsidRPr="00CA2599">
        <w:rPr>
          <w:rStyle w:val="Lienhypertexte"/>
          <w:lang w:val="fr-FR"/>
        </w:rPr>
        <w:tab/>
        <w:t>La professionnalisation de l’enseignement supérieur</w:t>
      </w:r>
      <w:r w:rsidR="000B0D68" w:rsidRPr="00CA2599">
        <w:rPr>
          <w:rStyle w:val="Lienhypertexte"/>
          <w:webHidden/>
          <w:lang w:val="fr-FR"/>
        </w:rPr>
        <w:tab/>
      </w:r>
      <w:r w:rsidR="00DE1A8C" w:rsidRPr="00CA2599">
        <w:rPr>
          <w:rStyle w:val="Lienhypertexte"/>
          <w:webHidden/>
          <w:lang w:val="fr-FR"/>
        </w:rPr>
        <w:tab/>
      </w:r>
      <w:r w:rsidR="00B82B9C" w:rsidRPr="00CA2599">
        <w:rPr>
          <w:rStyle w:val="Lienhypertexte"/>
          <w:webHidden/>
          <w:lang w:val="fr-FR"/>
        </w:rPr>
        <w:t>3</w:t>
      </w:r>
      <w:r w:rsidR="00CA2599">
        <w:rPr>
          <w:rStyle w:val="Lienhypertexte"/>
          <w:webHidden/>
          <w:lang w:val="fr-FR"/>
        </w:rPr>
        <w:t>8</w:t>
      </w:r>
    </w:p>
    <w:p w:rsidR="00F36FBE" w:rsidRDefault="00DE1A8C" w:rsidP="00AE634D">
      <w:pPr>
        <w:tabs>
          <w:tab w:val="left" w:pos="1134"/>
          <w:tab w:val="left" w:pos="1559"/>
          <w:tab w:val="left" w:pos="1984"/>
          <w:tab w:val="left" w:leader="dot" w:pos="8929"/>
          <w:tab w:val="right" w:pos="9638"/>
        </w:tabs>
        <w:spacing w:after="120"/>
        <w:ind w:left="1134" w:hanging="850"/>
        <w:rPr>
          <w:rStyle w:val="Lienhypertexte"/>
          <w:lang w:val="fr-FR"/>
        </w:rPr>
      </w:pPr>
      <w:r w:rsidRPr="002E4295">
        <w:rPr>
          <w:lang w:val="fr-FR"/>
        </w:rPr>
        <w:t>XXIX.</w:t>
      </w:r>
      <w:r w:rsidR="00F36FBE">
        <w:rPr>
          <w:lang w:val="fr-FR"/>
        </w:rPr>
        <w:tab/>
      </w:r>
      <w:r w:rsidR="000B0D68" w:rsidRPr="00B86E53">
        <w:rPr>
          <w:lang w:val="fr-FR"/>
        </w:rPr>
        <w:t>R</w:t>
      </w:r>
      <w:r w:rsidR="00510DC6" w:rsidRPr="00B86E53">
        <w:rPr>
          <w:lang w:val="fr-FR"/>
        </w:rPr>
        <w:t>ec.</w:t>
      </w:r>
      <w:r w:rsidR="00111D41">
        <w:rPr>
          <w:lang w:val="fr-FR"/>
        </w:rPr>
        <w:t> </w:t>
      </w:r>
      <w:r w:rsidR="000B0D68" w:rsidRPr="00B86E53">
        <w:rPr>
          <w:lang w:val="fr-FR"/>
        </w:rPr>
        <w:t>34</w:t>
      </w:r>
      <w:r w:rsidR="006C2882" w:rsidRPr="00B86E53">
        <w:rPr>
          <w:lang w:val="fr-FR"/>
        </w:rPr>
        <w:t>.</w:t>
      </w:r>
      <w:r w:rsidR="007066DB">
        <w:rPr>
          <w:lang w:val="fr-FR"/>
        </w:rPr>
        <w:t> </w:t>
      </w:r>
      <w:r w:rsidR="007066DB" w:rsidRPr="002E4295">
        <w:rPr>
          <w:lang w:val="fr-FR"/>
        </w:rPr>
        <w:t>Droits des populations autochtones</w:t>
      </w:r>
      <w:r w:rsidR="000B0D68" w:rsidRPr="00B86E53">
        <w:rPr>
          <w:webHidden/>
          <w:lang w:val="fr-FR"/>
        </w:rPr>
        <w:tab/>
      </w:r>
      <w:r w:rsidRPr="00B86E53">
        <w:rPr>
          <w:webHidden/>
          <w:lang w:val="fr-FR"/>
        </w:rPr>
        <w:tab/>
      </w:r>
      <w:r w:rsidR="00AC6DAA">
        <w:rPr>
          <w:webHidden/>
          <w:lang w:val="fr-FR"/>
        </w:rPr>
        <w:t>3</w:t>
      </w:r>
      <w:r w:rsidR="00962401">
        <w:rPr>
          <w:webHidden/>
          <w:lang w:val="fr-FR"/>
        </w:rPr>
        <w:t>9</w:t>
      </w:r>
    </w:p>
    <w:p w:rsidR="00F36FBE" w:rsidRDefault="00F36FBE" w:rsidP="00AE634D">
      <w:pPr>
        <w:tabs>
          <w:tab w:val="left" w:pos="1134"/>
          <w:tab w:val="left" w:pos="1559"/>
          <w:tab w:val="left" w:pos="1984"/>
          <w:tab w:val="left" w:leader="dot" w:pos="8929"/>
          <w:tab w:val="right" w:pos="9638"/>
        </w:tabs>
        <w:spacing w:after="120"/>
        <w:ind w:left="1134" w:hanging="850"/>
        <w:rPr>
          <w:rStyle w:val="Lienhypertexte"/>
          <w:lang w:val="fr-FR"/>
        </w:rPr>
      </w:pPr>
      <w:r>
        <w:rPr>
          <w:rStyle w:val="Lienhypertexte"/>
          <w:lang w:val="fr-FR"/>
        </w:rPr>
        <w:tab/>
      </w:r>
      <w:r w:rsidR="00CA2599">
        <w:rPr>
          <w:lang w:val="fr-FR"/>
        </w:rPr>
        <w:t>A.</w:t>
      </w:r>
      <w:r w:rsidR="000B0D68" w:rsidRPr="00B86E53">
        <w:rPr>
          <w:lang w:val="fr-FR"/>
        </w:rPr>
        <w:tab/>
        <w:t>Sur le droit d’accès aux terres ancestrales et aux ressources qui s’y trouvent</w:t>
      </w:r>
      <w:r w:rsidR="000B0D68" w:rsidRPr="00B86E53">
        <w:rPr>
          <w:webHidden/>
          <w:lang w:val="fr-FR"/>
        </w:rPr>
        <w:tab/>
      </w:r>
      <w:r w:rsidR="00DE1A8C" w:rsidRPr="00B86E53">
        <w:rPr>
          <w:webHidden/>
          <w:lang w:val="fr-FR"/>
        </w:rPr>
        <w:tab/>
      </w:r>
      <w:r w:rsidR="00AC6DAA">
        <w:rPr>
          <w:webHidden/>
          <w:lang w:val="fr-FR"/>
        </w:rPr>
        <w:t>3</w:t>
      </w:r>
      <w:r w:rsidR="00962401">
        <w:rPr>
          <w:webHidden/>
          <w:lang w:val="fr-FR"/>
        </w:rPr>
        <w:t>9</w:t>
      </w:r>
    </w:p>
    <w:p w:rsidR="00F36FBE" w:rsidRDefault="00F36FBE" w:rsidP="00AE634D">
      <w:pPr>
        <w:tabs>
          <w:tab w:val="left" w:pos="1134"/>
          <w:tab w:val="left" w:pos="1559"/>
          <w:tab w:val="left" w:pos="1984"/>
          <w:tab w:val="left" w:leader="dot" w:pos="8929"/>
          <w:tab w:val="right" w:pos="9638"/>
        </w:tabs>
        <w:spacing w:after="120"/>
        <w:ind w:left="1134" w:hanging="850"/>
        <w:rPr>
          <w:rStyle w:val="Lienhypertexte"/>
          <w:lang w:val="fr-FR"/>
        </w:rPr>
      </w:pPr>
      <w:r>
        <w:rPr>
          <w:rStyle w:val="Lienhypertexte"/>
          <w:lang w:val="fr-FR"/>
        </w:rPr>
        <w:tab/>
      </w:r>
      <w:r w:rsidR="00CA2599">
        <w:rPr>
          <w:lang w:val="fr-FR"/>
        </w:rPr>
        <w:t>B.</w:t>
      </w:r>
      <w:r w:rsidR="000B0D68" w:rsidRPr="00B86E53">
        <w:rPr>
          <w:lang w:val="fr-FR"/>
        </w:rPr>
        <w:tab/>
        <w:t xml:space="preserve">Le principe de participation et la protection de l’identification distinctive culturelle </w:t>
      </w:r>
      <w:r w:rsidR="006A57AD">
        <w:rPr>
          <w:lang w:val="fr-FR"/>
        </w:rPr>
        <w:br/>
      </w:r>
      <w:r w:rsidR="00925847">
        <w:rPr>
          <w:lang w:val="fr-FR"/>
        </w:rPr>
        <w:tab/>
      </w:r>
      <w:r w:rsidR="000B0D68" w:rsidRPr="00B86E53">
        <w:rPr>
          <w:lang w:val="fr-FR"/>
        </w:rPr>
        <w:t>des peuples autochtones</w:t>
      </w:r>
      <w:r w:rsidR="000B0D68" w:rsidRPr="00B86E53">
        <w:rPr>
          <w:webHidden/>
          <w:lang w:val="fr-FR"/>
        </w:rPr>
        <w:tab/>
      </w:r>
      <w:r w:rsidR="00FD7420" w:rsidRPr="00B86E53">
        <w:rPr>
          <w:webHidden/>
          <w:lang w:val="fr-FR"/>
        </w:rPr>
        <w:tab/>
      </w:r>
      <w:r w:rsidR="00AC6DAA">
        <w:rPr>
          <w:webHidden/>
          <w:lang w:val="fr-FR"/>
        </w:rPr>
        <w:t>3</w:t>
      </w:r>
      <w:r w:rsidR="00962401">
        <w:rPr>
          <w:webHidden/>
          <w:lang w:val="fr-FR"/>
        </w:rPr>
        <w:t>9</w:t>
      </w:r>
    </w:p>
    <w:p w:rsidR="00F36FBE" w:rsidRDefault="00EC38FA" w:rsidP="00AE634D">
      <w:pPr>
        <w:tabs>
          <w:tab w:val="left" w:pos="1134"/>
          <w:tab w:val="left" w:pos="1559"/>
          <w:tab w:val="left" w:pos="1984"/>
          <w:tab w:val="left" w:leader="dot" w:pos="8929"/>
          <w:tab w:val="right" w:pos="9638"/>
        </w:tabs>
        <w:spacing w:after="120"/>
        <w:ind w:left="1134" w:hanging="850"/>
        <w:rPr>
          <w:rStyle w:val="Lienhypertexte"/>
          <w:lang w:val="fr-FR"/>
        </w:rPr>
      </w:pPr>
      <w:r>
        <w:rPr>
          <w:lang w:val="fr-FR"/>
        </w:rPr>
        <w:t>XXX.</w:t>
      </w:r>
      <w:r>
        <w:rPr>
          <w:lang w:val="fr-FR"/>
        </w:rPr>
        <w:tab/>
      </w:r>
      <w:r w:rsidR="000B0D68" w:rsidRPr="00B86E53">
        <w:rPr>
          <w:lang w:val="fr-FR"/>
        </w:rPr>
        <w:t>R</w:t>
      </w:r>
      <w:r w:rsidR="00DE1A8C" w:rsidRPr="00B86E53">
        <w:rPr>
          <w:lang w:val="fr-FR"/>
        </w:rPr>
        <w:t>ec.</w:t>
      </w:r>
      <w:r w:rsidR="00111D41">
        <w:rPr>
          <w:lang w:val="fr-FR"/>
        </w:rPr>
        <w:t> </w:t>
      </w:r>
      <w:r w:rsidR="006C2882" w:rsidRPr="00B86E53">
        <w:rPr>
          <w:lang w:val="fr-FR"/>
        </w:rPr>
        <w:t>35 et</w:t>
      </w:r>
      <w:r w:rsidR="000B0D68" w:rsidRPr="00B86E53">
        <w:rPr>
          <w:lang w:val="fr-FR"/>
        </w:rPr>
        <w:t xml:space="preserve"> </w:t>
      </w:r>
      <w:r w:rsidR="006C2882" w:rsidRPr="00B86E53">
        <w:rPr>
          <w:lang w:val="fr-FR"/>
        </w:rPr>
        <w:t>36.</w:t>
      </w:r>
      <w:r w:rsidR="00111D41">
        <w:rPr>
          <w:lang w:val="fr-FR"/>
        </w:rPr>
        <w:t> </w:t>
      </w:r>
      <w:r w:rsidR="000B0D68" w:rsidRPr="00B86E53">
        <w:rPr>
          <w:lang w:val="fr-FR"/>
        </w:rPr>
        <w:t>Ratification de certains textes internationaux</w:t>
      </w:r>
      <w:r w:rsidR="000B0D68" w:rsidRPr="00B86E53">
        <w:rPr>
          <w:webHidden/>
          <w:lang w:val="fr-FR"/>
        </w:rPr>
        <w:tab/>
      </w:r>
      <w:r w:rsidR="00DE1A8C" w:rsidRPr="00B86E53">
        <w:rPr>
          <w:webHidden/>
          <w:lang w:val="fr-FR"/>
        </w:rPr>
        <w:tab/>
      </w:r>
      <w:r w:rsidR="00CA2599">
        <w:rPr>
          <w:webHidden/>
          <w:lang w:val="fr-FR"/>
        </w:rPr>
        <w:t>39</w:t>
      </w:r>
    </w:p>
    <w:p w:rsidR="00F36FBE" w:rsidRDefault="00DE1A8C" w:rsidP="00AE634D">
      <w:pPr>
        <w:tabs>
          <w:tab w:val="left" w:pos="1134"/>
          <w:tab w:val="left" w:pos="1559"/>
          <w:tab w:val="left" w:pos="1984"/>
          <w:tab w:val="left" w:leader="dot" w:pos="8929"/>
          <w:tab w:val="right" w:pos="9638"/>
        </w:tabs>
        <w:spacing w:after="120"/>
        <w:ind w:left="1134" w:hanging="850"/>
        <w:rPr>
          <w:webHidden/>
          <w:lang w:val="fr-FR"/>
        </w:rPr>
      </w:pPr>
      <w:r w:rsidRPr="002E4295">
        <w:rPr>
          <w:lang w:val="fr-FR"/>
        </w:rPr>
        <w:t>XXXI.</w:t>
      </w:r>
      <w:r w:rsidR="00F36FBE">
        <w:rPr>
          <w:lang w:val="fr-FR"/>
        </w:rPr>
        <w:tab/>
      </w:r>
      <w:r w:rsidRPr="00B86E53">
        <w:rPr>
          <w:lang w:val="fr-FR"/>
        </w:rPr>
        <w:t>Rec.</w:t>
      </w:r>
      <w:r w:rsidR="00111D41">
        <w:rPr>
          <w:lang w:val="fr-FR"/>
        </w:rPr>
        <w:t> </w:t>
      </w:r>
      <w:r w:rsidR="006C2882" w:rsidRPr="00B86E53">
        <w:rPr>
          <w:lang w:val="fr-FR"/>
        </w:rPr>
        <w:t>37.</w:t>
      </w:r>
      <w:r w:rsidR="00111D41">
        <w:rPr>
          <w:lang w:val="fr-FR"/>
        </w:rPr>
        <w:t> </w:t>
      </w:r>
      <w:r w:rsidR="000B0D68" w:rsidRPr="00B86E53">
        <w:rPr>
          <w:lang w:val="fr-FR"/>
        </w:rPr>
        <w:t>Collaboration avec certaines Procédures Spéciales des Nations Unies</w:t>
      </w:r>
      <w:r w:rsidRPr="00B86E53">
        <w:rPr>
          <w:lang w:val="fr-FR"/>
        </w:rPr>
        <w:tab/>
      </w:r>
      <w:r w:rsidR="000B0D68" w:rsidRPr="00B86E53">
        <w:rPr>
          <w:webHidden/>
          <w:lang w:val="fr-FR"/>
        </w:rPr>
        <w:tab/>
      </w:r>
      <w:r w:rsidR="00AC6DAA">
        <w:rPr>
          <w:webHidden/>
          <w:lang w:val="fr-FR"/>
        </w:rPr>
        <w:t>3</w:t>
      </w:r>
      <w:r w:rsidR="00962401">
        <w:rPr>
          <w:webHidden/>
          <w:lang w:val="fr-FR"/>
        </w:rPr>
        <w:t>9</w:t>
      </w:r>
    </w:p>
    <w:p w:rsidR="00B82B9C" w:rsidRDefault="00B82B9C" w:rsidP="00AE634D">
      <w:pPr>
        <w:tabs>
          <w:tab w:val="left" w:pos="1134"/>
          <w:tab w:val="left" w:pos="1559"/>
          <w:tab w:val="left" w:pos="1984"/>
          <w:tab w:val="left" w:leader="dot" w:pos="8929"/>
          <w:tab w:val="right" w:pos="9638"/>
        </w:tabs>
        <w:spacing w:after="120"/>
        <w:ind w:left="1134" w:hanging="850"/>
        <w:rPr>
          <w:webHidden/>
          <w:lang w:val="fr-FR"/>
        </w:rPr>
      </w:pPr>
      <w:r>
        <w:rPr>
          <w:webHidden/>
          <w:lang w:val="fr-FR"/>
        </w:rPr>
        <w:t>XXXII.</w:t>
      </w:r>
      <w:r>
        <w:rPr>
          <w:webHidden/>
          <w:lang w:val="fr-FR"/>
        </w:rPr>
        <w:tab/>
      </w:r>
      <w:r w:rsidRPr="002E4295">
        <w:rPr>
          <w:lang w:val="fr-FR"/>
        </w:rPr>
        <w:t>R</w:t>
      </w:r>
      <w:r>
        <w:rPr>
          <w:lang w:val="fr-FR"/>
        </w:rPr>
        <w:t>ec.</w:t>
      </w:r>
      <w:r w:rsidR="00111D41">
        <w:rPr>
          <w:lang w:val="fr-FR"/>
        </w:rPr>
        <w:t> </w:t>
      </w:r>
      <w:r>
        <w:rPr>
          <w:lang w:val="fr-FR"/>
        </w:rPr>
        <w:t>38.</w:t>
      </w:r>
      <w:r w:rsidR="00111D41">
        <w:rPr>
          <w:lang w:val="fr-FR"/>
        </w:rPr>
        <w:t> </w:t>
      </w:r>
      <w:r w:rsidRPr="002E4295">
        <w:rPr>
          <w:lang w:val="fr-FR"/>
        </w:rPr>
        <w:t>Collaboration avec le système des Nations Un</w:t>
      </w:r>
      <w:r w:rsidR="00CA2599">
        <w:rPr>
          <w:lang w:val="fr-FR"/>
        </w:rPr>
        <w:t>ies</w:t>
      </w:r>
      <w:r w:rsidR="00CA2599">
        <w:rPr>
          <w:lang w:val="fr-FR"/>
        </w:rPr>
        <w:tab/>
      </w:r>
      <w:r w:rsidR="00CA2599">
        <w:rPr>
          <w:lang w:val="fr-FR"/>
        </w:rPr>
        <w:tab/>
        <w:t>40</w:t>
      </w:r>
    </w:p>
    <w:p w:rsidR="000B0D68" w:rsidRPr="002E4295" w:rsidRDefault="00DE1A8C" w:rsidP="00AE634D">
      <w:pPr>
        <w:tabs>
          <w:tab w:val="left" w:pos="1134"/>
          <w:tab w:val="left" w:pos="1559"/>
          <w:tab w:val="left" w:pos="1984"/>
          <w:tab w:val="left" w:leader="dot" w:pos="8929"/>
          <w:tab w:val="right" w:pos="9638"/>
        </w:tabs>
        <w:spacing w:after="120"/>
        <w:ind w:left="1134" w:hanging="850"/>
        <w:rPr>
          <w:lang w:val="fr-FR"/>
        </w:rPr>
      </w:pPr>
      <w:r w:rsidRPr="002E4295">
        <w:rPr>
          <w:lang w:val="fr-FR"/>
        </w:rPr>
        <w:t>XXX</w:t>
      </w:r>
      <w:r w:rsidR="00B82B9C">
        <w:rPr>
          <w:lang w:val="fr-FR"/>
        </w:rPr>
        <w:t>I</w:t>
      </w:r>
      <w:r w:rsidRPr="002E4295">
        <w:rPr>
          <w:lang w:val="fr-FR"/>
        </w:rPr>
        <w:t>II.</w:t>
      </w:r>
      <w:r w:rsidR="00F36FBE">
        <w:rPr>
          <w:lang w:val="fr-FR"/>
        </w:rPr>
        <w:tab/>
      </w:r>
      <w:r w:rsidR="000B0D68" w:rsidRPr="00B86E53">
        <w:rPr>
          <w:lang w:val="fr-FR"/>
        </w:rPr>
        <w:t>R</w:t>
      </w:r>
      <w:r w:rsidRPr="00B86E53">
        <w:rPr>
          <w:lang w:val="fr-FR"/>
        </w:rPr>
        <w:t>ec.</w:t>
      </w:r>
      <w:r w:rsidR="00111D41">
        <w:rPr>
          <w:lang w:val="fr-FR"/>
        </w:rPr>
        <w:t> </w:t>
      </w:r>
      <w:r w:rsidR="000B0D68" w:rsidRPr="00B86E53">
        <w:rPr>
          <w:lang w:val="fr-FR"/>
        </w:rPr>
        <w:t>39</w:t>
      </w:r>
      <w:r w:rsidR="006C2882" w:rsidRPr="00B86E53">
        <w:rPr>
          <w:lang w:val="fr-FR"/>
        </w:rPr>
        <w:t>.</w:t>
      </w:r>
      <w:r w:rsidR="00111D41">
        <w:rPr>
          <w:lang w:val="fr-FR"/>
        </w:rPr>
        <w:t> </w:t>
      </w:r>
      <w:r w:rsidR="000B0D68" w:rsidRPr="00B86E53">
        <w:rPr>
          <w:lang w:val="fr-FR"/>
        </w:rPr>
        <w:t xml:space="preserve">Diffusion des </w:t>
      </w:r>
      <w:r w:rsidR="00A304EB">
        <w:rPr>
          <w:lang w:val="fr-FR"/>
        </w:rPr>
        <w:t>o</w:t>
      </w:r>
      <w:r w:rsidR="000B0D68" w:rsidRPr="00B86E53">
        <w:rPr>
          <w:lang w:val="fr-FR"/>
        </w:rPr>
        <w:t>bservations finales</w:t>
      </w:r>
      <w:r w:rsidR="000B0D68" w:rsidRPr="00B86E53">
        <w:rPr>
          <w:webHidden/>
          <w:lang w:val="fr-FR"/>
        </w:rPr>
        <w:tab/>
      </w:r>
      <w:r w:rsidRPr="00B86E53">
        <w:rPr>
          <w:webHidden/>
          <w:lang w:val="fr-FR"/>
        </w:rPr>
        <w:tab/>
      </w:r>
      <w:r w:rsidR="00AC6DAA">
        <w:rPr>
          <w:webHidden/>
          <w:lang w:val="fr-FR"/>
        </w:rPr>
        <w:t>4</w:t>
      </w:r>
      <w:r w:rsidR="00962401">
        <w:rPr>
          <w:webHidden/>
          <w:lang w:val="fr-FR"/>
        </w:rPr>
        <w:t>1</w:t>
      </w:r>
    </w:p>
    <w:p w:rsidR="00D77A85" w:rsidRPr="002E4295" w:rsidRDefault="00D77A85" w:rsidP="00AE634D">
      <w:pPr>
        <w:rPr>
          <w:sz w:val="30"/>
          <w:szCs w:val="24"/>
          <w:lang w:val="fr-FR"/>
        </w:rPr>
      </w:pPr>
      <w:r w:rsidRPr="002E4295">
        <w:rPr>
          <w:lang w:val="fr-FR"/>
        </w:rPr>
        <w:br w:type="page"/>
      </w:r>
    </w:p>
    <w:p w:rsidR="007E3159" w:rsidRPr="002E4295" w:rsidRDefault="002D1C2E" w:rsidP="009E44DD">
      <w:pPr>
        <w:pStyle w:val="HChG"/>
      </w:pPr>
      <w:r w:rsidRPr="002E4295">
        <w:lastRenderedPageBreak/>
        <w:tab/>
      </w:r>
      <w:r w:rsidRPr="002E4295">
        <w:tab/>
      </w:r>
      <w:r w:rsidR="007E3159" w:rsidRPr="002E4295">
        <w:t>L</w:t>
      </w:r>
      <w:r w:rsidRPr="002E4295">
        <w:t xml:space="preserve">iste des sigles et des </w:t>
      </w:r>
      <w:r w:rsidR="00A048C9" w:rsidRPr="002E4295">
        <w:t>abréviations</w:t>
      </w:r>
    </w:p>
    <w:p w:rsidR="00696243" w:rsidRPr="009E44DD" w:rsidRDefault="00696243" w:rsidP="0017665A">
      <w:pPr>
        <w:pStyle w:val="SingleTxtG"/>
        <w:spacing w:after="60" w:line="240" w:lineRule="auto"/>
        <w:ind w:left="3399" w:hanging="2265"/>
        <w:jc w:val="left"/>
        <w:rPr>
          <w:lang w:val="fr-FR"/>
        </w:rPr>
      </w:pPr>
      <w:r w:rsidRPr="009E44DD">
        <w:rPr>
          <w:lang w:val="fr-FR"/>
        </w:rPr>
        <w:t>ACMS</w:t>
      </w:r>
      <w:r w:rsidRPr="009E44DD">
        <w:rPr>
          <w:b/>
          <w:lang w:val="fr-FR"/>
        </w:rPr>
        <w:tab/>
      </w:r>
      <w:r w:rsidRPr="009E44DD">
        <w:rPr>
          <w:b/>
          <w:lang w:val="fr-FR"/>
        </w:rPr>
        <w:tab/>
      </w:r>
      <w:r w:rsidR="007E3159" w:rsidRPr="009E44DD">
        <w:rPr>
          <w:lang w:val="fr-FR"/>
        </w:rPr>
        <w:t>Association Camerounaise de Marketing Social</w:t>
      </w:r>
    </w:p>
    <w:p w:rsidR="007E3159" w:rsidRPr="009E44DD" w:rsidRDefault="00696243" w:rsidP="0017665A">
      <w:pPr>
        <w:pStyle w:val="SingleTxtG"/>
        <w:spacing w:after="60" w:line="240" w:lineRule="auto"/>
        <w:ind w:left="3399" w:hanging="2265"/>
        <w:jc w:val="left"/>
        <w:rPr>
          <w:lang w:val="fr-FR"/>
        </w:rPr>
      </w:pPr>
      <w:r w:rsidRPr="009E44DD">
        <w:rPr>
          <w:lang w:val="fr-FR"/>
        </w:rPr>
        <w:t>ANIF</w:t>
      </w:r>
      <w:r w:rsidRPr="009E44DD">
        <w:rPr>
          <w:b/>
          <w:lang w:val="fr-FR"/>
        </w:rPr>
        <w:tab/>
      </w:r>
      <w:r w:rsidR="002D1C2E" w:rsidRPr="009E44DD">
        <w:rPr>
          <w:b/>
          <w:lang w:val="fr-FR"/>
        </w:rPr>
        <w:tab/>
      </w:r>
      <w:r w:rsidR="007E3159" w:rsidRPr="009E44DD">
        <w:rPr>
          <w:lang w:val="fr-FR"/>
        </w:rPr>
        <w:t>Agence Nationale d’Investigation Financière</w:t>
      </w:r>
    </w:p>
    <w:p w:rsidR="007E3159" w:rsidRPr="009E44DD" w:rsidRDefault="00696243" w:rsidP="0017665A">
      <w:pPr>
        <w:pStyle w:val="SingleTxtG"/>
        <w:spacing w:after="60" w:line="240" w:lineRule="auto"/>
        <w:ind w:left="3399" w:hanging="2265"/>
        <w:jc w:val="left"/>
        <w:rPr>
          <w:b/>
          <w:lang w:val="fr-FR"/>
        </w:rPr>
      </w:pPr>
      <w:r w:rsidRPr="009E44DD">
        <w:rPr>
          <w:lang w:val="fr-FR"/>
        </w:rPr>
        <w:t>ARV</w:t>
      </w:r>
      <w:r w:rsidRPr="009E44DD">
        <w:rPr>
          <w:b/>
          <w:lang w:val="fr-FR"/>
        </w:rPr>
        <w:tab/>
      </w:r>
      <w:r w:rsidRPr="009E44DD">
        <w:rPr>
          <w:b/>
          <w:lang w:val="fr-FR"/>
        </w:rPr>
        <w:tab/>
      </w:r>
      <w:r w:rsidR="007E3159" w:rsidRPr="009E44DD">
        <w:rPr>
          <w:lang w:val="fr-FR"/>
        </w:rPr>
        <w:t>Antirétroviraux</w:t>
      </w:r>
    </w:p>
    <w:p w:rsidR="007E3159" w:rsidRPr="009E44DD" w:rsidRDefault="007E3159" w:rsidP="0017665A">
      <w:pPr>
        <w:pStyle w:val="SingleTxtG"/>
        <w:spacing w:after="60" w:line="240" w:lineRule="auto"/>
        <w:ind w:left="3399" w:hanging="2265"/>
        <w:jc w:val="left"/>
        <w:rPr>
          <w:lang w:val="fr-FR"/>
        </w:rPr>
      </w:pPr>
      <w:r w:rsidRPr="009E44DD">
        <w:rPr>
          <w:lang w:val="fr-FR"/>
        </w:rPr>
        <w:t>AUF</w:t>
      </w:r>
      <w:r w:rsidRPr="009E44DD">
        <w:rPr>
          <w:lang w:val="fr-FR"/>
        </w:rPr>
        <w:tab/>
      </w:r>
      <w:r w:rsidRPr="009E44DD">
        <w:rPr>
          <w:lang w:val="fr-FR"/>
        </w:rPr>
        <w:tab/>
        <w:t>Agence Universitaire de la Francophonie</w:t>
      </w:r>
    </w:p>
    <w:p w:rsidR="007E3159" w:rsidRPr="009E44DD" w:rsidRDefault="007E3159" w:rsidP="0017665A">
      <w:pPr>
        <w:pStyle w:val="SingleTxtG"/>
        <w:spacing w:after="60" w:line="240" w:lineRule="auto"/>
        <w:ind w:left="3399" w:hanging="2265"/>
        <w:jc w:val="left"/>
        <w:rPr>
          <w:lang w:val="fr-FR"/>
        </w:rPr>
      </w:pPr>
      <w:r w:rsidRPr="009E44DD">
        <w:rPr>
          <w:lang w:val="fr-FR"/>
        </w:rPr>
        <w:t>BAD</w:t>
      </w:r>
      <w:r w:rsidRPr="009E44DD">
        <w:rPr>
          <w:lang w:val="fr-FR"/>
        </w:rPr>
        <w:tab/>
      </w:r>
      <w:r w:rsidRPr="009E44DD">
        <w:rPr>
          <w:lang w:val="fr-FR"/>
        </w:rPr>
        <w:tab/>
        <w:t>Banque Africaine de Développement</w:t>
      </w:r>
    </w:p>
    <w:p w:rsidR="007E3159" w:rsidRPr="009E44DD" w:rsidRDefault="007E3159" w:rsidP="0017665A">
      <w:pPr>
        <w:pStyle w:val="SingleTxtG"/>
        <w:spacing w:after="60" w:line="240" w:lineRule="auto"/>
        <w:ind w:left="3399" w:hanging="2265"/>
        <w:jc w:val="left"/>
        <w:rPr>
          <w:lang w:val="fr-FR"/>
        </w:rPr>
      </w:pPr>
      <w:r w:rsidRPr="009E44DD">
        <w:rPr>
          <w:lang w:val="fr-FR"/>
        </w:rPr>
        <w:t>BDEAC</w:t>
      </w:r>
      <w:r w:rsidRPr="009E44DD">
        <w:rPr>
          <w:lang w:val="fr-FR"/>
        </w:rPr>
        <w:tab/>
      </w:r>
      <w:r w:rsidR="00696243" w:rsidRPr="009E44DD">
        <w:rPr>
          <w:lang w:val="fr-FR"/>
        </w:rPr>
        <w:tab/>
      </w:r>
      <w:r w:rsidRPr="009E44DD">
        <w:rPr>
          <w:lang w:val="fr-FR"/>
        </w:rPr>
        <w:t xml:space="preserve">Banque de Développement des </w:t>
      </w:r>
      <w:r w:rsidR="00FB5306">
        <w:rPr>
          <w:lang w:val="fr-FR"/>
        </w:rPr>
        <w:t>État</w:t>
      </w:r>
      <w:r w:rsidRPr="009E44DD">
        <w:rPr>
          <w:lang w:val="fr-FR"/>
        </w:rPr>
        <w:t>s de l’Afrique Centrale</w:t>
      </w:r>
    </w:p>
    <w:p w:rsidR="007E3159" w:rsidRPr="009E44DD" w:rsidRDefault="007E3159" w:rsidP="0017665A">
      <w:pPr>
        <w:pStyle w:val="SingleTxtG"/>
        <w:spacing w:after="60" w:line="240" w:lineRule="auto"/>
        <w:ind w:left="3399" w:hanging="2265"/>
        <w:jc w:val="left"/>
        <w:rPr>
          <w:lang w:val="fr-FR"/>
        </w:rPr>
      </w:pPr>
      <w:r w:rsidRPr="009E44DD">
        <w:rPr>
          <w:lang w:val="fr-FR"/>
        </w:rPr>
        <w:t>C3T</w:t>
      </w:r>
      <w:r w:rsidRPr="009E44DD">
        <w:rPr>
          <w:lang w:val="fr-FR"/>
        </w:rPr>
        <w:tab/>
      </w:r>
      <w:r w:rsidR="009C2E69" w:rsidRPr="009E44DD">
        <w:rPr>
          <w:lang w:val="fr-FR"/>
        </w:rPr>
        <w:tab/>
      </w:r>
      <w:r w:rsidRPr="009E44DD">
        <w:rPr>
          <w:lang w:val="fr-FR"/>
        </w:rPr>
        <w:t>Coalition Camerounaise Contre le Tabac</w:t>
      </w:r>
    </w:p>
    <w:p w:rsidR="007E3159" w:rsidRPr="009E44DD" w:rsidRDefault="00696243" w:rsidP="0017665A">
      <w:pPr>
        <w:pStyle w:val="SingleTxtG"/>
        <w:spacing w:after="60" w:line="240" w:lineRule="auto"/>
        <w:ind w:left="3399" w:hanging="2265"/>
        <w:jc w:val="left"/>
        <w:rPr>
          <w:lang w:val="fr-FR"/>
        </w:rPr>
      </w:pPr>
      <w:r w:rsidRPr="009E44DD">
        <w:rPr>
          <w:lang w:val="fr-FR"/>
        </w:rPr>
        <w:t>CAMNAFAW</w:t>
      </w:r>
      <w:r w:rsidRPr="009E44DD">
        <w:rPr>
          <w:lang w:val="fr-FR"/>
        </w:rPr>
        <w:tab/>
      </w:r>
      <w:r w:rsidRPr="009E44DD">
        <w:rPr>
          <w:lang w:val="fr-FR"/>
        </w:rPr>
        <w:tab/>
      </w:r>
      <w:r w:rsidR="007E3159" w:rsidRPr="009E44DD">
        <w:rPr>
          <w:lang w:val="fr-FR"/>
        </w:rPr>
        <w:t xml:space="preserve">Association for </w:t>
      </w:r>
      <w:proofErr w:type="spellStart"/>
      <w:r w:rsidR="007E3159" w:rsidRPr="009E44DD">
        <w:rPr>
          <w:lang w:val="fr-FR"/>
        </w:rPr>
        <w:t>Family</w:t>
      </w:r>
      <w:proofErr w:type="spellEnd"/>
      <w:r w:rsidR="007E3159" w:rsidRPr="009E44DD">
        <w:rPr>
          <w:lang w:val="fr-FR"/>
        </w:rPr>
        <w:t xml:space="preserve"> </w:t>
      </w:r>
      <w:proofErr w:type="spellStart"/>
      <w:r w:rsidR="007E3159" w:rsidRPr="009E44DD">
        <w:rPr>
          <w:lang w:val="fr-FR"/>
        </w:rPr>
        <w:t>Wel</w:t>
      </w:r>
      <w:r w:rsidR="009C2E69" w:rsidRPr="009E44DD">
        <w:rPr>
          <w:lang w:val="fr-FR"/>
        </w:rPr>
        <w:t>l</w:t>
      </w:r>
      <w:r w:rsidR="007E3159" w:rsidRPr="009E44DD">
        <w:rPr>
          <w:lang w:val="fr-FR"/>
        </w:rPr>
        <w:t>fare</w:t>
      </w:r>
      <w:proofErr w:type="spellEnd"/>
    </w:p>
    <w:p w:rsidR="007E3159" w:rsidRPr="009E44DD" w:rsidRDefault="00696243" w:rsidP="0017665A">
      <w:pPr>
        <w:pStyle w:val="SingleTxtG"/>
        <w:spacing w:after="60" w:line="240" w:lineRule="auto"/>
        <w:ind w:left="3399" w:hanging="2265"/>
        <w:jc w:val="left"/>
        <w:rPr>
          <w:lang w:val="fr-FR"/>
        </w:rPr>
      </w:pPr>
      <w:r w:rsidRPr="009E44DD">
        <w:rPr>
          <w:lang w:val="fr-FR"/>
        </w:rPr>
        <w:t>CARMMA</w:t>
      </w:r>
      <w:r w:rsidRPr="009E44DD">
        <w:rPr>
          <w:lang w:val="fr-FR"/>
        </w:rPr>
        <w:tab/>
      </w:r>
      <w:r w:rsidR="007E3159" w:rsidRPr="009E44DD">
        <w:rPr>
          <w:lang w:val="fr-FR"/>
        </w:rPr>
        <w:tab/>
        <w:t>Campagne pour l’Accélération de la Réduction de la</w:t>
      </w:r>
      <w:r w:rsidRPr="009E44DD">
        <w:rPr>
          <w:lang w:val="fr-FR"/>
        </w:rPr>
        <w:t xml:space="preserve"> </w:t>
      </w:r>
      <w:r w:rsidR="007E3159" w:rsidRPr="009E44DD">
        <w:rPr>
          <w:lang w:val="fr-FR"/>
        </w:rPr>
        <w:t>Mortalité Maternelle en Afrique</w:t>
      </w:r>
    </w:p>
    <w:p w:rsidR="007E3159" w:rsidRPr="009E44DD" w:rsidRDefault="00696243" w:rsidP="0017665A">
      <w:pPr>
        <w:pStyle w:val="SingleTxtG"/>
        <w:spacing w:after="60" w:line="240" w:lineRule="auto"/>
        <w:ind w:left="3399" w:hanging="2265"/>
        <w:jc w:val="left"/>
        <w:rPr>
          <w:lang w:val="fr-FR"/>
        </w:rPr>
      </w:pPr>
      <w:r w:rsidRPr="009E44DD">
        <w:rPr>
          <w:lang w:val="fr-FR"/>
        </w:rPr>
        <w:t>CCLAT</w:t>
      </w:r>
      <w:r w:rsidR="000B4C63" w:rsidRPr="009E44DD">
        <w:rPr>
          <w:lang w:val="fr-FR"/>
        </w:rPr>
        <w:tab/>
      </w:r>
      <w:r w:rsidR="000B4C63" w:rsidRPr="009E44DD">
        <w:rPr>
          <w:lang w:val="fr-FR"/>
        </w:rPr>
        <w:tab/>
      </w:r>
      <w:r w:rsidR="007E3159" w:rsidRPr="009E44DD">
        <w:rPr>
          <w:lang w:val="fr-FR"/>
        </w:rPr>
        <w:t>Convention-Cadre de l</w:t>
      </w:r>
      <w:r w:rsidR="006A57AD">
        <w:rPr>
          <w:lang w:val="fr-FR"/>
        </w:rPr>
        <w:t>’</w:t>
      </w:r>
      <w:r w:rsidR="007E3159" w:rsidRPr="009E44DD">
        <w:rPr>
          <w:lang w:val="fr-FR"/>
        </w:rPr>
        <w:t>OMS pour la Lutte Antitabac</w:t>
      </w:r>
    </w:p>
    <w:p w:rsidR="007E3159" w:rsidRPr="009E44DD" w:rsidRDefault="000B4C63" w:rsidP="0017665A">
      <w:pPr>
        <w:pStyle w:val="SingleTxtG"/>
        <w:spacing w:after="60" w:line="240" w:lineRule="auto"/>
        <w:ind w:left="3399" w:hanging="2265"/>
        <w:jc w:val="left"/>
        <w:rPr>
          <w:lang w:val="fr-FR"/>
        </w:rPr>
      </w:pPr>
      <w:r w:rsidRPr="009E44DD">
        <w:rPr>
          <w:lang w:val="fr-FR"/>
        </w:rPr>
        <w:t>CDBF</w:t>
      </w:r>
      <w:r w:rsidRPr="009E44DD">
        <w:rPr>
          <w:lang w:val="fr-FR"/>
        </w:rPr>
        <w:tab/>
      </w:r>
      <w:r w:rsidRPr="009E44DD">
        <w:rPr>
          <w:lang w:val="fr-FR"/>
        </w:rPr>
        <w:tab/>
      </w:r>
      <w:r w:rsidR="007E3159" w:rsidRPr="009E44DD">
        <w:rPr>
          <w:lang w:val="fr-FR"/>
        </w:rPr>
        <w:t>Conseil de Discipline Budgétaire et Financière</w:t>
      </w:r>
    </w:p>
    <w:p w:rsidR="007E3159" w:rsidRPr="009E44DD" w:rsidRDefault="000B4C63" w:rsidP="0017665A">
      <w:pPr>
        <w:pStyle w:val="SingleTxtG"/>
        <w:spacing w:after="60" w:line="240" w:lineRule="auto"/>
        <w:ind w:left="3399" w:hanging="2265"/>
        <w:jc w:val="left"/>
        <w:rPr>
          <w:lang w:val="fr-FR"/>
        </w:rPr>
      </w:pPr>
      <w:r w:rsidRPr="009E44DD">
        <w:rPr>
          <w:lang w:val="fr-FR"/>
        </w:rPr>
        <w:t>CEMAC</w:t>
      </w:r>
      <w:r w:rsidRPr="009E44DD">
        <w:rPr>
          <w:lang w:val="fr-FR"/>
        </w:rPr>
        <w:tab/>
      </w:r>
      <w:r w:rsidRPr="009E44DD">
        <w:rPr>
          <w:lang w:val="fr-FR"/>
        </w:rPr>
        <w:tab/>
      </w:r>
      <w:r w:rsidR="007E3159" w:rsidRPr="009E44DD">
        <w:rPr>
          <w:lang w:val="fr-FR"/>
        </w:rPr>
        <w:t>Communauté Économique des États de l’Afrique</w:t>
      </w:r>
      <w:r w:rsidR="00EC38FA" w:rsidRPr="009E44DD">
        <w:rPr>
          <w:lang w:val="fr-FR"/>
        </w:rPr>
        <w:t xml:space="preserve"> </w:t>
      </w:r>
      <w:r w:rsidR="007E3159" w:rsidRPr="009E44DD">
        <w:rPr>
          <w:lang w:val="fr-FR"/>
        </w:rPr>
        <w:t>Centrale</w:t>
      </w:r>
    </w:p>
    <w:p w:rsidR="007E3159" w:rsidRPr="009E44DD" w:rsidRDefault="000B4C63" w:rsidP="0017665A">
      <w:pPr>
        <w:pStyle w:val="SingleTxtG"/>
        <w:spacing w:after="60" w:line="240" w:lineRule="auto"/>
        <w:ind w:left="3399" w:hanging="2265"/>
        <w:jc w:val="left"/>
        <w:rPr>
          <w:lang w:val="fr-FR"/>
        </w:rPr>
      </w:pPr>
      <w:r w:rsidRPr="009E44DD">
        <w:rPr>
          <w:lang w:val="fr-FR"/>
        </w:rPr>
        <w:t>CENAME</w:t>
      </w:r>
      <w:r w:rsidRPr="009E44DD">
        <w:rPr>
          <w:lang w:val="fr-FR"/>
        </w:rPr>
        <w:tab/>
      </w:r>
      <w:r w:rsidR="007E3159" w:rsidRPr="009E44DD">
        <w:rPr>
          <w:lang w:val="fr-FR"/>
        </w:rPr>
        <w:tab/>
        <w:t>Centrale Nationale d</w:t>
      </w:r>
      <w:r w:rsidR="006A57AD">
        <w:rPr>
          <w:lang w:val="fr-FR"/>
        </w:rPr>
        <w:t>’</w:t>
      </w:r>
      <w:r w:rsidR="007E3159" w:rsidRPr="009E44DD">
        <w:rPr>
          <w:lang w:val="fr-FR"/>
        </w:rPr>
        <w:t>Approvisionnement en Médicaments</w:t>
      </w:r>
      <w:r w:rsidRPr="009E44DD">
        <w:rPr>
          <w:lang w:val="fr-FR"/>
        </w:rPr>
        <w:t xml:space="preserve"> </w:t>
      </w:r>
      <w:r w:rsidR="007E3159" w:rsidRPr="009E44DD">
        <w:rPr>
          <w:lang w:val="fr-FR"/>
        </w:rPr>
        <w:t>Essentiels</w:t>
      </w:r>
    </w:p>
    <w:p w:rsidR="007E3159" w:rsidRPr="009E44DD" w:rsidRDefault="007E3159" w:rsidP="0017665A">
      <w:pPr>
        <w:pStyle w:val="SingleTxtG"/>
        <w:spacing w:after="60" w:line="240" w:lineRule="auto"/>
        <w:ind w:left="3399" w:hanging="2265"/>
        <w:jc w:val="left"/>
        <w:rPr>
          <w:lang w:val="fr-FR"/>
        </w:rPr>
      </w:pPr>
      <w:r w:rsidRPr="009E44DD">
        <w:rPr>
          <w:lang w:val="fr-FR"/>
        </w:rPr>
        <w:t>CHRACERH</w:t>
      </w:r>
      <w:r w:rsidRPr="009E44DD">
        <w:rPr>
          <w:lang w:val="fr-FR"/>
        </w:rPr>
        <w:tab/>
      </w:r>
      <w:r w:rsidR="009C2E69" w:rsidRPr="009E44DD">
        <w:rPr>
          <w:lang w:val="fr-FR"/>
        </w:rPr>
        <w:tab/>
      </w:r>
      <w:r w:rsidRPr="009E44DD">
        <w:rPr>
          <w:lang w:val="fr-FR"/>
        </w:rPr>
        <w:t>Centre Hospitalier de Recherche et d’Application en</w:t>
      </w:r>
      <w:r w:rsidR="000B4C63" w:rsidRPr="009E44DD">
        <w:rPr>
          <w:lang w:val="fr-FR"/>
        </w:rPr>
        <w:t xml:space="preserve"> </w:t>
      </w:r>
      <w:r w:rsidRPr="009E44DD">
        <w:rPr>
          <w:lang w:val="fr-FR"/>
        </w:rPr>
        <w:t>Chirurgie Endoscopique et Reproduction Humaine de Référence</w:t>
      </w:r>
    </w:p>
    <w:p w:rsidR="007E3159" w:rsidRPr="009E44DD" w:rsidRDefault="000B4C63" w:rsidP="0017665A">
      <w:pPr>
        <w:pStyle w:val="SingleTxtG"/>
        <w:spacing w:after="60" w:line="240" w:lineRule="auto"/>
        <w:ind w:left="3399" w:hanging="2265"/>
        <w:jc w:val="left"/>
        <w:rPr>
          <w:lang w:val="fr-FR"/>
        </w:rPr>
      </w:pPr>
      <w:r w:rsidRPr="009E44DD">
        <w:rPr>
          <w:lang w:val="fr-FR"/>
        </w:rPr>
        <w:t>CIDIMUC</w:t>
      </w:r>
      <w:r w:rsidRPr="009E44DD">
        <w:rPr>
          <w:lang w:val="fr-FR"/>
        </w:rPr>
        <w:tab/>
      </w:r>
      <w:r w:rsidRPr="009E44DD">
        <w:rPr>
          <w:lang w:val="fr-FR"/>
        </w:rPr>
        <w:tab/>
      </w:r>
      <w:r w:rsidR="007E3159" w:rsidRPr="009E44DD">
        <w:rPr>
          <w:lang w:val="fr-FR"/>
        </w:rPr>
        <w:t>Conseil des Imams et Dignitaires Musulmans du Cameroun</w:t>
      </w:r>
    </w:p>
    <w:p w:rsidR="007E3159" w:rsidRPr="009E44DD" w:rsidRDefault="000B4C63" w:rsidP="0017665A">
      <w:pPr>
        <w:pStyle w:val="SingleTxtG"/>
        <w:spacing w:after="60" w:line="240" w:lineRule="auto"/>
        <w:ind w:left="3399" w:hanging="2265"/>
        <w:jc w:val="left"/>
        <w:rPr>
          <w:lang w:val="fr-FR"/>
        </w:rPr>
      </w:pPr>
      <w:r w:rsidRPr="009E44DD">
        <w:rPr>
          <w:lang w:val="fr-FR"/>
        </w:rPr>
        <w:t>CIPCRE</w:t>
      </w:r>
      <w:r w:rsidRPr="009E44DD">
        <w:rPr>
          <w:lang w:val="fr-FR"/>
        </w:rPr>
        <w:tab/>
      </w:r>
      <w:r w:rsidR="007E3159" w:rsidRPr="009E44DD">
        <w:rPr>
          <w:lang w:val="fr-FR"/>
        </w:rPr>
        <w:tab/>
        <w:t>Cercle International pour la Promotion de la Création</w:t>
      </w:r>
    </w:p>
    <w:p w:rsidR="007E3159" w:rsidRPr="009E44DD" w:rsidRDefault="000B4C63" w:rsidP="0017665A">
      <w:pPr>
        <w:pStyle w:val="SingleTxtG"/>
        <w:spacing w:after="60" w:line="240" w:lineRule="auto"/>
        <w:ind w:left="3399" w:hanging="2265"/>
        <w:jc w:val="left"/>
        <w:rPr>
          <w:lang w:val="fr-FR"/>
        </w:rPr>
      </w:pPr>
      <w:r w:rsidRPr="009E44DD">
        <w:rPr>
          <w:lang w:val="fr-FR"/>
        </w:rPr>
        <w:t>CNDHL</w:t>
      </w:r>
      <w:r w:rsidRPr="009E44DD">
        <w:rPr>
          <w:lang w:val="fr-FR"/>
        </w:rPr>
        <w:tab/>
      </w:r>
      <w:r w:rsidRPr="009E44DD">
        <w:rPr>
          <w:lang w:val="fr-FR"/>
        </w:rPr>
        <w:tab/>
      </w:r>
      <w:r w:rsidR="007E3159" w:rsidRPr="009E44DD">
        <w:rPr>
          <w:lang w:val="fr-FR"/>
        </w:rPr>
        <w:t>Commission Nationale des Droits de l’Homme et des Libertés</w:t>
      </w:r>
    </w:p>
    <w:p w:rsidR="007E3159" w:rsidRPr="009E44DD" w:rsidRDefault="000B4C63" w:rsidP="0017665A">
      <w:pPr>
        <w:pStyle w:val="SingleTxtG"/>
        <w:spacing w:after="60" w:line="240" w:lineRule="auto"/>
        <w:ind w:left="3399" w:hanging="2265"/>
        <w:jc w:val="left"/>
        <w:rPr>
          <w:lang w:val="fr-FR"/>
        </w:rPr>
      </w:pPr>
      <w:r w:rsidRPr="009E44DD">
        <w:rPr>
          <w:lang w:val="fr-FR"/>
        </w:rPr>
        <w:t>CNLS</w:t>
      </w:r>
      <w:r w:rsidRPr="009E44DD">
        <w:rPr>
          <w:lang w:val="fr-FR"/>
        </w:rPr>
        <w:tab/>
      </w:r>
      <w:r w:rsidRPr="009E44DD">
        <w:rPr>
          <w:lang w:val="fr-FR"/>
        </w:rPr>
        <w:tab/>
      </w:r>
      <w:r w:rsidR="007E3159" w:rsidRPr="009E44DD">
        <w:rPr>
          <w:lang w:val="fr-FR"/>
        </w:rPr>
        <w:t xml:space="preserve">Comité National de Lutte contre le </w:t>
      </w:r>
      <w:r w:rsidR="006708D2">
        <w:rPr>
          <w:lang w:val="fr-FR"/>
        </w:rPr>
        <w:t>s</w:t>
      </w:r>
      <w:r w:rsidR="007E3159" w:rsidRPr="009E44DD">
        <w:rPr>
          <w:lang w:val="fr-FR"/>
        </w:rPr>
        <w:t>ida</w:t>
      </w:r>
    </w:p>
    <w:p w:rsidR="007E3159" w:rsidRPr="009E44DD" w:rsidRDefault="000B4C63" w:rsidP="0017665A">
      <w:pPr>
        <w:pStyle w:val="SingleTxtG"/>
        <w:spacing w:after="60" w:line="240" w:lineRule="auto"/>
        <w:ind w:left="3399" w:hanging="2265"/>
        <w:jc w:val="left"/>
        <w:rPr>
          <w:lang w:val="fr-FR"/>
        </w:rPr>
      </w:pPr>
      <w:r w:rsidRPr="009E44DD">
        <w:rPr>
          <w:lang w:val="fr-FR"/>
        </w:rPr>
        <w:t>CONAC</w:t>
      </w:r>
      <w:r w:rsidRPr="009E44DD">
        <w:rPr>
          <w:lang w:val="fr-FR"/>
        </w:rPr>
        <w:tab/>
      </w:r>
      <w:r w:rsidRPr="009E44DD">
        <w:rPr>
          <w:lang w:val="fr-FR"/>
        </w:rPr>
        <w:tab/>
      </w:r>
      <w:r w:rsidR="007E3159" w:rsidRPr="009E44DD">
        <w:rPr>
          <w:lang w:val="fr-FR"/>
        </w:rPr>
        <w:t>Commission Nationale Anti-corruption</w:t>
      </w:r>
    </w:p>
    <w:p w:rsidR="007E3159" w:rsidRPr="009E44DD" w:rsidRDefault="000B4C63" w:rsidP="0017665A">
      <w:pPr>
        <w:pStyle w:val="SingleTxtG"/>
        <w:spacing w:after="60" w:line="240" w:lineRule="auto"/>
        <w:ind w:left="3399" w:hanging="2265"/>
        <w:jc w:val="left"/>
        <w:rPr>
          <w:lang w:val="fr-FR"/>
        </w:rPr>
      </w:pPr>
      <w:r w:rsidRPr="009E44DD">
        <w:rPr>
          <w:lang w:val="fr-FR"/>
        </w:rPr>
        <w:t>CONSUPE</w:t>
      </w:r>
      <w:r w:rsidRPr="009E44DD">
        <w:rPr>
          <w:lang w:val="fr-FR"/>
        </w:rPr>
        <w:tab/>
      </w:r>
      <w:r w:rsidRPr="009E44DD">
        <w:rPr>
          <w:lang w:val="fr-FR"/>
        </w:rPr>
        <w:tab/>
      </w:r>
      <w:r w:rsidR="007E3159" w:rsidRPr="009E44DD">
        <w:rPr>
          <w:lang w:val="fr-FR"/>
        </w:rPr>
        <w:t>Contrôle Supérieur de l’</w:t>
      </w:r>
      <w:r w:rsidR="00FB5306">
        <w:rPr>
          <w:lang w:val="fr-FR"/>
        </w:rPr>
        <w:t>État</w:t>
      </w:r>
    </w:p>
    <w:p w:rsidR="007E3159" w:rsidRPr="009E44DD" w:rsidRDefault="007E3159" w:rsidP="0017665A">
      <w:pPr>
        <w:pStyle w:val="SingleTxtG"/>
        <w:spacing w:after="60" w:line="240" w:lineRule="auto"/>
        <w:ind w:left="3399" w:hanging="2265"/>
        <w:jc w:val="left"/>
        <w:rPr>
          <w:lang w:val="fr-FR"/>
        </w:rPr>
      </w:pPr>
      <w:r w:rsidRPr="009E44DD">
        <w:rPr>
          <w:lang w:val="fr-FR"/>
        </w:rPr>
        <w:t>CP</w:t>
      </w:r>
      <w:r w:rsidR="000B4C63" w:rsidRPr="009E44DD">
        <w:rPr>
          <w:lang w:val="fr-FR"/>
        </w:rPr>
        <w:tab/>
      </w:r>
      <w:r w:rsidR="000B4C63" w:rsidRPr="009E44DD">
        <w:rPr>
          <w:lang w:val="fr-FR"/>
        </w:rPr>
        <w:tab/>
      </w:r>
      <w:r w:rsidRPr="009E44DD">
        <w:rPr>
          <w:lang w:val="fr-FR"/>
        </w:rPr>
        <w:t>Code pénal</w:t>
      </w:r>
    </w:p>
    <w:p w:rsidR="007E3159" w:rsidRPr="009E44DD" w:rsidRDefault="000B4C63" w:rsidP="0017665A">
      <w:pPr>
        <w:pStyle w:val="SingleTxtG"/>
        <w:spacing w:after="60" w:line="240" w:lineRule="auto"/>
        <w:ind w:left="3399" w:hanging="2265"/>
        <w:jc w:val="left"/>
        <w:rPr>
          <w:lang w:val="fr-FR"/>
        </w:rPr>
      </w:pPr>
      <w:r w:rsidRPr="009E44DD">
        <w:rPr>
          <w:lang w:val="fr-FR"/>
        </w:rPr>
        <w:t>CPN</w:t>
      </w:r>
      <w:r w:rsidRPr="009E44DD">
        <w:rPr>
          <w:lang w:val="fr-FR"/>
        </w:rPr>
        <w:tab/>
      </w:r>
      <w:r w:rsidRPr="009E44DD">
        <w:rPr>
          <w:lang w:val="fr-FR"/>
        </w:rPr>
        <w:tab/>
      </w:r>
      <w:r w:rsidR="007E3159" w:rsidRPr="009E44DD">
        <w:rPr>
          <w:lang w:val="fr-FR"/>
        </w:rPr>
        <w:t>Consultations Prénatales</w:t>
      </w:r>
    </w:p>
    <w:p w:rsidR="007E3159" w:rsidRPr="009E44DD" w:rsidRDefault="000B4C63" w:rsidP="0017665A">
      <w:pPr>
        <w:pStyle w:val="SingleTxtG"/>
        <w:spacing w:after="60" w:line="240" w:lineRule="auto"/>
        <w:ind w:left="3399" w:hanging="2265"/>
        <w:jc w:val="left"/>
        <w:rPr>
          <w:lang w:val="fr-FR"/>
        </w:rPr>
      </w:pPr>
      <w:r w:rsidRPr="009E44DD">
        <w:rPr>
          <w:lang w:val="fr-FR"/>
        </w:rPr>
        <w:t>CRDI</w:t>
      </w:r>
      <w:r w:rsidRPr="009E44DD">
        <w:rPr>
          <w:lang w:val="fr-FR"/>
        </w:rPr>
        <w:tab/>
      </w:r>
      <w:r w:rsidRPr="009E44DD">
        <w:rPr>
          <w:lang w:val="fr-FR"/>
        </w:rPr>
        <w:tab/>
      </w:r>
      <w:r w:rsidR="007E3159" w:rsidRPr="009E44DD">
        <w:rPr>
          <w:lang w:val="fr-FR"/>
        </w:rPr>
        <w:t>Centre de Recherches pour le Développement International</w:t>
      </w:r>
    </w:p>
    <w:p w:rsidR="007E3159" w:rsidRPr="009E44DD" w:rsidRDefault="000B4C63" w:rsidP="0017665A">
      <w:pPr>
        <w:pStyle w:val="SingleTxtG"/>
        <w:spacing w:after="60" w:line="240" w:lineRule="auto"/>
        <w:ind w:left="3399" w:hanging="2265"/>
        <w:jc w:val="left"/>
        <w:rPr>
          <w:lang w:val="fr-FR"/>
        </w:rPr>
      </w:pPr>
      <w:r w:rsidRPr="009E44DD">
        <w:rPr>
          <w:lang w:val="fr-FR"/>
        </w:rPr>
        <w:t>CTD</w:t>
      </w:r>
      <w:r w:rsidRPr="009E44DD">
        <w:rPr>
          <w:lang w:val="fr-FR"/>
        </w:rPr>
        <w:tab/>
      </w:r>
      <w:r w:rsidRPr="009E44DD">
        <w:rPr>
          <w:lang w:val="fr-FR"/>
        </w:rPr>
        <w:tab/>
      </w:r>
      <w:r w:rsidR="007E3159" w:rsidRPr="009E44DD">
        <w:rPr>
          <w:lang w:val="fr-FR"/>
        </w:rPr>
        <w:t>Collectivités Territoriales Décentralisées</w:t>
      </w:r>
    </w:p>
    <w:p w:rsidR="007E3159" w:rsidRPr="009E44DD" w:rsidRDefault="000B4C63" w:rsidP="0017665A">
      <w:pPr>
        <w:pStyle w:val="SingleTxtG"/>
        <w:spacing w:after="60" w:line="240" w:lineRule="auto"/>
        <w:ind w:left="3399" w:hanging="2265"/>
        <w:jc w:val="left"/>
        <w:rPr>
          <w:lang w:val="fr-FR"/>
        </w:rPr>
      </w:pPr>
      <w:r w:rsidRPr="009E44DD">
        <w:rPr>
          <w:lang w:val="fr-FR"/>
        </w:rPr>
        <w:t>DGSN</w:t>
      </w:r>
      <w:r w:rsidRPr="009E44DD">
        <w:rPr>
          <w:lang w:val="fr-FR"/>
        </w:rPr>
        <w:tab/>
      </w:r>
      <w:r w:rsidRPr="009E44DD">
        <w:rPr>
          <w:lang w:val="fr-FR"/>
        </w:rPr>
        <w:tab/>
      </w:r>
      <w:r w:rsidR="007E3159" w:rsidRPr="009E44DD">
        <w:rPr>
          <w:lang w:val="fr-FR"/>
        </w:rPr>
        <w:t>Délégation Générale à la Sûreté Nationale</w:t>
      </w:r>
    </w:p>
    <w:p w:rsidR="007E3159" w:rsidRPr="009E44DD" w:rsidRDefault="000B4C63" w:rsidP="0017665A">
      <w:pPr>
        <w:pStyle w:val="SingleTxtG"/>
        <w:spacing w:after="60" w:line="240" w:lineRule="auto"/>
        <w:ind w:left="3399" w:hanging="2265"/>
        <w:jc w:val="left"/>
        <w:rPr>
          <w:lang w:val="fr-FR"/>
        </w:rPr>
      </w:pPr>
      <w:r w:rsidRPr="009E44DD">
        <w:rPr>
          <w:lang w:val="fr-FR"/>
        </w:rPr>
        <w:t>DSCE</w:t>
      </w:r>
      <w:r w:rsidRPr="009E44DD">
        <w:rPr>
          <w:lang w:val="fr-FR"/>
        </w:rPr>
        <w:tab/>
      </w:r>
      <w:r w:rsidRPr="009E44DD">
        <w:rPr>
          <w:lang w:val="fr-FR"/>
        </w:rPr>
        <w:tab/>
      </w:r>
      <w:r w:rsidR="007E3159" w:rsidRPr="009E44DD">
        <w:rPr>
          <w:lang w:val="fr-FR"/>
        </w:rPr>
        <w:t>Document de Stratégie pour la Croissance et l</w:t>
      </w:r>
      <w:r w:rsidR="006A57AD">
        <w:rPr>
          <w:lang w:val="fr-FR"/>
        </w:rPr>
        <w:t>’</w:t>
      </w:r>
      <w:r w:rsidR="007E3159" w:rsidRPr="009E44DD">
        <w:rPr>
          <w:lang w:val="fr-FR"/>
        </w:rPr>
        <w:t>Emploi</w:t>
      </w:r>
    </w:p>
    <w:p w:rsidR="007E3159" w:rsidRPr="009E44DD" w:rsidRDefault="000B4C63" w:rsidP="0017665A">
      <w:pPr>
        <w:pStyle w:val="SingleTxtG"/>
        <w:spacing w:after="60" w:line="240" w:lineRule="auto"/>
        <w:ind w:left="3399" w:hanging="2265"/>
        <w:jc w:val="left"/>
        <w:rPr>
          <w:lang w:val="fr-FR"/>
        </w:rPr>
      </w:pPr>
      <w:r w:rsidRPr="009E44DD">
        <w:rPr>
          <w:lang w:val="fr-FR"/>
        </w:rPr>
        <w:t>ENSP</w:t>
      </w:r>
      <w:r w:rsidRPr="009E44DD">
        <w:rPr>
          <w:lang w:val="fr-FR"/>
        </w:rPr>
        <w:tab/>
      </w:r>
      <w:r w:rsidRPr="009E44DD">
        <w:rPr>
          <w:lang w:val="fr-FR"/>
        </w:rPr>
        <w:tab/>
      </w:r>
      <w:r w:rsidR="007E3159" w:rsidRPr="009E44DD">
        <w:rPr>
          <w:lang w:val="fr-FR"/>
        </w:rPr>
        <w:t>Ecole Nationale Supérieure Polytechnique</w:t>
      </w:r>
    </w:p>
    <w:p w:rsidR="007E3159" w:rsidRPr="009E44DD" w:rsidRDefault="000B4C63" w:rsidP="0017665A">
      <w:pPr>
        <w:pStyle w:val="SingleTxtG"/>
        <w:spacing w:after="60" w:line="240" w:lineRule="auto"/>
        <w:ind w:left="3399" w:hanging="2265"/>
        <w:jc w:val="left"/>
        <w:rPr>
          <w:lang w:val="fr-FR"/>
        </w:rPr>
      </w:pPr>
      <w:r w:rsidRPr="009E44DD">
        <w:rPr>
          <w:lang w:val="fr-FR"/>
        </w:rPr>
        <w:t>FIDA</w:t>
      </w:r>
      <w:r w:rsidRPr="009E44DD">
        <w:rPr>
          <w:lang w:val="fr-FR"/>
        </w:rPr>
        <w:tab/>
      </w:r>
      <w:r w:rsidRPr="009E44DD">
        <w:rPr>
          <w:lang w:val="fr-FR"/>
        </w:rPr>
        <w:tab/>
      </w:r>
      <w:r w:rsidR="007E3159" w:rsidRPr="009E44DD">
        <w:rPr>
          <w:lang w:val="fr-FR"/>
        </w:rPr>
        <w:t>Fonds International de Développement Agricole</w:t>
      </w:r>
    </w:p>
    <w:p w:rsidR="007E3159" w:rsidRPr="009E44DD" w:rsidRDefault="000B4C63" w:rsidP="0017665A">
      <w:pPr>
        <w:pStyle w:val="SingleTxtG"/>
        <w:spacing w:after="60" w:line="240" w:lineRule="auto"/>
        <w:ind w:left="3399" w:hanging="2265"/>
        <w:jc w:val="left"/>
        <w:rPr>
          <w:lang w:val="fr-FR"/>
        </w:rPr>
      </w:pPr>
      <w:r w:rsidRPr="009E44DD">
        <w:rPr>
          <w:lang w:val="fr-FR"/>
        </w:rPr>
        <w:t>FNE</w:t>
      </w:r>
      <w:r w:rsidRPr="009E44DD">
        <w:rPr>
          <w:lang w:val="fr-FR"/>
        </w:rPr>
        <w:tab/>
      </w:r>
      <w:r w:rsidRPr="009E44DD">
        <w:rPr>
          <w:lang w:val="fr-FR"/>
        </w:rPr>
        <w:tab/>
      </w:r>
      <w:r w:rsidR="007E3159" w:rsidRPr="009E44DD">
        <w:rPr>
          <w:lang w:val="fr-FR"/>
        </w:rPr>
        <w:t>Fonds National de l’Emploi</w:t>
      </w:r>
    </w:p>
    <w:p w:rsidR="007E3159" w:rsidRPr="009E44DD" w:rsidRDefault="00A048C9" w:rsidP="0017665A">
      <w:pPr>
        <w:pStyle w:val="SingleTxtG"/>
        <w:spacing w:after="60" w:line="240" w:lineRule="auto"/>
        <w:ind w:left="3399" w:hanging="2265"/>
        <w:jc w:val="left"/>
        <w:rPr>
          <w:lang w:val="fr-FR"/>
        </w:rPr>
      </w:pPr>
      <w:r w:rsidRPr="009E44DD">
        <w:rPr>
          <w:lang w:val="fr-FR"/>
        </w:rPr>
        <w:t>HCR</w:t>
      </w:r>
      <w:r w:rsidRPr="009E44DD">
        <w:rPr>
          <w:lang w:val="fr-FR"/>
        </w:rPr>
        <w:tab/>
      </w:r>
      <w:r w:rsidRPr="009E44DD">
        <w:rPr>
          <w:lang w:val="fr-FR"/>
        </w:rPr>
        <w:tab/>
      </w:r>
      <w:r w:rsidR="007E3159" w:rsidRPr="009E44DD">
        <w:rPr>
          <w:lang w:val="fr-FR"/>
        </w:rPr>
        <w:t>Haut-Commissariat des Nations Unies pour les Réfugiés</w:t>
      </w:r>
    </w:p>
    <w:p w:rsidR="008E188C" w:rsidRPr="009E44DD" w:rsidRDefault="000B4C63" w:rsidP="0017665A">
      <w:pPr>
        <w:pStyle w:val="SingleTxtG"/>
        <w:spacing w:after="60" w:line="240" w:lineRule="auto"/>
        <w:ind w:left="3399" w:hanging="2265"/>
        <w:jc w:val="left"/>
        <w:rPr>
          <w:lang w:val="fr-FR"/>
        </w:rPr>
      </w:pPr>
      <w:r w:rsidRPr="009E44DD">
        <w:rPr>
          <w:lang w:val="fr-FR"/>
        </w:rPr>
        <w:t>HYSACAM</w:t>
      </w:r>
      <w:r w:rsidRPr="009E44DD">
        <w:rPr>
          <w:lang w:val="fr-FR"/>
        </w:rPr>
        <w:tab/>
      </w:r>
      <w:r w:rsidRPr="009E44DD">
        <w:rPr>
          <w:lang w:val="fr-FR"/>
        </w:rPr>
        <w:tab/>
      </w:r>
      <w:r w:rsidR="007E3159" w:rsidRPr="009E44DD">
        <w:rPr>
          <w:lang w:val="fr-FR"/>
        </w:rPr>
        <w:t>Société Hygiène et Salubrité du Cameroun</w:t>
      </w:r>
    </w:p>
    <w:p w:rsidR="007E3159" w:rsidRPr="009E44DD" w:rsidRDefault="008E188C" w:rsidP="0017665A">
      <w:pPr>
        <w:pStyle w:val="SingleTxtG"/>
        <w:spacing w:after="60" w:line="240" w:lineRule="auto"/>
        <w:ind w:left="3399" w:hanging="2265"/>
        <w:jc w:val="left"/>
        <w:rPr>
          <w:lang w:val="fr-FR"/>
        </w:rPr>
      </w:pPr>
      <w:r w:rsidRPr="009E44DD">
        <w:rPr>
          <w:lang w:val="fr-FR"/>
        </w:rPr>
        <w:t>IAI</w:t>
      </w:r>
      <w:r w:rsidRPr="009E44DD">
        <w:rPr>
          <w:lang w:val="fr-FR"/>
        </w:rPr>
        <w:tab/>
      </w:r>
      <w:r w:rsidRPr="009E44DD">
        <w:rPr>
          <w:lang w:val="fr-FR"/>
        </w:rPr>
        <w:tab/>
      </w:r>
      <w:r w:rsidR="007E3159" w:rsidRPr="009E44DD">
        <w:rPr>
          <w:lang w:val="fr-FR"/>
        </w:rPr>
        <w:t>Institut Africain d’Informatique</w:t>
      </w:r>
    </w:p>
    <w:p w:rsidR="007E3159" w:rsidRPr="009E44DD" w:rsidRDefault="008E188C" w:rsidP="0017665A">
      <w:pPr>
        <w:pStyle w:val="SingleTxtG"/>
        <w:spacing w:after="60" w:line="240" w:lineRule="auto"/>
        <w:ind w:left="3399" w:hanging="2265"/>
        <w:jc w:val="left"/>
        <w:rPr>
          <w:lang w:val="fr-FR"/>
        </w:rPr>
      </w:pPr>
      <w:r w:rsidRPr="009E44DD">
        <w:rPr>
          <w:lang w:val="fr-FR"/>
        </w:rPr>
        <w:t>IDA</w:t>
      </w:r>
      <w:r w:rsidRPr="009E44DD">
        <w:rPr>
          <w:lang w:val="fr-FR"/>
        </w:rPr>
        <w:tab/>
      </w:r>
      <w:r w:rsidRPr="009E44DD">
        <w:rPr>
          <w:lang w:val="fr-FR"/>
        </w:rPr>
        <w:tab/>
      </w:r>
      <w:r w:rsidR="0046378D" w:rsidRPr="009E44DD">
        <w:rPr>
          <w:lang w:val="fr-FR"/>
        </w:rPr>
        <w:t>Association internationale de développement</w:t>
      </w:r>
    </w:p>
    <w:p w:rsidR="007E3159" w:rsidRPr="009E44DD" w:rsidRDefault="008E188C" w:rsidP="0017665A">
      <w:pPr>
        <w:pStyle w:val="SingleTxtG"/>
        <w:spacing w:after="60" w:line="240" w:lineRule="auto"/>
        <w:ind w:left="3399" w:hanging="2265"/>
        <w:jc w:val="left"/>
        <w:rPr>
          <w:lang w:val="fr-FR"/>
        </w:rPr>
      </w:pPr>
      <w:r w:rsidRPr="009E44DD">
        <w:rPr>
          <w:lang w:val="fr-FR"/>
        </w:rPr>
        <w:t>IITA</w:t>
      </w:r>
      <w:r w:rsidRPr="009E44DD">
        <w:rPr>
          <w:lang w:val="fr-FR"/>
        </w:rPr>
        <w:tab/>
      </w:r>
      <w:r w:rsidRPr="009E44DD">
        <w:rPr>
          <w:lang w:val="fr-FR"/>
        </w:rPr>
        <w:tab/>
      </w:r>
      <w:r w:rsidR="007E3159" w:rsidRPr="009E44DD">
        <w:rPr>
          <w:lang w:val="fr-FR"/>
        </w:rPr>
        <w:t>Institut International de l’Agriculture Tropicale</w:t>
      </w:r>
    </w:p>
    <w:p w:rsidR="007E3159" w:rsidRPr="009E44DD" w:rsidRDefault="008E188C" w:rsidP="0017665A">
      <w:pPr>
        <w:pStyle w:val="SingleTxtG"/>
        <w:spacing w:after="60" w:line="240" w:lineRule="auto"/>
        <w:ind w:left="3399" w:hanging="2265"/>
        <w:jc w:val="left"/>
        <w:rPr>
          <w:b/>
          <w:lang w:val="fr-FR"/>
        </w:rPr>
      </w:pPr>
      <w:r w:rsidRPr="009E44DD">
        <w:rPr>
          <w:lang w:val="fr-FR"/>
        </w:rPr>
        <w:t>LMD</w:t>
      </w:r>
      <w:r w:rsidRPr="009E44DD">
        <w:rPr>
          <w:lang w:val="fr-FR"/>
        </w:rPr>
        <w:tab/>
      </w:r>
      <w:r w:rsidRPr="009E44DD">
        <w:rPr>
          <w:lang w:val="fr-FR"/>
        </w:rPr>
        <w:tab/>
      </w:r>
      <w:r w:rsidR="007E3159" w:rsidRPr="009E44DD">
        <w:rPr>
          <w:lang w:val="fr-FR"/>
        </w:rPr>
        <w:t>Licence-Master et Doctorat</w:t>
      </w:r>
    </w:p>
    <w:p w:rsidR="007E3159" w:rsidRPr="009E44DD" w:rsidRDefault="008E188C" w:rsidP="0017665A">
      <w:pPr>
        <w:pStyle w:val="SingleTxtG"/>
        <w:spacing w:after="60" w:line="240" w:lineRule="auto"/>
        <w:ind w:left="3399" w:hanging="2265"/>
        <w:jc w:val="left"/>
        <w:rPr>
          <w:lang w:val="fr-FR"/>
        </w:rPr>
      </w:pPr>
      <w:r w:rsidRPr="009E44DD">
        <w:rPr>
          <w:lang w:val="fr-FR"/>
        </w:rPr>
        <w:t>MGF</w:t>
      </w:r>
      <w:r w:rsidRPr="009E44DD">
        <w:rPr>
          <w:lang w:val="fr-FR"/>
        </w:rPr>
        <w:tab/>
      </w:r>
      <w:r w:rsidRPr="009E44DD">
        <w:rPr>
          <w:lang w:val="fr-FR"/>
        </w:rPr>
        <w:tab/>
      </w:r>
      <w:r w:rsidR="007E3159" w:rsidRPr="009E44DD">
        <w:rPr>
          <w:lang w:val="fr-FR"/>
        </w:rPr>
        <w:t>Mutilations Génitales Féminines</w:t>
      </w:r>
    </w:p>
    <w:p w:rsidR="007E3159" w:rsidRPr="009E44DD" w:rsidRDefault="008E188C" w:rsidP="0017665A">
      <w:pPr>
        <w:pStyle w:val="SingleTxtG"/>
        <w:spacing w:after="60" w:line="240" w:lineRule="auto"/>
        <w:ind w:left="3399" w:hanging="2265"/>
        <w:jc w:val="left"/>
        <w:rPr>
          <w:lang w:val="fr-FR"/>
        </w:rPr>
      </w:pPr>
      <w:r w:rsidRPr="009E44DD">
        <w:rPr>
          <w:lang w:val="fr-FR"/>
        </w:rPr>
        <w:t>MILDA</w:t>
      </w:r>
      <w:r w:rsidRPr="009E44DD">
        <w:rPr>
          <w:lang w:val="fr-FR"/>
        </w:rPr>
        <w:tab/>
      </w:r>
      <w:r w:rsidR="007E3159" w:rsidRPr="009E44DD">
        <w:rPr>
          <w:lang w:val="fr-FR"/>
        </w:rPr>
        <w:tab/>
        <w:t>Moustiquaires Imprégnées à Longue Durée d’Action</w:t>
      </w:r>
    </w:p>
    <w:p w:rsidR="007E3159" w:rsidRPr="009E44DD" w:rsidRDefault="008E188C" w:rsidP="0017665A">
      <w:pPr>
        <w:pStyle w:val="SingleTxtG"/>
        <w:spacing w:after="60" w:line="240" w:lineRule="auto"/>
        <w:ind w:left="3399" w:hanging="2265"/>
        <w:jc w:val="left"/>
        <w:rPr>
          <w:lang w:val="fr-FR"/>
        </w:rPr>
      </w:pPr>
      <w:r w:rsidRPr="009E44DD">
        <w:rPr>
          <w:lang w:val="fr-FR"/>
        </w:rPr>
        <w:t>MINADER</w:t>
      </w:r>
      <w:r w:rsidRPr="009E44DD">
        <w:rPr>
          <w:lang w:val="fr-FR"/>
        </w:rPr>
        <w:tab/>
      </w:r>
      <w:r w:rsidRPr="009E44DD">
        <w:rPr>
          <w:lang w:val="fr-FR"/>
        </w:rPr>
        <w:tab/>
      </w:r>
      <w:r w:rsidR="007E3159" w:rsidRPr="009E44DD">
        <w:rPr>
          <w:lang w:val="fr-FR"/>
        </w:rPr>
        <w:t>Ministère de l</w:t>
      </w:r>
      <w:r w:rsidR="006A57AD">
        <w:rPr>
          <w:lang w:val="fr-FR"/>
        </w:rPr>
        <w:t>’</w:t>
      </w:r>
      <w:r w:rsidR="007E3159" w:rsidRPr="009E44DD">
        <w:rPr>
          <w:lang w:val="fr-FR"/>
        </w:rPr>
        <w:t>Agriculture et du Développement Rural</w:t>
      </w:r>
    </w:p>
    <w:p w:rsidR="007E3159" w:rsidRPr="009E44DD" w:rsidRDefault="008E188C" w:rsidP="0017665A">
      <w:pPr>
        <w:pStyle w:val="SingleTxtG"/>
        <w:spacing w:after="60" w:line="240" w:lineRule="auto"/>
        <w:ind w:left="3399" w:hanging="2265"/>
        <w:jc w:val="left"/>
        <w:rPr>
          <w:lang w:val="fr-FR"/>
        </w:rPr>
      </w:pPr>
      <w:r w:rsidRPr="009E44DD">
        <w:rPr>
          <w:lang w:val="fr-FR"/>
        </w:rPr>
        <w:t>MINAS</w:t>
      </w:r>
      <w:r w:rsidRPr="009E44DD">
        <w:rPr>
          <w:lang w:val="fr-FR"/>
        </w:rPr>
        <w:tab/>
      </w:r>
      <w:r w:rsidRPr="009E44DD">
        <w:rPr>
          <w:lang w:val="fr-FR"/>
        </w:rPr>
        <w:tab/>
      </w:r>
      <w:r w:rsidR="007E3159" w:rsidRPr="009E44DD">
        <w:rPr>
          <w:lang w:val="fr-FR"/>
        </w:rPr>
        <w:t>Ministère des Affaires Sociales</w:t>
      </w:r>
    </w:p>
    <w:p w:rsidR="007E3159" w:rsidRPr="009E44DD" w:rsidRDefault="008E188C" w:rsidP="0017665A">
      <w:pPr>
        <w:pStyle w:val="SingleTxtG"/>
        <w:spacing w:after="60" w:line="240" w:lineRule="auto"/>
        <w:ind w:left="3399" w:hanging="2265"/>
        <w:jc w:val="left"/>
        <w:rPr>
          <w:lang w:val="fr-FR"/>
        </w:rPr>
      </w:pPr>
      <w:r w:rsidRPr="009E44DD">
        <w:rPr>
          <w:lang w:val="fr-FR"/>
        </w:rPr>
        <w:t>MINEDUB</w:t>
      </w:r>
      <w:r w:rsidRPr="009E44DD">
        <w:rPr>
          <w:lang w:val="fr-FR"/>
        </w:rPr>
        <w:tab/>
      </w:r>
      <w:r w:rsidR="00A048C9" w:rsidRPr="009E44DD">
        <w:rPr>
          <w:lang w:val="fr-FR"/>
        </w:rPr>
        <w:tab/>
      </w:r>
      <w:r w:rsidR="007E3159" w:rsidRPr="009E44DD">
        <w:rPr>
          <w:lang w:val="fr-FR"/>
        </w:rPr>
        <w:t>Ministère de l’Education de Base</w:t>
      </w:r>
    </w:p>
    <w:p w:rsidR="007E3159" w:rsidRPr="009E44DD" w:rsidRDefault="008E188C" w:rsidP="0017665A">
      <w:pPr>
        <w:pStyle w:val="SingleTxtG"/>
        <w:spacing w:after="60" w:line="240" w:lineRule="auto"/>
        <w:ind w:left="3399" w:hanging="2265"/>
        <w:jc w:val="left"/>
        <w:rPr>
          <w:lang w:val="fr-FR"/>
        </w:rPr>
      </w:pPr>
      <w:r w:rsidRPr="009E44DD">
        <w:rPr>
          <w:lang w:val="fr-FR"/>
        </w:rPr>
        <w:t>MINEFOP</w:t>
      </w:r>
      <w:r w:rsidRPr="009E44DD">
        <w:rPr>
          <w:lang w:val="fr-FR"/>
        </w:rPr>
        <w:tab/>
      </w:r>
      <w:r w:rsidR="007E3159" w:rsidRPr="009E44DD">
        <w:rPr>
          <w:lang w:val="fr-FR"/>
        </w:rPr>
        <w:tab/>
        <w:t>Ministère de l’Emploi et de la Formation Professionnelle</w:t>
      </w:r>
    </w:p>
    <w:p w:rsidR="007E3159" w:rsidRPr="009E44DD" w:rsidRDefault="008E188C" w:rsidP="0017665A">
      <w:pPr>
        <w:pStyle w:val="SingleTxtG"/>
        <w:spacing w:after="60" w:line="240" w:lineRule="auto"/>
        <w:ind w:left="3399" w:hanging="2265"/>
        <w:jc w:val="left"/>
        <w:rPr>
          <w:lang w:val="fr-FR"/>
        </w:rPr>
      </w:pPr>
      <w:r w:rsidRPr="009E44DD">
        <w:rPr>
          <w:lang w:val="fr-FR"/>
        </w:rPr>
        <w:t>MINEPIA</w:t>
      </w:r>
      <w:r w:rsidRPr="009E44DD">
        <w:rPr>
          <w:lang w:val="fr-FR"/>
        </w:rPr>
        <w:tab/>
      </w:r>
      <w:r w:rsidRPr="009E44DD">
        <w:rPr>
          <w:lang w:val="fr-FR"/>
        </w:rPr>
        <w:tab/>
      </w:r>
      <w:r w:rsidR="007E3159" w:rsidRPr="009E44DD">
        <w:rPr>
          <w:lang w:val="fr-FR"/>
        </w:rPr>
        <w:t>Ministère de l</w:t>
      </w:r>
      <w:r w:rsidR="006A57AD">
        <w:rPr>
          <w:lang w:val="fr-FR"/>
        </w:rPr>
        <w:t>’</w:t>
      </w:r>
      <w:r w:rsidR="007E3159" w:rsidRPr="009E44DD">
        <w:rPr>
          <w:lang w:val="fr-FR"/>
        </w:rPr>
        <w:t>Elevage, des Pêches et des Industrie Animales</w:t>
      </w:r>
    </w:p>
    <w:p w:rsidR="007E3159" w:rsidRPr="009E44DD" w:rsidRDefault="00B51E80" w:rsidP="0017665A">
      <w:pPr>
        <w:pStyle w:val="SingleTxtG"/>
        <w:spacing w:after="60" w:line="240" w:lineRule="auto"/>
        <w:ind w:left="3399" w:hanging="2265"/>
        <w:jc w:val="left"/>
        <w:rPr>
          <w:lang w:val="fr-FR"/>
        </w:rPr>
      </w:pPr>
      <w:r w:rsidRPr="009E44DD">
        <w:rPr>
          <w:lang w:val="fr-FR"/>
        </w:rPr>
        <w:t>MINESEC</w:t>
      </w:r>
      <w:r w:rsidRPr="009E44DD">
        <w:rPr>
          <w:lang w:val="fr-FR"/>
        </w:rPr>
        <w:tab/>
      </w:r>
      <w:r w:rsidR="007E3159" w:rsidRPr="009E44DD">
        <w:rPr>
          <w:lang w:val="fr-FR"/>
        </w:rPr>
        <w:t>Ministère des Enseignements Secondaires</w:t>
      </w:r>
    </w:p>
    <w:p w:rsidR="007E3159" w:rsidRPr="009E44DD" w:rsidRDefault="008E188C" w:rsidP="0017665A">
      <w:pPr>
        <w:pStyle w:val="SingleTxtG"/>
        <w:spacing w:after="60" w:line="240" w:lineRule="auto"/>
        <w:ind w:left="3399" w:hanging="2265"/>
        <w:jc w:val="left"/>
        <w:rPr>
          <w:lang w:val="fr-FR"/>
        </w:rPr>
      </w:pPr>
      <w:r w:rsidRPr="009E44DD">
        <w:rPr>
          <w:lang w:val="fr-FR"/>
        </w:rPr>
        <w:t>MINJUSTICE</w:t>
      </w:r>
      <w:r w:rsidRPr="009E44DD">
        <w:rPr>
          <w:lang w:val="fr-FR"/>
        </w:rPr>
        <w:tab/>
      </w:r>
      <w:r w:rsidRPr="009E44DD">
        <w:rPr>
          <w:lang w:val="fr-FR"/>
        </w:rPr>
        <w:tab/>
      </w:r>
      <w:r w:rsidR="007E3159" w:rsidRPr="009E44DD">
        <w:rPr>
          <w:lang w:val="fr-FR"/>
        </w:rPr>
        <w:t>Ministère de la Justice</w:t>
      </w:r>
    </w:p>
    <w:p w:rsidR="007E3159" w:rsidRPr="009E44DD" w:rsidRDefault="00B51E80" w:rsidP="0017665A">
      <w:pPr>
        <w:pStyle w:val="SingleTxtG"/>
        <w:spacing w:after="60" w:line="240" w:lineRule="auto"/>
        <w:ind w:left="3399" w:hanging="2265"/>
        <w:jc w:val="left"/>
        <w:rPr>
          <w:lang w:val="fr-FR"/>
        </w:rPr>
      </w:pPr>
      <w:r w:rsidRPr="009E44DD">
        <w:rPr>
          <w:lang w:val="fr-FR"/>
        </w:rPr>
        <w:t>MINMAP</w:t>
      </w:r>
      <w:r w:rsidRPr="009E44DD">
        <w:rPr>
          <w:lang w:val="fr-FR"/>
        </w:rPr>
        <w:tab/>
      </w:r>
      <w:r w:rsidR="007E3159" w:rsidRPr="009E44DD">
        <w:rPr>
          <w:lang w:val="fr-FR"/>
        </w:rPr>
        <w:t>Ministère des Marchés Publics</w:t>
      </w:r>
    </w:p>
    <w:p w:rsidR="007E3159" w:rsidRPr="009E44DD" w:rsidRDefault="008E188C" w:rsidP="0017665A">
      <w:pPr>
        <w:pStyle w:val="SingleTxtG"/>
        <w:spacing w:after="60" w:line="240" w:lineRule="auto"/>
        <w:ind w:left="3399" w:hanging="2265"/>
        <w:jc w:val="left"/>
        <w:rPr>
          <w:lang w:val="fr-FR"/>
        </w:rPr>
      </w:pPr>
      <w:r w:rsidRPr="009E44DD">
        <w:rPr>
          <w:lang w:val="fr-FR"/>
        </w:rPr>
        <w:lastRenderedPageBreak/>
        <w:t>MINPROFF</w:t>
      </w:r>
      <w:r w:rsidRPr="009E44DD">
        <w:rPr>
          <w:lang w:val="fr-FR"/>
        </w:rPr>
        <w:tab/>
      </w:r>
      <w:r w:rsidRPr="009E44DD">
        <w:rPr>
          <w:lang w:val="fr-FR"/>
        </w:rPr>
        <w:tab/>
      </w:r>
      <w:r w:rsidR="007E3159" w:rsidRPr="009E44DD">
        <w:rPr>
          <w:lang w:val="fr-FR"/>
        </w:rPr>
        <w:t>Ministère de la Promotion de la Femme et de la Famille</w:t>
      </w:r>
    </w:p>
    <w:p w:rsidR="007E3159" w:rsidRPr="009E44DD" w:rsidRDefault="008E188C" w:rsidP="0017665A">
      <w:pPr>
        <w:pStyle w:val="SingleTxtG"/>
        <w:spacing w:after="60" w:line="240" w:lineRule="auto"/>
        <w:ind w:left="3399" w:hanging="2265"/>
        <w:jc w:val="left"/>
        <w:rPr>
          <w:lang w:val="fr-FR"/>
        </w:rPr>
      </w:pPr>
      <w:r w:rsidRPr="009E44DD">
        <w:rPr>
          <w:lang w:val="fr-FR"/>
        </w:rPr>
        <w:t>MINSANTE</w:t>
      </w:r>
      <w:r w:rsidRPr="009E44DD">
        <w:rPr>
          <w:lang w:val="fr-FR"/>
        </w:rPr>
        <w:tab/>
      </w:r>
      <w:r w:rsidRPr="009E44DD">
        <w:rPr>
          <w:lang w:val="fr-FR"/>
        </w:rPr>
        <w:tab/>
      </w:r>
      <w:r w:rsidR="007E3159" w:rsidRPr="009E44DD">
        <w:rPr>
          <w:lang w:val="fr-FR"/>
        </w:rPr>
        <w:t>Ministère de la Santé publique</w:t>
      </w:r>
    </w:p>
    <w:p w:rsidR="007E3159" w:rsidRPr="009E44DD" w:rsidRDefault="008E188C" w:rsidP="0017665A">
      <w:pPr>
        <w:pStyle w:val="SingleTxtG"/>
        <w:spacing w:after="60" w:line="240" w:lineRule="auto"/>
        <w:ind w:left="3399" w:hanging="2265"/>
        <w:jc w:val="left"/>
        <w:rPr>
          <w:lang w:val="fr-FR"/>
        </w:rPr>
      </w:pPr>
      <w:r w:rsidRPr="009E44DD">
        <w:rPr>
          <w:lang w:val="fr-FR"/>
        </w:rPr>
        <w:t>MIRAP</w:t>
      </w:r>
      <w:r w:rsidR="00B51E80" w:rsidRPr="009E44DD">
        <w:rPr>
          <w:lang w:val="fr-FR"/>
        </w:rPr>
        <w:tab/>
      </w:r>
      <w:r w:rsidR="00B51E80" w:rsidRPr="009E44DD">
        <w:rPr>
          <w:lang w:val="fr-FR"/>
        </w:rPr>
        <w:tab/>
      </w:r>
      <w:r w:rsidR="007E3159" w:rsidRPr="009E44DD">
        <w:rPr>
          <w:lang w:val="fr-FR"/>
        </w:rPr>
        <w:t>Mission de Régulation des Approvisionnements des</w:t>
      </w:r>
      <w:r w:rsidR="002B712C" w:rsidRPr="009E44DD">
        <w:rPr>
          <w:lang w:val="fr-FR"/>
        </w:rPr>
        <w:t xml:space="preserve"> </w:t>
      </w:r>
      <w:r w:rsidRPr="009E44DD">
        <w:rPr>
          <w:lang w:val="fr-FR"/>
        </w:rPr>
        <w:t>Produits de Grande</w:t>
      </w:r>
      <w:r w:rsidR="002B712C" w:rsidRPr="009E44DD">
        <w:rPr>
          <w:lang w:val="fr-FR"/>
        </w:rPr>
        <w:t xml:space="preserve"> </w:t>
      </w:r>
      <w:r w:rsidR="007E3159" w:rsidRPr="009E44DD">
        <w:rPr>
          <w:lang w:val="fr-FR"/>
        </w:rPr>
        <w:t>Consommation</w:t>
      </w:r>
    </w:p>
    <w:p w:rsidR="007E3159" w:rsidRPr="009E44DD" w:rsidRDefault="00B51E80" w:rsidP="0017665A">
      <w:pPr>
        <w:pStyle w:val="SingleTxtG"/>
        <w:spacing w:after="60" w:line="240" w:lineRule="auto"/>
        <w:ind w:left="3399" w:hanging="2265"/>
        <w:jc w:val="left"/>
        <w:rPr>
          <w:lang w:val="fr-FR"/>
        </w:rPr>
      </w:pPr>
      <w:r w:rsidRPr="009E44DD">
        <w:rPr>
          <w:lang w:val="fr-FR"/>
        </w:rPr>
        <w:t>MST</w:t>
      </w:r>
      <w:r w:rsidRPr="009E44DD">
        <w:rPr>
          <w:lang w:val="fr-FR"/>
        </w:rPr>
        <w:tab/>
      </w:r>
      <w:r w:rsidR="007E3159" w:rsidRPr="009E44DD">
        <w:rPr>
          <w:lang w:val="fr-FR"/>
        </w:rPr>
        <w:t>Maladies Sexuellement Transmissibles</w:t>
      </w:r>
    </w:p>
    <w:p w:rsidR="007E3159" w:rsidRPr="009E44DD" w:rsidRDefault="00B51E80" w:rsidP="0017665A">
      <w:pPr>
        <w:pStyle w:val="SingleTxtG"/>
        <w:spacing w:after="60" w:line="240" w:lineRule="auto"/>
        <w:ind w:left="3399" w:hanging="2265"/>
        <w:jc w:val="left"/>
        <w:rPr>
          <w:lang w:val="fr-FR"/>
        </w:rPr>
      </w:pPr>
      <w:r w:rsidRPr="009E44DD">
        <w:rPr>
          <w:lang w:val="fr-FR"/>
        </w:rPr>
        <w:t>OCEAC</w:t>
      </w:r>
      <w:r w:rsidRPr="009E44DD">
        <w:rPr>
          <w:lang w:val="fr-FR"/>
        </w:rPr>
        <w:tab/>
      </w:r>
      <w:r w:rsidRPr="009E44DD">
        <w:rPr>
          <w:lang w:val="fr-FR"/>
        </w:rPr>
        <w:tab/>
      </w:r>
      <w:r w:rsidR="007E3159" w:rsidRPr="009E44DD">
        <w:rPr>
          <w:lang w:val="fr-FR"/>
        </w:rPr>
        <w:t>Organisation de Coordination et de Coopération pour la Lutte contre les Grandes Endémies en Afrique Centrale</w:t>
      </w:r>
    </w:p>
    <w:p w:rsidR="007E3159" w:rsidRPr="009E44DD" w:rsidRDefault="004B400D" w:rsidP="0017665A">
      <w:pPr>
        <w:pStyle w:val="SingleTxtG"/>
        <w:spacing w:after="60" w:line="240" w:lineRule="auto"/>
        <w:ind w:left="3399" w:hanging="2265"/>
        <w:jc w:val="left"/>
        <w:rPr>
          <w:lang w:val="fr-FR"/>
        </w:rPr>
      </w:pPr>
      <w:r w:rsidRPr="009E44DD">
        <w:rPr>
          <w:lang w:val="fr-FR"/>
        </w:rPr>
        <w:t>OIT</w:t>
      </w:r>
      <w:r w:rsidRPr="009E44DD">
        <w:rPr>
          <w:lang w:val="fr-FR"/>
        </w:rPr>
        <w:tab/>
      </w:r>
      <w:r w:rsidRPr="009E44DD">
        <w:rPr>
          <w:lang w:val="fr-FR"/>
        </w:rPr>
        <w:tab/>
      </w:r>
      <w:r w:rsidR="007E3159" w:rsidRPr="009E44DD">
        <w:rPr>
          <w:lang w:val="fr-FR"/>
        </w:rPr>
        <w:t>Organisation Internationale du Travail</w:t>
      </w:r>
    </w:p>
    <w:p w:rsidR="007E3159" w:rsidRPr="009E44DD" w:rsidRDefault="002B712C" w:rsidP="0017665A">
      <w:pPr>
        <w:pStyle w:val="SingleTxtG"/>
        <w:spacing w:after="60" w:line="240" w:lineRule="auto"/>
        <w:ind w:left="3399" w:hanging="2265"/>
        <w:jc w:val="left"/>
        <w:rPr>
          <w:b/>
          <w:lang w:val="fr-FR"/>
        </w:rPr>
      </w:pPr>
      <w:r w:rsidRPr="009E44DD">
        <w:rPr>
          <w:lang w:val="fr-FR"/>
        </w:rPr>
        <w:t>OMS</w:t>
      </w:r>
      <w:r w:rsidRPr="009E44DD">
        <w:rPr>
          <w:lang w:val="fr-FR"/>
        </w:rPr>
        <w:tab/>
      </w:r>
      <w:r w:rsidR="00B51E80" w:rsidRPr="009E44DD">
        <w:rPr>
          <w:lang w:val="fr-FR"/>
        </w:rPr>
        <w:tab/>
      </w:r>
      <w:r w:rsidR="007E3159" w:rsidRPr="009E44DD">
        <w:rPr>
          <w:lang w:val="fr-FR"/>
        </w:rPr>
        <w:t>Organisation Mondiale de la Santé</w:t>
      </w:r>
    </w:p>
    <w:p w:rsidR="007E3159" w:rsidRPr="009E44DD" w:rsidRDefault="002B712C" w:rsidP="0017665A">
      <w:pPr>
        <w:pStyle w:val="SingleTxtG"/>
        <w:spacing w:after="60" w:line="240" w:lineRule="auto"/>
        <w:ind w:left="3399" w:hanging="2265"/>
        <w:jc w:val="left"/>
        <w:rPr>
          <w:lang w:val="fr-FR"/>
        </w:rPr>
      </w:pPr>
      <w:r w:rsidRPr="009E44DD">
        <w:rPr>
          <w:lang w:val="fr-FR"/>
        </w:rPr>
        <w:t>ONEFOP</w:t>
      </w:r>
      <w:r w:rsidRPr="009E44DD">
        <w:rPr>
          <w:lang w:val="fr-FR"/>
        </w:rPr>
        <w:tab/>
      </w:r>
      <w:r w:rsidRPr="009E44DD">
        <w:rPr>
          <w:lang w:val="fr-FR"/>
        </w:rPr>
        <w:tab/>
      </w:r>
      <w:r w:rsidR="007E3159" w:rsidRPr="009E44DD">
        <w:rPr>
          <w:lang w:val="fr-FR"/>
        </w:rPr>
        <w:t>Observatoire National de l’Emploi et de la Formation Professionnelle</w:t>
      </w:r>
    </w:p>
    <w:p w:rsidR="007E3159" w:rsidRPr="009E44DD" w:rsidRDefault="007E3159" w:rsidP="0017665A">
      <w:pPr>
        <w:pStyle w:val="SingleTxtG"/>
        <w:spacing w:after="60" w:line="240" w:lineRule="auto"/>
        <w:ind w:left="3399" w:hanging="2265"/>
        <w:jc w:val="left"/>
        <w:rPr>
          <w:lang w:val="fr-FR"/>
        </w:rPr>
      </w:pPr>
      <w:r w:rsidRPr="009E44DD">
        <w:rPr>
          <w:lang w:val="fr-FR"/>
        </w:rPr>
        <w:t>ONU FEMMES</w:t>
      </w:r>
      <w:r w:rsidRPr="009E44DD">
        <w:rPr>
          <w:lang w:val="fr-FR"/>
        </w:rPr>
        <w:tab/>
      </w:r>
      <w:r w:rsidR="004B400D" w:rsidRPr="009E44DD">
        <w:rPr>
          <w:lang w:val="fr-FR"/>
        </w:rPr>
        <w:tab/>
      </w:r>
      <w:r w:rsidRPr="009E44DD">
        <w:rPr>
          <w:lang w:val="fr-FR"/>
        </w:rPr>
        <w:t>Entité des Nations Unies pour l’Egalite des Sexes et l’Autonomisation des Femmes</w:t>
      </w:r>
    </w:p>
    <w:p w:rsidR="007E3159" w:rsidRPr="009E44DD" w:rsidRDefault="002B712C" w:rsidP="0017665A">
      <w:pPr>
        <w:pStyle w:val="SingleTxtG"/>
        <w:spacing w:after="60" w:line="240" w:lineRule="auto"/>
        <w:ind w:left="3399" w:hanging="2265"/>
        <w:jc w:val="left"/>
        <w:rPr>
          <w:lang w:val="fr-FR"/>
        </w:rPr>
      </w:pPr>
      <w:r w:rsidRPr="009E44DD">
        <w:rPr>
          <w:lang w:val="fr-FR"/>
        </w:rPr>
        <w:t>ONUSIDA</w:t>
      </w:r>
      <w:r w:rsidRPr="009E44DD">
        <w:rPr>
          <w:lang w:val="fr-FR"/>
        </w:rPr>
        <w:tab/>
      </w:r>
      <w:r w:rsidRPr="009E44DD">
        <w:rPr>
          <w:lang w:val="fr-FR"/>
        </w:rPr>
        <w:tab/>
      </w:r>
      <w:r w:rsidR="007E3159" w:rsidRPr="009E44DD">
        <w:rPr>
          <w:lang w:val="fr-FR"/>
        </w:rPr>
        <w:t>Programme Commun des Nations Unies sur le VIH/</w:t>
      </w:r>
      <w:r w:rsidR="0011157C">
        <w:rPr>
          <w:lang w:val="fr-FR"/>
        </w:rPr>
        <w:t>s</w:t>
      </w:r>
      <w:r w:rsidR="007E3159" w:rsidRPr="009E44DD">
        <w:rPr>
          <w:lang w:val="fr-FR"/>
        </w:rPr>
        <w:t>ida</w:t>
      </w:r>
    </w:p>
    <w:p w:rsidR="007E3159" w:rsidRPr="009E44DD" w:rsidRDefault="002B712C" w:rsidP="0017665A">
      <w:pPr>
        <w:pStyle w:val="SingleTxtG"/>
        <w:spacing w:after="60" w:line="240" w:lineRule="auto"/>
        <w:ind w:left="3399" w:hanging="2265"/>
        <w:jc w:val="left"/>
        <w:rPr>
          <w:lang w:val="fr-FR"/>
        </w:rPr>
      </w:pPr>
      <w:r w:rsidRPr="009E44DD">
        <w:rPr>
          <w:lang w:val="fr-FR"/>
        </w:rPr>
        <w:t>OSC</w:t>
      </w:r>
      <w:r w:rsidRPr="009E44DD">
        <w:rPr>
          <w:lang w:val="fr-FR"/>
        </w:rPr>
        <w:tab/>
      </w:r>
      <w:r w:rsidR="007E3159" w:rsidRPr="009E44DD">
        <w:rPr>
          <w:lang w:val="fr-FR"/>
        </w:rPr>
        <w:t>Organisations de la Société Civile</w:t>
      </w:r>
    </w:p>
    <w:p w:rsidR="007E3159" w:rsidRPr="009E44DD" w:rsidRDefault="002B712C" w:rsidP="0017665A">
      <w:pPr>
        <w:pStyle w:val="SingleTxtG"/>
        <w:spacing w:after="60" w:line="240" w:lineRule="auto"/>
        <w:ind w:left="3399" w:hanging="2265"/>
        <w:jc w:val="left"/>
        <w:rPr>
          <w:lang w:val="fr-FR"/>
        </w:rPr>
      </w:pPr>
      <w:r w:rsidRPr="009E44DD">
        <w:rPr>
          <w:lang w:val="fr-FR"/>
        </w:rPr>
        <w:t>PACA</w:t>
      </w:r>
      <w:r w:rsidRPr="009E44DD">
        <w:rPr>
          <w:lang w:val="fr-FR"/>
        </w:rPr>
        <w:tab/>
      </w:r>
      <w:r w:rsidRPr="009E44DD">
        <w:rPr>
          <w:lang w:val="fr-FR"/>
        </w:rPr>
        <w:tab/>
      </w:r>
      <w:r w:rsidR="007E3159" w:rsidRPr="009E44DD">
        <w:rPr>
          <w:lang w:val="fr-FR"/>
        </w:rPr>
        <w:t>Programme d’Appui à la Compétitivité Agricole</w:t>
      </w:r>
    </w:p>
    <w:p w:rsidR="007E3159" w:rsidRPr="009E44DD" w:rsidRDefault="0046378D" w:rsidP="0017665A">
      <w:pPr>
        <w:pStyle w:val="SingleTxtG"/>
        <w:spacing w:after="60" w:line="240" w:lineRule="auto"/>
        <w:ind w:left="3399" w:hanging="2265"/>
        <w:jc w:val="left"/>
        <w:rPr>
          <w:lang w:val="fr-FR"/>
        </w:rPr>
      </w:pPr>
      <w:r w:rsidRPr="009E44DD">
        <w:rPr>
          <w:lang w:val="fr-FR"/>
        </w:rPr>
        <w:t>PADMIR</w:t>
      </w:r>
      <w:r w:rsidR="007E3159" w:rsidRPr="009E44DD">
        <w:rPr>
          <w:lang w:val="fr-FR"/>
        </w:rPr>
        <w:tab/>
      </w:r>
      <w:r w:rsidR="007E3159" w:rsidRPr="009E44DD">
        <w:rPr>
          <w:lang w:val="fr-FR"/>
        </w:rPr>
        <w:tab/>
        <w:t xml:space="preserve">Projet d’Appui au Développement de la </w:t>
      </w:r>
      <w:r w:rsidRPr="009E44DD">
        <w:rPr>
          <w:lang w:val="fr-FR"/>
        </w:rPr>
        <w:t>Microfinance</w:t>
      </w:r>
      <w:r w:rsidR="007E3159" w:rsidRPr="009E44DD">
        <w:rPr>
          <w:lang w:val="fr-FR"/>
        </w:rPr>
        <w:t xml:space="preserve"> Rurale</w:t>
      </w:r>
    </w:p>
    <w:p w:rsidR="007E3159" w:rsidRPr="009E44DD" w:rsidRDefault="002B712C" w:rsidP="0017665A">
      <w:pPr>
        <w:pStyle w:val="SingleTxtG"/>
        <w:spacing w:after="60" w:line="240" w:lineRule="auto"/>
        <w:ind w:left="3399" w:hanging="2265"/>
        <w:jc w:val="left"/>
        <w:rPr>
          <w:lang w:val="fr-FR"/>
        </w:rPr>
      </w:pPr>
      <w:r w:rsidRPr="009E44DD">
        <w:rPr>
          <w:lang w:val="fr-FR"/>
        </w:rPr>
        <w:t>PANEJ</w:t>
      </w:r>
      <w:r w:rsidRPr="009E44DD">
        <w:rPr>
          <w:lang w:val="fr-FR"/>
        </w:rPr>
        <w:tab/>
      </w:r>
      <w:r w:rsidRPr="009E44DD">
        <w:rPr>
          <w:lang w:val="fr-FR"/>
        </w:rPr>
        <w:tab/>
      </w:r>
      <w:r w:rsidR="007E3159" w:rsidRPr="009E44DD">
        <w:rPr>
          <w:lang w:val="fr-FR"/>
        </w:rPr>
        <w:t>Plan d’Action National pour l’Emploi des Jeunes</w:t>
      </w:r>
    </w:p>
    <w:p w:rsidR="007E3159" w:rsidRPr="009E44DD" w:rsidRDefault="0046378D" w:rsidP="0017665A">
      <w:pPr>
        <w:pStyle w:val="SingleTxtG"/>
        <w:spacing w:after="60" w:line="240" w:lineRule="auto"/>
        <w:ind w:left="3399" w:hanging="2265"/>
        <w:jc w:val="left"/>
        <w:rPr>
          <w:lang w:val="fr-FR"/>
        </w:rPr>
      </w:pPr>
      <w:r w:rsidRPr="009E44DD">
        <w:rPr>
          <w:lang w:val="fr-FR"/>
        </w:rPr>
        <w:t>PANETEC</w:t>
      </w:r>
      <w:r w:rsidR="002B712C" w:rsidRPr="009E44DD">
        <w:rPr>
          <w:lang w:val="fr-FR"/>
        </w:rPr>
        <w:tab/>
      </w:r>
      <w:r w:rsidR="002B712C" w:rsidRPr="009E44DD">
        <w:rPr>
          <w:lang w:val="fr-FR"/>
        </w:rPr>
        <w:tab/>
      </w:r>
      <w:r w:rsidR="007E3159" w:rsidRPr="009E44DD">
        <w:rPr>
          <w:lang w:val="fr-FR"/>
        </w:rPr>
        <w:t>Plan d’Action National pour l’Elimination des Pires formes</w:t>
      </w:r>
      <w:r w:rsidR="002B712C" w:rsidRPr="009E44DD">
        <w:rPr>
          <w:lang w:val="fr-FR"/>
        </w:rPr>
        <w:t xml:space="preserve"> </w:t>
      </w:r>
      <w:r w:rsidR="007E3159" w:rsidRPr="009E44DD">
        <w:rPr>
          <w:lang w:val="fr-FR"/>
        </w:rPr>
        <w:t>du Travail des Enfants au Cameroun</w:t>
      </w:r>
    </w:p>
    <w:p w:rsidR="007E3159" w:rsidRPr="009E44DD" w:rsidRDefault="002B712C" w:rsidP="0017665A">
      <w:pPr>
        <w:pStyle w:val="SingleTxtG"/>
        <w:spacing w:after="60" w:line="240" w:lineRule="auto"/>
        <w:ind w:left="3399" w:hanging="2265"/>
        <w:jc w:val="left"/>
        <w:rPr>
          <w:lang w:val="fr-FR"/>
        </w:rPr>
      </w:pPr>
      <w:r w:rsidRPr="009E44DD">
        <w:rPr>
          <w:lang w:val="fr-FR"/>
        </w:rPr>
        <w:t>PDP</w:t>
      </w:r>
      <w:r w:rsidRPr="009E44DD">
        <w:rPr>
          <w:lang w:val="fr-FR"/>
        </w:rPr>
        <w:tab/>
      </w:r>
      <w:r w:rsidRPr="009E44DD">
        <w:rPr>
          <w:lang w:val="fr-FR"/>
        </w:rPr>
        <w:tab/>
      </w:r>
      <w:r w:rsidR="007E3159" w:rsidRPr="009E44DD">
        <w:rPr>
          <w:lang w:val="fr-FR"/>
        </w:rPr>
        <w:t>Plan de Développement pour les Pygmées</w:t>
      </w:r>
    </w:p>
    <w:p w:rsidR="007E3159" w:rsidRPr="009E44DD" w:rsidRDefault="007E3159" w:rsidP="0017665A">
      <w:pPr>
        <w:pStyle w:val="SingleTxtG"/>
        <w:spacing w:after="60" w:line="240" w:lineRule="auto"/>
        <w:ind w:left="3399" w:hanging="2265"/>
        <w:jc w:val="left"/>
        <w:rPr>
          <w:lang w:val="fr-FR"/>
        </w:rPr>
      </w:pPr>
      <w:r w:rsidRPr="009E44DD">
        <w:rPr>
          <w:lang w:val="fr-FR"/>
        </w:rPr>
        <w:t>PD</w:t>
      </w:r>
      <w:r w:rsidR="002B712C" w:rsidRPr="009E44DD">
        <w:rPr>
          <w:lang w:val="fr-FR"/>
        </w:rPr>
        <w:t>UE</w:t>
      </w:r>
      <w:r w:rsidR="002B712C" w:rsidRPr="009E44DD">
        <w:rPr>
          <w:lang w:val="fr-FR"/>
        </w:rPr>
        <w:tab/>
      </w:r>
      <w:r w:rsidR="002B712C" w:rsidRPr="009E44DD">
        <w:rPr>
          <w:lang w:val="fr-FR"/>
        </w:rPr>
        <w:tab/>
      </w:r>
      <w:r w:rsidRPr="009E44DD">
        <w:rPr>
          <w:lang w:val="fr-FR"/>
        </w:rPr>
        <w:t>Projet de Développement des Secteurs Urbains et de l’Approvisionnement en eau</w:t>
      </w:r>
    </w:p>
    <w:p w:rsidR="007E3159" w:rsidRPr="009E44DD" w:rsidRDefault="002B712C" w:rsidP="0017665A">
      <w:pPr>
        <w:pStyle w:val="SingleTxtG"/>
        <w:spacing w:after="60" w:line="240" w:lineRule="auto"/>
        <w:ind w:left="3399" w:hanging="2265"/>
        <w:jc w:val="left"/>
        <w:rPr>
          <w:lang w:val="fr-FR"/>
        </w:rPr>
      </w:pPr>
      <w:r w:rsidRPr="009E44DD">
        <w:rPr>
          <w:lang w:val="fr-FR"/>
        </w:rPr>
        <w:t>PIDESC</w:t>
      </w:r>
      <w:r w:rsidRPr="009E44DD">
        <w:rPr>
          <w:lang w:val="fr-FR"/>
        </w:rPr>
        <w:tab/>
      </w:r>
      <w:r w:rsidRPr="009E44DD">
        <w:rPr>
          <w:lang w:val="fr-FR"/>
        </w:rPr>
        <w:tab/>
      </w:r>
      <w:r w:rsidR="007E3159" w:rsidRPr="009E44DD">
        <w:rPr>
          <w:lang w:val="fr-FR"/>
        </w:rPr>
        <w:t>Pacte International relatif aux Droits Economiques, Sociaux et Culturels</w:t>
      </w:r>
    </w:p>
    <w:p w:rsidR="007E3159" w:rsidRPr="009E44DD" w:rsidRDefault="002B712C" w:rsidP="0017665A">
      <w:pPr>
        <w:pStyle w:val="SingleTxtG"/>
        <w:spacing w:after="60" w:line="240" w:lineRule="auto"/>
        <w:ind w:left="3399" w:hanging="2265"/>
        <w:jc w:val="left"/>
        <w:rPr>
          <w:lang w:val="fr-FR"/>
        </w:rPr>
      </w:pPr>
      <w:r w:rsidRPr="009E44DD">
        <w:rPr>
          <w:lang w:val="fr-FR"/>
        </w:rPr>
        <w:t>PME</w:t>
      </w:r>
      <w:r w:rsidRPr="009E44DD">
        <w:rPr>
          <w:lang w:val="fr-FR"/>
        </w:rPr>
        <w:tab/>
      </w:r>
      <w:r w:rsidRPr="009E44DD">
        <w:rPr>
          <w:lang w:val="fr-FR"/>
        </w:rPr>
        <w:tab/>
      </w:r>
      <w:r w:rsidR="007E3159" w:rsidRPr="009E44DD">
        <w:rPr>
          <w:lang w:val="fr-FR"/>
        </w:rPr>
        <w:t>Partenariat Mondial pour l’Education</w:t>
      </w:r>
    </w:p>
    <w:p w:rsidR="007E3159" w:rsidRPr="009E44DD" w:rsidRDefault="002B712C" w:rsidP="0017665A">
      <w:pPr>
        <w:pStyle w:val="SingleTxtG"/>
        <w:spacing w:after="60" w:line="240" w:lineRule="auto"/>
        <w:ind w:left="3399" w:hanging="2265"/>
        <w:jc w:val="left"/>
        <w:rPr>
          <w:lang w:val="fr-FR"/>
        </w:rPr>
      </w:pPr>
      <w:r w:rsidRPr="009E44DD">
        <w:rPr>
          <w:lang w:val="fr-FR"/>
        </w:rPr>
        <w:t>PNDP</w:t>
      </w:r>
      <w:r w:rsidRPr="009E44DD">
        <w:rPr>
          <w:lang w:val="fr-FR"/>
        </w:rPr>
        <w:tab/>
      </w:r>
      <w:r w:rsidRPr="009E44DD">
        <w:rPr>
          <w:lang w:val="fr-FR"/>
        </w:rPr>
        <w:tab/>
      </w:r>
      <w:r w:rsidR="007E3159" w:rsidRPr="009E44DD">
        <w:rPr>
          <w:lang w:val="fr-FR"/>
        </w:rPr>
        <w:t>Programme National de Développement Participatif</w:t>
      </w:r>
    </w:p>
    <w:p w:rsidR="007E3159" w:rsidRPr="009E44DD" w:rsidRDefault="002B712C" w:rsidP="0017665A">
      <w:pPr>
        <w:pStyle w:val="SingleTxtG"/>
        <w:spacing w:after="60" w:line="240" w:lineRule="auto"/>
        <w:ind w:left="3399" w:hanging="2265"/>
        <w:jc w:val="left"/>
        <w:rPr>
          <w:lang w:val="fr-FR"/>
        </w:rPr>
      </w:pPr>
      <w:r w:rsidRPr="009E44DD">
        <w:rPr>
          <w:lang w:val="fr-FR"/>
        </w:rPr>
        <w:t>PNG</w:t>
      </w:r>
      <w:r w:rsidRPr="009E44DD">
        <w:rPr>
          <w:lang w:val="fr-FR"/>
        </w:rPr>
        <w:tab/>
      </w:r>
      <w:r w:rsidRPr="009E44DD">
        <w:rPr>
          <w:lang w:val="fr-FR"/>
        </w:rPr>
        <w:tab/>
      </w:r>
      <w:r w:rsidR="007E3159" w:rsidRPr="009E44DD">
        <w:rPr>
          <w:lang w:val="fr-FR"/>
        </w:rPr>
        <w:t>Programme National de Gouvernance</w:t>
      </w:r>
    </w:p>
    <w:p w:rsidR="007E3159" w:rsidRPr="009E44DD" w:rsidRDefault="002B712C" w:rsidP="0017665A">
      <w:pPr>
        <w:pStyle w:val="SingleTxtG"/>
        <w:spacing w:after="60" w:line="240" w:lineRule="auto"/>
        <w:ind w:left="3399" w:hanging="2265"/>
        <w:jc w:val="left"/>
        <w:rPr>
          <w:lang w:val="fr-FR"/>
        </w:rPr>
      </w:pPr>
      <w:r w:rsidRPr="009E44DD">
        <w:rPr>
          <w:lang w:val="fr-FR"/>
        </w:rPr>
        <w:t>PNSA</w:t>
      </w:r>
      <w:r w:rsidRPr="009E44DD">
        <w:rPr>
          <w:lang w:val="fr-FR"/>
        </w:rPr>
        <w:tab/>
      </w:r>
      <w:r w:rsidRPr="009E44DD">
        <w:rPr>
          <w:lang w:val="fr-FR"/>
        </w:rPr>
        <w:tab/>
      </w:r>
      <w:r w:rsidR="007E3159" w:rsidRPr="009E44DD">
        <w:rPr>
          <w:lang w:val="fr-FR"/>
        </w:rPr>
        <w:t>Programme National de Sécurité Alimentaire</w:t>
      </w:r>
    </w:p>
    <w:p w:rsidR="007E3159" w:rsidRPr="009E44DD" w:rsidRDefault="002B712C" w:rsidP="0017665A">
      <w:pPr>
        <w:pStyle w:val="SingleTxtG"/>
        <w:spacing w:after="60" w:line="240" w:lineRule="auto"/>
        <w:ind w:left="3399" w:hanging="2265"/>
        <w:jc w:val="left"/>
        <w:rPr>
          <w:lang w:val="fr-FR"/>
        </w:rPr>
      </w:pPr>
      <w:r w:rsidRPr="009E44DD">
        <w:rPr>
          <w:lang w:val="fr-FR"/>
        </w:rPr>
        <w:t>PNUD</w:t>
      </w:r>
      <w:r w:rsidRPr="009E44DD">
        <w:rPr>
          <w:lang w:val="fr-FR"/>
        </w:rPr>
        <w:tab/>
      </w:r>
      <w:r w:rsidRPr="009E44DD">
        <w:rPr>
          <w:lang w:val="fr-FR"/>
        </w:rPr>
        <w:tab/>
      </w:r>
      <w:r w:rsidR="007E3159" w:rsidRPr="009E44DD">
        <w:rPr>
          <w:lang w:val="fr-FR"/>
        </w:rPr>
        <w:t>Programme des Nations Unies pour le Développement</w:t>
      </w:r>
    </w:p>
    <w:p w:rsidR="007E3159" w:rsidRPr="009E44DD" w:rsidRDefault="002B712C" w:rsidP="0017665A">
      <w:pPr>
        <w:pStyle w:val="SingleTxtG"/>
        <w:spacing w:after="60" w:line="240" w:lineRule="auto"/>
        <w:ind w:left="3399" w:hanging="2265"/>
        <w:jc w:val="left"/>
        <w:rPr>
          <w:lang w:val="fr-FR"/>
        </w:rPr>
      </w:pPr>
      <w:r w:rsidRPr="009E44DD">
        <w:rPr>
          <w:lang w:val="fr-FR"/>
        </w:rPr>
        <w:t>PPA</w:t>
      </w:r>
      <w:r w:rsidRPr="009E44DD">
        <w:rPr>
          <w:lang w:val="fr-FR"/>
        </w:rPr>
        <w:tab/>
      </w:r>
      <w:r w:rsidRPr="009E44DD">
        <w:rPr>
          <w:lang w:val="fr-FR"/>
        </w:rPr>
        <w:tab/>
      </w:r>
      <w:r w:rsidR="007E3159" w:rsidRPr="009E44DD">
        <w:rPr>
          <w:lang w:val="fr-FR"/>
        </w:rPr>
        <w:t>Plan pour les Peuples Autochtones</w:t>
      </w:r>
    </w:p>
    <w:p w:rsidR="007E3159" w:rsidRPr="009E44DD" w:rsidRDefault="002B712C" w:rsidP="0017665A">
      <w:pPr>
        <w:pStyle w:val="SingleTxtG"/>
        <w:spacing w:after="60" w:line="240" w:lineRule="auto"/>
        <w:ind w:left="3399" w:hanging="2265"/>
        <w:jc w:val="left"/>
        <w:rPr>
          <w:lang w:val="fr-FR"/>
        </w:rPr>
      </w:pPr>
      <w:r w:rsidRPr="009E44DD">
        <w:rPr>
          <w:lang w:val="fr-FR"/>
        </w:rPr>
        <w:t>PPAB</w:t>
      </w:r>
      <w:r w:rsidRPr="009E44DD">
        <w:rPr>
          <w:lang w:val="fr-FR"/>
        </w:rPr>
        <w:tab/>
      </w:r>
      <w:r w:rsidRPr="009E44DD">
        <w:rPr>
          <w:lang w:val="fr-FR"/>
        </w:rPr>
        <w:tab/>
      </w:r>
      <w:r w:rsidR="007E3159" w:rsidRPr="009E44DD">
        <w:rPr>
          <w:lang w:val="fr-FR"/>
        </w:rPr>
        <w:t>Programme Participatif d’Amélioration des Bidonvilles</w:t>
      </w:r>
    </w:p>
    <w:p w:rsidR="007E3159" w:rsidRPr="009E44DD" w:rsidRDefault="002B712C" w:rsidP="0017665A">
      <w:pPr>
        <w:pStyle w:val="SingleTxtG"/>
        <w:spacing w:after="60" w:line="240" w:lineRule="auto"/>
        <w:ind w:left="3399" w:hanging="2265"/>
        <w:jc w:val="left"/>
        <w:rPr>
          <w:lang w:val="fr-FR"/>
        </w:rPr>
      </w:pPr>
      <w:r w:rsidRPr="009E44DD">
        <w:rPr>
          <w:lang w:val="fr-FR"/>
        </w:rPr>
        <w:t>PPTD</w:t>
      </w:r>
      <w:r w:rsidRPr="009E44DD">
        <w:rPr>
          <w:lang w:val="fr-FR"/>
        </w:rPr>
        <w:tab/>
      </w:r>
      <w:r w:rsidRPr="009E44DD">
        <w:rPr>
          <w:lang w:val="fr-FR"/>
        </w:rPr>
        <w:tab/>
      </w:r>
      <w:r w:rsidR="007E3159" w:rsidRPr="009E44DD">
        <w:rPr>
          <w:lang w:val="fr-FR"/>
        </w:rPr>
        <w:t>Programme Pays de Promotion du Travail Décent</w:t>
      </w:r>
    </w:p>
    <w:p w:rsidR="007E3159" w:rsidRPr="009E44DD" w:rsidRDefault="002B712C" w:rsidP="0017665A">
      <w:pPr>
        <w:pStyle w:val="SingleTxtG"/>
        <w:spacing w:after="60" w:line="240" w:lineRule="auto"/>
        <w:ind w:left="3399" w:hanging="2265"/>
        <w:jc w:val="left"/>
        <w:rPr>
          <w:lang w:val="fr-FR"/>
        </w:rPr>
      </w:pPr>
      <w:r w:rsidRPr="009E44DD">
        <w:rPr>
          <w:lang w:val="fr-FR"/>
        </w:rPr>
        <w:t>PRINCES</w:t>
      </w:r>
      <w:r w:rsidRPr="009E44DD">
        <w:rPr>
          <w:lang w:val="fr-FR"/>
        </w:rPr>
        <w:tab/>
      </w:r>
      <w:r w:rsidR="007E3159" w:rsidRPr="009E44DD">
        <w:rPr>
          <w:lang w:val="fr-FR"/>
        </w:rPr>
        <w:tab/>
        <w:t>Programme de l’Inclusion Economique et Sociale</w:t>
      </w:r>
    </w:p>
    <w:p w:rsidR="007E3159" w:rsidRPr="009E44DD" w:rsidRDefault="007E3159" w:rsidP="0017665A">
      <w:pPr>
        <w:pStyle w:val="SingleTxtG"/>
        <w:spacing w:after="60" w:line="240" w:lineRule="auto"/>
        <w:ind w:left="3399" w:hanging="2265"/>
        <w:jc w:val="left"/>
        <w:rPr>
          <w:lang w:val="fr-FR"/>
        </w:rPr>
      </w:pPr>
      <w:r w:rsidRPr="009E44DD">
        <w:rPr>
          <w:lang w:val="fr-FR"/>
        </w:rPr>
        <w:t>PTME</w:t>
      </w:r>
      <w:r w:rsidR="002B712C" w:rsidRPr="009E44DD">
        <w:rPr>
          <w:lang w:val="fr-FR"/>
        </w:rPr>
        <w:tab/>
      </w:r>
      <w:r w:rsidR="002B712C" w:rsidRPr="009E44DD">
        <w:rPr>
          <w:lang w:val="fr-FR"/>
        </w:rPr>
        <w:tab/>
      </w:r>
      <w:r w:rsidRPr="009E44DD">
        <w:rPr>
          <w:lang w:val="fr-FR"/>
        </w:rPr>
        <w:t>Prévention de la Transmission du VIH de la Mère à l’Enfant</w:t>
      </w:r>
    </w:p>
    <w:p w:rsidR="007E3159" w:rsidRPr="009E44DD" w:rsidRDefault="002B712C" w:rsidP="0017665A">
      <w:pPr>
        <w:pStyle w:val="SingleTxtG"/>
        <w:spacing w:after="60" w:line="240" w:lineRule="auto"/>
        <w:ind w:left="3399" w:hanging="2265"/>
        <w:jc w:val="left"/>
        <w:rPr>
          <w:lang w:val="fr-FR"/>
        </w:rPr>
      </w:pPr>
      <w:r w:rsidRPr="009E44DD">
        <w:rPr>
          <w:lang w:val="fr-FR"/>
        </w:rPr>
        <w:t>PVVIH</w:t>
      </w:r>
      <w:r w:rsidRPr="009E44DD">
        <w:rPr>
          <w:lang w:val="fr-FR"/>
        </w:rPr>
        <w:tab/>
      </w:r>
      <w:r w:rsidRPr="009E44DD">
        <w:rPr>
          <w:lang w:val="fr-FR"/>
        </w:rPr>
        <w:tab/>
      </w:r>
      <w:r w:rsidR="007E3159" w:rsidRPr="009E44DD">
        <w:rPr>
          <w:lang w:val="fr-FR"/>
        </w:rPr>
        <w:t>Personnes vivant avec le VIH/</w:t>
      </w:r>
      <w:r w:rsidR="0011157C">
        <w:rPr>
          <w:lang w:val="fr-FR"/>
        </w:rPr>
        <w:t>s</w:t>
      </w:r>
      <w:r w:rsidR="007E3159" w:rsidRPr="009E44DD">
        <w:rPr>
          <w:lang w:val="fr-FR"/>
        </w:rPr>
        <w:t>ida</w:t>
      </w:r>
    </w:p>
    <w:p w:rsidR="007E3159" w:rsidRPr="009E44DD" w:rsidRDefault="002B712C" w:rsidP="0017665A">
      <w:pPr>
        <w:pStyle w:val="SingleTxtG"/>
        <w:spacing w:after="60" w:line="240" w:lineRule="auto"/>
        <w:ind w:left="3399" w:hanging="2265"/>
        <w:jc w:val="left"/>
        <w:rPr>
          <w:lang w:val="fr-FR"/>
        </w:rPr>
      </w:pPr>
      <w:r w:rsidRPr="009E44DD">
        <w:rPr>
          <w:lang w:val="fr-FR"/>
        </w:rPr>
        <w:t>SED</w:t>
      </w:r>
      <w:r w:rsidRPr="009E44DD">
        <w:rPr>
          <w:lang w:val="fr-FR"/>
        </w:rPr>
        <w:tab/>
      </w:r>
      <w:r w:rsidRPr="009E44DD">
        <w:rPr>
          <w:lang w:val="fr-FR"/>
        </w:rPr>
        <w:tab/>
      </w:r>
      <w:r w:rsidR="007E3159" w:rsidRPr="009E44DD">
        <w:rPr>
          <w:lang w:val="fr-FR"/>
        </w:rPr>
        <w:t>Secrétariat d’</w:t>
      </w:r>
      <w:r w:rsidR="00FB5306">
        <w:rPr>
          <w:lang w:val="fr-FR"/>
        </w:rPr>
        <w:t>État</w:t>
      </w:r>
      <w:r w:rsidR="007E3159" w:rsidRPr="009E44DD">
        <w:rPr>
          <w:lang w:val="fr-FR"/>
        </w:rPr>
        <w:t xml:space="preserve"> à la Défense chargé de la Gendarmerie Nationale</w:t>
      </w:r>
    </w:p>
    <w:p w:rsidR="007E3159" w:rsidRPr="009E44DD" w:rsidRDefault="002B712C" w:rsidP="0017665A">
      <w:pPr>
        <w:pStyle w:val="SingleTxtG"/>
        <w:spacing w:after="60" w:line="240" w:lineRule="auto"/>
        <w:ind w:left="3399" w:hanging="2265"/>
        <w:jc w:val="left"/>
        <w:rPr>
          <w:lang w:val="fr-FR"/>
        </w:rPr>
      </w:pPr>
      <w:r w:rsidRPr="009E44DD">
        <w:rPr>
          <w:lang w:val="fr-FR"/>
        </w:rPr>
        <w:t>SMIG</w:t>
      </w:r>
      <w:r w:rsidRPr="009E44DD">
        <w:rPr>
          <w:lang w:val="fr-FR"/>
        </w:rPr>
        <w:tab/>
      </w:r>
      <w:r w:rsidRPr="009E44DD">
        <w:rPr>
          <w:lang w:val="fr-FR"/>
        </w:rPr>
        <w:tab/>
      </w:r>
      <w:r w:rsidR="007E3159" w:rsidRPr="009E44DD">
        <w:rPr>
          <w:lang w:val="fr-FR"/>
        </w:rPr>
        <w:t>Salaire Minimum Interprofessionnel Garanti</w:t>
      </w:r>
    </w:p>
    <w:p w:rsidR="007E3159" w:rsidRPr="009E44DD" w:rsidRDefault="002B712C" w:rsidP="0017665A">
      <w:pPr>
        <w:pStyle w:val="SingleTxtG"/>
        <w:spacing w:after="60" w:line="240" w:lineRule="auto"/>
        <w:ind w:left="3399" w:hanging="2265"/>
        <w:jc w:val="left"/>
        <w:rPr>
          <w:lang w:val="fr-FR"/>
        </w:rPr>
      </w:pPr>
      <w:r w:rsidRPr="009E44DD">
        <w:rPr>
          <w:lang w:val="fr-FR"/>
        </w:rPr>
        <w:t>SPRPB</w:t>
      </w:r>
      <w:r w:rsidRPr="009E44DD">
        <w:rPr>
          <w:lang w:val="fr-FR"/>
        </w:rPr>
        <w:tab/>
      </w:r>
      <w:r w:rsidRPr="009E44DD">
        <w:rPr>
          <w:lang w:val="fr-FR"/>
        </w:rPr>
        <w:tab/>
      </w:r>
      <w:r w:rsidR="007E3159" w:rsidRPr="009E44DD">
        <w:rPr>
          <w:lang w:val="fr-FR"/>
        </w:rPr>
        <w:t>Sous-programme de Réduction de la Pauvreté à la Base</w:t>
      </w:r>
    </w:p>
    <w:p w:rsidR="007E3159" w:rsidRPr="009E44DD" w:rsidRDefault="002B712C" w:rsidP="0017665A">
      <w:pPr>
        <w:pStyle w:val="SingleTxtG"/>
        <w:spacing w:after="60" w:line="240" w:lineRule="auto"/>
        <w:ind w:left="3399" w:hanging="2265"/>
        <w:jc w:val="left"/>
        <w:rPr>
          <w:lang w:val="fr-FR"/>
        </w:rPr>
      </w:pPr>
      <w:r w:rsidRPr="009E44DD">
        <w:rPr>
          <w:lang w:val="fr-FR"/>
        </w:rPr>
        <w:t>TCS</w:t>
      </w:r>
      <w:r w:rsidRPr="009E44DD">
        <w:rPr>
          <w:lang w:val="fr-FR"/>
        </w:rPr>
        <w:tab/>
      </w:r>
      <w:r w:rsidRPr="009E44DD">
        <w:rPr>
          <w:lang w:val="fr-FR"/>
        </w:rPr>
        <w:tab/>
      </w:r>
      <w:r w:rsidR="007E3159" w:rsidRPr="009E44DD">
        <w:rPr>
          <w:lang w:val="fr-FR"/>
        </w:rPr>
        <w:t>Tribunal Criminel Spécial</w:t>
      </w:r>
    </w:p>
    <w:p w:rsidR="007E3159" w:rsidRPr="009E44DD" w:rsidRDefault="007E3159" w:rsidP="0017665A">
      <w:pPr>
        <w:pStyle w:val="SingleTxtG"/>
        <w:spacing w:after="60" w:line="240" w:lineRule="auto"/>
        <w:ind w:left="3399" w:hanging="2265"/>
        <w:jc w:val="left"/>
        <w:rPr>
          <w:lang w:val="fr-FR"/>
        </w:rPr>
      </w:pPr>
      <w:r w:rsidRPr="009E44DD">
        <w:rPr>
          <w:lang w:val="fr-FR"/>
        </w:rPr>
        <w:t>THIMO</w:t>
      </w:r>
      <w:r w:rsidR="002B712C" w:rsidRPr="009E44DD">
        <w:rPr>
          <w:lang w:val="fr-FR"/>
        </w:rPr>
        <w:tab/>
      </w:r>
      <w:r w:rsidR="002B712C" w:rsidRPr="009E44DD">
        <w:rPr>
          <w:lang w:val="fr-FR"/>
        </w:rPr>
        <w:tab/>
      </w:r>
      <w:r w:rsidRPr="009E44DD">
        <w:rPr>
          <w:lang w:val="fr-FR"/>
        </w:rPr>
        <w:t>Travaux publics à Haute Intensité de Main d’Œuvre</w:t>
      </w:r>
    </w:p>
    <w:p w:rsidR="007E3159" w:rsidRPr="009E44DD" w:rsidRDefault="002B712C" w:rsidP="0017665A">
      <w:pPr>
        <w:pStyle w:val="SingleTxtG"/>
        <w:spacing w:after="60" w:line="240" w:lineRule="auto"/>
        <w:ind w:left="3399" w:hanging="2265"/>
        <w:jc w:val="left"/>
        <w:rPr>
          <w:lang w:val="fr-FR"/>
        </w:rPr>
      </w:pPr>
      <w:r w:rsidRPr="009E44DD">
        <w:rPr>
          <w:lang w:val="fr-FR"/>
        </w:rPr>
        <w:t>UNAPHAC</w:t>
      </w:r>
      <w:r w:rsidRPr="009E44DD">
        <w:rPr>
          <w:lang w:val="fr-FR"/>
        </w:rPr>
        <w:tab/>
      </w:r>
      <w:r w:rsidRPr="009E44DD">
        <w:rPr>
          <w:lang w:val="fr-FR"/>
        </w:rPr>
        <w:tab/>
      </w:r>
      <w:r w:rsidR="007E3159" w:rsidRPr="009E44DD">
        <w:rPr>
          <w:lang w:val="fr-FR"/>
        </w:rPr>
        <w:t>Union Nationale des Associations de et pour les Personnes</w:t>
      </w:r>
    </w:p>
    <w:p w:rsidR="007E3159" w:rsidRPr="009E44DD" w:rsidRDefault="002B712C" w:rsidP="0017665A">
      <w:pPr>
        <w:pStyle w:val="SingleTxtG"/>
        <w:spacing w:after="60" w:line="240" w:lineRule="auto"/>
        <w:ind w:left="3399" w:hanging="2265"/>
        <w:jc w:val="left"/>
        <w:rPr>
          <w:lang w:val="fr-FR"/>
        </w:rPr>
      </w:pPr>
      <w:r w:rsidRPr="009E44DD">
        <w:rPr>
          <w:lang w:val="fr-FR"/>
        </w:rPr>
        <w:tab/>
      </w:r>
      <w:r w:rsidRPr="009E44DD">
        <w:rPr>
          <w:lang w:val="fr-FR"/>
        </w:rPr>
        <w:tab/>
      </w:r>
      <w:r w:rsidR="007E3159" w:rsidRPr="009E44DD">
        <w:rPr>
          <w:lang w:val="fr-FR"/>
        </w:rPr>
        <w:t>Handicapées</w:t>
      </w:r>
    </w:p>
    <w:p w:rsidR="007E3159" w:rsidRPr="009E44DD" w:rsidRDefault="002B712C" w:rsidP="0017665A">
      <w:pPr>
        <w:pStyle w:val="SingleTxtG"/>
        <w:spacing w:after="60" w:line="240" w:lineRule="auto"/>
        <w:ind w:left="3399" w:hanging="2265"/>
        <w:jc w:val="left"/>
        <w:rPr>
          <w:lang w:val="fr-FR"/>
        </w:rPr>
      </w:pPr>
      <w:r w:rsidRPr="009E44DD">
        <w:rPr>
          <w:lang w:val="fr-FR"/>
        </w:rPr>
        <w:t>UNESCO</w:t>
      </w:r>
      <w:r w:rsidRPr="009E44DD">
        <w:rPr>
          <w:lang w:val="fr-FR"/>
        </w:rPr>
        <w:tab/>
      </w:r>
      <w:r w:rsidRPr="009E44DD">
        <w:rPr>
          <w:lang w:val="fr-FR"/>
        </w:rPr>
        <w:tab/>
      </w:r>
      <w:r w:rsidR="007E3159" w:rsidRPr="009E44DD">
        <w:rPr>
          <w:lang w:val="fr-FR"/>
        </w:rPr>
        <w:t>Organisation des Nations Unies pour l’Education, la Science et la Culture</w:t>
      </w:r>
    </w:p>
    <w:p w:rsidR="007E3159" w:rsidRPr="009E44DD" w:rsidRDefault="002B712C" w:rsidP="0017665A">
      <w:pPr>
        <w:pStyle w:val="SingleTxtG"/>
        <w:spacing w:after="60" w:line="240" w:lineRule="auto"/>
        <w:ind w:left="3399" w:hanging="2265"/>
        <w:jc w:val="left"/>
        <w:rPr>
          <w:lang w:val="fr-FR"/>
        </w:rPr>
      </w:pPr>
      <w:r w:rsidRPr="009E44DD">
        <w:rPr>
          <w:lang w:val="fr-FR"/>
        </w:rPr>
        <w:t>UNFPA</w:t>
      </w:r>
      <w:r w:rsidRPr="009E44DD">
        <w:rPr>
          <w:lang w:val="fr-FR"/>
        </w:rPr>
        <w:tab/>
      </w:r>
      <w:r w:rsidRPr="009E44DD">
        <w:rPr>
          <w:lang w:val="fr-FR"/>
        </w:rPr>
        <w:tab/>
      </w:r>
      <w:r w:rsidR="007E3159" w:rsidRPr="009E44DD">
        <w:rPr>
          <w:lang w:val="fr-FR"/>
        </w:rPr>
        <w:t>Fonds des Nations Unies pour la Population</w:t>
      </w:r>
    </w:p>
    <w:p w:rsidR="007E3159" w:rsidRPr="009E44DD" w:rsidRDefault="002B712C" w:rsidP="0017665A">
      <w:pPr>
        <w:pStyle w:val="SingleTxtG"/>
        <w:spacing w:after="60" w:line="240" w:lineRule="auto"/>
        <w:ind w:left="3399" w:hanging="2265"/>
        <w:jc w:val="left"/>
        <w:rPr>
          <w:lang w:val="fr-FR"/>
        </w:rPr>
      </w:pPr>
      <w:r w:rsidRPr="009E44DD">
        <w:rPr>
          <w:lang w:val="fr-FR"/>
        </w:rPr>
        <w:t>UNICEF</w:t>
      </w:r>
      <w:r w:rsidRPr="009E44DD">
        <w:rPr>
          <w:lang w:val="fr-FR"/>
        </w:rPr>
        <w:tab/>
      </w:r>
      <w:r w:rsidRPr="009E44DD">
        <w:rPr>
          <w:lang w:val="fr-FR"/>
        </w:rPr>
        <w:tab/>
      </w:r>
      <w:r w:rsidR="007E3159" w:rsidRPr="009E44DD">
        <w:rPr>
          <w:lang w:val="fr-FR"/>
        </w:rPr>
        <w:t>Fonds des Nations Unies pour l’Enfance</w:t>
      </w:r>
    </w:p>
    <w:p w:rsidR="007E3159" w:rsidRPr="009E44DD" w:rsidRDefault="002B712C" w:rsidP="0017665A">
      <w:pPr>
        <w:pStyle w:val="SingleTxtG"/>
        <w:spacing w:after="60" w:line="240" w:lineRule="auto"/>
        <w:ind w:left="3399" w:hanging="2265"/>
        <w:jc w:val="left"/>
        <w:rPr>
          <w:lang w:val="fr-FR"/>
        </w:rPr>
      </w:pPr>
      <w:r w:rsidRPr="009E44DD">
        <w:rPr>
          <w:lang w:val="fr-FR"/>
        </w:rPr>
        <w:t>VBG</w:t>
      </w:r>
      <w:r w:rsidRPr="009E44DD">
        <w:rPr>
          <w:lang w:val="fr-FR"/>
        </w:rPr>
        <w:tab/>
      </w:r>
      <w:r w:rsidRPr="009E44DD">
        <w:rPr>
          <w:lang w:val="fr-FR"/>
        </w:rPr>
        <w:tab/>
      </w:r>
      <w:r w:rsidR="007E3159" w:rsidRPr="009E44DD">
        <w:rPr>
          <w:lang w:val="fr-FR"/>
        </w:rPr>
        <w:t>Violences Basées sur le Genre</w:t>
      </w:r>
    </w:p>
    <w:p w:rsidR="00FF1DBD" w:rsidRPr="009E44DD" w:rsidRDefault="002B712C" w:rsidP="0017665A">
      <w:pPr>
        <w:pStyle w:val="SingleTxtG"/>
        <w:spacing w:after="60" w:line="240" w:lineRule="auto"/>
        <w:ind w:left="3399" w:hanging="2265"/>
        <w:jc w:val="left"/>
        <w:rPr>
          <w:lang w:val="fr-FR"/>
        </w:rPr>
      </w:pPr>
      <w:r w:rsidRPr="009E44DD">
        <w:rPr>
          <w:lang w:val="fr-FR"/>
        </w:rPr>
        <w:t>WASH</w:t>
      </w:r>
      <w:r w:rsidRPr="009E44DD">
        <w:rPr>
          <w:lang w:val="fr-FR"/>
        </w:rPr>
        <w:tab/>
      </w:r>
      <w:r w:rsidR="007E3159" w:rsidRPr="009E44DD">
        <w:rPr>
          <w:lang w:val="fr-FR"/>
        </w:rPr>
        <w:tab/>
      </w:r>
      <w:proofErr w:type="spellStart"/>
      <w:r w:rsidR="007E3159" w:rsidRPr="009E44DD">
        <w:rPr>
          <w:lang w:val="fr-FR"/>
        </w:rPr>
        <w:t>Water</w:t>
      </w:r>
      <w:proofErr w:type="spellEnd"/>
      <w:r w:rsidR="007E3159" w:rsidRPr="009E44DD">
        <w:rPr>
          <w:lang w:val="fr-FR"/>
        </w:rPr>
        <w:t xml:space="preserve"> </w:t>
      </w:r>
      <w:proofErr w:type="spellStart"/>
      <w:r w:rsidR="007E3159" w:rsidRPr="009E44DD">
        <w:rPr>
          <w:lang w:val="fr-FR"/>
        </w:rPr>
        <w:t>Sanitation</w:t>
      </w:r>
      <w:proofErr w:type="spellEnd"/>
      <w:r w:rsidR="007E3159" w:rsidRPr="009E44DD">
        <w:rPr>
          <w:lang w:val="fr-FR"/>
        </w:rPr>
        <w:t xml:space="preserve"> and </w:t>
      </w:r>
      <w:proofErr w:type="spellStart"/>
      <w:r w:rsidR="007E3159" w:rsidRPr="009E44DD">
        <w:rPr>
          <w:lang w:val="fr-FR"/>
        </w:rPr>
        <w:t>Hygiene</w:t>
      </w:r>
      <w:proofErr w:type="spellEnd"/>
    </w:p>
    <w:p w:rsidR="002B712C" w:rsidRPr="002E4295" w:rsidRDefault="002B712C">
      <w:pPr>
        <w:suppressAutoHyphens w:val="0"/>
        <w:spacing w:line="240" w:lineRule="auto"/>
        <w:rPr>
          <w:sz w:val="24"/>
          <w:szCs w:val="24"/>
          <w:lang w:val="fr-FR" w:eastAsia="fr-FR"/>
        </w:rPr>
      </w:pPr>
      <w:r w:rsidRPr="002E4295">
        <w:rPr>
          <w:sz w:val="24"/>
          <w:szCs w:val="24"/>
          <w:lang w:val="fr-FR" w:eastAsia="fr-FR"/>
        </w:rPr>
        <w:br w:type="page"/>
      </w:r>
    </w:p>
    <w:p w:rsidR="00E77AC1" w:rsidRPr="0017665A" w:rsidRDefault="00E9431E" w:rsidP="0017665A">
      <w:pPr>
        <w:pStyle w:val="HChG"/>
      </w:pPr>
      <w:bookmarkStart w:id="0" w:name="_Toc466897319"/>
      <w:r>
        <w:rPr>
          <w:lang w:val="fr-FR"/>
        </w:rPr>
        <w:lastRenderedPageBreak/>
        <w:tab/>
        <w:t>I.</w:t>
      </w:r>
      <w:r>
        <w:rPr>
          <w:lang w:val="fr-FR"/>
        </w:rPr>
        <w:tab/>
      </w:r>
      <w:r w:rsidR="002B712C" w:rsidRPr="002E4295">
        <w:rPr>
          <w:lang w:val="fr-FR"/>
        </w:rPr>
        <w:t>I</w:t>
      </w:r>
      <w:r w:rsidR="003C04CF" w:rsidRPr="002E4295">
        <w:rPr>
          <w:lang w:val="fr-FR"/>
        </w:rPr>
        <w:t>ntroduction générale</w:t>
      </w:r>
      <w:bookmarkEnd w:id="0"/>
    </w:p>
    <w:p w:rsidR="0046378D" w:rsidRPr="0017665A" w:rsidRDefault="00270BF3" w:rsidP="00270BF3">
      <w:pPr>
        <w:pStyle w:val="SingleTxtG"/>
      </w:pPr>
      <w:r w:rsidRPr="0017665A">
        <w:t>1.</w:t>
      </w:r>
      <w:r w:rsidRPr="0017665A">
        <w:tab/>
      </w:r>
      <w:r w:rsidR="0017665A">
        <w:rPr>
          <w:rStyle w:val="SingleTxtGChar"/>
          <w:lang w:val="fr-FR"/>
        </w:rPr>
        <w:t>À</w:t>
      </w:r>
      <w:r w:rsidR="002B712C" w:rsidRPr="002E4295">
        <w:rPr>
          <w:rStyle w:val="SingleTxtGChar"/>
          <w:lang w:val="fr-FR"/>
        </w:rPr>
        <w:t xml:space="preserve"> l’issue de l’examen des 2</w:t>
      </w:r>
      <w:r w:rsidR="002B712C" w:rsidRPr="0017665A">
        <w:rPr>
          <w:rStyle w:val="SingleTxtGChar"/>
          <w:vertAlign w:val="superscript"/>
          <w:lang w:val="fr-FR"/>
        </w:rPr>
        <w:t>ème</w:t>
      </w:r>
      <w:r w:rsidR="00DA0404">
        <w:rPr>
          <w:rStyle w:val="SingleTxtGChar"/>
          <w:lang w:val="fr-FR"/>
        </w:rPr>
        <w:t xml:space="preserve"> </w:t>
      </w:r>
      <w:r w:rsidR="002B712C" w:rsidRPr="002E4295">
        <w:rPr>
          <w:rStyle w:val="SingleTxtGChar"/>
          <w:lang w:val="fr-FR"/>
        </w:rPr>
        <w:t>et 3</w:t>
      </w:r>
      <w:r w:rsidR="002B712C" w:rsidRPr="0017665A">
        <w:rPr>
          <w:rStyle w:val="SingleTxtGChar"/>
          <w:vertAlign w:val="superscript"/>
          <w:lang w:val="fr-FR"/>
        </w:rPr>
        <w:t>ème</w:t>
      </w:r>
      <w:r w:rsidR="00DA0404">
        <w:rPr>
          <w:rStyle w:val="SingleTxtGChar"/>
          <w:lang w:val="fr-FR"/>
        </w:rPr>
        <w:t xml:space="preserve"> </w:t>
      </w:r>
      <w:r w:rsidR="002B712C" w:rsidRPr="002E4295">
        <w:rPr>
          <w:rStyle w:val="SingleTxtGChar"/>
          <w:lang w:val="fr-FR"/>
        </w:rPr>
        <w:t>Rapports périodiques du Cameroun au cours de ses 41</w:t>
      </w:r>
      <w:r w:rsidR="002B712C" w:rsidRPr="0017665A">
        <w:rPr>
          <w:rStyle w:val="SingleTxtGChar"/>
          <w:vertAlign w:val="superscript"/>
          <w:lang w:val="fr-FR"/>
        </w:rPr>
        <w:t>ème</w:t>
      </w:r>
      <w:r w:rsidR="00DA0404">
        <w:rPr>
          <w:rStyle w:val="SingleTxtGChar"/>
          <w:lang w:val="fr-FR"/>
        </w:rPr>
        <w:t xml:space="preserve"> </w:t>
      </w:r>
      <w:r w:rsidR="002B712C" w:rsidRPr="002E4295">
        <w:rPr>
          <w:rStyle w:val="SingleTxtGChar"/>
          <w:lang w:val="fr-FR"/>
        </w:rPr>
        <w:t>et 43</w:t>
      </w:r>
      <w:r w:rsidR="002B712C" w:rsidRPr="0017665A">
        <w:rPr>
          <w:rStyle w:val="SingleTxtGChar"/>
          <w:vertAlign w:val="superscript"/>
          <w:lang w:val="fr-FR"/>
        </w:rPr>
        <w:t>ème</w:t>
      </w:r>
      <w:r w:rsidR="00DA0404">
        <w:rPr>
          <w:rStyle w:val="SingleTxtGChar"/>
          <w:lang w:val="fr-FR"/>
        </w:rPr>
        <w:t xml:space="preserve"> </w:t>
      </w:r>
      <w:r w:rsidR="009D5A5E">
        <w:rPr>
          <w:rStyle w:val="SingleTxtGChar"/>
          <w:lang w:val="fr-FR"/>
        </w:rPr>
        <w:t>s</w:t>
      </w:r>
      <w:r w:rsidR="002B712C" w:rsidRPr="002E4295">
        <w:rPr>
          <w:rStyle w:val="SingleTxtGChar"/>
          <w:lang w:val="fr-FR"/>
        </w:rPr>
        <w:t xml:space="preserve">éances tenues les 21 et 22 novembre 2011, le Comité des Nations Unies pour les Droits </w:t>
      </w:r>
      <w:r w:rsidR="002B712C" w:rsidRPr="002E4295">
        <w:rPr>
          <w:rStyle w:val="SingleTxtGCar"/>
          <w:lang w:val="fr-FR"/>
        </w:rPr>
        <w:t>Economiques</w:t>
      </w:r>
      <w:r w:rsidR="002B712C" w:rsidRPr="002E4295">
        <w:rPr>
          <w:rStyle w:val="SingleTxtGChar"/>
          <w:lang w:val="fr-FR"/>
        </w:rPr>
        <w:t>, Sociaux et Culturels a adopté des Observations finales lors de sa 59</w:t>
      </w:r>
      <w:r w:rsidR="002B712C" w:rsidRPr="0017665A">
        <w:rPr>
          <w:rStyle w:val="SingleTxtGChar"/>
          <w:vertAlign w:val="superscript"/>
          <w:lang w:val="fr-FR"/>
        </w:rPr>
        <w:t>ème</w:t>
      </w:r>
      <w:r w:rsidR="009D5A5E">
        <w:rPr>
          <w:rStyle w:val="SingleTxtGChar"/>
          <w:lang w:val="fr-FR"/>
        </w:rPr>
        <w:t xml:space="preserve"> s</w:t>
      </w:r>
      <w:r w:rsidR="002B712C" w:rsidRPr="002E4295">
        <w:rPr>
          <w:rStyle w:val="SingleTxtGChar"/>
          <w:lang w:val="fr-FR"/>
        </w:rPr>
        <w:t>éance, le 2 décembre 2011. Ces Observations relèvent des points de satisfaction, tout en relayant des préoccupations dans la mise en œuvre du Pacte International relatif aux Droits Economiques, Sociaux et Culturels (PIDESC)</w:t>
      </w:r>
      <w:r w:rsidR="002B712C" w:rsidRPr="002E4295">
        <w:rPr>
          <w:sz w:val="24"/>
          <w:szCs w:val="24"/>
          <w:lang w:val="fr-FR"/>
        </w:rPr>
        <w:t>.</w:t>
      </w:r>
    </w:p>
    <w:p w:rsidR="002B712C" w:rsidRPr="0017665A" w:rsidRDefault="00270BF3" w:rsidP="00270BF3">
      <w:pPr>
        <w:pStyle w:val="SingleTxtG"/>
      </w:pPr>
      <w:r w:rsidRPr="0017665A">
        <w:t>2.</w:t>
      </w:r>
      <w:r w:rsidRPr="0017665A">
        <w:tab/>
      </w:r>
      <w:r w:rsidR="002B712C" w:rsidRPr="002E4295">
        <w:rPr>
          <w:rStyle w:val="SingleTxtGChar"/>
          <w:lang w:val="fr-FR"/>
        </w:rPr>
        <w:t>Le présent Rapport qui couvre la période 2012-2016, actualise les informations contenues dans les précédents Rapports. Elaboré suivant une approche participative, avec les contributions des acteurs tant publics que de la société civile, il apporte des réponses aux recommandations du Comité, lesquelles sont structurées autour des lois, politiques, programmes et projets gouvernementaux, en vue de la jouissance inclusive des droits économiques, sociaux et culturels</w:t>
      </w:r>
      <w:r w:rsidR="002B712C" w:rsidRPr="002E4295">
        <w:rPr>
          <w:sz w:val="24"/>
          <w:szCs w:val="24"/>
          <w:lang w:val="fr-FR"/>
        </w:rPr>
        <w:t>.</w:t>
      </w:r>
    </w:p>
    <w:p w:rsidR="002B712C" w:rsidRPr="0017665A" w:rsidRDefault="00E9431E" w:rsidP="0017665A">
      <w:pPr>
        <w:pStyle w:val="HChG"/>
      </w:pPr>
      <w:bookmarkStart w:id="1" w:name="_Toc466897320"/>
      <w:r>
        <w:rPr>
          <w:lang w:val="fr-FR"/>
        </w:rPr>
        <w:tab/>
        <w:t>II.</w:t>
      </w:r>
      <w:r>
        <w:rPr>
          <w:lang w:val="fr-FR"/>
        </w:rPr>
        <w:tab/>
      </w:r>
      <w:r w:rsidR="003C04CF" w:rsidRPr="002E4295">
        <w:rPr>
          <w:lang w:val="fr-FR"/>
        </w:rPr>
        <w:t>R</w:t>
      </w:r>
      <w:r w:rsidR="0019434B" w:rsidRPr="002E4295">
        <w:rPr>
          <w:lang w:val="fr-FR"/>
        </w:rPr>
        <w:t>ec.</w:t>
      </w:r>
      <w:r w:rsidR="009A59DD">
        <w:rPr>
          <w:lang w:val="fr-FR"/>
        </w:rPr>
        <w:t> </w:t>
      </w:r>
      <w:r w:rsidR="003C04CF" w:rsidRPr="002E4295">
        <w:rPr>
          <w:lang w:val="fr-FR"/>
        </w:rPr>
        <w:t>7.</w:t>
      </w:r>
      <w:r w:rsidR="00FB7ADC">
        <w:rPr>
          <w:lang w:val="fr-FR"/>
        </w:rPr>
        <w:t> </w:t>
      </w:r>
      <w:r w:rsidR="002B712C" w:rsidRPr="002E4295">
        <w:rPr>
          <w:lang w:val="fr-FR"/>
        </w:rPr>
        <w:t>Internalisation et application du PIDESC</w:t>
      </w:r>
      <w:bookmarkEnd w:id="1"/>
    </w:p>
    <w:p w:rsidR="002B712C" w:rsidRPr="00BF0198" w:rsidRDefault="00270BF3" w:rsidP="00270BF3">
      <w:pPr>
        <w:pStyle w:val="SingleTxtG"/>
        <w:rPr>
          <w:rStyle w:val="SingleTxtGChar"/>
          <w:lang w:val="fr-FR"/>
        </w:rPr>
      </w:pPr>
      <w:r w:rsidRPr="00BF0198">
        <w:rPr>
          <w:rStyle w:val="SingleTxtGChar"/>
          <w:lang w:val="fr-FR"/>
        </w:rPr>
        <w:t>3.</w:t>
      </w:r>
      <w:r w:rsidRPr="00BF0198">
        <w:rPr>
          <w:rStyle w:val="SingleTxtGChar"/>
          <w:lang w:val="fr-FR"/>
        </w:rPr>
        <w:tab/>
      </w:r>
      <w:r w:rsidR="002B712C" w:rsidRPr="00EB474F">
        <w:rPr>
          <w:rStyle w:val="SingleTxtGChar"/>
          <w:spacing w:val="-2"/>
          <w:lang w:val="fr-FR"/>
        </w:rPr>
        <w:t>Comme relevé dans le précédent Rapport (par</w:t>
      </w:r>
      <w:r w:rsidR="00AF3DCD" w:rsidRPr="00EB474F">
        <w:rPr>
          <w:rStyle w:val="SingleTxtGChar"/>
          <w:spacing w:val="-2"/>
          <w:lang w:val="fr-FR"/>
        </w:rPr>
        <w:t>. </w:t>
      </w:r>
      <w:r w:rsidR="002B712C" w:rsidRPr="00EB474F">
        <w:rPr>
          <w:rStyle w:val="SingleTxtGChar"/>
          <w:spacing w:val="-2"/>
          <w:lang w:val="fr-FR"/>
        </w:rPr>
        <w:t>11), le PIDESC, à l’instar des autres conventions internationales dûment ratifiées, fait partie du droit interne en raison du principe de la primauté du droit international consacré à l’article 45 de la Constitution. Pour promouvoir l’application effective de ce principe, depuis 2011, dans le cadre des séminaires organisés par le Ministère de la Justice, un module sur l’application des Conventions internationales des Droits de l’Homme par le juge national est pris en compte (</w:t>
      </w:r>
      <w:r w:rsidR="00A117A6" w:rsidRPr="00EB474F">
        <w:rPr>
          <w:rStyle w:val="SingleTxtGChar"/>
          <w:spacing w:val="-2"/>
          <w:lang w:val="fr-FR"/>
        </w:rPr>
        <w:t>Voir a</w:t>
      </w:r>
      <w:r w:rsidR="002B712C" w:rsidRPr="00EB474F">
        <w:rPr>
          <w:rStyle w:val="SingleTxtGChar"/>
          <w:spacing w:val="-2"/>
          <w:lang w:val="fr-FR"/>
        </w:rPr>
        <w:t>nnexe n</w:t>
      </w:r>
      <w:r w:rsidR="00BF0198" w:rsidRPr="00EB474F">
        <w:rPr>
          <w:rStyle w:val="SingleTxtGChar"/>
          <w:spacing w:val="-2"/>
          <w:vertAlign w:val="superscript"/>
          <w:lang w:val="fr-FR"/>
        </w:rPr>
        <w:t>o</w:t>
      </w:r>
      <w:r w:rsidR="00BF0198" w:rsidRPr="00EB474F">
        <w:rPr>
          <w:rStyle w:val="SingleTxtGChar"/>
          <w:spacing w:val="-2"/>
          <w:lang w:val="fr-FR"/>
        </w:rPr>
        <w:t> </w:t>
      </w:r>
      <w:r w:rsidR="002B712C" w:rsidRPr="00EB474F">
        <w:rPr>
          <w:rStyle w:val="SingleTxtGChar"/>
          <w:spacing w:val="-2"/>
          <w:lang w:val="fr-FR"/>
        </w:rPr>
        <w:t>1).</w:t>
      </w:r>
    </w:p>
    <w:p w:rsidR="002B712C" w:rsidRPr="002E4295" w:rsidRDefault="00270BF3" w:rsidP="00270BF3">
      <w:pPr>
        <w:pStyle w:val="SingleTxtG"/>
        <w:rPr>
          <w:rStyle w:val="SingleTxtGChar"/>
          <w:lang w:val="fr-FR"/>
        </w:rPr>
      </w:pPr>
      <w:r w:rsidRPr="002E4295">
        <w:rPr>
          <w:rStyle w:val="SingleTxtGChar"/>
          <w:lang w:val="fr-FR"/>
        </w:rPr>
        <w:t>4.</w:t>
      </w:r>
      <w:r w:rsidRPr="002E4295">
        <w:rPr>
          <w:rStyle w:val="SingleTxtGChar"/>
          <w:lang w:val="fr-FR"/>
        </w:rPr>
        <w:tab/>
      </w:r>
      <w:r w:rsidR="002B712C" w:rsidRPr="002E4295">
        <w:rPr>
          <w:rStyle w:val="SingleTxtGChar"/>
          <w:lang w:val="fr-FR"/>
        </w:rPr>
        <w:t>Par ailleurs, le Barreau du Cameroun, dans le cadre du Projet Barreau-Gouvernance-</w:t>
      </w:r>
      <w:r w:rsidR="00FB5306">
        <w:rPr>
          <w:rStyle w:val="SingleTxtGChar"/>
          <w:lang w:val="fr-FR"/>
        </w:rPr>
        <w:t>État</w:t>
      </w:r>
      <w:r w:rsidR="002B712C" w:rsidRPr="002E4295">
        <w:rPr>
          <w:rStyle w:val="SingleTxtGChar"/>
          <w:lang w:val="fr-FR"/>
        </w:rPr>
        <w:t xml:space="preserve"> de droit (2016-2018), organise depuis le mois d’avril 2016, des sessions de formation des Avocats en Droits de l’Homme. Au terme du Projet en 2018, il est envisagé la formation de 1400 Avocats stagiaires et de 40 Avocats.</w:t>
      </w:r>
    </w:p>
    <w:p w:rsidR="00F82652" w:rsidRPr="00F82652" w:rsidRDefault="00270BF3" w:rsidP="00270BF3">
      <w:pPr>
        <w:pStyle w:val="SingleTxtG"/>
        <w:rPr>
          <w:szCs w:val="24"/>
          <w:lang w:val="fr-FR"/>
        </w:rPr>
      </w:pPr>
      <w:r w:rsidRPr="00F82652">
        <w:rPr>
          <w:szCs w:val="24"/>
          <w:lang w:val="fr-FR"/>
        </w:rPr>
        <w:t>5.</w:t>
      </w:r>
      <w:r w:rsidRPr="00F82652">
        <w:rPr>
          <w:szCs w:val="24"/>
          <w:lang w:val="fr-FR"/>
        </w:rPr>
        <w:tab/>
      </w:r>
      <w:r w:rsidR="002B712C" w:rsidRPr="00F82652">
        <w:rPr>
          <w:rStyle w:val="SingleTxtGChar"/>
          <w:lang w:val="fr-FR"/>
        </w:rPr>
        <w:t xml:space="preserve">Il se dégage une tendance grandissante à l’invocation et à l’application des traités des droits de l’homme dans les procédures judiciaires. La Convention contre la torture, la Convention des </w:t>
      </w:r>
      <w:r w:rsidR="002B712C" w:rsidRPr="00F82652">
        <w:rPr>
          <w:lang w:val="fr-FR"/>
        </w:rPr>
        <w:t>Nations</w:t>
      </w:r>
      <w:r w:rsidR="002B712C" w:rsidRPr="00F82652">
        <w:rPr>
          <w:rStyle w:val="SingleTxtGChar"/>
          <w:lang w:val="fr-FR"/>
        </w:rPr>
        <w:t xml:space="preserve"> Unies relative aux droits de l’enfant ou encore la Convention pour l’élimination de toutes les formes de discrimination à l’égard des femmes sont les plus invoquées. La sensibilisation se poursuit et il est à espérer que le PIDESC soit également invoqué par les juges et les justiciables</w:t>
      </w:r>
      <w:r w:rsidR="002B712C" w:rsidRPr="00F82652">
        <w:rPr>
          <w:bCs/>
          <w:sz w:val="24"/>
          <w:szCs w:val="24"/>
          <w:lang w:val="fr-FR"/>
        </w:rPr>
        <w:t>.</w:t>
      </w:r>
      <w:bookmarkStart w:id="2" w:name="_Toc466897321"/>
    </w:p>
    <w:p w:rsidR="002B712C" w:rsidRPr="00F82652" w:rsidRDefault="00FE3705" w:rsidP="0017665A">
      <w:pPr>
        <w:pStyle w:val="HChG"/>
        <w:rPr>
          <w:szCs w:val="24"/>
          <w:lang w:val="fr-FR"/>
        </w:rPr>
      </w:pPr>
      <w:r>
        <w:rPr>
          <w:lang w:val="fr-FR"/>
        </w:rPr>
        <w:tab/>
        <w:t>III.</w:t>
      </w:r>
      <w:r>
        <w:rPr>
          <w:lang w:val="fr-FR"/>
        </w:rPr>
        <w:tab/>
      </w:r>
      <w:r w:rsidR="00212A93" w:rsidRPr="00F82652">
        <w:rPr>
          <w:lang w:val="fr-FR"/>
        </w:rPr>
        <w:t>Rec.</w:t>
      </w:r>
      <w:r>
        <w:rPr>
          <w:lang w:val="fr-FR"/>
        </w:rPr>
        <w:t> </w:t>
      </w:r>
      <w:r w:rsidR="002B712C" w:rsidRPr="00F82652">
        <w:rPr>
          <w:lang w:val="fr-FR"/>
        </w:rPr>
        <w:t>8</w:t>
      </w:r>
      <w:r w:rsidR="003C04CF" w:rsidRPr="00F82652">
        <w:rPr>
          <w:lang w:val="fr-FR"/>
        </w:rPr>
        <w:t>.</w:t>
      </w:r>
      <w:r w:rsidR="00FB7ADC">
        <w:rPr>
          <w:lang w:val="fr-FR"/>
        </w:rPr>
        <w:t> </w:t>
      </w:r>
      <w:r w:rsidR="002B712C" w:rsidRPr="00F82652">
        <w:rPr>
          <w:lang w:val="fr-FR"/>
        </w:rPr>
        <w:t>Mesures effectives de lutte contre la corruption</w:t>
      </w:r>
      <w:bookmarkEnd w:id="2"/>
    </w:p>
    <w:p w:rsidR="002B712C" w:rsidRPr="0017665A" w:rsidRDefault="00270BF3" w:rsidP="00270BF3">
      <w:pPr>
        <w:pStyle w:val="SingleTxtG"/>
        <w:rPr>
          <w:szCs w:val="24"/>
          <w:lang w:val="fr-FR"/>
        </w:rPr>
      </w:pPr>
      <w:r w:rsidRPr="0017665A">
        <w:rPr>
          <w:szCs w:val="24"/>
          <w:lang w:val="fr-FR"/>
        </w:rPr>
        <w:t>6.</w:t>
      </w:r>
      <w:r w:rsidRPr="0017665A">
        <w:rPr>
          <w:szCs w:val="24"/>
          <w:lang w:val="fr-FR"/>
        </w:rPr>
        <w:tab/>
      </w:r>
      <w:r w:rsidR="002B712C" w:rsidRPr="002E4295">
        <w:rPr>
          <w:rStyle w:val="SingleTxtGChar"/>
          <w:lang w:val="fr-FR"/>
        </w:rPr>
        <w:t xml:space="preserve">Outre la mise en œuvre d’un Programme National de Gouvernance (PNG) avec un volet dédié à la lutte contre la corruption, le Gouvernement a mis l’accent sur le renforcement </w:t>
      </w:r>
      <w:r w:rsidR="00AC5AE8" w:rsidRPr="002E4295">
        <w:rPr>
          <w:rStyle w:val="SingleTxtGChar"/>
          <w:lang w:val="fr-FR"/>
        </w:rPr>
        <w:t>de son</w:t>
      </w:r>
      <w:r w:rsidR="002B712C" w:rsidRPr="002E4295">
        <w:rPr>
          <w:rStyle w:val="SingleTxtGChar"/>
          <w:lang w:val="fr-FR"/>
        </w:rPr>
        <w:t xml:space="preserve"> </w:t>
      </w:r>
      <w:r w:rsidR="00AC5AE8" w:rsidRPr="002E4295">
        <w:rPr>
          <w:rStyle w:val="SingleTxtGChar"/>
          <w:lang w:val="fr-FR"/>
        </w:rPr>
        <w:t xml:space="preserve">dispositif </w:t>
      </w:r>
      <w:r w:rsidR="00AC5AE8" w:rsidRPr="002E4295">
        <w:rPr>
          <w:lang w:val="fr-FR"/>
        </w:rPr>
        <w:t>institutionnel</w:t>
      </w:r>
      <w:r w:rsidR="002B712C" w:rsidRPr="002E4295">
        <w:rPr>
          <w:rStyle w:val="SingleTxtGChar"/>
          <w:lang w:val="fr-FR"/>
        </w:rPr>
        <w:t xml:space="preserve"> (A), normatif (B) et judiciaire (C) pour combattre la corruption qui a un impact négatif sur la jouissance des droits économiques, sociaux et culturels par les populations.</w:t>
      </w:r>
    </w:p>
    <w:p w:rsidR="002B712C" w:rsidRPr="002E4295" w:rsidRDefault="009E44DD" w:rsidP="009E44DD">
      <w:pPr>
        <w:pStyle w:val="H1G"/>
        <w:rPr>
          <w:lang w:val="fr-FR"/>
        </w:rPr>
      </w:pPr>
      <w:bookmarkStart w:id="3" w:name="_Toc466897322"/>
      <w:r>
        <w:rPr>
          <w:lang w:val="fr-FR"/>
        </w:rPr>
        <w:tab/>
        <w:t>A.</w:t>
      </w:r>
      <w:r>
        <w:rPr>
          <w:lang w:val="fr-FR"/>
        </w:rPr>
        <w:tab/>
      </w:r>
      <w:r w:rsidR="002B712C" w:rsidRPr="002E4295">
        <w:rPr>
          <w:lang w:val="fr-FR"/>
        </w:rPr>
        <w:t xml:space="preserve">Le renforcement du dispositif institutionnel de lutte </w:t>
      </w:r>
      <w:r w:rsidR="004B2C09">
        <w:rPr>
          <w:lang w:val="fr-FR"/>
        </w:rPr>
        <w:br/>
      </w:r>
      <w:r w:rsidR="002B712C" w:rsidRPr="002E4295">
        <w:rPr>
          <w:lang w:val="fr-FR"/>
        </w:rPr>
        <w:t>contre la corruption</w:t>
      </w:r>
      <w:bookmarkEnd w:id="3"/>
    </w:p>
    <w:p w:rsidR="002B712C" w:rsidRPr="0017665A" w:rsidRDefault="00270BF3" w:rsidP="00270BF3">
      <w:pPr>
        <w:pStyle w:val="SingleTxtG"/>
        <w:rPr>
          <w:szCs w:val="24"/>
          <w:lang w:val="fr-FR"/>
        </w:rPr>
      </w:pPr>
      <w:r w:rsidRPr="0017665A">
        <w:rPr>
          <w:szCs w:val="24"/>
          <w:lang w:val="fr-FR"/>
        </w:rPr>
        <w:t>7.</w:t>
      </w:r>
      <w:r w:rsidRPr="0017665A">
        <w:rPr>
          <w:szCs w:val="24"/>
          <w:lang w:val="fr-FR"/>
        </w:rPr>
        <w:tab/>
      </w:r>
      <w:r w:rsidR="00755C0B" w:rsidRPr="002E4295">
        <w:rPr>
          <w:rStyle w:val="SingleTxtGChar"/>
          <w:lang w:val="fr-FR"/>
        </w:rPr>
        <w:t xml:space="preserve">Le Gouvernement a étoffé </w:t>
      </w:r>
      <w:r w:rsidR="002B712C" w:rsidRPr="002E4295">
        <w:rPr>
          <w:rStyle w:val="SingleTxtGChar"/>
          <w:lang w:val="fr-FR"/>
        </w:rPr>
        <w:t>le dispositif de lutte contre la corruption par l’intensification des activités de la Commission Nationale Anti-corruption (CONAC), du Contrôle Supérieur de l’</w:t>
      </w:r>
      <w:r w:rsidR="00FB5306">
        <w:rPr>
          <w:rStyle w:val="SingleTxtGChar"/>
          <w:lang w:val="fr-FR"/>
        </w:rPr>
        <w:t>État</w:t>
      </w:r>
      <w:r w:rsidR="002B712C" w:rsidRPr="002E4295">
        <w:rPr>
          <w:rStyle w:val="SingleTxtGChar"/>
          <w:lang w:val="fr-FR"/>
        </w:rPr>
        <w:t xml:space="preserve"> (CONSUPE) et des Cellules ministérielles de lutte contre la Corruption, la création au sein de l’Agence Nationale d’Investigation Financière (ANIF) d’un Comité des études stratégiques et des tendances et le renforcement de la gouvernance du système des marchés publics</w:t>
      </w:r>
      <w:r w:rsidR="002B712C" w:rsidRPr="002E4295">
        <w:rPr>
          <w:sz w:val="24"/>
          <w:szCs w:val="24"/>
          <w:lang w:val="fr-FR"/>
        </w:rPr>
        <w:t>.</w:t>
      </w:r>
    </w:p>
    <w:p w:rsidR="002B712C" w:rsidRPr="0017665A" w:rsidRDefault="00270BF3" w:rsidP="00270BF3">
      <w:pPr>
        <w:pStyle w:val="SingleTxtG"/>
        <w:rPr>
          <w:szCs w:val="24"/>
          <w:lang w:val="fr-FR"/>
        </w:rPr>
      </w:pPr>
      <w:r w:rsidRPr="0017665A">
        <w:rPr>
          <w:szCs w:val="24"/>
          <w:lang w:val="fr-FR"/>
        </w:rPr>
        <w:t>8.</w:t>
      </w:r>
      <w:r w:rsidRPr="0017665A">
        <w:rPr>
          <w:szCs w:val="24"/>
          <w:lang w:val="fr-FR"/>
        </w:rPr>
        <w:tab/>
      </w:r>
      <w:r w:rsidR="002B712C" w:rsidRPr="002E4295">
        <w:rPr>
          <w:lang w:val="fr-FR"/>
        </w:rPr>
        <w:t xml:space="preserve">Au </w:t>
      </w:r>
      <w:r w:rsidR="002B712C" w:rsidRPr="00BD4D6E">
        <w:rPr>
          <w:rStyle w:val="SingleTxtGChar"/>
          <w:lang w:val="fr-FR"/>
        </w:rPr>
        <w:t>cours</w:t>
      </w:r>
      <w:r w:rsidR="002B712C" w:rsidRPr="002E4295">
        <w:rPr>
          <w:lang w:val="fr-FR"/>
        </w:rPr>
        <w:t xml:space="preserve"> de la période 2011-2015, la CONAC a poursuivi ses activités, notamment à travers la sensibilisation, les enquêtes et les rapports dressés à l’issue de ses missions. Elle a procédé à la diffusion de la Stratégie </w:t>
      </w:r>
      <w:r w:rsidR="002B712C" w:rsidRPr="002E4295">
        <w:rPr>
          <w:rStyle w:val="SingleTxtGChar"/>
          <w:lang w:val="fr-FR"/>
        </w:rPr>
        <w:t>Nationale</w:t>
      </w:r>
      <w:r w:rsidR="002B712C" w:rsidRPr="002E4295">
        <w:rPr>
          <w:lang w:val="fr-FR"/>
        </w:rPr>
        <w:t xml:space="preserve"> de Lutte Contre la Corruption, de la Charte </w:t>
      </w:r>
      <w:r w:rsidR="002B712C" w:rsidRPr="002E4295">
        <w:rPr>
          <w:lang w:val="fr-FR"/>
        </w:rPr>
        <w:lastRenderedPageBreak/>
        <w:t xml:space="preserve">de la Coalition Nationale de Lutte contre la Corruption, du </w:t>
      </w:r>
      <w:r w:rsidR="002B712C" w:rsidRPr="002E4295">
        <w:rPr>
          <w:rStyle w:val="SingleTxtGChar"/>
          <w:lang w:val="fr-FR"/>
        </w:rPr>
        <w:t>Programme</w:t>
      </w:r>
      <w:r w:rsidR="002B712C" w:rsidRPr="002E4295">
        <w:rPr>
          <w:lang w:val="fr-FR"/>
        </w:rPr>
        <w:t xml:space="preserve"> National d’Education à l’Intégrité et du Rapport sur l’état de la lutte contre la corruption au Cameroun</w:t>
      </w:r>
      <w:r w:rsidR="002B712C" w:rsidRPr="00E153AE">
        <w:rPr>
          <w:rStyle w:val="Appelnotedebasdep"/>
        </w:rPr>
        <w:footnoteReference w:id="4"/>
      </w:r>
      <w:r w:rsidR="002B712C" w:rsidRPr="002E4295">
        <w:rPr>
          <w:lang w:val="fr-FR"/>
        </w:rPr>
        <w:t>.</w:t>
      </w:r>
    </w:p>
    <w:p w:rsidR="002B712C" w:rsidRPr="00703638" w:rsidRDefault="00270BF3" w:rsidP="00270BF3">
      <w:pPr>
        <w:pStyle w:val="SingleTxtG"/>
        <w:rPr>
          <w:szCs w:val="24"/>
          <w:lang w:val="fr-FR"/>
        </w:rPr>
      </w:pPr>
      <w:r w:rsidRPr="00703638">
        <w:rPr>
          <w:szCs w:val="24"/>
          <w:lang w:val="fr-FR"/>
        </w:rPr>
        <w:t>9.</w:t>
      </w:r>
      <w:r w:rsidRPr="00703638">
        <w:rPr>
          <w:szCs w:val="24"/>
          <w:lang w:val="fr-FR"/>
        </w:rPr>
        <w:tab/>
      </w:r>
      <w:r w:rsidR="002B712C" w:rsidRPr="002E4295">
        <w:rPr>
          <w:bCs/>
          <w:lang w:val="fr-FR"/>
        </w:rPr>
        <w:t>Par</w:t>
      </w:r>
      <w:r w:rsidR="002B712C" w:rsidRPr="002E4295">
        <w:rPr>
          <w:lang w:val="fr-FR"/>
        </w:rPr>
        <w:t xml:space="preserve"> ailleurs, au cours de la période de référence, la CONAC a reçu plus de</w:t>
      </w:r>
      <w:r w:rsidR="004B2C09">
        <w:rPr>
          <w:lang w:val="fr-FR"/>
        </w:rPr>
        <w:t xml:space="preserve"> </w:t>
      </w:r>
      <w:r w:rsidR="002C78C3">
        <w:rPr>
          <w:lang w:val="fr-FR"/>
        </w:rPr>
        <w:t>12 </w:t>
      </w:r>
      <w:r w:rsidR="002B712C" w:rsidRPr="002E4295">
        <w:rPr>
          <w:lang w:val="fr-FR"/>
        </w:rPr>
        <w:t xml:space="preserve">426 dénonciations des faits et </w:t>
      </w:r>
      <w:r w:rsidR="002B712C" w:rsidRPr="00BD4D6E">
        <w:rPr>
          <w:rStyle w:val="SingleTxtGChar"/>
          <w:lang w:val="fr-FR"/>
        </w:rPr>
        <w:t>pratiques</w:t>
      </w:r>
      <w:r w:rsidR="002B712C" w:rsidRPr="002E4295">
        <w:rPr>
          <w:lang w:val="fr-FR"/>
        </w:rPr>
        <w:t xml:space="preserve"> de corruption, et après enquête, plus de 2</w:t>
      </w:r>
      <w:r w:rsidR="002C78C3">
        <w:rPr>
          <w:lang w:val="fr-FR"/>
        </w:rPr>
        <w:t> </w:t>
      </w:r>
      <w:r w:rsidR="002B712C" w:rsidRPr="002E4295">
        <w:rPr>
          <w:lang w:val="fr-FR"/>
        </w:rPr>
        <w:t xml:space="preserve">810 procédures ont été transmises aux autorités judiciaires et à d’autres administrations </w:t>
      </w:r>
      <w:r w:rsidR="002B712C" w:rsidRPr="002E4295">
        <w:rPr>
          <w:rStyle w:val="SingleTxtGChar"/>
          <w:lang w:val="fr-FR"/>
        </w:rPr>
        <w:t>compétentes</w:t>
      </w:r>
      <w:r w:rsidR="002B712C" w:rsidRPr="002E4295">
        <w:rPr>
          <w:lang w:val="fr-FR"/>
        </w:rPr>
        <w:t>. Elle a effectué des contrôles et des audits auprès des établissements de microfinance et des opérateurs de téléphonie mobile, qui ont permis à l’</w:t>
      </w:r>
      <w:r w:rsidR="00FB5306">
        <w:rPr>
          <w:lang w:val="fr-FR"/>
        </w:rPr>
        <w:t>État</w:t>
      </w:r>
      <w:r w:rsidR="002B712C" w:rsidRPr="002E4295">
        <w:rPr>
          <w:lang w:val="fr-FR"/>
        </w:rPr>
        <w:t xml:space="preserve"> de recouvrer plus de 10 000 000 000 FCFA</w:t>
      </w:r>
      <w:r w:rsidR="002B712C" w:rsidRPr="00E153AE">
        <w:rPr>
          <w:rStyle w:val="Appelnotedebasdep"/>
        </w:rPr>
        <w:footnoteReference w:id="5"/>
      </w:r>
      <w:r w:rsidR="002B712C" w:rsidRPr="002E4295">
        <w:rPr>
          <w:lang w:val="fr-FR"/>
        </w:rPr>
        <w:t>.</w:t>
      </w:r>
    </w:p>
    <w:p w:rsidR="002B712C" w:rsidRPr="002E4295" w:rsidRDefault="00270BF3" w:rsidP="00270BF3">
      <w:pPr>
        <w:pStyle w:val="SingleTxtG"/>
        <w:rPr>
          <w:lang w:val="fr-FR"/>
        </w:rPr>
      </w:pPr>
      <w:r w:rsidRPr="002E4295">
        <w:rPr>
          <w:lang w:val="fr-FR"/>
        </w:rPr>
        <w:t>10.</w:t>
      </w:r>
      <w:r w:rsidRPr="002E4295">
        <w:rPr>
          <w:lang w:val="fr-FR"/>
        </w:rPr>
        <w:tab/>
      </w:r>
      <w:r w:rsidR="002B712C" w:rsidRPr="002E4295">
        <w:rPr>
          <w:lang w:val="fr-FR"/>
        </w:rPr>
        <w:t xml:space="preserve">Par </w:t>
      </w:r>
      <w:r w:rsidR="002B712C" w:rsidRPr="001510FD">
        <w:rPr>
          <w:rStyle w:val="SingleTxtGChar"/>
          <w:lang w:val="fr-FR"/>
        </w:rPr>
        <w:t>ailleurs</w:t>
      </w:r>
      <w:r w:rsidR="002B712C" w:rsidRPr="002E4295">
        <w:rPr>
          <w:lang w:val="fr-FR"/>
        </w:rPr>
        <w:t xml:space="preserve">, de 2012 à 2015, le Conseil de Discipline Budgétaire et Financière (CDBF), démembrement du CONSUPE a tenu 96 sessions ordinaires et 23 spéciales à l’issue desquelles 113 décisions </w:t>
      </w:r>
      <w:r w:rsidR="002B712C" w:rsidRPr="00BD4D6E">
        <w:rPr>
          <w:rStyle w:val="SingleTxtGChar"/>
          <w:lang w:val="fr-FR"/>
        </w:rPr>
        <w:t>ont</w:t>
      </w:r>
      <w:r w:rsidR="002B712C" w:rsidRPr="002E4295">
        <w:rPr>
          <w:lang w:val="fr-FR"/>
        </w:rPr>
        <w:t xml:space="preserve"> été rendues dont 17 acquittements, 29 décisions comportant des sanctions financières d’un montant de 42 706 232 038 FCFA</w:t>
      </w:r>
      <w:r w:rsidR="002B712C" w:rsidRPr="00E153AE">
        <w:rPr>
          <w:rStyle w:val="Appelnotedebasdep"/>
        </w:rPr>
        <w:footnoteReference w:id="6"/>
      </w:r>
      <w:r w:rsidR="00DA1F81">
        <w:rPr>
          <w:lang w:val="fr-FR"/>
        </w:rPr>
        <w:t xml:space="preserve"> </w:t>
      </w:r>
      <w:r w:rsidR="002B712C" w:rsidRPr="002E4295">
        <w:rPr>
          <w:lang w:val="fr-FR"/>
        </w:rPr>
        <w:t>ayant débouché sur des arrêts de mise en débet prononcés à l’encont</w:t>
      </w:r>
      <w:r w:rsidR="0040184A">
        <w:rPr>
          <w:lang w:val="fr-FR"/>
        </w:rPr>
        <w:t>re des gestionnaires indélicats</w:t>
      </w:r>
      <w:r w:rsidR="002B712C" w:rsidRPr="002E4295">
        <w:rPr>
          <w:lang w:val="fr-FR"/>
        </w:rPr>
        <w:t xml:space="preserve"> et 11 décisions prononçant des déchéances pour des périodes allant</w:t>
      </w:r>
      <w:r w:rsidR="0040184A">
        <w:rPr>
          <w:lang w:val="fr-FR"/>
        </w:rPr>
        <w:t xml:space="preserve"> de 5 à </w:t>
      </w:r>
      <w:r w:rsidR="002B712C" w:rsidRPr="002E4295">
        <w:rPr>
          <w:lang w:val="fr-FR"/>
        </w:rPr>
        <w:t>7 ans. En outre, certains mis en cause ont procédé de manière spontanée au paiement des amendes spéciales et des débets pour un montant de 10 134 925 FCFA</w:t>
      </w:r>
      <w:r w:rsidR="002B712C" w:rsidRPr="00E153AE">
        <w:rPr>
          <w:rStyle w:val="Appelnotedebasdep"/>
        </w:rPr>
        <w:footnoteReference w:id="7"/>
      </w:r>
      <w:r w:rsidR="002B712C" w:rsidRPr="002E4295">
        <w:rPr>
          <w:lang w:val="fr-FR"/>
        </w:rPr>
        <w:t xml:space="preserve"> sur un montant global de 3 227 519 395 FCFA</w:t>
      </w:r>
      <w:r w:rsidR="002B712C" w:rsidRPr="00E153AE">
        <w:rPr>
          <w:rStyle w:val="Appelnotedebasdep"/>
        </w:rPr>
        <w:footnoteReference w:id="8"/>
      </w:r>
      <w:r w:rsidR="002B712C" w:rsidRPr="002E4295">
        <w:rPr>
          <w:lang w:val="fr-FR"/>
        </w:rPr>
        <w:t>.</w:t>
      </w:r>
    </w:p>
    <w:p w:rsidR="002B712C" w:rsidRPr="002E4295" w:rsidRDefault="00270BF3" w:rsidP="00270BF3">
      <w:pPr>
        <w:pStyle w:val="SingleTxtG"/>
        <w:rPr>
          <w:lang w:val="fr-FR"/>
        </w:rPr>
      </w:pPr>
      <w:r w:rsidRPr="002E4295">
        <w:rPr>
          <w:lang w:val="fr-FR"/>
        </w:rPr>
        <w:t>11.</w:t>
      </w:r>
      <w:r w:rsidRPr="002E4295">
        <w:rPr>
          <w:lang w:val="fr-FR"/>
        </w:rPr>
        <w:tab/>
      </w:r>
      <w:r w:rsidR="002B712C" w:rsidRPr="002E4295">
        <w:rPr>
          <w:bCs/>
          <w:lang w:val="fr-FR"/>
        </w:rPr>
        <w:t>L’ANIF</w:t>
      </w:r>
      <w:r w:rsidR="002B712C" w:rsidRPr="002E4295">
        <w:rPr>
          <w:lang w:val="fr-FR"/>
        </w:rPr>
        <w:t xml:space="preserve"> a enregistré, par Décision n</w:t>
      </w:r>
      <w:r w:rsidR="00953EB3" w:rsidRPr="0017665A">
        <w:rPr>
          <w:vertAlign w:val="superscript"/>
          <w:lang w:val="fr-FR"/>
        </w:rPr>
        <w:t>o</w:t>
      </w:r>
      <w:r w:rsidR="00953EB3">
        <w:rPr>
          <w:lang w:val="fr-FR"/>
        </w:rPr>
        <w:t> </w:t>
      </w:r>
      <w:r w:rsidR="002B712C" w:rsidRPr="002E4295">
        <w:rPr>
          <w:lang w:val="fr-FR"/>
        </w:rPr>
        <w:t xml:space="preserve">00163/MINFI/SG/ANIF du 29 avril 2013 du Ministre des Finances, la création d’un Comité des études stratégiques et des tendances. Ce Comité </w:t>
      </w:r>
      <w:r w:rsidR="002B712C" w:rsidRPr="001510FD">
        <w:rPr>
          <w:rStyle w:val="SingleTxtGChar"/>
          <w:lang w:val="fr-FR"/>
        </w:rPr>
        <w:t>contribue</w:t>
      </w:r>
      <w:r w:rsidR="002B712C" w:rsidRPr="002E4295">
        <w:rPr>
          <w:lang w:val="fr-FR"/>
        </w:rPr>
        <w:t xml:space="preserve"> à identifier les nouvelles formes de criminalité économique et financière, à </w:t>
      </w:r>
      <w:r w:rsidR="002B712C" w:rsidRPr="002E4295">
        <w:rPr>
          <w:rStyle w:val="SingleTxtGChar"/>
          <w:lang w:val="fr-FR"/>
        </w:rPr>
        <w:t>détecter</w:t>
      </w:r>
      <w:r w:rsidR="002B712C" w:rsidRPr="002E4295">
        <w:rPr>
          <w:lang w:val="fr-FR"/>
        </w:rPr>
        <w:t xml:space="preserve"> les flux financiers illicites, notamment ceux relatifs au financement du terrorisme et à proposer aux autorités des mesures à prendre en vue de renforcer le dispositif de lutte contre la criminalité économique et financière. De 2011 à 2015, l’ANIF a reçu 1</w:t>
      </w:r>
      <w:r w:rsidR="002C78C3">
        <w:rPr>
          <w:lang w:val="fr-FR"/>
        </w:rPr>
        <w:t> </w:t>
      </w:r>
      <w:r w:rsidR="002B712C" w:rsidRPr="002E4295">
        <w:rPr>
          <w:lang w:val="fr-FR"/>
        </w:rPr>
        <w:t>718 déclarations d’opérations suspectes dans les établissements financiers et transmis au cours de la même période 407 dossiers en justice.</w:t>
      </w:r>
    </w:p>
    <w:p w:rsidR="002B712C" w:rsidRPr="0017665A" w:rsidRDefault="00270BF3" w:rsidP="00270BF3">
      <w:pPr>
        <w:pStyle w:val="SingleTxtG"/>
        <w:rPr>
          <w:szCs w:val="24"/>
          <w:lang w:val="fr-FR"/>
        </w:rPr>
      </w:pPr>
      <w:r w:rsidRPr="0017665A">
        <w:rPr>
          <w:szCs w:val="24"/>
          <w:lang w:val="fr-FR"/>
        </w:rPr>
        <w:t>12.</w:t>
      </w:r>
      <w:r w:rsidRPr="0017665A">
        <w:rPr>
          <w:szCs w:val="24"/>
          <w:lang w:val="fr-FR"/>
        </w:rPr>
        <w:tab/>
      </w:r>
      <w:r w:rsidR="002B712C" w:rsidRPr="002E4295">
        <w:rPr>
          <w:lang w:val="fr-FR"/>
        </w:rPr>
        <w:t xml:space="preserve">Par ailleurs, dans l’optique de faire prévaloir la bonne gouvernance dans le secteur des Marchés publics, le </w:t>
      </w:r>
      <w:r w:rsidR="002B712C" w:rsidRPr="00BD4D6E">
        <w:rPr>
          <w:rStyle w:val="SingleTxtGChar"/>
          <w:lang w:val="fr-FR"/>
        </w:rPr>
        <w:t>Comité</w:t>
      </w:r>
      <w:r w:rsidR="002B712C" w:rsidRPr="002E4295">
        <w:rPr>
          <w:lang w:val="fr-FR"/>
        </w:rPr>
        <w:t xml:space="preserve"> d’examen des recours et des différends mis sur pied au sein du</w:t>
      </w:r>
      <w:r w:rsidR="00F042D5">
        <w:rPr>
          <w:lang w:val="fr-FR"/>
        </w:rPr>
        <w:t xml:space="preserve"> </w:t>
      </w:r>
      <w:r w:rsidR="002B712C" w:rsidRPr="002E4295">
        <w:rPr>
          <w:rStyle w:val="SingleTxtGChar"/>
          <w:lang w:val="fr-FR"/>
        </w:rPr>
        <w:t>Ministère</w:t>
      </w:r>
      <w:r w:rsidR="002B712C" w:rsidRPr="002E4295">
        <w:rPr>
          <w:lang w:val="fr-FR"/>
        </w:rPr>
        <w:t xml:space="preserve"> </w:t>
      </w:r>
      <w:r w:rsidR="002B712C" w:rsidRPr="001510FD">
        <w:rPr>
          <w:rStyle w:val="SingleTxtGChar"/>
          <w:lang w:val="fr-FR"/>
        </w:rPr>
        <w:t>des M</w:t>
      </w:r>
      <w:r w:rsidR="002B712C" w:rsidRPr="002E4295">
        <w:rPr>
          <w:lang w:val="fr-FR"/>
        </w:rPr>
        <w:t xml:space="preserve">archés </w:t>
      </w:r>
      <w:r w:rsidR="002B712C" w:rsidRPr="002E4295">
        <w:rPr>
          <w:rStyle w:val="SingleTxtGChar"/>
          <w:lang w:val="fr-FR"/>
        </w:rPr>
        <w:t>Publics</w:t>
      </w:r>
      <w:r w:rsidR="00FD7420" w:rsidRPr="002E4295">
        <w:rPr>
          <w:rStyle w:val="SingleTxtGChar"/>
          <w:lang w:val="fr-FR"/>
        </w:rPr>
        <w:t xml:space="preserve"> </w:t>
      </w:r>
      <w:r w:rsidR="002B712C" w:rsidRPr="002E4295">
        <w:rPr>
          <w:lang w:val="fr-FR"/>
        </w:rPr>
        <w:t>(MINMAP) au cours de la période 2014-2015 a reçu 953 recours introduits par les soumissionnaires, 22 demandes d’arbitrage liées aux désaccords entre l’autorité contractante et la Commission de passation des marchés et 77 requêtes introduites par divers acteurs du système, notamment l’Agence de Régulation des Marchés Publics</w:t>
      </w:r>
      <w:r w:rsidR="002B712C" w:rsidRPr="002E4295">
        <w:rPr>
          <w:sz w:val="24"/>
          <w:szCs w:val="24"/>
          <w:lang w:val="fr-FR"/>
        </w:rPr>
        <w:t>.</w:t>
      </w:r>
    </w:p>
    <w:p w:rsidR="005968A7" w:rsidRPr="002E4295" w:rsidRDefault="00270BF3" w:rsidP="00270BF3">
      <w:pPr>
        <w:pStyle w:val="SingleTxtG"/>
        <w:rPr>
          <w:lang w:val="fr-FR"/>
        </w:rPr>
      </w:pPr>
      <w:r w:rsidRPr="002E4295">
        <w:rPr>
          <w:lang w:val="fr-FR"/>
        </w:rPr>
        <w:t>13.</w:t>
      </w:r>
      <w:r w:rsidRPr="002E4295">
        <w:rPr>
          <w:lang w:val="fr-FR"/>
        </w:rPr>
        <w:tab/>
      </w:r>
      <w:r w:rsidR="002B712C" w:rsidRPr="002E4295">
        <w:rPr>
          <w:bCs/>
          <w:lang w:val="fr-FR"/>
        </w:rPr>
        <w:t>De</w:t>
      </w:r>
      <w:r w:rsidR="002B712C" w:rsidRPr="002E4295">
        <w:rPr>
          <w:lang w:val="fr-FR"/>
        </w:rPr>
        <w:t xml:space="preserve"> </w:t>
      </w:r>
      <w:r w:rsidR="002B712C" w:rsidRPr="001510FD">
        <w:rPr>
          <w:rStyle w:val="SingleTxtGChar"/>
          <w:lang w:val="fr-FR"/>
        </w:rPr>
        <w:t>même</w:t>
      </w:r>
      <w:r w:rsidR="002B712C" w:rsidRPr="002E4295">
        <w:rPr>
          <w:lang w:val="fr-FR"/>
        </w:rPr>
        <w:t xml:space="preserve">, les opérations de contrôle de l’exécution des Marchés publics ont été intensifiées notamment avec 5 016 marchés contrôlés, dont plus de 2 868 exécutés conformément au </w:t>
      </w:r>
      <w:r w:rsidR="002B712C" w:rsidRPr="00BD4D6E">
        <w:rPr>
          <w:rStyle w:val="SingleTxtGChar"/>
          <w:lang w:val="fr-FR"/>
        </w:rPr>
        <w:t>Code</w:t>
      </w:r>
      <w:r w:rsidR="00152167">
        <w:rPr>
          <w:lang w:val="fr-FR"/>
        </w:rPr>
        <w:t xml:space="preserve"> des m</w:t>
      </w:r>
      <w:r w:rsidR="002B712C" w:rsidRPr="002E4295">
        <w:rPr>
          <w:lang w:val="fr-FR"/>
        </w:rPr>
        <w:t>archés publics, tandis que plus</w:t>
      </w:r>
      <w:r w:rsidR="002B712C" w:rsidRPr="002E4295">
        <w:rPr>
          <w:sz w:val="24"/>
          <w:szCs w:val="24"/>
          <w:lang w:val="fr-FR"/>
        </w:rPr>
        <w:t xml:space="preserve"> </w:t>
      </w:r>
      <w:r w:rsidR="002B712C" w:rsidRPr="002E4295">
        <w:rPr>
          <w:lang w:val="fr-FR"/>
        </w:rPr>
        <w:t xml:space="preserve">de 538 ont été déclarés non </w:t>
      </w:r>
      <w:r w:rsidR="002B712C" w:rsidRPr="002E4295">
        <w:rPr>
          <w:rStyle w:val="SingleTxtGChar"/>
          <w:lang w:val="fr-FR"/>
        </w:rPr>
        <w:t>conformes</w:t>
      </w:r>
      <w:r w:rsidR="002B712C" w:rsidRPr="002E4295">
        <w:rPr>
          <w:lang w:val="fr-FR"/>
        </w:rPr>
        <w:t xml:space="preserve">. </w:t>
      </w:r>
      <w:r w:rsidR="00385CA6">
        <w:rPr>
          <w:lang w:val="fr-FR"/>
        </w:rPr>
        <w:t>À</w:t>
      </w:r>
      <w:r w:rsidR="002B712C" w:rsidRPr="002E4295">
        <w:rPr>
          <w:lang w:val="fr-FR"/>
        </w:rPr>
        <w:t xml:space="preserve"> l’issue de ces opérations de contrôle, des redressements d’un montant global d’environ 30</w:t>
      </w:r>
      <w:r w:rsidR="007F5DDA" w:rsidRPr="002E4295">
        <w:rPr>
          <w:lang w:val="fr-FR"/>
        </w:rPr>
        <w:t xml:space="preserve"> </w:t>
      </w:r>
      <w:r w:rsidR="002B712C" w:rsidRPr="002E4295">
        <w:rPr>
          <w:lang w:val="fr-FR"/>
        </w:rPr>
        <w:t>833 656 943 FCFA</w:t>
      </w:r>
      <w:r w:rsidR="002B712C" w:rsidRPr="00E153AE">
        <w:rPr>
          <w:rStyle w:val="Appelnotedebasdep"/>
        </w:rPr>
        <w:footnoteReference w:id="9"/>
      </w:r>
      <w:r w:rsidR="002B712C" w:rsidRPr="002E4295">
        <w:rPr>
          <w:lang w:val="fr-FR"/>
        </w:rPr>
        <w:t>ont été effectués au bénéfice du Trésor p</w:t>
      </w:r>
      <w:r w:rsidR="00725550">
        <w:rPr>
          <w:lang w:val="fr-FR"/>
        </w:rPr>
        <w:t>ublic. En outre, plus de 3 071 m</w:t>
      </w:r>
      <w:r w:rsidR="002B712C" w:rsidRPr="002E4295">
        <w:rPr>
          <w:lang w:val="fr-FR"/>
        </w:rPr>
        <w:t>archés pub</w:t>
      </w:r>
      <w:r w:rsidR="00725550">
        <w:rPr>
          <w:lang w:val="fr-FR"/>
        </w:rPr>
        <w:t>lics ont été contrôlés par les b</w:t>
      </w:r>
      <w:r w:rsidR="002B712C" w:rsidRPr="002E4295">
        <w:rPr>
          <w:lang w:val="fr-FR"/>
        </w:rPr>
        <w:t>rigades locales et des redressements de l’ordre de plus de 151 000 000 FCFA</w:t>
      </w:r>
      <w:r w:rsidR="002B712C" w:rsidRPr="00E153AE">
        <w:rPr>
          <w:rStyle w:val="Appelnotedebasdep"/>
        </w:rPr>
        <w:footnoteReference w:id="10"/>
      </w:r>
      <w:r w:rsidR="00FD7420" w:rsidRPr="002E4295">
        <w:rPr>
          <w:lang w:val="fr-FR"/>
        </w:rPr>
        <w:t xml:space="preserve"> e</w:t>
      </w:r>
      <w:r w:rsidR="002B712C" w:rsidRPr="002E4295">
        <w:rPr>
          <w:lang w:val="fr-FR"/>
        </w:rPr>
        <w:t>ffectués.</w:t>
      </w:r>
    </w:p>
    <w:p w:rsidR="002B712C" w:rsidRPr="0017665A" w:rsidRDefault="00270BF3" w:rsidP="00270BF3">
      <w:pPr>
        <w:pStyle w:val="SingleTxtG"/>
        <w:rPr>
          <w:szCs w:val="24"/>
          <w:lang w:val="fr-FR"/>
        </w:rPr>
      </w:pPr>
      <w:r w:rsidRPr="0017665A">
        <w:rPr>
          <w:szCs w:val="24"/>
          <w:lang w:val="fr-FR"/>
        </w:rPr>
        <w:t>14.</w:t>
      </w:r>
      <w:r w:rsidRPr="0017665A">
        <w:rPr>
          <w:szCs w:val="24"/>
          <w:lang w:val="fr-FR"/>
        </w:rPr>
        <w:tab/>
      </w:r>
      <w:r w:rsidR="002B712C" w:rsidRPr="002E4295">
        <w:rPr>
          <w:lang w:val="fr-FR"/>
        </w:rPr>
        <w:t xml:space="preserve">Grâce à toutes les actions sus relevées, plus de 130 entreprises ont été exclues de la commande publique pour diverses pratiques frauduleuses au cours des exercices sus évoqués. En outre, </w:t>
      </w:r>
      <w:r w:rsidR="002B712C" w:rsidRPr="00BD4D6E">
        <w:rPr>
          <w:rStyle w:val="SingleTxtGChar"/>
          <w:lang w:val="fr-FR"/>
        </w:rPr>
        <w:t>des</w:t>
      </w:r>
      <w:r w:rsidR="002B712C" w:rsidRPr="002E4295">
        <w:rPr>
          <w:lang w:val="fr-FR"/>
        </w:rPr>
        <w:t xml:space="preserve"> sanctions ont été prononcées contre certains responsables du MINMAP pour diverses indélicatesses. Par ailleurs, des lignes vertes ont été ouvertes à l’effet de consolider toutes ces mesures de lutte contre la corruption à travers des dénonciations</w:t>
      </w:r>
      <w:r w:rsidR="002B712C" w:rsidRPr="00E153AE">
        <w:rPr>
          <w:rStyle w:val="Appelnotedebasdep"/>
        </w:rPr>
        <w:footnoteReference w:id="11"/>
      </w:r>
      <w:r w:rsidR="002B712C" w:rsidRPr="002E4295">
        <w:rPr>
          <w:sz w:val="24"/>
          <w:szCs w:val="24"/>
          <w:lang w:val="fr-FR"/>
        </w:rPr>
        <w:t>.</w:t>
      </w:r>
    </w:p>
    <w:p w:rsidR="002B712C" w:rsidRPr="002E4295" w:rsidRDefault="009E44DD" w:rsidP="009E44DD">
      <w:pPr>
        <w:pStyle w:val="H1G"/>
        <w:rPr>
          <w:lang w:val="fr-FR"/>
        </w:rPr>
      </w:pPr>
      <w:bookmarkStart w:id="4" w:name="_Toc466897323"/>
      <w:r>
        <w:rPr>
          <w:lang w:val="fr-FR"/>
        </w:rPr>
        <w:lastRenderedPageBreak/>
        <w:tab/>
        <w:t>B.</w:t>
      </w:r>
      <w:r>
        <w:rPr>
          <w:lang w:val="fr-FR"/>
        </w:rPr>
        <w:tab/>
      </w:r>
      <w:r w:rsidR="002B712C" w:rsidRPr="002E4295">
        <w:rPr>
          <w:lang w:val="fr-FR"/>
        </w:rPr>
        <w:t>La consolidation du dispositif normatif</w:t>
      </w:r>
      <w:bookmarkEnd w:id="4"/>
    </w:p>
    <w:p w:rsidR="002B712C" w:rsidRPr="002E4295" w:rsidRDefault="00270BF3" w:rsidP="00270BF3">
      <w:pPr>
        <w:pStyle w:val="SingleTxtG"/>
        <w:rPr>
          <w:lang w:val="fr-FR"/>
        </w:rPr>
      </w:pPr>
      <w:r w:rsidRPr="002E4295">
        <w:rPr>
          <w:lang w:val="fr-FR"/>
        </w:rPr>
        <w:t>15.</w:t>
      </w:r>
      <w:r w:rsidRPr="002E4295">
        <w:rPr>
          <w:lang w:val="fr-FR"/>
        </w:rPr>
        <w:tab/>
      </w:r>
      <w:r w:rsidR="002B712C" w:rsidRPr="002E4295">
        <w:rPr>
          <w:lang w:val="fr-FR"/>
        </w:rPr>
        <w:t>Le dispositif normatif s’est consolidé à travers le Code pénal (CP)</w:t>
      </w:r>
      <w:r w:rsidR="002B712C" w:rsidRPr="00E153AE">
        <w:rPr>
          <w:rStyle w:val="Appelnotedebasdep"/>
        </w:rPr>
        <w:footnoteReference w:id="12"/>
      </w:r>
      <w:r w:rsidR="002B712C" w:rsidRPr="002E4295">
        <w:rPr>
          <w:lang w:val="fr-FR"/>
        </w:rPr>
        <w:t xml:space="preserve"> issu de la Loi n</w:t>
      </w:r>
      <w:r w:rsidR="00953EB3" w:rsidRPr="0017665A">
        <w:rPr>
          <w:vertAlign w:val="superscript"/>
          <w:lang w:val="fr-FR"/>
        </w:rPr>
        <w:t>o</w:t>
      </w:r>
      <w:r w:rsidR="00953EB3">
        <w:rPr>
          <w:lang w:val="fr-FR"/>
        </w:rPr>
        <w:t> </w:t>
      </w:r>
      <w:r w:rsidR="002B712C" w:rsidRPr="002E4295">
        <w:rPr>
          <w:lang w:val="fr-FR"/>
        </w:rPr>
        <w:t xml:space="preserve">2016/007 du 12 juillet 2016 qui internalise certaines dispositions de la Convention des Nations </w:t>
      </w:r>
      <w:r w:rsidR="002B712C" w:rsidRPr="002E4295">
        <w:rPr>
          <w:rStyle w:val="SingleTxtGChar"/>
          <w:lang w:val="fr-FR"/>
        </w:rPr>
        <w:t>Unies</w:t>
      </w:r>
      <w:r w:rsidR="002B712C" w:rsidRPr="002E4295">
        <w:rPr>
          <w:lang w:val="fr-FR"/>
        </w:rPr>
        <w:t xml:space="preserve"> contre la corruption. Sont ainsi sanctionnés au même titre que la corruption, le délit d’initié (art</w:t>
      </w:r>
      <w:r w:rsidR="00953EB3">
        <w:rPr>
          <w:lang w:val="fr-FR"/>
        </w:rPr>
        <w:t>. </w:t>
      </w:r>
      <w:r w:rsidR="002B712C" w:rsidRPr="002E4295">
        <w:rPr>
          <w:lang w:val="fr-FR"/>
        </w:rPr>
        <w:t>135-1), la prise d’emploi prohibé (art</w:t>
      </w:r>
      <w:r w:rsidR="00953EB3">
        <w:rPr>
          <w:lang w:val="fr-FR"/>
        </w:rPr>
        <w:t>. </w:t>
      </w:r>
      <w:r w:rsidR="002B712C" w:rsidRPr="002E4295">
        <w:rPr>
          <w:lang w:val="fr-FR"/>
        </w:rPr>
        <w:t>136-1), la non déclaration du conflit d’intérêt (ar</w:t>
      </w:r>
      <w:r w:rsidR="00953EB3">
        <w:rPr>
          <w:lang w:val="fr-FR"/>
        </w:rPr>
        <w:t>t. </w:t>
      </w:r>
      <w:r w:rsidR="002B712C" w:rsidRPr="002E4295">
        <w:rPr>
          <w:lang w:val="fr-FR"/>
        </w:rPr>
        <w:t>313-1). Par ailleurs, la personne qui dénonce les faits est désormais exemptée de poursuites (art</w:t>
      </w:r>
      <w:r w:rsidR="00953EB3">
        <w:rPr>
          <w:lang w:val="fr-FR"/>
        </w:rPr>
        <w:t>. </w:t>
      </w:r>
      <w:r w:rsidR="002B712C" w:rsidRPr="002E4295">
        <w:rPr>
          <w:lang w:val="fr-FR"/>
        </w:rPr>
        <w:t>134-2).</w:t>
      </w:r>
    </w:p>
    <w:p w:rsidR="002B712C" w:rsidRPr="002E4295" w:rsidRDefault="009E44DD" w:rsidP="009E44DD">
      <w:pPr>
        <w:pStyle w:val="H1G"/>
        <w:rPr>
          <w:lang w:val="fr-FR"/>
        </w:rPr>
      </w:pPr>
      <w:bookmarkStart w:id="5" w:name="_Toc466897324"/>
      <w:r>
        <w:rPr>
          <w:lang w:val="fr-FR"/>
        </w:rPr>
        <w:tab/>
        <w:t>C.</w:t>
      </w:r>
      <w:r>
        <w:rPr>
          <w:lang w:val="fr-FR"/>
        </w:rPr>
        <w:tab/>
      </w:r>
      <w:r w:rsidR="002B712C" w:rsidRPr="002E4295">
        <w:rPr>
          <w:lang w:val="fr-FR"/>
        </w:rPr>
        <w:t>La consolidation du dispositif juridictionnel</w:t>
      </w:r>
      <w:bookmarkEnd w:id="5"/>
    </w:p>
    <w:p w:rsidR="002B712C" w:rsidRPr="002E4295" w:rsidRDefault="00270BF3" w:rsidP="00270BF3">
      <w:pPr>
        <w:pStyle w:val="SingleTxtG"/>
        <w:rPr>
          <w:lang w:val="fr-FR"/>
        </w:rPr>
      </w:pPr>
      <w:r w:rsidRPr="002E4295">
        <w:rPr>
          <w:lang w:val="fr-FR"/>
        </w:rPr>
        <w:t>16.</w:t>
      </w:r>
      <w:r w:rsidRPr="002E4295">
        <w:rPr>
          <w:lang w:val="fr-FR"/>
        </w:rPr>
        <w:tab/>
      </w:r>
      <w:r w:rsidR="002B712C" w:rsidRPr="002E4295">
        <w:rPr>
          <w:bCs/>
          <w:lang w:val="fr-FR"/>
        </w:rPr>
        <w:t>Outre</w:t>
      </w:r>
      <w:r w:rsidR="002B712C" w:rsidRPr="002E4295">
        <w:rPr>
          <w:lang w:val="fr-FR"/>
        </w:rPr>
        <w:t xml:space="preserve"> les juridictions de droit commun, le dispositif juridictionnel de protection de la fortune publique a été consolidé par la création et l’opérationnalisation d’une juridiction spécialisée, le Tribunal Criminel Spécial (TCS) et la poursuite des activités de la Chambre des Comptes de la Cour Suprême.</w:t>
      </w:r>
    </w:p>
    <w:p w:rsidR="002B712C" w:rsidRPr="0017665A" w:rsidRDefault="00270BF3" w:rsidP="00270BF3">
      <w:pPr>
        <w:pStyle w:val="SingleTxtG"/>
        <w:rPr>
          <w:lang w:val="fr-FR"/>
        </w:rPr>
      </w:pPr>
      <w:r w:rsidRPr="0017665A">
        <w:rPr>
          <w:lang w:val="fr-FR"/>
        </w:rPr>
        <w:t>17.</w:t>
      </w:r>
      <w:r w:rsidRPr="0017665A">
        <w:rPr>
          <w:lang w:val="fr-FR"/>
        </w:rPr>
        <w:tab/>
      </w:r>
      <w:r w:rsidR="002B712C" w:rsidRPr="00963F65">
        <w:rPr>
          <w:rStyle w:val="SingleTxtGChar"/>
        </w:rPr>
        <w:t>Créé par la Loi n</w:t>
      </w:r>
      <w:r w:rsidR="00953EB3" w:rsidRPr="0017665A">
        <w:rPr>
          <w:rStyle w:val="SingleTxtGChar"/>
          <w:vertAlign w:val="superscript"/>
        </w:rPr>
        <w:t>o</w:t>
      </w:r>
      <w:r w:rsidR="00953EB3">
        <w:rPr>
          <w:rStyle w:val="SingleTxtGChar"/>
        </w:rPr>
        <w:t> </w:t>
      </w:r>
      <w:r w:rsidR="002B712C" w:rsidRPr="00963F65">
        <w:rPr>
          <w:lang w:val="fr-FR"/>
        </w:rPr>
        <w:t>2011</w:t>
      </w:r>
      <w:r w:rsidR="002B712C" w:rsidRPr="00963F65">
        <w:rPr>
          <w:rStyle w:val="SingleTxtGChar"/>
        </w:rPr>
        <w:t>/028 du 14 décembre 2011, le TCS est compétent pour connaître des détournements de deniers</w:t>
      </w:r>
      <w:r w:rsidR="006A57AD">
        <w:rPr>
          <w:rStyle w:val="SingleTxtGChar"/>
        </w:rPr>
        <w:t xml:space="preserve"> </w:t>
      </w:r>
      <w:r w:rsidR="002B712C" w:rsidRPr="00963F65">
        <w:rPr>
          <w:rStyle w:val="SingleTxtGChar"/>
        </w:rPr>
        <w:t>publics dont le montant est égal ou supérieur à 50 000 000</w:t>
      </w:r>
      <w:r w:rsidR="002B712C" w:rsidRPr="00E153AE">
        <w:rPr>
          <w:rStyle w:val="Appelnotedebasdep"/>
        </w:rPr>
        <w:footnoteReference w:id="13"/>
      </w:r>
      <w:r w:rsidR="002B712C" w:rsidRPr="00963F65">
        <w:rPr>
          <w:rStyle w:val="SingleTxtGChar"/>
        </w:rPr>
        <w:t xml:space="preserve"> FCFA. Pour assurer l’efficacité du TCS et en application de la Loi de 2011 susvisée, le D</w:t>
      </w:r>
      <w:r w:rsidR="0040184A">
        <w:rPr>
          <w:rStyle w:val="SingleTxtGChar"/>
        </w:rPr>
        <w:t>écret n</w:t>
      </w:r>
      <w:r w:rsidR="00953EB3" w:rsidRPr="0017665A">
        <w:rPr>
          <w:rStyle w:val="SingleTxtGChar"/>
          <w:vertAlign w:val="superscript"/>
        </w:rPr>
        <w:t>o</w:t>
      </w:r>
      <w:r w:rsidR="00953EB3">
        <w:rPr>
          <w:rStyle w:val="SingleTxtGChar"/>
        </w:rPr>
        <w:t> </w:t>
      </w:r>
      <w:r w:rsidR="0040184A">
        <w:rPr>
          <w:rStyle w:val="SingleTxtGChar"/>
        </w:rPr>
        <w:t xml:space="preserve">2013/131 du </w:t>
      </w:r>
      <w:r w:rsidR="002B712C" w:rsidRPr="00963F65">
        <w:rPr>
          <w:rStyle w:val="SingleTxtGChar"/>
        </w:rPr>
        <w:t>3 mai 2013 crée au sein de celui-ci un Corps spécialisé d’Officiers de Police Judiciaire placé sous la direction et le contrôle du Procureur Général près ladite juridiction. Après son entrée en fonction en octobre 2012 et jusqu’en 2015, environ 219 dossiers ont été transmis au TCS. Sur la même période, 152 condamnations, 44</w:t>
      </w:r>
      <w:r w:rsidR="003531AD">
        <w:rPr>
          <w:rStyle w:val="SingleTxtGChar"/>
        </w:rPr>
        <w:t> </w:t>
      </w:r>
      <w:r w:rsidR="002B712C" w:rsidRPr="00963F65">
        <w:rPr>
          <w:rStyle w:val="SingleTxtGChar"/>
        </w:rPr>
        <w:t>acquittements et 47 arrêts des poursuites</w:t>
      </w:r>
      <w:r w:rsidR="002B712C" w:rsidRPr="00E153AE">
        <w:rPr>
          <w:rStyle w:val="Appelnotedebasdep"/>
        </w:rPr>
        <w:footnoteReference w:id="14"/>
      </w:r>
      <w:r w:rsidR="002B712C" w:rsidRPr="00963F65">
        <w:rPr>
          <w:rStyle w:val="SingleTxtGChar"/>
        </w:rPr>
        <w:t xml:space="preserve"> ont été prononcés. Dans la même période, les sommes recouvrées étaient estimées à 213 571 FCFA</w:t>
      </w:r>
      <w:r w:rsidR="002B712C" w:rsidRPr="00E153AE">
        <w:rPr>
          <w:rStyle w:val="Appelnotedebasdep"/>
        </w:rPr>
        <w:footnoteReference w:id="15"/>
      </w:r>
      <w:r w:rsidR="002B712C" w:rsidRPr="00963F65">
        <w:rPr>
          <w:rStyle w:val="SingleTxtGChar"/>
        </w:rPr>
        <w:t xml:space="preserve"> au titre des frais de justice, </w:t>
      </w:r>
      <w:r w:rsidR="002B712C" w:rsidRPr="003531AD">
        <w:rPr>
          <w:rStyle w:val="SingleTxtGChar"/>
        </w:rPr>
        <w:t>tandis que le montant des sommes réclamées par l’</w:t>
      </w:r>
      <w:r w:rsidR="00FB5306">
        <w:rPr>
          <w:rStyle w:val="SingleTxtGChar"/>
        </w:rPr>
        <w:t>État</w:t>
      </w:r>
      <w:r w:rsidR="002B712C" w:rsidRPr="003531AD">
        <w:rPr>
          <w:rStyle w:val="SingleTxtGChar"/>
        </w:rPr>
        <w:t xml:space="preserve"> était de 48390791919,94FCFA</w:t>
      </w:r>
      <w:r w:rsidR="002B712C" w:rsidRPr="0017665A">
        <w:rPr>
          <w:rStyle w:val="Appelnotedebasdep"/>
          <w:sz w:val="20"/>
        </w:rPr>
        <w:footnoteReference w:id="16"/>
      </w:r>
      <w:r w:rsidR="002B712C" w:rsidRPr="003531AD">
        <w:rPr>
          <w:rStyle w:val="SingleTxtGChar"/>
        </w:rPr>
        <w:t>. Le montant recouvré au titre de la restitution du corps du délit était de 5 093 129 862FCFA</w:t>
      </w:r>
      <w:r w:rsidR="002B712C" w:rsidRPr="0017665A">
        <w:rPr>
          <w:rStyle w:val="Appelnotedebasdep"/>
          <w:sz w:val="20"/>
        </w:rPr>
        <w:footnoteReference w:id="17"/>
      </w:r>
      <w:r w:rsidR="002B712C" w:rsidRPr="0017665A">
        <w:rPr>
          <w:lang w:val="fr-FR"/>
        </w:rPr>
        <w:t>.</w:t>
      </w:r>
    </w:p>
    <w:p w:rsidR="002B712C" w:rsidRPr="0017665A" w:rsidRDefault="00270BF3" w:rsidP="00270BF3">
      <w:pPr>
        <w:pStyle w:val="SingleTxtG"/>
        <w:rPr>
          <w:szCs w:val="24"/>
          <w:lang w:val="fr-FR"/>
        </w:rPr>
      </w:pPr>
      <w:r w:rsidRPr="0017665A">
        <w:rPr>
          <w:szCs w:val="24"/>
          <w:lang w:val="fr-FR"/>
        </w:rPr>
        <w:t>18.</w:t>
      </w:r>
      <w:r w:rsidRPr="0017665A">
        <w:rPr>
          <w:szCs w:val="24"/>
          <w:lang w:val="fr-FR"/>
        </w:rPr>
        <w:tab/>
      </w:r>
      <w:r w:rsidR="002B712C" w:rsidRPr="002E4295">
        <w:rPr>
          <w:bCs/>
          <w:lang w:val="fr-FR"/>
        </w:rPr>
        <w:t>La</w:t>
      </w:r>
      <w:r w:rsidR="002B712C" w:rsidRPr="002E4295">
        <w:rPr>
          <w:lang w:val="fr-FR"/>
        </w:rPr>
        <w:t xml:space="preserve"> Chambre </w:t>
      </w:r>
      <w:r w:rsidR="002B712C" w:rsidRPr="001510FD">
        <w:rPr>
          <w:rStyle w:val="SingleTxtGChar"/>
          <w:lang w:val="fr-FR"/>
        </w:rPr>
        <w:t>des</w:t>
      </w:r>
      <w:r w:rsidR="002B712C" w:rsidRPr="002E4295">
        <w:rPr>
          <w:lang w:val="fr-FR"/>
        </w:rPr>
        <w:t xml:space="preserve"> Comptes de la Cour Suprême a poursuivi ses missions. Sur le plan</w:t>
      </w:r>
      <w:r w:rsidR="006A57AD">
        <w:rPr>
          <w:lang w:val="fr-FR"/>
        </w:rPr>
        <w:t xml:space="preserve"> </w:t>
      </w:r>
      <w:r w:rsidR="002B712C" w:rsidRPr="002E4295">
        <w:rPr>
          <w:lang w:val="fr-FR"/>
        </w:rPr>
        <w:t>du contrôle juridictionnel, elle a prononcé 309 jugements provisoires et 205 arrêts définitifs dont 46 arrêts de condamnation à l’amende pour un montant total de 48 852 000 FCFA</w:t>
      </w:r>
      <w:r w:rsidR="002B712C" w:rsidRPr="00E153AE">
        <w:rPr>
          <w:rStyle w:val="Appelnotedebasdep"/>
        </w:rPr>
        <w:footnoteReference w:id="18"/>
      </w:r>
      <w:r w:rsidR="002B712C" w:rsidRPr="002E4295">
        <w:rPr>
          <w:lang w:val="fr-FR"/>
        </w:rPr>
        <w:t xml:space="preserve"> et 159 </w:t>
      </w:r>
      <w:r w:rsidR="002B712C" w:rsidRPr="002E4295">
        <w:rPr>
          <w:rStyle w:val="SingleTxtGChar"/>
          <w:lang w:val="fr-FR"/>
        </w:rPr>
        <w:t>arrêts</w:t>
      </w:r>
      <w:r w:rsidR="002B712C" w:rsidRPr="002E4295">
        <w:rPr>
          <w:lang w:val="fr-FR"/>
        </w:rPr>
        <w:t xml:space="preserve"> de débets contre les comptables publics pour la somme de 1 848 386 026 FCFA</w:t>
      </w:r>
      <w:r w:rsidR="002B712C" w:rsidRPr="00E153AE">
        <w:rPr>
          <w:rStyle w:val="Appelnotedebasdep"/>
        </w:rPr>
        <w:footnoteReference w:id="19"/>
      </w:r>
      <w:r w:rsidR="002B712C" w:rsidRPr="002E4295">
        <w:rPr>
          <w:lang w:val="fr-FR"/>
        </w:rPr>
        <w:t>.En</w:t>
      </w:r>
      <w:r w:rsidR="002B712C" w:rsidRPr="002E4295">
        <w:rPr>
          <w:sz w:val="24"/>
          <w:szCs w:val="24"/>
          <w:lang w:val="fr-FR"/>
        </w:rPr>
        <w:t xml:space="preserve"> </w:t>
      </w:r>
      <w:r w:rsidR="002B712C" w:rsidRPr="002E4295">
        <w:rPr>
          <w:lang w:val="fr-FR"/>
        </w:rPr>
        <w:t>ce qui concerne le contrôle administratif des entreprises du secteur public et parapublic, elle a produit au cours de la période de référence 31 rapports dont 15 rapports d’observations provisoires et 16 rapports d’observations définitives, représentant un montant estimé à 89 839 030 000 FCFA</w:t>
      </w:r>
      <w:r w:rsidR="002B712C" w:rsidRPr="00E153AE">
        <w:rPr>
          <w:rStyle w:val="Appelnotedebasdep"/>
        </w:rPr>
        <w:footnoteReference w:id="20"/>
      </w:r>
      <w:r w:rsidR="002B712C" w:rsidRPr="002E4295">
        <w:rPr>
          <w:lang w:val="fr-FR"/>
        </w:rPr>
        <w:t>.</w:t>
      </w:r>
    </w:p>
    <w:p w:rsidR="004D4F17" w:rsidRPr="002E4295" w:rsidRDefault="00270BF3" w:rsidP="00270BF3">
      <w:pPr>
        <w:pStyle w:val="SingleTxtG"/>
        <w:rPr>
          <w:lang w:val="fr-FR"/>
        </w:rPr>
      </w:pPr>
      <w:r w:rsidRPr="002E4295">
        <w:rPr>
          <w:lang w:val="fr-FR"/>
        </w:rPr>
        <w:t>19.</w:t>
      </w:r>
      <w:r w:rsidRPr="002E4295">
        <w:rPr>
          <w:lang w:val="fr-FR"/>
        </w:rPr>
        <w:tab/>
      </w:r>
      <w:r w:rsidR="004D4F17" w:rsidRPr="00963F65">
        <w:rPr>
          <w:rStyle w:val="SingleTxtGChar"/>
        </w:rPr>
        <w:t>Par</w:t>
      </w:r>
      <w:r w:rsidR="004D4F17" w:rsidRPr="002E4295">
        <w:rPr>
          <w:lang w:val="fr-FR"/>
        </w:rPr>
        <w:t xml:space="preserve"> ailleurs, le respect de la gouvernance dans le secteur extractif a permis au </w:t>
      </w:r>
      <w:r w:rsidR="004D4F17" w:rsidRPr="00963F65">
        <w:t>Cameroun</w:t>
      </w:r>
      <w:r w:rsidR="004D4F17" w:rsidRPr="002E4295">
        <w:rPr>
          <w:lang w:val="fr-FR"/>
        </w:rPr>
        <w:t xml:space="preserve"> </w:t>
      </w:r>
      <w:r w:rsidR="004D4F17" w:rsidRPr="002E4295">
        <w:rPr>
          <w:rStyle w:val="SingleTxtGChar"/>
          <w:lang w:val="fr-FR"/>
        </w:rPr>
        <w:t>d’accéder</w:t>
      </w:r>
      <w:r w:rsidR="004D4F17" w:rsidRPr="002E4295">
        <w:rPr>
          <w:lang w:val="fr-FR"/>
        </w:rPr>
        <w:t xml:space="preserve"> au Statut de pays conforme à l’Initiative de Transparence dans les Industries Extractives (ITIE) en 2013.</w:t>
      </w:r>
    </w:p>
    <w:p w:rsidR="004306F2" w:rsidRPr="0017665A" w:rsidRDefault="00FE3705" w:rsidP="0017665A">
      <w:pPr>
        <w:pStyle w:val="HChG"/>
      </w:pPr>
      <w:bookmarkStart w:id="6" w:name="_Toc466897325"/>
      <w:r>
        <w:rPr>
          <w:lang w:val="fr-FR"/>
        </w:rPr>
        <w:lastRenderedPageBreak/>
        <w:tab/>
        <w:t>IV.</w:t>
      </w:r>
      <w:r>
        <w:rPr>
          <w:lang w:val="fr-FR"/>
        </w:rPr>
        <w:tab/>
      </w:r>
      <w:r w:rsidR="005968A7" w:rsidRPr="002E4295">
        <w:rPr>
          <w:lang w:val="fr-FR"/>
        </w:rPr>
        <w:t>R</w:t>
      </w:r>
      <w:r w:rsidR="00963F65">
        <w:rPr>
          <w:lang w:val="fr-FR"/>
        </w:rPr>
        <w:t>ec.</w:t>
      </w:r>
      <w:r>
        <w:rPr>
          <w:lang w:val="fr-FR"/>
        </w:rPr>
        <w:t> </w:t>
      </w:r>
      <w:r w:rsidR="004306F2" w:rsidRPr="002E4295">
        <w:rPr>
          <w:lang w:val="fr-FR"/>
        </w:rPr>
        <w:t>9</w:t>
      </w:r>
      <w:r w:rsidR="005968A7" w:rsidRPr="002E4295">
        <w:rPr>
          <w:lang w:val="fr-FR"/>
        </w:rPr>
        <w:t>.</w:t>
      </w:r>
      <w:r w:rsidR="00FB7ADC">
        <w:rPr>
          <w:lang w:val="fr-FR"/>
        </w:rPr>
        <w:t> </w:t>
      </w:r>
      <w:r w:rsidR="004306F2" w:rsidRPr="002E4295">
        <w:rPr>
          <w:lang w:val="fr-FR"/>
        </w:rPr>
        <w:t>L’allocation de ressources financières et humaines suffisantes à la Commission Nationale des Droits de l’Homme et des Libertés (CNDHL)</w:t>
      </w:r>
      <w:bookmarkEnd w:id="6"/>
    </w:p>
    <w:p w:rsidR="004306F2" w:rsidRPr="0017665A" w:rsidRDefault="00D13DEE" w:rsidP="0017665A">
      <w:pPr>
        <w:pStyle w:val="H1G"/>
      </w:pPr>
      <w:bookmarkStart w:id="7" w:name="_Toc466897326"/>
      <w:r>
        <w:rPr>
          <w:lang w:val="fr-FR"/>
        </w:rPr>
        <w:tab/>
      </w:r>
      <w:r w:rsidR="009E44DD">
        <w:rPr>
          <w:lang w:val="fr-FR"/>
        </w:rPr>
        <w:t>A.</w:t>
      </w:r>
      <w:r w:rsidR="009E44DD">
        <w:rPr>
          <w:lang w:val="fr-FR"/>
        </w:rPr>
        <w:tab/>
      </w:r>
      <w:r w:rsidR="004306F2" w:rsidRPr="002E4295">
        <w:rPr>
          <w:lang w:val="fr-FR"/>
        </w:rPr>
        <w:t>Ressources humaines</w:t>
      </w:r>
      <w:bookmarkEnd w:id="7"/>
    </w:p>
    <w:p w:rsidR="004306F2" w:rsidRPr="00963F65" w:rsidRDefault="00270BF3" w:rsidP="00270BF3">
      <w:pPr>
        <w:pStyle w:val="SingleTxtG"/>
      </w:pPr>
      <w:r w:rsidRPr="00963F65">
        <w:t>20.</w:t>
      </w:r>
      <w:r w:rsidRPr="00963F65">
        <w:tab/>
      </w:r>
      <w:r w:rsidR="004306F2" w:rsidRPr="00963F65">
        <w:t xml:space="preserve">La CNDHL est composée de 30 membres (commissaires) représentant l’Assemblée Nationale, la Cour Suprême, le Barreau, les universités, les confessions religieuses, les </w:t>
      </w:r>
      <w:r w:rsidR="004306F2" w:rsidRPr="001510FD">
        <w:rPr>
          <w:lang w:val="fr-FR"/>
        </w:rPr>
        <w:t>organisations</w:t>
      </w:r>
      <w:r w:rsidR="004306F2" w:rsidRPr="00963F65">
        <w:t xml:space="preserve"> de </w:t>
      </w:r>
      <w:r w:rsidR="004306F2" w:rsidRPr="00963F65">
        <w:rPr>
          <w:lang w:val="fr-FR"/>
        </w:rPr>
        <w:t>femmes</w:t>
      </w:r>
      <w:r w:rsidR="004306F2" w:rsidRPr="00963F65">
        <w:t>, les organisations de la société civile (OSC), les syndicats de travailleurs, l’Ordre national des médecins, la presse publique et privée, les administrations publiques (affaires sociales, justice, administration pénitentiaire, promotion de la femme).</w:t>
      </w:r>
    </w:p>
    <w:p w:rsidR="004306F2" w:rsidRPr="00963F65" w:rsidRDefault="00270BF3" w:rsidP="00270BF3">
      <w:pPr>
        <w:pStyle w:val="SingleTxtG"/>
      </w:pPr>
      <w:r w:rsidRPr="00963F65">
        <w:t>21.</w:t>
      </w:r>
      <w:r w:rsidRPr="00963F65">
        <w:tab/>
      </w:r>
      <w:r w:rsidR="004306F2" w:rsidRPr="00963F65">
        <w:t>Elle est en outre dotée d’un Secrétariat permanent, de 06 antennes opérationnelles sur les 10 créées dans les différentes régions du pays et d’une centaine de personnel.</w:t>
      </w:r>
    </w:p>
    <w:p w:rsidR="004306F2" w:rsidRPr="0017665A" w:rsidRDefault="00D13DEE" w:rsidP="0017665A">
      <w:pPr>
        <w:pStyle w:val="H1G"/>
      </w:pPr>
      <w:bookmarkStart w:id="8" w:name="_Toc466897327"/>
      <w:r>
        <w:rPr>
          <w:lang w:val="fr-FR"/>
        </w:rPr>
        <w:tab/>
      </w:r>
      <w:r w:rsidR="009E44DD">
        <w:rPr>
          <w:lang w:val="fr-FR"/>
        </w:rPr>
        <w:t>B.</w:t>
      </w:r>
      <w:r w:rsidR="009E44DD">
        <w:rPr>
          <w:lang w:val="fr-FR"/>
        </w:rPr>
        <w:tab/>
      </w:r>
      <w:r w:rsidR="004306F2" w:rsidRPr="002E4295">
        <w:rPr>
          <w:lang w:val="fr-FR"/>
        </w:rPr>
        <w:t>Ressources financières</w:t>
      </w:r>
      <w:bookmarkEnd w:id="8"/>
    </w:p>
    <w:p w:rsidR="004306F2" w:rsidRPr="002E4295" w:rsidRDefault="00270BF3" w:rsidP="00270BF3">
      <w:pPr>
        <w:pStyle w:val="SingleTxtG"/>
        <w:rPr>
          <w:lang w:val="fr-FR"/>
        </w:rPr>
      </w:pPr>
      <w:r w:rsidRPr="002E4295">
        <w:rPr>
          <w:lang w:val="fr-FR"/>
        </w:rPr>
        <w:t>22.</w:t>
      </w:r>
      <w:r w:rsidRPr="002E4295">
        <w:rPr>
          <w:lang w:val="fr-FR"/>
        </w:rPr>
        <w:tab/>
      </w:r>
      <w:r w:rsidR="004306F2" w:rsidRPr="009331EE">
        <w:t>En 2012, la CNDHL a reçu une dotation budgétaire de 1</w:t>
      </w:r>
      <w:r w:rsidR="00D13DEE">
        <w:t> </w:t>
      </w:r>
      <w:r w:rsidR="004306F2" w:rsidRPr="009331EE">
        <w:t>100 000 000 FCFA</w:t>
      </w:r>
      <w:r w:rsidR="004306F2" w:rsidRPr="00E153AE">
        <w:rPr>
          <w:rStyle w:val="Appelnotedebasdep"/>
        </w:rPr>
        <w:footnoteReference w:id="21"/>
      </w:r>
      <w:r w:rsidR="004306F2" w:rsidRPr="009331EE">
        <w:t>, soit 400 000 000 FCFA</w:t>
      </w:r>
      <w:r w:rsidR="004306F2" w:rsidRPr="00E153AE">
        <w:rPr>
          <w:rStyle w:val="Appelnotedebasdep"/>
        </w:rPr>
        <w:footnoteReference w:id="22"/>
      </w:r>
      <w:r w:rsidR="004306F2" w:rsidRPr="009331EE">
        <w:t xml:space="preserve"> pour l’investissement et 700 000 000</w:t>
      </w:r>
      <w:r w:rsidR="00D13DEE">
        <w:t xml:space="preserve"> </w:t>
      </w:r>
      <w:r w:rsidR="004306F2" w:rsidRPr="009331EE">
        <w:t>FCFA</w:t>
      </w:r>
      <w:r w:rsidR="004306F2" w:rsidRPr="00E153AE">
        <w:rPr>
          <w:rStyle w:val="Appelnotedebasdep"/>
        </w:rPr>
        <w:footnoteReference w:id="23"/>
      </w:r>
      <w:r w:rsidR="004306F2" w:rsidRPr="009331EE">
        <w:t xml:space="preserve"> au titre du budget de fonctionnement. Cette enveloppe a été augmentée de 20 000 000</w:t>
      </w:r>
      <w:r w:rsidR="00D13DEE">
        <w:t xml:space="preserve"> </w:t>
      </w:r>
      <w:r w:rsidR="004306F2" w:rsidRPr="009331EE">
        <w:t>FCFA</w:t>
      </w:r>
      <w:r w:rsidR="004306F2" w:rsidRPr="00E153AE">
        <w:rPr>
          <w:rStyle w:val="Appelnotedebasdep"/>
        </w:rPr>
        <w:footnoteReference w:id="24"/>
      </w:r>
      <w:r w:rsidR="004306F2" w:rsidRPr="009331EE">
        <w:t xml:space="preserve"> au titre du budget de fonctionnement qui est passé de 700 à 720 000 000 FCFA</w:t>
      </w:r>
      <w:r w:rsidR="004306F2" w:rsidRPr="00E153AE">
        <w:rPr>
          <w:rStyle w:val="Appelnotedebasdep"/>
        </w:rPr>
        <w:footnoteReference w:id="25"/>
      </w:r>
      <w:r w:rsidR="004306F2" w:rsidRPr="009331EE">
        <w:t xml:space="preserve"> de 2013 à 2015, le montant affecté à l’investissement n’ayant pas varié. Même s’il demeure insuffisant, ce budget est en augmentation</w:t>
      </w:r>
      <w:r w:rsidR="004306F2" w:rsidRPr="00E153AE">
        <w:rPr>
          <w:rStyle w:val="Appelnotedebasdep"/>
        </w:rPr>
        <w:footnoteReference w:id="26"/>
      </w:r>
      <w:r w:rsidR="004306F2" w:rsidRPr="009331EE">
        <w:t xml:space="preserve"> et devrait permettre, avec l</w:t>
      </w:r>
      <w:r w:rsidR="006A57AD">
        <w:t>’</w:t>
      </w:r>
      <w:r w:rsidR="004306F2" w:rsidRPr="009331EE">
        <w:t>assouplissement souhaité des procédures de déblocage des fonds, à la Commission de s</w:t>
      </w:r>
      <w:r w:rsidR="006A57AD">
        <w:t>’</w:t>
      </w:r>
      <w:r w:rsidR="004306F2" w:rsidRPr="009331EE">
        <w:t>acquitter de ses missions</w:t>
      </w:r>
      <w:r w:rsidR="004306F2" w:rsidRPr="002E4295">
        <w:rPr>
          <w:lang w:val="fr-FR"/>
        </w:rPr>
        <w:t>.</w:t>
      </w:r>
    </w:p>
    <w:p w:rsidR="004306F2" w:rsidRPr="0017665A" w:rsidRDefault="00FE3705" w:rsidP="0017665A">
      <w:pPr>
        <w:pStyle w:val="HChG"/>
      </w:pPr>
      <w:bookmarkStart w:id="9" w:name="_Toc466897328"/>
      <w:r>
        <w:rPr>
          <w:lang w:val="fr-FR"/>
        </w:rPr>
        <w:tab/>
        <w:t>V.</w:t>
      </w:r>
      <w:r>
        <w:rPr>
          <w:lang w:val="fr-FR"/>
        </w:rPr>
        <w:tab/>
      </w:r>
      <w:r w:rsidR="004306F2" w:rsidRPr="002E4295">
        <w:rPr>
          <w:lang w:val="fr-FR"/>
        </w:rPr>
        <w:t>R</w:t>
      </w:r>
      <w:r w:rsidR="000D5D3E" w:rsidRPr="002E4295">
        <w:rPr>
          <w:lang w:val="fr-FR"/>
        </w:rPr>
        <w:t>ec.</w:t>
      </w:r>
      <w:r>
        <w:rPr>
          <w:lang w:val="fr-FR"/>
        </w:rPr>
        <w:t> </w:t>
      </w:r>
      <w:r w:rsidR="004306F2" w:rsidRPr="002E4295">
        <w:rPr>
          <w:lang w:val="fr-FR"/>
        </w:rPr>
        <w:t>10</w:t>
      </w:r>
      <w:r w:rsidR="000D5D3E" w:rsidRPr="002E4295">
        <w:rPr>
          <w:lang w:val="fr-FR"/>
        </w:rPr>
        <w:t>.</w:t>
      </w:r>
      <w:r w:rsidR="00FB7ADC">
        <w:rPr>
          <w:lang w:val="fr-FR"/>
        </w:rPr>
        <w:t> </w:t>
      </w:r>
      <w:r w:rsidR="004306F2" w:rsidRPr="002E4295">
        <w:rPr>
          <w:lang w:val="fr-FR"/>
        </w:rPr>
        <w:t>Adoption d’une législation antidiscriminatoire globale</w:t>
      </w:r>
      <w:bookmarkEnd w:id="9"/>
    </w:p>
    <w:p w:rsidR="004306F2" w:rsidRPr="002E4295" w:rsidRDefault="00270BF3" w:rsidP="00270BF3">
      <w:pPr>
        <w:pStyle w:val="SingleTxtG"/>
        <w:rPr>
          <w:lang w:val="fr-FR"/>
        </w:rPr>
      </w:pPr>
      <w:r w:rsidRPr="002E4295">
        <w:rPr>
          <w:lang w:val="fr-FR"/>
        </w:rPr>
        <w:t>23.</w:t>
      </w:r>
      <w:r w:rsidRPr="002E4295">
        <w:rPr>
          <w:lang w:val="fr-FR"/>
        </w:rPr>
        <w:tab/>
      </w:r>
      <w:r w:rsidR="004306F2" w:rsidRPr="002E4295">
        <w:rPr>
          <w:bCs/>
          <w:lang w:val="fr-FR"/>
        </w:rPr>
        <w:t>La</w:t>
      </w:r>
      <w:r w:rsidR="004306F2" w:rsidRPr="002E4295">
        <w:rPr>
          <w:lang w:val="fr-FR"/>
        </w:rPr>
        <w:t xml:space="preserve"> lutte contre la discrimination puise ses sources dans la Constitution dont le Préambule proclame que</w:t>
      </w:r>
      <w:r w:rsidR="00F96E1A" w:rsidRPr="002E4295">
        <w:rPr>
          <w:lang w:val="fr-FR"/>
        </w:rPr>
        <w:t xml:space="preserve"> «</w:t>
      </w:r>
      <w:r w:rsidR="00FF4843">
        <w:rPr>
          <w:lang w:val="fr-FR"/>
        </w:rPr>
        <w:t> </w:t>
      </w:r>
      <w:r w:rsidR="00F96E1A" w:rsidRPr="002E4295">
        <w:rPr>
          <w:lang w:val="fr-FR"/>
        </w:rPr>
        <w:t>l’être</w:t>
      </w:r>
      <w:r w:rsidR="004306F2" w:rsidRPr="002E4295">
        <w:rPr>
          <w:lang w:val="fr-FR"/>
        </w:rPr>
        <w:t xml:space="preserve"> humain sans distinction de race, de religion, de sexe, de croyance, possède des droits inaliénables</w:t>
      </w:r>
      <w:r w:rsidR="00044D83">
        <w:rPr>
          <w:lang w:val="fr-FR"/>
        </w:rPr>
        <w:t xml:space="preserve"> et </w:t>
      </w:r>
      <w:r w:rsidR="0040184A">
        <w:rPr>
          <w:lang w:val="fr-FR"/>
        </w:rPr>
        <w:t>sacrés</w:t>
      </w:r>
      <w:r w:rsidR="00FF4843">
        <w:rPr>
          <w:lang w:val="fr-FR"/>
        </w:rPr>
        <w:t> </w:t>
      </w:r>
      <w:r w:rsidR="00044D83">
        <w:rPr>
          <w:lang w:val="fr-FR"/>
        </w:rPr>
        <w:t>» et réaffirme que «</w:t>
      </w:r>
      <w:r w:rsidR="00FF4843">
        <w:rPr>
          <w:lang w:val="fr-FR"/>
        </w:rPr>
        <w:t> </w:t>
      </w:r>
      <w:r w:rsidR="004306F2" w:rsidRPr="002E4295">
        <w:rPr>
          <w:lang w:val="fr-FR"/>
        </w:rPr>
        <w:t>tous les Hommes son</w:t>
      </w:r>
      <w:r w:rsidR="00044D83">
        <w:rPr>
          <w:lang w:val="fr-FR"/>
        </w:rPr>
        <w:t>t égaux en droits et en devoirs</w:t>
      </w:r>
      <w:r w:rsidR="00FF4843">
        <w:rPr>
          <w:lang w:val="fr-FR"/>
        </w:rPr>
        <w:t> </w:t>
      </w:r>
      <w:r w:rsidR="004306F2" w:rsidRPr="002E4295">
        <w:rPr>
          <w:lang w:val="fr-FR"/>
        </w:rPr>
        <w:t>» et que «</w:t>
      </w:r>
      <w:r w:rsidR="00FF4843">
        <w:rPr>
          <w:lang w:val="fr-FR"/>
        </w:rPr>
        <w:t> </w:t>
      </w:r>
      <w:r w:rsidR="004306F2" w:rsidRPr="002E4295">
        <w:rPr>
          <w:lang w:val="fr-FR"/>
        </w:rPr>
        <w:t>nul ne peut être inquiété en raison de ses origines, de ses opinions ou croyances en matière religieuse, philosophique ou politique sous réserve du respect de l’ordre public et des bonnes mœurs</w:t>
      </w:r>
      <w:r w:rsidR="00B4646F">
        <w:rPr>
          <w:lang w:val="fr-FR"/>
        </w:rPr>
        <w:t> </w:t>
      </w:r>
      <w:r w:rsidR="004306F2" w:rsidRPr="002E4295">
        <w:rPr>
          <w:lang w:val="fr-FR"/>
        </w:rPr>
        <w:t xml:space="preserve">». </w:t>
      </w:r>
    </w:p>
    <w:p w:rsidR="004306F2" w:rsidRPr="002E4295" w:rsidRDefault="00270BF3" w:rsidP="00270BF3">
      <w:pPr>
        <w:pStyle w:val="SingleTxtG"/>
        <w:rPr>
          <w:lang w:val="fr-FR"/>
        </w:rPr>
      </w:pPr>
      <w:r w:rsidRPr="002E4295">
        <w:rPr>
          <w:lang w:val="fr-FR"/>
        </w:rPr>
        <w:t>24.</w:t>
      </w:r>
      <w:r w:rsidRPr="002E4295">
        <w:rPr>
          <w:lang w:val="fr-FR"/>
        </w:rPr>
        <w:tab/>
      </w:r>
      <w:r w:rsidR="004306F2" w:rsidRPr="002E4295">
        <w:rPr>
          <w:lang w:val="fr-FR"/>
        </w:rPr>
        <w:t xml:space="preserve">Ces dispositions constitutionnelles qui reprennent la plupart des motifs de discrimination interdits au </w:t>
      </w:r>
      <w:r w:rsidR="00D13DEE">
        <w:rPr>
          <w:lang w:val="fr-FR"/>
        </w:rPr>
        <w:t>p</w:t>
      </w:r>
      <w:r w:rsidR="004306F2" w:rsidRPr="002E4295">
        <w:rPr>
          <w:lang w:val="fr-FR"/>
        </w:rPr>
        <w:t xml:space="preserve">aragraphe 2 du Pacte, sont complétées par des lois spécifiques sur </w:t>
      </w:r>
      <w:r w:rsidR="004306F2" w:rsidRPr="002E4295">
        <w:rPr>
          <w:rStyle w:val="SingleTxtGChar"/>
          <w:lang w:val="fr-FR"/>
        </w:rPr>
        <w:t>les</w:t>
      </w:r>
      <w:r w:rsidR="004306F2" w:rsidRPr="002E4295">
        <w:rPr>
          <w:lang w:val="fr-FR"/>
        </w:rPr>
        <w:t xml:space="preserve"> plans sectoriels. </w:t>
      </w:r>
      <w:r w:rsidR="009527BF">
        <w:rPr>
          <w:lang w:val="fr-FR"/>
        </w:rPr>
        <w:t>À</w:t>
      </w:r>
      <w:r w:rsidR="004306F2" w:rsidRPr="002E4295">
        <w:rPr>
          <w:lang w:val="fr-FR"/>
        </w:rPr>
        <w:t xml:space="preserve"> cet égard, dans le but d’éviter toute sorte de discrimination en politique, la Loi n</w:t>
      </w:r>
      <w:r w:rsidR="00D13DEE" w:rsidRPr="0017665A">
        <w:rPr>
          <w:vertAlign w:val="superscript"/>
          <w:lang w:val="fr-FR"/>
        </w:rPr>
        <w:t>o</w:t>
      </w:r>
      <w:r w:rsidR="00D13DEE">
        <w:rPr>
          <w:lang w:val="fr-FR"/>
        </w:rPr>
        <w:t> </w:t>
      </w:r>
      <w:r w:rsidR="004306F2" w:rsidRPr="002E4295">
        <w:rPr>
          <w:lang w:val="fr-FR"/>
        </w:rPr>
        <w:t>2012/01 du 19 avril 2012 portant Code électoral impose la prise en compte de toutes les composantes sociologiques et du genre dans la constitution des listes électorales lors des scrutins législatifs ou municipaux.</w:t>
      </w:r>
    </w:p>
    <w:p w:rsidR="004306F2" w:rsidRPr="00D13DEE" w:rsidRDefault="00270BF3" w:rsidP="00270BF3">
      <w:pPr>
        <w:pStyle w:val="SingleTxtG"/>
        <w:rPr>
          <w:lang w:val="fr-FR"/>
        </w:rPr>
      </w:pPr>
      <w:r w:rsidRPr="00D13DEE">
        <w:rPr>
          <w:lang w:val="fr-FR"/>
        </w:rPr>
        <w:t>25.</w:t>
      </w:r>
      <w:r w:rsidRPr="00D13DEE">
        <w:rPr>
          <w:lang w:val="fr-FR"/>
        </w:rPr>
        <w:tab/>
      </w:r>
      <w:r w:rsidR="004306F2" w:rsidRPr="002E4295">
        <w:rPr>
          <w:bCs/>
          <w:lang w:val="fr-FR"/>
        </w:rPr>
        <w:t>En</w:t>
      </w:r>
      <w:r w:rsidR="004306F2" w:rsidRPr="002E4295">
        <w:rPr>
          <w:lang w:val="fr-FR"/>
        </w:rPr>
        <w:t xml:space="preserve"> plus, la Loi </w:t>
      </w:r>
      <w:r w:rsidR="00D13DEE" w:rsidRPr="002E4295">
        <w:rPr>
          <w:lang w:val="fr-FR"/>
        </w:rPr>
        <w:t>n</w:t>
      </w:r>
      <w:r w:rsidR="00D13DEE" w:rsidRPr="00D6478B">
        <w:rPr>
          <w:vertAlign w:val="superscript"/>
          <w:lang w:val="fr-FR"/>
        </w:rPr>
        <w:t>o</w:t>
      </w:r>
      <w:r w:rsidR="00D13DEE">
        <w:rPr>
          <w:lang w:val="fr-FR"/>
        </w:rPr>
        <w:t> </w:t>
      </w:r>
      <w:r w:rsidR="004306F2" w:rsidRPr="002E4295">
        <w:rPr>
          <w:lang w:val="fr-FR"/>
        </w:rPr>
        <w:t>2010/002 du 13 avril 2010 portant protection et promotion des personnes handicapées en son article 38 alinéa 3 dispose</w:t>
      </w:r>
      <w:r w:rsidR="00DA0404">
        <w:rPr>
          <w:lang w:val="fr-FR"/>
        </w:rPr>
        <w:t> :</w:t>
      </w:r>
      <w:r w:rsidR="00F96E1A">
        <w:rPr>
          <w:lang w:val="fr-FR"/>
        </w:rPr>
        <w:t xml:space="preserve"> </w:t>
      </w:r>
      <w:r w:rsidR="00F96E1A" w:rsidRPr="0017665A">
        <w:rPr>
          <w:lang w:val="fr-FR"/>
        </w:rPr>
        <w:t>«</w:t>
      </w:r>
      <w:r w:rsidR="00D13DEE">
        <w:rPr>
          <w:lang w:val="fr-FR"/>
        </w:rPr>
        <w:t> </w:t>
      </w:r>
      <w:r w:rsidR="00F96E1A" w:rsidRPr="0017665A">
        <w:rPr>
          <w:lang w:val="fr-FR"/>
        </w:rPr>
        <w:t>En</w:t>
      </w:r>
      <w:r w:rsidR="004306F2" w:rsidRPr="0017665A">
        <w:rPr>
          <w:lang w:val="fr-FR"/>
        </w:rPr>
        <w:t xml:space="preserve"> aucun cas, le handicap ne peut constituer un motif de rejet de leur </w:t>
      </w:r>
      <w:r w:rsidR="004306F2" w:rsidRPr="00D13DEE">
        <w:rPr>
          <w:rStyle w:val="SingleTxtGChar"/>
          <w:lang w:val="fr-FR"/>
        </w:rPr>
        <w:t>candidature</w:t>
      </w:r>
      <w:r w:rsidR="00A2149A" w:rsidRPr="0017665A">
        <w:rPr>
          <w:lang w:val="fr-FR"/>
        </w:rPr>
        <w:t xml:space="preserve"> ou de </w:t>
      </w:r>
      <w:r w:rsidR="00F96E1A" w:rsidRPr="0017665A">
        <w:rPr>
          <w:lang w:val="fr-FR"/>
        </w:rPr>
        <w:t>discrimination</w:t>
      </w:r>
      <w:r w:rsidR="00D13DEE">
        <w:rPr>
          <w:lang w:val="fr-FR"/>
        </w:rPr>
        <w:t> </w:t>
      </w:r>
      <w:r w:rsidR="00F96E1A" w:rsidRPr="0017665A">
        <w:rPr>
          <w:lang w:val="fr-FR"/>
        </w:rPr>
        <w:t>»</w:t>
      </w:r>
      <w:r w:rsidR="00D31C3D" w:rsidRPr="0017665A">
        <w:rPr>
          <w:lang w:val="fr-FR"/>
        </w:rPr>
        <w:t>.</w:t>
      </w:r>
    </w:p>
    <w:p w:rsidR="004306F2" w:rsidRDefault="00270BF3" w:rsidP="00270BF3">
      <w:pPr>
        <w:pStyle w:val="SingleTxtG"/>
        <w:rPr>
          <w:lang w:val="fr-FR"/>
        </w:rPr>
      </w:pPr>
      <w:r>
        <w:rPr>
          <w:lang w:val="fr-FR"/>
        </w:rPr>
        <w:t>26.</w:t>
      </w:r>
      <w:r>
        <w:rPr>
          <w:lang w:val="fr-FR"/>
        </w:rPr>
        <w:tab/>
      </w:r>
      <w:r w:rsidR="004306F2" w:rsidRPr="002E4295">
        <w:rPr>
          <w:lang w:val="fr-FR"/>
        </w:rPr>
        <w:t xml:space="preserve">En outre, tout article de presse </w:t>
      </w:r>
      <w:r w:rsidR="004306F2" w:rsidRPr="002E4295">
        <w:rPr>
          <w:rStyle w:val="SingleTxtGChar"/>
          <w:lang w:val="fr-FR"/>
        </w:rPr>
        <w:t>diffusant</w:t>
      </w:r>
      <w:r w:rsidR="004306F2" w:rsidRPr="002E4295">
        <w:rPr>
          <w:lang w:val="fr-FR"/>
        </w:rPr>
        <w:t xml:space="preserve"> des idées fondées sur la supériorité ou la haine raciale ou incitant à la discrimination fera l’objet de saisie et l’organe de presse d’une sanction d’interdiction qui sera prononcée par la juridiction compétente (Loi </w:t>
      </w:r>
      <w:r w:rsidR="00D13DEE" w:rsidRPr="002E4295">
        <w:rPr>
          <w:lang w:val="fr-FR"/>
        </w:rPr>
        <w:t>n</w:t>
      </w:r>
      <w:r w:rsidR="00D13DEE" w:rsidRPr="00D6478B">
        <w:rPr>
          <w:vertAlign w:val="superscript"/>
          <w:lang w:val="fr-FR"/>
        </w:rPr>
        <w:t>o</w:t>
      </w:r>
      <w:r w:rsidR="00D13DEE">
        <w:rPr>
          <w:lang w:val="fr-FR"/>
        </w:rPr>
        <w:t> </w:t>
      </w:r>
      <w:r w:rsidR="002C78C3">
        <w:rPr>
          <w:lang w:val="fr-FR"/>
        </w:rPr>
        <w:t>90/052 du 19 </w:t>
      </w:r>
      <w:r w:rsidR="004306F2" w:rsidRPr="002E4295">
        <w:rPr>
          <w:lang w:val="fr-FR"/>
        </w:rPr>
        <w:t>décembre 1990 sur la Communication sociale).</w:t>
      </w:r>
    </w:p>
    <w:p w:rsidR="0040184A" w:rsidRPr="002E4295" w:rsidRDefault="00270BF3" w:rsidP="00270BF3">
      <w:pPr>
        <w:pStyle w:val="SingleTxtG"/>
        <w:rPr>
          <w:lang w:val="fr-FR"/>
        </w:rPr>
      </w:pPr>
      <w:r w:rsidRPr="002E4295">
        <w:rPr>
          <w:lang w:val="fr-FR"/>
        </w:rPr>
        <w:lastRenderedPageBreak/>
        <w:t>27.</w:t>
      </w:r>
      <w:r w:rsidRPr="002E4295">
        <w:rPr>
          <w:lang w:val="fr-FR"/>
        </w:rPr>
        <w:tab/>
      </w:r>
      <w:r w:rsidR="0040184A" w:rsidRPr="002E4295">
        <w:rPr>
          <w:lang w:val="fr-FR"/>
        </w:rPr>
        <w:t>De même, une disposition pénale antidiscriminatoire globale a été adoptée dans le CP qui</w:t>
      </w:r>
      <w:r w:rsidR="0040184A">
        <w:rPr>
          <w:lang w:val="fr-FR"/>
        </w:rPr>
        <w:t>, en son article 242 intitulé</w:t>
      </w:r>
      <w:r w:rsidR="00F96E1A">
        <w:rPr>
          <w:lang w:val="fr-FR"/>
        </w:rPr>
        <w:t xml:space="preserve"> «</w:t>
      </w:r>
      <w:r w:rsidR="00D13DEE">
        <w:rPr>
          <w:rStyle w:val="SingleTxtGChar"/>
          <w:lang w:val="fr-FR"/>
        </w:rPr>
        <w:t> </w:t>
      </w:r>
      <w:r w:rsidR="00F96E1A" w:rsidRPr="002E4295">
        <w:rPr>
          <w:rStyle w:val="SingleTxtGChar"/>
          <w:lang w:val="fr-FR"/>
        </w:rPr>
        <w:t>Discrimination</w:t>
      </w:r>
      <w:r w:rsidR="00D13DEE">
        <w:rPr>
          <w:lang w:val="fr-FR"/>
        </w:rPr>
        <w:t> </w:t>
      </w:r>
      <w:r w:rsidR="00F96E1A" w:rsidRPr="002E4295">
        <w:rPr>
          <w:lang w:val="fr-FR"/>
        </w:rPr>
        <w:t>»</w:t>
      </w:r>
      <w:r w:rsidR="0040184A" w:rsidRPr="002E4295">
        <w:rPr>
          <w:lang w:val="fr-FR"/>
        </w:rPr>
        <w:t xml:space="preserve">, incrimine la plupart des </w:t>
      </w:r>
      <w:r w:rsidR="0040184A" w:rsidRPr="00F16436">
        <w:rPr>
          <w:lang w:val="fr-FR"/>
        </w:rPr>
        <w:t>motifs</w:t>
      </w:r>
      <w:r w:rsidR="0040184A" w:rsidRPr="002E4295">
        <w:rPr>
          <w:lang w:val="fr-FR"/>
        </w:rPr>
        <w:t xml:space="preserve"> de discrimination visés par le Pacte, tout en introduisant une innovation, à savoir la discriminatio</w:t>
      </w:r>
      <w:r w:rsidR="0040184A">
        <w:rPr>
          <w:lang w:val="fr-FR"/>
        </w:rPr>
        <w:t>n fondée sur le statut médical.</w:t>
      </w:r>
    </w:p>
    <w:p w:rsidR="004306F2" w:rsidRPr="002E4295" w:rsidRDefault="00270BF3" w:rsidP="00270BF3">
      <w:pPr>
        <w:pStyle w:val="SingleTxtG"/>
        <w:rPr>
          <w:lang w:val="fr-FR"/>
        </w:rPr>
      </w:pPr>
      <w:r w:rsidRPr="002E4295">
        <w:rPr>
          <w:lang w:val="fr-FR"/>
        </w:rPr>
        <w:t>28.</w:t>
      </w:r>
      <w:r w:rsidRPr="002E4295">
        <w:rPr>
          <w:lang w:val="fr-FR"/>
        </w:rPr>
        <w:tab/>
      </w:r>
      <w:r w:rsidR="004306F2" w:rsidRPr="002E4295">
        <w:rPr>
          <w:lang w:val="fr-FR"/>
        </w:rPr>
        <w:t xml:space="preserve">Dans la même logique, l’article </w:t>
      </w:r>
      <w:r w:rsidR="004306F2" w:rsidRPr="002E4295">
        <w:rPr>
          <w:rStyle w:val="SingleTxtGChar"/>
          <w:lang w:val="fr-FR"/>
        </w:rPr>
        <w:t>241</w:t>
      </w:r>
      <w:r w:rsidR="00A2149A">
        <w:rPr>
          <w:lang w:val="fr-FR"/>
        </w:rPr>
        <w:t xml:space="preserve"> intitulé</w:t>
      </w:r>
      <w:r w:rsidR="00F96E1A">
        <w:rPr>
          <w:lang w:val="fr-FR"/>
        </w:rPr>
        <w:t xml:space="preserve"> </w:t>
      </w:r>
      <w:r w:rsidR="00F96E1A" w:rsidRPr="00D13DEE">
        <w:rPr>
          <w:lang w:val="fr-FR"/>
        </w:rPr>
        <w:t>«</w:t>
      </w:r>
      <w:r w:rsidR="00D13DEE">
        <w:rPr>
          <w:lang w:val="fr-FR"/>
        </w:rPr>
        <w:t> </w:t>
      </w:r>
      <w:r w:rsidR="00006EF1">
        <w:rPr>
          <w:lang w:val="fr-FR"/>
        </w:rPr>
        <w:t>O</w:t>
      </w:r>
      <w:r w:rsidR="00F96E1A" w:rsidRPr="0017665A">
        <w:rPr>
          <w:lang w:val="fr-FR"/>
        </w:rPr>
        <w:t>utrage</w:t>
      </w:r>
      <w:r w:rsidR="004306F2" w:rsidRPr="0017665A">
        <w:rPr>
          <w:lang w:val="fr-FR"/>
        </w:rPr>
        <w:t xml:space="preserve"> aux races et aux </w:t>
      </w:r>
      <w:r w:rsidR="00F96E1A" w:rsidRPr="0017665A">
        <w:rPr>
          <w:lang w:val="fr-FR"/>
        </w:rPr>
        <w:t>religions</w:t>
      </w:r>
      <w:r w:rsidR="00D13DEE">
        <w:rPr>
          <w:lang w:val="fr-FR"/>
        </w:rPr>
        <w:t> </w:t>
      </w:r>
      <w:r w:rsidR="00F96E1A" w:rsidRPr="002E4295">
        <w:rPr>
          <w:lang w:val="fr-FR"/>
        </w:rPr>
        <w:t>»</w:t>
      </w:r>
      <w:r w:rsidR="004306F2" w:rsidRPr="002E4295">
        <w:rPr>
          <w:lang w:val="fr-FR"/>
        </w:rPr>
        <w:t xml:space="preserve">, est plus sectoriel et punit celui qui commet un outrage tel que défini à l’article 152 à l’encontre d’une race ou d’une religion à laquelle appartiennent plusieurs citoyens ou résidents. </w:t>
      </w:r>
    </w:p>
    <w:p w:rsidR="004306F2" w:rsidRPr="0017665A" w:rsidRDefault="00B4646F" w:rsidP="0017665A">
      <w:pPr>
        <w:pStyle w:val="HChG"/>
      </w:pPr>
      <w:bookmarkStart w:id="10" w:name="_Toc466897329"/>
      <w:r>
        <w:rPr>
          <w:lang w:val="fr-FR"/>
        </w:rPr>
        <w:tab/>
        <w:t>VI.</w:t>
      </w:r>
      <w:r>
        <w:rPr>
          <w:lang w:val="fr-FR"/>
        </w:rPr>
        <w:tab/>
      </w:r>
      <w:r w:rsidR="004306F2" w:rsidRPr="002E4295">
        <w:rPr>
          <w:lang w:val="fr-FR"/>
        </w:rPr>
        <w:t>R</w:t>
      </w:r>
      <w:r w:rsidR="001103BE" w:rsidRPr="002E4295">
        <w:rPr>
          <w:lang w:val="fr-FR"/>
        </w:rPr>
        <w:t>ec.</w:t>
      </w:r>
      <w:r>
        <w:rPr>
          <w:lang w:val="fr-FR"/>
        </w:rPr>
        <w:t> </w:t>
      </w:r>
      <w:r w:rsidR="004306F2" w:rsidRPr="002E4295">
        <w:rPr>
          <w:lang w:val="fr-FR"/>
        </w:rPr>
        <w:t>11</w:t>
      </w:r>
      <w:r w:rsidR="001103BE" w:rsidRPr="002E4295">
        <w:rPr>
          <w:lang w:val="fr-FR"/>
        </w:rPr>
        <w:t>.</w:t>
      </w:r>
      <w:r w:rsidR="00FB7ADC">
        <w:rPr>
          <w:lang w:val="fr-FR"/>
        </w:rPr>
        <w:t> </w:t>
      </w:r>
      <w:r w:rsidR="004306F2" w:rsidRPr="002E4295">
        <w:rPr>
          <w:lang w:val="fr-FR"/>
        </w:rPr>
        <w:t>Jouissance des droits économiques, sociaux et culturels en faveur des populations autochtones</w:t>
      </w:r>
      <w:bookmarkEnd w:id="10"/>
    </w:p>
    <w:p w:rsidR="004306F2" w:rsidRPr="002E4295" w:rsidRDefault="009E44DD" w:rsidP="009E44DD">
      <w:pPr>
        <w:pStyle w:val="H1G"/>
        <w:rPr>
          <w:lang w:val="fr-FR"/>
        </w:rPr>
      </w:pPr>
      <w:bookmarkStart w:id="11" w:name="_Toc466897330"/>
      <w:r>
        <w:rPr>
          <w:lang w:val="fr-FR"/>
        </w:rPr>
        <w:tab/>
        <w:t>A.</w:t>
      </w:r>
      <w:r>
        <w:rPr>
          <w:lang w:val="fr-FR"/>
        </w:rPr>
        <w:tab/>
      </w:r>
      <w:r w:rsidR="004306F2" w:rsidRPr="002E4295">
        <w:rPr>
          <w:lang w:val="fr-FR"/>
        </w:rPr>
        <w:t>Adoption d</w:t>
      </w:r>
      <w:r w:rsidR="006A57AD">
        <w:rPr>
          <w:lang w:val="fr-FR"/>
        </w:rPr>
        <w:t>’</w:t>
      </w:r>
      <w:r w:rsidR="004306F2" w:rsidRPr="002E4295">
        <w:rPr>
          <w:lang w:val="fr-FR"/>
        </w:rPr>
        <w:t>une politique globale et cohérente pour promouvoir le droit des populations autochtones à un niveau de vie suffisant</w:t>
      </w:r>
      <w:bookmarkEnd w:id="11"/>
    </w:p>
    <w:p w:rsidR="004306F2" w:rsidRPr="002E4295" w:rsidRDefault="00270BF3" w:rsidP="00270BF3">
      <w:pPr>
        <w:pStyle w:val="SingleTxtG"/>
        <w:rPr>
          <w:lang w:val="fr-FR"/>
        </w:rPr>
      </w:pPr>
      <w:r w:rsidRPr="002E4295">
        <w:rPr>
          <w:lang w:val="fr-FR"/>
        </w:rPr>
        <w:t>29.</w:t>
      </w:r>
      <w:r w:rsidRPr="002E4295">
        <w:rPr>
          <w:lang w:val="fr-FR"/>
        </w:rPr>
        <w:tab/>
      </w:r>
      <w:r w:rsidR="004306F2" w:rsidRPr="002E4295">
        <w:rPr>
          <w:lang w:val="fr-FR"/>
        </w:rPr>
        <w:t>Afin de garantir les droits des populations autochtones (</w:t>
      </w:r>
      <w:proofErr w:type="spellStart"/>
      <w:r w:rsidR="004306F2" w:rsidRPr="002E4295">
        <w:rPr>
          <w:lang w:val="fr-FR"/>
        </w:rPr>
        <w:t>Bakas</w:t>
      </w:r>
      <w:proofErr w:type="spellEnd"/>
      <w:r w:rsidR="004306F2" w:rsidRPr="002E4295">
        <w:rPr>
          <w:lang w:val="fr-FR"/>
        </w:rPr>
        <w:t>) à un niveau de vie suffisant au cours de la période considérée, le Gouvernement et ses partenaires ont initié des programmes spéciaux visant le renforcement des capacités, le financement des activités génératrices de revenus et l’élaboration d’un Plan de Développement pour les Pygmées.</w:t>
      </w:r>
    </w:p>
    <w:p w:rsidR="004306F2" w:rsidRPr="002E4295" w:rsidRDefault="00270BF3" w:rsidP="00270BF3">
      <w:pPr>
        <w:pStyle w:val="SingleTxtG"/>
        <w:rPr>
          <w:lang w:val="fr-FR"/>
        </w:rPr>
      </w:pPr>
      <w:r w:rsidRPr="002E4295">
        <w:rPr>
          <w:lang w:val="fr-FR"/>
        </w:rPr>
        <w:t>30.</w:t>
      </w:r>
      <w:r w:rsidRPr="002E4295">
        <w:rPr>
          <w:lang w:val="fr-FR"/>
        </w:rPr>
        <w:tab/>
      </w:r>
      <w:r w:rsidR="004306F2" w:rsidRPr="002E4295">
        <w:rPr>
          <w:lang w:val="fr-FR"/>
        </w:rPr>
        <w:t xml:space="preserve">Dans le cadre de grands projets de construction dans les zones habitées par les populations autochtones, le Gouvernement a élaboré des programmes pour le développement socio-économique de ces personnes. Par </w:t>
      </w:r>
      <w:r w:rsidR="004306F2" w:rsidRPr="002E4295">
        <w:rPr>
          <w:rStyle w:val="SingleTxtGChar"/>
          <w:lang w:val="fr-FR"/>
        </w:rPr>
        <w:t>exemple</w:t>
      </w:r>
      <w:r w:rsidR="004306F2" w:rsidRPr="002E4295">
        <w:rPr>
          <w:lang w:val="fr-FR"/>
        </w:rPr>
        <w:t>, le PACA signé entre le MINAS, le Ministère de l</w:t>
      </w:r>
      <w:r w:rsidR="006A57AD">
        <w:rPr>
          <w:lang w:val="fr-FR"/>
        </w:rPr>
        <w:t>’</w:t>
      </w:r>
      <w:r w:rsidR="004306F2" w:rsidRPr="002E4295">
        <w:rPr>
          <w:lang w:val="fr-FR"/>
        </w:rPr>
        <w:t>Agriculture et du Développement Rural (MINADER) et le Ministère de l</w:t>
      </w:r>
      <w:r w:rsidR="006A57AD">
        <w:rPr>
          <w:lang w:val="fr-FR"/>
        </w:rPr>
        <w:t>’</w:t>
      </w:r>
      <w:r w:rsidR="004306F2" w:rsidRPr="002E4295">
        <w:rPr>
          <w:lang w:val="fr-FR"/>
        </w:rPr>
        <w:t>Elevage, des Pêches et des Industries Animales (MINEPIA) visait à renforcer les capacités intergénérationnelles de production des peuples autochtones dans le secteur agro-pastoral ainsi qu’à augmenter leurs revenus en leur permettant ainsi d</w:t>
      </w:r>
      <w:r w:rsidR="006A57AD">
        <w:rPr>
          <w:lang w:val="fr-FR"/>
        </w:rPr>
        <w:t>’</w:t>
      </w:r>
      <w:r w:rsidR="004306F2" w:rsidRPr="002E4295">
        <w:rPr>
          <w:lang w:val="fr-FR"/>
        </w:rPr>
        <w:t>apporter leur propre quota à la croissance nationale. Il s’agissait d’un programme de 5 000 000 000 FCFA</w:t>
      </w:r>
      <w:r w:rsidR="004306F2" w:rsidRPr="00E153AE">
        <w:rPr>
          <w:rStyle w:val="Appelnotedebasdep"/>
        </w:rPr>
        <w:footnoteReference w:id="27"/>
      </w:r>
      <w:r w:rsidR="004306F2" w:rsidRPr="002E4295">
        <w:rPr>
          <w:lang w:val="fr-FR"/>
        </w:rPr>
        <w:t xml:space="preserve"> qui couvrait la période 2013/2015, le résultat étant le </w:t>
      </w:r>
      <w:r w:rsidR="004306F2" w:rsidRPr="002E4295">
        <w:rPr>
          <w:rStyle w:val="SingleTxtGChar"/>
          <w:lang w:val="fr-FR"/>
        </w:rPr>
        <w:t>financement</w:t>
      </w:r>
      <w:r w:rsidR="004306F2" w:rsidRPr="002E4295">
        <w:rPr>
          <w:lang w:val="fr-FR"/>
        </w:rPr>
        <w:t xml:space="preserve"> des activités génératrices de revenus pour les populations autochtones qui les ont rendues autonomes.</w:t>
      </w:r>
    </w:p>
    <w:p w:rsidR="004306F2" w:rsidRPr="002E4295" w:rsidRDefault="00270BF3" w:rsidP="00270BF3">
      <w:pPr>
        <w:pStyle w:val="SingleTxtG"/>
        <w:rPr>
          <w:lang w:val="fr-FR" w:eastAsia="fr-FR"/>
        </w:rPr>
      </w:pPr>
      <w:r w:rsidRPr="002E4295">
        <w:rPr>
          <w:lang w:val="fr-FR" w:eastAsia="fr-FR"/>
        </w:rPr>
        <w:t>31.</w:t>
      </w:r>
      <w:r w:rsidRPr="002E4295">
        <w:rPr>
          <w:lang w:val="fr-FR" w:eastAsia="fr-FR"/>
        </w:rPr>
        <w:tab/>
      </w:r>
      <w:r w:rsidR="004306F2" w:rsidRPr="002E4295">
        <w:rPr>
          <w:lang w:val="fr-FR"/>
        </w:rPr>
        <w:t xml:space="preserve">Dans le cadre du PACA, 10 hectares de terrain ont été acquis en faveur des leaders Pygmées identifiés pour les cultures vivrières. En outre, plus de financement a été accordé à 36 groupes afin que soient mis en place </w:t>
      </w:r>
      <w:r w:rsidR="004306F2" w:rsidRPr="002E4295">
        <w:rPr>
          <w:lang w:val="fr-FR" w:eastAsia="fr-FR"/>
        </w:rPr>
        <w:t>des projets d</w:t>
      </w:r>
      <w:r w:rsidR="006A57AD">
        <w:rPr>
          <w:lang w:val="fr-FR" w:eastAsia="fr-FR"/>
        </w:rPr>
        <w:t>’</w:t>
      </w:r>
      <w:r w:rsidR="004306F2" w:rsidRPr="002E4295">
        <w:rPr>
          <w:lang w:val="fr-FR" w:eastAsia="fr-FR"/>
        </w:rPr>
        <w:t>agriculture et d</w:t>
      </w:r>
      <w:r w:rsidR="006A57AD">
        <w:rPr>
          <w:lang w:val="fr-FR" w:eastAsia="fr-FR"/>
        </w:rPr>
        <w:t>’</w:t>
      </w:r>
      <w:r w:rsidR="004306F2" w:rsidRPr="002E4295">
        <w:rPr>
          <w:lang w:val="fr-FR" w:eastAsia="fr-FR"/>
        </w:rPr>
        <w:t>élevage.</w:t>
      </w:r>
    </w:p>
    <w:p w:rsidR="004306F2" w:rsidRPr="002E4295" w:rsidRDefault="009E44DD" w:rsidP="009E44DD">
      <w:pPr>
        <w:pStyle w:val="H1G"/>
        <w:rPr>
          <w:lang w:val="fr-FR"/>
        </w:rPr>
      </w:pPr>
      <w:bookmarkStart w:id="12" w:name="_Toc466897331"/>
      <w:r>
        <w:rPr>
          <w:lang w:val="fr-FR"/>
        </w:rPr>
        <w:tab/>
        <w:t>B.</w:t>
      </w:r>
      <w:r>
        <w:rPr>
          <w:lang w:val="fr-FR"/>
        </w:rPr>
        <w:tab/>
      </w:r>
      <w:r w:rsidR="004306F2" w:rsidRPr="002E4295">
        <w:rPr>
          <w:lang w:val="fr-FR"/>
        </w:rPr>
        <w:t>Garantie des droits économiques, sociaux et culture</w:t>
      </w:r>
      <w:r w:rsidR="002251C4">
        <w:rPr>
          <w:lang w:val="fr-FR"/>
        </w:rPr>
        <w:t>l</w:t>
      </w:r>
      <w:r w:rsidR="004306F2" w:rsidRPr="002E4295">
        <w:rPr>
          <w:lang w:val="fr-FR"/>
        </w:rPr>
        <w:t>s des populations autochtones lors de la mise en œuvre des Grands Projets</w:t>
      </w:r>
      <w:r w:rsidR="00D13DEE">
        <w:rPr>
          <w:lang w:val="fr-FR"/>
        </w:rPr>
        <w:t xml:space="preserve"> </w:t>
      </w:r>
      <w:r w:rsidR="004306F2" w:rsidRPr="002E4295">
        <w:rPr>
          <w:lang w:val="fr-FR"/>
        </w:rPr>
        <w:t>compris dans</w:t>
      </w:r>
      <w:r w:rsidR="002251C4">
        <w:rPr>
          <w:lang w:val="fr-FR"/>
        </w:rPr>
        <w:t> </w:t>
      </w:r>
      <w:r w:rsidR="004306F2" w:rsidRPr="002E4295">
        <w:rPr>
          <w:lang w:val="fr-FR"/>
        </w:rPr>
        <w:t>le DSCE</w:t>
      </w:r>
      <w:bookmarkEnd w:id="12"/>
    </w:p>
    <w:p w:rsidR="000D5D3E" w:rsidRPr="002E4295" w:rsidRDefault="00270BF3" w:rsidP="00270BF3">
      <w:pPr>
        <w:pStyle w:val="SingleTxtG"/>
        <w:rPr>
          <w:lang w:val="fr-FR"/>
        </w:rPr>
      </w:pPr>
      <w:r w:rsidRPr="002E4295">
        <w:rPr>
          <w:lang w:val="fr-FR"/>
        </w:rPr>
        <w:t>32.</w:t>
      </w:r>
      <w:r w:rsidRPr="002E4295">
        <w:rPr>
          <w:lang w:val="fr-FR"/>
        </w:rPr>
        <w:tab/>
      </w:r>
      <w:r w:rsidR="004306F2" w:rsidRPr="002E4295">
        <w:rPr>
          <w:lang w:val="fr-FR"/>
        </w:rPr>
        <w:t>Une étude d</w:t>
      </w:r>
      <w:r w:rsidR="006A57AD">
        <w:rPr>
          <w:lang w:val="fr-FR"/>
        </w:rPr>
        <w:t>’</w:t>
      </w:r>
      <w:r w:rsidR="004306F2" w:rsidRPr="002E4295">
        <w:rPr>
          <w:lang w:val="fr-FR"/>
        </w:rPr>
        <w:t xml:space="preserve">impact socio-environnemental est toujours effectuée avant l’exécution de tout projet de développement, en particulier dans les zones </w:t>
      </w:r>
      <w:r w:rsidR="004306F2" w:rsidRPr="00F16436">
        <w:rPr>
          <w:lang w:val="fr-FR"/>
        </w:rPr>
        <w:t>forestières</w:t>
      </w:r>
      <w:r w:rsidR="004306F2" w:rsidRPr="002E4295">
        <w:rPr>
          <w:lang w:val="fr-FR"/>
        </w:rPr>
        <w:t xml:space="preserve"> habitées par les populations autochtones (pygmées </w:t>
      </w:r>
      <w:proofErr w:type="spellStart"/>
      <w:r w:rsidR="004306F2" w:rsidRPr="002E4295">
        <w:rPr>
          <w:lang w:val="fr-FR"/>
        </w:rPr>
        <w:t>Baka</w:t>
      </w:r>
      <w:proofErr w:type="spellEnd"/>
      <w:r w:rsidR="004306F2" w:rsidRPr="002E4295">
        <w:rPr>
          <w:lang w:val="fr-FR"/>
        </w:rPr>
        <w:t>). Elle est réalisée dans le but d’évaluer l</w:t>
      </w:r>
      <w:r w:rsidR="006A57AD">
        <w:rPr>
          <w:lang w:val="fr-FR"/>
        </w:rPr>
        <w:t>’</w:t>
      </w:r>
      <w:r w:rsidR="004306F2" w:rsidRPr="002E4295">
        <w:rPr>
          <w:lang w:val="fr-FR"/>
        </w:rPr>
        <w:t xml:space="preserve">effet du projet sur l’environnement, les ressources naturelles et la vie socioculturelle de la population. Le Projet de Fer de </w:t>
      </w:r>
      <w:proofErr w:type="spellStart"/>
      <w:r w:rsidR="004306F2" w:rsidRPr="002E4295">
        <w:rPr>
          <w:lang w:val="fr-FR"/>
        </w:rPr>
        <w:t>Mbalam</w:t>
      </w:r>
      <w:proofErr w:type="spellEnd"/>
      <w:r w:rsidR="004306F2" w:rsidRPr="002E4295">
        <w:rPr>
          <w:lang w:val="fr-FR"/>
        </w:rPr>
        <w:t xml:space="preserve"> exécuté par CAMIRON en est une illustration. CAMIRON a fait un Plan pour les Peuples Autochtones (PPA) qui a défini la stratégie pour protéger la culture et les moyens de subsistance des populations autochtones (pygmées </w:t>
      </w:r>
      <w:proofErr w:type="spellStart"/>
      <w:r w:rsidR="004306F2" w:rsidRPr="002E4295">
        <w:rPr>
          <w:lang w:val="fr-FR"/>
        </w:rPr>
        <w:t>Baka</w:t>
      </w:r>
      <w:proofErr w:type="spellEnd"/>
      <w:r w:rsidR="004306F2" w:rsidRPr="002E4295">
        <w:rPr>
          <w:lang w:val="fr-FR"/>
        </w:rPr>
        <w:t>) dans les zones de Projet. Le PPA a donc,</w:t>
      </w:r>
      <w:r w:rsidR="000D5D3E" w:rsidRPr="002E4295">
        <w:rPr>
          <w:lang w:val="fr-FR"/>
        </w:rPr>
        <w:t xml:space="preserve"> entre autres, pour objectif de</w:t>
      </w:r>
      <w:r w:rsidR="00DA0404">
        <w:rPr>
          <w:lang w:val="fr-FR"/>
        </w:rPr>
        <w:t> :</w:t>
      </w:r>
    </w:p>
    <w:p w:rsidR="004306F2" w:rsidRPr="002E4295" w:rsidRDefault="00270BF3" w:rsidP="00270BF3">
      <w:pPr>
        <w:pStyle w:val="Bullet1G"/>
        <w:numPr>
          <w:ilvl w:val="0"/>
          <w:numId w:val="0"/>
        </w:numPr>
        <w:tabs>
          <w:tab w:val="left" w:pos="1701"/>
        </w:tabs>
        <w:ind w:left="1701" w:hanging="170"/>
        <w:rPr>
          <w:lang w:val="fr-FR"/>
        </w:rPr>
      </w:pPr>
      <w:r w:rsidRPr="002E4295">
        <w:rPr>
          <w:lang w:val="fr-FR"/>
        </w:rPr>
        <w:t>•</w:t>
      </w:r>
      <w:r w:rsidRPr="002E4295">
        <w:rPr>
          <w:lang w:val="fr-FR"/>
        </w:rPr>
        <w:tab/>
      </w:r>
      <w:r w:rsidR="00D13DEE" w:rsidRPr="002E4295">
        <w:rPr>
          <w:lang w:val="fr-FR"/>
        </w:rPr>
        <w:t xml:space="preserve">Procéder </w:t>
      </w:r>
      <w:r w:rsidR="004306F2" w:rsidRPr="002E4295">
        <w:rPr>
          <w:lang w:val="fr-FR"/>
        </w:rPr>
        <w:t>à un inventaire des ressources foncières et forestières des populations autochtones afin qu</w:t>
      </w:r>
      <w:r w:rsidR="006A57AD">
        <w:rPr>
          <w:lang w:val="fr-FR"/>
        </w:rPr>
        <w:t>’</w:t>
      </w:r>
      <w:r w:rsidR="004306F2" w:rsidRPr="002E4295">
        <w:rPr>
          <w:lang w:val="fr-FR"/>
        </w:rPr>
        <w:t>elles puissent y avoir un accès à long terme</w:t>
      </w:r>
      <w:r w:rsidR="00DA0404">
        <w:rPr>
          <w:lang w:val="fr-FR"/>
        </w:rPr>
        <w:t> ;</w:t>
      </w:r>
    </w:p>
    <w:p w:rsidR="000D5D3E" w:rsidRPr="002E4295" w:rsidRDefault="00270BF3" w:rsidP="00270BF3">
      <w:pPr>
        <w:pStyle w:val="Bullet1G"/>
        <w:numPr>
          <w:ilvl w:val="0"/>
          <w:numId w:val="0"/>
        </w:numPr>
        <w:tabs>
          <w:tab w:val="left" w:pos="1701"/>
        </w:tabs>
        <w:ind w:left="1701" w:hanging="170"/>
        <w:rPr>
          <w:lang w:val="fr-FR"/>
        </w:rPr>
      </w:pPr>
      <w:r w:rsidRPr="002E4295">
        <w:rPr>
          <w:lang w:val="fr-FR"/>
        </w:rPr>
        <w:t>•</w:t>
      </w:r>
      <w:r w:rsidRPr="002E4295">
        <w:rPr>
          <w:lang w:val="fr-FR"/>
        </w:rPr>
        <w:tab/>
      </w:r>
      <w:r w:rsidR="00D13DEE" w:rsidRPr="002E4295">
        <w:rPr>
          <w:lang w:val="fr-FR"/>
        </w:rPr>
        <w:t xml:space="preserve">Veiller </w:t>
      </w:r>
      <w:r w:rsidR="004306F2" w:rsidRPr="002E4295">
        <w:rPr>
          <w:lang w:val="fr-FR"/>
        </w:rPr>
        <w:t>à ce que le PPA tienne compte de la sécurité alimentaire, de l</w:t>
      </w:r>
      <w:r w:rsidR="006A57AD">
        <w:rPr>
          <w:lang w:val="fr-FR"/>
        </w:rPr>
        <w:t>’</w:t>
      </w:r>
      <w:r w:rsidR="004306F2" w:rsidRPr="002E4295">
        <w:rPr>
          <w:lang w:val="fr-FR"/>
        </w:rPr>
        <w:t xml:space="preserve">éducation et de la santé des </w:t>
      </w:r>
      <w:proofErr w:type="spellStart"/>
      <w:r w:rsidR="004306F2" w:rsidRPr="002E4295">
        <w:rPr>
          <w:lang w:val="fr-FR"/>
        </w:rPr>
        <w:t>Bakas</w:t>
      </w:r>
      <w:proofErr w:type="spellEnd"/>
      <w:r w:rsidR="00DA0404">
        <w:rPr>
          <w:lang w:val="fr-FR"/>
        </w:rPr>
        <w:t> ;</w:t>
      </w:r>
    </w:p>
    <w:p w:rsidR="000D5D3E" w:rsidRPr="002E4295" w:rsidRDefault="00270BF3" w:rsidP="00270BF3">
      <w:pPr>
        <w:pStyle w:val="Bullet1G"/>
        <w:numPr>
          <w:ilvl w:val="0"/>
          <w:numId w:val="0"/>
        </w:numPr>
        <w:tabs>
          <w:tab w:val="left" w:pos="1701"/>
        </w:tabs>
        <w:ind w:left="1701" w:hanging="170"/>
        <w:rPr>
          <w:lang w:val="fr-FR"/>
        </w:rPr>
      </w:pPr>
      <w:r w:rsidRPr="002E4295">
        <w:rPr>
          <w:lang w:val="fr-FR"/>
        </w:rPr>
        <w:t>•</w:t>
      </w:r>
      <w:r w:rsidRPr="002E4295">
        <w:rPr>
          <w:lang w:val="fr-FR"/>
        </w:rPr>
        <w:tab/>
      </w:r>
      <w:r w:rsidR="00D13DEE" w:rsidRPr="002E4295">
        <w:rPr>
          <w:lang w:val="fr-FR"/>
        </w:rPr>
        <w:t xml:space="preserve">Leur </w:t>
      </w:r>
      <w:r w:rsidR="004306F2" w:rsidRPr="002E4295">
        <w:rPr>
          <w:lang w:val="fr-FR"/>
        </w:rPr>
        <w:t>donner l</w:t>
      </w:r>
      <w:r w:rsidR="006A57AD">
        <w:rPr>
          <w:lang w:val="fr-FR"/>
        </w:rPr>
        <w:t>’</w:t>
      </w:r>
      <w:r w:rsidR="004306F2" w:rsidRPr="002E4295">
        <w:rPr>
          <w:lang w:val="fr-FR"/>
        </w:rPr>
        <w:t>éducation culturelle appropriée sur le Projet en question et la gestion des ressources forestières</w:t>
      </w:r>
      <w:r w:rsidR="00DA0404">
        <w:rPr>
          <w:lang w:val="fr-FR"/>
        </w:rPr>
        <w:t> ;</w:t>
      </w:r>
    </w:p>
    <w:p w:rsidR="000D5D3E" w:rsidRPr="002E4295" w:rsidRDefault="00270BF3" w:rsidP="00270BF3">
      <w:pPr>
        <w:pStyle w:val="Bullet1G"/>
        <w:numPr>
          <w:ilvl w:val="0"/>
          <w:numId w:val="0"/>
        </w:numPr>
        <w:tabs>
          <w:tab w:val="left" w:pos="1701"/>
        </w:tabs>
        <w:ind w:left="1701" w:hanging="170"/>
        <w:rPr>
          <w:lang w:val="fr-FR"/>
        </w:rPr>
      </w:pPr>
      <w:r w:rsidRPr="002E4295">
        <w:rPr>
          <w:lang w:val="fr-FR"/>
        </w:rPr>
        <w:lastRenderedPageBreak/>
        <w:t>•</w:t>
      </w:r>
      <w:r w:rsidRPr="002E4295">
        <w:rPr>
          <w:lang w:val="fr-FR"/>
        </w:rPr>
        <w:tab/>
      </w:r>
      <w:r w:rsidR="00D13DEE" w:rsidRPr="002E4295">
        <w:rPr>
          <w:lang w:val="fr-FR"/>
        </w:rPr>
        <w:t xml:space="preserve">Maintenir </w:t>
      </w:r>
      <w:r w:rsidR="004306F2" w:rsidRPr="002E4295">
        <w:rPr>
          <w:lang w:val="fr-FR"/>
        </w:rPr>
        <w:t xml:space="preserve">une approche participative à long terme avec la communauté </w:t>
      </w:r>
      <w:proofErr w:type="spellStart"/>
      <w:r w:rsidR="004306F2" w:rsidRPr="002E4295">
        <w:rPr>
          <w:lang w:val="fr-FR"/>
        </w:rPr>
        <w:t>Baka</w:t>
      </w:r>
      <w:proofErr w:type="spellEnd"/>
      <w:r w:rsidR="004306F2" w:rsidRPr="002E4295">
        <w:rPr>
          <w:lang w:val="fr-FR"/>
        </w:rPr>
        <w:t xml:space="preserve"> pendant toute la durée du Projet et aider les populations autochtones à obtenir des permis de chasse</w:t>
      </w:r>
      <w:r w:rsidR="00DA0404">
        <w:rPr>
          <w:lang w:val="fr-FR"/>
        </w:rPr>
        <w:t> ;</w:t>
      </w:r>
      <w:r w:rsidR="004306F2" w:rsidRPr="002E4295">
        <w:rPr>
          <w:lang w:val="fr-FR"/>
        </w:rPr>
        <w:t xml:space="preserve"> et enfin</w:t>
      </w:r>
    </w:p>
    <w:p w:rsidR="004306F2" w:rsidRPr="002E4295" w:rsidRDefault="00270BF3" w:rsidP="00270BF3">
      <w:pPr>
        <w:pStyle w:val="Bullet1G"/>
        <w:numPr>
          <w:ilvl w:val="0"/>
          <w:numId w:val="0"/>
        </w:numPr>
        <w:tabs>
          <w:tab w:val="left" w:pos="1701"/>
        </w:tabs>
        <w:ind w:left="1701" w:hanging="170"/>
        <w:rPr>
          <w:lang w:val="fr-FR"/>
        </w:rPr>
      </w:pPr>
      <w:r w:rsidRPr="002E4295">
        <w:rPr>
          <w:lang w:val="fr-FR"/>
        </w:rPr>
        <w:t>•</w:t>
      </w:r>
      <w:r w:rsidRPr="002E4295">
        <w:rPr>
          <w:lang w:val="fr-FR"/>
        </w:rPr>
        <w:tab/>
      </w:r>
      <w:r w:rsidR="00D13DEE" w:rsidRPr="002E4295">
        <w:rPr>
          <w:lang w:val="fr-FR"/>
        </w:rPr>
        <w:t xml:space="preserve">Utiliser </w:t>
      </w:r>
      <w:r w:rsidR="004306F2" w:rsidRPr="002E4295">
        <w:rPr>
          <w:lang w:val="fr-FR"/>
        </w:rPr>
        <w:t>des produits forestiers non ligneux qui ne sont pas menacés d’extinction.</w:t>
      </w:r>
    </w:p>
    <w:p w:rsidR="004306F2" w:rsidRPr="0017665A" w:rsidRDefault="002251C4" w:rsidP="0017665A">
      <w:pPr>
        <w:pStyle w:val="HChG"/>
      </w:pPr>
      <w:bookmarkStart w:id="13" w:name="_Toc466897332"/>
      <w:r>
        <w:rPr>
          <w:lang w:val="fr-FR"/>
        </w:rPr>
        <w:tab/>
        <w:t>VII.</w:t>
      </w:r>
      <w:r>
        <w:rPr>
          <w:lang w:val="fr-FR"/>
        </w:rPr>
        <w:tab/>
      </w:r>
      <w:r w:rsidR="004306F2" w:rsidRPr="002E4295">
        <w:rPr>
          <w:lang w:val="fr-FR"/>
        </w:rPr>
        <w:t>R</w:t>
      </w:r>
      <w:r w:rsidR="000D5D3E" w:rsidRPr="002E4295">
        <w:rPr>
          <w:lang w:val="fr-FR"/>
        </w:rPr>
        <w:t>ec.</w:t>
      </w:r>
      <w:r>
        <w:rPr>
          <w:lang w:val="fr-FR"/>
        </w:rPr>
        <w:t> </w:t>
      </w:r>
      <w:r w:rsidR="004306F2" w:rsidRPr="002E4295">
        <w:rPr>
          <w:lang w:val="fr-FR"/>
        </w:rPr>
        <w:t>12</w:t>
      </w:r>
      <w:r w:rsidR="000D5D3E" w:rsidRPr="002E4295">
        <w:rPr>
          <w:lang w:val="fr-FR"/>
        </w:rPr>
        <w:t>.</w:t>
      </w:r>
      <w:r w:rsidR="00FB7ADC">
        <w:rPr>
          <w:lang w:val="fr-FR"/>
        </w:rPr>
        <w:t> </w:t>
      </w:r>
      <w:r w:rsidR="004306F2" w:rsidRPr="002E4295">
        <w:rPr>
          <w:lang w:val="fr-FR"/>
        </w:rPr>
        <w:t>Intégration des personnes handicapées dans</w:t>
      </w:r>
      <w:r w:rsidR="00D13DEE">
        <w:rPr>
          <w:lang w:val="fr-FR"/>
        </w:rPr>
        <w:t> </w:t>
      </w:r>
      <w:r w:rsidR="004306F2" w:rsidRPr="002E4295">
        <w:rPr>
          <w:lang w:val="fr-FR"/>
        </w:rPr>
        <w:t>l’éducation et sur le marché du travail</w:t>
      </w:r>
      <w:bookmarkEnd w:id="13"/>
    </w:p>
    <w:p w:rsidR="004306F2" w:rsidRPr="002E4295" w:rsidRDefault="00270BF3" w:rsidP="00270BF3">
      <w:pPr>
        <w:pStyle w:val="SingleTxtG"/>
        <w:rPr>
          <w:lang w:val="fr-FR"/>
        </w:rPr>
      </w:pPr>
      <w:r w:rsidRPr="002E4295">
        <w:rPr>
          <w:lang w:val="fr-FR"/>
        </w:rPr>
        <w:t>33.</w:t>
      </w:r>
      <w:r w:rsidRPr="002E4295">
        <w:rPr>
          <w:lang w:val="fr-FR"/>
        </w:rPr>
        <w:tab/>
      </w:r>
      <w:r w:rsidR="004306F2" w:rsidRPr="002E4295">
        <w:rPr>
          <w:lang w:val="fr-FR"/>
        </w:rPr>
        <w:t>Au terme du 3</w:t>
      </w:r>
      <w:r w:rsidR="004306F2" w:rsidRPr="002E4295">
        <w:rPr>
          <w:vertAlign w:val="superscript"/>
          <w:lang w:val="fr-FR"/>
        </w:rPr>
        <w:t>ème</w:t>
      </w:r>
      <w:r w:rsidR="004306F2" w:rsidRPr="002E4295">
        <w:rPr>
          <w:lang w:val="fr-FR"/>
        </w:rPr>
        <w:t xml:space="preserve"> Recensement Général de la Population et de l’Habitat mené en 2010, l’on dénombrait 2</w:t>
      </w:r>
      <w:r w:rsidR="002251C4">
        <w:rPr>
          <w:lang w:val="fr-FR"/>
        </w:rPr>
        <w:t> </w:t>
      </w:r>
      <w:r w:rsidR="004306F2" w:rsidRPr="002E4295">
        <w:rPr>
          <w:lang w:val="fr-FR"/>
        </w:rPr>
        <w:t>910</w:t>
      </w:r>
      <w:r w:rsidR="002251C4">
        <w:rPr>
          <w:lang w:val="fr-FR"/>
        </w:rPr>
        <w:t> </w:t>
      </w:r>
      <w:r w:rsidR="004306F2" w:rsidRPr="002E4295">
        <w:rPr>
          <w:lang w:val="fr-FR"/>
        </w:rPr>
        <w:t>000 personnes vivant avec au moins un handicap. Au vu de cet état des lieux, l’</w:t>
      </w:r>
      <w:r w:rsidR="00FB5306">
        <w:rPr>
          <w:lang w:val="fr-FR"/>
        </w:rPr>
        <w:t>État</w:t>
      </w:r>
      <w:r w:rsidR="004306F2" w:rsidRPr="002E4295">
        <w:rPr>
          <w:lang w:val="fr-FR"/>
        </w:rPr>
        <w:t xml:space="preserve"> a poursuivi ses actions pour la mise en œuvre des droits spécifiques des personnes handicapées, notamment dans les secteurs de l’éducation, de l’emploi et du travail.</w:t>
      </w:r>
    </w:p>
    <w:p w:rsidR="004306F2" w:rsidRPr="002E4295" w:rsidRDefault="009E44DD" w:rsidP="009E44DD">
      <w:pPr>
        <w:pStyle w:val="H1G"/>
        <w:rPr>
          <w:lang w:val="fr-FR"/>
        </w:rPr>
      </w:pPr>
      <w:bookmarkStart w:id="14" w:name="_Toc466897333"/>
      <w:r>
        <w:rPr>
          <w:lang w:val="fr-FR"/>
        </w:rPr>
        <w:tab/>
        <w:t>A.</w:t>
      </w:r>
      <w:r>
        <w:rPr>
          <w:lang w:val="fr-FR"/>
        </w:rPr>
        <w:tab/>
      </w:r>
      <w:r w:rsidR="004306F2" w:rsidRPr="002E4295">
        <w:rPr>
          <w:lang w:val="fr-FR"/>
        </w:rPr>
        <w:t>Dans le secteur de l’éducation</w:t>
      </w:r>
      <w:bookmarkEnd w:id="14"/>
      <w:r w:rsidR="004306F2" w:rsidRPr="002E4295">
        <w:rPr>
          <w:lang w:val="fr-FR"/>
        </w:rPr>
        <w:t> </w:t>
      </w:r>
    </w:p>
    <w:p w:rsidR="004306F2" w:rsidRPr="0017665A" w:rsidRDefault="00270BF3" w:rsidP="00270BF3">
      <w:pPr>
        <w:pStyle w:val="SingleTxtG"/>
        <w:rPr>
          <w:lang w:val="fr-FR"/>
        </w:rPr>
      </w:pPr>
      <w:r w:rsidRPr="0017665A">
        <w:rPr>
          <w:lang w:val="fr-FR"/>
        </w:rPr>
        <w:t>34.</w:t>
      </w:r>
      <w:r w:rsidRPr="0017665A">
        <w:rPr>
          <w:lang w:val="fr-FR"/>
        </w:rPr>
        <w:tab/>
      </w:r>
      <w:r w:rsidR="004306F2" w:rsidRPr="002E4295">
        <w:rPr>
          <w:lang w:val="fr-FR"/>
        </w:rPr>
        <w:t xml:space="preserve">A travers la Lettre-Circulaire conjointe </w:t>
      </w:r>
      <w:r w:rsidR="00D13DEE" w:rsidRPr="002E4295">
        <w:rPr>
          <w:lang w:val="fr-FR"/>
        </w:rPr>
        <w:t>n</w:t>
      </w:r>
      <w:r w:rsidR="00D13DEE" w:rsidRPr="00D6478B">
        <w:rPr>
          <w:vertAlign w:val="superscript"/>
          <w:lang w:val="fr-FR"/>
        </w:rPr>
        <w:t>o</w:t>
      </w:r>
      <w:r w:rsidR="00D13DEE">
        <w:rPr>
          <w:lang w:val="fr-FR"/>
        </w:rPr>
        <w:t> </w:t>
      </w:r>
      <w:r w:rsidR="004306F2" w:rsidRPr="002E4295">
        <w:rPr>
          <w:lang w:val="fr-FR"/>
        </w:rPr>
        <w:t xml:space="preserve">283/07/LC/MINESEC/MINAS du 4 août 2007 relative à l’identification des élèves/étudiants handicapés et ceux nés de parents handicapés, le Gouvernement a permis à ces derniers d’être inscrits dans les établissements publics (d’enseignement primaire et secondaire) et de pouvoir participer aux examens officiels. La promotion de l’inclusion sociale des personnes handicapées dans le domaine de l’éducation s’est également opérée à travers la vulgarisation des instruments juridiques nationaux et internationaux promouvant le droit à l’éducation en faveur des personnes handicapées. </w:t>
      </w:r>
      <w:r w:rsidR="009527BF">
        <w:rPr>
          <w:lang w:val="fr-FR"/>
        </w:rPr>
        <w:t>À</w:t>
      </w:r>
      <w:r w:rsidR="004306F2" w:rsidRPr="002E4295">
        <w:rPr>
          <w:lang w:val="fr-FR"/>
        </w:rPr>
        <w:t xml:space="preserve"> cet effet, en 2013, près de 10 000 exemplaires de la Loi </w:t>
      </w:r>
      <w:r w:rsidR="00D13DEE" w:rsidRPr="002E4295">
        <w:rPr>
          <w:lang w:val="fr-FR"/>
        </w:rPr>
        <w:t>n</w:t>
      </w:r>
      <w:r w:rsidR="00D13DEE" w:rsidRPr="00D6478B">
        <w:rPr>
          <w:vertAlign w:val="superscript"/>
          <w:lang w:val="fr-FR"/>
        </w:rPr>
        <w:t>o</w:t>
      </w:r>
      <w:r w:rsidR="00D13DEE">
        <w:rPr>
          <w:lang w:val="fr-FR"/>
        </w:rPr>
        <w:t> </w:t>
      </w:r>
      <w:r w:rsidR="004306F2" w:rsidRPr="002E4295">
        <w:rPr>
          <w:lang w:val="fr-FR"/>
        </w:rPr>
        <w:t>2010/002 du 13</w:t>
      </w:r>
      <w:r w:rsidR="00D13DEE">
        <w:rPr>
          <w:lang w:val="fr-FR"/>
        </w:rPr>
        <w:t> </w:t>
      </w:r>
      <w:r w:rsidR="004306F2" w:rsidRPr="002E4295">
        <w:rPr>
          <w:lang w:val="fr-FR"/>
        </w:rPr>
        <w:t xml:space="preserve">avril 2010 portant promotion et protection des personnes handicapées et de la Convention des Nations Unies relative aux droits des personnes handicapées ont été produits et diffusés en format de poche, et en version accessible aux déficients auditifs et visuels. </w:t>
      </w:r>
      <w:r w:rsidR="004306F2" w:rsidRPr="00D13DEE">
        <w:rPr>
          <w:lang w:val="fr-FR"/>
        </w:rPr>
        <w:t>L’</w:t>
      </w:r>
      <w:r w:rsidR="004306F2" w:rsidRPr="0017665A">
        <w:rPr>
          <w:lang w:val="fr-FR"/>
        </w:rPr>
        <w:t>Union Nationale des Associations de et pour les Personnes Handicapées</w:t>
      </w:r>
      <w:r w:rsidR="004306F2" w:rsidRPr="00D13DEE">
        <w:rPr>
          <w:lang w:val="fr-FR"/>
        </w:rPr>
        <w:t xml:space="preserve"> </w:t>
      </w:r>
      <w:r w:rsidR="004306F2" w:rsidRPr="002E4295">
        <w:rPr>
          <w:lang w:val="fr-FR"/>
        </w:rPr>
        <w:t>(UNAPHAC) a traduit en 2014 la Loi du 13 avril 2010 en 2 langues locales </w:t>
      </w:r>
      <w:r w:rsidR="00DA0404">
        <w:rPr>
          <w:lang w:val="fr-FR"/>
        </w:rPr>
        <w:t>:</w:t>
      </w:r>
      <w:r w:rsidR="004306F2" w:rsidRPr="002E4295">
        <w:rPr>
          <w:lang w:val="fr-FR"/>
        </w:rPr>
        <w:t xml:space="preserve"> le Béti et le </w:t>
      </w:r>
      <w:proofErr w:type="spellStart"/>
      <w:r w:rsidR="004306F2" w:rsidRPr="002E4295">
        <w:rPr>
          <w:i/>
          <w:lang w:val="fr-FR"/>
        </w:rPr>
        <w:t>Ghoma’la</w:t>
      </w:r>
      <w:proofErr w:type="spellEnd"/>
      <w:r w:rsidR="004306F2" w:rsidRPr="002E4295">
        <w:rPr>
          <w:i/>
          <w:lang w:val="fr-FR"/>
        </w:rPr>
        <w:t xml:space="preserve">. </w:t>
      </w:r>
      <w:r w:rsidR="004306F2" w:rsidRPr="002E4295">
        <w:rPr>
          <w:lang w:val="fr-FR"/>
        </w:rPr>
        <w:t>L’</w:t>
      </w:r>
      <w:r w:rsidR="00FB5306">
        <w:rPr>
          <w:lang w:val="fr-FR"/>
        </w:rPr>
        <w:t>État</w:t>
      </w:r>
      <w:r w:rsidR="004306F2" w:rsidRPr="002E4295">
        <w:rPr>
          <w:lang w:val="fr-FR"/>
        </w:rPr>
        <w:t xml:space="preserve"> a également mis à jour et procédé à une large diffusion du Guide sur l’accessibilité des personnes handicapées à l’éducation, et du Guide sur l’accessibilité aux infrastru</w:t>
      </w:r>
      <w:r w:rsidR="00A2149A">
        <w:rPr>
          <w:lang w:val="fr-FR"/>
        </w:rPr>
        <w:t>ctures et aux édifices publics.</w:t>
      </w:r>
    </w:p>
    <w:p w:rsidR="004306F2" w:rsidRPr="002E4295" w:rsidRDefault="00270BF3" w:rsidP="00270BF3">
      <w:pPr>
        <w:pStyle w:val="SingleTxtG"/>
        <w:rPr>
          <w:i/>
          <w:lang w:val="fr-FR"/>
        </w:rPr>
      </w:pPr>
      <w:r w:rsidRPr="002E4295">
        <w:rPr>
          <w:i/>
          <w:lang w:val="fr-FR"/>
        </w:rPr>
        <w:t>35.</w:t>
      </w:r>
      <w:r w:rsidRPr="002E4295">
        <w:rPr>
          <w:i/>
          <w:lang w:val="fr-FR"/>
        </w:rPr>
        <w:tab/>
      </w:r>
      <w:r w:rsidR="004306F2" w:rsidRPr="002E4295">
        <w:rPr>
          <w:lang w:val="fr-FR"/>
        </w:rPr>
        <w:t xml:space="preserve">Les journées de sensibilisation sur le handicap, à l’exemple de celle organisée </w:t>
      </w:r>
      <w:r w:rsidR="004306F2" w:rsidRPr="00F16436">
        <w:rPr>
          <w:lang w:val="fr-FR"/>
        </w:rPr>
        <w:t>en</w:t>
      </w:r>
      <w:r w:rsidR="004306F2" w:rsidRPr="002E4295">
        <w:rPr>
          <w:lang w:val="fr-FR"/>
        </w:rPr>
        <w:t xml:space="preserve"> 2013 sous le thème</w:t>
      </w:r>
      <w:r w:rsidR="008B3B31" w:rsidRPr="002E4295">
        <w:rPr>
          <w:lang w:val="fr-FR"/>
        </w:rPr>
        <w:t xml:space="preserve"> </w:t>
      </w:r>
      <w:r w:rsidR="008B3B31" w:rsidRPr="0017665A">
        <w:rPr>
          <w:lang w:val="fr-FR"/>
        </w:rPr>
        <w:t>«</w:t>
      </w:r>
      <w:r w:rsidR="00D13DEE">
        <w:rPr>
          <w:lang w:val="fr-FR"/>
        </w:rPr>
        <w:t> </w:t>
      </w:r>
      <w:r w:rsidR="008B3B31" w:rsidRPr="0017665A">
        <w:rPr>
          <w:lang w:val="fr-FR"/>
        </w:rPr>
        <w:t>Aimons</w:t>
      </w:r>
      <w:r w:rsidR="004306F2" w:rsidRPr="0017665A">
        <w:rPr>
          <w:lang w:val="fr-FR"/>
        </w:rPr>
        <w:t xml:space="preserve"> nos enfants, sortons nos </w:t>
      </w:r>
      <w:r w:rsidR="008B3B31" w:rsidRPr="0017665A">
        <w:rPr>
          <w:lang w:val="fr-FR"/>
        </w:rPr>
        <w:t>enfants</w:t>
      </w:r>
      <w:r w:rsidR="00D13DEE">
        <w:rPr>
          <w:lang w:val="fr-FR"/>
        </w:rPr>
        <w:t> </w:t>
      </w:r>
      <w:r w:rsidR="008B3B31" w:rsidRPr="00D13DEE">
        <w:rPr>
          <w:lang w:val="fr-FR"/>
        </w:rPr>
        <w:t>»</w:t>
      </w:r>
      <w:r w:rsidR="004306F2" w:rsidRPr="00D13DEE">
        <w:rPr>
          <w:lang w:val="fr-FR"/>
        </w:rPr>
        <w:t>,</w:t>
      </w:r>
      <w:r w:rsidR="004306F2" w:rsidRPr="002E4295">
        <w:rPr>
          <w:lang w:val="fr-FR"/>
        </w:rPr>
        <w:t xml:space="preserve"> vont dans le même sens.</w:t>
      </w:r>
    </w:p>
    <w:p w:rsidR="004306F2" w:rsidRPr="002E4295" w:rsidRDefault="00270BF3" w:rsidP="00270BF3">
      <w:pPr>
        <w:pStyle w:val="SingleTxtG"/>
        <w:rPr>
          <w:lang w:val="fr-FR"/>
        </w:rPr>
      </w:pPr>
      <w:r w:rsidRPr="002E4295">
        <w:rPr>
          <w:lang w:val="fr-FR"/>
        </w:rPr>
        <w:t>36.</w:t>
      </w:r>
      <w:r w:rsidRPr="002E4295">
        <w:rPr>
          <w:lang w:val="fr-FR"/>
        </w:rPr>
        <w:tab/>
      </w:r>
      <w:r w:rsidR="004306F2" w:rsidRPr="002E4295">
        <w:rPr>
          <w:lang w:val="fr-FR"/>
        </w:rPr>
        <w:t xml:space="preserve">Sur le plan organisationnel, un Service de Promotion de l’Education inclusive prévu dans le Décret </w:t>
      </w:r>
      <w:r w:rsidR="00D13DEE" w:rsidRPr="002E4295">
        <w:rPr>
          <w:lang w:val="fr-FR"/>
        </w:rPr>
        <w:t>n</w:t>
      </w:r>
      <w:r w:rsidR="00D13DEE" w:rsidRPr="00D6478B">
        <w:rPr>
          <w:vertAlign w:val="superscript"/>
          <w:lang w:val="fr-FR"/>
        </w:rPr>
        <w:t>o</w:t>
      </w:r>
      <w:r w:rsidR="00D13DEE">
        <w:rPr>
          <w:lang w:val="fr-FR"/>
        </w:rPr>
        <w:t> </w:t>
      </w:r>
      <w:r w:rsidR="004306F2" w:rsidRPr="002E4295">
        <w:rPr>
          <w:lang w:val="fr-FR"/>
        </w:rPr>
        <w:t xml:space="preserve">2012/268 du 11 juin 2012 fixant l’organigramme du Ministère de l’Education de Base (MINEDUB) a été mis en place au sein de ce Ministère. Cette avancée s’est accompagnée d’évolutions stratégiques à l’instar de la prise en compte de la problématique du handicap dans le </w:t>
      </w:r>
      <w:r w:rsidR="004306F2" w:rsidRPr="0017665A">
        <w:rPr>
          <w:lang w:val="fr-FR"/>
        </w:rPr>
        <w:t>Document de Stratégie du Secteur de l’Education et de la Formation</w:t>
      </w:r>
      <w:r w:rsidR="004306F2" w:rsidRPr="002E4295">
        <w:rPr>
          <w:i/>
          <w:lang w:val="fr-FR"/>
        </w:rPr>
        <w:t xml:space="preserve"> </w:t>
      </w:r>
      <w:r w:rsidR="004306F2" w:rsidRPr="002E4295">
        <w:rPr>
          <w:lang w:val="fr-FR"/>
        </w:rPr>
        <w:t>(2013-2020). Sont ainsi tributaires de cette vision, l’intégration des modules sur le handicap dans les programmes des Ecoles Normales des Instituteurs de l’Enseignement Général depuis 2013 et dans la formation continue des enseignants. Ainsi, des Inspecteurs pédagogiques nationaux ont bénéficié à Yaoundé d’une formation</w:t>
      </w:r>
      <w:r w:rsidR="009A14FA">
        <w:rPr>
          <w:lang w:val="fr-FR"/>
        </w:rPr>
        <w:t xml:space="preserve"> sur l’éducation inclusive les </w:t>
      </w:r>
      <w:r w:rsidR="004306F2" w:rsidRPr="002E4295">
        <w:rPr>
          <w:lang w:val="fr-FR"/>
        </w:rPr>
        <w:t>9 et 10 août 2016. Bien plus, au cours des examens officiels, des mesures spéciales sont prises pour faciliter l’accessibilité des personnes handicapées aux édifices et aux épreuves</w:t>
      </w:r>
      <w:r w:rsidR="004306F2" w:rsidRPr="00E153AE">
        <w:rPr>
          <w:rStyle w:val="Appelnotedebasdep"/>
        </w:rPr>
        <w:footnoteReference w:id="28"/>
      </w:r>
      <w:r w:rsidR="004306F2" w:rsidRPr="002E4295">
        <w:rPr>
          <w:lang w:val="fr-FR"/>
        </w:rPr>
        <w:t>.</w:t>
      </w:r>
    </w:p>
    <w:p w:rsidR="004306F2" w:rsidRPr="002E4295" w:rsidRDefault="00270BF3" w:rsidP="00270BF3">
      <w:pPr>
        <w:pStyle w:val="SingleTxtG"/>
        <w:rPr>
          <w:lang w:val="fr-FR"/>
        </w:rPr>
      </w:pPr>
      <w:r w:rsidRPr="002E4295">
        <w:rPr>
          <w:lang w:val="fr-FR"/>
        </w:rPr>
        <w:t>37.</w:t>
      </w:r>
      <w:r w:rsidRPr="002E4295">
        <w:rPr>
          <w:lang w:val="fr-FR"/>
        </w:rPr>
        <w:tab/>
      </w:r>
      <w:r w:rsidR="004306F2" w:rsidRPr="002E4295">
        <w:rPr>
          <w:lang w:val="fr-FR"/>
        </w:rPr>
        <w:t xml:space="preserve">En outre, l’éducation étant aussi fonction de l’accès des apprenants aux bâtiments, le Ministère des Affaires Sociales et l’Agence de Régulation des Marchés Publics ont signé une Lettre conjointe sur l’accessibilité des personnes handicapées aux infrastructures et édifices </w:t>
      </w:r>
      <w:r w:rsidR="004306F2" w:rsidRPr="002E4295">
        <w:rPr>
          <w:lang w:val="fr-FR"/>
        </w:rPr>
        <w:lastRenderedPageBreak/>
        <w:t>publics ou ouverts au public pour assurer l’observance appropriée des spécifications techni</w:t>
      </w:r>
      <w:r w:rsidR="00A2149A">
        <w:rPr>
          <w:lang w:val="fr-FR"/>
        </w:rPr>
        <w:t>ques par les maîtres d’ouvrage.</w:t>
      </w:r>
    </w:p>
    <w:p w:rsidR="004306F2" w:rsidRPr="002E4295" w:rsidRDefault="00270BF3" w:rsidP="00270BF3">
      <w:pPr>
        <w:pStyle w:val="SingleTxtG"/>
        <w:rPr>
          <w:lang w:val="fr-FR"/>
        </w:rPr>
      </w:pPr>
      <w:r w:rsidRPr="002E4295">
        <w:rPr>
          <w:lang w:val="fr-FR"/>
        </w:rPr>
        <w:t>38.</w:t>
      </w:r>
      <w:r w:rsidRPr="002E4295">
        <w:rPr>
          <w:lang w:val="fr-FR"/>
        </w:rPr>
        <w:tab/>
      </w:r>
      <w:r w:rsidR="004306F2" w:rsidRPr="002E4295">
        <w:rPr>
          <w:lang w:val="fr-FR"/>
        </w:rPr>
        <w:t>La récente imprégnation de l’approche inclusive a permis d’avoir des résultats</w:t>
      </w:r>
      <w:r w:rsidR="00041768" w:rsidRPr="002E4295">
        <w:rPr>
          <w:lang w:val="fr-FR"/>
        </w:rPr>
        <w:t xml:space="preserve"> </w:t>
      </w:r>
      <w:r w:rsidR="00A117A6">
        <w:rPr>
          <w:lang w:val="fr-FR"/>
        </w:rPr>
        <w:t>(a</w:t>
      </w:r>
      <w:r w:rsidR="004306F2" w:rsidRPr="0017665A">
        <w:rPr>
          <w:lang w:val="fr-FR"/>
        </w:rPr>
        <w:t xml:space="preserve">nnexe </w:t>
      </w:r>
      <w:r w:rsidR="00D13DEE" w:rsidRPr="002E4295">
        <w:rPr>
          <w:lang w:val="fr-FR"/>
        </w:rPr>
        <w:t>n</w:t>
      </w:r>
      <w:r w:rsidR="00D13DEE" w:rsidRPr="00D6478B">
        <w:rPr>
          <w:vertAlign w:val="superscript"/>
          <w:lang w:val="fr-FR"/>
        </w:rPr>
        <w:t>o</w:t>
      </w:r>
      <w:r w:rsidR="00D13DEE">
        <w:rPr>
          <w:lang w:val="fr-FR"/>
        </w:rPr>
        <w:t> </w:t>
      </w:r>
      <w:r w:rsidR="004306F2" w:rsidRPr="0017665A">
        <w:rPr>
          <w:lang w:val="fr-FR"/>
        </w:rPr>
        <w:t>3)</w:t>
      </w:r>
      <w:r w:rsidR="004306F2" w:rsidRPr="00D13DEE">
        <w:rPr>
          <w:lang w:val="fr-FR"/>
        </w:rPr>
        <w:t>.</w:t>
      </w:r>
      <w:r w:rsidR="004306F2" w:rsidRPr="002E4295">
        <w:rPr>
          <w:lang w:val="fr-FR"/>
        </w:rPr>
        <w:t xml:space="preserve"> Ainsi, au cours de l’année scolaire 2014-2015, 4</w:t>
      </w:r>
      <w:r w:rsidR="00D13DEE">
        <w:rPr>
          <w:lang w:val="fr-FR"/>
        </w:rPr>
        <w:t> </w:t>
      </w:r>
      <w:r w:rsidR="004306F2" w:rsidRPr="002E4295">
        <w:rPr>
          <w:lang w:val="fr-FR"/>
        </w:rPr>
        <w:t>083 élèves handicapés ont été admis dans des établissements publics, représentant ainsi 0,19</w:t>
      </w:r>
      <w:r w:rsidR="009E4EF6">
        <w:rPr>
          <w:lang w:val="fr-FR"/>
        </w:rPr>
        <w:t> %</w:t>
      </w:r>
      <w:r w:rsidR="004306F2" w:rsidRPr="002E4295">
        <w:rPr>
          <w:lang w:val="fr-FR"/>
        </w:rPr>
        <w:t xml:space="preserve"> des 2 108 279 élèves de l’Enseigneme</w:t>
      </w:r>
      <w:r w:rsidR="00A2149A">
        <w:rPr>
          <w:lang w:val="fr-FR"/>
        </w:rPr>
        <w:t>nt général et technique public.</w:t>
      </w:r>
    </w:p>
    <w:p w:rsidR="004306F2" w:rsidRPr="002E4295" w:rsidRDefault="00270BF3" w:rsidP="00270BF3">
      <w:pPr>
        <w:pStyle w:val="SingleTxtG"/>
        <w:rPr>
          <w:lang w:val="fr-FR"/>
        </w:rPr>
      </w:pPr>
      <w:r w:rsidRPr="002E4295">
        <w:rPr>
          <w:lang w:val="fr-FR"/>
        </w:rPr>
        <w:t>39.</w:t>
      </w:r>
      <w:r w:rsidRPr="002E4295">
        <w:rPr>
          <w:lang w:val="fr-FR"/>
        </w:rPr>
        <w:tab/>
      </w:r>
      <w:r w:rsidR="004306F2" w:rsidRPr="002E4295">
        <w:rPr>
          <w:lang w:val="fr-FR"/>
        </w:rPr>
        <w:t xml:space="preserve">Dans </w:t>
      </w:r>
      <w:r w:rsidR="00F16436">
        <w:rPr>
          <w:lang w:val="fr-FR"/>
        </w:rPr>
        <w:t>le</w:t>
      </w:r>
      <w:r w:rsidR="004306F2" w:rsidRPr="002E4295">
        <w:rPr>
          <w:lang w:val="fr-FR"/>
        </w:rPr>
        <w:t xml:space="preserve"> cadre des partenariats, une Bibliothèque pour aveugles et malvoyants a été créée en 2014 à l’Université de Douala. En outre, le 28 avril 2014, le Gouvernement a signé un accord de coopération avec l’ONG </w:t>
      </w:r>
      <w:proofErr w:type="spellStart"/>
      <w:r w:rsidR="004306F2" w:rsidRPr="002E4295">
        <w:rPr>
          <w:i/>
          <w:lang w:val="fr-FR"/>
        </w:rPr>
        <w:t>SightSavers</w:t>
      </w:r>
      <w:proofErr w:type="spellEnd"/>
      <w:r w:rsidR="004306F2" w:rsidRPr="002E4295">
        <w:rPr>
          <w:lang w:val="fr-FR"/>
        </w:rPr>
        <w:t xml:space="preserve"> en vue de renforcer les capacités des enseignants dans le domaine de l’éducation inclusive et d’équiper les écoles spécial</w:t>
      </w:r>
      <w:r w:rsidR="009A14FA">
        <w:rPr>
          <w:lang w:val="fr-FR"/>
        </w:rPr>
        <w:t>isées en matériels didactiques.</w:t>
      </w:r>
    </w:p>
    <w:p w:rsidR="004306F2" w:rsidRPr="00B30AC6" w:rsidRDefault="00F17353" w:rsidP="00F17353">
      <w:pPr>
        <w:pStyle w:val="H1G"/>
      </w:pPr>
      <w:bookmarkStart w:id="15" w:name="_Toc466897334"/>
      <w:r>
        <w:rPr>
          <w:lang w:val="fr-FR"/>
        </w:rPr>
        <w:tab/>
        <w:t>B.</w:t>
      </w:r>
      <w:r>
        <w:rPr>
          <w:lang w:val="fr-FR"/>
        </w:rPr>
        <w:tab/>
      </w:r>
      <w:r w:rsidR="004306F2" w:rsidRPr="00C43272">
        <w:rPr>
          <w:lang w:val="fr-FR"/>
        </w:rPr>
        <w:t>Dans</w:t>
      </w:r>
      <w:r w:rsidR="004306F2" w:rsidRPr="00B30AC6">
        <w:t xml:space="preserve"> les secteurs de l’emploi et du travail</w:t>
      </w:r>
      <w:bookmarkEnd w:id="15"/>
    </w:p>
    <w:p w:rsidR="00041768" w:rsidRPr="002E4295" w:rsidRDefault="00270BF3" w:rsidP="00270BF3">
      <w:pPr>
        <w:pStyle w:val="SingleTxtG"/>
        <w:rPr>
          <w:lang w:val="fr-FR"/>
        </w:rPr>
      </w:pPr>
      <w:r w:rsidRPr="002E4295">
        <w:rPr>
          <w:lang w:val="fr-FR"/>
        </w:rPr>
        <w:t>40.</w:t>
      </w:r>
      <w:r w:rsidRPr="002E4295">
        <w:rPr>
          <w:lang w:val="fr-FR"/>
        </w:rPr>
        <w:tab/>
      </w:r>
      <w:r w:rsidR="004306F2" w:rsidRPr="00F16436">
        <w:rPr>
          <w:lang w:val="fr-FR"/>
        </w:rPr>
        <w:t>Des</w:t>
      </w:r>
      <w:r w:rsidR="004306F2" w:rsidRPr="002E4295">
        <w:rPr>
          <w:lang w:val="fr-FR"/>
        </w:rPr>
        <w:t xml:space="preserve"> mesures </w:t>
      </w:r>
      <w:r w:rsidR="004306F2" w:rsidRPr="00F16436">
        <w:rPr>
          <w:lang w:val="fr-FR"/>
        </w:rPr>
        <w:t>incitatives</w:t>
      </w:r>
      <w:r w:rsidR="004306F2" w:rsidRPr="002E4295">
        <w:rPr>
          <w:lang w:val="fr-FR"/>
        </w:rPr>
        <w:t xml:space="preserve"> ont été prises en vue de garantir l’employabi</w:t>
      </w:r>
      <w:r w:rsidR="00A2149A">
        <w:rPr>
          <w:lang w:val="fr-FR"/>
        </w:rPr>
        <w:t xml:space="preserve">lité des personnes handicapées. </w:t>
      </w:r>
      <w:r w:rsidR="004306F2" w:rsidRPr="002E4295">
        <w:rPr>
          <w:lang w:val="fr-FR"/>
        </w:rPr>
        <w:t>Au plan réglementaire, deux lettres-circulaires ont été signées</w:t>
      </w:r>
      <w:r w:rsidR="00DA0404">
        <w:rPr>
          <w:lang w:val="fr-FR"/>
        </w:rPr>
        <w:t> :</w:t>
      </w:r>
    </w:p>
    <w:p w:rsidR="004306F2" w:rsidRPr="002E4295" w:rsidRDefault="00270BF3" w:rsidP="00270BF3">
      <w:pPr>
        <w:pStyle w:val="Bullet1G"/>
        <w:numPr>
          <w:ilvl w:val="0"/>
          <w:numId w:val="0"/>
        </w:numPr>
        <w:tabs>
          <w:tab w:val="left" w:pos="1701"/>
        </w:tabs>
        <w:ind w:left="1701" w:hanging="170"/>
        <w:rPr>
          <w:lang w:val="fr-FR"/>
        </w:rPr>
      </w:pPr>
      <w:r w:rsidRPr="002E4295">
        <w:rPr>
          <w:lang w:val="fr-FR"/>
        </w:rPr>
        <w:t>•</w:t>
      </w:r>
      <w:r w:rsidRPr="002E4295">
        <w:rPr>
          <w:lang w:val="fr-FR"/>
        </w:rPr>
        <w:tab/>
      </w:r>
      <w:r w:rsidR="004306F2" w:rsidRPr="002E4295">
        <w:rPr>
          <w:lang w:val="fr-FR"/>
        </w:rPr>
        <w:t xml:space="preserve">La Lettre-Circulaire conjointe </w:t>
      </w:r>
      <w:r w:rsidR="00D13DEE" w:rsidRPr="002E4295">
        <w:rPr>
          <w:lang w:val="fr-FR"/>
        </w:rPr>
        <w:t>n</w:t>
      </w:r>
      <w:r w:rsidR="00D13DEE" w:rsidRPr="00D6478B">
        <w:rPr>
          <w:vertAlign w:val="superscript"/>
          <w:lang w:val="fr-FR"/>
        </w:rPr>
        <w:t>o</w:t>
      </w:r>
      <w:r w:rsidR="00D13DEE">
        <w:rPr>
          <w:lang w:val="fr-FR"/>
        </w:rPr>
        <w:t> </w:t>
      </w:r>
      <w:r w:rsidR="004306F2" w:rsidRPr="002E4295">
        <w:rPr>
          <w:lang w:val="fr-FR"/>
        </w:rPr>
        <w:t>075/LC/MINEFOP/MINAS du 30 décembre 2011 relative à l’accès des personnes handicapées à la formation professionnelle dont l’objectif est l’amélioration des conditions d’accueil et d’encadrement des personnes handicapées ou vulnérables dans les structures publiques et privé</w:t>
      </w:r>
      <w:r w:rsidR="00041768" w:rsidRPr="002E4295">
        <w:rPr>
          <w:lang w:val="fr-FR"/>
        </w:rPr>
        <w:t>es de formation professionnelle</w:t>
      </w:r>
      <w:r w:rsidR="00DA0404">
        <w:rPr>
          <w:lang w:val="fr-FR"/>
        </w:rPr>
        <w:t> ;</w:t>
      </w:r>
    </w:p>
    <w:p w:rsidR="004306F2" w:rsidRPr="002E4295" w:rsidRDefault="00270BF3" w:rsidP="00270BF3">
      <w:pPr>
        <w:pStyle w:val="Bullet1G"/>
        <w:numPr>
          <w:ilvl w:val="0"/>
          <w:numId w:val="0"/>
        </w:numPr>
        <w:tabs>
          <w:tab w:val="left" w:pos="1701"/>
        </w:tabs>
        <w:ind w:left="1701" w:hanging="170"/>
        <w:rPr>
          <w:lang w:val="fr-FR"/>
        </w:rPr>
      </w:pPr>
      <w:r w:rsidRPr="002E4295">
        <w:rPr>
          <w:lang w:val="fr-FR"/>
        </w:rPr>
        <w:t>•</w:t>
      </w:r>
      <w:r w:rsidRPr="002E4295">
        <w:rPr>
          <w:lang w:val="fr-FR"/>
        </w:rPr>
        <w:tab/>
      </w:r>
      <w:r w:rsidR="004306F2" w:rsidRPr="002E4295">
        <w:rPr>
          <w:lang w:val="fr-FR"/>
        </w:rPr>
        <w:t xml:space="preserve">La Lettre-Circulaire conjointe </w:t>
      </w:r>
      <w:r w:rsidR="00D13DEE" w:rsidRPr="002E4295">
        <w:rPr>
          <w:lang w:val="fr-FR"/>
        </w:rPr>
        <w:t>n</w:t>
      </w:r>
      <w:r w:rsidR="00D13DEE" w:rsidRPr="00D6478B">
        <w:rPr>
          <w:vertAlign w:val="superscript"/>
          <w:lang w:val="fr-FR"/>
        </w:rPr>
        <w:t>o</w:t>
      </w:r>
      <w:r w:rsidR="00D13DEE">
        <w:rPr>
          <w:lang w:val="fr-FR"/>
        </w:rPr>
        <w:t> </w:t>
      </w:r>
      <w:r w:rsidR="004306F2" w:rsidRPr="002E4295">
        <w:rPr>
          <w:lang w:val="fr-FR"/>
        </w:rPr>
        <w:t>074/LC/MINEFOP/MINAS du 30 décembre 2011 relative à l’accès des personnes handicapées à l’emploi qui vise à faciliter l’accès des personnes handicapées à l’emploi, tant dans les entreprises publiques ou privées qu’à l’auto-emploi au Cameroun par des publicités et des avis de recrutement, des offres d’emploi réservés à cette catégorie de citoyens, la garantie de la disponibilité des ressources pour le financement des microprojets présentés par les personnes handicapées.</w:t>
      </w:r>
    </w:p>
    <w:p w:rsidR="004306F2" w:rsidRPr="002E4295" w:rsidRDefault="00270BF3" w:rsidP="00270BF3">
      <w:pPr>
        <w:pStyle w:val="SingleTxtG"/>
        <w:rPr>
          <w:lang w:val="fr-FR"/>
        </w:rPr>
      </w:pPr>
      <w:r w:rsidRPr="002E4295">
        <w:rPr>
          <w:lang w:val="fr-FR"/>
        </w:rPr>
        <w:t>41.</w:t>
      </w:r>
      <w:r w:rsidRPr="002E4295">
        <w:rPr>
          <w:lang w:val="fr-FR"/>
        </w:rPr>
        <w:tab/>
      </w:r>
      <w:r w:rsidR="004306F2" w:rsidRPr="002E4295">
        <w:rPr>
          <w:lang w:val="fr-FR"/>
        </w:rPr>
        <w:t>Au plan de la formation, la Monographie sur les métiers accessibles aux personnes handicapées par types de déficience a été largement diffusée. Des structures telles que Bobine d’or forment des personnes handicapées aux métiers de la couture et de la coiffure, et leur insertion socio professionnelle. De 2005 à 2015, 58 personnes handicapées visuelles ont été formées par le Centre de formation en Informatique adaptée à la déficience visuelle. L’Institut Africain d’Informatique (IAI-Cameroun) a formé près de 205 personnes handicapées dans les métiers des technologies de l’info</w:t>
      </w:r>
      <w:r w:rsidR="009A14FA">
        <w:rPr>
          <w:lang w:val="fr-FR"/>
        </w:rPr>
        <w:t>rmation et de la communication.</w:t>
      </w:r>
    </w:p>
    <w:p w:rsidR="004306F2" w:rsidRPr="002E4295" w:rsidRDefault="00270BF3" w:rsidP="00270BF3">
      <w:pPr>
        <w:pStyle w:val="SingleTxtG"/>
        <w:rPr>
          <w:lang w:val="fr-FR"/>
        </w:rPr>
      </w:pPr>
      <w:r w:rsidRPr="002E4295">
        <w:rPr>
          <w:lang w:val="fr-FR"/>
        </w:rPr>
        <w:t>42.</w:t>
      </w:r>
      <w:r w:rsidRPr="002E4295">
        <w:rPr>
          <w:lang w:val="fr-FR"/>
        </w:rPr>
        <w:tab/>
      </w:r>
      <w:r w:rsidR="004306F2" w:rsidRPr="002E4295">
        <w:rPr>
          <w:lang w:val="fr-FR"/>
        </w:rPr>
        <w:t xml:space="preserve">Sur l’accès à l’emploi, la Fonction publique a recruté 110 enseignants handicapées titulaires du CAPIEMP ou </w:t>
      </w:r>
      <w:proofErr w:type="spellStart"/>
      <w:r w:rsidR="004306F2" w:rsidRPr="002E4295">
        <w:rPr>
          <w:i/>
          <w:lang w:val="fr-FR"/>
        </w:rPr>
        <w:t>Teacher’s</w:t>
      </w:r>
      <w:proofErr w:type="spellEnd"/>
      <w:r w:rsidR="004306F2" w:rsidRPr="002E4295">
        <w:rPr>
          <w:i/>
          <w:lang w:val="fr-FR"/>
        </w:rPr>
        <w:t xml:space="preserve"> </w:t>
      </w:r>
      <w:r w:rsidR="004306F2" w:rsidRPr="002E4295">
        <w:rPr>
          <w:lang w:val="fr-FR"/>
        </w:rPr>
        <w:t>Grade</w:t>
      </w:r>
      <w:r w:rsidR="004306F2" w:rsidRPr="002E4295">
        <w:rPr>
          <w:i/>
          <w:lang w:val="fr-FR"/>
        </w:rPr>
        <w:t xml:space="preserve"> One </w:t>
      </w:r>
      <w:proofErr w:type="spellStart"/>
      <w:r w:rsidR="004306F2" w:rsidRPr="002E4295">
        <w:rPr>
          <w:i/>
          <w:lang w:val="fr-FR"/>
        </w:rPr>
        <w:t>Certificate</w:t>
      </w:r>
      <w:proofErr w:type="spellEnd"/>
      <w:r w:rsidR="004306F2" w:rsidRPr="002E4295">
        <w:rPr>
          <w:i/>
          <w:lang w:val="fr-FR"/>
        </w:rPr>
        <w:t xml:space="preserve"> </w:t>
      </w:r>
      <w:r w:rsidR="004306F2" w:rsidRPr="002E4295">
        <w:rPr>
          <w:lang w:val="fr-FR"/>
        </w:rPr>
        <w:t>au titre de l’exercice 2010 et 2011 dans le cadre de l’opération de contractualisation des instituteurs de l’enseignement général au Mi</w:t>
      </w:r>
      <w:r w:rsidR="009A14FA">
        <w:rPr>
          <w:lang w:val="fr-FR"/>
        </w:rPr>
        <w:t>nistère de l’Education de Base.</w:t>
      </w:r>
    </w:p>
    <w:p w:rsidR="004306F2" w:rsidRPr="002E4295" w:rsidRDefault="00270BF3" w:rsidP="00270BF3">
      <w:pPr>
        <w:pStyle w:val="SingleTxtG"/>
        <w:rPr>
          <w:lang w:val="fr-FR"/>
        </w:rPr>
      </w:pPr>
      <w:r w:rsidRPr="002E4295">
        <w:rPr>
          <w:lang w:val="fr-FR"/>
        </w:rPr>
        <w:t>43.</w:t>
      </w:r>
      <w:r w:rsidRPr="002E4295">
        <w:rPr>
          <w:lang w:val="fr-FR"/>
        </w:rPr>
        <w:tab/>
      </w:r>
      <w:r w:rsidR="004306F2" w:rsidRPr="002E4295">
        <w:rPr>
          <w:lang w:val="fr-FR"/>
        </w:rPr>
        <w:t>Suite à l’Accord conclu entre le MINAS et le Fonds National de l’Emploi (FNE) le 4 septembre 2006 dans le but de faciliter l’insertion socio-professionnelle des personnes vulnérables, 04 personnes handicapées ont bénéficié d’une formation professionnelle et 24 ont bénéficié d’un financement en auto-emploi pour un montant global de 8 000 000 FCFA</w:t>
      </w:r>
      <w:r w:rsidR="004306F2" w:rsidRPr="00E153AE">
        <w:rPr>
          <w:rStyle w:val="Appelnotedebasdep"/>
        </w:rPr>
        <w:footnoteReference w:id="29"/>
      </w:r>
      <w:r w:rsidR="004306F2" w:rsidRPr="002E4295">
        <w:rPr>
          <w:lang w:val="fr-FR"/>
        </w:rPr>
        <w:t>.</w:t>
      </w:r>
    </w:p>
    <w:p w:rsidR="004306F2" w:rsidRPr="0017665A" w:rsidRDefault="004F5142" w:rsidP="0017665A">
      <w:pPr>
        <w:pStyle w:val="HChG"/>
      </w:pPr>
      <w:bookmarkStart w:id="16" w:name="_Toc466897335"/>
      <w:r>
        <w:rPr>
          <w:lang w:val="fr-FR"/>
        </w:rPr>
        <w:tab/>
        <w:t>VIII.</w:t>
      </w:r>
      <w:r>
        <w:rPr>
          <w:lang w:val="fr-FR"/>
        </w:rPr>
        <w:tab/>
      </w:r>
      <w:r w:rsidR="00041768" w:rsidRPr="002E4295">
        <w:rPr>
          <w:lang w:val="fr-FR"/>
        </w:rPr>
        <w:t>Rec.</w:t>
      </w:r>
      <w:r>
        <w:rPr>
          <w:lang w:val="fr-FR"/>
        </w:rPr>
        <w:t> </w:t>
      </w:r>
      <w:r w:rsidR="00C43272">
        <w:rPr>
          <w:lang w:val="fr-FR"/>
        </w:rPr>
        <w:t>13.</w:t>
      </w:r>
      <w:r w:rsidR="00FB7ADC">
        <w:rPr>
          <w:lang w:val="fr-FR"/>
        </w:rPr>
        <w:t> </w:t>
      </w:r>
      <w:r w:rsidR="004306F2" w:rsidRPr="002E4295">
        <w:rPr>
          <w:lang w:val="fr-FR"/>
        </w:rPr>
        <w:t>Révision des dispositions législatives discriminatoires à l’égard des femmes</w:t>
      </w:r>
      <w:bookmarkEnd w:id="16"/>
    </w:p>
    <w:p w:rsidR="004306F2" w:rsidRPr="002E4295" w:rsidRDefault="00270BF3" w:rsidP="00270BF3">
      <w:pPr>
        <w:pStyle w:val="SingleTxtG"/>
        <w:rPr>
          <w:lang w:val="fr-FR"/>
        </w:rPr>
      </w:pPr>
      <w:r w:rsidRPr="002E4295">
        <w:rPr>
          <w:lang w:val="fr-FR"/>
        </w:rPr>
        <w:t>44.</w:t>
      </w:r>
      <w:r w:rsidRPr="002E4295">
        <w:rPr>
          <w:lang w:val="fr-FR"/>
        </w:rPr>
        <w:tab/>
      </w:r>
      <w:r w:rsidR="004306F2" w:rsidRPr="002E4295">
        <w:rPr>
          <w:lang w:val="fr-FR"/>
        </w:rPr>
        <w:t xml:space="preserve">Le Cameroun a entrepris un chantier de réformes sur le plan législatif. Certaines de ces réformes ont abouti, et c’est le cas du CP qui a supprimé les dispositions discriminatoires de ce texte concernant l’adultère, le viol, </w:t>
      </w:r>
      <w:r w:rsidR="00FB11B1">
        <w:rPr>
          <w:lang w:val="fr-FR"/>
        </w:rPr>
        <w:t>la sanction du mariage précoce.</w:t>
      </w:r>
    </w:p>
    <w:p w:rsidR="004306F2" w:rsidRPr="002E4295" w:rsidRDefault="00270BF3" w:rsidP="00270BF3">
      <w:pPr>
        <w:pStyle w:val="SingleTxtG"/>
        <w:rPr>
          <w:lang w:val="fr-FR"/>
        </w:rPr>
      </w:pPr>
      <w:r w:rsidRPr="002E4295">
        <w:rPr>
          <w:lang w:val="fr-FR"/>
        </w:rPr>
        <w:lastRenderedPageBreak/>
        <w:t>45.</w:t>
      </w:r>
      <w:r w:rsidRPr="002E4295">
        <w:rPr>
          <w:lang w:val="fr-FR"/>
        </w:rPr>
        <w:tab/>
      </w:r>
      <w:r w:rsidR="004306F2" w:rsidRPr="002E4295">
        <w:rPr>
          <w:lang w:val="fr-FR"/>
        </w:rPr>
        <w:t xml:space="preserve">Ainsi, l’article 361 du CP punit désormais indistinctement et des mêmes peines, </w:t>
      </w:r>
      <w:r w:rsidR="004306F2" w:rsidRPr="00957F6A">
        <w:rPr>
          <w:lang w:val="fr-FR"/>
        </w:rPr>
        <w:t>l’adultère</w:t>
      </w:r>
      <w:r w:rsidR="004306F2" w:rsidRPr="002E4295">
        <w:rPr>
          <w:lang w:val="fr-FR"/>
        </w:rPr>
        <w:t xml:space="preserve"> de la femme et de l’homme. En plus, le mariage subséquent entre l’auteur d’un viol et sa victime, jadis considéré comme cause d’exonération des poursuites, a été supprimé à l’article 297. Par ailleurs, l’article 242 sanctionne désormais et de façon globale toute discrimination fondée sur le sexe.</w:t>
      </w:r>
    </w:p>
    <w:p w:rsidR="004306F2" w:rsidRPr="002E4295" w:rsidRDefault="00270BF3" w:rsidP="00270BF3">
      <w:pPr>
        <w:pStyle w:val="SingleTxtG"/>
        <w:rPr>
          <w:i/>
          <w:lang w:val="fr-FR"/>
        </w:rPr>
      </w:pPr>
      <w:r w:rsidRPr="002E4295">
        <w:rPr>
          <w:i/>
          <w:lang w:val="fr-FR"/>
        </w:rPr>
        <w:t>46.</w:t>
      </w:r>
      <w:r w:rsidRPr="002E4295">
        <w:rPr>
          <w:i/>
          <w:lang w:val="fr-FR"/>
        </w:rPr>
        <w:tab/>
      </w:r>
      <w:r w:rsidR="004306F2" w:rsidRPr="002E4295">
        <w:rPr>
          <w:lang w:val="fr-FR"/>
        </w:rPr>
        <w:t>Alors que l’ancienne disposit</w:t>
      </w:r>
      <w:r w:rsidR="00FB11B1">
        <w:rPr>
          <w:lang w:val="fr-FR"/>
        </w:rPr>
        <w:t>ion permettait de sanctionner</w:t>
      </w:r>
      <w:r w:rsidR="00F20783">
        <w:rPr>
          <w:lang w:val="fr-FR"/>
        </w:rPr>
        <w:t xml:space="preserve"> </w:t>
      </w:r>
      <w:r w:rsidR="00F20783" w:rsidRPr="00D13DEE">
        <w:rPr>
          <w:lang w:val="fr-FR"/>
        </w:rPr>
        <w:t>«</w:t>
      </w:r>
      <w:r w:rsidR="00D13DEE">
        <w:rPr>
          <w:lang w:val="fr-FR"/>
        </w:rPr>
        <w:t> </w:t>
      </w:r>
      <w:r w:rsidR="00F20783" w:rsidRPr="0017665A">
        <w:rPr>
          <w:lang w:val="fr-FR"/>
        </w:rPr>
        <w:t>celui</w:t>
      </w:r>
      <w:r w:rsidR="004306F2" w:rsidRPr="0017665A">
        <w:rPr>
          <w:lang w:val="fr-FR"/>
        </w:rPr>
        <w:t xml:space="preserve"> qui donne en mariage une fille </w:t>
      </w:r>
      <w:r w:rsidR="004306F2" w:rsidRPr="00D13DEE">
        <w:rPr>
          <w:lang w:val="fr-FR"/>
        </w:rPr>
        <w:t>mineure</w:t>
      </w:r>
      <w:r w:rsidR="004306F2" w:rsidRPr="0017665A">
        <w:rPr>
          <w:lang w:val="fr-FR"/>
        </w:rPr>
        <w:t xml:space="preserve"> de quatorze ans ou un garçon mineur de seize </w:t>
      </w:r>
      <w:r w:rsidR="00F20783" w:rsidRPr="0017665A">
        <w:rPr>
          <w:lang w:val="fr-FR"/>
        </w:rPr>
        <w:t>ans</w:t>
      </w:r>
      <w:r w:rsidR="00D13DEE">
        <w:rPr>
          <w:lang w:val="fr-FR"/>
        </w:rPr>
        <w:t> </w:t>
      </w:r>
      <w:r w:rsidR="00F20783" w:rsidRPr="00D13DEE">
        <w:rPr>
          <w:lang w:val="fr-FR"/>
        </w:rPr>
        <w:t>»</w:t>
      </w:r>
      <w:r w:rsidR="004306F2" w:rsidRPr="00D13DEE">
        <w:rPr>
          <w:lang w:val="fr-FR"/>
        </w:rPr>
        <w:t>,</w:t>
      </w:r>
      <w:r w:rsidR="004306F2" w:rsidRPr="002E4295">
        <w:rPr>
          <w:lang w:val="fr-FR"/>
        </w:rPr>
        <w:t xml:space="preserve"> le nouveau CP, en son article 356 in</w:t>
      </w:r>
      <w:r w:rsidR="00FB11B1">
        <w:rPr>
          <w:lang w:val="fr-FR"/>
        </w:rPr>
        <w:t>titulé</w:t>
      </w:r>
      <w:r w:rsidR="00F20783">
        <w:rPr>
          <w:lang w:val="fr-FR"/>
        </w:rPr>
        <w:t xml:space="preserve"> «</w:t>
      </w:r>
      <w:r w:rsidR="00D13DEE">
        <w:rPr>
          <w:i/>
          <w:lang w:val="fr-FR"/>
        </w:rPr>
        <w:t> </w:t>
      </w:r>
      <w:r w:rsidR="00F20783" w:rsidRPr="0017665A">
        <w:rPr>
          <w:lang w:val="fr-FR"/>
        </w:rPr>
        <w:t>Mariage</w:t>
      </w:r>
      <w:r w:rsidR="004306F2" w:rsidRPr="0017665A">
        <w:rPr>
          <w:lang w:val="fr-FR"/>
        </w:rPr>
        <w:t xml:space="preserve"> </w:t>
      </w:r>
      <w:r w:rsidR="00F20783" w:rsidRPr="0017665A">
        <w:rPr>
          <w:lang w:val="fr-FR"/>
        </w:rPr>
        <w:t>forcé</w:t>
      </w:r>
      <w:r w:rsidR="00D13DEE">
        <w:rPr>
          <w:lang w:val="fr-FR"/>
        </w:rPr>
        <w:t> </w:t>
      </w:r>
      <w:r w:rsidR="00F20783" w:rsidRPr="002E4295">
        <w:rPr>
          <w:lang w:val="fr-FR"/>
        </w:rPr>
        <w:t>»</w:t>
      </w:r>
      <w:r w:rsidR="004306F2" w:rsidRPr="002E4295">
        <w:rPr>
          <w:lang w:val="fr-FR"/>
        </w:rPr>
        <w:t xml:space="preserve"> supprime les disparités entre les filles et les garço</w:t>
      </w:r>
      <w:r w:rsidR="009A14FA">
        <w:rPr>
          <w:lang w:val="fr-FR"/>
        </w:rPr>
        <w:t>ns concernant l’âge du mariage.</w:t>
      </w:r>
    </w:p>
    <w:p w:rsidR="004306F2" w:rsidRPr="002E4295" w:rsidRDefault="00963596" w:rsidP="0017665A">
      <w:pPr>
        <w:pStyle w:val="HChG"/>
        <w:rPr>
          <w:u w:val="single"/>
          <w:lang w:val="fr-FR"/>
        </w:rPr>
      </w:pPr>
      <w:bookmarkStart w:id="17" w:name="_Toc466897336"/>
      <w:r>
        <w:rPr>
          <w:lang w:val="fr-FR"/>
        </w:rPr>
        <w:tab/>
        <w:t>IX.</w:t>
      </w:r>
      <w:r>
        <w:rPr>
          <w:lang w:val="fr-FR"/>
        </w:rPr>
        <w:tab/>
      </w:r>
      <w:r w:rsidR="004306F2" w:rsidRPr="002E4295">
        <w:rPr>
          <w:lang w:val="fr-FR"/>
        </w:rPr>
        <w:t>R</w:t>
      </w:r>
      <w:r w:rsidR="00041768" w:rsidRPr="002E4295">
        <w:rPr>
          <w:lang w:val="fr-FR"/>
        </w:rPr>
        <w:t>ec.</w:t>
      </w:r>
      <w:r>
        <w:rPr>
          <w:lang w:val="fr-FR"/>
        </w:rPr>
        <w:t> </w:t>
      </w:r>
      <w:r w:rsidR="004306F2" w:rsidRPr="002E4295">
        <w:rPr>
          <w:lang w:val="fr-FR"/>
        </w:rPr>
        <w:t>14</w:t>
      </w:r>
      <w:r>
        <w:rPr>
          <w:lang w:val="fr-FR"/>
        </w:rPr>
        <w:t>. </w:t>
      </w:r>
      <w:r w:rsidR="004306F2" w:rsidRPr="002E4295">
        <w:rPr>
          <w:lang w:val="fr-FR"/>
        </w:rPr>
        <w:t>Abolition du travail forcé en milieu carcéral et</w:t>
      </w:r>
      <w:r>
        <w:rPr>
          <w:lang w:val="fr-FR"/>
        </w:rPr>
        <w:t> </w:t>
      </w:r>
      <w:r w:rsidR="004306F2" w:rsidRPr="002E4295">
        <w:rPr>
          <w:lang w:val="fr-FR"/>
        </w:rPr>
        <w:t>consentement des détenus au travail</w:t>
      </w:r>
      <w:bookmarkEnd w:id="17"/>
    </w:p>
    <w:p w:rsidR="004306F2" w:rsidRPr="002E4295" w:rsidRDefault="00270BF3" w:rsidP="00270BF3">
      <w:pPr>
        <w:pStyle w:val="SingleTxtG"/>
        <w:rPr>
          <w:lang w:val="fr-FR"/>
        </w:rPr>
      </w:pPr>
      <w:r w:rsidRPr="002E4295">
        <w:rPr>
          <w:lang w:val="fr-FR"/>
        </w:rPr>
        <w:t>47.</w:t>
      </w:r>
      <w:r w:rsidRPr="002E4295">
        <w:rPr>
          <w:lang w:val="fr-FR"/>
        </w:rPr>
        <w:tab/>
      </w:r>
      <w:r w:rsidR="004306F2" w:rsidRPr="00C97336">
        <w:rPr>
          <w:lang w:val="fr-FR"/>
        </w:rPr>
        <w:t>Aucune</w:t>
      </w:r>
      <w:r w:rsidR="004306F2" w:rsidRPr="002E4295">
        <w:rPr>
          <w:lang w:val="fr-FR"/>
        </w:rPr>
        <w:t xml:space="preserve"> disposition de la législation ne prévoit le travail forcé parmi les peines, et cette pratique n’a nullement cours dans les Prisons camerounaises. La peine de </w:t>
      </w:r>
      <w:r w:rsidR="004306F2" w:rsidRPr="00C97336">
        <w:rPr>
          <w:lang w:val="fr-FR"/>
        </w:rPr>
        <w:t>Travaux</w:t>
      </w:r>
      <w:r w:rsidR="004306F2" w:rsidRPr="002E4295">
        <w:rPr>
          <w:lang w:val="fr-FR"/>
        </w:rPr>
        <w:t xml:space="preserve"> forcés a en effet été abolie de l’arsenal juridique, avec la modification du Code pénal issue de la Loi </w:t>
      </w:r>
      <w:r w:rsidR="004B5F6A" w:rsidRPr="002E4295">
        <w:rPr>
          <w:lang w:val="fr-FR"/>
        </w:rPr>
        <w:t>n</w:t>
      </w:r>
      <w:r w:rsidR="004B5F6A" w:rsidRPr="00D6478B">
        <w:rPr>
          <w:vertAlign w:val="superscript"/>
          <w:lang w:val="fr-FR"/>
        </w:rPr>
        <w:t>o</w:t>
      </w:r>
      <w:r w:rsidR="004B5F6A">
        <w:rPr>
          <w:lang w:val="fr-FR"/>
        </w:rPr>
        <w:t> </w:t>
      </w:r>
      <w:r w:rsidR="004306F2" w:rsidRPr="002E4295">
        <w:rPr>
          <w:lang w:val="fr-FR"/>
        </w:rPr>
        <w:t>90-61 du 19 décembre 1990.</w:t>
      </w:r>
    </w:p>
    <w:p w:rsidR="004306F2" w:rsidRPr="002E4295" w:rsidRDefault="00270BF3" w:rsidP="00270BF3">
      <w:pPr>
        <w:pStyle w:val="SingleTxtG"/>
        <w:rPr>
          <w:lang w:val="fr-FR"/>
        </w:rPr>
      </w:pPr>
      <w:r w:rsidRPr="002E4295">
        <w:rPr>
          <w:lang w:val="fr-FR"/>
        </w:rPr>
        <w:t>48.</w:t>
      </w:r>
      <w:r w:rsidRPr="002E4295">
        <w:rPr>
          <w:lang w:val="fr-FR"/>
        </w:rPr>
        <w:tab/>
      </w:r>
      <w:r w:rsidR="004306F2" w:rsidRPr="00C97336">
        <w:rPr>
          <w:lang w:val="fr-FR"/>
        </w:rPr>
        <w:t>L’utilisation</w:t>
      </w:r>
      <w:r w:rsidR="004306F2" w:rsidRPr="002E4295">
        <w:rPr>
          <w:lang w:val="fr-FR"/>
        </w:rPr>
        <w:t xml:space="preserve"> de la main d’œuvre carcérale ne saurait être faite contre le gré du détenu, d’autant qu’un détenu non consentant ne peut être productif. Dans la pratique, ce sont les détenus condamnés qui sollicitent souvent leur inscription sur la liste des corvéables. En tout état de cause, l’utilisation de la main d’œuvre carcérale participe de la stratégie globale de réadaptation et de réinsertion sociale du détenu. Elle s’appuie sur les dispositions de l’article 51 du Décret </w:t>
      </w:r>
      <w:r w:rsidR="004B5F6A" w:rsidRPr="002E4295">
        <w:rPr>
          <w:lang w:val="fr-FR"/>
        </w:rPr>
        <w:t>n</w:t>
      </w:r>
      <w:r w:rsidR="004B5F6A" w:rsidRPr="00D6478B">
        <w:rPr>
          <w:vertAlign w:val="superscript"/>
          <w:lang w:val="fr-FR"/>
        </w:rPr>
        <w:t>o</w:t>
      </w:r>
      <w:r w:rsidR="004B5F6A">
        <w:rPr>
          <w:lang w:val="fr-FR"/>
        </w:rPr>
        <w:t> </w:t>
      </w:r>
      <w:r w:rsidR="004306F2" w:rsidRPr="002E4295">
        <w:rPr>
          <w:lang w:val="fr-FR"/>
        </w:rPr>
        <w:t>92/052 du 27 mars 1992 portant régime pénitentiaire au Cameroun.</w:t>
      </w:r>
    </w:p>
    <w:p w:rsidR="004306F2" w:rsidRPr="002E4295" w:rsidRDefault="00270BF3" w:rsidP="00270BF3">
      <w:pPr>
        <w:pStyle w:val="SingleTxtG"/>
        <w:rPr>
          <w:lang w:val="fr-FR"/>
        </w:rPr>
      </w:pPr>
      <w:r w:rsidRPr="002E4295">
        <w:rPr>
          <w:lang w:val="fr-FR"/>
        </w:rPr>
        <w:t>49.</w:t>
      </w:r>
      <w:r w:rsidRPr="002E4295">
        <w:rPr>
          <w:lang w:val="fr-FR"/>
        </w:rPr>
        <w:tab/>
      </w:r>
      <w:r w:rsidR="004306F2" w:rsidRPr="002E4295">
        <w:rPr>
          <w:lang w:val="fr-FR"/>
        </w:rPr>
        <w:t xml:space="preserve">Pour </w:t>
      </w:r>
      <w:r w:rsidR="004306F2" w:rsidRPr="00C97336">
        <w:rPr>
          <w:lang w:val="fr-FR"/>
        </w:rPr>
        <w:t>être</w:t>
      </w:r>
      <w:r w:rsidR="004306F2" w:rsidRPr="002E4295">
        <w:rPr>
          <w:lang w:val="fr-FR"/>
        </w:rPr>
        <w:t xml:space="preserve"> admis au travail pénal, le détenu doit être condamné définitivement, avoir purgé les 2/3 de sa peine et justifier d’une bonne conduite. En plus, selon l’article 25 du Code pénal, le travail carcéral donne lieu à la constitution d’un pécule dont les 2/3 seront reversés au détenu à la fin de son incarcération pour redémarrer sa vie dans la société, tandis que les 1/3 sont affectés au Trésor public.</w:t>
      </w:r>
    </w:p>
    <w:p w:rsidR="004306F2" w:rsidRPr="002E4295" w:rsidRDefault="00270BF3" w:rsidP="00270BF3">
      <w:pPr>
        <w:pStyle w:val="SingleTxtG"/>
        <w:rPr>
          <w:lang w:val="fr-FR"/>
        </w:rPr>
      </w:pPr>
      <w:r w:rsidRPr="002E4295">
        <w:rPr>
          <w:lang w:val="fr-FR"/>
        </w:rPr>
        <w:t>50.</w:t>
      </w:r>
      <w:r w:rsidRPr="002E4295">
        <w:rPr>
          <w:lang w:val="fr-FR"/>
        </w:rPr>
        <w:tab/>
      </w:r>
      <w:r w:rsidR="004306F2" w:rsidRPr="002E4295">
        <w:rPr>
          <w:lang w:val="fr-FR"/>
        </w:rPr>
        <w:t>Par ailleurs, l’élaboration d’une politique pénitentiaire orientée vers la réinsertion sociale du détenu et l’institution des commissions de sélection des détenus admissibles à travailler hors de la prison ont fait l’objet d’une recommandation au cours de la réunion annuelle des Délégués Régionaux de l’Administration Pénitentiaire en 2015.</w:t>
      </w:r>
    </w:p>
    <w:p w:rsidR="004306F2" w:rsidRPr="0017665A" w:rsidRDefault="00963596" w:rsidP="0017665A">
      <w:pPr>
        <w:pStyle w:val="HChG"/>
      </w:pPr>
      <w:bookmarkStart w:id="18" w:name="_Toc466897340"/>
      <w:r>
        <w:rPr>
          <w:lang w:val="fr-FR"/>
        </w:rPr>
        <w:tab/>
        <w:t>X.</w:t>
      </w:r>
      <w:r>
        <w:rPr>
          <w:lang w:val="fr-FR"/>
        </w:rPr>
        <w:tab/>
      </w:r>
      <w:r w:rsidR="004306F2" w:rsidRPr="002E4295">
        <w:rPr>
          <w:lang w:val="fr-FR"/>
        </w:rPr>
        <w:t>R</w:t>
      </w:r>
      <w:r w:rsidR="00041768" w:rsidRPr="002E4295">
        <w:rPr>
          <w:lang w:val="fr-FR"/>
        </w:rPr>
        <w:t>ec.</w:t>
      </w:r>
      <w:r>
        <w:rPr>
          <w:lang w:val="fr-FR"/>
        </w:rPr>
        <w:t> </w:t>
      </w:r>
      <w:r w:rsidR="004306F2" w:rsidRPr="002E4295">
        <w:rPr>
          <w:lang w:val="fr-FR"/>
        </w:rPr>
        <w:t>15</w:t>
      </w:r>
      <w:r>
        <w:rPr>
          <w:lang w:val="fr-FR"/>
        </w:rPr>
        <w:t>. </w:t>
      </w:r>
      <w:r w:rsidR="004306F2" w:rsidRPr="002E4295">
        <w:rPr>
          <w:lang w:val="fr-FR"/>
        </w:rPr>
        <w:t>Augmentation de l’offre sur le marché du travail</w:t>
      </w:r>
      <w:bookmarkEnd w:id="18"/>
    </w:p>
    <w:p w:rsidR="004306F2" w:rsidRPr="002E4295" w:rsidRDefault="00F17353" w:rsidP="00F17353">
      <w:pPr>
        <w:pStyle w:val="H1G"/>
        <w:rPr>
          <w:lang w:val="fr-FR"/>
        </w:rPr>
      </w:pPr>
      <w:bookmarkStart w:id="19" w:name="_Toc466897341"/>
      <w:r>
        <w:tab/>
      </w:r>
      <w:r w:rsidRPr="00F17353">
        <w:t>A</w:t>
      </w:r>
      <w:r>
        <w:t>.</w:t>
      </w:r>
      <w:r>
        <w:tab/>
      </w:r>
      <w:r w:rsidR="004306F2" w:rsidRPr="00F17353">
        <w:t>Inclusion</w:t>
      </w:r>
      <w:r w:rsidR="004306F2" w:rsidRPr="00B30AC6">
        <w:t xml:space="preserve"> dans la politique d’emploi de mesures pour remédier aux</w:t>
      </w:r>
      <w:r w:rsidR="004B5F6A">
        <w:t> </w:t>
      </w:r>
      <w:r w:rsidR="004306F2" w:rsidRPr="00B30AC6">
        <w:t>difficultés</w:t>
      </w:r>
      <w:r w:rsidR="004306F2" w:rsidRPr="002E4295">
        <w:rPr>
          <w:lang w:val="fr-FR"/>
        </w:rPr>
        <w:t xml:space="preserve"> d’insertion des jeunes et des femmes dans le marché du</w:t>
      </w:r>
      <w:r w:rsidR="004B5F6A">
        <w:rPr>
          <w:lang w:val="fr-FR"/>
        </w:rPr>
        <w:t> </w:t>
      </w:r>
      <w:r w:rsidR="004306F2" w:rsidRPr="002E4295">
        <w:rPr>
          <w:lang w:val="fr-FR"/>
        </w:rPr>
        <w:t>travail formel</w:t>
      </w:r>
      <w:bookmarkEnd w:id="19"/>
    </w:p>
    <w:p w:rsidR="004306F2" w:rsidRPr="002E4295" w:rsidRDefault="00270BF3" w:rsidP="00270BF3">
      <w:pPr>
        <w:pStyle w:val="SingleTxtG"/>
        <w:rPr>
          <w:lang w:val="fr-FR"/>
        </w:rPr>
      </w:pPr>
      <w:r w:rsidRPr="002E4295">
        <w:rPr>
          <w:lang w:val="fr-FR"/>
        </w:rPr>
        <w:t>51.</w:t>
      </w:r>
      <w:r w:rsidRPr="002E4295">
        <w:rPr>
          <w:lang w:val="fr-FR"/>
        </w:rPr>
        <w:tab/>
      </w:r>
      <w:r w:rsidR="004306F2" w:rsidRPr="002E4295">
        <w:rPr>
          <w:lang w:val="fr-FR"/>
        </w:rPr>
        <w:t>Outre le DSCE qui met l’accent sur le développement d’emplois salariés à travers la promotion des petites et moyennes entreprises, des mesures incitatives favorisant l’auto emploi par des programmes et projets spécifiques axés sur les jeunes et les femmes, les recrutements dans la Fonction publique, l’</w:t>
      </w:r>
      <w:r w:rsidR="00FB5306">
        <w:rPr>
          <w:lang w:val="fr-FR"/>
        </w:rPr>
        <w:t>État</w:t>
      </w:r>
      <w:r w:rsidR="004306F2" w:rsidRPr="002E4295">
        <w:rPr>
          <w:lang w:val="fr-FR"/>
        </w:rPr>
        <w:t xml:space="preserve"> a, en collaboration avec l’OIT, élaboré le Programme Pays de promotion du Travail Décent (PPTD) pour la période allant de 2014 à 2017. Ce </w:t>
      </w:r>
      <w:r w:rsidR="009A14FA">
        <w:rPr>
          <w:lang w:val="fr-FR"/>
        </w:rPr>
        <w:t>d</w:t>
      </w:r>
      <w:r w:rsidR="004306F2" w:rsidRPr="002E4295">
        <w:rPr>
          <w:lang w:val="fr-FR"/>
        </w:rPr>
        <w:t>ocument s’articule autour de quatre axes prioritaires, à savoir l’accroissement des opportunités d’emplois décents et la promotion des activités génératrices de revenus notamment pour les femmes, les jeunes et les groupes vulnérables</w:t>
      </w:r>
      <w:r w:rsidR="00DA0404">
        <w:rPr>
          <w:lang w:val="fr-FR"/>
        </w:rPr>
        <w:t> ;</w:t>
      </w:r>
      <w:r w:rsidR="004306F2" w:rsidRPr="002E4295">
        <w:rPr>
          <w:lang w:val="fr-FR"/>
        </w:rPr>
        <w:t xml:space="preserve"> l’amélioration du cadre normatif et des conditions de travail pour tous</w:t>
      </w:r>
      <w:r w:rsidR="00DA0404">
        <w:rPr>
          <w:lang w:val="fr-FR"/>
        </w:rPr>
        <w:t> ;</w:t>
      </w:r>
      <w:r w:rsidR="004306F2" w:rsidRPr="002E4295">
        <w:rPr>
          <w:lang w:val="fr-FR"/>
        </w:rPr>
        <w:t xml:space="preserve"> le renforcement des capacités des mandants</w:t>
      </w:r>
      <w:r w:rsidR="005E63CE">
        <w:rPr>
          <w:lang w:val="fr-FR"/>
        </w:rPr>
        <w:t xml:space="preserve"> tripartites au dialogue social</w:t>
      </w:r>
      <w:r w:rsidR="00DA0404">
        <w:rPr>
          <w:lang w:val="fr-FR"/>
        </w:rPr>
        <w:t> ;</w:t>
      </w:r>
      <w:r w:rsidR="004306F2" w:rsidRPr="002E4295">
        <w:rPr>
          <w:lang w:val="fr-FR"/>
        </w:rPr>
        <w:t xml:space="preserve"> et la protection sociale.</w:t>
      </w:r>
    </w:p>
    <w:p w:rsidR="00FA4C10" w:rsidRDefault="00270BF3" w:rsidP="00270BF3">
      <w:pPr>
        <w:pStyle w:val="SingleTxtG"/>
        <w:rPr>
          <w:lang w:val="fr-FR"/>
        </w:rPr>
      </w:pPr>
      <w:r>
        <w:rPr>
          <w:lang w:val="fr-FR"/>
        </w:rPr>
        <w:lastRenderedPageBreak/>
        <w:t>52.</w:t>
      </w:r>
      <w:r>
        <w:rPr>
          <w:lang w:val="fr-FR"/>
        </w:rPr>
        <w:tab/>
      </w:r>
      <w:r w:rsidR="004306F2" w:rsidRPr="002E4295">
        <w:rPr>
          <w:lang w:val="fr-FR"/>
        </w:rPr>
        <w:t>De plus, le Plan d’Action National pour l’Emploi des Jeunes (PANEJ), élaboré pour la période allant de 2016 à 2020, vise la création d’au moins 380 000 emplois pour les jeunes pour un coût global estimé à 135 000 000 000 FCFA</w:t>
      </w:r>
      <w:r w:rsidR="004306F2" w:rsidRPr="00E153AE">
        <w:rPr>
          <w:rStyle w:val="Appelnotedebasdep"/>
        </w:rPr>
        <w:footnoteReference w:id="30"/>
      </w:r>
      <w:bookmarkStart w:id="20" w:name="_Toc466897342"/>
      <w:r w:rsidR="00FA4C10">
        <w:rPr>
          <w:lang w:val="fr-FR"/>
        </w:rPr>
        <w:t>.</w:t>
      </w:r>
    </w:p>
    <w:p w:rsidR="004306F2" w:rsidRPr="00FA4C10" w:rsidRDefault="00F17353" w:rsidP="00F17353">
      <w:pPr>
        <w:pStyle w:val="H1G"/>
        <w:ind w:left="1168"/>
        <w:rPr>
          <w:lang w:val="fr-FR"/>
        </w:rPr>
      </w:pPr>
      <w:r>
        <w:rPr>
          <w:lang w:val="fr-FR"/>
        </w:rPr>
        <w:tab/>
      </w:r>
      <w:r>
        <w:t>B.</w:t>
      </w:r>
      <w:r>
        <w:tab/>
      </w:r>
      <w:r w:rsidR="004306F2" w:rsidRPr="00B30AC6">
        <w:t>Développement des formations professionnelles répondant aux besoins du marché du travail</w:t>
      </w:r>
      <w:bookmarkEnd w:id="20"/>
    </w:p>
    <w:p w:rsidR="004306F2" w:rsidRPr="002E4295" w:rsidRDefault="00270BF3" w:rsidP="00270BF3">
      <w:pPr>
        <w:pStyle w:val="SingleTxtG"/>
        <w:rPr>
          <w:lang w:val="fr-FR"/>
        </w:rPr>
      </w:pPr>
      <w:r w:rsidRPr="002E4295">
        <w:rPr>
          <w:lang w:val="fr-FR"/>
        </w:rPr>
        <w:t>53.</w:t>
      </w:r>
      <w:r w:rsidRPr="002E4295">
        <w:rPr>
          <w:lang w:val="fr-FR"/>
        </w:rPr>
        <w:tab/>
      </w:r>
      <w:r w:rsidR="004306F2" w:rsidRPr="00C97336">
        <w:rPr>
          <w:lang w:val="fr-FR"/>
        </w:rPr>
        <w:t>L’</w:t>
      </w:r>
      <w:r w:rsidR="00FB5306">
        <w:rPr>
          <w:lang w:val="fr-FR"/>
        </w:rPr>
        <w:t>État</w:t>
      </w:r>
      <w:r w:rsidR="004306F2" w:rsidRPr="002E4295">
        <w:rPr>
          <w:lang w:val="fr-FR"/>
        </w:rPr>
        <w:t xml:space="preserve"> a mis en place 72 nouvelles sections artisanales rurales</w:t>
      </w:r>
      <w:r w:rsidR="00FB11B1">
        <w:rPr>
          <w:lang w:val="fr-FR"/>
        </w:rPr>
        <w:t xml:space="preserve"> et sections ménagères (SAR/SM)</w:t>
      </w:r>
      <w:r w:rsidR="00DA0404">
        <w:rPr>
          <w:lang w:val="fr-FR"/>
        </w:rPr>
        <w:t> :</w:t>
      </w:r>
      <w:r w:rsidR="004306F2" w:rsidRPr="002E4295">
        <w:rPr>
          <w:lang w:val="fr-FR"/>
        </w:rPr>
        <w:t xml:space="preserve"> 22 en 2013, 25 en 2014 et 30 en 2015. Ces structures publiques, associées aux 4</w:t>
      </w:r>
      <w:r w:rsidR="00DB1E6D">
        <w:rPr>
          <w:lang w:val="fr-FR"/>
        </w:rPr>
        <w:t> </w:t>
      </w:r>
      <w:r w:rsidR="004306F2" w:rsidRPr="002E4295">
        <w:rPr>
          <w:lang w:val="fr-FR"/>
        </w:rPr>
        <w:t xml:space="preserve">Centres de formation professionnelle (Yaoundé, </w:t>
      </w:r>
      <w:proofErr w:type="spellStart"/>
      <w:r w:rsidR="004306F2" w:rsidRPr="002E4295">
        <w:rPr>
          <w:lang w:val="fr-FR"/>
        </w:rPr>
        <w:t>Buéa</w:t>
      </w:r>
      <w:proofErr w:type="spellEnd"/>
      <w:r w:rsidR="004306F2" w:rsidRPr="002E4295">
        <w:rPr>
          <w:lang w:val="fr-FR"/>
        </w:rPr>
        <w:t xml:space="preserve">, Garoua et </w:t>
      </w:r>
      <w:proofErr w:type="spellStart"/>
      <w:r w:rsidR="004306F2" w:rsidRPr="002E4295">
        <w:rPr>
          <w:lang w:val="fr-FR"/>
        </w:rPr>
        <w:t>Pitoa</w:t>
      </w:r>
      <w:proofErr w:type="spellEnd"/>
      <w:r w:rsidR="004306F2" w:rsidRPr="002E4295">
        <w:rPr>
          <w:lang w:val="fr-FR"/>
        </w:rPr>
        <w:t xml:space="preserve">), et aux 3 Centres de formation professionnelles d’excellence (Douala, </w:t>
      </w:r>
      <w:proofErr w:type="spellStart"/>
      <w:r w:rsidR="004306F2" w:rsidRPr="002E4295">
        <w:rPr>
          <w:lang w:val="fr-FR"/>
        </w:rPr>
        <w:t>Limbé</w:t>
      </w:r>
      <w:proofErr w:type="spellEnd"/>
      <w:r w:rsidR="004306F2" w:rsidRPr="002E4295">
        <w:rPr>
          <w:lang w:val="fr-FR"/>
        </w:rPr>
        <w:t xml:space="preserve"> et Sangmélima) visent l’apprentissage de divers métiers. De plus, pour étendre l’offre de formation professionnelle, 316 structures privées ont obtenu des agréments, s</w:t>
      </w:r>
      <w:r w:rsidR="005E63CE">
        <w:rPr>
          <w:lang w:val="fr-FR"/>
        </w:rPr>
        <w:t>oit 172 en 2014 et 144 en 2015.</w:t>
      </w:r>
    </w:p>
    <w:p w:rsidR="004306F2" w:rsidRPr="002E4295" w:rsidRDefault="00270BF3" w:rsidP="00270BF3">
      <w:pPr>
        <w:pStyle w:val="SingleTxtG"/>
        <w:rPr>
          <w:lang w:val="fr-FR"/>
        </w:rPr>
      </w:pPr>
      <w:r w:rsidRPr="002E4295">
        <w:rPr>
          <w:lang w:val="fr-FR"/>
        </w:rPr>
        <w:t>54.</w:t>
      </w:r>
      <w:r w:rsidRPr="002E4295">
        <w:rPr>
          <w:lang w:val="fr-FR"/>
        </w:rPr>
        <w:tab/>
      </w:r>
      <w:r w:rsidR="004306F2" w:rsidRPr="002E4295">
        <w:rPr>
          <w:lang w:val="fr-FR"/>
        </w:rPr>
        <w:t>Dans le cadre du renforcement de l’accès aux offres de formations professionnelles, l’</w:t>
      </w:r>
      <w:r w:rsidR="00FB5306">
        <w:rPr>
          <w:lang w:val="fr-FR"/>
        </w:rPr>
        <w:t>État</w:t>
      </w:r>
      <w:r w:rsidR="004306F2" w:rsidRPr="002E4295">
        <w:rPr>
          <w:lang w:val="fr-FR"/>
        </w:rPr>
        <w:t xml:space="preserve"> a octroyé des appuis financiers à des structures privées soit 45 000 000 FCFA</w:t>
      </w:r>
      <w:r w:rsidR="004306F2" w:rsidRPr="00E153AE">
        <w:rPr>
          <w:rStyle w:val="Appelnotedebasdep"/>
        </w:rPr>
        <w:footnoteReference w:id="31"/>
      </w:r>
      <w:r w:rsidR="004306F2" w:rsidRPr="002E4295">
        <w:rPr>
          <w:lang w:val="fr-FR"/>
        </w:rPr>
        <w:t xml:space="preserve"> à 23 Centres privés de formation en 2014, et 10 000 000 FCFA</w:t>
      </w:r>
      <w:r w:rsidR="004306F2" w:rsidRPr="00E153AE">
        <w:rPr>
          <w:rStyle w:val="Appelnotedebasdep"/>
        </w:rPr>
        <w:footnoteReference w:id="32"/>
      </w:r>
      <w:r w:rsidR="004306F2" w:rsidRPr="002E4295">
        <w:rPr>
          <w:lang w:val="fr-FR"/>
        </w:rPr>
        <w:t xml:space="preserve"> à 10 autres Institutions en 2015.</w:t>
      </w:r>
    </w:p>
    <w:p w:rsidR="004306F2" w:rsidRPr="002E4295" w:rsidRDefault="00270BF3" w:rsidP="00270BF3">
      <w:pPr>
        <w:pStyle w:val="SingleTxtG"/>
        <w:rPr>
          <w:lang w:val="fr-FR"/>
        </w:rPr>
      </w:pPr>
      <w:r w:rsidRPr="002E4295">
        <w:rPr>
          <w:lang w:val="fr-FR"/>
        </w:rPr>
        <w:t>55.</w:t>
      </w:r>
      <w:r w:rsidRPr="002E4295">
        <w:rPr>
          <w:lang w:val="fr-FR"/>
        </w:rPr>
        <w:tab/>
      </w:r>
      <w:r w:rsidR="004306F2" w:rsidRPr="002E4295">
        <w:rPr>
          <w:lang w:val="fr-FR"/>
        </w:rPr>
        <w:t>Les défis rencontrés en matière de formation professionnelle portent essentiellement sur le renforcement du cadre juridique, la coordination des acteurs et le suivi post-formation des apprenants.</w:t>
      </w:r>
    </w:p>
    <w:p w:rsidR="004306F2" w:rsidRPr="002E4295" w:rsidRDefault="00F17353" w:rsidP="00F17353">
      <w:pPr>
        <w:pStyle w:val="H1G"/>
        <w:rPr>
          <w:lang w:val="fr-FR"/>
        </w:rPr>
      </w:pPr>
      <w:bookmarkStart w:id="21" w:name="_Toc466897343"/>
      <w:r>
        <w:rPr>
          <w:lang w:val="fr-FR"/>
        </w:rPr>
        <w:tab/>
        <w:t>C.</w:t>
      </w:r>
      <w:r>
        <w:rPr>
          <w:lang w:val="fr-FR"/>
        </w:rPr>
        <w:tab/>
      </w:r>
      <w:r w:rsidR="004306F2" w:rsidRPr="002E4295">
        <w:rPr>
          <w:lang w:val="fr-FR"/>
        </w:rPr>
        <w:t>Les activités promues par le Fonds National de l’Emploi (FNE), telles</w:t>
      </w:r>
      <w:r w:rsidR="00DB1E6D">
        <w:rPr>
          <w:lang w:val="fr-FR"/>
        </w:rPr>
        <w:t> </w:t>
      </w:r>
      <w:r w:rsidR="004306F2" w:rsidRPr="002E4295">
        <w:rPr>
          <w:lang w:val="fr-FR"/>
        </w:rPr>
        <w:t xml:space="preserve">l’appui à la création de micro-entreprises et la formation </w:t>
      </w:r>
      <w:r w:rsidR="00DB1E6D">
        <w:rPr>
          <w:lang w:val="fr-FR"/>
        </w:rPr>
        <w:br/>
      </w:r>
      <w:r w:rsidR="004306F2" w:rsidRPr="002E4295">
        <w:rPr>
          <w:lang w:val="fr-FR"/>
        </w:rPr>
        <w:t>dans les métiers favorisant la création d’emplois</w:t>
      </w:r>
      <w:bookmarkEnd w:id="21"/>
    </w:p>
    <w:p w:rsidR="004306F2" w:rsidRPr="00DB1E6D" w:rsidRDefault="00270BF3" w:rsidP="00270BF3">
      <w:pPr>
        <w:pStyle w:val="SingleTxtG"/>
        <w:rPr>
          <w:lang w:val="fr-FR"/>
        </w:rPr>
      </w:pPr>
      <w:r w:rsidRPr="00DB1E6D">
        <w:rPr>
          <w:lang w:val="fr-FR"/>
        </w:rPr>
        <w:t>56.</w:t>
      </w:r>
      <w:r w:rsidRPr="00DB1E6D">
        <w:rPr>
          <w:lang w:val="fr-FR"/>
        </w:rPr>
        <w:tab/>
      </w:r>
      <w:r w:rsidR="004306F2" w:rsidRPr="002E4295">
        <w:rPr>
          <w:lang w:val="fr-FR"/>
        </w:rPr>
        <w:t xml:space="preserve">Le FNE a poursuivi ses activités d’accueil, d’orientation et d’intermédiation avec les entreprises. </w:t>
      </w:r>
      <w:r w:rsidR="009527BF">
        <w:rPr>
          <w:lang w:val="fr-FR"/>
        </w:rPr>
        <w:t>À</w:t>
      </w:r>
      <w:r w:rsidR="004306F2" w:rsidRPr="002E4295">
        <w:rPr>
          <w:lang w:val="fr-FR"/>
        </w:rPr>
        <w:t xml:space="preserve"> cet effet, on note une hausse graduelle du nombre de chercheurs d’emploi enregistrés dès le processus d’accueil et d’orientation, passant ainsi de</w:t>
      </w:r>
      <w:r w:rsidR="00FB11B1">
        <w:rPr>
          <w:lang w:val="fr-FR"/>
        </w:rPr>
        <w:t xml:space="preserve"> 31</w:t>
      </w:r>
      <w:r w:rsidR="00DB1E6D">
        <w:rPr>
          <w:lang w:val="fr-FR"/>
        </w:rPr>
        <w:t> </w:t>
      </w:r>
      <w:r w:rsidR="00FB11B1">
        <w:rPr>
          <w:lang w:val="fr-FR"/>
        </w:rPr>
        <w:t>328 en 2011, 38</w:t>
      </w:r>
      <w:r w:rsidR="00DB1E6D">
        <w:rPr>
          <w:lang w:val="fr-FR"/>
        </w:rPr>
        <w:t> </w:t>
      </w:r>
      <w:r w:rsidR="004306F2" w:rsidRPr="002E4295">
        <w:rPr>
          <w:lang w:val="fr-FR"/>
        </w:rPr>
        <w:t>627 en 2012, 38</w:t>
      </w:r>
      <w:r w:rsidR="00DB1E6D">
        <w:rPr>
          <w:lang w:val="fr-FR"/>
        </w:rPr>
        <w:t> </w:t>
      </w:r>
      <w:r w:rsidR="00FB11B1">
        <w:rPr>
          <w:lang w:val="fr-FR"/>
        </w:rPr>
        <w:t>455 en 2013, 47</w:t>
      </w:r>
      <w:r w:rsidR="00DB1E6D">
        <w:rPr>
          <w:lang w:val="fr-FR"/>
        </w:rPr>
        <w:t> </w:t>
      </w:r>
      <w:r w:rsidR="00FB11B1">
        <w:rPr>
          <w:lang w:val="fr-FR"/>
        </w:rPr>
        <w:t>607 en 2014, à 51</w:t>
      </w:r>
      <w:r w:rsidR="00DB1E6D">
        <w:rPr>
          <w:lang w:val="fr-FR"/>
        </w:rPr>
        <w:t> </w:t>
      </w:r>
      <w:r w:rsidR="004306F2" w:rsidRPr="002E4295">
        <w:rPr>
          <w:lang w:val="fr-FR"/>
        </w:rPr>
        <w:t>330</w:t>
      </w:r>
      <w:r w:rsidR="00FB11B1">
        <w:rPr>
          <w:lang w:val="fr-FR"/>
        </w:rPr>
        <w:t xml:space="preserve"> </w:t>
      </w:r>
      <w:r w:rsidR="004306F2" w:rsidRPr="002E4295">
        <w:rPr>
          <w:lang w:val="fr-FR"/>
        </w:rPr>
        <w:t xml:space="preserve">en 2015. Toutefois, la barre de placement en emplois salariés demeure largement inférieure à celle représentant le nombre sans cesse croissant de chercheurs d’emplois enregistrés de 2013 à 2015 auprès des structures du </w:t>
      </w:r>
      <w:r w:rsidR="004306F2" w:rsidRPr="00DB1E6D">
        <w:rPr>
          <w:lang w:val="fr-FR"/>
        </w:rPr>
        <w:t>FNE</w:t>
      </w:r>
      <w:r w:rsidR="00A117A6">
        <w:rPr>
          <w:lang w:val="fr-FR"/>
        </w:rPr>
        <w:t xml:space="preserve"> (a</w:t>
      </w:r>
      <w:r w:rsidR="004306F2" w:rsidRPr="0017665A">
        <w:rPr>
          <w:lang w:val="fr-FR"/>
        </w:rPr>
        <w:t xml:space="preserve">nnexes </w:t>
      </w:r>
      <w:r w:rsidR="00DB1E6D" w:rsidRPr="002E4295">
        <w:rPr>
          <w:lang w:val="fr-FR"/>
        </w:rPr>
        <w:t>n</w:t>
      </w:r>
      <w:r w:rsidR="00DB1E6D" w:rsidRPr="00D6478B">
        <w:rPr>
          <w:vertAlign w:val="superscript"/>
          <w:lang w:val="fr-FR"/>
        </w:rPr>
        <w:t>o</w:t>
      </w:r>
      <w:r w:rsidR="00DB1E6D">
        <w:rPr>
          <w:vertAlign w:val="superscript"/>
          <w:lang w:val="fr-FR"/>
        </w:rPr>
        <w:t>s</w:t>
      </w:r>
      <w:r w:rsidR="00DB1E6D">
        <w:rPr>
          <w:lang w:val="fr-FR"/>
        </w:rPr>
        <w:t> </w:t>
      </w:r>
      <w:r w:rsidR="004306F2" w:rsidRPr="0017665A">
        <w:rPr>
          <w:lang w:val="fr-FR"/>
        </w:rPr>
        <w:t>4 et 5).</w:t>
      </w:r>
    </w:p>
    <w:p w:rsidR="004306F2" w:rsidRPr="002E4295" w:rsidRDefault="00F17353" w:rsidP="00F17353">
      <w:pPr>
        <w:pStyle w:val="H1G"/>
        <w:rPr>
          <w:lang w:val="fr-FR"/>
        </w:rPr>
      </w:pPr>
      <w:bookmarkStart w:id="22" w:name="_Toc466897344"/>
      <w:r>
        <w:rPr>
          <w:lang w:val="fr-FR"/>
        </w:rPr>
        <w:tab/>
        <w:t>D.</w:t>
      </w:r>
      <w:r>
        <w:rPr>
          <w:lang w:val="fr-FR"/>
        </w:rPr>
        <w:tab/>
      </w:r>
      <w:r w:rsidR="004306F2" w:rsidRPr="002E4295">
        <w:rPr>
          <w:lang w:val="fr-FR"/>
        </w:rPr>
        <w:t xml:space="preserve">Ressources du FNE et l’Observatoire National de l’Emploi </w:t>
      </w:r>
      <w:r w:rsidR="00DB1E6D">
        <w:rPr>
          <w:lang w:val="fr-FR"/>
        </w:rPr>
        <w:br/>
      </w:r>
      <w:r w:rsidR="004306F2" w:rsidRPr="002E4295">
        <w:rPr>
          <w:lang w:val="fr-FR"/>
        </w:rPr>
        <w:t>et de la Formation Professionnelle</w:t>
      </w:r>
      <w:bookmarkEnd w:id="22"/>
    </w:p>
    <w:p w:rsidR="004306F2" w:rsidRPr="002E4295" w:rsidRDefault="00270BF3" w:rsidP="00270BF3">
      <w:pPr>
        <w:pStyle w:val="SingleTxtG"/>
        <w:rPr>
          <w:lang w:val="fr-FR"/>
        </w:rPr>
      </w:pPr>
      <w:r w:rsidRPr="002E4295">
        <w:rPr>
          <w:lang w:val="fr-FR"/>
        </w:rPr>
        <w:t>57.</w:t>
      </w:r>
      <w:r w:rsidRPr="002E4295">
        <w:rPr>
          <w:lang w:val="fr-FR"/>
        </w:rPr>
        <w:tab/>
      </w:r>
      <w:r w:rsidR="004306F2" w:rsidRPr="002E4295">
        <w:rPr>
          <w:lang w:val="fr-FR"/>
        </w:rPr>
        <w:t>Le budget alloué au FNE pour ses activités a évolué de 2011 à 2015. En</w:t>
      </w:r>
      <w:r w:rsidR="006A57AD">
        <w:rPr>
          <w:lang w:val="fr-FR"/>
        </w:rPr>
        <w:t xml:space="preserve"> </w:t>
      </w:r>
      <w:r w:rsidR="00006EF1">
        <w:rPr>
          <w:lang w:val="fr-FR"/>
        </w:rPr>
        <w:t>2011, le </w:t>
      </w:r>
      <w:r w:rsidR="004306F2" w:rsidRPr="002E4295">
        <w:rPr>
          <w:lang w:val="fr-FR"/>
        </w:rPr>
        <w:t>montant alloué était d</w:t>
      </w:r>
      <w:r w:rsidR="00FB11B1">
        <w:rPr>
          <w:lang w:val="fr-FR"/>
        </w:rPr>
        <w:t>e 6</w:t>
      </w:r>
      <w:r w:rsidR="00DB1E6D">
        <w:rPr>
          <w:lang w:val="fr-FR"/>
        </w:rPr>
        <w:t> </w:t>
      </w:r>
      <w:r w:rsidR="004306F2" w:rsidRPr="002E4295">
        <w:rPr>
          <w:lang w:val="fr-FR"/>
        </w:rPr>
        <w:t>000</w:t>
      </w:r>
      <w:r w:rsidR="00DB1E6D">
        <w:rPr>
          <w:lang w:val="fr-FR"/>
        </w:rPr>
        <w:t> </w:t>
      </w:r>
      <w:r w:rsidR="004306F2" w:rsidRPr="002E4295">
        <w:rPr>
          <w:lang w:val="fr-FR"/>
        </w:rPr>
        <w:t>000</w:t>
      </w:r>
      <w:r w:rsidR="00DB1E6D">
        <w:rPr>
          <w:lang w:val="fr-FR"/>
        </w:rPr>
        <w:t> </w:t>
      </w:r>
      <w:r w:rsidR="004306F2" w:rsidRPr="002E4295">
        <w:rPr>
          <w:lang w:val="fr-FR"/>
        </w:rPr>
        <w:t>000 FCFA</w:t>
      </w:r>
      <w:r w:rsidR="004306F2" w:rsidRPr="00E153AE">
        <w:rPr>
          <w:rStyle w:val="Appelnotedebasdep"/>
        </w:rPr>
        <w:footnoteReference w:id="33"/>
      </w:r>
      <w:r w:rsidR="00FB11B1">
        <w:rPr>
          <w:lang w:val="fr-FR"/>
        </w:rPr>
        <w:t>, en 2012, il était de 7</w:t>
      </w:r>
      <w:r w:rsidR="00DB1E6D">
        <w:rPr>
          <w:lang w:val="fr-FR"/>
        </w:rPr>
        <w:t> </w:t>
      </w:r>
      <w:r w:rsidR="004306F2" w:rsidRPr="002E4295">
        <w:rPr>
          <w:lang w:val="fr-FR"/>
        </w:rPr>
        <w:t>000</w:t>
      </w:r>
      <w:r w:rsidR="00DB1E6D">
        <w:rPr>
          <w:lang w:val="fr-FR"/>
        </w:rPr>
        <w:t> </w:t>
      </w:r>
      <w:r w:rsidR="004306F2" w:rsidRPr="002E4295">
        <w:rPr>
          <w:lang w:val="fr-FR"/>
        </w:rPr>
        <w:t>000</w:t>
      </w:r>
      <w:r w:rsidR="00DB1E6D">
        <w:rPr>
          <w:lang w:val="fr-FR"/>
        </w:rPr>
        <w:t> </w:t>
      </w:r>
      <w:r w:rsidR="004306F2" w:rsidRPr="002E4295">
        <w:rPr>
          <w:lang w:val="fr-FR"/>
        </w:rPr>
        <w:t>000 FCFA</w:t>
      </w:r>
      <w:r w:rsidR="004306F2" w:rsidRPr="00E153AE">
        <w:rPr>
          <w:rStyle w:val="Appelnotedebasdep"/>
        </w:rPr>
        <w:footnoteReference w:id="34"/>
      </w:r>
      <w:r w:rsidR="00FB11B1">
        <w:rPr>
          <w:lang w:val="fr-FR"/>
        </w:rPr>
        <w:t>, en 2013 il était de 6</w:t>
      </w:r>
      <w:r w:rsidR="00DB1E6D">
        <w:rPr>
          <w:lang w:val="fr-FR"/>
        </w:rPr>
        <w:t> </w:t>
      </w:r>
      <w:r w:rsidR="004306F2" w:rsidRPr="002E4295">
        <w:rPr>
          <w:lang w:val="fr-FR"/>
        </w:rPr>
        <w:t>500</w:t>
      </w:r>
      <w:r w:rsidR="00DB1E6D">
        <w:rPr>
          <w:lang w:val="fr-FR"/>
        </w:rPr>
        <w:t> </w:t>
      </w:r>
      <w:r w:rsidR="004306F2" w:rsidRPr="002E4295">
        <w:rPr>
          <w:lang w:val="fr-FR"/>
        </w:rPr>
        <w:t>000</w:t>
      </w:r>
      <w:r w:rsidR="00DB1E6D">
        <w:rPr>
          <w:lang w:val="fr-FR"/>
        </w:rPr>
        <w:t> </w:t>
      </w:r>
      <w:r w:rsidR="004306F2" w:rsidRPr="002E4295">
        <w:rPr>
          <w:lang w:val="fr-FR"/>
        </w:rPr>
        <w:t>000 FCFA</w:t>
      </w:r>
      <w:r w:rsidR="004306F2" w:rsidRPr="00E153AE">
        <w:rPr>
          <w:rStyle w:val="Appelnotedebasdep"/>
        </w:rPr>
        <w:footnoteReference w:id="35"/>
      </w:r>
      <w:r w:rsidR="004306F2" w:rsidRPr="002E4295">
        <w:rPr>
          <w:lang w:val="fr-FR"/>
        </w:rPr>
        <w:t>, en 2014, il était de 7</w:t>
      </w:r>
      <w:r w:rsidR="00DB1E6D">
        <w:rPr>
          <w:lang w:val="fr-FR"/>
        </w:rPr>
        <w:t> </w:t>
      </w:r>
      <w:r w:rsidR="004306F2" w:rsidRPr="002E4295">
        <w:rPr>
          <w:lang w:val="fr-FR"/>
        </w:rPr>
        <w:t>500</w:t>
      </w:r>
      <w:r w:rsidR="00DB1E6D">
        <w:rPr>
          <w:lang w:val="fr-FR"/>
        </w:rPr>
        <w:t> </w:t>
      </w:r>
      <w:r w:rsidR="004306F2" w:rsidRPr="002E4295">
        <w:rPr>
          <w:lang w:val="fr-FR"/>
        </w:rPr>
        <w:t>000</w:t>
      </w:r>
      <w:r w:rsidR="00DB1E6D">
        <w:rPr>
          <w:lang w:val="fr-FR"/>
        </w:rPr>
        <w:t> </w:t>
      </w:r>
      <w:r w:rsidR="00FB11B1">
        <w:rPr>
          <w:lang w:val="fr-FR"/>
        </w:rPr>
        <w:t xml:space="preserve">000 </w:t>
      </w:r>
      <w:r w:rsidR="004306F2" w:rsidRPr="002E4295">
        <w:rPr>
          <w:lang w:val="fr-FR"/>
        </w:rPr>
        <w:t>FCFA</w:t>
      </w:r>
      <w:r w:rsidR="004306F2" w:rsidRPr="00E153AE">
        <w:rPr>
          <w:rStyle w:val="Appelnotedebasdep"/>
        </w:rPr>
        <w:footnoteReference w:id="36"/>
      </w:r>
      <w:r w:rsidR="004306F2" w:rsidRPr="002E4295">
        <w:rPr>
          <w:lang w:val="fr-FR"/>
        </w:rPr>
        <w:t xml:space="preserve"> et, en 2015, le budget alloué était de 8</w:t>
      </w:r>
      <w:r w:rsidR="00DB1E6D">
        <w:rPr>
          <w:lang w:val="fr-FR"/>
        </w:rPr>
        <w:t> </w:t>
      </w:r>
      <w:r w:rsidR="004306F2" w:rsidRPr="002E4295">
        <w:rPr>
          <w:lang w:val="fr-FR"/>
        </w:rPr>
        <w:t>000</w:t>
      </w:r>
      <w:r w:rsidR="00DB1E6D">
        <w:rPr>
          <w:lang w:val="fr-FR"/>
        </w:rPr>
        <w:t> </w:t>
      </w:r>
      <w:r w:rsidR="004306F2" w:rsidRPr="002E4295">
        <w:rPr>
          <w:lang w:val="fr-FR"/>
        </w:rPr>
        <w:t>000</w:t>
      </w:r>
      <w:r w:rsidR="00DB1E6D">
        <w:rPr>
          <w:lang w:val="fr-FR"/>
        </w:rPr>
        <w:t> </w:t>
      </w:r>
      <w:r w:rsidR="004306F2" w:rsidRPr="002E4295">
        <w:rPr>
          <w:lang w:val="fr-FR"/>
        </w:rPr>
        <w:t>000 FCFA</w:t>
      </w:r>
      <w:r w:rsidR="004306F2" w:rsidRPr="00DB1E6D">
        <w:rPr>
          <w:rStyle w:val="Appelnotedebasdep"/>
        </w:rPr>
        <w:footnoteReference w:id="37"/>
      </w:r>
      <w:r w:rsidR="00DB1E6D">
        <w:rPr>
          <w:lang w:val="fr-FR"/>
        </w:rPr>
        <w:t xml:space="preserve"> </w:t>
      </w:r>
      <w:r w:rsidR="00A117A6">
        <w:rPr>
          <w:lang w:val="fr-FR"/>
        </w:rPr>
        <w:t>(a</w:t>
      </w:r>
      <w:r w:rsidR="004306F2" w:rsidRPr="0017665A">
        <w:rPr>
          <w:lang w:val="fr-FR"/>
        </w:rPr>
        <w:t xml:space="preserve">nnexe </w:t>
      </w:r>
      <w:r w:rsidR="00DB1E6D" w:rsidRPr="002E4295">
        <w:rPr>
          <w:lang w:val="fr-FR"/>
        </w:rPr>
        <w:t>n</w:t>
      </w:r>
      <w:r w:rsidR="00DB1E6D" w:rsidRPr="00D6478B">
        <w:rPr>
          <w:vertAlign w:val="superscript"/>
          <w:lang w:val="fr-FR"/>
        </w:rPr>
        <w:t>o</w:t>
      </w:r>
      <w:r w:rsidR="00DB1E6D">
        <w:rPr>
          <w:lang w:val="fr-FR"/>
        </w:rPr>
        <w:t> </w:t>
      </w:r>
      <w:r w:rsidR="004306F2" w:rsidRPr="0017665A">
        <w:rPr>
          <w:lang w:val="fr-FR"/>
        </w:rPr>
        <w:t>6).</w:t>
      </w:r>
    </w:p>
    <w:p w:rsidR="004306F2" w:rsidRPr="002E4295" w:rsidRDefault="00270BF3" w:rsidP="00270BF3">
      <w:pPr>
        <w:pStyle w:val="SingleTxtG"/>
        <w:rPr>
          <w:lang w:val="fr-FR"/>
        </w:rPr>
      </w:pPr>
      <w:r w:rsidRPr="002E4295">
        <w:rPr>
          <w:lang w:val="fr-FR"/>
        </w:rPr>
        <w:t>58.</w:t>
      </w:r>
      <w:r w:rsidRPr="002E4295">
        <w:rPr>
          <w:lang w:val="fr-FR"/>
        </w:rPr>
        <w:tab/>
      </w:r>
      <w:r w:rsidR="004306F2" w:rsidRPr="002E4295">
        <w:rPr>
          <w:lang w:val="fr-FR"/>
        </w:rPr>
        <w:t>En ce qui concerne l’Observatoire National de l’Emploi et de la Formation Professionnelle (ONEFOP), la dotatio</w:t>
      </w:r>
      <w:r w:rsidR="00614C91">
        <w:rPr>
          <w:lang w:val="fr-FR"/>
        </w:rPr>
        <w:t>n financière oscillait entre 61</w:t>
      </w:r>
      <w:r w:rsidR="00394F98">
        <w:rPr>
          <w:lang w:val="fr-FR"/>
        </w:rPr>
        <w:t> </w:t>
      </w:r>
      <w:r w:rsidR="004306F2" w:rsidRPr="002E4295">
        <w:rPr>
          <w:lang w:val="fr-FR"/>
        </w:rPr>
        <w:t>900</w:t>
      </w:r>
      <w:r w:rsidR="00394F98">
        <w:rPr>
          <w:lang w:val="fr-FR"/>
        </w:rPr>
        <w:t> </w:t>
      </w:r>
      <w:r w:rsidR="004306F2" w:rsidRPr="002E4295">
        <w:rPr>
          <w:lang w:val="fr-FR"/>
        </w:rPr>
        <w:t>000</w:t>
      </w:r>
      <w:r w:rsidR="00394F98">
        <w:rPr>
          <w:lang w:val="fr-FR"/>
        </w:rPr>
        <w:t> </w:t>
      </w:r>
      <w:r w:rsidR="004306F2" w:rsidRPr="002E4295">
        <w:rPr>
          <w:lang w:val="fr-FR"/>
        </w:rPr>
        <w:t>000 FCFA</w:t>
      </w:r>
      <w:r w:rsidR="004306F2" w:rsidRPr="00E153AE">
        <w:rPr>
          <w:rStyle w:val="Appelnotedebasdep"/>
        </w:rPr>
        <w:footnoteReference w:id="38"/>
      </w:r>
      <w:r w:rsidR="00614C91">
        <w:rPr>
          <w:lang w:val="fr-FR"/>
        </w:rPr>
        <w:t xml:space="preserve"> en 2013, 159</w:t>
      </w:r>
      <w:r w:rsidR="00394F98">
        <w:rPr>
          <w:lang w:val="fr-FR"/>
        </w:rPr>
        <w:t> </w:t>
      </w:r>
      <w:r w:rsidR="004306F2" w:rsidRPr="002E4295">
        <w:rPr>
          <w:lang w:val="fr-FR"/>
        </w:rPr>
        <w:t>000</w:t>
      </w:r>
      <w:r w:rsidR="00394F98">
        <w:rPr>
          <w:lang w:val="fr-FR"/>
        </w:rPr>
        <w:t> </w:t>
      </w:r>
      <w:r w:rsidR="004306F2" w:rsidRPr="002E4295">
        <w:rPr>
          <w:lang w:val="fr-FR"/>
        </w:rPr>
        <w:t>000</w:t>
      </w:r>
      <w:r w:rsidR="00394F98">
        <w:rPr>
          <w:lang w:val="fr-FR"/>
        </w:rPr>
        <w:t> </w:t>
      </w:r>
      <w:r w:rsidR="004306F2" w:rsidRPr="002E4295">
        <w:rPr>
          <w:lang w:val="fr-FR"/>
        </w:rPr>
        <w:t>000 FCFA</w:t>
      </w:r>
      <w:r w:rsidR="004306F2" w:rsidRPr="00E153AE">
        <w:rPr>
          <w:rStyle w:val="Appelnotedebasdep"/>
        </w:rPr>
        <w:footnoteReference w:id="39"/>
      </w:r>
      <w:r w:rsidR="00614C91">
        <w:rPr>
          <w:lang w:val="fr-FR"/>
        </w:rPr>
        <w:t xml:space="preserve"> en 2014 et 57</w:t>
      </w:r>
      <w:r w:rsidR="00394F98">
        <w:rPr>
          <w:lang w:val="fr-FR"/>
        </w:rPr>
        <w:t> </w:t>
      </w:r>
      <w:r w:rsidR="004306F2" w:rsidRPr="002E4295">
        <w:rPr>
          <w:lang w:val="fr-FR"/>
        </w:rPr>
        <w:t>000</w:t>
      </w:r>
      <w:r w:rsidR="00394F98">
        <w:rPr>
          <w:lang w:val="fr-FR"/>
        </w:rPr>
        <w:t> </w:t>
      </w:r>
      <w:r w:rsidR="004306F2" w:rsidRPr="002E4295">
        <w:rPr>
          <w:lang w:val="fr-FR"/>
        </w:rPr>
        <w:t>000</w:t>
      </w:r>
      <w:r w:rsidR="00394F98">
        <w:rPr>
          <w:lang w:val="fr-FR"/>
        </w:rPr>
        <w:t> </w:t>
      </w:r>
      <w:r w:rsidR="004306F2" w:rsidRPr="002E4295">
        <w:rPr>
          <w:lang w:val="fr-FR"/>
        </w:rPr>
        <w:t>000 FCFA</w:t>
      </w:r>
      <w:r w:rsidR="004306F2" w:rsidRPr="00E153AE">
        <w:rPr>
          <w:rStyle w:val="Appelnotedebasdep"/>
        </w:rPr>
        <w:footnoteReference w:id="40"/>
      </w:r>
      <w:r w:rsidR="004306F2" w:rsidRPr="002E4295">
        <w:rPr>
          <w:lang w:val="fr-FR"/>
        </w:rPr>
        <w:t xml:space="preserve"> en 2015.</w:t>
      </w:r>
    </w:p>
    <w:p w:rsidR="004306F2" w:rsidRPr="002E4295" w:rsidRDefault="00270BF3" w:rsidP="00270BF3">
      <w:pPr>
        <w:pStyle w:val="SingleTxtG"/>
        <w:rPr>
          <w:lang w:val="fr-FR"/>
        </w:rPr>
      </w:pPr>
      <w:r w:rsidRPr="002E4295">
        <w:rPr>
          <w:lang w:val="fr-FR"/>
        </w:rPr>
        <w:lastRenderedPageBreak/>
        <w:t>59.</w:t>
      </w:r>
      <w:r w:rsidRPr="002E4295">
        <w:rPr>
          <w:lang w:val="fr-FR"/>
        </w:rPr>
        <w:tab/>
      </w:r>
      <w:r w:rsidR="004306F2" w:rsidRPr="002E4295">
        <w:rPr>
          <w:lang w:val="fr-FR"/>
        </w:rPr>
        <w:t xml:space="preserve">Cette Structure dispose de 10 antennes Régionales et </w:t>
      </w:r>
      <w:r w:rsidR="00006EF1">
        <w:rPr>
          <w:lang w:val="fr-FR"/>
        </w:rPr>
        <w:t xml:space="preserve">d’un Bureau Central composé de </w:t>
      </w:r>
      <w:r w:rsidR="004306F2" w:rsidRPr="002E4295">
        <w:rPr>
          <w:lang w:val="fr-FR"/>
        </w:rPr>
        <w:t>8 personnes regroupant un coordonnateur, un statisticien, un démographe, deux secrétaires, un Chauffeur, un agent de communication et un agent administratif et financier.</w:t>
      </w:r>
    </w:p>
    <w:p w:rsidR="004306F2" w:rsidRPr="0017665A" w:rsidRDefault="00823CDD" w:rsidP="0017665A">
      <w:pPr>
        <w:pStyle w:val="HChG"/>
      </w:pPr>
      <w:bookmarkStart w:id="23" w:name="_Toc466897345"/>
      <w:r>
        <w:rPr>
          <w:lang w:val="fr-FR"/>
        </w:rPr>
        <w:tab/>
        <w:t>XI.</w:t>
      </w:r>
      <w:r>
        <w:rPr>
          <w:lang w:val="fr-FR"/>
        </w:rPr>
        <w:tab/>
      </w:r>
      <w:r w:rsidR="004306F2" w:rsidRPr="002E4295">
        <w:rPr>
          <w:lang w:val="fr-FR"/>
        </w:rPr>
        <w:t>R</w:t>
      </w:r>
      <w:r w:rsidR="00255611" w:rsidRPr="002E4295">
        <w:rPr>
          <w:lang w:val="fr-FR"/>
        </w:rPr>
        <w:t>ec.</w:t>
      </w:r>
      <w:r>
        <w:rPr>
          <w:lang w:val="fr-FR"/>
        </w:rPr>
        <w:t> </w:t>
      </w:r>
      <w:r w:rsidR="004306F2" w:rsidRPr="002E4295">
        <w:rPr>
          <w:lang w:val="fr-FR"/>
        </w:rPr>
        <w:t>16</w:t>
      </w:r>
      <w:r w:rsidR="00255611" w:rsidRPr="002E4295">
        <w:rPr>
          <w:lang w:val="fr-FR"/>
        </w:rPr>
        <w:t>.</w:t>
      </w:r>
      <w:r>
        <w:rPr>
          <w:lang w:val="fr-FR"/>
        </w:rPr>
        <w:t> </w:t>
      </w:r>
      <w:r w:rsidR="004306F2" w:rsidRPr="002E4295">
        <w:rPr>
          <w:lang w:val="fr-FR"/>
        </w:rPr>
        <w:t>Valeur du Salaire Minimum Interprofessionnel Garanti</w:t>
      </w:r>
      <w:bookmarkEnd w:id="23"/>
    </w:p>
    <w:p w:rsidR="004306F2" w:rsidRPr="002E4295" w:rsidRDefault="00270BF3" w:rsidP="00270BF3">
      <w:pPr>
        <w:pStyle w:val="SingleTxtG"/>
        <w:rPr>
          <w:lang w:val="fr-FR"/>
        </w:rPr>
      </w:pPr>
      <w:r w:rsidRPr="002E4295">
        <w:rPr>
          <w:lang w:val="fr-FR"/>
        </w:rPr>
        <w:t>60.</w:t>
      </w:r>
      <w:r w:rsidRPr="002E4295">
        <w:rPr>
          <w:lang w:val="fr-FR"/>
        </w:rPr>
        <w:tab/>
      </w:r>
      <w:r w:rsidR="004306F2" w:rsidRPr="002E4295">
        <w:rPr>
          <w:lang w:val="fr-FR"/>
        </w:rPr>
        <w:t xml:space="preserve">Une réévaluation du Salaire Minimum Interprofessionnel Garanti (SMIG) suivant Décret </w:t>
      </w:r>
      <w:r w:rsidR="006E38EF" w:rsidRPr="002E4295">
        <w:rPr>
          <w:lang w:val="fr-FR"/>
        </w:rPr>
        <w:t>n</w:t>
      </w:r>
      <w:r w:rsidR="006E38EF" w:rsidRPr="00D6478B">
        <w:rPr>
          <w:vertAlign w:val="superscript"/>
          <w:lang w:val="fr-FR"/>
        </w:rPr>
        <w:t>o</w:t>
      </w:r>
      <w:r w:rsidR="006E38EF">
        <w:rPr>
          <w:lang w:val="fr-FR"/>
        </w:rPr>
        <w:t> </w:t>
      </w:r>
      <w:r w:rsidR="004306F2" w:rsidRPr="002E4295">
        <w:rPr>
          <w:lang w:val="fr-FR"/>
        </w:rPr>
        <w:t>2014/2217/PM du 24 juille</w:t>
      </w:r>
      <w:r w:rsidR="00402B06">
        <w:rPr>
          <w:lang w:val="fr-FR"/>
        </w:rPr>
        <w:t>t 2014 a permis de passer de 28</w:t>
      </w:r>
      <w:r w:rsidR="006E38EF">
        <w:rPr>
          <w:lang w:val="fr-FR"/>
        </w:rPr>
        <w:t> </w:t>
      </w:r>
      <w:r w:rsidR="004306F2" w:rsidRPr="002E4295">
        <w:rPr>
          <w:lang w:val="fr-FR"/>
        </w:rPr>
        <w:t>216 FCFA</w:t>
      </w:r>
      <w:r w:rsidR="004306F2" w:rsidRPr="00E153AE">
        <w:rPr>
          <w:rStyle w:val="Appelnotedebasdep"/>
        </w:rPr>
        <w:footnoteReference w:id="41"/>
      </w:r>
      <w:r w:rsidR="00402B06">
        <w:rPr>
          <w:lang w:val="fr-FR"/>
        </w:rPr>
        <w:t xml:space="preserve"> à 36</w:t>
      </w:r>
      <w:r w:rsidR="006E38EF">
        <w:rPr>
          <w:lang w:val="fr-FR"/>
        </w:rPr>
        <w:t> </w:t>
      </w:r>
      <w:r w:rsidR="004306F2" w:rsidRPr="002E4295">
        <w:rPr>
          <w:lang w:val="fr-FR"/>
        </w:rPr>
        <w:t>270 FCFA</w:t>
      </w:r>
      <w:r w:rsidR="004306F2" w:rsidRPr="00E153AE">
        <w:rPr>
          <w:rStyle w:val="Appelnotedebasdep"/>
        </w:rPr>
        <w:footnoteReference w:id="42"/>
      </w:r>
      <w:r w:rsidR="004306F2" w:rsidRPr="002E4295">
        <w:rPr>
          <w:lang w:val="fr-FR"/>
        </w:rPr>
        <w:t>, soit une augmentation de 28,54</w:t>
      </w:r>
      <w:r w:rsidR="009E4EF6">
        <w:rPr>
          <w:lang w:val="fr-FR"/>
        </w:rPr>
        <w:t> %</w:t>
      </w:r>
      <w:r w:rsidR="004306F2" w:rsidRPr="002E4295">
        <w:rPr>
          <w:lang w:val="fr-FR"/>
        </w:rPr>
        <w:t>.</w:t>
      </w:r>
    </w:p>
    <w:p w:rsidR="004306F2" w:rsidRPr="0017665A" w:rsidRDefault="00823CDD" w:rsidP="0017665A">
      <w:pPr>
        <w:pStyle w:val="HChG"/>
      </w:pPr>
      <w:bookmarkStart w:id="24" w:name="_Toc466897346"/>
      <w:r>
        <w:rPr>
          <w:lang w:val="fr-FR"/>
        </w:rPr>
        <w:tab/>
        <w:t>XII.</w:t>
      </w:r>
      <w:r>
        <w:rPr>
          <w:lang w:val="fr-FR"/>
        </w:rPr>
        <w:tab/>
      </w:r>
      <w:r w:rsidR="00255611" w:rsidRPr="002E4295">
        <w:rPr>
          <w:lang w:val="fr-FR"/>
        </w:rPr>
        <w:t>Rec.</w:t>
      </w:r>
      <w:r>
        <w:rPr>
          <w:lang w:val="fr-FR"/>
        </w:rPr>
        <w:t> </w:t>
      </w:r>
      <w:r w:rsidR="00255611" w:rsidRPr="002E4295">
        <w:rPr>
          <w:lang w:val="fr-FR"/>
        </w:rPr>
        <w:t>17.</w:t>
      </w:r>
      <w:r>
        <w:rPr>
          <w:lang w:val="fr-FR"/>
        </w:rPr>
        <w:t> </w:t>
      </w:r>
      <w:r w:rsidR="004306F2" w:rsidRPr="002E4295">
        <w:rPr>
          <w:lang w:val="fr-FR"/>
        </w:rPr>
        <w:t>Respect des normes fondamentales de travail dans</w:t>
      </w:r>
      <w:r w:rsidR="00D8236D">
        <w:rPr>
          <w:lang w:val="fr-FR"/>
        </w:rPr>
        <w:t> </w:t>
      </w:r>
      <w:r w:rsidR="004306F2" w:rsidRPr="002E4295">
        <w:rPr>
          <w:lang w:val="fr-FR"/>
        </w:rPr>
        <w:t>les plantations</w:t>
      </w:r>
      <w:bookmarkEnd w:id="24"/>
    </w:p>
    <w:p w:rsidR="004306F2" w:rsidRPr="002E4295" w:rsidRDefault="00270BF3" w:rsidP="00270BF3">
      <w:pPr>
        <w:pStyle w:val="SingleTxtG"/>
        <w:rPr>
          <w:lang w:val="fr-FR"/>
        </w:rPr>
      </w:pPr>
      <w:r w:rsidRPr="002E4295">
        <w:rPr>
          <w:lang w:val="fr-FR"/>
        </w:rPr>
        <w:t>61.</w:t>
      </w:r>
      <w:r w:rsidRPr="002E4295">
        <w:rPr>
          <w:lang w:val="fr-FR"/>
        </w:rPr>
        <w:tab/>
      </w:r>
      <w:r w:rsidR="004306F2" w:rsidRPr="002E4295">
        <w:rPr>
          <w:lang w:val="fr-FR"/>
        </w:rPr>
        <w:t xml:space="preserve">Pour veiller au respect des normes de travail dans les plantations, des inspections régulières et la </w:t>
      </w:r>
      <w:r w:rsidR="004306F2" w:rsidRPr="00402B06">
        <w:rPr>
          <w:lang w:val="fr-FR"/>
        </w:rPr>
        <w:t>sensibilisation</w:t>
      </w:r>
      <w:r w:rsidR="004306F2" w:rsidRPr="002E4295">
        <w:rPr>
          <w:lang w:val="fr-FR"/>
        </w:rPr>
        <w:t xml:space="preserve"> sont organisées.</w:t>
      </w:r>
    </w:p>
    <w:p w:rsidR="004306F2" w:rsidRPr="002E4295" w:rsidRDefault="00270BF3" w:rsidP="00270BF3">
      <w:pPr>
        <w:pStyle w:val="SingleTxtG"/>
        <w:rPr>
          <w:lang w:val="fr-FR"/>
        </w:rPr>
      </w:pPr>
      <w:r w:rsidRPr="002E4295">
        <w:rPr>
          <w:lang w:val="fr-FR"/>
        </w:rPr>
        <w:t>62.</w:t>
      </w:r>
      <w:r w:rsidRPr="002E4295">
        <w:rPr>
          <w:lang w:val="fr-FR"/>
        </w:rPr>
        <w:tab/>
      </w:r>
      <w:r w:rsidR="004306F2" w:rsidRPr="002E4295">
        <w:rPr>
          <w:lang w:val="fr-FR"/>
        </w:rPr>
        <w:t xml:space="preserve">Pour ce qui est des inspections dans les plantations, leur régularité est encadrée par la Lettre-Circulaire </w:t>
      </w:r>
      <w:r w:rsidR="006E38EF" w:rsidRPr="002E4295">
        <w:rPr>
          <w:lang w:val="fr-FR"/>
        </w:rPr>
        <w:t>n</w:t>
      </w:r>
      <w:r w:rsidR="006E38EF" w:rsidRPr="00D6478B">
        <w:rPr>
          <w:vertAlign w:val="superscript"/>
          <w:lang w:val="fr-FR"/>
        </w:rPr>
        <w:t>o</w:t>
      </w:r>
      <w:r w:rsidR="006E38EF">
        <w:rPr>
          <w:lang w:val="fr-FR"/>
        </w:rPr>
        <w:t> </w:t>
      </w:r>
      <w:r w:rsidR="004306F2" w:rsidRPr="005E63CE">
        <w:rPr>
          <w:lang w:val="fr-FR"/>
        </w:rPr>
        <w:t>0020/LC/MINTSS/IG</w:t>
      </w:r>
      <w:r w:rsidR="004306F2" w:rsidRPr="002E4295">
        <w:rPr>
          <w:lang w:val="fr-FR"/>
        </w:rPr>
        <w:t xml:space="preserve"> du 28 décembre 2015. Ainsi, dans les Délégations régionales à forte concentration d’activités comme la Région du Centre et du Littoral, 40</w:t>
      </w:r>
      <w:r w:rsidR="00823CDD">
        <w:rPr>
          <w:lang w:val="fr-FR"/>
        </w:rPr>
        <w:t> </w:t>
      </w:r>
      <w:r w:rsidR="004306F2" w:rsidRPr="002E4295">
        <w:rPr>
          <w:lang w:val="fr-FR"/>
        </w:rPr>
        <w:t>visites d’inspection en moyenne seront effectuées par trimestre contre 20 visites par trimestre pour les régions à densité moyenne d’activités.</w:t>
      </w:r>
    </w:p>
    <w:p w:rsidR="004306F2" w:rsidRPr="002E4295" w:rsidRDefault="00270BF3" w:rsidP="00270BF3">
      <w:pPr>
        <w:pStyle w:val="SingleTxtG"/>
        <w:rPr>
          <w:lang w:val="fr-FR"/>
        </w:rPr>
      </w:pPr>
      <w:r w:rsidRPr="002E4295">
        <w:rPr>
          <w:lang w:val="fr-FR"/>
        </w:rPr>
        <w:t>63.</w:t>
      </w:r>
      <w:r w:rsidRPr="002E4295">
        <w:rPr>
          <w:lang w:val="fr-FR"/>
        </w:rPr>
        <w:tab/>
      </w:r>
      <w:r w:rsidR="004306F2" w:rsidRPr="002E4295">
        <w:rPr>
          <w:lang w:val="fr-FR"/>
        </w:rPr>
        <w:t xml:space="preserve">Quant aux Délégations départementales à forte densité d’activités telles que la </w:t>
      </w:r>
      <w:proofErr w:type="spellStart"/>
      <w:r w:rsidR="004306F2" w:rsidRPr="002E4295">
        <w:rPr>
          <w:lang w:val="fr-FR"/>
        </w:rPr>
        <w:t>Boumba</w:t>
      </w:r>
      <w:proofErr w:type="spellEnd"/>
      <w:r w:rsidR="004306F2" w:rsidRPr="002E4295">
        <w:rPr>
          <w:lang w:val="fr-FR"/>
        </w:rPr>
        <w:t xml:space="preserve"> et Ngoko, le Faro, le Haut-Nyong, la </w:t>
      </w:r>
      <w:proofErr w:type="spellStart"/>
      <w:r w:rsidR="004306F2" w:rsidRPr="002E4295">
        <w:rPr>
          <w:lang w:val="fr-FR"/>
        </w:rPr>
        <w:t>Kadéi</w:t>
      </w:r>
      <w:proofErr w:type="spellEnd"/>
      <w:r w:rsidR="004306F2" w:rsidRPr="002E4295">
        <w:rPr>
          <w:lang w:val="fr-FR"/>
        </w:rPr>
        <w:t xml:space="preserve">, le </w:t>
      </w:r>
      <w:proofErr w:type="spellStart"/>
      <w:r w:rsidR="004306F2" w:rsidRPr="002E4295">
        <w:rPr>
          <w:lang w:val="fr-FR"/>
        </w:rPr>
        <w:t>Moungo</w:t>
      </w:r>
      <w:proofErr w:type="spellEnd"/>
      <w:r w:rsidR="004306F2" w:rsidRPr="002E4295">
        <w:rPr>
          <w:lang w:val="fr-FR"/>
        </w:rPr>
        <w:t xml:space="preserve">, la </w:t>
      </w:r>
      <w:proofErr w:type="spellStart"/>
      <w:r w:rsidR="004306F2" w:rsidRPr="002E4295">
        <w:rPr>
          <w:lang w:val="fr-FR"/>
        </w:rPr>
        <w:t>Meme</w:t>
      </w:r>
      <w:proofErr w:type="spellEnd"/>
      <w:r w:rsidR="004306F2" w:rsidRPr="002E4295">
        <w:rPr>
          <w:lang w:val="fr-FR"/>
        </w:rPr>
        <w:t>, l’Océan et la Sanaga Maritime, 20 visites d’inspection par trimestre seront effectuées contre 10 visites d’inspection pour les autr</w:t>
      </w:r>
      <w:r w:rsidR="00402B06">
        <w:rPr>
          <w:lang w:val="fr-FR"/>
        </w:rPr>
        <w:t>es Délégations départementales.</w:t>
      </w:r>
    </w:p>
    <w:p w:rsidR="004306F2" w:rsidRPr="002E4295" w:rsidRDefault="00270BF3" w:rsidP="00270BF3">
      <w:pPr>
        <w:pStyle w:val="SingleTxtG"/>
        <w:rPr>
          <w:lang w:val="fr-FR"/>
        </w:rPr>
      </w:pPr>
      <w:r w:rsidRPr="002E4295">
        <w:rPr>
          <w:lang w:val="fr-FR"/>
        </w:rPr>
        <w:t>64.</w:t>
      </w:r>
      <w:r w:rsidRPr="002E4295">
        <w:rPr>
          <w:lang w:val="fr-FR"/>
        </w:rPr>
        <w:tab/>
      </w:r>
      <w:r w:rsidR="004306F2" w:rsidRPr="002E4295">
        <w:rPr>
          <w:lang w:val="fr-FR"/>
        </w:rPr>
        <w:t>Dans le cadre de la sensibilisation, un Atelier</w:t>
      </w:r>
      <w:r w:rsidR="006A57AD">
        <w:rPr>
          <w:lang w:val="fr-FR"/>
        </w:rPr>
        <w:t xml:space="preserve"> </w:t>
      </w:r>
      <w:r w:rsidR="004306F2" w:rsidRPr="002E4295">
        <w:rPr>
          <w:lang w:val="fr-FR"/>
        </w:rPr>
        <w:t xml:space="preserve">organisé du 22 au 23 septembre 2015 à </w:t>
      </w:r>
      <w:proofErr w:type="spellStart"/>
      <w:r w:rsidR="004306F2" w:rsidRPr="002E4295">
        <w:rPr>
          <w:lang w:val="fr-FR"/>
        </w:rPr>
        <w:t>Niété</w:t>
      </w:r>
      <w:proofErr w:type="spellEnd"/>
      <w:r w:rsidR="004306F2" w:rsidRPr="002E4295">
        <w:rPr>
          <w:lang w:val="fr-FR"/>
        </w:rPr>
        <w:t>, par le Centre des Nations Unies pour les Droits de l’Homme et la Démocratie en Afrique Centrale (CNUDHD-AC) en collaboration avec les administrations publiques au profit de l’une des plus importantes entreprises agricoles du pays (5</w:t>
      </w:r>
      <w:r w:rsidR="0015586A">
        <w:rPr>
          <w:lang w:val="fr-FR"/>
        </w:rPr>
        <w:t> </w:t>
      </w:r>
      <w:r w:rsidR="004306F2" w:rsidRPr="002E4295">
        <w:rPr>
          <w:lang w:val="fr-FR"/>
        </w:rPr>
        <w:t xml:space="preserve">000 employés) a permis d’engager la Société </w:t>
      </w:r>
      <w:proofErr w:type="spellStart"/>
      <w:r w:rsidR="004306F2" w:rsidRPr="00247BC8">
        <w:rPr>
          <w:lang w:val="fr-FR"/>
        </w:rPr>
        <w:t>Hévécam</w:t>
      </w:r>
      <w:proofErr w:type="spellEnd"/>
      <w:r w:rsidR="004306F2" w:rsidRPr="002E4295">
        <w:rPr>
          <w:lang w:val="fr-FR"/>
        </w:rPr>
        <w:t xml:space="preserve"> S.A à élaborer une Politique formelle de responsabilité sociale,</w:t>
      </w:r>
      <w:r w:rsidR="006A57AD">
        <w:rPr>
          <w:lang w:val="fr-FR"/>
        </w:rPr>
        <w:t xml:space="preserve"> </w:t>
      </w:r>
      <w:r w:rsidR="004306F2" w:rsidRPr="002E4295">
        <w:rPr>
          <w:lang w:val="fr-FR"/>
        </w:rPr>
        <w:t>à créer un Comité des Droits de l’Homme en son sein, à renforcer le dialogue social au sein de l’entreprise avec la nomination et la formation du Délégué du personnel, à poursuivre avec l’amélioration de la mise en œuvre des droits des travailleurs, notamment par la fourniture des logements, des soins de santé et des espaces vitaux pour les cultures.</w:t>
      </w:r>
    </w:p>
    <w:p w:rsidR="004306F2" w:rsidRPr="0017665A" w:rsidRDefault="00823CDD" w:rsidP="0017665A">
      <w:pPr>
        <w:pStyle w:val="HChG"/>
      </w:pPr>
      <w:bookmarkStart w:id="25" w:name="_Toc466897347"/>
      <w:r>
        <w:rPr>
          <w:lang w:val="fr-FR"/>
        </w:rPr>
        <w:tab/>
        <w:t>XIII.</w:t>
      </w:r>
      <w:r>
        <w:rPr>
          <w:lang w:val="fr-FR"/>
        </w:rPr>
        <w:tab/>
      </w:r>
      <w:r w:rsidR="004306F2" w:rsidRPr="002E4295">
        <w:rPr>
          <w:lang w:val="fr-FR"/>
        </w:rPr>
        <w:t>R</w:t>
      </w:r>
      <w:r w:rsidR="00255611" w:rsidRPr="002E4295">
        <w:rPr>
          <w:lang w:val="fr-FR"/>
        </w:rPr>
        <w:t>ec.</w:t>
      </w:r>
      <w:r>
        <w:rPr>
          <w:lang w:val="fr-FR"/>
        </w:rPr>
        <w:t> </w:t>
      </w:r>
      <w:r w:rsidR="00255611" w:rsidRPr="002E4295">
        <w:rPr>
          <w:lang w:val="fr-FR"/>
        </w:rPr>
        <w:t>18.</w:t>
      </w:r>
      <w:r>
        <w:rPr>
          <w:lang w:val="fr-FR"/>
        </w:rPr>
        <w:t> </w:t>
      </w:r>
      <w:r w:rsidR="004306F2" w:rsidRPr="002E4295">
        <w:rPr>
          <w:lang w:val="fr-FR"/>
        </w:rPr>
        <w:t>Liberté syndicale et participation à des activités syndicales</w:t>
      </w:r>
      <w:bookmarkEnd w:id="25"/>
    </w:p>
    <w:p w:rsidR="004306F2" w:rsidRPr="002E4295" w:rsidRDefault="00270BF3" w:rsidP="00270BF3">
      <w:pPr>
        <w:pStyle w:val="SingleTxtG"/>
        <w:rPr>
          <w:lang w:val="fr-FR"/>
        </w:rPr>
      </w:pPr>
      <w:r w:rsidRPr="002E4295">
        <w:rPr>
          <w:lang w:val="fr-FR"/>
        </w:rPr>
        <w:t>65.</w:t>
      </w:r>
      <w:r w:rsidRPr="002E4295">
        <w:rPr>
          <w:lang w:val="fr-FR"/>
        </w:rPr>
        <w:tab/>
      </w:r>
      <w:r w:rsidR="004306F2" w:rsidRPr="002E4295">
        <w:rPr>
          <w:lang w:val="fr-FR"/>
        </w:rPr>
        <w:t xml:space="preserve">La liberté syndicale est consacrée dans le préambule de la Constitution et réitérée dans la Loi </w:t>
      </w:r>
      <w:r w:rsidR="0015586A" w:rsidRPr="002E4295">
        <w:rPr>
          <w:lang w:val="fr-FR"/>
        </w:rPr>
        <w:t>n</w:t>
      </w:r>
      <w:r w:rsidR="0015586A" w:rsidRPr="00D6478B">
        <w:rPr>
          <w:vertAlign w:val="superscript"/>
          <w:lang w:val="fr-FR"/>
        </w:rPr>
        <w:t>o</w:t>
      </w:r>
      <w:r w:rsidR="0015586A">
        <w:rPr>
          <w:lang w:val="fr-FR"/>
        </w:rPr>
        <w:t> </w:t>
      </w:r>
      <w:r w:rsidR="004306F2" w:rsidRPr="002E4295">
        <w:rPr>
          <w:lang w:val="fr-FR"/>
        </w:rPr>
        <w:t>92/007 du 14 août 1992 portant Code du Travail, laquelle prévoit la création sans autorisation préalable des syndicats suivant les conditions définies par la loi, la libre affiliation des travailleurs et des employeurs aux formations professionnelles de leur choix et le libre déroulement de leurs activités. En outre, la nomination du Greffier des syndi</w:t>
      </w:r>
      <w:r w:rsidR="005E63CE">
        <w:rPr>
          <w:lang w:val="fr-FR"/>
        </w:rPr>
        <w:t xml:space="preserve">cats par Décret </w:t>
      </w:r>
      <w:r w:rsidR="0015586A" w:rsidRPr="002E4295">
        <w:rPr>
          <w:lang w:val="fr-FR"/>
        </w:rPr>
        <w:t>n</w:t>
      </w:r>
      <w:r w:rsidR="0015586A" w:rsidRPr="00D6478B">
        <w:rPr>
          <w:vertAlign w:val="superscript"/>
          <w:lang w:val="fr-FR"/>
        </w:rPr>
        <w:t>o</w:t>
      </w:r>
      <w:r w:rsidR="0015586A">
        <w:rPr>
          <w:lang w:val="fr-FR"/>
        </w:rPr>
        <w:t> </w:t>
      </w:r>
      <w:r w:rsidR="005E63CE">
        <w:rPr>
          <w:lang w:val="fr-FR"/>
        </w:rPr>
        <w:t xml:space="preserve">2016/060 du </w:t>
      </w:r>
      <w:r w:rsidR="004306F2" w:rsidRPr="002E4295">
        <w:rPr>
          <w:lang w:val="fr-FR"/>
        </w:rPr>
        <w:t>1</w:t>
      </w:r>
      <w:r w:rsidR="0015586A" w:rsidRPr="0017665A">
        <w:rPr>
          <w:vertAlign w:val="superscript"/>
          <w:lang w:val="fr-FR"/>
        </w:rPr>
        <w:t>er</w:t>
      </w:r>
      <w:r w:rsidR="0015586A">
        <w:rPr>
          <w:lang w:val="fr-FR"/>
        </w:rPr>
        <w:t> </w:t>
      </w:r>
      <w:r w:rsidR="004306F2" w:rsidRPr="002E4295">
        <w:rPr>
          <w:lang w:val="fr-FR"/>
        </w:rPr>
        <w:t>février 2016 devra renforcer la transparence dans l’enregistrement des syndicats.</w:t>
      </w:r>
    </w:p>
    <w:p w:rsidR="004306F2" w:rsidRPr="002E4295" w:rsidRDefault="00270BF3" w:rsidP="00270BF3">
      <w:pPr>
        <w:pStyle w:val="SingleTxtG"/>
        <w:rPr>
          <w:lang w:val="fr-FR"/>
        </w:rPr>
      </w:pPr>
      <w:r w:rsidRPr="002E4295">
        <w:rPr>
          <w:lang w:val="fr-FR"/>
        </w:rPr>
        <w:t>66.</w:t>
      </w:r>
      <w:r w:rsidRPr="002E4295">
        <w:rPr>
          <w:lang w:val="fr-FR"/>
        </w:rPr>
        <w:tab/>
      </w:r>
      <w:r w:rsidR="004306F2" w:rsidRPr="002E4295">
        <w:rPr>
          <w:lang w:val="fr-FR"/>
        </w:rPr>
        <w:t xml:space="preserve">Dans le cadre de la préservation de la liberté syndicale, le Gouvernement a organisé en 2012 une série de 14 rencontres avec les syndicats professionnels des travailleurs et des employeurs, à l’effet de recenser les problèmes qui minent le fonctionnement des syndicats et d’identifier les solutions durables </w:t>
      </w:r>
      <w:r w:rsidR="004306F2" w:rsidRPr="0015586A">
        <w:rPr>
          <w:lang w:val="fr-FR"/>
        </w:rPr>
        <w:t>(</w:t>
      </w:r>
      <w:r w:rsidR="00A117A6">
        <w:rPr>
          <w:lang w:val="fr-FR"/>
        </w:rPr>
        <w:t>a</w:t>
      </w:r>
      <w:r w:rsidR="004306F2" w:rsidRPr="0017665A">
        <w:rPr>
          <w:lang w:val="fr-FR"/>
        </w:rPr>
        <w:t xml:space="preserve">nnexe </w:t>
      </w:r>
      <w:r w:rsidR="0015586A" w:rsidRPr="002E4295">
        <w:rPr>
          <w:lang w:val="fr-FR"/>
        </w:rPr>
        <w:t>n</w:t>
      </w:r>
      <w:r w:rsidR="0015586A" w:rsidRPr="00D6478B">
        <w:rPr>
          <w:vertAlign w:val="superscript"/>
          <w:lang w:val="fr-FR"/>
        </w:rPr>
        <w:t>o</w:t>
      </w:r>
      <w:r w:rsidR="0015586A">
        <w:rPr>
          <w:lang w:val="fr-FR"/>
        </w:rPr>
        <w:t> </w:t>
      </w:r>
      <w:r w:rsidR="004306F2" w:rsidRPr="0017665A">
        <w:rPr>
          <w:lang w:val="fr-FR"/>
        </w:rPr>
        <w:t>7</w:t>
      </w:r>
      <w:r w:rsidR="004306F2" w:rsidRPr="0015586A">
        <w:rPr>
          <w:lang w:val="fr-FR"/>
        </w:rPr>
        <w:t>).</w:t>
      </w:r>
      <w:r w:rsidR="004306F2" w:rsidRPr="002E4295">
        <w:rPr>
          <w:lang w:val="fr-FR"/>
        </w:rPr>
        <w:t xml:space="preserve"> L’adoption d’une loi sur la liberté syndicale est l’une des solutions identifiées.</w:t>
      </w:r>
    </w:p>
    <w:p w:rsidR="004306F2" w:rsidRPr="0017665A" w:rsidRDefault="0078209B" w:rsidP="0017665A">
      <w:pPr>
        <w:pStyle w:val="HChG"/>
      </w:pPr>
      <w:bookmarkStart w:id="26" w:name="_Toc466897348"/>
      <w:r>
        <w:rPr>
          <w:lang w:val="fr-FR"/>
        </w:rPr>
        <w:lastRenderedPageBreak/>
        <w:tab/>
        <w:t>XIV.</w:t>
      </w:r>
      <w:r>
        <w:rPr>
          <w:lang w:val="fr-FR"/>
        </w:rPr>
        <w:tab/>
      </w:r>
      <w:r w:rsidR="004306F2" w:rsidRPr="002E4295">
        <w:rPr>
          <w:lang w:val="fr-FR"/>
        </w:rPr>
        <w:t>R</w:t>
      </w:r>
      <w:r w:rsidR="00255611" w:rsidRPr="002E4295">
        <w:rPr>
          <w:lang w:val="fr-FR"/>
        </w:rPr>
        <w:t>ec.</w:t>
      </w:r>
      <w:r>
        <w:rPr>
          <w:lang w:val="fr-FR"/>
        </w:rPr>
        <w:t> </w:t>
      </w:r>
      <w:r w:rsidR="004306F2" w:rsidRPr="002E4295">
        <w:rPr>
          <w:lang w:val="fr-FR"/>
        </w:rPr>
        <w:t>19</w:t>
      </w:r>
      <w:r w:rsidR="00760FF4">
        <w:rPr>
          <w:lang w:val="fr-FR"/>
        </w:rPr>
        <w:t>.</w:t>
      </w:r>
      <w:r>
        <w:rPr>
          <w:lang w:val="fr-FR"/>
        </w:rPr>
        <w:t> </w:t>
      </w:r>
      <w:r w:rsidR="004306F2" w:rsidRPr="002E4295">
        <w:rPr>
          <w:lang w:val="fr-FR"/>
        </w:rPr>
        <w:t>Modernisation de la sécurité sociale visant à assurer ce droit à tous</w:t>
      </w:r>
      <w:bookmarkEnd w:id="26"/>
    </w:p>
    <w:p w:rsidR="004306F2" w:rsidRPr="002E4295" w:rsidRDefault="00270BF3" w:rsidP="00270BF3">
      <w:pPr>
        <w:pStyle w:val="SingleTxtG"/>
        <w:rPr>
          <w:lang w:val="fr-FR"/>
        </w:rPr>
      </w:pPr>
      <w:r w:rsidRPr="002E4295">
        <w:rPr>
          <w:lang w:val="fr-FR"/>
        </w:rPr>
        <w:t>67.</w:t>
      </w:r>
      <w:r w:rsidRPr="002E4295">
        <w:rPr>
          <w:lang w:val="fr-FR"/>
        </w:rPr>
        <w:tab/>
      </w:r>
      <w:r w:rsidR="004306F2" w:rsidRPr="002E4295">
        <w:rPr>
          <w:lang w:val="fr-FR"/>
        </w:rPr>
        <w:t xml:space="preserve">Dans l’optique de l’extension d’une couverture de la sécurité sociale, le système </w:t>
      </w:r>
      <w:r w:rsidR="004306F2" w:rsidRPr="00C97336">
        <w:rPr>
          <w:lang w:val="fr-FR"/>
        </w:rPr>
        <w:t>d’assurance</w:t>
      </w:r>
      <w:r w:rsidR="004306F2" w:rsidRPr="002E4295">
        <w:rPr>
          <w:lang w:val="fr-FR"/>
        </w:rPr>
        <w:t xml:space="preserve"> volontaire a été mis en place à la faveur du Décret </w:t>
      </w:r>
      <w:r w:rsidR="003928BD">
        <w:rPr>
          <w:lang w:val="fr-FR"/>
        </w:rPr>
        <w:t>n</w:t>
      </w:r>
      <w:r w:rsidR="003928BD" w:rsidRPr="0017665A">
        <w:rPr>
          <w:vertAlign w:val="superscript"/>
          <w:lang w:val="fr-FR"/>
        </w:rPr>
        <w:t>o</w:t>
      </w:r>
      <w:r w:rsidR="003928BD">
        <w:rPr>
          <w:lang w:val="fr-FR"/>
        </w:rPr>
        <w:t> </w:t>
      </w:r>
      <w:r w:rsidR="004306F2" w:rsidRPr="002E4295">
        <w:rPr>
          <w:lang w:val="fr-FR"/>
        </w:rPr>
        <w:t>2014/2377/PM du 13 août 2014 fixant les conditions et les modalités de prise en charge des assurés volontaires au régime d’assurance pensions de vieillesse, d’invalidité et de décès.</w:t>
      </w:r>
    </w:p>
    <w:p w:rsidR="00255611" w:rsidRPr="002E4295" w:rsidRDefault="00270BF3" w:rsidP="00270BF3">
      <w:pPr>
        <w:pStyle w:val="SingleTxtG"/>
        <w:rPr>
          <w:lang w:val="fr-FR"/>
        </w:rPr>
      </w:pPr>
      <w:r w:rsidRPr="002E4295">
        <w:rPr>
          <w:lang w:val="fr-FR"/>
        </w:rPr>
        <w:t>68.</w:t>
      </w:r>
      <w:r w:rsidRPr="002E4295">
        <w:rPr>
          <w:lang w:val="fr-FR"/>
        </w:rPr>
        <w:tab/>
      </w:r>
      <w:r w:rsidR="004306F2" w:rsidRPr="002E4295">
        <w:rPr>
          <w:lang w:val="fr-FR"/>
        </w:rPr>
        <w:t xml:space="preserve">Au </w:t>
      </w:r>
      <w:r w:rsidR="004306F2" w:rsidRPr="00C97336">
        <w:rPr>
          <w:lang w:val="fr-FR"/>
        </w:rPr>
        <w:t>sens</w:t>
      </w:r>
      <w:r w:rsidR="004306F2" w:rsidRPr="002E4295">
        <w:rPr>
          <w:lang w:val="fr-FR"/>
        </w:rPr>
        <w:t xml:space="preserve"> de ce texte, sont assurés volontaires</w:t>
      </w:r>
      <w:r w:rsidR="00DA0404">
        <w:rPr>
          <w:lang w:val="fr-FR"/>
        </w:rPr>
        <w:t> :</w:t>
      </w:r>
    </w:p>
    <w:p w:rsidR="004306F2" w:rsidRPr="002E4295" w:rsidRDefault="00270BF3" w:rsidP="00270BF3">
      <w:pPr>
        <w:pStyle w:val="Bullet1G"/>
        <w:numPr>
          <w:ilvl w:val="0"/>
          <w:numId w:val="0"/>
        </w:numPr>
        <w:tabs>
          <w:tab w:val="left" w:pos="1701"/>
        </w:tabs>
        <w:ind w:left="1701" w:hanging="170"/>
        <w:rPr>
          <w:lang w:val="fr-FR"/>
        </w:rPr>
      </w:pPr>
      <w:r w:rsidRPr="002E4295">
        <w:rPr>
          <w:lang w:val="fr-FR"/>
        </w:rPr>
        <w:t>•</w:t>
      </w:r>
      <w:r w:rsidRPr="002E4295">
        <w:rPr>
          <w:lang w:val="fr-FR"/>
        </w:rPr>
        <w:tab/>
      </w:r>
      <w:r w:rsidR="0015586A" w:rsidRPr="002E4295">
        <w:rPr>
          <w:lang w:val="fr-FR"/>
        </w:rPr>
        <w:t xml:space="preserve">Les </w:t>
      </w:r>
      <w:r w:rsidR="004306F2" w:rsidRPr="002E4295">
        <w:rPr>
          <w:lang w:val="fr-FR"/>
        </w:rPr>
        <w:t>personnes dotées de capacités contributives, mais qui ne sont pas soumises à un assujettissement obligatoire contre les risques vieillesse, invalidité et de décès</w:t>
      </w:r>
      <w:r w:rsidR="00DA0404">
        <w:rPr>
          <w:lang w:val="fr-FR"/>
        </w:rPr>
        <w:t> ;</w:t>
      </w:r>
    </w:p>
    <w:p w:rsidR="004306F2" w:rsidRPr="002E4295" w:rsidRDefault="00270BF3" w:rsidP="00270BF3">
      <w:pPr>
        <w:pStyle w:val="Bullet1G"/>
        <w:numPr>
          <w:ilvl w:val="0"/>
          <w:numId w:val="0"/>
        </w:numPr>
        <w:tabs>
          <w:tab w:val="left" w:pos="1701"/>
        </w:tabs>
        <w:ind w:left="1701" w:hanging="170"/>
        <w:rPr>
          <w:lang w:val="fr-FR"/>
        </w:rPr>
      </w:pPr>
      <w:r w:rsidRPr="002E4295">
        <w:rPr>
          <w:lang w:val="fr-FR"/>
        </w:rPr>
        <w:t>•</w:t>
      </w:r>
      <w:r w:rsidRPr="002E4295">
        <w:rPr>
          <w:lang w:val="fr-FR"/>
        </w:rPr>
        <w:tab/>
      </w:r>
      <w:r w:rsidR="0015586A" w:rsidRPr="002E4295">
        <w:rPr>
          <w:lang w:val="fr-FR"/>
        </w:rPr>
        <w:t xml:space="preserve">Les </w:t>
      </w:r>
      <w:r w:rsidR="004306F2" w:rsidRPr="002E4295">
        <w:rPr>
          <w:lang w:val="fr-FR"/>
        </w:rPr>
        <w:t>travailleurs qui ne remplissent pas les conditions d’affiliation au régime général, au régime des personnels de l’</w:t>
      </w:r>
      <w:r w:rsidR="00FB5306">
        <w:rPr>
          <w:lang w:val="fr-FR"/>
        </w:rPr>
        <w:t>État</w:t>
      </w:r>
      <w:r w:rsidR="004306F2" w:rsidRPr="002E4295">
        <w:rPr>
          <w:lang w:val="fr-FR"/>
        </w:rPr>
        <w:t>, ou à un quelconque régime spécial de sécurité sociale</w:t>
      </w:r>
      <w:r w:rsidR="00DA0404">
        <w:rPr>
          <w:lang w:val="fr-FR"/>
        </w:rPr>
        <w:t> ;</w:t>
      </w:r>
    </w:p>
    <w:p w:rsidR="004306F2" w:rsidRPr="002E4295" w:rsidRDefault="00270BF3" w:rsidP="00270BF3">
      <w:pPr>
        <w:pStyle w:val="Bullet1G"/>
        <w:numPr>
          <w:ilvl w:val="0"/>
          <w:numId w:val="0"/>
        </w:numPr>
        <w:tabs>
          <w:tab w:val="left" w:pos="1701"/>
        </w:tabs>
        <w:ind w:left="1701" w:hanging="170"/>
        <w:rPr>
          <w:lang w:val="fr-FR"/>
        </w:rPr>
      </w:pPr>
      <w:r w:rsidRPr="002E4295">
        <w:rPr>
          <w:lang w:val="fr-FR"/>
        </w:rPr>
        <w:t>•</w:t>
      </w:r>
      <w:r w:rsidRPr="002E4295">
        <w:rPr>
          <w:lang w:val="fr-FR"/>
        </w:rPr>
        <w:tab/>
      </w:r>
      <w:r w:rsidR="0015586A" w:rsidRPr="002E4295">
        <w:rPr>
          <w:lang w:val="fr-FR"/>
        </w:rPr>
        <w:t xml:space="preserve">Les </w:t>
      </w:r>
      <w:r w:rsidR="004306F2" w:rsidRPr="002E4295">
        <w:rPr>
          <w:lang w:val="fr-FR"/>
        </w:rPr>
        <w:t>anciens assurés sociaux qui cessent de remplir les conditions d’assujettissement au régime général.</w:t>
      </w:r>
    </w:p>
    <w:p w:rsidR="004306F2" w:rsidRPr="002E4295" w:rsidRDefault="00270BF3" w:rsidP="00270BF3">
      <w:pPr>
        <w:pStyle w:val="SingleTxtG"/>
        <w:rPr>
          <w:lang w:val="fr-FR"/>
        </w:rPr>
      </w:pPr>
      <w:r w:rsidRPr="002E4295">
        <w:rPr>
          <w:lang w:val="fr-FR"/>
        </w:rPr>
        <w:t>69.</w:t>
      </w:r>
      <w:r w:rsidRPr="002E4295">
        <w:rPr>
          <w:lang w:val="fr-FR"/>
        </w:rPr>
        <w:tab/>
      </w:r>
      <w:r w:rsidR="004306F2" w:rsidRPr="002E4295">
        <w:rPr>
          <w:lang w:val="fr-FR"/>
        </w:rPr>
        <w:t>Avec cet élargissement, le taux de couverture, qui était jusqu’à lors de 10</w:t>
      </w:r>
      <w:r w:rsidR="009E4EF6">
        <w:rPr>
          <w:lang w:val="fr-FR"/>
        </w:rPr>
        <w:t> %</w:t>
      </w:r>
      <w:r w:rsidR="004306F2" w:rsidRPr="002E4295">
        <w:rPr>
          <w:lang w:val="fr-FR"/>
        </w:rPr>
        <w:t xml:space="preserve">, est passé </w:t>
      </w:r>
      <w:r w:rsidR="00C97336">
        <w:rPr>
          <w:lang w:val="fr-FR"/>
        </w:rPr>
        <w:t>à 20</w:t>
      </w:r>
      <w:r w:rsidR="009E4EF6">
        <w:rPr>
          <w:lang w:val="fr-FR"/>
        </w:rPr>
        <w:t> %</w:t>
      </w:r>
      <w:r w:rsidR="00C97336">
        <w:rPr>
          <w:lang w:val="fr-FR"/>
        </w:rPr>
        <w:t xml:space="preserve"> à la fin de l’année 2015.</w:t>
      </w:r>
    </w:p>
    <w:p w:rsidR="004306F2" w:rsidRPr="002E4295" w:rsidRDefault="00270BF3" w:rsidP="00270BF3">
      <w:pPr>
        <w:pStyle w:val="SingleTxtG"/>
        <w:rPr>
          <w:lang w:val="fr-FR"/>
        </w:rPr>
      </w:pPr>
      <w:r w:rsidRPr="002E4295">
        <w:rPr>
          <w:lang w:val="fr-FR"/>
        </w:rPr>
        <w:t>70.</w:t>
      </w:r>
      <w:r w:rsidRPr="002E4295">
        <w:rPr>
          <w:lang w:val="fr-FR"/>
        </w:rPr>
        <w:tab/>
      </w:r>
      <w:r w:rsidR="004306F2" w:rsidRPr="002E4295">
        <w:rPr>
          <w:lang w:val="fr-FR"/>
        </w:rPr>
        <w:t>Cependant, les réflexions continuent en vue de la mise en place d’un régime d’assurance non contributif.</w:t>
      </w:r>
    </w:p>
    <w:p w:rsidR="004306F2" w:rsidRPr="0017665A" w:rsidRDefault="003928BD" w:rsidP="0017665A">
      <w:pPr>
        <w:pStyle w:val="HChG"/>
      </w:pPr>
      <w:bookmarkStart w:id="27" w:name="_Toc466897349"/>
      <w:r>
        <w:rPr>
          <w:lang w:val="fr-FR"/>
        </w:rPr>
        <w:tab/>
        <w:t>XV.</w:t>
      </w:r>
      <w:r>
        <w:rPr>
          <w:lang w:val="fr-FR"/>
        </w:rPr>
        <w:tab/>
      </w:r>
      <w:r w:rsidR="004306F2" w:rsidRPr="002E4295">
        <w:rPr>
          <w:lang w:val="fr-FR"/>
        </w:rPr>
        <w:t>R</w:t>
      </w:r>
      <w:r w:rsidR="00255611" w:rsidRPr="002E4295">
        <w:rPr>
          <w:lang w:val="fr-FR"/>
        </w:rPr>
        <w:t>ec.</w:t>
      </w:r>
      <w:r>
        <w:rPr>
          <w:lang w:val="fr-FR"/>
        </w:rPr>
        <w:t> </w:t>
      </w:r>
      <w:r w:rsidR="004306F2" w:rsidRPr="002E4295">
        <w:rPr>
          <w:lang w:val="fr-FR"/>
        </w:rPr>
        <w:t>20</w:t>
      </w:r>
      <w:r w:rsidR="00255611" w:rsidRPr="002E4295">
        <w:rPr>
          <w:lang w:val="fr-FR"/>
        </w:rPr>
        <w:t>.</w:t>
      </w:r>
      <w:r>
        <w:rPr>
          <w:lang w:val="fr-FR"/>
        </w:rPr>
        <w:t> </w:t>
      </w:r>
      <w:r w:rsidR="004306F2" w:rsidRPr="002E4295">
        <w:rPr>
          <w:lang w:val="fr-FR"/>
        </w:rPr>
        <w:t>Conformité de la législation nationale avec les normes internationales sur le travail des enfants et sanctions du non-respect de la législation</w:t>
      </w:r>
      <w:bookmarkEnd w:id="27"/>
    </w:p>
    <w:p w:rsidR="004306F2" w:rsidRPr="002E4295" w:rsidRDefault="00F17353" w:rsidP="00F17353">
      <w:pPr>
        <w:pStyle w:val="H1G"/>
        <w:rPr>
          <w:lang w:val="fr-FR"/>
        </w:rPr>
      </w:pPr>
      <w:bookmarkStart w:id="28" w:name="_Toc466897350"/>
      <w:r>
        <w:rPr>
          <w:lang w:val="fr-FR"/>
        </w:rPr>
        <w:tab/>
        <w:t>A.</w:t>
      </w:r>
      <w:r>
        <w:rPr>
          <w:lang w:val="fr-FR"/>
        </w:rPr>
        <w:tab/>
      </w:r>
      <w:r w:rsidR="004306F2" w:rsidRPr="002E4295">
        <w:rPr>
          <w:lang w:val="fr-FR"/>
        </w:rPr>
        <w:t>Sur l’âge minimum d’accès à l’emploi et catégories de travaux dangereux</w:t>
      </w:r>
      <w:bookmarkEnd w:id="28"/>
    </w:p>
    <w:p w:rsidR="004306F2" w:rsidRPr="002E4295" w:rsidRDefault="00270BF3" w:rsidP="00270BF3">
      <w:pPr>
        <w:pStyle w:val="SingleTxtG"/>
        <w:rPr>
          <w:lang w:val="fr-FR"/>
        </w:rPr>
      </w:pPr>
      <w:r w:rsidRPr="002E4295">
        <w:rPr>
          <w:lang w:val="fr-FR"/>
        </w:rPr>
        <w:t>71.</w:t>
      </w:r>
      <w:r w:rsidRPr="002E4295">
        <w:rPr>
          <w:lang w:val="fr-FR"/>
        </w:rPr>
        <w:tab/>
      </w:r>
      <w:r w:rsidR="004306F2" w:rsidRPr="002E4295">
        <w:rPr>
          <w:lang w:val="fr-FR"/>
        </w:rPr>
        <w:t xml:space="preserve">En conformité avec la Convention </w:t>
      </w:r>
      <w:r w:rsidR="0015586A" w:rsidRPr="002E4295">
        <w:rPr>
          <w:lang w:val="fr-FR"/>
        </w:rPr>
        <w:t>n</w:t>
      </w:r>
      <w:r w:rsidR="0015586A" w:rsidRPr="00D6478B">
        <w:rPr>
          <w:vertAlign w:val="superscript"/>
          <w:lang w:val="fr-FR"/>
        </w:rPr>
        <w:t>o</w:t>
      </w:r>
      <w:r w:rsidR="0015586A">
        <w:rPr>
          <w:lang w:val="fr-FR"/>
        </w:rPr>
        <w:t> </w:t>
      </w:r>
      <w:r w:rsidR="004306F2" w:rsidRPr="002E4295">
        <w:rPr>
          <w:lang w:val="fr-FR"/>
        </w:rPr>
        <w:t xml:space="preserve">138 de l’OIT sur l’âge minimum d’accès à l’emploi, l’article 86 du Code de travail a fixé l’âge minimum d’accès à l’emploi à 14 ans. Quant aux catégories de travaux dangereux, l’Arrêté </w:t>
      </w:r>
      <w:r w:rsidR="0015586A" w:rsidRPr="002E4295">
        <w:rPr>
          <w:lang w:val="fr-FR"/>
        </w:rPr>
        <w:t>n</w:t>
      </w:r>
      <w:r w:rsidR="0015586A" w:rsidRPr="00D6478B">
        <w:rPr>
          <w:vertAlign w:val="superscript"/>
          <w:lang w:val="fr-FR"/>
        </w:rPr>
        <w:t>o</w:t>
      </w:r>
      <w:r w:rsidR="0015586A">
        <w:rPr>
          <w:lang w:val="fr-FR"/>
        </w:rPr>
        <w:t> </w:t>
      </w:r>
      <w:r w:rsidR="004306F2" w:rsidRPr="002E4295">
        <w:rPr>
          <w:lang w:val="fr-FR"/>
        </w:rPr>
        <w:t>17/MTPS/DGRE du 27 mai 1969 relatif au travail des enfants énumère les branches d’activités et les professions dangereuses pour les enfants.</w:t>
      </w:r>
    </w:p>
    <w:p w:rsidR="004306F2" w:rsidRPr="0017665A" w:rsidRDefault="00270BF3" w:rsidP="00270BF3">
      <w:pPr>
        <w:pStyle w:val="SingleTxtG"/>
        <w:rPr>
          <w:spacing w:val="-2"/>
          <w:lang w:val="fr-FR"/>
        </w:rPr>
      </w:pPr>
      <w:r w:rsidRPr="0017665A">
        <w:rPr>
          <w:spacing w:val="-2"/>
          <w:lang w:val="fr-FR"/>
        </w:rPr>
        <w:t>72.</w:t>
      </w:r>
      <w:r w:rsidRPr="0017665A">
        <w:rPr>
          <w:spacing w:val="-2"/>
          <w:lang w:val="fr-FR"/>
        </w:rPr>
        <w:tab/>
      </w:r>
      <w:r w:rsidR="004306F2" w:rsidRPr="0017665A">
        <w:rPr>
          <w:spacing w:val="-2"/>
          <w:lang w:val="fr-FR"/>
        </w:rPr>
        <w:t>La traite et le trafic ont déjà été pris en compte par le nouveau CP en son article 342-1.</w:t>
      </w:r>
    </w:p>
    <w:p w:rsidR="004306F2" w:rsidRPr="002E4295" w:rsidRDefault="00F17353" w:rsidP="00F17353">
      <w:pPr>
        <w:pStyle w:val="H1G"/>
        <w:rPr>
          <w:lang w:val="fr-FR"/>
        </w:rPr>
      </w:pPr>
      <w:bookmarkStart w:id="29" w:name="_Toc466897351"/>
      <w:r>
        <w:rPr>
          <w:lang w:val="fr-FR"/>
        </w:rPr>
        <w:tab/>
        <w:t>B.</w:t>
      </w:r>
      <w:r>
        <w:rPr>
          <w:lang w:val="fr-FR"/>
        </w:rPr>
        <w:tab/>
      </w:r>
      <w:r w:rsidR="004306F2" w:rsidRPr="002E4295">
        <w:rPr>
          <w:lang w:val="fr-FR"/>
        </w:rPr>
        <w:t>Sur la sensibilisation</w:t>
      </w:r>
      <w:bookmarkEnd w:id="29"/>
    </w:p>
    <w:p w:rsidR="004306F2" w:rsidRPr="002E4295" w:rsidRDefault="00270BF3" w:rsidP="00270BF3">
      <w:pPr>
        <w:pStyle w:val="SingleTxtG"/>
        <w:rPr>
          <w:lang w:val="fr-FR"/>
        </w:rPr>
      </w:pPr>
      <w:r w:rsidRPr="002E4295">
        <w:rPr>
          <w:lang w:val="fr-FR"/>
        </w:rPr>
        <w:t>73.</w:t>
      </w:r>
      <w:r w:rsidRPr="002E4295">
        <w:rPr>
          <w:lang w:val="fr-FR"/>
        </w:rPr>
        <w:tab/>
      </w:r>
      <w:r w:rsidR="004306F2" w:rsidRPr="002E4295">
        <w:rPr>
          <w:lang w:val="fr-FR"/>
        </w:rPr>
        <w:t xml:space="preserve">Au plan institutionnel, le Comité National de Lutte contre le Travail des Enfants a été mis en place par Arrêté </w:t>
      </w:r>
      <w:r w:rsidR="0015586A" w:rsidRPr="002E4295">
        <w:rPr>
          <w:lang w:val="fr-FR"/>
        </w:rPr>
        <w:t>n</w:t>
      </w:r>
      <w:r w:rsidR="0015586A" w:rsidRPr="00D6478B">
        <w:rPr>
          <w:vertAlign w:val="superscript"/>
          <w:lang w:val="fr-FR"/>
        </w:rPr>
        <w:t>o</w:t>
      </w:r>
      <w:r w:rsidR="0015586A">
        <w:rPr>
          <w:lang w:val="fr-FR"/>
        </w:rPr>
        <w:t> </w:t>
      </w:r>
      <w:r w:rsidR="004306F2" w:rsidRPr="002E4295">
        <w:rPr>
          <w:lang w:val="fr-FR"/>
        </w:rPr>
        <w:t>082/PM du 27 août 2014. Le Comité a pour missions d’élaborer la cartographie des enfants victimes d’exploitation, afin de proposer au Gouvernement des stratégies efficaces de lutte contre le travail des enfants et des mesures permettant une meilleure application des instruments juridiques internationaux adoptés en la matière.</w:t>
      </w:r>
    </w:p>
    <w:p w:rsidR="004306F2" w:rsidRPr="002E4295" w:rsidRDefault="00270BF3" w:rsidP="00270BF3">
      <w:pPr>
        <w:pStyle w:val="SingleTxtG"/>
        <w:rPr>
          <w:lang w:val="fr-FR"/>
        </w:rPr>
      </w:pPr>
      <w:r w:rsidRPr="002E4295">
        <w:rPr>
          <w:lang w:val="fr-FR"/>
        </w:rPr>
        <w:t>74.</w:t>
      </w:r>
      <w:r w:rsidRPr="002E4295">
        <w:rPr>
          <w:lang w:val="fr-FR"/>
        </w:rPr>
        <w:tab/>
      </w:r>
      <w:r w:rsidR="004306F2" w:rsidRPr="002E4295">
        <w:rPr>
          <w:lang w:val="fr-FR"/>
        </w:rPr>
        <w:t>En outre, le processus d’adoption du Plan d’Action National pour l’Elimination des pires formes du Travail des Enfants au Cameroun (PANETEC) à l’horizon 2017 a été amorcé. Un Atelier de validation dudit Plan a été organisé le 19 mars 2014 par le Ministère du Travail et de la Sécurité Sociale.</w:t>
      </w:r>
    </w:p>
    <w:p w:rsidR="004306F2" w:rsidRPr="002E4295" w:rsidRDefault="00270BF3" w:rsidP="00270BF3">
      <w:pPr>
        <w:pStyle w:val="SingleTxtG"/>
        <w:rPr>
          <w:lang w:val="fr-FR"/>
        </w:rPr>
      </w:pPr>
      <w:r w:rsidRPr="002E4295">
        <w:rPr>
          <w:lang w:val="fr-FR"/>
        </w:rPr>
        <w:t>75.</w:t>
      </w:r>
      <w:r w:rsidRPr="002E4295">
        <w:rPr>
          <w:lang w:val="fr-FR"/>
        </w:rPr>
        <w:tab/>
      </w:r>
      <w:r w:rsidR="004306F2" w:rsidRPr="002E4295">
        <w:rPr>
          <w:lang w:val="fr-FR"/>
        </w:rPr>
        <w:t>En outre, le</w:t>
      </w:r>
      <w:r w:rsidR="004306F2" w:rsidRPr="00C97336">
        <w:t xml:space="preserve"> </w:t>
      </w:r>
      <w:r w:rsidR="004306F2" w:rsidRPr="002E4295">
        <w:rPr>
          <w:lang w:val="fr-FR"/>
        </w:rPr>
        <w:t>Syndicat Départemental Libre des Travailleurs des Communes du Noun a publié en 2014, avec l’appui de l’</w:t>
      </w:r>
      <w:r w:rsidR="00952989">
        <w:rPr>
          <w:lang w:val="fr-FR"/>
        </w:rPr>
        <w:t>Union Européenne, un Guide des p</w:t>
      </w:r>
      <w:r w:rsidR="004306F2" w:rsidRPr="002E4295">
        <w:rPr>
          <w:lang w:val="fr-FR"/>
        </w:rPr>
        <w:t>artenaire</w:t>
      </w:r>
      <w:r w:rsidR="00952989">
        <w:rPr>
          <w:lang w:val="fr-FR"/>
        </w:rPr>
        <w:t>s sociaux pour la lutte contre le t</w:t>
      </w:r>
      <w:r w:rsidR="004306F2" w:rsidRPr="002E4295">
        <w:rPr>
          <w:lang w:val="fr-FR"/>
        </w:rPr>
        <w:t xml:space="preserve">ravail des </w:t>
      </w:r>
      <w:r w:rsidR="00952989">
        <w:rPr>
          <w:lang w:val="fr-FR"/>
        </w:rPr>
        <w:t>enfants au C</w:t>
      </w:r>
      <w:r w:rsidR="004306F2" w:rsidRPr="002E4295">
        <w:rPr>
          <w:lang w:val="fr-FR"/>
        </w:rPr>
        <w:t xml:space="preserve">ameroun. Ce Guide était consécutif à une étude menée par le même syndicat dans les localités de </w:t>
      </w:r>
      <w:proofErr w:type="spellStart"/>
      <w:r w:rsidR="004306F2" w:rsidRPr="002E4295">
        <w:rPr>
          <w:lang w:val="fr-FR"/>
        </w:rPr>
        <w:t>Magba</w:t>
      </w:r>
      <w:proofErr w:type="spellEnd"/>
      <w:r w:rsidR="004306F2" w:rsidRPr="002E4295">
        <w:rPr>
          <w:lang w:val="fr-FR"/>
        </w:rPr>
        <w:t xml:space="preserve"> et</w:t>
      </w:r>
      <w:r w:rsidR="00433B30" w:rsidRPr="002E4295">
        <w:rPr>
          <w:lang w:val="fr-FR"/>
        </w:rPr>
        <w:t xml:space="preserve"> </w:t>
      </w:r>
      <w:r w:rsidR="004306F2" w:rsidRPr="002E4295">
        <w:rPr>
          <w:lang w:val="fr-FR"/>
        </w:rPr>
        <w:t>de</w:t>
      </w:r>
      <w:r w:rsidR="00433B30" w:rsidRPr="002E4295">
        <w:rPr>
          <w:lang w:val="fr-FR"/>
        </w:rPr>
        <w:t xml:space="preserve"> </w:t>
      </w:r>
      <w:proofErr w:type="spellStart"/>
      <w:r w:rsidR="004306F2" w:rsidRPr="002E4295">
        <w:rPr>
          <w:lang w:val="fr-FR"/>
        </w:rPr>
        <w:t>Bangourain</w:t>
      </w:r>
      <w:proofErr w:type="spellEnd"/>
      <w:r w:rsidR="004306F2" w:rsidRPr="002E4295">
        <w:rPr>
          <w:lang w:val="fr-FR"/>
        </w:rPr>
        <w:t xml:space="preserve">. </w:t>
      </w:r>
      <w:r w:rsidR="009527BF">
        <w:rPr>
          <w:lang w:val="fr-FR"/>
        </w:rPr>
        <w:t>À</w:t>
      </w:r>
      <w:r w:rsidR="004306F2" w:rsidRPr="002E4295">
        <w:rPr>
          <w:lang w:val="fr-FR"/>
        </w:rPr>
        <w:t xml:space="preserve"> l’issue de l’étude, 50 enfants pécheurs dans les fleuves Noun et </w:t>
      </w:r>
      <w:proofErr w:type="spellStart"/>
      <w:r w:rsidR="004306F2" w:rsidRPr="002E4295">
        <w:rPr>
          <w:lang w:val="fr-FR"/>
        </w:rPr>
        <w:t>Mapé</w:t>
      </w:r>
      <w:proofErr w:type="spellEnd"/>
      <w:r w:rsidR="004306F2" w:rsidRPr="002E4295">
        <w:rPr>
          <w:lang w:val="fr-FR"/>
        </w:rPr>
        <w:t xml:space="preserve"> dont l’âge varie de 5 à 14 ans ont été retirés de ce milieu.</w:t>
      </w:r>
    </w:p>
    <w:p w:rsidR="004306F2" w:rsidRPr="002E4295" w:rsidRDefault="00F17353" w:rsidP="00F17353">
      <w:pPr>
        <w:pStyle w:val="H1G"/>
        <w:rPr>
          <w:lang w:val="fr-FR"/>
        </w:rPr>
      </w:pPr>
      <w:bookmarkStart w:id="30" w:name="_Toc466897352"/>
      <w:r>
        <w:rPr>
          <w:lang w:val="fr-FR"/>
        </w:rPr>
        <w:lastRenderedPageBreak/>
        <w:tab/>
        <w:t>C.</w:t>
      </w:r>
      <w:r>
        <w:rPr>
          <w:lang w:val="fr-FR"/>
        </w:rPr>
        <w:tab/>
      </w:r>
      <w:r w:rsidR="004306F2" w:rsidRPr="002E4295">
        <w:rPr>
          <w:lang w:val="fr-FR"/>
        </w:rPr>
        <w:t>Sur la répression des cas de trafic d’enfants et de travail des enfants</w:t>
      </w:r>
      <w:bookmarkEnd w:id="30"/>
    </w:p>
    <w:p w:rsidR="00433B30" w:rsidRPr="002E4295" w:rsidRDefault="00270BF3" w:rsidP="00270BF3">
      <w:pPr>
        <w:pStyle w:val="SingleTxtG"/>
        <w:rPr>
          <w:lang w:val="fr-FR"/>
        </w:rPr>
      </w:pPr>
      <w:r w:rsidRPr="002E4295">
        <w:rPr>
          <w:lang w:val="fr-FR"/>
        </w:rPr>
        <w:t>76.</w:t>
      </w:r>
      <w:r w:rsidRPr="002E4295">
        <w:rPr>
          <w:lang w:val="fr-FR"/>
        </w:rPr>
        <w:tab/>
      </w:r>
      <w:r w:rsidR="004306F2" w:rsidRPr="002E4295">
        <w:rPr>
          <w:lang w:val="fr-FR"/>
        </w:rPr>
        <w:t>Des cas de poursuites ont été enregistrés contre des personnes ayant eu recours illégalement à la main d’œuvre infantile, notamment les</w:t>
      </w:r>
      <w:r w:rsidR="004306F2" w:rsidRPr="002E4295">
        <w:rPr>
          <w:bCs/>
          <w:lang w:val="fr-FR"/>
        </w:rPr>
        <w:t xml:space="preserve"> cas de trafic et de traite impliquant des enfants.</w:t>
      </w:r>
      <w:r w:rsidR="004306F2" w:rsidRPr="002E4295">
        <w:rPr>
          <w:lang w:val="fr-FR"/>
        </w:rPr>
        <w:t xml:space="preserve"> Il</w:t>
      </w:r>
      <w:r w:rsidR="00433B30" w:rsidRPr="002E4295">
        <w:rPr>
          <w:bCs/>
          <w:lang w:val="fr-FR"/>
        </w:rPr>
        <w:t xml:space="preserve"> s’agit notamment de</w:t>
      </w:r>
      <w:r w:rsidR="0016017F">
        <w:rPr>
          <w:bCs/>
          <w:lang w:val="fr-FR"/>
        </w:rPr>
        <w:t> </w:t>
      </w:r>
      <w:r w:rsidR="00DA0404">
        <w:rPr>
          <w:bCs/>
          <w:lang w:val="fr-FR"/>
        </w:rPr>
        <w:t>:</w:t>
      </w:r>
    </w:p>
    <w:p w:rsidR="004306F2" w:rsidRPr="0015586A" w:rsidRDefault="00270BF3" w:rsidP="00270BF3">
      <w:pPr>
        <w:pStyle w:val="Bullet1G"/>
        <w:numPr>
          <w:ilvl w:val="0"/>
          <w:numId w:val="0"/>
        </w:numPr>
        <w:tabs>
          <w:tab w:val="left" w:pos="1701"/>
        </w:tabs>
        <w:ind w:left="1701" w:hanging="170"/>
        <w:rPr>
          <w:lang w:val="fr-FR"/>
        </w:rPr>
      </w:pPr>
      <w:r w:rsidRPr="0015586A">
        <w:rPr>
          <w:lang w:val="fr-FR"/>
        </w:rPr>
        <w:t>•</w:t>
      </w:r>
      <w:r w:rsidRPr="0015586A">
        <w:rPr>
          <w:lang w:val="fr-FR"/>
        </w:rPr>
        <w:tab/>
      </w:r>
      <w:r w:rsidR="004306F2" w:rsidRPr="000153A4">
        <w:rPr>
          <w:lang w:val="fr-FR"/>
        </w:rPr>
        <w:t>L’affaire</w:t>
      </w:r>
      <w:r w:rsidR="004306F2" w:rsidRPr="002E4295">
        <w:rPr>
          <w:lang w:val="fr-FR"/>
        </w:rPr>
        <w:t xml:space="preserve"> MP et </w:t>
      </w:r>
      <w:r w:rsidR="004306F2" w:rsidRPr="0017665A">
        <w:rPr>
          <w:lang w:val="fr-FR"/>
        </w:rPr>
        <w:t xml:space="preserve">ELANGMAN </w:t>
      </w:r>
      <w:proofErr w:type="spellStart"/>
      <w:r w:rsidR="004306F2" w:rsidRPr="0017665A">
        <w:rPr>
          <w:lang w:val="fr-FR"/>
        </w:rPr>
        <w:t>Clauvis</w:t>
      </w:r>
      <w:proofErr w:type="spellEnd"/>
      <w:r w:rsidR="004306F2" w:rsidRPr="0017665A">
        <w:rPr>
          <w:lang w:val="fr-FR"/>
        </w:rPr>
        <w:t xml:space="preserve"> Chérif</w:t>
      </w:r>
      <w:r w:rsidR="004E5A3C">
        <w:rPr>
          <w:lang w:val="fr-FR"/>
        </w:rPr>
        <w:t xml:space="preserve"> c</w:t>
      </w:r>
      <w:r w:rsidR="004306F2" w:rsidRPr="0015586A">
        <w:rPr>
          <w:lang w:val="fr-FR"/>
        </w:rPr>
        <w:t xml:space="preserve">/ </w:t>
      </w:r>
      <w:r w:rsidR="004306F2" w:rsidRPr="0017665A">
        <w:rPr>
          <w:lang w:val="fr-FR"/>
        </w:rPr>
        <w:t>KOTA Marie Noëlle</w:t>
      </w:r>
      <w:r w:rsidR="004306F2" w:rsidRPr="0015586A">
        <w:rPr>
          <w:lang w:val="fr-FR"/>
        </w:rPr>
        <w:t xml:space="preserve"> et </w:t>
      </w:r>
      <w:r w:rsidR="004306F2" w:rsidRPr="0017665A">
        <w:rPr>
          <w:lang w:val="fr-FR"/>
        </w:rPr>
        <w:t>NSA’A Michel Bernar</w:t>
      </w:r>
      <w:r w:rsidR="004306F2" w:rsidRPr="0015586A">
        <w:rPr>
          <w:lang w:val="fr-FR"/>
        </w:rPr>
        <w:t xml:space="preserve">d, objet du Jugement </w:t>
      </w:r>
      <w:r w:rsidR="0015586A" w:rsidRPr="002E4295">
        <w:rPr>
          <w:lang w:val="fr-FR"/>
        </w:rPr>
        <w:t>n</w:t>
      </w:r>
      <w:r w:rsidR="0015586A" w:rsidRPr="00D6478B">
        <w:rPr>
          <w:vertAlign w:val="superscript"/>
          <w:lang w:val="fr-FR"/>
        </w:rPr>
        <w:t>o</w:t>
      </w:r>
      <w:r w:rsidR="0015586A">
        <w:rPr>
          <w:lang w:val="fr-FR"/>
        </w:rPr>
        <w:t> </w:t>
      </w:r>
      <w:r w:rsidR="004306F2" w:rsidRPr="0015586A">
        <w:rPr>
          <w:lang w:val="fr-FR"/>
        </w:rPr>
        <w:t>59/</w:t>
      </w:r>
      <w:proofErr w:type="spellStart"/>
      <w:r w:rsidR="004306F2" w:rsidRPr="0015586A">
        <w:rPr>
          <w:lang w:val="fr-FR"/>
        </w:rPr>
        <w:t>Crim</w:t>
      </w:r>
      <w:proofErr w:type="spellEnd"/>
      <w:r w:rsidR="004306F2" w:rsidRPr="0015586A">
        <w:rPr>
          <w:lang w:val="fr-FR"/>
        </w:rPr>
        <w:t xml:space="preserve"> du 18 septembre 2012 du Tribunal de Grande Instance (TGI) du Haut Nyong. Les accusés </w:t>
      </w:r>
      <w:r w:rsidR="004306F2" w:rsidRPr="0017665A">
        <w:rPr>
          <w:lang w:val="fr-FR"/>
        </w:rPr>
        <w:t xml:space="preserve">KOTA Marie Noëlle </w:t>
      </w:r>
      <w:r w:rsidR="004306F2" w:rsidRPr="0015586A">
        <w:rPr>
          <w:lang w:val="fr-FR"/>
        </w:rPr>
        <w:t>et</w:t>
      </w:r>
      <w:r w:rsidR="00433B30" w:rsidRPr="0015586A">
        <w:rPr>
          <w:lang w:val="fr-FR"/>
        </w:rPr>
        <w:t xml:space="preserve"> </w:t>
      </w:r>
      <w:r w:rsidR="004306F2" w:rsidRPr="0017665A">
        <w:rPr>
          <w:lang w:val="fr-FR"/>
        </w:rPr>
        <w:t>NSA’A Michel Bernard</w:t>
      </w:r>
      <w:r w:rsidR="00433B30" w:rsidRPr="0017665A">
        <w:rPr>
          <w:lang w:val="fr-FR"/>
        </w:rPr>
        <w:t xml:space="preserve"> </w:t>
      </w:r>
      <w:r w:rsidR="004306F2" w:rsidRPr="0015586A">
        <w:rPr>
          <w:lang w:val="fr-FR"/>
        </w:rPr>
        <w:t>ont été condamnés à 5 ans d’emprisonnement chacun et 50 000 FCFA</w:t>
      </w:r>
      <w:r w:rsidR="004306F2" w:rsidRPr="0015586A">
        <w:rPr>
          <w:rStyle w:val="Appelnotedebasdep"/>
        </w:rPr>
        <w:footnoteReference w:id="43"/>
      </w:r>
      <w:r w:rsidR="004306F2" w:rsidRPr="0015586A">
        <w:rPr>
          <w:lang w:val="fr-FR"/>
        </w:rPr>
        <w:t xml:space="preserve"> d’amende ainsi qu’aux dépens solidaires liquidés à la somme de 85 450</w:t>
      </w:r>
      <w:r w:rsidR="00EB4D57">
        <w:rPr>
          <w:lang w:val="fr-FR"/>
        </w:rPr>
        <w:t> </w:t>
      </w:r>
      <w:r w:rsidR="004306F2" w:rsidRPr="0015586A">
        <w:rPr>
          <w:lang w:val="fr-FR"/>
        </w:rPr>
        <w:t>FCFA</w:t>
      </w:r>
      <w:r w:rsidR="004306F2" w:rsidRPr="0015586A">
        <w:rPr>
          <w:rStyle w:val="Appelnotedebasdep"/>
        </w:rPr>
        <w:footnoteReference w:id="44"/>
      </w:r>
      <w:r w:rsidR="00EB4D57">
        <w:rPr>
          <w:lang w:val="fr-FR"/>
        </w:rPr>
        <w:t xml:space="preserve"> </w:t>
      </w:r>
      <w:r w:rsidR="004306F2" w:rsidRPr="0015586A">
        <w:rPr>
          <w:lang w:val="fr-FR"/>
        </w:rPr>
        <w:t>suivant</w:t>
      </w:r>
      <w:r w:rsidR="0016017F">
        <w:rPr>
          <w:lang w:val="fr-FR"/>
        </w:rPr>
        <w:t> </w:t>
      </w:r>
      <w:r w:rsidR="00DA0404">
        <w:rPr>
          <w:lang w:val="fr-FR"/>
        </w:rPr>
        <w:t>;</w:t>
      </w:r>
    </w:p>
    <w:p w:rsidR="004306F2" w:rsidRPr="0017665A" w:rsidRDefault="00270BF3" w:rsidP="00270BF3">
      <w:pPr>
        <w:pStyle w:val="Bullet1G"/>
        <w:numPr>
          <w:ilvl w:val="0"/>
          <w:numId w:val="0"/>
        </w:numPr>
        <w:tabs>
          <w:tab w:val="left" w:pos="1701"/>
        </w:tabs>
        <w:ind w:left="1701" w:hanging="170"/>
        <w:rPr>
          <w:lang w:val="fr-FR"/>
        </w:rPr>
      </w:pPr>
      <w:r w:rsidRPr="0017665A">
        <w:rPr>
          <w:lang w:val="fr-FR"/>
        </w:rPr>
        <w:t>•</w:t>
      </w:r>
      <w:r w:rsidRPr="0017665A">
        <w:rPr>
          <w:lang w:val="fr-FR"/>
        </w:rPr>
        <w:tab/>
      </w:r>
      <w:r w:rsidR="004306F2" w:rsidRPr="0015586A">
        <w:rPr>
          <w:lang w:val="fr-FR"/>
        </w:rPr>
        <w:t xml:space="preserve">L’affaire MP et </w:t>
      </w:r>
      <w:r w:rsidR="004306F2" w:rsidRPr="0017665A">
        <w:rPr>
          <w:lang w:val="fr-FR"/>
        </w:rPr>
        <w:t>FATIME DOUDOU</w:t>
      </w:r>
      <w:r w:rsidR="004306F2" w:rsidRPr="0015586A">
        <w:rPr>
          <w:lang w:val="fr-FR"/>
        </w:rPr>
        <w:t xml:space="preserve">, </w:t>
      </w:r>
      <w:r w:rsidR="004306F2" w:rsidRPr="0017665A">
        <w:rPr>
          <w:lang w:val="fr-FR"/>
        </w:rPr>
        <w:t>LASSOU DJONA Martin et autres</w:t>
      </w:r>
      <w:r w:rsidR="004306F2" w:rsidRPr="0015586A">
        <w:rPr>
          <w:lang w:val="fr-FR"/>
        </w:rPr>
        <w:t xml:space="preserve"> c/ </w:t>
      </w:r>
      <w:r w:rsidR="004306F2" w:rsidRPr="0017665A">
        <w:rPr>
          <w:lang w:val="fr-FR"/>
        </w:rPr>
        <w:t xml:space="preserve">OUSMAN </w:t>
      </w:r>
      <w:proofErr w:type="spellStart"/>
      <w:r w:rsidR="004306F2" w:rsidRPr="0017665A">
        <w:rPr>
          <w:lang w:val="fr-FR"/>
        </w:rPr>
        <w:t>Oumarou</w:t>
      </w:r>
      <w:proofErr w:type="spellEnd"/>
      <w:r w:rsidR="004306F2" w:rsidRPr="0017665A">
        <w:rPr>
          <w:lang w:val="fr-FR"/>
        </w:rPr>
        <w:t xml:space="preserve"> alias MANOU, </w:t>
      </w:r>
      <w:r w:rsidR="00952989" w:rsidRPr="0015586A">
        <w:rPr>
          <w:lang w:val="fr-FR"/>
        </w:rPr>
        <w:t xml:space="preserve">objet du Jugement du </w:t>
      </w:r>
      <w:r w:rsidR="004306F2" w:rsidRPr="0015586A">
        <w:rPr>
          <w:lang w:val="fr-FR"/>
        </w:rPr>
        <w:t>2 juin 2013 du TGI du Mayo-</w:t>
      </w:r>
      <w:proofErr w:type="spellStart"/>
      <w:r w:rsidR="004306F2" w:rsidRPr="0015586A">
        <w:rPr>
          <w:lang w:val="fr-FR"/>
        </w:rPr>
        <w:t>Danay</w:t>
      </w:r>
      <w:proofErr w:type="spellEnd"/>
      <w:r w:rsidR="004306F2" w:rsidRPr="0015586A">
        <w:rPr>
          <w:lang w:val="fr-FR"/>
        </w:rPr>
        <w:t xml:space="preserve"> à </w:t>
      </w:r>
      <w:proofErr w:type="spellStart"/>
      <w:r w:rsidR="004306F2" w:rsidRPr="0015586A">
        <w:rPr>
          <w:lang w:val="fr-FR"/>
        </w:rPr>
        <w:t>Yagoua</w:t>
      </w:r>
      <w:proofErr w:type="spellEnd"/>
      <w:r w:rsidR="004306F2" w:rsidRPr="0015586A">
        <w:rPr>
          <w:lang w:val="fr-FR"/>
        </w:rPr>
        <w:t xml:space="preserve">. Les victimes se sont vues confier les troupeaux de moutons et de chèvres à faire paître, après avoir été déplacées de leur lieu de résidence. Déclaré coupable de crime de coaction de trafic et d’exploitation d’enfants, l’accusé </w:t>
      </w:r>
      <w:r w:rsidR="004306F2" w:rsidRPr="0017665A">
        <w:rPr>
          <w:lang w:val="fr-FR"/>
        </w:rPr>
        <w:t xml:space="preserve">OUSMAN </w:t>
      </w:r>
      <w:proofErr w:type="spellStart"/>
      <w:r w:rsidR="004306F2" w:rsidRPr="0017665A">
        <w:rPr>
          <w:lang w:val="fr-FR"/>
        </w:rPr>
        <w:t>Oumarou</w:t>
      </w:r>
      <w:r w:rsidR="004306F2" w:rsidRPr="0015586A">
        <w:rPr>
          <w:lang w:val="fr-FR"/>
        </w:rPr>
        <w:t>a</w:t>
      </w:r>
      <w:proofErr w:type="spellEnd"/>
      <w:r w:rsidR="004306F2" w:rsidRPr="0015586A">
        <w:rPr>
          <w:lang w:val="fr-FR"/>
        </w:rPr>
        <w:t xml:space="preserve"> été condamné à 6 ans d’emprisonnement ferme, aux dépens liquidés à la somme de 48 850FCFA</w:t>
      </w:r>
      <w:r w:rsidR="004306F2" w:rsidRPr="0015586A">
        <w:rPr>
          <w:rStyle w:val="Appelnotedebasdep"/>
        </w:rPr>
        <w:footnoteReference w:id="45"/>
      </w:r>
      <w:r w:rsidR="004306F2" w:rsidRPr="0015586A">
        <w:rPr>
          <w:lang w:val="fr-FR"/>
        </w:rPr>
        <w:t xml:space="preserve"> et à payer une somme de 300 000 FCFA</w:t>
      </w:r>
      <w:r w:rsidR="004306F2" w:rsidRPr="0015586A">
        <w:rPr>
          <w:rStyle w:val="Appelnotedebasdep"/>
        </w:rPr>
        <w:footnoteReference w:id="46"/>
      </w:r>
      <w:r w:rsidR="004306F2" w:rsidRPr="0015586A">
        <w:rPr>
          <w:lang w:val="fr-FR"/>
        </w:rPr>
        <w:t xml:space="preserve"> à </w:t>
      </w:r>
      <w:r w:rsidR="004306F2" w:rsidRPr="0017665A">
        <w:rPr>
          <w:lang w:val="fr-FR"/>
        </w:rPr>
        <w:t>FATIME DOUDOU et 1 000 000 FCFA</w:t>
      </w:r>
      <w:r w:rsidR="004306F2" w:rsidRPr="0015586A">
        <w:rPr>
          <w:rStyle w:val="Appelnotedebasdep"/>
        </w:rPr>
        <w:footnoteReference w:id="47"/>
      </w:r>
      <w:r w:rsidR="004306F2" w:rsidRPr="0015586A">
        <w:rPr>
          <w:lang w:val="fr-FR"/>
        </w:rPr>
        <w:t xml:space="preserve"> à </w:t>
      </w:r>
      <w:r w:rsidR="004306F2" w:rsidRPr="0017665A">
        <w:rPr>
          <w:lang w:val="fr-FR"/>
        </w:rPr>
        <w:t>LASSOU DJONA Martin</w:t>
      </w:r>
      <w:r w:rsidR="00DA0404">
        <w:rPr>
          <w:lang w:val="fr-FR"/>
        </w:rPr>
        <w:t> ;</w:t>
      </w:r>
    </w:p>
    <w:p w:rsidR="004306F2" w:rsidRPr="002E4295" w:rsidRDefault="00270BF3" w:rsidP="00270BF3">
      <w:pPr>
        <w:pStyle w:val="Bullet1G"/>
        <w:numPr>
          <w:ilvl w:val="0"/>
          <w:numId w:val="0"/>
        </w:numPr>
        <w:tabs>
          <w:tab w:val="left" w:pos="1701"/>
        </w:tabs>
        <w:ind w:left="1701" w:hanging="170"/>
        <w:rPr>
          <w:b/>
          <w:lang w:val="fr-FR"/>
        </w:rPr>
      </w:pPr>
      <w:r w:rsidRPr="002E4295">
        <w:rPr>
          <w:lang w:val="fr-FR"/>
        </w:rPr>
        <w:t>•</w:t>
      </w:r>
      <w:r w:rsidRPr="002E4295">
        <w:rPr>
          <w:lang w:val="fr-FR"/>
        </w:rPr>
        <w:tab/>
      </w:r>
      <w:r w:rsidR="004306F2" w:rsidRPr="0015586A">
        <w:rPr>
          <w:lang w:val="fr-FR"/>
        </w:rPr>
        <w:t xml:space="preserve">The </w:t>
      </w:r>
      <w:r w:rsidR="004306F2" w:rsidRPr="0015586A">
        <w:rPr>
          <w:bCs/>
          <w:lang w:val="fr-FR"/>
        </w:rPr>
        <w:t>People</w:t>
      </w:r>
      <w:r w:rsidR="00881BCC">
        <w:rPr>
          <w:lang w:val="fr-FR"/>
        </w:rPr>
        <w:t xml:space="preserve"> v</w:t>
      </w:r>
      <w:r w:rsidR="004306F2" w:rsidRPr="0015586A">
        <w:rPr>
          <w:lang w:val="fr-FR"/>
        </w:rPr>
        <w:t xml:space="preserve">s DAIRU SANDA MBAA and BUINDA </w:t>
      </w:r>
      <w:proofErr w:type="spellStart"/>
      <w:r w:rsidR="004306F2" w:rsidRPr="0015586A">
        <w:rPr>
          <w:lang w:val="fr-FR"/>
        </w:rPr>
        <w:t>Agnes</w:t>
      </w:r>
      <w:proofErr w:type="spellEnd"/>
      <w:r w:rsidR="004306F2" w:rsidRPr="0017665A">
        <w:rPr>
          <w:lang w:val="fr-FR"/>
        </w:rPr>
        <w:t xml:space="preserve"> KWASINWI, </w:t>
      </w:r>
      <w:r w:rsidR="004306F2" w:rsidRPr="0015586A">
        <w:rPr>
          <w:lang w:val="fr-FR"/>
        </w:rPr>
        <w:t>Suit n</w:t>
      </w:r>
      <w:r w:rsidR="009527BF" w:rsidRPr="0017665A">
        <w:rPr>
          <w:vertAlign w:val="superscript"/>
          <w:lang w:val="fr-FR"/>
        </w:rPr>
        <w:t>o</w:t>
      </w:r>
      <w:r w:rsidR="009527BF">
        <w:rPr>
          <w:lang w:val="fr-FR"/>
        </w:rPr>
        <w:t> </w:t>
      </w:r>
      <w:r w:rsidR="004306F2" w:rsidRPr="0015586A">
        <w:rPr>
          <w:lang w:val="fr-FR"/>
        </w:rPr>
        <w:t xml:space="preserve">HCN/03/2015 du TGI de </w:t>
      </w:r>
      <w:proofErr w:type="spellStart"/>
      <w:r w:rsidR="004306F2" w:rsidRPr="0015586A">
        <w:rPr>
          <w:lang w:val="fr-FR"/>
        </w:rPr>
        <w:t>Donga</w:t>
      </w:r>
      <w:proofErr w:type="spellEnd"/>
      <w:r w:rsidR="00433B30" w:rsidRPr="0015586A">
        <w:rPr>
          <w:lang w:val="fr-FR"/>
        </w:rPr>
        <w:t xml:space="preserve"> </w:t>
      </w:r>
      <w:proofErr w:type="spellStart"/>
      <w:r w:rsidR="004306F2" w:rsidRPr="0015586A">
        <w:rPr>
          <w:lang w:val="fr-FR"/>
        </w:rPr>
        <w:t>Mantung</w:t>
      </w:r>
      <w:proofErr w:type="spellEnd"/>
      <w:r w:rsidR="00DA0404">
        <w:rPr>
          <w:lang w:val="fr-FR"/>
        </w:rPr>
        <w:t> :</w:t>
      </w:r>
      <w:r w:rsidR="004306F2" w:rsidRPr="0015586A">
        <w:rPr>
          <w:lang w:val="fr-FR"/>
        </w:rPr>
        <w:t xml:space="preserve"> les accusés avaient déplacé 6 mineurs</w:t>
      </w:r>
      <w:r w:rsidR="004306F2" w:rsidRPr="002E4295">
        <w:rPr>
          <w:lang w:val="fr-FR"/>
        </w:rPr>
        <w:t xml:space="preserve"> âgés de 8 à 17 ans de leur région d’origine avec l’intention de les faire travailler dans des plantations dans la Région du Centre. Suivant Jugement du 15 avril 2015, les accusés ont été condamnés pour trafic à 3 ans d’emprisonnement avec sursis pendant 3 ans et à 60 000</w:t>
      </w:r>
      <w:r w:rsidR="009527BF">
        <w:rPr>
          <w:lang w:val="fr-FR"/>
        </w:rPr>
        <w:t> </w:t>
      </w:r>
      <w:r w:rsidR="004306F2" w:rsidRPr="002E4295">
        <w:rPr>
          <w:lang w:val="fr-FR"/>
        </w:rPr>
        <w:t>frs d’amende.</w:t>
      </w:r>
    </w:p>
    <w:p w:rsidR="004306F2" w:rsidRPr="002E4295" w:rsidRDefault="00270BF3" w:rsidP="00270BF3">
      <w:pPr>
        <w:pStyle w:val="SingleTxtG"/>
        <w:rPr>
          <w:lang w:val="fr-FR"/>
        </w:rPr>
      </w:pPr>
      <w:r w:rsidRPr="002E4295">
        <w:rPr>
          <w:lang w:val="fr-FR"/>
        </w:rPr>
        <w:t>77.</w:t>
      </w:r>
      <w:r w:rsidRPr="002E4295">
        <w:rPr>
          <w:lang w:val="fr-FR"/>
        </w:rPr>
        <w:tab/>
      </w:r>
      <w:r w:rsidR="004306F2" w:rsidRPr="002E4295">
        <w:rPr>
          <w:lang w:val="fr-FR"/>
        </w:rPr>
        <w:t xml:space="preserve">Relativement au nombre d’inspecteurs de travail, le MINTSS en comptait 77 en 2014. Ce faible chiffre s’explique par les départs à la retraite et les détachements d’inspecteurs dans d’autres secteurs d’activités. </w:t>
      </w:r>
      <w:r w:rsidR="009527BF">
        <w:rPr>
          <w:lang w:val="fr-FR"/>
        </w:rPr>
        <w:t>À</w:t>
      </w:r>
      <w:r w:rsidR="004306F2" w:rsidRPr="002E4295">
        <w:rPr>
          <w:lang w:val="fr-FR"/>
        </w:rPr>
        <w:t xml:space="preserve"> ces deux facteurs s’ajoutent l’interruption des recrutements d’Inspecteurs de tra</w:t>
      </w:r>
      <w:r w:rsidR="00C04D79">
        <w:rPr>
          <w:lang w:val="fr-FR"/>
        </w:rPr>
        <w:t>vail dans la fonction publique.</w:t>
      </w:r>
    </w:p>
    <w:p w:rsidR="004306F2" w:rsidRPr="0017665A" w:rsidRDefault="00B3745E" w:rsidP="0017665A">
      <w:pPr>
        <w:pStyle w:val="HChG"/>
      </w:pPr>
      <w:bookmarkStart w:id="31" w:name="_Toc466897353"/>
      <w:r>
        <w:rPr>
          <w:lang w:val="fr-FR"/>
        </w:rPr>
        <w:tab/>
        <w:t>XVI.</w:t>
      </w:r>
      <w:r>
        <w:rPr>
          <w:lang w:val="fr-FR"/>
        </w:rPr>
        <w:tab/>
      </w:r>
      <w:r w:rsidR="00433B30" w:rsidRPr="002E4295">
        <w:rPr>
          <w:lang w:val="fr-FR"/>
        </w:rPr>
        <w:t>Rec.</w:t>
      </w:r>
      <w:r>
        <w:rPr>
          <w:lang w:val="fr-FR"/>
        </w:rPr>
        <w:t> </w:t>
      </w:r>
      <w:r w:rsidR="004306F2" w:rsidRPr="002E4295">
        <w:rPr>
          <w:lang w:val="fr-FR"/>
        </w:rPr>
        <w:t>21</w:t>
      </w:r>
      <w:r w:rsidR="00433B30" w:rsidRPr="002E4295">
        <w:rPr>
          <w:lang w:val="fr-FR"/>
        </w:rPr>
        <w:t>.</w:t>
      </w:r>
      <w:r>
        <w:rPr>
          <w:lang w:val="fr-FR"/>
        </w:rPr>
        <w:t> </w:t>
      </w:r>
      <w:r w:rsidR="004306F2" w:rsidRPr="002E4295">
        <w:rPr>
          <w:lang w:val="fr-FR"/>
        </w:rPr>
        <w:t>Cadre légal de lutte contre la violence à l’égard des</w:t>
      </w:r>
      <w:r w:rsidR="0015586A">
        <w:rPr>
          <w:lang w:val="fr-FR"/>
        </w:rPr>
        <w:t> </w:t>
      </w:r>
      <w:r w:rsidR="004306F2" w:rsidRPr="002E4295">
        <w:rPr>
          <w:lang w:val="fr-FR"/>
        </w:rPr>
        <w:t>femmes et des filles</w:t>
      </w:r>
      <w:bookmarkEnd w:id="31"/>
    </w:p>
    <w:p w:rsidR="004306F2" w:rsidRPr="002E4295" w:rsidRDefault="00F17353" w:rsidP="00F17353">
      <w:pPr>
        <w:pStyle w:val="H1G"/>
        <w:rPr>
          <w:lang w:val="fr-FR"/>
        </w:rPr>
      </w:pPr>
      <w:bookmarkStart w:id="32" w:name="_Toc466897354"/>
      <w:r>
        <w:rPr>
          <w:lang w:val="fr-FR"/>
        </w:rPr>
        <w:tab/>
        <w:t>A.</w:t>
      </w:r>
      <w:r>
        <w:rPr>
          <w:lang w:val="fr-FR"/>
        </w:rPr>
        <w:tab/>
      </w:r>
      <w:r w:rsidR="004306F2" w:rsidRPr="002E4295">
        <w:rPr>
          <w:lang w:val="fr-FR"/>
        </w:rPr>
        <w:t>Révision et adoption des lois visant à renforcer le cadre juridique de</w:t>
      </w:r>
      <w:r w:rsidR="0015586A">
        <w:rPr>
          <w:lang w:val="fr-FR"/>
        </w:rPr>
        <w:t> </w:t>
      </w:r>
      <w:r w:rsidR="004306F2" w:rsidRPr="002E4295">
        <w:rPr>
          <w:lang w:val="fr-FR"/>
        </w:rPr>
        <w:t>lutte contre les violences</w:t>
      </w:r>
      <w:bookmarkEnd w:id="32"/>
    </w:p>
    <w:p w:rsidR="004306F2" w:rsidRPr="002E4295" w:rsidRDefault="00270BF3" w:rsidP="00270BF3">
      <w:pPr>
        <w:pStyle w:val="SingleTxtG"/>
        <w:rPr>
          <w:lang w:val="fr-FR"/>
        </w:rPr>
      </w:pPr>
      <w:r w:rsidRPr="002E4295">
        <w:rPr>
          <w:lang w:val="fr-FR"/>
        </w:rPr>
        <w:t>78.</w:t>
      </w:r>
      <w:r w:rsidRPr="002E4295">
        <w:rPr>
          <w:lang w:val="fr-FR"/>
        </w:rPr>
        <w:tab/>
      </w:r>
      <w:r w:rsidR="004306F2" w:rsidRPr="002E4295">
        <w:rPr>
          <w:lang w:val="fr-FR"/>
        </w:rPr>
        <w:t>Le cadre juridique de lutte contre les violences à l’égard des femmes et des filles a été renforcé à la faveur de l’adoption du nouveau CP. Ainsi, les mutilations génitales féminines, le repassage des seins et le harcèlement sexuel sont désormais expressément sanctionnés par les dispositions des articles 277-1, 277-2 et 302-1.</w:t>
      </w:r>
    </w:p>
    <w:p w:rsidR="004306F2" w:rsidRPr="002E4295" w:rsidRDefault="00270BF3" w:rsidP="00270BF3">
      <w:pPr>
        <w:pStyle w:val="SingleTxtG"/>
        <w:rPr>
          <w:lang w:val="fr-FR"/>
        </w:rPr>
      </w:pPr>
      <w:r w:rsidRPr="002E4295">
        <w:rPr>
          <w:lang w:val="fr-FR"/>
        </w:rPr>
        <w:t>79.</w:t>
      </w:r>
      <w:r w:rsidRPr="002E4295">
        <w:rPr>
          <w:lang w:val="fr-FR"/>
        </w:rPr>
        <w:tab/>
      </w:r>
      <w:r w:rsidR="004306F2" w:rsidRPr="002E4295">
        <w:rPr>
          <w:lang w:val="fr-FR"/>
        </w:rPr>
        <w:t>Malgré l’absence de dispositions spécifiques, la violence domestique tout comme le viol conjugal peut être sanctionné par certaines dispositions du CP. Ainsi, les violences domestiques, constitutives de violences physiques exercées contre une femme sont susceptibles de tomber sous le coup des articles 277, 278, 279, 280 et 281 du CP qui sanctionnent respectivement les blessures graves, les coups mortels, les coups avec blessures graves, les blessures simples et les blessures légères. En outre, d’importantes innovations ont ét</w:t>
      </w:r>
      <w:r w:rsidR="00DD6497" w:rsidRPr="002E4295">
        <w:rPr>
          <w:lang w:val="fr-FR"/>
        </w:rPr>
        <w:t>é introduites par le nouveau CP</w:t>
      </w:r>
      <w:r w:rsidR="00DA0404">
        <w:rPr>
          <w:lang w:val="fr-FR"/>
        </w:rPr>
        <w:t> :</w:t>
      </w:r>
    </w:p>
    <w:p w:rsidR="004306F2" w:rsidRPr="002E4295" w:rsidRDefault="00270BF3" w:rsidP="00270BF3">
      <w:pPr>
        <w:pStyle w:val="Bullet1G"/>
        <w:numPr>
          <w:ilvl w:val="0"/>
          <w:numId w:val="0"/>
        </w:numPr>
        <w:tabs>
          <w:tab w:val="left" w:pos="1701"/>
        </w:tabs>
        <w:ind w:left="1701" w:hanging="170"/>
        <w:rPr>
          <w:lang w:val="fr-FR"/>
        </w:rPr>
      </w:pPr>
      <w:r w:rsidRPr="002E4295">
        <w:rPr>
          <w:lang w:val="fr-FR"/>
        </w:rPr>
        <w:lastRenderedPageBreak/>
        <w:t>•</w:t>
      </w:r>
      <w:r w:rsidRPr="002E4295">
        <w:rPr>
          <w:lang w:val="fr-FR"/>
        </w:rPr>
        <w:tab/>
      </w:r>
      <w:r w:rsidR="00B20A71">
        <w:rPr>
          <w:lang w:val="fr-FR"/>
        </w:rPr>
        <w:t>L</w:t>
      </w:r>
      <w:r w:rsidR="00B20A71" w:rsidRPr="002E4295">
        <w:rPr>
          <w:lang w:val="fr-FR"/>
        </w:rPr>
        <w:t xml:space="preserve">’expulsion </w:t>
      </w:r>
      <w:r w:rsidR="004306F2" w:rsidRPr="002E4295">
        <w:rPr>
          <w:lang w:val="fr-FR"/>
        </w:rPr>
        <w:t>du conjoint ou de la veuve du domicile conjugal est désormai</w:t>
      </w:r>
      <w:r w:rsidR="00952989">
        <w:rPr>
          <w:lang w:val="fr-FR"/>
        </w:rPr>
        <w:t>s sanctionnée à l’article 358-1</w:t>
      </w:r>
      <w:r w:rsidR="00DA0404">
        <w:rPr>
          <w:lang w:val="fr-FR"/>
        </w:rPr>
        <w:t> ;</w:t>
      </w:r>
      <w:r w:rsidR="004306F2" w:rsidRPr="002E4295">
        <w:rPr>
          <w:lang w:val="fr-FR"/>
        </w:rPr>
        <w:t xml:space="preserve"> il en va de même de l’entrave au paiement de la pension de réversion à la veuve e</w:t>
      </w:r>
      <w:r w:rsidR="00C97336">
        <w:rPr>
          <w:lang w:val="fr-FR"/>
        </w:rPr>
        <w:t>t aux orphelins (art</w:t>
      </w:r>
      <w:r w:rsidR="00953EB3">
        <w:rPr>
          <w:lang w:val="fr-FR"/>
        </w:rPr>
        <w:t>. </w:t>
      </w:r>
      <w:r w:rsidR="00C97336">
        <w:rPr>
          <w:lang w:val="fr-FR"/>
        </w:rPr>
        <w:t>180-1)</w:t>
      </w:r>
      <w:r w:rsidR="00DA0404">
        <w:rPr>
          <w:lang w:val="fr-FR"/>
        </w:rPr>
        <w:t> ;</w:t>
      </w:r>
    </w:p>
    <w:p w:rsidR="004306F2" w:rsidRPr="002E4295" w:rsidRDefault="00270BF3" w:rsidP="00270BF3">
      <w:pPr>
        <w:pStyle w:val="Bullet1G"/>
        <w:numPr>
          <w:ilvl w:val="0"/>
          <w:numId w:val="0"/>
        </w:numPr>
        <w:tabs>
          <w:tab w:val="left" w:pos="1701"/>
        </w:tabs>
        <w:ind w:left="1701" w:hanging="170"/>
        <w:rPr>
          <w:lang w:val="fr-FR"/>
        </w:rPr>
      </w:pPr>
      <w:r w:rsidRPr="002E4295">
        <w:rPr>
          <w:lang w:val="fr-FR"/>
        </w:rPr>
        <w:t>•</w:t>
      </w:r>
      <w:r w:rsidRPr="002E4295">
        <w:rPr>
          <w:lang w:val="fr-FR"/>
        </w:rPr>
        <w:tab/>
      </w:r>
      <w:r w:rsidR="00B20A71">
        <w:rPr>
          <w:lang w:val="fr-FR"/>
        </w:rPr>
        <w:t>S</w:t>
      </w:r>
      <w:r w:rsidR="00B20A71" w:rsidRPr="002E4295">
        <w:rPr>
          <w:lang w:val="fr-FR"/>
        </w:rPr>
        <w:t xml:space="preserve">’il </w:t>
      </w:r>
      <w:r w:rsidR="004306F2" w:rsidRPr="002E4295">
        <w:rPr>
          <w:lang w:val="fr-FR"/>
        </w:rPr>
        <w:t>s’agit d’abandon d’une femme sans ressources, les infractions telles paiement d’une pension alimentaire et abandon de famille permettent à la femme de saisir les instances judiciaires sur la base des articles 180 et 358 du CP</w:t>
      </w:r>
      <w:r w:rsidR="004306F2" w:rsidRPr="00E153AE">
        <w:rPr>
          <w:rStyle w:val="Appelnotedebasdep"/>
        </w:rPr>
        <w:footnoteReference w:id="48"/>
      </w:r>
      <w:r w:rsidR="00952989">
        <w:rPr>
          <w:lang w:val="fr-FR"/>
        </w:rPr>
        <w:t>.</w:t>
      </w:r>
    </w:p>
    <w:p w:rsidR="004306F2" w:rsidRPr="002E4295" w:rsidRDefault="00F17353" w:rsidP="00F17353">
      <w:pPr>
        <w:pStyle w:val="H1G"/>
        <w:rPr>
          <w:lang w:val="fr-FR"/>
        </w:rPr>
      </w:pPr>
      <w:bookmarkStart w:id="33" w:name="_Toc466897355"/>
      <w:r>
        <w:rPr>
          <w:lang w:val="fr-FR"/>
        </w:rPr>
        <w:tab/>
        <w:t>B.</w:t>
      </w:r>
      <w:r>
        <w:rPr>
          <w:lang w:val="fr-FR"/>
        </w:rPr>
        <w:tab/>
      </w:r>
      <w:r w:rsidR="004306F2" w:rsidRPr="002E4295">
        <w:rPr>
          <w:lang w:val="fr-FR"/>
        </w:rPr>
        <w:t>Les campagnes de sensibilisation en vue de combattre toutes les formes de violences</w:t>
      </w:r>
      <w:bookmarkEnd w:id="33"/>
    </w:p>
    <w:p w:rsidR="004306F2" w:rsidRPr="002E4295" w:rsidRDefault="00270BF3" w:rsidP="00270BF3">
      <w:pPr>
        <w:pStyle w:val="SingleTxtG"/>
        <w:rPr>
          <w:lang w:val="fr-FR"/>
        </w:rPr>
      </w:pPr>
      <w:r w:rsidRPr="002E4295">
        <w:rPr>
          <w:lang w:val="fr-FR"/>
        </w:rPr>
        <w:t>80.</w:t>
      </w:r>
      <w:r w:rsidRPr="002E4295">
        <w:rPr>
          <w:lang w:val="fr-FR"/>
        </w:rPr>
        <w:tab/>
      </w:r>
      <w:r w:rsidR="004306F2" w:rsidRPr="002E4295">
        <w:rPr>
          <w:lang w:val="fr-FR"/>
        </w:rPr>
        <w:t>Le Gouvernement s’est doté en 1998 d’un Plan d’Action National pour l’Elimination des Mutilations Génitales Féminines, lequel a été revu en 2011 et</w:t>
      </w:r>
      <w:r w:rsidR="00183F17">
        <w:rPr>
          <w:lang w:val="fr-FR"/>
        </w:rPr>
        <w:t xml:space="preserve"> </w:t>
      </w:r>
      <w:r w:rsidR="004306F2" w:rsidRPr="002E4295">
        <w:rPr>
          <w:lang w:val="fr-FR"/>
        </w:rPr>
        <w:t>d’une Stratégie Nationale de lutte contre les Violences Basées sur le Genre (VBG) en 2012. La sensibilisation autour de ces deux documents se décline en campagnes de plaidoyer auprès des acteurs clés.</w:t>
      </w:r>
    </w:p>
    <w:p w:rsidR="004306F2" w:rsidRPr="002E4295" w:rsidRDefault="00270BF3" w:rsidP="00270BF3">
      <w:pPr>
        <w:pStyle w:val="SingleTxtG"/>
        <w:rPr>
          <w:lang w:val="fr-FR"/>
        </w:rPr>
      </w:pPr>
      <w:r w:rsidRPr="002E4295">
        <w:rPr>
          <w:lang w:val="fr-FR"/>
        </w:rPr>
        <w:t>81.</w:t>
      </w:r>
      <w:r w:rsidRPr="002E4295">
        <w:rPr>
          <w:lang w:val="fr-FR"/>
        </w:rPr>
        <w:tab/>
      </w:r>
      <w:r w:rsidR="004306F2" w:rsidRPr="002E4295">
        <w:rPr>
          <w:lang w:val="fr-FR"/>
        </w:rPr>
        <w:t>Ainsi, en 2013, un total de 12 789 personnes et 75 leaders communautaires ont été sensibilisé</w:t>
      </w:r>
      <w:r w:rsidR="00674679">
        <w:rPr>
          <w:lang w:val="fr-FR"/>
        </w:rPr>
        <w:t>s sur les violences</w:t>
      </w:r>
      <w:r w:rsidR="00DA0404">
        <w:rPr>
          <w:lang w:val="fr-FR"/>
        </w:rPr>
        <w:t> ;</w:t>
      </w:r>
      <w:r w:rsidR="00674679">
        <w:rPr>
          <w:lang w:val="fr-FR"/>
        </w:rPr>
        <w:t xml:space="preserve"> en 2014, </w:t>
      </w:r>
      <w:r w:rsidR="004306F2" w:rsidRPr="002E4295">
        <w:rPr>
          <w:lang w:val="fr-FR"/>
        </w:rPr>
        <w:t>2 sessions de plaidoyers ont été menées par la Ministre en charge des questions de genre devant la représentation nationale, et en 2015, la vulgarisation des instruments juridiques de protection des droits de la femme a été faite auprès des parlementaires, des regroupements associatifs, des établissements scolaires et universitaires, et de 703 Leaders communautaires. Par ailleurs, 150 personnels de la police ont été formés sur la problématique des VBG en contexte humanitaire ainsi qu’à la prise en charge holistique des survivantes.</w:t>
      </w:r>
    </w:p>
    <w:p w:rsidR="004306F2" w:rsidRPr="002E4295" w:rsidRDefault="00270BF3" w:rsidP="00270BF3">
      <w:pPr>
        <w:pStyle w:val="SingleTxtG"/>
        <w:rPr>
          <w:lang w:val="fr-FR"/>
        </w:rPr>
      </w:pPr>
      <w:r w:rsidRPr="002E4295">
        <w:rPr>
          <w:lang w:val="fr-FR"/>
        </w:rPr>
        <w:t>82.</w:t>
      </w:r>
      <w:r w:rsidRPr="002E4295">
        <w:rPr>
          <w:lang w:val="fr-FR"/>
        </w:rPr>
        <w:tab/>
      </w:r>
      <w:r w:rsidR="004306F2" w:rsidRPr="002E4295">
        <w:rPr>
          <w:lang w:val="fr-FR"/>
        </w:rPr>
        <w:t xml:space="preserve">En outre, des plateformes de collaboration ont été signées entre le Gouvernement et les Organisations de la Société Civile, à l’instar du Conseil des Imams et Dignitaires Musulmans du Cameroun (CIDIMUC) et du Cercle International pour la Promotion de la Création (CIPCRE), en vue de l’intensification de cette sensibilisation auprès des populations, avec l’appui de l’Ambassade de France et de certaines agences du Système des Nations Unies. </w:t>
      </w:r>
    </w:p>
    <w:p w:rsidR="004306F2" w:rsidRPr="0017665A" w:rsidRDefault="00270BF3" w:rsidP="00270BF3">
      <w:pPr>
        <w:pStyle w:val="SingleTxtG"/>
        <w:rPr>
          <w:lang w:val="fr-FR"/>
        </w:rPr>
      </w:pPr>
      <w:r w:rsidRPr="0017665A">
        <w:rPr>
          <w:lang w:val="fr-FR"/>
        </w:rPr>
        <w:t>83.</w:t>
      </w:r>
      <w:r w:rsidRPr="0017665A">
        <w:rPr>
          <w:lang w:val="fr-FR"/>
        </w:rPr>
        <w:tab/>
      </w:r>
      <w:r w:rsidR="004306F2" w:rsidRPr="002E4295">
        <w:rPr>
          <w:lang w:val="fr-FR"/>
        </w:rPr>
        <w:t>La sensibilisation a été également assurée lors des journées telles que la Journée Internationale de Lutte contre les Mutilations Génital</w:t>
      </w:r>
      <w:r w:rsidR="00674679">
        <w:rPr>
          <w:lang w:val="fr-FR"/>
        </w:rPr>
        <w:t xml:space="preserve">es Féminines (MGF) célébrée le </w:t>
      </w:r>
      <w:r w:rsidR="004306F2" w:rsidRPr="002E4295">
        <w:rPr>
          <w:lang w:val="fr-FR"/>
        </w:rPr>
        <w:t>6</w:t>
      </w:r>
      <w:r w:rsidR="00B20A71">
        <w:rPr>
          <w:lang w:val="fr-FR"/>
        </w:rPr>
        <w:t> </w:t>
      </w:r>
      <w:r w:rsidR="004306F2" w:rsidRPr="002E4295">
        <w:rPr>
          <w:lang w:val="fr-FR"/>
        </w:rPr>
        <w:t>février, la Journée Internationale de la Femme célébrée chaqu</w:t>
      </w:r>
      <w:r w:rsidR="00674679">
        <w:rPr>
          <w:lang w:val="fr-FR"/>
        </w:rPr>
        <w:t xml:space="preserve">e </w:t>
      </w:r>
      <w:r w:rsidR="00881BCC">
        <w:rPr>
          <w:lang w:val="fr-FR"/>
        </w:rPr>
        <w:t>8 </w:t>
      </w:r>
      <w:r w:rsidR="004306F2" w:rsidRPr="002E4295">
        <w:rPr>
          <w:lang w:val="fr-FR"/>
        </w:rPr>
        <w:t xml:space="preserve">mars, la Journée Internationale de la Veuve célébrée le 23 juin </w:t>
      </w:r>
      <w:r w:rsidR="00674679">
        <w:rPr>
          <w:lang w:val="fr-FR"/>
        </w:rPr>
        <w:t xml:space="preserve">ou encore lors de la campagne </w:t>
      </w:r>
      <w:r w:rsidR="00674679" w:rsidRPr="00B20A71">
        <w:rPr>
          <w:lang w:val="fr-FR"/>
        </w:rPr>
        <w:t>«</w:t>
      </w:r>
      <w:r w:rsidR="00B20A71">
        <w:rPr>
          <w:lang w:val="fr-FR"/>
        </w:rPr>
        <w:t> </w:t>
      </w:r>
      <w:r w:rsidR="00881BCC">
        <w:rPr>
          <w:lang w:val="fr-FR"/>
        </w:rPr>
        <w:t>16 </w:t>
      </w:r>
      <w:r w:rsidR="004306F2" w:rsidRPr="0017665A">
        <w:rPr>
          <w:lang w:val="fr-FR"/>
        </w:rPr>
        <w:t xml:space="preserve">jours d’activisme contre </w:t>
      </w:r>
      <w:r w:rsidR="00674679" w:rsidRPr="0017665A">
        <w:rPr>
          <w:lang w:val="fr-FR"/>
        </w:rPr>
        <w:t>les violences faites aux femmes</w:t>
      </w:r>
      <w:r w:rsidR="00B20A71">
        <w:rPr>
          <w:lang w:val="fr-FR"/>
        </w:rPr>
        <w:t> </w:t>
      </w:r>
      <w:r w:rsidR="00674679" w:rsidRPr="00B20A71">
        <w:rPr>
          <w:lang w:val="fr-FR"/>
        </w:rPr>
        <w:t>»</w:t>
      </w:r>
      <w:r w:rsidR="004306F2" w:rsidRPr="00B20A71">
        <w:rPr>
          <w:lang w:val="fr-FR"/>
        </w:rPr>
        <w:t xml:space="preserve">. </w:t>
      </w:r>
      <w:r w:rsidR="00385CA6">
        <w:rPr>
          <w:lang w:val="fr-FR"/>
        </w:rPr>
        <w:t>À</w:t>
      </w:r>
      <w:r w:rsidR="004306F2" w:rsidRPr="00B20A71">
        <w:rPr>
          <w:lang w:val="fr-FR"/>
        </w:rPr>
        <w:t xml:space="preserve"> l’occasion de la 9</w:t>
      </w:r>
      <w:r w:rsidR="004306F2" w:rsidRPr="00B20A71">
        <w:rPr>
          <w:vertAlign w:val="superscript"/>
          <w:lang w:val="fr-FR"/>
        </w:rPr>
        <w:t>ème</w:t>
      </w:r>
      <w:r w:rsidR="004306F2" w:rsidRPr="00B20A71">
        <w:rPr>
          <w:lang w:val="fr-FR"/>
        </w:rPr>
        <w:t xml:space="preserve">édition, la Ministre de la Promotion de la Femme et de la Famille a publié une lettre de sensibilisation des familles dans le quotidien </w:t>
      </w:r>
      <w:r w:rsidR="00DD6497" w:rsidRPr="0017665A">
        <w:rPr>
          <w:lang w:val="fr-FR"/>
        </w:rPr>
        <w:t>Cameroun</w:t>
      </w:r>
      <w:r w:rsidR="004306F2" w:rsidRPr="0017665A">
        <w:rPr>
          <w:lang w:val="fr-FR"/>
        </w:rPr>
        <w:t xml:space="preserve"> Tribune</w:t>
      </w:r>
      <w:r w:rsidR="004306F2" w:rsidRPr="00B20A71">
        <w:rPr>
          <w:rStyle w:val="Appelnotedebasdep"/>
        </w:rPr>
        <w:footnoteReference w:id="49"/>
      </w:r>
      <w:r w:rsidR="004306F2" w:rsidRPr="00B20A71">
        <w:rPr>
          <w:lang w:val="fr-FR"/>
        </w:rPr>
        <w:t>, pour en appele</w:t>
      </w:r>
      <w:r w:rsidR="00674679" w:rsidRPr="00B20A71">
        <w:rPr>
          <w:lang w:val="fr-FR"/>
        </w:rPr>
        <w:t>r à la conscience de tous sur «</w:t>
      </w:r>
      <w:r w:rsidR="00B20A71">
        <w:rPr>
          <w:lang w:val="fr-FR"/>
        </w:rPr>
        <w:t> </w:t>
      </w:r>
      <w:r w:rsidR="004306F2" w:rsidRPr="0017665A">
        <w:rPr>
          <w:lang w:val="fr-FR"/>
        </w:rPr>
        <w:t xml:space="preserve">le caractère déshumanisant et intolérable des multiples formes de violences dont les femmes et les filles sont victimes en famille et dans les milieux </w:t>
      </w:r>
      <w:proofErr w:type="spellStart"/>
      <w:r w:rsidR="004306F2" w:rsidRPr="0017665A">
        <w:rPr>
          <w:lang w:val="fr-FR"/>
        </w:rPr>
        <w:t>socio</w:t>
      </w:r>
      <w:proofErr w:type="spellEnd"/>
      <w:r w:rsidR="004306F2" w:rsidRPr="0017665A">
        <w:rPr>
          <w:lang w:val="fr-FR"/>
        </w:rPr>
        <w:t xml:space="preserve"> professionnels</w:t>
      </w:r>
      <w:r w:rsidR="00B20A71">
        <w:rPr>
          <w:lang w:val="fr-FR"/>
        </w:rPr>
        <w:t> </w:t>
      </w:r>
      <w:r w:rsidR="004306F2" w:rsidRPr="0017665A">
        <w:rPr>
          <w:lang w:val="fr-FR"/>
        </w:rPr>
        <w:t>».</w:t>
      </w:r>
    </w:p>
    <w:p w:rsidR="004306F2" w:rsidRPr="00BC290B" w:rsidRDefault="00F17353" w:rsidP="00F17353">
      <w:pPr>
        <w:pStyle w:val="H1G"/>
        <w:rPr>
          <w:lang w:val="fr-FR"/>
        </w:rPr>
      </w:pPr>
      <w:bookmarkStart w:id="34" w:name="_Toc466897356"/>
      <w:r>
        <w:rPr>
          <w:lang w:val="fr-FR"/>
        </w:rPr>
        <w:tab/>
        <w:t>C.</w:t>
      </w:r>
      <w:r>
        <w:rPr>
          <w:lang w:val="fr-FR"/>
        </w:rPr>
        <w:tab/>
      </w:r>
      <w:r w:rsidR="004306F2" w:rsidRPr="00BC290B">
        <w:rPr>
          <w:lang w:val="fr-FR"/>
        </w:rPr>
        <w:t>Renseignements sur l’ampleur des différentes formes de violences contre les femmes et les filles, ainsi que les statistiques sur les poursuites engagées et les condamnations prononcées</w:t>
      </w:r>
      <w:bookmarkEnd w:id="34"/>
    </w:p>
    <w:p w:rsidR="004306F2" w:rsidRPr="002E4295" w:rsidRDefault="00270BF3" w:rsidP="00270BF3">
      <w:pPr>
        <w:pStyle w:val="SingleTxtG"/>
        <w:rPr>
          <w:lang w:val="fr-FR"/>
        </w:rPr>
      </w:pPr>
      <w:r w:rsidRPr="002E4295">
        <w:rPr>
          <w:lang w:val="fr-FR"/>
        </w:rPr>
        <w:t>84.</w:t>
      </w:r>
      <w:r w:rsidRPr="002E4295">
        <w:rPr>
          <w:lang w:val="fr-FR"/>
        </w:rPr>
        <w:tab/>
      </w:r>
      <w:r w:rsidR="004306F2" w:rsidRPr="002E4295">
        <w:rPr>
          <w:lang w:val="fr-FR"/>
        </w:rPr>
        <w:t>Selon l’Enquête de Démographie et de Santé et à Indicateurs Multiples réalisée en 2011 (EDS-MICS 2011), l’ampleur des violences au Cameroun se révèle ainsi</w:t>
      </w:r>
      <w:r w:rsidR="00DA0404">
        <w:rPr>
          <w:lang w:val="fr-FR"/>
        </w:rPr>
        <w:t> :</w:t>
      </w:r>
    </w:p>
    <w:p w:rsidR="004306F2" w:rsidRPr="002E4295" w:rsidRDefault="00270BF3" w:rsidP="00270BF3">
      <w:pPr>
        <w:pStyle w:val="Bullet1G"/>
        <w:numPr>
          <w:ilvl w:val="0"/>
          <w:numId w:val="0"/>
        </w:numPr>
        <w:tabs>
          <w:tab w:val="left" w:pos="1701"/>
        </w:tabs>
        <w:ind w:left="1701" w:hanging="170"/>
        <w:rPr>
          <w:lang w:val="fr-FR"/>
        </w:rPr>
      </w:pPr>
      <w:r w:rsidRPr="002E4295">
        <w:rPr>
          <w:lang w:val="fr-FR"/>
        </w:rPr>
        <w:t>•</w:t>
      </w:r>
      <w:r w:rsidRPr="002E4295">
        <w:rPr>
          <w:lang w:val="fr-FR"/>
        </w:rPr>
        <w:tab/>
      </w:r>
      <w:r w:rsidR="004306F2" w:rsidRPr="002E4295">
        <w:rPr>
          <w:lang w:val="fr-FR"/>
        </w:rPr>
        <w:t xml:space="preserve">À </w:t>
      </w:r>
      <w:r w:rsidR="00881BCC">
        <w:rPr>
          <w:lang w:val="fr-FR"/>
        </w:rPr>
        <w:t>partir de l’âge de 15 </w:t>
      </w:r>
      <w:r w:rsidR="004306F2" w:rsidRPr="002E4295">
        <w:rPr>
          <w:lang w:val="fr-FR"/>
        </w:rPr>
        <w:t>ans, 54,6</w:t>
      </w:r>
      <w:r w:rsidR="009E4EF6">
        <w:rPr>
          <w:lang w:val="fr-FR"/>
        </w:rPr>
        <w:t> %</w:t>
      </w:r>
      <w:r w:rsidR="004306F2" w:rsidRPr="002E4295">
        <w:rPr>
          <w:lang w:val="fr-FR"/>
        </w:rPr>
        <w:t xml:space="preserve"> de femmes ont été </w:t>
      </w:r>
      <w:r w:rsidR="00674679">
        <w:rPr>
          <w:lang w:val="fr-FR"/>
        </w:rPr>
        <w:t>victimes de violences physiques</w:t>
      </w:r>
      <w:r w:rsidR="00DA0404">
        <w:rPr>
          <w:lang w:val="fr-FR"/>
        </w:rPr>
        <w:t> ;</w:t>
      </w:r>
    </w:p>
    <w:p w:rsidR="004306F2" w:rsidRPr="002E4295" w:rsidRDefault="00270BF3" w:rsidP="00270BF3">
      <w:pPr>
        <w:pStyle w:val="Bullet1G"/>
        <w:numPr>
          <w:ilvl w:val="0"/>
          <w:numId w:val="0"/>
        </w:numPr>
        <w:tabs>
          <w:tab w:val="left" w:pos="1701"/>
        </w:tabs>
        <w:ind w:left="1701" w:hanging="170"/>
        <w:rPr>
          <w:lang w:val="fr-FR"/>
        </w:rPr>
      </w:pPr>
      <w:r w:rsidRPr="002E4295">
        <w:rPr>
          <w:lang w:val="fr-FR"/>
        </w:rPr>
        <w:t>•</w:t>
      </w:r>
      <w:r w:rsidRPr="002E4295">
        <w:rPr>
          <w:lang w:val="fr-FR"/>
        </w:rPr>
        <w:tab/>
      </w:r>
      <w:r w:rsidR="004306F2" w:rsidRPr="002E4295">
        <w:rPr>
          <w:lang w:val="fr-FR"/>
        </w:rPr>
        <w:t>Parmi les femmes ayant déjà eu des rapports sexuels, 20</w:t>
      </w:r>
      <w:r w:rsidR="009E4EF6">
        <w:rPr>
          <w:lang w:val="fr-FR"/>
        </w:rPr>
        <w:t> %</w:t>
      </w:r>
      <w:r w:rsidR="004306F2" w:rsidRPr="002E4295">
        <w:rPr>
          <w:lang w:val="fr-FR"/>
        </w:rPr>
        <w:t xml:space="preserve"> l’ont fait contre leur gré, en particulier celles ayant eu des rapports avant l’âge de 13 ans (30</w:t>
      </w:r>
      <w:r w:rsidR="009E4EF6">
        <w:rPr>
          <w:lang w:val="fr-FR"/>
        </w:rPr>
        <w:t> %</w:t>
      </w:r>
      <w:r w:rsidR="004306F2" w:rsidRPr="002E4295">
        <w:rPr>
          <w:lang w:val="fr-FR"/>
        </w:rPr>
        <w:t>)</w:t>
      </w:r>
      <w:r w:rsidR="00DA0404">
        <w:rPr>
          <w:lang w:val="fr-FR"/>
        </w:rPr>
        <w:t> ;</w:t>
      </w:r>
    </w:p>
    <w:p w:rsidR="004306F2" w:rsidRPr="002E4295" w:rsidRDefault="00270BF3" w:rsidP="00270BF3">
      <w:pPr>
        <w:pStyle w:val="Bullet1G"/>
        <w:numPr>
          <w:ilvl w:val="0"/>
          <w:numId w:val="0"/>
        </w:numPr>
        <w:tabs>
          <w:tab w:val="left" w:pos="1701"/>
        </w:tabs>
        <w:ind w:left="1701" w:hanging="170"/>
        <w:rPr>
          <w:lang w:val="fr-FR"/>
        </w:rPr>
      </w:pPr>
      <w:r w:rsidRPr="002E4295">
        <w:rPr>
          <w:lang w:val="fr-FR"/>
        </w:rPr>
        <w:lastRenderedPageBreak/>
        <w:t>•</w:t>
      </w:r>
      <w:r w:rsidRPr="002E4295">
        <w:rPr>
          <w:lang w:val="fr-FR"/>
        </w:rPr>
        <w:tab/>
      </w:r>
      <w:r w:rsidR="004306F2" w:rsidRPr="002E4295">
        <w:rPr>
          <w:lang w:val="fr-FR"/>
        </w:rPr>
        <w:t>Dans l’ensemble, 64</w:t>
      </w:r>
      <w:r w:rsidR="009E4EF6">
        <w:rPr>
          <w:lang w:val="fr-FR"/>
        </w:rPr>
        <w:t> %</w:t>
      </w:r>
      <w:r w:rsidR="004306F2" w:rsidRPr="002E4295">
        <w:rPr>
          <w:lang w:val="fr-FR"/>
        </w:rPr>
        <w:t xml:space="preserve"> des femmes âgées entre 15 et 49 ans ont subi des violences physiques, 8</w:t>
      </w:r>
      <w:r w:rsidR="009E4EF6">
        <w:rPr>
          <w:lang w:val="fr-FR"/>
        </w:rPr>
        <w:t> %</w:t>
      </w:r>
      <w:r w:rsidR="004306F2" w:rsidRPr="002E4295">
        <w:rPr>
          <w:lang w:val="fr-FR"/>
        </w:rPr>
        <w:t xml:space="preserve"> des violences sexuelles, et 21</w:t>
      </w:r>
      <w:r w:rsidR="009E4EF6">
        <w:rPr>
          <w:lang w:val="fr-FR"/>
        </w:rPr>
        <w:t> %</w:t>
      </w:r>
      <w:r w:rsidR="004306F2" w:rsidRPr="002E4295">
        <w:rPr>
          <w:lang w:val="fr-FR"/>
        </w:rPr>
        <w:t xml:space="preserve"> à la fois des violences physiques et sexuelles</w:t>
      </w:r>
      <w:r w:rsidR="00DA0404">
        <w:rPr>
          <w:lang w:val="fr-FR"/>
        </w:rPr>
        <w:t> ;</w:t>
      </w:r>
    </w:p>
    <w:p w:rsidR="004306F2" w:rsidRPr="002E4295" w:rsidRDefault="00270BF3" w:rsidP="00270BF3">
      <w:pPr>
        <w:pStyle w:val="Bullet1G"/>
        <w:numPr>
          <w:ilvl w:val="0"/>
          <w:numId w:val="0"/>
        </w:numPr>
        <w:tabs>
          <w:tab w:val="left" w:pos="1701"/>
        </w:tabs>
        <w:ind w:left="1701" w:hanging="170"/>
        <w:rPr>
          <w:lang w:val="fr-FR"/>
        </w:rPr>
      </w:pPr>
      <w:r w:rsidRPr="002E4295">
        <w:rPr>
          <w:lang w:val="fr-FR"/>
        </w:rPr>
        <w:t>•</w:t>
      </w:r>
      <w:r w:rsidRPr="002E4295">
        <w:rPr>
          <w:lang w:val="fr-FR"/>
        </w:rPr>
        <w:tab/>
      </w:r>
      <w:r w:rsidR="004306F2" w:rsidRPr="002E4295">
        <w:rPr>
          <w:lang w:val="fr-FR"/>
        </w:rPr>
        <w:t>Parmi les femmes qui ont déjà été en union, 60</w:t>
      </w:r>
      <w:r w:rsidR="009E4EF6">
        <w:rPr>
          <w:lang w:val="fr-FR"/>
        </w:rPr>
        <w:t> %</w:t>
      </w:r>
      <w:r w:rsidR="004306F2" w:rsidRPr="002E4295">
        <w:rPr>
          <w:lang w:val="fr-FR"/>
        </w:rPr>
        <w:t xml:space="preserve"> ont subi des violences physiques, sexuelles ou émotionnelles de la part de leur mari actuel ou ex-mari</w:t>
      </w:r>
      <w:r w:rsidR="00DA0404">
        <w:rPr>
          <w:lang w:val="fr-FR"/>
        </w:rPr>
        <w:t> ;</w:t>
      </w:r>
    </w:p>
    <w:p w:rsidR="004306F2" w:rsidRPr="002E4295" w:rsidRDefault="00270BF3" w:rsidP="00270BF3">
      <w:pPr>
        <w:pStyle w:val="Bullet1G"/>
        <w:numPr>
          <w:ilvl w:val="0"/>
          <w:numId w:val="0"/>
        </w:numPr>
        <w:tabs>
          <w:tab w:val="left" w:pos="1701"/>
        </w:tabs>
        <w:ind w:left="1701" w:hanging="170"/>
        <w:rPr>
          <w:lang w:val="fr-FR"/>
        </w:rPr>
      </w:pPr>
      <w:r w:rsidRPr="002E4295">
        <w:rPr>
          <w:lang w:val="fr-FR"/>
        </w:rPr>
        <w:t>•</w:t>
      </w:r>
      <w:r w:rsidRPr="002E4295">
        <w:rPr>
          <w:lang w:val="fr-FR"/>
        </w:rPr>
        <w:tab/>
      </w:r>
      <w:r w:rsidR="004306F2" w:rsidRPr="002E4295">
        <w:rPr>
          <w:lang w:val="fr-FR"/>
        </w:rPr>
        <w:t>Parmi les femmes qui ont subi des blessures conjugales dans les 12 derniers mois de l’enquête,43</w:t>
      </w:r>
      <w:r w:rsidR="009E4EF6">
        <w:rPr>
          <w:lang w:val="fr-FR"/>
        </w:rPr>
        <w:t> %</w:t>
      </w:r>
      <w:r w:rsidR="004306F2" w:rsidRPr="002E4295">
        <w:rPr>
          <w:lang w:val="fr-FR"/>
        </w:rPr>
        <w:t xml:space="preserve"> ont eu des blessures à la suite des violences.</w:t>
      </w:r>
    </w:p>
    <w:p w:rsidR="004306F2" w:rsidRPr="002E4295" w:rsidRDefault="00270BF3" w:rsidP="00270BF3">
      <w:pPr>
        <w:pStyle w:val="SingleTxtG"/>
        <w:rPr>
          <w:lang w:val="fr-FR"/>
        </w:rPr>
      </w:pPr>
      <w:r w:rsidRPr="002E4295">
        <w:rPr>
          <w:lang w:val="fr-FR"/>
        </w:rPr>
        <w:t>85.</w:t>
      </w:r>
      <w:r w:rsidRPr="002E4295">
        <w:rPr>
          <w:lang w:val="fr-FR"/>
        </w:rPr>
        <w:tab/>
      </w:r>
      <w:r w:rsidR="004306F2" w:rsidRPr="002E4295">
        <w:rPr>
          <w:lang w:val="fr-FR"/>
        </w:rPr>
        <w:t>Cependant, les violences ne sont pas demeurées impunies. En 2015, les violences sexuelles recensées ont donné lieu à 258 poursuites devant les juridictions de jugement pour 485 enquêtes ouvertes, lesquelles ont abouti à157 condamnations, tandis qu’en 2014 et concernant les mêmes infractions, 84 poursuites ont été relevées devant 54 Juridictions</w:t>
      </w:r>
      <w:r w:rsidR="004306F2" w:rsidRPr="00E153AE">
        <w:rPr>
          <w:rStyle w:val="Appelnotedebasdep"/>
        </w:rPr>
        <w:footnoteReference w:id="50"/>
      </w:r>
      <w:r w:rsidR="004306F2" w:rsidRPr="002E4295">
        <w:rPr>
          <w:lang w:val="fr-FR"/>
        </w:rPr>
        <w:t>. En plus, 35 femmes ont été victimes de blessures graves, 252 de blessures simples et 492 de blessures légères. Cependant, l’absence de dénonciation par les victimes reste le défi majeur.</w:t>
      </w:r>
    </w:p>
    <w:p w:rsidR="004306F2" w:rsidRPr="0017665A" w:rsidRDefault="00111D41" w:rsidP="0017665A">
      <w:pPr>
        <w:pStyle w:val="HChG"/>
      </w:pPr>
      <w:bookmarkStart w:id="35" w:name="_Toc466897357"/>
      <w:r>
        <w:rPr>
          <w:lang w:val="fr-FR"/>
        </w:rPr>
        <w:tab/>
        <w:t>XVII.</w:t>
      </w:r>
      <w:r>
        <w:rPr>
          <w:lang w:val="fr-FR"/>
        </w:rPr>
        <w:tab/>
      </w:r>
      <w:r w:rsidR="004306F2" w:rsidRPr="002E4295">
        <w:rPr>
          <w:lang w:val="fr-FR"/>
        </w:rPr>
        <w:t>R</w:t>
      </w:r>
      <w:r w:rsidR="00DD6497" w:rsidRPr="002E4295">
        <w:rPr>
          <w:lang w:val="fr-FR"/>
        </w:rPr>
        <w:t>ec.</w:t>
      </w:r>
      <w:r>
        <w:rPr>
          <w:lang w:val="fr-FR"/>
        </w:rPr>
        <w:t> </w:t>
      </w:r>
      <w:r w:rsidR="004306F2" w:rsidRPr="002E4295">
        <w:rPr>
          <w:lang w:val="fr-FR"/>
        </w:rPr>
        <w:t>22</w:t>
      </w:r>
      <w:r w:rsidR="00C77758">
        <w:rPr>
          <w:lang w:val="fr-FR"/>
        </w:rPr>
        <w:t>.</w:t>
      </w:r>
      <w:r>
        <w:rPr>
          <w:lang w:val="fr-FR"/>
        </w:rPr>
        <w:t> </w:t>
      </w:r>
      <w:r w:rsidR="004306F2" w:rsidRPr="002E4295">
        <w:rPr>
          <w:lang w:val="fr-FR"/>
        </w:rPr>
        <w:t>Intensification de la lutte contre la pauvreté</w:t>
      </w:r>
      <w:bookmarkEnd w:id="35"/>
    </w:p>
    <w:p w:rsidR="004306F2" w:rsidRPr="002E4295" w:rsidRDefault="00F17353" w:rsidP="00F17353">
      <w:pPr>
        <w:pStyle w:val="H1G"/>
        <w:rPr>
          <w:lang w:val="fr-FR"/>
        </w:rPr>
      </w:pPr>
      <w:bookmarkStart w:id="36" w:name="_Toc466897358"/>
      <w:r>
        <w:rPr>
          <w:lang w:val="fr-FR"/>
        </w:rPr>
        <w:tab/>
        <w:t>A.</w:t>
      </w:r>
      <w:r>
        <w:rPr>
          <w:lang w:val="fr-FR"/>
        </w:rPr>
        <w:tab/>
      </w:r>
      <w:r w:rsidR="004306F2" w:rsidRPr="002E4295">
        <w:rPr>
          <w:lang w:val="fr-FR"/>
        </w:rPr>
        <w:t>Lutte contre la pauvreté, particulièrement dans les zones défavorisées et marginalisées</w:t>
      </w:r>
      <w:bookmarkEnd w:id="36"/>
    </w:p>
    <w:p w:rsidR="004306F2" w:rsidRPr="002E4295" w:rsidRDefault="00270BF3" w:rsidP="00270BF3">
      <w:pPr>
        <w:pStyle w:val="SingleTxtG"/>
        <w:rPr>
          <w:lang w:val="fr-FR"/>
        </w:rPr>
      </w:pPr>
      <w:r w:rsidRPr="002E4295">
        <w:rPr>
          <w:lang w:val="fr-FR"/>
        </w:rPr>
        <w:t>86.</w:t>
      </w:r>
      <w:r w:rsidRPr="002E4295">
        <w:rPr>
          <w:lang w:val="fr-FR"/>
        </w:rPr>
        <w:tab/>
      </w:r>
      <w:r w:rsidR="004306F2" w:rsidRPr="002E4295">
        <w:rPr>
          <w:lang w:val="fr-FR"/>
        </w:rPr>
        <w:t>Pour lutter contre la pauvreté, le Gouvernement a opté pour la solidarité nationale à travers des appuis aux familles et personnes vulnérables, notamment par des Collectivités territoriales décentralisées et la mise en œuvre de projets et programmes, notamment le Sous-programme de Réduction de la Pauvreté à la Base</w:t>
      </w:r>
      <w:r w:rsidR="00674679">
        <w:rPr>
          <w:lang w:val="fr-FR"/>
        </w:rPr>
        <w:t xml:space="preserve"> </w:t>
      </w:r>
      <w:r w:rsidR="004306F2" w:rsidRPr="002E4295">
        <w:rPr>
          <w:lang w:val="fr-FR"/>
        </w:rPr>
        <w:t>II</w:t>
      </w:r>
      <w:r w:rsidR="00577DD0">
        <w:rPr>
          <w:lang w:val="fr-FR"/>
        </w:rPr>
        <w:t xml:space="preserve"> </w:t>
      </w:r>
      <w:r w:rsidR="004306F2" w:rsidRPr="002E4295">
        <w:rPr>
          <w:lang w:val="fr-FR"/>
        </w:rPr>
        <w:t>(SPRPB-2), le Projet Filets Sociaux et l’Opération Haute Intensité de la Main-d’œuvre (HIMO) du Programme National de Développement Participatif (PNDP).</w:t>
      </w:r>
    </w:p>
    <w:p w:rsidR="004306F2" w:rsidRPr="002E4295" w:rsidRDefault="00F17353" w:rsidP="00F17353">
      <w:pPr>
        <w:pStyle w:val="H23G"/>
        <w:rPr>
          <w:lang w:val="fr-FR"/>
        </w:rPr>
      </w:pPr>
      <w:bookmarkStart w:id="37" w:name="_Toc466897359"/>
      <w:r>
        <w:rPr>
          <w:lang w:val="fr-FR"/>
        </w:rPr>
        <w:tab/>
      </w:r>
      <w:r>
        <w:rPr>
          <w:lang w:val="fr-FR"/>
        </w:rPr>
        <w:tab/>
      </w:r>
      <w:r w:rsidR="00282DE7">
        <w:rPr>
          <w:lang w:val="fr-FR"/>
        </w:rPr>
        <w:t xml:space="preserve">Les </w:t>
      </w:r>
      <w:r w:rsidR="00282DE7" w:rsidRPr="00F17353">
        <w:t>p</w:t>
      </w:r>
      <w:r w:rsidR="004306F2" w:rsidRPr="00F17353">
        <w:t>rogrammes</w:t>
      </w:r>
      <w:r w:rsidR="004306F2" w:rsidRPr="002E4295">
        <w:rPr>
          <w:lang w:val="fr-FR"/>
        </w:rPr>
        <w:t xml:space="preserve"> et projets</w:t>
      </w:r>
      <w:bookmarkEnd w:id="37"/>
    </w:p>
    <w:p w:rsidR="004306F2" w:rsidRPr="002E4295" w:rsidRDefault="00F17353">
      <w:pPr>
        <w:pStyle w:val="H4G"/>
        <w:rPr>
          <w:lang w:val="fr-FR"/>
        </w:rPr>
      </w:pPr>
      <w:r>
        <w:rPr>
          <w:lang w:val="fr-FR"/>
        </w:rPr>
        <w:tab/>
      </w:r>
      <w:r>
        <w:rPr>
          <w:lang w:val="fr-FR"/>
        </w:rPr>
        <w:tab/>
      </w:r>
      <w:r w:rsidR="004306F2" w:rsidRPr="002E4295">
        <w:rPr>
          <w:lang w:val="fr-FR"/>
        </w:rPr>
        <w:t>Le Sous-Programme de Réduction de la Pauvreté à la Base II (SPRPB-2)</w:t>
      </w:r>
    </w:p>
    <w:p w:rsidR="004306F2" w:rsidRPr="002E4295" w:rsidRDefault="00270BF3" w:rsidP="00270BF3">
      <w:pPr>
        <w:pStyle w:val="SingleTxtG"/>
        <w:rPr>
          <w:lang w:val="fr-FR"/>
        </w:rPr>
      </w:pPr>
      <w:r w:rsidRPr="002E4295">
        <w:rPr>
          <w:lang w:val="fr-FR"/>
        </w:rPr>
        <w:t>87.</w:t>
      </w:r>
      <w:r w:rsidRPr="002E4295">
        <w:rPr>
          <w:lang w:val="fr-FR"/>
        </w:rPr>
        <w:tab/>
      </w:r>
      <w:r w:rsidR="004306F2" w:rsidRPr="002E4295">
        <w:rPr>
          <w:lang w:val="fr-FR"/>
        </w:rPr>
        <w:t>Fruit de la coopération entre le Cameroun et le Programme des Nations Unies pour le Développement (PNUD), le SPRPB-2 vise à contribuer durablement à la réduction de la pauvreté en milieu rural par la structuration de l’économie locale en accordant une attention particulière aux couches les plus vulnérables. Le SPRPB-2 qui a démarré ses activités en 2</w:t>
      </w:r>
      <w:r w:rsidR="00674679">
        <w:rPr>
          <w:lang w:val="fr-FR"/>
        </w:rPr>
        <w:t xml:space="preserve">013 s’étale sur une période de </w:t>
      </w:r>
      <w:r w:rsidR="004306F2" w:rsidRPr="002E4295">
        <w:rPr>
          <w:lang w:val="fr-FR"/>
        </w:rPr>
        <w:t xml:space="preserve">5 ans (2013-2017) et intervient dans des domaines comme l’agriculture, l’élevage et l’artisanat. Des financements ont été mis à la disposition des organisations locales bénéficiaires à travers le mécanisme de </w:t>
      </w:r>
      <w:r w:rsidR="004306F2" w:rsidRPr="002E4295">
        <w:rPr>
          <w:i/>
          <w:lang w:val="fr-FR"/>
        </w:rPr>
        <w:t xml:space="preserve">revolving </w:t>
      </w:r>
      <w:proofErr w:type="spellStart"/>
      <w:r w:rsidR="004306F2" w:rsidRPr="002E4295">
        <w:rPr>
          <w:i/>
          <w:lang w:val="fr-FR"/>
        </w:rPr>
        <w:t>funds</w:t>
      </w:r>
      <w:proofErr w:type="spellEnd"/>
      <w:r w:rsidR="00674679">
        <w:rPr>
          <w:lang w:val="fr-FR"/>
        </w:rPr>
        <w:t xml:space="preserve">. Ainsi, </w:t>
      </w:r>
      <w:r w:rsidR="004306F2" w:rsidRPr="002E4295">
        <w:rPr>
          <w:lang w:val="fr-FR"/>
        </w:rPr>
        <w:t>2</w:t>
      </w:r>
      <w:r w:rsidR="009E5FAE">
        <w:rPr>
          <w:lang w:val="fr-FR"/>
        </w:rPr>
        <w:t> </w:t>
      </w:r>
      <w:r w:rsidR="004306F2" w:rsidRPr="002E4295">
        <w:rPr>
          <w:lang w:val="fr-FR"/>
        </w:rPr>
        <w:t>établissements de microfinance ont été sélectionnés pour abriter les lignes de crédits devant servir à financer ces organisations. Plus de 35 projets ont déjà été financés et 8 Micro-projets sont en attente</w:t>
      </w:r>
      <w:r w:rsidR="00674679">
        <w:rPr>
          <w:lang w:val="fr-FR"/>
        </w:rPr>
        <w:t xml:space="preserve"> de financement. Par ailleurs, </w:t>
      </w:r>
      <w:r w:rsidR="004306F2" w:rsidRPr="002E4295">
        <w:rPr>
          <w:lang w:val="fr-FR"/>
        </w:rPr>
        <w:t>2 Centres d’écoute, d’orientation, de conseils et d’accompagnement sont en cours de mise en place.</w:t>
      </w:r>
    </w:p>
    <w:p w:rsidR="004306F2" w:rsidRPr="002E4295" w:rsidRDefault="00F17353">
      <w:pPr>
        <w:pStyle w:val="H4G"/>
        <w:rPr>
          <w:lang w:val="fr-FR"/>
        </w:rPr>
      </w:pPr>
      <w:r>
        <w:rPr>
          <w:lang w:val="fr-FR"/>
        </w:rPr>
        <w:tab/>
      </w:r>
      <w:r>
        <w:rPr>
          <w:lang w:val="fr-FR"/>
        </w:rPr>
        <w:tab/>
      </w:r>
      <w:r w:rsidR="004306F2" w:rsidRPr="002E4295">
        <w:rPr>
          <w:lang w:val="fr-FR"/>
        </w:rPr>
        <w:t>Le projet Filets Sociaux</w:t>
      </w:r>
    </w:p>
    <w:p w:rsidR="004306F2" w:rsidRPr="002E4295" w:rsidRDefault="00270BF3" w:rsidP="00270BF3">
      <w:pPr>
        <w:pStyle w:val="SingleTxtG"/>
        <w:rPr>
          <w:lang w:val="fr-FR"/>
        </w:rPr>
      </w:pPr>
      <w:r w:rsidRPr="002E4295">
        <w:rPr>
          <w:lang w:val="fr-FR"/>
        </w:rPr>
        <w:t>88.</w:t>
      </w:r>
      <w:r w:rsidRPr="002E4295">
        <w:rPr>
          <w:lang w:val="fr-FR"/>
        </w:rPr>
        <w:tab/>
      </w:r>
      <w:r w:rsidR="004306F2" w:rsidRPr="004E45B3">
        <w:rPr>
          <w:lang w:val="fr-FR"/>
        </w:rPr>
        <w:t>Le</w:t>
      </w:r>
      <w:r w:rsidR="004306F2" w:rsidRPr="002E4295">
        <w:rPr>
          <w:lang w:val="fr-FR"/>
        </w:rPr>
        <w:t xml:space="preserve"> Projet Filets Sociaux vise globalement l’amélioration des conditions de vie des populations qui vivent en état de pauvreté chronique et des groupes vulnérables à travers des programmes de transferts non contributifs bien ciblés.</w:t>
      </w:r>
    </w:p>
    <w:p w:rsidR="004306F2" w:rsidRPr="002E4295" w:rsidRDefault="00270BF3" w:rsidP="00270BF3">
      <w:pPr>
        <w:pStyle w:val="SingleTxtG"/>
        <w:rPr>
          <w:lang w:val="fr-FR"/>
        </w:rPr>
      </w:pPr>
      <w:r w:rsidRPr="002E4295">
        <w:rPr>
          <w:lang w:val="fr-FR"/>
        </w:rPr>
        <w:t>89.</w:t>
      </w:r>
      <w:r w:rsidRPr="002E4295">
        <w:rPr>
          <w:lang w:val="fr-FR"/>
        </w:rPr>
        <w:tab/>
      </w:r>
      <w:r w:rsidR="004306F2" w:rsidRPr="002E4295">
        <w:rPr>
          <w:lang w:val="fr-FR"/>
        </w:rPr>
        <w:t>La phase pilote a été mise en place en juin 2012 et a permis au Gouvernement de mieux connaître son système de filets sociaux et de recommander l’introduction d’un programme relatif aux transferts monétaires directs sans conditions et d’un programme relatif aux Travaux Publics à Haute Intensité de Main d’Œuvre.</w:t>
      </w:r>
    </w:p>
    <w:p w:rsidR="004306F2" w:rsidRPr="002E4295" w:rsidRDefault="00270BF3" w:rsidP="00270BF3">
      <w:pPr>
        <w:pStyle w:val="SingleTxtG"/>
        <w:rPr>
          <w:lang w:val="fr-FR"/>
        </w:rPr>
      </w:pPr>
      <w:r w:rsidRPr="002E4295">
        <w:rPr>
          <w:lang w:val="fr-FR"/>
        </w:rPr>
        <w:t>90.</w:t>
      </w:r>
      <w:r w:rsidRPr="002E4295">
        <w:rPr>
          <w:lang w:val="fr-FR"/>
        </w:rPr>
        <w:tab/>
      </w:r>
      <w:r w:rsidR="004306F2" w:rsidRPr="002E4295">
        <w:rPr>
          <w:lang w:val="fr-FR"/>
        </w:rPr>
        <w:t>Les résultats positifs du Projet pilote ont amené les autorités, en mars 2013, à signer avec la Banque Mondiale un accord</w:t>
      </w:r>
      <w:r w:rsidR="007E17F4">
        <w:rPr>
          <w:lang w:val="fr-FR"/>
        </w:rPr>
        <w:t xml:space="preserve"> de prêt d’un montant de </w:t>
      </w:r>
      <w:r w:rsidR="007E17F4" w:rsidRPr="007E17F4">
        <w:rPr>
          <w:lang w:val="fr-FR"/>
        </w:rPr>
        <w:t>25 000 000</w:t>
      </w:r>
      <w:r w:rsidR="009E5FAE">
        <w:rPr>
          <w:lang w:val="fr-FR"/>
        </w:rPr>
        <w:t> </w:t>
      </w:r>
      <w:r w:rsidR="007E17F4" w:rsidRPr="007E17F4">
        <w:rPr>
          <w:lang w:val="fr-FR"/>
        </w:rPr>
        <w:t>000</w:t>
      </w:r>
      <w:r w:rsidR="007E17F4" w:rsidRPr="00BB378E">
        <w:rPr>
          <w:sz w:val="24"/>
          <w:szCs w:val="24"/>
        </w:rPr>
        <w:t xml:space="preserve"> </w:t>
      </w:r>
      <w:r w:rsidR="004306F2" w:rsidRPr="002E4295">
        <w:rPr>
          <w:lang w:val="fr-FR"/>
        </w:rPr>
        <w:t>FCFA</w:t>
      </w:r>
      <w:r w:rsidR="004306F2" w:rsidRPr="00E153AE">
        <w:rPr>
          <w:rStyle w:val="Appelnotedebasdep"/>
        </w:rPr>
        <w:footnoteReference w:id="51"/>
      </w:r>
      <w:r w:rsidR="004306F2" w:rsidRPr="002E4295">
        <w:rPr>
          <w:lang w:val="fr-FR"/>
        </w:rPr>
        <w:t xml:space="preserve"> </w:t>
      </w:r>
      <w:r w:rsidR="004306F2" w:rsidRPr="002E4295">
        <w:rPr>
          <w:lang w:val="fr-FR"/>
        </w:rPr>
        <w:lastRenderedPageBreak/>
        <w:t xml:space="preserve">provenant d’un financement </w:t>
      </w:r>
      <w:r w:rsidR="004306F2" w:rsidRPr="0017665A">
        <w:rPr>
          <w:lang w:val="fr-FR"/>
        </w:rPr>
        <w:t xml:space="preserve">d’International </w:t>
      </w:r>
      <w:r w:rsidR="00DD6497" w:rsidRPr="0017665A">
        <w:rPr>
          <w:lang w:val="fr-FR"/>
        </w:rPr>
        <w:t>Développement</w:t>
      </w:r>
      <w:r w:rsidR="004306F2" w:rsidRPr="002E4295">
        <w:rPr>
          <w:i/>
          <w:lang w:val="fr-FR"/>
        </w:rPr>
        <w:t xml:space="preserve"> </w:t>
      </w:r>
      <w:r w:rsidR="004306F2" w:rsidRPr="002E4295">
        <w:rPr>
          <w:lang w:val="fr-FR"/>
        </w:rPr>
        <w:t>Associatio</w:t>
      </w:r>
      <w:r w:rsidR="00674679">
        <w:rPr>
          <w:lang w:val="fr-FR"/>
        </w:rPr>
        <w:t xml:space="preserve">n (IDA) pour soutenir, pendant </w:t>
      </w:r>
      <w:r w:rsidR="004306F2" w:rsidRPr="002E4295">
        <w:rPr>
          <w:lang w:val="fr-FR"/>
        </w:rPr>
        <w:t>5 ans, un programme plus large de Filets Sociaux qui va bénéficier</w:t>
      </w:r>
      <w:r w:rsidR="006A57AD">
        <w:rPr>
          <w:lang w:val="fr-FR"/>
        </w:rPr>
        <w:t xml:space="preserve"> </w:t>
      </w:r>
      <w:r w:rsidR="004306F2" w:rsidRPr="002E4295">
        <w:rPr>
          <w:lang w:val="fr-FR"/>
        </w:rPr>
        <w:t>à 70 000 ménages pauvres et vulnérables, choisis dans les 5 régions retenues sur la base de la carte de pauvreté (Extrême-nord, Nord, Adamaoua, Est et Nord-ouest) et dans les villes de Yaoundé et de Douala.</w:t>
      </w:r>
    </w:p>
    <w:p w:rsidR="004306F2" w:rsidRPr="002E4295" w:rsidRDefault="00F17353">
      <w:pPr>
        <w:pStyle w:val="H4G"/>
        <w:rPr>
          <w:lang w:val="fr-FR"/>
        </w:rPr>
      </w:pPr>
      <w:r>
        <w:rPr>
          <w:lang w:val="fr-FR"/>
        </w:rPr>
        <w:tab/>
      </w:r>
      <w:r>
        <w:rPr>
          <w:lang w:val="fr-FR"/>
        </w:rPr>
        <w:tab/>
      </w:r>
      <w:r w:rsidR="004306F2" w:rsidRPr="002E4295">
        <w:rPr>
          <w:lang w:val="fr-FR"/>
        </w:rPr>
        <w:t>L’expérimentation du Programme relatif aux transferts monétaires</w:t>
      </w:r>
      <w:r w:rsidR="00577DD0">
        <w:rPr>
          <w:lang w:val="fr-FR"/>
        </w:rPr>
        <w:t xml:space="preserve"> </w:t>
      </w:r>
      <w:r w:rsidR="004306F2" w:rsidRPr="002E4295">
        <w:rPr>
          <w:lang w:val="fr-FR"/>
        </w:rPr>
        <w:t>directs sans</w:t>
      </w:r>
      <w:r w:rsidR="007410A0">
        <w:rPr>
          <w:lang w:val="fr-FR"/>
        </w:rPr>
        <w:t> </w:t>
      </w:r>
      <w:r w:rsidR="004306F2" w:rsidRPr="002E4295">
        <w:rPr>
          <w:lang w:val="fr-FR"/>
        </w:rPr>
        <w:t>condition</w:t>
      </w:r>
    </w:p>
    <w:p w:rsidR="004306F2" w:rsidRPr="002E4295" w:rsidRDefault="00270BF3" w:rsidP="00270BF3">
      <w:pPr>
        <w:pStyle w:val="SingleTxtG"/>
        <w:rPr>
          <w:lang w:val="fr-FR"/>
        </w:rPr>
      </w:pPr>
      <w:r w:rsidRPr="002E4295">
        <w:rPr>
          <w:lang w:val="fr-FR"/>
        </w:rPr>
        <w:t>91.</w:t>
      </w:r>
      <w:r w:rsidRPr="002E4295">
        <w:rPr>
          <w:lang w:val="fr-FR"/>
        </w:rPr>
        <w:tab/>
      </w:r>
      <w:r w:rsidR="004306F2" w:rsidRPr="002E4295">
        <w:rPr>
          <w:lang w:val="fr-FR"/>
        </w:rPr>
        <w:t>Entre 2012 et 2014, ce Projet, financé par le Gouvernement, a permis d’expérimenter le programme de transferts monétaires directs sans conditions à 2</w:t>
      </w:r>
      <w:r w:rsidR="0082149D">
        <w:rPr>
          <w:lang w:val="fr-FR"/>
        </w:rPr>
        <w:t> </w:t>
      </w:r>
      <w:r w:rsidR="004306F2" w:rsidRPr="002E4295">
        <w:rPr>
          <w:lang w:val="fr-FR"/>
        </w:rPr>
        <w:t>000 ménages dont 1</w:t>
      </w:r>
      <w:r w:rsidR="0082149D">
        <w:rPr>
          <w:lang w:val="fr-FR"/>
        </w:rPr>
        <w:t> </w:t>
      </w:r>
      <w:r w:rsidR="004306F2" w:rsidRPr="002E4295">
        <w:rPr>
          <w:lang w:val="fr-FR"/>
        </w:rPr>
        <w:t xml:space="preserve">500 dans 15 villages de la Commune de </w:t>
      </w:r>
      <w:proofErr w:type="spellStart"/>
      <w:r w:rsidR="004306F2" w:rsidRPr="002E4295">
        <w:rPr>
          <w:lang w:val="fr-FR"/>
        </w:rPr>
        <w:t>Soulédé</w:t>
      </w:r>
      <w:proofErr w:type="spellEnd"/>
      <w:r w:rsidR="004306F2" w:rsidRPr="002E4295">
        <w:rPr>
          <w:lang w:val="fr-FR"/>
        </w:rPr>
        <w:t>-Roua, dans la Région</w:t>
      </w:r>
      <w:r w:rsidR="00674679">
        <w:rPr>
          <w:lang w:val="fr-FR"/>
        </w:rPr>
        <w:t xml:space="preserve"> de l’Extrême-Nord et 500 dans </w:t>
      </w:r>
      <w:r w:rsidR="004306F2" w:rsidRPr="002E4295">
        <w:rPr>
          <w:lang w:val="fr-FR"/>
        </w:rPr>
        <w:t xml:space="preserve">7 quartiers de la Commune de </w:t>
      </w:r>
      <w:proofErr w:type="spellStart"/>
      <w:r w:rsidR="004306F2" w:rsidRPr="002E4295">
        <w:rPr>
          <w:lang w:val="fr-FR"/>
        </w:rPr>
        <w:t>Ndop</w:t>
      </w:r>
      <w:proofErr w:type="spellEnd"/>
      <w:r w:rsidR="004306F2" w:rsidRPr="002E4295">
        <w:rPr>
          <w:lang w:val="fr-FR"/>
        </w:rPr>
        <w:t>, dans la Région du Nord-Ouest. Les ménages bénéficiaires ont reçu chacun pendant 24 mois, la somme de 360</w:t>
      </w:r>
      <w:r w:rsidR="0082149D">
        <w:rPr>
          <w:lang w:val="fr-FR"/>
        </w:rPr>
        <w:t> </w:t>
      </w:r>
      <w:r w:rsidR="004306F2" w:rsidRPr="002E4295">
        <w:rPr>
          <w:lang w:val="fr-FR"/>
        </w:rPr>
        <w:t>000 FCFA</w:t>
      </w:r>
      <w:r w:rsidR="004306F2" w:rsidRPr="00E153AE">
        <w:rPr>
          <w:rStyle w:val="Appelnotedebasdep"/>
        </w:rPr>
        <w:footnoteReference w:id="52"/>
      </w:r>
      <w:r w:rsidR="004306F2" w:rsidRPr="002E4295">
        <w:rPr>
          <w:lang w:val="fr-FR"/>
        </w:rPr>
        <w:t xml:space="preserve"> de transferts mo</w:t>
      </w:r>
      <w:r w:rsidR="007E17F4">
        <w:rPr>
          <w:lang w:val="fr-FR"/>
        </w:rPr>
        <w:t>nétaires, soit un montant de 20</w:t>
      </w:r>
      <w:r w:rsidR="0082149D">
        <w:rPr>
          <w:lang w:val="fr-FR"/>
        </w:rPr>
        <w:t> </w:t>
      </w:r>
      <w:r w:rsidR="004306F2" w:rsidRPr="002E4295">
        <w:rPr>
          <w:lang w:val="fr-FR"/>
        </w:rPr>
        <w:t>000 FCFA</w:t>
      </w:r>
      <w:r w:rsidR="004306F2" w:rsidRPr="00E153AE">
        <w:rPr>
          <w:rStyle w:val="Appelnotedebasdep"/>
        </w:rPr>
        <w:footnoteReference w:id="53"/>
      </w:r>
      <w:r w:rsidR="00674679">
        <w:rPr>
          <w:lang w:val="fr-FR"/>
        </w:rPr>
        <w:t xml:space="preserve"> tous les </w:t>
      </w:r>
      <w:r w:rsidR="004306F2" w:rsidRPr="002E4295">
        <w:rPr>
          <w:lang w:val="fr-FR"/>
        </w:rPr>
        <w:t>2 mois et de 80</w:t>
      </w:r>
      <w:r w:rsidR="0082149D">
        <w:rPr>
          <w:lang w:val="fr-FR"/>
        </w:rPr>
        <w:t> </w:t>
      </w:r>
      <w:r w:rsidR="004306F2" w:rsidRPr="002E4295">
        <w:rPr>
          <w:lang w:val="fr-FR"/>
        </w:rPr>
        <w:t>000 FCFA</w:t>
      </w:r>
      <w:r w:rsidR="004306F2" w:rsidRPr="00E153AE">
        <w:rPr>
          <w:rStyle w:val="Appelnotedebasdep"/>
        </w:rPr>
        <w:footnoteReference w:id="54"/>
      </w:r>
      <w:r w:rsidR="004306F2" w:rsidRPr="002E4295">
        <w:rPr>
          <w:lang w:val="fr-FR"/>
        </w:rPr>
        <w:t xml:space="preserve"> le 12</w:t>
      </w:r>
      <w:r w:rsidR="004306F2" w:rsidRPr="002E4295">
        <w:rPr>
          <w:vertAlign w:val="superscript"/>
          <w:lang w:val="fr-FR"/>
        </w:rPr>
        <w:t>ème</w:t>
      </w:r>
      <w:r w:rsidR="004306F2" w:rsidRPr="002E4295">
        <w:rPr>
          <w:lang w:val="fr-FR"/>
        </w:rPr>
        <w:t xml:space="preserve"> et le 24</w:t>
      </w:r>
      <w:r w:rsidR="004306F2" w:rsidRPr="002E4295">
        <w:rPr>
          <w:vertAlign w:val="superscript"/>
          <w:lang w:val="fr-FR"/>
        </w:rPr>
        <w:t>ème</w:t>
      </w:r>
      <w:r w:rsidR="004306F2" w:rsidRPr="002E4295">
        <w:rPr>
          <w:lang w:val="fr-FR"/>
        </w:rPr>
        <w:t xml:space="preserve"> mois. Ce qui fait un montant total de 720</w:t>
      </w:r>
      <w:r w:rsidR="004A30EF" w:rsidRPr="004A30EF">
        <w:rPr>
          <w:lang w:val="fr-FR"/>
        </w:rPr>
        <w:t> </w:t>
      </w:r>
      <w:r w:rsidR="004306F2" w:rsidRPr="002E4295">
        <w:rPr>
          <w:lang w:val="fr-FR"/>
        </w:rPr>
        <w:t>000</w:t>
      </w:r>
      <w:r w:rsidR="004A30EF" w:rsidRPr="004A30EF">
        <w:rPr>
          <w:lang w:val="fr-FR"/>
        </w:rPr>
        <w:t> </w:t>
      </w:r>
      <w:r w:rsidR="004306F2" w:rsidRPr="002E4295">
        <w:rPr>
          <w:lang w:val="fr-FR"/>
        </w:rPr>
        <w:t>000 FCFA</w:t>
      </w:r>
      <w:r w:rsidR="004306F2" w:rsidRPr="00E153AE">
        <w:rPr>
          <w:rStyle w:val="Appelnotedebasdep"/>
        </w:rPr>
        <w:footnoteReference w:id="55"/>
      </w:r>
      <w:r w:rsidR="004306F2" w:rsidRPr="002E4295">
        <w:rPr>
          <w:lang w:val="fr-FR"/>
        </w:rPr>
        <w:t>, ainsi que des formations pour améliorer leur santé, leur nutrition, leur éducation et leur compétence.</w:t>
      </w:r>
    </w:p>
    <w:p w:rsidR="004306F2" w:rsidRPr="002E4295" w:rsidRDefault="00F17353">
      <w:pPr>
        <w:pStyle w:val="H4G"/>
        <w:rPr>
          <w:lang w:val="fr-FR"/>
        </w:rPr>
      </w:pPr>
      <w:r>
        <w:rPr>
          <w:lang w:val="fr-FR"/>
        </w:rPr>
        <w:tab/>
      </w:r>
      <w:r>
        <w:rPr>
          <w:lang w:val="fr-FR"/>
        </w:rPr>
        <w:tab/>
      </w:r>
      <w:r w:rsidR="004306F2" w:rsidRPr="002E4295">
        <w:rPr>
          <w:lang w:val="fr-FR"/>
        </w:rPr>
        <w:t xml:space="preserve">La réalisation du Programme des Travaux publics de la Haute Intensité </w:t>
      </w:r>
      <w:r w:rsidR="007410A0">
        <w:rPr>
          <w:lang w:val="fr-FR"/>
        </w:rPr>
        <w:br/>
      </w:r>
      <w:r w:rsidR="004306F2" w:rsidRPr="002E4295">
        <w:rPr>
          <w:lang w:val="fr-FR"/>
        </w:rPr>
        <w:t>de la Main-d’œuvre (THIMO)</w:t>
      </w:r>
    </w:p>
    <w:p w:rsidR="004306F2" w:rsidRPr="002E4295" w:rsidRDefault="00270BF3" w:rsidP="00270BF3">
      <w:pPr>
        <w:pStyle w:val="SingleTxtG"/>
        <w:rPr>
          <w:lang w:val="fr-FR"/>
        </w:rPr>
      </w:pPr>
      <w:r w:rsidRPr="002E4295">
        <w:rPr>
          <w:lang w:val="fr-FR"/>
        </w:rPr>
        <w:t>92.</w:t>
      </w:r>
      <w:r w:rsidRPr="002E4295">
        <w:rPr>
          <w:lang w:val="fr-FR"/>
        </w:rPr>
        <w:tab/>
      </w:r>
      <w:r w:rsidR="004306F2" w:rsidRPr="002E4295">
        <w:rPr>
          <w:lang w:val="fr-FR"/>
        </w:rPr>
        <w:t>Les THIMO consistent à employer pendant 60 jours par an, 150 personnes par microprojet qui seront rémunérées chacune à 1</w:t>
      </w:r>
      <w:r w:rsidR="007410A0">
        <w:rPr>
          <w:lang w:val="fr-FR"/>
        </w:rPr>
        <w:t> </w:t>
      </w:r>
      <w:r w:rsidR="004306F2" w:rsidRPr="002E4295">
        <w:rPr>
          <w:lang w:val="fr-FR"/>
        </w:rPr>
        <w:t>300 FCFA</w:t>
      </w:r>
      <w:r w:rsidR="004306F2" w:rsidRPr="00E153AE">
        <w:rPr>
          <w:rStyle w:val="Appelnotedebasdep"/>
        </w:rPr>
        <w:footnoteReference w:id="56"/>
      </w:r>
      <w:r w:rsidR="004306F2" w:rsidRPr="002E4295">
        <w:rPr>
          <w:lang w:val="fr-FR"/>
        </w:rPr>
        <w:t xml:space="preserve"> par jour. Les travaux THIMO ont commencé avec la création, durant le 1</w:t>
      </w:r>
      <w:r w:rsidR="004306F2" w:rsidRPr="002E4295">
        <w:rPr>
          <w:vertAlign w:val="superscript"/>
          <w:lang w:val="fr-FR"/>
        </w:rPr>
        <w:t>er</w:t>
      </w:r>
      <w:r w:rsidR="004306F2" w:rsidRPr="002E4295">
        <w:rPr>
          <w:lang w:val="fr-FR"/>
        </w:rPr>
        <w:t xml:space="preserve"> semestre 2016, de 5</w:t>
      </w:r>
      <w:r w:rsidR="007410A0">
        <w:rPr>
          <w:lang w:val="fr-FR"/>
        </w:rPr>
        <w:t> </w:t>
      </w:r>
      <w:r w:rsidR="004306F2" w:rsidRPr="002E4295">
        <w:rPr>
          <w:lang w:val="fr-FR"/>
        </w:rPr>
        <w:t>000 emplois dans la Région du Nord. Au total, 35 microprojets ont été réalisés et près de 390</w:t>
      </w:r>
      <w:r w:rsidR="004A30EF" w:rsidRPr="004A30EF">
        <w:rPr>
          <w:lang w:val="fr-FR"/>
        </w:rPr>
        <w:t> </w:t>
      </w:r>
      <w:r w:rsidR="004306F2" w:rsidRPr="002E4295">
        <w:rPr>
          <w:lang w:val="fr-FR"/>
        </w:rPr>
        <w:t>000</w:t>
      </w:r>
      <w:r w:rsidR="004A30EF" w:rsidRPr="004A30EF">
        <w:rPr>
          <w:lang w:val="fr-FR"/>
        </w:rPr>
        <w:t> </w:t>
      </w:r>
      <w:r w:rsidR="004306F2" w:rsidRPr="002E4295">
        <w:rPr>
          <w:lang w:val="fr-FR"/>
        </w:rPr>
        <w:t>000 FCFA</w:t>
      </w:r>
      <w:r w:rsidR="004306F2" w:rsidRPr="00E153AE">
        <w:rPr>
          <w:rStyle w:val="Appelnotedebasdep"/>
        </w:rPr>
        <w:footnoteReference w:id="57"/>
      </w:r>
      <w:r w:rsidR="004306F2" w:rsidRPr="002E4295">
        <w:rPr>
          <w:lang w:val="fr-FR"/>
        </w:rPr>
        <w:t xml:space="preserve"> redistribués aux travailleurs.</w:t>
      </w:r>
    </w:p>
    <w:p w:rsidR="004306F2" w:rsidRPr="002E4295" w:rsidRDefault="00F17353" w:rsidP="00F17353">
      <w:pPr>
        <w:pStyle w:val="H1G"/>
        <w:rPr>
          <w:lang w:val="fr-FR"/>
        </w:rPr>
      </w:pPr>
      <w:bookmarkStart w:id="38" w:name="_Toc466897360"/>
      <w:r>
        <w:rPr>
          <w:lang w:val="fr-FR"/>
        </w:rPr>
        <w:tab/>
        <w:t>B.</w:t>
      </w:r>
      <w:r>
        <w:rPr>
          <w:lang w:val="fr-FR"/>
        </w:rPr>
        <w:tab/>
      </w:r>
      <w:r w:rsidR="004306F2" w:rsidRPr="002E4295">
        <w:rPr>
          <w:lang w:val="fr-FR"/>
        </w:rPr>
        <w:t>Protection des femmes et des enfants et des autres groupes défavorisés</w:t>
      </w:r>
      <w:bookmarkEnd w:id="38"/>
    </w:p>
    <w:p w:rsidR="004306F2" w:rsidRPr="002E4295" w:rsidRDefault="00270BF3" w:rsidP="00270BF3">
      <w:pPr>
        <w:pStyle w:val="SingleTxtG"/>
        <w:rPr>
          <w:lang w:val="fr-FR"/>
        </w:rPr>
      </w:pPr>
      <w:r w:rsidRPr="002E4295">
        <w:rPr>
          <w:lang w:val="fr-FR"/>
        </w:rPr>
        <w:t>93.</w:t>
      </w:r>
      <w:r w:rsidRPr="002E4295">
        <w:rPr>
          <w:lang w:val="fr-FR"/>
        </w:rPr>
        <w:tab/>
      </w:r>
      <w:r w:rsidR="004306F2" w:rsidRPr="002E4295">
        <w:rPr>
          <w:lang w:val="fr-FR"/>
        </w:rPr>
        <w:t>La protection des couches sociales défavorisées, en l’occurrence les femmes et les enfants ou encore les personnes âgées a également fait l’objet d’attentions particulières.</w:t>
      </w:r>
    </w:p>
    <w:p w:rsidR="004306F2" w:rsidRPr="002E4295" w:rsidRDefault="00F17353" w:rsidP="00F17353">
      <w:pPr>
        <w:pStyle w:val="H23G"/>
        <w:rPr>
          <w:lang w:val="fr-FR"/>
        </w:rPr>
      </w:pPr>
      <w:bookmarkStart w:id="39" w:name="_Toc466897361"/>
      <w:r>
        <w:rPr>
          <w:lang w:val="fr-FR"/>
        </w:rPr>
        <w:tab/>
      </w:r>
      <w:r>
        <w:rPr>
          <w:lang w:val="fr-FR"/>
        </w:rPr>
        <w:tab/>
      </w:r>
      <w:r w:rsidR="00763763" w:rsidRPr="002E4295">
        <w:rPr>
          <w:lang w:val="fr-FR"/>
        </w:rPr>
        <w:t>Les</w:t>
      </w:r>
      <w:r w:rsidR="004306F2" w:rsidRPr="002E4295">
        <w:rPr>
          <w:lang w:val="fr-FR"/>
        </w:rPr>
        <w:t xml:space="preserve"> femmes et les enfants</w:t>
      </w:r>
      <w:bookmarkEnd w:id="39"/>
    </w:p>
    <w:p w:rsidR="004306F2" w:rsidRPr="002E4295" w:rsidRDefault="00270BF3" w:rsidP="00270BF3">
      <w:pPr>
        <w:pStyle w:val="SingleTxtG"/>
        <w:rPr>
          <w:lang w:val="fr-FR"/>
        </w:rPr>
      </w:pPr>
      <w:r w:rsidRPr="002E4295">
        <w:rPr>
          <w:lang w:val="fr-FR"/>
        </w:rPr>
        <w:t>94.</w:t>
      </w:r>
      <w:r w:rsidRPr="002E4295">
        <w:rPr>
          <w:lang w:val="fr-FR"/>
        </w:rPr>
        <w:tab/>
      </w:r>
      <w:r w:rsidR="004306F2" w:rsidRPr="002E4295">
        <w:rPr>
          <w:lang w:val="fr-FR"/>
        </w:rPr>
        <w:t>Au sein du Ministère en charge des questions de Genre, une Direction en charge de la promotion économique de la femme a été créée. Celle-ci a pour missions, entre autres, de former les organisations de femmes au montage des projets et à la mise en place d’activités génératrices de revenus et leur apporte également des appuis diversifiés. Ainsi, 10</w:t>
      </w:r>
      <w:r w:rsidR="007410A0">
        <w:rPr>
          <w:lang w:val="fr-FR"/>
        </w:rPr>
        <w:t> </w:t>
      </w:r>
      <w:r w:rsidR="004306F2" w:rsidRPr="002E4295">
        <w:rPr>
          <w:lang w:val="fr-FR"/>
        </w:rPr>
        <w:t>260 femmes rurales ont été formées en 2014 aux techniques modernes de production, de transformation et de conserva</w:t>
      </w:r>
      <w:r w:rsidR="00C6506E">
        <w:rPr>
          <w:lang w:val="fr-FR"/>
        </w:rPr>
        <w:t>tion des produits agropastoraux</w:t>
      </w:r>
      <w:r w:rsidR="00DA0404">
        <w:rPr>
          <w:lang w:val="fr-FR"/>
        </w:rPr>
        <w:t> ;</w:t>
      </w:r>
      <w:r w:rsidR="004306F2" w:rsidRPr="002E4295">
        <w:rPr>
          <w:lang w:val="fr-FR"/>
        </w:rPr>
        <w:t xml:space="preserve"> 4</w:t>
      </w:r>
      <w:r w:rsidR="007410A0">
        <w:rPr>
          <w:lang w:val="fr-FR"/>
        </w:rPr>
        <w:t> </w:t>
      </w:r>
      <w:r w:rsidR="004306F2" w:rsidRPr="002E4295">
        <w:rPr>
          <w:lang w:val="fr-FR"/>
        </w:rPr>
        <w:t>628 femmes et filles au montage des projets et à la gestion des entreprises</w:t>
      </w:r>
      <w:r w:rsidR="00DA0404">
        <w:rPr>
          <w:lang w:val="fr-FR"/>
        </w:rPr>
        <w:t> ;</w:t>
      </w:r>
      <w:r w:rsidR="004306F2" w:rsidRPr="002E4295">
        <w:rPr>
          <w:lang w:val="fr-FR"/>
        </w:rPr>
        <w:t xml:space="preserve"> 20 femmes dans les domaines </w:t>
      </w:r>
      <w:r w:rsidR="00C6506E">
        <w:rPr>
          <w:lang w:val="fr-FR"/>
        </w:rPr>
        <w:t>de la couture et de la broderie</w:t>
      </w:r>
      <w:r w:rsidR="00DA0404">
        <w:rPr>
          <w:lang w:val="fr-FR"/>
        </w:rPr>
        <w:t> ;</w:t>
      </w:r>
      <w:r w:rsidR="004306F2" w:rsidRPr="002E4295">
        <w:rPr>
          <w:lang w:val="fr-FR"/>
        </w:rPr>
        <w:t xml:space="preserve"> 50 femmes rurales pour faire face aux effets des changements climatiques et 50 femmes rurales aux techniques de préparation et de transformation agroalimentaire. De même, 452 femmes rurales issues de 9 communes ont été sensibilisées sur les enjeux de la mutation des Groupes d’Initiatives Communes en coopéra</w:t>
      </w:r>
      <w:r w:rsidR="00003676">
        <w:rPr>
          <w:lang w:val="fr-FR"/>
        </w:rPr>
        <w:t>tives au cours de l’année 2015.</w:t>
      </w:r>
    </w:p>
    <w:p w:rsidR="004306F2" w:rsidRPr="002E4295" w:rsidRDefault="00270BF3" w:rsidP="00270BF3">
      <w:pPr>
        <w:pStyle w:val="SingleTxtG"/>
        <w:rPr>
          <w:lang w:val="fr-FR"/>
        </w:rPr>
      </w:pPr>
      <w:r w:rsidRPr="002E4295">
        <w:rPr>
          <w:lang w:val="fr-FR"/>
        </w:rPr>
        <w:t>95.</w:t>
      </w:r>
      <w:r w:rsidRPr="002E4295">
        <w:rPr>
          <w:lang w:val="fr-FR"/>
        </w:rPr>
        <w:tab/>
      </w:r>
      <w:r w:rsidR="004306F2" w:rsidRPr="002E4295">
        <w:rPr>
          <w:lang w:val="fr-FR"/>
        </w:rPr>
        <w:t>En plus, la mise en œuvre de programmes, projets, stratégies et études relatifs à l’insertion des femmes dans les circuits économiques notamment, le programme de développement de l’agriculture dans les z</w:t>
      </w:r>
      <w:r w:rsidR="00003676">
        <w:rPr>
          <w:lang w:val="fr-FR"/>
        </w:rPr>
        <w:t>ones tropicales humides «</w:t>
      </w:r>
      <w:r w:rsidR="007410A0">
        <w:rPr>
          <w:lang w:val="fr-FR"/>
        </w:rPr>
        <w:t> </w:t>
      </w:r>
      <w:proofErr w:type="spellStart"/>
      <w:r w:rsidR="004306F2" w:rsidRPr="0017665A">
        <w:rPr>
          <w:lang w:val="fr-FR"/>
        </w:rPr>
        <w:t>HumidTropics</w:t>
      </w:r>
      <w:proofErr w:type="spellEnd"/>
      <w:r w:rsidR="007410A0">
        <w:rPr>
          <w:i/>
          <w:lang w:val="fr-FR"/>
        </w:rPr>
        <w:t> </w:t>
      </w:r>
      <w:r w:rsidR="004306F2" w:rsidRPr="002E4295">
        <w:rPr>
          <w:lang w:val="fr-FR"/>
        </w:rPr>
        <w:t xml:space="preserve">», le Programme de l’Inclusion Economique et Sociale (PRINCES) avec l’appui du PNUD, la participation à l’élaboration du projet Genre et Accélération de l’Autonomisation </w:t>
      </w:r>
      <w:r w:rsidR="004306F2" w:rsidRPr="002E4295">
        <w:rPr>
          <w:lang w:val="fr-FR"/>
        </w:rPr>
        <w:lastRenderedPageBreak/>
        <w:t xml:space="preserve">Economique de la Femme sur l’axe routier </w:t>
      </w:r>
      <w:proofErr w:type="spellStart"/>
      <w:r w:rsidR="004306F2" w:rsidRPr="002E4295">
        <w:rPr>
          <w:lang w:val="fr-FR"/>
        </w:rPr>
        <w:t>Batchenga</w:t>
      </w:r>
      <w:proofErr w:type="spellEnd"/>
      <w:r w:rsidR="004306F2" w:rsidRPr="002E4295">
        <w:rPr>
          <w:lang w:val="fr-FR"/>
        </w:rPr>
        <w:t>-</w:t>
      </w:r>
      <w:proofErr w:type="spellStart"/>
      <w:r w:rsidR="004306F2" w:rsidRPr="002E4295">
        <w:rPr>
          <w:lang w:val="fr-FR"/>
        </w:rPr>
        <w:t>Ntui</w:t>
      </w:r>
      <w:proofErr w:type="spellEnd"/>
      <w:r w:rsidR="004306F2" w:rsidRPr="002E4295">
        <w:rPr>
          <w:lang w:val="fr-FR"/>
        </w:rPr>
        <w:t>-Yoko pour la période 2015-2017 participent de ce même objectif.</w:t>
      </w:r>
    </w:p>
    <w:p w:rsidR="004306F2" w:rsidRPr="002E4295" w:rsidRDefault="00270BF3" w:rsidP="00270BF3">
      <w:pPr>
        <w:pStyle w:val="SingleTxtG"/>
        <w:rPr>
          <w:lang w:val="fr-FR"/>
        </w:rPr>
      </w:pPr>
      <w:r w:rsidRPr="002E4295">
        <w:rPr>
          <w:lang w:val="fr-FR"/>
        </w:rPr>
        <w:t>96.</w:t>
      </w:r>
      <w:r w:rsidRPr="002E4295">
        <w:rPr>
          <w:lang w:val="fr-FR"/>
        </w:rPr>
        <w:tab/>
      </w:r>
      <w:r w:rsidR="004306F2" w:rsidRPr="002E4295">
        <w:rPr>
          <w:lang w:val="fr-FR"/>
        </w:rPr>
        <w:t xml:space="preserve">Par ailleurs, des appuis en matériel agricole, des subventions au montage des projets, des intrants agricoles ont été accordés aux organisations féminines dans les 10 Régions du pays. Ainsi, en 2014, du petit matériel agricole évalué </w:t>
      </w:r>
      <w:r w:rsidR="004A30EF" w:rsidRPr="002E4295">
        <w:rPr>
          <w:lang w:val="fr-FR"/>
        </w:rPr>
        <w:t>après</w:t>
      </w:r>
      <w:r w:rsidR="004306F2" w:rsidRPr="002E4295">
        <w:rPr>
          <w:lang w:val="fr-FR"/>
        </w:rPr>
        <w:t xml:space="preserve"> de 25 000 000</w:t>
      </w:r>
      <w:r w:rsidR="004A30EF">
        <w:rPr>
          <w:lang w:val="fr-FR"/>
        </w:rPr>
        <w:t xml:space="preserve"> </w:t>
      </w:r>
      <w:r w:rsidR="004306F2" w:rsidRPr="002E4295">
        <w:rPr>
          <w:lang w:val="fr-FR"/>
        </w:rPr>
        <w:t>FCFA</w:t>
      </w:r>
      <w:r w:rsidR="004306F2" w:rsidRPr="00E153AE">
        <w:rPr>
          <w:rStyle w:val="Appelnotedebasdep"/>
        </w:rPr>
        <w:footnoteReference w:id="58"/>
      </w:r>
      <w:r w:rsidR="004306F2" w:rsidRPr="002E4295">
        <w:rPr>
          <w:lang w:val="fr-FR"/>
        </w:rPr>
        <w:t>, des intrants agricoles, des subventions pour le montage et la réalisation des Activités Génératrices de Revenus pour une enveloppe estimée à 30 000 000</w:t>
      </w:r>
      <w:r w:rsidR="004A30EF">
        <w:rPr>
          <w:lang w:val="fr-FR"/>
        </w:rPr>
        <w:t xml:space="preserve"> </w:t>
      </w:r>
      <w:r w:rsidR="004306F2" w:rsidRPr="002E4295">
        <w:rPr>
          <w:lang w:val="fr-FR"/>
        </w:rPr>
        <w:t>FCFA</w:t>
      </w:r>
      <w:r w:rsidR="004306F2" w:rsidRPr="00E153AE">
        <w:rPr>
          <w:rStyle w:val="Appelnotedebasdep"/>
        </w:rPr>
        <w:footnoteReference w:id="59"/>
      </w:r>
      <w:r w:rsidR="004306F2" w:rsidRPr="002E4295">
        <w:rPr>
          <w:lang w:val="fr-FR"/>
        </w:rPr>
        <w:t xml:space="preserve"> ont été octroyés à des associations féminines.</w:t>
      </w:r>
    </w:p>
    <w:p w:rsidR="004306F2" w:rsidRPr="002E4295" w:rsidRDefault="00F17353" w:rsidP="00F17353">
      <w:pPr>
        <w:pStyle w:val="H23G"/>
        <w:rPr>
          <w:lang w:val="fr-FR"/>
        </w:rPr>
      </w:pPr>
      <w:bookmarkStart w:id="40" w:name="_Toc466897362"/>
      <w:r>
        <w:rPr>
          <w:lang w:val="fr-FR"/>
        </w:rPr>
        <w:tab/>
      </w:r>
      <w:r>
        <w:rPr>
          <w:lang w:val="fr-FR"/>
        </w:rPr>
        <w:tab/>
      </w:r>
      <w:r w:rsidR="00763763" w:rsidRPr="002E4295">
        <w:rPr>
          <w:lang w:val="fr-FR"/>
        </w:rPr>
        <w:t>Les</w:t>
      </w:r>
      <w:r w:rsidR="004306F2" w:rsidRPr="002E4295">
        <w:rPr>
          <w:lang w:val="fr-FR"/>
        </w:rPr>
        <w:t xml:space="preserve"> personnes âgées</w:t>
      </w:r>
      <w:bookmarkEnd w:id="40"/>
    </w:p>
    <w:p w:rsidR="004306F2" w:rsidRPr="002E4295" w:rsidRDefault="00270BF3" w:rsidP="00270BF3">
      <w:pPr>
        <w:pStyle w:val="SingleTxtG"/>
        <w:rPr>
          <w:lang w:val="fr-FR"/>
        </w:rPr>
      </w:pPr>
      <w:r w:rsidRPr="002E4295">
        <w:rPr>
          <w:lang w:val="fr-FR"/>
        </w:rPr>
        <w:t>97.</w:t>
      </w:r>
      <w:r w:rsidRPr="002E4295">
        <w:rPr>
          <w:lang w:val="fr-FR"/>
        </w:rPr>
        <w:tab/>
      </w:r>
      <w:r w:rsidR="00ED4395">
        <w:rPr>
          <w:lang w:val="fr-FR"/>
        </w:rPr>
        <w:t xml:space="preserve">Avec </w:t>
      </w:r>
      <w:r w:rsidR="004306F2" w:rsidRPr="002E4295">
        <w:rPr>
          <w:lang w:val="fr-FR"/>
        </w:rPr>
        <w:t>19 400 000 habitants</w:t>
      </w:r>
      <w:r w:rsidR="00DD6497" w:rsidRPr="002E4295">
        <w:rPr>
          <w:lang w:val="fr-FR"/>
        </w:rPr>
        <w:t xml:space="preserve">, </w:t>
      </w:r>
      <w:r w:rsidR="004306F2" w:rsidRPr="002E4295">
        <w:rPr>
          <w:lang w:val="fr-FR"/>
        </w:rPr>
        <w:t>le Cameroun</w:t>
      </w:r>
      <w:r w:rsidR="004306F2" w:rsidRPr="00E153AE">
        <w:rPr>
          <w:rStyle w:val="Appelnotedebasdep"/>
        </w:rPr>
        <w:footnoteReference w:id="60"/>
      </w:r>
      <w:r w:rsidR="004306F2" w:rsidRPr="002E4295">
        <w:rPr>
          <w:lang w:val="fr-FR"/>
        </w:rPr>
        <w:t xml:space="preserve"> compte 961 285 personnes âgées de plus de 60 ans, représentant 5,5</w:t>
      </w:r>
      <w:r w:rsidR="009E4EF6">
        <w:rPr>
          <w:lang w:val="fr-FR"/>
        </w:rPr>
        <w:t> %</w:t>
      </w:r>
      <w:r w:rsidR="004306F2" w:rsidRPr="002E4295">
        <w:rPr>
          <w:lang w:val="fr-FR"/>
        </w:rPr>
        <w:t xml:space="preserve"> de la population totale du pays, avec 6,5</w:t>
      </w:r>
      <w:r w:rsidR="009E4EF6">
        <w:rPr>
          <w:lang w:val="fr-FR"/>
        </w:rPr>
        <w:t> %</w:t>
      </w:r>
      <w:r w:rsidR="006A57AD">
        <w:rPr>
          <w:lang w:val="fr-FR"/>
        </w:rPr>
        <w:t xml:space="preserve"> </w:t>
      </w:r>
      <w:r w:rsidR="004306F2" w:rsidRPr="002E4295">
        <w:rPr>
          <w:lang w:val="fr-FR"/>
        </w:rPr>
        <w:t>en milieu rural et 3,4</w:t>
      </w:r>
      <w:r w:rsidR="009E4EF6">
        <w:rPr>
          <w:lang w:val="fr-FR"/>
        </w:rPr>
        <w:t> %</w:t>
      </w:r>
      <w:r w:rsidR="004306F2" w:rsidRPr="002E4295">
        <w:rPr>
          <w:lang w:val="fr-FR"/>
        </w:rPr>
        <w:t xml:space="preserve"> en milieu urbain. Il a adopté en 2012 un Document de </w:t>
      </w:r>
      <w:r w:rsidR="004306F2" w:rsidRPr="0017665A">
        <w:rPr>
          <w:lang w:val="fr-FR"/>
        </w:rPr>
        <w:t>Politique Nationale de Protection et de Promotion des Personnes Agées</w:t>
      </w:r>
      <w:r w:rsidR="004306F2" w:rsidRPr="007410A0">
        <w:rPr>
          <w:lang w:val="fr-FR"/>
        </w:rPr>
        <w:t xml:space="preserve">. </w:t>
      </w:r>
      <w:r w:rsidR="004306F2" w:rsidRPr="002E4295">
        <w:rPr>
          <w:lang w:val="fr-FR"/>
        </w:rPr>
        <w:t>Des subventions ont été dans ce cadre octroyées aux Œuvres Sociales Privées, Associations et ONG d’encadrement des personnes âgées, ainsi que l’appui à la réalisation des activités génératrices de revenus pour garantir l’autonomisation et la reconversion de ces derniers.</w:t>
      </w:r>
    </w:p>
    <w:p w:rsidR="004306F2" w:rsidRPr="007410A0" w:rsidRDefault="00270BF3" w:rsidP="00270BF3">
      <w:pPr>
        <w:pStyle w:val="SingleTxtG"/>
        <w:rPr>
          <w:lang w:val="fr-FR"/>
        </w:rPr>
      </w:pPr>
      <w:r w:rsidRPr="007410A0">
        <w:rPr>
          <w:lang w:val="fr-FR"/>
        </w:rPr>
        <w:t>98.</w:t>
      </w:r>
      <w:r w:rsidRPr="007410A0">
        <w:rPr>
          <w:lang w:val="fr-FR"/>
        </w:rPr>
        <w:tab/>
      </w:r>
      <w:r w:rsidR="004306F2" w:rsidRPr="002E4295">
        <w:rPr>
          <w:lang w:val="fr-FR"/>
        </w:rPr>
        <w:t xml:space="preserve">Sur les données comparatives et ventilées par sexe, région et zone urbaine/rurale sur le taux d’incidence de la pauvreté </w:t>
      </w:r>
      <w:r w:rsidR="00A117A6">
        <w:rPr>
          <w:lang w:val="fr-FR"/>
        </w:rPr>
        <w:t>(a</w:t>
      </w:r>
      <w:r w:rsidR="004306F2" w:rsidRPr="0017665A">
        <w:rPr>
          <w:lang w:val="fr-FR"/>
        </w:rPr>
        <w:t xml:space="preserve">nnexe </w:t>
      </w:r>
      <w:r w:rsidR="007410A0" w:rsidRPr="002E4295">
        <w:rPr>
          <w:lang w:val="fr-FR"/>
        </w:rPr>
        <w:t>n</w:t>
      </w:r>
      <w:r w:rsidR="007410A0" w:rsidRPr="00D6478B">
        <w:rPr>
          <w:vertAlign w:val="superscript"/>
          <w:lang w:val="fr-FR"/>
        </w:rPr>
        <w:t>o</w:t>
      </w:r>
      <w:r w:rsidR="007410A0">
        <w:rPr>
          <w:lang w:val="fr-FR"/>
        </w:rPr>
        <w:t> </w:t>
      </w:r>
      <w:r w:rsidR="004306F2" w:rsidRPr="0017665A">
        <w:rPr>
          <w:lang w:val="fr-FR"/>
        </w:rPr>
        <w:t>8).</w:t>
      </w:r>
    </w:p>
    <w:p w:rsidR="00ED4395" w:rsidRPr="0017665A" w:rsidRDefault="00DE4E2E" w:rsidP="0017665A">
      <w:pPr>
        <w:pStyle w:val="HChG"/>
      </w:pPr>
      <w:bookmarkStart w:id="41" w:name="_Toc466897363"/>
      <w:r>
        <w:rPr>
          <w:lang w:val="fr-FR"/>
        </w:rPr>
        <w:tab/>
        <w:t>XVIII.</w:t>
      </w:r>
      <w:r>
        <w:rPr>
          <w:lang w:val="fr-FR"/>
        </w:rPr>
        <w:tab/>
      </w:r>
      <w:r w:rsidR="004306F2" w:rsidRPr="002E4295">
        <w:rPr>
          <w:lang w:val="fr-FR"/>
        </w:rPr>
        <w:t>R</w:t>
      </w:r>
      <w:r w:rsidR="00763763" w:rsidRPr="002E4295">
        <w:rPr>
          <w:lang w:val="fr-FR"/>
        </w:rPr>
        <w:t>ec.</w:t>
      </w:r>
      <w:r>
        <w:rPr>
          <w:lang w:val="fr-FR"/>
        </w:rPr>
        <w:t> </w:t>
      </w:r>
      <w:r w:rsidR="00763763" w:rsidRPr="002E4295">
        <w:rPr>
          <w:lang w:val="fr-FR"/>
        </w:rPr>
        <w:t>2</w:t>
      </w:r>
      <w:r w:rsidR="004306F2" w:rsidRPr="002E4295">
        <w:rPr>
          <w:lang w:val="fr-FR"/>
        </w:rPr>
        <w:t>3</w:t>
      </w:r>
      <w:r w:rsidR="00E37350">
        <w:rPr>
          <w:lang w:val="fr-FR"/>
        </w:rPr>
        <w:t>.</w:t>
      </w:r>
      <w:r>
        <w:rPr>
          <w:lang w:val="fr-FR"/>
        </w:rPr>
        <w:t> </w:t>
      </w:r>
      <w:r w:rsidR="004306F2" w:rsidRPr="002E4295">
        <w:rPr>
          <w:lang w:val="fr-FR"/>
        </w:rPr>
        <w:t>Une stratégie nationale et un plan d’action pour le</w:t>
      </w:r>
      <w:r w:rsidR="007410A0">
        <w:rPr>
          <w:lang w:val="fr-FR"/>
        </w:rPr>
        <w:t> </w:t>
      </w:r>
      <w:r w:rsidR="004306F2" w:rsidRPr="002E4295">
        <w:rPr>
          <w:lang w:val="fr-FR"/>
        </w:rPr>
        <w:t xml:space="preserve">droit à un logement décent et répartition </w:t>
      </w:r>
      <w:r w:rsidR="007410A0">
        <w:rPr>
          <w:lang w:val="fr-FR"/>
        </w:rPr>
        <w:br/>
      </w:r>
      <w:r w:rsidR="004306F2" w:rsidRPr="002E4295">
        <w:rPr>
          <w:lang w:val="fr-FR"/>
        </w:rPr>
        <w:t>des logements sociaux</w:t>
      </w:r>
      <w:bookmarkStart w:id="42" w:name="_Toc466897364"/>
      <w:bookmarkEnd w:id="41"/>
    </w:p>
    <w:p w:rsidR="004306F2" w:rsidRPr="00ED4395" w:rsidRDefault="00F17353" w:rsidP="00F17353">
      <w:pPr>
        <w:pStyle w:val="H1G"/>
        <w:rPr>
          <w:lang w:val="fr-FR"/>
        </w:rPr>
      </w:pPr>
      <w:r>
        <w:rPr>
          <w:lang w:val="fr-FR"/>
        </w:rPr>
        <w:tab/>
        <w:t>A.</w:t>
      </w:r>
      <w:r>
        <w:rPr>
          <w:lang w:val="fr-FR"/>
        </w:rPr>
        <w:tab/>
      </w:r>
      <w:r w:rsidR="004306F2" w:rsidRPr="00ED4395">
        <w:rPr>
          <w:lang w:val="fr-FR"/>
        </w:rPr>
        <w:t>Sur la stratégie nationale de logement</w:t>
      </w:r>
      <w:bookmarkEnd w:id="42"/>
    </w:p>
    <w:p w:rsidR="004306F2" w:rsidRPr="0017665A" w:rsidRDefault="00270BF3" w:rsidP="00270BF3">
      <w:pPr>
        <w:pStyle w:val="SingleTxtG"/>
        <w:rPr>
          <w:lang w:val="fr-FR"/>
        </w:rPr>
      </w:pPr>
      <w:r w:rsidRPr="0017665A">
        <w:rPr>
          <w:lang w:val="fr-FR"/>
        </w:rPr>
        <w:t>99.</w:t>
      </w:r>
      <w:r w:rsidRPr="0017665A">
        <w:rPr>
          <w:lang w:val="fr-FR"/>
        </w:rPr>
        <w:tab/>
      </w:r>
      <w:r w:rsidR="004306F2" w:rsidRPr="002E4295">
        <w:rPr>
          <w:lang w:val="fr-FR"/>
        </w:rPr>
        <w:t xml:space="preserve">Le DSCE a prévu le Programme de Développement de l’Habitat (PDH). Ce Programme vise à pallier à l’insuffisance d’espaces aménagés et à renforcer la planification urbaine. Depuis 2013, des activités sont menées et permettront au Cameroun de disposer de 95 documents nouveaux de planification urbaine et de 4 actualisés. Une part importante du budget, en nette augmentation année après année </w:t>
      </w:r>
      <w:r w:rsidR="00A117A6">
        <w:rPr>
          <w:lang w:val="fr-FR"/>
        </w:rPr>
        <w:t>(voir a</w:t>
      </w:r>
      <w:r w:rsidR="004306F2" w:rsidRPr="0017665A">
        <w:rPr>
          <w:lang w:val="fr-FR"/>
        </w:rPr>
        <w:t xml:space="preserve">nnexe </w:t>
      </w:r>
      <w:r w:rsidR="007410A0" w:rsidRPr="002E4295">
        <w:rPr>
          <w:lang w:val="fr-FR"/>
        </w:rPr>
        <w:t>n</w:t>
      </w:r>
      <w:r w:rsidR="007410A0" w:rsidRPr="00D6478B">
        <w:rPr>
          <w:vertAlign w:val="superscript"/>
          <w:lang w:val="fr-FR"/>
        </w:rPr>
        <w:t>o</w:t>
      </w:r>
      <w:r w:rsidR="007410A0">
        <w:rPr>
          <w:lang w:val="fr-FR"/>
        </w:rPr>
        <w:t> </w:t>
      </w:r>
      <w:r w:rsidR="004306F2" w:rsidRPr="0017665A">
        <w:rPr>
          <w:lang w:val="fr-FR"/>
        </w:rPr>
        <w:t>9 pour l’évolution)</w:t>
      </w:r>
      <w:r w:rsidR="004306F2" w:rsidRPr="00A117A6">
        <w:rPr>
          <w:lang w:val="fr-FR"/>
        </w:rPr>
        <w:t xml:space="preserve"> </w:t>
      </w:r>
      <w:r w:rsidR="004306F2" w:rsidRPr="002E4295">
        <w:rPr>
          <w:lang w:val="fr-FR"/>
        </w:rPr>
        <w:t>y a été consacrée, soit 102 341 644 000 FCFA</w:t>
      </w:r>
      <w:r w:rsidR="004306F2" w:rsidRPr="00E153AE">
        <w:rPr>
          <w:rStyle w:val="Appelnotedebasdep"/>
        </w:rPr>
        <w:footnoteReference w:id="61"/>
      </w:r>
      <w:r w:rsidR="004306F2" w:rsidRPr="002E4295">
        <w:rPr>
          <w:lang w:val="fr-FR"/>
        </w:rPr>
        <w:t>.</w:t>
      </w:r>
    </w:p>
    <w:p w:rsidR="004306F2" w:rsidRPr="002E4295" w:rsidRDefault="00270BF3" w:rsidP="00270BF3">
      <w:pPr>
        <w:pStyle w:val="SingleTxtG"/>
        <w:rPr>
          <w:lang w:val="fr-FR"/>
        </w:rPr>
      </w:pPr>
      <w:r w:rsidRPr="002E4295">
        <w:rPr>
          <w:lang w:val="fr-FR"/>
        </w:rPr>
        <w:t>100.</w:t>
      </w:r>
      <w:r w:rsidRPr="002E4295">
        <w:rPr>
          <w:lang w:val="fr-FR"/>
        </w:rPr>
        <w:tab/>
      </w:r>
      <w:r w:rsidR="004306F2" w:rsidRPr="002E4295">
        <w:rPr>
          <w:lang w:val="fr-FR"/>
        </w:rPr>
        <w:t xml:space="preserve">Les zones </w:t>
      </w:r>
      <w:r w:rsidR="004306F2" w:rsidRPr="0017665A">
        <w:rPr>
          <w:lang w:val="fr-FR"/>
        </w:rPr>
        <w:t>d’intervention</w:t>
      </w:r>
      <w:r w:rsidR="004306F2" w:rsidRPr="002E4295">
        <w:rPr>
          <w:lang w:val="fr-FR"/>
        </w:rPr>
        <w:t xml:space="preserve"> du Programme Participatif d’Amélioration des Bidonvilles (PPAB) se situent à Yaoundé (</w:t>
      </w:r>
      <w:proofErr w:type="spellStart"/>
      <w:r w:rsidR="004306F2" w:rsidRPr="002E4295">
        <w:rPr>
          <w:lang w:val="fr-FR"/>
        </w:rPr>
        <w:t>Nkolbikok</w:t>
      </w:r>
      <w:proofErr w:type="spellEnd"/>
      <w:r w:rsidR="004306F2" w:rsidRPr="002E4295">
        <w:rPr>
          <w:lang w:val="fr-FR"/>
        </w:rPr>
        <w:t xml:space="preserve">), Kribi 2 et Bamenda 3. Ce Programme vise à améliorer la qualité de l’habitat dans des quartiers précaires. Ainsi, à </w:t>
      </w:r>
      <w:proofErr w:type="spellStart"/>
      <w:r w:rsidR="004306F2" w:rsidRPr="002E4295">
        <w:rPr>
          <w:lang w:val="fr-FR"/>
        </w:rPr>
        <w:t>Nkolbikok</w:t>
      </w:r>
      <w:proofErr w:type="spellEnd"/>
      <w:r w:rsidR="004306F2" w:rsidRPr="002E4295">
        <w:rPr>
          <w:lang w:val="fr-FR"/>
        </w:rPr>
        <w:t xml:space="preserve">, le </w:t>
      </w:r>
      <w:r w:rsidR="00F74094">
        <w:rPr>
          <w:lang w:val="fr-FR"/>
        </w:rPr>
        <w:t xml:space="preserve">programme s’articule autour de </w:t>
      </w:r>
      <w:r w:rsidR="004306F2" w:rsidRPr="002E4295">
        <w:rPr>
          <w:lang w:val="fr-FR"/>
        </w:rPr>
        <w:t>3 axes sui</w:t>
      </w:r>
      <w:r w:rsidR="00C6506E">
        <w:rPr>
          <w:lang w:val="fr-FR"/>
        </w:rPr>
        <w:t>vants</w:t>
      </w:r>
      <w:r w:rsidR="00DA0404">
        <w:rPr>
          <w:lang w:val="fr-FR"/>
        </w:rPr>
        <w:t> :</w:t>
      </w:r>
      <w:r w:rsidR="004306F2" w:rsidRPr="002E4295">
        <w:rPr>
          <w:lang w:val="fr-FR"/>
        </w:rPr>
        <w:t xml:space="preserve"> l’aménagement et le lotissement du site, la vente des parcelles et le recasement de près de 450 familles dans les bâtiments à hauteur construits à proximité du site. La mise en œuvre de la phase 3 de la stratégie élaborée dont le montant est évalué à 1</w:t>
      </w:r>
      <w:r w:rsidR="007410A0">
        <w:rPr>
          <w:lang w:val="fr-FR"/>
        </w:rPr>
        <w:t> </w:t>
      </w:r>
      <w:r w:rsidR="004306F2" w:rsidRPr="002E4295">
        <w:rPr>
          <w:lang w:val="fr-FR"/>
        </w:rPr>
        <w:t>000 000 Euros, soit environ 650 000 000 FCFA, a démarré en 2012.</w:t>
      </w:r>
    </w:p>
    <w:p w:rsidR="004306F2" w:rsidRPr="002E4295" w:rsidRDefault="00270BF3" w:rsidP="00270BF3">
      <w:pPr>
        <w:pStyle w:val="SingleTxtG"/>
        <w:rPr>
          <w:lang w:val="fr-FR"/>
        </w:rPr>
      </w:pPr>
      <w:r w:rsidRPr="002E4295">
        <w:rPr>
          <w:lang w:val="fr-FR"/>
        </w:rPr>
        <w:t>101.</w:t>
      </w:r>
      <w:r w:rsidRPr="002E4295">
        <w:rPr>
          <w:lang w:val="fr-FR"/>
        </w:rPr>
        <w:tab/>
      </w:r>
      <w:r w:rsidR="004306F2" w:rsidRPr="002E4295">
        <w:rPr>
          <w:lang w:val="fr-FR"/>
        </w:rPr>
        <w:t xml:space="preserve">Enfin, le PDH porte sur la restructuration des quartiers précaires sur une superficie </w:t>
      </w:r>
      <w:r w:rsidR="004306F2" w:rsidRPr="0017665A">
        <w:rPr>
          <w:lang w:val="fr-FR"/>
        </w:rPr>
        <w:t>de</w:t>
      </w:r>
      <w:r w:rsidR="004306F2" w:rsidRPr="002E4295">
        <w:rPr>
          <w:lang w:val="fr-FR"/>
        </w:rPr>
        <w:t xml:space="preserve"> 1</w:t>
      </w:r>
      <w:r w:rsidR="007410A0">
        <w:rPr>
          <w:lang w:val="fr-FR"/>
        </w:rPr>
        <w:t> </w:t>
      </w:r>
      <w:r w:rsidR="004306F2" w:rsidRPr="002E4295">
        <w:rPr>
          <w:lang w:val="fr-FR"/>
        </w:rPr>
        <w:t>000 ha à Yaoundé pour un montant de 249 000 000 FCFA</w:t>
      </w:r>
      <w:r w:rsidR="004306F2" w:rsidRPr="00E153AE">
        <w:rPr>
          <w:rStyle w:val="Appelnotedebasdep"/>
        </w:rPr>
        <w:footnoteReference w:id="62"/>
      </w:r>
      <w:r w:rsidR="004306F2" w:rsidRPr="002E4295">
        <w:rPr>
          <w:lang w:val="fr-FR"/>
        </w:rPr>
        <w:t xml:space="preserve"> et à Douala pour un montant de 80 000 000 FCFA</w:t>
      </w:r>
      <w:r w:rsidR="004306F2" w:rsidRPr="00E153AE">
        <w:rPr>
          <w:rStyle w:val="Appelnotedebasdep"/>
        </w:rPr>
        <w:footnoteReference w:id="63"/>
      </w:r>
      <w:r w:rsidR="004306F2" w:rsidRPr="002E4295">
        <w:rPr>
          <w:lang w:val="fr-FR"/>
        </w:rPr>
        <w:t xml:space="preserve">. </w:t>
      </w:r>
      <w:r w:rsidR="00385CA6">
        <w:rPr>
          <w:lang w:val="fr-FR"/>
        </w:rPr>
        <w:t>À</w:t>
      </w:r>
      <w:r w:rsidR="004306F2" w:rsidRPr="002E4295">
        <w:rPr>
          <w:lang w:val="fr-FR"/>
        </w:rPr>
        <w:t xml:space="preserve"> la fin de l’année 2012, les études de faisabilité étaient terminées </w:t>
      </w:r>
      <w:r w:rsidR="00385A4C">
        <w:rPr>
          <w:lang w:val="fr-FR"/>
        </w:rPr>
        <w:t>pour 2 </w:t>
      </w:r>
      <w:r w:rsidR="00F74094">
        <w:rPr>
          <w:lang w:val="fr-FR"/>
        </w:rPr>
        <w:t xml:space="preserve">quartiers à Yaoundé et </w:t>
      </w:r>
      <w:r w:rsidR="004306F2" w:rsidRPr="002E4295">
        <w:rPr>
          <w:lang w:val="fr-FR"/>
        </w:rPr>
        <w:t>1 quartier à Douala, de même que la formulation des programmes.</w:t>
      </w:r>
    </w:p>
    <w:p w:rsidR="004306F2" w:rsidRPr="002E4295" w:rsidRDefault="00F17353" w:rsidP="00F17353">
      <w:pPr>
        <w:pStyle w:val="H1G"/>
        <w:rPr>
          <w:lang w:val="fr-FR"/>
        </w:rPr>
      </w:pPr>
      <w:bookmarkStart w:id="43" w:name="_Toc466897365"/>
      <w:r>
        <w:rPr>
          <w:lang w:val="fr-FR"/>
        </w:rPr>
        <w:lastRenderedPageBreak/>
        <w:tab/>
        <w:t>B.</w:t>
      </w:r>
      <w:r>
        <w:rPr>
          <w:lang w:val="fr-FR"/>
        </w:rPr>
        <w:tab/>
      </w:r>
      <w:r w:rsidR="004306F2" w:rsidRPr="002E4295">
        <w:rPr>
          <w:lang w:val="fr-FR"/>
        </w:rPr>
        <w:t>Sur les logements sociaux en faveur des habitants des taudis</w:t>
      </w:r>
      <w:bookmarkEnd w:id="43"/>
    </w:p>
    <w:p w:rsidR="004306F2" w:rsidRPr="002E4295" w:rsidRDefault="00270BF3" w:rsidP="00270BF3">
      <w:pPr>
        <w:pStyle w:val="SingleTxtG"/>
        <w:rPr>
          <w:u w:val="single"/>
          <w:lang w:val="fr-FR"/>
        </w:rPr>
      </w:pPr>
      <w:r w:rsidRPr="002E4295">
        <w:rPr>
          <w:lang w:val="fr-FR"/>
        </w:rPr>
        <w:t>102.</w:t>
      </w:r>
      <w:r w:rsidRPr="002E4295">
        <w:rPr>
          <w:lang w:val="fr-FR"/>
        </w:rPr>
        <w:tab/>
      </w:r>
      <w:r w:rsidR="004306F2" w:rsidRPr="002E4295">
        <w:rPr>
          <w:lang w:val="fr-FR"/>
        </w:rPr>
        <w:t>Pour garantir l’accès des populations à revenus modestes à des logements décents, le Gouvernement a initié un Programme Expérimental de Production d’Habitations accessibles aux ménages à revenus modestes. Dans ce cadre, 1</w:t>
      </w:r>
      <w:r w:rsidR="0082149D">
        <w:rPr>
          <w:lang w:val="fr-FR"/>
        </w:rPr>
        <w:t> </w:t>
      </w:r>
      <w:r w:rsidR="004306F2" w:rsidRPr="002E4295">
        <w:rPr>
          <w:lang w:val="fr-FR"/>
        </w:rPr>
        <w:t>000 ha de terrains ont été sécurisés, 5</w:t>
      </w:r>
      <w:r w:rsidR="0082149D">
        <w:rPr>
          <w:lang w:val="fr-FR"/>
        </w:rPr>
        <w:t> </w:t>
      </w:r>
      <w:r w:rsidR="004306F2" w:rsidRPr="002E4295">
        <w:rPr>
          <w:lang w:val="fr-FR"/>
        </w:rPr>
        <w:t>000 parcelles aménagées</w:t>
      </w:r>
      <w:r w:rsidR="0082149D">
        <w:rPr>
          <w:lang w:val="fr-FR"/>
        </w:rPr>
        <w:t xml:space="preserve"> </w:t>
      </w:r>
      <w:r w:rsidR="004306F2" w:rsidRPr="002E4295">
        <w:rPr>
          <w:lang w:val="fr-FR"/>
        </w:rPr>
        <w:t>et 1</w:t>
      </w:r>
      <w:r w:rsidR="0082149D">
        <w:rPr>
          <w:lang w:val="fr-FR"/>
        </w:rPr>
        <w:t> </w:t>
      </w:r>
      <w:r w:rsidR="004306F2" w:rsidRPr="002E4295">
        <w:rPr>
          <w:lang w:val="fr-FR"/>
        </w:rPr>
        <w:t xml:space="preserve">000 logements seront construits. Les travaux d’aménagement de ce programme ont été lancés à Talla (Kribi) et </w:t>
      </w:r>
      <w:proofErr w:type="spellStart"/>
      <w:r w:rsidR="004306F2" w:rsidRPr="002E4295">
        <w:rPr>
          <w:lang w:val="fr-FR"/>
        </w:rPr>
        <w:t>Nkondom</w:t>
      </w:r>
      <w:proofErr w:type="spellEnd"/>
      <w:r w:rsidR="004306F2" w:rsidRPr="002E4295">
        <w:rPr>
          <w:lang w:val="fr-FR"/>
        </w:rPr>
        <w:t xml:space="preserve"> 2 (</w:t>
      </w:r>
      <w:proofErr w:type="spellStart"/>
      <w:r w:rsidR="004306F2" w:rsidRPr="002E4295">
        <w:rPr>
          <w:lang w:val="fr-FR"/>
        </w:rPr>
        <w:t>MFou</w:t>
      </w:r>
      <w:proofErr w:type="spellEnd"/>
      <w:r w:rsidR="004306F2" w:rsidRPr="002E4295">
        <w:rPr>
          <w:lang w:val="fr-FR"/>
        </w:rPr>
        <w:t xml:space="preserve">), tandis que les études du site de </w:t>
      </w:r>
      <w:proofErr w:type="spellStart"/>
      <w:r w:rsidR="004306F2" w:rsidRPr="002E4295">
        <w:rPr>
          <w:lang w:val="fr-FR"/>
        </w:rPr>
        <w:t>Logbessou</w:t>
      </w:r>
      <w:proofErr w:type="spellEnd"/>
      <w:r w:rsidR="004306F2" w:rsidRPr="002E4295">
        <w:rPr>
          <w:lang w:val="fr-FR"/>
        </w:rPr>
        <w:t xml:space="preserve"> Université à Douala ont commencé.</w:t>
      </w:r>
    </w:p>
    <w:p w:rsidR="004306F2" w:rsidRPr="0017665A" w:rsidRDefault="00B83235" w:rsidP="0017665A">
      <w:pPr>
        <w:pStyle w:val="HChG"/>
      </w:pPr>
      <w:bookmarkStart w:id="44" w:name="_Toc466897366"/>
      <w:r>
        <w:rPr>
          <w:lang w:val="fr-FR"/>
        </w:rPr>
        <w:tab/>
        <w:t>XIX.</w:t>
      </w:r>
      <w:r>
        <w:rPr>
          <w:lang w:val="fr-FR"/>
        </w:rPr>
        <w:tab/>
      </w:r>
      <w:r w:rsidR="004306F2" w:rsidRPr="002E4295">
        <w:rPr>
          <w:lang w:val="fr-FR"/>
        </w:rPr>
        <w:t>R</w:t>
      </w:r>
      <w:r w:rsidR="00763763" w:rsidRPr="002E4295">
        <w:rPr>
          <w:lang w:val="fr-FR"/>
        </w:rPr>
        <w:t>ec.</w:t>
      </w:r>
      <w:r>
        <w:rPr>
          <w:lang w:val="fr-FR"/>
        </w:rPr>
        <w:t> </w:t>
      </w:r>
      <w:r w:rsidR="004306F2" w:rsidRPr="002E4295">
        <w:rPr>
          <w:lang w:val="fr-FR"/>
        </w:rPr>
        <w:t>24</w:t>
      </w:r>
      <w:r w:rsidR="002D4557">
        <w:rPr>
          <w:lang w:val="fr-FR"/>
        </w:rPr>
        <w:t>.</w:t>
      </w:r>
      <w:r>
        <w:rPr>
          <w:lang w:val="fr-FR"/>
        </w:rPr>
        <w:t> </w:t>
      </w:r>
      <w:r w:rsidR="004306F2" w:rsidRPr="002E4295">
        <w:rPr>
          <w:lang w:val="fr-FR"/>
        </w:rPr>
        <w:t>Droit à indemnisation ou à un relogement approprié en cas d’expulsion</w:t>
      </w:r>
      <w:bookmarkEnd w:id="44"/>
    </w:p>
    <w:p w:rsidR="004306F2" w:rsidRPr="002E4295" w:rsidRDefault="00F17353" w:rsidP="00F17353">
      <w:pPr>
        <w:pStyle w:val="H1G"/>
        <w:rPr>
          <w:lang w:val="fr-FR"/>
        </w:rPr>
      </w:pPr>
      <w:bookmarkStart w:id="45" w:name="_Toc466897367"/>
      <w:r>
        <w:rPr>
          <w:lang w:val="fr-FR"/>
        </w:rPr>
        <w:tab/>
        <w:t>A.</w:t>
      </w:r>
      <w:r>
        <w:rPr>
          <w:lang w:val="fr-FR"/>
        </w:rPr>
        <w:tab/>
      </w:r>
      <w:r w:rsidR="004306F2" w:rsidRPr="002E4295">
        <w:rPr>
          <w:lang w:val="fr-FR"/>
        </w:rPr>
        <w:t>Le cadre juridique</w:t>
      </w:r>
      <w:bookmarkEnd w:id="45"/>
    </w:p>
    <w:p w:rsidR="004306F2" w:rsidRPr="002E4295" w:rsidRDefault="00270BF3" w:rsidP="00270BF3">
      <w:pPr>
        <w:pStyle w:val="SingleTxtG"/>
        <w:rPr>
          <w:lang w:val="fr-FR"/>
        </w:rPr>
      </w:pPr>
      <w:r w:rsidRPr="002E4295">
        <w:rPr>
          <w:lang w:val="fr-FR"/>
        </w:rPr>
        <w:t>103.</w:t>
      </w:r>
      <w:r w:rsidRPr="002E4295">
        <w:rPr>
          <w:lang w:val="fr-FR"/>
        </w:rPr>
        <w:tab/>
      </w:r>
      <w:r w:rsidR="004306F2" w:rsidRPr="002E4295">
        <w:rPr>
          <w:lang w:val="fr-FR"/>
        </w:rPr>
        <w:t xml:space="preserve">Le Décret </w:t>
      </w:r>
      <w:r w:rsidR="0082149D" w:rsidRPr="00D31C3D">
        <w:t>n</w:t>
      </w:r>
      <w:r w:rsidR="0082149D" w:rsidRPr="00D6478B">
        <w:rPr>
          <w:vertAlign w:val="superscript"/>
        </w:rPr>
        <w:t>o</w:t>
      </w:r>
      <w:r w:rsidR="0082149D">
        <w:t> </w:t>
      </w:r>
      <w:r w:rsidR="004306F2" w:rsidRPr="002E4295">
        <w:rPr>
          <w:lang w:val="fr-FR"/>
        </w:rPr>
        <w:t>2008/0738/PM du 23 avril 2008 portant organisation et modalités de l’aménagement foncier règlemente la restructuration et la rénovation urbaines. Il dispose en son article 6 qu’au cas où ces opérations sont initiées par l’</w:t>
      </w:r>
      <w:r w:rsidR="00FB5306">
        <w:rPr>
          <w:lang w:val="fr-FR"/>
        </w:rPr>
        <w:t>État</w:t>
      </w:r>
      <w:r w:rsidR="004306F2" w:rsidRPr="002E4295">
        <w:rPr>
          <w:lang w:val="fr-FR"/>
        </w:rPr>
        <w:t>, un Arrêté du Ministre chargé de l’Urbanisme définira, entre autres, les modalités d’exécution, de reconnaissance et d’indemnisation des propriétaires avec ou sans titre foncier, les modalités de création de la zone de recasement et d’attribution de parcelles dans ladite zone. Dans ce cas, la Déclaration d’Utilité Publique (DUP) des travaux d’études et de réalisation desdites opérations constitue la seconde étape relative aux modalités d’exécution.</w:t>
      </w:r>
    </w:p>
    <w:p w:rsidR="004306F2" w:rsidRPr="002E4295" w:rsidRDefault="00F17353" w:rsidP="00F17353">
      <w:pPr>
        <w:pStyle w:val="H1G"/>
        <w:rPr>
          <w:lang w:val="fr-FR"/>
        </w:rPr>
      </w:pPr>
      <w:bookmarkStart w:id="46" w:name="_Toc466897368"/>
      <w:r>
        <w:rPr>
          <w:lang w:val="fr-FR"/>
        </w:rPr>
        <w:tab/>
        <w:t>B.</w:t>
      </w:r>
      <w:r>
        <w:rPr>
          <w:lang w:val="fr-FR"/>
        </w:rPr>
        <w:tab/>
      </w:r>
      <w:r w:rsidR="004306F2" w:rsidRPr="002E4295">
        <w:rPr>
          <w:lang w:val="fr-FR"/>
        </w:rPr>
        <w:t>Sur les expropriations pour cause d’utilité publique et les voies de</w:t>
      </w:r>
      <w:r w:rsidR="0082149D">
        <w:rPr>
          <w:lang w:val="fr-FR"/>
        </w:rPr>
        <w:t> </w:t>
      </w:r>
      <w:r w:rsidR="004306F2" w:rsidRPr="002E4295">
        <w:rPr>
          <w:lang w:val="fr-FR"/>
        </w:rPr>
        <w:t>recours offertes aux populations</w:t>
      </w:r>
      <w:bookmarkEnd w:id="46"/>
    </w:p>
    <w:p w:rsidR="004306F2" w:rsidRPr="002E4295" w:rsidRDefault="00270BF3" w:rsidP="00270BF3">
      <w:pPr>
        <w:pStyle w:val="SingleTxtG"/>
        <w:rPr>
          <w:lang w:val="fr-FR" w:eastAsia="fr-FR"/>
        </w:rPr>
      </w:pPr>
      <w:r w:rsidRPr="002E4295">
        <w:rPr>
          <w:lang w:val="fr-FR" w:eastAsia="fr-FR"/>
        </w:rPr>
        <w:t>104.</w:t>
      </w:r>
      <w:r w:rsidRPr="002E4295">
        <w:rPr>
          <w:lang w:val="fr-FR" w:eastAsia="fr-FR"/>
        </w:rPr>
        <w:tab/>
      </w:r>
      <w:r w:rsidR="004306F2" w:rsidRPr="002E4295">
        <w:rPr>
          <w:lang w:val="fr-FR"/>
        </w:rPr>
        <w:t xml:space="preserve">La Loi </w:t>
      </w:r>
      <w:r w:rsidR="0082149D" w:rsidRPr="00D31C3D">
        <w:t>n</w:t>
      </w:r>
      <w:r w:rsidR="0082149D" w:rsidRPr="00D6478B">
        <w:rPr>
          <w:vertAlign w:val="superscript"/>
        </w:rPr>
        <w:t>o</w:t>
      </w:r>
      <w:r w:rsidR="0082149D">
        <w:t> </w:t>
      </w:r>
      <w:r w:rsidR="004306F2" w:rsidRPr="002E4295">
        <w:rPr>
          <w:lang w:val="fr-FR" w:eastAsia="fr-FR"/>
        </w:rPr>
        <w:t xml:space="preserve">85-09 du 4 juillet 1985 relative à l’expropriation pour cause d’utilité publique et aux </w:t>
      </w:r>
      <w:r w:rsidR="004306F2" w:rsidRPr="002E4295">
        <w:rPr>
          <w:lang w:val="fr-FR"/>
        </w:rPr>
        <w:t>modalités</w:t>
      </w:r>
      <w:r w:rsidR="004306F2" w:rsidRPr="002E4295">
        <w:rPr>
          <w:lang w:val="fr-FR" w:eastAsia="fr-FR"/>
        </w:rPr>
        <w:t xml:space="preserve"> d’indemnisation, ses textes d’application, notamment le Décret </w:t>
      </w:r>
      <w:r w:rsidR="0082149D" w:rsidRPr="00D31C3D">
        <w:t>n</w:t>
      </w:r>
      <w:r w:rsidR="0082149D" w:rsidRPr="00D6478B">
        <w:rPr>
          <w:vertAlign w:val="superscript"/>
        </w:rPr>
        <w:t>o</w:t>
      </w:r>
      <w:r w:rsidR="0082149D">
        <w:t> </w:t>
      </w:r>
      <w:r w:rsidR="004306F2" w:rsidRPr="002E4295">
        <w:rPr>
          <w:lang w:val="fr-FR" w:eastAsia="fr-FR"/>
        </w:rPr>
        <w:t xml:space="preserve">87/1872 du 16 décembre 1987 constituent le cadre juridique en vigueur, régissant le processus </w:t>
      </w:r>
      <w:r w:rsidR="004306F2" w:rsidRPr="002E4295">
        <w:rPr>
          <w:lang w:val="fr-FR"/>
        </w:rPr>
        <w:t>d’expropriation</w:t>
      </w:r>
      <w:r w:rsidR="004306F2" w:rsidRPr="002E4295">
        <w:rPr>
          <w:lang w:val="fr-FR" w:eastAsia="fr-FR"/>
        </w:rPr>
        <w:t xml:space="preserve"> et d’indemnisation des </w:t>
      </w:r>
      <w:r w:rsidR="004306F2" w:rsidRPr="002E4295">
        <w:rPr>
          <w:lang w:val="fr-FR"/>
        </w:rPr>
        <w:t>victimes</w:t>
      </w:r>
      <w:r w:rsidR="004306F2" w:rsidRPr="002E4295">
        <w:rPr>
          <w:lang w:val="fr-FR" w:eastAsia="fr-FR"/>
        </w:rPr>
        <w:t xml:space="preserve"> des Projets déclarés d’utilité publique. Ces dispositions offrent des garanties de crédibilité de l’action d’expropriation pour cause d’utilité publique avec la condition de la disponibilité des crédits d’indemnisation</w:t>
      </w:r>
      <w:r w:rsidR="004306F2" w:rsidRPr="00E153AE">
        <w:rPr>
          <w:rStyle w:val="Appelnotedebasdep"/>
        </w:rPr>
        <w:footnoteReference w:id="64"/>
      </w:r>
      <w:r w:rsidR="004306F2" w:rsidRPr="002E4295">
        <w:rPr>
          <w:lang w:val="fr-FR" w:eastAsia="fr-FR"/>
        </w:rPr>
        <w:t>, de transparence du processus et de participation des populations à cette action à travers leur implication dans la Commission de Constat et d’Evaluation</w:t>
      </w:r>
      <w:r w:rsidR="004306F2" w:rsidRPr="00E153AE">
        <w:rPr>
          <w:rStyle w:val="Appelnotedebasdep"/>
        </w:rPr>
        <w:footnoteReference w:id="65"/>
      </w:r>
      <w:r w:rsidR="004306F2" w:rsidRPr="002E4295">
        <w:rPr>
          <w:lang w:val="fr-FR" w:eastAsia="fr-FR"/>
        </w:rPr>
        <w:t>. Par ailleurs, ce Décret permet aux populations en cours d’expropriation de rentrer au préalable en négociation avec les promoteurs relevant des autres personnes morales de droit public</w:t>
      </w:r>
      <w:r w:rsidR="004306F2" w:rsidRPr="00E153AE">
        <w:rPr>
          <w:rStyle w:val="Appelnotedebasdep"/>
        </w:rPr>
        <w:footnoteReference w:id="66"/>
      </w:r>
      <w:r w:rsidR="004306F2" w:rsidRPr="002E4295">
        <w:rPr>
          <w:lang w:val="fr-FR" w:eastAsia="fr-FR"/>
        </w:rPr>
        <w:t>.</w:t>
      </w:r>
    </w:p>
    <w:p w:rsidR="004306F2" w:rsidRPr="002E4295" w:rsidRDefault="00270BF3" w:rsidP="00270BF3">
      <w:pPr>
        <w:pStyle w:val="SingleTxtG"/>
        <w:rPr>
          <w:lang w:val="fr-FR" w:eastAsia="fr-FR"/>
        </w:rPr>
      </w:pPr>
      <w:r w:rsidRPr="002E4295">
        <w:rPr>
          <w:lang w:val="fr-FR" w:eastAsia="fr-FR"/>
        </w:rPr>
        <w:t>105.</w:t>
      </w:r>
      <w:r w:rsidRPr="002E4295">
        <w:rPr>
          <w:lang w:val="fr-FR" w:eastAsia="fr-FR"/>
        </w:rPr>
        <w:tab/>
      </w:r>
      <w:r w:rsidR="004306F2" w:rsidRPr="002E4295">
        <w:rPr>
          <w:lang w:val="fr-FR" w:eastAsia="fr-FR"/>
        </w:rPr>
        <w:t>A la pratique, l’indemnité prend la forme soit d’un recasement</w:t>
      </w:r>
      <w:r w:rsidR="004306F2" w:rsidRPr="00E153AE">
        <w:rPr>
          <w:rStyle w:val="Appelnotedebasdep"/>
        </w:rPr>
        <w:footnoteReference w:id="67"/>
      </w:r>
      <w:r w:rsidR="004306F2" w:rsidRPr="002E4295">
        <w:rPr>
          <w:lang w:val="fr-FR" w:eastAsia="fr-FR"/>
        </w:rPr>
        <w:t>, soit d’un paiement en numéraires sur la base des résultats de l’expertise foncière menée par la Commission susvisée. Toute réclamation ou tout recours en matière d’indemnité d’expropriation sont adressés au Président de la Commission de Constat et d’Evaluation qui est selon le cas, le Préfet, le Gouverneur ou le Ministre des Domaines</w:t>
      </w:r>
      <w:r w:rsidR="004306F2" w:rsidRPr="00E153AE">
        <w:rPr>
          <w:rStyle w:val="Appelnotedebasdep"/>
        </w:rPr>
        <w:footnoteReference w:id="68"/>
      </w:r>
      <w:r w:rsidR="004306F2" w:rsidRPr="002E4295">
        <w:rPr>
          <w:lang w:val="fr-FR" w:eastAsia="fr-FR"/>
        </w:rPr>
        <w:t>. Si elles n’obtiennent pas satisfaction, elles peuvent saisir le Tribunal judiciaire compétent du lieu de situation de l’immeuble dans un délai d’un mois à compter de la date de notification de la décision contestée</w:t>
      </w:r>
      <w:r w:rsidR="004306F2" w:rsidRPr="00E153AE">
        <w:rPr>
          <w:rStyle w:val="Appelnotedebasdep"/>
        </w:rPr>
        <w:footnoteReference w:id="69"/>
      </w:r>
      <w:r w:rsidR="004306F2" w:rsidRPr="002E4295">
        <w:rPr>
          <w:lang w:val="fr-FR" w:eastAsia="fr-FR"/>
        </w:rPr>
        <w:t>.</w:t>
      </w:r>
    </w:p>
    <w:p w:rsidR="004306F2" w:rsidRPr="0082149D" w:rsidRDefault="00270BF3" w:rsidP="00270BF3">
      <w:pPr>
        <w:pStyle w:val="SingleTxtG"/>
        <w:rPr>
          <w:lang w:val="fr-FR"/>
        </w:rPr>
      </w:pPr>
      <w:r w:rsidRPr="0082149D">
        <w:rPr>
          <w:lang w:val="fr-FR"/>
        </w:rPr>
        <w:t>106.</w:t>
      </w:r>
      <w:r w:rsidRPr="0082149D">
        <w:rPr>
          <w:lang w:val="fr-FR"/>
        </w:rPr>
        <w:tab/>
      </w:r>
      <w:r w:rsidR="00A6291C">
        <w:rPr>
          <w:lang w:val="fr-FR" w:eastAsia="fr-FR"/>
        </w:rPr>
        <w:t>À</w:t>
      </w:r>
      <w:r w:rsidR="004306F2" w:rsidRPr="002E4295">
        <w:rPr>
          <w:lang w:val="fr-FR" w:eastAsia="fr-FR"/>
        </w:rPr>
        <w:t xml:space="preserve"> </w:t>
      </w:r>
      <w:r w:rsidR="004306F2" w:rsidRPr="00872837">
        <w:rPr>
          <w:lang w:val="fr-FR" w:eastAsia="fr-FR"/>
        </w:rPr>
        <w:t>titre</w:t>
      </w:r>
      <w:r w:rsidR="004306F2" w:rsidRPr="002E4295">
        <w:rPr>
          <w:lang w:val="fr-FR" w:eastAsia="fr-FR"/>
        </w:rPr>
        <w:t xml:space="preserve"> </w:t>
      </w:r>
      <w:r w:rsidR="004306F2" w:rsidRPr="00AD364B">
        <w:rPr>
          <w:lang w:val="fr-FR" w:eastAsia="fr-FR"/>
        </w:rPr>
        <w:t>d’illustration</w:t>
      </w:r>
      <w:r w:rsidR="004306F2" w:rsidRPr="002E4295">
        <w:rPr>
          <w:lang w:val="fr-FR" w:eastAsia="fr-FR"/>
        </w:rPr>
        <w:t xml:space="preserve">, dans le cadre du </w:t>
      </w:r>
      <w:r w:rsidR="004306F2" w:rsidRPr="002E4295">
        <w:rPr>
          <w:lang w:val="fr-FR"/>
        </w:rPr>
        <w:t>Projet autoroute Yaoundé-</w:t>
      </w:r>
      <w:proofErr w:type="spellStart"/>
      <w:r w:rsidR="004306F2" w:rsidRPr="002E4295">
        <w:rPr>
          <w:lang w:val="fr-FR"/>
        </w:rPr>
        <w:t>Nsimalen</w:t>
      </w:r>
      <w:proofErr w:type="spellEnd"/>
      <w:r w:rsidR="004306F2" w:rsidRPr="002E4295">
        <w:rPr>
          <w:lang w:val="fr-FR"/>
        </w:rPr>
        <w:t xml:space="preserve">, des sites de recasement des populations </w:t>
      </w:r>
      <w:r w:rsidR="004306F2" w:rsidRPr="002E4295">
        <w:rPr>
          <w:lang w:val="fr-FR" w:eastAsia="fr-FR"/>
        </w:rPr>
        <w:t>déguerpies</w:t>
      </w:r>
      <w:r w:rsidR="00F954C6">
        <w:rPr>
          <w:lang w:val="fr-FR"/>
        </w:rPr>
        <w:t xml:space="preserve"> ont été retenus </w:t>
      </w:r>
      <w:r w:rsidR="00A117A6">
        <w:rPr>
          <w:lang w:val="fr-FR"/>
        </w:rPr>
        <w:t>(voir a</w:t>
      </w:r>
      <w:r w:rsidR="004306F2" w:rsidRPr="0017665A">
        <w:rPr>
          <w:lang w:val="fr-FR"/>
        </w:rPr>
        <w:t xml:space="preserve">nnexe </w:t>
      </w:r>
      <w:r w:rsidR="0082149D" w:rsidRPr="00D31C3D">
        <w:t>n</w:t>
      </w:r>
      <w:r w:rsidR="0082149D" w:rsidRPr="00D6478B">
        <w:rPr>
          <w:vertAlign w:val="superscript"/>
        </w:rPr>
        <w:t>o</w:t>
      </w:r>
      <w:r w:rsidR="0082149D">
        <w:t> </w:t>
      </w:r>
      <w:r w:rsidR="004306F2" w:rsidRPr="0017665A">
        <w:rPr>
          <w:lang w:val="fr-FR"/>
        </w:rPr>
        <w:t>10).</w:t>
      </w:r>
    </w:p>
    <w:p w:rsidR="004306F2" w:rsidRPr="002E4295" w:rsidRDefault="00270BF3" w:rsidP="00270BF3">
      <w:pPr>
        <w:pStyle w:val="SingleTxtG"/>
        <w:rPr>
          <w:lang w:val="fr-FR"/>
        </w:rPr>
      </w:pPr>
      <w:r w:rsidRPr="002E4295">
        <w:rPr>
          <w:lang w:val="fr-FR"/>
        </w:rPr>
        <w:lastRenderedPageBreak/>
        <w:t>107.</w:t>
      </w:r>
      <w:r w:rsidRPr="002E4295">
        <w:rPr>
          <w:lang w:val="fr-FR"/>
        </w:rPr>
        <w:tab/>
      </w:r>
      <w:r w:rsidR="004306F2" w:rsidRPr="002E4295">
        <w:rPr>
          <w:lang w:val="fr-FR" w:eastAsia="fr-FR"/>
        </w:rPr>
        <w:t>En</w:t>
      </w:r>
      <w:r w:rsidR="004306F2" w:rsidRPr="002E4295">
        <w:rPr>
          <w:lang w:val="fr-FR"/>
        </w:rPr>
        <w:t xml:space="preserve"> </w:t>
      </w:r>
      <w:r w:rsidR="004306F2" w:rsidRPr="002E4295">
        <w:rPr>
          <w:lang w:val="fr-FR" w:eastAsia="fr-FR"/>
        </w:rPr>
        <w:t>2015, pour les 42 Projets déclarés d’utilité publique, la charge indemnitaire était</w:t>
      </w:r>
      <w:r w:rsidR="00447046" w:rsidRPr="002E4295">
        <w:rPr>
          <w:lang w:val="fr-FR" w:eastAsia="fr-FR"/>
        </w:rPr>
        <w:t xml:space="preserve"> </w:t>
      </w:r>
      <w:r w:rsidR="004306F2" w:rsidRPr="002E4295">
        <w:rPr>
          <w:lang w:val="fr-FR" w:eastAsia="fr-FR"/>
        </w:rPr>
        <w:t>estimée à 12 570 917 076</w:t>
      </w:r>
      <w:r w:rsidR="004A30EF">
        <w:rPr>
          <w:lang w:val="fr-FR" w:eastAsia="fr-FR"/>
        </w:rPr>
        <w:t xml:space="preserve"> </w:t>
      </w:r>
      <w:r w:rsidR="004306F2" w:rsidRPr="002E4295">
        <w:rPr>
          <w:lang w:val="fr-FR" w:eastAsia="fr-FR"/>
        </w:rPr>
        <w:t>FCFA</w:t>
      </w:r>
      <w:r w:rsidR="004306F2" w:rsidRPr="00E153AE">
        <w:rPr>
          <w:rStyle w:val="Appelnotedebasdep"/>
        </w:rPr>
        <w:footnoteReference w:id="70"/>
      </w:r>
      <w:r w:rsidR="004306F2" w:rsidRPr="002E4295">
        <w:rPr>
          <w:lang w:val="fr-FR" w:eastAsia="fr-FR"/>
        </w:rPr>
        <w:t xml:space="preserve"> dont 9 742 624 804 FCFA</w:t>
      </w:r>
      <w:r w:rsidR="004306F2" w:rsidRPr="00E153AE">
        <w:rPr>
          <w:rStyle w:val="Appelnotedebasdep"/>
        </w:rPr>
        <w:footnoteReference w:id="71"/>
      </w:r>
      <w:r w:rsidR="004306F2" w:rsidRPr="002E4295">
        <w:rPr>
          <w:lang w:val="fr-FR" w:eastAsia="fr-FR"/>
        </w:rPr>
        <w:t xml:space="preserve"> pour les Projets routiers, 233</w:t>
      </w:r>
      <w:r w:rsidR="00473504">
        <w:rPr>
          <w:lang w:val="fr-FR" w:eastAsia="fr-FR"/>
        </w:rPr>
        <w:t> </w:t>
      </w:r>
      <w:r w:rsidR="004306F2" w:rsidRPr="002E4295">
        <w:rPr>
          <w:lang w:val="fr-FR" w:eastAsia="fr-FR"/>
        </w:rPr>
        <w:t>453 409 FCFA</w:t>
      </w:r>
      <w:r w:rsidR="004306F2" w:rsidRPr="00E153AE">
        <w:rPr>
          <w:rStyle w:val="Appelnotedebasdep"/>
        </w:rPr>
        <w:footnoteReference w:id="72"/>
      </w:r>
      <w:r w:rsidR="004306F2" w:rsidRPr="002E4295">
        <w:rPr>
          <w:lang w:val="fr-FR" w:eastAsia="fr-FR"/>
        </w:rPr>
        <w:t xml:space="preserve"> pour les Réserves foncières, 8</w:t>
      </w:r>
      <w:r w:rsidR="0082149D">
        <w:rPr>
          <w:lang w:val="fr-FR" w:eastAsia="fr-FR"/>
        </w:rPr>
        <w:t> </w:t>
      </w:r>
      <w:r w:rsidR="004306F2" w:rsidRPr="002E4295">
        <w:rPr>
          <w:lang w:val="fr-FR" w:eastAsia="fr-FR"/>
        </w:rPr>
        <w:t>768 075 FCFA</w:t>
      </w:r>
      <w:r w:rsidR="004306F2" w:rsidRPr="00E153AE">
        <w:rPr>
          <w:rStyle w:val="Appelnotedebasdep"/>
        </w:rPr>
        <w:footnoteReference w:id="73"/>
      </w:r>
      <w:r w:rsidR="004306F2" w:rsidRPr="002E4295">
        <w:rPr>
          <w:lang w:val="fr-FR" w:eastAsia="fr-FR"/>
        </w:rPr>
        <w:t xml:space="preserve"> pour </w:t>
      </w:r>
      <w:r w:rsidR="004A30EF">
        <w:rPr>
          <w:lang w:val="fr-FR" w:eastAsia="fr-FR"/>
        </w:rPr>
        <w:t xml:space="preserve">le Plan d’Urgence Triennal, 478 </w:t>
      </w:r>
      <w:r w:rsidR="004306F2" w:rsidRPr="002E4295">
        <w:rPr>
          <w:lang w:val="fr-FR" w:eastAsia="fr-FR"/>
        </w:rPr>
        <w:t>804 860 FCFA</w:t>
      </w:r>
      <w:r w:rsidR="004306F2" w:rsidRPr="00E153AE">
        <w:rPr>
          <w:rStyle w:val="Appelnotedebasdep"/>
        </w:rPr>
        <w:footnoteReference w:id="74"/>
      </w:r>
      <w:r w:rsidR="004306F2" w:rsidRPr="002E4295">
        <w:rPr>
          <w:lang w:val="fr-FR" w:eastAsia="fr-FR"/>
        </w:rPr>
        <w:t xml:space="preserve"> pour les Projets d’électrification et 2 107 265 928 FCFA</w:t>
      </w:r>
      <w:r w:rsidR="004306F2" w:rsidRPr="00E153AE">
        <w:rPr>
          <w:rStyle w:val="Appelnotedebasdep"/>
        </w:rPr>
        <w:footnoteReference w:id="75"/>
      </w:r>
      <w:r w:rsidR="004A30EF">
        <w:rPr>
          <w:lang w:val="fr-FR" w:eastAsia="fr-FR"/>
        </w:rPr>
        <w:t xml:space="preserve">, </w:t>
      </w:r>
      <w:r w:rsidR="00447046" w:rsidRPr="002E4295">
        <w:rPr>
          <w:lang w:val="fr-FR" w:eastAsia="fr-FR"/>
        </w:rPr>
        <w:t>consacrée à divers autres projets a</w:t>
      </w:r>
      <w:r w:rsidR="004306F2" w:rsidRPr="002E4295">
        <w:rPr>
          <w:lang w:val="fr-FR" w:eastAsia="fr-FR"/>
        </w:rPr>
        <w:t>u cours de la même année, la somme cumulée de 137 021 035 FCFA</w:t>
      </w:r>
      <w:r w:rsidR="004306F2" w:rsidRPr="00E153AE">
        <w:rPr>
          <w:rStyle w:val="Appelnotedebasdep"/>
        </w:rPr>
        <w:footnoteReference w:id="76"/>
      </w:r>
      <w:r w:rsidR="004306F2" w:rsidRPr="002E4295">
        <w:rPr>
          <w:lang w:val="fr-FR" w:eastAsia="fr-FR"/>
        </w:rPr>
        <w:t xml:space="preserve"> a été versée par la Communauté Urbaine</w:t>
      </w:r>
      <w:r w:rsidR="004306F2" w:rsidRPr="002E4295">
        <w:rPr>
          <w:lang w:val="fr-FR"/>
        </w:rPr>
        <w:t xml:space="preserve"> de Yaoundé à 31</w:t>
      </w:r>
      <w:r w:rsidR="004A30EF">
        <w:rPr>
          <w:lang w:val="fr-FR"/>
        </w:rPr>
        <w:t xml:space="preserve"> </w:t>
      </w:r>
      <w:r w:rsidR="004306F2" w:rsidRPr="002E4295">
        <w:rPr>
          <w:lang w:val="fr-FR"/>
        </w:rPr>
        <w:t>habitants victimes d’expropriation.</w:t>
      </w:r>
    </w:p>
    <w:p w:rsidR="004306F2" w:rsidRPr="0017665A" w:rsidRDefault="00473504" w:rsidP="0017665A">
      <w:pPr>
        <w:pStyle w:val="HChG"/>
      </w:pPr>
      <w:bookmarkStart w:id="47" w:name="_Toc466897369"/>
      <w:r>
        <w:rPr>
          <w:lang w:val="fr-FR"/>
        </w:rPr>
        <w:tab/>
        <w:t>XX.</w:t>
      </w:r>
      <w:r>
        <w:rPr>
          <w:lang w:val="fr-FR"/>
        </w:rPr>
        <w:tab/>
      </w:r>
      <w:r w:rsidR="004306F2" w:rsidRPr="002E4295">
        <w:rPr>
          <w:lang w:val="fr-FR"/>
        </w:rPr>
        <w:t>R</w:t>
      </w:r>
      <w:r w:rsidR="00447046" w:rsidRPr="002E4295">
        <w:rPr>
          <w:lang w:val="fr-FR"/>
        </w:rPr>
        <w:t>ec.</w:t>
      </w:r>
      <w:r>
        <w:rPr>
          <w:lang w:val="fr-FR"/>
        </w:rPr>
        <w:t> </w:t>
      </w:r>
      <w:r w:rsidR="004306F2" w:rsidRPr="002E4295">
        <w:rPr>
          <w:lang w:val="fr-FR"/>
        </w:rPr>
        <w:t>25</w:t>
      </w:r>
      <w:r>
        <w:rPr>
          <w:lang w:val="fr-FR"/>
        </w:rPr>
        <w:t>. </w:t>
      </w:r>
      <w:r w:rsidR="004306F2" w:rsidRPr="002E4295">
        <w:rPr>
          <w:lang w:val="fr-FR"/>
        </w:rPr>
        <w:t>Refonte du régime foncier et droit aux terres ancestrales et communautaires par les populations autochtones</w:t>
      </w:r>
      <w:bookmarkEnd w:id="47"/>
    </w:p>
    <w:p w:rsidR="004306F2" w:rsidRPr="002E4295" w:rsidRDefault="00270BF3" w:rsidP="00270BF3">
      <w:pPr>
        <w:pStyle w:val="SingleTxtG"/>
        <w:rPr>
          <w:lang w:val="fr-FR"/>
        </w:rPr>
      </w:pPr>
      <w:r w:rsidRPr="002E4295">
        <w:rPr>
          <w:lang w:val="fr-FR"/>
        </w:rPr>
        <w:t>108.</w:t>
      </w:r>
      <w:r w:rsidRPr="002E4295">
        <w:rPr>
          <w:lang w:val="fr-FR"/>
        </w:rPr>
        <w:tab/>
      </w:r>
      <w:r w:rsidR="004306F2" w:rsidRPr="002E4295">
        <w:rPr>
          <w:lang w:val="fr-FR"/>
        </w:rPr>
        <w:t xml:space="preserve">La réforme du Régime foncier et domanial est en cours. Ce processus connaît </w:t>
      </w:r>
      <w:r w:rsidR="004306F2" w:rsidRPr="002E4295">
        <w:rPr>
          <w:lang w:val="fr-FR" w:eastAsia="fr-FR"/>
        </w:rPr>
        <w:t>une</w:t>
      </w:r>
      <w:r w:rsidR="004306F2" w:rsidRPr="002E4295">
        <w:rPr>
          <w:lang w:val="fr-FR"/>
        </w:rPr>
        <w:t xml:space="preserve"> large </w:t>
      </w:r>
      <w:r w:rsidR="004306F2" w:rsidRPr="002E4295">
        <w:rPr>
          <w:lang w:val="fr-FR" w:eastAsia="fr-FR"/>
        </w:rPr>
        <w:t>implication</w:t>
      </w:r>
      <w:r w:rsidR="004306F2" w:rsidRPr="002E4295">
        <w:rPr>
          <w:lang w:val="fr-FR"/>
        </w:rPr>
        <w:t xml:space="preserve"> des populations, des </w:t>
      </w:r>
      <w:r w:rsidR="004306F2" w:rsidRPr="002E4295">
        <w:rPr>
          <w:lang w:val="fr-FR" w:eastAsia="fr-FR"/>
        </w:rPr>
        <w:t>représentants</w:t>
      </w:r>
      <w:r w:rsidR="004306F2" w:rsidRPr="002E4295">
        <w:rPr>
          <w:lang w:val="fr-FR"/>
        </w:rPr>
        <w:t xml:space="preserve"> des collectivités traditionnelles ou coutumières et de la société civile aussi bien dans le cadre des consultations sectorielles que lors des audiences structurées accordées notamment aux représentants des populations autochtones.</w:t>
      </w:r>
    </w:p>
    <w:p w:rsidR="004306F2" w:rsidRPr="002E4295" w:rsidRDefault="00270BF3" w:rsidP="00270BF3">
      <w:pPr>
        <w:pStyle w:val="SingleTxtG"/>
        <w:rPr>
          <w:lang w:val="fr-FR"/>
        </w:rPr>
      </w:pPr>
      <w:r w:rsidRPr="002E4295">
        <w:rPr>
          <w:lang w:val="fr-FR"/>
        </w:rPr>
        <w:t>109.</w:t>
      </w:r>
      <w:r w:rsidRPr="002E4295">
        <w:rPr>
          <w:lang w:val="fr-FR"/>
        </w:rPr>
        <w:tab/>
      </w:r>
      <w:r w:rsidR="004306F2" w:rsidRPr="002E4295">
        <w:rPr>
          <w:lang w:val="fr-FR"/>
        </w:rPr>
        <w:t xml:space="preserve">Le </w:t>
      </w:r>
      <w:r w:rsidR="004306F2" w:rsidRPr="00872837">
        <w:rPr>
          <w:lang w:val="fr-FR" w:eastAsia="fr-FR"/>
        </w:rPr>
        <w:t>régime</w:t>
      </w:r>
      <w:r w:rsidR="004306F2" w:rsidRPr="002E4295">
        <w:rPr>
          <w:lang w:val="fr-FR"/>
        </w:rPr>
        <w:t xml:space="preserve"> foncier au Cameroun consacre le principe de l’égalité dans l’accès à la terre, sans aucune discrimination.</w:t>
      </w:r>
      <w:r w:rsidR="006A57AD">
        <w:rPr>
          <w:lang w:val="fr-FR"/>
        </w:rPr>
        <w:t xml:space="preserve"> </w:t>
      </w:r>
      <w:r w:rsidR="004306F2" w:rsidRPr="002E4295">
        <w:rPr>
          <w:lang w:val="fr-FR"/>
        </w:rPr>
        <w:t xml:space="preserve">S’il existe une quelconque difficulté </w:t>
      </w:r>
      <w:r w:rsidR="004306F2" w:rsidRPr="002E4295">
        <w:rPr>
          <w:lang w:val="fr-FR" w:eastAsia="fr-FR"/>
        </w:rPr>
        <w:t>d’accès</w:t>
      </w:r>
      <w:r w:rsidR="004306F2" w:rsidRPr="002E4295">
        <w:rPr>
          <w:lang w:val="fr-FR"/>
        </w:rPr>
        <w:t xml:space="preserve"> à la </w:t>
      </w:r>
      <w:r w:rsidR="004306F2" w:rsidRPr="002E4295">
        <w:rPr>
          <w:lang w:val="fr-FR" w:eastAsia="fr-FR"/>
        </w:rPr>
        <w:t>propriété</w:t>
      </w:r>
      <w:r w:rsidR="004306F2" w:rsidRPr="002E4295">
        <w:rPr>
          <w:lang w:val="fr-FR"/>
        </w:rPr>
        <w:t xml:space="preserve"> foncière pour les femmes, celle-ci ne peut être due qu’aux pratiques culturelles et coutumes néfastes, que le Gouvernement combat pour garantir l’égale jouissance des droits économiques, sociaux et culturels. </w:t>
      </w:r>
      <w:r w:rsidR="00385CA6">
        <w:rPr>
          <w:lang w:val="fr-FR"/>
        </w:rPr>
        <w:t>À</w:t>
      </w:r>
      <w:r w:rsidR="004306F2" w:rsidRPr="002E4295">
        <w:rPr>
          <w:lang w:val="fr-FR"/>
        </w:rPr>
        <w:t xml:space="preserve"> ce titre, les données statistiques recueillies au cours de la période sous examen révèlent un </w:t>
      </w:r>
      <w:r w:rsidR="00447046" w:rsidRPr="002E4295">
        <w:rPr>
          <w:lang w:val="fr-FR"/>
        </w:rPr>
        <w:t>net accroissement</w:t>
      </w:r>
      <w:r w:rsidR="004306F2" w:rsidRPr="002E4295">
        <w:rPr>
          <w:lang w:val="fr-FR"/>
        </w:rPr>
        <w:t xml:space="preserve"> du nombre de femmes ayant joui du droit d’accéder à la propriété foncière de 2005 (869 titres fonciers) à 2014 (2</w:t>
      </w:r>
      <w:r w:rsidR="0082149D">
        <w:rPr>
          <w:lang w:val="fr-FR"/>
        </w:rPr>
        <w:t> </w:t>
      </w:r>
      <w:r w:rsidR="004306F2" w:rsidRPr="002E4295">
        <w:rPr>
          <w:lang w:val="fr-FR"/>
        </w:rPr>
        <w:t>306 titres fonciers).</w:t>
      </w:r>
    </w:p>
    <w:p w:rsidR="004306F2" w:rsidRDefault="00270BF3" w:rsidP="00270BF3">
      <w:pPr>
        <w:pStyle w:val="SingleTxtG"/>
        <w:rPr>
          <w:lang w:val="fr-FR"/>
        </w:rPr>
      </w:pPr>
      <w:r>
        <w:rPr>
          <w:lang w:val="fr-FR"/>
        </w:rPr>
        <w:t>110.</w:t>
      </w:r>
      <w:r>
        <w:rPr>
          <w:lang w:val="fr-FR"/>
        </w:rPr>
        <w:tab/>
      </w:r>
      <w:r w:rsidR="004306F2" w:rsidRPr="002E4295">
        <w:rPr>
          <w:lang w:val="fr-FR"/>
        </w:rPr>
        <w:t xml:space="preserve">Pour </w:t>
      </w:r>
      <w:r w:rsidR="004306F2" w:rsidRPr="002E4295">
        <w:rPr>
          <w:lang w:val="fr-FR" w:eastAsia="fr-FR"/>
        </w:rPr>
        <w:t>l’année</w:t>
      </w:r>
      <w:r w:rsidR="004306F2" w:rsidRPr="002E4295">
        <w:rPr>
          <w:lang w:val="fr-FR"/>
        </w:rPr>
        <w:t xml:space="preserve"> 2015, sur 9</w:t>
      </w:r>
      <w:r w:rsidR="0082149D">
        <w:rPr>
          <w:lang w:val="fr-FR"/>
        </w:rPr>
        <w:t> </w:t>
      </w:r>
      <w:r w:rsidR="004306F2" w:rsidRPr="002E4295">
        <w:rPr>
          <w:lang w:val="fr-FR"/>
        </w:rPr>
        <w:t xml:space="preserve">872 titres fonciers délivrés sur </w:t>
      </w:r>
      <w:r w:rsidR="004306F2" w:rsidRPr="002E4295">
        <w:rPr>
          <w:lang w:val="fr-FR" w:eastAsia="fr-FR"/>
        </w:rPr>
        <w:t>l’ensemble</w:t>
      </w:r>
      <w:r w:rsidR="004306F2" w:rsidRPr="002E4295">
        <w:rPr>
          <w:lang w:val="fr-FR"/>
        </w:rPr>
        <w:t xml:space="preserve"> du territoire </w:t>
      </w:r>
      <w:r w:rsidR="004306F2" w:rsidRPr="00224C97">
        <w:rPr>
          <w:rFonts w:ascii="New roman" w:hAnsi="New roman"/>
          <w:lang w:val="fr-FR" w:eastAsia="fr-FR"/>
        </w:rPr>
        <w:t>national</w:t>
      </w:r>
      <w:r w:rsidR="004306F2" w:rsidRPr="002E4295">
        <w:rPr>
          <w:lang w:val="fr-FR"/>
        </w:rPr>
        <w:t>, toutes procédures confondues, 4</w:t>
      </w:r>
      <w:r w:rsidR="0082149D">
        <w:rPr>
          <w:lang w:val="fr-FR"/>
        </w:rPr>
        <w:t> </w:t>
      </w:r>
      <w:r w:rsidR="004306F2" w:rsidRPr="002E4295">
        <w:rPr>
          <w:lang w:val="fr-FR"/>
        </w:rPr>
        <w:t>783 titres de propriété ont été établis en faveur des femmes, 3</w:t>
      </w:r>
      <w:r w:rsidR="0082149D">
        <w:rPr>
          <w:lang w:val="fr-FR"/>
        </w:rPr>
        <w:t> </w:t>
      </w:r>
      <w:r w:rsidR="004306F2" w:rsidRPr="002E4295">
        <w:rPr>
          <w:lang w:val="fr-FR"/>
        </w:rPr>
        <w:t>929 en faveur des hommes et 1</w:t>
      </w:r>
      <w:r w:rsidR="0082149D">
        <w:rPr>
          <w:lang w:val="fr-FR"/>
        </w:rPr>
        <w:t> </w:t>
      </w:r>
      <w:r w:rsidR="004306F2" w:rsidRPr="002E4295">
        <w:rPr>
          <w:lang w:val="fr-FR"/>
        </w:rPr>
        <w:t>160 en faveur des collectivités.</w:t>
      </w:r>
    </w:p>
    <w:p w:rsidR="00224C97" w:rsidRPr="0017665A" w:rsidRDefault="00FC1534" w:rsidP="0017665A">
      <w:pPr>
        <w:pStyle w:val="HChG"/>
      </w:pPr>
      <w:bookmarkStart w:id="48" w:name="_Toc466897370"/>
      <w:r>
        <w:rPr>
          <w:lang w:val="fr-FR"/>
        </w:rPr>
        <w:tab/>
        <w:t>XXI.</w:t>
      </w:r>
      <w:r>
        <w:rPr>
          <w:lang w:val="fr-FR"/>
        </w:rPr>
        <w:tab/>
      </w:r>
      <w:r w:rsidR="00224C97" w:rsidRPr="002E4295">
        <w:rPr>
          <w:lang w:val="fr-FR"/>
        </w:rPr>
        <w:t>Rec.</w:t>
      </w:r>
      <w:r>
        <w:rPr>
          <w:lang w:val="fr-FR"/>
        </w:rPr>
        <w:t> </w:t>
      </w:r>
      <w:r w:rsidR="00224C97" w:rsidRPr="002E4295">
        <w:rPr>
          <w:lang w:val="fr-FR"/>
        </w:rPr>
        <w:t>26</w:t>
      </w:r>
      <w:r w:rsidR="002D4557">
        <w:rPr>
          <w:lang w:val="fr-FR"/>
        </w:rPr>
        <w:t>.</w:t>
      </w:r>
      <w:r>
        <w:rPr>
          <w:lang w:val="fr-FR"/>
        </w:rPr>
        <w:t> </w:t>
      </w:r>
      <w:r w:rsidR="00224C97" w:rsidRPr="002E4295">
        <w:rPr>
          <w:lang w:val="fr-FR"/>
        </w:rPr>
        <w:t>Droit à l’eau potable, particulièrement dans les zones rurales</w:t>
      </w:r>
      <w:bookmarkEnd w:id="48"/>
    </w:p>
    <w:p w:rsidR="004306F2" w:rsidRPr="002E4295" w:rsidRDefault="00F17353" w:rsidP="00F17353">
      <w:pPr>
        <w:pStyle w:val="H1G"/>
        <w:rPr>
          <w:lang w:val="fr-FR"/>
        </w:rPr>
      </w:pPr>
      <w:bookmarkStart w:id="49" w:name="_Toc466897371"/>
      <w:r>
        <w:rPr>
          <w:lang w:val="fr-FR"/>
        </w:rPr>
        <w:tab/>
        <w:t>A.</w:t>
      </w:r>
      <w:r>
        <w:rPr>
          <w:lang w:val="fr-FR"/>
        </w:rPr>
        <w:tab/>
      </w:r>
      <w:r w:rsidR="004306F2" w:rsidRPr="002E4295">
        <w:rPr>
          <w:lang w:val="fr-FR"/>
        </w:rPr>
        <w:t>Sur l’accès à l’eau potable</w:t>
      </w:r>
      <w:bookmarkEnd w:id="49"/>
    </w:p>
    <w:p w:rsidR="004306F2" w:rsidRPr="002E4295" w:rsidRDefault="00270BF3" w:rsidP="00270BF3">
      <w:pPr>
        <w:pStyle w:val="SingleTxtG"/>
        <w:rPr>
          <w:lang w:val="fr-FR"/>
        </w:rPr>
      </w:pPr>
      <w:r w:rsidRPr="002E4295">
        <w:rPr>
          <w:lang w:val="fr-FR"/>
        </w:rPr>
        <w:t>111.</w:t>
      </w:r>
      <w:r w:rsidRPr="002E4295">
        <w:rPr>
          <w:lang w:val="fr-FR"/>
        </w:rPr>
        <w:tab/>
      </w:r>
      <w:r w:rsidR="004306F2" w:rsidRPr="002E4295">
        <w:rPr>
          <w:lang w:val="fr-FR"/>
        </w:rPr>
        <w:t xml:space="preserve">Pour </w:t>
      </w:r>
      <w:r w:rsidR="004306F2" w:rsidRPr="002E4295">
        <w:rPr>
          <w:lang w:val="fr-FR" w:eastAsia="fr-FR"/>
        </w:rPr>
        <w:t>améliorer</w:t>
      </w:r>
      <w:r w:rsidR="004306F2" w:rsidRPr="002E4295">
        <w:rPr>
          <w:lang w:val="fr-FR"/>
        </w:rPr>
        <w:t xml:space="preserve"> l’accès des populations à l’eau potable, le Gouvernement a développé avec l’appui des partenaires, </w:t>
      </w:r>
      <w:r w:rsidR="004306F2" w:rsidRPr="002E4295">
        <w:rPr>
          <w:lang w:val="fr-FR" w:eastAsia="fr-FR"/>
        </w:rPr>
        <w:t>divers</w:t>
      </w:r>
      <w:r w:rsidR="004306F2" w:rsidRPr="002E4295">
        <w:rPr>
          <w:lang w:val="fr-FR"/>
        </w:rPr>
        <w:t xml:space="preserve"> Projets (</w:t>
      </w:r>
      <w:r w:rsidR="00A117A6">
        <w:rPr>
          <w:lang w:val="fr-FR"/>
        </w:rPr>
        <w:t>v</w:t>
      </w:r>
      <w:r w:rsidR="004306F2" w:rsidRPr="0017665A">
        <w:rPr>
          <w:lang w:val="fr-FR"/>
        </w:rPr>
        <w:t xml:space="preserve">oir la liste des projets et leur coût en annexe </w:t>
      </w:r>
      <w:r w:rsidR="0082149D" w:rsidRPr="00D31C3D">
        <w:t>n</w:t>
      </w:r>
      <w:r w:rsidR="0082149D" w:rsidRPr="00D6478B">
        <w:rPr>
          <w:vertAlign w:val="superscript"/>
        </w:rPr>
        <w:t>o</w:t>
      </w:r>
      <w:r w:rsidR="0082149D">
        <w:t> </w:t>
      </w:r>
      <w:r w:rsidR="004306F2" w:rsidRPr="0017665A">
        <w:rPr>
          <w:lang w:val="fr-FR"/>
        </w:rPr>
        <w:t>11</w:t>
      </w:r>
      <w:r w:rsidR="004306F2" w:rsidRPr="002E4295">
        <w:rPr>
          <w:lang w:val="fr-FR"/>
        </w:rPr>
        <w:t>) destinés à favoriser l’accès à l’eau potable des populations, y compris en zone rurale.</w:t>
      </w:r>
    </w:p>
    <w:p w:rsidR="004306F2" w:rsidRPr="002E4295" w:rsidRDefault="00270BF3" w:rsidP="00270BF3">
      <w:pPr>
        <w:pStyle w:val="SingleTxtG"/>
        <w:rPr>
          <w:lang w:val="fr-FR"/>
        </w:rPr>
      </w:pPr>
      <w:r w:rsidRPr="002E4295">
        <w:rPr>
          <w:lang w:val="fr-FR"/>
        </w:rPr>
        <w:t>112.</w:t>
      </w:r>
      <w:r w:rsidRPr="002E4295">
        <w:rPr>
          <w:lang w:val="fr-FR"/>
        </w:rPr>
        <w:tab/>
      </w:r>
      <w:r w:rsidR="004306F2" w:rsidRPr="002E4295">
        <w:rPr>
          <w:lang w:val="fr-FR"/>
        </w:rPr>
        <w:t xml:space="preserve">Au </w:t>
      </w:r>
      <w:r w:rsidR="004306F2" w:rsidRPr="00872837">
        <w:rPr>
          <w:lang w:val="fr-FR" w:eastAsia="fr-FR"/>
        </w:rPr>
        <w:t>cours</w:t>
      </w:r>
      <w:r w:rsidR="00F954C6">
        <w:rPr>
          <w:lang w:val="fr-FR"/>
        </w:rPr>
        <w:t xml:space="preserve"> de la période sous examen, </w:t>
      </w:r>
      <w:r w:rsidR="004306F2" w:rsidRPr="002E4295">
        <w:rPr>
          <w:lang w:val="fr-FR"/>
        </w:rPr>
        <w:t>l’</w:t>
      </w:r>
      <w:r w:rsidR="00FB5306">
        <w:rPr>
          <w:lang w:val="fr-FR"/>
        </w:rPr>
        <w:t>État</w:t>
      </w:r>
      <w:r w:rsidR="004306F2" w:rsidRPr="002E4295">
        <w:rPr>
          <w:lang w:val="fr-FR"/>
        </w:rPr>
        <w:t xml:space="preserve"> et la </w:t>
      </w:r>
      <w:proofErr w:type="spellStart"/>
      <w:r w:rsidR="004306F2" w:rsidRPr="00D251C2">
        <w:rPr>
          <w:lang w:val="fr-FR"/>
        </w:rPr>
        <w:t>Cameroon</w:t>
      </w:r>
      <w:proofErr w:type="spellEnd"/>
      <w:r w:rsidR="004306F2" w:rsidRPr="00D251C2">
        <w:rPr>
          <w:lang w:val="fr-FR"/>
        </w:rPr>
        <w:t xml:space="preserve"> </w:t>
      </w:r>
      <w:proofErr w:type="spellStart"/>
      <w:r w:rsidR="004306F2" w:rsidRPr="00D251C2">
        <w:rPr>
          <w:lang w:val="fr-FR"/>
        </w:rPr>
        <w:t>Water</w:t>
      </w:r>
      <w:proofErr w:type="spellEnd"/>
      <w:r w:rsidR="004306F2" w:rsidRPr="00D251C2">
        <w:rPr>
          <w:lang w:val="fr-FR"/>
        </w:rPr>
        <w:t xml:space="preserve"> Utilities</w:t>
      </w:r>
      <w:r w:rsidR="004306F2" w:rsidRPr="002E4295">
        <w:rPr>
          <w:i/>
          <w:lang w:val="fr-FR"/>
        </w:rPr>
        <w:t xml:space="preserve"> </w:t>
      </w:r>
      <w:r w:rsidR="004306F2" w:rsidRPr="002E4295">
        <w:rPr>
          <w:lang w:val="fr-FR"/>
        </w:rPr>
        <w:t>(CAMWATER)</w:t>
      </w:r>
      <w:r w:rsidR="004306F2" w:rsidRPr="00E153AE">
        <w:rPr>
          <w:rStyle w:val="Appelnotedebasdep"/>
        </w:rPr>
        <w:footnoteReference w:id="77"/>
      </w:r>
      <w:r w:rsidR="004306F2" w:rsidRPr="002E4295">
        <w:rPr>
          <w:lang w:val="fr-FR"/>
        </w:rPr>
        <w:t xml:space="preserve"> avec l’appui de leurs partenaires</w:t>
      </w:r>
      <w:r w:rsidR="004306F2" w:rsidRPr="00E153AE">
        <w:rPr>
          <w:rStyle w:val="Appelnotedebasdep"/>
        </w:rPr>
        <w:footnoteReference w:id="78"/>
      </w:r>
      <w:r w:rsidR="004306F2" w:rsidRPr="002E4295">
        <w:rPr>
          <w:lang w:val="fr-FR"/>
        </w:rPr>
        <w:t xml:space="preserve"> ont mobilisé la somme cumulée de 65 868 339 263 FCFA</w:t>
      </w:r>
      <w:r w:rsidR="004306F2" w:rsidRPr="00E153AE">
        <w:rPr>
          <w:rStyle w:val="Appelnotedebasdep"/>
        </w:rPr>
        <w:footnoteReference w:id="79"/>
      </w:r>
      <w:r w:rsidR="004306F2" w:rsidRPr="002E4295">
        <w:rPr>
          <w:lang w:val="fr-FR"/>
        </w:rPr>
        <w:t xml:space="preserve"> pour la mise en œuvre des divers projets d’adduction en eau. Ainsi </w:t>
      </w:r>
      <w:r w:rsidR="004306F2" w:rsidRPr="002E4295">
        <w:rPr>
          <w:lang w:val="fr-FR"/>
        </w:rPr>
        <w:lastRenderedPageBreak/>
        <w:t xml:space="preserve">par exemple, de 2008 à 2015, le Projet de Développement des Secteurs Urbains et de l’Approvisionnement en Eau (PDUE) a permis d’avoir 50 000 nouveaux branchements sociaux, 341,9 </w:t>
      </w:r>
      <w:proofErr w:type="spellStart"/>
      <w:r w:rsidR="004306F2" w:rsidRPr="002E4295">
        <w:rPr>
          <w:lang w:val="fr-FR"/>
        </w:rPr>
        <w:t>kml</w:t>
      </w:r>
      <w:proofErr w:type="spellEnd"/>
      <w:r w:rsidR="004306F2" w:rsidRPr="002E4295">
        <w:rPr>
          <w:lang w:val="fr-FR"/>
        </w:rPr>
        <w:t xml:space="preserve"> supplémentaires du réseau de distribution, la réhabilitation des installations de stockage à Douala d’une capacité de 24 000m</w:t>
      </w:r>
      <w:r w:rsidR="004306F2" w:rsidRPr="002E4295">
        <w:rPr>
          <w:vertAlign w:val="superscript"/>
          <w:lang w:val="fr-FR"/>
        </w:rPr>
        <w:t>3</w:t>
      </w:r>
      <w:r w:rsidR="004306F2" w:rsidRPr="002E4295">
        <w:rPr>
          <w:lang w:val="fr-FR"/>
        </w:rPr>
        <w:t>, l’augmentation de la capacité de production opérationnelle à Douala et Yaoundé à 200 000m</w:t>
      </w:r>
      <w:r w:rsidR="004306F2" w:rsidRPr="002E4295">
        <w:rPr>
          <w:vertAlign w:val="superscript"/>
          <w:lang w:val="fr-FR"/>
        </w:rPr>
        <w:t>3</w:t>
      </w:r>
      <w:r w:rsidR="004306F2" w:rsidRPr="002E4295">
        <w:rPr>
          <w:lang w:val="fr-FR"/>
        </w:rPr>
        <w:t>.</w:t>
      </w:r>
    </w:p>
    <w:p w:rsidR="004306F2" w:rsidRPr="002E4295" w:rsidRDefault="00270BF3" w:rsidP="00270BF3">
      <w:pPr>
        <w:pStyle w:val="SingleTxtG"/>
        <w:rPr>
          <w:lang w:val="fr-FR"/>
        </w:rPr>
      </w:pPr>
      <w:r w:rsidRPr="002E4295">
        <w:rPr>
          <w:lang w:val="fr-FR"/>
        </w:rPr>
        <w:t>113.</w:t>
      </w:r>
      <w:r w:rsidRPr="002E4295">
        <w:rPr>
          <w:lang w:val="fr-FR"/>
        </w:rPr>
        <w:tab/>
      </w:r>
      <w:r w:rsidR="004306F2" w:rsidRPr="002E4295">
        <w:rPr>
          <w:lang w:val="fr-FR"/>
        </w:rPr>
        <w:t xml:space="preserve">Par </w:t>
      </w:r>
      <w:r w:rsidR="004306F2" w:rsidRPr="002E4295">
        <w:rPr>
          <w:lang w:val="fr-FR" w:eastAsia="fr-FR"/>
        </w:rPr>
        <w:t>ailleurs</w:t>
      </w:r>
      <w:r w:rsidR="004306F2" w:rsidRPr="002E4295">
        <w:rPr>
          <w:lang w:val="fr-FR"/>
        </w:rPr>
        <w:t>, un Accord de don pour le financement de la 5</w:t>
      </w:r>
      <w:r w:rsidR="004306F2" w:rsidRPr="002E4295">
        <w:rPr>
          <w:vertAlign w:val="superscript"/>
          <w:lang w:val="fr-FR"/>
        </w:rPr>
        <w:t>ème</w:t>
      </w:r>
      <w:r w:rsidR="004306F2" w:rsidRPr="002E4295">
        <w:rPr>
          <w:lang w:val="fr-FR"/>
        </w:rPr>
        <w:t xml:space="preserve"> phase du Projet </w:t>
      </w:r>
      <w:r w:rsidR="004306F2" w:rsidRPr="00224C97">
        <w:rPr>
          <w:rFonts w:ascii="New roman" w:hAnsi="New roman"/>
          <w:lang w:val="fr-FR" w:eastAsia="fr-FR"/>
        </w:rPr>
        <w:t>hydraulique</w:t>
      </w:r>
      <w:r w:rsidR="004306F2" w:rsidRPr="002E4295">
        <w:rPr>
          <w:lang w:val="fr-FR"/>
        </w:rPr>
        <w:t xml:space="preserve"> rurale (2012-2016) signé entre le Cameroun et le Japon a permis de mettre à la disposition de près de 400</w:t>
      </w:r>
      <w:r w:rsidR="0082149D">
        <w:rPr>
          <w:lang w:val="fr-FR"/>
        </w:rPr>
        <w:t> </w:t>
      </w:r>
      <w:r w:rsidR="004306F2" w:rsidRPr="002E4295">
        <w:rPr>
          <w:lang w:val="fr-FR"/>
        </w:rPr>
        <w:t>000 personnes vivant en milieu rural dans les Régions de l’Extrême-Nord et du Nord, 700 forages et 10 adductions d’eau potable.</w:t>
      </w:r>
      <w:r w:rsidR="00F74094">
        <w:rPr>
          <w:lang w:val="fr-FR"/>
        </w:rPr>
        <w:t xml:space="preserve"> </w:t>
      </w:r>
      <w:r w:rsidR="004306F2" w:rsidRPr="002E4295">
        <w:rPr>
          <w:lang w:val="fr-FR"/>
        </w:rPr>
        <w:t xml:space="preserve">La </w:t>
      </w:r>
      <w:r w:rsidR="004306F2" w:rsidRPr="002E4295">
        <w:rPr>
          <w:lang w:val="fr-FR" w:eastAsia="fr-FR"/>
        </w:rPr>
        <w:t>fourniture</w:t>
      </w:r>
      <w:r w:rsidR="004306F2" w:rsidRPr="002E4295">
        <w:rPr>
          <w:lang w:val="fr-FR"/>
        </w:rPr>
        <w:t xml:space="preserve"> de matériels d’équipements pour les adducteurs en eau potable ont été réalisés pour une valeur totale de près de 14 000 000 000 FCFA</w:t>
      </w:r>
      <w:r w:rsidR="004306F2" w:rsidRPr="00E153AE">
        <w:rPr>
          <w:rStyle w:val="Appelnotedebasdep"/>
        </w:rPr>
        <w:footnoteReference w:id="80"/>
      </w:r>
      <w:r w:rsidR="004306F2" w:rsidRPr="002E4295">
        <w:rPr>
          <w:lang w:val="fr-FR"/>
        </w:rPr>
        <w:t>.</w:t>
      </w:r>
    </w:p>
    <w:p w:rsidR="004306F2" w:rsidRPr="002E4295" w:rsidRDefault="00270BF3" w:rsidP="00270BF3">
      <w:pPr>
        <w:pStyle w:val="SingleTxtG"/>
        <w:rPr>
          <w:lang w:val="fr-FR"/>
        </w:rPr>
      </w:pPr>
      <w:r w:rsidRPr="002E4295">
        <w:rPr>
          <w:lang w:val="fr-FR"/>
        </w:rPr>
        <w:t>114.</w:t>
      </w:r>
      <w:r w:rsidRPr="002E4295">
        <w:rPr>
          <w:lang w:val="fr-FR"/>
        </w:rPr>
        <w:tab/>
      </w:r>
      <w:r w:rsidR="004306F2" w:rsidRPr="002E4295">
        <w:rPr>
          <w:lang w:val="fr-FR"/>
        </w:rPr>
        <w:t xml:space="preserve">Dans cette même Région, le Projet d’adduction en eau potable de </w:t>
      </w:r>
      <w:proofErr w:type="spellStart"/>
      <w:r w:rsidR="004306F2" w:rsidRPr="002E4295">
        <w:rPr>
          <w:lang w:val="fr-FR"/>
        </w:rPr>
        <w:t>Mindif</w:t>
      </w:r>
      <w:proofErr w:type="spellEnd"/>
      <w:r w:rsidR="004306F2" w:rsidRPr="002E4295">
        <w:rPr>
          <w:lang w:val="fr-FR"/>
        </w:rPr>
        <w:t xml:space="preserve"> a été réalisé pour un montant de 980 000 000 FCFA</w:t>
      </w:r>
      <w:r w:rsidR="004306F2" w:rsidRPr="00E153AE">
        <w:rPr>
          <w:rStyle w:val="Appelnotedebasdep"/>
        </w:rPr>
        <w:footnoteReference w:id="81"/>
      </w:r>
      <w:r w:rsidR="004306F2" w:rsidRPr="002E4295">
        <w:rPr>
          <w:lang w:val="fr-FR"/>
        </w:rPr>
        <w:t>. Il comporte un château d’eau de 150 m</w:t>
      </w:r>
      <w:r w:rsidR="004306F2" w:rsidRPr="002E4295">
        <w:rPr>
          <w:vertAlign w:val="superscript"/>
          <w:lang w:val="fr-FR"/>
        </w:rPr>
        <w:t>3</w:t>
      </w:r>
      <w:r w:rsidR="004306F2" w:rsidRPr="002E4295">
        <w:rPr>
          <w:lang w:val="fr-FR"/>
        </w:rPr>
        <w:t xml:space="preserve">, 44 bornes fontaines et un dispositif de pompage solaire de 26 000 watts. Le réseau de distribution s’étend sur 13 900 mètres linéaires à travers les artères de </w:t>
      </w:r>
      <w:r w:rsidR="00D251C2">
        <w:rPr>
          <w:lang w:val="fr-FR"/>
        </w:rPr>
        <w:t>cette localité. Par ailleurs, à </w:t>
      </w:r>
      <w:proofErr w:type="spellStart"/>
      <w:r w:rsidR="004306F2" w:rsidRPr="002E4295">
        <w:rPr>
          <w:lang w:val="fr-FR"/>
        </w:rPr>
        <w:t>Soulédé</w:t>
      </w:r>
      <w:proofErr w:type="spellEnd"/>
      <w:r w:rsidR="004306F2" w:rsidRPr="002E4295">
        <w:rPr>
          <w:lang w:val="fr-FR"/>
        </w:rPr>
        <w:t xml:space="preserve">-Roua, le branchement au circuit de distribution d’eau potable a été effectué à partir de la localité de </w:t>
      </w:r>
      <w:proofErr w:type="spellStart"/>
      <w:r w:rsidR="004306F2" w:rsidRPr="002E4295">
        <w:rPr>
          <w:lang w:val="fr-FR"/>
        </w:rPr>
        <w:t>Gouzda</w:t>
      </w:r>
      <w:proofErr w:type="spellEnd"/>
      <w:r w:rsidR="004306F2" w:rsidRPr="002E4295">
        <w:rPr>
          <w:lang w:val="fr-FR"/>
        </w:rPr>
        <w:t xml:space="preserve">, sur la conduite </w:t>
      </w:r>
      <w:proofErr w:type="spellStart"/>
      <w:r w:rsidR="004306F2" w:rsidRPr="002E4295">
        <w:rPr>
          <w:lang w:val="fr-FR"/>
        </w:rPr>
        <w:t>Mokolo</w:t>
      </w:r>
      <w:proofErr w:type="spellEnd"/>
      <w:r w:rsidR="004306F2" w:rsidRPr="002E4295">
        <w:rPr>
          <w:lang w:val="fr-FR"/>
        </w:rPr>
        <w:t xml:space="preserve">-Mora, soit une distance de 27 km. En plus, 30 </w:t>
      </w:r>
      <w:proofErr w:type="spellStart"/>
      <w:r w:rsidR="004306F2" w:rsidRPr="002E4295">
        <w:rPr>
          <w:lang w:val="fr-FR"/>
        </w:rPr>
        <w:t>bornes-fontaines</w:t>
      </w:r>
      <w:proofErr w:type="spellEnd"/>
      <w:r w:rsidR="004306F2" w:rsidRPr="002E4295">
        <w:rPr>
          <w:lang w:val="fr-FR"/>
        </w:rPr>
        <w:t xml:space="preserve"> desservent les groupements de cette localité. En outre, grâce à l’appui de la Société de téléphonie mobile </w:t>
      </w:r>
      <w:r w:rsidR="004306F2" w:rsidRPr="002E4295">
        <w:rPr>
          <w:i/>
          <w:lang w:val="fr-FR"/>
        </w:rPr>
        <w:t>Orange Cameroun</w:t>
      </w:r>
      <w:r w:rsidR="004306F2" w:rsidRPr="002E4295">
        <w:rPr>
          <w:lang w:val="fr-FR"/>
        </w:rPr>
        <w:t xml:space="preserve">, 3 forages pour hydraulique villageoise ont été réalisés dans les localités de </w:t>
      </w:r>
      <w:proofErr w:type="spellStart"/>
      <w:r w:rsidR="004306F2" w:rsidRPr="002E4295">
        <w:rPr>
          <w:lang w:val="fr-FR"/>
        </w:rPr>
        <w:t>Fotokol</w:t>
      </w:r>
      <w:proofErr w:type="spellEnd"/>
      <w:r w:rsidR="004306F2" w:rsidRPr="002E4295">
        <w:rPr>
          <w:lang w:val="fr-FR"/>
        </w:rPr>
        <w:t xml:space="preserve">, </w:t>
      </w:r>
      <w:proofErr w:type="spellStart"/>
      <w:r w:rsidR="004306F2" w:rsidRPr="002E4295">
        <w:rPr>
          <w:lang w:val="fr-FR"/>
        </w:rPr>
        <w:t>Waza</w:t>
      </w:r>
      <w:proofErr w:type="spellEnd"/>
      <w:r w:rsidR="004306F2" w:rsidRPr="002E4295">
        <w:rPr>
          <w:lang w:val="fr-FR"/>
        </w:rPr>
        <w:t xml:space="preserve"> et </w:t>
      </w:r>
      <w:proofErr w:type="spellStart"/>
      <w:r w:rsidR="004306F2" w:rsidRPr="002E4295">
        <w:rPr>
          <w:lang w:val="fr-FR"/>
        </w:rPr>
        <w:t>Mozogo</w:t>
      </w:r>
      <w:proofErr w:type="spellEnd"/>
      <w:r w:rsidR="004306F2" w:rsidRPr="002E4295">
        <w:rPr>
          <w:lang w:val="fr-FR"/>
        </w:rPr>
        <w:t>.</w:t>
      </w:r>
    </w:p>
    <w:p w:rsidR="004306F2" w:rsidRPr="002E4295" w:rsidRDefault="00270BF3" w:rsidP="00270BF3">
      <w:pPr>
        <w:pStyle w:val="SingleTxtG"/>
        <w:rPr>
          <w:lang w:val="fr-FR"/>
        </w:rPr>
      </w:pPr>
      <w:r w:rsidRPr="002E4295">
        <w:rPr>
          <w:lang w:val="fr-FR"/>
        </w:rPr>
        <w:t>115.</w:t>
      </w:r>
      <w:r w:rsidRPr="002E4295">
        <w:rPr>
          <w:lang w:val="fr-FR"/>
        </w:rPr>
        <w:tab/>
      </w:r>
      <w:r w:rsidR="004306F2" w:rsidRPr="002E4295">
        <w:rPr>
          <w:lang w:val="fr-FR"/>
        </w:rPr>
        <w:t xml:space="preserve">Dans la Région de l’Ouest, l’appui de la GIZ, organe de coopération allemande a permis dans le cadre du Projet d’Appui à la Décentralisation et au Développement Local (PADDL), la réhabilitation de 10 forages et de 10 </w:t>
      </w:r>
      <w:r w:rsidR="004306F2" w:rsidRPr="002E4295">
        <w:rPr>
          <w:lang w:val="fr-FR" w:eastAsia="fr-FR"/>
        </w:rPr>
        <w:t>puits</w:t>
      </w:r>
      <w:r w:rsidR="004306F2" w:rsidRPr="002E4295">
        <w:rPr>
          <w:lang w:val="fr-FR"/>
        </w:rPr>
        <w:t xml:space="preserve"> dans les localités de </w:t>
      </w:r>
      <w:proofErr w:type="spellStart"/>
      <w:r w:rsidR="004306F2" w:rsidRPr="002E4295">
        <w:rPr>
          <w:lang w:val="fr-FR"/>
        </w:rPr>
        <w:t>Koutaba</w:t>
      </w:r>
      <w:proofErr w:type="spellEnd"/>
      <w:r w:rsidR="004306F2" w:rsidRPr="002E4295">
        <w:rPr>
          <w:lang w:val="fr-FR"/>
        </w:rPr>
        <w:t xml:space="preserve"> et de </w:t>
      </w:r>
      <w:proofErr w:type="spellStart"/>
      <w:r w:rsidR="004306F2" w:rsidRPr="002E4295">
        <w:rPr>
          <w:lang w:val="fr-FR"/>
        </w:rPr>
        <w:t>Nkong-Zem</w:t>
      </w:r>
      <w:proofErr w:type="spellEnd"/>
      <w:r w:rsidR="004306F2" w:rsidRPr="002E4295">
        <w:rPr>
          <w:lang w:val="fr-FR"/>
        </w:rPr>
        <w:t>, cette dernière disposant désormais de 73 points d’eau fonctionnels réhabilités.</w:t>
      </w:r>
    </w:p>
    <w:p w:rsidR="004306F2" w:rsidRDefault="00F17353" w:rsidP="00F17353">
      <w:pPr>
        <w:pStyle w:val="H1G"/>
        <w:rPr>
          <w:lang w:val="fr-FR"/>
        </w:rPr>
      </w:pPr>
      <w:bookmarkStart w:id="50" w:name="_Toc466897372"/>
      <w:r>
        <w:rPr>
          <w:lang w:val="fr-FR"/>
        </w:rPr>
        <w:tab/>
        <w:t>B.</w:t>
      </w:r>
      <w:r>
        <w:rPr>
          <w:lang w:val="fr-FR"/>
        </w:rPr>
        <w:tab/>
      </w:r>
      <w:r w:rsidR="004306F2" w:rsidRPr="002E4295">
        <w:rPr>
          <w:lang w:val="fr-FR"/>
        </w:rPr>
        <w:t>Sur l’accès à l’eau dans les logements</w:t>
      </w:r>
      <w:bookmarkEnd w:id="50"/>
    </w:p>
    <w:p w:rsidR="00224C97" w:rsidRPr="00224C97" w:rsidRDefault="00F17353" w:rsidP="00F17353">
      <w:pPr>
        <w:pStyle w:val="H23G"/>
        <w:rPr>
          <w:lang w:val="fr-FR"/>
        </w:rPr>
      </w:pPr>
      <w:r>
        <w:rPr>
          <w:lang w:val="fr-FR"/>
        </w:rPr>
        <w:tab/>
      </w:r>
      <w:r>
        <w:rPr>
          <w:lang w:val="fr-FR"/>
        </w:rPr>
        <w:tab/>
      </w:r>
      <w:r w:rsidR="00224C97" w:rsidRPr="00224C97">
        <w:rPr>
          <w:lang w:val="fr-FR"/>
        </w:rPr>
        <w:t>La densification des réseaux de distribution de l’eau potable</w:t>
      </w:r>
    </w:p>
    <w:p w:rsidR="004306F2" w:rsidRPr="002E4295" w:rsidRDefault="00270BF3" w:rsidP="00270BF3">
      <w:pPr>
        <w:pStyle w:val="SingleTxtG"/>
        <w:rPr>
          <w:lang w:val="fr-FR"/>
        </w:rPr>
      </w:pPr>
      <w:r w:rsidRPr="002E4295">
        <w:rPr>
          <w:lang w:val="fr-FR"/>
        </w:rPr>
        <w:t>116.</w:t>
      </w:r>
      <w:r w:rsidRPr="002E4295">
        <w:rPr>
          <w:lang w:val="fr-FR"/>
        </w:rPr>
        <w:tab/>
      </w:r>
      <w:r w:rsidR="004306F2" w:rsidRPr="00492D14">
        <w:rPr>
          <w:lang w:val="fr-FR"/>
        </w:rPr>
        <w:t>Outre</w:t>
      </w:r>
      <w:r w:rsidR="004306F2" w:rsidRPr="002E4295">
        <w:rPr>
          <w:lang w:val="fr-FR"/>
        </w:rPr>
        <w:t xml:space="preserve"> les 50 000 branchements sociaux réalisés dans le cadre du PDUE, la Camerounaise des Eaux (CDE) et la CAMWATER ont réalisé </w:t>
      </w:r>
      <w:r w:rsidR="004306F2" w:rsidRPr="002E4295">
        <w:rPr>
          <w:lang w:val="fr-FR" w:eastAsia="fr-FR"/>
        </w:rPr>
        <w:t>14</w:t>
      </w:r>
      <w:r w:rsidR="004306F2" w:rsidRPr="002E4295">
        <w:rPr>
          <w:lang w:val="fr-FR"/>
        </w:rPr>
        <w:t> 991 branchements à la fin du mois d’octobre 2015 pour un engagement contractuel de 15 333 projeté à fin décembre 2015, soit</w:t>
      </w:r>
      <w:r w:rsidR="00D31C3D">
        <w:rPr>
          <w:lang w:val="fr-FR"/>
        </w:rPr>
        <w:t xml:space="preserve"> un taux de réalisation de 98</w:t>
      </w:r>
      <w:r w:rsidR="009E4EF6">
        <w:rPr>
          <w:lang w:val="fr-FR"/>
        </w:rPr>
        <w:t> %</w:t>
      </w:r>
      <w:r w:rsidR="00D31C3D">
        <w:rPr>
          <w:lang w:val="fr-FR"/>
        </w:rPr>
        <w:t>.</w:t>
      </w:r>
    </w:p>
    <w:p w:rsidR="004306F2" w:rsidRPr="002E4295" w:rsidRDefault="00270BF3" w:rsidP="00270BF3">
      <w:pPr>
        <w:pStyle w:val="SingleTxtG"/>
        <w:rPr>
          <w:lang w:val="fr-FR"/>
        </w:rPr>
      </w:pPr>
      <w:r w:rsidRPr="002E4295">
        <w:rPr>
          <w:lang w:val="fr-FR"/>
        </w:rPr>
        <w:t>117.</w:t>
      </w:r>
      <w:r w:rsidRPr="002E4295">
        <w:rPr>
          <w:lang w:val="fr-FR"/>
        </w:rPr>
        <w:tab/>
      </w:r>
      <w:r w:rsidR="004306F2" w:rsidRPr="002E4295">
        <w:rPr>
          <w:lang w:val="fr-FR"/>
        </w:rPr>
        <w:t>Au cours de la même année, 192 km de conduites, tous diamètres et na</w:t>
      </w:r>
      <w:r w:rsidR="00D251C2">
        <w:rPr>
          <w:lang w:val="fr-FR"/>
        </w:rPr>
        <w:t>tures pour un équivalent de 113 </w:t>
      </w:r>
      <w:r w:rsidR="004306F2" w:rsidRPr="002E4295">
        <w:rPr>
          <w:lang w:val="fr-FR"/>
        </w:rPr>
        <w:t>km en fonte diamètre 100</w:t>
      </w:r>
      <w:r w:rsidR="006F4BE7">
        <w:rPr>
          <w:lang w:val="fr-FR"/>
        </w:rPr>
        <w:t> </w:t>
      </w:r>
      <w:r w:rsidR="004306F2" w:rsidRPr="002E4295">
        <w:rPr>
          <w:lang w:val="fr-FR"/>
        </w:rPr>
        <w:t xml:space="preserve">mm, ont été construit en vue de l’approvisionnement des conduites en eau. Le linéaire total des conduites </w:t>
      </w:r>
      <w:r w:rsidR="004306F2" w:rsidRPr="002E4295">
        <w:rPr>
          <w:lang w:val="fr-FR" w:eastAsia="fr-FR"/>
        </w:rPr>
        <w:t>posées</w:t>
      </w:r>
      <w:r w:rsidR="004306F2" w:rsidRPr="002E4295">
        <w:rPr>
          <w:lang w:val="fr-FR"/>
        </w:rPr>
        <w:t xml:space="preserve"> de différents diamètres et natures est de 175,5 km, soit un taux de réalisation de 73</w:t>
      </w:r>
      <w:r w:rsidR="009E4EF6">
        <w:rPr>
          <w:lang w:val="fr-FR"/>
        </w:rPr>
        <w:t> %</w:t>
      </w:r>
      <w:r w:rsidR="004306F2" w:rsidRPr="002E4295">
        <w:rPr>
          <w:lang w:val="fr-FR"/>
        </w:rPr>
        <w:t xml:space="preserve"> pour une période de 7 ans d’affermage. </w:t>
      </w:r>
    </w:p>
    <w:p w:rsidR="004306F2" w:rsidRPr="002E4295" w:rsidRDefault="00F17353" w:rsidP="00F17353">
      <w:pPr>
        <w:pStyle w:val="H23G"/>
        <w:rPr>
          <w:lang w:val="fr-FR"/>
        </w:rPr>
      </w:pPr>
      <w:bookmarkStart w:id="51" w:name="_Toc466897374"/>
      <w:r>
        <w:rPr>
          <w:lang w:val="fr-FR"/>
        </w:rPr>
        <w:tab/>
      </w:r>
      <w:r>
        <w:rPr>
          <w:lang w:val="fr-FR"/>
        </w:rPr>
        <w:tab/>
      </w:r>
      <w:r w:rsidR="004306F2" w:rsidRPr="002E4295">
        <w:rPr>
          <w:lang w:val="fr-FR"/>
        </w:rPr>
        <w:t>La multiplication des abonnements</w:t>
      </w:r>
      <w:bookmarkEnd w:id="51"/>
    </w:p>
    <w:p w:rsidR="004306F2" w:rsidRPr="002E4295" w:rsidRDefault="00270BF3" w:rsidP="00270BF3">
      <w:pPr>
        <w:pStyle w:val="SingleTxtG"/>
        <w:rPr>
          <w:lang w:val="fr-FR"/>
        </w:rPr>
      </w:pPr>
      <w:r w:rsidRPr="002E4295">
        <w:rPr>
          <w:lang w:val="fr-FR"/>
        </w:rPr>
        <w:t>118.</w:t>
      </w:r>
      <w:r w:rsidRPr="002E4295">
        <w:rPr>
          <w:lang w:val="fr-FR"/>
        </w:rPr>
        <w:tab/>
      </w:r>
      <w:r w:rsidR="004306F2" w:rsidRPr="002E4295">
        <w:rPr>
          <w:lang w:val="fr-FR"/>
        </w:rPr>
        <w:t xml:space="preserve">Le nombre des abonnés est passé de 250 000 à 380 000, soit une augmentation de 130 000 abonnés. </w:t>
      </w:r>
      <w:r w:rsidR="00385CA6">
        <w:rPr>
          <w:lang w:val="fr-FR"/>
        </w:rPr>
        <w:t>À</w:t>
      </w:r>
      <w:r w:rsidR="004306F2" w:rsidRPr="002E4295">
        <w:rPr>
          <w:lang w:val="fr-FR"/>
        </w:rPr>
        <w:t xml:space="preserve"> cet effet, un total de 72 300 compteurs </w:t>
      </w:r>
      <w:r w:rsidR="004306F2" w:rsidRPr="002E4295">
        <w:rPr>
          <w:lang w:val="fr-FR" w:eastAsia="fr-FR"/>
        </w:rPr>
        <w:t>était</w:t>
      </w:r>
      <w:r w:rsidR="004306F2" w:rsidRPr="002E4295">
        <w:rPr>
          <w:lang w:val="fr-FR"/>
        </w:rPr>
        <w:t xml:space="preserve"> livré au terme de l’année 2014.</w:t>
      </w:r>
    </w:p>
    <w:p w:rsidR="004306F2" w:rsidRPr="0017665A" w:rsidRDefault="00270BF3" w:rsidP="00270BF3">
      <w:pPr>
        <w:pStyle w:val="SingleTxtG"/>
        <w:rPr>
          <w:lang w:val="fr-FR"/>
        </w:rPr>
      </w:pPr>
      <w:r w:rsidRPr="0017665A">
        <w:rPr>
          <w:lang w:val="fr-FR"/>
        </w:rPr>
        <w:t>119.</w:t>
      </w:r>
      <w:r w:rsidRPr="0017665A">
        <w:rPr>
          <w:lang w:val="fr-FR"/>
        </w:rPr>
        <w:tab/>
      </w:r>
      <w:r w:rsidR="004306F2" w:rsidRPr="002E4295">
        <w:rPr>
          <w:lang w:val="fr-FR"/>
        </w:rPr>
        <w:t>Dans le cadre du contrat sus évoqué, 100 000 compteurs ont été renouvelés, soit un taux de réalisation de plus de 100</w:t>
      </w:r>
      <w:r w:rsidR="009E4EF6">
        <w:rPr>
          <w:lang w:val="fr-FR"/>
        </w:rPr>
        <w:t> %</w:t>
      </w:r>
      <w:r w:rsidR="004306F2" w:rsidRPr="002E4295">
        <w:rPr>
          <w:lang w:val="fr-FR"/>
        </w:rPr>
        <w:t xml:space="preserve"> par rapport aux </w:t>
      </w:r>
      <w:r w:rsidR="004306F2" w:rsidRPr="002E4295">
        <w:rPr>
          <w:lang w:val="fr-FR" w:eastAsia="fr-FR"/>
        </w:rPr>
        <w:t>engagements</w:t>
      </w:r>
      <w:r w:rsidR="004306F2" w:rsidRPr="002E4295">
        <w:rPr>
          <w:lang w:val="fr-FR"/>
        </w:rPr>
        <w:t xml:space="preserve"> contractuels. Le nombre de branchements renouvelés par la CDE est de 12 944 pour un engagement de 13 333, soit un taux de réalisation de 97,5</w:t>
      </w:r>
      <w:r w:rsidR="009E4EF6">
        <w:rPr>
          <w:lang w:val="fr-FR"/>
        </w:rPr>
        <w:t> %</w:t>
      </w:r>
      <w:r w:rsidR="004306F2" w:rsidRPr="002E4295">
        <w:rPr>
          <w:lang w:val="fr-FR"/>
        </w:rPr>
        <w:t>.</w:t>
      </w:r>
    </w:p>
    <w:p w:rsidR="004306F2" w:rsidRPr="002E4295" w:rsidRDefault="00F17353" w:rsidP="00F17353">
      <w:pPr>
        <w:pStyle w:val="H1G"/>
        <w:rPr>
          <w:lang w:val="fr-FR"/>
        </w:rPr>
      </w:pPr>
      <w:bookmarkStart w:id="52" w:name="_Toc466897375"/>
      <w:r>
        <w:rPr>
          <w:lang w:val="fr-FR"/>
        </w:rPr>
        <w:tab/>
        <w:t>C.</w:t>
      </w:r>
      <w:r>
        <w:rPr>
          <w:lang w:val="fr-FR"/>
        </w:rPr>
        <w:tab/>
      </w:r>
      <w:r w:rsidR="004306F2" w:rsidRPr="002E4295">
        <w:rPr>
          <w:lang w:val="fr-FR"/>
        </w:rPr>
        <w:t>Sur les branchements sociaux</w:t>
      </w:r>
      <w:bookmarkEnd w:id="52"/>
    </w:p>
    <w:p w:rsidR="004306F2" w:rsidRPr="0082149D" w:rsidRDefault="00270BF3" w:rsidP="00270BF3">
      <w:pPr>
        <w:pStyle w:val="SingleTxtG"/>
        <w:rPr>
          <w:lang w:val="fr-FR"/>
        </w:rPr>
      </w:pPr>
      <w:r w:rsidRPr="0082149D">
        <w:rPr>
          <w:lang w:val="fr-FR"/>
        </w:rPr>
        <w:t>120.</w:t>
      </w:r>
      <w:r w:rsidRPr="0082149D">
        <w:rPr>
          <w:lang w:val="fr-FR"/>
        </w:rPr>
        <w:tab/>
      </w:r>
      <w:r w:rsidR="004306F2" w:rsidRPr="002E4295">
        <w:rPr>
          <w:lang w:val="fr-FR"/>
        </w:rPr>
        <w:t xml:space="preserve">La campagne des branchements sociaux démarrée en janvier 2015 est arrivée à son terme. Elle a permis la réalisation de 50 000 branchements </w:t>
      </w:r>
      <w:r w:rsidR="004306F2" w:rsidRPr="002E4295">
        <w:rPr>
          <w:lang w:val="fr-FR" w:eastAsia="fr-FR"/>
        </w:rPr>
        <w:t>sociaux</w:t>
      </w:r>
      <w:r w:rsidR="004306F2" w:rsidRPr="002E4295">
        <w:rPr>
          <w:lang w:val="fr-FR"/>
        </w:rPr>
        <w:t xml:space="preserve">. La subvention, qui tient </w:t>
      </w:r>
      <w:r w:rsidR="004306F2" w:rsidRPr="002E4295">
        <w:rPr>
          <w:lang w:val="fr-FR"/>
        </w:rPr>
        <w:lastRenderedPageBreak/>
        <w:t>compte de la modestie de certains revenus, a permis de ramener le coût du branchement à 10</w:t>
      </w:r>
      <w:r w:rsidR="009E4EF6">
        <w:rPr>
          <w:lang w:val="fr-FR"/>
        </w:rPr>
        <w:t> %</w:t>
      </w:r>
      <w:r w:rsidR="004306F2" w:rsidRPr="002E4295">
        <w:rPr>
          <w:lang w:val="fr-FR"/>
        </w:rPr>
        <w:t xml:space="preserve"> du prix normal payé par le client</w:t>
      </w:r>
      <w:r w:rsidR="00DA0404">
        <w:rPr>
          <w:lang w:val="fr-FR"/>
        </w:rPr>
        <w:t> ;</w:t>
      </w:r>
      <w:r w:rsidR="004306F2" w:rsidRPr="002E4295">
        <w:rPr>
          <w:lang w:val="fr-FR"/>
        </w:rPr>
        <w:t xml:space="preserve"> les autres 90</w:t>
      </w:r>
      <w:r w:rsidR="009E4EF6">
        <w:rPr>
          <w:lang w:val="fr-FR"/>
        </w:rPr>
        <w:t> %</w:t>
      </w:r>
      <w:r w:rsidR="004306F2" w:rsidRPr="002E4295">
        <w:rPr>
          <w:lang w:val="fr-FR"/>
        </w:rPr>
        <w:t xml:space="preserve"> étant supportés par les partenaires que sont le </w:t>
      </w:r>
      <w:r w:rsidR="004306F2" w:rsidRPr="0017665A">
        <w:rPr>
          <w:lang w:val="fr-FR"/>
        </w:rPr>
        <w:t xml:space="preserve">Global </w:t>
      </w:r>
      <w:proofErr w:type="spellStart"/>
      <w:r w:rsidR="004306F2" w:rsidRPr="0017665A">
        <w:rPr>
          <w:lang w:val="fr-FR"/>
        </w:rPr>
        <w:t>Partnership</w:t>
      </w:r>
      <w:proofErr w:type="spellEnd"/>
      <w:r w:rsidR="004306F2" w:rsidRPr="0017665A">
        <w:rPr>
          <w:lang w:val="fr-FR"/>
        </w:rPr>
        <w:t xml:space="preserve"> On Output </w:t>
      </w:r>
      <w:proofErr w:type="spellStart"/>
      <w:r w:rsidR="004306F2" w:rsidRPr="0017665A">
        <w:rPr>
          <w:lang w:val="fr-FR"/>
        </w:rPr>
        <w:t>BasedAid</w:t>
      </w:r>
      <w:proofErr w:type="spellEnd"/>
      <w:r w:rsidR="004306F2" w:rsidRPr="0082149D">
        <w:rPr>
          <w:lang w:val="fr-FR"/>
        </w:rPr>
        <w:t xml:space="preserve">, le </w:t>
      </w:r>
      <w:r w:rsidR="004306F2" w:rsidRPr="0017665A">
        <w:rPr>
          <w:lang w:val="fr-FR"/>
        </w:rPr>
        <w:t xml:space="preserve">Département du Royaume-Uni pour le Développement International </w:t>
      </w:r>
      <w:r w:rsidR="004306F2" w:rsidRPr="0082149D">
        <w:rPr>
          <w:lang w:val="fr-FR"/>
        </w:rPr>
        <w:t xml:space="preserve">(DFID) et la </w:t>
      </w:r>
      <w:r w:rsidR="004306F2" w:rsidRPr="0017665A">
        <w:rPr>
          <w:lang w:val="fr-FR"/>
        </w:rPr>
        <w:t>Banque Mondiale.</w:t>
      </w:r>
    </w:p>
    <w:p w:rsidR="004306F2" w:rsidRPr="0017665A" w:rsidRDefault="00C075B5" w:rsidP="0017665A">
      <w:pPr>
        <w:pStyle w:val="HChG"/>
      </w:pPr>
      <w:bookmarkStart w:id="53" w:name="_Toc466897376"/>
      <w:r>
        <w:rPr>
          <w:lang w:val="fr-FR"/>
        </w:rPr>
        <w:tab/>
        <w:t>XXII.</w:t>
      </w:r>
      <w:r>
        <w:rPr>
          <w:lang w:val="fr-FR"/>
        </w:rPr>
        <w:tab/>
      </w:r>
      <w:r w:rsidR="004306F2" w:rsidRPr="002E4295">
        <w:rPr>
          <w:lang w:val="fr-FR"/>
        </w:rPr>
        <w:t>R</w:t>
      </w:r>
      <w:r w:rsidR="00447046" w:rsidRPr="002E4295">
        <w:rPr>
          <w:lang w:val="fr-FR"/>
        </w:rPr>
        <w:t>ec.</w:t>
      </w:r>
      <w:r>
        <w:rPr>
          <w:lang w:val="fr-FR"/>
        </w:rPr>
        <w:t> </w:t>
      </w:r>
      <w:r w:rsidR="004306F2" w:rsidRPr="002E4295">
        <w:rPr>
          <w:lang w:val="fr-FR"/>
        </w:rPr>
        <w:t>27</w:t>
      </w:r>
      <w:r w:rsidR="00447046" w:rsidRPr="002E4295">
        <w:rPr>
          <w:lang w:val="fr-FR"/>
        </w:rPr>
        <w:t>.</w:t>
      </w:r>
      <w:r>
        <w:rPr>
          <w:rFonts w:ascii="Calibri" w:hAnsi="Calibri" w:cs="Calibri"/>
          <w:i/>
          <w:lang w:val="fr-FR"/>
        </w:rPr>
        <w:t> </w:t>
      </w:r>
      <w:r w:rsidR="004306F2" w:rsidRPr="002E4295">
        <w:rPr>
          <w:lang w:val="fr-FR"/>
        </w:rPr>
        <w:t>Droit à une alimentation suffisante et lutte contre l’insécurité alimentaire</w:t>
      </w:r>
      <w:bookmarkEnd w:id="53"/>
    </w:p>
    <w:p w:rsidR="004306F2" w:rsidRPr="002E4295" w:rsidRDefault="00F17353" w:rsidP="00F17353">
      <w:pPr>
        <w:pStyle w:val="H1G"/>
        <w:rPr>
          <w:lang w:val="fr-FR"/>
        </w:rPr>
      </w:pPr>
      <w:bookmarkStart w:id="54" w:name="_Toc466897377"/>
      <w:r>
        <w:rPr>
          <w:lang w:val="fr-FR"/>
        </w:rPr>
        <w:tab/>
        <w:t>A.</w:t>
      </w:r>
      <w:r>
        <w:rPr>
          <w:lang w:val="fr-FR"/>
        </w:rPr>
        <w:tab/>
      </w:r>
      <w:r w:rsidR="004306F2" w:rsidRPr="002E4295">
        <w:rPr>
          <w:lang w:val="fr-FR"/>
        </w:rPr>
        <w:t>La mise en place d’un système public de distribution des denrées aux</w:t>
      </w:r>
      <w:r w:rsidR="00C075B5">
        <w:rPr>
          <w:lang w:val="fr-FR"/>
        </w:rPr>
        <w:t> </w:t>
      </w:r>
      <w:r w:rsidR="004306F2" w:rsidRPr="002E4295">
        <w:rPr>
          <w:lang w:val="fr-FR"/>
        </w:rPr>
        <w:t>régions et groupes défavorisés</w:t>
      </w:r>
      <w:bookmarkEnd w:id="54"/>
    </w:p>
    <w:p w:rsidR="004306F2" w:rsidRPr="002E4295" w:rsidRDefault="00270BF3" w:rsidP="00270BF3">
      <w:pPr>
        <w:pStyle w:val="SingleTxtG"/>
        <w:rPr>
          <w:lang w:val="fr-FR"/>
        </w:rPr>
      </w:pPr>
      <w:r w:rsidRPr="002E4295">
        <w:rPr>
          <w:lang w:val="fr-FR"/>
        </w:rPr>
        <w:t>121.</w:t>
      </w:r>
      <w:r w:rsidRPr="002E4295">
        <w:rPr>
          <w:lang w:val="fr-FR"/>
        </w:rPr>
        <w:tab/>
      </w:r>
      <w:r w:rsidR="004306F2" w:rsidRPr="002E4295">
        <w:rPr>
          <w:lang w:val="fr-FR"/>
        </w:rPr>
        <w:t xml:space="preserve">Pour lutter contre l’insécurité alimentaire, le Gouvernement a mis en place un Programme National de Sécurité Alimentaire (PNSA) par Décret </w:t>
      </w:r>
      <w:r w:rsidR="0082149D" w:rsidRPr="00D31C3D">
        <w:t>n</w:t>
      </w:r>
      <w:r w:rsidR="0082149D" w:rsidRPr="00D6478B">
        <w:rPr>
          <w:vertAlign w:val="superscript"/>
        </w:rPr>
        <w:t>o</w:t>
      </w:r>
      <w:r w:rsidR="0082149D">
        <w:t> </w:t>
      </w:r>
      <w:r w:rsidR="004306F2" w:rsidRPr="002E4295">
        <w:rPr>
          <w:lang w:val="fr-FR"/>
        </w:rPr>
        <w:t>2009/0045/PM du 14</w:t>
      </w:r>
      <w:r w:rsidR="0082149D">
        <w:rPr>
          <w:lang w:val="fr-FR"/>
        </w:rPr>
        <w:t> </w:t>
      </w:r>
      <w:r w:rsidR="004306F2" w:rsidRPr="002E4295">
        <w:rPr>
          <w:lang w:val="fr-FR"/>
        </w:rPr>
        <w:t xml:space="preserve">janvier 2009. L’aide alimentaire est un sous-programme du PNSA. Il s’agit d’un dispositif de veille et de réponse aux crises alimentaires. </w:t>
      </w:r>
    </w:p>
    <w:p w:rsidR="004306F2" w:rsidRPr="002E4295" w:rsidRDefault="00270BF3" w:rsidP="00270BF3">
      <w:pPr>
        <w:pStyle w:val="SingleTxtG"/>
        <w:rPr>
          <w:lang w:val="fr-FR"/>
        </w:rPr>
      </w:pPr>
      <w:r w:rsidRPr="002E4295">
        <w:rPr>
          <w:lang w:val="fr-FR"/>
        </w:rPr>
        <w:t>122.</w:t>
      </w:r>
      <w:r w:rsidRPr="002E4295">
        <w:rPr>
          <w:lang w:val="fr-FR"/>
        </w:rPr>
        <w:tab/>
      </w:r>
      <w:r w:rsidR="004306F2" w:rsidRPr="002E4295">
        <w:rPr>
          <w:lang w:val="fr-FR"/>
        </w:rPr>
        <w:t xml:space="preserve">Pour répondre à la crise alimentaire dans la Région de l’Extrême-Nord, le PNSA a procédé aux distributions directes de denrées aux populations. Pour </w:t>
      </w:r>
      <w:r w:rsidR="004306F2" w:rsidRPr="002E4295">
        <w:rPr>
          <w:lang w:val="fr-FR" w:eastAsia="fr-FR"/>
        </w:rPr>
        <w:t>rationaliser</w:t>
      </w:r>
      <w:r w:rsidR="004306F2" w:rsidRPr="002E4295">
        <w:rPr>
          <w:lang w:val="fr-FR"/>
        </w:rPr>
        <w:t xml:space="preserve"> cette distribution, un Comité de suivi de la mise en œuvre des mesures urgentes de Sécurité Alimentaire dans la Région de l’Extrême-Nord a été mis sur pied en février 2015.</w:t>
      </w:r>
      <w:r w:rsidR="00F74094">
        <w:rPr>
          <w:lang w:val="fr-FR"/>
        </w:rPr>
        <w:t xml:space="preserve"> Au cours de cette même année, </w:t>
      </w:r>
      <w:r w:rsidR="004306F2" w:rsidRPr="002E4295">
        <w:rPr>
          <w:lang w:val="fr-FR"/>
        </w:rPr>
        <w:t>3 vagues de distribution de denrées de première nécessité ont été effectuées</w:t>
      </w:r>
      <w:r w:rsidR="004306F2" w:rsidRPr="00E153AE">
        <w:rPr>
          <w:rStyle w:val="Appelnotedebasdep"/>
        </w:rPr>
        <w:footnoteReference w:id="82"/>
      </w:r>
      <w:r w:rsidR="004306F2" w:rsidRPr="002E4295">
        <w:rPr>
          <w:vertAlign w:val="superscript"/>
          <w:lang w:val="fr-FR"/>
        </w:rPr>
        <w:t>.</w:t>
      </w:r>
    </w:p>
    <w:p w:rsidR="004306F2" w:rsidRPr="00492D14" w:rsidRDefault="00F17353" w:rsidP="00F17353">
      <w:pPr>
        <w:pStyle w:val="H1G"/>
        <w:rPr>
          <w:lang w:val="fr-FR"/>
        </w:rPr>
      </w:pPr>
      <w:bookmarkStart w:id="55" w:name="_Toc466897378"/>
      <w:r>
        <w:rPr>
          <w:lang w:val="fr-FR"/>
        </w:rPr>
        <w:tab/>
        <w:t>B.</w:t>
      </w:r>
      <w:r>
        <w:rPr>
          <w:lang w:val="fr-FR"/>
        </w:rPr>
        <w:tab/>
      </w:r>
      <w:r w:rsidR="004306F2" w:rsidRPr="00492D14">
        <w:rPr>
          <w:lang w:val="fr-FR"/>
        </w:rPr>
        <w:t xml:space="preserve">Les mesures visant à s’attaquer aux problèmes structurels </w:t>
      </w:r>
      <w:r w:rsidR="0082149D">
        <w:rPr>
          <w:lang w:val="fr-FR"/>
        </w:rPr>
        <w:br/>
      </w:r>
      <w:r w:rsidR="004306F2" w:rsidRPr="00492D14">
        <w:rPr>
          <w:lang w:val="fr-FR"/>
        </w:rPr>
        <w:t>liés à l’insécurité alimentaire</w:t>
      </w:r>
      <w:bookmarkEnd w:id="55"/>
    </w:p>
    <w:p w:rsidR="004306F2" w:rsidRPr="002E4295" w:rsidRDefault="00F17353" w:rsidP="00F17353">
      <w:pPr>
        <w:pStyle w:val="H23G"/>
        <w:rPr>
          <w:lang w:val="fr-FR"/>
        </w:rPr>
      </w:pPr>
      <w:bookmarkStart w:id="56" w:name="_Toc466897379"/>
      <w:r>
        <w:rPr>
          <w:lang w:val="fr-FR"/>
        </w:rPr>
        <w:tab/>
      </w:r>
      <w:r>
        <w:rPr>
          <w:lang w:val="fr-FR"/>
        </w:rPr>
        <w:tab/>
      </w:r>
      <w:r w:rsidR="008210BD" w:rsidRPr="002E4295">
        <w:rPr>
          <w:lang w:val="fr-FR"/>
        </w:rPr>
        <w:t>Les</w:t>
      </w:r>
      <w:r w:rsidR="004306F2" w:rsidRPr="002E4295">
        <w:rPr>
          <w:lang w:val="fr-FR"/>
        </w:rPr>
        <w:t xml:space="preserve"> problèmes de l’insécurité foncière pour les petits producteurs</w:t>
      </w:r>
      <w:bookmarkEnd w:id="56"/>
    </w:p>
    <w:p w:rsidR="004306F2" w:rsidRPr="0017665A" w:rsidRDefault="00270BF3" w:rsidP="00270BF3">
      <w:pPr>
        <w:pStyle w:val="SingleTxtG"/>
        <w:rPr>
          <w:lang w:val="fr-FR"/>
        </w:rPr>
      </w:pPr>
      <w:r w:rsidRPr="0017665A">
        <w:rPr>
          <w:lang w:val="fr-FR"/>
        </w:rPr>
        <w:t>123.</w:t>
      </w:r>
      <w:r w:rsidRPr="0017665A">
        <w:rPr>
          <w:lang w:val="fr-FR"/>
        </w:rPr>
        <w:tab/>
      </w:r>
      <w:r w:rsidR="004306F2" w:rsidRPr="002E4295">
        <w:rPr>
          <w:lang w:val="fr-FR"/>
        </w:rPr>
        <w:t xml:space="preserve">Afin de faciliter l’accès à la terre aux petits producteurs, le Gouvernement constitue chaque année des réserves foncières destinées aux activités agropastorales. </w:t>
      </w:r>
      <w:r w:rsidR="00385CA6">
        <w:rPr>
          <w:lang w:val="fr-FR"/>
        </w:rPr>
        <w:t>À</w:t>
      </w:r>
      <w:r w:rsidR="004306F2" w:rsidRPr="002E4295">
        <w:rPr>
          <w:lang w:val="fr-FR"/>
        </w:rPr>
        <w:t xml:space="preserve"> titre d’illustration, 415</w:t>
      </w:r>
      <w:r w:rsidR="00FB30F2">
        <w:rPr>
          <w:lang w:val="fr-FR"/>
        </w:rPr>
        <w:t> </w:t>
      </w:r>
      <w:r w:rsidR="004306F2" w:rsidRPr="002E4295">
        <w:rPr>
          <w:lang w:val="fr-FR"/>
        </w:rPr>
        <w:t>ha</w:t>
      </w:r>
      <w:r w:rsidR="00FB30F2">
        <w:rPr>
          <w:lang w:val="fr-FR"/>
        </w:rPr>
        <w:t> </w:t>
      </w:r>
      <w:r w:rsidR="004306F2" w:rsidRPr="002E4295">
        <w:rPr>
          <w:lang w:val="fr-FR"/>
        </w:rPr>
        <w:t>80</w:t>
      </w:r>
      <w:r w:rsidR="0082149D">
        <w:rPr>
          <w:lang w:val="fr-FR"/>
        </w:rPr>
        <w:t> </w:t>
      </w:r>
      <w:proofErr w:type="gramStart"/>
      <w:r w:rsidR="004306F2" w:rsidRPr="002E4295">
        <w:rPr>
          <w:lang w:val="fr-FR"/>
        </w:rPr>
        <w:t>a</w:t>
      </w:r>
      <w:proofErr w:type="gramEnd"/>
      <w:r w:rsidR="0082149D">
        <w:rPr>
          <w:lang w:val="fr-FR"/>
        </w:rPr>
        <w:t> </w:t>
      </w:r>
      <w:r w:rsidR="004306F2" w:rsidRPr="002E4295">
        <w:rPr>
          <w:lang w:val="fr-FR"/>
        </w:rPr>
        <w:t>99</w:t>
      </w:r>
      <w:r w:rsidR="0082149D">
        <w:rPr>
          <w:lang w:val="fr-FR"/>
        </w:rPr>
        <w:t> </w:t>
      </w:r>
      <w:r w:rsidR="008210BD" w:rsidRPr="002E4295">
        <w:rPr>
          <w:lang w:val="fr-FR"/>
        </w:rPr>
        <w:t>ça</w:t>
      </w:r>
      <w:r w:rsidR="004306F2" w:rsidRPr="002E4295">
        <w:rPr>
          <w:lang w:val="fr-FR"/>
        </w:rPr>
        <w:t xml:space="preserve"> de réserves foncières ont été constituées en 2014. Par ailleurs, le cahier de charges relatif aux concessions foncières au profit de l’agro-industrie inclut toujours des espaces vitaux que doivent aménager les promoteurs au pro</w:t>
      </w:r>
      <w:r w:rsidR="00D31C3D">
        <w:rPr>
          <w:lang w:val="fr-FR"/>
        </w:rPr>
        <w:t>fit des populations riveraines.</w:t>
      </w:r>
    </w:p>
    <w:p w:rsidR="004306F2" w:rsidRPr="002E4295" w:rsidRDefault="00F17353" w:rsidP="00F17353">
      <w:pPr>
        <w:pStyle w:val="H23G"/>
        <w:rPr>
          <w:lang w:val="fr-FR"/>
        </w:rPr>
      </w:pPr>
      <w:bookmarkStart w:id="57" w:name="_Toc466897380"/>
      <w:r>
        <w:rPr>
          <w:lang w:val="fr-FR"/>
        </w:rPr>
        <w:tab/>
      </w:r>
      <w:r>
        <w:rPr>
          <w:lang w:val="fr-FR"/>
        </w:rPr>
        <w:tab/>
      </w:r>
      <w:r w:rsidR="008210BD" w:rsidRPr="002E4295">
        <w:rPr>
          <w:lang w:val="fr-FR"/>
        </w:rPr>
        <w:t>Le</w:t>
      </w:r>
      <w:r w:rsidR="004306F2" w:rsidRPr="002E4295">
        <w:rPr>
          <w:lang w:val="fr-FR"/>
        </w:rPr>
        <w:t xml:space="preserve"> transport et la distribution des denrées alimentaires</w:t>
      </w:r>
      <w:bookmarkEnd w:id="57"/>
    </w:p>
    <w:p w:rsidR="004306F2" w:rsidRPr="002E4295" w:rsidRDefault="00270BF3" w:rsidP="00270BF3">
      <w:pPr>
        <w:pStyle w:val="SingleTxtG"/>
        <w:rPr>
          <w:lang w:val="fr-FR"/>
        </w:rPr>
      </w:pPr>
      <w:r w:rsidRPr="002E4295">
        <w:rPr>
          <w:lang w:val="fr-FR"/>
        </w:rPr>
        <w:t>124.</w:t>
      </w:r>
      <w:r w:rsidRPr="002E4295">
        <w:rPr>
          <w:lang w:val="fr-FR"/>
        </w:rPr>
        <w:tab/>
      </w:r>
      <w:r w:rsidR="004306F2" w:rsidRPr="002E4295">
        <w:rPr>
          <w:lang w:val="fr-FR"/>
        </w:rPr>
        <w:t xml:space="preserve">Afin de structurer les circuits de distribution des denrées alimentaires, le Gouvernement a densifié les infrastructures routières en vue de désenclaver les bassins de production agropastorale. En outre, des magasins de conditionnement et de </w:t>
      </w:r>
      <w:r w:rsidR="004306F2" w:rsidRPr="002E4295">
        <w:rPr>
          <w:lang w:val="fr-FR" w:eastAsia="fr-FR"/>
        </w:rPr>
        <w:t>stockage</w:t>
      </w:r>
      <w:r w:rsidR="004306F2" w:rsidRPr="002E4295">
        <w:rPr>
          <w:lang w:val="fr-FR"/>
        </w:rPr>
        <w:t xml:space="preserve"> des produits agricoles ont été construits dans le but de limiter les pertes postérieures aux récoltes. Des marchés, notamment périodiques et transfrontaliers o</w:t>
      </w:r>
      <w:r w:rsidR="00D251C2">
        <w:rPr>
          <w:lang w:val="fr-FR"/>
        </w:rPr>
        <w:t>nt été également construits. Au </w:t>
      </w:r>
      <w:r w:rsidR="004306F2" w:rsidRPr="002E4295">
        <w:rPr>
          <w:lang w:val="fr-FR"/>
        </w:rPr>
        <w:t>cours de l’année 2015, un montant de 620 000 000 FCFA</w:t>
      </w:r>
      <w:r w:rsidR="004306F2" w:rsidRPr="00E153AE">
        <w:rPr>
          <w:rStyle w:val="Appelnotedebasdep"/>
        </w:rPr>
        <w:footnoteReference w:id="83"/>
      </w:r>
      <w:r w:rsidR="004306F2" w:rsidRPr="002E4295">
        <w:rPr>
          <w:lang w:val="fr-FR"/>
        </w:rPr>
        <w:t xml:space="preserve"> a été débloqué au profit des Communes pour la construction de 30 Marchés périodiques d</w:t>
      </w:r>
      <w:r w:rsidR="008210BD" w:rsidRPr="002E4295">
        <w:rPr>
          <w:lang w:val="fr-FR"/>
        </w:rPr>
        <w:t>ans les 10 Régions. En outre, 2</w:t>
      </w:r>
      <w:r w:rsidR="00C075B5">
        <w:rPr>
          <w:lang w:val="fr-FR"/>
        </w:rPr>
        <w:t> </w:t>
      </w:r>
      <w:r w:rsidR="004306F2" w:rsidRPr="002E4295">
        <w:rPr>
          <w:lang w:val="fr-FR"/>
        </w:rPr>
        <w:t xml:space="preserve">Marchés transfrontaliers ont été construits, en l’occurrence les Marchés de </w:t>
      </w:r>
      <w:proofErr w:type="spellStart"/>
      <w:r w:rsidR="004306F2" w:rsidRPr="002E4295">
        <w:rPr>
          <w:lang w:val="fr-FR"/>
        </w:rPr>
        <w:t>Doumo</w:t>
      </w:r>
      <w:proofErr w:type="spellEnd"/>
      <w:r w:rsidR="004306F2" w:rsidRPr="002E4295">
        <w:rPr>
          <w:lang w:val="fr-FR"/>
        </w:rPr>
        <w:t xml:space="preserve"> dans le Nord et </w:t>
      </w:r>
      <w:proofErr w:type="spellStart"/>
      <w:r w:rsidR="004306F2" w:rsidRPr="002E4295">
        <w:rPr>
          <w:lang w:val="fr-FR"/>
        </w:rPr>
        <w:t>Orokoba</w:t>
      </w:r>
      <w:proofErr w:type="spellEnd"/>
      <w:r w:rsidR="004306F2" w:rsidRPr="002E4295">
        <w:rPr>
          <w:lang w:val="fr-FR"/>
        </w:rPr>
        <w:t xml:space="preserve"> dans le Sud-Ouest.</w:t>
      </w:r>
    </w:p>
    <w:p w:rsidR="004306F2" w:rsidRPr="002E4295" w:rsidRDefault="00270BF3" w:rsidP="00270BF3">
      <w:pPr>
        <w:pStyle w:val="SingleTxtG"/>
        <w:rPr>
          <w:lang w:val="fr-FR"/>
        </w:rPr>
      </w:pPr>
      <w:r w:rsidRPr="002E4295">
        <w:rPr>
          <w:lang w:val="fr-FR"/>
        </w:rPr>
        <w:t>125.</w:t>
      </w:r>
      <w:r w:rsidRPr="002E4295">
        <w:rPr>
          <w:lang w:val="fr-FR"/>
        </w:rPr>
        <w:tab/>
      </w:r>
      <w:r w:rsidR="004306F2" w:rsidRPr="002E4295">
        <w:rPr>
          <w:lang w:val="fr-FR"/>
        </w:rPr>
        <w:t xml:space="preserve">Outre l’intensification des campagnes de ventes promotionnelles au cours de la période 2012-2015, et en vue d’assurer l’approvisionnement des </w:t>
      </w:r>
      <w:r w:rsidR="004306F2" w:rsidRPr="002E4295">
        <w:rPr>
          <w:lang w:val="fr-FR" w:eastAsia="fr-FR"/>
        </w:rPr>
        <w:t>populations</w:t>
      </w:r>
      <w:r w:rsidR="004306F2" w:rsidRPr="002E4295">
        <w:rPr>
          <w:lang w:val="fr-FR"/>
        </w:rPr>
        <w:t xml:space="preserve"> en denrées de première nécessité en dépit de la fluctuation des prix, une Mission de Régulation des Approvisionnements des Produits de Grande Consommation (MIRAP) a été créée par Décret </w:t>
      </w:r>
      <w:r w:rsidR="000B159E" w:rsidRPr="00D31C3D">
        <w:t>n</w:t>
      </w:r>
      <w:r w:rsidR="000B159E" w:rsidRPr="00D6478B">
        <w:rPr>
          <w:vertAlign w:val="superscript"/>
        </w:rPr>
        <w:t>o</w:t>
      </w:r>
      <w:r w:rsidR="000B159E">
        <w:t> </w:t>
      </w:r>
      <w:r w:rsidR="00B002ED">
        <w:rPr>
          <w:lang w:val="fr-FR"/>
        </w:rPr>
        <w:t xml:space="preserve">2011/019 du </w:t>
      </w:r>
      <w:r w:rsidR="004306F2" w:rsidRPr="002E4295">
        <w:rPr>
          <w:lang w:val="fr-FR"/>
        </w:rPr>
        <w:t>1</w:t>
      </w:r>
      <w:r w:rsidR="004306F2" w:rsidRPr="002E4295">
        <w:rPr>
          <w:vertAlign w:val="superscript"/>
          <w:lang w:val="fr-FR"/>
        </w:rPr>
        <w:t>er</w:t>
      </w:r>
      <w:r w:rsidR="00C075B5">
        <w:rPr>
          <w:lang w:val="fr-FR"/>
        </w:rPr>
        <w:t> </w:t>
      </w:r>
      <w:r w:rsidR="004306F2" w:rsidRPr="002E4295">
        <w:rPr>
          <w:lang w:val="fr-FR"/>
        </w:rPr>
        <w:t xml:space="preserve">février 2011. La MIRAP a redynamisé les marchés de proximité par la mise en place d’un pôle d’échanges et de ravitaillement des marchés des grandes villes, notamment à travers des marchés forains, des marchés témoins périodiques et plus récemment les marchés témoins spéciaux. Toutes ces mesures ont contribué au ravitaillement </w:t>
      </w:r>
      <w:r w:rsidR="004306F2" w:rsidRPr="002E4295">
        <w:rPr>
          <w:lang w:val="fr-FR"/>
        </w:rPr>
        <w:lastRenderedPageBreak/>
        <w:t>à des prix pondérés des grandes agglomérations en viande, poisson, poulets et autres produits vivriers, les prix proposés allant jusqu’à moins 15</w:t>
      </w:r>
      <w:r w:rsidR="009E4EF6">
        <w:rPr>
          <w:lang w:val="fr-FR"/>
        </w:rPr>
        <w:t> %</w:t>
      </w:r>
      <w:r w:rsidR="004306F2" w:rsidRPr="002E4295">
        <w:rPr>
          <w:lang w:val="fr-FR"/>
        </w:rPr>
        <w:t>.</w:t>
      </w:r>
    </w:p>
    <w:p w:rsidR="004306F2" w:rsidRPr="002E4295" w:rsidRDefault="00F17353" w:rsidP="00F17353">
      <w:pPr>
        <w:pStyle w:val="H23G"/>
        <w:rPr>
          <w:lang w:val="fr-FR"/>
        </w:rPr>
      </w:pPr>
      <w:bookmarkStart w:id="58" w:name="_Toc466897381"/>
      <w:r>
        <w:rPr>
          <w:lang w:val="fr-FR"/>
        </w:rPr>
        <w:tab/>
      </w:r>
      <w:r>
        <w:rPr>
          <w:lang w:val="fr-FR"/>
        </w:rPr>
        <w:tab/>
      </w:r>
      <w:r w:rsidR="004306F2" w:rsidRPr="002E4295">
        <w:rPr>
          <w:lang w:val="fr-FR"/>
        </w:rPr>
        <w:t>L’accès au crédit agricole</w:t>
      </w:r>
      <w:bookmarkEnd w:id="58"/>
    </w:p>
    <w:p w:rsidR="004306F2" w:rsidRPr="002E4295" w:rsidRDefault="00270BF3" w:rsidP="00270BF3">
      <w:pPr>
        <w:pStyle w:val="SingleTxtG"/>
        <w:rPr>
          <w:lang w:val="fr-FR"/>
        </w:rPr>
      </w:pPr>
      <w:r w:rsidRPr="002E4295">
        <w:rPr>
          <w:lang w:val="fr-FR"/>
        </w:rPr>
        <w:t>126.</w:t>
      </w:r>
      <w:r w:rsidRPr="002E4295">
        <w:rPr>
          <w:lang w:val="fr-FR"/>
        </w:rPr>
        <w:tab/>
      </w:r>
      <w:r w:rsidR="004306F2" w:rsidRPr="002E4295">
        <w:rPr>
          <w:lang w:val="fr-FR"/>
        </w:rPr>
        <w:t xml:space="preserve">Outre le projet de création d’une Banque agricole en cours, le Gouvernement a créé et rendu opérationnelle en 2014 une Banque des Petites et Moyennes Entreprises (BPME), en vue de faciliter l’accès au crédit aux petits </w:t>
      </w:r>
      <w:r w:rsidR="004306F2" w:rsidRPr="002E4295">
        <w:rPr>
          <w:lang w:val="fr-FR" w:eastAsia="fr-FR"/>
        </w:rPr>
        <w:t>producteurs</w:t>
      </w:r>
      <w:r w:rsidR="004306F2" w:rsidRPr="002E4295">
        <w:rPr>
          <w:lang w:val="fr-FR"/>
        </w:rPr>
        <w:t xml:space="preserve">. Par ailleurs, le Projet d’Appui au Développement de la </w:t>
      </w:r>
      <w:r w:rsidR="00E470FB" w:rsidRPr="002E4295">
        <w:rPr>
          <w:lang w:val="fr-FR"/>
        </w:rPr>
        <w:t>Microfinance</w:t>
      </w:r>
      <w:r w:rsidR="004306F2" w:rsidRPr="002E4295">
        <w:rPr>
          <w:lang w:val="fr-FR"/>
        </w:rPr>
        <w:t xml:space="preserve"> Rurale (PADMIR), a permis d’opérationnaliser au cours de l’année 2014 la somme de 2 000 000 000 FCFA</w:t>
      </w:r>
      <w:r w:rsidR="004306F2" w:rsidRPr="00E153AE">
        <w:rPr>
          <w:rStyle w:val="Appelnotedebasdep"/>
        </w:rPr>
        <w:footnoteReference w:id="84"/>
      </w:r>
      <w:r w:rsidR="004306F2" w:rsidRPr="002E4295">
        <w:rPr>
          <w:lang w:val="fr-FR"/>
        </w:rPr>
        <w:t xml:space="preserve"> sur les 9 550 000 000 FCFA</w:t>
      </w:r>
      <w:r w:rsidR="004306F2" w:rsidRPr="00E153AE">
        <w:rPr>
          <w:rStyle w:val="Appelnotedebasdep"/>
        </w:rPr>
        <w:footnoteReference w:id="85"/>
      </w:r>
      <w:r w:rsidR="004306F2" w:rsidRPr="002E4295">
        <w:rPr>
          <w:lang w:val="fr-FR"/>
        </w:rPr>
        <w:t xml:space="preserve"> attendus dans le cadre de ce Projet, au profit de petits producteurs ruraux. Ces fonds sont mis à la disposition des établissements de </w:t>
      </w:r>
      <w:r w:rsidR="00E470FB" w:rsidRPr="002E4295">
        <w:rPr>
          <w:lang w:val="fr-FR"/>
        </w:rPr>
        <w:t>Microfinance</w:t>
      </w:r>
      <w:r w:rsidR="004306F2" w:rsidRPr="002E4295">
        <w:rPr>
          <w:lang w:val="fr-FR"/>
        </w:rPr>
        <w:t xml:space="preserve"> pour le financement de 62 000 petits producteurs ruraux ciblés dans les Régions du Centre, de l’Ouest et de l’Extrême-Nord.</w:t>
      </w:r>
    </w:p>
    <w:p w:rsidR="004306F2" w:rsidRPr="0017665A" w:rsidRDefault="00C075B5" w:rsidP="0017665A">
      <w:pPr>
        <w:pStyle w:val="HChG"/>
      </w:pPr>
      <w:bookmarkStart w:id="59" w:name="_Toc466897382"/>
      <w:r>
        <w:rPr>
          <w:lang w:val="fr-FR"/>
        </w:rPr>
        <w:tab/>
        <w:t>XXIII.</w:t>
      </w:r>
      <w:r>
        <w:rPr>
          <w:lang w:val="fr-FR"/>
        </w:rPr>
        <w:tab/>
      </w:r>
      <w:r w:rsidR="00E470FB" w:rsidRPr="00975438">
        <w:rPr>
          <w:lang w:val="fr-FR"/>
        </w:rPr>
        <w:t>Rec.</w:t>
      </w:r>
      <w:r>
        <w:rPr>
          <w:lang w:val="fr-FR"/>
        </w:rPr>
        <w:t> </w:t>
      </w:r>
      <w:r w:rsidR="004306F2" w:rsidRPr="00975438">
        <w:rPr>
          <w:lang w:val="fr-FR"/>
        </w:rPr>
        <w:t>28</w:t>
      </w:r>
      <w:r w:rsidR="00E470FB" w:rsidRPr="00975438">
        <w:rPr>
          <w:lang w:val="fr-FR"/>
        </w:rPr>
        <w:t>.</w:t>
      </w:r>
      <w:r>
        <w:rPr>
          <w:lang w:val="fr-FR"/>
        </w:rPr>
        <w:t> </w:t>
      </w:r>
      <w:r w:rsidR="004306F2" w:rsidRPr="00975438">
        <w:rPr>
          <w:lang w:val="fr-FR"/>
        </w:rPr>
        <w:t>Lutte contre la mortalité maternelle et infantile</w:t>
      </w:r>
      <w:bookmarkEnd w:id="59"/>
    </w:p>
    <w:p w:rsidR="004306F2" w:rsidRPr="002E4295" w:rsidRDefault="00F17353" w:rsidP="00086A55">
      <w:pPr>
        <w:pStyle w:val="H1G"/>
        <w:rPr>
          <w:lang w:val="fr-FR"/>
        </w:rPr>
      </w:pPr>
      <w:bookmarkStart w:id="60" w:name="_Toc466897383"/>
      <w:r>
        <w:rPr>
          <w:lang w:val="fr-FR"/>
        </w:rPr>
        <w:tab/>
        <w:t>A.</w:t>
      </w:r>
      <w:r>
        <w:rPr>
          <w:lang w:val="fr-FR"/>
        </w:rPr>
        <w:tab/>
      </w:r>
      <w:r w:rsidR="004306F2" w:rsidRPr="002E4295">
        <w:rPr>
          <w:lang w:val="fr-FR"/>
        </w:rPr>
        <w:t>Les mesures visant à réduire la mortalité maternelle</w:t>
      </w:r>
      <w:bookmarkEnd w:id="60"/>
    </w:p>
    <w:p w:rsidR="004306F2" w:rsidRPr="002E4295" w:rsidRDefault="00270BF3" w:rsidP="00270BF3">
      <w:pPr>
        <w:pStyle w:val="SingleTxtG"/>
        <w:rPr>
          <w:bCs/>
          <w:lang w:val="fr-FR"/>
        </w:rPr>
      </w:pPr>
      <w:bookmarkStart w:id="61" w:name="CHAP8"/>
      <w:r w:rsidRPr="002E4295">
        <w:rPr>
          <w:bCs/>
          <w:lang w:val="fr-FR"/>
        </w:rPr>
        <w:t>127.</w:t>
      </w:r>
      <w:r w:rsidRPr="002E4295">
        <w:rPr>
          <w:bCs/>
          <w:lang w:val="fr-FR"/>
        </w:rPr>
        <w:tab/>
      </w:r>
      <w:r w:rsidR="004306F2" w:rsidRPr="002E4295">
        <w:rPr>
          <w:lang w:val="fr-FR"/>
        </w:rPr>
        <w:t xml:space="preserve">Pour infléchir la courbe de la mortalité maternelle qui affichait 782 décès pour 100 000 naissances en 2011, le Gouvernement a mis en place un </w:t>
      </w:r>
      <w:r w:rsidR="004306F2" w:rsidRPr="0017665A">
        <w:rPr>
          <w:lang w:val="fr-FR"/>
        </w:rPr>
        <w:t>Programme National Multisectoriel de Lutte contre la Mortalité Maternelle, Néonatale et Infanto-</w:t>
      </w:r>
      <w:r w:rsidR="004306F2" w:rsidRPr="000B159E">
        <w:rPr>
          <w:lang w:val="fr-FR" w:eastAsia="fr-FR"/>
        </w:rPr>
        <w:t>Juvénile</w:t>
      </w:r>
      <w:r w:rsidR="004306F2" w:rsidRPr="0017665A">
        <w:rPr>
          <w:lang w:val="fr-FR"/>
        </w:rPr>
        <w:t xml:space="preserve"> au Cameroun (2014-2018)</w:t>
      </w:r>
      <w:r w:rsidR="004306F2" w:rsidRPr="000B159E">
        <w:rPr>
          <w:lang w:val="fr-FR"/>
        </w:rPr>
        <w:t xml:space="preserve"> avec pour objectif la </w:t>
      </w:r>
      <w:r w:rsidR="004306F2" w:rsidRPr="000B159E">
        <w:rPr>
          <w:bCs/>
          <w:lang w:val="fr-FR"/>
        </w:rPr>
        <w:t>mise à échelle des interventions à haut</w:t>
      </w:r>
      <w:r w:rsidR="004306F2" w:rsidRPr="002E4295">
        <w:rPr>
          <w:bCs/>
          <w:lang w:val="fr-FR"/>
        </w:rPr>
        <w:t xml:space="preserve"> impact sur la santé de la mère, du nouveau-né et de l’enfant</w:t>
      </w:r>
      <w:r w:rsidR="00F954C6">
        <w:rPr>
          <w:lang w:val="fr-FR"/>
        </w:rPr>
        <w:t>.</w:t>
      </w:r>
    </w:p>
    <w:p w:rsidR="004306F2" w:rsidRPr="002E4295" w:rsidRDefault="00270BF3" w:rsidP="00270BF3">
      <w:pPr>
        <w:pStyle w:val="SingleTxtG"/>
        <w:rPr>
          <w:lang w:val="fr-FR"/>
        </w:rPr>
      </w:pPr>
      <w:r w:rsidRPr="002E4295">
        <w:rPr>
          <w:lang w:val="fr-FR"/>
        </w:rPr>
        <w:t>128.</w:t>
      </w:r>
      <w:r w:rsidRPr="002E4295">
        <w:rPr>
          <w:lang w:val="fr-FR"/>
        </w:rPr>
        <w:tab/>
      </w:r>
      <w:r w:rsidR="004306F2" w:rsidRPr="002E4295">
        <w:rPr>
          <w:lang w:val="fr-FR"/>
        </w:rPr>
        <w:t xml:space="preserve">Pour atteindre les objectifs spécifiques du </w:t>
      </w:r>
      <w:r w:rsidR="004306F2" w:rsidRPr="0017665A">
        <w:rPr>
          <w:lang w:val="fr-FR"/>
        </w:rPr>
        <w:t>Plan Stratégique National</w:t>
      </w:r>
      <w:r w:rsidR="004306F2" w:rsidRPr="000B159E">
        <w:rPr>
          <w:lang w:val="fr-FR"/>
        </w:rPr>
        <w:t xml:space="preserve"> d</w:t>
      </w:r>
      <w:r w:rsidR="004306F2" w:rsidRPr="002E4295">
        <w:rPr>
          <w:lang w:val="fr-FR"/>
        </w:rPr>
        <w:t xml:space="preserve">ont il est </w:t>
      </w:r>
      <w:r w:rsidR="004306F2" w:rsidRPr="00492D14">
        <w:rPr>
          <w:lang w:val="fr-FR"/>
        </w:rPr>
        <w:t>assorti</w:t>
      </w:r>
      <w:r w:rsidR="00B002ED">
        <w:rPr>
          <w:lang w:val="fr-FR"/>
        </w:rPr>
        <w:t xml:space="preserve">, </w:t>
      </w:r>
      <w:r w:rsidR="004306F2" w:rsidRPr="002E4295">
        <w:rPr>
          <w:lang w:val="fr-FR"/>
        </w:rPr>
        <w:t>7 axes stratégiques prioritaires ont été définis autour de la communication, de la levée des barrières financières, du renforcement des capacités, de l’adéquation entre l’offre et la qualité des soins et du renforcement du mécanisme de suivi et d’évaluation.</w:t>
      </w:r>
    </w:p>
    <w:p w:rsidR="004306F2" w:rsidRPr="002E4295" w:rsidRDefault="00270BF3" w:rsidP="00270BF3">
      <w:pPr>
        <w:pStyle w:val="SingleTxtG"/>
        <w:rPr>
          <w:lang w:val="fr-FR"/>
        </w:rPr>
      </w:pPr>
      <w:r w:rsidRPr="002E4295">
        <w:rPr>
          <w:lang w:val="fr-FR"/>
        </w:rPr>
        <w:t>129.</w:t>
      </w:r>
      <w:r w:rsidRPr="002E4295">
        <w:rPr>
          <w:lang w:val="fr-FR"/>
        </w:rPr>
        <w:tab/>
      </w:r>
      <w:r w:rsidR="004306F2" w:rsidRPr="002E4295">
        <w:rPr>
          <w:lang w:val="fr-FR"/>
        </w:rPr>
        <w:t>Ainsi</w:t>
      </w:r>
      <w:r w:rsidR="004306F2" w:rsidRPr="002E4295">
        <w:rPr>
          <w:bCs/>
          <w:lang w:val="fr-FR"/>
        </w:rPr>
        <w:t xml:space="preserve">, la mise en œuvre du volet communication s’est </w:t>
      </w:r>
      <w:r w:rsidR="004306F2" w:rsidRPr="002E4295">
        <w:rPr>
          <w:lang w:val="fr-FR" w:eastAsia="fr-FR"/>
        </w:rPr>
        <w:t>matérialisée</w:t>
      </w:r>
      <w:r w:rsidR="004306F2" w:rsidRPr="002E4295">
        <w:rPr>
          <w:bCs/>
          <w:lang w:val="fr-FR"/>
        </w:rPr>
        <w:t xml:space="preserve"> par </w:t>
      </w:r>
      <w:r w:rsidR="004306F2" w:rsidRPr="002E4295">
        <w:rPr>
          <w:lang w:val="fr-FR"/>
        </w:rPr>
        <w:t xml:space="preserve">la publication en 2015 d’un </w:t>
      </w:r>
      <w:r w:rsidR="004306F2" w:rsidRPr="0017665A">
        <w:rPr>
          <w:rStyle w:val="st"/>
          <w:szCs w:val="24"/>
          <w:lang w:val="fr-FR"/>
        </w:rPr>
        <w:t>Manuel</w:t>
      </w:r>
      <w:r w:rsidR="004306F2" w:rsidRPr="002E4295">
        <w:rPr>
          <w:rStyle w:val="st"/>
          <w:i/>
          <w:szCs w:val="24"/>
          <w:lang w:val="fr-FR"/>
        </w:rPr>
        <w:t xml:space="preserve"> </w:t>
      </w:r>
      <w:r w:rsidR="004306F2" w:rsidRPr="004E45B3">
        <w:t xml:space="preserve">de santé maternelle et </w:t>
      </w:r>
      <w:r w:rsidR="004306F2" w:rsidRPr="004C173E">
        <w:rPr>
          <w:lang w:val="fr-FR"/>
        </w:rPr>
        <w:t>infantile</w:t>
      </w:r>
      <w:r w:rsidR="004306F2" w:rsidRPr="002E4295">
        <w:rPr>
          <w:lang w:val="fr-FR"/>
        </w:rPr>
        <w:t>. Il s’agit d’un carnet contenant des informations pour les Consultations Prénatales (CPN) qui est distribué par le personnel sanitaire aux femmes e</w:t>
      </w:r>
      <w:r w:rsidR="00F954C6">
        <w:rPr>
          <w:lang w:val="fr-FR"/>
        </w:rPr>
        <w:t>n âge de procréer.</w:t>
      </w:r>
    </w:p>
    <w:p w:rsidR="004306F2" w:rsidRPr="002E4295" w:rsidRDefault="00270BF3" w:rsidP="00270BF3">
      <w:pPr>
        <w:pStyle w:val="SingleTxtG"/>
        <w:rPr>
          <w:lang w:val="fr-FR"/>
        </w:rPr>
      </w:pPr>
      <w:r w:rsidRPr="002E4295">
        <w:rPr>
          <w:lang w:val="fr-FR"/>
        </w:rPr>
        <w:t>130.</w:t>
      </w:r>
      <w:r w:rsidRPr="002E4295">
        <w:rPr>
          <w:lang w:val="fr-FR"/>
        </w:rPr>
        <w:tab/>
      </w:r>
      <w:r w:rsidR="004306F2" w:rsidRPr="002E4295">
        <w:rPr>
          <w:lang w:val="fr-FR"/>
        </w:rPr>
        <w:t xml:space="preserve">S’agissant de la levée des barrières financières, des subventions pour les soins de la mère et de son enfant, des kits obstétricaux et le programme Chèque-santé ont été rendus disponibles. Expérimenté depuis 2011 dans les </w:t>
      </w:r>
      <w:r w:rsidR="004306F2" w:rsidRPr="002E4295">
        <w:rPr>
          <w:lang w:val="fr-FR" w:eastAsia="fr-FR"/>
        </w:rPr>
        <w:t>Régions</w:t>
      </w:r>
      <w:r w:rsidR="004306F2" w:rsidRPr="002E4295">
        <w:rPr>
          <w:lang w:val="fr-FR"/>
        </w:rPr>
        <w:t xml:space="preserve"> de l’Adamaoua, du Nord et de l’Extrême-Nord, la stratégie de pré-positionnement des kits obstétricaux a été étendue dans les autres Régions. Le Programme </w:t>
      </w:r>
      <w:r w:rsidR="004306F2" w:rsidRPr="0017665A">
        <w:rPr>
          <w:lang w:val="fr-FR"/>
        </w:rPr>
        <w:t>Chèque-santé</w:t>
      </w:r>
      <w:r w:rsidR="00B002ED">
        <w:rPr>
          <w:lang w:val="fr-FR"/>
        </w:rPr>
        <w:t xml:space="preserve"> a été lancé officiellement le </w:t>
      </w:r>
      <w:r w:rsidR="00D251C2">
        <w:rPr>
          <w:lang w:val="fr-FR"/>
        </w:rPr>
        <w:t>2 juin 2015, à </w:t>
      </w:r>
      <w:r w:rsidR="004306F2" w:rsidRPr="002E4295">
        <w:rPr>
          <w:lang w:val="fr-FR"/>
        </w:rPr>
        <w:t xml:space="preserve">l’Hôpital Régional de </w:t>
      </w:r>
      <w:proofErr w:type="spellStart"/>
      <w:r w:rsidR="004306F2" w:rsidRPr="002E4295">
        <w:rPr>
          <w:lang w:val="fr-FR"/>
        </w:rPr>
        <w:t>Ngaoundéré</w:t>
      </w:r>
      <w:proofErr w:type="spellEnd"/>
      <w:r w:rsidR="004306F2" w:rsidRPr="002E4295">
        <w:rPr>
          <w:lang w:val="fr-FR"/>
        </w:rPr>
        <w:t>. C’est un mécanisme de prépaiement en vue du suivi des femmes pendant toute la période de grossesse, l’accouchement et 6</w:t>
      </w:r>
      <w:r w:rsidR="00F954C6">
        <w:rPr>
          <w:lang w:val="fr-FR"/>
        </w:rPr>
        <w:t xml:space="preserve"> semaines après l’accouchement.</w:t>
      </w:r>
    </w:p>
    <w:p w:rsidR="004306F2" w:rsidRPr="002E4295" w:rsidRDefault="00270BF3" w:rsidP="00270BF3">
      <w:pPr>
        <w:pStyle w:val="SingleTxtG"/>
        <w:rPr>
          <w:lang w:val="fr-FR" w:eastAsia="fr-FR"/>
        </w:rPr>
      </w:pPr>
      <w:r w:rsidRPr="002E4295">
        <w:rPr>
          <w:lang w:val="fr-FR" w:eastAsia="fr-FR"/>
        </w:rPr>
        <w:t>131.</w:t>
      </w:r>
      <w:r w:rsidRPr="002E4295">
        <w:rPr>
          <w:lang w:val="fr-FR" w:eastAsia="fr-FR"/>
        </w:rPr>
        <w:tab/>
      </w:r>
      <w:r w:rsidR="004306F2" w:rsidRPr="002E4295">
        <w:rPr>
          <w:lang w:val="fr-FR"/>
        </w:rPr>
        <w:t>Par ailleurs, le projet d’audit des décès maternels destiné à renforcer les capacités des autorités à comprendre les défis et à prendre des mesures visant à améliorer la santé maternelle est devenu opérationnel dans les 10 Régions du pays en 2014</w:t>
      </w:r>
      <w:r w:rsidR="004306F2" w:rsidRPr="002E4295">
        <w:rPr>
          <w:lang w:val="fr-FR" w:eastAsia="fr-FR"/>
        </w:rPr>
        <w:t>, avec la formation de 400 Agents de santé en audit de la mortalité maternelle, la mise en place des Comités d</w:t>
      </w:r>
      <w:r w:rsidR="006A57AD">
        <w:rPr>
          <w:lang w:val="fr-FR" w:eastAsia="fr-FR"/>
        </w:rPr>
        <w:t>’</w:t>
      </w:r>
      <w:r w:rsidR="004306F2" w:rsidRPr="002E4295">
        <w:rPr>
          <w:lang w:val="fr-FR" w:eastAsia="fr-FR"/>
        </w:rPr>
        <w:t>audit et les notifications hebdomadaires de la mortalité maternelle et néonatale.</w:t>
      </w:r>
    </w:p>
    <w:p w:rsidR="004306F2" w:rsidRPr="002E4295" w:rsidRDefault="00270BF3" w:rsidP="00270BF3">
      <w:pPr>
        <w:pStyle w:val="SingleTxtG"/>
        <w:rPr>
          <w:lang w:val="fr-FR"/>
        </w:rPr>
      </w:pPr>
      <w:r w:rsidRPr="002E4295">
        <w:rPr>
          <w:lang w:val="fr-FR"/>
        </w:rPr>
        <w:t>132.</w:t>
      </w:r>
      <w:r w:rsidRPr="002E4295">
        <w:rPr>
          <w:lang w:val="fr-FR"/>
        </w:rPr>
        <w:tab/>
      </w:r>
      <w:r w:rsidR="004306F2" w:rsidRPr="002E4295">
        <w:rPr>
          <w:lang w:val="fr-FR"/>
        </w:rPr>
        <w:t>Pour</w:t>
      </w:r>
      <w:r w:rsidR="004306F2" w:rsidRPr="002E4295">
        <w:rPr>
          <w:lang w:val="fr-FR" w:eastAsia="fr-FR"/>
        </w:rPr>
        <w:t xml:space="preserve"> pallier aux décès </w:t>
      </w:r>
      <w:r w:rsidR="004306F2" w:rsidRPr="002E4295">
        <w:rPr>
          <w:lang w:val="fr-FR"/>
        </w:rPr>
        <w:t>maternels</w:t>
      </w:r>
      <w:r w:rsidR="004306F2" w:rsidRPr="002E4295">
        <w:rPr>
          <w:lang w:val="fr-FR" w:eastAsia="fr-FR"/>
        </w:rPr>
        <w:t xml:space="preserve">, des </w:t>
      </w:r>
      <w:r w:rsidR="004306F2" w:rsidRPr="002E4295">
        <w:rPr>
          <w:lang w:val="fr-FR"/>
        </w:rPr>
        <w:t xml:space="preserve">CPN ont </w:t>
      </w:r>
      <w:r w:rsidR="004306F2" w:rsidRPr="002E4295">
        <w:rPr>
          <w:lang w:val="fr-FR" w:eastAsia="fr-FR"/>
        </w:rPr>
        <w:t xml:space="preserve">permis la détection à temps et la prise en charge des complications potentielles et des facteurs de risque notamment la pré-éclampsie. Ainsi </w:t>
      </w:r>
      <w:r w:rsidR="004306F2" w:rsidRPr="002E4295">
        <w:rPr>
          <w:lang w:val="fr-FR"/>
        </w:rPr>
        <w:t xml:space="preserve">650 238 </w:t>
      </w:r>
      <w:r w:rsidR="004306F2" w:rsidRPr="002E4295">
        <w:rPr>
          <w:lang w:val="fr-FR" w:eastAsia="fr-FR"/>
        </w:rPr>
        <w:t xml:space="preserve">femmes enceintes ont été consultées </w:t>
      </w:r>
      <w:r w:rsidR="004306F2" w:rsidRPr="002E4295">
        <w:rPr>
          <w:lang w:val="fr-FR"/>
        </w:rPr>
        <w:t>en 2015 sur les 845</w:t>
      </w:r>
      <w:r w:rsidR="000B159E">
        <w:rPr>
          <w:lang w:val="fr-FR"/>
        </w:rPr>
        <w:t> </w:t>
      </w:r>
      <w:r w:rsidR="004306F2" w:rsidRPr="002E4295">
        <w:rPr>
          <w:lang w:val="fr-FR"/>
        </w:rPr>
        <w:t>048 attendus, soit un taux de 76,9</w:t>
      </w:r>
      <w:r w:rsidR="009E4EF6">
        <w:rPr>
          <w:lang w:val="fr-FR"/>
        </w:rPr>
        <w:t> %</w:t>
      </w:r>
      <w:r w:rsidR="004306F2" w:rsidRPr="002E4295">
        <w:rPr>
          <w:lang w:val="fr-FR"/>
        </w:rPr>
        <w:t> </w:t>
      </w:r>
      <w:r w:rsidR="00DA0404">
        <w:rPr>
          <w:lang w:val="fr-FR"/>
        </w:rPr>
        <w:t>;</w:t>
      </w:r>
      <w:r w:rsidR="004306F2" w:rsidRPr="002E4295">
        <w:rPr>
          <w:lang w:val="fr-FR"/>
        </w:rPr>
        <w:t xml:space="preserve"> ce qui est une évolution de 7,4</w:t>
      </w:r>
      <w:r w:rsidR="009E4EF6">
        <w:rPr>
          <w:lang w:val="fr-FR"/>
        </w:rPr>
        <w:t> %</w:t>
      </w:r>
      <w:r w:rsidR="004306F2" w:rsidRPr="002E4295">
        <w:rPr>
          <w:lang w:val="fr-FR"/>
        </w:rPr>
        <w:t xml:space="preserve"> par rapport à 69,5</w:t>
      </w:r>
      <w:r w:rsidR="009E4EF6">
        <w:rPr>
          <w:lang w:val="fr-FR"/>
        </w:rPr>
        <w:t> %</w:t>
      </w:r>
      <w:r w:rsidR="004306F2" w:rsidRPr="002E4295">
        <w:rPr>
          <w:lang w:val="fr-FR"/>
        </w:rPr>
        <w:t xml:space="preserve"> observé en 2014. Pour réduire la mortalité et la morbidité liée au paludisme, depuis 2005, le </w:t>
      </w:r>
      <w:r w:rsidR="004306F2" w:rsidRPr="0017665A">
        <w:rPr>
          <w:lang w:val="fr-FR"/>
        </w:rPr>
        <w:t>Traitement Préventif Intermittent de lutte contre le paludisme</w:t>
      </w:r>
      <w:r w:rsidR="004306F2" w:rsidRPr="008D4FA4">
        <w:rPr>
          <w:lang w:val="fr-FR"/>
        </w:rPr>
        <w:t xml:space="preserve"> e</w:t>
      </w:r>
      <w:r w:rsidR="004306F2" w:rsidRPr="002E4295">
        <w:rPr>
          <w:lang w:val="fr-FR"/>
        </w:rPr>
        <w:t>st gratuit à partir du 4</w:t>
      </w:r>
      <w:r w:rsidR="004306F2" w:rsidRPr="002E4295">
        <w:rPr>
          <w:vertAlign w:val="superscript"/>
          <w:lang w:val="fr-FR"/>
        </w:rPr>
        <w:t>ème</w:t>
      </w:r>
      <w:r w:rsidR="004306F2" w:rsidRPr="002E4295">
        <w:rPr>
          <w:lang w:val="fr-FR"/>
        </w:rPr>
        <w:t xml:space="preserve"> mois de grosse</w:t>
      </w:r>
      <w:r w:rsidR="00B002ED">
        <w:rPr>
          <w:lang w:val="fr-FR"/>
        </w:rPr>
        <w:t xml:space="preserve">sse. </w:t>
      </w:r>
      <w:r w:rsidR="004306F2" w:rsidRPr="002E4295">
        <w:rPr>
          <w:lang w:val="fr-FR"/>
        </w:rPr>
        <w:t xml:space="preserve">En plus, le Gouvernement procède depuis 2011 à la distribution gratuite des </w:t>
      </w:r>
      <w:r w:rsidR="004306F2" w:rsidRPr="002E4295">
        <w:rPr>
          <w:lang w:val="fr-FR"/>
        </w:rPr>
        <w:lastRenderedPageBreak/>
        <w:t>Moustiquaires Imprégnées à Longue Durée d’Action (MILDA) aux familles et aux communautés.</w:t>
      </w:r>
    </w:p>
    <w:p w:rsidR="004306F2" w:rsidRDefault="00270BF3" w:rsidP="00270BF3">
      <w:pPr>
        <w:pStyle w:val="SingleTxtG"/>
        <w:rPr>
          <w:lang w:val="fr-FR" w:eastAsia="fr-FR"/>
        </w:rPr>
      </w:pPr>
      <w:r>
        <w:rPr>
          <w:lang w:val="fr-FR" w:eastAsia="fr-FR"/>
        </w:rPr>
        <w:t>133.</w:t>
      </w:r>
      <w:r>
        <w:rPr>
          <w:lang w:val="fr-FR" w:eastAsia="fr-FR"/>
        </w:rPr>
        <w:tab/>
      </w:r>
      <w:r w:rsidR="004306F2" w:rsidRPr="002E4295">
        <w:rPr>
          <w:lang w:val="fr-FR" w:eastAsia="fr-FR"/>
        </w:rPr>
        <w:t xml:space="preserve">Outre le projet susmentionné, le </w:t>
      </w:r>
      <w:r w:rsidR="004306F2" w:rsidRPr="0017665A">
        <w:rPr>
          <w:lang w:val="fr-FR" w:eastAsia="fr-FR"/>
        </w:rPr>
        <w:t xml:space="preserve">Projet d’appui pour accélérer le Progrès en </w:t>
      </w:r>
      <w:r w:rsidR="004306F2" w:rsidRPr="008D4FA4">
        <w:rPr>
          <w:lang w:val="fr-FR"/>
        </w:rPr>
        <w:t>Santé</w:t>
      </w:r>
      <w:r w:rsidR="004306F2" w:rsidRPr="0017665A">
        <w:rPr>
          <w:lang w:val="fr-FR" w:eastAsia="fr-FR"/>
        </w:rPr>
        <w:t xml:space="preserve"> Maternelle, Néonatale et </w:t>
      </w:r>
      <w:r w:rsidR="004306F2" w:rsidRPr="008D4FA4">
        <w:rPr>
          <w:lang w:val="fr-FR"/>
        </w:rPr>
        <w:t>Infantile</w:t>
      </w:r>
      <w:r w:rsidR="004306F2" w:rsidRPr="0017665A">
        <w:rPr>
          <w:lang w:val="fr-FR" w:eastAsia="fr-FR"/>
        </w:rPr>
        <w:t xml:space="preserve"> au Cameroun</w:t>
      </w:r>
      <w:r w:rsidR="004306F2" w:rsidRPr="008D4FA4">
        <w:rPr>
          <w:lang w:val="fr-FR" w:eastAsia="fr-FR"/>
        </w:rPr>
        <w:t>,</w:t>
      </w:r>
      <w:r w:rsidR="004306F2" w:rsidRPr="002E4295">
        <w:rPr>
          <w:lang w:val="fr-FR" w:eastAsia="fr-FR"/>
        </w:rPr>
        <w:t xml:space="preserve"> élaboré en 2013 a été mis en œuvre dans 5</w:t>
      </w:r>
      <w:r w:rsidR="008D4FA4">
        <w:rPr>
          <w:lang w:val="fr-FR" w:eastAsia="fr-FR"/>
        </w:rPr>
        <w:t> </w:t>
      </w:r>
      <w:r w:rsidR="004306F2" w:rsidRPr="002E4295">
        <w:rPr>
          <w:lang w:val="fr-FR" w:eastAsia="fr-FR"/>
        </w:rPr>
        <w:t>districts de santé de la Région de l’Extrême-Nord. Etalé sur une période de 30 mois (juillet 2013-décembre 2015), ce Projet a permis la sensibilisation et la formation de 200 chefs traditionnels et leaders communautaires sur l’auto-évaluation et la mobilisation de la communauté pour accroître la demande des services de santé de la reproduction, de la santé maternelle, néonatale et infantile et le soutien à 200 structures communautaires.</w:t>
      </w:r>
    </w:p>
    <w:p w:rsidR="00F954C6" w:rsidRPr="002E4295" w:rsidRDefault="00270BF3" w:rsidP="00270BF3">
      <w:pPr>
        <w:pStyle w:val="SingleTxtG"/>
        <w:rPr>
          <w:lang w:val="fr-FR" w:eastAsia="fr-FR"/>
        </w:rPr>
      </w:pPr>
      <w:r w:rsidRPr="002E4295">
        <w:rPr>
          <w:lang w:val="fr-FR" w:eastAsia="fr-FR"/>
        </w:rPr>
        <w:t>134.</w:t>
      </w:r>
      <w:r w:rsidRPr="002E4295">
        <w:rPr>
          <w:lang w:val="fr-FR" w:eastAsia="fr-FR"/>
        </w:rPr>
        <w:tab/>
      </w:r>
      <w:r w:rsidR="00F954C6" w:rsidRPr="002E4295">
        <w:rPr>
          <w:lang w:val="fr-FR"/>
        </w:rPr>
        <w:t>Initiée par la Commission de l</w:t>
      </w:r>
      <w:r w:rsidR="006A57AD">
        <w:rPr>
          <w:lang w:val="fr-FR"/>
        </w:rPr>
        <w:t>’</w:t>
      </w:r>
      <w:r w:rsidR="00F954C6" w:rsidRPr="002E4295">
        <w:rPr>
          <w:lang w:val="fr-FR"/>
        </w:rPr>
        <w:t xml:space="preserve">Union Africaine pour répondre aux défis de la mortalité maternelle dans les pays africains, la CARMMA a été lancée au </w:t>
      </w:r>
      <w:r w:rsidR="00F954C6" w:rsidRPr="002E4295">
        <w:rPr>
          <w:lang w:val="fr-FR" w:eastAsia="fr-FR"/>
        </w:rPr>
        <w:t>Cameroun</w:t>
      </w:r>
      <w:r w:rsidR="00F954C6" w:rsidRPr="002E4295">
        <w:rPr>
          <w:lang w:val="fr-FR"/>
        </w:rPr>
        <w:t xml:space="preserve"> le 8</w:t>
      </w:r>
      <w:r w:rsidR="008D4FA4">
        <w:rPr>
          <w:lang w:val="fr-FR"/>
        </w:rPr>
        <w:t> </w:t>
      </w:r>
      <w:r w:rsidR="00D251C2">
        <w:rPr>
          <w:lang w:val="fr-FR"/>
        </w:rPr>
        <w:t>mai 2010. Le </w:t>
      </w:r>
      <w:r w:rsidR="00F954C6" w:rsidRPr="002E4295">
        <w:rPr>
          <w:lang w:val="fr-FR"/>
        </w:rPr>
        <w:t>taux de mortalité maternelle affiché par la Campagne en 2013 était de 690 pour 100 000 naissances vivantes</w:t>
      </w:r>
      <w:r w:rsidR="00F954C6">
        <w:rPr>
          <w:lang w:val="fr-FR"/>
        </w:rPr>
        <w:t>.</w:t>
      </w:r>
    </w:p>
    <w:p w:rsidR="004306F2" w:rsidRPr="002E4295" w:rsidRDefault="00270BF3" w:rsidP="00270BF3">
      <w:pPr>
        <w:pStyle w:val="SingleTxtG"/>
        <w:rPr>
          <w:lang w:val="fr-FR"/>
        </w:rPr>
      </w:pPr>
      <w:r w:rsidRPr="002E4295">
        <w:rPr>
          <w:lang w:val="fr-FR"/>
        </w:rPr>
        <w:t>135.</w:t>
      </w:r>
      <w:r w:rsidRPr="002E4295">
        <w:rPr>
          <w:lang w:val="fr-FR"/>
        </w:rPr>
        <w:tab/>
      </w:r>
      <w:r w:rsidR="004306F2" w:rsidRPr="002E4295">
        <w:rPr>
          <w:lang w:val="fr-FR"/>
        </w:rPr>
        <w:t>Quant aux ressources humaines, la réouverture de certaines écoles de formation du personnel Sage-femme a porté à 10 le nombre d’Ecoles de Sages-femmes/</w:t>
      </w:r>
      <w:r w:rsidR="004306F2" w:rsidRPr="002E4295">
        <w:rPr>
          <w:lang w:val="fr-FR" w:eastAsia="fr-FR"/>
        </w:rPr>
        <w:t>Maïeuticiens</w:t>
      </w:r>
      <w:r w:rsidR="00B002ED">
        <w:rPr>
          <w:lang w:val="fr-FR"/>
        </w:rPr>
        <w:t xml:space="preserve">, dont </w:t>
      </w:r>
      <w:r w:rsidR="004306F2" w:rsidRPr="002E4295">
        <w:rPr>
          <w:lang w:val="fr-FR"/>
        </w:rPr>
        <w:t>5 appartenant au secteur public et l</w:t>
      </w:r>
      <w:r w:rsidR="00B002ED">
        <w:rPr>
          <w:lang w:val="fr-FR"/>
        </w:rPr>
        <w:t xml:space="preserve">es </w:t>
      </w:r>
      <w:r w:rsidR="004306F2" w:rsidRPr="002E4295">
        <w:rPr>
          <w:lang w:val="fr-FR"/>
        </w:rPr>
        <w:t xml:space="preserve">5 autres au Privé, au 30 mai 2016. Le </w:t>
      </w:r>
      <w:r w:rsidR="00FA5850" w:rsidRPr="002E4295">
        <w:rPr>
          <w:lang w:val="fr-FR"/>
        </w:rPr>
        <w:t>Gouvernement</w:t>
      </w:r>
      <w:r w:rsidR="004306F2" w:rsidRPr="002E4295">
        <w:rPr>
          <w:lang w:val="fr-FR"/>
        </w:rPr>
        <w:t xml:space="preserve"> a déployé 183 Sages-femmes formées en 2015. En plus, 5 846 personnels de santé ont renforcé leurs capacités techniques en santé de reproduction</w:t>
      </w:r>
      <w:r w:rsidR="004306F2" w:rsidRPr="00E153AE">
        <w:rPr>
          <w:rStyle w:val="Appelnotedebasdep"/>
        </w:rPr>
        <w:footnoteReference w:id="86"/>
      </w:r>
      <w:r w:rsidR="004306F2" w:rsidRPr="002E4295">
        <w:rPr>
          <w:lang w:val="fr-FR"/>
        </w:rPr>
        <w:t>, courant 2012 et 2014. Des équipements spécialisés tels des incubateurs, tables pour examen médical et planches représentant le squelette humain, livrés gratuitement par le FNUAP et la Fondation MTN, le 16 avril 2015, ont renforcé les Modules d’enseignement à l’Ecole Privée des Infirmiers de Garoua.</w:t>
      </w:r>
      <w:bookmarkStart w:id="62" w:name="Titre822"/>
      <w:bookmarkEnd w:id="62"/>
    </w:p>
    <w:p w:rsidR="004306F2" w:rsidRPr="002E4295" w:rsidRDefault="00270BF3" w:rsidP="00270BF3">
      <w:pPr>
        <w:pStyle w:val="SingleTxtG"/>
        <w:rPr>
          <w:lang w:val="fr-FR"/>
        </w:rPr>
      </w:pPr>
      <w:r w:rsidRPr="002E4295">
        <w:rPr>
          <w:lang w:val="fr-FR"/>
        </w:rPr>
        <w:t>136.</w:t>
      </w:r>
      <w:r w:rsidRPr="002E4295">
        <w:rPr>
          <w:lang w:val="fr-FR"/>
        </w:rPr>
        <w:tab/>
      </w:r>
      <w:r w:rsidR="004306F2" w:rsidRPr="002E4295">
        <w:rPr>
          <w:lang w:val="fr-FR"/>
        </w:rPr>
        <w:t xml:space="preserve">Pour renforcer </w:t>
      </w:r>
      <w:r w:rsidR="004306F2" w:rsidRPr="002E4295">
        <w:rPr>
          <w:bCs/>
          <w:lang w:val="fr-FR"/>
        </w:rPr>
        <w:t xml:space="preserve">l’offre de </w:t>
      </w:r>
      <w:r w:rsidR="004306F2" w:rsidRPr="00011FAB">
        <w:rPr>
          <w:lang w:val="fr-FR"/>
        </w:rPr>
        <w:t>soins</w:t>
      </w:r>
      <w:r w:rsidR="004306F2" w:rsidRPr="002E4295">
        <w:rPr>
          <w:lang w:val="fr-FR"/>
        </w:rPr>
        <w:t xml:space="preserve">, des Pavillons </w:t>
      </w:r>
      <w:r w:rsidR="008D4FA4">
        <w:rPr>
          <w:lang w:val="fr-FR"/>
        </w:rPr>
        <w:t>« </w:t>
      </w:r>
      <w:r w:rsidR="004306F2" w:rsidRPr="002E4295">
        <w:rPr>
          <w:lang w:val="fr-FR"/>
        </w:rPr>
        <w:t>Mère-Enfant</w:t>
      </w:r>
      <w:r w:rsidR="008D4FA4">
        <w:rPr>
          <w:lang w:val="fr-FR"/>
        </w:rPr>
        <w:t> »</w:t>
      </w:r>
      <w:r w:rsidR="004306F2" w:rsidRPr="002E4295">
        <w:rPr>
          <w:lang w:val="fr-FR"/>
        </w:rPr>
        <w:t xml:space="preserve"> ont été construits et équipés. Un </w:t>
      </w:r>
      <w:r w:rsidR="004306F2" w:rsidRPr="0017665A">
        <w:rPr>
          <w:lang w:val="fr-FR"/>
        </w:rPr>
        <w:t>Centre Hospitalier de Recherche et d’Application en Chirurgie Endoscopique et Reproduction Humaine de Référence</w:t>
      </w:r>
      <w:r w:rsidR="004306F2" w:rsidRPr="002E4295">
        <w:rPr>
          <w:i/>
          <w:lang w:val="fr-FR"/>
        </w:rPr>
        <w:t xml:space="preserve"> </w:t>
      </w:r>
      <w:r w:rsidR="004306F2" w:rsidRPr="002E4295">
        <w:rPr>
          <w:lang w:val="fr-FR"/>
        </w:rPr>
        <w:t xml:space="preserve">(CHRACERH) a </w:t>
      </w:r>
      <w:r w:rsidR="004306F2" w:rsidRPr="002E4295">
        <w:rPr>
          <w:lang w:val="fr-FR" w:eastAsia="fr-FR"/>
        </w:rPr>
        <w:t>été</w:t>
      </w:r>
      <w:r w:rsidR="00B002ED">
        <w:rPr>
          <w:lang w:val="fr-FR"/>
        </w:rPr>
        <w:t xml:space="preserve"> inauguré le </w:t>
      </w:r>
      <w:r w:rsidR="004306F2" w:rsidRPr="002E4295">
        <w:rPr>
          <w:lang w:val="fr-FR"/>
        </w:rPr>
        <w:t>6 mai 2016, à Yaoundé.</w:t>
      </w:r>
    </w:p>
    <w:p w:rsidR="00FB36CA" w:rsidRDefault="00270BF3" w:rsidP="00270BF3">
      <w:pPr>
        <w:pStyle w:val="SingleTxtG"/>
        <w:rPr>
          <w:lang w:val="fr-FR"/>
        </w:rPr>
      </w:pPr>
      <w:r>
        <w:rPr>
          <w:lang w:val="fr-FR"/>
        </w:rPr>
        <w:t>137.</w:t>
      </w:r>
      <w:r>
        <w:rPr>
          <w:lang w:val="fr-FR"/>
        </w:rPr>
        <w:tab/>
      </w:r>
      <w:r w:rsidR="004306F2" w:rsidRPr="00FB36CA">
        <w:rPr>
          <w:lang w:val="fr-FR"/>
        </w:rPr>
        <w:t>Tous les efforts sus mentionnés ont contribué à porter le taux d’accouchements assistés de 49,90</w:t>
      </w:r>
      <w:r w:rsidR="009E4EF6">
        <w:rPr>
          <w:lang w:val="fr-FR"/>
        </w:rPr>
        <w:t> %</w:t>
      </w:r>
      <w:r w:rsidR="004306F2" w:rsidRPr="00FB36CA">
        <w:rPr>
          <w:lang w:val="fr-FR"/>
        </w:rPr>
        <w:t xml:space="preserve"> en 2012, à 54,69</w:t>
      </w:r>
      <w:r w:rsidR="009E4EF6">
        <w:rPr>
          <w:lang w:val="fr-FR"/>
        </w:rPr>
        <w:t> %</w:t>
      </w:r>
      <w:r w:rsidR="004306F2" w:rsidRPr="00FB36CA">
        <w:rPr>
          <w:lang w:val="fr-FR"/>
        </w:rPr>
        <w:t xml:space="preserve"> en 2013, puis à 63</w:t>
      </w:r>
      <w:r w:rsidR="009E4EF6">
        <w:rPr>
          <w:lang w:val="fr-FR"/>
        </w:rPr>
        <w:t> %</w:t>
      </w:r>
      <w:r w:rsidR="004306F2" w:rsidRPr="00FB36CA">
        <w:rPr>
          <w:lang w:val="fr-FR"/>
        </w:rPr>
        <w:t xml:space="preserve"> en 2015.</w:t>
      </w:r>
      <w:bookmarkStart w:id="63" w:name="FRONTPAGE"/>
      <w:bookmarkStart w:id="64" w:name="Titre81"/>
      <w:bookmarkStart w:id="65" w:name="Titre811"/>
      <w:bookmarkStart w:id="66" w:name="_Toc466897384"/>
      <w:bookmarkEnd w:id="61"/>
      <w:bookmarkEnd w:id="63"/>
      <w:bookmarkEnd w:id="64"/>
      <w:bookmarkEnd w:id="65"/>
    </w:p>
    <w:p w:rsidR="004306F2" w:rsidRPr="00FB36CA" w:rsidRDefault="00FA52C0" w:rsidP="00FA52C0">
      <w:pPr>
        <w:pStyle w:val="H1G"/>
        <w:rPr>
          <w:lang w:val="fr-FR"/>
        </w:rPr>
      </w:pPr>
      <w:r>
        <w:rPr>
          <w:lang w:val="fr-FR"/>
        </w:rPr>
        <w:tab/>
        <w:t>B.</w:t>
      </w:r>
      <w:r>
        <w:rPr>
          <w:lang w:val="fr-FR"/>
        </w:rPr>
        <w:tab/>
      </w:r>
      <w:r w:rsidR="004306F2" w:rsidRPr="00FB36CA">
        <w:rPr>
          <w:lang w:val="fr-FR"/>
        </w:rPr>
        <w:t>Les mesures visant à réduire la mortalité infantile</w:t>
      </w:r>
      <w:bookmarkEnd w:id="66"/>
    </w:p>
    <w:p w:rsidR="004306F2" w:rsidRPr="002E4295" w:rsidRDefault="00270BF3" w:rsidP="00270BF3">
      <w:pPr>
        <w:pStyle w:val="SingleTxtG"/>
        <w:rPr>
          <w:lang w:val="fr-FR"/>
        </w:rPr>
      </w:pPr>
      <w:r w:rsidRPr="002E4295">
        <w:rPr>
          <w:lang w:val="fr-FR"/>
        </w:rPr>
        <w:t>138.</w:t>
      </w:r>
      <w:r w:rsidRPr="002E4295">
        <w:rPr>
          <w:lang w:val="fr-FR"/>
        </w:rPr>
        <w:tab/>
      </w:r>
      <w:r w:rsidR="004306F2" w:rsidRPr="002E4295">
        <w:rPr>
          <w:lang w:val="fr-FR"/>
        </w:rPr>
        <w:t xml:space="preserve">A l’arrêt du Projet CARMMA en 2013, la proportion de la mortalité infantile a baissé. Pour 1 000 naissances vivantes, le taux de mortalité néonatale est passé de 31 en </w:t>
      </w:r>
      <w:r w:rsidR="008159DC">
        <w:rPr>
          <w:lang w:val="fr-FR"/>
        </w:rPr>
        <w:t>2011 à 28 cas de décès en 2014.</w:t>
      </w:r>
    </w:p>
    <w:p w:rsidR="004306F2" w:rsidRPr="002E4295" w:rsidRDefault="00270BF3" w:rsidP="00270BF3">
      <w:pPr>
        <w:pStyle w:val="SingleTxtG"/>
        <w:rPr>
          <w:lang w:val="fr-FR"/>
        </w:rPr>
      </w:pPr>
      <w:r w:rsidRPr="002E4295">
        <w:rPr>
          <w:lang w:val="fr-FR"/>
        </w:rPr>
        <w:t>139.</w:t>
      </w:r>
      <w:r w:rsidRPr="002E4295">
        <w:rPr>
          <w:lang w:val="fr-FR"/>
        </w:rPr>
        <w:tab/>
      </w:r>
      <w:r w:rsidR="004306F2" w:rsidRPr="002E4295">
        <w:rPr>
          <w:lang w:val="fr-FR"/>
        </w:rPr>
        <w:t>La proportion des nouveau-nés qui ont bénéficié à la naissance et lors du post-partum d’une prise en charge est de 38,17</w:t>
      </w:r>
      <w:r w:rsidR="009E4EF6">
        <w:rPr>
          <w:lang w:val="fr-FR"/>
        </w:rPr>
        <w:t> %</w:t>
      </w:r>
      <w:r w:rsidR="004306F2" w:rsidRPr="002E4295">
        <w:rPr>
          <w:lang w:val="fr-FR"/>
        </w:rPr>
        <w:t xml:space="preserve"> en 2015. La quasi-totalité de ces nouveau-nés sont allaités au sein, soit 95</w:t>
      </w:r>
      <w:r w:rsidR="009E4EF6">
        <w:rPr>
          <w:lang w:val="fr-FR"/>
        </w:rPr>
        <w:t> %</w:t>
      </w:r>
      <w:r w:rsidR="004306F2" w:rsidRPr="002E4295">
        <w:rPr>
          <w:lang w:val="fr-FR"/>
        </w:rPr>
        <w:t xml:space="preserve"> dont 28,2</w:t>
      </w:r>
      <w:r w:rsidR="009E4EF6">
        <w:rPr>
          <w:lang w:val="fr-FR"/>
        </w:rPr>
        <w:t> %</w:t>
      </w:r>
      <w:r w:rsidR="004306F2" w:rsidRPr="002E4295">
        <w:rPr>
          <w:lang w:val="fr-FR"/>
        </w:rPr>
        <w:t xml:space="preserve"> exclusive</w:t>
      </w:r>
      <w:r w:rsidR="00B002ED">
        <w:rPr>
          <w:lang w:val="fr-FR"/>
        </w:rPr>
        <w:t xml:space="preserve">ment allaités jusqu’à l’âge de </w:t>
      </w:r>
      <w:r w:rsidR="004306F2" w:rsidRPr="002E4295">
        <w:rPr>
          <w:lang w:val="fr-FR"/>
        </w:rPr>
        <w:t>6 mois alors que ce taux était de 20</w:t>
      </w:r>
      <w:r w:rsidR="009E4EF6">
        <w:rPr>
          <w:lang w:val="fr-FR"/>
        </w:rPr>
        <w:t> %</w:t>
      </w:r>
      <w:r w:rsidR="004306F2" w:rsidRPr="002E4295">
        <w:rPr>
          <w:lang w:val="fr-FR"/>
        </w:rPr>
        <w:t xml:space="preserve"> en 2011. La couverture vaccinale pour les nouveau-nés est en </w:t>
      </w:r>
      <w:r w:rsidR="004306F2" w:rsidRPr="002E4295">
        <w:rPr>
          <w:lang w:val="fr-FR" w:eastAsia="fr-FR"/>
        </w:rPr>
        <w:t>hausse</w:t>
      </w:r>
      <w:r w:rsidR="004306F2" w:rsidRPr="002E4295">
        <w:rPr>
          <w:lang w:val="fr-FR"/>
        </w:rPr>
        <w:t>. Par exemple, elle est passée de 77,84</w:t>
      </w:r>
      <w:r w:rsidR="009E4EF6">
        <w:rPr>
          <w:lang w:val="fr-FR"/>
        </w:rPr>
        <w:t> %</w:t>
      </w:r>
      <w:r w:rsidR="004306F2" w:rsidRPr="002E4295">
        <w:rPr>
          <w:lang w:val="fr-FR"/>
        </w:rPr>
        <w:t xml:space="preserve"> en 2014 à 90</w:t>
      </w:r>
      <w:r w:rsidR="009E4EF6">
        <w:rPr>
          <w:lang w:val="fr-FR"/>
        </w:rPr>
        <w:t> %</w:t>
      </w:r>
      <w:r w:rsidR="004306F2" w:rsidRPr="002E4295">
        <w:rPr>
          <w:lang w:val="fr-FR"/>
        </w:rPr>
        <w:t xml:space="preserve"> en 2015 (soit 375</w:t>
      </w:r>
      <w:r w:rsidR="009E4D4C">
        <w:rPr>
          <w:lang w:val="fr-FR"/>
        </w:rPr>
        <w:t> </w:t>
      </w:r>
      <w:r w:rsidR="004306F2" w:rsidRPr="002E4295">
        <w:rPr>
          <w:lang w:val="fr-FR"/>
        </w:rPr>
        <w:t xml:space="preserve">792 nouveau-nés immunisés en 2015). </w:t>
      </w:r>
      <w:r w:rsidR="004306F2" w:rsidRPr="002E4295">
        <w:rPr>
          <w:bCs/>
          <w:lang w:val="fr-FR" w:eastAsia="fr-FR"/>
        </w:rPr>
        <w:t>Pour promouvoir les vertus de l’allaitement maternel, le Cameroun s’associe chaque année à la Communauté internationale pour célébrer la semaine de l’allaitement maternel, susceptible de contrer</w:t>
      </w:r>
      <w:r w:rsidR="004306F2" w:rsidRPr="002E4295">
        <w:rPr>
          <w:lang w:val="fr-FR" w:eastAsia="fr-FR"/>
        </w:rPr>
        <w:t xml:space="preserve"> de nombreux problèmes</w:t>
      </w:r>
      <w:r w:rsidR="004306F2" w:rsidRPr="00E153AE">
        <w:rPr>
          <w:rStyle w:val="Appelnotedebasdep"/>
        </w:rPr>
        <w:footnoteReference w:id="87"/>
      </w:r>
      <w:r w:rsidR="004306F2" w:rsidRPr="002E4295">
        <w:rPr>
          <w:lang w:val="fr-FR" w:eastAsia="fr-FR"/>
        </w:rPr>
        <w:t xml:space="preserve"> responsables de </w:t>
      </w:r>
      <w:r w:rsidR="004306F2" w:rsidRPr="002E4295">
        <w:rPr>
          <w:bCs/>
          <w:lang w:val="fr-FR" w:eastAsia="fr-FR"/>
        </w:rPr>
        <w:t>29</w:t>
      </w:r>
      <w:r w:rsidR="009E4EF6">
        <w:rPr>
          <w:bCs/>
          <w:lang w:val="fr-FR" w:eastAsia="fr-FR"/>
        </w:rPr>
        <w:t> %</w:t>
      </w:r>
      <w:r w:rsidR="004306F2" w:rsidRPr="002E4295">
        <w:rPr>
          <w:bCs/>
          <w:lang w:val="fr-FR" w:eastAsia="fr-FR"/>
        </w:rPr>
        <w:t xml:space="preserve"> des décès d</w:t>
      </w:r>
      <w:r w:rsidR="006A57AD">
        <w:rPr>
          <w:bCs/>
          <w:lang w:val="fr-FR" w:eastAsia="fr-FR"/>
        </w:rPr>
        <w:t>’</w:t>
      </w:r>
      <w:r w:rsidR="004306F2" w:rsidRPr="002E4295">
        <w:rPr>
          <w:bCs/>
          <w:lang w:val="fr-FR" w:eastAsia="fr-FR"/>
        </w:rPr>
        <w:t xml:space="preserve">enfants </w:t>
      </w:r>
      <w:r w:rsidR="004306F2" w:rsidRPr="002E4295">
        <w:rPr>
          <w:lang w:val="fr-FR" w:eastAsia="fr-FR"/>
        </w:rPr>
        <w:t>de moins d</w:t>
      </w:r>
      <w:r w:rsidR="006A57AD">
        <w:rPr>
          <w:lang w:val="fr-FR" w:eastAsia="fr-FR"/>
        </w:rPr>
        <w:t>’</w:t>
      </w:r>
      <w:r w:rsidR="004306F2" w:rsidRPr="002E4295">
        <w:rPr>
          <w:lang w:val="fr-FR" w:eastAsia="fr-FR"/>
        </w:rPr>
        <w:t>un an.</w:t>
      </w:r>
    </w:p>
    <w:p w:rsidR="004306F2" w:rsidRPr="002E4295" w:rsidRDefault="00270BF3" w:rsidP="00270BF3">
      <w:pPr>
        <w:pStyle w:val="SingleTxtG"/>
        <w:rPr>
          <w:lang w:val="fr-FR" w:eastAsia="fr-FR"/>
        </w:rPr>
      </w:pPr>
      <w:r w:rsidRPr="002E4295">
        <w:rPr>
          <w:lang w:val="fr-FR" w:eastAsia="fr-FR"/>
        </w:rPr>
        <w:t>140.</w:t>
      </w:r>
      <w:r w:rsidRPr="002E4295">
        <w:rPr>
          <w:lang w:val="fr-FR" w:eastAsia="fr-FR"/>
        </w:rPr>
        <w:tab/>
      </w:r>
      <w:r w:rsidR="004306F2" w:rsidRPr="002E4295">
        <w:rPr>
          <w:lang w:val="fr-FR"/>
        </w:rPr>
        <w:t>La</w:t>
      </w:r>
      <w:r w:rsidR="004306F2" w:rsidRPr="002E4295">
        <w:rPr>
          <w:lang w:val="fr-FR" w:eastAsia="fr-FR"/>
        </w:rPr>
        <w:t xml:space="preserve"> </w:t>
      </w:r>
      <w:r w:rsidR="004306F2" w:rsidRPr="002E4295">
        <w:rPr>
          <w:lang w:val="fr-FR"/>
        </w:rPr>
        <w:t>vaccination</w:t>
      </w:r>
      <w:r w:rsidR="004306F2" w:rsidRPr="002E4295">
        <w:rPr>
          <w:lang w:val="fr-FR" w:eastAsia="fr-FR"/>
        </w:rPr>
        <w:t xml:space="preserve"> </w:t>
      </w:r>
      <w:r w:rsidR="004306F2" w:rsidRPr="002E4295">
        <w:rPr>
          <w:lang w:val="fr-FR"/>
        </w:rPr>
        <w:t>contre</w:t>
      </w:r>
      <w:r w:rsidR="004306F2" w:rsidRPr="002E4295">
        <w:rPr>
          <w:lang w:val="fr-FR" w:eastAsia="fr-FR"/>
        </w:rPr>
        <w:t xml:space="preserve"> la </w:t>
      </w:r>
      <w:r w:rsidR="004306F2" w:rsidRPr="0017665A">
        <w:rPr>
          <w:lang w:val="fr-FR" w:eastAsia="fr-FR"/>
        </w:rPr>
        <w:t xml:space="preserve">diarrhée à </w:t>
      </w:r>
      <w:proofErr w:type="spellStart"/>
      <w:r w:rsidR="004306F2" w:rsidRPr="0017665A">
        <w:rPr>
          <w:lang w:val="fr-FR" w:eastAsia="fr-FR"/>
        </w:rPr>
        <w:t>rotavirus</w:t>
      </w:r>
      <w:proofErr w:type="spellEnd"/>
      <w:r w:rsidR="004306F2" w:rsidRPr="002E4295">
        <w:rPr>
          <w:lang w:val="fr-FR" w:eastAsia="fr-FR"/>
        </w:rPr>
        <w:t xml:space="preserve"> a été ajoutée au calendrier vaccinal en 2014.</w:t>
      </w:r>
      <w:r w:rsidR="004306F2" w:rsidRPr="002E4295">
        <w:rPr>
          <w:lang w:val="fr-FR"/>
        </w:rPr>
        <w:t xml:space="preserve"> La p</w:t>
      </w:r>
      <w:r w:rsidR="004306F2" w:rsidRPr="002E4295">
        <w:rPr>
          <w:lang w:val="fr-FR" w:eastAsia="fr-FR"/>
        </w:rPr>
        <w:t>révalence d</w:t>
      </w:r>
      <w:r w:rsidR="004306F2" w:rsidRPr="002E4295">
        <w:rPr>
          <w:lang w:val="fr-FR"/>
        </w:rPr>
        <w:t>es enf</w:t>
      </w:r>
      <w:r w:rsidR="004306F2" w:rsidRPr="002E4295">
        <w:rPr>
          <w:lang w:val="fr-FR" w:eastAsia="fr-FR"/>
        </w:rPr>
        <w:t xml:space="preserve">ants souffrant de </w:t>
      </w:r>
      <w:r w:rsidR="004306F2" w:rsidRPr="002E4295">
        <w:rPr>
          <w:lang w:val="fr-FR"/>
        </w:rPr>
        <w:t xml:space="preserve">paludisme </w:t>
      </w:r>
      <w:r w:rsidR="004306F2" w:rsidRPr="002E4295">
        <w:rPr>
          <w:lang w:val="fr-FR" w:eastAsia="fr-FR"/>
        </w:rPr>
        <w:t>simple</w:t>
      </w:r>
      <w:r w:rsidR="004306F2" w:rsidRPr="002E4295">
        <w:rPr>
          <w:lang w:val="fr-FR"/>
        </w:rPr>
        <w:t xml:space="preserve"> traité gratuitement </w:t>
      </w:r>
      <w:r w:rsidR="004306F2" w:rsidRPr="002E4295">
        <w:rPr>
          <w:lang w:val="fr-FR" w:eastAsia="fr-FR"/>
        </w:rPr>
        <w:t>est passée de 30</w:t>
      </w:r>
      <w:r w:rsidR="009E4EF6">
        <w:rPr>
          <w:lang w:val="fr-FR" w:eastAsia="fr-FR"/>
        </w:rPr>
        <w:t> %</w:t>
      </w:r>
      <w:r w:rsidR="004306F2" w:rsidRPr="002E4295">
        <w:rPr>
          <w:lang w:val="fr-FR" w:eastAsia="fr-FR"/>
        </w:rPr>
        <w:t xml:space="preserve"> en 2011 à 68</w:t>
      </w:r>
      <w:r w:rsidR="009E4EF6">
        <w:rPr>
          <w:lang w:val="fr-FR" w:eastAsia="fr-FR"/>
        </w:rPr>
        <w:t> %</w:t>
      </w:r>
      <w:r w:rsidR="004306F2" w:rsidRPr="002E4295">
        <w:rPr>
          <w:lang w:val="fr-FR" w:eastAsia="fr-FR"/>
        </w:rPr>
        <w:t xml:space="preserve"> en 2014.</w:t>
      </w:r>
    </w:p>
    <w:p w:rsidR="004306F2" w:rsidRPr="002E4295" w:rsidRDefault="00270BF3" w:rsidP="00270BF3">
      <w:pPr>
        <w:pStyle w:val="SingleTxtG"/>
        <w:rPr>
          <w:lang w:val="fr-FR" w:eastAsia="fr-FR"/>
        </w:rPr>
      </w:pPr>
      <w:r w:rsidRPr="002E4295">
        <w:rPr>
          <w:lang w:val="fr-FR" w:eastAsia="fr-FR"/>
        </w:rPr>
        <w:t>141.</w:t>
      </w:r>
      <w:r w:rsidRPr="002E4295">
        <w:rPr>
          <w:lang w:val="fr-FR" w:eastAsia="fr-FR"/>
        </w:rPr>
        <w:tab/>
      </w:r>
      <w:r w:rsidR="004306F2" w:rsidRPr="002E4295">
        <w:rPr>
          <w:lang w:val="fr-FR"/>
        </w:rPr>
        <w:t xml:space="preserve">Pour la mise en œuvre de la Prévention de la Transmission Mère-Enfant du VIH, </w:t>
      </w:r>
      <w:r w:rsidR="004306F2" w:rsidRPr="0017665A">
        <w:rPr>
          <w:lang w:val="fr-FR"/>
        </w:rPr>
        <w:t>voir la réponse à la Recommandation 31 ci-dessous</w:t>
      </w:r>
      <w:r w:rsidR="004306F2" w:rsidRPr="009E4D4C">
        <w:rPr>
          <w:lang w:val="fr-FR"/>
        </w:rPr>
        <w:t>.</w:t>
      </w:r>
    </w:p>
    <w:p w:rsidR="004306F2" w:rsidRPr="0017665A" w:rsidRDefault="00C075B5" w:rsidP="0017665A">
      <w:pPr>
        <w:pStyle w:val="H1G"/>
      </w:pPr>
      <w:bookmarkStart w:id="67" w:name="_Toc466897385"/>
      <w:r>
        <w:rPr>
          <w:lang w:val="fr-FR"/>
        </w:rPr>
        <w:lastRenderedPageBreak/>
        <w:tab/>
        <w:t>C.</w:t>
      </w:r>
      <w:r>
        <w:rPr>
          <w:lang w:val="fr-FR"/>
        </w:rPr>
        <w:tab/>
      </w:r>
      <w:r w:rsidR="004306F2" w:rsidRPr="002E4295">
        <w:rPr>
          <w:lang w:val="fr-FR"/>
        </w:rPr>
        <w:t xml:space="preserve">L’accès à la santé sexuelle et de reproduction des femmes </w:t>
      </w:r>
      <w:r w:rsidR="009E4D4C">
        <w:rPr>
          <w:lang w:val="fr-FR"/>
        </w:rPr>
        <w:br/>
      </w:r>
      <w:r w:rsidR="004306F2" w:rsidRPr="002E4295">
        <w:rPr>
          <w:lang w:val="fr-FR"/>
        </w:rPr>
        <w:t>et des</w:t>
      </w:r>
      <w:r w:rsidR="004306F2" w:rsidRPr="002E4295">
        <w:rPr>
          <w:bCs/>
          <w:lang w:val="fr-FR"/>
        </w:rPr>
        <w:t xml:space="preserve"> adolescentes</w:t>
      </w:r>
      <w:bookmarkEnd w:id="67"/>
    </w:p>
    <w:p w:rsidR="004306F2" w:rsidRPr="002E4295" w:rsidRDefault="00270BF3" w:rsidP="00270BF3">
      <w:pPr>
        <w:pStyle w:val="SingleTxtG"/>
        <w:rPr>
          <w:lang w:val="fr-FR"/>
        </w:rPr>
      </w:pPr>
      <w:r w:rsidRPr="002E4295">
        <w:rPr>
          <w:lang w:val="fr-FR"/>
        </w:rPr>
        <w:t>142.</w:t>
      </w:r>
      <w:r w:rsidRPr="002E4295">
        <w:rPr>
          <w:lang w:val="fr-FR"/>
        </w:rPr>
        <w:tab/>
      </w:r>
      <w:r w:rsidR="004306F2" w:rsidRPr="002E4295">
        <w:rPr>
          <w:lang w:val="fr-FR"/>
        </w:rPr>
        <w:t>Outre</w:t>
      </w:r>
      <w:r w:rsidR="004306F2" w:rsidRPr="002E4295">
        <w:rPr>
          <w:lang w:val="fr-FR" w:eastAsia="fr-FR"/>
        </w:rPr>
        <w:t xml:space="preserve"> l’adoption de </w:t>
      </w:r>
      <w:r w:rsidR="004306F2" w:rsidRPr="002E4295">
        <w:rPr>
          <w:lang w:val="fr-FR"/>
        </w:rPr>
        <w:t>plusieurs</w:t>
      </w:r>
      <w:r w:rsidR="004306F2" w:rsidRPr="002E4295">
        <w:rPr>
          <w:lang w:val="fr-FR" w:eastAsia="fr-FR"/>
        </w:rPr>
        <w:t xml:space="preserve"> Plans</w:t>
      </w:r>
      <w:r w:rsidR="004306F2" w:rsidRPr="00E153AE">
        <w:rPr>
          <w:rStyle w:val="Appelnotedebasdep"/>
        </w:rPr>
        <w:footnoteReference w:id="88"/>
      </w:r>
      <w:r w:rsidR="004306F2" w:rsidRPr="002E4295">
        <w:rPr>
          <w:lang w:val="fr-FR" w:eastAsia="fr-FR"/>
        </w:rPr>
        <w:t xml:space="preserve"> en vue de garantir l’accès </w:t>
      </w:r>
      <w:r w:rsidR="004306F2" w:rsidRPr="002E4295">
        <w:rPr>
          <w:lang w:val="fr-FR"/>
        </w:rPr>
        <w:t>à</w:t>
      </w:r>
      <w:r w:rsidR="004306F2" w:rsidRPr="002E4295">
        <w:rPr>
          <w:lang w:val="fr-FR" w:eastAsia="fr-FR"/>
        </w:rPr>
        <w:t xml:space="preserve"> la santé </w:t>
      </w:r>
      <w:r w:rsidR="004306F2" w:rsidRPr="002E4295">
        <w:rPr>
          <w:lang w:val="fr-FR"/>
        </w:rPr>
        <w:t>sexuelle</w:t>
      </w:r>
      <w:r w:rsidR="004306F2" w:rsidRPr="002E4295">
        <w:rPr>
          <w:lang w:val="fr-FR" w:eastAsia="fr-FR"/>
        </w:rPr>
        <w:t xml:space="preserve"> et de reproduction des femmes et adolescentes à l’instar du</w:t>
      </w:r>
      <w:r w:rsidR="00C316C0">
        <w:rPr>
          <w:lang w:val="fr-FR" w:eastAsia="fr-FR"/>
        </w:rPr>
        <w:t xml:space="preserve"> </w:t>
      </w:r>
      <w:r w:rsidR="004306F2" w:rsidRPr="0017665A">
        <w:rPr>
          <w:lang w:val="fr-FR" w:eastAsia="fr-FR"/>
        </w:rPr>
        <w:t>Plan Stratégique de Développement Intégral du Jeune Enfant (</w:t>
      </w:r>
      <w:r w:rsidR="004306F2" w:rsidRPr="009E4D4C">
        <w:rPr>
          <w:lang w:val="fr-FR" w:eastAsia="fr-FR"/>
        </w:rPr>
        <w:t>2010</w:t>
      </w:r>
      <w:r w:rsidR="004306F2" w:rsidRPr="0017665A">
        <w:rPr>
          <w:lang w:val="fr-FR" w:eastAsia="fr-FR"/>
        </w:rPr>
        <w:t>-2012)</w:t>
      </w:r>
      <w:r w:rsidR="00C316C0" w:rsidRPr="0017665A">
        <w:rPr>
          <w:lang w:val="fr-FR" w:eastAsia="fr-FR"/>
        </w:rPr>
        <w:t xml:space="preserve"> </w:t>
      </w:r>
      <w:r w:rsidR="004306F2" w:rsidRPr="009E4D4C">
        <w:rPr>
          <w:lang w:val="fr-FR" w:eastAsia="fr-FR"/>
        </w:rPr>
        <w:t>dont l’obje</w:t>
      </w:r>
      <w:r w:rsidR="004306F2" w:rsidRPr="002E4295">
        <w:rPr>
          <w:lang w:val="fr-FR" w:eastAsia="fr-FR"/>
        </w:rPr>
        <w:t>ctif visé est d’assurer le plein épanouissement des jeunes filles et garçons,</w:t>
      </w:r>
      <w:r w:rsidR="004306F2" w:rsidRPr="002E4295">
        <w:rPr>
          <w:lang w:val="fr-FR"/>
        </w:rPr>
        <w:t xml:space="preserve"> les méthodes modernes de contraception ont été vulgarisées auprès des femmes et des adolescentes avec l’appui de l’Association Camerounaise de Marketing Social.</w:t>
      </w:r>
    </w:p>
    <w:p w:rsidR="004306F2" w:rsidRPr="00BF0EBC" w:rsidRDefault="00270BF3" w:rsidP="00270BF3">
      <w:pPr>
        <w:pStyle w:val="SingleTxtG"/>
        <w:rPr>
          <w:rStyle w:val="hps"/>
        </w:rPr>
      </w:pPr>
      <w:r w:rsidRPr="00BF0EBC">
        <w:rPr>
          <w:rStyle w:val="hps"/>
        </w:rPr>
        <w:t>143.</w:t>
      </w:r>
      <w:r w:rsidRPr="00BF0EBC">
        <w:rPr>
          <w:rStyle w:val="hps"/>
        </w:rPr>
        <w:tab/>
      </w:r>
      <w:r w:rsidR="005B4C00" w:rsidRPr="00BF0EBC">
        <w:t>Dans</w:t>
      </w:r>
      <w:r w:rsidR="005B4C00" w:rsidRPr="00BF0EBC">
        <w:rPr>
          <w:rStyle w:val="hps"/>
        </w:rPr>
        <w:t xml:space="preserve"> le cadre du Projet</w:t>
      </w:r>
      <w:r w:rsidR="00FD7CF6" w:rsidRPr="00BF0EBC">
        <w:rPr>
          <w:rStyle w:val="hps"/>
        </w:rPr>
        <w:t xml:space="preserve"> «</w:t>
      </w:r>
      <w:r w:rsidR="009E4D4C">
        <w:rPr>
          <w:rStyle w:val="hps"/>
        </w:rPr>
        <w:t> </w:t>
      </w:r>
      <w:proofErr w:type="spellStart"/>
      <w:r w:rsidR="00FD7CF6" w:rsidRPr="00BF0EBC">
        <w:rPr>
          <w:rStyle w:val="hps"/>
        </w:rPr>
        <w:t>Youth</w:t>
      </w:r>
      <w:proofErr w:type="spellEnd"/>
      <w:r w:rsidR="004306F2" w:rsidRPr="00BF0EBC">
        <w:rPr>
          <w:rStyle w:val="hps"/>
        </w:rPr>
        <w:t xml:space="preserve"> </w:t>
      </w:r>
      <w:proofErr w:type="spellStart"/>
      <w:r w:rsidR="004306F2" w:rsidRPr="00BF0EBC">
        <w:rPr>
          <w:rStyle w:val="hps"/>
        </w:rPr>
        <w:t>Friendly</w:t>
      </w:r>
      <w:proofErr w:type="spellEnd"/>
      <w:r w:rsidR="004306F2" w:rsidRPr="00BF0EBC">
        <w:rPr>
          <w:rStyle w:val="hps"/>
        </w:rPr>
        <w:t xml:space="preserve"> </w:t>
      </w:r>
      <w:r w:rsidR="00FD7CF6" w:rsidRPr="00BF0EBC">
        <w:rPr>
          <w:rStyle w:val="hps"/>
        </w:rPr>
        <w:t>Services</w:t>
      </w:r>
      <w:r w:rsidR="009E4D4C">
        <w:rPr>
          <w:rStyle w:val="hps"/>
        </w:rPr>
        <w:t> </w:t>
      </w:r>
      <w:r w:rsidR="00FD7CF6" w:rsidRPr="00BF0EBC">
        <w:rPr>
          <w:rStyle w:val="hps"/>
        </w:rPr>
        <w:t>»</w:t>
      </w:r>
      <w:r>
        <w:rPr>
          <w:rStyle w:val="hps"/>
        </w:rPr>
        <w:t xml:space="preserve"> lancé par le FNUAP en 2015, 3 </w:t>
      </w:r>
      <w:r w:rsidR="004306F2" w:rsidRPr="00BF0EBC">
        <w:t>Unités</w:t>
      </w:r>
      <w:r w:rsidR="004306F2" w:rsidRPr="00BF0EBC">
        <w:rPr>
          <w:rStyle w:val="hps"/>
        </w:rPr>
        <w:t xml:space="preserve"> de Santé de Reproduction réparties dans les </w:t>
      </w:r>
      <w:r w:rsidR="004306F2" w:rsidRPr="00BF0EBC">
        <w:t>Régions</w:t>
      </w:r>
      <w:r w:rsidR="004306F2" w:rsidRPr="00BF0EBC">
        <w:rPr>
          <w:rStyle w:val="hps"/>
        </w:rPr>
        <w:t xml:space="preserve"> de l’Est (Hôpital Régional de Bertoua et Hôpital de District d’</w:t>
      </w:r>
      <w:proofErr w:type="spellStart"/>
      <w:r w:rsidR="004306F2" w:rsidRPr="00BF0EBC">
        <w:rPr>
          <w:rStyle w:val="hps"/>
        </w:rPr>
        <w:t>Abong-Mbang</w:t>
      </w:r>
      <w:proofErr w:type="spellEnd"/>
      <w:r w:rsidR="004306F2" w:rsidRPr="00BF0EBC">
        <w:rPr>
          <w:rStyle w:val="hps"/>
        </w:rPr>
        <w:t xml:space="preserve">) et de l’Adamaoua (Hôpital Régional de </w:t>
      </w:r>
      <w:proofErr w:type="spellStart"/>
      <w:r w:rsidR="004306F2" w:rsidRPr="00BF0EBC">
        <w:rPr>
          <w:rStyle w:val="hps"/>
        </w:rPr>
        <w:t>Ngaoundéré</w:t>
      </w:r>
      <w:proofErr w:type="spellEnd"/>
      <w:r w:rsidR="004306F2" w:rsidRPr="00BF0EBC">
        <w:rPr>
          <w:rStyle w:val="hps"/>
        </w:rPr>
        <w:t>) ont été ouvertes.</w:t>
      </w:r>
    </w:p>
    <w:p w:rsidR="004306F2" w:rsidRPr="002E4295" w:rsidRDefault="00270BF3" w:rsidP="00270BF3">
      <w:pPr>
        <w:pStyle w:val="SingleTxtG"/>
        <w:rPr>
          <w:lang w:val="fr-FR"/>
        </w:rPr>
      </w:pPr>
      <w:r w:rsidRPr="002E4295">
        <w:rPr>
          <w:lang w:val="fr-FR"/>
        </w:rPr>
        <w:t>144.</w:t>
      </w:r>
      <w:r w:rsidRPr="002E4295">
        <w:rPr>
          <w:lang w:val="fr-FR"/>
        </w:rPr>
        <w:tab/>
      </w:r>
      <w:r w:rsidR="004306F2" w:rsidRPr="002E4295">
        <w:rPr>
          <w:lang w:val="fr-FR"/>
        </w:rPr>
        <w:t>Pour</w:t>
      </w:r>
      <w:r w:rsidR="004306F2" w:rsidRPr="002E4295">
        <w:rPr>
          <w:lang w:val="fr-FR" w:eastAsia="fr-FR"/>
        </w:rPr>
        <w:t xml:space="preserve"> assurer la </w:t>
      </w:r>
      <w:r w:rsidR="004306F2" w:rsidRPr="002E4295">
        <w:rPr>
          <w:lang w:val="fr-FR"/>
        </w:rPr>
        <w:t>prévention</w:t>
      </w:r>
      <w:r w:rsidR="004306F2" w:rsidRPr="002E4295">
        <w:rPr>
          <w:lang w:val="fr-FR" w:eastAsia="fr-FR"/>
        </w:rPr>
        <w:t xml:space="preserve"> du VIH/</w:t>
      </w:r>
      <w:r w:rsidR="0011157C">
        <w:rPr>
          <w:lang w:val="fr-FR" w:eastAsia="fr-FR"/>
        </w:rPr>
        <w:t>s</w:t>
      </w:r>
      <w:r w:rsidR="004306F2" w:rsidRPr="002E4295">
        <w:rPr>
          <w:lang w:val="fr-FR" w:eastAsia="fr-FR"/>
        </w:rPr>
        <w:t xml:space="preserve">ida chez les adolescentes, certaines mesures ont été prises. Chaque année, </w:t>
      </w:r>
      <w:r w:rsidR="004306F2" w:rsidRPr="002E4295">
        <w:rPr>
          <w:lang w:val="fr-FR"/>
        </w:rPr>
        <w:t xml:space="preserve">la campagne </w:t>
      </w:r>
      <w:r w:rsidR="004306F2" w:rsidRPr="009E4D4C">
        <w:rPr>
          <w:lang w:val="fr-FR"/>
        </w:rPr>
        <w:t>«</w:t>
      </w:r>
      <w:r w:rsidR="009E4D4C">
        <w:rPr>
          <w:lang w:val="fr-FR"/>
        </w:rPr>
        <w:t> </w:t>
      </w:r>
      <w:r w:rsidR="004306F2" w:rsidRPr="0017665A">
        <w:rPr>
          <w:lang w:val="fr-FR"/>
        </w:rPr>
        <w:t>Vacances sans SIDA</w:t>
      </w:r>
      <w:r w:rsidR="009E4D4C">
        <w:rPr>
          <w:lang w:val="fr-FR"/>
        </w:rPr>
        <w:t> </w:t>
      </w:r>
      <w:r w:rsidR="00C316C0" w:rsidRPr="0017665A">
        <w:rPr>
          <w:lang w:val="fr-FR"/>
        </w:rPr>
        <w:t xml:space="preserve">» </w:t>
      </w:r>
      <w:r w:rsidR="004306F2" w:rsidRPr="009E4D4C">
        <w:rPr>
          <w:lang w:val="fr-FR"/>
        </w:rPr>
        <w:t>est organisée pour les adolescents. C’est ainsi que du 24 juillet au 12 août 2015</w:t>
      </w:r>
      <w:r w:rsidR="004306F2" w:rsidRPr="009E4D4C">
        <w:rPr>
          <w:lang w:val="fr-FR" w:eastAsia="fr-FR"/>
        </w:rPr>
        <w:t>, p</w:t>
      </w:r>
      <w:r w:rsidR="004306F2" w:rsidRPr="009E4D4C">
        <w:rPr>
          <w:lang w:val="fr-FR"/>
        </w:rPr>
        <w:t>rès de 700</w:t>
      </w:r>
      <w:r w:rsidR="009E4D4C">
        <w:rPr>
          <w:lang w:val="fr-FR"/>
        </w:rPr>
        <w:t> </w:t>
      </w:r>
      <w:r w:rsidR="004306F2" w:rsidRPr="009E4D4C">
        <w:rPr>
          <w:lang w:val="fr-FR"/>
        </w:rPr>
        <w:t>000 jeunes ont été des cibles de cette</w:t>
      </w:r>
      <w:r w:rsidR="00C316C0" w:rsidRPr="009E4D4C">
        <w:rPr>
          <w:lang w:val="fr-FR"/>
        </w:rPr>
        <w:t xml:space="preserve"> campagne, qui avait pour thème</w:t>
      </w:r>
      <w:r w:rsidR="00DA0404">
        <w:rPr>
          <w:lang w:val="fr-FR"/>
        </w:rPr>
        <w:t> :</w:t>
      </w:r>
      <w:r w:rsidR="004306F2" w:rsidRPr="009E4D4C">
        <w:rPr>
          <w:lang w:val="fr-FR"/>
        </w:rPr>
        <w:t xml:space="preserve"> </w:t>
      </w:r>
      <w:r w:rsidR="009E4D4C">
        <w:rPr>
          <w:lang w:val="fr-FR"/>
        </w:rPr>
        <w:t>« </w:t>
      </w:r>
      <w:r w:rsidR="004306F2" w:rsidRPr="0017665A">
        <w:rPr>
          <w:lang w:val="fr-FR"/>
        </w:rPr>
        <w:t>Le préservatif c</w:t>
      </w:r>
      <w:r w:rsidR="006A57AD" w:rsidRPr="0017665A">
        <w:rPr>
          <w:lang w:val="fr-FR"/>
        </w:rPr>
        <w:t>’</w:t>
      </w:r>
      <w:r w:rsidR="004306F2" w:rsidRPr="0017665A">
        <w:rPr>
          <w:lang w:val="fr-FR"/>
        </w:rPr>
        <w:t xml:space="preserve">est bien, </w:t>
      </w:r>
      <w:r w:rsidR="004306F2" w:rsidRPr="009E4D4C">
        <w:rPr>
          <w:lang w:val="fr-FR" w:eastAsia="fr-FR"/>
        </w:rPr>
        <w:t>mais</w:t>
      </w:r>
      <w:r w:rsidR="004306F2" w:rsidRPr="0017665A">
        <w:rPr>
          <w:lang w:val="fr-FR"/>
        </w:rPr>
        <w:t xml:space="preserve"> l</w:t>
      </w:r>
      <w:r w:rsidR="006A57AD" w:rsidRPr="0017665A">
        <w:rPr>
          <w:lang w:val="fr-FR"/>
        </w:rPr>
        <w:t>’</w:t>
      </w:r>
      <w:r w:rsidR="004306F2" w:rsidRPr="0017665A">
        <w:rPr>
          <w:lang w:val="fr-FR"/>
        </w:rPr>
        <w:t>abstinence et la fidélité c</w:t>
      </w:r>
      <w:r w:rsidR="006A57AD" w:rsidRPr="0017665A">
        <w:rPr>
          <w:lang w:val="fr-FR"/>
        </w:rPr>
        <w:t>’</w:t>
      </w:r>
      <w:r w:rsidR="004306F2" w:rsidRPr="0017665A">
        <w:rPr>
          <w:lang w:val="fr-FR"/>
        </w:rPr>
        <w:t>est encore mieux</w:t>
      </w:r>
      <w:r w:rsidR="009E4D4C">
        <w:rPr>
          <w:lang w:val="fr-FR"/>
        </w:rPr>
        <w:t> »</w:t>
      </w:r>
      <w:r w:rsidR="004306F2" w:rsidRPr="009E4D4C">
        <w:rPr>
          <w:lang w:val="fr-FR"/>
        </w:rPr>
        <w:t xml:space="preserve">. </w:t>
      </w:r>
      <w:r w:rsidR="00385CA6">
        <w:rPr>
          <w:lang w:val="fr-FR"/>
        </w:rPr>
        <w:t>À</w:t>
      </w:r>
      <w:r w:rsidR="004306F2" w:rsidRPr="009E4D4C">
        <w:rPr>
          <w:lang w:val="fr-FR"/>
        </w:rPr>
        <w:t xml:space="preserve"> cette occasion, des causeries éducatives</w:t>
      </w:r>
      <w:r w:rsidR="004306F2" w:rsidRPr="002E4295">
        <w:rPr>
          <w:lang w:val="fr-FR"/>
        </w:rPr>
        <w:t xml:space="preserve"> et des entretiens individuels ont été organisés et des supports de sensibilisation tels 12</w:t>
      </w:r>
      <w:r w:rsidR="009E4D4C">
        <w:rPr>
          <w:lang w:val="fr-FR"/>
        </w:rPr>
        <w:t> </w:t>
      </w:r>
      <w:r w:rsidR="004306F2" w:rsidRPr="002E4295">
        <w:rPr>
          <w:lang w:val="fr-FR"/>
        </w:rPr>
        <w:t>000 dépliants, journaux, autocollants et pins distribués</w:t>
      </w:r>
      <w:r w:rsidR="00C316C0">
        <w:rPr>
          <w:lang w:val="fr-FR"/>
        </w:rPr>
        <w:t>.</w:t>
      </w:r>
    </w:p>
    <w:p w:rsidR="004306F2" w:rsidRPr="002E4295" w:rsidRDefault="00270BF3" w:rsidP="00270BF3">
      <w:pPr>
        <w:pStyle w:val="SingleTxtG"/>
        <w:rPr>
          <w:lang w:val="fr-FR"/>
        </w:rPr>
      </w:pPr>
      <w:r w:rsidRPr="002E4295">
        <w:rPr>
          <w:lang w:val="fr-FR"/>
        </w:rPr>
        <w:t>145.</w:t>
      </w:r>
      <w:r w:rsidRPr="002E4295">
        <w:rPr>
          <w:lang w:val="fr-FR"/>
        </w:rPr>
        <w:tab/>
      </w:r>
      <w:r w:rsidR="004306F2" w:rsidRPr="002E4295">
        <w:rPr>
          <w:lang w:val="fr-FR"/>
        </w:rPr>
        <w:t xml:space="preserve">En 2015, des activités de renforcement des capacités ont été organisées sur la santé de reproduction, notamment sur les </w:t>
      </w:r>
      <w:r w:rsidR="004306F2" w:rsidRPr="0017665A">
        <w:rPr>
          <w:lang w:val="fr-FR"/>
        </w:rPr>
        <w:t xml:space="preserve">Techniques de planning </w:t>
      </w:r>
      <w:r w:rsidR="004306F2" w:rsidRPr="002347E0">
        <w:rPr>
          <w:lang w:val="fr-FR" w:eastAsia="fr-FR"/>
        </w:rPr>
        <w:t>familial</w:t>
      </w:r>
      <w:r w:rsidR="004306F2" w:rsidRPr="002347E0">
        <w:rPr>
          <w:lang w:val="fr-FR"/>
        </w:rPr>
        <w:t xml:space="preserve"> (617 personnels de santé</w:t>
      </w:r>
      <w:r w:rsidR="004306F2" w:rsidRPr="002347E0">
        <w:rPr>
          <w:rStyle w:val="Appelnotedebasdep"/>
        </w:rPr>
        <w:footnoteReference w:id="89"/>
      </w:r>
      <w:r w:rsidR="004306F2" w:rsidRPr="002347E0">
        <w:rPr>
          <w:lang w:val="fr-FR"/>
        </w:rPr>
        <w:t xml:space="preserve">) et la </w:t>
      </w:r>
      <w:r w:rsidR="004306F2" w:rsidRPr="0017665A">
        <w:rPr>
          <w:lang w:val="fr-FR"/>
        </w:rPr>
        <w:t>Santé Sexuelle et Reproductive</w:t>
      </w:r>
      <w:r w:rsidR="004306F2" w:rsidRPr="002E4295">
        <w:rPr>
          <w:lang w:val="fr-FR"/>
        </w:rPr>
        <w:t xml:space="preserve"> (4 455 personnels de santé et 180 accoucheuses traditionnelles).</w:t>
      </w:r>
    </w:p>
    <w:p w:rsidR="004306F2" w:rsidRDefault="00FA52C0" w:rsidP="00FA52C0">
      <w:pPr>
        <w:pStyle w:val="H1G"/>
        <w:rPr>
          <w:lang w:val="fr-FR"/>
        </w:rPr>
      </w:pPr>
      <w:r>
        <w:rPr>
          <w:lang w:val="fr-FR"/>
        </w:rPr>
        <w:tab/>
        <w:t>D.</w:t>
      </w:r>
      <w:r>
        <w:rPr>
          <w:lang w:val="fr-FR"/>
        </w:rPr>
        <w:tab/>
      </w:r>
      <w:bookmarkStart w:id="68" w:name="_Toc466897386"/>
      <w:r w:rsidR="004306F2" w:rsidRPr="002E4295">
        <w:rPr>
          <w:lang w:val="fr-FR"/>
        </w:rPr>
        <w:t>L’efficacité de la législation visant à prévenir la mortalité maternelle due à un avortement clandestin</w:t>
      </w:r>
      <w:bookmarkEnd w:id="68"/>
    </w:p>
    <w:p w:rsidR="00C316C0" w:rsidRPr="00C316C0" w:rsidRDefault="00270BF3" w:rsidP="00270BF3">
      <w:pPr>
        <w:pStyle w:val="SingleTxtG"/>
        <w:rPr>
          <w:lang w:val="fr-FR"/>
        </w:rPr>
      </w:pPr>
      <w:r w:rsidRPr="00C316C0">
        <w:rPr>
          <w:lang w:val="fr-FR"/>
        </w:rPr>
        <w:t>146.</w:t>
      </w:r>
      <w:r w:rsidRPr="00C316C0">
        <w:rPr>
          <w:lang w:val="fr-FR"/>
        </w:rPr>
        <w:tab/>
      </w:r>
      <w:r w:rsidR="00C316C0" w:rsidRPr="002E4295">
        <w:rPr>
          <w:lang w:val="fr-FR"/>
        </w:rPr>
        <w:t>L’avortement</w:t>
      </w:r>
      <w:r w:rsidR="00C316C0" w:rsidRPr="002E4295">
        <w:rPr>
          <w:lang w:val="fr-FR" w:eastAsia="fr-FR"/>
        </w:rPr>
        <w:t xml:space="preserve"> est une infraction réprimée par l’article 337 du CP. Cependant, l’avortement est </w:t>
      </w:r>
      <w:r w:rsidR="00C316C0" w:rsidRPr="002E4295">
        <w:rPr>
          <w:lang w:val="fr-FR"/>
        </w:rPr>
        <w:t>exceptionnellement</w:t>
      </w:r>
      <w:r w:rsidR="00C316C0" w:rsidRPr="002E4295">
        <w:rPr>
          <w:lang w:val="fr-FR" w:eastAsia="fr-FR"/>
        </w:rPr>
        <w:t xml:space="preserve"> appliqué pour les cas prévus par l’article 339 du CP. </w:t>
      </w:r>
      <w:r w:rsidR="00C316C0" w:rsidRPr="002E4295">
        <w:rPr>
          <w:lang w:val="fr-FR"/>
        </w:rPr>
        <w:t>Est</w:t>
      </w:r>
      <w:r w:rsidR="00C316C0" w:rsidRPr="002E4295">
        <w:rPr>
          <w:lang w:val="fr-FR" w:eastAsia="fr-FR"/>
        </w:rPr>
        <w:t xml:space="preserve"> autorisée à le pratiquer, toute personne habilitée qui justifie d’un péril grave pour la santé de la mère et en cas de grossesse issue d’un viol</w:t>
      </w:r>
      <w:r w:rsidR="00C316C0">
        <w:rPr>
          <w:lang w:val="fr-FR" w:eastAsia="fr-FR"/>
        </w:rPr>
        <w:t>.</w:t>
      </w:r>
    </w:p>
    <w:p w:rsidR="004306F2" w:rsidRPr="0017665A" w:rsidRDefault="00C075B5" w:rsidP="0017665A">
      <w:pPr>
        <w:pStyle w:val="HChG"/>
      </w:pPr>
      <w:bookmarkStart w:id="69" w:name="_Toc466897387"/>
      <w:r>
        <w:rPr>
          <w:lang w:val="fr-FR"/>
        </w:rPr>
        <w:tab/>
        <w:t>XIV.</w:t>
      </w:r>
      <w:r>
        <w:rPr>
          <w:lang w:val="fr-FR"/>
        </w:rPr>
        <w:tab/>
      </w:r>
      <w:r w:rsidR="004306F2" w:rsidRPr="002E4295">
        <w:rPr>
          <w:lang w:val="fr-FR"/>
        </w:rPr>
        <w:t>R</w:t>
      </w:r>
      <w:r w:rsidR="005B4C00" w:rsidRPr="002E4295">
        <w:rPr>
          <w:lang w:val="fr-FR"/>
        </w:rPr>
        <w:t>ec.</w:t>
      </w:r>
      <w:r>
        <w:rPr>
          <w:lang w:val="fr-FR"/>
        </w:rPr>
        <w:t> </w:t>
      </w:r>
      <w:r w:rsidR="004306F2" w:rsidRPr="002E4295">
        <w:rPr>
          <w:lang w:val="fr-FR"/>
        </w:rPr>
        <w:t>29</w:t>
      </w:r>
      <w:r w:rsidR="005B4C00" w:rsidRPr="002E4295">
        <w:rPr>
          <w:lang w:val="fr-FR"/>
        </w:rPr>
        <w:t>.</w:t>
      </w:r>
      <w:r>
        <w:rPr>
          <w:lang w:val="fr-FR"/>
        </w:rPr>
        <w:t> </w:t>
      </w:r>
      <w:r w:rsidR="004306F2" w:rsidRPr="002E4295">
        <w:rPr>
          <w:lang w:val="fr-FR"/>
        </w:rPr>
        <w:t>Lutte contre les médic</w:t>
      </w:r>
      <w:r w:rsidR="00670ED2">
        <w:rPr>
          <w:lang w:val="fr-FR"/>
        </w:rPr>
        <w:t>aments contrefaits et accès aux</w:t>
      </w:r>
      <w:r w:rsidR="002B4B84">
        <w:rPr>
          <w:lang w:val="fr-FR"/>
        </w:rPr>
        <w:t> </w:t>
      </w:r>
      <w:r w:rsidR="004306F2" w:rsidRPr="002E4295">
        <w:rPr>
          <w:lang w:val="fr-FR"/>
        </w:rPr>
        <w:t>médicaments de qualité</w:t>
      </w:r>
      <w:bookmarkEnd w:id="69"/>
    </w:p>
    <w:p w:rsidR="004306F2" w:rsidRPr="002E4295" w:rsidRDefault="00270BF3" w:rsidP="00270BF3">
      <w:pPr>
        <w:pStyle w:val="SingleTxtG"/>
        <w:rPr>
          <w:lang w:val="fr-FR"/>
        </w:rPr>
      </w:pPr>
      <w:r w:rsidRPr="002E4295">
        <w:rPr>
          <w:lang w:val="fr-FR"/>
        </w:rPr>
        <w:t>147.</w:t>
      </w:r>
      <w:r w:rsidRPr="002E4295">
        <w:rPr>
          <w:lang w:val="fr-FR"/>
        </w:rPr>
        <w:tab/>
      </w:r>
      <w:r w:rsidR="004306F2" w:rsidRPr="002E4295">
        <w:rPr>
          <w:lang w:val="fr-FR"/>
        </w:rPr>
        <w:t xml:space="preserve">La politique du médicament est centrée sur </w:t>
      </w:r>
      <w:r w:rsidR="004306F2" w:rsidRPr="002E4295">
        <w:rPr>
          <w:lang w:val="fr-FR" w:eastAsia="fr-FR"/>
        </w:rPr>
        <w:t>l’approvisionnement</w:t>
      </w:r>
      <w:r w:rsidR="004306F2" w:rsidRPr="002E4295">
        <w:rPr>
          <w:lang w:val="fr-FR"/>
        </w:rPr>
        <w:t xml:space="preserve"> de la population en médicaments de qualité à un coût abordable. Ainsi, le renforcement du système national d’approvisionnement en médicaments de qualité et autres produits pharmaceutiques à un coût abordable a continué au cours de la période considérée, ainsi que la lutte contre les médicaments illicites.</w:t>
      </w:r>
    </w:p>
    <w:p w:rsidR="004306F2" w:rsidRPr="002E4295" w:rsidRDefault="009C12DC" w:rsidP="009C12DC">
      <w:pPr>
        <w:pStyle w:val="H1G"/>
        <w:rPr>
          <w:lang w:val="fr-FR"/>
        </w:rPr>
      </w:pPr>
      <w:bookmarkStart w:id="70" w:name="_Toc466897388"/>
      <w:r>
        <w:rPr>
          <w:lang w:val="fr-FR"/>
        </w:rPr>
        <w:tab/>
        <w:t>A.</w:t>
      </w:r>
      <w:r>
        <w:rPr>
          <w:lang w:val="fr-FR"/>
        </w:rPr>
        <w:tab/>
      </w:r>
      <w:r w:rsidR="004306F2" w:rsidRPr="002E4295">
        <w:rPr>
          <w:lang w:val="fr-FR"/>
        </w:rPr>
        <w:t>Mesures en vue de l’</w:t>
      </w:r>
      <w:r w:rsidR="002B4B84">
        <w:rPr>
          <w:lang w:val="fr-FR"/>
        </w:rPr>
        <w:t>a</w:t>
      </w:r>
      <w:r w:rsidR="004306F2" w:rsidRPr="002E4295">
        <w:rPr>
          <w:lang w:val="fr-FR"/>
        </w:rPr>
        <w:t xml:space="preserve">pprovisionnement en </w:t>
      </w:r>
      <w:r w:rsidR="002B4B84">
        <w:rPr>
          <w:lang w:val="fr-FR"/>
        </w:rPr>
        <w:t>m</w:t>
      </w:r>
      <w:r w:rsidR="004306F2" w:rsidRPr="002E4295">
        <w:rPr>
          <w:lang w:val="fr-FR"/>
        </w:rPr>
        <w:t xml:space="preserve">édicaments de </w:t>
      </w:r>
      <w:r w:rsidR="002B4B84">
        <w:rPr>
          <w:lang w:val="fr-FR"/>
        </w:rPr>
        <w:t>q</w:t>
      </w:r>
      <w:r w:rsidR="004306F2" w:rsidRPr="002E4295">
        <w:rPr>
          <w:lang w:val="fr-FR"/>
        </w:rPr>
        <w:t>ualité</w:t>
      </w:r>
      <w:bookmarkEnd w:id="70"/>
    </w:p>
    <w:p w:rsidR="004306F2" w:rsidRPr="002E4295" w:rsidRDefault="00270BF3" w:rsidP="00270BF3">
      <w:pPr>
        <w:pStyle w:val="SingleTxtG"/>
        <w:rPr>
          <w:lang w:val="fr-FR"/>
        </w:rPr>
      </w:pPr>
      <w:r w:rsidRPr="002E4295">
        <w:rPr>
          <w:lang w:val="fr-FR"/>
        </w:rPr>
        <w:t>148.</w:t>
      </w:r>
      <w:r w:rsidRPr="002E4295">
        <w:rPr>
          <w:lang w:val="fr-FR"/>
        </w:rPr>
        <w:tab/>
      </w:r>
      <w:r w:rsidR="004306F2" w:rsidRPr="002E4295">
        <w:rPr>
          <w:lang w:val="fr-FR"/>
        </w:rPr>
        <w:t>La chaîne d</w:t>
      </w:r>
      <w:r w:rsidR="006A57AD">
        <w:rPr>
          <w:lang w:val="fr-FR"/>
        </w:rPr>
        <w:t>’</w:t>
      </w:r>
      <w:r w:rsidR="004306F2" w:rsidRPr="002E4295">
        <w:rPr>
          <w:lang w:val="fr-FR"/>
        </w:rPr>
        <w:t>approvisionnement en médicaments est composée d</w:t>
      </w:r>
      <w:r w:rsidR="006A57AD">
        <w:rPr>
          <w:lang w:val="fr-FR"/>
        </w:rPr>
        <w:t>’</w:t>
      </w:r>
      <w:r w:rsidR="004306F2" w:rsidRPr="002E4295">
        <w:rPr>
          <w:lang w:val="fr-FR"/>
        </w:rPr>
        <w:t>un certain nombre de structures. La Centrale Nationale d</w:t>
      </w:r>
      <w:r w:rsidR="006A57AD">
        <w:rPr>
          <w:lang w:val="fr-FR"/>
        </w:rPr>
        <w:t>’</w:t>
      </w:r>
      <w:r w:rsidR="004306F2" w:rsidRPr="002E4295">
        <w:rPr>
          <w:lang w:val="fr-FR"/>
        </w:rPr>
        <w:t xml:space="preserve">Approvisionnement en Médicaments Essentiels </w:t>
      </w:r>
      <w:r w:rsidR="004306F2" w:rsidRPr="002E4295">
        <w:rPr>
          <w:lang w:val="fr-FR"/>
        </w:rPr>
        <w:lastRenderedPageBreak/>
        <w:t>(CENAME) est chargée de l</w:t>
      </w:r>
      <w:r w:rsidR="006A57AD">
        <w:rPr>
          <w:lang w:val="fr-FR"/>
        </w:rPr>
        <w:t>’</w:t>
      </w:r>
      <w:r w:rsidR="004306F2" w:rsidRPr="002E4295">
        <w:rPr>
          <w:lang w:val="fr-FR"/>
        </w:rPr>
        <w:t xml:space="preserve">achat de médicaments et autres équipements médicaux ainsi que de leur distribution à des coûts abordables dans des institutions telles que le Fonds Régional pour la Promotion de la Santé qui distribuent à leur tour ces médicaments et équipements médicaux dans Structures de santé. Des contrôles périodiques sont effectués dans la </w:t>
      </w:r>
      <w:r w:rsidR="004306F2" w:rsidRPr="002E4295">
        <w:rPr>
          <w:lang w:val="fr-FR" w:eastAsia="fr-FR"/>
        </w:rPr>
        <w:t>chaîne</w:t>
      </w:r>
      <w:r w:rsidR="004306F2" w:rsidRPr="002E4295">
        <w:rPr>
          <w:lang w:val="fr-FR"/>
        </w:rPr>
        <w:t xml:space="preserve"> d</w:t>
      </w:r>
      <w:r w:rsidR="006A57AD">
        <w:rPr>
          <w:lang w:val="fr-FR"/>
        </w:rPr>
        <w:t>’</w:t>
      </w:r>
      <w:r w:rsidR="004306F2" w:rsidRPr="002E4295">
        <w:rPr>
          <w:lang w:val="fr-FR"/>
        </w:rPr>
        <w:t>approvisionnement pour assurer la disponibilité des stocks. Ces contrôles ont par exemple conduit à une réduction des ruptures de stock. Ainsi, le nombre moyen de jours de rupture de stock pour les médicaments traceurs est passé de 15 jours en 2014 à 13,69 en 2015</w:t>
      </w:r>
      <w:r w:rsidR="00E010B7">
        <w:rPr>
          <w:lang w:val="fr-FR"/>
        </w:rPr>
        <w:t>.</w:t>
      </w:r>
    </w:p>
    <w:p w:rsidR="004306F2" w:rsidRPr="00BF0EBC" w:rsidRDefault="00270BF3" w:rsidP="00270BF3">
      <w:pPr>
        <w:pStyle w:val="SingleTxtG"/>
        <w:rPr>
          <w:rStyle w:val="st"/>
        </w:rPr>
      </w:pPr>
      <w:r w:rsidRPr="00BF0EBC">
        <w:rPr>
          <w:rStyle w:val="st"/>
        </w:rPr>
        <w:t>149.</w:t>
      </w:r>
      <w:r w:rsidRPr="00BF0EBC">
        <w:rPr>
          <w:rStyle w:val="st"/>
        </w:rPr>
        <w:tab/>
      </w:r>
      <w:r w:rsidR="004306F2" w:rsidRPr="00BF0EBC">
        <w:t>Hormis</w:t>
      </w:r>
      <w:r w:rsidR="004306F2" w:rsidRPr="00BF0EBC">
        <w:rPr>
          <w:rStyle w:val="st"/>
        </w:rPr>
        <w:t xml:space="preserve"> le CENAME, des grossistes ont également </w:t>
      </w:r>
      <w:r w:rsidR="004306F2" w:rsidRPr="00BF0EBC">
        <w:t>livré</w:t>
      </w:r>
      <w:r w:rsidR="004306F2" w:rsidRPr="00BF0EBC">
        <w:rPr>
          <w:rStyle w:val="st"/>
        </w:rPr>
        <w:t xml:space="preserve"> des médicaments dans les pharmacies privées et dans les </w:t>
      </w:r>
      <w:r w:rsidR="004306F2" w:rsidRPr="00BF0EBC">
        <w:t>hôpitaux confessionnels.</w:t>
      </w:r>
    </w:p>
    <w:p w:rsidR="004306F2" w:rsidRPr="00BF0EBC" w:rsidRDefault="00270BF3" w:rsidP="00270BF3">
      <w:pPr>
        <w:pStyle w:val="SingleTxtG"/>
      </w:pPr>
      <w:r w:rsidRPr="00BF0EBC">
        <w:t>150.</w:t>
      </w:r>
      <w:r w:rsidRPr="00BF0EBC">
        <w:tab/>
      </w:r>
      <w:r w:rsidR="004306F2" w:rsidRPr="00BF0EBC">
        <w:t>En plus de l</w:t>
      </w:r>
      <w:r w:rsidR="006A57AD">
        <w:t>’</w:t>
      </w:r>
      <w:r w:rsidR="004306F2" w:rsidRPr="00BF0EBC">
        <w:t>octroi de subventions pour l</w:t>
      </w:r>
      <w:r w:rsidR="006A57AD">
        <w:t>’</w:t>
      </w:r>
      <w:r w:rsidR="004306F2" w:rsidRPr="00BF0EBC">
        <w:t>achat de médicaments, le gouvernement a négocié avec les laboratoires la réduction du coût de certains médicaments vendus dans le pays. Entre 2011 et 2012 par exemple, les prix de plus de 700 médicaments ont baissé alors qu’ils étaient de 100 en 2013. Par exemple, concernant l</w:t>
      </w:r>
      <w:r w:rsidR="006A57AD">
        <w:t>’</w:t>
      </w:r>
      <w:r w:rsidR="004306F2" w:rsidRPr="00BF0EBC">
        <w:t>hépatite, en 2011 les patients ont dépensé plus de 11 000</w:t>
      </w:r>
      <w:r w:rsidR="00E010B7">
        <w:t> </w:t>
      </w:r>
      <w:r w:rsidR="004306F2" w:rsidRPr="00BF0EBC">
        <w:t>000 FCFA</w:t>
      </w:r>
      <w:r w:rsidR="004306F2" w:rsidRPr="00E153AE">
        <w:rPr>
          <w:rStyle w:val="Appelnotedebasdep"/>
        </w:rPr>
        <w:footnoteReference w:id="90"/>
      </w:r>
      <w:r w:rsidR="004306F2" w:rsidRPr="00BF0EBC">
        <w:t xml:space="preserve"> pour un traitement de 48 semaines. Entre 2012 et 2013, de nouvelles réductions des coûts ont été enregistrées et en 2014, le traitement de 12 mois par personne pour les hépatites B et C est passé de 5 468</w:t>
      </w:r>
      <w:r w:rsidR="00E010B7">
        <w:t> </w:t>
      </w:r>
      <w:r w:rsidR="004306F2" w:rsidRPr="00BF0EBC">
        <w:t>000 FCFA</w:t>
      </w:r>
      <w:r w:rsidR="004306F2" w:rsidRPr="00E153AE">
        <w:rPr>
          <w:rStyle w:val="Appelnotedebasdep"/>
        </w:rPr>
        <w:footnoteReference w:id="91"/>
      </w:r>
      <w:r w:rsidR="00E010B7">
        <w:t xml:space="preserve"> </w:t>
      </w:r>
      <w:r w:rsidR="004306F2" w:rsidRPr="00BF0EBC">
        <w:t>à 2 736</w:t>
      </w:r>
      <w:r w:rsidR="00E010B7">
        <w:t> </w:t>
      </w:r>
      <w:r w:rsidR="004306F2" w:rsidRPr="00BF0EBC">
        <w:t>000 FCFA</w:t>
      </w:r>
      <w:r w:rsidR="004306F2" w:rsidRPr="00E153AE">
        <w:rPr>
          <w:rStyle w:val="Appelnotedebasdep"/>
        </w:rPr>
        <w:footnoteReference w:id="92"/>
      </w:r>
      <w:r w:rsidR="004306F2" w:rsidRPr="00BF0EBC">
        <w:t xml:space="preserve"> suite à la signature d</w:t>
      </w:r>
      <w:r w:rsidR="006A57AD">
        <w:t>’</w:t>
      </w:r>
      <w:r w:rsidR="004306F2" w:rsidRPr="00BF0EBC">
        <w:t>un accord entre l</w:t>
      </w:r>
      <w:r w:rsidR="006A57AD">
        <w:t>’</w:t>
      </w:r>
      <w:r w:rsidR="00FB5306">
        <w:t>État</w:t>
      </w:r>
      <w:r w:rsidR="004306F2" w:rsidRPr="00BF0EBC">
        <w:t xml:space="preserve"> et les Laboratoires Hoffmann-La Roche</w:t>
      </w:r>
      <w:r w:rsidR="004306F2" w:rsidRPr="00E153AE">
        <w:rPr>
          <w:rStyle w:val="Appelnotedebasdep"/>
        </w:rPr>
        <w:footnoteReference w:id="93"/>
      </w:r>
      <w:r w:rsidR="004306F2" w:rsidRPr="00BF0EBC">
        <w:t>.</w:t>
      </w:r>
    </w:p>
    <w:p w:rsidR="004306F2" w:rsidRPr="00BF0EBC" w:rsidRDefault="00270BF3" w:rsidP="00270BF3">
      <w:pPr>
        <w:pStyle w:val="SingleTxtG"/>
      </w:pPr>
      <w:r w:rsidRPr="00BF0EBC">
        <w:t>151.</w:t>
      </w:r>
      <w:r w:rsidRPr="00BF0EBC">
        <w:tab/>
      </w:r>
      <w:r w:rsidR="004306F2" w:rsidRPr="00BF0EBC">
        <w:t>En outre, la gratuité de certains traitements a été observée. Le traitement de l</w:t>
      </w:r>
      <w:r w:rsidR="006A57AD">
        <w:t>’</w:t>
      </w:r>
      <w:r w:rsidR="004306F2" w:rsidRPr="00BF0EBC">
        <w:t>hépatite pour les patients infectés par le VIH/</w:t>
      </w:r>
      <w:r w:rsidR="0011157C" w:rsidRPr="00011FAB">
        <w:rPr>
          <w:lang w:val="fr-FR"/>
        </w:rPr>
        <w:t>sida</w:t>
      </w:r>
      <w:r w:rsidR="0011157C" w:rsidRPr="00BF0EBC">
        <w:t xml:space="preserve"> </w:t>
      </w:r>
      <w:r w:rsidR="004306F2" w:rsidRPr="00BF0EBC">
        <w:t>en est une illustration. Les antirétroviraux (ARV) et les médicaments antituberculeux sont gratuits et le traitement du paludisme chez les enfants de moins de 5 ans sont gratuits.</w:t>
      </w:r>
    </w:p>
    <w:p w:rsidR="004306F2" w:rsidRPr="002E4295" w:rsidRDefault="009C12DC" w:rsidP="009C12DC">
      <w:pPr>
        <w:pStyle w:val="H1G"/>
        <w:rPr>
          <w:lang w:val="fr-FR"/>
        </w:rPr>
      </w:pPr>
      <w:bookmarkStart w:id="71" w:name="_Toc466897389"/>
      <w:r>
        <w:rPr>
          <w:lang w:val="fr-FR"/>
        </w:rPr>
        <w:tab/>
        <w:t>B.</w:t>
      </w:r>
      <w:r>
        <w:rPr>
          <w:lang w:val="fr-FR"/>
        </w:rPr>
        <w:tab/>
      </w:r>
      <w:r w:rsidR="004306F2" w:rsidRPr="002E4295">
        <w:rPr>
          <w:lang w:val="fr-FR"/>
        </w:rPr>
        <w:t xml:space="preserve">Démantèlement du Réseau d’approvisionnement et de </w:t>
      </w:r>
      <w:r w:rsidR="0068241B">
        <w:rPr>
          <w:lang w:val="fr-FR"/>
        </w:rPr>
        <w:t>d</w:t>
      </w:r>
      <w:r w:rsidR="004306F2" w:rsidRPr="002E4295">
        <w:rPr>
          <w:lang w:val="fr-FR"/>
        </w:rPr>
        <w:t xml:space="preserve">istribution informels des </w:t>
      </w:r>
      <w:r w:rsidR="008D1E2E">
        <w:rPr>
          <w:lang w:val="fr-FR"/>
        </w:rPr>
        <w:t>m</w:t>
      </w:r>
      <w:r w:rsidR="004306F2" w:rsidRPr="002E4295">
        <w:rPr>
          <w:lang w:val="fr-FR"/>
        </w:rPr>
        <w:t xml:space="preserve">édicaments de </w:t>
      </w:r>
      <w:r w:rsidR="008D1E2E">
        <w:rPr>
          <w:lang w:val="fr-FR"/>
        </w:rPr>
        <w:t>m</w:t>
      </w:r>
      <w:r w:rsidR="004306F2" w:rsidRPr="002E4295">
        <w:rPr>
          <w:lang w:val="fr-FR"/>
        </w:rPr>
        <w:t xml:space="preserve">auvaise </w:t>
      </w:r>
      <w:r w:rsidR="008D1E2E">
        <w:rPr>
          <w:lang w:val="fr-FR"/>
        </w:rPr>
        <w:t>q</w:t>
      </w:r>
      <w:r w:rsidR="004306F2" w:rsidRPr="002E4295">
        <w:rPr>
          <w:lang w:val="fr-FR"/>
        </w:rPr>
        <w:t>ualité</w:t>
      </w:r>
      <w:bookmarkEnd w:id="71"/>
    </w:p>
    <w:p w:rsidR="004306F2" w:rsidRPr="002E4295" w:rsidRDefault="00270BF3" w:rsidP="00270BF3">
      <w:pPr>
        <w:pStyle w:val="SingleTxtG"/>
        <w:rPr>
          <w:lang w:val="fr-FR"/>
        </w:rPr>
      </w:pPr>
      <w:r w:rsidRPr="002E4295">
        <w:rPr>
          <w:lang w:val="fr-FR"/>
        </w:rPr>
        <w:t>152.</w:t>
      </w:r>
      <w:r w:rsidRPr="002E4295">
        <w:rPr>
          <w:lang w:val="fr-FR"/>
        </w:rPr>
        <w:tab/>
      </w:r>
      <w:r w:rsidR="004306F2" w:rsidRPr="002E4295">
        <w:rPr>
          <w:lang w:val="fr-FR"/>
        </w:rPr>
        <w:t xml:space="preserve">Le </w:t>
      </w:r>
      <w:r w:rsidR="004306F2" w:rsidRPr="00A65470">
        <w:t>gouvernement</w:t>
      </w:r>
      <w:r w:rsidR="004306F2" w:rsidRPr="002E4295">
        <w:rPr>
          <w:lang w:val="fr-FR"/>
        </w:rPr>
        <w:t xml:space="preserve"> a intensifié la lutte contre les médicaments illicites et contrefaits, lesquels saisis et détruits entre 2010 et 2012 s’élevaient à 3 933 205 365 FCFA</w:t>
      </w:r>
      <w:r w:rsidR="004306F2" w:rsidRPr="00E153AE">
        <w:rPr>
          <w:rStyle w:val="Appelnotedebasdep"/>
        </w:rPr>
        <w:footnoteReference w:id="94"/>
      </w:r>
      <w:r w:rsidR="004306F2" w:rsidRPr="002E4295">
        <w:rPr>
          <w:lang w:val="fr-FR"/>
        </w:rPr>
        <w:t xml:space="preserve"> et en 2014, s’élevaient à 180 383</w:t>
      </w:r>
      <w:r w:rsidR="00E010B7">
        <w:rPr>
          <w:lang w:val="fr-FR"/>
        </w:rPr>
        <w:t> </w:t>
      </w:r>
      <w:r w:rsidR="004306F2" w:rsidRPr="002E4295">
        <w:rPr>
          <w:lang w:val="fr-FR"/>
        </w:rPr>
        <w:t>736 FCFA</w:t>
      </w:r>
      <w:r w:rsidR="004306F2" w:rsidRPr="00E153AE">
        <w:rPr>
          <w:rStyle w:val="Appelnotedebasdep"/>
        </w:rPr>
        <w:footnoteReference w:id="95"/>
      </w:r>
      <w:r w:rsidR="004306F2" w:rsidRPr="002E4295">
        <w:rPr>
          <w:lang w:val="fr-FR"/>
        </w:rPr>
        <w:t>.</w:t>
      </w:r>
      <w:bookmarkStart w:id="72" w:name="OLE_LINK11"/>
    </w:p>
    <w:p w:rsidR="004306F2" w:rsidRDefault="00270BF3" w:rsidP="00270BF3">
      <w:pPr>
        <w:pStyle w:val="SingleTxtG"/>
        <w:rPr>
          <w:lang w:val="fr-FR"/>
        </w:rPr>
      </w:pPr>
      <w:r>
        <w:rPr>
          <w:lang w:val="fr-FR"/>
        </w:rPr>
        <w:t>153.</w:t>
      </w:r>
      <w:r>
        <w:rPr>
          <w:lang w:val="fr-FR"/>
        </w:rPr>
        <w:tab/>
      </w:r>
      <w:r w:rsidR="004306F2" w:rsidRPr="002E4295">
        <w:rPr>
          <w:lang w:val="fr-FR"/>
        </w:rPr>
        <w:t>Un Plan d</w:t>
      </w:r>
      <w:r w:rsidR="006A57AD">
        <w:rPr>
          <w:lang w:val="fr-FR"/>
        </w:rPr>
        <w:t>’</w:t>
      </w:r>
      <w:r w:rsidR="004306F2" w:rsidRPr="002E4295">
        <w:rPr>
          <w:lang w:val="fr-FR"/>
        </w:rPr>
        <w:t xml:space="preserve">Action de lutte contre les médicaments illicites en Zone CEMAC pour la période 2016-2020 a été adopté à Douala </w:t>
      </w:r>
      <w:bookmarkEnd w:id="72"/>
      <w:r w:rsidR="004306F2" w:rsidRPr="002E4295">
        <w:rPr>
          <w:lang w:val="fr-FR"/>
        </w:rPr>
        <w:t xml:space="preserve">Au cours de cette réunion, </w:t>
      </w:r>
      <w:r w:rsidR="004306F2" w:rsidRPr="002E4295">
        <w:rPr>
          <w:lang w:val="fr-FR" w:eastAsia="fr-FR"/>
        </w:rPr>
        <w:t>les</w:t>
      </w:r>
      <w:r w:rsidR="004306F2" w:rsidRPr="002E4295">
        <w:rPr>
          <w:lang w:val="fr-FR"/>
        </w:rPr>
        <w:t xml:space="preserve"> États membres se sont engagés à fournir aux pharmacies centrales les moyens humains, matériels et financiers nécessaires pour assurer l’approvisionnement en médicaments de qualité</w:t>
      </w:r>
      <w:r w:rsidR="00C316C0">
        <w:rPr>
          <w:lang w:val="fr-FR"/>
        </w:rPr>
        <w:t>.</w:t>
      </w:r>
    </w:p>
    <w:p w:rsidR="00C316C0" w:rsidRDefault="00270BF3" w:rsidP="00270BF3">
      <w:pPr>
        <w:pStyle w:val="SingleTxtG"/>
        <w:rPr>
          <w:lang w:val="fr-FR"/>
        </w:rPr>
      </w:pPr>
      <w:r>
        <w:rPr>
          <w:lang w:val="fr-FR"/>
        </w:rPr>
        <w:t>154.</w:t>
      </w:r>
      <w:r>
        <w:rPr>
          <w:lang w:val="fr-FR"/>
        </w:rPr>
        <w:tab/>
      </w:r>
      <w:r w:rsidR="00C316C0" w:rsidRPr="00A65470">
        <w:t>En</w:t>
      </w:r>
      <w:r w:rsidR="00C316C0" w:rsidRPr="00C316C0">
        <w:rPr>
          <w:lang w:val="fr-FR"/>
        </w:rPr>
        <w:t xml:space="preserve"> outre, l</w:t>
      </w:r>
      <w:r w:rsidR="006A57AD">
        <w:rPr>
          <w:lang w:val="fr-FR"/>
        </w:rPr>
        <w:t>’</w:t>
      </w:r>
      <w:r w:rsidR="00C316C0" w:rsidRPr="00C316C0">
        <w:rPr>
          <w:lang w:val="fr-FR"/>
        </w:rPr>
        <w:t>article 258-1 du nouveau CP punit la vente illégale de médicaments d’un emprisonnement de 3 mois à 3 ans et d’une amende de 1 000 </w:t>
      </w:r>
      <w:r w:rsidR="00C316C0" w:rsidRPr="00C316C0">
        <w:rPr>
          <w:lang w:val="fr-FR" w:eastAsia="fr-FR"/>
        </w:rPr>
        <w:t>000</w:t>
      </w:r>
      <w:r w:rsidR="00E010B7">
        <w:rPr>
          <w:lang w:val="fr-FR" w:eastAsia="fr-FR"/>
        </w:rPr>
        <w:t xml:space="preserve"> </w:t>
      </w:r>
      <w:r w:rsidR="00C316C0" w:rsidRPr="00C316C0">
        <w:rPr>
          <w:lang w:val="fr-FR" w:eastAsia="fr-FR"/>
        </w:rPr>
        <w:t>FCFA</w:t>
      </w:r>
      <w:r w:rsidR="00C316C0" w:rsidRPr="00E153AE">
        <w:rPr>
          <w:rStyle w:val="Appelnotedebasdep"/>
        </w:rPr>
        <w:footnoteReference w:id="96"/>
      </w:r>
      <w:r>
        <w:rPr>
          <w:lang w:val="fr-FR" w:eastAsia="fr-FR"/>
        </w:rPr>
        <w:t xml:space="preserve"> </w:t>
      </w:r>
      <w:r w:rsidR="00C316C0" w:rsidRPr="00C316C0">
        <w:rPr>
          <w:lang w:val="fr-FR"/>
        </w:rPr>
        <w:t>à 3 000 000</w:t>
      </w:r>
      <w:r w:rsidR="00E010B7">
        <w:rPr>
          <w:lang w:val="fr-FR"/>
        </w:rPr>
        <w:t xml:space="preserve"> </w:t>
      </w:r>
      <w:r w:rsidR="00C316C0" w:rsidRPr="00C316C0">
        <w:rPr>
          <w:lang w:val="fr-FR"/>
        </w:rPr>
        <w:t>FCFA</w:t>
      </w:r>
      <w:r w:rsidR="00C316C0" w:rsidRPr="00E153AE">
        <w:rPr>
          <w:rStyle w:val="Appelnotedebasdep"/>
        </w:rPr>
        <w:footnoteReference w:id="97"/>
      </w:r>
      <w:r w:rsidR="00C316C0" w:rsidRPr="00C316C0">
        <w:rPr>
          <w:lang w:val="fr-FR"/>
        </w:rPr>
        <w:t>.</w:t>
      </w:r>
    </w:p>
    <w:p w:rsidR="004306F2" w:rsidRPr="002E4295" w:rsidRDefault="00270BF3" w:rsidP="00270BF3">
      <w:pPr>
        <w:pStyle w:val="SingleTxtG"/>
        <w:rPr>
          <w:lang w:val="fr-FR"/>
        </w:rPr>
      </w:pPr>
      <w:r w:rsidRPr="002E4295">
        <w:rPr>
          <w:lang w:val="fr-FR"/>
        </w:rPr>
        <w:t>155.</w:t>
      </w:r>
      <w:r w:rsidRPr="002E4295">
        <w:rPr>
          <w:lang w:val="fr-FR"/>
        </w:rPr>
        <w:tab/>
      </w:r>
      <w:r w:rsidR="004E45B3" w:rsidRPr="00A65470">
        <w:t>Cependant</w:t>
      </w:r>
      <w:r w:rsidR="004E45B3">
        <w:rPr>
          <w:lang w:val="fr-FR"/>
        </w:rPr>
        <w:t xml:space="preserve">, </w:t>
      </w:r>
      <w:r w:rsidR="004306F2" w:rsidRPr="002E4295">
        <w:rPr>
          <w:lang w:val="fr-FR"/>
        </w:rPr>
        <w:t>l</w:t>
      </w:r>
      <w:r w:rsidR="006A57AD">
        <w:rPr>
          <w:lang w:val="fr-FR"/>
        </w:rPr>
        <w:t>’</w:t>
      </w:r>
      <w:r w:rsidR="004306F2" w:rsidRPr="002E4295">
        <w:rPr>
          <w:lang w:val="fr-FR"/>
        </w:rPr>
        <w:t>absence de procédures clairement définies d</w:t>
      </w:r>
      <w:r w:rsidR="006A57AD">
        <w:rPr>
          <w:lang w:val="fr-FR"/>
        </w:rPr>
        <w:t>’</w:t>
      </w:r>
      <w:r w:rsidR="004306F2" w:rsidRPr="002E4295">
        <w:rPr>
          <w:lang w:val="fr-FR"/>
        </w:rPr>
        <w:t>approbation des médicaments génériques reste un défi majeur.</w:t>
      </w:r>
    </w:p>
    <w:p w:rsidR="00C316C0" w:rsidRPr="0017665A" w:rsidRDefault="00005C62" w:rsidP="0017665A">
      <w:pPr>
        <w:pStyle w:val="HChG"/>
      </w:pPr>
      <w:bookmarkStart w:id="73" w:name="_Toc466897390"/>
      <w:r>
        <w:rPr>
          <w:lang w:val="fr-FR"/>
        </w:rPr>
        <w:lastRenderedPageBreak/>
        <w:tab/>
        <w:t>XXV.</w:t>
      </w:r>
      <w:r>
        <w:rPr>
          <w:lang w:val="fr-FR"/>
        </w:rPr>
        <w:tab/>
      </w:r>
      <w:r w:rsidR="00FD7CF6" w:rsidRPr="00C316C0">
        <w:rPr>
          <w:lang w:val="fr-FR"/>
        </w:rPr>
        <w:t>Rec.</w:t>
      </w:r>
      <w:r>
        <w:rPr>
          <w:lang w:val="fr-FR"/>
        </w:rPr>
        <w:t> </w:t>
      </w:r>
      <w:r w:rsidR="004306F2" w:rsidRPr="00C316C0">
        <w:rPr>
          <w:lang w:val="fr-FR"/>
        </w:rPr>
        <w:t>30</w:t>
      </w:r>
      <w:r w:rsidR="00FD7CF6" w:rsidRPr="00C316C0">
        <w:rPr>
          <w:lang w:val="fr-FR"/>
        </w:rPr>
        <w:t>.</w:t>
      </w:r>
      <w:r>
        <w:rPr>
          <w:lang w:val="fr-FR"/>
        </w:rPr>
        <w:t> </w:t>
      </w:r>
      <w:r w:rsidR="004306F2" w:rsidRPr="00C316C0">
        <w:rPr>
          <w:lang w:val="fr-FR"/>
        </w:rPr>
        <w:t>Les mesures générales d’assainissement</w:t>
      </w:r>
      <w:bookmarkEnd w:id="73"/>
    </w:p>
    <w:p w:rsidR="00B368B3" w:rsidRPr="00C316C0" w:rsidRDefault="009C12DC" w:rsidP="009C12DC">
      <w:pPr>
        <w:pStyle w:val="H1G"/>
        <w:rPr>
          <w:lang w:val="fr-FR"/>
        </w:rPr>
      </w:pPr>
      <w:r>
        <w:rPr>
          <w:lang w:val="fr-FR"/>
        </w:rPr>
        <w:tab/>
        <w:t>A.</w:t>
      </w:r>
      <w:r>
        <w:rPr>
          <w:lang w:val="fr-FR"/>
        </w:rPr>
        <w:tab/>
      </w:r>
      <w:r w:rsidR="00331F85">
        <w:rPr>
          <w:lang w:val="fr-FR"/>
        </w:rPr>
        <w:t>Le d</w:t>
      </w:r>
      <w:r w:rsidR="00B368B3" w:rsidRPr="00C316C0">
        <w:rPr>
          <w:lang w:val="fr-FR"/>
        </w:rPr>
        <w:t>éveloppement des services publics d’assainissement</w:t>
      </w:r>
    </w:p>
    <w:p w:rsidR="004306F2" w:rsidRPr="002E4295" w:rsidRDefault="00270BF3" w:rsidP="00270BF3">
      <w:pPr>
        <w:pStyle w:val="SingleTxtG"/>
        <w:rPr>
          <w:lang w:val="fr-FR" w:eastAsia="fr-FR"/>
        </w:rPr>
      </w:pPr>
      <w:r w:rsidRPr="002E4295">
        <w:rPr>
          <w:lang w:val="fr-FR" w:eastAsia="fr-FR"/>
        </w:rPr>
        <w:t>156.</w:t>
      </w:r>
      <w:r w:rsidRPr="002E4295">
        <w:rPr>
          <w:lang w:val="fr-FR" w:eastAsia="fr-FR"/>
        </w:rPr>
        <w:tab/>
      </w:r>
      <w:r w:rsidR="004306F2" w:rsidRPr="002E4295">
        <w:rPr>
          <w:lang w:val="fr-FR"/>
        </w:rPr>
        <w:t>Pour</w:t>
      </w:r>
      <w:r w:rsidR="004306F2" w:rsidRPr="002E4295">
        <w:rPr>
          <w:lang w:val="fr-FR" w:eastAsia="fr-FR"/>
        </w:rPr>
        <w:t xml:space="preserve"> faire reculer les mauvaises conditions d’alimentation en eau, assainissement et hygiène, la Stratégie </w:t>
      </w:r>
      <w:r w:rsidR="004306F2" w:rsidRPr="00A65470">
        <w:t>Nationale</w:t>
      </w:r>
      <w:r w:rsidR="004306F2" w:rsidRPr="002E4295">
        <w:rPr>
          <w:lang w:val="fr-FR" w:eastAsia="fr-FR"/>
        </w:rPr>
        <w:t xml:space="preserve"> </w:t>
      </w:r>
      <w:r w:rsidR="004306F2" w:rsidRPr="002E4295">
        <w:rPr>
          <w:lang w:val="fr-FR"/>
        </w:rPr>
        <w:t>d’Assainissement</w:t>
      </w:r>
      <w:r w:rsidR="004306F2" w:rsidRPr="002E4295">
        <w:rPr>
          <w:lang w:val="fr-FR" w:eastAsia="fr-FR"/>
        </w:rPr>
        <w:t xml:space="preserve"> Liquide (2011-2020) dont l’objectif est de préciser les options politiques et les grandes lignes des arrangements institutionnels ainsi que les mécanismes de financement devant permettre d’accroître l’accès des populations aux installations s</w:t>
      </w:r>
      <w:r w:rsidR="001F24DE">
        <w:rPr>
          <w:lang w:val="fr-FR" w:eastAsia="fr-FR"/>
        </w:rPr>
        <w:t>anitaires a été lancée en 2011.</w:t>
      </w:r>
    </w:p>
    <w:p w:rsidR="004306F2" w:rsidRPr="002E4295" w:rsidRDefault="00270BF3" w:rsidP="00270BF3">
      <w:pPr>
        <w:pStyle w:val="SingleTxtG"/>
        <w:rPr>
          <w:lang w:val="fr-FR" w:eastAsia="fr-FR"/>
        </w:rPr>
      </w:pPr>
      <w:r w:rsidRPr="002E4295">
        <w:rPr>
          <w:lang w:val="fr-FR" w:eastAsia="fr-FR"/>
        </w:rPr>
        <w:t>157.</w:t>
      </w:r>
      <w:r w:rsidRPr="002E4295">
        <w:rPr>
          <w:lang w:val="fr-FR" w:eastAsia="fr-FR"/>
        </w:rPr>
        <w:tab/>
      </w:r>
      <w:r w:rsidR="004306F2" w:rsidRPr="002E4295">
        <w:rPr>
          <w:lang w:val="fr-FR"/>
        </w:rPr>
        <w:t>L</w:t>
      </w:r>
      <w:r w:rsidR="006A57AD">
        <w:rPr>
          <w:lang w:val="fr-FR"/>
        </w:rPr>
        <w:t>’</w:t>
      </w:r>
      <w:r w:rsidR="004306F2" w:rsidRPr="002E4295">
        <w:rPr>
          <w:lang w:val="fr-FR"/>
        </w:rPr>
        <w:t>Ecole</w:t>
      </w:r>
      <w:r w:rsidR="004306F2" w:rsidRPr="002E4295">
        <w:rPr>
          <w:lang w:val="fr-FR" w:eastAsia="fr-FR"/>
        </w:rPr>
        <w:t xml:space="preserve"> Nationale </w:t>
      </w:r>
      <w:r w:rsidR="004306F2" w:rsidRPr="00A65470">
        <w:t>Supérieure</w:t>
      </w:r>
      <w:r w:rsidR="004306F2" w:rsidRPr="002E4295">
        <w:rPr>
          <w:lang w:val="fr-FR" w:eastAsia="fr-FR"/>
        </w:rPr>
        <w:t xml:space="preserve"> Polytechnique (ENSP) dispose d’un laboratoire de l</w:t>
      </w:r>
      <w:r w:rsidR="006A57AD">
        <w:rPr>
          <w:lang w:val="fr-FR" w:eastAsia="fr-FR"/>
        </w:rPr>
        <w:t>’</w:t>
      </w:r>
      <w:r w:rsidR="004306F2" w:rsidRPr="002E4295">
        <w:rPr>
          <w:lang w:val="fr-FR" w:eastAsia="fr-FR"/>
        </w:rPr>
        <w:t>eau, de l</w:t>
      </w:r>
      <w:r w:rsidR="006A57AD">
        <w:rPr>
          <w:lang w:val="fr-FR" w:eastAsia="fr-FR"/>
        </w:rPr>
        <w:t>’</w:t>
      </w:r>
      <w:r w:rsidR="004306F2" w:rsidRPr="002E4295">
        <w:rPr>
          <w:lang w:val="fr-FR" w:eastAsia="fr-FR"/>
        </w:rPr>
        <w:t>énergie et de l</w:t>
      </w:r>
      <w:r w:rsidR="006A57AD">
        <w:rPr>
          <w:lang w:val="fr-FR" w:eastAsia="fr-FR"/>
        </w:rPr>
        <w:t>’</w:t>
      </w:r>
      <w:r w:rsidR="004306F2" w:rsidRPr="002E4295">
        <w:rPr>
          <w:lang w:val="fr-FR" w:eastAsia="fr-FR"/>
        </w:rPr>
        <w:t>environnement dont les principaux axes de recherche sont les déchets solides et liquides, la gestion de l</w:t>
      </w:r>
      <w:r w:rsidR="006A57AD">
        <w:rPr>
          <w:lang w:val="fr-FR" w:eastAsia="fr-FR"/>
        </w:rPr>
        <w:t>’</w:t>
      </w:r>
      <w:r w:rsidR="004306F2" w:rsidRPr="002E4295">
        <w:rPr>
          <w:lang w:val="fr-FR" w:eastAsia="fr-FR"/>
        </w:rPr>
        <w:t>eau et l</w:t>
      </w:r>
      <w:r w:rsidR="006A57AD">
        <w:rPr>
          <w:lang w:val="fr-FR" w:eastAsia="fr-FR"/>
        </w:rPr>
        <w:t>’</w:t>
      </w:r>
      <w:r w:rsidR="004306F2" w:rsidRPr="002E4295">
        <w:rPr>
          <w:lang w:val="fr-FR" w:eastAsia="fr-FR"/>
        </w:rPr>
        <w:t>assainissement et l</w:t>
      </w:r>
      <w:r w:rsidR="006A57AD">
        <w:rPr>
          <w:lang w:val="fr-FR" w:eastAsia="fr-FR"/>
        </w:rPr>
        <w:t>’</w:t>
      </w:r>
      <w:r w:rsidR="004306F2" w:rsidRPr="002E4295">
        <w:rPr>
          <w:lang w:val="fr-FR" w:eastAsia="fr-FR"/>
        </w:rPr>
        <w:t>hydrologie.</w:t>
      </w:r>
    </w:p>
    <w:p w:rsidR="004306F2" w:rsidRPr="002E4295" w:rsidRDefault="00270BF3" w:rsidP="00270BF3">
      <w:pPr>
        <w:pStyle w:val="SingleTxtG"/>
        <w:rPr>
          <w:lang w:val="fr-FR"/>
        </w:rPr>
      </w:pPr>
      <w:r w:rsidRPr="002E4295">
        <w:rPr>
          <w:lang w:val="fr-FR"/>
        </w:rPr>
        <w:t>158.</w:t>
      </w:r>
      <w:r w:rsidRPr="002E4295">
        <w:rPr>
          <w:lang w:val="fr-FR"/>
        </w:rPr>
        <w:tab/>
      </w:r>
      <w:r w:rsidR="004306F2" w:rsidRPr="002E4295">
        <w:rPr>
          <w:lang w:val="fr-FR"/>
        </w:rPr>
        <w:t>En collaboration avec certaines institutions, l</w:t>
      </w:r>
      <w:r w:rsidR="006A57AD">
        <w:rPr>
          <w:lang w:val="fr-FR"/>
        </w:rPr>
        <w:t>’</w:t>
      </w:r>
      <w:r w:rsidR="004306F2" w:rsidRPr="002E4295">
        <w:rPr>
          <w:lang w:val="fr-FR"/>
        </w:rPr>
        <w:t xml:space="preserve">ENSP a, dans </w:t>
      </w:r>
      <w:r w:rsidR="004306F2" w:rsidRPr="002E4295">
        <w:rPr>
          <w:lang w:val="fr-FR" w:eastAsia="fr-FR"/>
        </w:rPr>
        <w:t>l</w:t>
      </w:r>
      <w:r w:rsidR="006A57AD">
        <w:rPr>
          <w:lang w:val="fr-FR" w:eastAsia="fr-FR"/>
        </w:rPr>
        <w:t>’</w:t>
      </w:r>
      <w:r w:rsidR="004306F2" w:rsidRPr="002E4295">
        <w:rPr>
          <w:lang w:val="fr-FR" w:eastAsia="fr-FR"/>
        </w:rPr>
        <w:t>objectif</w:t>
      </w:r>
      <w:r w:rsidR="004306F2" w:rsidRPr="002E4295">
        <w:rPr>
          <w:lang w:val="fr-FR"/>
        </w:rPr>
        <w:t xml:space="preserve"> de contribuer au renforcement des capacités de </w:t>
      </w:r>
      <w:r w:rsidR="004306F2" w:rsidRPr="00A65470">
        <w:t>maîtrise</w:t>
      </w:r>
      <w:r w:rsidR="004306F2" w:rsidRPr="002E4295">
        <w:rPr>
          <w:lang w:val="fr-FR"/>
        </w:rPr>
        <w:t xml:space="preserve"> d</w:t>
      </w:r>
      <w:r w:rsidR="006A57AD">
        <w:rPr>
          <w:lang w:val="fr-FR"/>
        </w:rPr>
        <w:t>’</w:t>
      </w:r>
      <w:r w:rsidR="004306F2" w:rsidRPr="002E4295">
        <w:rPr>
          <w:lang w:val="fr-FR"/>
        </w:rPr>
        <w:t>ouvrage de la Commune d</w:t>
      </w:r>
      <w:r w:rsidR="006A57AD">
        <w:rPr>
          <w:lang w:val="fr-FR"/>
        </w:rPr>
        <w:t>’</w:t>
      </w:r>
      <w:r w:rsidR="004306F2" w:rsidRPr="002E4295">
        <w:rPr>
          <w:lang w:val="fr-FR"/>
        </w:rPr>
        <w:t>Arrondissement de Yaoundé VI et à l</w:t>
      </w:r>
      <w:r w:rsidR="006A57AD">
        <w:rPr>
          <w:lang w:val="fr-FR"/>
        </w:rPr>
        <w:t>’</w:t>
      </w:r>
      <w:r w:rsidR="004306F2" w:rsidRPr="002E4295">
        <w:rPr>
          <w:lang w:val="fr-FR"/>
        </w:rPr>
        <w:t xml:space="preserve">amélioration de la gouvernance locale, participé à la construction en 2012 et 2013, des voies de déserte et de 10 latrines aux quartiers </w:t>
      </w:r>
      <w:proofErr w:type="spellStart"/>
      <w:r w:rsidR="004306F2" w:rsidRPr="002E4295">
        <w:rPr>
          <w:lang w:val="fr-FR"/>
        </w:rPr>
        <w:t>Melen</w:t>
      </w:r>
      <w:proofErr w:type="spellEnd"/>
      <w:r w:rsidR="004306F2" w:rsidRPr="002E4295">
        <w:rPr>
          <w:lang w:val="fr-FR"/>
        </w:rPr>
        <w:t xml:space="preserve"> et </w:t>
      </w:r>
      <w:proofErr w:type="spellStart"/>
      <w:r w:rsidR="004306F2" w:rsidRPr="002E4295">
        <w:rPr>
          <w:lang w:val="fr-FR"/>
        </w:rPr>
        <w:t>Mokolo</w:t>
      </w:r>
      <w:proofErr w:type="spellEnd"/>
      <w:r w:rsidR="004306F2" w:rsidRPr="002E4295">
        <w:rPr>
          <w:lang w:val="fr-FR"/>
        </w:rPr>
        <w:t>.</w:t>
      </w:r>
    </w:p>
    <w:p w:rsidR="004306F2" w:rsidRPr="002E4295" w:rsidRDefault="00270BF3" w:rsidP="00270BF3">
      <w:pPr>
        <w:pStyle w:val="SingleTxtG"/>
        <w:rPr>
          <w:lang w:val="fr-FR"/>
        </w:rPr>
      </w:pPr>
      <w:r w:rsidRPr="002E4295">
        <w:rPr>
          <w:lang w:val="fr-FR"/>
        </w:rPr>
        <w:t>159.</w:t>
      </w:r>
      <w:r w:rsidRPr="002E4295">
        <w:rPr>
          <w:lang w:val="fr-FR"/>
        </w:rPr>
        <w:tab/>
      </w:r>
      <w:r w:rsidR="004306F2" w:rsidRPr="002E4295">
        <w:rPr>
          <w:lang w:val="fr-FR"/>
        </w:rPr>
        <w:t>Par</w:t>
      </w:r>
      <w:r w:rsidR="004306F2" w:rsidRPr="002E4295">
        <w:rPr>
          <w:lang w:val="fr-FR" w:eastAsia="fr-FR"/>
        </w:rPr>
        <w:t xml:space="preserve"> </w:t>
      </w:r>
      <w:r w:rsidR="004306F2" w:rsidRPr="002E4295">
        <w:rPr>
          <w:lang w:val="fr-FR"/>
        </w:rPr>
        <w:t>ailleurs</w:t>
      </w:r>
      <w:r w:rsidR="004306F2" w:rsidRPr="002E4295">
        <w:rPr>
          <w:lang w:val="fr-FR" w:eastAsia="fr-FR"/>
        </w:rPr>
        <w:t xml:space="preserve">, </w:t>
      </w:r>
      <w:r w:rsidR="004306F2" w:rsidRPr="002E4295">
        <w:rPr>
          <w:lang w:val="fr-FR"/>
        </w:rPr>
        <w:t xml:space="preserve">en 2014, </w:t>
      </w:r>
      <w:r w:rsidR="004306F2" w:rsidRPr="00A65470">
        <w:t>dans</w:t>
      </w:r>
      <w:r w:rsidR="004306F2" w:rsidRPr="002E4295">
        <w:rPr>
          <w:lang w:val="fr-FR"/>
        </w:rPr>
        <w:t xml:space="preserve"> le cadre </w:t>
      </w:r>
      <w:r w:rsidR="004306F2" w:rsidRPr="002E4295">
        <w:rPr>
          <w:lang w:val="fr-FR" w:eastAsia="fr-FR"/>
        </w:rPr>
        <w:t xml:space="preserve">des interventions </w:t>
      </w:r>
      <w:r w:rsidR="004306F2" w:rsidRPr="0017665A">
        <w:rPr>
          <w:lang w:val="fr-FR" w:eastAsia="fr-FR"/>
        </w:rPr>
        <w:t>WASH</w:t>
      </w:r>
      <w:r w:rsidR="004306F2" w:rsidRPr="0017665A">
        <w:rPr>
          <w:lang w:val="fr-FR"/>
        </w:rPr>
        <w:t>,</w:t>
      </w:r>
      <w:r w:rsidR="004306F2" w:rsidRPr="003102AF">
        <w:rPr>
          <w:lang w:val="fr-FR"/>
        </w:rPr>
        <w:t xml:space="preserve"> l’Assainissement</w:t>
      </w:r>
      <w:r w:rsidR="004306F2" w:rsidRPr="002E4295">
        <w:rPr>
          <w:lang w:val="fr-FR"/>
        </w:rPr>
        <w:t xml:space="preserve"> Total Piloté par les Communautés (ATPC) a été réalisé dans 57 villages de trois Régions. Ces </w:t>
      </w:r>
      <w:r w:rsidR="004306F2" w:rsidRPr="002E4295">
        <w:rPr>
          <w:lang w:val="fr-FR" w:eastAsia="fr-FR"/>
        </w:rPr>
        <w:t>Régions</w:t>
      </w:r>
      <w:r w:rsidR="004306F2" w:rsidRPr="002E4295">
        <w:rPr>
          <w:lang w:val="fr-FR"/>
        </w:rPr>
        <w:t xml:space="preserve"> ainsi que celle de l’Est ont bénéficié de 16 000 latrines construites dans 2</w:t>
      </w:r>
      <w:r w:rsidR="003102AF">
        <w:rPr>
          <w:lang w:val="fr-FR"/>
        </w:rPr>
        <w:t> </w:t>
      </w:r>
      <w:r w:rsidR="004306F2" w:rsidRPr="002E4295">
        <w:rPr>
          <w:lang w:val="fr-FR"/>
        </w:rPr>
        <w:t>520 villages.</w:t>
      </w:r>
    </w:p>
    <w:p w:rsidR="004306F2" w:rsidRPr="002E4295" w:rsidRDefault="00270BF3" w:rsidP="00270BF3">
      <w:pPr>
        <w:pStyle w:val="SingleTxtG"/>
        <w:rPr>
          <w:lang w:val="fr-FR"/>
        </w:rPr>
      </w:pPr>
      <w:r w:rsidRPr="002E4295">
        <w:rPr>
          <w:lang w:val="fr-FR"/>
        </w:rPr>
        <w:t>160.</w:t>
      </w:r>
      <w:r w:rsidRPr="002E4295">
        <w:rPr>
          <w:lang w:val="fr-FR"/>
        </w:rPr>
        <w:tab/>
      </w:r>
      <w:r w:rsidR="004306F2" w:rsidRPr="002E4295">
        <w:rPr>
          <w:lang w:val="fr-FR"/>
        </w:rPr>
        <w:t>Deux initiatives ont été dédiées à la rénovation des quartiers à habitats précaires, notamment le Projet de Développement des Secteurs Urbains et de l’Approvisionnement en eau</w:t>
      </w:r>
      <w:r w:rsidR="004306F2" w:rsidRPr="004E45B3">
        <w:t xml:space="preserve"> </w:t>
      </w:r>
      <w:r w:rsidR="004306F2" w:rsidRPr="002E4295">
        <w:rPr>
          <w:lang w:val="fr-FR"/>
        </w:rPr>
        <w:t xml:space="preserve">(PDUE) et le Programme </w:t>
      </w:r>
      <w:r w:rsidR="004306F2" w:rsidRPr="00A65470">
        <w:t>Participatif</w:t>
      </w:r>
      <w:r w:rsidR="004306F2" w:rsidRPr="002E4295">
        <w:rPr>
          <w:lang w:val="fr-FR"/>
        </w:rPr>
        <w:t xml:space="preserve"> d’Amélioration des Bidonvilles (PPAB). </w:t>
      </w:r>
      <w:r w:rsidR="004306F2" w:rsidRPr="002E4295">
        <w:rPr>
          <w:rFonts w:ascii="New roman" w:hAnsi="New roman"/>
          <w:lang w:val="fr-FR"/>
        </w:rPr>
        <w:t>De 2009 à 2012, le PDUE a permis la réalisation de 28 km de voiries urbaines, la construction de 50</w:t>
      </w:r>
      <w:r w:rsidR="003102AF">
        <w:rPr>
          <w:rFonts w:ascii="New roman" w:hAnsi="New roman" w:hint="eastAsia"/>
          <w:lang w:val="fr-FR"/>
        </w:rPr>
        <w:t> </w:t>
      </w:r>
      <w:r w:rsidR="004306F2" w:rsidRPr="002E4295">
        <w:rPr>
          <w:rFonts w:ascii="New roman" w:hAnsi="New roman"/>
          <w:lang w:val="fr-FR"/>
        </w:rPr>
        <w:t>km de drains, l’extension des réseaux tertiaires dans 16 centres urbains, la création, l’animation et le renforcement des capacités des Comités de développement des quartiers précaires, la signature de 20 p</w:t>
      </w:r>
      <w:r w:rsidR="00516DBC">
        <w:rPr>
          <w:rFonts w:ascii="New roman" w:hAnsi="New roman"/>
          <w:lang w:val="fr-FR"/>
        </w:rPr>
        <w:t xml:space="preserve">rotocoles de partenariat et de </w:t>
      </w:r>
      <w:r w:rsidR="004306F2" w:rsidRPr="002E4295">
        <w:rPr>
          <w:rFonts w:ascii="New roman" w:hAnsi="New roman"/>
          <w:lang w:val="fr-FR"/>
        </w:rPr>
        <w:t>2 contrats de ville et l’élaboration de la stratégie urbaine qui</w:t>
      </w:r>
      <w:r w:rsidR="001F24DE">
        <w:rPr>
          <w:rFonts w:ascii="New roman" w:hAnsi="New roman"/>
          <w:lang w:val="fr-FR"/>
        </w:rPr>
        <w:t xml:space="preserve"> est en attente de déclaration.</w:t>
      </w:r>
    </w:p>
    <w:p w:rsidR="004306F2" w:rsidRPr="002E4295" w:rsidRDefault="00270BF3" w:rsidP="00270BF3">
      <w:pPr>
        <w:pStyle w:val="SingleTxtG"/>
        <w:rPr>
          <w:lang w:val="fr-FR"/>
        </w:rPr>
      </w:pPr>
      <w:r w:rsidRPr="002E4295">
        <w:rPr>
          <w:lang w:val="fr-FR"/>
        </w:rPr>
        <w:t>161.</w:t>
      </w:r>
      <w:r w:rsidRPr="002E4295">
        <w:rPr>
          <w:lang w:val="fr-FR"/>
        </w:rPr>
        <w:tab/>
      </w:r>
      <w:r w:rsidR="004306F2" w:rsidRPr="002E4295">
        <w:rPr>
          <w:lang w:val="fr-FR"/>
        </w:rPr>
        <w:t xml:space="preserve">Outre l’instauration au sein des communautés des journées de ramassage d’ordures, le Gouvernement a </w:t>
      </w:r>
      <w:r w:rsidR="004306F2" w:rsidRPr="00A65470">
        <w:t>accompagné</w:t>
      </w:r>
      <w:r w:rsidR="004306F2" w:rsidRPr="002E4295">
        <w:rPr>
          <w:lang w:val="fr-FR"/>
        </w:rPr>
        <w:t xml:space="preserve"> les CTD, qui désormais ont la compétence en matière d</w:t>
      </w:r>
      <w:r w:rsidR="006A57AD">
        <w:rPr>
          <w:lang w:val="fr-FR"/>
        </w:rPr>
        <w:t>’</w:t>
      </w:r>
      <w:r w:rsidR="004306F2" w:rsidRPr="002E4295">
        <w:rPr>
          <w:lang w:val="fr-FR"/>
        </w:rPr>
        <w:t xml:space="preserve">assainissement par la transformation des matières fécales et des urines en intrants agricoles (urées), à travers la construction de latrines écologiques </w:t>
      </w:r>
      <w:r w:rsidR="004306F2" w:rsidRPr="002E4295">
        <w:rPr>
          <w:lang w:val="fr-FR" w:eastAsia="fr-FR"/>
        </w:rPr>
        <w:t>pilotées</w:t>
      </w:r>
      <w:r w:rsidR="004306F2" w:rsidRPr="002E4295">
        <w:rPr>
          <w:lang w:val="fr-FR"/>
        </w:rPr>
        <w:t xml:space="preserve"> par les bénéficiaires (élèves, operateurs des marchés) constitués en Comités</w:t>
      </w:r>
      <w:r w:rsidR="001F24DE">
        <w:rPr>
          <w:lang w:val="fr-FR"/>
        </w:rPr>
        <w:t xml:space="preserve"> d</w:t>
      </w:r>
      <w:r w:rsidR="006A57AD">
        <w:rPr>
          <w:lang w:val="fr-FR"/>
        </w:rPr>
        <w:t>’</w:t>
      </w:r>
      <w:r w:rsidR="001F24DE">
        <w:rPr>
          <w:lang w:val="fr-FR"/>
        </w:rPr>
        <w:t>éducation à l</w:t>
      </w:r>
      <w:r w:rsidR="006A57AD">
        <w:rPr>
          <w:lang w:val="fr-FR"/>
        </w:rPr>
        <w:t>’</w:t>
      </w:r>
      <w:r w:rsidR="001F24DE">
        <w:rPr>
          <w:lang w:val="fr-FR"/>
        </w:rPr>
        <w:t>environnement.</w:t>
      </w:r>
    </w:p>
    <w:p w:rsidR="004306F2" w:rsidRPr="0017665A" w:rsidRDefault="00E15932" w:rsidP="0017665A">
      <w:pPr>
        <w:pStyle w:val="H23G"/>
      </w:pPr>
      <w:r>
        <w:rPr>
          <w:lang w:val="fr-FR"/>
        </w:rPr>
        <w:tab/>
      </w:r>
      <w:r w:rsidR="00005C62">
        <w:rPr>
          <w:lang w:val="fr-FR"/>
        </w:rPr>
        <w:tab/>
      </w:r>
      <w:r w:rsidR="004306F2" w:rsidRPr="002E4295">
        <w:rPr>
          <w:lang w:val="fr-FR"/>
        </w:rPr>
        <w:t>Le</w:t>
      </w:r>
      <w:r w:rsidR="004306F2" w:rsidRPr="002E4295">
        <w:rPr>
          <w:b w:val="0"/>
          <w:sz w:val="24"/>
          <w:szCs w:val="24"/>
          <w:lang w:val="fr-FR" w:eastAsia="fr-FR"/>
        </w:rPr>
        <w:t xml:space="preserve"> </w:t>
      </w:r>
      <w:r w:rsidR="004306F2" w:rsidRPr="002E4295">
        <w:rPr>
          <w:lang w:val="fr-FR"/>
        </w:rPr>
        <w:t>traitement</w:t>
      </w:r>
      <w:r w:rsidR="004306F2" w:rsidRPr="002E4295">
        <w:rPr>
          <w:b w:val="0"/>
          <w:sz w:val="24"/>
          <w:szCs w:val="24"/>
          <w:lang w:val="fr-FR" w:eastAsia="fr-FR"/>
        </w:rPr>
        <w:t xml:space="preserve"> </w:t>
      </w:r>
      <w:r w:rsidR="004306F2" w:rsidRPr="002E4295">
        <w:rPr>
          <w:lang w:val="fr-FR"/>
        </w:rPr>
        <w:t>des</w:t>
      </w:r>
      <w:r w:rsidR="004306F2" w:rsidRPr="002E4295">
        <w:rPr>
          <w:b w:val="0"/>
          <w:sz w:val="24"/>
          <w:szCs w:val="24"/>
          <w:lang w:val="fr-FR" w:eastAsia="fr-FR"/>
        </w:rPr>
        <w:t xml:space="preserve"> </w:t>
      </w:r>
      <w:r w:rsidR="004306F2" w:rsidRPr="002E4295">
        <w:rPr>
          <w:lang w:val="fr-FR"/>
        </w:rPr>
        <w:t>déchets</w:t>
      </w:r>
    </w:p>
    <w:p w:rsidR="004306F2" w:rsidRPr="002E4295" w:rsidRDefault="00270BF3" w:rsidP="00270BF3">
      <w:pPr>
        <w:pStyle w:val="SingleTxtG"/>
        <w:rPr>
          <w:lang w:val="fr-FR" w:eastAsia="fr-FR"/>
        </w:rPr>
      </w:pPr>
      <w:r w:rsidRPr="002E4295">
        <w:rPr>
          <w:lang w:val="fr-FR" w:eastAsia="fr-FR"/>
        </w:rPr>
        <w:t>162.</w:t>
      </w:r>
      <w:r w:rsidRPr="002E4295">
        <w:rPr>
          <w:lang w:val="fr-FR" w:eastAsia="fr-FR"/>
        </w:rPr>
        <w:tab/>
      </w:r>
      <w:r w:rsidR="004306F2" w:rsidRPr="002E4295">
        <w:rPr>
          <w:lang w:val="fr-FR" w:eastAsia="fr-FR"/>
        </w:rPr>
        <w:t xml:space="preserve">La collecte et le </w:t>
      </w:r>
      <w:r w:rsidR="004306F2" w:rsidRPr="002E4295">
        <w:rPr>
          <w:lang w:val="fr-FR"/>
        </w:rPr>
        <w:t>traitement</w:t>
      </w:r>
      <w:r w:rsidR="004306F2" w:rsidRPr="002E4295">
        <w:rPr>
          <w:lang w:val="fr-FR" w:eastAsia="fr-FR"/>
        </w:rPr>
        <w:t xml:space="preserve"> des déchets sont assurés dans certaines villes par la </w:t>
      </w:r>
      <w:r w:rsidR="004306F2" w:rsidRPr="002E4295">
        <w:rPr>
          <w:lang w:val="fr-FR"/>
        </w:rPr>
        <w:t>Société</w:t>
      </w:r>
      <w:r w:rsidR="004306F2" w:rsidRPr="002E4295">
        <w:rPr>
          <w:lang w:val="fr-FR" w:eastAsia="fr-FR"/>
        </w:rPr>
        <w:t xml:space="preserve"> Hygiène et Salubrité du Cameroun (HYSACAM) qui est sous contrat avec les Communes. </w:t>
      </w:r>
      <w:r w:rsidR="004306F2" w:rsidRPr="002E4295">
        <w:rPr>
          <w:lang w:val="fr-FR"/>
        </w:rPr>
        <w:t>Dans</w:t>
      </w:r>
      <w:r w:rsidR="004306F2" w:rsidRPr="002E4295">
        <w:rPr>
          <w:lang w:val="fr-FR" w:eastAsia="fr-FR"/>
        </w:rPr>
        <w:t xml:space="preserve"> les quartiers enclavés, la pré-collecte des déchets est assurée par des </w:t>
      </w:r>
      <w:r w:rsidR="004306F2" w:rsidRPr="002E4295">
        <w:rPr>
          <w:lang w:val="fr-FR"/>
        </w:rPr>
        <w:t>associations</w:t>
      </w:r>
      <w:r w:rsidR="004306F2" w:rsidRPr="002E4295">
        <w:rPr>
          <w:lang w:val="fr-FR" w:eastAsia="fr-FR"/>
        </w:rPr>
        <w:t xml:space="preserve"> communautaires ou les ménages eux-mêmes et acheminée vers des zones de collecte d’HYSACAM.</w:t>
      </w:r>
    </w:p>
    <w:p w:rsidR="004306F2" w:rsidRPr="0085240F" w:rsidRDefault="00270BF3" w:rsidP="00270BF3">
      <w:pPr>
        <w:pStyle w:val="SingleTxtG"/>
        <w:rPr>
          <w:lang w:val="fr-FR" w:eastAsia="fr-FR"/>
        </w:rPr>
      </w:pPr>
      <w:r w:rsidRPr="0085240F">
        <w:rPr>
          <w:lang w:val="fr-FR" w:eastAsia="fr-FR"/>
        </w:rPr>
        <w:t>163.</w:t>
      </w:r>
      <w:r w:rsidRPr="0085240F">
        <w:rPr>
          <w:lang w:val="fr-FR" w:eastAsia="fr-FR"/>
        </w:rPr>
        <w:tab/>
      </w:r>
      <w:r w:rsidR="004306F2" w:rsidRPr="0085240F">
        <w:rPr>
          <w:lang w:val="fr-FR"/>
        </w:rPr>
        <w:t>En</w:t>
      </w:r>
      <w:r w:rsidR="004306F2" w:rsidRPr="0085240F">
        <w:rPr>
          <w:lang w:val="fr-FR" w:eastAsia="fr-FR"/>
        </w:rPr>
        <w:t xml:space="preserve"> plus, le Gouvernement a aidé HYSACAM à construire deux centrales </w:t>
      </w:r>
      <w:r w:rsidR="004306F2" w:rsidRPr="0085240F">
        <w:rPr>
          <w:lang w:val="fr-FR"/>
        </w:rPr>
        <w:t>de</w:t>
      </w:r>
      <w:r w:rsidR="004306F2" w:rsidRPr="0085240F">
        <w:rPr>
          <w:lang w:val="fr-FR" w:eastAsia="fr-FR"/>
        </w:rPr>
        <w:t xml:space="preserve"> captage </w:t>
      </w:r>
      <w:r w:rsidR="004306F2" w:rsidRPr="0085240F">
        <w:rPr>
          <w:lang w:val="fr-FR"/>
        </w:rPr>
        <w:t>de</w:t>
      </w:r>
      <w:r w:rsidR="004306F2" w:rsidRPr="0085240F">
        <w:rPr>
          <w:lang w:val="fr-FR" w:eastAsia="fr-FR"/>
        </w:rPr>
        <w:t xml:space="preserve"> biogaz validées par les Nations </w:t>
      </w:r>
      <w:r w:rsidR="004306F2" w:rsidRPr="00A65470">
        <w:t>unies</w:t>
      </w:r>
      <w:r w:rsidR="004306F2" w:rsidRPr="0085240F">
        <w:rPr>
          <w:lang w:val="fr-FR" w:eastAsia="fr-FR"/>
        </w:rPr>
        <w:t xml:space="preserve">, sur les sites de traitement de Douala et Yaoundé, en vue </w:t>
      </w:r>
      <w:r w:rsidR="004306F2" w:rsidRPr="0085240F">
        <w:rPr>
          <w:lang w:val="fr-FR"/>
        </w:rPr>
        <w:t>de</w:t>
      </w:r>
      <w:r w:rsidR="004306F2" w:rsidRPr="0085240F">
        <w:rPr>
          <w:lang w:val="fr-FR" w:eastAsia="fr-FR"/>
        </w:rPr>
        <w:t xml:space="preserve"> réduire les gaz à </w:t>
      </w:r>
      <w:r w:rsidR="004306F2" w:rsidRPr="0085240F">
        <w:rPr>
          <w:lang w:val="fr-FR"/>
        </w:rPr>
        <w:t>effet</w:t>
      </w:r>
      <w:r w:rsidR="004306F2" w:rsidRPr="0085240F">
        <w:rPr>
          <w:lang w:val="fr-FR" w:eastAsia="fr-FR"/>
        </w:rPr>
        <w:t xml:space="preserve"> de serre. La société est également active dans la mise à disposition de toilettes mobiles et le nettoyage industriel. Le coût du service est entièrement financé par le budget de l’</w:t>
      </w:r>
      <w:r w:rsidR="00FB5306">
        <w:rPr>
          <w:lang w:val="fr-FR" w:eastAsia="fr-FR"/>
        </w:rPr>
        <w:t>État</w:t>
      </w:r>
      <w:r w:rsidR="004306F2" w:rsidRPr="0085240F">
        <w:rPr>
          <w:lang w:val="fr-FR" w:eastAsia="fr-FR"/>
        </w:rPr>
        <w:t>.</w:t>
      </w:r>
    </w:p>
    <w:p w:rsidR="004306F2" w:rsidRPr="002E4295" w:rsidRDefault="00270BF3" w:rsidP="00270BF3">
      <w:pPr>
        <w:pStyle w:val="SingleTxtG"/>
        <w:rPr>
          <w:lang w:val="fr-FR" w:eastAsia="fr-FR"/>
        </w:rPr>
      </w:pPr>
      <w:r w:rsidRPr="002E4295">
        <w:rPr>
          <w:lang w:val="fr-FR" w:eastAsia="fr-FR"/>
        </w:rPr>
        <w:t>164.</w:t>
      </w:r>
      <w:r w:rsidRPr="002E4295">
        <w:rPr>
          <w:lang w:val="fr-FR" w:eastAsia="fr-FR"/>
        </w:rPr>
        <w:tab/>
      </w:r>
      <w:r w:rsidR="004306F2" w:rsidRPr="002E4295">
        <w:rPr>
          <w:lang w:val="fr-FR" w:eastAsia="fr-FR"/>
        </w:rPr>
        <w:t xml:space="preserve">A </w:t>
      </w:r>
      <w:r w:rsidR="004306F2" w:rsidRPr="002E4295">
        <w:rPr>
          <w:lang w:val="fr-FR"/>
        </w:rPr>
        <w:t>côté</w:t>
      </w:r>
      <w:r w:rsidR="004306F2" w:rsidRPr="002E4295">
        <w:rPr>
          <w:lang w:val="fr-FR" w:eastAsia="fr-FR"/>
        </w:rPr>
        <w:t xml:space="preserve"> d’HYSACAM, plus de </w:t>
      </w:r>
      <w:r w:rsidR="004306F2" w:rsidRPr="002E4295">
        <w:rPr>
          <w:lang w:val="fr-FR"/>
        </w:rPr>
        <w:t>soixante</w:t>
      </w:r>
      <w:r w:rsidR="004306F2" w:rsidRPr="002E4295">
        <w:rPr>
          <w:lang w:val="fr-FR" w:eastAsia="fr-FR"/>
        </w:rPr>
        <w:t xml:space="preserve"> (60) vidangeurs sont actifs dans les villes de Yaoundé et de Douala et assurent un service aux entreprises, établissements publics, hôtels et </w:t>
      </w:r>
      <w:r w:rsidR="004306F2" w:rsidRPr="002E4295">
        <w:rPr>
          <w:lang w:val="fr-FR"/>
        </w:rPr>
        <w:t>toilettes</w:t>
      </w:r>
      <w:r w:rsidR="004306F2" w:rsidRPr="002E4295">
        <w:rPr>
          <w:lang w:val="fr-FR" w:eastAsia="fr-FR"/>
        </w:rPr>
        <w:t xml:space="preserve"> publiques et un nombre réduit de ménages. Leurs activités sont souvent limitées par l’absence de sites de dépotage.</w:t>
      </w:r>
    </w:p>
    <w:p w:rsidR="004306F2" w:rsidRPr="002E4295" w:rsidRDefault="00270BF3" w:rsidP="00270BF3">
      <w:pPr>
        <w:pStyle w:val="SingleTxtG"/>
        <w:rPr>
          <w:lang w:val="fr-FR" w:eastAsia="fr-FR"/>
        </w:rPr>
      </w:pPr>
      <w:r w:rsidRPr="002E4295">
        <w:rPr>
          <w:lang w:val="fr-FR" w:eastAsia="fr-FR"/>
        </w:rPr>
        <w:t>165.</w:t>
      </w:r>
      <w:r w:rsidRPr="002E4295">
        <w:rPr>
          <w:lang w:val="fr-FR" w:eastAsia="fr-FR"/>
        </w:rPr>
        <w:tab/>
      </w:r>
      <w:r w:rsidR="004306F2" w:rsidRPr="002E4295">
        <w:rPr>
          <w:lang w:val="fr-FR"/>
        </w:rPr>
        <w:t xml:space="preserve">Par ailleurs, le Gouvernement a mis en œuvre un Plan National de Gestion des Déchets Hospitaliers avec l’accent sur l’installation des incinérateurs dans les </w:t>
      </w:r>
      <w:r w:rsidR="004306F2" w:rsidRPr="002E4295">
        <w:rPr>
          <w:lang w:val="fr-FR" w:eastAsia="fr-FR"/>
        </w:rPr>
        <w:t>établissements</w:t>
      </w:r>
      <w:r w:rsidR="004306F2" w:rsidRPr="002E4295">
        <w:rPr>
          <w:lang w:val="fr-FR"/>
        </w:rPr>
        <w:t>. Ainsi, 120 personnels sanitaires ont été formés en hygiène et gestion des déchets hospitaliers.</w:t>
      </w:r>
    </w:p>
    <w:p w:rsidR="004306F2" w:rsidRPr="002E4295" w:rsidRDefault="00270BF3" w:rsidP="00270BF3">
      <w:pPr>
        <w:pStyle w:val="SingleTxtG"/>
        <w:rPr>
          <w:lang w:val="fr-FR"/>
        </w:rPr>
      </w:pPr>
      <w:r w:rsidRPr="002E4295">
        <w:rPr>
          <w:lang w:val="fr-FR"/>
        </w:rPr>
        <w:lastRenderedPageBreak/>
        <w:t>166.</w:t>
      </w:r>
      <w:r w:rsidRPr="002E4295">
        <w:rPr>
          <w:lang w:val="fr-FR"/>
        </w:rPr>
        <w:tab/>
      </w:r>
      <w:r w:rsidR="004306F2" w:rsidRPr="002E4295">
        <w:rPr>
          <w:lang w:val="fr-FR"/>
        </w:rPr>
        <w:t xml:space="preserve">Enfin, l’interdiction de la </w:t>
      </w:r>
      <w:r w:rsidR="004306F2" w:rsidRPr="00A65470">
        <w:t>fabrication</w:t>
      </w:r>
      <w:r w:rsidR="004306F2" w:rsidRPr="002E4295">
        <w:rPr>
          <w:lang w:val="fr-FR"/>
        </w:rPr>
        <w:t xml:space="preserve">, de la vente et de la commercialisation des </w:t>
      </w:r>
      <w:r w:rsidR="004306F2" w:rsidRPr="002E4295">
        <w:rPr>
          <w:lang w:val="fr-FR" w:eastAsia="fr-FR"/>
        </w:rPr>
        <w:t>emballages</w:t>
      </w:r>
      <w:r w:rsidR="004306F2" w:rsidRPr="002E4295">
        <w:rPr>
          <w:lang w:val="fr-FR"/>
        </w:rPr>
        <w:t xml:space="preserve"> plastiques non biodégradables a été actée par Arrêté </w:t>
      </w:r>
      <w:r w:rsidR="004306F2" w:rsidRPr="002E4295">
        <w:rPr>
          <w:lang w:val="fr-FR" w:eastAsia="fr-FR"/>
        </w:rPr>
        <w:t>conjoint</w:t>
      </w:r>
      <w:r w:rsidR="004306F2" w:rsidRPr="002E4295">
        <w:rPr>
          <w:lang w:val="fr-FR"/>
        </w:rPr>
        <w:t xml:space="preserve"> </w:t>
      </w:r>
      <w:r w:rsidR="003102AF" w:rsidRPr="00D31C3D">
        <w:t>n</w:t>
      </w:r>
      <w:r w:rsidR="003102AF" w:rsidRPr="00D6478B">
        <w:rPr>
          <w:vertAlign w:val="superscript"/>
        </w:rPr>
        <w:t>o</w:t>
      </w:r>
      <w:r w:rsidR="003102AF">
        <w:t> </w:t>
      </w:r>
      <w:r w:rsidR="004306F2" w:rsidRPr="002E4295">
        <w:rPr>
          <w:lang w:val="fr-FR"/>
        </w:rPr>
        <w:t>004/MINEPDED/MINCOMERCE du 24 octobre 2012.</w:t>
      </w:r>
    </w:p>
    <w:p w:rsidR="004306F2" w:rsidRPr="0017665A" w:rsidRDefault="00E15932" w:rsidP="0017665A">
      <w:pPr>
        <w:pStyle w:val="H23G"/>
      </w:pPr>
      <w:r>
        <w:rPr>
          <w:lang w:val="fr-FR"/>
        </w:rPr>
        <w:tab/>
      </w:r>
      <w:r w:rsidR="00005C62">
        <w:rPr>
          <w:lang w:val="fr-FR"/>
        </w:rPr>
        <w:tab/>
      </w:r>
      <w:r w:rsidR="004306F2" w:rsidRPr="002E4295">
        <w:rPr>
          <w:lang w:val="fr-FR"/>
        </w:rPr>
        <w:t>L’approvisionnement en eau salubre</w:t>
      </w:r>
    </w:p>
    <w:p w:rsidR="004306F2" w:rsidRPr="002E4295" w:rsidRDefault="00270BF3" w:rsidP="00270BF3">
      <w:pPr>
        <w:pStyle w:val="SingleTxtG"/>
        <w:rPr>
          <w:lang w:val="fr-FR"/>
        </w:rPr>
      </w:pPr>
      <w:r w:rsidRPr="002E4295">
        <w:rPr>
          <w:lang w:val="fr-FR"/>
        </w:rPr>
        <w:t>167.</w:t>
      </w:r>
      <w:r w:rsidRPr="002E4295">
        <w:rPr>
          <w:lang w:val="fr-FR"/>
        </w:rPr>
        <w:tab/>
      </w:r>
      <w:r w:rsidR="004306F2" w:rsidRPr="002E4295">
        <w:rPr>
          <w:lang w:val="fr-FR"/>
        </w:rPr>
        <w:t xml:space="preserve">L’action du Gouvernement a consisté à favoriser un égal accès pour tous à une eau salubre et en </w:t>
      </w:r>
      <w:r w:rsidR="004306F2" w:rsidRPr="002E4295">
        <w:rPr>
          <w:lang w:val="fr-FR" w:eastAsia="fr-FR"/>
        </w:rPr>
        <w:t>quantité</w:t>
      </w:r>
      <w:r w:rsidR="004306F2" w:rsidRPr="002E4295">
        <w:rPr>
          <w:lang w:val="fr-FR"/>
        </w:rPr>
        <w:t xml:space="preserve"> suffisante tant en milieu urbain qu’en zone rurale.</w:t>
      </w:r>
    </w:p>
    <w:p w:rsidR="004306F2" w:rsidRPr="002E4295" w:rsidRDefault="00270BF3" w:rsidP="00270BF3">
      <w:pPr>
        <w:pStyle w:val="SingleTxtG"/>
        <w:rPr>
          <w:lang w:val="fr-FR"/>
        </w:rPr>
      </w:pPr>
      <w:r w:rsidRPr="002E4295">
        <w:rPr>
          <w:lang w:val="fr-FR"/>
        </w:rPr>
        <w:t>168.</w:t>
      </w:r>
      <w:r w:rsidRPr="002E4295">
        <w:rPr>
          <w:lang w:val="fr-FR"/>
        </w:rPr>
        <w:tab/>
      </w:r>
      <w:r w:rsidR="004306F2" w:rsidRPr="002E4295">
        <w:rPr>
          <w:lang w:val="fr-FR"/>
        </w:rPr>
        <w:t xml:space="preserve">En milieu urbain, l’approvisionnement en eau salubre est </w:t>
      </w:r>
      <w:r w:rsidR="004306F2" w:rsidRPr="002E4295">
        <w:rPr>
          <w:lang w:val="fr-FR" w:eastAsia="fr-FR"/>
        </w:rPr>
        <w:t>confronté</w:t>
      </w:r>
      <w:r w:rsidR="004306F2" w:rsidRPr="002E4295">
        <w:rPr>
          <w:lang w:val="fr-FR"/>
        </w:rPr>
        <w:t xml:space="preserve"> à une urbanisation croissante et incontrôlée couplée à </w:t>
      </w:r>
      <w:r w:rsidR="004306F2" w:rsidRPr="00A65470">
        <w:t>une</w:t>
      </w:r>
      <w:r w:rsidR="004306F2" w:rsidRPr="002E4295">
        <w:rPr>
          <w:lang w:val="fr-FR"/>
        </w:rPr>
        <w:t xml:space="preserve"> démographie en hausse. Pour y faire face, la </w:t>
      </w:r>
      <w:proofErr w:type="spellStart"/>
      <w:r w:rsidR="004306F2" w:rsidRPr="002E4295">
        <w:rPr>
          <w:lang w:val="fr-FR"/>
        </w:rPr>
        <w:t>Camwater</w:t>
      </w:r>
      <w:proofErr w:type="spellEnd"/>
      <w:r w:rsidR="004306F2" w:rsidRPr="002E4295">
        <w:rPr>
          <w:lang w:val="fr-FR"/>
        </w:rPr>
        <w:t xml:space="preserve"> a lancé de nombreuses initiatives à l’instar de la réhabilitation des stations et réseaux, la construction des ouvrages et initié de nombreux projets en cours de réalisation. </w:t>
      </w:r>
    </w:p>
    <w:p w:rsidR="004306F2" w:rsidRPr="002E4295" w:rsidRDefault="00270BF3" w:rsidP="00270BF3">
      <w:pPr>
        <w:pStyle w:val="SingleTxtG"/>
        <w:rPr>
          <w:lang w:val="fr-FR"/>
        </w:rPr>
      </w:pPr>
      <w:r w:rsidRPr="002E4295">
        <w:rPr>
          <w:lang w:val="fr-FR"/>
        </w:rPr>
        <w:t>169.</w:t>
      </w:r>
      <w:r w:rsidRPr="002E4295">
        <w:rPr>
          <w:lang w:val="fr-FR"/>
        </w:rPr>
        <w:tab/>
      </w:r>
      <w:r w:rsidR="004306F2" w:rsidRPr="002E4295">
        <w:rPr>
          <w:lang w:val="fr-FR"/>
        </w:rPr>
        <w:t>En milieu rural, 2</w:t>
      </w:r>
      <w:r w:rsidR="003102AF">
        <w:rPr>
          <w:lang w:val="fr-FR"/>
        </w:rPr>
        <w:t> </w:t>
      </w:r>
      <w:r w:rsidR="004306F2" w:rsidRPr="002E4295">
        <w:rPr>
          <w:lang w:val="fr-FR"/>
        </w:rPr>
        <w:t>000 kits d’hygiène ont été distribués et des techniques simple</w:t>
      </w:r>
      <w:r w:rsidR="004306F2" w:rsidRPr="002E4295">
        <w:rPr>
          <w:b/>
          <w:lang w:val="fr-FR"/>
        </w:rPr>
        <w:t xml:space="preserve">s </w:t>
      </w:r>
      <w:r w:rsidR="004306F2" w:rsidRPr="002E4295">
        <w:rPr>
          <w:lang w:val="fr-FR"/>
        </w:rPr>
        <w:t xml:space="preserve">de potabilisation de </w:t>
      </w:r>
      <w:r w:rsidR="004306F2" w:rsidRPr="002E4295">
        <w:rPr>
          <w:lang w:val="fr-FR" w:eastAsia="fr-FR"/>
        </w:rPr>
        <w:t>l’eau</w:t>
      </w:r>
      <w:r w:rsidR="004306F2" w:rsidRPr="002E4295">
        <w:rPr>
          <w:lang w:val="fr-FR"/>
        </w:rPr>
        <w:t xml:space="preserve"> à domicile </w:t>
      </w:r>
      <w:r w:rsidR="004306F2" w:rsidRPr="00A65470">
        <w:t>vulgarisées</w:t>
      </w:r>
      <w:r w:rsidR="004306F2" w:rsidRPr="002E4295">
        <w:rPr>
          <w:lang w:val="fr-FR"/>
        </w:rPr>
        <w:t xml:space="preserve"> en 2012 grâce à l’action du Gouvernement avec l’appui de ses partenaires, en vue d’améliorer et de sécuriser le taux d’accès à l’eau potable des populations des localités concernées.</w:t>
      </w:r>
    </w:p>
    <w:p w:rsidR="0085240F" w:rsidRPr="0085240F" w:rsidRDefault="00270BF3" w:rsidP="00270BF3">
      <w:pPr>
        <w:pStyle w:val="SingleTxtG"/>
        <w:rPr>
          <w:lang w:val="fr-FR"/>
        </w:rPr>
      </w:pPr>
      <w:r w:rsidRPr="0085240F">
        <w:rPr>
          <w:lang w:val="fr-FR"/>
        </w:rPr>
        <w:t>170.</w:t>
      </w:r>
      <w:r w:rsidRPr="0085240F">
        <w:rPr>
          <w:lang w:val="fr-FR"/>
        </w:rPr>
        <w:tab/>
      </w:r>
      <w:r w:rsidR="004306F2" w:rsidRPr="0085240F">
        <w:rPr>
          <w:lang w:val="fr-FR"/>
        </w:rPr>
        <w:t xml:space="preserve">L’alimentation en eau de ces zones est assurée par des puits et forages </w:t>
      </w:r>
      <w:r w:rsidR="004306F2" w:rsidRPr="0085240F">
        <w:rPr>
          <w:lang w:val="fr-FR" w:eastAsia="fr-FR"/>
        </w:rPr>
        <w:t>équipés</w:t>
      </w:r>
      <w:r w:rsidR="004306F2" w:rsidRPr="0085240F">
        <w:rPr>
          <w:lang w:val="fr-FR"/>
        </w:rPr>
        <w:t xml:space="preserve"> de pompes à </w:t>
      </w:r>
      <w:r w:rsidR="004306F2" w:rsidRPr="0085240F">
        <w:rPr>
          <w:lang w:val="fr-FR" w:eastAsia="fr-FR"/>
        </w:rPr>
        <w:t>motricité</w:t>
      </w:r>
      <w:r w:rsidR="004306F2" w:rsidRPr="0085240F">
        <w:rPr>
          <w:lang w:val="fr-FR"/>
        </w:rPr>
        <w:t xml:space="preserve"> humaine et par </w:t>
      </w:r>
      <w:r w:rsidR="004306F2" w:rsidRPr="00A65470">
        <w:t>environ</w:t>
      </w:r>
      <w:r w:rsidR="004306F2" w:rsidRPr="0085240F">
        <w:rPr>
          <w:lang w:val="fr-FR"/>
        </w:rPr>
        <w:t xml:space="preserve"> 370 réseaux de distribution ruraux en cours de réhabilitation (système « </w:t>
      </w:r>
      <w:proofErr w:type="spellStart"/>
      <w:r w:rsidR="004306F2" w:rsidRPr="0017665A">
        <w:rPr>
          <w:lang w:val="fr-FR"/>
        </w:rPr>
        <w:t>Scanwater</w:t>
      </w:r>
      <w:proofErr w:type="spellEnd"/>
      <w:r w:rsidR="004306F2" w:rsidRPr="0085240F">
        <w:rPr>
          <w:lang w:val="fr-FR"/>
        </w:rPr>
        <w:t xml:space="preserve"> »). Les communes sont depuis 2010 maîtres d’ouvrage et exploitants des installations qui ne font partie du périmètre de concessions de </w:t>
      </w:r>
      <w:proofErr w:type="spellStart"/>
      <w:r w:rsidR="004306F2" w:rsidRPr="0085240F">
        <w:rPr>
          <w:lang w:val="fr-FR"/>
        </w:rPr>
        <w:t>Camwater</w:t>
      </w:r>
      <w:proofErr w:type="spellEnd"/>
      <w:r w:rsidR="004306F2" w:rsidRPr="0085240F">
        <w:rPr>
          <w:lang w:val="fr-FR"/>
        </w:rPr>
        <w:t>, sauf accord de cette dernière. Elles bénéficient aussi, dans le cadre du Programme d’Appui à la Décentralisation et au Développement Local lancé par la Coopération Allemande, d’un appui technique dans l’élaboration et la gestion des points d’eau moderne. Cette assistance technique prend en compte le diagnostic, la cartographie et la formation des artisans réparateurs des pompes.</w:t>
      </w:r>
      <w:bookmarkStart w:id="74" w:name="_Toc466897392"/>
    </w:p>
    <w:p w:rsidR="004306F2" w:rsidRPr="0085240F" w:rsidRDefault="009C12DC" w:rsidP="009C12DC">
      <w:pPr>
        <w:pStyle w:val="H1G"/>
        <w:rPr>
          <w:lang w:val="fr-FR"/>
        </w:rPr>
      </w:pPr>
      <w:r>
        <w:rPr>
          <w:lang w:val="fr-FR"/>
        </w:rPr>
        <w:tab/>
      </w:r>
      <w:r w:rsidR="00A36E37">
        <w:rPr>
          <w:lang w:val="fr-FR"/>
        </w:rPr>
        <w:t>B</w:t>
      </w:r>
      <w:r>
        <w:rPr>
          <w:lang w:val="fr-FR"/>
        </w:rPr>
        <w:t>.</w:t>
      </w:r>
      <w:r>
        <w:rPr>
          <w:lang w:val="fr-FR"/>
        </w:rPr>
        <w:tab/>
      </w:r>
      <w:r w:rsidR="004306F2" w:rsidRPr="0085240F">
        <w:rPr>
          <w:lang w:val="fr-FR"/>
        </w:rPr>
        <w:t>Mesures d’assainissement en milieu scolaire</w:t>
      </w:r>
      <w:bookmarkEnd w:id="74"/>
    </w:p>
    <w:p w:rsidR="004306F2" w:rsidRPr="002E4295" w:rsidRDefault="00270BF3" w:rsidP="00270BF3">
      <w:pPr>
        <w:pStyle w:val="SingleTxtG"/>
        <w:rPr>
          <w:lang w:val="fr-FR"/>
        </w:rPr>
      </w:pPr>
      <w:r w:rsidRPr="002E4295">
        <w:rPr>
          <w:lang w:val="fr-FR"/>
        </w:rPr>
        <w:t>171.</w:t>
      </w:r>
      <w:r w:rsidRPr="002E4295">
        <w:rPr>
          <w:lang w:val="fr-FR"/>
        </w:rPr>
        <w:tab/>
      </w:r>
      <w:r w:rsidR="004306F2" w:rsidRPr="002E4295">
        <w:rPr>
          <w:lang w:val="fr-FR"/>
        </w:rPr>
        <w:t xml:space="preserve">De nombreuses actions ont été </w:t>
      </w:r>
      <w:r w:rsidR="004306F2" w:rsidRPr="00A65470">
        <w:t>menées</w:t>
      </w:r>
      <w:r w:rsidR="004306F2" w:rsidRPr="002E4295">
        <w:rPr>
          <w:lang w:val="fr-FR"/>
        </w:rPr>
        <w:t xml:space="preserve"> tant au niveau de l’enseignement de base (1) que de l’enseignement secondaire (2).</w:t>
      </w:r>
    </w:p>
    <w:p w:rsidR="004306F2" w:rsidRPr="0017665A" w:rsidRDefault="00E15932" w:rsidP="0017665A">
      <w:pPr>
        <w:pStyle w:val="H23G"/>
      </w:pPr>
      <w:bookmarkStart w:id="75" w:name="_Toc466897393"/>
      <w:r>
        <w:rPr>
          <w:lang w:val="fr-FR"/>
        </w:rPr>
        <w:tab/>
      </w:r>
      <w:r w:rsidR="00005C62">
        <w:rPr>
          <w:lang w:val="fr-FR"/>
        </w:rPr>
        <w:tab/>
      </w:r>
      <w:r w:rsidR="004306F2" w:rsidRPr="002E4295">
        <w:rPr>
          <w:lang w:val="fr-FR"/>
        </w:rPr>
        <w:t>Au niveau de l’enseignement de base</w:t>
      </w:r>
      <w:bookmarkEnd w:id="75"/>
    </w:p>
    <w:p w:rsidR="004306F2" w:rsidRPr="002E4295" w:rsidRDefault="00270BF3" w:rsidP="00270BF3">
      <w:pPr>
        <w:pStyle w:val="SingleTxtG"/>
        <w:rPr>
          <w:lang w:val="fr-FR"/>
        </w:rPr>
      </w:pPr>
      <w:r w:rsidRPr="002E4295">
        <w:rPr>
          <w:lang w:val="fr-FR"/>
        </w:rPr>
        <w:t>172.</w:t>
      </w:r>
      <w:r w:rsidRPr="002E4295">
        <w:rPr>
          <w:lang w:val="fr-FR"/>
        </w:rPr>
        <w:tab/>
      </w:r>
      <w:r w:rsidR="004306F2" w:rsidRPr="002E4295">
        <w:rPr>
          <w:lang w:val="fr-FR"/>
        </w:rPr>
        <w:t>En 2015, des actions de lutte contre l’helminthiase et la schistosomiase ont permis de déparasiter 7</w:t>
      </w:r>
      <w:r w:rsidR="003102AF">
        <w:rPr>
          <w:lang w:val="fr-FR"/>
        </w:rPr>
        <w:t> </w:t>
      </w:r>
      <w:r w:rsidR="004306F2" w:rsidRPr="002E4295">
        <w:rPr>
          <w:lang w:val="fr-FR"/>
        </w:rPr>
        <w:t>528 000 enfants dont 4</w:t>
      </w:r>
      <w:r w:rsidR="00DD47A4">
        <w:rPr>
          <w:lang w:val="fr-FR"/>
        </w:rPr>
        <w:t> </w:t>
      </w:r>
      <w:r w:rsidR="004306F2" w:rsidRPr="002E4295">
        <w:rPr>
          <w:lang w:val="fr-FR"/>
        </w:rPr>
        <w:t>360 000</w:t>
      </w:r>
      <w:r w:rsidR="00F20783">
        <w:rPr>
          <w:lang w:val="fr-FR"/>
        </w:rPr>
        <w:t xml:space="preserve"> </w:t>
      </w:r>
      <w:r w:rsidR="004306F2" w:rsidRPr="002E4295">
        <w:rPr>
          <w:lang w:val="fr-FR"/>
        </w:rPr>
        <w:t xml:space="preserve">en âge scolaire. En outre, des campagnes de </w:t>
      </w:r>
      <w:r w:rsidR="004306F2" w:rsidRPr="002E4295">
        <w:rPr>
          <w:lang w:val="fr-FR" w:eastAsia="fr-FR"/>
        </w:rPr>
        <w:t>vaccination</w:t>
      </w:r>
      <w:r w:rsidR="004306F2" w:rsidRPr="002E4295">
        <w:rPr>
          <w:lang w:val="fr-FR"/>
        </w:rPr>
        <w:t xml:space="preserve"> et des consultations médicales </w:t>
      </w:r>
      <w:r w:rsidR="004306F2" w:rsidRPr="00A65470">
        <w:t>ont</w:t>
      </w:r>
      <w:r w:rsidR="004306F2" w:rsidRPr="002E4295">
        <w:rPr>
          <w:lang w:val="fr-FR"/>
        </w:rPr>
        <w:t xml:space="preserve"> été organisées en faveur des enfants issus </w:t>
      </w:r>
      <w:r w:rsidR="004306F2" w:rsidRPr="002E4295">
        <w:rPr>
          <w:lang w:val="fr-FR" w:eastAsia="fr-FR"/>
        </w:rPr>
        <w:t>des</w:t>
      </w:r>
      <w:r w:rsidR="004306F2" w:rsidRPr="002E4295">
        <w:rPr>
          <w:lang w:val="fr-FR"/>
        </w:rPr>
        <w:t xml:space="preserve"> populations vulnérables. En vue de prévenir le choléra en milieu scolaire, des campagnes de lavage des mains avec de l’eau propre et du savon, en abrégé </w:t>
      </w:r>
      <w:r w:rsidR="004306F2" w:rsidRPr="0017665A">
        <w:rPr>
          <w:lang w:val="fr-FR"/>
        </w:rPr>
        <w:t>WASH</w:t>
      </w:r>
      <w:r w:rsidR="004306F2" w:rsidRPr="002E4295">
        <w:rPr>
          <w:lang w:val="fr-FR"/>
        </w:rPr>
        <w:t xml:space="preserve"> a été lancées.</w:t>
      </w:r>
    </w:p>
    <w:p w:rsidR="004306F2" w:rsidRPr="00BF0198" w:rsidRDefault="00270BF3" w:rsidP="00270BF3">
      <w:pPr>
        <w:pStyle w:val="SingleTxtG"/>
        <w:rPr>
          <w:lang w:val="fr-FR"/>
        </w:rPr>
      </w:pPr>
      <w:r w:rsidRPr="00BF0198">
        <w:rPr>
          <w:lang w:val="fr-FR"/>
        </w:rPr>
        <w:t>173.</w:t>
      </w:r>
      <w:r w:rsidRPr="00BF0198">
        <w:rPr>
          <w:lang w:val="fr-FR"/>
        </w:rPr>
        <w:tab/>
      </w:r>
      <w:r w:rsidR="004306F2" w:rsidRPr="002E4295">
        <w:rPr>
          <w:lang w:val="fr-FR"/>
        </w:rPr>
        <w:t xml:space="preserve">Pour mettre à la disposition des élèves une eau potable, 21 écoles ont été raccordées au réseau </w:t>
      </w:r>
      <w:proofErr w:type="spellStart"/>
      <w:r w:rsidR="004306F2" w:rsidRPr="0017665A">
        <w:rPr>
          <w:lang w:val="fr-FR"/>
        </w:rPr>
        <w:t>Camwater</w:t>
      </w:r>
      <w:proofErr w:type="spellEnd"/>
      <w:r w:rsidR="00005C62">
        <w:rPr>
          <w:lang w:val="fr-FR"/>
        </w:rPr>
        <w:t xml:space="preserve"> </w:t>
      </w:r>
      <w:r w:rsidR="004306F2" w:rsidRPr="002E4295">
        <w:rPr>
          <w:lang w:val="fr-FR"/>
        </w:rPr>
        <w:t>de 2012 à 2014</w:t>
      </w:r>
      <w:r w:rsidR="003102AF">
        <w:rPr>
          <w:lang w:val="fr-FR"/>
        </w:rPr>
        <w:t xml:space="preserve"> </w:t>
      </w:r>
      <w:r w:rsidR="004306F2" w:rsidRPr="002E4295">
        <w:rPr>
          <w:lang w:val="fr-FR"/>
        </w:rPr>
        <w:t xml:space="preserve">et 307 forages/points d’eau ont été construits </w:t>
      </w:r>
      <w:r w:rsidR="004306F2" w:rsidRPr="002E4295">
        <w:rPr>
          <w:lang w:val="fr-FR" w:eastAsia="fr-FR"/>
        </w:rPr>
        <w:t>dans</w:t>
      </w:r>
      <w:r w:rsidR="004306F2" w:rsidRPr="002E4295">
        <w:rPr>
          <w:lang w:val="fr-FR"/>
        </w:rPr>
        <w:t xml:space="preserve"> d’autres écoles dont 60 forages/points d’eau construits e</w:t>
      </w:r>
      <w:r>
        <w:rPr>
          <w:lang w:val="fr-FR"/>
        </w:rPr>
        <w:t>n partenariat avec l’UNICEF. La </w:t>
      </w:r>
      <w:r w:rsidR="004306F2" w:rsidRPr="002E4295">
        <w:rPr>
          <w:lang w:val="fr-FR"/>
        </w:rPr>
        <w:t xml:space="preserve">situation de toutes les écoles disposant des commodités offrant de l’eau potable en 2014, se présentait telle que l’illustre le </w:t>
      </w:r>
      <w:r w:rsidR="004306F2" w:rsidRPr="0017665A">
        <w:rPr>
          <w:lang w:val="fr-FR"/>
        </w:rPr>
        <w:t>tableau n</w:t>
      </w:r>
      <w:r w:rsidR="00DD47A4" w:rsidRPr="0017665A">
        <w:rPr>
          <w:vertAlign w:val="superscript"/>
          <w:lang w:val="fr-FR"/>
        </w:rPr>
        <w:t>o</w:t>
      </w:r>
      <w:r w:rsidR="00DD47A4">
        <w:rPr>
          <w:lang w:val="fr-FR"/>
        </w:rPr>
        <w:t> </w:t>
      </w:r>
      <w:r w:rsidR="004306F2" w:rsidRPr="0017665A">
        <w:rPr>
          <w:lang w:val="fr-FR"/>
        </w:rPr>
        <w:t>1 (</w:t>
      </w:r>
      <w:r w:rsidR="00931B14">
        <w:rPr>
          <w:lang w:val="fr-FR"/>
        </w:rPr>
        <w:t>v</w:t>
      </w:r>
      <w:r w:rsidR="004306F2" w:rsidRPr="0017665A">
        <w:rPr>
          <w:lang w:val="fr-FR"/>
        </w:rPr>
        <w:t>oir annexe</w:t>
      </w:r>
      <w:r w:rsidR="00DD47A4">
        <w:rPr>
          <w:lang w:val="fr-FR"/>
        </w:rPr>
        <w:t xml:space="preserve"> </w:t>
      </w:r>
      <w:r w:rsidR="00A117A6">
        <w:rPr>
          <w:lang w:val="fr-FR"/>
        </w:rPr>
        <w:t>n</w:t>
      </w:r>
      <w:r w:rsidR="00A117A6" w:rsidRPr="00A117A6">
        <w:rPr>
          <w:vertAlign w:val="superscript"/>
          <w:lang w:val="fr-FR"/>
        </w:rPr>
        <w:t>o</w:t>
      </w:r>
      <w:r w:rsidR="00A117A6">
        <w:rPr>
          <w:lang w:val="fr-FR"/>
        </w:rPr>
        <w:t> </w:t>
      </w:r>
      <w:r w:rsidR="004306F2" w:rsidRPr="0017665A">
        <w:rPr>
          <w:lang w:val="fr-FR"/>
        </w:rPr>
        <w:t>12)</w:t>
      </w:r>
      <w:r w:rsidR="004306F2" w:rsidRPr="00BF0198">
        <w:rPr>
          <w:lang w:val="fr-FR"/>
        </w:rPr>
        <w:t>.</w:t>
      </w:r>
    </w:p>
    <w:p w:rsidR="004306F2" w:rsidRPr="00BF0198" w:rsidRDefault="00270BF3" w:rsidP="00270BF3">
      <w:pPr>
        <w:pStyle w:val="SingleTxtG"/>
        <w:rPr>
          <w:lang w:val="fr-FR"/>
        </w:rPr>
      </w:pPr>
      <w:r w:rsidRPr="00BF0198">
        <w:rPr>
          <w:lang w:val="fr-FR"/>
        </w:rPr>
        <w:t>174.</w:t>
      </w:r>
      <w:r w:rsidRPr="00BF0198">
        <w:rPr>
          <w:lang w:val="fr-FR"/>
        </w:rPr>
        <w:tab/>
      </w:r>
      <w:r w:rsidR="004306F2" w:rsidRPr="00BF0198">
        <w:rPr>
          <w:lang w:val="fr-FR"/>
        </w:rPr>
        <w:t>Dans les zones rurales, 4</w:t>
      </w:r>
      <w:r w:rsidR="00DD47A4">
        <w:rPr>
          <w:lang w:val="fr-FR"/>
        </w:rPr>
        <w:t> </w:t>
      </w:r>
      <w:r w:rsidR="004306F2" w:rsidRPr="00BF0198">
        <w:rPr>
          <w:lang w:val="fr-FR"/>
        </w:rPr>
        <w:t xml:space="preserve">919 écoles primaires bénéficient des commodités offrant </w:t>
      </w:r>
      <w:r w:rsidR="004306F2" w:rsidRPr="00BF0198">
        <w:rPr>
          <w:lang w:val="fr-FR" w:eastAsia="fr-FR"/>
        </w:rPr>
        <w:t>de</w:t>
      </w:r>
      <w:r w:rsidR="004306F2" w:rsidRPr="00BF0198">
        <w:rPr>
          <w:lang w:val="fr-FR"/>
        </w:rPr>
        <w:t xml:space="preserve"> l’eau potable aux élèves sur un total de 8</w:t>
      </w:r>
      <w:r w:rsidR="00DD47A4">
        <w:rPr>
          <w:lang w:val="fr-FR"/>
        </w:rPr>
        <w:t> </w:t>
      </w:r>
      <w:r w:rsidR="004306F2" w:rsidRPr="00BF0198">
        <w:rPr>
          <w:lang w:val="fr-FR"/>
        </w:rPr>
        <w:t>948, soit un taux de l’ordre de 54,97</w:t>
      </w:r>
      <w:r w:rsidR="009E4EF6" w:rsidRPr="00BF0198">
        <w:rPr>
          <w:lang w:val="fr-FR"/>
        </w:rPr>
        <w:t> %</w:t>
      </w:r>
      <w:r w:rsidR="004306F2" w:rsidRPr="00BF0198">
        <w:rPr>
          <w:lang w:val="fr-FR"/>
        </w:rPr>
        <w:t xml:space="preserve"> de </w:t>
      </w:r>
      <w:r w:rsidR="004306F2" w:rsidRPr="00BF0198">
        <w:rPr>
          <w:lang w:val="fr-FR" w:eastAsia="fr-FR"/>
        </w:rPr>
        <w:t>l’ensemble</w:t>
      </w:r>
      <w:r w:rsidR="004306F2" w:rsidRPr="00BF0198">
        <w:rPr>
          <w:lang w:val="fr-FR"/>
        </w:rPr>
        <w:t xml:space="preserve">, comme le montre le </w:t>
      </w:r>
      <w:r w:rsidR="004306F2" w:rsidRPr="0017665A">
        <w:rPr>
          <w:lang w:val="fr-FR"/>
        </w:rPr>
        <w:t>tableau n</w:t>
      </w:r>
      <w:r w:rsidR="00DD47A4" w:rsidRPr="0017665A">
        <w:rPr>
          <w:vertAlign w:val="superscript"/>
          <w:lang w:val="fr-FR"/>
        </w:rPr>
        <w:t>o</w:t>
      </w:r>
      <w:r w:rsidR="00DD47A4">
        <w:rPr>
          <w:lang w:val="fr-FR"/>
        </w:rPr>
        <w:t> </w:t>
      </w:r>
      <w:r w:rsidR="004306F2" w:rsidRPr="0017665A">
        <w:rPr>
          <w:lang w:val="fr-FR"/>
        </w:rPr>
        <w:t>2 (</w:t>
      </w:r>
      <w:r w:rsidR="00931B14">
        <w:rPr>
          <w:lang w:val="fr-FR"/>
        </w:rPr>
        <w:t>v</w:t>
      </w:r>
      <w:r w:rsidR="004306F2" w:rsidRPr="0017665A">
        <w:rPr>
          <w:lang w:val="fr-FR"/>
        </w:rPr>
        <w:t xml:space="preserve">oir annexe </w:t>
      </w:r>
      <w:r w:rsidR="00A117A6">
        <w:rPr>
          <w:lang w:val="fr-FR"/>
        </w:rPr>
        <w:t>n</w:t>
      </w:r>
      <w:r w:rsidR="00A117A6" w:rsidRPr="00A117A6">
        <w:rPr>
          <w:vertAlign w:val="superscript"/>
          <w:lang w:val="fr-FR"/>
        </w:rPr>
        <w:t>o</w:t>
      </w:r>
      <w:r w:rsidR="00A117A6">
        <w:rPr>
          <w:lang w:val="fr-FR"/>
        </w:rPr>
        <w:t> </w:t>
      </w:r>
      <w:r w:rsidR="004306F2" w:rsidRPr="0017665A">
        <w:rPr>
          <w:lang w:val="fr-FR"/>
        </w:rPr>
        <w:t>12)</w:t>
      </w:r>
      <w:r w:rsidR="004306F2" w:rsidRPr="00BF0198">
        <w:rPr>
          <w:lang w:val="fr-FR"/>
        </w:rPr>
        <w:t>.</w:t>
      </w:r>
    </w:p>
    <w:p w:rsidR="004306F2" w:rsidRPr="002E4295" w:rsidRDefault="00270BF3" w:rsidP="00270BF3">
      <w:pPr>
        <w:pStyle w:val="SingleTxtG"/>
        <w:rPr>
          <w:lang w:val="fr-FR"/>
        </w:rPr>
      </w:pPr>
      <w:r w:rsidRPr="002E4295">
        <w:rPr>
          <w:lang w:val="fr-FR"/>
        </w:rPr>
        <w:t>175.</w:t>
      </w:r>
      <w:r w:rsidRPr="002E4295">
        <w:rPr>
          <w:lang w:val="fr-FR"/>
        </w:rPr>
        <w:tab/>
      </w:r>
      <w:r w:rsidR="004306F2" w:rsidRPr="002E4295">
        <w:rPr>
          <w:lang w:val="fr-FR"/>
        </w:rPr>
        <w:t xml:space="preserve">En vue de préserver </w:t>
      </w:r>
      <w:r w:rsidR="004306F2" w:rsidRPr="00A65470">
        <w:t>l’environnement</w:t>
      </w:r>
      <w:r w:rsidR="004306F2" w:rsidRPr="002E4295">
        <w:rPr>
          <w:lang w:val="fr-FR"/>
        </w:rPr>
        <w:t xml:space="preserve"> et de promouvoir l’hygiène en milieu scolaire, les efforts consentis par les pouvoirs publics et les partenaires au développement ont permis de construire 2</w:t>
      </w:r>
      <w:r w:rsidR="00DD47A4">
        <w:rPr>
          <w:lang w:val="fr-FR"/>
        </w:rPr>
        <w:t> </w:t>
      </w:r>
      <w:r w:rsidR="004306F2" w:rsidRPr="002E4295">
        <w:rPr>
          <w:lang w:val="fr-FR"/>
        </w:rPr>
        <w:t>474 toilettes entre 2006 et 2014.</w:t>
      </w:r>
    </w:p>
    <w:p w:rsidR="004306F2" w:rsidRPr="002E4295" w:rsidRDefault="00270BF3" w:rsidP="00270BF3">
      <w:pPr>
        <w:pStyle w:val="SingleTxtG"/>
        <w:rPr>
          <w:lang w:val="fr-FR"/>
        </w:rPr>
      </w:pPr>
      <w:r w:rsidRPr="002E4295">
        <w:rPr>
          <w:lang w:val="fr-FR"/>
        </w:rPr>
        <w:t>176.</w:t>
      </w:r>
      <w:r w:rsidRPr="002E4295">
        <w:rPr>
          <w:lang w:val="fr-FR"/>
        </w:rPr>
        <w:tab/>
      </w:r>
      <w:r w:rsidR="004306F2" w:rsidRPr="002E4295">
        <w:rPr>
          <w:lang w:val="fr-FR"/>
        </w:rPr>
        <w:t>Ainsi, sur 18</w:t>
      </w:r>
      <w:r w:rsidR="00DD47A4">
        <w:rPr>
          <w:lang w:val="fr-FR"/>
        </w:rPr>
        <w:t> </w:t>
      </w:r>
      <w:r w:rsidR="004306F2" w:rsidRPr="002E4295">
        <w:rPr>
          <w:lang w:val="fr-FR"/>
        </w:rPr>
        <w:t xml:space="preserve">135 écoles </w:t>
      </w:r>
      <w:r w:rsidR="004306F2" w:rsidRPr="00A65470">
        <w:t>primaires</w:t>
      </w:r>
      <w:r w:rsidR="004306F2" w:rsidRPr="002E4295">
        <w:rPr>
          <w:lang w:val="fr-FR"/>
        </w:rPr>
        <w:t xml:space="preserve"> et maternelles recensées au cours de l’année 2013-2014, 9</w:t>
      </w:r>
      <w:r w:rsidR="00DD47A4">
        <w:rPr>
          <w:lang w:val="fr-FR"/>
        </w:rPr>
        <w:t> </w:t>
      </w:r>
      <w:r w:rsidR="004306F2" w:rsidRPr="002E4295">
        <w:rPr>
          <w:lang w:val="fr-FR"/>
        </w:rPr>
        <w:t xml:space="preserve">852 disposent de toilettes, soit un </w:t>
      </w:r>
      <w:r w:rsidR="004306F2" w:rsidRPr="002E4295">
        <w:rPr>
          <w:lang w:val="fr-FR" w:eastAsia="fr-FR"/>
        </w:rPr>
        <w:t>pourcentage</w:t>
      </w:r>
      <w:r w:rsidR="004306F2" w:rsidRPr="002E4295">
        <w:rPr>
          <w:lang w:val="fr-FR"/>
        </w:rPr>
        <w:t xml:space="preserve"> de 54,32</w:t>
      </w:r>
      <w:r w:rsidR="009E4EF6">
        <w:rPr>
          <w:lang w:val="fr-FR"/>
        </w:rPr>
        <w:t> %</w:t>
      </w:r>
      <w:r w:rsidR="004306F2" w:rsidRPr="002E4295">
        <w:rPr>
          <w:lang w:val="fr-FR"/>
        </w:rPr>
        <w:t xml:space="preserve"> de l’ensemble contre 8</w:t>
      </w:r>
      <w:r w:rsidR="00DD47A4">
        <w:rPr>
          <w:lang w:val="fr-FR"/>
        </w:rPr>
        <w:t> </w:t>
      </w:r>
      <w:r w:rsidR="004306F2" w:rsidRPr="002E4295">
        <w:rPr>
          <w:lang w:val="fr-FR"/>
        </w:rPr>
        <w:t>283 écoles au sein desquelles les toilettes n’ont pas été construites ou sont en voie de l’être.</w:t>
      </w:r>
    </w:p>
    <w:p w:rsidR="004306F2" w:rsidRPr="002E4295" w:rsidRDefault="00270BF3" w:rsidP="00270BF3">
      <w:pPr>
        <w:pStyle w:val="SingleTxtG"/>
        <w:rPr>
          <w:lang w:val="fr-FR"/>
        </w:rPr>
      </w:pPr>
      <w:r w:rsidRPr="002E4295">
        <w:rPr>
          <w:lang w:val="fr-FR"/>
        </w:rPr>
        <w:t>177.</w:t>
      </w:r>
      <w:r w:rsidRPr="002E4295">
        <w:rPr>
          <w:lang w:val="fr-FR"/>
        </w:rPr>
        <w:tab/>
      </w:r>
      <w:r w:rsidR="004306F2" w:rsidRPr="002E4295">
        <w:rPr>
          <w:lang w:val="fr-FR"/>
        </w:rPr>
        <w:t xml:space="preserve">En outre, l’approche genre </w:t>
      </w:r>
      <w:r w:rsidR="004306F2" w:rsidRPr="00A65470">
        <w:t>est</w:t>
      </w:r>
      <w:r w:rsidR="004306F2" w:rsidRPr="002E4295">
        <w:rPr>
          <w:lang w:val="fr-FR"/>
        </w:rPr>
        <w:t xml:space="preserve"> respectée dans la construction des toilettes. Ainsi, le nombre de latrines séparées qui était de 3</w:t>
      </w:r>
      <w:r w:rsidR="00556E6D">
        <w:rPr>
          <w:lang w:val="fr-FR"/>
        </w:rPr>
        <w:t> </w:t>
      </w:r>
      <w:r w:rsidR="004306F2" w:rsidRPr="002E4295">
        <w:rPr>
          <w:lang w:val="fr-FR"/>
        </w:rPr>
        <w:t>754 dans l’enseignement primaire et maternel en 2006-2007, est passé à 7</w:t>
      </w:r>
      <w:r w:rsidR="00556E6D">
        <w:rPr>
          <w:lang w:val="fr-FR"/>
        </w:rPr>
        <w:t> </w:t>
      </w:r>
      <w:r w:rsidR="004306F2" w:rsidRPr="002E4295">
        <w:rPr>
          <w:lang w:val="fr-FR"/>
        </w:rPr>
        <w:t xml:space="preserve">217 au cours de l’année scolaire 2014-2015, soit un accroissement </w:t>
      </w:r>
      <w:r w:rsidR="004306F2" w:rsidRPr="002E4295">
        <w:rPr>
          <w:lang w:val="fr-FR"/>
        </w:rPr>
        <w:lastRenderedPageBreak/>
        <w:t>de 3</w:t>
      </w:r>
      <w:r w:rsidR="00556E6D">
        <w:rPr>
          <w:lang w:val="fr-FR"/>
        </w:rPr>
        <w:t> </w:t>
      </w:r>
      <w:r w:rsidR="004306F2" w:rsidRPr="002E4295">
        <w:rPr>
          <w:lang w:val="fr-FR"/>
        </w:rPr>
        <w:t>463 toilettes. Cette séparation a favorisé l</w:t>
      </w:r>
      <w:r w:rsidR="006A57AD">
        <w:rPr>
          <w:lang w:val="fr-FR"/>
        </w:rPr>
        <w:t>’</w:t>
      </w:r>
      <w:r w:rsidR="004306F2" w:rsidRPr="002E4295">
        <w:rPr>
          <w:lang w:val="fr-FR"/>
        </w:rPr>
        <w:t>augmentation des inscriptions des jeunes filles dans les écoles.</w:t>
      </w:r>
    </w:p>
    <w:p w:rsidR="004306F2" w:rsidRPr="0017665A" w:rsidRDefault="00E15932" w:rsidP="0017665A">
      <w:pPr>
        <w:pStyle w:val="H23G"/>
      </w:pPr>
      <w:bookmarkStart w:id="76" w:name="_Toc466897394"/>
      <w:r>
        <w:rPr>
          <w:lang w:val="fr-FR"/>
        </w:rPr>
        <w:tab/>
      </w:r>
      <w:r w:rsidR="00556E6D">
        <w:rPr>
          <w:lang w:val="fr-FR"/>
        </w:rPr>
        <w:tab/>
      </w:r>
      <w:r w:rsidR="004306F2" w:rsidRPr="002E4295">
        <w:rPr>
          <w:lang w:val="fr-FR"/>
        </w:rPr>
        <w:t>Au niveau de l’enseignement secondaire</w:t>
      </w:r>
      <w:bookmarkEnd w:id="76"/>
    </w:p>
    <w:p w:rsidR="00EC4753" w:rsidRPr="00EC4753" w:rsidRDefault="00270BF3" w:rsidP="00270BF3">
      <w:pPr>
        <w:pStyle w:val="SingleTxtG"/>
        <w:rPr>
          <w:lang w:val="fr-FR"/>
        </w:rPr>
      </w:pPr>
      <w:r w:rsidRPr="00EC4753">
        <w:rPr>
          <w:lang w:val="fr-FR"/>
        </w:rPr>
        <w:t>178.</w:t>
      </w:r>
      <w:r w:rsidRPr="00EC4753">
        <w:rPr>
          <w:lang w:val="fr-FR"/>
        </w:rPr>
        <w:tab/>
      </w:r>
      <w:r w:rsidR="00EC4753" w:rsidRPr="002E4295">
        <w:rPr>
          <w:lang w:val="fr-FR"/>
        </w:rPr>
        <w:t xml:space="preserve">Les mêmes préoccupations d’assainissement du milieu scolaire ont été prises en compte et se sont </w:t>
      </w:r>
      <w:r w:rsidR="00EC4753" w:rsidRPr="00A65470">
        <w:t>traduites</w:t>
      </w:r>
      <w:r w:rsidR="00EC4753" w:rsidRPr="002E4295">
        <w:rPr>
          <w:lang w:val="fr-FR"/>
        </w:rPr>
        <w:t xml:space="preserve"> par la construction, de 2012 à 2014, d’un nombre de 96 blocs latrines dans l’enseignement secondaire</w:t>
      </w:r>
      <w:r w:rsidR="00100F2B">
        <w:rPr>
          <w:lang w:val="fr-FR"/>
        </w:rPr>
        <w:t>.</w:t>
      </w:r>
    </w:p>
    <w:p w:rsidR="004306F2" w:rsidRPr="002E4295" w:rsidRDefault="00270BF3" w:rsidP="00270BF3">
      <w:pPr>
        <w:pStyle w:val="SingleTxtG"/>
        <w:rPr>
          <w:lang w:val="fr-FR"/>
        </w:rPr>
      </w:pPr>
      <w:r w:rsidRPr="002E4295">
        <w:rPr>
          <w:lang w:val="fr-FR"/>
        </w:rPr>
        <w:t>179.</w:t>
      </w:r>
      <w:r w:rsidRPr="002E4295">
        <w:rPr>
          <w:lang w:val="fr-FR"/>
        </w:rPr>
        <w:tab/>
      </w:r>
      <w:r w:rsidR="004306F2" w:rsidRPr="002E4295">
        <w:rPr>
          <w:lang w:val="fr-FR"/>
        </w:rPr>
        <w:t>Les mesures ci-</w:t>
      </w:r>
      <w:r w:rsidR="004306F2" w:rsidRPr="00A65470">
        <w:t>dessus</w:t>
      </w:r>
      <w:r w:rsidR="004306F2" w:rsidRPr="002E4295">
        <w:rPr>
          <w:lang w:val="fr-FR"/>
        </w:rPr>
        <w:t xml:space="preserve"> prises par les pouvoirs publics ont eu pour impact de prévenir le choléra et les autres maladies liées à l’eau et à </w:t>
      </w:r>
      <w:r w:rsidR="004306F2" w:rsidRPr="002E4295">
        <w:rPr>
          <w:lang w:val="fr-FR" w:eastAsia="fr-FR"/>
        </w:rPr>
        <w:t>l’hygiène</w:t>
      </w:r>
      <w:r w:rsidR="004306F2" w:rsidRPr="002E4295">
        <w:rPr>
          <w:lang w:val="fr-FR"/>
        </w:rPr>
        <w:t xml:space="preserve"> en milieu scolaire.</w:t>
      </w:r>
    </w:p>
    <w:p w:rsidR="004306F2" w:rsidRPr="0017665A" w:rsidRDefault="00556E6D" w:rsidP="0017665A">
      <w:pPr>
        <w:pStyle w:val="HChG"/>
      </w:pPr>
      <w:bookmarkStart w:id="77" w:name="_Toc466897395"/>
      <w:r>
        <w:rPr>
          <w:lang w:val="fr-FR"/>
        </w:rPr>
        <w:tab/>
        <w:t>XXVI.</w:t>
      </w:r>
      <w:r>
        <w:rPr>
          <w:lang w:val="fr-FR"/>
        </w:rPr>
        <w:tab/>
      </w:r>
      <w:r w:rsidR="004306F2" w:rsidRPr="002E4295">
        <w:rPr>
          <w:lang w:val="fr-FR"/>
        </w:rPr>
        <w:t>R</w:t>
      </w:r>
      <w:r w:rsidR="00FF2E16" w:rsidRPr="002E4295">
        <w:rPr>
          <w:lang w:val="fr-FR"/>
        </w:rPr>
        <w:t>ec.</w:t>
      </w:r>
      <w:r>
        <w:rPr>
          <w:lang w:val="fr-FR"/>
        </w:rPr>
        <w:t> </w:t>
      </w:r>
      <w:r w:rsidR="004306F2" w:rsidRPr="002E4295">
        <w:rPr>
          <w:lang w:val="fr-FR"/>
        </w:rPr>
        <w:t>31</w:t>
      </w:r>
      <w:r w:rsidR="00FF2E16" w:rsidRPr="002E4295">
        <w:rPr>
          <w:lang w:val="fr-FR"/>
        </w:rPr>
        <w:t>.</w:t>
      </w:r>
      <w:r>
        <w:rPr>
          <w:lang w:val="fr-FR"/>
        </w:rPr>
        <w:t> </w:t>
      </w:r>
      <w:r w:rsidR="004306F2" w:rsidRPr="002E4295">
        <w:rPr>
          <w:lang w:val="fr-FR"/>
        </w:rPr>
        <w:t>Prévention et traitement du VIH/</w:t>
      </w:r>
      <w:r w:rsidR="00D17943">
        <w:rPr>
          <w:lang w:val="fr-FR"/>
        </w:rPr>
        <w:t>s</w:t>
      </w:r>
      <w:r w:rsidR="004306F2" w:rsidRPr="002E4295">
        <w:rPr>
          <w:lang w:val="fr-FR"/>
        </w:rPr>
        <w:t>ida, en particulier au profit des groupes vulnérables</w:t>
      </w:r>
      <w:bookmarkEnd w:id="77"/>
    </w:p>
    <w:p w:rsidR="004306F2" w:rsidRPr="0017665A" w:rsidRDefault="00270BF3" w:rsidP="00270BF3">
      <w:pPr>
        <w:pStyle w:val="SingleTxtG"/>
        <w:rPr>
          <w:lang w:val="fr-FR"/>
        </w:rPr>
      </w:pPr>
      <w:r w:rsidRPr="0017665A">
        <w:rPr>
          <w:lang w:val="fr-FR"/>
        </w:rPr>
        <w:t>180.</w:t>
      </w:r>
      <w:r w:rsidRPr="0017665A">
        <w:rPr>
          <w:lang w:val="fr-FR"/>
        </w:rPr>
        <w:tab/>
      </w:r>
      <w:r w:rsidR="004306F2" w:rsidRPr="002E4295">
        <w:rPr>
          <w:lang w:val="fr-FR"/>
        </w:rPr>
        <w:t xml:space="preserve">De nouvelles </w:t>
      </w:r>
      <w:r w:rsidR="004306F2" w:rsidRPr="00A65470">
        <w:t>directives</w:t>
      </w:r>
      <w:r w:rsidR="004306F2" w:rsidRPr="002E4295">
        <w:rPr>
          <w:lang w:val="fr-FR"/>
        </w:rPr>
        <w:t xml:space="preserve"> sur le </w:t>
      </w:r>
      <w:r w:rsidR="006708D2">
        <w:rPr>
          <w:lang w:val="fr-FR"/>
        </w:rPr>
        <w:t>s</w:t>
      </w:r>
      <w:r w:rsidR="004306F2" w:rsidRPr="002E4295">
        <w:rPr>
          <w:lang w:val="fr-FR"/>
        </w:rPr>
        <w:t xml:space="preserve">ida ont été données en mai 2016 par le Ministre de la Santé publique afin de consolider les progrès réalisés par le Cameroun dans le domaine de la riposte contre le </w:t>
      </w:r>
      <w:r w:rsidR="006708D2">
        <w:rPr>
          <w:lang w:val="fr-FR"/>
        </w:rPr>
        <w:t>s</w:t>
      </w:r>
      <w:r w:rsidR="004306F2" w:rsidRPr="002E4295">
        <w:rPr>
          <w:lang w:val="fr-FR"/>
        </w:rPr>
        <w:t>ida, par l’intensification de la prévention et du traitement au profit de toutes les couches de la population, y compris les besoins des communautés rurales et des groupes à risque. Des mesures ont également été prises afin de s’assurer que les personnes vivant avec le VIH/</w:t>
      </w:r>
      <w:r w:rsidR="0011157C" w:rsidRPr="002E4295">
        <w:rPr>
          <w:lang w:val="fr-FR"/>
        </w:rPr>
        <w:t xml:space="preserve">sida </w:t>
      </w:r>
      <w:r w:rsidR="004306F2" w:rsidRPr="002E4295">
        <w:rPr>
          <w:lang w:val="fr-FR"/>
        </w:rPr>
        <w:t xml:space="preserve">connaissent leurs droits humains, ainsi que les lois qui les protègent. </w:t>
      </w:r>
    </w:p>
    <w:p w:rsidR="004306F2" w:rsidRPr="002E4295" w:rsidRDefault="009C12DC" w:rsidP="009C12DC">
      <w:pPr>
        <w:pStyle w:val="H1G"/>
        <w:rPr>
          <w:lang w:val="fr-FR" w:eastAsia="en-GB"/>
        </w:rPr>
      </w:pPr>
      <w:bookmarkStart w:id="78" w:name="_Toc466897396"/>
      <w:r>
        <w:rPr>
          <w:lang w:val="fr-FR"/>
        </w:rPr>
        <w:tab/>
        <w:t>A.</w:t>
      </w:r>
      <w:r>
        <w:rPr>
          <w:lang w:val="fr-FR"/>
        </w:rPr>
        <w:tab/>
      </w:r>
      <w:r w:rsidR="004306F2" w:rsidRPr="002E4295">
        <w:rPr>
          <w:lang w:val="fr-FR"/>
        </w:rPr>
        <w:t>Actions</w:t>
      </w:r>
      <w:r w:rsidR="004306F2" w:rsidRPr="002E4295">
        <w:rPr>
          <w:lang w:val="fr-FR" w:eastAsia="en-GB"/>
        </w:rPr>
        <w:t xml:space="preserve"> contre le VIH/</w:t>
      </w:r>
      <w:r w:rsidR="00D17943" w:rsidRPr="002E4295">
        <w:rPr>
          <w:lang w:val="fr-FR" w:eastAsia="en-GB"/>
        </w:rPr>
        <w:t>sida</w:t>
      </w:r>
      <w:r w:rsidR="004306F2" w:rsidRPr="002E4295">
        <w:rPr>
          <w:lang w:val="fr-FR" w:eastAsia="en-GB"/>
        </w:rPr>
        <w:t xml:space="preserve"> en général</w:t>
      </w:r>
      <w:bookmarkEnd w:id="78"/>
    </w:p>
    <w:p w:rsidR="004306F2" w:rsidRPr="002E4295" w:rsidRDefault="009C12DC" w:rsidP="009C12DC">
      <w:pPr>
        <w:pStyle w:val="H23G"/>
        <w:rPr>
          <w:lang w:val="fr-FR"/>
        </w:rPr>
      </w:pPr>
      <w:bookmarkStart w:id="79" w:name="_Toc466897397"/>
      <w:r>
        <w:rPr>
          <w:lang w:val="fr-FR"/>
        </w:rPr>
        <w:tab/>
      </w:r>
      <w:r>
        <w:rPr>
          <w:lang w:val="fr-FR"/>
        </w:rPr>
        <w:tab/>
      </w:r>
      <w:r w:rsidR="004306F2" w:rsidRPr="002E4295">
        <w:rPr>
          <w:lang w:val="fr-FR"/>
        </w:rPr>
        <w:t xml:space="preserve">Les nouvelles </w:t>
      </w:r>
      <w:r w:rsidR="0011157C">
        <w:rPr>
          <w:lang w:val="fr-FR"/>
        </w:rPr>
        <w:t>d</w:t>
      </w:r>
      <w:r w:rsidR="004306F2" w:rsidRPr="002E4295">
        <w:rPr>
          <w:lang w:val="fr-FR"/>
        </w:rPr>
        <w:t xml:space="preserve">irectives sur le </w:t>
      </w:r>
      <w:r w:rsidR="0011157C">
        <w:rPr>
          <w:lang w:val="fr-FR"/>
        </w:rPr>
        <w:t>s</w:t>
      </w:r>
      <w:r w:rsidR="004306F2" w:rsidRPr="002E4295">
        <w:rPr>
          <w:lang w:val="fr-FR"/>
        </w:rPr>
        <w:t>ida</w:t>
      </w:r>
      <w:r w:rsidR="004306F2" w:rsidRPr="0017665A">
        <w:rPr>
          <w:rStyle w:val="Appelnotedebasdep"/>
          <w:b w:val="0"/>
        </w:rPr>
        <w:footnoteReference w:id="98"/>
      </w:r>
      <w:bookmarkEnd w:id="79"/>
    </w:p>
    <w:p w:rsidR="004306F2" w:rsidRPr="002E4295" w:rsidRDefault="00270BF3" w:rsidP="00270BF3">
      <w:pPr>
        <w:pStyle w:val="SingleTxtG"/>
        <w:rPr>
          <w:lang w:val="fr-FR"/>
        </w:rPr>
      </w:pPr>
      <w:r w:rsidRPr="002E4295">
        <w:rPr>
          <w:lang w:val="fr-FR"/>
        </w:rPr>
        <w:t>181.</w:t>
      </w:r>
      <w:r w:rsidRPr="002E4295">
        <w:rPr>
          <w:lang w:val="fr-FR"/>
        </w:rPr>
        <w:tab/>
      </w:r>
      <w:r w:rsidR="004306F2" w:rsidRPr="002E4295">
        <w:rPr>
          <w:lang w:val="fr-FR"/>
        </w:rPr>
        <w:t xml:space="preserve">Les nouvelles directives </w:t>
      </w:r>
      <w:r w:rsidR="004306F2" w:rsidRPr="00A65470">
        <w:t>s’accordent</w:t>
      </w:r>
      <w:r w:rsidR="004306F2" w:rsidRPr="002E4295">
        <w:rPr>
          <w:lang w:val="fr-FR"/>
        </w:rPr>
        <w:t xml:space="preserve"> avec l’objectif 90-90-90 de l’ONUSIDA</w:t>
      </w:r>
      <w:r w:rsidR="00DA0404">
        <w:rPr>
          <w:lang w:val="fr-FR"/>
        </w:rPr>
        <w:t> :</w:t>
      </w:r>
      <w:r w:rsidR="004306F2" w:rsidRPr="002E4295">
        <w:rPr>
          <w:lang w:val="fr-FR"/>
        </w:rPr>
        <w:t xml:space="preserve"> Une Cible Ambitieuse de Traitement pour Aider à Mettre Fin à l’Epidémie du </w:t>
      </w:r>
      <w:r w:rsidR="00014A96">
        <w:rPr>
          <w:lang w:val="fr-FR"/>
        </w:rPr>
        <w:t>s</w:t>
      </w:r>
      <w:r w:rsidR="004306F2" w:rsidRPr="002E4295">
        <w:rPr>
          <w:lang w:val="fr-FR"/>
        </w:rPr>
        <w:t>ida. Selon ce plan de traitement, à l’horizon 2020, 90</w:t>
      </w:r>
      <w:r w:rsidR="009E4EF6">
        <w:rPr>
          <w:lang w:val="fr-FR"/>
        </w:rPr>
        <w:t> %</w:t>
      </w:r>
      <w:r w:rsidR="004306F2" w:rsidRPr="002E4295">
        <w:rPr>
          <w:lang w:val="fr-FR"/>
        </w:rPr>
        <w:t xml:space="preserve"> de </w:t>
      </w:r>
      <w:r w:rsidR="004306F2" w:rsidRPr="002E4295">
        <w:rPr>
          <w:lang w:val="fr-FR" w:eastAsia="fr-FR"/>
        </w:rPr>
        <w:t>toutes</w:t>
      </w:r>
      <w:r w:rsidR="004306F2" w:rsidRPr="002E4295">
        <w:rPr>
          <w:lang w:val="fr-FR"/>
        </w:rPr>
        <w:t xml:space="preserve"> les personnes vivant avec le VIH connaîtront leur statut sérologique, 90</w:t>
      </w:r>
      <w:r w:rsidR="009E4EF6">
        <w:rPr>
          <w:lang w:val="fr-FR"/>
        </w:rPr>
        <w:t> %</w:t>
      </w:r>
      <w:r w:rsidR="004306F2" w:rsidRPr="002E4295">
        <w:rPr>
          <w:lang w:val="fr-FR"/>
        </w:rPr>
        <w:t xml:space="preserve"> de toutes les personnes dépistées séropositives recevront un traitement anti rétroviral durable et 90</w:t>
      </w:r>
      <w:r w:rsidR="009E4EF6">
        <w:rPr>
          <w:lang w:val="fr-FR"/>
        </w:rPr>
        <w:t> %</w:t>
      </w:r>
      <w:r w:rsidR="004306F2" w:rsidRPr="002E4295">
        <w:rPr>
          <w:lang w:val="fr-FR"/>
        </w:rPr>
        <w:t xml:space="preserve"> de toutes les personnes recevant un traitement antirétroviral auront une charge virale supprimée.</w:t>
      </w:r>
    </w:p>
    <w:p w:rsidR="004306F2" w:rsidRPr="009C12DC" w:rsidRDefault="009C12DC" w:rsidP="009C12DC">
      <w:pPr>
        <w:pStyle w:val="H23G"/>
      </w:pPr>
      <w:bookmarkStart w:id="80" w:name="_Toc466897398"/>
      <w:r>
        <w:rPr>
          <w:lang w:val="fr-FR"/>
        </w:rPr>
        <w:tab/>
      </w:r>
      <w:r>
        <w:rPr>
          <w:lang w:val="fr-FR"/>
        </w:rPr>
        <w:tab/>
      </w:r>
      <w:r w:rsidR="004306F2" w:rsidRPr="002E4295">
        <w:rPr>
          <w:lang w:val="fr-FR"/>
        </w:rPr>
        <w:t>Activités de prévention du VIH</w:t>
      </w:r>
      <w:bookmarkEnd w:id="80"/>
    </w:p>
    <w:p w:rsidR="004306F2" w:rsidRPr="002E4295" w:rsidRDefault="00270BF3" w:rsidP="00270BF3">
      <w:pPr>
        <w:pStyle w:val="SingleTxtG"/>
        <w:rPr>
          <w:lang w:val="fr-FR"/>
        </w:rPr>
      </w:pPr>
      <w:r w:rsidRPr="002E4295">
        <w:rPr>
          <w:lang w:val="fr-FR"/>
        </w:rPr>
        <w:t>182.</w:t>
      </w:r>
      <w:r w:rsidRPr="002E4295">
        <w:rPr>
          <w:lang w:val="fr-FR"/>
        </w:rPr>
        <w:tab/>
      </w:r>
      <w:r w:rsidR="004306F2" w:rsidRPr="002E4295">
        <w:rPr>
          <w:lang w:val="fr-FR"/>
        </w:rPr>
        <w:t xml:space="preserve">La prévention du VIH à travers la </w:t>
      </w:r>
      <w:r w:rsidR="004306F2" w:rsidRPr="00A65470">
        <w:t>sensibilisation</w:t>
      </w:r>
      <w:r w:rsidR="004306F2" w:rsidRPr="002E4295">
        <w:rPr>
          <w:lang w:val="fr-FR"/>
        </w:rPr>
        <w:t xml:space="preserve"> a été assurée lors des événements tels que la Semaine Camerounaise de lutte contre le </w:t>
      </w:r>
      <w:r w:rsidR="0011157C" w:rsidRPr="002E4295">
        <w:rPr>
          <w:lang w:val="fr-FR"/>
        </w:rPr>
        <w:t>sida</w:t>
      </w:r>
      <w:r w:rsidR="004306F2" w:rsidRPr="002E4295">
        <w:rPr>
          <w:lang w:val="fr-FR"/>
        </w:rPr>
        <w:t xml:space="preserve">, la Journée mondiale de lutte contre le </w:t>
      </w:r>
      <w:r w:rsidR="00014A96" w:rsidRPr="002E4295">
        <w:rPr>
          <w:lang w:val="fr-FR"/>
        </w:rPr>
        <w:t>sida</w:t>
      </w:r>
      <w:r w:rsidR="004306F2" w:rsidRPr="002E4295">
        <w:rPr>
          <w:lang w:val="fr-FR"/>
        </w:rPr>
        <w:t xml:space="preserve">, les Jeux Universitaires, la Journée Internationale de la Femme et la Course de l’Espoir. Au cours de la période de référence, 15 174 causeries </w:t>
      </w:r>
      <w:r w:rsidR="004306F2" w:rsidRPr="002E4295">
        <w:rPr>
          <w:lang w:val="fr-FR" w:eastAsia="fr-FR"/>
        </w:rPr>
        <w:t>éducatives</w:t>
      </w:r>
      <w:r w:rsidR="004306F2" w:rsidRPr="002E4295">
        <w:rPr>
          <w:lang w:val="fr-FR"/>
        </w:rPr>
        <w:t xml:space="preserve"> et 61 055 entretiens personnels ont eu lieu. Ceux-ci ont eu un impact sur 114 537 personnes, dont </w:t>
      </w:r>
      <w:r w:rsidR="004306F2" w:rsidRPr="002E4295">
        <w:rPr>
          <w:bCs/>
          <w:lang w:val="fr-FR"/>
        </w:rPr>
        <w:t>76 668</w:t>
      </w:r>
      <w:r w:rsidR="004306F2" w:rsidRPr="002E4295">
        <w:rPr>
          <w:lang w:val="fr-FR"/>
        </w:rPr>
        <w:t xml:space="preserve"> femmes.</w:t>
      </w:r>
    </w:p>
    <w:p w:rsidR="004306F2" w:rsidRPr="002E4295" w:rsidRDefault="00270BF3" w:rsidP="00270BF3">
      <w:pPr>
        <w:pStyle w:val="SingleTxtG"/>
        <w:rPr>
          <w:lang w:val="fr-FR"/>
        </w:rPr>
      </w:pPr>
      <w:r w:rsidRPr="002E4295">
        <w:rPr>
          <w:lang w:val="fr-FR"/>
        </w:rPr>
        <w:t>183.</w:t>
      </w:r>
      <w:r w:rsidRPr="002E4295">
        <w:rPr>
          <w:lang w:val="fr-FR"/>
        </w:rPr>
        <w:tab/>
      </w:r>
      <w:r w:rsidR="004306F2" w:rsidRPr="002E4295">
        <w:rPr>
          <w:lang w:val="fr-FR"/>
        </w:rPr>
        <w:t>L’</w:t>
      </w:r>
      <w:r w:rsidR="00FB5306">
        <w:rPr>
          <w:lang w:val="fr-FR"/>
        </w:rPr>
        <w:t>État</w:t>
      </w:r>
      <w:r w:rsidR="004306F2" w:rsidRPr="002E4295">
        <w:rPr>
          <w:lang w:val="fr-FR"/>
        </w:rPr>
        <w:t xml:space="preserve"> a distribué des préservatifs à la population e</w:t>
      </w:r>
      <w:r>
        <w:rPr>
          <w:lang w:val="fr-FR"/>
        </w:rPr>
        <w:t>n zones urbaines et rurales. Le </w:t>
      </w:r>
      <w:r w:rsidR="004306F2" w:rsidRPr="002E4295">
        <w:rPr>
          <w:lang w:val="fr-FR"/>
        </w:rPr>
        <w:t xml:space="preserve">nombre de préservatifs masculins </w:t>
      </w:r>
      <w:r w:rsidR="004306F2" w:rsidRPr="00A65470">
        <w:t>distribués</w:t>
      </w:r>
      <w:r w:rsidR="004306F2" w:rsidRPr="002E4295">
        <w:rPr>
          <w:lang w:val="fr-FR"/>
        </w:rPr>
        <w:t xml:space="preserve"> est passé de 21 645</w:t>
      </w:r>
      <w:r w:rsidR="009A1BDD">
        <w:rPr>
          <w:lang w:val="fr-FR"/>
        </w:rPr>
        <w:t> </w:t>
      </w:r>
      <w:r w:rsidR="004306F2" w:rsidRPr="002E4295">
        <w:rPr>
          <w:lang w:val="fr-FR" w:eastAsia="fr-FR"/>
        </w:rPr>
        <w:t>424</w:t>
      </w:r>
      <w:r w:rsidR="004306F2" w:rsidRPr="002E4295">
        <w:rPr>
          <w:lang w:val="fr-FR"/>
        </w:rPr>
        <w:t xml:space="preserve"> en 2011 à 34 080</w:t>
      </w:r>
      <w:r w:rsidR="009A1BDD">
        <w:rPr>
          <w:lang w:val="fr-FR"/>
        </w:rPr>
        <w:t> </w:t>
      </w:r>
      <w:r w:rsidR="004306F2" w:rsidRPr="002E4295">
        <w:rPr>
          <w:lang w:val="fr-FR"/>
        </w:rPr>
        <w:t>104 en 2015 tandis que 486</w:t>
      </w:r>
      <w:r w:rsidR="009A1BDD">
        <w:rPr>
          <w:lang w:val="fr-FR"/>
        </w:rPr>
        <w:t> </w:t>
      </w:r>
      <w:r w:rsidR="004306F2" w:rsidRPr="002E4295">
        <w:rPr>
          <w:lang w:val="fr-FR"/>
        </w:rPr>
        <w:t>417 préservatifs féminins ont été distribués en 2011 contre 1 922</w:t>
      </w:r>
      <w:r w:rsidR="009A1BDD">
        <w:rPr>
          <w:lang w:val="fr-FR"/>
        </w:rPr>
        <w:t> </w:t>
      </w:r>
      <w:r w:rsidR="004306F2" w:rsidRPr="002E4295">
        <w:rPr>
          <w:lang w:val="fr-FR"/>
        </w:rPr>
        <w:t xml:space="preserve">049 en 2015. </w:t>
      </w:r>
    </w:p>
    <w:p w:rsidR="004306F2" w:rsidRPr="002E4295" w:rsidRDefault="00270BF3" w:rsidP="00270BF3">
      <w:pPr>
        <w:pStyle w:val="SingleTxtG"/>
        <w:rPr>
          <w:lang w:val="fr-FR"/>
        </w:rPr>
      </w:pPr>
      <w:r w:rsidRPr="002E4295">
        <w:rPr>
          <w:lang w:val="fr-FR"/>
        </w:rPr>
        <w:t>184.</w:t>
      </w:r>
      <w:r w:rsidRPr="002E4295">
        <w:rPr>
          <w:lang w:val="fr-FR"/>
        </w:rPr>
        <w:tab/>
      </w:r>
      <w:r w:rsidR="004306F2" w:rsidRPr="002E4295">
        <w:rPr>
          <w:lang w:val="fr-FR"/>
        </w:rPr>
        <w:t xml:space="preserve">Des activités de sensibilisation ont </w:t>
      </w:r>
      <w:r w:rsidR="004306F2" w:rsidRPr="00A65470">
        <w:t>conduit</w:t>
      </w:r>
      <w:r w:rsidR="004306F2" w:rsidRPr="002E4295">
        <w:rPr>
          <w:lang w:val="fr-FR"/>
        </w:rPr>
        <w:t xml:space="preserve"> à une augmentation constante des personnes dépistées contre le VIH. Par exemple, en </w:t>
      </w:r>
      <w:r w:rsidR="004306F2" w:rsidRPr="002E4295">
        <w:rPr>
          <w:rFonts w:eastAsia="FreeSans"/>
          <w:lang w:val="fr-FR"/>
        </w:rPr>
        <w:t>2014, 667</w:t>
      </w:r>
      <w:r w:rsidR="009A1BDD">
        <w:rPr>
          <w:rFonts w:eastAsia="FreeSans"/>
          <w:lang w:val="fr-FR"/>
        </w:rPr>
        <w:t> </w:t>
      </w:r>
      <w:r w:rsidR="004306F2" w:rsidRPr="002E4295">
        <w:rPr>
          <w:rFonts w:eastAsia="FreeSans"/>
          <w:lang w:val="fr-FR"/>
        </w:rPr>
        <w:t xml:space="preserve">770 personnes ont </w:t>
      </w:r>
      <w:r w:rsidR="004306F2" w:rsidRPr="002E4295">
        <w:rPr>
          <w:lang w:val="fr-FR" w:eastAsia="fr-FR"/>
        </w:rPr>
        <w:t>été</w:t>
      </w:r>
      <w:r w:rsidR="004306F2" w:rsidRPr="002E4295">
        <w:rPr>
          <w:rFonts w:eastAsia="FreeSans"/>
          <w:lang w:val="fr-FR"/>
        </w:rPr>
        <w:t xml:space="preserve"> dépistées contre 538</w:t>
      </w:r>
      <w:r w:rsidR="009A1BDD">
        <w:rPr>
          <w:rFonts w:eastAsia="FreeSans"/>
          <w:lang w:val="fr-FR"/>
        </w:rPr>
        <w:t> </w:t>
      </w:r>
      <w:r w:rsidR="004306F2" w:rsidRPr="002E4295">
        <w:rPr>
          <w:rFonts w:eastAsia="FreeSans"/>
          <w:lang w:val="fr-FR"/>
        </w:rPr>
        <w:t>252 en 2013, représentant ainsi une augmentation de 24,1</w:t>
      </w:r>
      <w:r w:rsidR="009E4EF6">
        <w:rPr>
          <w:rFonts w:eastAsia="FreeSans"/>
          <w:lang w:val="fr-FR"/>
        </w:rPr>
        <w:t> %</w:t>
      </w:r>
      <w:r w:rsidR="004306F2" w:rsidRPr="002E4295">
        <w:rPr>
          <w:rFonts w:eastAsia="FreeSans"/>
          <w:lang w:val="fr-FR"/>
        </w:rPr>
        <w:t>.</w:t>
      </w:r>
      <w:r w:rsidR="004306F2" w:rsidRPr="002E4295">
        <w:rPr>
          <w:lang w:val="fr-FR"/>
        </w:rPr>
        <w:t xml:space="preserve"> De plus, le taux de prévalence du </w:t>
      </w:r>
      <w:r w:rsidR="00014A96" w:rsidRPr="002E4295">
        <w:rPr>
          <w:lang w:val="fr-FR"/>
        </w:rPr>
        <w:t xml:space="preserve">sida </w:t>
      </w:r>
      <w:r w:rsidR="004306F2" w:rsidRPr="002E4295">
        <w:rPr>
          <w:lang w:val="fr-FR"/>
        </w:rPr>
        <w:t>a chuté de 4,3</w:t>
      </w:r>
      <w:r w:rsidR="009E4EF6">
        <w:rPr>
          <w:lang w:val="fr-FR"/>
        </w:rPr>
        <w:t> %</w:t>
      </w:r>
      <w:r w:rsidR="004306F2" w:rsidRPr="002E4295">
        <w:rPr>
          <w:lang w:val="fr-FR"/>
        </w:rPr>
        <w:t xml:space="preserve"> en 2011 à 4</w:t>
      </w:r>
      <w:r w:rsidR="009E4EF6">
        <w:rPr>
          <w:lang w:val="fr-FR"/>
        </w:rPr>
        <w:t> %</w:t>
      </w:r>
      <w:r w:rsidR="004306F2" w:rsidRPr="002E4295">
        <w:rPr>
          <w:lang w:val="fr-FR"/>
        </w:rPr>
        <w:t xml:space="preserve"> en 2014</w:t>
      </w:r>
      <w:r w:rsidR="004306F2" w:rsidRPr="00E153AE">
        <w:rPr>
          <w:rStyle w:val="Appelnotedebasdep"/>
        </w:rPr>
        <w:footnoteReference w:id="99"/>
      </w:r>
      <w:r w:rsidR="004306F2" w:rsidRPr="002E4295">
        <w:rPr>
          <w:lang w:val="fr-FR"/>
        </w:rPr>
        <w:t xml:space="preserve">. </w:t>
      </w:r>
    </w:p>
    <w:p w:rsidR="004306F2" w:rsidRPr="002E4295" w:rsidRDefault="009C12DC" w:rsidP="009C12DC">
      <w:pPr>
        <w:pStyle w:val="H23G"/>
        <w:rPr>
          <w:lang w:val="fr-FR"/>
        </w:rPr>
      </w:pPr>
      <w:bookmarkStart w:id="81" w:name="_Toc466897399"/>
      <w:r>
        <w:lastRenderedPageBreak/>
        <w:tab/>
      </w:r>
      <w:r>
        <w:tab/>
      </w:r>
      <w:r w:rsidR="004306F2" w:rsidRPr="009C12DC">
        <w:t>Accès</w:t>
      </w:r>
      <w:r w:rsidR="004306F2" w:rsidRPr="002E4295">
        <w:rPr>
          <w:lang w:val="fr-FR"/>
        </w:rPr>
        <w:t xml:space="preserve"> au traitement</w:t>
      </w:r>
      <w:bookmarkEnd w:id="81"/>
    </w:p>
    <w:p w:rsidR="004306F2" w:rsidRPr="0017665A" w:rsidRDefault="00270BF3" w:rsidP="00270BF3">
      <w:pPr>
        <w:pStyle w:val="SingleTxtG"/>
        <w:rPr>
          <w:lang w:val="fr-FR"/>
        </w:rPr>
      </w:pPr>
      <w:r w:rsidRPr="0017665A">
        <w:rPr>
          <w:lang w:val="fr-FR"/>
        </w:rPr>
        <w:t>185.</w:t>
      </w:r>
      <w:r w:rsidRPr="0017665A">
        <w:rPr>
          <w:lang w:val="fr-FR"/>
        </w:rPr>
        <w:tab/>
      </w:r>
      <w:r w:rsidR="004306F2" w:rsidRPr="002E4295">
        <w:rPr>
          <w:lang w:val="fr-FR"/>
        </w:rPr>
        <w:t>La détermination du Gouvernement à décentraliser les soins médicaux pour les personnes vivant avec le VIH/</w:t>
      </w:r>
      <w:r w:rsidR="0011157C" w:rsidRPr="002E4295">
        <w:rPr>
          <w:lang w:val="fr-FR"/>
        </w:rPr>
        <w:t xml:space="preserve">sida </w:t>
      </w:r>
      <w:r w:rsidR="004306F2" w:rsidRPr="002E4295">
        <w:rPr>
          <w:lang w:val="fr-FR"/>
        </w:rPr>
        <w:t xml:space="preserve">(PVVIH) s’est </w:t>
      </w:r>
      <w:r w:rsidR="004306F2" w:rsidRPr="002E4295">
        <w:rPr>
          <w:lang w:val="fr-FR" w:eastAsia="fr-FR"/>
        </w:rPr>
        <w:t>matérialisée</w:t>
      </w:r>
      <w:r w:rsidR="004306F2" w:rsidRPr="002E4295">
        <w:rPr>
          <w:lang w:val="fr-FR"/>
        </w:rPr>
        <w:t xml:space="preserve"> par l’accroissement progressif des centres de prise en charge. Ces centres situés tant en zones urbaines qu’en zones rurales sont passés de 153 en 2013 à 163 en 2014.</w:t>
      </w:r>
      <w:r w:rsidR="00FB5306">
        <w:rPr>
          <w:lang w:val="fr-FR"/>
        </w:rPr>
        <w:t xml:space="preserve"> </w:t>
      </w:r>
    </w:p>
    <w:p w:rsidR="004306F2" w:rsidRPr="00284361" w:rsidRDefault="00270BF3" w:rsidP="00270BF3">
      <w:pPr>
        <w:pStyle w:val="SingleTxtG"/>
        <w:rPr>
          <w:rStyle w:val="hps"/>
        </w:rPr>
      </w:pPr>
      <w:r w:rsidRPr="00284361">
        <w:rPr>
          <w:rStyle w:val="hps"/>
        </w:rPr>
        <w:t>186.</w:t>
      </w:r>
      <w:r w:rsidRPr="00284361">
        <w:rPr>
          <w:rStyle w:val="hps"/>
        </w:rPr>
        <w:tab/>
      </w:r>
      <w:r w:rsidR="004306F2" w:rsidRPr="00284361">
        <w:rPr>
          <w:rStyle w:val="hps"/>
        </w:rPr>
        <w:t xml:space="preserve">Le Gouvernement a mobilisé des fonds pour l’acquisition des ARV qui ont continué à </w:t>
      </w:r>
      <w:r w:rsidR="004306F2" w:rsidRPr="00284361">
        <w:t>être</w:t>
      </w:r>
      <w:r w:rsidR="004306F2" w:rsidRPr="00284361">
        <w:rPr>
          <w:rStyle w:val="hps"/>
        </w:rPr>
        <w:t xml:space="preserve"> </w:t>
      </w:r>
      <w:r w:rsidR="004306F2" w:rsidRPr="00284361">
        <w:t>fournis</w:t>
      </w:r>
      <w:r w:rsidR="004306F2" w:rsidRPr="00284361">
        <w:rPr>
          <w:rStyle w:val="hps"/>
        </w:rPr>
        <w:t xml:space="preserve"> gratuitement à la population. En </w:t>
      </w:r>
      <w:r w:rsidR="004306F2" w:rsidRPr="00284361">
        <w:t xml:space="preserve">2012 et 2013, il y a eu des ruptures de stocks de médicaments contre le </w:t>
      </w:r>
      <w:r w:rsidR="00014A96">
        <w:t>s</w:t>
      </w:r>
      <w:r w:rsidR="004306F2" w:rsidRPr="00284361">
        <w:t xml:space="preserve">ida, mais des mesures ont été prises afin de remédier à cette situation. Parmi celles-ci, figure l’acquisition des ARV par l’ONUSIDA et la subvention de </w:t>
      </w:r>
      <w:r w:rsidR="004306F2" w:rsidRPr="00284361">
        <w:rPr>
          <w:rStyle w:val="hps"/>
        </w:rPr>
        <w:t>5 000 000 000 FCFA</w:t>
      </w:r>
      <w:r w:rsidR="00F96E1A" w:rsidRPr="00E153AE">
        <w:rPr>
          <w:rStyle w:val="Appelnotedebasdep"/>
        </w:rPr>
        <w:footnoteReference w:id="100"/>
      </w:r>
      <w:r w:rsidR="004306F2" w:rsidRPr="00284361">
        <w:rPr>
          <w:rStyle w:val="hps"/>
        </w:rPr>
        <w:t xml:space="preserve"> du Chef de l’</w:t>
      </w:r>
      <w:r w:rsidR="00FB5306">
        <w:rPr>
          <w:rStyle w:val="hps"/>
        </w:rPr>
        <w:t>État</w:t>
      </w:r>
      <w:r w:rsidR="004306F2" w:rsidRPr="00284361">
        <w:rPr>
          <w:rStyle w:val="hps"/>
        </w:rPr>
        <w:t xml:space="preserve"> en 2014 au Comité National de Lutte contre le </w:t>
      </w:r>
      <w:r w:rsidR="00014A96">
        <w:rPr>
          <w:rStyle w:val="hps"/>
        </w:rPr>
        <w:t>s</w:t>
      </w:r>
      <w:r w:rsidR="004306F2" w:rsidRPr="00284361">
        <w:rPr>
          <w:rStyle w:val="hps"/>
        </w:rPr>
        <w:t>ida (CNLS) pour l’acquisition d’ARV. Un logiciel a été installé pour une gestion rationnelle des stocks d’antirétroviraux (ARV) au niveau des régions en 2014 dans le but d’améliorer leur di</w:t>
      </w:r>
      <w:r w:rsidR="0092493A" w:rsidRPr="00284361">
        <w:rPr>
          <w:rStyle w:val="hps"/>
        </w:rPr>
        <w:t>sponibilité.</w:t>
      </w:r>
    </w:p>
    <w:p w:rsidR="004306F2" w:rsidRPr="002E4295" w:rsidRDefault="00270BF3" w:rsidP="00270BF3">
      <w:pPr>
        <w:pStyle w:val="SingleTxtG"/>
        <w:rPr>
          <w:bCs/>
          <w:lang w:val="fr-FR" w:eastAsia="fr-FR"/>
        </w:rPr>
      </w:pPr>
      <w:r w:rsidRPr="002E4295">
        <w:rPr>
          <w:bCs/>
          <w:lang w:val="fr-FR" w:eastAsia="fr-FR"/>
        </w:rPr>
        <w:t>187.</w:t>
      </w:r>
      <w:r w:rsidRPr="002E4295">
        <w:rPr>
          <w:bCs/>
          <w:lang w:val="fr-FR" w:eastAsia="fr-FR"/>
        </w:rPr>
        <w:tab/>
      </w:r>
      <w:r w:rsidR="004306F2" w:rsidRPr="00284361">
        <w:t>La disponibilité des médicaments a contribué à l’accroissement du nombre de personnes mises sous traitement. Au total, 105</w:t>
      </w:r>
      <w:r w:rsidR="009A1BDD">
        <w:t> </w:t>
      </w:r>
      <w:r w:rsidR="004306F2" w:rsidRPr="00284361">
        <w:t xml:space="preserve">653 </w:t>
      </w:r>
      <w:r w:rsidR="004306F2" w:rsidRPr="00011FAB">
        <w:rPr>
          <w:lang w:val="fr-FR"/>
        </w:rPr>
        <w:t>personnes</w:t>
      </w:r>
      <w:r w:rsidR="004306F2" w:rsidRPr="00284361">
        <w:t xml:space="preserve"> étaient sous traitement en 2011 et entre janvier et octobre 2012, ce chiffre est passé à 117</w:t>
      </w:r>
      <w:r w:rsidR="009A1BDD">
        <w:t> </w:t>
      </w:r>
      <w:r w:rsidR="004306F2" w:rsidRPr="00284361">
        <w:t>541. Ce nombre est passé à 131</w:t>
      </w:r>
      <w:r w:rsidR="009A1BDD">
        <w:t> </w:t>
      </w:r>
      <w:r w:rsidR="004306F2" w:rsidRPr="00284361">
        <w:t>531 en 201</w:t>
      </w:r>
      <w:r w:rsidR="00A117A6">
        <w:t>3 puis à 143 837 en 2014 (voir a</w:t>
      </w:r>
      <w:r w:rsidR="004306F2" w:rsidRPr="00284361">
        <w:t>nnexe n</w:t>
      </w:r>
      <w:r w:rsidR="009A1BDD" w:rsidRPr="0017665A">
        <w:rPr>
          <w:vertAlign w:val="superscript"/>
        </w:rPr>
        <w:t>o</w:t>
      </w:r>
      <w:r w:rsidR="009A1BDD">
        <w:t> </w:t>
      </w:r>
      <w:r w:rsidR="004306F2" w:rsidRPr="00284361">
        <w:t>12) et 167 850 en 2015. Le chiffre de 2015 représente plus de la moitié de la projection de 302 312 personnes sous ARV en 2017 par le Plan National Stratégique de Lutte contre le VIH/</w:t>
      </w:r>
      <w:r w:rsidR="0011157C" w:rsidRPr="00284361">
        <w:t xml:space="preserve">sida </w:t>
      </w:r>
      <w:r w:rsidR="004306F2" w:rsidRPr="00284361">
        <w:t>et les MST (2014-2017)</w:t>
      </w:r>
      <w:r w:rsidR="004306F2" w:rsidRPr="002E4295">
        <w:rPr>
          <w:bCs/>
          <w:lang w:val="fr-FR" w:eastAsia="fr-FR"/>
        </w:rPr>
        <w:t>.</w:t>
      </w:r>
    </w:p>
    <w:p w:rsidR="004306F2" w:rsidRPr="0017665A" w:rsidRDefault="00270BF3" w:rsidP="00270BF3">
      <w:pPr>
        <w:pStyle w:val="SingleTxtG"/>
      </w:pPr>
      <w:r w:rsidRPr="0017665A">
        <w:t>188.</w:t>
      </w:r>
      <w:r w:rsidRPr="0017665A">
        <w:tab/>
      </w:r>
      <w:r w:rsidR="004306F2" w:rsidRPr="002E4295">
        <w:rPr>
          <w:lang w:val="fr-FR"/>
        </w:rPr>
        <w:t xml:space="preserve">Les PVVIH ont </w:t>
      </w:r>
      <w:r w:rsidR="004306F2" w:rsidRPr="00284361">
        <w:t xml:space="preserve">également reçu des traitements gratuits contre les </w:t>
      </w:r>
      <w:proofErr w:type="spellStart"/>
      <w:r w:rsidR="004306F2" w:rsidRPr="00284361">
        <w:t>co-infections</w:t>
      </w:r>
      <w:proofErr w:type="spellEnd"/>
      <w:r w:rsidR="004306F2" w:rsidRPr="00284361">
        <w:t xml:space="preserve"> telles que la prophylaxie à </w:t>
      </w:r>
      <w:proofErr w:type="spellStart"/>
      <w:r w:rsidR="004306F2" w:rsidRPr="00284361">
        <w:t>cotrimoxazole</w:t>
      </w:r>
      <w:proofErr w:type="spellEnd"/>
      <w:r w:rsidR="004306F2" w:rsidRPr="00284361">
        <w:t xml:space="preserve"> contre la cryptococcose cérébrale et la candidose </w:t>
      </w:r>
      <w:proofErr w:type="spellStart"/>
      <w:r w:rsidR="004306F2" w:rsidRPr="00284361">
        <w:t>oropharyngée</w:t>
      </w:r>
      <w:proofErr w:type="spellEnd"/>
      <w:r w:rsidR="004306F2" w:rsidRPr="00284361">
        <w:t>. De plus, les soins de la tuberculose et de l’hépatite ont été intégrés à l’ensemble des soins relatifs au VIH.</w:t>
      </w:r>
    </w:p>
    <w:p w:rsidR="004306F2" w:rsidRPr="002E4295" w:rsidRDefault="009C12DC" w:rsidP="0017665A">
      <w:pPr>
        <w:pStyle w:val="H23G"/>
        <w:rPr>
          <w:lang w:val="fr-FR"/>
        </w:rPr>
      </w:pPr>
      <w:r>
        <w:rPr>
          <w:lang w:val="fr-FR"/>
        </w:rPr>
        <w:tab/>
      </w:r>
      <w:r>
        <w:rPr>
          <w:lang w:val="fr-FR"/>
        </w:rPr>
        <w:tab/>
      </w:r>
      <w:r w:rsidR="004306F2" w:rsidRPr="002E4295">
        <w:rPr>
          <w:lang w:val="fr-FR"/>
        </w:rPr>
        <w:t>Prise en char</w:t>
      </w:r>
      <w:r w:rsidR="0092493A" w:rsidRPr="002E4295">
        <w:rPr>
          <w:lang w:val="fr-FR"/>
        </w:rPr>
        <w:t>ge du VIH/sida en zones rurales</w:t>
      </w:r>
    </w:p>
    <w:p w:rsidR="004306F2" w:rsidRPr="002E4295" w:rsidRDefault="00270BF3" w:rsidP="00270BF3">
      <w:pPr>
        <w:pStyle w:val="SingleTxtG"/>
        <w:rPr>
          <w:lang w:val="fr-FR"/>
        </w:rPr>
      </w:pPr>
      <w:r w:rsidRPr="002E4295">
        <w:rPr>
          <w:lang w:val="fr-FR"/>
        </w:rPr>
        <w:t>189.</w:t>
      </w:r>
      <w:r w:rsidRPr="002E4295">
        <w:rPr>
          <w:lang w:val="fr-FR"/>
        </w:rPr>
        <w:tab/>
      </w:r>
      <w:r w:rsidR="004306F2" w:rsidRPr="002E4295">
        <w:rPr>
          <w:lang w:val="fr-FR"/>
        </w:rPr>
        <w:t xml:space="preserve">Outre les mesures globales ci-dessus, des actions ont été menées en faveur des personnes vivant en milieu rural. En 2013, avec le soutien de l’ONUSIDA, des sessions de formation et des ateliers nationaux ont été organisés et ont permis le renforcement des capacités de 740 facilitateurs des communautés rurales sur la </w:t>
      </w:r>
      <w:r w:rsidR="004306F2" w:rsidRPr="00A65470">
        <w:t>PTME</w:t>
      </w:r>
      <w:r w:rsidR="004306F2" w:rsidRPr="002E4295">
        <w:rPr>
          <w:lang w:val="fr-FR"/>
        </w:rPr>
        <w:t>, le dépistage volontaire de 1</w:t>
      </w:r>
      <w:r w:rsidR="009A1BDD">
        <w:rPr>
          <w:lang w:val="fr-FR"/>
        </w:rPr>
        <w:t> </w:t>
      </w:r>
      <w:r w:rsidR="004306F2" w:rsidRPr="002E4295">
        <w:rPr>
          <w:lang w:val="fr-FR"/>
        </w:rPr>
        <w:t>600 personnes dans les zones rurales et la mise en relation des femmes enceintes des communautés rurales directement concernées avec des services de</w:t>
      </w:r>
      <w:r w:rsidR="0092493A" w:rsidRPr="002E4295">
        <w:rPr>
          <w:lang w:val="fr-FR"/>
        </w:rPr>
        <w:t xml:space="preserve"> consultation prénatale/PTME.</w:t>
      </w:r>
    </w:p>
    <w:p w:rsidR="004306F2" w:rsidRPr="002E4295" w:rsidRDefault="009C12DC" w:rsidP="009C12DC">
      <w:pPr>
        <w:pStyle w:val="H1G"/>
        <w:rPr>
          <w:lang w:val="fr-FR"/>
        </w:rPr>
      </w:pPr>
      <w:bookmarkStart w:id="82" w:name="_Toc466897400"/>
      <w:r>
        <w:rPr>
          <w:lang w:val="fr-FR"/>
        </w:rPr>
        <w:tab/>
        <w:t>B.</w:t>
      </w:r>
      <w:r>
        <w:rPr>
          <w:lang w:val="fr-FR"/>
        </w:rPr>
        <w:tab/>
      </w:r>
      <w:r w:rsidR="004306F2" w:rsidRPr="002E4295">
        <w:rPr>
          <w:lang w:val="fr-FR"/>
        </w:rPr>
        <w:t>Prise en charge du VIH/</w:t>
      </w:r>
      <w:r w:rsidR="00D17943">
        <w:rPr>
          <w:lang w:val="fr-FR"/>
        </w:rPr>
        <w:t>s</w:t>
      </w:r>
      <w:r w:rsidR="004306F2" w:rsidRPr="002E4295">
        <w:rPr>
          <w:lang w:val="fr-FR"/>
        </w:rPr>
        <w:t>ida chez les groupes vulnérables</w:t>
      </w:r>
      <w:bookmarkEnd w:id="82"/>
    </w:p>
    <w:p w:rsidR="004306F2" w:rsidRPr="002E4295" w:rsidRDefault="009C12DC" w:rsidP="009C12DC">
      <w:pPr>
        <w:pStyle w:val="H23G"/>
        <w:rPr>
          <w:lang w:val="fr-FR"/>
        </w:rPr>
      </w:pPr>
      <w:bookmarkStart w:id="83" w:name="_Toc466897401"/>
      <w:r>
        <w:rPr>
          <w:lang w:val="fr-FR"/>
        </w:rPr>
        <w:tab/>
      </w:r>
      <w:r>
        <w:rPr>
          <w:lang w:val="fr-FR"/>
        </w:rPr>
        <w:tab/>
      </w:r>
      <w:r w:rsidR="004306F2" w:rsidRPr="002E4295">
        <w:rPr>
          <w:lang w:val="fr-FR"/>
        </w:rPr>
        <w:t>Actions en faveur des enfants</w:t>
      </w:r>
      <w:bookmarkEnd w:id="83"/>
    </w:p>
    <w:p w:rsidR="004306F2" w:rsidRPr="002E4295" w:rsidRDefault="00270BF3" w:rsidP="00270BF3">
      <w:pPr>
        <w:pStyle w:val="SingleTxtG"/>
        <w:rPr>
          <w:lang w:val="fr-FR"/>
        </w:rPr>
      </w:pPr>
      <w:r w:rsidRPr="002E4295">
        <w:rPr>
          <w:lang w:val="fr-FR"/>
        </w:rPr>
        <w:t>190.</w:t>
      </w:r>
      <w:r w:rsidRPr="002E4295">
        <w:rPr>
          <w:lang w:val="fr-FR"/>
        </w:rPr>
        <w:tab/>
      </w:r>
      <w:r w:rsidR="004306F2" w:rsidRPr="002E4295">
        <w:rPr>
          <w:lang w:val="fr-FR"/>
        </w:rPr>
        <w:t xml:space="preserve">Le Gouvernement a intégré des cours sur le VIH dans les programmes de formation, ce qui a entraîné un accroissement significatif </w:t>
      </w:r>
      <w:r w:rsidR="004306F2" w:rsidRPr="00A65470">
        <w:t>des</w:t>
      </w:r>
      <w:r w:rsidR="004306F2" w:rsidRPr="002E4295">
        <w:rPr>
          <w:lang w:val="fr-FR"/>
        </w:rPr>
        <w:t xml:space="preserve"> contenus et de la couverture des services liés à la prévention du VIH pour les jeunes scolaires. Quelques 3</w:t>
      </w:r>
      <w:r w:rsidR="009A1BDD">
        <w:rPr>
          <w:lang w:val="fr-FR"/>
        </w:rPr>
        <w:t> </w:t>
      </w:r>
      <w:r w:rsidR="004306F2" w:rsidRPr="002E4295">
        <w:rPr>
          <w:lang w:val="fr-FR"/>
        </w:rPr>
        <w:t xml:space="preserve">284 causeries éducatives à l’intention des jeunes élèves se sont tenues, rassemblant 24 087 </w:t>
      </w:r>
      <w:r w:rsidR="004306F2" w:rsidRPr="002E4295">
        <w:rPr>
          <w:lang w:val="fr-FR" w:eastAsia="fr-FR"/>
        </w:rPr>
        <w:t>d’entre</w:t>
      </w:r>
      <w:r w:rsidR="004306F2" w:rsidRPr="002E4295">
        <w:rPr>
          <w:lang w:val="fr-FR"/>
        </w:rPr>
        <w:t xml:space="preserve"> eux, dont 12</w:t>
      </w:r>
      <w:r w:rsidR="009A1BDD">
        <w:rPr>
          <w:lang w:val="fr-FR"/>
        </w:rPr>
        <w:t> </w:t>
      </w:r>
      <w:r w:rsidR="004306F2" w:rsidRPr="002E4295">
        <w:rPr>
          <w:lang w:val="fr-FR"/>
        </w:rPr>
        <w:t xml:space="preserve">001 étaient des filles. La campagne </w:t>
      </w:r>
      <w:r w:rsidR="004306F2" w:rsidRPr="0017665A">
        <w:rPr>
          <w:lang w:val="fr-FR"/>
        </w:rPr>
        <w:t xml:space="preserve">vacances sans </w:t>
      </w:r>
      <w:r w:rsidR="00014A96">
        <w:rPr>
          <w:lang w:val="fr-FR"/>
        </w:rPr>
        <w:t>s</w:t>
      </w:r>
      <w:r w:rsidR="004306F2" w:rsidRPr="0017665A">
        <w:rPr>
          <w:lang w:val="fr-FR"/>
        </w:rPr>
        <w:t>ida</w:t>
      </w:r>
      <w:r w:rsidR="004306F2" w:rsidRPr="002E4295">
        <w:rPr>
          <w:lang w:val="fr-FR"/>
        </w:rPr>
        <w:t xml:space="preserve"> est organisée toutes les années et cible les jeunes.</w:t>
      </w:r>
    </w:p>
    <w:p w:rsidR="004306F2" w:rsidRPr="002E4295" w:rsidRDefault="00270BF3" w:rsidP="00270BF3">
      <w:pPr>
        <w:pStyle w:val="SingleTxtG"/>
        <w:rPr>
          <w:lang w:val="fr-FR"/>
        </w:rPr>
      </w:pPr>
      <w:r w:rsidRPr="002E4295">
        <w:rPr>
          <w:lang w:val="fr-FR"/>
        </w:rPr>
        <w:t>191.</w:t>
      </w:r>
      <w:r w:rsidRPr="002E4295">
        <w:rPr>
          <w:lang w:val="fr-FR"/>
        </w:rPr>
        <w:tab/>
      </w:r>
      <w:r w:rsidR="004306F2" w:rsidRPr="002E4295">
        <w:rPr>
          <w:lang w:val="fr-FR"/>
        </w:rPr>
        <w:t xml:space="preserve">Afin de s’assurer que les femmes enceintes vivant avec le VIH n’infectent pas leurs bébés pendant la grossesse ou pendant l’accouchement, davantage d’efforts ont été déployés dans la prévention de la Transmission du </w:t>
      </w:r>
      <w:r w:rsidR="004306F2" w:rsidRPr="00A65470">
        <w:t>VIH</w:t>
      </w:r>
      <w:r w:rsidR="004306F2" w:rsidRPr="002E4295">
        <w:rPr>
          <w:lang w:val="fr-FR"/>
        </w:rPr>
        <w:t xml:space="preserve"> de la Mère à l’Enfant (PTME). Des campagnes de sensibilisation ont été menées afin d’éduquer la population sur la </w:t>
      </w:r>
      <w:r w:rsidR="004306F2" w:rsidRPr="002E4295">
        <w:rPr>
          <w:lang w:val="fr-FR" w:eastAsia="fr-FR"/>
        </w:rPr>
        <w:t>PTME</w:t>
      </w:r>
      <w:r w:rsidR="004306F2" w:rsidRPr="002E4295">
        <w:rPr>
          <w:lang w:val="fr-FR"/>
        </w:rPr>
        <w:t>. Le transfert des connaissances en langues locales a été encouragé afin d’accélérer les consultations prénatales</w:t>
      </w:r>
      <w:r w:rsidR="0092493A" w:rsidRPr="002E4295">
        <w:rPr>
          <w:lang w:val="fr-FR"/>
        </w:rPr>
        <w:t xml:space="preserve"> et l’appropriation de la PTME.</w:t>
      </w:r>
    </w:p>
    <w:p w:rsidR="004306F2" w:rsidRPr="0017665A" w:rsidRDefault="00270BF3" w:rsidP="00270BF3">
      <w:pPr>
        <w:pStyle w:val="SingleTxtG"/>
        <w:rPr>
          <w:lang w:val="fr-FR"/>
        </w:rPr>
      </w:pPr>
      <w:r w:rsidRPr="0017665A">
        <w:rPr>
          <w:lang w:val="fr-FR"/>
        </w:rPr>
        <w:t>192.</w:t>
      </w:r>
      <w:r w:rsidRPr="0017665A">
        <w:rPr>
          <w:lang w:val="fr-FR"/>
        </w:rPr>
        <w:tab/>
      </w:r>
      <w:r w:rsidR="004306F2" w:rsidRPr="00284361">
        <w:t>Ces efforts du Gouvernement concernant la PTME se sont traduits par une plus grande couverture en ce qui concerne la PTME, ainsi qu’une diminution du taux de transmission du VIH de la mère à l’enfant. Le taux de couverture de la prévention de la transmission de la mère à l’enfant était de 38</w:t>
      </w:r>
      <w:r w:rsidR="009E4EF6">
        <w:t> %</w:t>
      </w:r>
      <w:r w:rsidR="004306F2" w:rsidRPr="00284361">
        <w:t xml:space="preserve"> en 2011, 45</w:t>
      </w:r>
      <w:r w:rsidR="009E4EF6">
        <w:t> %</w:t>
      </w:r>
      <w:r w:rsidR="004306F2" w:rsidRPr="00284361">
        <w:t xml:space="preserve"> en 2012 et 61</w:t>
      </w:r>
      <w:r w:rsidR="009E4EF6">
        <w:t> %</w:t>
      </w:r>
      <w:r w:rsidR="004306F2" w:rsidRPr="00284361">
        <w:t xml:space="preserve"> en 2013 tandis que le taux de </w:t>
      </w:r>
      <w:r w:rsidR="004306F2" w:rsidRPr="00284361">
        <w:lastRenderedPageBreak/>
        <w:t>transmission du VIH de la mère à l’enfant qui était de 14</w:t>
      </w:r>
      <w:r w:rsidR="009E4EF6">
        <w:t> %</w:t>
      </w:r>
      <w:r w:rsidR="004306F2" w:rsidRPr="00284361">
        <w:t xml:space="preserve"> en 2011, est descendu à </w:t>
      </w:r>
      <w:r w:rsidR="0092493A" w:rsidRPr="00284361">
        <w:t>13</w:t>
      </w:r>
      <w:r w:rsidR="009E4EF6">
        <w:t> %</w:t>
      </w:r>
      <w:r w:rsidR="0092493A" w:rsidRPr="00284361">
        <w:t xml:space="preserve"> en 2012, puis à 9</w:t>
      </w:r>
      <w:r w:rsidR="009E4EF6">
        <w:t> %</w:t>
      </w:r>
      <w:r w:rsidR="0092493A" w:rsidRPr="00284361">
        <w:t xml:space="preserve"> en 2013</w:t>
      </w:r>
      <w:r w:rsidR="0092493A" w:rsidRPr="002E4295">
        <w:rPr>
          <w:sz w:val="24"/>
          <w:szCs w:val="24"/>
          <w:lang w:val="fr-FR"/>
        </w:rPr>
        <w:t>.</w:t>
      </w:r>
    </w:p>
    <w:p w:rsidR="00E77A58" w:rsidRPr="0017665A" w:rsidRDefault="00270BF3" w:rsidP="00270BF3">
      <w:pPr>
        <w:pStyle w:val="SingleTxtG"/>
        <w:rPr>
          <w:lang w:val="fr-FR"/>
        </w:rPr>
      </w:pPr>
      <w:r w:rsidRPr="0017665A">
        <w:rPr>
          <w:lang w:val="fr-FR"/>
        </w:rPr>
        <w:t>193.</w:t>
      </w:r>
      <w:r w:rsidRPr="0017665A">
        <w:rPr>
          <w:lang w:val="fr-FR"/>
        </w:rPr>
        <w:tab/>
      </w:r>
      <w:r w:rsidR="00E77A58" w:rsidRPr="002E4295">
        <w:rPr>
          <w:lang w:val="fr-FR"/>
        </w:rPr>
        <w:t xml:space="preserve">Les enfants nés de mères séropositives ont été mis sous traitement </w:t>
      </w:r>
      <w:proofErr w:type="spellStart"/>
      <w:r w:rsidR="00E77A58" w:rsidRPr="002E4295">
        <w:rPr>
          <w:lang w:val="fr-FR"/>
        </w:rPr>
        <w:t>prophylactiqueaux</w:t>
      </w:r>
      <w:proofErr w:type="spellEnd"/>
      <w:r w:rsidR="00E77A58" w:rsidRPr="002E4295">
        <w:rPr>
          <w:lang w:val="fr-FR"/>
        </w:rPr>
        <w:t xml:space="preserve"> ARV. Ainsi, au cours de </w:t>
      </w:r>
      <w:r w:rsidR="00E77A58" w:rsidRPr="00A65470">
        <w:t>l’année</w:t>
      </w:r>
      <w:r w:rsidR="00E77A58" w:rsidRPr="002E4295">
        <w:rPr>
          <w:lang w:val="fr-FR"/>
        </w:rPr>
        <w:t xml:space="preserve"> 2014, 10</w:t>
      </w:r>
      <w:r w:rsidR="009A1BDD">
        <w:rPr>
          <w:lang w:val="fr-FR"/>
        </w:rPr>
        <w:t> </w:t>
      </w:r>
      <w:r w:rsidR="00E77A58" w:rsidRPr="002E4295">
        <w:rPr>
          <w:lang w:val="fr-FR"/>
        </w:rPr>
        <w:t>749 enfants nés de 20</w:t>
      </w:r>
      <w:r w:rsidR="009A1BDD">
        <w:rPr>
          <w:lang w:val="fr-FR"/>
        </w:rPr>
        <w:t> </w:t>
      </w:r>
      <w:r w:rsidR="00E77A58" w:rsidRPr="002E4295">
        <w:rPr>
          <w:lang w:val="fr-FR" w:eastAsia="fr-FR"/>
        </w:rPr>
        <w:t>584</w:t>
      </w:r>
      <w:r w:rsidR="00E77A58" w:rsidRPr="002E4295">
        <w:rPr>
          <w:lang w:val="fr-FR"/>
        </w:rPr>
        <w:t xml:space="preserve"> mères séropositives ont été mis sous traitement </w:t>
      </w:r>
      <w:proofErr w:type="spellStart"/>
      <w:r w:rsidR="00E77A58" w:rsidRPr="002E4295">
        <w:rPr>
          <w:lang w:val="fr-FR"/>
        </w:rPr>
        <w:t>prophylactiqueaux</w:t>
      </w:r>
      <w:proofErr w:type="spellEnd"/>
      <w:r w:rsidR="00E77A58" w:rsidRPr="002E4295">
        <w:rPr>
          <w:lang w:val="fr-FR"/>
        </w:rPr>
        <w:t xml:space="preserve"> ARV</w:t>
      </w:r>
      <w:r w:rsidR="00E77A58">
        <w:rPr>
          <w:lang w:val="fr-FR"/>
        </w:rPr>
        <w:t>.</w:t>
      </w:r>
    </w:p>
    <w:p w:rsidR="00E77A58" w:rsidRPr="0017665A" w:rsidRDefault="00270BF3" w:rsidP="00270BF3">
      <w:pPr>
        <w:pStyle w:val="SingleTxtG"/>
        <w:rPr>
          <w:lang w:val="fr-FR"/>
        </w:rPr>
      </w:pPr>
      <w:r w:rsidRPr="0017665A">
        <w:rPr>
          <w:lang w:val="fr-FR"/>
        </w:rPr>
        <w:t>194.</w:t>
      </w:r>
      <w:r w:rsidRPr="0017665A">
        <w:rPr>
          <w:lang w:val="fr-FR"/>
        </w:rPr>
        <w:tab/>
      </w:r>
      <w:r w:rsidR="00E77A58" w:rsidRPr="00284361">
        <w:t>L’accès des enfants au dépistage du VIH devrait s’améliorer étant donné que le CNLS, en droite ligne des nouvelles directives sur le VIH/</w:t>
      </w:r>
      <w:r w:rsidR="0011157C" w:rsidRPr="00284361">
        <w:t>sida</w:t>
      </w:r>
      <w:r w:rsidR="00E77A58" w:rsidRPr="00284361">
        <w:t xml:space="preserve">, a recruté 356 accompagnateurs psychosociaux pédiatriques, en plus des 756 accompagnateurs psychosociaux pour adultes. Ces acteurs déployés dans les structures sanitaires </w:t>
      </w:r>
      <w:r w:rsidR="00E77A58" w:rsidRPr="00011FAB">
        <w:rPr>
          <w:lang w:val="fr-FR"/>
        </w:rPr>
        <w:t>favoriseront</w:t>
      </w:r>
      <w:r w:rsidR="00E77A58" w:rsidRPr="00284361">
        <w:t xml:space="preserve"> et encourageront le dépistage dans les unités de soins pédiatriques, de vaccination et de consultations post-natales</w:t>
      </w:r>
      <w:r w:rsidR="00E77A58">
        <w:t>.</w:t>
      </w:r>
    </w:p>
    <w:p w:rsidR="004306F2" w:rsidRPr="002E4295" w:rsidRDefault="009C12DC" w:rsidP="009C12DC">
      <w:pPr>
        <w:pStyle w:val="H23G"/>
        <w:rPr>
          <w:lang w:val="fr-FR"/>
        </w:rPr>
      </w:pPr>
      <w:bookmarkStart w:id="84" w:name="_Toc466897402"/>
      <w:r>
        <w:rPr>
          <w:lang w:val="fr-FR"/>
        </w:rPr>
        <w:tab/>
      </w:r>
      <w:r>
        <w:rPr>
          <w:lang w:val="fr-FR"/>
        </w:rPr>
        <w:tab/>
      </w:r>
      <w:r w:rsidR="004306F2" w:rsidRPr="002E4295">
        <w:rPr>
          <w:lang w:val="fr-FR"/>
        </w:rPr>
        <w:t xml:space="preserve">Prise en </w:t>
      </w:r>
      <w:r w:rsidR="004306F2" w:rsidRPr="005E5006">
        <w:rPr>
          <w:lang w:val="fr-FR"/>
        </w:rPr>
        <w:t>charge</w:t>
      </w:r>
      <w:r w:rsidR="004306F2" w:rsidRPr="002E4295">
        <w:rPr>
          <w:lang w:val="fr-FR"/>
        </w:rPr>
        <w:t xml:space="preserve"> du VIH/</w:t>
      </w:r>
      <w:r w:rsidR="0011157C" w:rsidRPr="002E4295">
        <w:rPr>
          <w:lang w:val="fr-FR"/>
        </w:rPr>
        <w:t xml:space="preserve">sida </w:t>
      </w:r>
      <w:r w:rsidR="004306F2" w:rsidRPr="002E4295">
        <w:rPr>
          <w:lang w:val="fr-FR"/>
        </w:rPr>
        <w:t>chez les femmes</w:t>
      </w:r>
      <w:bookmarkEnd w:id="84"/>
    </w:p>
    <w:p w:rsidR="004306F2" w:rsidRPr="002E4295" w:rsidRDefault="00270BF3" w:rsidP="00270BF3">
      <w:pPr>
        <w:pStyle w:val="SingleTxtG"/>
        <w:rPr>
          <w:lang w:val="fr-FR"/>
        </w:rPr>
      </w:pPr>
      <w:r w:rsidRPr="002E4295">
        <w:rPr>
          <w:lang w:val="fr-FR"/>
        </w:rPr>
        <w:t>195.</w:t>
      </w:r>
      <w:r w:rsidRPr="002E4295">
        <w:rPr>
          <w:lang w:val="fr-FR"/>
        </w:rPr>
        <w:tab/>
      </w:r>
      <w:r w:rsidR="004306F2" w:rsidRPr="002E4295">
        <w:rPr>
          <w:lang w:val="fr-FR"/>
        </w:rPr>
        <w:t xml:space="preserve">Au </w:t>
      </w:r>
      <w:r w:rsidR="004306F2" w:rsidRPr="00CE5694">
        <w:t>cours</w:t>
      </w:r>
      <w:r w:rsidR="004306F2" w:rsidRPr="002E4295">
        <w:rPr>
          <w:lang w:val="fr-FR"/>
        </w:rPr>
        <w:t xml:space="preserve"> de la Journée Internationale de la Femme et de la Journée de la Femme Rurale en 2015, environ 1 200 000 </w:t>
      </w:r>
      <w:r w:rsidR="004306F2" w:rsidRPr="00A65470">
        <w:t>femmes</w:t>
      </w:r>
      <w:r w:rsidR="004306F2" w:rsidRPr="002E4295">
        <w:rPr>
          <w:lang w:val="fr-FR"/>
        </w:rPr>
        <w:t xml:space="preserve"> ont été sensibilisées au dépistage volontaire du VIH et sur l’utilisation correcte et régulière du préservatif. Au cours de ces événements, 1</w:t>
      </w:r>
      <w:r w:rsidR="009A1BDD">
        <w:rPr>
          <w:lang w:val="fr-FR"/>
        </w:rPr>
        <w:t> </w:t>
      </w:r>
      <w:r w:rsidR="004306F2" w:rsidRPr="002E4295">
        <w:rPr>
          <w:lang w:val="fr-FR"/>
        </w:rPr>
        <w:t xml:space="preserve">661 personnes se sont volontairement fait dépister. Parmi celles qui ont reçu un traitement gratuit contre le </w:t>
      </w:r>
      <w:r w:rsidR="00014A96">
        <w:rPr>
          <w:lang w:val="fr-FR"/>
        </w:rPr>
        <w:t>s</w:t>
      </w:r>
      <w:r w:rsidR="004306F2" w:rsidRPr="002E4295">
        <w:rPr>
          <w:lang w:val="fr-FR"/>
        </w:rPr>
        <w:t>ida, figuraient des femmes enceintes. Par exemple, en 2014, 21</w:t>
      </w:r>
      <w:r w:rsidR="009A1BDD">
        <w:rPr>
          <w:lang w:val="fr-FR"/>
        </w:rPr>
        <w:t> </w:t>
      </w:r>
      <w:r w:rsidR="004306F2" w:rsidRPr="002E4295">
        <w:rPr>
          <w:lang w:val="fr-FR"/>
        </w:rPr>
        <w:t>307 femmes enceintes séropositives sur 41</w:t>
      </w:r>
      <w:r w:rsidR="009A1BDD">
        <w:rPr>
          <w:lang w:val="fr-FR"/>
        </w:rPr>
        <w:t> </w:t>
      </w:r>
      <w:r w:rsidR="004306F2" w:rsidRPr="002E4295">
        <w:rPr>
          <w:lang w:val="fr-FR"/>
        </w:rPr>
        <w:t>684 ont reçu un traitement antirétroviral, soit un pourcentage de 51,1</w:t>
      </w:r>
      <w:r w:rsidR="009E4EF6">
        <w:rPr>
          <w:lang w:val="fr-FR"/>
        </w:rPr>
        <w:t> %</w:t>
      </w:r>
      <w:r w:rsidR="004306F2" w:rsidRPr="002E4295">
        <w:rPr>
          <w:lang w:val="fr-FR"/>
        </w:rPr>
        <w:t xml:space="preserve"> contre 32,7</w:t>
      </w:r>
      <w:r w:rsidR="009E4EF6">
        <w:rPr>
          <w:lang w:val="fr-FR"/>
        </w:rPr>
        <w:t> %</w:t>
      </w:r>
      <w:r w:rsidR="004306F2" w:rsidRPr="002E4295">
        <w:rPr>
          <w:lang w:val="fr-FR"/>
        </w:rPr>
        <w:t xml:space="preserve"> en 2013 et sur les 48</w:t>
      </w:r>
      <w:r w:rsidR="009A1BDD">
        <w:rPr>
          <w:lang w:val="fr-FR"/>
        </w:rPr>
        <w:t> </w:t>
      </w:r>
      <w:r w:rsidR="004306F2" w:rsidRPr="002E4295">
        <w:rPr>
          <w:lang w:val="fr-FR"/>
        </w:rPr>
        <w:t>771 femmes enceintes séropositives en 2015, 29</w:t>
      </w:r>
      <w:r w:rsidR="009A1BDD">
        <w:rPr>
          <w:lang w:val="fr-FR"/>
        </w:rPr>
        <w:t> </w:t>
      </w:r>
      <w:r w:rsidR="004306F2" w:rsidRPr="002E4295">
        <w:rPr>
          <w:lang w:val="fr-FR"/>
        </w:rPr>
        <w:t xml:space="preserve">458 ont reçu un protocole ARV, soit </w:t>
      </w:r>
      <w:r w:rsidR="0092493A" w:rsidRPr="002E4295">
        <w:rPr>
          <w:lang w:val="fr-FR"/>
        </w:rPr>
        <w:t>un taux de couverture de 60,4</w:t>
      </w:r>
      <w:r w:rsidR="009E4EF6">
        <w:rPr>
          <w:lang w:val="fr-FR"/>
        </w:rPr>
        <w:t> %</w:t>
      </w:r>
      <w:r w:rsidR="0092493A" w:rsidRPr="002E4295">
        <w:rPr>
          <w:lang w:val="fr-FR"/>
        </w:rPr>
        <w:t>.</w:t>
      </w:r>
    </w:p>
    <w:p w:rsidR="004306F2" w:rsidRPr="009C12DC" w:rsidRDefault="009C12DC" w:rsidP="009C12DC">
      <w:pPr>
        <w:pStyle w:val="H23G"/>
      </w:pPr>
      <w:bookmarkStart w:id="85" w:name="_Toc466897403"/>
      <w:r>
        <w:rPr>
          <w:lang w:val="fr-FR"/>
        </w:rPr>
        <w:tab/>
      </w:r>
      <w:r>
        <w:rPr>
          <w:lang w:val="fr-FR"/>
        </w:rPr>
        <w:tab/>
      </w:r>
      <w:r w:rsidR="004306F2" w:rsidRPr="002E4295">
        <w:rPr>
          <w:lang w:val="fr-FR"/>
        </w:rPr>
        <w:t>Prise en charge du VIH/</w:t>
      </w:r>
      <w:r w:rsidR="0011157C">
        <w:rPr>
          <w:lang w:val="fr-FR"/>
        </w:rPr>
        <w:t>s</w:t>
      </w:r>
      <w:r w:rsidR="004306F2" w:rsidRPr="002E4295">
        <w:rPr>
          <w:lang w:val="fr-FR"/>
        </w:rPr>
        <w:t>ida en prison</w:t>
      </w:r>
      <w:bookmarkEnd w:id="85"/>
    </w:p>
    <w:p w:rsidR="004306F2" w:rsidRPr="0017665A" w:rsidRDefault="00270BF3" w:rsidP="00270BF3">
      <w:pPr>
        <w:pStyle w:val="SingleTxtG"/>
        <w:rPr>
          <w:lang w:val="fr-FR"/>
        </w:rPr>
      </w:pPr>
      <w:r w:rsidRPr="0017665A">
        <w:rPr>
          <w:lang w:val="fr-FR"/>
        </w:rPr>
        <w:t>196.</w:t>
      </w:r>
      <w:r w:rsidRPr="0017665A">
        <w:rPr>
          <w:lang w:val="fr-FR"/>
        </w:rPr>
        <w:tab/>
      </w:r>
      <w:r w:rsidR="004306F2" w:rsidRPr="002E4295">
        <w:rPr>
          <w:lang w:val="fr-FR"/>
        </w:rPr>
        <w:t xml:space="preserve">Des </w:t>
      </w:r>
      <w:r w:rsidR="004306F2" w:rsidRPr="00CE5694">
        <w:t>campagnes</w:t>
      </w:r>
      <w:r w:rsidR="004306F2" w:rsidRPr="002E4295">
        <w:rPr>
          <w:lang w:val="fr-FR"/>
        </w:rPr>
        <w:t xml:space="preserve"> de sensibilisation ont été menées dans des prisons</w:t>
      </w:r>
      <w:r w:rsidR="00DA0404">
        <w:rPr>
          <w:lang w:val="fr-FR"/>
        </w:rPr>
        <w:t> ;</w:t>
      </w:r>
      <w:r w:rsidR="004306F2" w:rsidRPr="002E4295">
        <w:rPr>
          <w:lang w:val="fr-FR"/>
        </w:rPr>
        <w:t xml:space="preserve"> ainsi, en 2013 par exemple, 1</w:t>
      </w:r>
      <w:r w:rsidR="009A1BDD">
        <w:rPr>
          <w:lang w:val="fr-FR"/>
        </w:rPr>
        <w:t> </w:t>
      </w:r>
      <w:r w:rsidR="004306F2" w:rsidRPr="002E4295">
        <w:rPr>
          <w:lang w:val="fr-FR"/>
        </w:rPr>
        <w:t>173 détenus ont été touchés par des messages de prévention.</w:t>
      </w:r>
      <w:r w:rsidR="006A57AD">
        <w:rPr>
          <w:lang w:val="fr-FR"/>
        </w:rPr>
        <w:t xml:space="preserve"> </w:t>
      </w:r>
      <w:r w:rsidR="004306F2" w:rsidRPr="002E4295">
        <w:rPr>
          <w:lang w:val="fr-FR"/>
        </w:rPr>
        <w:t xml:space="preserve">Des centres de prise en charge du </w:t>
      </w:r>
      <w:r w:rsidR="00014A96">
        <w:rPr>
          <w:lang w:val="fr-FR"/>
        </w:rPr>
        <w:t>s</w:t>
      </w:r>
      <w:r w:rsidR="004306F2" w:rsidRPr="002E4295">
        <w:rPr>
          <w:lang w:val="fr-FR"/>
        </w:rPr>
        <w:t xml:space="preserve">ida étaient disponibles à la Prison Centrale de </w:t>
      </w:r>
      <w:proofErr w:type="spellStart"/>
      <w:r w:rsidR="004306F2" w:rsidRPr="002E4295">
        <w:rPr>
          <w:lang w:val="fr-FR"/>
        </w:rPr>
        <w:t>Kondengui</w:t>
      </w:r>
      <w:proofErr w:type="spellEnd"/>
      <w:r w:rsidR="004306F2" w:rsidRPr="002E4295">
        <w:rPr>
          <w:rFonts w:eastAsia="FreeSans"/>
          <w:lang w:val="fr-FR"/>
        </w:rPr>
        <w:t xml:space="preserve"> et à la Prison Centrale de New Bell dès 2007. Le dépistage volontaire a été proposé à tous les nouveaux détenus et ceux déclarés séropositifs ont été mis sous ARV. </w:t>
      </w:r>
      <w:r w:rsidR="004306F2" w:rsidRPr="002E4295">
        <w:rPr>
          <w:lang w:val="fr-FR"/>
        </w:rPr>
        <w:t>Des pairs éducateurs ont été formés dans les Prisons, afin qu’ils puissent éduquer d’autres détenus sur le VIH/</w:t>
      </w:r>
      <w:r w:rsidR="0011157C">
        <w:rPr>
          <w:lang w:val="fr-FR"/>
        </w:rPr>
        <w:t>s</w:t>
      </w:r>
      <w:r w:rsidR="004306F2" w:rsidRPr="002E4295">
        <w:rPr>
          <w:lang w:val="fr-FR"/>
        </w:rPr>
        <w:t>ida. Ainsi, du 8 août au 2 septembre 2015, certains détenus des Régions de l’Est, du Centre, du Littoral, de l’Ouest et du Sud ont reçu une formation de pairs éducateurs.</w:t>
      </w:r>
    </w:p>
    <w:p w:rsidR="004306F2" w:rsidRPr="009C12DC" w:rsidRDefault="009C12DC" w:rsidP="009C12DC">
      <w:pPr>
        <w:pStyle w:val="H23G"/>
      </w:pPr>
      <w:bookmarkStart w:id="86" w:name="_Toc466897404"/>
      <w:r>
        <w:rPr>
          <w:lang w:val="fr-FR"/>
        </w:rPr>
        <w:tab/>
      </w:r>
      <w:r>
        <w:rPr>
          <w:lang w:val="fr-FR"/>
        </w:rPr>
        <w:tab/>
      </w:r>
      <w:r w:rsidR="004306F2" w:rsidRPr="002E4295">
        <w:rPr>
          <w:lang w:val="fr-FR"/>
        </w:rPr>
        <w:t>Mesures en faveur des travailleuses du sexe</w:t>
      </w:r>
      <w:bookmarkEnd w:id="86"/>
    </w:p>
    <w:p w:rsidR="004306F2" w:rsidRPr="0017665A" w:rsidRDefault="00270BF3" w:rsidP="00270BF3">
      <w:pPr>
        <w:pStyle w:val="SingleTxtG"/>
        <w:rPr>
          <w:lang w:val="fr-FR"/>
        </w:rPr>
      </w:pPr>
      <w:r w:rsidRPr="0017665A">
        <w:rPr>
          <w:lang w:val="fr-FR"/>
        </w:rPr>
        <w:t>197.</w:t>
      </w:r>
      <w:r w:rsidRPr="0017665A">
        <w:rPr>
          <w:lang w:val="fr-FR"/>
        </w:rPr>
        <w:tab/>
      </w:r>
      <w:r w:rsidR="004306F2" w:rsidRPr="002E4295">
        <w:rPr>
          <w:lang w:val="fr-FR"/>
        </w:rPr>
        <w:t xml:space="preserve">Par Décision </w:t>
      </w:r>
      <w:r w:rsidR="009A1BDD" w:rsidRPr="00284361">
        <w:t>n</w:t>
      </w:r>
      <w:r w:rsidR="009A1BDD" w:rsidRPr="00591E3E">
        <w:rPr>
          <w:vertAlign w:val="superscript"/>
        </w:rPr>
        <w:t>o</w:t>
      </w:r>
      <w:r w:rsidR="009A1BDD">
        <w:t> </w:t>
      </w:r>
      <w:r w:rsidR="004306F2" w:rsidRPr="002E4295">
        <w:rPr>
          <w:lang w:val="fr-FR"/>
        </w:rPr>
        <w:t xml:space="preserve">1106/D/MINSANTE/CAB/STBP/CNLS/SP/SPSE du 15 juin 2015 du </w:t>
      </w:r>
      <w:r w:rsidR="004306F2" w:rsidRPr="00CE5694">
        <w:t>Ministère</w:t>
      </w:r>
      <w:r w:rsidR="004306F2" w:rsidRPr="002E4295">
        <w:rPr>
          <w:lang w:val="fr-FR"/>
        </w:rPr>
        <w:t xml:space="preserve"> de la Santé Publique, a été </w:t>
      </w:r>
      <w:r w:rsidR="004306F2" w:rsidRPr="00A65470">
        <w:t>créé</w:t>
      </w:r>
      <w:r w:rsidR="004306F2" w:rsidRPr="002E4295">
        <w:rPr>
          <w:lang w:val="fr-FR"/>
        </w:rPr>
        <w:t xml:space="preserve"> un Groupe de Travail de lutte </w:t>
      </w:r>
      <w:r w:rsidR="004306F2" w:rsidRPr="002E4295">
        <w:rPr>
          <w:lang w:val="fr-FR" w:eastAsia="fr-FR"/>
        </w:rPr>
        <w:t>contre</w:t>
      </w:r>
      <w:r w:rsidR="004306F2" w:rsidRPr="002E4295">
        <w:rPr>
          <w:lang w:val="fr-FR"/>
        </w:rPr>
        <w:t xml:space="preserve"> le VIH/</w:t>
      </w:r>
      <w:r w:rsidR="0011157C">
        <w:rPr>
          <w:lang w:val="fr-FR"/>
        </w:rPr>
        <w:t>s</w:t>
      </w:r>
      <w:r w:rsidR="004306F2" w:rsidRPr="002E4295">
        <w:rPr>
          <w:lang w:val="fr-FR"/>
        </w:rPr>
        <w:t>ida chez les hommes ayant des relations sexuelles avec les hommes, les travaill</w:t>
      </w:r>
      <w:r w:rsidR="00CE5694">
        <w:rPr>
          <w:lang w:val="fr-FR"/>
        </w:rPr>
        <w:t>euses du sexe et leurs clients.</w:t>
      </w:r>
    </w:p>
    <w:p w:rsidR="004306F2" w:rsidRPr="002E4295" w:rsidRDefault="00270BF3" w:rsidP="00270BF3">
      <w:pPr>
        <w:pStyle w:val="SingleTxtG"/>
        <w:rPr>
          <w:lang w:val="fr-FR"/>
        </w:rPr>
      </w:pPr>
      <w:r w:rsidRPr="002E4295">
        <w:rPr>
          <w:lang w:val="fr-FR"/>
        </w:rPr>
        <w:t>198.</w:t>
      </w:r>
      <w:r w:rsidRPr="002E4295">
        <w:rPr>
          <w:lang w:val="fr-FR"/>
        </w:rPr>
        <w:tab/>
      </w:r>
      <w:r w:rsidR="004306F2" w:rsidRPr="002E4295">
        <w:rPr>
          <w:lang w:val="fr-FR"/>
        </w:rPr>
        <w:t xml:space="preserve">Le CNLS fournit l’appui technique et le suivi nécessaires aux organisations travaillant dans le </w:t>
      </w:r>
      <w:r w:rsidR="004306F2" w:rsidRPr="00CE5694">
        <w:t>domaine</w:t>
      </w:r>
      <w:r w:rsidR="004306F2" w:rsidRPr="002E4295">
        <w:rPr>
          <w:lang w:val="fr-FR"/>
        </w:rPr>
        <w:t xml:space="preserve"> du VIH/</w:t>
      </w:r>
      <w:r w:rsidR="0011157C">
        <w:rPr>
          <w:lang w:val="fr-FR"/>
        </w:rPr>
        <w:t>s</w:t>
      </w:r>
      <w:r w:rsidR="004306F2" w:rsidRPr="002E4295">
        <w:rPr>
          <w:lang w:val="fr-FR"/>
        </w:rPr>
        <w:t xml:space="preserve">ida. </w:t>
      </w:r>
      <w:r w:rsidR="004306F2" w:rsidRPr="0017665A">
        <w:rPr>
          <w:lang w:val="fr-FR"/>
        </w:rPr>
        <w:t>Horizons</w:t>
      </w:r>
      <w:r w:rsidR="004306F2" w:rsidRPr="002E4295">
        <w:rPr>
          <w:i/>
          <w:lang w:val="fr-FR"/>
        </w:rPr>
        <w:t xml:space="preserve"> </w:t>
      </w:r>
      <w:r w:rsidR="004306F2" w:rsidRPr="00A65470">
        <w:t>Femmes</w:t>
      </w:r>
      <w:r w:rsidR="004306F2" w:rsidRPr="002E4295">
        <w:rPr>
          <w:i/>
          <w:lang w:val="fr-FR"/>
        </w:rPr>
        <w:t>,</w:t>
      </w:r>
      <w:r w:rsidR="004306F2" w:rsidRPr="002E4295">
        <w:rPr>
          <w:lang w:val="fr-FR"/>
        </w:rPr>
        <w:t xml:space="preserve"> l’un de ces organismes, participe à la sensibilisation sur le VIH et aux activités éducatives concernant les travailleuses du </w:t>
      </w:r>
      <w:r w:rsidR="004306F2" w:rsidRPr="002E4295">
        <w:rPr>
          <w:lang w:val="fr-FR" w:eastAsia="fr-FR"/>
        </w:rPr>
        <w:t>sexe</w:t>
      </w:r>
      <w:r w:rsidR="004306F2" w:rsidRPr="002E4295">
        <w:rPr>
          <w:lang w:val="fr-FR"/>
        </w:rPr>
        <w:t xml:space="preserve">. C’est dans cette optique qu’à travers ses </w:t>
      </w:r>
      <w:r w:rsidR="004306F2" w:rsidRPr="0017665A">
        <w:rPr>
          <w:lang w:val="fr-FR"/>
        </w:rPr>
        <w:t>Centres de Vie,</w:t>
      </w:r>
      <w:r w:rsidR="004306F2" w:rsidRPr="006708D2">
        <w:rPr>
          <w:lang w:val="fr-FR"/>
        </w:rPr>
        <w:t xml:space="preserve"> il a</w:t>
      </w:r>
      <w:r w:rsidR="004306F2" w:rsidRPr="002E4295">
        <w:rPr>
          <w:lang w:val="fr-FR"/>
        </w:rPr>
        <w:t xml:space="preserve"> entrepris depuis 2015 de former des pairs éducateurs pour la sensibilisation des partenaires masculins des travailleuses du sexe, leurs clients, ainsi que les hommes ayant un rapport ave</w:t>
      </w:r>
      <w:r w:rsidR="00284361">
        <w:rPr>
          <w:lang w:val="fr-FR"/>
        </w:rPr>
        <w:t>c les cercles de prostitution.</w:t>
      </w:r>
    </w:p>
    <w:p w:rsidR="004306F2" w:rsidRPr="002E4295" w:rsidRDefault="009C12DC" w:rsidP="009C12DC">
      <w:pPr>
        <w:pStyle w:val="H1G"/>
        <w:rPr>
          <w:lang w:val="fr-FR" w:eastAsia="en-GB"/>
        </w:rPr>
      </w:pPr>
      <w:bookmarkStart w:id="87" w:name="_Toc466897405"/>
      <w:r>
        <w:tab/>
      </w:r>
      <w:r w:rsidR="00A36E37">
        <w:t>C</w:t>
      </w:r>
      <w:r>
        <w:t>.</w:t>
      </w:r>
      <w:r>
        <w:tab/>
      </w:r>
      <w:r w:rsidR="004306F2" w:rsidRPr="009C12DC">
        <w:t>Sensibilisation</w:t>
      </w:r>
      <w:r w:rsidR="004306F2" w:rsidRPr="002E4295">
        <w:rPr>
          <w:lang w:val="fr-FR" w:eastAsia="en-GB"/>
        </w:rPr>
        <w:t xml:space="preserve"> des PVVIH sur leurs droits humains et sur la protection légale les concernant</w:t>
      </w:r>
      <w:bookmarkEnd w:id="87"/>
    </w:p>
    <w:p w:rsidR="004306F2" w:rsidRPr="002E4295" w:rsidRDefault="00270BF3" w:rsidP="00270BF3">
      <w:pPr>
        <w:pStyle w:val="SingleTxtG"/>
        <w:rPr>
          <w:lang w:val="fr-FR"/>
        </w:rPr>
      </w:pPr>
      <w:r w:rsidRPr="002E4295">
        <w:rPr>
          <w:lang w:val="fr-FR"/>
        </w:rPr>
        <w:t>199.</w:t>
      </w:r>
      <w:r w:rsidRPr="002E4295">
        <w:rPr>
          <w:lang w:val="fr-FR"/>
        </w:rPr>
        <w:tab/>
      </w:r>
      <w:r w:rsidR="004306F2" w:rsidRPr="002E4295">
        <w:rPr>
          <w:lang w:val="fr-FR"/>
        </w:rPr>
        <w:t xml:space="preserve">Dans le but </w:t>
      </w:r>
      <w:r w:rsidR="004306F2" w:rsidRPr="00CE5694">
        <w:t>d’améliorer</w:t>
      </w:r>
      <w:r w:rsidR="004306F2" w:rsidRPr="002E4295">
        <w:rPr>
          <w:lang w:val="fr-FR"/>
        </w:rPr>
        <w:t xml:space="preserve"> la </w:t>
      </w:r>
      <w:r w:rsidR="004306F2" w:rsidRPr="00A65470">
        <w:t>protection</w:t>
      </w:r>
      <w:r w:rsidR="004306F2" w:rsidRPr="002E4295">
        <w:rPr>
          <w:lang w:val="fr-FR"/>
        </w:rPr>
        <w:t xml:space="preserve"> des PVVIH, un Groupe de Travail sur la stigmatisation et la discrimination liées au VIH a été mis sur pied à la CNLS en vue de proposer et de coordonner des interventions dont le but est de favoriser les droits associés au VIH/</w:t>
      </w:r>
      <w:r w:rsidR="006708D2">
        <w:rPr>
          <w:lang w:val="fr-FR"/>
        </w:rPr>
        <w:t>s</w:t>
      </w:r>
      <w:r w:rsidR="004306F2" w:rsidRPr="002E4295">
        <w:rPr>
          <w:lang w:val="fr-FR"/>
        </w:rPr>
        <w:t xml:space="preserve">ida au Cameroun. </w:t>
      </w:r>
    </w:p>
    <w:p w:rsidR="004306F2" w:rsidRPr="002E4295" w:rsidRDefault="00270BF3" w:rsidP="00270BF3">
      <w:pPr>
        <w:pStyle w:val="SingleTxtG"/>
        <w:rPr>
          <w:lang w:val="fr-FR"/>
        </w:rPr>
      </w:pPr>
      <w:r w:rsidRPr="002E4295">
        <w:rPr>
          <w:lang w:val="fr-FR"/>
        </w:rPr>
        <w:t>200.</w:t>
      </w:r>
      <w:r w:rsidRPr="002E4295">
        <w:rPr>
          <w:lang w:val="fr-FR"/>
        </w:rPr>
        <w:tab/>
      </w:r>
      <w:r w:rsidR="004306F2" w:rsidRPr="002E4295">
        <w:rPr>
          <w:lang w:val="fr-FR"/>
        </w:rPr>
        <w:t xml:space="preserve">Les </w:t>
      </w:r>
      <w:r w:rsidR="004306F2" w:rsidRPr="00CE5694">
        <w:t>activités</w:t>
      </w:r>
      <w:r w:rsidR="004306F2" w:rsidRPr="002E4295">
        <w:rPr>
          <w:lang w:val="fr-FR"/>
        </w:rPr>
        <w:t xml:space="preserve"> du Groupe de Travail en 2013 comportaient la sensibilisation de 111 PVVIH et de 227 représentants de 12 Confédérations Syndicales Nationales contre la stigmatisation et la discrimination, l’élaboration d’un manuel sur les droits et les </w:t>
      </w:r>
      <w:r w:rsidR="004306F2" w:rsidRPr="002E4295">
        <w:rPr>
          <w:lang w:val="fr-FR" w:eastAsia="fr-FR"/>
        </w:rPr>
        <w:t>devoirs</w:t>
      </w:r>
      <w:r w:rsidR="004306F2" w:rsidRPr="002E4295">
        <w:rPr>
          <w:lang w:val="fr-FR"/>
        </w:rPr>
        <w:t xml:space="preserve"> des PVVIH au Cameroun et la production d’une affiche </w:t>
      </w:r>
      <w:r w:rsidR="004306F2" w:rsidRPr="00A65470">
        <w:t>intitulée</w:t>
      </w:r>
      <w:r w:rsidR="00DA0404">
        <w:rPr>
          <w:lang w:val="fr-FR"/>
        </w:rPr>
        <w:t> :</w:t>
      </w:r>
      <w:r w:rsidR="004306F2" w:rsidRPr="002E4295">
        <w:rPr>
          <w:lang w:val="fr-FR"/>
        </w:rPr>
        <w:t xml:space="preserve"> « </w:t>
      </w:r>
      <w:r w:rsidR="004306F2" w:rsidRPr="0017665A">
        <w:rPr>
          <w:lang w:val="fr-FR"/>
        </w:rPr>
        <w:t>Lutte contre la stigmatisation et la discrimination</w:t>
      </w:r>
      <w:r w:rsidR="00DA0404">
        <w:rPr>
          <w:lang w:val="fr-FR"/>
        </w:rPr>
        <w:t> :</w:t>
      </w:r>
      <w:r w:rsidR="004306F2" w:rsidRPr="0017665A">
        <w:rPr>
          <w:lang w:val="fr-FR"/>
        </w:rPr>
        <w:t xml:space="preserve"> une affaire de tous et de chacun </w:t>
      </w:r>
      <w:r w:rsidR="004306F2" w:rsidRPr="002E4295">
        <w:rPr>
          <w:i/>
          <w:lang w:val="fr-FR"/>
        </w:rPr>
        <w:t xml:space="preserve">». </w:t>
      </w:r>
      <w:r w:rsidR="004306F2" w:rsidRPr="002E4295">
        <w:rPr>
          <w:lang w:val="fr-FR"/>
        </w:rPr>
        <w:t xml:space="preserve">En outre, ce Groupe a validé le </w:t>
      </w:r>
      <w:r w:rsidR="004306F2" w:rsidRPr="002E4295">
        <w:rPr>
          <w:lang w:val="fr-FR"/>
        </w:rPr>
        <w:lastRenderedPageBreak/>
        <w:t xml:space="preserve">document de politique nationale de lutte contre le </w:t>
      </w:r>
      <w:r w:rsidR="00014A96">
        <w:rPr>
          <w:lang w:val="fr-FR"/>
        </w:rPr>
        <w:t>s</w:t>
      </w:r>
      <w:r w:rsidR="004306F2" w:rsidRPr="002E4295">
        <w:rPr>
          <w:lang w:val="fr-FR"/>
        </w:rPr>
        <w:t xml:space="preserve">ida sur le lieu de travail dans le but d’améliorer la protection des droits et l’accès aux soins pour les PVVIH. </w:t>
      </w:r>
    </w:p>
    <w:p w:rsidR="004306F2" w:rsidRPr="0017665A" w:rsidRDefault="00270BF3" w:rsidP="00270BF3">
      <w:pPr>
        <w:pStyle w:val="SingleTxtG"/>
        <w:rPr>
          <w:lang w:val="fr-FR"/>
        </w:rPr>
      </w:pPr>
      <w:r w:rsidRPr="0017665A">
        <w:rPr>
          <w:lang w:val="fr-FR"/>
        </w:rPr>
        <w:t>201.</w:t>
      </w:r>
      <w:r w:rsidRPr="0017665A">
        <w:rPr>
          <w:lang w:val="fr-FR"/>
        </w:rPr>
        <w:tab/>
      </w:r>
      <w:r w:rsidR="004306F2" w:rsidRPr="002E4295">
        <w:rPr>
          <w:lang w:val="fr-FR"/>
        </w:rPr>
        <w:t xml:space="preserve">Dans le </w:t>
      </w:r>
      <w:r w:rsidR="004306F2" w:rsidRPr="00CE5694">
        <w:t>même</w:t>
      </w:r>
      <w:r w:rsidR="004306F2" w:rsidRPr="002E4295">
        <w:rPr>
          <w:lang w:val="fr-FR"/>
        </w:rPr>
        <w:t xml:space="preserve"> registre, les représentants des Administrations publiques ont été sensibilisés sur la prise en compte du facteur VIH/</w:t>
      </w:r>
      <w:r w:rsidR="006708D2">
        <w:rPr>
          <w:lang w:val="fr-FR"/>
        </w:rPr>
        <w:t>s</w:t>
      </w:r>
      <w:r w:rsidR="004306F2" w:rsidRPr="002E4295">
        <w:rPr>
          <w:lang w:val="fr-FR"/>
        </w:rPr>
        <w:t xml:space="preserve">ida dans les cadres stratégiques de planification, notamment la </w:t>
      </w:r>
      <w:r w:rsidR="004306F2" w:rsidRPr="00A65470">
        <w:t>planification</w:t>
      </w:r>
      <w:r w:rsidR="004306F2" w:rsidRPr="002E4295">
        <w:rPr>
          <w:lang w:val="fr-FR"/>
        </w:rPr>
        <w:t xml:space="preserve">, la programmation, la budgétisation, l’exécution et le suivi/évaluation au cours d’un atelier de renforcement des capacités des </w:t>
      </w:r>
      <w:r w:rsidR="004306F2" w:rsidRPr="0017665A">
        <w:rPr>
          <w:lang w:val="fr-FR"/>
        </w:rPr>
        <w:t>Points Focaux Genre</w:t>
      </w:r>
      <w:r w:rsidR="004306F2" w:rsidRPr="009A1BDD">
        <w:rPr>
          <w:lang w:val="fr-FR"/>
        </w:rPr>
        <w:t xml:space="preserve"> des Administrations publiques tenu à Édéa </w:t>
      </w:r>
      <w:r w:rsidR="00CE5694" w:rsidRPr="009A1BDD">
        <w:rPr>
          <w:lang w:val="fr-FR"/>
        </w:rPr>
        <w:t>du 9 au 10 décembre 2015, sur «</w:t>
      </w:r>
      <w:r w:rsidR="006A57AD" w:rsidRPr="009A1BDD">
        <w:rPr>
          <w:lang w:val="fr-FR"/>
        </w:rPr>
        <w:t> </w:t>
      </w:r>
      <w:r w:rsidR="004306F2" w:rsidRPr="0017665A">
        <w:rPr>
          <w:lang w:val="fr-FR"/>
        </w:rPr>
        <w:t>la san</w:t>
      </w:r>
      <w:r w:rsidR="00CE5694" w:rsidRPr="0017665A">
        <w:rPr>
          <w:lang w:val="fr-FR"/>
        </w:rPr>
        <w:t>té, planification, VIH/Genre</w:t>
      </w:r>
      <w:r w:rsidR="006A57AD" w:rsidRPr="0017665A">
        <w:rPr>
          <w:lang w:val="fr-FR"/>
        </w:rPr>
        <w:t> </w:t>
      </w:r>
      <w:r w:rsidR="00CE5694" w:rsidRPr="0017665A">
        <w:rPr>
          <w:lang w:val="fr-FR"/>
        </w:rPr>
        <w:t>».</w:t>
      </w:r>
    </w:p>
    <w:p w:rsidR="004306F2" w:rsidRPr="002E4295" w:rsidRDefault="00270BF3" w:rsidP="00270BF3">
      <w:pPr>
        <w:pStyle w:val="SingleTxtG"/>
        <w:rPr>
          <w:lang w:val="fr-FR"/>
        </w:rPr>
      </w:pPr>
      <w:r w:rsidRPr="002E4295">
        <w:rPr>
          <w:lang w:val="fr-FR"/>
        </w:rPr>
        <w:t>202.</w:t>
      </w:r>
      <w:r w:rsidRPr="002E4295">
        <w:rPr>
          <w:lang w:val="fr-FR"/>
        </w:rPr>
        <w:tab/>
      </w:r>
      <w:r w:rsidR="004306F2" w:rsidRPr="002E4295">
        <w:rPr>
          <w:lang w:val="fr-FR"/>
        </w:rPr>
        <w:t>L’article 242 du CP protège les droits des PVVIH contre la discrimination, fondée notamment sur leur statut médical.</w:t>
      </w:r>
    </w:p>
    <w:p w:rsidR="004306F2" w:rsidRPr="00962401" w:rsidRDefault="00962401" w:rsidP="0017665A">
      <w:pPr>
        <w:pStyle w:val="HChG"/>
      </w:pPr>
      <w:bookmarkStart w:id="88" w:name="_Toc466897406"/>
      <w:r>
        <w:rPr>
          <w:lang w:val="fr-FR"/>
        </w:rPr>
        <w:tab/>
        <w:t>XXVII.</w:t>
      </w:r>
      <w:r>
        <w:rPr>
          <w:lang w:val="fr-FR"/>
        </w:rPr>
        <w:tab/>
      </w:r>
      <w:r w:rsidR="004306F2" w:rsidRPr="002E4295">
        <w:rPr>
          <w:lang w:val="fr-FR"/>
        </w:rPr>
        <w:t>R</w:t>
      </w:r>
      <w:r w:rsidR="0092493A" w:rsidRPr="002E4295">
        <w:rPr>
          <w:lang w:val="fr-FR"/>
        </w:rPr>
        <w:t>ec.</w:t>
      </w:r>
      <w:r>
        <w:rPr>
          <w:lang w:val="fr-FR"/>
        </w:rPr>
        <w:t> </w:t>
      </w:r>
      <w:r w:rsidR="004306F2" w:rsidRPr="002E4295">
        <w:rPr>
          <w:lang w:val="fr-FR"/>
        </w:rPr>
        <w:t>32</w:t>
      </w:r>
      <w:r>
        <w:rPr>
          <w:lang w:val="fr-FR"/>
        </w:rPr>
        <w:t>. </w:t>
      </w:r>
      <w:r w:rsidR="004306F2" w:rsidRPr="002E4295">
        <w:rPr>
          <w:lang w:val="fr-FR"/>
        </w:rPr>
        <w:t>Politique</w:t>
      </w:r>
      <w:r w:rsidR="004306F2" w:rsidRPr="00F025F9">
        <w:t xml:space="preserve"> de lutte contre le tabagisme</w:t>
      </w:r>
      <w:bookmarkEnd w:id="88"/>
    </w:p>
    <w:p w:rsidR="004306F2" w:rsidRPr="002E4295" w:rsidRDefault="00270BF3" w:rsidP="00270BF3">
      <w:pPr>
        <w:pStyle w:val="SingleTxtG"/>
        <w:rPr>
          <w:lang w:val="fr-FR"/>
        </w:rPr>
      </w:pPr>
      <w:r w:rsidRPr="002E4295">
        <w:rPr>
          <w:lang w:val="fr-FR"/>
        </w:rPr>
        <w:t>203.</w:t>
      </w:r>
      <w:r w:rsidRPr="002E4295">
        <w:rPr>
          <w:lang w:val="fr-FR"/>
        </w:rPr>
        <w:tab/>
      </w:r>
      <w:r w:rsidR="004306F2" w:rsidRPr="002E4295">
        <w:rPr>
          <w:lang w:val="fr-FR"/>
        </w:rPr>
        <w:t>Le Cameroun a ratifié la Convention-cadre de l</w:t>
      </w:r>
      <w:r w:rsidR="006A57AD">
        <w:rPr>
          <w:lang w:val="fr-FR"/>
        </w:rPr>
        <w:t>’</w:t>
      </w:r>
      <w:r w:rsidR="004306F2" w:rsidRPr="002E4295">
        <w:rPr>
          <w:lang w:val="fr-FR"/>
        </w:rPr>
        <w:t xml:space="preserve">OMS pour la lutte antitabac (CCLAT) en 2006. Malgré l’absence d’une loi, le Cameroun a pris un certain nombre de mesures aux niveaux local et national afin de contrôler le tabagisme. Ainsi, les </w:t>
      </w:r>
      <w:r w:rsidR="004306F2" w:rsidRPr="002E4295">
        <w:rPr>
          <w:lang w:val="fr-FR" w:eastAsia="fr-FR"/>
        </w:rPr>
        <w:t>Circulaires</w:t>
      </w:r>
      <w:r w:rsidR="004306F2" w:rsidRPr="002E4295">
        <w:rPr>
          <w:lang w:val="fr-FR"/>
        </w:rPr>
        <w:t xml:space="preserve"> suivantes ont été signées</w:t>
      </w:r>
      <w:r w:rsidR="00DA0404">
        <w:rPr>
          <w:lang w:val="fr-FR"/>
        </w:rPr>
        <w:t> :</w:t>
      </w:r>
    </w:p>
    <w:p w:rsidR="004306F2" w:rsidRPr="006A57AD" w:rsidRDefault="00270BF3" w:rsidP="00270BF3">
      <w:pPr>
        <w:pStyle w:val="Bullet1G"/>
        <w:numPr>
          <w:ilvl w:val="0"/>
          <w:numId w:val="0"/>
        </w:numPr>
        <w:tabs>
          <w:tab w:val="left" w:pos="1701"/>
        </w:tabs>
        <w:ind w:left="1701" w:hanging="170"/>
        <w:rPr>
          <w:lang w:val="fr-FR"/>
        </w:rPr>
      </w:pPr>
      <w:r w:rsidRPr="006A57AD">
        <w:rPr>
          <w:lang w:val="fr-FR"/>
        </w:rPr>
        <w:t>•</w:t>
      </w:r>
      <w:r w:rsidRPr="006A57AD">
        <w:rPr>
          <w:lang w:val="fr-FR"/>
        </w:rPr>
        <w:tab/>
      </w:r>
      <w:r w:rsidR="009A1BDD" w:rsidRPr="006A57AD">
        <w:rPr>
          <w:lang w:val="fr-FR"/>
        </w:rPr>
        <w:t xml:space="preserve">La </w:t>
      </w:r>
      <w:r w:rsidR="004306F2" w:rsidRPr="006A57AD">
        <w:rPr>
          <w:lang w:val="fr-FR"/>
        </w:rPr>
        <w:t xml:space="preserve">lettre Circulaire </w:t>
      </w:r>
      <w:r w:rsidR="009A1BDD" w:rsidRPr="00284361">
        <w:t>n</w:t>
      </w:r>
      <w:r w:rsidR="009A1BDD" w:rsidRPr="00591E3E">
        <w:rPr>
          <w:vertAlign w:val="superscript"/>
        </w:rPr>
        <w:t>o</w:t>
      </w:r>
      <w:r w:rsidR="009A1BDD">
        <w:t> </w:t>
      </w:r>
      <w:r w:rsidR="004306F2" w:rsidRPr="006A57AD">
        <w:rPr>
          <w:lang w:val="fr-FR"/>
        </w:rPr>
        <w:t>001/MINESUP/SG/DPDSU du 11 juillet 2012 relative à la lutte contre le tabac dans les services centraux du Ministère de l’Enseignement Supérieur et dans les institutions publi</w:t>
      </w:r>
      <w:r w:rsidR="00BE18BE" w:rsidRPr="006A57AD">
        <w:rPr>
          <w:lang w:val="fr-FR"/>
        </w:rPr>
        <w:t>ques d’Enseignement Supérieur</w:t>
      </w:r>
      <w:r w:rsidR="00DA0404">
        <w:rPr>
          <w:lang w:val="fr-FR"/>
        </w:rPr>
        <w:t> ;</w:t>
      </w:r>
    </w:p>
    <w:p w:rsidR="004306F2" w:rsidRPr="006A57AD" w:rsidRDefault="00270BF3" w:rsidP="00270BF3">
      <w:pPr>
        <w:pStyle w:val="Bullet1G"/>
        <w:numPr>
          <w:ilvl w:val="0"/>
          <w:numId w:val="0"/>
        </w:numPr>
        <w:tabs>
          <w:tab w:val="left" w:pos="1701"/>
        </w:tabs>
        <w:ind w:left="1701" w:hanging="170"/>
        <w:rPr>
          <w:lang w:val="fr-FR"/>
        </w:rPr>
      </w:pPr>
      <w:r w:rsidRPr="006A57AD">
        <w:rPr>
          <w:lang w:val="fr-FR"/>
        </w:rPr>
        <w:t>•</w:t>
      </w:r>
      <w:r w:rsidRPr="006A57AD">
        <w:rPr>
          <w:lang w:val="fr-FR"/>
        </w:rPr>
        <w:tab/>
      </w:r>
      <w:r w:rsidR="009A1BDD" w:rsidRPr="006A57AD">
        <w:rPr>
          <w:lang w:val="fr-FR"/>
        </w:rPr>
        <w:t xml:space="preserve">La </w:t>
      </w:r>
      <w:r w:rsidR="004306F2" w:rsidRPr="006A57AD">
        <w:rPr>
          <w:lang w:val="fr-FR"/>
        </w:rPr>
        <w:t xml:space="preserve">lettre Circulaire </w:t>
      </w:r>
      <w:r w:rsidR="009A1BDD" w:rsidRPr="00284361">
        <w:t>n</w:t>
      </w:r>
      <w:r w:rsidR="009A1BDD" w:rsidRPr="00591E3E">
        <w:rPr>
          <w:vertAlign w:val="superscript"/>
        </w:rPr>
        <w:t>o</w:t>
      </w:r>
      <w:r w:rsidR="009A1BDD">
        <w:t> </w:t>
      </w:r>
      <w:r w:rsidR="004306F2" w:rsidRPr="006A57AD">
        <w:rPr>
          <w:lang w:val="fr-FR"/>
        </w:rPr>
        <w:t>AS/003/LC/MINAS/SG/SLCFS du 23 juillet 2014 portant défense de fumer dans les services centraux et déconcentrés du MINAS</w:t>
      </w:r>
      <w:r w:rsidR="00DA0404">
        <w:rPr>
          <w:lang w:val="fr-FR"/>
        </w:rPr>
        <w:t> ;</w:t>
      </w:r>
      <w:r w:rsidR="004306F2" w:rsidRPr="006A57AD">
        <w:rPr>
          <w:lang w:val="fr-FR"/>
        </w:rPr>
        <w:t xml:space="preserve"> et </w:t>
      </w:r>
    </w:p>
    <w:p w:rsidR="004306F2" w:rsidRPr="002E4295" w:rsidRDefault="00270BF3" w:rsidP="00270BF3">
      <w:pPr>
        <w:pStyle w:val="Bullet1G"/>
        <w:numPr>
          <w:ilvl w:val="0"/>
          <w:numId w:val="0"/>
        </w:numPr>
        <w:tabs>
          <w:tab w:val="left" w:pos="1701"/>
        </w:tabs>
        <w:ind w:left="1701" w:hanging="170"/>
        <w:rPr>
          <w:lang w:val="fr-FR"/>
        </w:rPr>
      </w:pPr>
      <w:r w:rsidRPr="002E4295">
        <w:rPr>
          <w:lang w:val="fr-FR"/>
        </w:rPr>
        <w:t>•</w:t>
      </w:r>
      <w:r w:rsidRPr="002E4295">
        <w:rPr>
          <w:lang w:val="fr-FR"/>
        </w:rPr>
        <w:tab/>
      </w:r>
      <w:r w:rsidR="009A1BDD" w:rsidRPr="006A57AD">
        <w:rPr>
          <w:lang w:val="fr-FR"/>
        </w:rPr>
        <w:t xml:space="preserve">La </w:t>
      </w:r>
      <w:r w:rsidR="004306F2" w:rsidRPr="006A57AD">
        <w:rPr>
          <w:lang w:val="fr-FR"/>
        </w:rPr>
        <w:t xml:space="preserve">Circulaire </w:t>
      </w:r>
      <w:r w:rsidR="009A1BDD" w:rsidRPr="00284361">
        <w:t>n</w:t>
      </w:r>
      <w:r w:rsidR="009A1BDD" w:rsidRPr="00591E3E">
        <w:rPr>
          <w:vertAlign w:val="superscript"/>
        </w:rPr>
        <w:t>o</w:t>
      </w:r>
      <w:r w:rsidR="009A1BDD">
        <w:t> </w:t>
      </w:r>
      <w:r w:rsidR="004306F2" w:rsidRPr="006A57AD">
        <w:rPr>
          <w:lang w:val="fr-FR"/>
        </w:rPr>
        <w:t>3/MINSEP/SG/DDSHN/SDMS du 13 mars 2015 du Ministre des Sports et</w:t>
      </w:r>
      <w:r w:rsidR="004306F2" w:rsidRPr="002E4295">
        <w:rPr>
          <w:lang w:val="fr-FR"/>
        </w:rPr>
        <w:t xml:space="preserve"> de l’Education Physique à l’attention des fédérations sportives et organisateurs d’événements sportifs interdisant le sponsoring des événements socioculturels et sportifs par des entreprises de fabrication et de commercialisation de tabac.</w:t>
      </w:r>
    </w:p>
    <w:p w:rsidR="004306F2" w:rsidRPr="002E4295" w:rsidRDefault="00270BF3" w:rsidP="00270BF3">
      <w:pPr>
        <w:pStyle w:val="SingleTxtG"/>
        <w:rPr>
          <w:lang w:val="fr-FR"/>
        </w:rPr>
      </w:pPr>
      <w:r w:rsidRPr="002E4295">
        <w:rPr>
          <w:lang w:val="fr-FR"/>
        </w:rPr>
        <w:t>204.</w:t>
      </w:r>
      <w:r w:rsidRPr="002E4295">
        <w:rPr>
          <w:lang w:val="fr-FR"/>
        </w:rPr>
        <w:tab/>
      </w:r>
      <w:r w:rsidR="004306F2" w:rsidRPr="002E4295">
        <w:rPr>
          <w:lang w:val="fr-FR"/>
        </w:rPr>
        <w:t xml:space="preserve">La loi des Finances de 2015 a </w:t>
      </w:r>
      <w:r w:rsidR="004306F2" w:rsidRPr="00A65470">
        <w:t>soumis</w:t>
      </w:r>
      <w:r w:rsidR="004306F2" w:rsidRPr="002E4295">
        <w:rPr>
          <w:lang w:val="fr-FR"/>
        </w:rPr>
        <w:t xml:space="preserve"> l’importation du tabac à une taxe particulière dont la base est de 3 500 FCFA pour 1</w:t>
      </w:r>
      <w:r w:rsidR="009A1BDD">
        <w:rPr>
          <w:lang w:val="fr-FR"/>
        </w:rPr>
        <w:t> </w:t>
      </w:r>
      <w:r w:rsidR="004306F2" w:rsidRPr="002E4295">
        <w:rPr>
          <w:lang w:val="fr-FR"/>
        </w:rPr>
        <w:t>000 bâtons de cigarettes. Ces taxes ne représentent que 19</w:t>
      </w:r>
      <w:r w:rsidR="009E4EF6">
        <w:rPr>
          <w:lang w:val="fr-FR"/>
        </w:rPr>
        <w:t> %</w:t>
      </w:r>
      <w:r w:rsidR="004306F2" w:rsidRPr="002E4295">
        <w:rPr>
          <w:lang w:val="fr-FR"/>
        </w:rPr>
        <w:t xml:space="preserve"> du prix unitaire, contre 70</w:t>
      </w:r>
      <w:r w:rsidR="009E4EF6">
        <w:rPr>
          <w:lang w:val="fr-FR"/>
        </w:rPr>
        <w:t> %</w:t>
      </w:r>
      <w:r w:rsidR="004306F2" w:rsidRPr="002E4295">
        <w:rPr>
          <w:lang w:val="fr-FR"/>
        </w:rPr>
        <w:t xml:space="preserve"> recommandés par la CCLAT.</w:t>
      </w:r>
    </w:p>
    <w:p w:rsidR="004306F2" w:rsidRPr="002E4295" w:rsidRDefault="00270BF3" w:rsidP="00270BF3">
      <w:pPr>
        <w:pStyle w:val="SingleTxtG"/>
        <w:rPr>
          <w:lang w:val="fr-FR"/>
        </w:rPr>
      </w:pPr>
      <w:r w:rsidRPr="002E4295">
        <w:rPr>
          <w:lang w:val="fr-FR"/>
        </w:rPr>
        <w:t>205.</w:t>
      </w:r>
      <w:r w:rsidRPr="002E4295">
        <w:rPr>
          <w:lang w:val="fr-FR"/>
        </w:rPr>
        <w:tab/>
      </w:r>
      <w:r w:rsidR="004306F2" w:rsidRPr="002E4295">
        <w:rPr>
          <w:lang w:val="fr-FR"/>
        </w:rPr>
        <w:t xml:space="preserve">En outre, par Décision </w:t>
      </w:r>
      <w:r w:rsidR="009A1BDD" w:rsidRPr="00284361">
        <w:t>n</w:t>
      </w:r>
      <w:r w:rsidR="009A1BDD" w:rsidRPr="00591E3E">
        <w:rPr>
          <w:vertAlign w:val="superscript"/>
        </w:rPr>
        <w:t>o</w:t>
      </w:r>
      <w:r w:rsidR="009A1BDD">
        <w:t> </w:t>
      </w:r>
      <w:r w:rsidR="004306F2" w:rsidRPr="002E4295">
        <w:rPr>
          <w:lang w:val="fr-FR"/>
        </w:rPr>
        <w:t xml:space="preserve">327/MINSANTE du 12 octobre 2015 la Commission Multisectorielle Antitabac a été créée. Cette </w:t>
      </w:r>
      <w:r w:rsidR="004306F2" w:rsidRPr="00A65470">
        <w:t>Commission</w:t>
      </w:r>
      <w:r w:rsidR="004306F2" w:rsidRPr="002E4295">
        <w:rPr>
          <w:lang w:val="fr-FR"/>
        </w:rPr>
        <w:t xml:space="preserve"> est une structure de consultation concernant la mise en œuvre des mesures antitabac en application de la CCLAT de l’OMS et des nouvelles directives internati</w:t>
      </w:r>
      <w:r w:rsidR="00BE18BE">
        <w:rPr>
          <w:lang w:val="fr-FR"/>
        </w:rPr>
        <w:t>onales pour la lutte antitabac.</w:t>
      </w:r>
    </w:p>
    <w:p w:rsidR="004306F2" w:rsidRPr="002E4295" w:rsidRDefault="00270BF3" w:rsidP="00270BF3">
      <w:pPr>
        <w:pStyle w:val="SingleTxtG"/>
        <w:rPr>
          <w:lang w:val="fr-FR"/>
        </w:rPr>
      </w:pPr>
      <w:r w:rsidRPr="002E4295">
        <w:rPr>
          <w:lang w:val="fr-FR"/>
        </w:rPr>
        <w:t>206.</w:t>
      </w:r>
      <w:r w:rsidRPr="002E4295">
        <w:rPr>
          <w:lang w:val="fr-FR"/>
        </w:rPr>
        <w:tab/>
      </w:r>
      <w:r w:rsidR="004306F2" w:rsidRPr="002E4295">
        <w:rPr>
          <w:lang w:val="fr-FR"/>
        </w:rPr>
        <w:t xml:space="preserve">Conformément à l’article 39 de la </w:t>
      </w:r>
      <w:r w:rsidR="00732D2E">
        <w:rPr>
          <w:lang w:val="fr-FR"/>
        </w:rPr>
        <w:t>L</w:t>
      </w:r>
      <w:r w:rsidR="004306F2" w:rsidRPr="002E4295">
        <w:rPr>
          <w:lang w:val="fr-FR"/>
        </w:rPr>
        <w:t xml:space="preserve">oi </w:t>
      </w:r>
      <w:r w:rsidR="009A1BDD" w:rsidRPr="00284361">
        <w:t>n</w:t>
      </w:r>
      <w:r w:rsidR="009A1BDD" w:rsidRPr="00591E3E">
        <w:rPr>
          <w:vertAlign w:val="superscript"/>
        </w:rPr>
        <w:t>o</w:t>
      </w:r>
      <w:r w:rsidR="009A1BDD">
        <w:t> </w:t>
      </w:r>
      <w:r w:rsidR="004306F2" w:rsidRPr="00A65470">
        <w:t>2006</w:t>
      </w:r>
      <w:r w:rsidR="004306F2" w:rsidRPr="002E4295">
        <w:rPr>
          <w:lang w:val="fr-FR"/>
        </w:rPr>
        <w:t>/18 du 29 décembre 2006 régissant la publicité au Cameroun, la publicité autour des cigarettes et des autres produits dérivés du tabac est interdite dans la presse écrite, la radio, la télévision, la publicité en plein air et dans les films et toute autre structure</w:t>
      </w:r>
      <w:r w:rsidR="00BE18BE">
        <w:rPr>
          <w:lang w:val="fr-FR"/>
        </w:rPr>
        <w:t xml:space="preserve"> semblable.</w:t>
      </w:r>
    </w:p>
    <w:p w:rsidR="004306F2" w:rsidRPr="002E4295" w:rsidRDefault="00270BF3" w:rsidP="00270BF3">
      <w:pPr>
        <w:pStyle w:val="SingleTxtG"/>
        <w:rPr>
          <w:lang w:val="fr-FR"/>
        </w:rPr>
      </w:pPr>
      <w:r w:rsidRPr="002E4295">
        <w:rPr>
          <w:lang w:val="fr-FR"/>
        </w:rPr>
        <w:t>207.</w:t>
      </w:r>
      <w:r w:rsidRPr="002E4295">
        <w:rPr>
          <w:lang w:val="fr-FR"/>
        </w:rPr>
        <w:tab/>
      </w:r>
      <w:r w:rsidR="004306F2" w:rsidRPr="002E4295">
        <w:rPr>
          <w:lang w:val="fr-FR"/>
        </w:rPr>
        <w:t xml:space="preserve">Au niveau local, le </w:t>
      </w:r>
      <w:r w:rsidR="004306F2" w:rsidRPr="00A65470">
        <w:t>Sous</w:t>
      </w:r>
      <w:r w:rsidR="004306F2" w:rsidRPr="002E4295">
        <w:rPr>
          <w:lang w:val="fr-FR"/>
        </w:rPr>
        <w:t>-Préfet de Bamenda</w:t>
      </w:r>
      <w:r w:rsidR="009A1BDD">
        <w:rPr>
          <w:lang w:val="fr-FR"/>
        </w:rPr>
        <w:t> </w:t>
      </w:r>
      <w:r w:rsidR="004306F2" w:rsidRPr="002E4295">
        <w:rPr>
          <w:lang w:val="fr-FR"/>
        </w:rPr>
        <w:t xml:space="preserve">I a signé la Décision </w:t>
      </w:r>
      <w:r w:rsidR="009A1BDD" w:rsidRPr="00284361">
        <w:t>n</w:t>
      </w:r>
      <w:r w:rsidR="009A1BDD" w:rsidRPr="00591E3E">
        <w:rPr>
          <w:vertAlign w:val="superscript"/>
        </w:rPr>
        <w:t>o</w:t>
      </w:r>
      <w:r w:rsidR="009A1BDD">
        <w:t> </w:t>
      </w:r>
      <w:r w:rsidR="004306F2" w:rsidRPr="002E4295">
        <w:rPr>
          <w:lang w:val="fr-FR"/>
        </w:rPr>
        <w:t>06/SPD/BLPA/2015 du 26 mars 2015 portant interdiction de fumer dans les lieux publics à Bamenda I.</w:t>
      </w:r>
    </w:p>
    <w:p w:rsidR="004306F2" w:rsidRPr="0017665A" w:rsidRDefault="00962401" w:rsidP="0017665A">
      <w:pPr>
        <w:pStyle w:val="H23G"/>
        <w:rPr>
          <w:rStyle w:val="hps"/>
        </w:rPr>
      </w:pPr>
      <w:bookmarkStart w:id="89" w:name="_Toc466897408"/>
      <w:r>
        <w:rPr>
          <w:lang w:val="fr-FR"/>
        </w:rPr>
        <w:tab/>
      </w:r>
      <w:r>
        <w:rPr>
          <w:lang w:val="fr-FR"/>
        </w:rPr>
        <w:tab/>
      </w:r>
      <w:r w:rsidR="004306F2" w:rsidRPr="002E65D1">
        <w:rPr>
          <w:lang w:val="fr-FR"/>
        </w:rPr>
        <w:t>Campagnes</w:t>
      </w:r>
      <w:r w:rsidR="004306F2" w:rsidRPr="002E4295">
        <w:t xml:space="preserve"> de sensibilisation publiques contre la consommation de tabac</w:t>
      </w:r>
      <w:bookmarkEnd w:id="89"/>
    </w:p>
    <w:p w:rsidR="004306F2" w:rsidRPr="002E4295" w:rsidRDefault="00270BF3" w:rsidP="00270BF3">
      <w:pPr>
        <w:pStyle w:val="SingleTxtG"/>
        <w:rPr>
          <w:lang w:val="fr-FR"/>
        </w:rPr>
      </w:pPr>
      <w:r w:rsidRPr="002E4295">
        <w:rPr>
          <w:lang w:val="fr-FR"/>
        </w:rPr>
        <w:t>208.</w:t>
      </w:r>
      <w:r w:rsidRPr="002E4295">
        <w:rPr>
          <w:lang w:val="fr-FR"/>
        </w:rPr>
        <w:tab/>
      </w:r>
      <w:r w:rsidR="004306F2" w:rsidRPr="002E4295">
        <w:rPr>
          <w:lang w:val="fr-FR"/>
        </w:rPr>
        <w:t xml:space="preserve">Le Gouvernement a entrepris la sensibilisation des acteurs </w:t>
      </w:r>
      <w:r w:rsidR="006D1FAA" w:rsidRPr="002E4295">
        <w:rPr>
          <w:lang w:val="fr-FR"/>
        </w:rPr>
        <w:t>publics contre</w:t>
      </w:r>
      <w:r w:rsidR="004306F2" w:rsidRPr="002E4295">
        <w:rPr>
          <w:lang w:val="fr-FR"/>
        </w:rPr>
        <w:t xml:space="preserve"> la consommation de tabac. Ainsi, le </w:t>
      </w:r>
      <w:r w:rsidR="004306F2" w:rsidRPr="00A65470">
        <w:t>24</w:t>
      </w:r>
      <w:r w:rsidR="004306F2" w:rsidRPr="002E4295">
        <w:rPr>
          <w:lang w:val="fr-FR"/>
        </w:rPr>
        <w:t xml:space="preserve"> février 2015, les maires et les conseillers municipaux de la Région du Centre ont participé à un atelier d’information et d’échanges d’expériences concernant la lutte contre le tabagisme au niveau local. Ils ont été sensibilisés sur les risques de la consommation du tab</w:t>
      </w:r>
      <w:r w:rsidR="002E65D1">
        <w:rPr>
          <w:lang w:val="fr-FR"/>
        </w:rPr>
        <w:t>ac et sur le tabagisme passif.</w:t>
      </w:r>
    </w:p>
    <w:p w:rsidR="004306F2" w:rsidRPr="002E4295" w:rsidRDefault="00270BF3" w:rsidP="00270BF3">
      <w:pPr>
        <w:pStyle w:val="SingleTxtG"/>
        <w:rPr>
          <w:lang w:val="fr-FR"/>
        </w:rPr>
      </w:pPr>
      <w:r w:rsidRPr="002E4295">
        <w:rPr>
          <w:lang w:val="fr-FR"/>
        </w:rPr>
        <w:t>209.</w:t>
      </w:r>
      <w:r w:rsidRPr="002E4295">
        <w:rPr>
          <w:lang w:val="fr-FR"/>
        </w:rPr>
        <w:tab/>
      </w:r>
      <w:r w:rsidR="004306F2" w:rsidRPr="002E4295">
        <w:rPr>
          <w:lang w:val="fr-FR"/>
        </w:rPr>
        <w:t xml:space="preserve">Le 20 août 2015, la Coalition </w:t>
      </w:r>
      <w:r w:rsidR="004306F2" w:rsidRPr="00A65470">
        <w:t>Camerounaise</w:t>
      </w:r>
      <w:r w:rsidR="004306F2" w:rsidRPr="002E4295">
        <w:rPr>
          <w:lang w:val="fr-FR"/>
        </w:rPr>
        <w:t xml:space="preserve"> Contre le Tabac (C3T), en partenariat avec le Ministère de la Santé Publique, a organisé un atelier à Yaoundé pour informer la société civile des résultats de l’Enquête Mondiale sur le Tabagisme chez les Adultes (GATS 2013), la lutte contre le tabagisme au Cameroun, et le contenu de l’avant-projet de loi nationale antitabac. Le GATS mené en 2013 au Cameroun a révélé que 8,9</w:t>
      </w:r>
      <w:r w:rsidR="009E4EF6">
        <w:rPr>
          <w:lang w:val="fr-FR"/>
        </w:rPr>
        <w:t> %</w:t>
      </w:r>
      <w:r w:rsidR="004306F2" w:rsidRPr="002E4295">
        <w:rPr>
          <w:lang w:val="fr-FR"/>
        </w:rPr>
        <w:t xml:space="preserve"> des personnes </w:t>
      </w:r>
      <w:r w:rsidR="004306F2" w:rsidRPr="002E4295">
        <w:rPr>
          <w:lang w:val="fr-FR"/>
        </w:rPr>
        <w:lastRenderedPageBreak/>
        <w:t>âgées de plus de 15 ans (13,9</w:t>
      </w:r>
      <w:r w:rsidR="009E4EF6">
        <w:rPr>
          <w:lang w:val="fr-FR"/>
        </w:rPr>
        <w:t> %</w:t>
      </w:r>
      <w:r w:rsidR="004306F2" w:rsidRPr="002E4295">
        <w:rPr>
          <w:lang w:val="fr-FR"/>
        </w:rPr>
        <w:t xml:space="preserve"> d’hommes et 4,3</w:t>
      </w:r>
      <w:r w:rsidR="009E4EF6">
        <w:rPr>
          <w:lang w:val="fr-FR"/>
        </w:rPr>
        <w:t> %</w:t>
      </w:r>
      <w:r w:rsidR="004306F2" w:rsidRPr="002E4295">
        <w:rPr>
          <w:lang w:val="fr-FR"/>
        </w:rPr>
        <w:t xml:space="preserve"> de femmes) ont consommé du tabac et</w:t>
      </w:r>
      <w:r w:rsidR="002E65D1">
        <w:rPr>
          <w:lang w:val="fr-FR"/>
        </w:rPr>
        <w:t xml:space="preserve"> des produits dérivés du tabac.</w:t>
      </w:r>
    </w:p>
    <w:p w:rsidR="002E65D1" w:rsidRPr="00F025F9" w:rsidRDefault="00962401" w:rsidP="0017665A">
      <w:pPr>
        <w:pStyle w:val="HChG"/>
        <w:rPr>
          <w:lang w:val="fr-FR"/>
        </w:rPr>
      </w:pPr>
      <w:bookmarkStart w:id="90" w:name="_Toc466897409"/>
      <w:r>
        <w:rPr>
          <w:lang w:val="fr-FR"/>
        </w:rPr>
        <w:tab/>
        <w:t>XXVIII.</w:t>
      </w:r>
      <w:r>
        <w:rPr>
          <w:lang w:val="fr-FR"/>
        </w:rPr>
        <w:tab/>
      </w:r>
      <w:r w:rsidR="004306F2" w:rsidRPr="002E4295">
        <w:rPr>
          <w:lang w:val="fr-FR"/>
        </w:rPr>
        <w:t>R</w:t>
      </w:r>
      <w:r w:rsidR="002E65D1">
        <w:rPr>
          <w:lang w:val="fr-FR"/>
        </w:rPr>
        <w:t>ec.</w:t>
      </w:r>
      <w:r>
        <w:rPr>
          <w:lang w:val="fr-FR"/>
        </w:rPr>
        <w:t> </w:t>
      </w:r>
      <w:r w:rsidR="004306F2" w:rsidRPr="002E4295">
        <w:rPr>
          <w:lang w:val="fr-FR"/>
        </w:rPr>
        <w:t>33</w:t>
      </w:r>
      <w:r w:rsidR="002E65D1">
        <w:rPr>
          <w:lang w:val="fr-FR"/>
        </w:rPr>
        <w:t>.</w:t>
      </w:r>
      <w:r>
        <w:rPr>
          <w:lang w:val="fr-FR"/>
        </w:rPr>
        <w:t> </w:t>
      </w:r>
      <w:r w:rsidR="004306F2" w:rsidRPr="002E4295">
        <w:rPr>
          <w:lang w:val="fr-FR"/>
        </w:rPr>
        <w:t xml:space="preserve">La jouissance du droit à l’éducation </w:t>
      </w:r>
      <w:r w:rsidR="006A57AD">
        <w:rPr>
          <w:lang w:val="fr-FR"/>
        </w:rPr>
        <w:br/>
      </w:r>
      <w:r w:rsidR="004306F2" w:rsidRPr="002E4295">
        <w:rPr>
          <w:lang w:val="fr-FR"/>
        </w:rPr>
        <w:t>dans des conditions d’égalité</w:t>
      </w:r>
      <w:bookmarkStart w:id="91" w:name="_Toc466897410"/>
      <w:bookmarkEnd w:id="90"/>
    </w:p>
    <w:p w:rsidR="004306F2" w:rsidRPr="002E4295" w:rsidRDefault="009C12DC" w:rsidP="009C12DC">
      <w:pPr>
        <w:pStyle w:val="H1G"/>
        <w:ind w:left="0" w:firstLine="0"/>
      </w:pPr>
      <w:r>
        <w:rPr>
          <w:lang w:val="fr-FR"/>
        </w:rPr>
        <w:tab/>
        <w:t>A.</w:t>
      </w:r>
      <w:r>
        <w:rPr>
          <w:lang w:val="fr-FR"/>
        </w:rPr>
        <w:tab/>
      </w:r>
      <w:r w:rsidR="004306F2" w:rsidRPr="002E4295">
        <w:t>La gratuité et l’accessibilité à l’éducation dans des conditions d’égalité</w:t>
      </w:r>
      <w:bookmarkEnd w:id="91"/>
    </w:p>
    <w:p w:rsidR="004306F2" w:rsidRPr="002E4295" w:rsidRDefault="00270BF3" w:rsidP="00270BF3">
      <w:pPr>
        <w:pStyle w:val="SingleTxtG"/>
      </w:pPr>
      <w:r w:rsidRPr="002E4295">
        <w:t>210.</w:t>
      </w:r>
      <w:r w:rsidRPr="002E4295">
        <w:tab/>
      </w:r>
      <w:r w:rsidR="004306F2" w:rsidRPr="002E4295">
        <w:t xml:space="preserve">La </w:t>
      </w:r>
      <w:r w:rsidR="004306F2" w:rsidRPr="003B3539">
        <w:rPr>
          <w:lang w:val="fr-FR"/>
        </w:rPr>
        <w:t>gratuité</w:t>
      </w:r>
      <w:r w:rsidR="004306F2" w:rsidRPr="00E153AE">
        <w:rPr>
          <w:rStyle w:val="Appelnotedebasdep"/>
        </w:rPr>
        <w:footnoteReference w:id="101"/>
      </w:r>
      <w:r w:rsidR="004306F2" w:rsidRPr="002E4295">
        <w:t xml:space="preserve"> et l’école obligatoire</w:t>
      </w:r>
      <w:r w:rsidR="004306F2" w:rsidRPr="00E153AE">
        <w:rPr>
          <w:rStyle w:val="Appelnotedebasdep"/>
        </w:rPr>
        <w:footnoteReference w:id="102"/>
      </w:r>
      <w:r w:rsidR="004306F2" w:rsidRPr="002E4295">
        <w:t xml:space="preserve"> sont des principes consacrés par le cadre légal au Cameroun.</w:t>
      </w:r>
    </w:p>
    <w:p w:rsidR="004306F2" w:rsidRPr="002E4295" w:rsidRDefault="00270BF3" w:rsidP="00270BF3">
      <w:pPr>
        <w:pStyle w:val="SingleTxtG"/>
        <w:rPr>
          <w:lang w:val="fr-FR"/>
        </w:rPr>
      </w:pPr>
      <w:r w:rsidRPr="002E4295">
        <w:rPr>
          <w:lang w:val="fr-FR"/>
        </w:rPr>
        <w:t>211.</w:t>
      </w:r>
      <w:r w:rsidRPr="002E4295">
        <w:rPr>
          <w:lang w:val="fr-FR"/>
        </w:rPr>
        <w:tab/>
      </w:r>
      <w:r w:rsidR="004306F2" w:rsidRPr="002E4295">
        <w:rPr>
          <w:lang w:val="fr-FR"/>
        </w:rPr>
        <w:t xml:space="preserve">Dans l’optique de prévenir et de sanctionner d’éventuelles transgressions à ces principes, la Brigade de lutte contre la corruption créée par Décision </w:t>
      </w:r>
      <w:r w:rsidR="009A1BDD" w:rsidRPr="00284361">
        <w:t>n</w:t>
      </w:r>
      <w:r w:rsidR="009A1BDD" w:rsidRPr="00591E3E">
        <w:rPr>
          <w:vertAlign w:val="superscript"/>
        </w:rPr>
        <w:t>o</w:t>
      </w:r>
      <w:r w:rsidR="009A1BDD">
        <w:t> </w:t>
      </w:r>
      <w:r w:rsidR="004306F2" w:rsidRPr="002E4295">
        <w:rPr>
          <w:lang w:val="fr-FR"/>
        </w:rPr>
        <w:t xml:space="preserve">2336/B1/1464/MINEDUB/CAB du 16 </w:t>
      </w:r>
      <w:r w:rsidR="004306F2" w:rsidRPr="00A65470">
        <w:t>août</w:t>
      </w:r>
      <w:r w:rsidR="004306F2" w:rsidRPr="002E4295">
        <w:rPr>
          <w:lang w:val="fr-FR"/>
        </w:rPr>
        <w:t xml:space="preserve"> 2011 a effectué des contrôles</w:t>
      </w:r>
      <w:r w:rsidR="004306F2" w:rsidRPr="00E153AE">
        <w:rPr>
          <w:rStyle w:val="Appelnotedebasdep"/>
        </w:rPr>
        <w:footnoteReference w:id="103"/>
      </w:r>
      <w:r w:rsidR="009A1BDD">
        <w:rPr>
          <w:lang w:val="fr-FR"/>
        </w:rPr>
        <w:t xml:space="preserve"> </w:t>
      </w:r>
      <w:r w:rsidR="004306F2" w:rsidRPr="002E4295">
        <w:rPr>
          <w:lang w:val="fr-FR"/>
        </w:rPr>
        <w:t>à l’effet de</w:t>
      </w:r>
      <w:r w:rsidR="006A57AD">
        <w:rPr>
          <w:lang w:val="fr-FR"/>
        </w:rPr>
        <w:t xml:space="preserve"> </w:t>
      </w:r>
      <w:r w:rsidR="004306F2" w:rsidRPr="002E4295">
        <w:rPr>
          <w:lang w:val="fr-FR"/>
        </w:rPr>
        <w:t xml:space="preserve">lutter contre le paiement des frais illicites dans des écoles primaires publiques. </w:t>
      </w:r>
    </w:p>
    <w:p w:rsidR="004306F2" w:rsidRPr="002E4295" w:rsidRDefault="00270BF3" w:rsidP="00270BF3">
      <w:pPr>
        <w:pStyle w:val="SingleTxtG"/>
        <w:rPr>
          <w:lang w:val="fr-FR"/>
        </w:rPr>
      </w:pPr>
      <w:r w:rsidRPr="002E4295">
        <w:rPr>
          <w:lang w:val="fr-FR"/>
        </w:rPr>
        <w:t>212.</w:t>
      </w:r>
      <w:r w:rsidRPr="002E4295">
        <w:rPr>
          <w:lang w:val="fr-FR"/>
        </w:rPr>
        <w:tab/>
      </w:r>
      <w:r w:rsidR="004306F2" w:rsidRPr="002E4295">
        <w:rPr>
          <w:lang w:val="fr-FR"/>
        </w:rPr>
        <w:t>Au total, de 2011 à 2015, 99,75</w:t>
      </w:r>
      <w:r w:rsidR="009E4EF6">
        <w:rPr>
          <w:lang w:val="fr-FR"/>
        </w:rPr>
        <w:t> %</w:t>
      </w:r>
      <w:r w:rsidR="004306F2" w:rsidRPr="002E4295">
        <w:rPr>
          <w:lang w:val="fr-FR"/>
        </w:rPr>
        <w:t xml:space="preserve"> des écoles primaires publiques ouvertes ont été effectivement contrôlées et 28 cas de </w:t>
      </w:r>
      <w:r w:rsidR="004306F2" w:rsidRPr="00A65470">
        <w:t>corruption</w:t>
      </w:r>
      <w:r w:rsidR="004306F2" w:rsidRPr="002E4295">
        <w:rPr>
          <w:lang w:val="fr-FR"/>
        </w:rPr>
        <w:t xml:space="preserve"> ont été relevées, soit un taux de 0,22</w:t>
      </w:r>
      <w:r w:rsidR="009E4EF6">
        <w:rPr>
          <w:lang w:val="fr-FR"/>
        </w:rPr>
        <w:t> %</w:t>
      </w:r>
      <w:r w:rsidR="004306F2" w:rsidRPr="002E4295">
        <w:rPr>
          <w:lang w:val="fr-FR"/>
        </w:rPr>
        <w:t xml:space="preserve">. Les responsables et agents qui se </w:t>
      </w:r>
      <w:r w:rsidR="004306F2" w:rsidRPr="00A65470">
        <w:t>sont</w:t>
      </w:r>
      <w:r w:rsidR="004306F2" w:rsidRPr="002E4295">
        <w:rPr>
          <w:lang w:val="fr-FR"/>
        </w:rPr>
        <w:t xml:space="preserve"> rendus coupables d’indélicatesse ont été relevés de leurs fonctions, au titre des mesures conservatoires.</w:t>
      </w:r>
    </w:p>
    <w:p w:rsidR="004306F2" w:rsidRPr="002E4295" w:rsidRDefault="00270BF3" w:rsidP="00270BF3">
      <w:pPr>
        <w:pStyle w:val="SingleTxtG"/>
        <w:rPr>
          <w:lang w:val="fr-FR"/>
        </w:rPr>
      </w:pPr>
      <w:r w:rsidRPr="002E4295">
        <w:rPr>
          <w:lang w:val="fr-FR"/>
        </w:rPr>
        <w:t>213.</w:t>
      </w:r>
      <w:r w:rsidRPr="002E4295">
        <w:rPr>
          <w:lang w:val="fr-FR"/>
        </w:rPr>
        <w:tab/>
      </w:r>
      <w:r w:rsidR="004306F2" w:rsidRPr="002E4295">
        <w:rPr>
          <w:lang w:val="fr-FR"/>
        </w:rPr>
        <w:t xml:space="preserve">Pour tenir compte des enfants déplacés dans la Région de l’Extrême-Nord du fait des activités du groupe terroriste </w:t>
      </w:r>
      <w:proofErr w:type="spellStart"/>
      <w:r w:rsidR="004306F2" w:rsidRPr="0017665A">
        <w:rPr>
          <w:lang w:val="fr-FR"/>
        </w:rPr>
        <w:t>BokoHaram</w:t>
      </w:r>
      <w:proofErr w:type="spellEnd"/>
      <w:r w:rsidR="004306F2" w:rsidRPr="002E4295">
        <w:rPr>
          <w:lang w:val="fr-FR"/>
        </w:rPr>
        <w:t>, un Plan d’Urgence triennal scolaire d’un montant de 3 644 257 000 FCFA</w:t>
      </w:r>
      <w:r w:rsidR="004306F2" w:rsidRPr="00E153AE">
        <w:rPr>
          <w:rStyle w:val="Appelnotedebasdep"/>
        </w:rPr>
        <w:footnoteReference w:id="104"/>
      </w:r>
      <w:r w:rsidR="004306F2" w:rsidRPr="002E4295">
        <w:rPr>
          <w:lang w:val="fr-FR"/>
        </w:rPr>
        <w:t xml:space="preserve"> a été adopté et a permis de cons</w:t>
      </w:r>
      <w:r>
        <w:rPr>
          <w:lang w:val="fr-FR"/>
        </w:rPr>
        <w:t>truire 268 salles de classe, 68 </w:t>
      </w:r>
      <w:r w:rsidR="004306F2" w:rsidRPr="002E4295">
        <w:rPr>
          <w:lang w:val="fr-FR"/>
        </w:rPr>
        <w:t>latrines et 56 forages/points d’eau. Des mesures spéciales ont été prises pour redéployer le personnel enseignant.</w:t>
      </w:r>
    </w:p>
    <w:p w:rsidR="004306F2" w:rsidRDefault="00270BF3" w:rsidP="00270BF3">
      <w:pPr>
        <w:pStyle w:val="SingleTxtG"/>
        <w:rPr>
          <w:lang w:val="fr-FR"/>
        </w:rPr>
      </w:pPr>
      <w:r>
        <w:rPr>
          <w:lang w:val="fr-FR"/>
        </w:rPr>
        <w:t>214.</w:t>
      </w:r>
      <w:r>
        <w:rPr>
          <w:lang w:val="fr-FR"/>
        </w:rPr>
        <w:tab/>
      </w:r>
      <w:r w:rsidR="004306F2" w:rsidRPr="002E4295">
        <w:rPr>
          <w:lang w:val="fr-FR"/>
        </w:rPr>
        <w:t xml:space="preserve"> S</w:t>
      </w:r>
      <w:r w:rsidR="006A57AD">
        <w:rPr>
          <w:lang w:val="fr-FR"/>
        </w:rPr>
        <w:t>’</w:t>
      </w:r>
      <w:r w:rsidR="004306F2" w:rsidRPr="002E4295">
        <w:rPr>
          <w:lang w:val="fr-FR"/>
        </w:rPr>
        <w:t xml:space="preserve">agissant de </w:t>
      </w:r>
      <w:r w:rsidR="004306F2" w:rsidRPr="00A65470">
        <w:t>l</w:t>
      </w:r>
      <w:r w:rsidR="006A57AD">
        <w:t>’</w:t>
      </w:r>
      <w:r w:rsidR="004306F2" w:rsidRPr="00A65470">
        <w:t>accessibilité</w:t>
      </w:r>
      <w:r w:rsidR="004306F2" w:rsidRPr="002E4295">
        <w:rPr>
          <w:lang w:val="fr-FR"/>
        </w:rPr>
        <w:t xml:space="preserve"> </w:t>
      </w:r>
      <w:r w:rsidR="00745FA6">
        <w:rPr>
          <w:lang w:val="fr-FR"/>
        </w:rPr>
        <w:t>des personnes handicapées, voir</w:t>
      </w:r>
      <w:r w:rsidR="004306F2" w:rsidRPr="002E4295">
        <w:rPr>
          <w:lang w:val="fr-FR"/>
        </w:rPr>
        <w:t xml:space="preserve"> </w:t>
      </w:r>
      <w:r w:rsidR="004306F2" w:rsidRPr="00745FA6">
        <w:rPr>
          <w:i/>
          <w:lang w:val="fr-FR"/>
        </w:rPr>
        <w:t>supra</w:t>
      </w:r>
      <w:r w:rsidR="004306F2" w:rsidRPr="002E4295">
        <w:rPr>
          <w:lang w:val="fr-FR"/>
        </w:rPr>
        <w:t xml:space="preserve"> les développements sur l</w:t>
      </w:r>
      <w:r w:rsidR="006A57AD">
        <w:rPr>
          <w:lang w:val="fr-FR"/>
        </w:rPr>
        <w:t>’</w:t>
      </w:r>
      <w:r w:rsidR="004306F2" w:rsidRPr="002E4295">
        <w:rPr>
          <w:lang w:val="fr-FR"/>
        </w:rPr>
        <w:t>éducation inclusive</w:t>
      </w:r>
      <w:r w:rsidR="004306F2" w:rsidRPr="00E153AE">
        <w:rPr>
          <w:rStyle w:val="Appelnotedebasdep"/>
        </w:rPr>
        <w:footnoteReference w:id="105"/>
      </w:r>
      <w:r w:rsidR="004306F2" w:rsidRPr="002E4295">
        <w:rPr>
          <w:lang w:val="fr-FR"/>
        </w:rPr>
        <w:t>.</w:t>
      </w:r>
    </w:p>
    <w:p w:rsidR="00746843" w:rsidRPr="002E4295" w:rsidRDefault="009C12DC" w:rsidP="009C12DC">
      <w:pPr>
        <w:pStyle w:val="H1G"/>
        <w:rPr>
          <w:lang w:val="fr-FR"/>
        </w:rPr>
      </w:pPr>
      <w:r>
        <w:tab/>
        <w:t>B.</w:t>
      </w:r>
      <w:r>
        <w:tab/>
      </w:r>
      <w:r w:rsidR="00746843" w:rsidRPr="00746843">
        <w:t>L’aide</w:t>
      </w:r>
      <w:r w:rsidR="00746843" w:rsidRPr="00746843">
        <w:rPr>
          <w:lang w:val="fr-FR"/>
        </w:rPr>
        <w:t xml:space="preserve"> financière aux familles à faibles revenus</w:t>
      </w:r>
    </w:p>
    <w:p w:rsidR="004306F2" w:rsidRPr="002E4295" w:rsidRDefault="00270BF3" w:rsidP="00270BF3">
      <w:pPr>
        <w:pStyle w:val="SingleTxtG"/>
        <w:rPr>
          <w:lang w:val="fr-FR"/>
        </w:rPr>
      </w:pPr>
      <w:r w:rsidRPr="002E4295">
        <w:rPr>
          <w:lang w:val="fr-FR"/>
        </w:rPr>
        <w:t>215.</w:t>
      </w:r>
      <w:r w:rsidRPr="002E4295">
        <w:rPr>
          <w:lang w:val="fr-FR"/>
        </w:rPr>
        <w:tab/>
      </w:r>
      <w:r w:rsidR="004306F2" w:rsidRPr="002E4295">
        <w:rPr>
          <w:lang w:val="fr-FR"/>
        </w:rPr>
        <w:t xml:space="preserve">L’aide octroyée aux </w:t>
      </w:r>
      <w:r w:rsidR="004306F2" w:rsidRPr="00A65470">
        <w:t>familles</w:t>
      </w:r>
      <w:r w:rsidR="004306F2" w:rsidRPr="002E4295">
        <w:rPr>
          <w:lang w:val="fr-FR"/>
        </w:rPr>
        <w:t xml:space="preserve"> à faibles revenus s’est caractérisée par la distribution gratuite des manuels scolaires aux enfants démunis, issus pour la plupart des zones rurales.</w:t>
      </w:r>
    </w:p>
    <w:p w:rsidR="004306F2" w:rsidRPr="002E4295" w:rsidRDefault="00270BF3" w:rsidP="00270BF3">
      <w:pPr>
        <w:pStyle w:val="SingleTxtG"/>
        <w:rPr>
          <w:lang w:val="fr-FR"/>
        </w:rPr>
      </w:pPr>
      <w:r w:rsidRPr="002E4295">
        <w:rPr>
          <w:lang w:val="fr-FR"/>
        </w:rPr>
        <w:t>216.</w:t>
      </w:r>
      <w:r w:rsidRPr="002E4295">
        <w:rPr>
          <w:lang w:val="fr-FR"/>
        </w:rPr>
        <w:tab/>
      </w:r>
      <w:r w:rsidR="004306F2" w:rsidRPr="002E4295">
        <w:rPr>
          <w:lang w:val="fr-FR"/>
        </w:rPr>
        <w:t xml:space="preserve">Commencée en 2015, l’opération de distribution gratuite des manuels scolaires aux écoles primaires publiques dans le </w:t>
      </w:r>
      <w:r w:rsidR="004306F2" w:rsidRPr="00A65470">
        <w:t>cadre</w:t>
      </w:r>
      <w:r w:rsidR="004306F2" w:rsidRPr="002E4295">
        <w:rPr>
          <w:lang w:val="fr-FR"/>
        </w:rPr>
        <w:t xml:space="preserve"> du Partenariat Mondial pour l’Education (PME), </w:t>
      </w:r>
      <w:r w:rsidR="00746843" w:rsidRPr="002E4295">
        <w:rPr>
          <w:lang w:val="fr-FR"/>
        </w:rPr>
        <w:t>financée par</w:t>
      </w:r>
      <w:r w:rsidR="004306F2" w:rsidRPr="002E4295">
        <w:rPr>
          <w:lang w:val="fr-FR"/>
        </w:rPr>
        <w:t xml:space="preserve"> la Banque </w:t>
      </w:r>
      <w:r w:rsidR="00746843" w:rsidRPr="002E4295">
        <w:rPr>
          <w:lang w:val="fr-FR"/>
        </w:rPr>
        <w:t>Mondiale, va</w:t>
      </w:r>
      <w:r w:rsidR="004306F2" w:rsidRPr="002E4295">
        <w:rPr>
          <w:lang w:val="fr-FR"/>
        </w:rPr>
        <w:t xml:space="preserve"> se poursuivre en 2016. Cette deuxième phase de l’opération permettra de mettre à la dis</w:t>
      </w:r>
      <w:r w:rsidR="00746843">
        <w:rPr>
          <w:lang w:val="fr-FR"/>
        </w:rPr>
        <w:t xml:space="preserve">position des apprenants 269 </w:t>
      </w:r>
      <w:r w:rsidR="004306F2" w:rsidRPr="002E4295">
        <w:rPr>
          <w:lang w:val="fr-FR"/>
        </w:rPr>
        <w:t>356 manuels scolaires qui s</w:t>
      </w:r>
      <w:r w:rsidR="006A57AD">
        <w:rPr>
          <w:lang w:val="fr-FR"/>
        </w:rPr>
        <w:t>’</w:t>
      </w:r>
      <w:r w:rsidR="004306F2" w:rsidRPr="002E4295">
        <w:rPr>
          <w:lang w:val="fr-FR"/>
        </w:rPr>
        <w:t>ajouteront</w:t>
      </w:r>
      <w:r w:rsidR="00746843">
        <w:rPr>
          <w:lang w:val="fr-FR"/>
        </w:rPr>
        <w:t xml:space="preserve"> </w:t>
      </w:r>
      <w:r w:rsidR="004306F2" w:rsidRPr="002E4295">
        <w:rPr>
          <w:lang w:val="fr-FR"/>
        </w:rPr>
        <w:t xml:space="preserve">aux 300 000 livres de lecture (français/anglais) et de mathématiques acquis </w:t>
      </w:r>
      <w:r w:rsidR="004306F2" w:rsidRPr="002E4295">
        <w:rPr>
          <w:lang w:val="fr-FR"/>
        </w:rPr>
        <w:lastRenderedPageBreak/>
        <w:t>l’année précédente pour les classes de SIL/</w:t>
      </w:r>
      <w:r w:rsidR="004306F2" w:rsidRPr="0017665A">
        <w:rPr>
          <w:lang w:val="fr-FR"/>
        </w:rPr>
        <w:t>Class One</w:t>
      </w:r>
      <w:r w:rsidR="004306F2" w:rsidRPr="002E4295">
        <w:rPr>
          <w:lang w:val="fr-FR"/>
        </w:rPr>
        <w:t>, 25 632 guides pédagogiques et 795 196 cahiers d’activités au profit des classes citées précédemment.</w:t>
      </w:r>
    </w:p>
    <w:p w:rsidR="004306F2" w:rsidRPr="002E4295" w:rsidRDefault="009C12DC" w:rsidP="009C12DC">
      <w:pPr>
        <w:pStyle w:val="H1G"/>
      </w:pPr>
      <w:bookmarkStart w:id="92" w:name="_Toc466897412"/>
      <w:r>
        <w:tab/>
        <w:t>C.</w:t>
      </w:r>
      <w:r>
        <w:tab/>
      </w:r>
      <w:r w:rsidR="004306F2" w:rsidRPr="002E4295">
        <w:t>Mesures visant à réduire le taux d’abandon scolaire</w:t>
      </w:r>
      <w:bookmarkEnd w:id="92"/>
    </w:p>
    <w:p w:rsidR="004306F2" w:rsidRPr="002E4295" w:rsidRDefault="00270BF3" w:rsidP="00270BF3">
      <w:pPr>
        <w:pStyle w:val="SingleTxtG"/>
        <w:rPr>
          <w:lang w:val="fr-FR"/>
        </w:rPr>
      </w:pPr>
      <w:r w:rsidRPr="002E4295">
        <w:rPr>
          <w:lang w:val="fr-FR"/>
        </w:rPr>
        <w:t>217.</w:t>
      </w:r>
      <w:r w:rsidRPr="002E4295">
        <w:rPr>
          <w:lang w:val="fr-FR"/>
        </w:rPr>
        <w:tab/>
      </w:r>
      <w:r w:rsidR="004306F2" w:rsidRPr="002E4295">
        <w:rPr>
          <w:lang w:val="fr-FR"/>
        </w:rPr>
        <w:t xml:space="preserve">La fourniture des denrées </w:t>
      </w:r>
      <w:r w:rsidR="004306F2" w:rsidRPr="00A65470">
        <w:t>alimentaires</w:t>
      </w:r>
      <w:r w:rsidR="004306F2" w:rsidRPr="002E4295">
        <w:rPr>
          <w:lang w:val="fr-FR"/>
        </w:rPr>
        <w:t xml:space="preserve"> et rations sèches aux enfants des populations vulnérables et des zones d’éducation </w:t>
      </w:r>
      <w:r w:rsidR="002B5B6D" w:rsidRPr="002E4295">
        <w:rPr>
          <w:lang w:val="fr-FR"/>
        </w:rPr>
        <w:t>prioritaires vise</w:t>
      </w:r>
      <w:r w:rsidR="004306F2" w:rsidRPr="002E4295">
        <w:rPr>
          <w:lang w:val="fr-FR"/>
        </w:rPr>
        <w:t xml:space="preserve"> à réduire les taux d’abandon scolaire, améliorer le taux d’alphabétisation, l’état de nutrition et de santé des élèves en âge scolaire, avec une attention spécifique pour la scolarisation de la jeune fille.</w:t>
      </w:r>
    </w:p>
    <w:p w:rsidR="004306F2" w:rsidRPr="002E4295" w:rsidRDefault="00270BF3" w:rsidP="00270BF3">
      <w:pPr>
        <w:pStyle w:val="SingleTxtG"/>
        <w:rPr>
          <w:lang w:val="fr-FR"/>
        </w:rPr>
      </w:pPr>
      <w:r w:rsidRPr="002E4295">
        <w:rPr>
          <w:lang w:val="fr-FR"/>
        </w:rPr>
        <w:t>218.</w:t>
      </w:r>
      <w:r w:rsidRPr="002E4295">
        <w:rPr>
          <w:lang w:val="fr-FR"/>
        </w:rPr>
        <w:tab/>
      </w:r>
      <w:r w:rsidR="004306F2" w:rsidRPr="002E4295">
        <w:rPr>
          <w:lang w:val="fr-FR"/>
        </w:rPr>
        <w:t xml:space="preserve">En 2014, et grâce à l’appui du </w:t>
      </w:r>
      <w:r w:rsidR="004306F2" w:rsidRPr="00A65470">
        <w:t>Programme</w:t>
      </w:r>
      <w:r w:rsidR="004306F2" w:rsidRPr="002E4295">
        <w:rPr>
          <w:lang w:val="fr-FR"/>
        </w:rPr>
        <w:t xml:space="preserve"> Alimentaire Mondial, 84 écoles publiques (35 dans la Région du Nord et 49 dans la Région de l’Extrême-Nord) ont reçu des denrées pour un effectif global de 19 459 élèves pour la ration des cantines, et 1</w:t>
      </w:r>
      <w:r w:rsidR="006A57AD">
        <w:rPr>
          <w:lang w:val="fr-FR"/>
        </w:rPr>
        <w:t> </w:t>
      </w:r>
      <w:r w:rsidR="004306F2" w:rsidRPr="002E4295">
        <w:rPr>
          <w:lang w:val="fr-FR"/>
        </w:rPr>
        <w:t>728 filles pour la ration à emporter.</w:t>
      </w:r>
    </w:p>
    <w:p w:rsidR="004306F2" w:rsidRPr="002E4295" w:rsidRDefault="00270BF3" w:rsidP="00270BF3">
      <w:pPr>
        <w:pStyle w:val="SingleTxtG"/>
        <w:rPr>
          <w:lang w:val="fr-FR"/>
        </w:rPr>
      </w:pPr>
      <w:r w:rsidRPr="002E4295">
        <w:rPr>
          <w:lang w:val="fr-FR"/>
        </w:rPr>
        <w:t>219.</w:t>
      </w:r>
      <w:r w:rsidRPr="002E4295">
        <w:rPr>
          <w:lang w:val="fr-FR"/>
        </w:rPr>
        <w:tab/>
      </w:r>
      <w:r w:rsidR="004306F2" w:rsidRPr="002E4295">
        <w:rPr>
          <w:lang w:val="fr-FR"/>
        </w:rPr>
        <w:t xml:space="preserve">De 2012 à </w:t>
      </w:r>
      <w:proofErr w:type="gramStart"/>
      <w:r w:rsidR="004306F2" w:rsidRPr="002E4295">
        <w:rPr>
          <w:lang w:val="fr-FR"/>
        </w:rPr>
        <w:t>2016,un</w:t>
      </w:r>
      <w:proofErr w:type="gramEnd"/>
      <w:r w:rsidR="004306F2" w:rsidRPr="002E4295">
        <w:rPr>
          <w:lang w:val="fr-FR"/>
        </w:rPr>
        <w:t xml:space="preserve"> total de 501 087 élèves a bénéficié</w:t>
      </w:r>
      <w:r w:rsidR="006A57AD">
        <w:rPr>
          <w:lang w:val="fr-FR"/>
        </w:rPr>
        <w:t xml:space="preserve"> </w:t>
      </w:r>
      <w:r w:rsidR="004306F2" w:rsidRPr="002E4295">
        <w:rPr>
          <w:lang w:val="fr-FR"/>
        </w:rPr>
        <w:t>de ce projet pour un coût total de 4 000 000 000 FCFA</w:t>
      </w:r>
      <w:r w:rsidR="004306F2" w:rsidRPr="00E153AE">
        <w:rPr>
          <w:rStyle w:val="Appelnotedebasdep"/>
        </w:rPr>
        <w:footnoteReference w:id="106"/>
      </w:r>
      <w:r w:rsidR="004306F2" w:rsidRPr="002E4295">
        <w:rPr>
          <w:lang w:val="fr-FR"/>
        </w:rPr>
        <w:t xml:space="preserve">. Comme impact, </w:t>
      </w:r>
      <w:r w:rsidR="004306F2" w:rsidRPr="00A65470">
        <w:t>cette</w:t>
      </w:r>
      <w:r w:rsidR="004306F2" w:rsidRPr="002E4295">
        <w:rPr>
          <w:lang w:val="fr-FR"/>
        </w:rPr>
        <w:t xml:space="preserve"> opération a permis la diminution du taux des mariages précoces de la jeune fille dans les communautés bénéficiaires, l’augmentation des inscriptions et fréquentation dans les écoles, surtout de la jeune fille et l’augmentation du taux de rétention de cette dernière.</w:t>
      </w:r>
    </w:p>
    <w:p w:rsidR="004306F2" w:rsidRPr="002E4295" w:rsidRDefault="00270BF3" w:rsidP="00270BF3">
      <w:pPr>
        <w:pStyle w:val="SingleTxtG"/>
        <w:rPr>
          <w:lang w:val="fr-FR"/>
        </w:rPr>
      </w:pPr>
      <w:r w:rsidRPr="002E4295">
        <w:rPr>
          <w:lang w:val="fr-FR"/>
        </w:rPr>
        <w:t>220.</w:t>
      </w:r>
      <w:r w:rsidRPr="002E4295">
        <w:rPr>
          <w:lang w:val="fr-FR"/>
        </w:rPr>
        <w:tab/>
      </w:r>
      <w:r w:rsidR="004306F2" w:rsidRPr="002E4295">
        <w:rPr>
          <w:lang w:val="fr-FR"/>
        </w:rPr>
        <w:t>Pour garantir l</w:t>
      </w:r>
      <w:r w:rsidR="006A57AD">
        <w:rPr>
          <w:lang w:val="fr-FR"/>
        </w:rPr>
        <w:t>’</w:t>
      </w:r>
      <w:r w:rsidR="004306F2" w:rsidRPr="002E4295">
        <w:rPr>
          <w:lang w:val="fr-FR"/>
        </w:rPr>
        <w:t>accès à l</w:t>
      </w:r>
      <w:r w:rsidR="006A57AD">
        <w:rPr>
          <w:lang w:val="fr-FR"/>
        </w:rPr>
        <w:t>’</w:t>
      </w:r>
      <w:r w:rsidR="004306F2" w:rsidRPr="002E4295">
        <w:rPr>
          <w:lang w:val="fr-FR"/>
        </w:rPr>
        <w:t xml:space="preserve">éducation, en </w:t>
      </w:r>
      <w:r w:rsidR="004306F2" w:rsidRPr="00A65470">
        <w:t>2014</w:t>
      </w:r>
      <w:r w:rsidR="004306F2" w:rsidRPr="002E4295">
        <w:rPr>
          <w:lang w:val="fr-FR"/>
        </w:rPr>
        <w:t xml:space="preserve"> dans le préscolaire, l</w:t>
      </w:r>
      <w:r w:rsidR="006A57AD">
        <w:rPr>
          <w:lang w:val="fr-FR"/>
        </w:rPr>
        <w:t>’</w:t>
      </w:r>
      <w:r w:rsidR="004306F2" w:rsidRPr="002E4295">
        <w:rPr>
          <w:lang w:val="fr-FR"/>
        </w:rPr>
        <w:t>on a dénombré 8</w:t>
      </w:r>
      <w:r w:rsidR="006A57AD">
        <w:rPr>
          <w:lang w:val="fr-FR"/>
        </w:rPr>
        <w:t> </w:t>
      </w:r>
      <w:r w:rsidR="004306F2" w:rsidRPr="002E4295">
        <w:rPr>
          <w:lang w:val="fr-FR"/>
        </w:rPr>
        <w:t>267 écoles au plan national, soit 3</w:t>
      </w:r>
      <w:r w:rsidR="009A1BDD">
        <w:rPr>
          <w:lang w:val="fr-FR"/>
        </w:rPr>
        <w:t> </w:t>
      </w:r>
      <w:r w:rsidR="004306F2" w:rsidRPr="002E4295">
        <w:rPr>
          <w:lang w:val="fr-FR"/>
        </w:rPr>
        <w:t>623 écoles dans le sous-système francophone et 4</w:t>
      </w:r>
      <w:r w:rsidR="009A1BDD">
        <w:rPr>
          <w:lang w:val="fr-FR"/>
        </w:rPr>
        <w:t> </w:t>
      </w:r>
      <w:r w:rsidR="004306F2" w:rsidRPr="002E4295">
        <w:rPr>
          <w:lang w:val="fr-FR"/>
        </w:rPr>
        <w:t>644 écoles dans le sous-système anglophone pour 14</w:t>
      </w:r>
      <w:r w:rsidR="009A1BDD">
        <w:rPr>
          <w:lang w:val="fr-FR"/>
        </w:rPr>
        <w:t> </w:t>
      </w:r>
      <w:r w:rsidR="004306F2" w:rsidRPr="002E4295">
        <w:rPr>
          <w:lang w:val="fr-FR"/>
        </w:rPr>
        <w:t>580 salles de classe dans l</w:t>
      </w:r>
      <w:r w:rsidR="006A57AD">
        <w:rPr>
          <w:lang w:val="fr-FR"/>
        </w:rPr>
        <w:t>’</w:t>
      </w:r>
      <w:r w:rsidR="004306F2" w:rsidRPr="002E4295">
        <w:rPr>
          <w:lang w:val="fr-FR"/>
        </w:rPr>
        <w:t>ensemble avec 8</w:t>
      </w:r>
      <w:r w:rsidR="009A1BDD">
        <w:rPr>
          <w:lang w:val="fr-FR"/>
        </w:rPr>
        <w:t> </w:t>
      </w:r>
      <w:r w:rsidR="004306F2" w:rsidRPr="002E4295">
        <w:rPr>
          <w:lang w:val="fr-FR"/>
        </w:rPr>
        <w:t>753 salles de classe en 2014 dans le sous-système francophone et 5</w:t>
      </w:r>
      <w:r w:rsidR="009A1BDD">
        <w:rPr>
          <w:lang w:val="fr-FR"/>
        </w:rPr>
        <w:t> </w:t>
      </w:r>
      <w:r w:rsidR="004306F2" w:rsidRPr="002E4295">
        <w:rPr>
          <w:lang w:val="fr-FR"/>
        </w:rPr>
        <w:t>827 dans le sous-système anglophone.</w:t>
      </w:r>
    </w:p>
    <w:p w:rsidR="004306F2" w:rsidRPr="002E4295" w:rsidRDefault="00270BF3" w:rsidP="00270BF3">
      <w:pPr>
        <w:pStyle w:val="SingleTxtG"/>
        <w:rPr>
          <w:lang w:val="fr-FR"/>
        </w:rPr>
      </w:pPr>
      <w:r w:rsidRPr="002E4295">
        <w:rPr>
          <w:lang w:val="fr-FR"/>
        </w:rPr>
        <w:t>221.</w:t>
      </w:r>
      <w:r w:rsidRPr="002E4295">
        <w:rPr>
          <w:lang w:val="fr-FR"/>
        </w:rPr>
        <w:tab/>
      </w:r>
      <w:r w:rsidR="004306F2" w:rsidRPr="002E4295">
        <w:rPr>
          <w:lang w:val="fr-FR"/>
        </w:rPr>
        <w:t>Au niveau du cycle de l</w:t>
      </w:r>
      <w:r w:rsidR="006A57AD">
        <w:rPr>
          <w:lang w:val="fr-FR"/>
        </w:rPr>
        <w:t>’</w:t>
      </w:r>
      <w:r w:rsidR="004306F2" w:rsidRPr="002E4295">
        <w:rPr>
          <w:lang w:val="fr-FR"/>
        </w:rPr>
        <w:t>enseignement primaire en 2014, l</w:t>
      </w:r>
      <w:r w:rsidR="006A57AD">
        <w:rPr>
          <w:lang w:val="fr-FR"/>
        </w:rPr>
        <w:t>’</w:t>
      </w:r>
      <w:r w:rsidR="004306F2" w:rsidRPr="002E4295">
        <w:rPr>
          <w:lang w:val="fr-FR"/>
        </w:rPr>
        <w:t xml:space="preserve">on a </w:t>
      </w:r>
      <w:proofErr w:type="spellStart"/>
      <w:r w:rsidR="00284361">
        <w:rPr>
          <w:lang w:val="fr-FR"/>
        </w:rPr>
        <w:t>récencé</w:t>
      </w:r>
      <w:proofErr w:type="spellEnd"/>
      <w:r w:rsidR="004306F2" w:rsidRPr="002E4295">
        <w:rPr>
          <w:lang w:val="fr-FR"/>
        </w:rPr>
        <w:t xml:space="preserve"> 18</w:t>
      </w:r>
      <w:r w:rsidR="009A1BDD">
        <w:rPr>
          <w:lang w:val="fr-FR"/>
        </w:rPr>
        <w:t> </w:t>
      </w:r>
      <w:r w:rsidR="004306F2" w:rsidRPr="002E4295">
        <w:rPr>
          <w:lang w:val="fr-FR"/>
        </w:rPr>
        <w:t>135 écoles soit 10</w:t>
      </w:r>
      <w:r w:rsidR="009A1BDD">
        <w:rPr>
          <w:lang w:val="fr-FR"/>
        </w:rPr>
        <w:t> </w:t>
      </w:r>
      <w:r w:rsidR="004306F2" w:rsidRPr="002E4295">
        <w:rPr>
          <w:lang w:val="fr-FR"/>
        </w:rPr>
        <w:t xml:space="preserve">881 écoles dans le sous-système </w:t>
      </w:r>
      <w:r w:rsidR="004306F2" w:rsidRPr="00A65470">
        <w:t>francophone</w:t>
      </w:r>
      <w:r w:rsidR="004306F2" w:rsidRPr="002E4295">
        <w:rPr>
          <w:lang w:val="fr-FR"/>
        </w:rPr>
        <w:t xml:space="preserve"> et 7</w:t>
      </w:r>
      <w:r w:rsidR="009A1BDD">
        <w:rPr>
          <w:lang w:val="fr-FR"/>
        </w:rPr>
        <w:t> </w:t>
      </w:r>
      <w:r w:rsidR="004306F2" w:rsidRPr="002E4295">
        <w:rPr>
          <w:lang w:val="fr-FR"/>
        </w:rPr>
        <w:t>254 écoles dans le sous-système anglophone pour 82</w:t>
      </w:r>
      <w:r w:rsidR="009A1BDD">
        <w:rPr>
          <w:lang w:val="fr-FR"/>
        </w:rPr>
        <w:t> </w:t>
      </w:r>
      <w:r w:rsidR="004306F2" w:rsidRPr="002E4295">
        <w:rPr>
          <w:lang w:val="fr-FR"/>
        </w:rPr>
        <w:t>013 salles de classe au plan national, soit 58</w:t>
      </w:r>
      <w:r w:rsidR="009A1BDD">
        <w:rPr>
          <w:lang w:val="fr-FR"/>
        </w:rPr>
        <w:t> </w:t>
      </w:r>
      <w:r w:rsidR="004306F2" w:rsidRPr="002E4295">
        <w:rPr>
          <w:lang w:val="fr-FR"/>
        </w:rPr>
        <w:t>097 salles de classe dans le sous-système francophone et 23</w:t>
      </w:r>
      <w:r w:rsidR="009A1BDD">
        <w:rPr>
          <w:lang w:val="fr-FR"/>
        </w:rPr>
        <w:t> </w:t>
      </w:r>
      <w:r w:rsidR="004306F2" w:rsidRPr="002E4295">
        <w:rPr>
          <w:lang w:val="fr-FR"/>
        </w:rPr>
        <w:t>916 salles de classe dans le sous-système anglophone.</w:t>
      </w:r>
    </w:p>
    <w:p w:rsidR="004306F2" w:rsidRPr="002E4295" w:rsidRDefault="009C12DC" w:rsidP="009C12DC">
      <w:pPr>
        <w:pStyle w:val="H1G"/>
      </w:pPr>
      <w:bookmarkStart w:id="93" w:name="_Toc466897413"/>
      <w:r>
        <w:tab/>
        <w:t>D.</w:t>
      </w:r>
      <w:r>
        <w:tab/>
      </w:r>
      <w:r w:rsidR="004306F2" w:rsidRPr="002E4295">
        <w:t>La professionnalisation de l’enseignement supérieur</w:t>
      </w:r>
      <w:bookmarkEnd w:id="93"/>
    </w:p>
    <w:p w:rsidR="004306F2" w:rsidRDefault="00270BF3" w:rsidP="00270BF3">
      <w:pPr>
        <w:pStyle w:val="SingleTxtG"/>
        <w:rPr>
          <w:lang w:val="fr-FR"/>
        </w:rPr>
      </w:pPr>
      <w:r>
        <w:rPr>
          <w:lang w:val="fr-FR"/>
        </w:rPr>
        <w:t>222.</w:t>
      </w:r>
      <w:r>
        <w:rPr>
          <w:lang w:val="fr-FR"/>
        </w:rPr>
        <w:tab/>
      </w:r>
      <w:r w:rsidR="004306F2" w:rsidRPr="002E4295">
        <w:rPr>
          <w:lang w:val="fr-FR"/>
        </w:rPr>
        <w:t xml:space="preserve">La professionnalisation des enseignements est effective. Elle s’est manifestée par la mise en œuvre du système Licence-Master et </w:t>
      </w:r>
      <w:r w:rsidR="004306F2" w:rsidRPr="00A65470">
        <w:t>Doctorat</w:t>
      </w:r>
      <w:r w:rsidR="004306F2" w:rsidRPr="002E4295">
        <w:rPr>
          <w:lang w:val="fr-FR"/>
        </w:rPr>
        <w:t xml:space="preserve"> (LMD) et la création des filières </w:t>
      </w:r>
      <w:proofErr w:type="spellStart"/>
      <w:r w:rsidR="004306F2" w:rsidRPr="002E4295">
        <w:rPr>
          <w:lang w:val="fr-FR"/>
        </w:rPr>
        <w:t>professionalisantes</w:t>
      </w:r>
      <w:proofErr w:type="spellEnd"/>
      <w:r w:rsidR="004306F2" w:rsidRPr="002E4295">
        <w:rPr>
          <w:lang w:val="fr-FR"/>
        </w:rPr>
        <w:t xml:space="preserve"> avec un accent sur la professionnalisation des enseignements dans toutes les universités, notamment par des Centres de recherche.</w:t>
      </w:r>
    </w:p>
    <w:p w:rsidR="003947F9" w:rsidRPr="002E4295" w:rsidRDefault="00270BF3" w:rsidP="00270BF3">
      <w:pPr>
        <w:pStyle w:val="SingleTxtG"/>
        <w:rPr>
          <w:lang w:val="fr-FR"/>
        </w:rPr>
      </w:pPr>
      <w:r w:rsidRPr="002E4295">
        <w:rPr>
          <w:lang w:val="fr-FR"/>
        </w:rPr>
        <w:t>223.</w:t>
      </w:r>
      <w:r w:rsidRPr="002E4295">
        <w:rPr>
          <w:lang w:val="fr-FR"/>
        </w:rPr>
        <w:tab/>
      </w:r>
      <w:r w:rsidR="003947F9" w:rsidRPr="002E4295">
        <w:rPr>
          <w:lang w:val="fr-FR"/>
        </w:rPr>
        <w:t xml:space="preserve">De plus, un observatoire des métiers des diplômés de l’Enseignement Supérieur a été créé le 23 juin 2013, permettant de rendre </w:t>
      </w:r>
      <w:r w:rsidR="003947F9" w:rsidRPr="00A65470">
        <w:t>disponibles</w:t>
      </w:r>
      <w:r w:rsidR="003947F9" w:rsidRPr="002E4295">
        <w:rPr>
          <w:lang w:val="fr-FR"/>
        </w:rPr>
        <w:t xml:space="preserve"> des statistiques fiables pour renseigner sur la gestion de l’employabilité des flux sortants des diplômés de l’Enseignement Supérieur, et le taux d’insertion dans le marché de l’emploi. Il permet également d’obtenir des informations nécessaires pour ajuster et réadapter les curricula de formation, les méthodes pédagogiques d’enseignement et d’évaluation afin de mieux prendre en compte les besoins du marché de l’emploi</w:t>
      </w:r>
      <w:r w:rsidR="003947F9">
        <w:rPr>
          <w:lang w:val="fr-FR"/>
        </w:rPr>
        <w:t>.</w:t>
      </w:r>
    </w:p>
    <w:p w:rsidR="004306F2" w:rsidRPr="002E4295" w:rsidRDefault="00270BF3" w:rsidP="00270BF3">
      <w:pPr>
        <w:pStyle w:val="SingleTxtG"/>
        <w:rPr>
          <w:lang w:val="fr-FR"/>
        </w:rPr>
      </w:pPr>
      <w:r w:rsidRPr="002E4295">
        <w:rPr>
          <w:lang w:val="fr-FR"/>
        </w:rPr>
        <w:t>224.</w:t>
      </w:r>
      <w:r w:rsidRPr="002E4295">
        <w:rPr>
          <w:lang w:val="fr-FR"/>
        </w:rPr>
        <w:tab/>
      </w:r>
      <w:r w:rsidR="004306F2" w:rsidRPr="002E4295">
        <w:rPr>
          <w:lang w:val="fr-FR"/>
        </w:rPr>
        <w:t xml:space="preserve">Dans la même optique, le Gouvernement </w:t>
      </w:r>
      <w:r w:rsidR="004306F2" w:rsidRPr="00A65470">
        <w:t>accompagne</w:t>
      </w:r>
      <w:r w:rsidR="004306F2" w:rsidRPr="002E4295">
        <w:rPr>
          <w:lang w:val="fr-FR"/>
        </w:rPr>
        <w:t xml:space="preserve"> les jeunes </w:t>
      </w:r>
      <w:r w:rsidR="00620B1F" w:rsidRPr="002E4295">
        <w:rPr>
          <w:lang w:val="fr-FR"/>
        </w:rPr>
        <w:t>diplômés, porteurs</w:t>
      </w:r>
      <w:r w:rsidR="004306F2" w:rsidRPr="002E4295">
        <w:rPr>
          <w:lang w:val="fr-FR"/>
        </w:rPr>
        <w:t xml:space="preserve"> de projets innovants ou à fort potentiel de croissance dans la création des entreprises. </w:t>
      </w:r>
      <w:r w:rsidR="00385CA6">
        <w:rPr>
          <w:lang w:val="fr-FR"/>
        </w:rPr>
        <w:t>À</w:t>
      </w:r>
      <w:r w:rsidR="004306F2" w:rsidRPr="002E4295">
        <w:rPr>
          <w:lang w:val="fr-FR"/>
        </w:rPr>
        <w:t xml:space="preserve"> cet effet, des incubateurs d’entreprises ont été créés à l’Ecole Nationale Supérieure Polytechnique de Yaoundé. Les objectifs recherchés à travers ces incubateurs sont de sensibiliser les jeunes à la création d’entreprise, les rapprocher du monde de la recherche scientifique, de la propriété intellectuelle et des affaires.</w:t>
      </w:r>
    </w:p>
    <w:p w:rsidR="004306F2" w:rsidRDefault="001B7FA8" w:rsidP="0017665A">
      <w:pPr>
        <w:pStyle w:val="HChG"/>
        <w:rPr>
          <w:lang w:val="fr-FR"/>
        </w:rPr>
      </w:pPr>
      <w:bookmarkStart w:id="94" w:name="_Toc466897414"/>
      <w:r>
        <w:rPr>
          <w:lang w:val="fr-FR"/>
        </w:rPr>
        <w:lastRenderedPageBreak/>
        <w:tab/>
        <w:t>XXIX.</w:t>
      </w:r>
      <w:r>
        <w:rPr>
          <w:lang w:val="fr-FR"/>
        </w:rPr>
        <w:tab/>
      </w:r>
      <w:r w:rsidR="004306F2" w:rsidRPr="002E4295">
        <w:rPr>
          <w:lang w:val="fr-FR"/>
        </w:rPr>
        <w:t>R</w:t>
      </w:r>
      <w:r w:rsidR="001F4461">
        <w:rPr>
          <w:lang w:val="fr-FR"/>
        </w:rPr>
        <w:t>ec.</w:t>
      </w:r>
      <w:r>
        <w:rPr>
          <w:lang w:val="fr-FR"/>
        </w:rPr>
        <w:t> </w:t>
      </w:r>
      <w:r w:rsidR="004306F2" w:rsidRPr="002E4295">
        <w:rPr>
          <w:lang w:val="fr-FR"/>
        </w:rPr>
        <w:t>34</w:t>
      </w:r>
      <w:r w:rsidR="001F4461">
        <w:rPr>
          <w:lang w:val="fr-FR"/>
        </w:rPr>
        <w:t>.</w:t>
      </w:r>
      <w:r>
        <w:rPr>
          <w:lang w:val="fr-FR"/>
        </w:rPr>
        <w:t> </w:t>
      </w:r>
      <w:r w:rsidR="004306F2" w:rsidRPr="002E4295">
        <w:rPr>
          <w:lang w:val="fr-FR"/>
        </w:rPr>
        <w:t>Droits des populations autochtones</w:t>
      </w:r>
      <w:bookmarkEnd w:id="94"/>
      <w:r w:rsidR="00805D47">
        <w:rPr>
          <w:lang w:val="fr-FR"/>
        </w:rPr>
        <w:t xml:space="preserve"> </w:t>
      </w:r>
    </w:p>
    <w:p w:rsidR="008C04EF" w:rsidRPr="0017665A" w:rsidRDefault="008C04EF" w:rsidP="0017665A">
      <w:pPr>
        <w:pStyle w:val="H1G"/>
        <w:rPr>
          <w:lang w:val="fr-FR"/>
        </w:rPr>
      </w:pPr>
      <w:r>
        <w:tab/>
        <w:t>A.</w:t>
      </w:r>
      <w:r>
        <w:tab/>
        <w:t>S</w:t>
      </w:r>
      <w:r w:rsidRPr="002E4295">
        <w:t xml:space="preserve">ur le droit d’accès aux terres </w:t>
      </w:r>
      <w:r w:rsidRPr="009C12DC">
        <w:t>ancestrales</w:t>
      </w:r>
      <w:r w:rsidRPr="002E4295">
        <w:t xml:space="preserve"> et aux ressources </w:t>
      </w:r>
      <w:r w:rsidR="00554BE1">
        <w:br/>
      </w:r>
      <w:r w:rsidRPr="002E4295">
        <w:t>qui s’y trouvent</w:t>
      </w:r>
      <w:r w:rsidRPr="00591E3E">
        <w:rPr>
          <w:rStyle w:val="Appelnotedebasdep"/>
          <w:b w:val="0"/>
        </w:rPr>
        <w:footnoteReference w:id="107"/>
      </w:r>
    </w:p>
    <w:p w:rsidR="004306F2" w:rsidRDefault="009C12DC">
      <w:pPr>
        <w:pStyle w:val="H1G"/>
      </w:pPr>
      <w:bookmarkStart w:id="95" w:name="_Toc466897416"/>
      <w:r>
        <w:tab/>
      </w:r>
      <w:r w:rsidR="008C04EF">
        <w:t>B.</w:t>
      </w:r>
      <w:r w:rsidR="00805D47">
        <w:tab/>
      </w:r>
      <w:r w:rsidR="004306F2" w:rsidRPr="002E4295">
        <w:t>Le principe de participation et la protection de l’identification distinctive culturelle des peuples autochtones</w:t>
      </w:r>
      <w:bookmarkEnd w:id="95"/>
    </w:p>
    <w:p w:rsidR="003947F9" w:rsidRPr="003947F9" w:rsidRDefault="00270BF3" w:rsidP="00270BF3">
      <w:pPr>
        <w:pStyle w:val="SingleTxtG"/>
      </w:pPr>
      <w:r w:rsidRPr="003947F9">
        <w:t>225.</w:t>
      </w:r>
      <w:r w:rsidRPr="003947F9">
        <w:tab/>
      </w:r>
      <w:r w:rsidR="003947F9" w:rsidRPr="002E4295">
        <w:rPr>
          <w:lang w:val="fr-FR"/>
        </w:rPr>
        <w:t xml:space="preserve">Le gouvernement s’assure que les populations autochtones participent au développement de leurs communautés. Le Programme National de Développement Participatif (PNDP) a élaboré un Plan de </w:t>
      </w:r>
      <w:r w:rsidR="003947F9" w:rsidRPr="00A65470">
        <w:t>Développement</w:t>
      </w:r>
      <w:r w:rsidR="003947F9" w:rsidRPr="002E4295">
        <w:rPr>
          <w:lang w:val="fr-FR"/>
        </w:rPr>
        <w:t xml:space="preserve"> pour les Pygmées (PDP). </w:t>
      </w:r>
      <w:r w:rsidR="00385CA6">
        <w:rPr>
          <w:lang w:val="fr-FR"/>
        </w:rPr>
        <w:t>À</w:t>
      </w:r>
      <w:r w:rsidR="003947F9" w:rsidRPr="002E4295">
        <w:rPr>
          <w:lang w:val="fr-FR"/>
        </w:rPr>
        <w:t xml:space="preserve"> cet effet, le gouvernement, conformément à la Convention socio-environnementale de 2012 signée entre le MINEPAT et le MINAS dans laquelle le MINAS, par Décision </w:t>
      </w:r>
      <w:r w:rsidR="00863650" w:rsidRPr="00284361">
        <w:t>n</w:t>
      </w:r>
      <w:r w:rsidR="00863650" w:rsidRPr="00591E3E">
        <w:rPr>
          <w:vertAlign w:val="superscript"/>
        </w:rPr>
        <w:t>o</w:t>
      </w:r>
      <w:r w:rsidR="00863650">
        <w:t> </w:t>
      </w:r>
      <w:r w:rsidR="003947F9" w:rsidRPr="002E4295">
        <w:rPr>
          <w:lang w:val="fr-FR"/>
        </w:rPr>
        <w:t>2/B du 9</w:t>
      </w:r>
      <w:r w:rsidR="00863650">
        <w:rPr>
          <w:lang w:val="fr-FR"/>
        </w:rPr>
        <w:t> a</w:t>
      </w:r>
      <w:r w:rsidR="003947F9" w:rsidRPr="002E4295">
        <w:rPr>
          <w:lang w:val="fr-FR"/>
        </w:rPr>
        <w:t>vril 2013 a nommé 31 Chefs de Services de la protection sociale pour la mise en œuvre du programme PDP dans 31 communes des Régions de l</w:t>
      </w:r>
      <w:r w:rsidR="006A57AD">
        <w:rPr>
          <w:lang w:val="fr-FR"/>
        </w:rPr>
        <w:t>’</w:t>
      </w:r>
      <w:r w:rsidR="003947F9" w:rsidRPr="002E4295">
        <w:rPr>
          <w:lang w:val="fr-FR"/>
        </w:rPr>
        <w:t>Est, du Centre et du Sud. Les principaux objectifs de ces services étaient d’assurer la prise en compte des besoins spécifiques et l’implication des Pygmées dans le développement local</w:t>
      </w:r>
      <w:r w:rsidR="00100F2B">
        <w:rPr>
          <w:lang w:val="fr-FR"/>
        </w:rPr>
        <w:t>.</w:t>
      </w:r>
    </w:p>
    <w:p w:rsidR="004306F2" w:rsidRPr="002E4295" w:rsidRDefault="00270BF3" w:rsidP="00270BF3">
      <w:pPr>
        <w:pStyle w:val="SingleTxtG"/>
        <w:rPr>
          <w:lang w:val="fr-FR"/>
        </w:rPr>
      </w:pPr>
      <w:r w:rsidRPr="002E4295">
        <w:rPr>
          <w:lang w:val="fr-FR"/>
        </w:rPr>
        <w:t>226.</w:t>
      </w:r>
      <w:r w:rsidRPr="002E4295">
        <w:rPr>
          <w:lang w:val="fr-FR"/>
        </w:rPr>
        <w:tab/>
      </w:r>
      <w:r w:rsidR="004306F2" w:rsidRPr="002E4295">
        <w:rPr>
          <w:lang w:val="fr-FR"/>
        </w:rPr>
        <w:t>En outre, la participation au développement local implique l</w:t>
      </w:r>
      <w:r w:rsidR="006A57AD">
        <w:rPr>
          <w:lang w:val="fr-FR"/>
        </w:rPr>
        <w:t>’</w:t>
      </w:r>
      <w:r w:rsidR="004306F2" w:rsidRPr="002E4295">
        <w:rPr>
          <w:lang w:val="fr-FR"/>
        </w:rPr>
        <w:t>éducation et le maintien de l</w:t>
      </w:r>
      <w:r w:rsidR="006A57AD">
        <w:rPr>
          <w:lang w:val="fr-FR"/>
        </w:rPr>
        <w:t>’</w:t>
      </w:r>
      <w:r w:rsidR="004306F2" w:rsidRPr="002E4295">
        <w:rPr>
          <w:lang w:val="fr-FR"/>
        </w:rPr>
        <w:t>identité culturelle des populations autochtones. Ainsi, en 2014, l</w:t>
      </w:r>
      <w:r w:rsidR="006A57AD">
        <w:rPr>
          <w:lang w:val="fr-FR"/>
        </w:rPr>
        <w:t>’</w:t>
      </w:r>
      <w:r w:rsidR="004306F2" w:rsidRPr="002E4295">
        <w:rPr>
          <w:lang w:val="fr-FR"/>
        </w:rPr>
        <w:t xml:space="preserve">enseignement dans la langue </w:t>
      </w:r>
      <w:proofErr w:type="spellStart"/>
      <w:r w:rsidR="004306F2" w:rsidRPr="002E4295">
        <w:rPr>
          <w:lang w:val="fr-FR"/>
        </w:rPr>
        <w:t>Baka</w:t>
      </w:r>
      <w:proofErr w:type="spellEnd"/>
      <w:r w:rsidR="004306F2" w:rsidRPr="002E4295">
        <w:rPr>
          <w:lang w:val="fr-FR"/>
        </w:rPr>
        <w:t xml:space="preserve"> a été testé dans 8 écoles pilotes dans la Région de l</w:t>
      </w:r>
      <w:r w:rsidR="006A57AD">
        <w:rPr>
          <w:lang w:val="fr-FR"/>
        </w:rPr>
        <w:t>’</w:t>
      </w:r>
      <w:r w:rsidR="004306F2" w:rsidRPr="002E4295">
        <w:rPr>
          <w:lang w:val="fr-FR"/>
        </w:rPr>
        <w:t>Est, avec un effectif de 734 enfants à partir de l</w:t>
      </w:r>
      <w:r w:rsidR="006A57AD">
        <w:rPr>
          <w:lang w:val="fr-FR"/>
        </w:rPr>
        <w:t>’</w:t>
      </w:r>
      <w:r w:rsidR="004306F2" w:rsidRPr="002E4295">
        <w:rPr>
          <w:lang w:val="fr-FR"/>
        </w:rPr>
        <w:t xml:space="preserve">année scolaire 2013-2014 dans le cadre du </w:t>
      </w:r>
      <w:r w:rsidR="00620B1F" w:rsidRPr="002E4295">
        <w:rPr>
          <w:lang w:val="fr-FR"/>
        </w:rPr>
        <w:t>projet « Droits</w:t>
      </w:r>
      <w:r w:rsidR="004306F2" w:rsidRPr="002E4295">
        <w:rPr>
          <w:lang w:val="fr-FR"/>
        </w:rPr>
        <w:t xml:space="preserve"> et dignité des </w:t>
      </w:r>
      <w:proofErr w:type="spellStart"/>
      <w:r w:rsidR="004306F2" w:rsidRPr="002E4295">
        <w:rPr>
          <w:lang w:val="fr-FR"/>
        </w:rPr>
        <w:t>Bakas</w:t>
      </w:r>
      <w:proofErr w:type="spellEnd"/>
      <w:r w:rsidR="00620B1F" w:rsidRPr="002E4295">
        <w:rPr>
          <w:lang w:val="fr-FR"/>
        </w:rPr>
        <w:t> » dont</w:t>
      </w:r>
      <w:r w:rsidR="004306F2" w:rsidRPr="002E4295">
        <w:rPr>
          <w:lang w:val="fr-FR"/>
        </w:rPr>
        <w:t xml:space="preserve"> le but est d</w:t>
      </w:r>
      <w:r w:rsidR="006A57AD">
        <w:rPr>
          <w:lang w:val="fr-FR"/>
        </w:rPr>
        <w:t>’</w:t>
      </w:r>
      <w:r w:rsidR="004306F2" w:rsidRPr="002E4295">
        <w:rPr>
          <w:lang w:val="fr-FR"/>
        </w:rPr>
        <w:t>améliorer l</w:t>
      </w:r>
      <w:r w:rsidR="006A57AD">
        <w:rPr>
          <w:lang w:val="fr-FR"/>
        </w:rPr>
        <w:t>’</w:t>
      </w:r>
      <w:r w:rsidR="004306F2" w:rsidRPr="002E4295">
        <w:rPr>
          <w:lang w:val="fr-FR"/>
        </w:rPr>
        <w:t xml:space="preserve">éducation des enfants </w:t>
      </w:r>
      <w:proofErr w:type="spellStart"/>
      <w:r w:rsidR="004306F2" w:rsidRPr="002E4295">
        <w:rPr>
          <w:lang w:val="fr-FR"/>
        </w:rPr>
        <w:t>Baka</w:t>
      </w:r>
      <w:proofErr w:type="spellEnd"/>
      <w:r w:rsidR="004306F2" w:rsidRPr="002E4295">
        <w:rPr>
          <w:lang w:val="fr-FR"/>
        </w:rPr>
        <w:t xml:space="preserve"> tout en veillant à ce qu’ils restent attachés à leur culture. Pour soutenir ce projet en 2014, 421 manuels composés de tableaux d</w:t>
      </w:r>
      <w:r w:rsidR="006A57AD">
        <w:rPr>
          <w:lang w:val="fr-FR"/>
        </w:rPr>
        <w:t>’</w:t>
      </w:r>
      <w:r w:rsidR="004306F2" w:rsidRPr="002E4295">
        <w:rPr>
          <w:lang w:val="fr-FR"/>
        </w:rPr>
        <w:t xml:space="preserve">orthographe et de livres de mathématiques intégrant les valeurs culturelles </w:t>
      </w:r>
      <w:proofErr w:type="spellStart"/>
      <w:r w:rsidR="004306F2" w:rsidRPr="002E4295">
        <w:rPr>
          <w:lang w:val="fr-FR"/>
        </w:rPr>
        <w:t>Baka</w:t>
      </w:r>
      <w:proofErr w:type="spellEnd"/>
      <w:r w:rsidR="004306F2" w:rsidRPr="002E4295">
        <w:rPr>
          <w:lang w:val="fr-FR"/>
        </w:rPr>
        <w:t xml:space="preserve"> ainsi que 421 ardoises avec l</w:t>
      </w:r>
      <w:r w:rsidR="006A57AD">
        <w:rPr>
          <w:lang w:val="fr-FR"/>
        </w:rPr>
        <w:t>’</w:t>
      </w:r>
      <w:r w:rsidR="004306F2" w:rsidRPr="002E4295">
        <w:rPr>
          <w:lang w:val="fr-FR"/>
        </w:rPr>
        <w:t xml:space="preserve">alphabet </w:t>
      </w:r>
      <w:proofErr w:type="spellStart"/>
      <w:r w:rsidR="004306F2" w:rsidRPr="002E4295">
        <w:rPr>
          <w:lang w:val="fr-FR"/>
        </w:rPr>
        <w:t>Baka</w:t>
      </w:r>
      <w:proofErr w:type="spellEnd"/>
      <w:r w:rsidR="004306F2" w:rsidRPr="002E4295">
        <w:rPr>
          <w:lang w:val="fr-FR"/>
        </w:rPr>
        <w:t xml:space="preserve"> inscrit sur un côté, entre autres. Cet appui a permis d</w:t>
      </w:r>
      <w:r w:rsidR="006A57AD">
        <w:rPr>
          <w:lang w:val="fr-FR"/>
        </w:rPr>
        <w:t>’</w:t>
      </w:r>
      <w:r w:rsidR="004306F2" w:rsidRPr="002E4295">
        <w:rPr>
          <w:lang w:val="fr-FR"/>
        </w:rPr>
        <w:t>enregistrer une augmentation de 5</w:t>
      </w:r>
      <w:r w:rsidR="009E4EF6">
        <w:rPr>
          <w:lang w:val="fr-FR"/>
        </w:rPr>
        <w:t> %</w:t>
      </w:r>
      <w:r w:rsidR="004306F2" w:rsidRPr="002E4295">
        <w:rPr>
          <w:lang w:val="fr-FR"/>
        </w:rPr>
        <w:t xml:space="preserve"> du taux de scolarisation des enfants </w:t>
      </w:r>
      <w:proofErr w:type="spellStart"/>
      <w:r w:rsidR="004306F2" w:rsidRPr="002E4295">
        <w:rPr>
          <w:lang w:val="fr-FR"/>
        </w:rPr>
        <w:t>Baka</w:t>
      </w:r>
      <w:proofErr w:type="spellEnd"/>
      <w:r w:rsidR="004306F2" w:rsidRPr="002E4295">
        <w:rPr>
          <w:lang w:val="fr-FR"/>
        </w:rPr>
        <w:t>.</w:t>
      </w:r>
    </w:p>
    <w:p w:rsidR="004306F2" w:rsidRPr="002E4295" w:rsidRDefault="00270BF3" w:rsidP="00270BF3">
      <w:pPr>
        <w:pStyle w:val="SingleTxtG"/>
        <w:rPr>
          <w:lang w:val="fr-FR" w:eastAsia="fr-FR"/>
        </w:rPr>
      </w:pPr>
      <w:r w:rsidRPr="002E4295">
        <w:rPr>
          <w:lang w:val="fr-FR" w:eastAsia="fr-FR"/>
        </w:rPr>
        <w:t>227.</w:t>
      </w:r>
      <w:r w:rsidRPr="002E4295">
        <w:rPr>
          <w:lang w:val="fr-FR" w:eastAsia="fr-FR"/>
        </w:rPr>
        <w:tab/>
      </w:r>
      <w:r w:rsidR="004306F2" w:rsidRPr="002E4295">
        <w:rPr>
          <w:lang w:val="fr-FR" w:eastAsia="fr-FR"/>
        </w:rPr>
        <w:t xml:space="preserve">De plus en 2015, </w:t>
      </w:r>
      <w:r w:rsidR="004306F2" w:rsidRPr="0017665A">
        <w:rPr>
          <w:lang w:val="fr-FR" w:eastAsia="fr-FR"/>
        </w:rPr>
        <w:t>Plan Cameroun</w:t>
      </w:r>
      <w:r w:rsidR="004306F2" w:rsidRPr="002E4295">
        <w:rPr>
          <w:lang w:val="fr-FR" w:eastAsia="fr-FR"/>
        </w:rPr>
        <w:t xml:space="preserve"> a développé une nouvelle stratégie pour la sc</w:t>
      </w:r>
      <w:r w:rsidR="001F4461">
        <w:rPr>
          <w:lang w:val="fr-FR" w:eastAsia="fr-FR"/>
        </w:rPr>
        <w:t xml:space="preserve">olarisation des </w:t>
      </w:r>
      <w:proofErr w:type="spellStart"/>
      <w:r w:rsidR="001F4461">
        <w:rPr>
          <w:lang w:val="fr-FR" w:eastAsia="fr-FR"/>
        </w:rPr>
        <w:t>Bakas</w:t>
      </w:r>
      <w:proofErr w:type="spellEnd"/>
      <w:r w:rsidR="001F4461">
        <w:rPr>
          <w:lang w:val="fr-FR" w:eastAsia="fr-FR"/>
        </w:rPr>
        <w:t xml:space="preserve"> appelée</w:t>
      </w:r>
      <w:r w:rsidR="00284361">
        <w:rPr>
          <w:lang w:val="fr-FR" w:eastAsia="fr-FR"/>
        </w:rPr>
        <w:t xml:space="preserve"> </w:t>
      </w:r>
      <w:r w:rsidR="00284361" w:rsidRPr="00863650">
        <w:rPr>
          <w:lang w:val="fr-FR" w:eastAsia="fr-FR"/>
        </w:rPr>
        <w:t>«</w:t>
      </w:r>
      <w:r w:rsidR="00863650">
        <w:rPr>
          <w:lang w:val="fr-FR" w:eastAsia="fr-FR"/>
        </w:rPr>
        <w:t> </w:t>
      </w:r>
      <w:r w:rsidR="00284361" w:rsidRPr="0017665A">
        <w:rPr>
          <w:lang w:val="fr-FR" w:eastAsia="fr-FR"/>
        </w:rPr>
        <w:t>l’éducation</w:t>
      </w:r>
      <w:r w:rsidR="004306F2" w:rsidRPr="0017665A">
        <w:rPr>
          <w:lang w:val="fr-FR" w:eastAsia="fr-FR"/>
        </w:rPr>
        <w:t xml:space="preserve"> </w:t>
      </w:r>
      <w:r w:rsidR="004306F2" w:rsidRPr="00863650">
        <w:t>interculturelle</w:t>
      </w:r>
      <w:r w:rsidR="004306F2" w:rsidRPr="0017665A">
        <w:rPr>
          <w:lang w:val="fr-FR" w:eastAsia="fr-FR"/>
        </w:rPr>
        <w:t xml:space="preserve"> et </w:t>
      </w:r>
      <w:r w:rsidR="00284361" w:rsidRPr="0017665A">
        <w:rPr>
          <w:lang w:val="fr-FR" w:eastAsia="fr-FR"/>
        </w:rPr>
        <w:t>multilingue</w:t>
      </w:r>
      <w:r w:rsidR="00863650">
        <w:rPr>
          <w:lang w:val="fr-FR" w:eastAsia="fr-FR"/>
        </w:rPr>
        <w:t> </w:t>
      </w:r>
      <w:r w:rsidR="00284361" w:rsidRPr="002E4295">
        <w:rPr>
          <w:lang w:val="fr-FR" w:eastAsia="fr-FR"/>
        </w:rPr>
        <w:t>»</w:t>
      </w:r>
      <w:r w:rsidR="004306F2" w:rsidRPr="002E4295">
        <w:rPr>
          <w:lang w:val="fr-FR" w:eastAsia="fr-FR"/>
        </w:rPr>
        <w:t xml:space="preserve">. Cette stratégie consiste à apprendre aux enfants </w:t>
      </w:r>
      <w:proofErr w:type="spellStart"/>
      <w:r w:rsidR="004306F2" w:rsidRPr="002E4295">
        <w:rPr>
          <w:lang w:val="fr-FR" w:eastAsia="fr-FR"/>
        </w:rPr>
        <w:t>Baka</w:t>
      </w:r>
      <w:proofErr w:type="spellEnd"/>
      <w:r w:rsidR="004306F2" w:rsidRPr="002E4295">
        <w:rPr>
          <w:lang w:val="fr-FR" w:eastAsia="fr-FR"/>
        </w:rPr>
        <w:t xml:space="preserve"> à lire et à écrire dans leur langue maternelle d</w:t>
      </w:r>
      <w:r w:rsidR="006A57AD">
        <w:rPr>
          <w:lang w:val="fr-FR" w:eastAsia="fr-FR"/>
        </w:rPr>
        <w:t>’</w:t>
      </w:r>
      <w:r w:rsidR="004306F2" w:rsidRPr="002E4295">
        <w:rPr>
          <w:lang w:val="fr-FR" w:eastAsia="fr-FR"/>
        </w:rPr>
        <w:t>abord, avant de commencer l’apprentissage des 2 langues officielles du Cameroun. Ce projet a officiellement été lancé le 31 mars 2015 et concerne 54 écoles primaires de 8 Commune</w:t>
      </w:r>
      <w:r w:rsidR="001F4461">
        <w:rPr>
          <w:lang w:val="fr-FR" w:eastAsia="fr-FR"/>
        </w:rPr>
        <w:t>s du Département du Haut-Nyong.</w:t>
      </w:r>
    </w:p>
    <w:p w:rsidR="004306F2" w:rsidRPr="0017665A" w:rsidRDefault="00925847" w:rsidP="0017665A">
      <w:pPr>
        <w:pStyle w:val="HChG"/>
      </w:pPr>
      <w:bookmarkStart w:id="96" w:name="_Toc466897417"/>
      <w:r>
        <w:rPr>
          <w:lang w:val="fr-FR"/>
        </w:rPr>
        <w:tab/>
        <w:t>XXX.</w:t>
      </w:r>
      <w:r>
        <w:rPr>
          <w:lang w:val="fr-FR"/>
        </w:rPr>
        <w:tab/>
      </w:r>
      <w:r w:rsidR="004306F2" w:rsidRPr="002E4295">
        <w:rPr>
          <w:lang w:val="fr-FR"/>
        </w:rPr>
        <w:t>R</w:t>
      </w:r>
      <w:r w:rsidR="009D27A9">
        <w:rPr>
          <w:lang w:val="fr-FR"/>
        </w:rPr>
        <w:t>ec.</w:t>
      </w:r>
      <w:r>
        <w:rPr>
          <w:lang w:val="fr-FR"/>
        </w:rPr>
        <w:t> </w:t>
      </w:r>
      <w:r w:rsidR="00782930" w:rsidRPr="002E4295">
        <w:rPr>
          <w:lang w:val="fr-FR"/>
        </w:rPr>
        <w:t>35 et</w:t>
      </w:r>
      <w:r w:rsidR="009D27A9">
        <w:rPr>
          <w:lang w:val="fr-FR"/>
        </w:rPr>
        <w:t xml:space="preserve"> 36.</w:t>
      </w:r>
      <w:r>
        <w:rPr>
          <w:lang w:val="fr-FR"/>
        </w:rPr>
        <w:t> </w:t>
      </w:r>
      <w:r w:rsidR="004306F2" w:rsidRPr="002E4295">
        <w:rPr>
          <w:lang w:val="fr-FR"/>
        </w:rPr>
        <w:t>Ratification de certains textes internationaux</w:t>
      </w:r>
      <w:bookmarkEnd w:id="96"/>
    </w:p>
    <w:p w:rsidR="004306F2" w:rsidRPr="0017665A" w:rsidRDefault="00270BF3" w:rsidP="00270BF3">
      <w:pPr>
        <w:pStyle w:val="SingleTxtG"/>
      </w:pPr>
      <w:r w:rsidRPr="0017665A">
        <w:t>228.</w:t>
      </w:r>
      <w:r w:rsidRPr="0017665A">
        <w:tab/>
      </w:r>
      <w:r w:rsidR="004306F2" w:rsidRPr="002E4295">
        <w:rPr>
          <w:lang w:val="fr-FR"/>
        </w:rPr>
        <w:t xml:space="preserve">Le </w:t>
      </w:r>
      <w:r w:rsidR="004306F2" w:rsidRPr="002E4295">
        <w:rPr>
          <w:lang w:val="fr-FR" w:eastAsia="fr-FR"/>
        </w:rPr>
        <w:t>Cameroun</w:t>
      </w:r>
      <w:r w:rsidR="004306F2" w:rsidRPr="002E4295">
        <w:rPr>
          <w:lang w:val="fr-FR"/>
        </w:rPr>
        <w:t xml:space="preserve"> a ratifié le Protocole facultatif à la Convention relative aux Droits de l’enfant concernant l’implication d’enfants </w:t>
      </w:r>
      <w:r w:rsidR="004306F2" w:rsidRPr="00A65470">
        <w:t>dans</w:t>
      </w:r>
      <w:r w:rsidR="004306F2" w:rsidRPr="002E4295">
        <w:rPr>
          <w:lang w:val="fr-FR"/>
        </w:rPr>
        <w:t xml:space="preserve"> les conflits armés par Décret n</w:t>
      </w:r>
      <w:r w:rsidR="007778C3" w:rsidRPr="0017665A">
        <w:rPr>
          <w:vertAlign w:val="superscript"/>
          <w:lang w:val="fr-FR"/>
        </w:rPr>
        <w:t>o</w:t>
      </w:r>
      <w:r w:rsidR="007778C3">
        <w:rPr>
          <w:lang w:val="fr-FR"/>
        </w:rPr>
        <w:t> </w:t>
      </w:r>
      <w:r w:rsidR="004306F2" w:rsidRPr="002E4295">
        <w:rPr>
          <w:lang w:val="fr-FR"/>
        </w:rPr>
        <w:t xml:space="preserve">2012/243 du 30 mai 2012. </w:t>
      </w:r>
    </w:p>
    <w:p w:rsidR="004306F2" w:rsidRPr="002E4295" w:rsidRDefault="00270BF3" w:rsidP="00270BF3">
      <w:pPr>
        <w:pStyle w:val="SingleTxtG"/>
        <w:rPr>
          <w:lang w:val="fr-FR"/>
        </w:rPr>
      </w:pPr>
      <w:r w:rsidRPr="002E4295">
        <w:rPr>
          <w:lang w:val="fr-FR"/>
        </w:rPr>
        <w:t>229.</w:t>
      </w:r>
      <w:r w:rsidRPr="002E4295">
        <w:rPr>
          <w:lang w:val="fr-FR"/>
        </w:rPr>
        <w:tab/>
      </w:r>
      <w:r w:rsidR="004306F2" w:rsidRPr="002E4295">
        <w:rPr>
          <w:lang w:val="fr-FR" w:eastAsia="fr-FR"/>
        </w:rPr>
        <w:t>S’agissant</w:t>
      </w:r>
      <w:r w:rsidR="004306F2" w:rsidRPr="002E4295">
        <w:rPr>
          <w:lang w:val="fr-FR"/>
        </w:rPr>
        <w:t xml:space="preserve"> du Protocole facultatif à la Convention contre la torture et autres peines ou traitements cruels, inhumains ou dégradants, le </w:t>
      </w:r>
      <w:r w:rsidR="004306F2" w:rsidRPr="00A65470">
        <w:t>processus</w:t>
      </w:r>
      <w:r w:rsidR="004306F2" w:rsidRPr="002E4295">
        <w:rPr>
          <w:lang w:val="fr-FR"/>
        </w:rPr>
        <w:t xml:space="preserve"> de ratification, entamé par </w:t>
      </w:r>
      <w:r w:rsidR="004306F2" w:rsidRPr="002E4295">
        <w:rPr>
          <w:iCs/>
          <w:lang w:val="fr-FR"/>
        </w:rPr>
        <w:t xml:space="preserve">le Décret </w:t>
      </w:r>
      <w:r w:rsidR="007778C3" w:rsidRPr="002E4295">
        <w:rPr>
          <w:lang w:val="fr-FR"/>
        </w:rPr>
        <w:t>n</w:t>
      </w:r>
      <w:r w:rsidR="007778C3" w:rsidRPr="00591E3E">
        <w:rPr>
          <w:vertAlign w:val="superscript"/>
          <w:lang w:val="fr-FR"/>
        </w:rPr>
        <w:t>o</w:t>
      </w:r>
      <w:r w:rsidR="007778C3">
        <w:rPr>
          <w:lang w:val="fr-FR"/>
        </w:rPr>
        <w:t> </w:t>
      </w:r>
      <w:r w:rsidR="004306F2" w:rsidRPr="002E4295">
        <w:rPr>
          <w:lang w:val="fr-FR"/>
        </w:rPr>
        <w:t>2010/347 du 19 novembre 2010, sera parachevé par le dépôt des instruments auprès de l’Instance dépositaire.</w:t>
      </w:r>
    </w:p>
    <w:p w:rsidR="004306F2" w:rsidRPr="0017665A" w:rsidRDefault="00A331B7" w:rsidP="0017665A">
      <w:pPr>
        <w:pStyle w:val="HChG"/>
      </w:pPr>
      <w:bookmarkStart w:id="97" w:name="_Toc466897418"/>
      <w:r>
        <w:rPr>
          <w:lang w:val="fr-FR"/>
        </w:rPr>
        <w:tab/>
        <w:t>XXXI.</w:t>
      </w:r>
      <w:r>
        <w:rPr>
          <w:lang w:val="fr-FR"/>
        </w:rPr>
        <w:tab/>
      </w:r>
      <w:r w:rsidR="004306F2" w:rsidRPr="002E4295">
        <w:rPr>
          <w:lang w:val="fr-FR"/>
        </w:rPr>
        <w:t>R</w:t>
      </w:r>
      <w:r w:rsidR="009D27A9">
        <w:rPr>
          <w:lang w:val="fr-FR"/>
        </w:rPr>
        <w:t>ec.</w:t>
      </w:r>
      <w:r>
        <w:rPr>
          <w:lang w:val="fr-FR"/>
        </w:rPr>
        <w:t> </w:t>
      </w:r>
      <w:r w:rsidR="004306F2" w:rsidRPr="002E4295">
        <w:rPr>
          <w:lang w:val="fr-FR"/>
        </w:rPr>
        <w:t>37</w:t>
      </w:r>
      <w:r w:rsidR="009D27A9">
        <w:rPr>
          <w:lang w:val="fr-FR"/>
        </w:rPr>
        <w:t>.</w:t>
      </w:r>
      <w:r>
        <w:rPr>
          <w:lang w:val="fr-FR"/>
        </w:rPr>
        <w:t> </w:t>
      </w:r>
      <w:r w:rsidR="004306F2" w:rsidRPr="002E4295">
        <w:rPr>
          <w:lang w:val="fr-FR"/>
        </w:rPr>
        <w:t>Collaboration avec certaines Procédures Spéciales des Nations Unies</w:t>
      </w:r>
      <w:bookmarkEnd w:id="97"/>
    </w:p>
    <w:p w:rsidR="004306F2" w:rsidRPr="002E4295" w:rsidRDefault="00270BF3" w:rsidP="00270BF3">
      <w:pPr>
        <w:pStyle w:val="SingleTxtG"/>
        <w:rPr>
          <w:lang w:val="fr-FR"/>
        </w:rPr>
      </w:pPr>
      <w:r w:rsidRPr="002E4295">
        <w:rPr>
          <w:lang w:val="fr-FR"/>
        </w:rPr>
        <w:t>230.</w:t>
      </w:r>
      <w:r w:rsidRPr="002E4295">
        <w:rPr>
          <w:lang w:val="fr-FR"/>
        </w:rPr>
        <w:tab/>
      </w:r>
      <w:r w:rsidR="004306F2" w:rsidRPr="002E4295">
        <w:rPr>
          <w:lang w:val="fr-FR"/>
        </w:rPr>
        <w:t xml:space="preserve">Le Cameroun coopère avec les Procédures </w:t>
      </w:r>
      <w:r w:rsidR="004306F2" w:rsidRPr="00A65470">
        <w:t>Spéciales</w:t>
      </w:r>
      <w:r w:rsidR="004306F2" w:rsidRPr="002E4295">
        <w:rPr>
          <w:lang w:val="fr-FR"/>
        </w:rPr>
        <w:t xml:space="preserve"> du Conseil des Droits de l’Homme.</w:t>
      </w:r>
      <w:r w:rsidR="009D27A9">
        <w:rPr>
          <w:lang w:val="fr-FR"/>
        </w:rPr>
        <w:t xml:space="preserve"> </w:t>
      </w:r>
      <w:r w:rsidR="004306F2" w:rsidRPr="002E4295">
        <w:rPr>
          <w:lang w:val="fr-FR"/>
        </w:rPr>
        <w:t>Ainsi, le Rapporteur spécial des Nations Unies sur le Droit à l</w:t>
      </w:r>
      <w:r w:rsidR="006A57AD">
        <w:rPr>
          <w:lang w:val="fr-FR"/>
        </w:rPr>
        <w:t>’</w:t>
      </w:r>
      <w:r w:rsidR="00620B1F" w:rsidRPr="002E4295">
        <w:rPr>
          <w:lang w:val="fr-FR"/>
        </w:rPr>
        <w:t>alimentation</w:t>
      </w:r>
      <w:r w:rsidR="004306F2" w:rsidRPr="002E4295">
        <w:rPr>
          <w:lang w:val="fr-FR"/>
        </w:rPr>
        <w:t xml:space="preserve">. </w:t>
      </w:r>
      <w:r w:rsidR="004306F2" w:rsidRPr="0017665A">
        <w:rPr>
          <w:lang w:val="fr-FR"/>
        </w:rPr>
        <w:t>Olivier DE SCHUTTER</w:t>
      </w:r>
      <w:r w:rsidR="004306F2" w:rsidRPr="002E4295">
        <w:rPr>
          <w:lang w:val="fr-FR"/>
        </w:rPr>
        <w:t xml:space="preserve">, invité par le Gouvernement camerounais, a effectué une visite du 16 au 23 juillet 2012. Parmi les recommandations qu’il a formulées, certaines d’entre elles </w:t>
      </w:r>
      <w:r w:rsidR="004306F2" w:rsidRPr="002E4295">
        <w:rPr>
          <w:lang w:val="fr-FR"/>
        </w:rPr>
        <w:lastRenderedPageBreak/>
        <w:t xml:space="preserve">connaissent déjà un début de mise en œuvre à l’instar de celles relatives à la loi </w:t>
      </w:r>
      <w:r w:rsidR="00F20783" w:rsidRPr="002E4295">
        <w:rPr>
          <w:lang w:val="fr-FR"/>
        </w:rPr>
        <w:t>forestière et</w:t>
      </w:r>
      <w:r w:rsidR="004306F2" w:rsidRPr="002E4295">
        <w:rPr>
          <w:lang w:val="fr-FR"/>
        </w:rPr>
        <w:t xml:space="preserve"> à la sécurité sociale.</w:t>
      </w:r>
    </w:p>
    <w:p w:rsidR="004306F2" w:rsidRPr="007778C3" w:rsidRDefault="00270BF3" w:rsidP="00270BF3">
      <w:pPr>
        <w:pStyle w:val="SingleTxtG"/>
        <w:rPr>
          <w:lang w:val="fr-FR"/>
        </w:rPr>
      </w:pPr>
      <w:r w:rsidRPr="007778C3">
        <w:rPr>
          <w:lang w:val="fr-FR"/>
        </w:rPr>
        <w:t>231.</w:t>
      </w:r>
      <w:r w:rsidRPr="007778C3">
        <w:rPr>
          <w:lang w:val="fr-FR"/>
        </w:rPr>
        <w:tab/>
      </w:r>
      <w:r w:rsidR="004306F2" w:rsidRPr="002E4295">
        <w:rPr>
          <w:lang w:val="fr-FR"/>
        </w:rPr>
        <w:t xml:space="preserve">Concernant </w:t>
      </w:r>
      <w:r w:rsidR="004306F2" w:rsidRPr="002E4295">
        <w:rPr>
          <w:lang w:val="fr-FR" w:eastAsia="fr-FR"/>
        </w:rPr>
        <w:t>l’Experte</w:t>
      </w:r>
      <w:r w:rsidR="004306F2" w:rsidRPr="002E4295">
        <w:rPr>
          <w:lang w:val="fr-FR"/>
        </w:rPr>
        <w:t xml:space="preserve"> indépendante sur le Droit à l</w:t>
      </w:r>
      <w:r w:rsidR="006A57AD">
        <w:rPr>
          <w:lang w:val="fr-FR"/>
        </w:rPr>
        <w:t>’</w:t>
      </w:r>
      <w:r w:rsidR="004306F2" w:rsidRPr="002E4295">
        <w:rPr>
          <w:lang w:val="fr-FR"/>
        </w:rPr>
        <w:t>eau et à l</w:t>
      </w:r>
      <w:r w:rsidR="006A57AD">
        <w:rPr>
          <w:lang w:val="fr-FR"/>
        </w:rPr>
        <w:t>’</w:t>
      </w:r>
      <w:r w:rsidR="004306F2" w:rsidRPr="002E4295">
        <w:rPr>
          <w:lang w:val="fr-FR"/>
        </w:rPr>
        <w:t>assainissement, M</w:t>
      </w:r>
      <w:r w:rsidR="004306F2" w:rsidRPr="0017665A">
        <w:rPr>
          <w:vertAlign w:val="superscript"/>
          <w:lang w:val="fr-FR"/>
        </w:rPr>
        <w:t>me</w:t>
      </w:r>
      <w:r w:rsidR="007778C3">
        <w:rPr>
          <w:lang w:val="fr-FR"/>
        </w:rPr>
        <w:t> </w:t>
      </w:r>
      <w:r w:rsidR="004306F2" w:rsidRPr="0017665A">
        <w:rPr>
          <w:lang w:val="fr-FR"/>
        </w:rPr>
        <w:t>Catarina De ALBUQUERQUE</w:t>
      </w:r>
      <w:r w:rsidR="004306F2" w:rsidRPr="007778C3">
        <w:rPr>
          <w:lang w:val="fr-FR"/>
        </w:rPr>
        <w:t>, sa demande de visite avait été acceptée pour le mois d</w:t>
      </w:r>
      <w:r w:rsidR="006A57AD" w:rsidRPr="007778C3">
        <w:rPr>
          <w:lang w:val="fr-FR"/>
        </w:rPr>
        <w:t>’</w:t>
      </w:r>
      <w:r w:rsidR="004306F2" w:rsidRPr="007778C3">
        <w:rPr>
          <w:lang w:val="fr-FR"/>
        </w:rPr>
        <w:t>août 2013.</w:t>
      </w:r>
    </w:p>
    <w:p w:rsidR="004306F2" w:rsidRPr="002E4295" w:rsidRDefault="00270BF3" w:rsidP="00270BF3">
      <w:pPr>
        <w:pStyle w:val="SingleTxtG"/>
        <w:rPr>
          <w:lang w:val="fr-FR"/>
        </w:rPr>
      </w:pPr>
      <w:r w:rsidRPr="002E4295">
        <w:rPr>
          <w:lang w:val="fr-FR"/>
        </w:rPr>
        <w:t>232.</w:t>
      </w:r>
      <w:r w:rsidRPr="002E4295">
        <w:rPr>
          <w:lang w:val="fr-FR"/>
        </w:rPr>
        <w:tab/>
      </w:r>
      <w:r w:rsidR="00D31C3D" w:rsidRPr="007778C3">
        <w:rPr>
          <w:lang w:val="fr-FR"/>
        </w:rPr>
        <w:t xml:space="preserve">Du </w:t>
      </w:r>
      <w:r w:rsidR="004306F2" w:rsidRPr="007778C3">
        <w:rPr>
          <w:lang w:val="fr-FR"/>
        </w:rPr>
        <w:t xml:space="preserve">2 au 11 septembre 2013, </w:t>
      </w:r>
      <w:r w:rsidR="004306F2" w:rsidRPr="007778C3">
        <w:t>M</w:t>
      </w:r>
      <w:r w:rsidR="007778C3" w:rsidRPr="0017665A">
        <w:rPr>
          <w:vertAlign w:val="superscript"/>
          <w:lang w:val="fr-FR"/>
        </w:rPr>
        <w:t>me</w:t>
      </w:r>
      <w:r w:rsidR="007778C3">
        <w:rPr>
          <w:lang w:val="fr-FR"/>
        </w:rPr>
        <w:t> </w:t>
      </w:r>
      <w:r w:rsidR="004306F2" w:rsidRPr="0017665A">
        <w:rPr>
          <w:lang w:val="fr-FR"/>
        </w:rPr>
        <w:t>Rita IZSÁK</w:t>
      </w:r>
      <w:r w:rsidR="004306F2" w:rsidRPr="002E4295">
        <w:rPr>
          <w:lang w:val="fr-FR"/>
        </w:rPr>
        <w:t>, Experte indépendante des Nations Unies sur les questions relatives aux minorités a été reçue.</w:t>
      </w:r>
    </w:p>
    <w:p w:rsidR="004306F2" w:rsidRPr="0017665A" w:rsidRDefault="00270BF3" w:rsidP="00270BF3">
      <w:pPr>
        <w:pStyle w:val="SingleTxtG"/>
      </w:pPr>
      <w:r w:rsidRPr="0017665A">
        <w:t>233.</w:t>
      </w:r>
      <w:r w:rsidRPr="0017665A">
        <w:tab/>
      </w:r>
      <w:r w:rsidR="004306F2" w:rsidRPr="00284361">
        <w:t>Le Cameroun a favorablement accueilli les demandes de visite de M</w:t>
      </w:r>
      <w:r w:rsidR="004306F2" w:rsidRPr="0017665A">
        <w:rPr>
          <w:vertAlign w:val="superscript"/>
        </w:rPr>
        <w:t>me</w:t>
      </w:r>
      <w:r w:rsidR="007778C3">
        <w:t> </w:t>
      </w:r>
      <w:r w:rsidR="004306F2" w:rsidRPr="00284361">
        <w:t>Victoria TAULI-</w:t>
      </w:r>
      <w:r w:rsidR="004306F2" w:rsidRPr="003947F9">
        <w:rPr>
          <w:lang w:val="fr-FR" w:eastAsia="fr-FR"/>
        </w:rPr>
        <w:t>CORPUZ</w:t>
      </w:r>
      <w:r w:rsidR="004306F2" w:rsidRPr="00284361">
        <w:t>, Rapporteuse spéciale sur les droits des peuples autochtones et du Rapporteur Spécial sur la situation des défenseurs des Droits de l’Homme, M.</w:t>
      </w:r>
      <w:r w:rsidR="007778C3">
        <w:t> </w:t>
      </w:r>
      <w:r w:rsidR="004306F2" w:rsidRPr="00284361">
        <w:t>Michel FORST. Ces demandes de visite, qui ont été reportées à la demande du Cameroun pour des raisons sécuritaires, restent cependant d’actualité et seront reprogrammées dès que possible</w:t>
      </w:r>
      <w:r w:rsidR="004306F2" w:rsidRPr="002E4295">
        <w:rPr>
          <w:sz w:val="24"/>
          <w:szCs w:val="24"/>
          <w:lang w:val="fr-FR"/>
        </w:rPr>
        <w:t>.</w:t>
      </w:r>
    </w:p>
    <w:p w:rsidR="004306F2" w:rsidRPr="0017665A" w:rsidRDefault="00270BF3" w:rsidP="00270BF3">
      <w:pPr>
        <w:pStyle w:val="SingleTxtG"/>
      </w:pPr>
      <w:r w:rsidRPr="0017665A">
        <w:t>234.</w:t>
      </w:r>
      <w:r w:rsidRPr="0017665A">
        <w:tab/>
      </w:r>
      <w:r w:rsidR="004306F2" w:rsidRPr="00284361">
        <w:t>Par ailleurs, dans le cadre de la coopération avec les Procédures spéciales du Conseil des Droits de l</w:t>
      </w:r>
      <w:r w:rsidR="006A57AD">
        <w:t>’</w:t>
      </w:r>
      <w:r w:rsidR="004306F2" w:rsidRPr="00284361">
        <w:t>Homme, le Cameroun a accepté en 2014 le système de l</w:t>
      </w:r>
      <w:r w:rsidR="006A57AD">
        <w:t>’</w:t>
      </w:r>
      <w:r w:rsidR="004306F2" w:rsidRPr="00284361">
        <w:t>invitation permanente</w:t>
      </w:r>
      <w:r w:rsidR="004306F2" w:rsidRPr="002E4295">
        <w:rPr>
          <w:sz w:val="24"/>
          <w:szCs w:val="24"/>
          <w:lang w:val="fr-FR"/>
        </w:rPr>
        <w:t>.</w:t>
      </w:r>
    </w:p>
    <w:p w:rsidR="004306F2" w:rsidRPr="0017665A" w:rsidRDefault="001B3554" w:rsidP="0017665A">
      <w:pPr>
        <w:pStyle w:val="HChG"/>
      </w:pPr>
      <w:bookmarkStart w:id="98" w:name="_Toc466897421"/>
      <w:r>
        <w:rPr>
          <w:lang w:val="fr-FR"/>
        </w:rPr>
        <w:t>XXXII.</w:t>
      </w:r>
      <w:r>
        <w:rPr>
          <w:lang w:val="fr-FR"/>
        </w:rPr>
        <w:tab/>
      </w:r>
      <w:r w:rsidR="004306F2" w:rsidRPr="002E4295">
        <w:rPr>
          <w:lang w:val="fr-FR"/>
        </w:rPr>
        <w:t>R</w:t>
      </w:r>
      <w:r w:rsidR="009D27A9">
        <w:rPr>
          <w:lang w:val="fr-FR"/>
        </w:rPr>
        <w:t>ec.</w:t>
      </w:r>
      <w:r>
        <w:rPr>
          <w:lang w:val="fr-FR"/>
        </w:rPr>
        <w:t> </w:t>
      </w:r>
      <w:r w:rsidR="009D27A9">
        <w:rPr>
          <w:lang w:val="fr-FR"/>
        </w:rPr>
        <w:t>38.</w:t>
      </w:r>
      <w:r>
        <w:rPr>
          <w:lang w:val="fr-FR"/>
        </w:rPr>
        <w:t> </w:t>
      </w:r>
      <w:r w:rsidR="004306F2" w:rsidRPr="002E4295">
        <w:rPr>
          <w:lang w:val="fr-FR"/>
        </w:rPr>
        <w:t>Collaboration avec le système des Nations Unies</w:t>
      </w:r>
      <w:bookmarkEnd w:id="98"/>
    </w:p>
    <w:p w:rsidR="004306F2" w:rsidRPr="007778C3" w:rsidRDefault="00270BF3" w:rsidP="00270BF3">
      <w:pPr>
        <w:pStyle w:val="SingleTxtG"/>
        <w:rPr>
          <w:lang w:val="fr-FR"/>
        </w:rPr>
      </w:pPr>
      <w:r w:rsidRPr="007778C3">
        <w:rPr>
          <w:lang w:val="fr-FR"/>
        </w:rPr>
        <w:t>235.</w:t>
      </w:r>
      <w:r w:rsidRPr="007778C3">
        <w:rPr>
          <w:lang w:val="fr-FR"/>
        </w:rPr>
        <w:tab/>
      </w:r>
      <w:r w:rsidR="004306F2" w:rsidRPr="003947F9">
        <w:t>M</w:t>
      </w:r>
      <w:r w:rsidR="004306F2" w:rsidRPr="0017665A">
        <w:rPr>
          <w:vertAlign w:val="superscript"/>
        </w:rPr>
        <w:t>me</w:t>
      </w:r>
      <w:r w:rsidR="007778C3">
        <w:rPr>
          <w:lang w:val="fr-FR"/>
        </w:rPr>
        <w:t> </w:t>
      </w:r>
      <w:proofErr w:type="spellStart"/>
      <w:r w:rsidR="004306F2" w:rsidRPr="0017665A">
        <w:rPr>
          <w:lang w:val="fr-FR"/>
        </w:rPr>
        <w:t>Navanethem</w:t>
      </w:r>
      <w:proofErr w:type="spellEnd"/>
      <w:r w:rsidR="004306F2" w:rsidRPr="0017665A">
        <w:rPr>
          <w:lang w:val="fr-FR"/>
        </w:rPr>
        <w:t xml:space="preserve"> PILLAY,</w:t>
      </w:r>
      <w:r w:rsidR="004306F2" w:rsidRPr="007778C3">
        <w:rPr>
          <w:lang w:val="fr-FR"/>
        </w:rPr>
        <w:t xml:space="preserve"> Haut-Commissaire des Nations Unies aux Droits de l</w:t>
      </w:r>
      <w:r w:rsidR="006A57AD" w:rsidRPr="007778C3">
        <w:rPr>
          <w:lang w:val="fr-FR"/>
        </w:rPr>
        <w:t>’</w:t>
      </w:r>
      <w:r w:rsidR="004306F2" w:rsidRPr="007778C3">
        <w:rPr>
          <w:lang w:val="fr-FR"/>
        </w:rPr>
        <w:t xml:space="preserve">Homme, a effectué une visite de travail au </w:t>
      </w:r>
      <w:r w:rsidR="004306F2" w:rsidRPr="007778C3">
        <w:t>Cameroun</w:t>
      </w:r>
      <w:r w:rsidR="00D31C3D" w:rsidRPr="007778C3">
        <w:rPr>
          <w:lang w:val="fr-FR"/>
        </w:rPr>
        <w:t xml:space="preserve"> du 30 juin au </w:t>
      </w:r>
      <w:r w:rsidR="004306F2" w:rsidRPr="007778C3">
        <w:rPr>
          <w:lang w:val="fr-FR"/>
        </w:rPr>
        <w:t>2 juillet 2013 au cours de laquelle, elle a pu s</w:t>
      </w:r>
      <w:r w:rsidR="006A57AD" w:rsidRPr="007778C3">
        <w:rPr>
          <w:lang w:val="fr-FR"/>
        </w:rPr>
        <w:t>’</w:t>
      </w:r>
      <w:r w:rsidR="004306F2" w:rsidRPr="007778C3">
        <w:rPr>
          <w:lang w:val="fr-FR"/>
        </w:rPr>
        <w:t>entretenir avec quelques autorités et structures nationales</w:t>
      </w:r>
      <w:r w:rsidR="004306F2" w:rsidRPr="007778C3">
        <w:rPr>
          <w:rStyle w:val="Appelnotedebasdep"/>
        </w:rPr>
        <w:footnoteReference w:id="108"/>
      </w:r>
      <w:r w:rsidR="004306F2" w:rsidRPr="007778C3">
        <w:rPr>
          <w:lang w:val="fr-FR"/>
        </w:rPr>
        <w:t>.</w:t>
      </w:r>
    </w:p>
    <w:p w:rsidR="004306F2" w:rsidRPr="007778C3" w:rsidRDefault="00270BF3" w:rsidP="00270BF3">
      <w:pPr>
        <w:pStyle w:val="SingleTxtG"/>
        <w:rPr>
          <w:lang w:val="fr-FR"/>
        </w:rPr>
      </w:pPr>
      <w:r w:rsidRPr="007778C3">
        <w:rPr>
          <w:lang w:val="fr-FR"/>
        </w:rPr>
        <w:t>236.</w:t>
      </w:r>
      <w:r w:rsidRPr="007778C3">
        <w:rPr>
          <w:lang w:val="fr-FR"/>
        </w:rPr>
        <w:tab/>
      </w:r>
      <w:r w:rsidR="004306F2" w:rsidRPr="007778C3">
        <w:rPr>
          <w:lang w:val="fr-FR"/>
        </w:rPr>
        <w:t xml:space="preserve">En </w:t>
      </w:r>
      <w:r w:rsidR="004306F2" w:rsidRPr="007778C3">
        <w:t>plus</w:t>
      </w:r>
      <w:r w:rsidR="004306F2" w:rsidRPr="007778C3">
        <w:rPr>
          <w:lang w:val="fr-FR"/>
        </w:rPr>
        <w:t xml:space="preserve"> de la présence régulière aux </w:t>
      </w:r>
      <w:r w:rsidR="004306F2" w:rsidRPr="007778C3">
        <w:t>sessions</w:t>
      </w:r>
      <w:r w:rsidR="004306F2" w:rsidRPr="007778C3">
        <w:rPr>
          <w:lang w:val="fr-FR"/>
        </w:rPr>
        <w:t xml:space="preserve"> du Conseil des Droits de l</w:t>
      </w:r>
      <w:r w:rsidR="006A57AD" w:rsidRPr="007778C3">
        <w:rPr>
          <w:lang w:val="fr-FR"/>
        </w:rPr>
        <w:t>’</w:t>
      </w:r>
      <w:r w:rsidR="004306F2" w:rsidRPr="007778C3">
        <w:rPr>
          <w:lang w:val="fr-FR"/>
        </w:rPr>
        <w:t>Homme et du dialogue entretenu avec les instances onusiennes dans le cadre de la réponse aux questionnaires et demandes d</w:t>
      </w:r>
      <w:r w:rsidR="006A57AD" w:rsidRPr="007778C3">
        <w:rPr>
          <w:lang w:val="fr-FR"/>
        </w:rPr>
        <w:t>’</w:t>
      </w:r>
      <w:r w:rsidR="004306F2" w:rsidRPr="007778C3">
        <w:rPr>
          <w:lang w:val="fr-FR"/>
        </w:rPr>
        <w:t>informations, le Cameroun a participé au second cycle de l</w:t>
      </w:r>
      <w:r w:rsidR="006A57AD" w:rsidRPr="007778C3">
        <w:rPr>
          <w:lang w:val="fr-FR"/>
        </w:rPr>
        <w:t>’</w:t>
      </w:r>
      <w:r w:rsidR="004306F2" w:rsidRPr="007778C3">
        <w:rPr>
          <w:lang w:val="fr-FR"/>
        </w:rPr>
        <w:t>Examen Périodique Universel.</w:t>
      </w:r>
    </w:p>
    <w:p w:rsidR="004306F2" w:rsidRPr="007778C3" w:rsidRDefault="00270BF3" w:rsidP="00270BF3">
      <w:pPr>
        <w:pStyle w:val="SingleTxtG"/>
        <w:rPr>
          <w:lang w:val="fr-FR"/>
        </w:rPr>
      </w:pPr>
      <w:r w:rsidRPr="007778C3">
        <w:rPr>
          <w:lang w:val="fr-FR"/>
        </w:rPr>
        <w:t>237.</w:t>
      </w:r>
      <w:r w:rsidRPr="007778C3">
        <w:rPr>
          <w:lang w:val="fr-FR"/>
        </w:rPr>
        <w:tab/>
      </w:r>
      <w:r w:rsidR="004306F2" w:rsidRPr="007778C3">
        <w:rPr>
          <w:lang w:val="fr-FR"/>
        </w:rPr>
        <w:t>Du 24 au 25 mars 2015, M.</w:t>
      </w:r>
      <w:r w:rsidR="007778C3">
        <w:rPr>
          <w:lang w:val="fr-FR"/>
        </w:rPr>
        <w:t> </w:t>
      </w:r>
      <w:r w:rsidR="004306F2" w:rsidRPr="0017665A">
        <w:rPr>
          <w:lang w:val="fr-FR"/>
        </w:rPr>
        <w:t>Antonio GUTERRES</w:t>
      </w:r>
      <w:r w:rsidR="004306F2" w:rsidRPr="007778C3">
        <w:rPr>
          <w:lang w:val="fr-FR"/>
        </w:rPr>
        <w:t>, Haut-Commissaire des Nations Unies pour les Réfugiés a séjourné au Cameroun, ainsi que M.</w:t>
      </w:r>
      <w:r w:rsidR="007778C3">
        <w:rPr>
          <w:lang w:val="fr-FR"/>
        </w:rPr>
        <w:t> </w:t>
      </w:r>
      <w:r w:rsidR="004306F2" w:rsidRPr="0017665A">
        <w:rPr>
          <w:lang w:val="fr-FR"/>
        </w:rPr>
        <w:t xml:space="preserve">VOLKER </w:t>
      </w:r>
      <w:r w:rsidR="00823747" w:rsidRPr="0017665A">
        <w:rPr>
          <w:lang w:val="fr-FR"/>
        </w:rPr>
        <w:t>Türk</w:t>
      </w:r>
      <w:r w:rsidR="004306F2" w:rsidRPr="007778C3">
        <w:rPr>
          <w:lang w:val="fr-FR"/>
        </w:rPr>
        <w:t>, Haut-Commissaire Adjoint pour la protection au HCR en février 2016. De même, la collaboration avec le CNUDHD-AC se poursuit par l’appui aux Institutions nationales (MINJUSTICE, MINPROFF, DGSN, SED, CNDHL).</w:t>
      </w:r>
    </w:p>
    <w:p w:rsidR="004306F2" w:rsidRPr="007778C3" w:rsidRDefault="00270BF3" w:rsidP="00270BF3">
      <w:pPr>
        <w:pStyle w:val="SingleTxtG"/>
        <w:rPr>
          <w:lang w:val="fr-FR"/>
        </w:rPr>
      </w:pPr>
      <w:r w:rsidRPr="007778C3">
        <w:rPr>
          <w:lang w:val="fr-FR"/>
        </w:rPr>
        <w:t>238.</w:t>
      </w:r>
      <w:r w:rsidRPr="007778C3">
        <w:rPr>
          <w:lang w:val="fr-FR"/>
        </w:rPr>
        <w:tab/>
      </w:r>
      <w:r w:rsidR="004306F2" w:rsidRPr="007778C3">
        <w:t>M</w:t>
      </w:r>
      <w:r w:rsidR="004306F2" w:rsidRPr="0017665A">
        <w:rPr>
          <w:vertAlign w:val="superscript"/>
        </w:rPr>
        <w:t>me</w:t>
      </w:r>
      <w:r w:rsidR="007778C3">
        <w:rPr>
          <w:lang w:val="fr-FR"/>
        </w:rPr>
        <w:t> </w:t>
      </w:r>
      <w:r w:rsidR="004306F2" w:rsidRPr="0017665A">
        <w:rPr>
          <w:lang w:val="fr-FR"/>
        </w:rPr>
        <w:t>Irina BOKOVA</w:t>
      </w:r>
      <w:r w:rsidR="004306F2" w:rsidRPr="007778C3">
        <w:rPr>
          <w:lang w:val="fr-FR"/>
        </w:rPr>
        <w:t>, Directrice Générale de l’UNESCO, le Dr</w:t>
      </w:r>
      <w:r w:rsidR="007778C3">
        <w:rPr>
          <w:lang w:val="fr-FR"/>
        </w:rPr>
        <w:t>. </w:t>
      </w:r>
      <w:r w:rsidR="004306F2" w:rsidRPr="0017665A">
        <w:rPr>
          <w:lang w:val="fr-FR"/>
        </w:rPr>
        <w:t>Joan CLOS,</w:t>
      </w:r>
      <w:r w:rsidR="004306F2" w:rsidRPr="007778C3">
        <w:rPr>
          <w:lang w:val="fr-FR"/>
        </w:rPr>
        <w:t xml:space="preserve"> Directeur Exécutif d’ONU-Habitat et M</w:t>
      </w:r>
      <w:r w:rsidR="004306F2" w:rsidRPr="0017665A">
        <w:rPr>
          <w:vertAlign w:val="superscript"/>
          <w:lang w:val="fr-FR"/>
        </w:rPr>
        <w:t>me</w:t>
      </w:r>
      <w:r w:rsidR="007778C3">
        <w:rPr>
          <w:lang w:val="fr-FR"/>
        </w:rPr>
        <w:t> </w:t>
      </w:r>
      <w:r w:rsidR="004306F2" w:rsidRPr="0017665A">
        <w:rPr>
          <w:lang w:val="fr-FR"/>
        </w:rPr>
        <w:t>Helen CLARK</w:t>
      </w:r>
      <w:r w:rsidR="004306F2" w:rsidRPr="007778C3">
        <w:rPr>
          <w:lang w:val="fr-FR"/>
        </w:rPr>
        <w:t>, Administrateur du PNUD ont effectué une visite officielle au Cameroun respectivement en février 2014, du 15 au 17</w:t>
      </w:r>
      <w:r w:rsidR="007778C3">
        <w:rPr>
          <w:lang w:val="fr-FR"/>
        </w:rPr>
        <w:t> </w:t>
      </w:r>
      <w:r w:rsidR="004306F2" w:rsidRPr="007778C3">
        <w:rPr>
          <w:lang w:val="fr-FR"/>
        </w:rPr>
        <w:t>février 2016</w:t>
      </w:r>
      <w:r w:rsidR="00725550" w:rsidRPr="007778C3">
        <w:rPr>
          <w:lang w:val="fr-FR"/>
        </w:rPr>
        <w:t xml:space="preserve"> </w:t>
      </w:r>
      <w:r w:rsidR="004306F2" w:rsidRPr="007778C3">
        <w:rPr>
          <w:lang w:val="fr-FR"/>
        </w:rPr>
        <w:t>et du 29 au 30 août 2016.</w:t>
      </w:r>
    </w:p>
    <w:p w:rsidR="004306F2" w:rsidRPr="002E4295" w:rsidRDefault="00270BF3" w:rsidP="00270BF3">
      <w:pPr>
        <w:pStyle w:val="SingleTxtG"/>
        <w:rPr>
          <w:lang w:val="fr-FR"/>
        </w:rPr>
      </w:pPr>
      <w:r w:rsidRPr="002E4295">
        <w:rPr>
          <w:lang w:val="fr-FR"/>
        </w:rPr>
        <w:t>239.</w:t>
      </w:r>
      <w:r w:rsidRPr="002E4295">
        <w:rPr>
          <w:lang w:val="fr-FR"/>
        </w:rPr>
        <w:tab/>
      </w:r>
      <w:r w:rsidR="004306F2" w:rsidRPr="007778C3">
        <w:rPr>
          <w:lang w:val="fr-FR"/>
        </w:rPr>
        <w:t xml:space="preserve">Le </w:t>
      </w:r>
      <w:r w:rsidR="004306F2" w:rsidRPr="007778C3">
        <w:t>Cameroun</w:t>
      </w:r>
      <w:r w:rsidR="004306F2" w:rsidRPr="007778C3">
        <w:rPr>
          <w:lang w:val="fr-FR"/>
        </w:rPr>
        <w:t xml:space="preserve"> a également reçu en visite de travail du 23 au 28 juin 2013, le Conseiller Régional </w:t>
      </w:r>
      <w:r w:rsidR="004306F2" w:rsidRPr="007778C3">
        <w:t>en</w:t>
      </w:r>
      <w:r w:rsidR="004306F2" w:rsidRPr="007778C3">
        <w:rPr>
          <w:lang w:val="fr-FR"/>
        </w:rPr>
        <w:t xml:space="preserve"> Droits humains de l</w:t>
      </w:r>
      <w:r w:rsidR="006A57AD" w:rsidRPr="007778C3">
        <w:rPr>
          <w:lang w:val="fr-FR"/>
        </w:rPr>
        <w:t>’</w:t>
      </w:r>
      <w:r w:rsidR="004306F2" w:rsidRPr="007778C3">
        <w:rPr>
          <w:lang w:val="fr-FR"/>
        </w:rPr>
        <w:t xml:space="preserve">ONUSIDA, Monsieur </w:t>
      </w:r>
      <w:proofErr w:type="spellStart"/>
      <w:r w:rsidR="007778C3" w:rsidRPr="007778C3">
        <w:rPr>
          <w:lang w:val="fr-FR"/>
        </w:rPr>
        <w:t>Mamadi</w:t>
      </w:r>
      <w:proofErr w:type="spellEnd"/>
      <w:r w:rsidR="007778C3" w:rsidRPr="007778C3">
        <w:rPr>
          <w:lang w:val="fr-FR"/>
        </w:rPr>
        <w:t xml:space="preserve"> </w:t>
      </w:r>
      <w:r w:rsidR="004306F2" w:rsidRPr="0017665A">
        <w:rPr>
          <w:lang w:val="fr-FR"/>
        </w:rPr>
        <w:t xml:space="preserve">DIAKITE. </w:t>
      </w:r>
      <w:r w:rsidR="004306F2" w:rsidRPr="007778C3">
        <w:rPr>
          <w:lang w:val="fr-FR"/>
        </w:rPr>
        <w:t xml:space="preserve">Par ailleurs, la </w:t>
      </w:r>
      <w:r w:rsidR="003943FA" w:rsidRPr="007778C3">
        <w:rPr>
          <w:lang w:val="fr-FR"/>
        </w:rPr>
        <w:t>coopération avec</w:t>
      </w:r>
      <w:r w:rsidR="004306F2" w:rsidRPr="007778C3">
        <w:rPr>
          <w:lang w:val="fr-FR"/>
        </w:rPr>
        <w:t xml:space="preserve"> certaines institutions onusiennes tels que l</w:t>
      </w:r>
      <w:r w:rsidR="006A57AD" w:rsidRPr="007778C3">
        <w:rPr>
          <w:lang w:val="fr-FR"/>
        </w:rPr>
        <w:t>’</w:t>
      </w:r>
      <w:r w:rsidR="004306F2" w:rsidRPr="007778C3">
        <w:rPr>
          <w:lang w:val="fr-FR"/>
        </w:rPr>
        <w:t xml:space="preserve">ONUSIDA, dont le Directeur Exécutif, Monsieur </w:t>
      </w:r>
      <w:r w:rsidR="004306F2" w:rsidRPr="0017665A">
        <w:rPr>
          <w:lang w:val="fr-FR"/>
        </w:rPr>
        <w:t>Michel</w:t>
      </w:r>
      <w:r w:rsidR="004306F2" w:rsidRPr="007778C3">
        <w:rPr>
          <w:lang w:val="fr-FR"/>
        </w:rPr>
        <w:t xml:space="preserve"> </w:t>
      </w:r>
      <w:r w:rsidR="007778C3" w:rsidRPr="00591E3E">
        <w:rPr>
          <w:lang w:val="fr-FR"/>
        </w:rPr>
        <w:t xml:space="preserve">SIDIBE </w:t>
      </w:r>
      <w:r w:rsidR="004306F2" w:rsidRPr="007778C3">
        <w:rPr>
          <w:lang w:val="fr-FR"/>
        </w:rPr>
        <w:t>a effectué une visite au Cameroun en 2015, le PAM et le Fonds des Nations Unies pour l</w:t>
      </w:r>
      <w:r w:rsidR="006A57AD" w:rsidRPr="007778C3">
        <w:rPr>
          <w:lang w:val="fr-FR"/>
        </w:rPr>
        <w:t>’</w:t>
      </w:r>
      <w:r w:rsidR="004306F2" w:rsidRPr="007778C3">
        <w:rPr>
          <w:lang w:val="fr-FR"/>
        </w:rPr>
        <w:t>Alimentation et l</w:t>
      </w:r>
      <w:r w:rsidR="006A57AD" w:rsidRPr="007778C3">
        <w:rPr>
          <w:lang w:val="fr-FR"/>
        </w:rPr>
        <w:t>’</w:t>
      </w:r>
      <w:r w:rsidR="004306F2" w:rsidRPr="007778C3">
        <w:rPr>
          <w:lang w:val="fr-FR"/>
        </w:rPr>
        <w:t>Agriculture, l</w:t>
      </w:r>
      <w:r w:rsidR="006A57AD" w:rsidRPr="007778C3">
        <w:rPr>
          <w:lang w:val="fr-FR"/>
        </w:rPr>
        <w:t>’</w:t>
      </w:r>
      <w:r w:rsidR="004306F2" w:rsidRPr="007778C3">
        <w:rPr>
          <w:lang w:val="fr-FR"/>
        </w:rPr>
        <w:t>UNESCO et ONU-</w:t>
      </w:r>
      <w:r w:rsidR="003943FA" w:rsidRPr="007778C3">
        <w:rPr>
          <w:lang w:val="fr-FR"/>
        </w:rPr>
        <w:t>Habitat se</w:t>
      </w:r>
      <w:r w:rsidR="004306F2" w:rsidRPr="007778C3">
        <w:rPr>
          <w:lang w:val="fr-FR"/>
        </w:rPr>
        <w:t xml:space="preserve"> </w:t>
      </w:r>
      <w:r w:rsidR="003943FA" w:rsidRPr="007778C3">
        <w:rPr>
          <w:lang w:val="fr-FR"/>
        </w:rPr>
        <w:t>poursuit et</w:t>
      </w:r>
      <w:r w:rsidR="004306F2" w:rsidRPr="007778C3">
        <w:rPr>
          <w:lang w:val="fr-FR"/>
        </w:rPr>
        <w:t xml:space="preserve"> s</w:t>
      </w:r>
      <w:r w:rsidR="006A57AD" w:rsidRPr="007778C3">
        <w:rPr>
          <w:lang w:val="fr-FR"/>
        </w:rPr>
        <w:t>’</w:t>
      </w:r>
      <w:r w:rsidR="004306F2" w:rsidRPr="007778C3">
        <w:rPr>
          <w:lang w:val="fr-FR"/>
        </w:rPr>
        <w:t>accompagne généralement</w:t>
      </w:r>
      <w:r w:rsidR="00D31C3D" w:rsidRPr="007778C3">
        <w:rPr>
          <w:lang w:val="fr-FR"/>
        </w:rPr>
        <w:t xml:space="preserve"> d</w:t>
      </w:r>
      <w:r w:rsidR="006A57AD" w:rsidRPr="007778C3">
        <w:rPr>
          <w:lang w:val="fr-FR"/>
        </w:rPr>
        <w:t>’</w:t>
      </w:r>
      <w:r w:rsidR="00D31C3D" w:rsidRPr="007778C3">
        <w:rPr>
          <w:lang w:val="fr-FR"/>
        </w:rPr>
        <w:t>appuis divers et de projets</w:t>
      </w:r>
      <w:r w:rsidR="00D31C3D">
        <w:rPr>
          <w:lang w:val="fr-FR"/>
        </w:rPr>
        <w:t>.</w:t>
      </w:r>
    </w:p>
    <w:p w:rsidR="004306F2" w:rsidRPr="002E4295" w:rsidRDefault="00270BF3" w:rsidP="00270BF3">
      <w:pPr>
        <w:pStyle w:val="SingleTxtG"/>
        <w:rPr>
          <w:lang w:val="fr-FR"/>
        </w:rPr>
      </w:pPr>
      <w:r w:rsidRPr="002E4295">
        <w:rPr>
          <w:lang w:val="fr-FR"/>
        </w:rPr>
        <w:t>240.</w:t>
      </w:r>
      <w:r w:rsidRPr="002E4295">
        <w:rPr>
          <w:lang w:val="fr-FR"/>
        </w:rPr>
        <w:tab/>
      </w:r>
      <w:r w:rsidR="004306F2" w:rsidRPr="002E4295">
        <w:rPr>
          <w:lang w:val="fr-FR"/>
        </w:rPr>
        <w:t xml:space="preserve">A titre </w:t>
      </w:r>
      <w:r w:rsidR="004306F2" w:rsidRPr="003947F9">
        <w:t>d</w:t>
      </w:r>
      <w:r w:rsidR="006A57AD">
        <w:t>’</w:t>
      </w:r>
      <w:r w:rsidR="004306F2" w:rsidRPr="003947F9">
        <w:t>illustration</w:t>
      </w:r>
      <w:r w:rsidR="004306F2" w:rsidRPr="002E4295">
        <w:rPr>
          <w:lang w:val="fr-FR"/>
        </w:rPr>
        <w:t>, dans la Coopération avec ONUSIDA/Fonds Mondial, près de 15</w:t>
      </w:r>
      <w:r w:rsidR="0011157C">
        <w:rPr>
          <w:lang w:val="fr-FR"/>
        </w:rPr>
        <w:t> </w:t>
      </w:r>
      <w:r w:rsidR="004306F2" w:rsidRPr="002E4295">
        <w:rPr>
          <w:lang w:val="fr-FR"/>
        </w:rPr>
        <w:t>Accords de subventions ont été signés en faveur du Cameroun dont 7 pour le VIH, 5 pour le Paludisme et 3 pour la Tuberculose et en mai 2016, le Fonds Mondial a décaissé près de USD 348 442 751 en faveur des bénéficiaires Principaux chargés de la</w:t>
      </w:r>
      <w:r w:rsidR="00D31C3D">
        <w:rPr>
          <w:lang w:val="fr-FR"/>
        </w:rPr>
        <w:t xml:space="preserve"> mise en œuvre des subventions.</w:t>
      </w:r>
    </w:p>
    <w:p w:rsidR="004306F2" w:rsidRPr="002E4295" w:rsidRDefault="00270BF3" w:rsidP="00270BF3">
      <w:pPr>
        <w:pStyle w:val="SingleTxtG"/>
        <w:rPr>
          <w:lang w:val="fr-FR"/>
        </w:rPr>
      </w:pPr>
      <w:r w:rsidRPr="002E4295">
        <w:rPr>
          <w:lang w:val="fr-FR"/>
        </w:rPr>
        <w:t>241.</w:t>
      </w:r>
      <w:r w:rsidRPr="002E4295">
        <w:rPr>
          <w:lang w:val="fr-FR"/>
        </w:rPr>
        <w:tab/>
      </w:r>
      <w:r w:rsidR="004306F2" w:rsidRPr="002E4295">
        <w:rPr>
          <w:lang w:val="fr-FR"/>
        </w:rPr>
        <w:t xml:space="preserve">La </w:t>
      </w:r>
      <w:r w:rsidR="004306F2" w:rsidRPr="00A65470">
        <w:t>Coopération</w:t>
      </w:r>
      <w:r w:rsidR="004306F2" w:rsidRPr="002E4295">
        <w:rPr>
          <w:lang w:val="fr-FR"/>
        </w:rPr>
        <w:t xml:space="preserve"> avec le Fonds des Nations Unies pour l’Alimentation et l’Agriculture est mise en exergue à travers notamment le projet pilote d’appui à la mise en place d’une information phytosanitaire sur la protection intégrée des cultures dans la zone forestière du </w:t>
      </w:r>
      <w:r w:rsidR="004306F2" w:rsidRPr="002E4295">
        <w:rPr>
          <w:lang w:val="fr-FR"/>
        </w:rPr>
        <w:lastRenderedPageBreak/>
        <w:t xml:space="preserve">Cameroun et le projet d’appui au développement de la culture fruitière au Cameroun ou encore l’appui aux populations hôtes de la Région de l’Extrême-Nord suite aux exactions du groupe </w:t>
      </w:r>
      <w:proofErr w:type="spellStart"/>
      <w:r w:rsidR="004306F2" w:rsidRPr="0017665A">
        <w:rPr>
          <w:lang w:val="fr-FR"/>
        </w:rPr>
        <w:t>Boko</w:t>
      </w:r>
      <w:proofErr w:type="spellEnd"/>
      <w:r w:rsidR="004306F2" w:rsidRPr="0017665A">
        <w:rPr>
          <w:lang w:val="fr-FR"/>
        </w:rPr>
        <w:t xml:space="preserve"> </w:t>
      </w:r>
      <w:proofErr w:type="spellStart"/>
      <w:r w:rsidR="004306F2" w:rsidRPr="0017665A">
        <w:rPr>
          <w:lang w:val="fr-FR"/>
        </w:rPr>
        <w:t>Haram</w:t>
      </w:r>
      <w:proofErr w:type="spellEnd"/>
      <w:r w:rsidR="00D31C3D">
        <w:rPr>
          <w:lang w:val="fr-FR"/>
        </w:rPr>
        <w:t>.</w:t>
      </w:r>
    </w:p>
    <w:p w:rsidR="004306F2" w:rsidRPr="002E4295" w:rsidRDefault="00270BF3" w:rsidP="00270BF3">
      <w:pPr>
        <w:pStyle w:val="SingleTxtG"/>
        <w:rPr>
          <w:lang w:val="fr-FR"/>
        </w:rPr>
      </w:pPr>
      <w:r w:rsidRPr="002E4295">
        <w:rPr>
          <w:lang w:val="fr-FR"/>
        </w:rPr>
        <w:t>242.</w:t>
      </w:r>
      <w:r w:rsidRPr="002E4295">
        <w:rPr>
          <w:lang w:val="fr-FR"/>
        </w:rPr>
        <w:tab/>
      </w:r>
      <w:r w:rsidR="004306F2" w:rsidRPr="002E4295">
        <w:rPr>
          <w:lang w:val="fr-FR"/>
        </w:rPr>
        <w:t xml:space="preserve">Le </w:t>
      </w:r>
      <w:r w:rsidR="004306F2" w:rsidRPr="00A65470">
        <w:t>Cameroun</w:t>
      </w:r>
      <w:r w:rsidR="004306F2" w:rsidRPr="002E4295">
        <w:rPr>
          <w:lang w:val="fr-FR"/>
        </w:rPr>
        <w:t xml:space="preserve"> et l’UNESCO entretiennent une coopération qui s’étend sur plusieurs domaines à l’instar de la formation de 4 088 enseignants à l’éducation au VIH dans les écoles primaires, les collèges et les lycées (Projet débuté en 2009 et terminé en 2013). Les projets en cours d’exécution pour la période 2015-2017</w:t>
      </w:r>
      <w:r w:rsidR="00082EA9">
        <w:rPr>
          <w:lang w:val="fr-FR"/>
        </w:rPr>
        <w:t xml:space="preserve"> </w:t>
      </w:r>
      <w:r w:rsidR="004306F2" w:rsidRPr="002E4295">
        <w:rPr>
          <w:lang w:val="fr-FR"/>
        </w:rPr>
        <w:t>sont l’appui technique et la mobilisation des ressources extrabudgétaires pour la formation en TIC dans les trois Ecoles Normales des Instituteurs de l’enseignement technique </w:t>
      </w:r>
      <w:r w:rsidR="00DA0404">
        <w:rPr>
          <w:lang w:val="fr-FR"/>
        </w:rPr>
        <w:t>;</w:t>
      </w:r>
      <w:r w:rsidR="004306F2" w:rsidRPr="002E4295">
        <w:rPr>
          <w:lang w:val="fr-FR"/>
        </w:rPr>
        <w:t xml:space="preserve"> le projet d’accroissement de l’offre de formation par la mise en place des Universités Virtuelles à vocation nationale ou </w:t>
      </w:r>
      <w:proofErr w:type="spellStart"/>
      <w:r w:rsidR="00284361" w:rsidRPr="002E4295">
        <w:rPr>
          <w:lang w:val="fr-FR"/>
        </w:rPr>
        <w:t>sous</w:t>
      </w:r>
      <w:r w:rsidR="00284361">
        <w:rPr>
          <w:lang w:val="fr-FR"/>
        </w:rPr>
        <w:t>-</w:t>
      </w:r>
      <w:r w:rsidR="00284361" w:rsidRPr="002E4295">
        <w:rPr>
          <w:lang w:val="fr-FR"/>
        </w:rPr>
        <w:t>régionale</w:t>
      </w:r>
      <w:proofErr w:type="spellEnd"/>
      <w:r w:rsidR="004306F2" w:rsidRPr="002E4295">
        <w:rPr>
          <w:lang w:val="fr-FR"/>
        </w:rPr>
        <w:t xml:space="preserve"> et la construction des infrastructures à l’Ecole Normale Supérieure de Maroua</w:t>
      </w:r>
      <w:r w:rsidR="00082EA9">
        <w:rPr>
          <w:lang w:val="fr-FR"/>
        </w:rPr>
        <w:t xml:space="preserve"> </w:t>
      </w:r>
      <w:r w:rsidR="004306F2" w:rsidRPr="002E4295">
        <w:rPr>
          <w:lang w:val="fr-FR"/>
        </w:rPr>
        <w:t>et le projet de professionnalisation, de lutte contre le chômage des diplômés (mise en place du système LMD).</w:t>
      </w:r>
    </w:p>
    <w:p w:rsidR="004306F2" w:rsidRPr="0017665A" w:rsidRDefault="00082EA9" w:rsidP="0017665A">
      <w:pPr>
        <w:pStyle w:val="HChG"/>
      </w:pPr>
      <w:bookmarkStart w:id="99" w:name="_Toc466897424"/>
      <w:r>
        <w:rPr>
          <w:lang w:val="fr-FR"/>
        </w:rPr>
        <w:t>XXXIII.</w:t>
      </w:r>
      <w:r>
        <w:rPr>
          <w:lang w:val="fr-FR"/>
        </w:rPr>
        <w:tab/>
      </w:r>
      <w:r w:rsidR="004306F2" w:rsidRPr="002E4295">
        <w:rPr>
          <w:lang w:val="fr-FR"/>
        </w:rPr>
        <w:t>R</w:t>
      </w:r>
      <w:r w:rsidR="009572C2">
        <w:rPr>
          <w:lang w:val="fr-FR"/>
        </w:rPr>
        <w:t>ec.</w:t>
      </w:r>
      <w:r>
        <w:rPr>
          <w:lang w:val="fr-FR"/>
        </w:rPr>
        <w:t> </w:t>
      </w:r>
      <w:r w:rsidR="004306F2" w:rsidRPr="002E4295">
        <w:rPr>
          <w:lang w:val="fr-FR"/>
        </w:rPr>
        <w:t>39</w:t>
      </w:r>
      <w:r w:rsidR="009572C2">
        <w:rPr>
          <w:lang w:val="fr-FR"/>
        </w:rPr>
        <w:t>.</w:t>
      </w:r>
      <w:r>
        <w:rPr>
          <w:lang w:val="fr-FR"/>
        </w:rPr>
        <w:t> </w:t>
      </w:r>
      <w:r w:rsidR="004306F2" w:rsidRPr="002E4295">
        <w:rPr>
          <w:lang w:val="fr-FR"/>
        </w:rPr>
        <w:t xml:space="preserve">Diffusion des </w:t>
      </w:r>
      <w:r w:rsidR="00A304EB">
        <w:rPr>
          <w:lang w:val="fr-FR"/>
        </w:rPr>
        <w:t>o</w:t>
      </w:r>
      <w:r w:rsidR="004306F2" w:rsidRPr="002E4295">
        <w:rPr>
          <w:lang w:val="fr-FR"/>
        </w:rPr>
        <w:t>bservations finales</w:t>
      </w:r>
      <w:bookmarkEnd w:id="99"/>
    </w:p>
    <w:p w:rsidR="004306F2" w:rsidRPr="0017665A" w:rsidRDefault="00270BF3" w:rsidP="00270BF3">
      <w:pPr>
        <w:pStyle w:val="SingleTxtG"/>
      </w:pPr>
      <w:r w:rsidRPr="0017665A">
        <w:t>243.</w:t>
      </w:r>
      <w:r w:rsidRPr="0017665A">
        <w:tab/>
      </w:r>
      <w:r w:rsidR="004306F2" w:rsidRPr="00284361">
        <w:t xml:space="preserve">Après la présentation du Rapport, celui-ci a été mis à la disposition des Services publics et </w:t>
      </w:r>
      <w:r w:rsidR="004306F2" w:rsidRPr="00725550">
        <w:rPr>
          <w:lang w:val="fr-FR"/>
        </w:rPr>
        <w:t>para</w:t>
      </w:r>
      <w:r w:rsidR="004306F2" w:rsidRPr="00284361">
        <w:t xml:space="preserve"> publics compétents et un communiqué radio-presse a été diffusé, informant la communauté nationale et internationale de l’adoption des observations finales ainsi que les modalités d’accès au Rapport final</w:t>
      </w:r>
      <w:r w:rsidR="004306F2" w:rsidRPr="002E4295">
        <w:rPr>
          <w:sz w:val="24"/>
          <w:szCs w:val="24"/>
          <w:lang w:val="fr-FR"/>
        </w:rPr>
        <w:t>.</w:t>
      </w:r>
    </w:p>
    <w:p w:rsidR="002B712C" w:rsidRDefault="00270BF3" w:rsidP="00270BF3">
      <w:pPr>
        <w:pStyle w:val="SingleTxtG"/>
        <w:rPr>
          <w:lang w:val="fr-FR"/>
        </w:rPr>
      </w:pPr>
      <w:r>
        <w:rPr>
          <w:lang w:val="fr-FR"/>
        </w:rPr>
        <w:t>244.</w:t>
      </w:r>
      <w:r>
        <w:rPr>
          <w:lang w:val="fr-FR"/>
        </w:rPr>
        <w:tab/>
      </w:r>
      <w:r w:rsidR="004306F2" w:rsidRPr="00963F65">
        <w:rPr>
          <w:lang w:val="fr-FR"/>
        </w:rPr>
        <w:t xml:space="preserve">Les </w:t>
      </w:r>
      <w:r w:rsidR="004306F2" w:rsidRPr="00A65470">
        <w:t>observations</w:t>
      </w:r>
      <w:r w:rsidR="004306F2" w:rsidRPr="00725550">
        <w:rPr>
          <w:lang w:val="fr-FR"/>
        </w:rPr>
        <w:t xml:space="preserve"> finales, issues dudit Rapport, ont été transmises par correspondances aux Administrations publiques, aux organes du pouvoir judiciaire, aux Organisations Non Gouvernementales et aux Organisations de la Société Civile pour information et implication dans le processus d</w:t>
      </w:r>
      <w:r w:rsidR="006A57AD">
        <w:rPr>
          <w:lang w:val="fr-FR"/>
        </w:rPr>
        <w:t>’</w:t>
      </w:r>
      <w:r w:rsidR="004306F2" w:rsidRPr="00725550">
        <w:rPr>
          <w:lang w:val="fr-FR"/>
        </w:rPr>
        <w:t>élaboration du 4</w:t>
      </w:r>
      <w:r w:rsidR="004306F2" w:rsidRPr="00725550">
        <w:rPr>
          <w:vertAlign w:val="superscript"/>
          <w:lang w:val="fr-FR"/>
        </w:rPr>
        <w:t>ème</w:t>
      </w:r>
      <w:r w:rsidR="004306F2" w:rsidRPr="00725550">
        <w:rPr>
          <w:lang w:val="fr-FR"/>
        </w:rPr>
        <w:t xml:space="preserve"> Rapport périodique sur l</w:t>
      </w:r>
      <w:r w:rsidR="006A57AD">
        <w:rPr>
          <w:lang w:val="fr-FR"/>
        </w:rPr>
        <w:t>’</w:t>
      </w:r>
      <w:r w:rsidR="004306F2" w:rsidRPr="00725550">
        <w:rPr>
          <w:lang w:val="fr-FR"/>
        </w:rPr>
        <w:t>application du Pacte. C</w:t>
      </w:r>
      <w:r w:rsidR="006A57AD">
        <w:rPr>
          <w:lang w:val="fr-FR"/>
        </w:rPr>
        <w:t>’</w:t>
      </w:r>
      <w:r w:rsidR="004306F2" w:rsidRPr="00725550">
        <w:rPr>
          <w:lang w:val="fr-FR"/>
        </w:rPr>
        <w:t>est sur la base de leurs contributions que le Comité de rédaction logé au Ministère de la Justice, a élaboré le projet de Rapport soumis à la validation de toutes les parties prenantes lors d</w:t>
      </w:r>
      <w:r w:rsidR="006A57AD">
        <w:rPr>
          <w:lang w:val="fr-FR"/>
        </w:rPr>
        <w:t>’</w:t>
      </w:r>
      <w:r w:rsidR="004306F2" w:rsidRPr="00725550">
        <w:rPr>
          <w:lang w:val="fr-FR"/>
        </w:rPr>
        <w:t>un Atelier organisé le 15 septembre 2016. Ce projet a également été soumis à l’examen de la Société Civile au cours d’un Atelier organisé par la CNDHL le 11 octobre 2016</w:t>
      </w:r>
      <w:r w:rsidR="00C1456B">
        <w:rPr>
          <w:lang w:val="fr-FR"/>
        </w:rPr>
        <w:t>.</w:t>
      </w:r>
    </w:p>
    <w:p w:rsidR="00C1456B" w:rsidRPr="00C1456B" w:rsidRDefault="00C1456B" w:rsidP="00C1456B">
      <w:pPr>
        <w:pStyle w:val="SingleTxtG"/>
        <w:spacing w:before="240" w:after="0"/>
        <w:jc w:val="center"/>
        <w:rPr>
          <w:u w:val="single"/>
          <w:lang w:val="fr-FR"/>
        </w:rPr>
      </w:pPr>
      <w:r>
        <w:rPr>
          <w:u w:val="single"/>
          <w:lang w:val="fr-FR"/>
        </w:rPr>
        <w:tab/>
      </w:r>
      <w:r>
        <w:rPr>
          <w:u w:val="single"/>
          <w:lang w:val="fr-FR"/>
        </w:rPr>
        <w:tab/>
      </w:r>
      <w:r>
        <w:rPr>
          <w:u w:val="single"/>
          <w:lang w:val="fr-FR"/>
        </w:rPr>
        <w:tab/>
      </w:r>
      <w:r w:rsidR="006A57AD">
        <w:rPr>
          <w:u w:val="single"/>
          <w:lang w:val="fr-FR"/>
        </w:rPr>
        <w:tab/>
      </w:r>
    </w:p>
    <w:sectPr w:rsidR="00C1456B" w:rsidRPr="00C1456B" w:rsidSect="0017665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0A6" w:rsidRDefault="00AF10A6"/>
  </w:endnote>
  <w:endnote w:type="continuationSeparator" w:id="0">
    <w:p w:rsidR="00AF10A6" w:rsidRDefault="00AF10A6"/>
  </w:endnote>
  <w:endnote w:type="continuationNotice" w:id="1">
    <w:p w:rsidR="00AF10A6" w:rsidRDefault="00AF1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roman">
    <w:altName w:val="Times New Roman"/>
    <w:panose1 w:val="00000000000000000000"/>
    <w:charset w:val="00"/>
    <w:family w:val="roman"/>
    <w:notTrueType/>
    <w:pitch w:val="default"/>
  </w:font>
  <w:font w:name="FreeSans">
    <w:altName w:val="MS Mincho"/>
    <w:panose1 w:val="00000000000000000000"/>
    <w:charset w:val="80"/>
    <w:family w:val="auto"/>
    <w:notTrueType/>
    <w:pitch w:val="default"/>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0A6" w:rsidRPr="004758DA" w:rsidRDefault="00AF10A6" w:rsidP="004758DA">
    <w:pPr>
      <w:pStyle w:val="Pieddepage"/>
      <w:tabs>
        <w:tab w:val="right" w:pos="9638"/>
      </w:tabs>
      <w:rPr>
        <w:sz w:val="18"/>
      </w:rPr>
    </w:pPr>
    <w:r w:rsidRPr="004758DA">
      <w:rPr>
        <w:b/>
        <w:sz w:val="18"/>
      </w:rPr>
      <w:fldChar w:fldCharType="begin"/>
    </w:r>
    <w:r w:rsidRPr="004758DA">
      <w:rPr>
        <w:b/>
        <w:sz w:val="18"/>
      </w:rPr>
      <w:instrText xml:space="preserve"> PAGE  \* MERGEFORMAT </w:instrText>
    </w:r>
    <w:r w:rsidRPr="004758DA">
      <w:rPr>
        <w:b/>
        <w:sz w:val="18"/>
      </w:rPr>
      <w:fldChar w:fldCharType="separate"/>
    </w:r>
    <w:r w:rsidR="0027108A">
      <w:rPr>
        <w:b/>
        <w:noProof/>
        <w:sz w:val="18"/>
      </w:rPr>
      <w:t>20</w:t>
    </w:r>
    <w:r w:rsidRPr="004758D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0A6" w:rsidRPr="004758DA" w:rsidRDefault="00AF10A6" w:rsidP="004758DA">
    <w:pPr>
      <w:pStyle w:val="Pieddepage"/>
      <w:tabs>
        <w:tab w:val="right" w:pos="9638"/>
      </w:tabs>
      <w:rPr>
        <w:b/>
        <w:sz w:val="18"/>
      </w:rPr>
    </w:pPr>
    <w:r>
      <w:tab/>
    </w:r>
    <w:r w:rsidRPr="004758DA">
      <w:rPr>
        <w:b/>
        <w:sz w:val="18"/>
      </w:rPr>
      <w:fldChar w:fldCharType="begin"/>
    </w:r>
    <w:r w:rsidRPr="004758DA">
      <w:rPr>
        <w:b/>
        <w:sz w:val="18"/>
      </w:rPr>
      <w:instrText xml:space="preserve"> PAGE  \* MERGEFORMAT </w:instrText>
    </w:r>
    <w:r w:rsidRPr="004758DA">
      <w:rPr>
        <w:b/>
        <w:sz w:val="18"/>
      </w:rPr>
      <w:fldChar w:fldCharType="separate"/>
    </w:r>
    <w:r w:rsidR="0027108A">
      <w:rPr>
        <w:b/>
        <w:noProof/>
        <w:sz w:val="18"/>
      </w:rPr>
      <w:t>19</w:t>
    </w:r>
    <w:r w:rsidRPr="004758D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0A6" w:rsidRPr="00AF10A6" w:rsidRDefault="00D54B34" w:rsidP="0000333C">
    <w:pPr>
      <w:pStyle w:val="Pieddepage"/>
      <w:spacing w:before="120"/>
      <w:rPr>
        <w:sz w:val="20"/>
      </w:rPr>
    </w:pPr>
    <w:r>
      <w:rPr>
        <w:noProof/>
        <w:sz w:val="20"/>
        <w:lang w:eastAsia="fr-CH"/>
      </w:rPr>
      <w:drawing>
        <wp:anchor distT="0" distB="0" distL="114300" distR="114300" simplePos="0" relativeHeight="251664896" behindDoc="0" locked="0" layoutInCell="1" allowOverlap="1" wp14:anchorId="6605B5AE" wp14:editId="0417C309">
          <wp:simplePos x="0" y="0"/>
          <wp:positionH relativeFrom="column">
            <wp:posOffset>5571526</wp:posOffset>
          </wp:positionH>
          <wp:positionV relativeFrom="paragraph">
            <wp:posOffset>-17603</wp:posOffset>
          </wp:positionV>
          <wp:extent cx="638175" cy="638175"/>
          <wp:effectExtent l="0" t="0" r="9525" b="9525"/>
          <wp:wrapNone/>
          <wp:docPr id="2" name="Image 1" descr="https://undocs.org/m2/QRCode.ashx?DS= E/C.12/CMR/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 E/C.12/CMR/4&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58752" behindDoc="0" locked="0" layoutInCell="1" allowOverlap="0" wp14:anchorId="78945B66" wp14:editId="6E834B24">
          <wp:simplePos x="0" y="0"/>
          <wp:positionH relativeFrom="margin">
            <wp:posOffset>4401146</wp:posOffset>
          </wp:positionH>
          <wp:positionV relativeFrom="margin">
            <wp:posOffset>9218197</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10A6" w:rsidRPr="00AF10A6">
      <w:rPr>
        <w:sz w:val="20"/>
      </w:rPr>
      <w:t>GE.17-</w:t>
    </w:r>
    <w:proofErr w:type="gramStart"/>
    <w:r w:rsidR="00AF10A6" w:rsidRPr="00AF10A6">
      <w:rPr>
        <w:sz w:val="20"/>
      </w:rPr>
      <w:t>22229  (</w:t>
    </w:r>
    <w:proofErr w:type="gramEnd"/>
    <w:r w:rsidR="00AF10A6" w:rsidRPr="00AF10A6">
      <w:rPr>
        <w:sz w:val="20"/>
      </w:rPr>
      <w:t xml:space="preserve">F) </w:t>
    </w:r>
    <w:r w:rsidR="00AF10A6">
      <w:rPr>
        <w:sz w:val="20"/>
      </w:rPr>
      <w:br/>
    </w:r>
    <w:r w:rsidR="00AF10A6" w:rsidRPr="00AF10A6">
      <w:rPr>
        <w:rFonts w:ascii="C39T30Lfz" w:hAnsi="C39T30Lfz"/>
        <w:sz w:val="56"/>
      </w:rPr>
      <w:t></w:t>
    </w:r>
    <w:r w:rsidR="00AF10A6" w:rsidRPr="00AF10A6">
      <w:rPr>
        <w:rFonts w:ascii="C39T30Lfz" w:hAnsi="C39T30Lfz"/>
        <w:sz w:val="56"/>
      </w:rPr>
      <w:t></w:t>
    </w:r>
    <w:r w:rsidR="00AF10A6" w:rsidRPr="00AF10A6">
      <w:rPr>
        <w:rFonts w:ascii="C39T30Lfz" w:hAnsi="C39T30Lfz"/>
        <w:sz w:val="56"/>
      </w:rPr>
      <w:t></w:t>
    </w:r>
    <w:r w:rsidR="00AF10A6" w:rsidRPr="00AF10A6">
      <w:rPr>
        <w:rFonts w:ascii="C39T30Lfz" w:hAnsi="C39T30Lfz"/>
        <w:sz w:val="56"/>
      </w:rPr>
      <w:t></w:t>
    </w:r>
    <w:r w:rsidR="00AF10A6" w:rsidRPr="00AF10A6">
      <w:rPr>
        <w:rFonts w:ascii="C39T30Lfz" w:hAnsi="C39T30Lfz"/>
        <w:sz w:val="56"/>
      </w:rPr>
      <w:t></w:t>
    </w:r>
    <w:r w:rsidR="00AF10A6" w:rsidRPr="00AF10A6">
      <w:rPr>
        <w:rFonts w:ascii="C39T30Lfz" w:hAnsi="C39T30Lfz"/>
        <w:sz w:val="56"/>
      </w:rPr>
      <w:t></w:t>
    </w:r>
    <w:r w:rsidR="00AF10A6" w:rsidRPr="00AF10A6">
      <w:rPr>
        <w:rFonts w:ascii="C39T30Lfz" w:hAnsi="C39T30Lfz"/>
        <w:sz w:val="56"/>
      </w:rPr>
      <w:t></w:t>
    </w:r>
    <w:r w:rsidR="00AF10A6" w:rsidRPr="00AF10A6">
      <w:rPr>
        <w:rFonts w:ascii="C39T30Lfz" w:hAnsi="C39T30Lfz"/>
        <w:sz w:val="56"/>
      </w:rPr>
      <w:t></w:t>
    </w:r>
    <w:r w:rsidR="00AF10A6" w:rsidRPr="00AF10A6">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0A6" w:rsidRPr="00D27D5E" w:rsidRDefault="00AF10A6" w:rsidP="00D27D5E">
      <w:pPr>
        <w:tabs>
          <w:tab w:val="right" w:pos="2155"/>
        </w:tabs>
        <w:spacing w:after="80"/>
        <w:ind w:left="680"/>
        <w:rPr>
          <w:u w:val="single"/>
        </w:rPr>
      </w:pPr>
      <w:r>
        <w:rPr>
          <w:u w:val="single"/>
        </w:rPr>
        <w:tab/>
      </w:r>
    </w:p>
  </w:footnote>
  <w:footnote w:type="continuationSeparator" w:id="0">
    <w:p w:rsidR="00AF10A6" w:rsidRPr="005B09DD" w:rsidRDefault="00AF10A6" w:rsidP="005B09DD">
      <w:pPr>
        <w:tabs>
          <w:tab w:val="right" w:pos="2155"/>
        </w:tabs>
        <w:spacing w:after="80"/>
        <w:ind w:left="680"/>
        <w:rPr>
          <w:u w:val="single"/>
        </w:rPr>
      </w:pPr>
      <w:r w:rsidRPr="005B09DD">
        <w:rPr>
          <w:u w:val="single"/>
        </w:rPr>
        <w:tab/>
      </w:r>
    </w:p>
  </w:footnote>
  <w:footnote w:type="continuationNotice" w:id="1">
    <w:p w:rsidR="00AF10A6" w:rsidRDefault="00AF10A6"/>
  </w:footnote>
  <w:footnote w:id="2">
    <w:p w:rsidR="00AF10A6" w:rsidRPr="0017665A" w:rsidRDefault="00AF10A6" w:rsidP="00EC5347">
      <w:pPr>
        <w:pStyle w:val="Notedebasdepage"/>
        <w:rPr>
          <w:lang w:val="fr-FR"/>
        </w:rPr>
      </w:pPr>
      <w:r>
        <w:tab/>
      </w:r>
      <w:r w:rsidRPr="0017665A">
        <w:rPr>
          <w:rStyle w:val="Appelnotedebasdep"/>
          <w:sz w:val="20"/>
          <w:vertAlign w:val="baseline"/>
        </w:rPr>
        <w:t>*</w:t>
      </w:r>
      <w:r>
        <w:tab/>
        <w:t>Le présent document n’a pas été revu par les services d’édition.</w:t>
      </w:r>
    </w:p>
  </w:footnote>
  <w:footnote w:id="3">
    <w:p w:rsidR="00AF10A6" w:rsidRPr="0017665A" w:rsidRDefault="00AF10A6" w:rsidP="009E44DD">
      <w:pPr>
        <w:pStyle w:val="Notedebasdepage"/>
        <w:rPr>
          <w:lang w:val="fr-FR"/>
        </w:rPr>
      </w:pPr>
      <w:r>
        <w:tab/>
      </w:r>
      <w:r w:rsidRPr="0017665A">
        <w:rPr>
          <w:rStyle w:val="Appelnotedebasdep"/>
          <w:sz w:val="20"/>
          <w:vertAlign w:val="baseline"/>
        </w:rPr>
        <w:t>**</w:t>
      </w:r>
      <w:r>
        <w:tab/>
      </w:r>
      <w:r w:rsidRPr="00D31C3D">
        <w:t>Les annexes au présent rapport peuvent être consultées sur le site Internet du Comité.</w:t>
      </w:r>
    </w:p>
  </w:footnote>
  <w:footnote w:id="4">
    <w:p w:rsidR="00AF10A6" w:rsidRPr="00D31C3D" w:rsidRDefault="00AF10A6" w:rsidP="009E44DD">
      <w:pPr>
        <w:pStyle w:val="Notedebasdepage"/>
        <w:rPr>
          <w:lang w:val="fr-MC"/>
        </w:rPr>
      </w:pPr>
      <w:r w:rsidRPr="00D31C3D">
        <w:tab/>
      </w:r>
      <w:r w:rsidRPr="00D31C3D">
        <w:rPr>
          <w:rStyle w:val="Appelnotedebasdep"/>
          <w:szCs w:val="18"/>
        </w:rPr>
        <w:footnoteRef/>
      </w:r>
      <w:r w:rsidRPr="00D31C3D">
        <w:tab/>
        <w:t>Voir Rapport de la CONAC sur l’état de la lutte contre la corruption au Cameroun, 2011 et 2014.</w:t>
      </w:r>
    </w:p>
  </w:footnote>
  <w:footnote w:id="5">
    <w:p w:rsidR="00AF10A6" w:rsidRPr="00D31C3D" w:rsidRDefault="00AF10A6" w:rsidP="009E44DD">
      <w:pPr>
        <w:pStyle w:val="Notedebasdepage"/>
        <w:rPr>
          <w:lang w:val="es-ES"/>
        </w:rPr>
      </w:pPr>
      <w:r w:rsidRPr="0017665A">
        <w:rPr>
          <w:lang w:val="fr-FR"/>
        </w:rPr>
        <w:tab/>
      </w:r>
      <w:r w:rsidRPr="00D31C3D">
        <w:rPr>
          <w:rStyle w:val="Appelnotedebasdep"/>
          <w:szCs w:val="18"/>
        </w:rPr>
        <w:footnoteRef/>
      </w:r>
      <w:r w:rsidRPr="00D31C3D">
        <w:rPr>
          <w:lang w:val="es-ES"/>
        </w:rPr>
        <w:tab/>
      </w:r>
      <w:proofErr w:type="spellStart"/>
      <w:r w:rsidRPr="00D31C3D">
        <w:rPr>
          <w:lang w:val="es-ES"/>
        </w:rPr>
        <w:t>Environ</w:t>
      </w:r>
      <w:proofErr w:type="spellEnd"/>
      <w:r w:rsidRPr="00D31C3D">
        <w:rPr>
          <w:lang w:val="es-ES"/>
        </w:rPr>
        <w:t xml:space="preserve"> 15 267 175, 57 euros.</w:t>
      </w:r>
    </w:p>
  </w:footnote>
  <w:footnote w:id="6">
    <w:p w:rsidR="00AF10A6" w:rsidRPr="00D31C3D" w:rsidRDefault="00AF10A6" w:rsidP="009E44DD">
      <w:pPr>
        <w:pStyle w:val="Notedebasdepage"/>
        <w:rPr>
          <w:lang w:val="es-ES"/>
        </w:rPr>
      </w:pPr>
      <w:r w:rsidRPr="00D31C3D">
        <w:rPr>
          <w:lang w:val="es-ES"/>
        </w:rPr>
        <w:tab/>
      </w:r>
      <w:r w:rsidRPr="00D31C3D">
        <w:rPr>
          <w:rStyle w:val="Appelnotedebasdep"/>
          <w:szCs w:val="18"/>
        </w:rPr>
        <w:footnoteRef/>
      </w:r>
      <w:r w:rsidRPr="00D31C3D">
        <w:rPr>
          <w:lang w:val="es-ES"/>
        </w:rPr>
        <w:tab/>
      </w:r>
      <w:proofErr w:type="spellStart"/>
      <w:r w:rsidRPr="00D31C3D">
        <w:rPr>
          <w:lang w:val="es-ES"/>
        </w:rPr>
        <w:t>Environ</w:t>
      </w:r>
      <w:proofErr w:type="spellEnd"/>
      <w:r w:rsidRPr="00D31C3D">
        <w:rPr>
          <w:lang w:val="es-ES"/>
        </w:rPr>
        <w:t xml:space="preserve"> 65 200 354, 56 euros.</w:t>
      </w:r>
    </w:p>
  </w:footnote>
  <w:footnote w:id="7">
    <w:p w:rsidR="00AF10A6" w:rsidRPr="00D31C3D" w:rsidRDefault="00AF10A6" w:rsidP="009E44DD">
      <w:pPr>
        <w:pStyle w:val="Notedebasdepage"/>
        <w:rPr>
          <w:lang w:val="es-ES"/>
        </w:rPr>
      </w:pPr>
      <w:r>
        <w:rPr>
          <w:lang w:val="es-ES"/>
        </w:rPr>
        <w:tab/>
      </w:r>
      <w:r w:rsidRPr="00D31C3D">
        <w:rPr>
          <w:rStyle w:val="Appelnotedebasdep"/>
          <w:szCs w:val="18"/>
        </w:rPr>
        <w:footnoteRef/>
      </w:r>
      <w:r w:rsidRPr="00D31C3D">
        <w:rPr>
          <w:lang w:val="es-ES"/>
        </w:rPr>
        <w:tab/>
      </w:r>
      <w:proofErr w:type="spellStart"/>
      <w:r w:rsidRPr="00D31C3D">
        <w:rPr>
          <w:lang w:val="es-ES"/>
        </w:rPr>
        <w:t>Environ</w:t>
      </w:r>
      <w:proofErr w:type="spellEnd"/>
      <w:r w:rsidRPr="00D31C3D">
        <w:rPr>
          <w:lang w:val="es-ES"/>
        </w:rPr>
        <w:t xml:space="preserve"> 15 473, 17 euros.</w:t>
      </w:r>
    </w:p>
  </w:footnote>
  <w:footnote w:id="8">
    <w:p w:rsidR="00AF10A6" w:rsidRPr="00D31C3D" w:rsidRDefault="00AF10A6" w:rsidP="009E44DD">
      <w:pPr>
        <w:pStyle w:val="Notedebasdepage"/>
        <w:rPr>
          <w:lang w:val="es-ES"/>
        </w:rPr>
      </w:pPr>
      <w:r>
        <w:rPr>
          <w:lang w:val="es-ES"/>
        </w:rPr>
        <w:tab/>
      </w:r>
      <w:r w:rsidRPr="00D31C3D">
        <w:rPr>
          <w:rStyle w:val="Appelnotedebasdep"/>
          <w:szCs w:val="18"/>
        </w:rPr>
        <w:footnoteRef/>
      </w:r>
      <w:r w:rsidRPr="00D31C3D">
        <w:rPr>
          <w:lang w:val="es-ES"/>
        </w:rPr>
        <w:tab/>
      </w:r>
      <w:proofErr w:type="spellStart"/>
      <w:r w:rsidRPr="00D31C3D">
        <w:rPr>
          <w:lang w:val="es-ES"/>
        </w:rPr>
        <w:t>Environ</w:t>
      </w:r>
      <w:proofErr w:type="spellEnd"/>
      <w:r w:rsidRPr="00D31C3D">
        <w:rPr>
          <w:lang w:val="es-ES"/>
        </w:rPr>
        <w:t xml:space="preserve"> 4 927 510, 53 euros</w:t>
      </w:r>
      <w:r w:rsidRPr="00D31C3D">
        <w:rPr>
          <w:color w:val="9BBB59"/>
          <w:lang w:val="es-ES"/>
        </w:rPr>
        <w:t>.</w:t>
      </w:r>
    </w:p>
  </w:footnote>
  <w:footnote w:id="9">
    <w:p w:rsidR="00AF10A6" w:rsidRPr="00D31C3D" w:rsidRDefault="00AF10A6" w:rsidP="009E44DD">
      <w:pPr>
        <w:pStyle w:val="Notedebasdepage"/>
        <w:rPr>
          <w:lang w:val="es-ES"/>
        </w:rPr>
      </w:pPr>
      <w:r>
        <w:rPr>
          <w:lang w:val="es-ES"/>
        </w:rPr>
        <w:tab/>
      </w:r>
      <w:r w:rsidRPr="00D31C3D">
        <w:rPr>
          <w:rStyle w:val="Appelnotedebasdep"/>
          <w:szCs w:val="18"/>
        </w:rPr>
        <w:footnoteRef/>
      </w:r>
      <w:r w:rsidRPr="00D31C3D">
        <w:rPr>
          <w:lang w:val="es-ES"/>
        </w:rPr>
        <w:tab/>
      </w:r>
      <w:proofErr w:type="spellStart"/>
      <w:r w:rsidRPr="00D31C3D">
        <w:rPr>
          <w:lang w:val="es-ES"/>
        </w:rPr>
        <w:t>Environ</w:t>
      </w:r>
      <w:proofErr w:type="spellEnd"/>
      <w:r w:rsidRPr="00D31C3D">
        <w:rPr>
          <w:lang w:val="es-ES"/>
        </w:rPr>
        <w:t xml:space="preserve"> 47 074 285, 41 euros.</w:t>
      </w:r>
    </w:p>
  </w:footnote>
  <w:footnote w:id="10">
    <w:p w:rsidR="00AF10A6" w:rsidRPr="00D31C3D" w:rsidRDefault="00AF10A6" w:rsidP="009E44DD">
      <w:pPr>
        <w:pStyle w:val="Notedebasdepage"/>
        <w:rPr>
          <w:lang w:val="es-ES"/>
        </w:rPr>
      </w:pPr>
      <w:r>
        <w:rPr>
          <w:lang w:val="es-ES"/>
        </w:rPr>
        <w:tab/>
      </w:r>
      <w:r w:rsidRPr="00D31C3D">
        <w:rPr>
          <w:rStyle w:val="Appelnotedebasdep"/>
          <w:szCs w:val="18"/>
        </w:rPr>
        <w:footnoteRef/>
      </w:r>
      <w:r w:rsidRPr="00D31C3D">
        <w:rPr>
          <w:lang w:val="es-ES"/>
        </w:rPr>
        <w:tab/>
      </w:r>
      <w:proofErr w:type="spellStart"/>
      <w:r w:rsidRPr="00D31C3D">
        <w:rPr>
          <w:lang w:val="es-ES"/>
        </w:rPr>
        <w:t>Environ</w:t>
      </w:r>
      <w:proofErr w:type="spellEnd"/>
      <w:r w:rsidRPr="00D31C3D">
        <w:rPr>
          <w:lang w:val="es-ES"/>
        </w:rPr>
        <w:t xml:space="preserve"> 230 534, 35 </w:t>
      </w:r>
      <w:r w:rsidRPr="0017665A">
        <w:rPr>
          <w:lang w:val="es-ES"/>
        </w:rPr>
        <w:t>euros</w:t>
      </w:r>
      <w:r w:rsidRPr="00D31C3D">
        <w:rPr>
          <w:lang w:val="es-ES"/>
        </w:rPr>
        <w:t>.</w:t>
      </w:r>
    </w:p>
  </w:footnote>
  <w:footnote w:id="11">
    <w:p w:rsidR="00AF10A6" w:rsidRPr="00D31C3D" w:rsidRDefault="00AF10A6" w:rsidP="0017665A">
      <w:pPr>
        <w:pStyle w:val="Notedebasdepage"/>
        <w:rPr>
          <w:szCs w:val="18"/>
        </w:rPr>
      </w:pPr>
      <w:r w:rsidRPr="0017665A">
        <w:rPr>
          <w:szCs w:val="18"/>
          <w:lang w:val="es-ES"/>
        </w:rPr>
        <w:tab/>
      </w:r>
      <w:r w:rsidRPr="00D31C3D">
        <w:rPr>
          <w:rStyle w:val="Appelnotedebasdep"/>
          <w:szCs w:val="18"/>
        </w:rPr>
        <w:footnoteRef/>
      </w:r>
      <w:r w:rsidRPr="00D31C3D">
        <w:rPr>
          <w:szCs w:val="18"/>
          <w:lang w:val="fr-MC"/>
        </w:rPr>
        <w:t xml:space="preserve"> </w:t>
      </w:r>
      <w:r w:rsidRPr="00D31C3D">
        <w:rPr>
          <w:szCs w:val="18"/>
          <w:lang w:val="fr-MC"/>
        </w:rPr>
        <w:tab/>
        <w:t>Les numéros de ces lignes vertes sont les suivants</w:t>
      </w:r>
      <w:r>
        <w:rPr>
          <w:szCs w:val="18"/>
          <w:lang w:val="fr-MC"/>
        </w:rPr>
        <w:t> :</w:t>
      </w:r>
      <w:r w:rsidRPr="00D31C3D">
        <w:rPr>
          <w:szCs w:val="18"/>
          <w:lang w:val="fr-MC"/>
        </w:rPr>
        <w:t xml:space="preserve"> 288 20 06 06</w:t>
      </w:r>
      <w:r>
        <w:rPr>
          <w:szCs w:val="18"/>
          <w:lang w:val="fr-MC"/>
        </w:rPr>
        <w:t> ;</w:t>
      </w:r>
      <w:r w:rsidRPr="00D31C3D">
        <w:rPr>
          <w:szCs w:val="18"/>
          <w:lang w:val="fr-MC"/>
        </w:rPr>
        <w:t xml:space="preserve"> 673 20 57 25</w:t>
      </w:r>
      <w:r>
        <w:rPr>
          <w:szCs w:val="18"/>
          <w:lang w:val="fr-MC"/>
        </w:rPr>
        <w:t> ;</w:t>
      </w:r>
      <w:r w:rsidRPr="00D31C3D">
        <w:rPr>
          <w:szCs w:val="18"/>
          <w:lang w:val="fr-MC"/>
        </w:rPr>
        <w:t xml:space="preserve"> 663 49 28 21</w:t>
      </w:r>
      <w:r>
        <w:rPr>
          <w:szCs w:val="18"/>
          <w:lang w:val="fr-MC"/>
        </w:rPr>
        <w:t> ;</w:t>
      </w:r>
      <w:r w:rsidRPr="00D31C3D">
        <w:rPr>
          <w:szCs w:val="18"/>
          <w:lang w:val="fr-MC"/>
        </w:rPr>
        <w:t xml:space="preserve"> 699</w:t>
      </w:r>
      <w:r>
        <w:rPr>
          <w:szCs w:val="18"/>
          <w:lang w:val="fr-MC"/>
        </w:rPr>
        <w:t> </w:t>
      </w:r>
      <w:r w:rsidRPr="00D31C3D">
        <w:rPr>
          <w:szCs w:val="18"/>
          <w:lang w:val="fr-MC"/>
        </w:rPr>
        <w:t>37 07 48.</w:t>
      </w:r>
    </w:p>
  </w:footnote>
  <w:footnote w:id="12">
    <w:p w:rsidR="00AF10A6" w:rsidRPr="009527BF" w:rsidRDefault="00AF10A6" w:rsidP="009E44DD">
      <w:pPr>
        <w:pStyle w:val="Notedebasdepage"/>
      </w:pPr>
      <w:r>
        <w:tab/>
      </w:r>
      <w:r w:rsidRPr="00D31C3D">
        <w:rPr>
          <w:rStyle w:val="Appelnotedebasdep"/>
          <w:szCs w:val="18"/>
        </w:rPr>
        <w:footnoteRef/>
      </w:r>
      <w:r w:rsidRPr="00D31C3D">
        <w:t xml:space="preserve"> </w:t>
      </w:r>
      <w:r w:rsidRPr="00D31C3D">
        <w:tab/>
        <w:t>Pour toutes les dispositions du CP citées dans le présent Rapport</w:t>
      </w:r>
      <w:r>
        <w:t>, voir a</w:t>
      </w:r>
      <w:r w:rsidRPr="0017665A">
        <w:t>nnexe n</w:t>
      </w:r>
      <w:r w:rsidRPr="0017665A">
        <w:rPr>
          <w:vertAlign w:val="superscript"/>
        </w:rPr>
        <w:t>o</w:t>
      </w:r>
      <w:r w:rsidRPr="0017665A">
        <w:t> 2</w:t>
      </w:r>
      <w:r w:rsidRPr="009527BF">
        <w:t>.</w:t>
      </w:r>
    </w:p>
  </w:footnote>
  <w:footnote w:id="13">
    <w:p w:rsidR="00AF10A6" w:rsidRPr="00D31C3D" w:rsidRDefault="00AF10A6" w:rsidP="009E44DD">
      <w:pPr>
        <w:pStyle w:val="Notedebasdepage"/>
        <w:rPr>
          <w:lang w:val="fr-MC"/>
        </w:rPr>
      </w:pPr>
      <w:r>
        <w:rPr>
          <w:lang w:val="fr-MC"/>
        </w:rPr>
        <w:tab/>
      </w:r>
      <w:r w:rsidRPr="00D31C3D">
        <w:rPr>
          <w:rStyle w:val="Appelnotedebasdep"/>
          <w:szCs w:val="18"/>
        </w:rPr>
        <w:footnoteRef/>
      </w:r>
      <w:r w:rsidRPr="00D31C3D">
        <w:rPr>
          <w:lang w:val="fr-MC"/>
        </w:rPr>
        <w:t xml:space="preserve"> </w:t>
      </w:r>
      <w:r w:rsidRPr="00D31C3D">
        <w:rPr>
          <w:lang w:val="fr-MC"/>
        </w:rPr>
        <w:tab/>
        <w:t xml:space="preserve">Environ </w:t>
      </w:r>
      <w:r w:rsidRPr="00D31C3D">
        <w:t>76 335, 88 euros.</w:t>
      </w:r>
    </w:p>
  </w:footnote>
  <w:footnote w:id="14">
    <w:p w:rsidR="00AF10A6" w:rsidRPr="00D31C3D" w:rsidRDefault="00AF10A6" w:rsidP="009E44DD">
      <w:pPr>
        <w:pStyle w:val="Notedebasdepage"/>
        <w:rPr>
          <w:lang w:val="fr-MC"/>
        </w:rPr>
      </w:pPr>
      <w:r>
        <w:rPr>
          <w:lang w:val="fr-MC"/>
        </w:rPr>
        <w:tab/>
      </w:r>
      <w:r w:rsidRPr="00D31C3D">
        <w:rPr>
          <w:rStyle w:val="Appelnotedebasdep"/>
          <w:szCs w:val="18"/>
        </w:rPr>
        <w:footnoteRef/>
      </w:r>
      <w:r w:rsidRPr="00D31C3D">
        <w:rPr>
          <w:lang w:val="fr-MC"/>
        </w:rPr>
        <w:t xml:space="preserve"> </w:t>
      </w:r>
      <w:r w:rsidRPr="00D31C3D">
        <w:rPr>
          <w:lang w:val="fr-MC"/>
        </w:rPr>
        <w:tab/>
        <w:t>Voir Rapport du Ministère de la Justice sur l’état des Droits de</w:t>
      </w:r>
      <w:r>
        <w:rPr>
          <w:lang w:val="fr-MC"/>
        </w:rPr>
        <w:t xml:space="preserve"> l’Homme en 2012, 2013, 2014 et </w:t>
      </w:r>
      <w:r w:rsidRPr="00D31C3D">
        <w:rPr>
          <w:lang w:val="fr-MC"/>
        </w:rPr>
        <w:t>2015.</w:t>
      </w:r>
    </w:p>
  </w:footnote>
  <w:footnote w:id="15">
    <w:p w:rsidR="00AF10A6" w:rsidRPr="00D31C3D" w:rsidRDefault="00AF10A6" w:rsidP="009E44DD">
      <w:pPr>
        <w:pStyle w:val="Notedebasdepage"/>
        <w:rPr>
          <w:lang w:val="es-ES"/>
        </w:rPr>
      </w:pPr>
      <w:r w:rsidRPr="0017665A">
        <w:rPr>
          <w:lang w:val="fr-FR"/>
        </w:rPr>
        <w:tab/>
      </w:r>
      <w:r w:rsidRPr="00D31C3D">
        <w:rPr>
          <w:rStyle w:val="Appelnotedebasdep"/>
          <w:szCs w:val="18"/>
        </w:rPr>
        <w:footnoteRef/>
      </w:r>
      <w:r w:rsidRPr="00D31C3D">
        <w:rPr>
          <w:lang w:val="es-ES"/>
        </w:rPr>
        <w:t xml:space="preserve"> </w:t>
      </w:r>
      <w:r w:rsidRPr="00D31C3D">
        <w:rPr>
          <w:lang w:val="es-ES"/>
        </w:rPr>
        <w:tab/>
      </w:r>
      <w:proofErr w:type="spellStart"/>
      <w:r w:rsidRPr="00D31C3D">
        <w:rPr>
          <w:lang w:val="es-ES"/>
        </w:rPr>
        <w:t>Environ</w:t>
      </w:r>
      <w:proofErr w:type="spellEnd"/>
      <w:r w:rsidRPr="00D31C3D">
        <w:rPr>
          <w:lang w:val="es-ES"/>
        </w:rPr>
        <w:t xml:space="preserve"> 326, 06 euros.</w:t>
      </w:r>
    </w:p>
  </w:footnote>
  <w:footnote w:id="16">
    <w:p w:rsidR="00AF10A6" w:rsidRPr="00D31C3D" w:rsidRDefault="00AF10A6" w:rsidP="009E44DD">
      <w:pPr>
        <w:pStyle w:val="Notedebasdepage"/>
        <w:rPr>
          <w:lang w:val="es-ES"/>
        </w:rPr>
      </w:pPr>
      <w:r>
        <w:rPr>
          <w:lang w:val="es-ES"/>
        </w:rPr>
        <w:tab/>
      </w:r>
      <w:r w:rsidRPr="00D31C3D">
        <w:rPr>
          <w:rStyle w:val="Appelnotedebasdep"/>
          <w:szCs w:val="18"/>
        </w:rPr>
        <w:footnoteRef/>
      </w:r>
      <w:r w:rsidRPr="00D31C3D">
        <w:rPr>
          <w:lang w:val="es-ES"/>
        </w:rPr>
        <w:t xml:space="preserve"> </w:t>
      </w:r>
      <w:r w:rsidRPr="00D31C3D">
        <w:rPr>
          <w:lang w:val="es-ES"/>
        </w:rPr>
        <w:tab/>
      </w:r>
      <w:proofErr w:type="spellStart"/>
      <w:r w:rsidRPr="00D31C3D">
        <w:rPr>
          <w:lang w:val="es-ES"/>
        </w:rPr>
        <w:t>Environ</w:t>
      </w:r>
      <w:proofErr w:type="spellEnd"/>
      <w:r w:rsidRPr="00D31C3D">
        <w:rPr>
          <w:lang w:val="es-ES"/>
        </w:rPr>
        <w:t xml:space="preserve"> 73 879 071, 63 euros.</w:t>
      </w:r>
    </w:p>
  </w:footnote>
  <w:footnote w:id="17">
    <w:p w:rsidR="00AF10A6" w:rsidRPr="00D31C3D" w:rsidRDefault="00AF10A6" w:rsidP="009E44DD">
      <w:pPr>
        <w:pStyle w:val="Notedebasdepage"/>
        <w:rPr>
          <w:lang w:val="es-ES"/>
        </w:rPr>
      </w:pPr>
      <w:r>
        <w:rPr>
          <w:lang w:val="es-ES"/>
        </w:rPr>
        <w:tab/>
      </w:r>
      <w:r w:rsidRPr="00D31C3D">
        <w:rPr>
          <w:rStyle w:val="Appelnotedebasdep"/>
          <w:szCs w:val="18"/>
        </w:rPr>
        <w:footnoteRef/>
      </w:r>
      <w:r w:rsidRPr="00D31C3D">
        <w:rPr>
          <w:lang w:val="es-ES"/>
        </w:rPr>
        <w:t xml:space="preserve"> </w:t>
      </w:r>
      <w:r w:rsidRPr="00D31C3D">
        <w:rPr>
          <w:lang w:val="es-ES"/>
        </w:rPr>
        <w:tab/>
      </w:r>
      <w:proofErr w:type="spellStart"/>
      <w:r w:rsidRPr="00D31C3D">
        <w:rPr>
          <w:lang w:val="es-ES"/>
        </w:rPr>
        <w:t>Environ</w:t>
      </w:r>
      <w:proofErr w:type="spellEnd"/>
      <w:r w:rsidRPr="00D31C3D">
        <w:rPr>
          <w:lang w:val="es-ES"/>
        </w:rPr>
        <w:t xml:space="preserve"> 7 775 770, 78 euros.</w:t>
      </w:r>
    </w:p>
  </w:footnote>
  <w:footnote w:id="18">
    <w:p w:rsidR="00AF10A6" w:rsidRPr="00D31C3D" w:rsidRDefault="00AF10A6" w:rsidP="009E44DD">
      <w:pPr>
        <w:pStyle w:val="Notedebasdepage"/>
        <w:rPr>
          <w:lang w:val="es-ES"/>
        </w:rPr>
      </w:pPr>
      <w:r>
        <w:rPr>
          <w:lang w:val="es-ES"/>
        </w:rPr>
        <w:tab/>
      </w:r>
      <w:r w:rsidRPr="00D31C3D">
        <w:rPr>
          <w:rStyle w:val="Appelnotedebasdep"/>
          <w:szCs w:val="18"/>
        </w:rPr>
        <w:footnoteRef/>
      </w:r>
      <w:r w:rsidRPr="00D31C3D">
        <w:rPr>
          <w:lang w:val="es-ES"/>
        </w:rPr>
        <w:t xml:space="preserve"> </w:t>
      </w:r>
      <w:r w:rsidRPr="00D31C3D">
        <w:rPr>
          <w:lang w:val="es-ES"/>
        </w:rPr>
        <w:tab/>
      </w:r>
      <w:proofErr w:type="spellStart"/>
      <w:r w:rsidRPr="00D31C3D">
        <w:rPr>
          <w:lang w:val="es-ES"/>
        </w:rPr>
        <w:t>Environ</w:t>
      </w:r>
      <w:proofErr w:type="spellEnd"/>
      <w:r w:rsidRPr="00D31C3D">
        <w:rPr>
          <w:lang w:val="es-ES"/>
        </w:rPr>
        <w:t xml:space="preserve"> 74 583, 21 euros.</w:t>
      </w:r>
    </w:p>
  </w:footnote>
  <w:footnote w:id="19">
    <w:p w:rsidR="00AF10A6" w:rsidRPr="00D31C3D" w:rsidRDefault="00AF10A6" w:rsidP="009E44DD">
      <w:pPr>
        <w:pStyle w:val="Notedebasdepage"/>
        <w:rPr>
          <w:lang w:val="es-ES"/>
        </w:rPr>
      </w:pPr>
      <w:r>
        <w:rPr>
          <w:lang w:val="es-ES"/>
        </w:rPr>
        <w:tab/>
      </w:r>
      <w:r w:rsidRPr="00D31C3D">
        <w:rPr>
          <w:rStyle w:val="Appelnotedebasdep"/>
          <w:szCs w:val="18"/>
        </w:rPr>
        <w:footnoteRef/>
      </w:r>
      <w:r w:rsidRPr="00D31C3D">
        <w:rPr>
          <w:lang w:val="es-ES"/>
        </w:rPr>
        <w:t xml:space="preserve"> </w:t>
      </w:r>
      <w:r w:rsidRPr="00D31C3D">
        <w:rPr>
          <w:lang w:val="es-ES"/>
        </w:rPr>
        <w:tab/>
      </w:r>
      <w:proofErr w:type="spellStart"/>
      <w:r w:rsidRPr="00D31C3D">
        <w:rPr>
          <w:lang w:val="es-ES"/>
        </w:rPr>
        <w:t>Environ</w:t>
      </w:r>
      <w:proofErr w:type="spellEnd"/>
      <w:r w:rsidRPr="00D31C3D">
        <w:rPr>
          <w:lang w:val="es-ES"/>
        </w:rPr>
        <w:t xml:space="preserve"> 2 821 963, 40 euros. </w:t>
      </w:r>
    </w:p>
  </w:footnote>
  <w:footnote w:id="20">
    <w:p w:rsidR="00AF10A6" w:rsidRPr="00D31C3D" w:rsidRDefault="00AF10A6" w:rsidP="009E44DD">
      <w:pPr>
        <w:pStyle w:val="Notedebasdepage"/>
        <w:rPr>
          <w:lang w:val="es-ES"/>
        </w:rPr>
      </w:pPr>
      <w:r>
        <w:rPr>
          <w:lang w:val="es-ES"/>
        </w:rPr>
        <w:tab/>
      </w:r>
      <w:r w:rsidRPr="00D31C3D">
        <w:rPr>
          <w:rStyle w:val="Appelnotedebasdep"/>
          <w:szCs w:val="18"/>
        </w:rPr>
        <w:footnoteRef/>
      </w:r>
      <w:r w:rsidRPr="00D31C3D">
        <w:rPr>
          <w:lang w:val="es-ES"/>
        </w:rPr>
        <w:t xml:space="preserve"> </w:t>
      </w:r>
      <w:r w:rsidRPr="00D31C3D">
        <w:rPr>
          <w:lang w:val="es-ES"/>
        </w:rPr>
        <w:tab/>
      </w:r>
      <w:proofErr w:type="spellStart"/>
      <w:r w:rsidRPr="00D31C3D">
        <w:rPr>
          <w:lang w:val="es-ES"/>
        </w:rPr>
        <w:t>Environ</w:t>
      </w:r>
      <w:proofErr w:type="spellEnd"/>
      <w:r w:rsidRPr="00D31C3D">
        <w:rPr>
          <w:lang w:val="es-ES"/>
        </w:rPr>
        <w:t xml:space="preserve"> 137 158 824, 43 euros.</w:t>
      </w:r>
    </w:p>
  </w:footnote>
  <w:footnote w:id="21">
    <w:p w:rsidR="00AF10A6" w:rsidRPr="00D31C3D" w:rsidRDefault="00AF10A6" w:rsidP="009E44DD">
      <w:pPr>
        <w:pStyle w:val="Notedebasdepage"/>
        <w:rPr>
          <w:lang w:val="es-ES"/>
        </w:rPr>
      </w:pPr>
      <w:r>
        <w:rPr>
          <w:lang w:val="es-ES"/>
        </w:rPr>
        <w:tab/>
      </w:r>
      <w:r w:rsidRPr="00D31C3D">
        <w:rPr>
          <w:rStyle w:val="Appelnotedebasdep"/>
          <w:szCs w:val="18"/>
        </w:rPr>
        <w:footnoteRef/>
      </w:r>
      <w:r w:rsidRPr="00D31C3D">
        <w:rPr>
          <w:lang w:val="es-ES"/>
        </w:rPr>
        <w:t xml:space="preserve"> </w:t>
      </w:r>
      <w:r w:rsidRPr="00D31C3D">
        <w:rPr>
          <w:lang w:val="es-ES"/>
        </w:rPr>
        <w:tab/>
      </w:r>
      <w:proofErr w:type="spellStart"/>
      <w:r w:rsidRPr="00D31C3D">
        <w:rPr>
          <w:lang w:val="es-ES"/>
        </w:rPr>
        <w:t>Environ</w:t>
      </w:r>
      <w:proofErr w:type="spellEnd"/>
      <w:r w:rsidRPr="00D31C3D">
        <w:rPr>
          <w:lang w:val="es-ES"/>
        </w:rPr>
        <w:t xml:space="preserve"> 1 679 389,31 euros.</w:t>
      </w:r>
    </w:p>
  </w:footnote>
  <w:footnote w:id="22">
    <w:p w:rsidR="00AF10A6" w:rsidRPr="00D31C3D" w:rsidRDefault="00AF10A6" w:rsidP="009E44DD">
      <w:pPr>
        <w:pStyle w:val="Notedebasdepage"/>
        <w:rPr>
          <w:lang w:val="es-ES"/>
        </w:rPr>
      </w:pPr>
      <w:r>
        <w:rPr>
          <w:lang w:val="es-ES"/>
        </w:rPr>
        <w:tab/>
      </w:r>
      <w:r w:rsidRPr="00D31C3D">
        <w:rPr>
          <w:rStyle w:val="Appelnotedebasdep"/>
          <w:szCs w:val="18"/>
        </w:rPr>
        <w:footnoteRef/>
      </w:r>
      <w:r w:rsidRPr="00D31C3D">
        <w:rPr>
          <w:lang w:val="es-ES"/>
        </w:rPr>
        <w:t xml:space="preserve"> </w:t>
      </w:r>
      <w:r w:rsidRPr="00D31C3D">
        <w:rPr>
          <w:lang w:val="es-ES"/>
        </w:rPr>
        <w:tab/>
      </w:r>
      <w:proofErr w:type="spellStart"/>
      <w:r w:rsidRPr="00D31C3D">
        <w:rPr>
          <w:lang w:val="es-ES"/>
        </w:rPr>
        <w:t>Environ</w:t>
      </w:r>
      <w:proofErr w:type="spellEnd"/>
      <w:r w:rsidRPr="00D31C3D">
        <w:rPr>
          <w:lang w:val="es-ES"/>
        </w:rPr>
        <w:t xml:space="preserve"> 610 687, 022 euros.</w:t>
      </w:r>
    </w:p>
  </w:footnote>
  <w:footnote w:id="23">
    <w:p w:rsidR="00AF10A6" w:rsidRPr="00D31C3D" w:rsidRDefault="00AF10A6" w:rsidP="009E44DD">
      <w:pPr>
        <w:pStyle w:val="Notedebasdepage"/>
        <w:rPr>
          <w:lang w:val="es-ES"/>
        </w:rPr>
      </w:pPr>
      <w:r>
        <w:rPr>
          <w:lang w:val="es-ES"/>
        </w:rPr>
        <w:tab/>
      </w:r>
      <w:r w:rsidRPr="00D31C3D">
        <w:rPr>
          <w:rStyle w:val="Appelnotedebasdep"/>
          <w:szCs w:val="18"/>
        </w:rPr>
        <w:footnoteRef/>
      </w:r>
      <w:r w:rsidRPr="00D31C3D">
        <w:rPr>
          <w:lang w:val="es-ES"/>
        </w:rPr>
        <w:t xml:space="preserve"> </w:t>
      </w:r>
      <w:r w:rsidRPr="00D31C3D">
        <w:rPr>
          <w:lang w:val="es-ES"/>
        </w:rPr>
        <w:tab/>
      </w:r>
      <w:proofErr w:type="spellStart"/>
      <w:r w:rsidRPr="00D31C3D">
        <w:rPr>
          <w:lang w:val="es-ES"/>
        </w:rPr>
        <w:t>Environ</w:t>
      </w:r>
      <w:proofErr w:type="spellEnd"/>
      <w:r w:rsidRPr="00D31C3D">
        <w:rPr>
          <w:lang w:val="es-ES"/>
        </w:rPr>
        <w:t xml:space="preserve"> 1 068 702,29 euros.</w:t>
      </w:r>
    </w:p>
  </w:footnote>
  <w:footnote w:id="24">
    <w:p w:rsidR="00AF10A6" w:rsidRPr="00D31C3D" w:rsidRDefault="00AF10A6" w:rsidP="009E44DD">
      <w:pPr>
        <w:pStyle w:val="Notedebasdepage"/>
      </w:pPr>
      <w:r w:rsidRPr="0017665A">
        <w:rPr>
          <w:lang w:val="es-ES"/>
        </w:rPr>
        <w:tab/>
      </w:r>
      <w:r w:rsidRPr="00D31C3D">
        <w:rPr>
          <w:rStyle w:val="Appelnotedebasdep"/>
          <w:szCs w:val="18"/>
        </w:rPr>
        <w:footnoteRef/>
      </w:r>
      <w:r w:rsidRPr="00D31C3D">
        <w:rPr>
          <w:lang w:val="fr-MC"/>
        </w:rPr>
        <w:t xml:space="preserve"> </w:t>
      </w:r>
      <w:r w:rsidRPr="00D31C3D">
        <w:rPr>
          <w:lang w:val="fr-MC"/>
        </w:rPr>
        <w:tab/>
        <w:t xml:space="preserve">Environ </w:t>
      </w:r>
      <w:r w:rsidRPr="00D31C3D">
        <w:t>30 534,35 euros.</w:t>
      </w:r>
    </w:p>
  </w:footnote>
  <w:footnote w:id="25">
    <w:p w:rsidR="00AF10A6" w:rsidRPr="00D31C3D" w:rsidRDefault="00AF10A6" w:rsidP="009E44DD">
      <w:pPr>
        <w:pStyle w:val="Notedebasdepage"/>
      </w:pPr>
      <w:r>
        <w:rPr>
          <w:lang w:val="fr-MC"/>
        </w:rPr>
        <w:tab/>
      </w:r>
      <w:r w:rsidRPr="00D31C3D">
        <w:rPr>
          <w:rStyle w:val="Appelnotedebasdep"/>
          <w:szCs w:val="18"/>
        </w:rPr>
        <w:footnoteRef/>
      </w:r>
      <w:r w:rsidRPr="00D31C3D">
        <w:rPr>
          <w:lang w:val="fr-MC"/>
        </w:rPr>
        <w:t xml:space="preserve"> </w:t>
      </w:r>
      <w:r w:rsidRPr="00D31C3D">
        <w:rPr>
          <w:lang w:val="fr-MC"/>
        </w:rPr>
        <w:tab/>
        <w:t xml:space="preserve">Environ </w:t>
      </w:r>
      <w:r w:rsidRPr="00D31C3D">
        <w:t>1 099 236,64 euros.</w:t>
      </w:r>
    </w:p>
  </w:footnote>
  <w:footnote w:id="26">
    <w:p w:rsidR="00AF10A6" w:rsidRPr="00D31C3D" w:rsidRDefault="00AF10A6" w:rsidP="009E44DD">
      <w:pPr>
        <w:pStyle w:val="Notedebasdepage"/>
      </w:pPr>
      <w:r>
        <w:tab/>
      </w:r>
      <w:r w:rsidRPr="00D31C3D">
        <w:rPr>
          <w:rStyle w:val="Appelnotedebasdep"/>
          <w:szCs w:val="18"/>
        </w:rPr>
        <w:footnoteRef/>
      </w:r>
      <w:r w:rsidRPr="00D31C3D">
        <w:t xml:space="preserve"> </w:t>
      </w:r>
      <w:r w:rsidRPr="00D31C3D">
        <w:tab/>
        <w:t>Le budget de fonctionnement de la CNDHL pour l’exercice 2016 est de 756 000 000 FCFA, soit</w:t>
      </w:r>
      <w:r w:rsidRPr="00D31C3D">
        <w:rPr>
          <w:lang w:val="fr-MC"/>
        </w:rPr>
        <w:t xml:space="preserve">environ </w:t>
      </w:r>
      <w:r w:rsidRPr="00D31C3D">
        <w:t>1</w:t>
      </w:r>
      <w:r>
        <w:t> </w:t>
      </w:r>
      <w:r w:rsidRPr="00D31C3D">
        <w:t>152</w:t>
      </w:r>
      <w:r>
        <w:t> </w:t>
      </w:r>
      <w:r w:rsidRPr="00D31C3D">
        <w:t>439,02 euros.</w:t>
      </w:r>
    </w:p>
  </w:footnote>
  <w:footnote w:id="27">
    <w:p w:rsidR="00AF10A6" w:rsidRPr="00D31C3D" w:rsidRDefault="00AF10A6" w:rsidP="009E44DD">
      <w:pPr>
        <w:pStyle w:val="Notedebasdepage"/>
      </w:pPr>
      <w:r>
        <w:rPr>
          <w:lang w:val="fr-MC"/>
        </w:rPr>
        <w:tab/>
      </w:r>
      <w:r w:rsidRPr="00D31C3D">
        <w:rPr>
          <w:rStyle w:val="Appelnotedebasdep"/>
          <w:szCs w:val="18"/>
        </w:rPr>
        <w:footnoteRef/>
      </w:r>
      <w:r w:rsidRPr="00D31C3D">
        <w:rPr>
          <w:lang w:val="fr-MC"/>
        </w:rPr>
        <w:t xml:space="preserve"> </w:t>
      </w:r>
      <w:r w:rsidRPr="00D31C3D">
        <w:rPr>
          <w:lang w:val="fr-MC"/>
        </w:rPr>
        <w:tab/>
        <w:t xml:space="preserve">Environ </w:t>
      </w:r>
      <w:r w:rsidRPr="00D31C3D">
        <w:t>7 633 587,79 euros.</w:t>
      </w:r>
    </w:p>
  </w:footnote>
  <w:footnote w:id="28">
    <w:p w:rsidR="00AF10A6" w:rsidRPr="00D31C3D" w:rsidRDefault="00AF10A6" w:rsidP="009E44DD">
      <w:pPr>
        <w:pStyle w:val="Notedebasdepage"/>
      </w:pPr>
      <w:r w:rsidRPr="00D31C3D">
        <w:tab/>
      </w:r>
      <w:r w:rsidRPr="00D31C3D">
        <w:rPr>
          <w:rStyle w:val="Appelnotedebasdep"/>
          <w:szCs w:val="18"/>
        </w:rPr>
        <w:footnoteRef/>
      </w:r>
      <w:r w:rsidRPr="00D31C3D">
        <w:tab/>
        <w:t>Il s’agit notamment de l’installation des candidats ayant des difficultés de mobilité dans les salles d’examens situées au rez-de-chaussée</w:t>
      </w:r>
      <w:r>
        <w:t> ;</w:t>
      </w:r>
      <w:r w:rsidRPr="00D31C3D">
        <w:t>l’agrandissement de la taille de la police sur les épreuves</w:t>
      </w:r>
      <w:r>
        <w:t xml:space="preserve"> </w:t>
      </w:r>
      <w:r w:rsidRPr="00D31C3D">
        <w:t>pour les mal voyants</w:t>
      </w:r>
      <w:r>
        <w:t xml:space="preserve"> </w:t>
      </w:r>
      <w:r w:rsidRPr="00D31C3D">
        <w:t>et leur installation près du tableau noir</w:t>
      </w:r>
      <w:r>
        <w:t> ;</w:t>
      </w:r>
      <w:r w:rsidRPr="00D31C3D">
        <w:t xml:space="preserve"> la transcription des épreuves en braille pour les non-voyants</w:t>
      </w:r>
      <w:r>
        <w:t> ;</w:t>
      </w:r>
      <w:r w:rsidRPr="00D31C3D">
        <w:t xml:space="preserve"> l’interprétation des consignes d’examen en langue de signe pour les sourds et mal </w:t>
      </w:r>
      <w:proofErr w:type="spellStart"/>
      <w:r w:rsidRPr="00D31C3D">
        <w:t>entendants</w:t>
      </w:r>
      <w:proofErr w:type="spellEnd"/>
      <w:r>
        <w:t> ;</w:t>
      </w:r>
      <w:r w:rsidRPr="00D31C3D">
        <w:t xml:space="preserve"> le remplacement de l’épreuve de dictée par l’épreuve de la chasse aux fautes pour les sourds et mal </w:t>
      </w:r>
      <w:proofErr w:type="spellStart"/>
      <w:r w:rsidRPr="00D31C3D">
        <w:t>entendants</w:t>
      </w:r>
      <w:proofErr w:type="spellEnd"/>
      <w:r w:rsidRPr="00D31C3D">
        <w:t>.</w:t>
      </w:r>
    </w:p>
  </w:footnote>
  <w:footnote w:id="29">
    <w:p w:rsidR="00AF10A6" w:rsidRPr="00D31C3D" w:rsidRDefault="00AF10A6" w:rsidP="00F17353">
      <w:pPr>
        <w:pStyle w:val="Notedebasdepage"/>
        <w:rPr>
          <w:lang w:val="es-ES"/>
        </w:rPr>
      </w:pPr>
      <w:r w:rsidRPr="0017665A">
        <w:rPr>
          <w:lang w:val="fr-FR"/>
        </w:rPr>
        <w:tab/>
      </w:r>
      <w:r w:rsidRPr="00D31C3D">
        <w:rPr>
          <w:rStyle w:val="Appelnotedebasdep"/>
          <w:szCs w:val="18"/>
        </w:rPr>
        <w:footnoteRef/>
      </w:r>
      <w:r w:rsidRPr="00D31C3D">
        <w:rPr>
          <w:lang w:val="es-ES"/>
        </w:rPr>
        <w:t xml:space="preserve"> </w:t>
      </w:r>
      <w:r w:rsidRPr="00D31C3D">
        <w:rPr>
          <w:lang w:val="es-ES"/>
        </w:rPr>
        <w:tab/>
        <w:t>Environ12 213,74 euros.</w:t>
      </w:r>
    </w:p>
  </w:footnote>
  <w:footnote w:id="30">
    <w:p w:rsidR="00AF10A6" w:rsidRPr="00D31C3D" w:rsidRDefault="00AF10A6" w:rsidP="00F17353">
      <w:pPr>
        <w:pStyle w:val="Notedebasdepage"/>
        <w:rPr>
          <w:lang w:val="es-ES"/>
        </w:rPr>
      </w:pPr>
      <w:r w:rsidRPr="00D31C3D">
        <w:rPr>
          <w:lang w:val="es-ES"/>
        </w:rPr>
        <w:tab/>
      </w:r>
      <w:r w:rsidRPr="00D31C3D">
        <w:rPr>
          <w:rStyle w:val="Appelnotedebasdep"/>
          <w:szCs w:val="18"/>
        </w:rPr>
        <w:footnoteRef/>
      </w:r>
      <w:r w:rsidRPr="00D31C3D">
        <w:rPr>
          <w:lang w:val="es-ES"/>
        </w:rPr>
        <w:t xml:space="preserve"> </w:t>
      </w:r>
      <w:r w:rsidRPr="00D31C3D">
        <w:rPr>
          <w:lang w:val="es-ES"/>
        </w:rPr>
        <w:tab/>
      </w:r>
      <w:proofErr w:type="spellStart"/>
      <w:r w:rsidRPr="00D31C3D">
        <w:rPr>
          <w:lang w:val="es-ES"/>
        </w:rPr>
        <w:t>Environ</w:t>
      </w:r>
      <w:proofErr w:type="spellEnd"/>
      <w:r w:rsidRPr="00D31C3D">
        <w:rPr>
          <w:lang w:val="es-ES"/>
        </w:rPr>
        <w:t xml:space="preserve"> 206 106 870 euros.</w:t>
      </w:r>
    </w:p>
  </w:footnote>
  <w:footnote w:id="31">
    <w:p w:rsidR="00AF10A6" w:rsidRPr="00D31C3D" w:rsidRDefault="00AF10A6" w:rsidP="00F17353">
      <w:pPr>
        <w:pStyle w:val="Notedebasdepage"/>
        <w:rPr>
          <w:lang w:val="es-ES"/>
        </w:rPr>
      </w:pPr>
      <w:r>
        <w:rPr>
          <w:lang w:val="es-ES"/>
        </w:rPr>
        <w:tab/>
      </w:r>
      <w:r w:rsidRPr="00D31C3D">
        <w:rPr>
          <w:rStyle w:val="Appelnotedebasdep"/>
          <w:szCs w:val="18"/>
        </w:rPr>
        <w:footnoteRef/>
      </w:r>
      <w:r w:rsidRPr="00D31C3D">
        <w:rPr>
          <w:lang w:val="es-ES"/>
        </w:rPr>
        <w:t xml:space="preserve"> </w:t>
      </w:r>
      <w:r w:rsidRPr="00D31C3D">
        <w:rPr>
          <w:lang w:val="es-ES"/>
        </w:rPr>
        <w:tab/>
      </w:r>
      <w:proofErr w:type="spellStart"/>
      <w:r w:rsidRPr="00D31C3D">
        <w:rPr>
          <w:lang w:val="es-ES"/>
        </w:rPr>
        <w:t>Environ</w:t>
      </w:r>
      <w:proofErr w:type="spellEnd"/>
      <w:r w:rsidRPr="00D31C3D">
        <w:rPr>
          <w:lang w:val="es-ES"/>
        </w:rPr>
        <w:t xml:space="preserve"> 68 702,29 euros.</w:t>
      </w:r>
    </w:p>
  </w:footnote>
  <w:footnote w:id="32">
    <w:p w:rsidR="00AF10A6" w:rsidRPr="00D31C3D" w:rsidRDefault="00AF10A6" w:rsidP="00F17353">
      <w:pPr>
        <w:pStyle w:val="Notedebasdepage"/>
        <w:rPr>
          <w:lang w:val="es-ES"/>
        </w:rPr>
      </w:pPr>
      <w:r>
        <w:rPr>
          <w:lang w:val="es-ES"/>
        </w:rPr>
        <w:tab/>
      </w:r>
      <w:r w:rsidRPr="00D31C3D">
        <w:rPr>
          <w:rStyle w:val="Appelnotedebasdep"/>
          <w:szCs w:val="18"/>
        </w:rPr>
        <w:footnoteRef/>
      </w:r>
      <w:r w:rsidRPr="00D31C3D">
        <w:rPr>
          <w:lang w:val="es-ES"/>
        </w:rPr>
        <w:t xml:space="preserve"> </w:t>
      </w:r>
      <w:r w:rsidRPr="00D31C3D">
        <w:rPr>
          <w:lang w:val="es-ES"/>
        </w:rPr>
        <w:tab/>
      </w:r>
      <w:proofErr w:type="spellStart"/>
      <w:r w:rsidRPr="0017665A">
        <w:rPr>
          <w:lang w:val="es-ES"/>
        </w:rPr>
        <w:t>Environ</w:t>
      </w:r>
      <w:proofErr w:type="spellEnd"/>
      <w:r w:rsidRPr="00D31C3D">
        <w:rPr>
          <w:lang w:val="es-ES"/>
        </w:rPr>
        <w:t xml:space="preserve"> 15 267,18 euros.</w:t>
      </w:r>
    </w:p>
  </w:footnote>
  <w:footnote w:id="33">
    <w:p w:rsidR="00AF10A6" w:rsidRPr="00D31C3D" w:rsidRDefault="00AF10A6" w:rsidP="00F17353">
      <w:pPr>
        <w:pStyle w:val="Notedebasdepage"/>
        <w:rPr>
          <w:lang w:val="es-ES"/>
        </w:rPr>
      </w:pPr>
      <w:r>
        <w:rPr>
          <w:lang w:val="es-ES"/>
        </w:rPr>
        <w:tab/>
      </w:r>
      <w:r w:rsidRPr="00D31C3D">
        <w:rPr>
          <w:rStyle w:val="Appelnotedebasdep"/>
          <w:szCs w:val="18"/>
        </w:rPr>
        <w:footnoteRef/>
      </w:r>
      <w:r w:rsidRPr="00D31C3D">
        <w:rPr>
          <w:lang w:val="es-ES"/>
        </w:rPr>
        <w:t xml:space="preserve"> </w:t>
      </w:r>
      <w:r w:rsidRPr="00D31C3D">
        <w:rPr>
          <w:lang w:val="es-ES"/>
        </w:rPr>
        <w:tab/>
      </w:r>
      <w:proofErr w:type="spellStart"/>
      <w:r w:rsidRPr="00D31C3D">
        <w:rPr>
          <w:lang w:val="es-ES"/>
        </w:rPr>
        <w:t>Environ</w:t>
      </w:r>
      <w:proofErr w:type="spellEnd"/>
      <w:r w:rsidRPr="00D31C3D">
        <w:rPr>
          <w:lang w:val="es-ES"/>
        </w:rPr>
        <w:t xml:space="preserve"> 9160305,34 euros.</w:t>
      </w:r>
    </w:p>
  </w:footnote>
  <w:footnote w:id="34">
    <w:p w:rsidR="00AF10A6" w:rsidRPr="00D31C3D" w:rsidRDefault="00AF10A6" w:rsidP="00F17353">
      <w:pPr>
        <w:pStyle w:val="Notedebasdepage"/>
        <w:rPr>
          <w:lang w:val="es-ES"/>
        </w:rPr>
      </w:pPr>
      <w:r>
        <w:rPr>
          <w:lang w:val="es-ES"/>
        </w:rPr>
        <w:tab/>
      </w:r>
      <w:r w:rsidRPr="00D31C3D">
        <w:rPr>
          <w:rStyle w:val="Appelnotedebasdep"/>
          <w:szCs w:val="18"/>
        </w:rPr>
        <w:footnoteRef/>
      </w:r>
      <w:r w:rsidRPr="00D31C3D">
        <w:rPr>
          <w:lang w:val="es-ES"/>
        </w:rPr>
        <w:t xml:space="preserve"> </w:t>
      </w:r>
      <w:r w:rsidRPr="00D31C3D">
        <w:rPr>
          <w:lang w:val="es-ES"/>
        </w:rPr>
        <w:tab/>
      </w:r>
      <w:proofErr w:type="spellStart"/>
      <w:r w:rsidRPr="00D31C3D">
        <w:rPr>
          <w:lang w:val="es-ES"/>
        </w:rPr>
        <w:t>Environ</w:t>
      </w:r>
      <w:proofErr w:type="spellEnd"/>
      <w:r w:rsidRPr="00D31C3D">
        <w:rPr>
          <w:lang w:val="es-ES"/>
        </w:rPr>
        <w:t xml:space="preserve"> 1 9687 </w:t>
      </w:r>
      <w:r w:rsidRPr="0017665A">
        <w:rPr>
          <w:lang w:val="es-ES"/>
        </w:rPr>
        <w:t>022</w:t>
      </w:r>
      <w:r w:rsidRPr="00D31C3D">
        <w:rPr>
          <w:lang w:val="es-ES"/>
        </w:rPr>
        <w:t>,9 euros.</w:t>
      </w:r>
    </w:p>
  </w:footnote>
  <w:footnote w:id="35">
    <w:p w:rsidR="00AF10A6" w:rsidRPr="00D31C3D" w:rsidRDefault="00AF10A6" w:rsidP="00F17353">
      <w:pPr>
        <w:pStyle w:val="Notedebasdepage"/>
        <w:rPr>
          <w:lang w:val="es-ES"/>
        </w:rPr>
      </w:pPr>
      <w:r>
        <w:rPr>
          <w:lang w:val="es-ES"/>
        </w:rPr>
        <w:tab/>
      </w:r>
      <w:r w:rsidRPr="00D31C3D">
        <w:rPr>
          <w:rStyle w:val="Appelnotedebasdep"/>
          <w:szCs w:val="18"/>
        </w:rPr>
        <w:footnoteRef/>
      </w:r>
      <w:r w:rsidRPr="00D31C3D">
        <w:rPr>
          <w:lang w:val="es-ES"/>
        </w:rPr>
        <w:t xml:space="preserve"> </w:t>
      </w:r>
      <w:r w:rsidRPr="00D31C3D">
        <w:rPr>
          <w:lang w:val="es-ES"/>
        </w:rPr>
        <w:tab/>
      </w:r>
      <w:proofErr w:type="spellStart"/>
      <w:r w:rsidRPr="00D31C3D">
        <w:rPr>
          <w:lang w:val="es-ES"/>
        </w:rPr>
        <w:t>Environ</w:t>
      </w:r>
      <w:proofErr w:type="spellEnd"/>
      <w:r w:rsidRPr="00D31C3D">
        <w:rPr>
          <w:lang w:val="es-ES"/>
        </w:rPr>
        <w:t xml:space="preserve"> 9 923 664,12 euros.</w:t>
      </w:r>
    </w:p>
  </w:footnote>
  <w:footnote w:id="36">
    <w:p w:rsidR="00AF10A6" w:rsidRPr="00D31C3D" w:rsidRDefault="00AF10A6" w:rsidP="00F17353">
      <w:pPr>
        <w:pStyle w:val="Notedebasdepage"/>
        <w:rPr>
          <w:lang w:val="es-ES"/>
        </w:rPr>
      </w:pPr>
      <w:r>
        <w:rPr>
          <w:lang w:val="es-ES"/>
        </w:rPr>
        <w:tab/>
      </w:r>
      <w:r w:rsidRPr="00D31C3D">
        <w:rPr>
          <w:rStyle w:val="Appelnotedebasdep"/>
          <w:szCs w:val="18"/>
        </w:rPr>
        <w:footnoteRef/>
      </w:r>
      <w:r w:rsidRPr="00D31C3D">
        <w:rPr>
          <w:lang w:val="es-ES"/>
        </w:rPr>
        <w:t xml:space="preserve"> </w:t>
      </w:r>
      <w:r w:rsidRPr="00D31C3D">
        <w:rPr>
          <w:lang w:val="es-ES"/>
        </w:rPr>
        <w:tab/>
      </w:r>
      <w:proofErr w:type="spellStart"/>
      <w:r w:rsidRPr="00D31C3D">
        <w:rPr>
          <w:lang w:val="es-ES"/>
        </w:rPr>
        <w:t>Environ</w:t>
      </w:r>
      <w:proofErr w:type="spellEnd"/>
      <w:r w:rsidRPr="00D31C3D">
        <w:rPr>
          <w:lang w:val="es-ES"/>
        </w:rPr>
        <w:t xml:space="preserve"> 11 450 381,7 euros.</w:t>
      </w:r>
    </w:p>
  </w:footnote>
  <w:footnote w:id="37">
    <w:p w:rsidR="00AF10A6" w:rsidRPr="00D31C3D" w:rsidRDefault="00AF10A6" w:rsidP="00F17353">
      <w:pPr>
        <w:pStyle w:val="Notedebasdepage"/>
        <w:rPr>
          <w:lang w:val="es-ES"/>
        </w:rPr>
      </w:pPr>
      <w:r>
        <w:rPr>
          <w:lang w:val="es-ES"/>
        </w:rPr>
        <w:tab/>
      </w:r>
      <w:r w:rsidRPr="00D31C3D">
        <w:rPr>
          <w:rStyle w:val="Appelnotedebasdep"/>
          <w:szCs w:val="18"/>
        </w:rPr>
        <w:footnoteRef/>
      </w:r>
      <w:r w:rsidRPr="00D31C3D">
        <w:rPr>
          <w:lang w:val="es-ES"/>
        </w:rPr>
        <w:t xml:space="preserve"> </w:t>
      </w:r>
      <w:r w:rsidRPr="00D31C3D">
        <w:rPr>
          <w:lang w:val="es-ES"/>
        </w:rPr>
        <w:tab/>
      </w:r>
      <w:proofErr w:type="spellStart"/>
      <w:r w:rsidRPr="00D31C3D">
        <w:rPr>
          <w:lang w:val="es-ES"/>
        </w:rPr>
        <w:t>Environ</w:t>
      </w:r>
      <w:proofErr w:type="spellEnd"/>
      <w:r w:rsidRPr="00D31C3D">
        <w:rPr>
          <w:lang w:val="es-ES"/>
        </w:rPr>
        <w:t xml:space="preserve"> 12213740,5 euros.</w:t>
      </w:r>
    </w:p>
  </w:footnote>
  <w:footnote w:id="38">
    <w:p w:rsidR="00AF10A6" w:rsidRPr="00D31C3D" w:rsidRDefault="00AF10A6" w:rsidP="00F17353">
      <w:pPr>
        <w:pStyle w:val="Notedebasdepage"/>
        <w:rPr>
          <w:lang w:val="es-ES"/>
        </w:rPr>
      </w:pPr>
      <w:r>
        <w:rPr>
          <w:lang w:val="es-ES"/>
        </w:rPr>
        <w:tab/>
      </w:r>
      <w:r w:rsidRPr="00D31C3D">
        <w:rPr>
          <w:rStyle w:val="Appelnotedebasdep"/>
          <w:szCs w:val="18"/>
        </w:rPr>
        <w:footnoteRef/>
      </w:r>
      <w:r w:rsidRPr="00D31C3D">
        <w:rPr>
          <w:lang w:val="es-ES"/>
        </w:rPr>
        <w:t xml:space="preserve"> </w:t>
      </w:r>
      <w:r w:rsidRPr="00D31C3D">
        <w:rPr>
          <w:lang w:val="es-ES"/>
        </w:rPr>
        <w:tab/>
      </w:r>
      <w:proofErr w:type="spellStart"/>
      <w:r w:rsidRPr="00D31C3D">
        <w:rPr>
          <w:lang w:val="es-ES"/>
        </w:rPr>
        <w:t>Environ</w:t>
      </w:r>
      <w:proofErr w:type="spellEnd"/>
      <w:r w:rsidRPr="00D31C3D">
        <w:rPr>
          <w:lang w:val="es-ES"/>
        </w:rPr>
        <w:t xml:space="preserve"> 94 503 816,8 euros.</w:t>
      </w:r>
    </w:p>
  </w:footnote>
  <w:footnote w:id="39">
    <w:p w:rsidR="00AF10A6" w:rsidRPr="00D31C3D" w:rsidRDefault="00AF10A6" w:rsidP="00F17353">
      <w:pPr>
        <w:pStyle w:val="Notedebasdepage"/>
        <w:rPr>
          <w:lang w:val="es-ES"/>
        </w:rPr>
      </w:pPr>
      <w:r>
        <w:rPr>
          <w:lang w:val="es-ES"/>
        </w:rPr>
        <w:tab/>
      </w:r>
      <w:r w:rsidRPr="00D31C3D">
        <w:rPr>
          <w:rStyle w:val="Appelnotedebasdep"/>
          <w:szCs w:val="18"/>
        </w:rPr>
        <w:footnoteRef/>
      </w:r>
      <w:r w:rsidRPr="00D31C3D">
        <w:rPr>
          <w:lang w:val="es-ES"/>
        </w:rPr>
        <w:t xml:space="preserve"> </w:t>
      </w:r>
      <w:r w:rsidRPr="00D31C3D">
        <w:rPr>
          <w:lang w:val="es-ES"/>
        </w:rPr>
        <w:tab/>
      </w:r>
      <w:proofErr w:type="spellStart"/>
      <w:r w:rsidRPr="00D31C3D">
        <w:rPr>
          <w:lang w:val="es-ES"/>
        </w:rPr>
        <w:t>Environ</w:t>
      </w:r>
      <w:proofErr w:type="spellEnd"/>
      <w:r w:rsidRPr="00D31C3D">
        <w:rPr>
          <w:lang w:val="es-ES"/>
        </w:rPr>
        <w:t xml:space="preserve"> 242 748 092 euros.</w:t>
      </w:r>
    </w:p>
  </w:footnote>
  <w:footnote w:id="40">
    <w:p w:rsidR="00AF10A6" w:rsidRPr="00D31C3D" w:rsidRDefault="00AF10A6" w:rsidP="00F17353">
      <w:pPr>
        <w:pStyle w:val="Notedebasdepage"/>
        <w:rPr>
          <w:lang w:val="es-ES"/>
        </w:rPr>
      </w:pPr>
      <w:r>
        <w:rPr>
          <w:lang w:val="es-ES"/>
        </w:rPr>
        <w:tab/>
      </w:r>
      <w:r w:rsidRPr="00D31C3D">
        <w:rPr>
          <w:rStyle w:val="Appelnotedebasdep"/>
          <w:szCs w:val="18"/>
        </w:rPr>
        <w:footnoteRef/>
      </w:r>
      <w:r w:rsidRPr="00D31C3D">
        <w:rPr>
          <w:lang w:val="es-ES"/>
        </w:rPr>
        <w:t xml:space="preserve"> </w:t>
      </w:r>
      <w:r w:rsidRPr="00D31C3D">
        <w:rPr>
          <w:lang w:val="es-ES"/>
        </w:rPr>
        <w:tab/>
      </w:r>
      <w:proofErr w:type="spellStart"/>
      <w:r w:rsidRPr="00D31C3D">
        <w:rPr>
          <w:lang w:val="es-ES"/>
        </w:rPr>
        <w:t>Environ</w:t>
      </w:r>
      <w:proofErr w:type="spellEnd"/>
      <w:r w:rsidRPr="00D31C3D">
        <w:rPr>
          <w:lang w:val="es-ES"/>
        </w:rPr>
        <w:t xml:space="preserve"> 87 022 900,8 euros.</w:t>
      </w:r>
    </w:p>
  </w:footnote>
  <w:footnote w:id="41">
    <w:p w:rsidR="00AF10A6" w:rsidRPr="00D31C3D" w:rsidRDefault="00AF10A6" w:rsidP="00F17353">
      <w:pPr>
        <w:pStyle w:val="Notedebasdepage"/>
        <w:rPr>
          <w:lang w:val="es-ES"/>
        </w:rPr>
      </w:pPr>
      <w:r w:rsidRPr="00D31C3D">
        <w:rPr>
          <w:lang w:val="es-ES"/>
        </w:rPr>
        <w:tab/>
      </w:r>
      <w:r w:rsidRPr="00D31C3D">
        <w:rPr>
          <w:rStyle w:val="Appelnotedebasdep"/>
          <w:szCs w:val="18"/>
        </w:rPr>
        <w:footnoteRef/>
      </w:r>
      <w:r w:rsidRPr="00D31C3D">
        <w:rPr>
          <w:lang w:val="es-ES"/>
        </w:rPr>
        <w:t xml:space="preserve"> </w:t>
      </w:r>
      <w:r w:rsidRPr="00D31C3D">
        <w:rPr>
          <w:lang w:val="es-ES"/>
        </w:rPr>
        <w:tab/>
      </w:r>
      <w:proofErr w:type="spellStart"/>
      <w:r w:rsidRPr="0017665A">
        <w:rPr>
          <w:lang w:val="es-ES"/>
        </w:rPr>
        <w:t>Environ</w:t>
      </w:r>
      <w:proofErr w:type="spellEnd"/>
      <w:r w:rsidRPr="00D31C3D">
        <w:rPr>
          <w:lang w:val="es-ES"/>
        </w:rPr>
        <w:t xml:space="preserve"> 43 euros.</w:t>
      </w:r>
    </w:p>
  </w:footnote>
  <w:footnote w:id="42">
    <w:p w:rsidR="00AF10A6" w:rsidRPr="00D31C3D" w:rsidRDefault="00AF10A6" w:rsidP="00F17353">
      <w:pPr>
        <w:pStyle w:val="Notedebasdepage"/>
        <w:rPr>
          <w:lang w:val="es-ES"/>
        </w:rPr>
      </w:pPr>
      <w:r>
        <w:rPr>
          <w:lang w:val="es-ES"/>
        </w:rPr>
        <w:tab/>
      </w:r>
      <w:r w:rsidRPr="00D31C3D">
        <w:rPr>
          <w:rStyle w:val="Appelnotedebasdep"/>
          <w:szCs w:val="18"/>
        </w:rPr>
        <w:footnoteRef/>
      </w:r>
      <w:r w:rsidRPr="00D31C3D">
        <w:rPr>
          <w:lang w:val="es-ES"/>
        </w:rPr>
        <w:t xml:space="preserve"> </w:t>
      </w:r>
      <w:r w:rsidRPr="00D31C3D">
        <w:rPr>
          <w:lang w:val="es-ES"/>
        </w:rPr>
        <w:tab/>
      </w:r>
      <w:proofErr w:type="spellStart"/>
      <w:r w:rsidRPr="00D31C3D">
        <w:rPr>
          <w:lang w:val="es-ES"/>
        </w:rPr>
        <w:t>Environ</w:t>
      </w:r>
      <w:proofErr w:type="spellEnd"/>
      <w:r w:rsidRPr="00D31C3D">
        <w:rPr>
          <w:lang w:val="es-ES"/>
        </w:rPr>
        <w:t xml:space="preserve"> 55 euros.</w:t>
      </w:r>
    </w:p>
  </w:footnote>
  <w:footnote w:id="43">
    <w:p w:rsidR="00AF10A6" w:rsidRPr="00D31C3D" w:rsidRDefault="00AF10A6" w:rsidP="00F17353">
      <w:pPr>
        <w:pStyle w:val="Notedebasdepage"/>
        <w:rPr>
          <w:lang w:val="es-ES"/>
        </w:rPr>
      </w:pPr>
      <w:r>
        <w:rPr>
          <w:lang w:val="es-ES"/>
        </w:rPr>
        <w:tab/>
      </w:r>
      <w:r w:rsidRPr="00D31C3D">
        <w:rPr>
          <w:rStyle w:val="Appelnotedebasdep"/>
          <w:szCs w:val="18"/>
        </w:rPr>
        <w:footnoteRef/>
      </w:r>
      <w:r w:rsidRPr="00D31C3D">
        <w:rPr>
          <w:lang w:val="es-ES"/>
        </w:rPr>
        <w:t xml:space="preserve"> </w:t>
      </w:r>
      <w:r w:rsidRPr="00D31C3D">
        <w:rPr>
          <w:lang w:val="es-ES"/>
        </w:rPr>
        <w:tab/>
        <w:t>Environ76,34 euros.</w:t>
      </w:r>
    </w:p>
  </w:footnote>
  <w:footnote w:id="44">
    <w:p w:rsidR="00AF10A6" w:rsidRPr="00D31C3D" w:rsidRDefault="00AF10A6" w:rsidP="00F17353">
      <w:pPr>
        <w:pStyle w:val="Notedebasdepage"/>
        <w:rPr>
          <w:lang w:val="es-ES"/>
        </w:rPr>
      </w:pPr>
      <w:r>
        <w:rPr>
          <w:lang w:val="es-ES"/>
        </w:rPr>
        <w:tab/>
      </w:r>
      <w:r w:rsidRPr="00D31C3D">
        <w:rPr>
          <w:rStyle w:val="Appelnotedebasdep"/>
          <w:szCs w:val="18"/>
        </w:rPr>
        <w:footnoteRef/>
      </w:r>
      <w:r w:rsidRPr="00D31C3D">
        <w:rPr>
          <w:lang w:val="es-ES"/>
        </w:rPr>
        <w:t xml:space="preserve"> </w:t>
      </w:r>
      <w:r w:rsidRPr="00D31C3D">
        <w:rPr>
          <w:lang w:val="es-ES"/>
        </w:rPr>
        <w:tab/>
      </w:r>
      <w:proofErr w:type="spellStart"/>
      <w:r w:rsidRPr="00D31C3D">
        <w:rPr>
          <w:lang w:val="es-ES"/>
        </w:rPr>
        <w:t>Environ</w:t>
      </w:r>
      <w:proofErr w:type="spellEnd"/>
      <w:r w:rsidRPr="00D31C3D">
        <w:rPr>
          <w:lang w:val="es-ES"/>
        </w:rPr>
        <w:t xml:space="preserve"> 130,46 euros.</w:t>
      </w:r>
    </w:p>
  </w:footnote>
  <w:footnote w:id="45">
    <w:p w:rsidR="00AF10A6" w:rsidRPr="00D31C3D" w:rsidRDefault="00AF10A6" w:rsidP="00F17353">
      <w:pPr>
        <w:pStyle w:val="Notedebasdepage"/>
        <w:rPr>
          <w:lang w:val="es-ES"/>
        </w:rPr>
      </w:pPr>
      <w:r>
        <w:rPr>
          <w:lang w:val="es-ES"/>
        </w:rPr>
        <w:tab/>
      </w:r>
      <w:r w:rsidRPr="00D31C3D">
        <w:rPr>
          <w:rStyle w:val="Appelnotedebasdep"/>
          <w:szCs w:val="18"/>
        </w:rPr>
        <w:footnoteRef/>
      </w:r>
      <w:r w:rsidRPr="00D31C3D">
        <w:rPr>
          <w:lang w:val="es-ES"/>
        </w:rPr>
        <w:t xml:space="preserve"> </w:t>
      </w:r>
      <w:r w:rsidRPr="00D31C3D">
        <w:rPr>
          <w:lang w:val="es-ES"/>
        </w:rPr>
        <w:tab/>
      </w:r>
      <w:proofErr w:type="spellStart"/>
      <w:r w:rsidRPr="00D31C3D">
        <w:rPr>
          <w:lang w:val="es-ES"/>
        </w:rPr>
        <w:t>Environ</w:t>
      </w:r>
      <w:proofErr w:type="spellEnd"/>
      <w:r w:rsidRPr="00D31C3D">
        <w:rPr>
          <w:lang w:val="es-ES"/>
        </w:rPr>
        <w:t xml:space="preserve"> 74,58 euros.</w:t>
      </w:r>
    </w:p>
  </w:footnote>
  <w:footnote w:id="46">
    <w:p w:rsidR="00AF10A6" w:rsidRPr="00D31C3D" w:rsidRDefault="00AF10A6" w:rsidP="00F17353">
      <w:pPr>
        <w:pStyle w:val="Notedebasdepage"/>
        <w:rPr>
          <w:lang w:val="es-ES"/>
        </w:rPr>
      </w:pPr>
      <w:r>
        <w:rPr>
          <w:lang w:val="es-ES"/>
        </w:rPr>
        <w:tab/>
      </w:r>
      <w:r w:rsidRPr="00D31C3D">
        <w:rPr>
          <w:rStyle w:val="Appelnotedebasdep"/>
          <w:szCs w:val="18"/>
        </w:rPr>
        <w:footnoteRef/>
      </w:r>
      <w:r w:rsidRPr="00D31C3D">
        <w:rPr>
          <w:lang w:val="es-ES"/>
        </w:rPr>
        <w:t xml:space="preserve"> </w:t>
      </w:r>
      <w:r w:rsidRPr="00D31C3D">
        <w:rPr>
          <w:lang w:val="es-ES"/>
        </w:rPr>
        <w:tab/>
      </w:r>
      <w:proofErr w:type="spellStart"/>
      <w:r w:rsidRPr="00D31C3D">
        <w:rPr>
          <w:lang w:val="es-ES"/>
        </w:rPr>
        <w:t>Environ</w:t>
      </w:r>
      <w:proofErr w:type="spellEnd"/>
      <w:r w:rsidRPr="00D31C3D">
        <w:rPr>
          <w:lang w:val="es-ES"/>
        </w:rPr>
        <w:t xml:space="preserve"> 458,02 euros.</w:t>
      </w:r>
    </w:p>
  </w:footnote>
  <w:footnote w:id="47">
    <w:p w:rsidR="00AF10A6" w:rsidRPr="00AF10A6" w:rsidRDefault="00AF10A6" w:rsidP="00F17353">
      <w:pPr>
        <w:pStyle w:val="Notedebasdepage"/>
        <w:rPr>
          <w:lang w:val="es-ES"/>
        </w:rPr>
      </w:pPr>
      <w:r w:rsidRPr="0017665A">
        <w:rPr>
          <w:lang w:val="es-ES"/>
        </w:rPr>
        <w:tab/>
      </w:r>
      <w:r w:rsidRPr="00D31C3D">
        <w:rPr>
          <w:rStyle w:val="Appelnotedebasdep"/>
          <w:szCs w:val="18"/>
        </w:rPr>
        <w:footnoteRef/>
      </w:r>
      <w:r w:rsidRPr="00AF10A6">
        <w:rPr>
          <w:lang w:val="es-ES"/>
        </w:rPr>
        <w:t xml:space="preserve"> </w:t>
      </w:r>
      <w:r w:rsidRPr="00AF10A6">
        <w:rPr>
          <w:lang w:val="es-ES"/>
        </w:rPr>
        <w:tab/>
      </w:r>
      <w:proofErr w:type="spellStart"/>
      <w:r w:rsidRPr="00AF10A6">
        <w:rPr>
          <w:lang w:val="es-ES"/>
        </w:rPr>
        <w:t>Environ</w:t>
      </w:r>
      <w:proofErr w:type="spellEnd"/>
      <w:r w:rsidRPr="00AF10A6">
        <w:rPr>
          <w:lang w:val="es-ES"/>
        </w:rPr>
        <w:t xml:space="preserve"> 1 526,72 euros.</w:t>
      </w:r>
    </w:p>
  </w:footnote>
  <w:footnote w:id="48">
    <w:p w:rsidR="00AF10A6" w:rsidRPr="00D31C3D" w:rsidRDefault="00AF10A6" w:rsidP="00F17353">
      <w:pPr>
        <w:pStyle w:val="Notedebasdepage"/>
      </w:pPr>
      <w:r w:rsidRPr="00AF10A6">
        <w:rPr>
          <w:lang w:val="es-ES"/>
        </w:rPr>
        <w:tab/>
      </w:r>
      <w:r w:rsidRPr="00D31C3D">
        <w:rPr>
          <w:rStyle w:val="Appelnotedebasdep"/>
          <w:szCs w:val="18"/>
        </w:rPr>
        <w:footnoteRef/>
      </w:r>
      <w:r w:rsidRPr="00D31C3D">
        <w:t xml:space="preserve"> </w:t>
      </w:r>
      <w:r w:rsidRPr="00D31C3D">
        <w:tab/>
        <w:t xml:space="preserve">Voir </w:t>
      </w:r>
      <w:r w:rsidRPr="00F17353">
        <w:t>recommandation</w:t>
      </w:r>
      <w:r w:rsidRPr="00D31C3D">
        <w:t xml:space="preserve"> 10 </w:t>
      </w:r>
      <w:r w:rsidRPr="005D6FC3">
        <w:rPr>
          <w:i/>
        </w:rPr>
        <w:t>supra</w:t>
      </w:r>
      <w:r w:rsidRPr="00D31C3D">
        <w:t>.</w:t>
      </w:r>
    </w:p>
  </w:footnote>
  <w:footnote w:id="49">
    <w:p w:rsidR="00AF10A6" w:rsidRPr="00D31C3D" w:rsidRDefault="00AF10A6" w:rsidP="00F17353">
      <w:pPr>
        <w:pStyle w:val="Notedebasdepage"/>
      </w:pPr>
      <w:r>
        <w:tab/>
      </w:r>
      <w:r w:rsidRPr="00D31C3D">
        <w:rPr>
          <w:rStyle w:val="Appelnotedebasdep"/>
          <w:szCs w:val="18"/>
        </w:rPr>
        <w:footnoteRef/>
      </w:r>
      <w:r w:rsidRPr="00D31C3D">
        <w:t xml:space="preserve"> </w:t>
      </w:r>
      <w:r w:rsidRPr="00D31C3D">
        <w:tab/>
        <w:t>Edition du 4 décembre 2015.</w:t>
      </w:r>
    </w:p>
  </w:footnote>
  <w:footnote w:id="50">
    <w:p w:rsidR="00AF10A6" w:rsidRPr="00D31C3D" w:rsidRDefault="00AF10A6" w:rsidP="00F17353">
      <w:pPr>
        <w:pStyle w:val="Notedebasdepage"/>
      </w:pPr>
      <w:r>
        <w:tab/>
      </w:r>
      <w:r w:rsidRPr="00D31C3D">
        <w:rPr>
          <w:rStyle w:val="Appelnotedebasdep"/>
          <w:szCs w:val="18"/>
        </w:rPr>
        <w:footnoteRef/>
      </w:r>
      <w:r w:rsidRPr="00D31C3D">
        <w:t xml:space="preserve"> </w:t>
      </w:r>
      <w:r w:rsidRPr="00D31C3D">
        <w:tab/>
        <w:t xml:space="preserve">En </w:t>
      </w:r>
      <w:r w:rsidRPr="00F17353">
        <w:t>l’occurrence</w:t>
      </w:r>
      <w:r w:rsidRPr="00D31C3D">
        <w:t>, devant 54 Tribunaux de Grande Instance sur les 58 que compte le pays.</w:t>
      </w:r>
    </w:p>
  </w:footnote>
  <w:footnote w:id="51">
    <w:p w:rsidR="00AF10A6" w:rsidRPr="00D31C3D" w:rsidRDefault="00AF10A6" w:rsidP="00F17353">
      <w:pPr>
        <w:pStyle w:val="Notedebasdepage"/>
        <w:rPr>
          <w:lang w:val="es-ES"/>
        </w:rPr>
      </w:pPr>
      <w:r w:rsidRPr="0017665A">
        <w:rPr>
          <w:lang w:val="fr-FR"/>
        </w:rPr>
        <w:tab/>
      </w:r>
      <w:r w:rsidRPr="00D31C3D">
        <w:rPr>
          <w:rStyle w:val="Appelnotedebasdep"/>
          <w:szCs w:val="18"/>
        </w:rPr>
        <w:footnoteRef/>
      </w:r>
      <w:r w:rsidRPr="00D31C3D">
        <w:rPr>
          <w:lang w:val="es-ES"/>
        </w:rPr>
        <w:t xml:space="preserve"> </w:t>
      </w:r>
      <w:r w:rsidRPr="00D31C3D">
        <w:rPr>
          <w:lang w:val="es-ES"/>
        </w:rPr>
        <w:tab/>
      </w:r>
      <w:proofErr w:type="spellStart"/>
      <w:r w:rsidRPr="00D31C3D">
        <w:rPr>
          <w:lang w:val="es-ES"/>
        </w:rPr>
        <w:t>Environ</w:t>
      </w:r>
      <w:proofErr w:type="spellEnd"/>
      <w:r w:rsidRPr="00D31C3D">
        <w:rPr>
          <w:lang w:val="es-ES"/>
        </w:rPr>
        <w:t xml:space="preserve"> 38 167 938,93 euros.</w:t>
      </w:r>
    </w:p>
  </w:footnote>
  <w:footnote w:id="52">
    <w:p w:rsidR="00AF10A6" w:rsidRPr="00D31C3D" w:rsidRDefault="00AF10A6" w:rsidP="00F17353">
      <w:pPr>
        <w:pStyle w:val="Notedebasdepage"/>
        <w:rPr>
          <w:lang w:val="es-ES"/>
        </w:rPr>
      </w:pPr>
      <w:r>
        <w:rPr>
          <w:lang w:val="es-ES"/>
        </w:rPr>
        <w:tab/>
      </w:r>
      <w:r w:rsidRPr="00D31C3D">
        <w:rPr>
          <w:rStyle w:val="Appelnotedebasdep"/>
          <w:szCs w:val="18"/>
        </w:rPr>
        <w:footnoteRef/>
      </w:r>
      <w:r w:rsidRPr="00D31C3D">
        <w:rPr>
          <w:lang w:val="es-ES"/>
        </w:rPr>
        <w:t xml:space="preserve"> </w:t>
      </w:r>
      <w:r w:rsidRPr="00D31C3D">
        <w:rPr>
          <w:lang w:val="es-ES"/>
        </w:rPr>
        <w:tab/>
      </w:r>
      <w:proofErr w:type="spellStart"/>
      <w:r w:rsidRPr="00D31C3D">
        <w:rPr>
          <w:lang w:val="es-ES"/>
        </w:rPr>
        <w:t>Environ</w:t>
      </w:r>
      <w:proofErr w:type="spellEnd"/>
      <w:r w:rsidRPr="00D31C3D">
        <w:rPr>
          <w:lang w:val="es-ES"/>
        </w:rPr>
        <w:t xml:space="preserve"> 549,61 euros.</w:t>
      </w:r>
    </w:p>
  </w:footnote>
  <w:footnote w:id="53">
    <w:p w:rsidR="00AF10A6" w:rsidRPr="00D31C3D" w:rsidRDefault="00AF10A6" w:rsidP="00F17353">
      <w:pPr>
        <w:pStyle w:val="Notedebasdepage"/>
        <w:rPr>
          <w:lang w:val="es-ES"/>
        </w:rPr>
      </w:pPr>
      <w:r>
        <w:rPr>
          <w:lang w:val="es-ES"/>
        </w:rPr>
        <w:tab/>
      </w:r>
      <w:r w:rsidRPr="00D31C3D">
        <w:rPr>
          <w:rStyle w:val="Appelnotedebasdep"/>
          <w:szCs w:val="18"/>
        </w:rPr>
        <w:footnoteRef/>
      </w:r>
      <w:r w:rsidRPr="00D31C3D">
        <w:rPr>
          <w:lang w:val="es-ES"/>
        </w:rPr>
        <w:t xml:space="preserve"> </w:t>
      </w:r>
      <w:r w:rsidRPr="00D31C3D">
        <w:rPr>
          <w:lang w:val="es-ES"/>
        </w:rPr>
        <w:tab/>
      </w:r>
      <w:proofErr w:type="spellStart"/>
      <w:r w:rsidRPr="00D31C3D">
        <w:rPr>
          <w:lang w:val="es-ES"/>
        </w:rPr>
        <w:t>Environ</w:t>
      </w:r>
      <w:proofErr w:type="spellEnd"/>
      <w:r w:rsidRPr="00D31C3D">
        <w:rPr>
          <w:lang w:val="es-ES"/>
        </w:rPr>
        <w:t xml:space="preserve"> 30,53 euros.</w:t>
      </w:r>
    </w:p>
  </w:footnote>
  <w:footnote w:id="54">
    <w:p w:rsidR="00AF10A6" w:rsidRPr="00D31C3D" w:rsidRDefault="00AF10A6" w:rsidP="00F17353">
      <w:pPr>
        <w:pStyle w:val="Notedebasdepage"/>
        <w:rPr>
          <w:lang w:val="es-ES"/>
        </w:rPr>
      </w:pPr>
      <w:r>
        <w:rPr>
          <w:lang w:val="es-ES"/>
        </w:rPr>
        <w:tab/>
      </w:r>
      <w:r w:rsidRPr="00D31C3D">
        <w:rPr>
          <w:rStyle w:val="Appelnotedebasdep"/>
          <w:szCs w:val="18"/>
        </w:rPr>
        <w:footnoteRef/>
      </w:r>
      <w:r w:rsidRPr="00D31C3D">
        <w:rPr>
          <w:lang w:val="es-ES"/>
        </w:rPr>
        <w:t xml:space="preserve"> </w:t>
      </w:r>
      <w:r w:rsidRPr="00D31C3D">
        <w:rPr>
          <w:lang w:val="es-ES"/>
        </w:rPr>
        <w:tab/>
      </w:r>
      <w:proofErr w:type="spellStart"/>
      <w:r w:rsidRPr="00D31C3D">
        <w:rPr>
          <w:lang w:val="es-ES"/>
        </w:rPr>
        <w:t>Environ</w:t>
      </w:r>
      <w:proofErr w:type="spellEnd"/>
      <w:r w:rsidRPr="00D31C3D">
        <w:rPr>
          <w:lang w:val="es-ES"/>
        </w:rPr>
        <w:t xml:space="preserve"> 122,13 euros.</w:t>
      </w:r>
    </w:p>
  </w:footnote>
  <w:footnote w:id="55">
    <w:p w:rsidR="00AF10A6" w:rsidRPr="00D31C3D" w:rsidRDefault="00AF10A6" w:rsidP="00F17353">
      <w:pPr>
        <w:pStyle w:val="Notedebasdepage"/>
        <w:rPr>
          <w:lang w:val="es-ES"/>
        </w:rPr>
      </w:pPr>
      <w:r>
        <w:rPr>
          <w:lang w:val="es-ES"/>
        </w:rPr>
        <w:tab/>
      </w:r>
      <w:r w:rsidRPr="00D31C3D">
        <w:rPr>
          <w:rStyle w:val="Appelnotedebasdep"/>
          <w:szCs w:val="18"/>
        </w:rPr>
        <w:footnoteRef/>
      </w:r>
      <w:r w:rsidRPr="00D31C3D">
        <w:rPr>
          <w:lang w:val="es-ES"/>
        </w:rPr>
        <w:t xml:space="preserve"> </w:t>
      </w:r>
      <w:r w:rsidRPr="00D31C3D">
        <w:rPr>
          <w:lang w:val="es-ES"/>
        </w:rPr>
        <w:tab/>
      </w:r>
      <w:proofErr w:type="spellStart"/>
      <w:r w:rsidRPr="00D31C3D">
        <w:rPr>
          <w:lang w:val="es-ES"/>
        </w:rPr>
        <w:t>Environ</w:t>
      </w:r>
      <w:proofErr w:type="spellEnd"/>
      <w:r w:rsidRPr="00D31C3D">
        <w:rPr>
          <w:lang w:val="es-ES"/>
        </w:rPr>
        <w:t xml:space="preserve"> 1 099 236,64 euros.</w:t>
      </w:r>
    </w:p>
  </w:footnote>
  <w:footnote w:id="56">
    <w:p w:rsidR="00AF10A6" w:rsidRPr="00D31C3D" w:rsidRDefault="00AF10A6" w:rsidP="00F17353">
      <w:pPr>
        <w:pStyle w:val="Notedebasdepage"/>
        <w:rPr>
          <w:lang w:val="es-ES"/>
        </w:rPr>
      </w:pPr>
      <w:r>
        <w:rPr>
          <w:lang w:val="es-ES"/>
        </w:rPr>
        <w:tab/>
      </w:r>
      <w:r w:rsidRPr="00D31C3D">
        <w:rPr>
          <w:rStyle w:val="Appelnotedebasdep"/>
          <w:szCs w:val="18"/>
        </w:rPr>
        <w:footnoteRef/>
      </w:r>
      <w:r w:rsidRPr="00D31C3D">
        <w:rPr>
          <w:lang w:val="es-ES"/>
        </w:rPr>
        <w:t xml:space="preserve"> </w:t>
      </w:r>
      <w:r w:rsidRPr="00D31C3D">
        <w:rPr>
          <w:lang w:val="es-ES"/>
        </w:rPr>
        <w:tab/>
      </w:r>
      <w:proofErr w:type="spellStart"/>
      <w:r w:rsidRPr="00D31C3D">
        <w:rPr>
          <w:lang w:val="es-ES"/>
        </w:rPr>
        <w:t>Environ</w:t>
      </w:r>
      <w:proofErr w:type="spellEnd"/>
      <w:r w:rsidRPr="00D31C3D">
        <w:rPr>
          <w:lang w:val="es-ES"/>
        </w:rPr>
        <w:t xml:space="preserve"> 1</w:t>
      </w:r>
      <w:r>
        <w:rPr>
          <w:lang w:val="es-ES"/>
        </w:rPr>
        <w:t> </w:t>
      </w:r>
      <w:r w:rsidRPr="00D31C3D">
        <w:rPr>
          <w:lang w:val="es-ES"/>
        </w:rPr>
        <w:t>984 euros.</w:t>
      </w:r>
    </w:p>
  </w:footnote>
  <w:footnote w:id="57">
    <w:p w:rsidR="00AF10A6" w:rsidRPr="00D31C3D" w:rsidRDefault="00AF10A6" w:rsidP="00F17353">
      <w:pPr>
        <w:pStyle w:val="Notedebasdepage"/>
        <w:rPr>
          <w:lang w:val="es-ES"/>
        </w:rPr>
      </w:pPr>
      <w:r>
        <w:rPr>
          <w:lang w:val="es-ES"/>
        </w:rPr>
        <w:tab/>
      </w:r>
      <w:r w:rsidRPr="00D31C3D">
        <w:rPr>
          <w:rStyle w:val="Appelnotedebasdep"/>
          <w:szCs w:val="18"/>
        </w:rPr>
        <w:footnoteRef/>
      </w:r>
      <w:r w:rsidRPr="00D31C3D">
        <w:rPr>
          <w:lang w:val="es-ES"/>
        </w:rPr>
        <w:t xml:space="preserve"> </w:t>
      </w:r>
      <w:r w:rsidRPr="00D31C3D">
        <w:rPr>
          <w:lang w:val="es-ES"/>
        </w:rPr>
        <w:tab/>
      </w:r>
      <w:proofErr w:type="spellStart"/>
      <w:r w:rsidRPr="00D31C3D">
        <w:rPr>
          <w:lang w:val="es-ES"/>
        </w:rPr>
        <w:t>Environ</w:t>
      </w:r>
      <w:proofErr w:type="spellEnd"/>
      <w:r w:rsidRPr="00D31C3D">
        <w:rPr>
          <w:lang w:val="es-ES"/>
        </w:rPr>
        <w:t xml:space="preserve"> 595 419,84 euros.</w:t>
      </w:r>
    </w:p>
  </w:footnote>
  <w:footnote w:id="58">
    <w:p w:rsidR="00AF10A6" w:rsidRPr="00D31C3D" w:rsidRDefault="00AF10A6" w:rsidP="00F17353">
      <w:pPr>
        <w:pStyle w:val="Notedebasdepage"/>
        <w:rPr>
          <w:lang w:val="es-ES"/>
        </w:rPr>
      </w:pPr>
      <w:r>
        <w:rPr>
          <w:lang w:val="es-ES"/>
        </w:rPr>
        <w:tab/>
      </w:r>
      <w:r w:rsidRPr="00D31C3D">
        <w:rPr>
          <w:rStyle w:val="Appelnotedebasdep"/>
          <w:szCs w:val="18"/>
        </w:rPr>
        <w:footnoteRef/>
      </w:r>
      <w:r w:rsidRPr="00D31C3D">
        <w:rPr>
          <w:lang w:val="es-ES"/>
        </w:rPr>
        <w:t xml:space="preserve"> </w:t>
      </w:r>
      <w:r w:rsidRPr="00D31C3D">
        <w:rPr>
          <w:lang w:val="es-ES"/>
        </w:rPr>
        <w:tab/>
      </w:r>
      <w:r w:rsidRPr="0017665A">
        <w:rPr>
          <w:lang w:val="es-ES"/>
        </w:rPr>
        <w:t>Environ38</w:t>
      </w:r>
      <w:r w:rsidRPr="00D31C3D">
        <w:rPr>
          <w:lang w:val="es-ES"/>
        </w:rPr>
        <w:t> 167,94 euros.</w:t>
      </w:r>
    </w:p>
  </w:footnote>
  <w:footnote w:id="59">
    <w:p w:rsidR="00AF10A6" w:rsidRPr="00D31C3D" w:rsidRDefault="00AF10A6" w:rsidP="00F17353">
      <w:pPr>
        <w:pStyle w:val="Notedebasdepage"/>
        <w:rPr>
          <w:lang w:val="es-ES"/>
        </w:rPr>
      </w:pPr>
      <w:r>
        <w:rPr>
          <w:lang w:val="es-ES"/>
        </w:rPr>
        <w:tab/>
      </w:r>
      <w:r w:rsidRPr="00D31C3D">
        <w:rPr>
          <w:rStyle w:val="Appelnotedebasdep"/>
          <w:szCs w:val="18"/>
        </w:rPr>
        <w:footnoteRef/>
      </w:r>
      <w:r w:rsidRPr="00D31C3D">
        <w:rPr>
          <w:lang w:val="es-ES"/>
        </w:rPr>
        <w:t xml:space="preserve"> </w:t>
      </w:r>
      <w:r w:rsidRPr="00D31C3D">
        <w:rPr>
          <w:lang w:val="es-ES"/>
        </w:rPr>
        <w:tab/>
      </w:r>
      <w:r w:rsidRPr="0017665A">
        <w:rPr>
          <w:lang w:val="es-ES"/>
        </w:rPr>
        <w:t>Environ45</w:t>
      </w:r>
      <w:r w:rsidRPr="00D31C3D">
        <w:rPr>
          <w:lang w:val="es-ES"/>
        </w:rPr>
        <w:t> 801,53 euros.</w:t>
      </w:r>
    </w:p>
  </w:footnote>
  <w:footnote w:id="60">
    <w:p w:rsidR="00AF10A6" w:rsidRPr="00D31C3D" w:rsidRDefault="00AF10A6" w:rsidP="00F17353">
      <w:pPr>
        <w:pStyle w:val="Notedebasdepage"/>
      </w:pPr>
      <w:r w:rsidRPr="0017665A">
        <w:rPr>
          <w:lang w:val="es-ES"/>
        </w:rPr>
        <w:tab/>
      </w:r>
      <w:r w:rsidRPr="00D31C3D">
        <w:rPr>
          <w:rStyle w:val="Appelnotedebasdep"/>
          <w:szCs w:val="18"/>
        </w:rPr>
        <w:footnoteRef/>
      </w:r>
      <w:r w:rsidRPr="00D31C3D">
        <w:t xml:space="preserve"> </w:t>
      </w:r>
      <w:r w:rsidRPr="00D31C3D">
        <w:tab/>
        <w:t>Voir les résultats officiels du 3</w:t>
      </w:r>
      <w:r w:rsidRPr="00D31C3D">
        <w:rPr>
          <w:vertAlign w:val="superscript"/>
        </w:rPr>
        <w:t>ème</w:t>
      </w:r>
      <w:r w:rsidRPr="00D31C3D">
        <w:t xml:space="preserve"> Recensement Général de la Popu</w:t>
      </w:r>
      <w:r>
        <w:t>lation et de l’Habitat, publiés </w:t>
      </w:r>
      <w:r w:rsidRPr="00D31C3D">
        <w:t>le</w:t>
      </w:r>
      <w:r>
        <w:t> </w:t>
      </w:r>
      <w:r w:rsidRPr="00D31C3D">
        <w:t>14</w:t>
      </w:r>
      <w:r>
        <w:t> </w:t>
      </w:r>
      <w:r w:rsidRPr="00D31C3D">
        <w:t>avril 2010.</w:t>
      </w:r>
    </w:p>
  </w:footnote>
  <w:footnote w:id="61">
    <w:p w:rsidR="00AF10A6" w:rsidRPr="00D31C3D" w:rsidRDefault="00AF10A6" w:rsidP="00F17353">
      <w:pPr>
        <w:pStyle w:val="Notedebasdepage"/>
      </w:pPr>
      <w:r>
        <w:tab/>
      </w:r>
      <w:r w:rsidRPr="00D31C3D">
        <w:rPr>
          <w:rStyle w:val="Appelnotedebasdep"/>
          <w:szCs w:val="18"/>
        </w:rPr>
        <w:footnoteRef/>
      </w:r>
      <w:r w:rsidRPr="00D31C3D">
        <w:t xml:space="preserve"> </w:t>
      </w:r>
      <w:r w:rsidRPr="00D31C3D">
        <w:tab/>
        <w:t>Soit 156 246 784,73 euros</w:t>
      </w:r>
      <w:r>
        <w:t>.</w:t>
      </w:r>
    </w:p>
  </w:footnote>
  <w:footnote w:id="62">
    <w:p w:rsidR="00AF10A6" w:rsidRPr="00D31C3D" w:rsidRDefault="00AF10A6" w:rsidP="00F17353">
      <w:pPr>
        <w:pStyle w:val="Notedebasdepage"/>
      </w:pPr>
      <w:r>
        <w:rPr>
          <w:lang w:val="fr-MC"/>
        </w:rPr>
        <w:tab/>
      </w:r>
      <w:r w:rsidRPr="00D31C3D">
        <w:rPr>
          <w:rStyle w:val="Appelnotedebasdep"/>
          <w:szCs w:val="18"/>
        </w:rPr>
        <w:footnoteRef/>
      </w:r>
      <w:r w:rsidRPr="00D31C3D">
        <w:rPr>
          <w:lang w:val="fr-MC"/>
        </w:rPr>
        <w:t xml:space="preserve"> </w:t>
      </w:r>
      <w:r w:rsidRPr="00D31C3D">
        <w:rPr>
          <w:lang w:val="fr-MC"/>
        </w:rPr>
        <w:tab/>
        <w:t xml:space="preserve">Environ </w:t>
      </w:r>
      <w:r w:rsidRPr="00D31C3D">
        <w:t>380 152,67euros.</w:t>
      </w:r>
    </w:p>
  </w:footnote>
  <w:footnote w:id="63">
    <w:p w:rsidR="00AF10A6" w:rsidRPr="00D31C3D" w:rsidRDefault="00AF10A6" w:rsidP="00F17353">
      <w:pPr>
        <w:pStyle w:val="Notedebasdepage"/>
      </w:pPr>
      <w:r>
        <w:rPr>
          <w:lang w:val="fr-MC"/>
        </w:rPr>
        <w:tab/>
      </w:r>
      <w:r w:rsidRPr="00D31C3D">
        <w:rPr>
          <w:rStyle w:val="Appelnotedebasdep"/>
          <w:szCs w:val="18"/>
        </w:rPr>
        <w:footnoteRef/>
      </w:r>
      <w:r w:rsidRPr="00D31C3D">
        <w:rPr>
          <w:lang w:val="fr-MC"/>
        </w:rPr>
        <w:t xml:space="preserve"> </w:t>
      </w:r>
      <w:r w:rsidRPr="00D31C3D">
        <w:rPr>
          <w:lang w:val="fr-MC"/>
        </w:rPr>
        <w:tab/>
        <w:t xml:space="preserve">Environ </w:t>
      </w:r>
      <w:r w:rsidRPr="00D31C3D">
        <w:t>122 137,40 euros.</w:t>
      </w:r>
    </w:p>
  </w:footnote>
  <w:footnote w:id="64">
    <w:p w:rsidR="00AF10A6" w:rsidRPr="00D31C3D" w:rsidRDefault="00AF10A6" w:rsidP="00F17353">
      <w:pPr>
        <w:pStyle w:val="Notedebasdepage"/>
      </w:pPr>
      <w:r>
        <w:tab/>
      </w:r>
      <w:r w:rsidRPr="00D31C3D">
        <w:rPr>
          <w:rStyle w:val="Appelnotedebasdep"/>
          <w:szCs w:val="18"/>
        </w:rPr>
        <w:footnoteRef/>
      </w:r>
      <w:r w:rsidRPr="00D31C3D">
        <w:t xml:space="preserve"> </w:t>
      </w:r>
      <w:r w:rsidRPr="00D31C3D">
        <w:tab/>
      </w:r>
      <w:r w:rsidRPr="00F17353">
        <w:t>Article</w:t>
      </w:r>
      <w:r w:rsidRPr="00D31C3D">
        <w:t xml:space="preserve"> 2 du Décret n</w:t>
      </w:r>
      <w:r w:rsidRPr="00D6478B">
        <w:rPr>
          <w:vertAlign w:val="superscript"/>
        </w:rPr>
        <w:t>o</w:t>
      </w:r>
      <w:r>
        <w:t> </w:t>
      </w:r>
      <w:r w:rsidRPr="00D31C3D">
        <w:t>87/1872 du 16 décembre 1987</w:t>
      </w:r>
      <w:r>
        <w:t>.</w:t>
      </w:r>
    </w:p>
  </w:footnote>
  <w:footnote w:id="65">
    <w:p w:rsidR="00AF10A6" w:rsidRPr="00D31C3D" w:rsidRDefault="00AF10A6" w:rsidP="00F17353">
      <w:pPr>
        <w:pStyle w:val="Notedebasdepage"/>
      </w:pPr>
      <w:r>
        <w:tab/>
      </w:r>
      <w:r w:rsidRPr="00D31C3D">
        <w:rPr>
          <w:rStyle w:val="Appelnotedebasdep"/>
          <w:szCs w:val="18"/>
        </w:rPr>
        <w:footnoteRef/>
      </w:r>
      <w:r w:rsidRPr="00D31C3D">
        <w:t xml:space="preserve"> </w:t>
      </w:r>
      <w:r w:rsidRPr="00D31C3D">
        <w:tab/>
        <w:t>Les populations sont représentées par le Maire ou les Autorités traditionnelles locales.</w:t>
      </w:r>
    </w:p>
  </w:footnote>
  <w:footnote w:id="66">
    <w:p w:rsidR="00AF10A6" w:rsidRPr="00D31C3D" w:rsidRDefault="00AF10A6" w:rsidP="00F17353">
      <w:pPr>
        <w:pStyle w:val="Notedebasdepage"/>
      </w:pPr>
      <w:r>
        <w:tab/>
      </w:r>
      <w:r w:rsidRPr="00D31C3D">
        <w:rPr>
          <w:rStyle w:val="Appelnotedebasdep"/>
          <w:szCs w:val="18"/>
        </w:rPr>
        <w:footnoteRef/>
      </w:r>
      <w:r w:rsidRPr="00D31C3D">
        <w:t xml:space="preserve"> </w:t>
      </w:r>
      <w:r w:rsidRPr="00D31C3D">
        <w:tab/>
        <w:t xml:space="preserve">Collectivités </w:t>
      </w:r>
      <w:r w:rsidRPr="00F17353">
        <w:t>publiques</w:t>
      </w:r>
      <w:r w:rsidRPr="00D31C3D">
        <w:t xml:space="preserve"> locales, Etablissements publics, Concessionnaires de service public ou Sociétés d’</w:t>
      </w:r>
      <w:r>
        <w:t>État</w:t>
      </w:r>
      <w:r w:rsidRPr="00D31C3D">
        <w:t>.</w:t>
      </w:r>
    </w:p>
  </w:footnote>
  <w:footnote w:id="67">
    <w:p w:rsidR="00AF10A6" w:rsidRPr="00D31C3D" w:rsidRDefault="00AF10A6" w:rsidP="00F17353">
      <w:pPr>
        <w:pStyle w:val="Notedebasdepage"/>
      </w:pPr>
      <w:r>
        <w:tab/>
      </w:r>
      <w:r w:rsidRPr="00D31C3D">
        <w:rPr>
          <w:rStyle w:val="Appelnotedebasdep"/>
          <w:szCs w:val="18"/>
        </w:rPr>
        <w:footnoteRef/>
      </w:r>
      <w:r w:rsidRPr="00D31C3D">
        <w:t xml:space="preserve"> </w:t>
      </w:r>
      <w:r w:rsidRPr="00D31C3D">
        <w:tab/>
        <w:t xml:space="preserve">C’est le </w:t>
      </w:r>
      <w:r w:rsidRPr="00F17353">
        <w:t>cas</w:t>
      </w:r>
      <w:r w:rsidRPr="00D31C3D">
        <w:t xml:space="preserve"> dans certains Projets structurants.</w:t>
      </w:r>
    </w:p>
  </w:footnote>
  <w:footnote w:id="68">
    <w:p w:rsidR="00AF10A6" w:rsidRPr="00D31C3D" w:rsidRDefault="00AF10A6" w:rsidP="00F17353">
      <w:pPr>
        <w:pStyle w:val="Notedebasdepage"/>
      </w:pPr>
      <w:r>
        <w:tab/>
      </w:r>
      <w:r w:rsidRPr="00D31C3D">
        <w:rPr>
          <w:rStyle w:val="Appelnotedebasdep"/>
          <w:szCs w:val="18"/>
        </w:rPr>
        <w:footnoteRef/>
      </w:r>
      <w:r w:rsidRPr="00D31C3D">
        <w:t xml:space="preserve"> </w:t>
      </w:r>
      <w:r w:rsidRPr="00D31C3D">
        <w:tab/>
        <w:t>Article 19 du Décret.</w:t>
      </w:r>
    </w:p>
  </w:footnote>
  <w:footnote w:id="69">
    <w:p w:rsidR="00AF10A6" w:rsidRPr="00D31C3D" w:rsidRDefault="00AF10A6" w:rsidP="00F17353">
      <w:pPr>
        <w:pStyle w:val="Notedebasdepage"/>
      </w:pPr>
      <w:r>
        <w:tab/>
      </w:r>
      <w:r w:rsidRPr="00D31C3D">
        <w:rPr>
          <w:rStyle w:val="Appelnotedebasdep"/>
          <w:szCs w:val="18"/>
        </w:rPr>
        <w:footnoteRef/>
      </w:r>
      <w:r w:rsidRPr="00D31C3D">
        <w:t xml:space="preserve"> </w:t>
      </w:r>
      <w:r w:rsidRPr="00D31C3D">
        <w:tab/>
        <w:t>Article 12 al 2 de la Loi n</w:t>
      </w:r>
      <w:r w:rsidRPr="00D6478B">
        <w:rPr>
          <w:vertAlign w:val="superscript"/>
        </w:rPr>
        <w:t>o</w:t>
      </w:r>
      <w:r>
        <w:t> </w:t>
      </w:r>
      <w:r w:rsidRPr="00D31C3D">
        <w:t>85/9 du 4 juillet 1985.</w:t>
      </w:r>
    </w:p>
  </w:footnote>
  <w:footnote w:id="70">
    <w:p w:rsidR="00AF10A6" w:rsidRPr="00D31C3D" w:rsidRDefault="00AF10A6" w:rsidP="00F17353">
      <w:pPr>
        <w:pStyle w:val="Notedebasdepage"/>
        <w:rPr>
          <w:lang w:val="es-ES"/>
        </w:rPr>
      </w:pPr>
      <w:r w:rsidRPr="0017665A">
        <w:rPr>
          <w:lang w:val="fr-FR"/>
        </w:rPr>
        <w:tab/>
      </w:r>
      <w:r w:rsidRPr="00D31C3D">
        <w:rPr>
          <w:rStyle w:val="Appelnotedebasdep"/>
          <w:szCs w:val="18"/>
        </w:rPr>
        <w:footnoteRef/>
      </w:r>
      <w:r w:rsidRPr="00D31C3D">
        <w:rPr>
          <w:lang w:val="es-ES"/>
        </w:rPr>
        <w:t xml:space="preserve"> </w:t>
      </w:r>
      <w:r w:rsidRPr="00D31C3D">
        <w:rPr>
          <w:lang w:val="es-ES"/>
        </w:rPr>
        <w:tab/>
      </w:r>
      <w:proofErr w:type="spellStart"/>
      <w:r w:rsidRPr="00D31C3D">
        <w:rPr>
          <w:lang w:val="es-ES"/>
        </w:rPr>
        <w:t>Environ</w:t>
      </w:r>
      <w:proofErr w:type="spellEnd"/>
      <w:r w:rsidRPr="00D31C3D">
        <w:rPr>
          <w:lang w:val="es-ES"/>
        </w:rPr>
        <w:t xml:space="preserve"> 14 874 236,341 euros.</w:t>
      </w:r>
    </w:p>
  </w:footnote>
  <w:footnote w:id="71">
    <w:p w:rsidR="00AF10A6" w:rsidRPr="00D31C3D" w:rsidRDefault="00AF10A6" w:rsidP="00F17353">
      <w:pPr>
        <w:pStyle w:val="Notedebasdepage"/>
        <w:rPr>
          <w:lang w:val="es-ES"/>
        </w:rPr>
      </w:pPr>
      <w:r>
        <w:rPr>
          <w:lang w:val="es-ES"/>
        </w:rPr>
        <w:tab/>
      </w:r>
      <w:r w:rsidRPr="00D31C3D">
        <w:rPr>
          <w:rStyle w:val="Appelnotedebasdep"/>
          <w:szCs w:val="18"/>
        </w:rPr>
        <w:footnoteRef/>
      </w:r>
      <w:r w:rsidRPr="00D31C3D">
        <w:rPr>
          <w:lang w:val="es-ES"/>
        </w:rPr>
        <w:t xml:space="preserve"> </w:t>
      </w:r>
      <w:r w:rsidRPr="00D31C3D">
        <w:rPr>
          <w:lang w:val="es-ES"/>
        </w:rPr>
        <w:tab/>
      </w:r>
      <w:proofErr w:type="spellStart"/>
      <w:r w:rsidRPr="0017665A">
        <w:rPr>
          <w:lang w:val="es-ES"/>
        </w:rPr>
        <w:t>Environ</w:t>
      </w:r>
      <w:proofErr w:type="spellEnd"/>
      <w:r w:rsidRPr="00D31C3D">
        <w:rPr>
          <w:lang w:val="es-ES"/>
        </w:rPr>
        <w:t xml:space="preserve"> 14 874 236,34 euros.</w:t>
      </w:r>
    </w:p>
  </w:footnote>
  <w:footnote w:id="72">
    <w:p w:rsidR="00AF10A6" w:rsidRPr="00D31C3D" w:rsidRDefault="00AF10A6" w:rsidP="00F17353">
      <w:pPr>
        <w:pStyle w:val="Notedebasdepage"/>
        <w:rPr>
          <w:lang w:val="es-ES"/>
        </w:rPr>
      </w:pPr>
      <w:r>
        <w:rPr>
          <w:lang w:val="es-ES"/>
        </w:rPr>
        <w:tab/>
      </w:r>
      <w:r w:rsidRPr="00D31C3D">
        <w:rPr>
          <w:rStyle w:val="Appelnotedebasdep"/>
          <w:szCs w:val="18"/>
        </w:rPr>
        <w:footnoteRef/>
      </w:r>
      <w:r w:rsidRPr="00D31C3D">
        <w:rPr>
          <w:lang w:val="es-ES"/>
        </w:rPr>
        <w:t xml:space="preserve"> </w:t>
      </w:r>
      <w:r w:rsidRPr="00D31C3D">
        <w:rPr>
          <w:lang w:val="es-ES"/>
        </w:rPr>
        <w:tab/>
      </w:r>
      <w:proofErr w:type="spellStart"/>
      <w:r w:rsidRPr="00D31C3D">
        <w:rPr>
          <w:lang w:val="es-ES"/>
        </w:rPr>
        <w:t>Environ</w:t>
      </w:r>
      <w:proofErr w:type="spellEnd"/>
      <w:r w:rsidRPr="00D31C3D">
        <w:rPr>
          <w:lang w:val="es-ES"/>
        </w:rPr>
        <w:t xml:space="preserve"> 356 417,41 euros.</w:t>
      </w:r>
    </w:p>
  </w:footnote>
  <w:footnote w:id="73">
    <w:p w:rsidR="00AF10A6" w:rsidRPr="00D31C3D" w:rsidRDefault="00AF10A6" w:rsidP="00F17353">
      <w:pPr>
        <w:pStyle w:val="Notedebasdepage"/>
        <w:rPr>
          <w:lang w:val="es-ES"/>
        </w:rPr>
      </w:pPr>
      <w:r>
        <w:rPr>
          <w:lang w:val="es-ES"/>
        </w:rPr>
        <w:tab/>
      </w:r>
      <w:r w:rsidRPr="00D31C3D">
        <w:rPr>
          <w:rStyle w:val="Appelnotedebasdep"/>
          <w:szCs w:val="18"/>
        </w:rPr>
        <w:footnoteRef/>
      </w:r>
      <w:r w:rsidRPr="00D31C3D">
        <w:rPr>
          <w:lang w:val="es-ES"/>
        </w:rPr>
        <w:t xml:space="preserve"> </w:t>
      </w:r>
      <w:r w:rsidRPr="00D31C3D">
        <w:rPr>
          <w:lang w:val="es-ES"/>
        </w:rPr>
        <w:tab/>
        <w:t>Environ13 386,374 euros.</w:t>
      </w:r>
    </w:p>
  </w:footnote>
  <w:footnote w:id="74">
    <w:p w:rsidR="00AF10A6" w:rsidRPr="00D31C3D" w:rsidRDefault="00AF10A6" w:rsidP="00F17353">
      <w:pPr>
        <w:pStyle w:val="Notedebasdepage"/>
        <w:rPr>
          <w:lang w:val="es-ES"/>
        </w:rPr>
      </w:pPr>
      <w:r>
        <w:rPr>
          <w:lang w:val="es-ES"/>
        </w:rPr>
        <w:tab/>
      </w:r>
      <w:r w:rsidRPr="00D31C3D">
        <w:rPr>
          <w:rStyle w:val="Appelnotedebasdep"/>
          <w:szCs w:val="18"/>
        </w:rPr>
        <w:footnoteRef/>
      </w:r>
      <w:r w:rsidRPr="00D31C3D">
        <w:rPr>
          <w:lang w:val="es-ES"/>
        </w:rPr>
        <w:t xml:space="preserve"> </w:t>
      </w:r>
      <w:r w:rsidRPr="00D31C3D">
        <w:rPr>
          <w:lang w:val="es-ES"/>
        </w:rPr>
        <w:tab/>
        <w:t>Environ730 999,78 euros.</w:t>
      </w:r>
    </w:p>
  </w:footnote>
  <w:footnote w:id="75">
    <w:p w:rsidR="00AF10A6" w:rsidRPr="00D31C3D" w:rsidRDefault="00AF10A6" w:rsidP="00F17353">
      <w:pPr>
        <w:pStyle w:val="Notedebasdepage"/>
        <w:rPr>
          <w:lang w:val="es-ES"/>
        </w:rPr>
      </w:pPr>
      <w:r>
        <w:rPr>
          <w:lang w:val="es-ES"/>
        </w:rPr>
        <w:tab/>
      </w:r>
      <w:r w:rsidRPr="00D31C3D">
        <w:rPr>
          <w:rStyle w:val="Appelnotedebasdep"/>
          <w:szCs w:val="18"/>
        </w:rPr>
        <w:footnoteRef/>
      </w:r>
      <w:r w:rsidRPr="00D31C3D">
        <w:rPr>
          <w:lang w:val="es-ES"/>
        </w:rPr>
        <w:t xml:space="preserve"> </w:t>
      </w:r>
      <w:r w:rsidRPr="00D31C3D">
        <w:rPr>
          <w:lang w:val="es-ES"/>
        </w:rPr>
        <w:tab/>
      </w:r>
      <w:proofErr w:type="spellStart"/>
      <w:r w:rsidRPr="00D31C3D">
        <w:rPr>
          <w:lang w:val="es-ES"/>
        </w:rPr>
        <w:t>Environ</w:t>
      </w:r>
      <w:proofErr w:type="spellEnd"/>
      <w:r w:rsidRPr="00D31C3D">
        <w:rPr>
          <w:lang w:val="es-ES"/>
        </w:rPr>
        <w:t xml:space="preserve"> 3 217 199,89 euros</w:t>
      </w:r>
    </w:p>
  </w:footnote>
  <w:footnote w:id="76">
    <w:p w:rsidR="00AF10A6" w:rsidRPr="00D31C3D" w:rsidRDefault="00AF10A6" w:rsidP="00F17353">
      <w:pPr>
        <w:pStyle w:val="Notedebasdepage"/>
      </w:pPr>
      <w:r w:rsidRPr="0017665A">
        <w:rPr>
          <w:lang w:val="es-ES"/>
        </w:rPr>
        <w:tab/>
      </w:r>
      <w:r w:rsidRPr="00D31C3D">
        <w:rPr>
          <w:rStyle w:val="Appelnotedebasdep"/>
          <w:szCs w:val="18"/>
        </w:rPr>
        <w:footnoteRef/>
      </w:r>
      <w:r w:rsidRPr="00D31C3D">
        <w:rPr>
          <w:lang w:val="fr-MC"/>
        </w:rPr>
        <w:t xml:space="preserve"> </w:t>
      </w:r>
      <w:r w:rsidRPr="00D31C3D">
        <w:rPr>
          <w:lang w:val="fr-MC"/>
        </w:rPr>
        <w:tab/>
        <w:t xml:space="preserve">Environ </w:t>
      </w:r>
      <w:r w:rsidRPr="00D31C3D">
        <w:t>209 192,41 euros.</w:t>
      </w:r>
    </w:p>
  </w:footnote>
  <w:footnote w:id="77">
    <w:p w:rsidR="00AF10A6" w:rsidRPr="00D31C3D" w:rsidRDefault="00AF10A6" w:rsidP="00F17353">
      <w:pPr>
        <w:pStyle w:val="Notedebasdepage"/>
      </w:pPr>
      <w:r w:rsidRPr="00D31C3D">
        <w:tab/>
      </w:r>
      <w:r w:rsidRPr="00D31C3D">
        <w:rPr>
          <w:rStyle w:val="Appelnotedebasdep"/>
          <w:szCs w:val="18"/>
        </w:rPr>
        <w:footnoteRef/>
      </w:r>
      <w:r w:rsidRPr="00D31C3D">
        <w:t xml:space="preserve"> </w:t>
      </w:r>
      <w:r w:rsidRPr="00D31C3D">
        <w:tab/>
        <w:t>Société publique chargée de la production de l’eau potable.</w:t>
      </w:r>
    </w:p>
  </w:footnote>
  <w:footnote w:id="78">
    <w:p w:rsidR="00AF10A6" w:rsidRPr="00D31C3D" w:rsidRDefault="00AF10A6" w:rsidP="00F17353">
      <w:pPr>
        <w:pStyle w:val="Notedebasdepage"/>
      </w:pPr>
      <w:r w:rsidRPr="00D31C3D">
        <w:tab/>
      </w:r>
      <w:r w:rsidRPr="00D31C3D">
        <w:rPr>
          <w:rStyle w:val="Appelnotedebasdep"/>
          <w:szCs w:val="18"/>
        </w:rPr>
        <w:footnoteRef/>
      </w:r>
      <w:r w:rsidRPr="00D31C3D">
        <w:t xml:space="preserve"> </w:t>
      </w:r>
      <w:r w:rsidRPr="00D31C3D">
        <w:tab/>
      </w:r>
      <w:proofErr w:type="spellStart"/>
      <w:r w:rsidRPr="00D31C3D">
        <w:t>Eximbank</w:t>
      </w:r>
      <w:proofErr w:type="spellEnd"/>
      <w:r w:rsidRPr="00D31C3D">
        <w:t xml:space="preserve"> China, </w:t>
      </w:r>
      <w:proofErr w:type="spellStart"/>
      <w:r w:rsidRPr="00D31C3D">
        <w:t>Belfius</w:t>
      </w:r>
      <w:proofErr w:type="spellEnd"/>
      <w:r w:rsidRPr="00D31C3D">
        <w:t xml:space="preserve"> Banque de Belgique, Banque Africaine de Développement, GPOBA,</w:t>
      </w:r>
      <w:r>
        <w:t xml:space="preserve"> </w:t>
      </w:r>
      <w:r w:rsidRPr="00D31C3D">
        <w:t>Agence Française de Développement</w:t>
      </w:r>
      <w:r w:rsidRPr="00D31C3D">
        <w:rPr>
          <w:i/>
        </w:rPr>
        <w:t xml:space="preserve">, </w:t>
      </w:r>
      <w:r w:rsidRPr="00D251C2">
        <w:t xml:space="preserve">International </w:t>
      </w:r>
      <w:proofErr w:type="spellStart"/>
      <w:r w:rsidRPr="00D251C2">
        <w:t>Development</w:t>
      </w:r>
      <w:proofErr w:type="spellEnd"/>
      <w:r w:rsidRPr="00D251C2">
        <w:t xml:space="preserve"> Association, </w:t>
      </w:r>
      <w:r>
        <w:t xml:space="preserve">Global </w:t>
      </w:r>
      <w:proofErr w:type="spellStart"/>
      <w:r>
        <w:t>Partnership</w:t>
      </w:r>
      <w:proofErr w:type="spellEnd"/>
      <w:r>
        <w:t xml:space="preserve"> On </w:t>
      </w:r>
      <w:r w:rsidRPr="00D251C2">
        <w:t xml:space="preserve">Output </w:t>
      </w:r>
      <w:proofErr w:type="spellStart"/>
      <w:r w:rsidRPr="00D251C2">
        <w:t>BasedAid</w:t>
      </w:r>
      <w:proofErr w:type="spellEnd"/>
      <w:r w:rsidRPr="00D251C2">
        <w:t>,</w:t>
      </w:r>
      <w:r w:rsidRPr="00D31C3D">
        <w:t xml:space="preserve"> le Département du Royaume-Uni pour le Développement International(DFID),</w:t>
      </w:r>
    </w:p>
    <w:p w:rsidR="00AF10A6" w:rsidRPr="00D31C3D" w:rsidRDefault="00AF10A6" w:rsidP="00FA52C0">
      <w:pPr>
        <w:pStyle w:val="Notedebasdepage"/>
        <w:tabs>
          <w:tab w:val="left" w:pos="1134"/>
        </w:tabs>
        <w:ind w:firstLine="0"/>
        <w:jc w:val="both"/>
        <w:rPr>
          <w:szCs w:val="18"/>
        </w:rPr>
      </w:pPr>
      <w:proofErr w:type="gramStart"/>
      <w:r w:rsidRPr="00D31C3D">
        <w:rPr>
          <w:szCs w:val="18"/>
        </w:rPr>
        <w:t>la</w:t>
      </w:r>
      <w:proofErr w:type="gramEnd"/>
      <w:r w:rsidRPr="00D31C3D">
        <w:rPr>
          <w:szCs w:val="18"/>
        </w:rPr>
        <w:t xml:space="preserve"> Banque Mondiale</w:t>
      </w:r>
      <w:r>
        <w:rPr>
          <w:szCs w:val="18"/>
        </w:rPr>
        <w:t>.</w:t>
      </w:r>
    </w:p>
  </w:footnote>
  <w:footnote w:id="79">
    <w:p w:rsidR="00AF10A6" w:rsidRPr="00D31C3D" w:rsidRDefault="00AF10A6" w:rsidP="00F17353">
      <w:pPr>
        <w:pStyle w:val="Notedebasdepage"/>
      </w:pPr>
      <w:r w:rsidRPr="00D31C3D">
        <w:rPr>
          <w:lang w:val="fr-MC"/>
        </w:rPr>
        <w:tab/>
      </w:r>
      <w:r w:rsidRPr="00D31C3D">
        <w:rPr>
          <w:rStyle w:val="Appelnotedebasdep"/>
          <w:szCs w:val="18"/>
        </w:rPr>
        <w:footnoteRef/>
      </w:r>
      <w:r w:rsidRPr="00D31C3D">
        <w:rPr>
          <w:lang w:val="fr-MC"/>
        </w:rPr>
        <w:t xml:space="preserve"> </w:t>
      </w:r>
      <w:r w:rsidRPr="00D31C3D">
        <w:rPr>
          <w:lang w:val="fr-MC"/>
        </w:rPr>
        <w:tab/>
      </w:r>
      <w:r w:rsidRPr="00F17353">
        <w:t>Environ</w:t>
      </w:r>
      <w:r w:rsidRPr="00D31C3D">
        <w:rPr>
          <w:lang w:val="fr-MC"/>
        </w:rPr>
        <w:t xml:space="preserve"> </w:t>
      </w:r>
      <w:r w:rsidRPr="00D31C3D">
        <w:t>100 562 350,02 euros.</w:t>
      </w:r>
    </w:p>
  </w:footnote>
  <w:footnote w:id="80">
    <w:p w:rsidR="00AF10A6" w:rsidRPr="00D31C3D" w:rsidRDefault="00AF10A6" w:rsidP="00F17353">
      <w:pPr>
        <w:pStyle w:val="Notedebasdepage"/>
      </w:pPr>
      <w:r w:rsidRPr="00D31C3D">
        <w:rPr>
          <w:lang w:val="fr-MC"/>
        </w:rPr>
        <w:tab/>
      </w:r>
      <w:r w:rsidRPr="00D31C3D">
        <w:rPr>
          <w:rStyle w:val="Appelnotedebasdep"/>
          <w:szCs w:val="18"/>
        </w:rPr>
        <w:footnoteRef/>
      </w:r>
      <w:r w:rsidRPr="00D31C3D">
        <w:rPr>
          <w:lang w:val="fr-MC"/>
        </w:rPr>
        <w:t xml:space="preserve"> </w:t>
      </w:r>
      <w:r w:rsidRPr="00D31C3D">
        <w:rPr>
          <w:lang w:val="fr-MC"/>
        </w:rPr>
        <w:tab/>
        <w:t xml:space="preserve">Environ </w:t>
      </w:r>
      <w:r w:rsidRPr="00D31C3D">
        <w:t>21 374 045,80 euros</w:t>
      </w:r>
      <w:r>
        <w:t>.</w:t>
      </w:r>
    </w:p>
  </w:footnote>
  <w:footnote w:id="81">
    <w:p w:rsidR="00AF10A6" w:rsidRPr="00D31C3D" w:rsidRDefault="00AF10A6" w:rsidP="00F17353">
      <w:pPr>
        <w:pStyle w:val="Notedebasdepage"/>
      </w:pPr>
      <w:r w:rsidRPr="00D31C3D">
        <w:rPr>
          <w:lang w:val="fr-MC"/>
        </w:rPr>
        <w:tab/>
      </w:r>
      <w:r w:rsidRPr="00D31C3D">
        <w:rPr>
          <w:rStyle w:val="Appelnotedebasdep"/>
          <w:szCs w:val="18"/>
        </w:rPr>
        <w:footnoteRef/>
      </w:r>
      <w:r w:rsidRPr="00D31C3D">
        <w:rPr>
          <w:lang w:val="fr-MC"/>
        </w:rPr>
        <w:t xml:space="preserve"> </w:t>
      </w:r>
      <w:r w:rsidRPr="00D31C3D">
        <w:rPr>
          <w:lang w:val="fr-MC"/>
        </w:rPr>
        <w:tab/>
        <w:t>Environ 1</w:t>
      </w:r>
      <w:r w:rsidRPr="00D31C3D">
        <w:t> 496 183 euros.</w:t>
      </w:r>
    </w:p>
  </w:footnote>
  <w:footnote w:id="82">
    <w:p w:rsidR="00AF10A6" w:rsidRPr="00D31C3D" w:rsidRDefault="00AF10A6" w:rsidP="00F17353">
      <w:pPr>
        <w:pStyle w:val="Notedebasdepage"/>
      </w:pPr>
      <w:r w:rsidRPr="00D31C3D">
        <w:tab/>
      </w:r>
      <w:r w:rsidRPr="00D31C3D">
        <w:rPr>
          <w:rStyle w:val="Appelnotedebasdep"/>
          <w:szCs w:val="18"/>
        </w:rPr>
        <w:footnoteRef/>
      </w:r>
      <w:r w:rsidRPr="00D31C3D">
        <w:t xml:space="preserve"> </w:t>
      </w:r>
      <w:r w:rsidRPr="00D31C3D">
        <w:tab/>
        <w:t>Le 3</w:t>
      </w:r>
      <w:r w:rsidRPr="00D31C3D">
        <w:rPr>
          <w:vertAlign w:val="superscript"/>
        </w:rPr>
        <w:t>ème</w:t>
      </w:r>
      <w:r w:rsidRPr="00D31C3D">
        <w:t xml:space="preserve"> don effectué </w:t>
      </w:r>
      <w:r w:rsidRPr="00F17353">
        <w:t>en</w:t>
      </w:r>
      <w:r w:rsidRPr="00D31C3D">
        <w:t xml:space="preserve"> novembre 2015 était d’une valeur de 1 050 000 000 FCFA.</w:t>
      </w:r>
    </w:p>
  </w:footnote>
  <w:footnote w:id="83">
    <w:p w:rsidR="00AF10A6" w:rsidRPr="0017665A" w:rsidRDefault="00AF10A6" w:rsidP="00F17353">
      <w:pPr>
        <w:pStyle w:val="Notedebasdepage"/>
        <w:rPr>
          <w:lang w:val="es-ES"/>
        </w:rPr>
      </w:pPr>
      <w:r w:rsidRPr="00D31C3D">
        <w:rPr>
          <w:lang w:val="fr-MC"/>
        </w:rPr>
        <w:tab/>
      </w:r>
      <w:r w:rsidRPr="00D31C3D">
        <w:rPr>
          <w:rStyle w:val="Appelnotedebasdep"/>
          <w:szCs w:val="18"/>
        </w:rPr>
        <w:footnoteRef/>
      </w:r>
      <w:r w:rsidRPr="00D31C3D">
        <w:rPr>
          <w:lang w:val="es-ES"/>
        </w:rPr>
        <w:t xml:space="preserve"> </w:t>
      </w:r>
      <w:r w:rsidRPr="00D31C3D">
        <w:rPr>
          <w:lang w:val="es-ES"/>
        </w:rPr>
        <w:tab/>
      </w:r>
      <w:proofErr w:type="spellStart"/>
      <w:r w:rsidRPr="00D31C3D">
        <w:rPr>
          <w:lang w:val="es-ES"/>
        </w:rPr>
        <w:t>Environ</w:t>
      </w:r>
      <w:proofErr w:type="spellEnd"/>
      <w:r w:rsidRPr="00D31C3D">
        <w:rPr>
          <w:lang w:val="es-ES"/>
        </w:rPr>
        <w:t xml:space="preserve"> 946</w:t>
      </w:r>
      <w:r>
        <w:rPr>
          <w:lang w:val="es-ES"/>
        </w:rPr>
        <w:t> </w:t>
      </w:r>
      <w:r w:rsidRPr="00D31C3D">
        <w:rPr>
          <w:lang w:val="es-ES"/>
        </w:rPr>
        <w:t>564,88 euros.</w:t>
      </w:r>
    </w:p>
  </w:footnote>
  <w:footnote w:id="84">
    <w:p w:rsidR="00AF10A6" w:rsidRPr="00D31C3D" w:rsidRDefault="00AF10A6" w:rsidP="00F17353">
      <w:pPr>
        <w:pStyle w:val="Notedebasdepage"/>
        <w:rPr>
          <w:lang w:val="es-ES"/>
        </w:rPr>
      </w:pPr>
      <w:r w:rsidRPr="00D31C3D">
        <w:rPr>
          <w:lang w:val="es-ES"/>
        </w:rPr>
        <w:tab/>
      </w:r>
      <w:r w:rsidRPr="00D31C3D">
        <w:rPr>
          <w:rStyle w:val="Appelnotedebasdep"/>
          <w:szCs w:val="18"/>
        </w:rPr>
        <w:footnoteRef/>
      </w:r>
      <w:r w:rsidRPr="00D31C3D">
        <w:rPr>
          <w:lang w:val="es-ES"/>
        </w:rPr>
        <w:t xml:space="preserve"> </w:t>
      </w:r>
      <w:r w:rsidRPr="00D31C3D">
        <w:rPr>
          <w:lang w:val="es-ES"/>
        </w:rPr>
        <w:tab/>
      </w:r>
      <w:proofErr w:type="spellStart"/>
      <w:r w:rsidRPr="00D31C3D">
        <w:rPr>
          <w:lang w:val="es-ES"/>
        </w:rPr>
        <w:t>Environ</w:t>
      </w:r>
      <w:proofErr w:type="spellEnd"/>
      <w:r w:rsidRPr="00D31C3D">
        <w:rPr>
          <w:lang w:val="es-ES"/>
        </w:rPr>
        <w:t xml:space="preserve"> 3 053 </w:t>
      </w:r>
      <w:r w:rsidRPr="0017665A">
        <w:rPr>
          <w:lang w:val="es-ES"/>
        </w:rPr>
        <w:t>435</w:t>
      </w:r>
      <w:r w:rsidRPr="00D31C3D">
        <w:rPr>
          <w:lang w:val="es-ES"/>
        </w:rPr>
        <w:t>,11 euros.</w:t>
      </w:r>
    </w:p>
  </w:footnote>
  <w:footnote w:id="85">
    <w:p w:rsidR="00AF10A6" w:rsidRPr="00D31C3D" w:rsidRDefault="00AF10A6" w:rsidP="00F17353">
      <w:pPr>
        <w:pStyle w:val="Notedebasdepage"/>
        <w:rPr>
          <w:lang w:val="es-ES"/>
        </w:rPr>
      </w:pPr>
      <w:r w:rsidRPr="00D31C3D">
        <w:rPr>
          <w:lang w:val="es-ES"/>
        </w:rPr>
        <w:tab/>
      </w:r>
      <w:r w:rsidRPr="00D31C3D">
        <w:rPr>
          <w:rStyle w:val="Appelnotedebasdep"/>
          <w:szCs w:val="18"/>
        </w:rPr>
        <w:footnoteRef/>
      </w:r>
      <w:r w:rsidRPr="00D31C3D">
        <w:rPr>
          <w:lang w:val="es-ES"/>
        </w:rPr>
        <w:t xml:space="preserve"> </w:t>
      </w:r>
      <w:r w:rsidRPr="00D31C3D">
        <w:rPr>
          <w:lang w:val="es-ES"/>
        </w:rPr>
        <w:tab/>
      </w:r>
      <w:proofErr w:type="spellStart"/>
      <w:r w:rsidRPr="00D31C3D">
        <w:rPr>
          <w:lang w:val="es-ES"/>
        </w:rPr>
        <w:t>Environ</w:t>
      </w:r>
      <w:proofErr w:type="spellEnd"/>
      <w:r w:rsidRPr="00D31C3D">
        <w:rPr>
          <w:lang w:val="es-ES"/>
        </w:rPr>
        <w:t xml:space="preserve"> </w:t>
      </w:r>
      <w:r w:rsidRPr="0017665A">
        <w:rPr>
          <w:lang w:val="es-ES"/>
        </w:rPr>
        <w:t>14</w:t>
      </w:r>
      <w:r w:rsidRPr="00D31C3D">
        <w:rPr>
          <w:lang w:val="es-ES"/>
        </w:rPr>
        <w:t xml:space="preserve"> 580 152,67 euros.</w:t>
      </w:r>
    </w:p>
  </w:footnote>
  <w:footnote w:id="86">
    <w:p w:rsidR="00AF10A6" w:rsidRPr="00D31C3D" w:rsidRDefault="00AF10A6" w:rsidP="00F17353">
      <w:pPr>
        <w:pStyle w:val="Notedebasdepage"/>
      </w:pPr>
      <w:r w:rsidRPr="00D31C3D">
        <w:rPr>
          <w:lang w:val="es-ES"/>
        </w:rPr>
        <w:tab/>
      </w:r>
      <w:r w:rsidRPr="00D31C3D">
        <w:rPr>
          <w:rStyle w:val="Appelnotedebasdep"/>
          <w:szCs w:val="18"/>
        </w:rPr>
        <w:footnoteRef/>
      </w:r>
      <w:r w:rsidRPr="00D31C3D">
        <w:rPr>
          <w:lang w:val="fr-FR"/>
        </w:rPr>
        <w:t xml:space="preserve"> </w:t>
      </w:r>
      <w:r w:rsidRPr="00D31C3D">
        <w:rPr>
          <w:lang w:val="fr-FR"/>
        </w:rPr>
        <w:tab/>
      </w:r>
      <w:r w:rsidRPr="00D31C3D">
        <w:t xml:space="preserve">La </w:t>
      </w:r>
      <w:r w:rsidRPr="00F17353">
        <w:t>formation</w:t>
      </w:r>
      <w:r w:rsidRPr="00D31C3D">
        <w:t xml:space="preserve"> continue en santé de reproduction des 5 846 personnels de santé est répartie ainsi qu’il suit</w:t>
      </w:r>
      <w:r>
        <w:t> :</w:t>
      </w:r>
      <w:r w:rsidRPr="00D31C3D">
        <w:t xml:space="preserve"> 1 538 (en 2012), 1 679 (en 2013) et 2 629 (en 2014).</w:t>
      </w:r>
    </w:p>
  </w:footnote>
  <w:footnote w:id="87">
    <w:p w:rsidR="00AF10A6" w:rsidRPr="00D31C3D" w:rsidRDefault="00AF10A6" w:rsidP="00F17353">
      <w:pPr>
        <w:pStyle w:val="Notedebasdepage"/>
      </w:pPr>
      <w:r w:rsidRPr="00D31C3D">
        <w:tab/>
      </w:r>
      <w:r w:rsidRPr="00D31C3D">
        <w:rPr>
          <w:rStyle w:val="Appelnotedebasdep"/>
          <w:szCs w:val="18"/>
        </w:rPr>
        <w:footnoteRef/>
      </w:r>
      <w:r w:rsidRPr="00D31C3D">
        <w:t xml:space="preserve"> </w:t>
      </w:r>
      <w:r w:rsidRPr="00D31C3D">
        <w:tab/>
        <w:t xml:space="preserve">Comme </w:t>
      </w:r>
      <w:r w:rsidRPr="00D31C3D">
        <w:rPr>
          <w:lang w:eastAsia="fr-FR"/>
        </w:rPr>
        <w:t>mauvaise pratique de l</w:t>
      </w:r>
      <w:r>
        <w:rPr>
          <w:lang w:eastAsia="fr-FR"/>
        </w:rPr>
        <w:t>’</w:t>
      </w:r>
      <w:r w:rsidRPr="00D31C3D">
        <w:rPr>
          <w:lang w:eastAsia="fr-FR"/>
        </w:rPr>
        <w:t>allaitement maternel,</w:t>
      </w:r>
      <w:r w:rsidRPr="00D31C3D">
        <w:t xml:space="preserve"> on peut citer</w:t>
      </w:r>
      <w:r>
        <w:t> :</w:t>
      </w:r>
      <w:r w:rsidRPr="00D31C3D">
        <w:t xml:space="preserve"> l’introduction d’alimentation de compléments avant 06 mois dans l’alimentation du nourrisson et l’utilisation du biberon.</w:t>
      </w:r>
    </w:p>
  </w:footnote>
  <w:footnote w:id="88">
    <w:p w:rsidR="00AF10A6" w:rsidRPr="00D31C3D" w:rsidRDefault="00AF10A6" w:rsidP="00F17353">
      <w:pPr>
        <w:pStyle w:val="Notedebasdepage"/>
      </w:pPr>
      <w:r>
        <w:tab/>
      </w:r>
      <w:r w:rsidRPr="00D31C3D">
        <w:rPr>
          <w:rStyle w:val="Appelnotedebasdep"/>
          <w:szCs w:val="18"/>
        </w:rPr>
        <w:footnoteRef/>
      </w:r>
      <w:r w:rsidRPr="00D31C3D">
        <w:t xml:space="preserve"> </w:t>
      </w:r>
      <w:r w:rsidRPr="00D31C3D">
        <w:tab/>
        <w:t>Plan stratégique de santé de la reproduction maternelle, néonatale et infantile (2014-2020) dont l’objectif vise à espacer les naissances</w:t>
      </w:r>
      <w:r>
        <w:t> ;</w:t>
      </w:r>
    </w:p>
    <w:p w:rsidR="00AF10A6" w:rsidRPr="00B02DEB" w:rsidRDefault="00AF10A6" w:rsidP="00750C09">
      <w:pPr>
        <w:tabs>
          <w:tab w:val="left" w:pos="1134"/>
        </w:tabs>
        <w:spacing w:line="240" w:lineRule="auto"/>
        <w:ind w:left="1134" w:right="1134"/>
        <w:jc w:val="both"/>
        <w:rPr>
          <w:sz w:val="18"/>
          <w:szCs w:val="18"/>
        </w:rPr>
      </w:pPr>
      <w:r w:rsidRPr="00D31C3D">
        <w:rPr>
          <w:sz w:val="18"/>
          <w:szCs w:val="18"/>
        </w:rPr>
        <w:tab/>
      </w:r>
      <w:r>
        <w:rPr>
          <w:sz w:val="18"/>
          <w:szCs w:val="18"/>
        </w:rPr>
        <w:t>-</w:t>
      </w:r>
      <w:r>
        <w:rPr>
          <w:sz w:val="18"/>
          <w:szCs w:val="18"/>
        </w:rPr>
        <w:t> </w:t>
      </w:r>
      <w:r w:rsidRPr="0017665A">
        <w:rPr>
          <w:sz w:val="18"/>
          <w:szCs w:val="18"/>
        </w:rPr>
        <w:t>Plan opérationnel de Planification Familiale (2015-2020)</w:t>
      </w:r>
      <w:r w:rsidRPr="00B02DEB">
        <w:rPr>
          <w:sz w:val="18"/>
          <w:szCs w:val="18"/>
        </w:rPr>
        <w:t xml:space="preserve"> dont l’</w:t>
      </w:r>
      <w:r w:rsidRPr="00B02DEB">
        <w:rPr>
          <w:sz w:val="18"/>
          <w:szCs w:val="18"/>
          <w:lang w:eastAsia="fr-FR"/>
        </w:rPr>
        <w:t>objectif vise à améliorer l’accès aux services de Planification Familiale</w:t>
      </w:r>
      <w:r>
        <w:rPr>
          <w:sz w:val="18"/>
          <w:szCs w:val="18"/>
          <w:lang w:eastAsia="fr-FR"/>
        </w:rPr>
        <w:t> ;</w:t>
      </w:r>
      <w:r w:rsidRPr="00B02DEB">
        <w:rPr>
          <w:sz w:val="18"/>
          <w:szCs w:val="18"/>
          <w:lang w:eastAsia="fr-FR"/>
        </w:rPr>
        <w:t xml:space="preserve"> </w:t>
      </w:r>
      <w:r w:rsidRPr="00B02DEB">
        <w:rPr>
          <w:sz w:val="18"/>
          <w:szCs w:val="18"/>
        </w:rPr>
        <w:t>et</w:t>
      </w:r>
    </w:p>
    <w:p w:rsidR="00AF10A6" w:rsidRPr="0017665A" w:rsidRDefault="00AF10A6" w:rsidP="0017665A">
      <w:pPr>
        <w:tabs>
          <w:tab w:val="left" w:pos="1134"/>
        </w:tabs>
        <w:spacing w:line="240" w:lineRule="auto"/>
        <w:ind w:left="1134" w:right="1134"/>
        <w:jc w:val="both"/>
        <w:rPr>
          <w:sz w:val="18"/>
          <w:szCs w:val="18"/>
        </w:rPr>
      </w:pPr>
      <w:r w:rsidRPr="0017665A">
        <w:rPr>
          <w:sz w:val="18"/>
          <w:szCs w:val="18"/>
        </w:rPr>
        <w:t>-</w:t>
      </w:r>
      <w:r w:rsidRPr="0017665A">
        <w:rPr>
          <w:sz w:val="18"/>
          <w:szCs w:val="18"/>
        </w:rPr>
        <w:t> </w:t>
      </w:r>
      <w:r w:rsidRPr="0017665A">
        <w:rPr>
          <w:sz w:val="18"/>
          <w:szCs w:val="18"/>
        </w:rPr>
        <w:t xml:space="preserve">Plan Stratégique de la Sécurisation des Produits Contraceptifs (2015-2020) </w:t>
      </w:r>
      <w:r w:rsidRPr="00B02DEB">
        <w:rPr>
          <w:sz w:val="18"/>
          <w:szCs w:val="18"/>
        </w:rPr>
        <w:t>dont</w:t>
      </w:r>
      <w:r w:rsidRPr="00D31C3D">
        <w:rPr>
          <w:sz w:val="18"/>
          <w:szCs w:val="18"/>
        </w:rPr>
        <w:t xml:space="preserve"> l’objectif est de faire passer la prévalence contraceptive</w:t>
      </w:r>
      <w:r>
        <w:rPr>
          <w:sz w:val="18"/>
          <w:szCs w:val="18"/>
        </w:rPr>
        <w:t xml:space="preserve"> </w:t>
      </w:r>
      <w:r w:rsidRPr="00D31C3D">
        <w:rPr>
          <w:sz w:val="18"/>
          <w:szCs w:val="18"/>
        </w:rPr>
        <w:t>de 16,1</w:t>
      </w:r>
      <w:r>
        <w:rPr>
          <w:sz w:val="18"/>
          <w:szCs w:val="18"/>
        </w:rPr>
        <w:t> %</w:t>
      </w:r>
      <w:r w:rsidRPr="00D31C3D">
        <w:rPr>
          <w:sz w:val="18"/>
          <w:szCs w:val="18"/>
        </w:rPr>
        <w:t xml:space="preserve"> en 2011 à 30</w:t>
      </w:r>
      <w:r>
        <w:rPr>
          <w:sz w:val="18"/>
          <w:szCs w:val="18"/>
        </w:rPr>
        <w:t> %</w:t>
      </w:r>
      <w:r w:rsidRPr="00D31C3D">
        <w:rPr>
          <w:sz w:val="18"/>
          <w:szCs w:val="18"/>
        </w:rPr>
        <w:t xml:space="preserve"> d’ici 2020.</w:t>
      </w:r>
    </w:p>
  </w:footnote>
  <w:footnote w:id="89">
    <w:p w:rsidR="00AF10A6" w:rsidRPr="00D31C3D" w:rsidRDefault="00AF10A6" w:rsidP="009C12DC">
      <w:pPr>
        <w:pStyle w:val="Notedebasdepage"/>
      </w:pPr>
      <w:r w:rsidRPr="00D31C3D">
        <w:tab/>
      </w:r>
      <w:r w:rsidRPr="00D31C3D">
        <w:rPr>
          <w:rStyle w:val="Appelnotedebasdep"/>
          <w:szCs w:val="18"/>
        </w:rPr>
        <w:footnoteRef/>
      </w:r>
      <w:r w:rsidRPr="00D31C3D">
        <w:tab/>
        <w:t>Les 617 personnels qui ont été capacités sont en fonction entre autres, dans les Régions ci-après</w:t>
      </w:r>
      <w:r>
        <w:t> :</w:t>
      </w:r>
      <w:r w:rsidRPr="00D31C3D">
        <w:t xml:space="preserve"> Nord (77), Sud (29), Littoral (100), Sud-Ouest (96), l’Ouest (56), l’Adamaoua (95), l’Est (72).</w:t>
      </w:r>
    </w:p>
  </w:footnote>
  <w:footnote w:id="90">
    <w:p w:rsidR="00AF10A6" w:rsidRPr="00D31C3D" w:rsidRDefault="00AF10A6" w:rsidP="009C12DC">
      <w:pPr>
        <w:pStyle w:val="Notedebasdepage"/>
        <w:rPr>
          <w:lang w:val="es-ES"/>
        </w:rPr>
      </w:pPr>
      <w:r w:rsidRPr="00D31C3D">
        <w:tab/>
      </w:r>
      <w:r w:rsidRPr="00D31C3D">
        <w:rPr>
          <w:rStyle w:val="Appelnotedebasdep"/>
          <w:szCs w:val="18"/>
        </w:rPr>
        <w:footnoteRef/>
      </w:r>
      <w:r w:rsidRPr="00D31C3D">
        <w:rPr>
          <w:lang w:val="es-ES"/>
        </w:rPr>
        <w:t xml:space="preserve"> </w:t>
      </w:r>
      <w:r w:rsidRPr="00D31C3D">
        <w:rPr>
          <w:lang w:val="es-ES"/>
        </w:rPr>
        <w:tab/>
      </w:r>
      <w:proofErr w:type="spellStart"/>
      <w:r w:rsidRPr="00D31C3D">
        <w:rPr>
          <w:lang w:val="es-ES"/>
        </w:rPr>
        <w:t>Environ</w:t>
      </w:r>
      <w:proofErr w:type="spellEnd"/>
      <w:r w:rsidRPr="00D31C3D">
        <w:rPr>
          <w:lang w:val="es-ES"/>
        </w:rPr>
        <w:t xml:space="preserve"> 16 793 89 euros.</w:t>
      </w:r>
    </w:p>
  </w:footnote>
  <w:footnote w:id="91">
    <w:p w:rsidR="00AF10A6" w:rsidRPr="0017665A" w:rsidRDefault="00AF10A6" w:rsidP="009C12DC">
      <w:pPr>
        <w:pStyle w:val="Notedebasdepage"/>
        <w:rPr>
          <w:lang w:val="es-ES"/>
        </w:rPr>
      </w:pPr>
      <w:r w:rsidRPr="00D31C3D">
        <w:rPr>
          <w:lang w:val="es-ES"/>
        </w:rPr>
        <w:tab/>
      </w:r>
      <w:r w:rsidRPr="00D31C3D">
        <w:rPr>
          <w:rStyle w:val="Appelnotedebasdep"/>
          <w:szCs w:val="18"/>
        </w:rPr>
        <w:footnoteRef/>
      </w:r>
      <w:r w:rsidRPr="00D31C3D">
        <w:rPr>
          <w:lang w:val="es-ES"/>
        </w:rPr>
        <w:t xml:space="preserve"> </w:t>
      </w:r>
      <w:r w:rsidRPr="00D31C3D">
        <w:rPr>
          <w:lang w:val="es-ES"/>
        </w:rPr>
        <w:tab/>
      </w:r>
      <w:proofErr w:type="spellStart"/>
      <w:r w:rsidRPr="00D31C3D">
        <w:rPr>
          <w:lang w:val="es-ES"/>
        </w:rPr>
        <w:t>Environ</w:t>
      </w:r>
      <w:proofErr w:type="spellEnd"/>
      <w:r w:rsidRPr="00D31C3D">
        <w:rPr>
          <w:lang w:val="es-ES"/>
        </w:rPr>
        <w:t xml:space="preserve"> 83,50 euros.</w:t>
      </w:r>
    </w:p>
  </w:footnote>
  <w:footnote w:id="92">
    <w:p w:rsidR="00AF10A6" w:rsidRPr="0017665A" w:rsidRDefault="00AF10A6" w:rsidP="009C12DC">
      <w:pPr>
        <w:pStyle w:val="Notedebasdepage"/>
        <w:rPr>
          <w:lang w:val="es-ES"/>
        </w:rPr>
      </w:pPr>
      <w:r w:rsidRPr="00D31C3D">
        <w:rPr>
          <w:lang w:val="es-ES"/>
        </w:rPr>
        <w:tab/>
      </w:r>
      <w:r w:rsidRPr="00D31C3D">
        <w:rPr>
          <w:rStyle w:val="Appelnotedebasdep"/>
          <w:szCs w:val="18"/>
        </w:rPr>
        <w:footnoteRef/>
      </w:r>
      <w:r w:rsidRPr="00D31C3D">
        <w:rPr>
          <w:lang w:val="es-ES"/>
        </w:rPr>
        <w:tab/>
      </w:r>
      <w:proofErr w:type="spellStart"/>
      <w:r w:rsidRPr="00D31C3D">
        <w:rPr>
          <w:lang w:val="es-ES"/>
        </w:rPr>
        <w:t>Environ</w:t>
      </w:r>
      <w:proofErr w:type="spellEnd"/>
      <w:r w:rsidRPr="00D31C3D">
        <w:rPr>
          <w:lang w:val="es-ES"/>
        </w:rPr>
        <w:t xml:space="preserve"> 41,80 euros.</w:t>
      </w:r>
    </w:p>
  </w:footnote>
  <w:footnote w:id="93">
    <w:p w:rsidR="00AF10A6" w:rsidRPr="00D31C3D" w:rsidRDefault="00AF10A6" w:rsidP="009C12DC">
      <w:pPr>
        <w:pStyle w:val="Notedebasdepage"/>
        <w:rPr>
          <w:lang w:val="es-ES"/>
        </w:rPr>
      </w:pPr>
      <w:r w:rsidRPr="00D31C3D">
        <w:rPr>
          <w:lang w:val="es-ES"/>
        </w:rPr>
        <w:tab/>
      </w:r>
      <w:r w:rsidRPr="00D31C3D">
        <w:rPr>
          <w:rStyle w:val="Appelnotedebasdep"/>
          <w:szCs w:val="18"/>
        </w:rPr>
        <w:footnoteRef/>
      </w:r>
      <w:r w:rsidRPr="00D31C3D">
        <w:rPr>
          <w:lang w:val="fr-FR"/>
        </w:rPr>
        <w:t xml:space="preserve"> </w:t>
      </w:r>
      <w:r w:rsidRPr="00D31C3D">
        <w:rPr>
          <w:lang w:val="fr-FR"/>
        </w:rPr>
        <w:tab/>
      </w:r>
      <w:r w:rsidRPr="00D31C3D">
        <w:t>Une nouvelle baisse a été enregistrée à partir de janvier 2016 étant donné que le coût du traitement pour l’hépatite C a baissé de 80</w:t>
      </w:r>
      <w:r>
        <w:t> %</w:t>
      </w:r>
      <w:r w:rsidRPr="00D31C3D">
        <w:t xml:space="preserve"> et celui de l’hépatite B de 50</w:t>
      </w:r>
      <w:r>
        <w:t> %</w:t>
      </w:r>
      <w:r w:rsidRPr="00D31C3D">
        <w:t xml:space="preserve">. </w:t>
      </w:r>
      <w:r>
        <w:rPr>
          <w:lang w:val="es-ES"/>
        </w:rPr>
        <w:t>(h</w:t>
      </w:r>
      <w:r w:rsidRPr="00D31C3D">
        <w:rPr>
          <w:lang w:val="es-ES"/>
        </w:rPr>
        <w:t>ttp</w:t>
      </w:r>
      <w:r>
        <w:rPr>
          <w:lang w:val="es-ES"/>
        </w:rPr>
        <w:t> :</w:t>
      </w:r>
      <w:r w:rsidRPr="00D31C3D">
        <w:rPr>
          <w:lang w:val="es-ES"/>
        </w:rPr>
        <w:t>//www.mediaterre.org/afrique-centrale/actu,20160125140643.html).</w:t>
      </w:r>
    </w:p>
  </w:footnote>
  <w:footnote w:id="94">
    <w:p w:rsidR="00AF10A6" w:rsidRPr="0017665A" w:rsidRDefault="00AF10A6" w:rsidP="009C12DC">
      <w:pPr>
        <w:pStyle w:val="Notedebasdepage"/>
        <w:rPr>
          <w:lang w:val="es-ES"/>
        </w:rPr>
      </w:pPr>
      <w:r w:rsidRPr="00D31C3D">
        <w:rPr>
          <w:lang w:val="es-ES"/>
        </w:rPr>
        <w:tab/>
      </w:r>
      <w:r w:rsidRPr="00D31C3D">
        <w:rPr>
          <w:rStyle w:val="Appelnotedebasdep"/>
          <w:szCs w:val="18"/>
        </w:rPr>
        <w:footnoteRef/>
      </w:r>
      <w:r w:rsidRPr="00D31C3D">
        <w:rPr>
          <w:lang w:val="es-ES"/>
        </w:rPr>
        <w:t xml:space="preserve"> </w:t>
      </w:r>
      <w:r w:rsidRPr="00D31C3D">
        <w:rPr>
          <w:lang w:val="es-ES"/>
        </w:rPr>
        <w:tab/>
      </w:r>
      <w:proofErr w:type="spellStart"/>
      <w:r w:rsidRPr="00D31C3D">
        <w:rPr>
          <w:lang w:val="es-ES"/>
        </w:rPr>
        <w:t>Environ</w:t>
      </w:r>
      <w:proofErr w:type="spellEnd"/>
      <w:r w:rsidRPr="00D31C3D">
        <w:rPr>
          <w:lang w:val="es-ES"/>
        </w:rPr>
        <w:t xml:space="preserve"> 5 996 196 euros.</w:t>
      </w:r>
    </w:p>
  </w:footnote>
  <w:footnote w:id="95">
    <w:p w:rsidR="00AF10A6" w:rsidRPr="00D31C3D" w:rsidRDefault="00AF10A6" w:rsidP="009C12DC">
      <w:pPr>
        <w:pStyle w:val="Notedebasdepage"/>
        <w:rPr>
          <w:lang w:val="es-ES"/>
        </w:rPr>
      </w:pPr>
      <w:r w:rsidRPr="00D31C3D">
        <w:rPr>
          <w:lang w:val="es-ES"/>
        </w:rPr>
        <w:tab/>
      </w:r>
      <w:r w:rsidRPr="00D31C3D">
        <w:rPr>
          <w:rStyle w:val="Appelnotedebasdep"/>
          <w:szCs w:val="18"/>
        </w:rPr>
        <w:footnoteRef/>
      </w:r>
      <w:r w:rsidRPr="00D31C3D">
        <w:rPr>
          <w:lang w:val="es-ES"/>
        </w:rPr>
        <w:t xml:space="preserve"> </w:t>
      </w:r>
      <w:r w:rsidRPr="00D31C3D">
        <w:rPr>
          <w:lang w:val="es-ES"/>
        </w:rPr>
        <w:tab/>
      </w:r>
      <w:proofErr w:type="spellStart"/>
      <w:r w:rsidRPr="00D31C3D">
        <w:rPr>
          <w:lang w:val="es-ES"/>
        </w:rPr>
        <w:t>Environ</w:t>
      </w:r>
      <w:proofErr w:type="spellEnd"/>
      <w:r w:rsidRPr="00D31C3D">
        <w:rPr>
          <w:lang w:val="es-ES"/>
        </w:rPr>
        <w:t xml:space="preserve"> 275 395 </w:t>
      </w:r>
      <w:r w:rsidRPr="0017665A">
        <w:rPr>
          <w:lang w:val="es-ES"/>
        </w:rPr>
        <w:t>euros</w:t>
      </w:r>
      <w:r w:rsidRPr="00D31C3D">
        <w:rPr>
          <w:lang w:val="es-ES"/>
        </w:rPr>
        <w:t>.</w:t>
      </w:r>
      <w:r w:rsidRPr="00D31C3D">
        <w:rPr>
          <w:lang w:val="es-ES"/>
        </w:rPr>
        <w:tab/>
      </w:r>
    </w:p>
  </w:footnote>
  <w:footnote w:id="96">
    <w:p w:rsidR="00AF10A6" w:rsidRPr="009C12DC" w:rsidRDefault="00AF10A6" w:rsidP="009C12DC">
      <w:pPr>
        <w:pStyle w:val="Notedebasdepage"/>
      </w:pPr>
      <w:r w:rsidRPr="00D31C3D">
        <w:rPr>
          <w:lang w:val="es-ES"/>
        </w:rPr>
        <w:tab/>
      </w:r>
      <w:r w:rsidRPr="00D31C3D">
        <w:rPr>
          <w:rStyle w:val="Appelnotedebasdep"/>
          <w:szCs w:val="18"/>
        </w:rPr>
        <w:footnoteRef/>
      </w:r>
      <w:r w:rsidRPr="00D31C3D">
        <w:rPr>
          <w:lang w:val="fr-FR"/>
        </w:rPr>
        <w:t xml:space="preserve"> </w:t>
      </w:r>
      <w:r w:rsidRPr="00D31C3D">
        <w:rPr>
          <w:lang w:val="fr-FR"/>
        </w:rPr>
        <w:tab/>
        <w:t>Environ 1 524,49 euros.</w:t>
      </w:r>
    </w:p>
  </w:footnote>
  <w:footnote w:id="97">
    <w:p w:rsidR="00AF10A6" w:rsidRPr="009C12DC" w:rsidRDefault="00AF10A6" w:rsidP="009C12DC">
      <w:pPr>
        <w:pStyle w:val="Notedebasdepage"/>
      </w:pPr>
      <w:r w:rsidRPr="00D31C3D">
        <w:rPr>
          <w:lang w:val="fr-FR"/>
        </w:rPr>
        <w:tab/>
      </w:r>
      <w:r w:rsidRPr="00D31C3D">
        <w:rPr>
          <w:rStyle w:val="Appelnotedebasdep"/>
          <w:szCs w:val="18"/>
        </w:rPr>
        <w:footnoteRef/>
      </w:r>
      <w:r w:rsidRPr="00D31C3D">
        <w:rPr>
          <w:lang w:val="fr-FR"/>
        </w:rPr>
        <w:t xml:space="preserve"> </w:t>
      </w:r>
      <w:r w:rsidRPr="00D31C3D">
        <w:rPr>
          <w:lang w:val="fr-FR"/>
        </w:rPr>
        <w:tab/>
        <w:t>Environ 4 573,47 euros.</w:t>
      </w:r>
    </w:p>
  </w:footnote>
  <w:footnote w:id="98">
    <w:p w:rsidR="00AF10A6" w:rsidRPr="00D31C3D" w:rsidRDefault="00AF10A6" w:rsidP="009C12DC">
      <w:pPr>
        <w:pStyle w:val="Notedebasdepage"/>
      </w:pPr>
      <w:r w:rsidRPr="00D31C3D">
        <w:rPr>
          <w:lang w:val="fr-FR"/>
        </w:rPr>
        <w:tab/>
      </w:r>
      <w:r w:rsidRPr="00D31C3D">
        <w:rPr>
          <w:rStyle w:val="Appelnotedebasdep"/>
          <w:szCs w:val="18"/>
        </w:rPr>
        <w:footnoteRef/>
      </w:r>
      <w:r w:rsidRPr="00D31C3D">
        <w:rPr>
          <w:lang w:val="fr-FR"/>
        </w:rPr>
        <w:t xml:space="preserve"> </w:t>
      </w:r>
      <w:r w:rsidRPr="00D31C3D">
        <w:rPr>
          <w:lang w:val="fr-FR"/>
        </w:rPr>
        <w:tab/>
      </w:r>
      <w:r w:rsidRPr="00D31C3D">
        <w:t xml:space="preserve">Voir notamment la </w:t>
      </w:r>
      <w:r w:rsidRPr="009C12DC">
        <w:t>Décision</w:t>
      </w:r>
      <w:r w:rsidRPr="00D31C3D">
        <w:t xml:space="preserve"> n°1019/MINSANTE/CAB/CNLS/GTC/SP du 24 mai 2016 et les Lettres-circulaires du Ministre de la Santé du 26 mai 2016 sur la prise en charge des personnes vivant avec le VIH, sur le Déploiement des accompagnateurs psychosociaux pédiatriques, sur le plan d’enrôlement des laboratoires pour la réalisation de l’examen de la Charge virale.</w:t>
      </w:r>
    </w:p>
  </w:footnote>
  <w:footnote w:id="99">
    <w:p w:rsidR="00AF10A6" w:rsidRPr="00D31C3D" w:rsidRDefault="00AF10A6" w:rsidP="009C12DC">
      <w:pPr>
        <w:pStyle w:val="Notedebasdepage"/>
      </w:pPr>
      <w:r w:rsidRPr="00D31C3D">
        <w:tab/>
      </w:r>
      <w:r w:rsidRPr="00D31C3D">
        <w:rPr>
          <w:rStyle w:val="Appelnotedebasdep"/>
          <w:szCs w:val="18"/>
        </w:rPr>
        <w:footnoteRef/>
      </w:r>
      <w:r w:rsidRPr="00D31C3D">
        <w:t xml:space="preserve"> </w:t>
      </w:r>
      <w:r w:rsidRPr="00D31C3D">
        <w:tab/>
        <w:t xml:space="preserve">Comité National de Lutte contre le </w:t>
      </w:r>
      <w:r>
        <w:t>s</w:t>
      </w:r>
      <w:r w:rsidRPr="00D31C3D">
        <w:t>ida.</w:t>
      </w:r>
    </w:p>
  </w:footnote>
  <w:footnote w:id="100">
    <w:p w:rsidR="00AF10A6" w:rsidRPr="00D31C3D" w:rsidRDefault="00AF10A6" w:rsidP="009C12DC">
      <w:pPr>
        <w:pStyle w:val="Notedebasdepage"/>
        <w:rPr>
          <w:lang w:val="fr-FR"/>
        </w:rPr>
      </w:pPr>
      <w:r w:rsidRPr="00D31C3D">
        <w:tab/>
      </w:r>
      <w:r w:rsidRPr="00D31C3D">
        <w:rPr>
          <w:rStyle w:val="Appelnotedebasdep"/>
          <w:szCs w:val="18"/>
        </w:rPr>
        <w:footnoteRef/>
      </w:r>
      <w:r w:rsidRPr="00D31C3D">
        <w:t xml:space="preserve"> </w:t>
      </w:r>
      <w:r w:rsidRPr="00D31C3D">
        <w:tab/>
        <w:t>Environ 7 633 580 Euros</w:t>
      </w:r>
      <w:r>
        <w:t>.</w:t>
      </w:r>
    </w:p>
  </w:footnote>
  <w:footnote w:id="101">
    <w:p w:rsidR="00AF10A6" w:rsidRPr="00D31C3D" w:rsidRDefault="00AF10A6" w:rsidP="009C12DC">
      <w:pPr>
        <w:pStyle w:val="Notedebasdepage"/>
      </w:pPr>
      <w:r w:rsidRPr="00D31C3D">
        <w:rPr>
          <w:lang w:val="fr-FR"/>
        </w:rPr>
        <w:tab/>
      </w:r>
      <w:r w:rsidRPr="00D31C3D">
        <w:rPr>
          <w:rStyle w:val="Appelnotedebasdep"/>
          <w:szCs w:val="18"/>
        </w:rPr>
        <w:footnoteRef/>
      </w:r>
      <w:r w:rsidRPr="00D31C3D">
        <w:rPr>
          <w:lang w:val="fr-FR"/>
        </w:rPr>
        <w:t xml:space="preserve"> </w:t>
      </w:r>
      <w:r w:rsidRPr="00D31C3D">
        <w:rPr>
          <w:lang w:val="fr-FR"/>
        </w:rPr>
        <w:tab/>
      </w:r>
      <w:r w:rsidRPr="00D31C3D">
        <w:t>L’article 47 du Décret n</w:t>
      </w:r>
      <w:r w:rsidRPr="00D6478B">
        <w:rPr>
          <w:vertAlign w:val="superscript"/>
        </w:rPr>
        <w:t>o</w:t>
      </w:r>
      <w:r>
        <w:t> </w:t>
      </w:r>
      <w:r w:rsidRPr="00D31C3D">
        <w:t>2001/</w:t>
      </w:r>
      <w:r w:rsidRPr="009C12DC">
        <w:t>041</w:t>
      </w:r>
      <w:r w:rsidRPr="00D31C3D">
        <w:t xml:space="preserve"> du 19 février 2001 portant organisation des établissements scolaires publics et fixant les attributions des responsables de l’administration, indique que les élèves des écoles primaires publiques sont exemptés, des contributions annuelles exigibles.</w:t>
      </w:r>
    </w:p>
  </w:footnote>
  <w:footnote w:id="102">
    <w:p w:rsidR="00AF10A6" w:rsidRPr="00D31C3D" w:rsidRDefault="00AF10A6" w:rsidP="009C12DC">
      <w:pPr>
        <w:pStyle w:val="Notedebasdepage"/>
      </w:pPr>
      <w:r w:rsidRPr="00D31C3D">
        <w:tab/>
      </w:r>
      <w:r w:rsidRPr="00D31C3D">
        <w:rPr>
          <w:rStyle w:val="Appelnotedebasdep"/>
          <w:szCs w:val="18"/>
        </w:rPr>
        <w:footnoteRef/>
      </w:r>
      <w:r w:rsidRPr="00D31C3D">
        <w:t xml:space="preserve"> </w:t>
      </w:r>
      <w:r w:rsidRPr="00D31C3D">
        <w:tab/>
        <w:t xml:space="preserve">L’article 6 de la </w:t>
      </w:r>
      <w:r>
        <w:t>L</w:t>
      </w:r>
      <w:r w:rsidRPr="00D31C3D">
        <w:t>oi n</w:t>
      </w:r>
      <w:r w:rsidRPr="0017665A">
        <w:rPr>
          <w:vertAlign w:val="superscript"/>
        </w:rPr>
        <w:t>o</w:t>
      </w:r>
      <w:r>
        <w:t> </w:t>
      </w:r>
      <w:r w:rsidRPr="00D31C3D">
        <w:t>98/004 du 14 avril 1998 d’Orientation de l’Education au Cameroun, proclame sans équivoque que l’</w:t>
      </w:r>
      <w:r>
        <w:t>État</w:t>
      </w:r>
      <w:r w:rsidRPr="00D31C3D">
        <w:t xml:space="preserve"> assure à l’enfant le </w:t>
      </w:r>
      <w:r w:rsidRPr="009C12DC">
        <w:t>droit</w:t>
      </w:r>
      <w:r w:rsidRPr="00D31C3D">
        <w:t xml:space="preserve"> à l’éducation, en même temps que l’article</w:t>
      </w:r>
      <w:r>
        <w:t> </w:t>
      </w:r>
      <w:r w:rsidRPr="00D31C3D">
        <w:t>9 proclame que l’enseignement primaire est obligatoire.</w:t>
      </w:r>
    </w:p>
  </w:footnote>
  <w:footnote w:id="103">
    <w:p w:rsidR="00AF10A6" w:rsidRPr="00D31C3D" w:rsidRDefault="00AF10A6" w:rsidP="009C12DC">
      <w:pPr>
        <w:pStyle w:val="Notedebasdepage"/>
      </w:pPr>
      <w:r w:rsidRPr="00D31C3D">
        <w:tab/>
      </w:r>
      <w:r w:rsidRPr="00D31C3D">
        <w:rPr>
          <w:rStyle w:val="Appelnotedebasdep"/>
          <w:szCs w:val="18"/>
        </w:rPr>
        <w:footnoteRef/>
      </w:r>
      <w:r w:rsidRPr="00D31C3D">
        <w:t xml:space="preserve"> </w:t>
      </w:r>
      <w:r w:rsidRPr="00D31C3D">
        <w:tab/>
        <w:t>En 2011, 32 écoles primaires publiques ciblées à titre expérimental (Douala, Yaoundé et Bamenda) ont été contrôlées, représentant 0,29</w:t>
      </w:r>
      <w:r>
        <w:t> %</w:t>
      </w:r>
      <w:r w:rsidRPr="00D31C3D">
        <w:t xml:space="preserve"> de l’ensemble national, avec zéro cas de corruption enregistré</w:t>
      </w:r>
      <w:r>
        <w:t> ;</w:t>
      </w:r>
      <w:r w:rsidRPr="00D31C3D">
        <w:t xml:space="preserve"> en 2012, 364 écoles primaires sur 2</w:t>
      </w:r>
      <w:r>
        <w:t> </w:t>
      </w:r>
      <w:r w:rsidRPr="00D31C3D">
        <w:t xml:space="preserve">538 </w:t>
      </w:r>
      <w:r w:rsidRPr="009C12DC">
        <w:t>écoles</w:t>
      </w:r>
      <w:r w:rsidRPr="00D31C3D">
        <w:t xml:space="preserve"> primaires publiques des chefs-lieux de Régions</w:t>
      </w:r>
      <w:r>
        <w:t xml:space="preserve"> </w:t>
      </w:r>
      <w:r w:rsidRPr="00D31C3D">
        <w:t>ont été contrôlées soit 23,04</w:t>
      </w:r>
      <w:r>
        <w:t> %</w:t>
      </w:r>
      <w:r w:rsidRPr="00D31C3D">
        <w:t>, pour 15 cas de déviances enregistrés, soit 4,12</w:t>
      </w:r>
      <w:r>
        <w:t> %</w:t>
      </w:r>
      <w:r w:rsidRPr="00D31C3D">
        <w:t xml:space="preserve"> de la cible globale</w:t>
      </w:r>
      <w:r>
        <w:t> ;</w:t>
      </w:r>
      <w:r w:rsidRPr="00D31C3D">
        <w:t xml:space="preserve"> en 2013, 881 écoles sur 3</w:t>
      </w:r>
      <w:r>
        <w:t> </w:t>
      </w:r>
      <w:r w:rsidRPr="00D31C3D">
        <w:t>804 écoles primaires publiques des chefs – lieux des 58 départements ont été contrôlées soit 31,7</w:t>
      </w:r>
      <w:r>
        <w:t> %</w:t>
      </w:r>
      <w:r w:rsidRPr="00D31C3D">
        <w:t>, et 9 cas de corruption sanctionnés, soit 1,02</w:t>
      </w:r>
      <w:r>
        <w:t> %</w:t>
      </w:r>
      <w:r w:rsidRPr="00D31C3D">
        <w:t xml:space="preserve"> de la cible </w:t>
      </w:r>
      <w:r>
        <w:t>;</w:t>
      </w:r>
      <w:r w:rsidRPr="00D31C3D">
        <w:t xml:space="preserve"> en 2014, 1</w:t>
      </w:r>
      <w:r>
        <w:t> </w:t>
      </w:r>
      <w:r w:rsidRPr="00D31C3D">
        <w:t>861 écoles sur 5</w:t>
      </w:r>
      <w:r>
        <w:t> </w:t>
      </w:r>
      <w:r w:rsidRPr="00D31C3D">
        <w:t>982 écoles primaires publiques des chefs-lieux des 360 arrondissements ont été contrôlées soit 47,72</w:t>
      </w:r>
      <w:r>
        <w:t xml:space="preserve"> % </w:t>
      </w:r>
      <w:r w:rsidRPr="00D31C3D">
        <w:t>pour zéro cas de corruption enregistré</w:t>
      </w:r>
      <w:r>
        <w:t> ;</w:t>
      </w:r>
      <w:r w:rsidRPr="00D31C3D">
        <w:t xml:space="preserve"> en 2015, 9 364 écoles sur 10 913 écoles primaires publiques ont été contrôlées soit 87,07</w:t>
      </w:r>
      <w:r>
        <w:t> %</w:t>
      </w:r>
      <w:r w:rsidRPr="00D31C3D">
        <w:t>, pour 4 cas de déviances enregistrés.</w:t>
      </w:r>
    </w:p>
  </w:footnote>
  <w:footnote w:id="104">
    <w:p w:rsidR="00AF10A6" w:rsidRPr="00D31C3D" w:rsidRDefault="00AF10A6" w:rsidP="009C12DC">
      <w:pPr>
        <w:pStyle w:val="Notedebasdepage"/>
      </w:pPr>
      <w:r w:rsidRPr="00D31C3D">
        <w:tab/>
      </w:r>
      <w:r w:rsidRPr="00D31C3D">
        <w:rPr>
          <w:rStyle w:val="Appelnotedebasdep"/>
          <w:szCs w:val="18"/>
        </w:rPr>
        <w:footnoteRef/>
      </w:r>
      <w:r w:rsidRPr="00D31C3D">
        <w:t xml:space="preserve"> </w:t>
      </w:r>
      <w:r w:rsidRPr="00D31C3D">
        <w:tab/>
        <w:t>Environ 5</w:t>
      </w:r>
      <w:r>
        <w:t> </w:t>
      </w:r>
      <w:r w:rsidRPr="00D31C3D">
        <w:t>555</w:t>
      </w:r>
      <w:r>
        <w:t> </w:t>
      </w:r>
      <w:r w:rsidRPr="00D31C3D">
        <w:t>633,98 euros.</w:t>
      </w:r>
    </w:p>
  </w:footnote>
  <w:footnote w:id="105">
    <w:p w:rsidR="00AF10A6" w:rsidRPr="00D31C3D" w:rsidRDefault="00AF10A6" w:rsidP="009C12DC">
      <w:pPr>
        <w:pStyle w:val="Notedebasdepage"/>
      </w:pPr>
      <w:r w:rsidRPr="00D31C3D">
        <w:tab/>
      </w:r>
      <w:r w:rsidRPr="00D31C3D">
        <w:rPr>
          <w:rStyle w:val="Appelnotedebasdep"/>
          <w:szCs w:val="18"/>
        </w:rPr>
        <w:footnoteRef/>
      </w:r>
      <w:r w:rsidRPr="00D31C3D">
        <w:t xml:space="preserve"> </w:t>
      </w:r>
      <w:r w:rsidRPr="00D31C3D">
        <w:tab/>
        <w:t xml:space="preserve">Voir Recommandation </w:t>
      </w:r>
      <w:r w:rsidRPr="009C12DC">
        <w:t>12</w:t>
      </w:r>
      <w:r w:rsidRPr="00D31C3D">
        <w:t>-A.</w:t>
      </w:r>
    </w:p>
  </w:footnote>
  <w:footnote w:id="106">
    <w:p w:rsidR="00AF10A6" w:rsidRPr="00D31C3D" w:rsidRDefault="00AF10A6" w:rsidP="009C12DC">
      <w:pPr>
        <w:pStyle w:val="Notedebasdepage"/>
      </w:pPr>
      <w:r w:rsidRPr="00D31C3D">
        <w:rPr>
          <w:lang w:val="fr-MC"/>
        </w:rPr>
        <w:tab/>
      </w:r>
      <w:r w:rsidRPr="00D31C3D">
        <w:rPr>
          <w:rStyle w:val="Appelnotedebasdep"/>
          <w:szCs w:val="18"/>
        </w:rPr>
        <w:footnoteRef/>
      </w:r>
      <w:r w:rsidRPr="00D31C3D">
        <w:rPr>
          <w:lang w:val="fr-MC"/>
        </w:rPr>
        <w:t xml:space="preserve"> </w:t>
      </w:r>
      <w:r w:rsidRPr="00D31C3D">
        <w:rPr>
          <w:lang w:val="fr-MC"/>
        </w:rPr>
        <w:tab/>
        <w:t xml:space="preserve">Environ </w:t>
      </w:r>
      <w:r w:rsidRPr="00D31C3D">
        <w:t>6 106 </w:t>
      </w:r>
      <w:r w:rsidRPr="009C12DC">
        <w:t>870</w:t>
      </w:r>
      <w:r w:rsidRPr="00D31C3D">
        <w:t>,22 euros.</w:t>
      </w:r>
    </w:p>
  </w:footnote>
  <w:footnote w:id="107">
    <w:p w:rsidR="00AF10A6" w:rsidRPr="00D31C3D" w:rsidRDefault="00AF10A6" w:rsidP="008C04EF">
      <w:pPr>
        <w:pStyle w:val="Notedebasdepage"/>
      </w:pPr>
      <w:r w:rsidRPr="00D31C3D">
        <w:tab/>
      </w:r>
      <w:r w:rsidRPr="00D31C3D">
        <w:rPr>
          <w:rStyle w:val="Appelnotedebasdep"/>
          <w:szCs w:val="18"/>
        </w:rPr>
        <w:footnoteRef/>
      </w:r>
      <w:r w:rsidRPr="00D31C3D">
        <w:t xml:space="preserve"> </w:t>
      </w:r>
      <w:r w:rsidRPr="00D31C3D">
        <w:tab/>
        <w:t xml:space="preserve">Voir réponse à la </w:t>
      </w:r>
      <w:r w:rsidRPr="009C12DC">
        <w:t>Recommandation</w:t>
      </w:r>
      <w:r w:rsidRPr="00D31C3D">
        <w:t xml:space="preserve"> 11.</w:t>
      </w:r>
    </w:p>
  </w:footnote>
  <w:footnote w:id="108">
    <w:p w:rsidR="00AF10A6" w:rsidRPr="00D31C3D" w:rsidRDefault="00AF10A6" w:rsidP="009C12DC">
      <w:pPr>
        <w:pStyle w:val="Notedebasdepage"/>
        <w:rPr>
          <w:rStyle w:val="NotedebasdepageCar"/>
          <w:szCs w:val="18"/>
        </w:rPr>
      </w:pPr>
      <w:r w:rsidRPr="00D31C3D">
        <w:rPr>
          <w:color w:val="000000"/>
        </w:rPr>
        <w:tab/>
      </w:r>
      <w:r w:rsidRPr="00D31C3D">
        <w:rPr>
          <w:rStyle w:val="Appelnotedebasdep"/>
          <w:szCs w:val="18"/>
        </w:rPr>
        <w:footnoteRef/>
      </w:r>
      <w:r w:rsidRPr="00D31C3D">
        <w:rPr>
          <w:color w:val="000000"/>
        </w:rPr>
        <w:t xml:space="preserve"> </w:t>
      </w:r>
      <w:r w:rsidRPr="00D31C3D">
        <w:rPr>
          <w:color w:val="000000"/>
        </w:rPr>
        <w:tab/>
      </w:r>
      <w:r>
        <w:rPr>
          <w:rStyle w:val="NotedebasdepageCar"/>
          <w:szCs w:val="18"/>
        </w:rPr>
        <w:t>À</w:t>
      </w:r>
      <w:r w:rsidRPr="00D31C3D">
        <w:rPr>
          <w:rStyle w:val="NotedebasdepageCar"/>
          <w:szCs w:val="18"/>
        </w:rPr>
        <w:t xml:space="preserve"> cette occasion, elle s’est entretenue avec les Ministres des Relations Extérieures, de la Justice, </w:t>
      </w:r>
      <w:r>
        <w:rPr>
          <w:rStyle w:val="NotedebasdepageCar"/>
          <w:szCs w:val="18"/>
        </w:rPr>
        <w:br/>
      </w:r>
      <w:r w:rsidRPr="00D31C3D">
        <w:rPr>
          <w:rStyle w:val="NotedebasdepageCar"/>
          <w:szCs w:val="18"/>
        </w:rPr>
        <w:t>de la Promotion de la Femme et de la Famille et les Présidents du Sénat et de l’Assemblée Nationale. Elle a aussi rencontré des représentants des institutions judiciaires, le Président et les membres de la CNDHL, les membres de la communauté diplomatique et de la Société Civile.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0A6" w:rsidRPr="004758DA" w:rsidRDefault="00AF10A6">
    <w:pPr>
      <w:pStyle w:val="En-tte"/>
    </w:pPr>
    <w:fldSimple w:instr=" TITLE  \* MERGEFORMAT ">
      <w:r>
        <w:t>E/C.12/CMR/4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0A6" w:rsidRPr="004758DA" w:rsidRDefault="00AF10A6" w:rsidP="004758DA">
    <w:pPr>
      <w:pStyle w:val="En-tte"/>
      <w:jc w:val="right"/>
    </w:pPr>
    <w:fldSimple w:instr=" TITLE  \* MERGEFORMAT ">
      <w:r>
        <w:t>E/C.12/CMR/4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33C" w:rsidRDefault="0000333C">
    <w:pPr>
      <w:pStyle w:val="En-tte"/>
    </w:pPr>
    <w:bookmarkStart w:id="100" w:name="_GoBack"/>
    <w:bookmarkEnd w:id="10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952"/>
    <w:multiLevelType w:val="hybridMultilevel"/>
    <w:tmpl w:val="AA7866C4"/>
    <w:lvl w:ilvl="0" w:tplc="E41A7534">
      <w:start w:val="1"/>
      <w:numFmt w:val="upperLetter"/>
      <w:lvlText w:val="%1)"/>
      <w:lvlJc w:val="left"/>
      <w:pPr>
        <w:ind w:left="1528" w:hanging="360"/>
      </w:pPr>
      <w:rPr>
        <w:rFonts w:hint="default"/>
      </w:rPr>
    </w:lvl>
    <w:lvl w:ilvl="1" w:tplc="08090019" w:tentative="1">
      <w:start w:val="1"/>
      <w:numFmt w:val="lowerLetter"/>
      <w:lvlText w:val="%2."/>
      <w:lvlJc w:val="left"/>
      <w:pPr>
        <w:ind w:left="2248" w:hanging="360"/>
      </w:pPr>
    </w:lvl>
    <w:lvl w:ilvl="2" w:tplc="0809001B" w:tentative="1">
      <w:start w:val="1"/>
      <w:numFmt w:val="lowerRoman"/>
      <w:lvlText w:val="%3."/>
      <w:lvlJc w:val="right"/>
      <w:pPr>
        <w:ind w:left="2968" w:hanging="180"/>
      </w:pPr>
    </w:lvl>
    <w:lvl w:ilvl="3" w:tplc="0809000F" w:tentative="1">
      <w:start w:val="1"/>
      <w:numFmt w:val="decimal"/>
      <w:lvlText w:val="%4."/>
      <w:lvlJc w:val="left"/>
      <w:pPr>
        <w:ind w:left="3688" w:hanging="360"/>
      </w:pPr>
    </w:lvl>
    <w:lvl w:ilvl="4" w:tplc="08090019" w:tentative="1">
      <w:start w:val="1"/>
      <w:numFmt w:val="lowerLetter"/>
      <w:lvlText w:val="%5."/>
      <w:lvlJc w:val="left"/>
      <w:pPr>
        <w:ind w:left="4408" w:hanging="360"/>
      </w:pPr>
    </w:lvl>
    <w:lvl w:ilvl="5" w:tplc="0809001B" w:tentative="1">
      <w:start w:val="1"/>
      <w:numFmt w:val="lowerRoman"/>
      <w:lvlText w:val="%6."/>
      <w:lvlJc w:val="right"/>
      <w:pPr>
        <w:ind w:left="5128" w:hanging="180"/>
      </w:pPr>
    </w:lvl>
    <w:lvl w:ilvl="6" w:tplc="0809000F" w:tentative="1">
      <w:start w:val="1"/>
      <w:numFmt w:val="decimal"/>
      <w:lvlText w:val="%7."/>
      <w:lvlJc w:val="left"/>
      <w:pPr>
        <w:ind w:left="5848" w:hanging="360"/>
      </w:pPr>
    </w:lvl>
    <w:lvl w:ilvl="7" w:tplc="08090019" w:tentative="1">
      <w:start w:val="1"/>
      <w:numFmt w:val="lowerLetter"/>
      <w:lvlText w:val="%8."/>
      <w:lvlJc w:val="left"/>
      <w:pPr>
        <w:ind w:left="6568" w:hanging="360"/>
      </w:pPr>
    </w:lvl>
    <w:lvl w:ilvl="8" w:tplc="0809001B" w:tentative="1">
      <w:start w:val="1"/>
      <w:numFmt w:val="lowerRoman"/>
      <w:lvlText w:val="%9."/>
      <w:lvlJc w:val="right"/>
      <w:pPr>
        <w:ind w:left="7288" w:hanging="180"/>
      </w:pPr>
    </w:lvl>
  </w:abstractNum>
  <w:abstractNum w:abstractNumId="1" w15:restartNumberingAfterBreak="0">
    <w:nsid w:val="01CD43E1"/>
    <w:multiLevelType w:val="hybridMultilevel"/>
    <w:tmpl w:val="F946B0F4"/>
    <w:lvl w:ilvl="0" w:tplc="60C26360">
      <w:start w:val="1"/>
      <w:numFmt w:val="decimal"/>
      <w:lvlText w:val="%1."/>
      <w:lvlJc w:val="left"/>
      <w:pPr>
        <w:ind w:left="1894" w:hanging="360"/>
      </w:pPr>
      <w:rPr>
        <w:rFonts w:hint="default"/>
      </w:rPr>
    </w:lvl>
    <w:lvl w:ilvl="1" w:tplc="08090019" w:tentative="1">
      <w:start w:val="1"/>
      <w:numFmt w:val="lowerLetter"/>
      <w:lvlText w:val="%2."/>
      <w:lvlJc w:val="left"/>
      <w:pPr>
        <w:ind w:left="2614" w:hanging="360"/>
      </w:pPr>
    </w:lvl>
    <w:lvl w:ilvl="2" w:tplc="0809001B" w:tentative="1">
      <w:start w:val="1"/>
      <w:numFmt w:val="lowerRoman"/>
      <w:lvlText w:val="%3."/>
      <w:lvlJc w:val="right"/>
      <w:pPr>
        <w:ind w:left="3334" w:hanging="180"/>
      </w:pPr>
    </w:lvl>
    <w:lvl w:ilvl="3" w:tplc="0809000F" w:tentative="1">
      <w:start w:val="1"/>
      <w:numFmt w:val="decimal"/>
      <w:lvlText w:val="%4."/>
      <w:lvlJc w:val="left"/>
      <w:pPr>
        <w:ind w:left="4054" w:hanging="360"/>
      </w:pPr>
    </w:lvl>
    <w:lvl w:ilvl="4" w:tplc="08090019" w:tentative="1">
      <w:start w:val="1"/>
      <w:numFmt w:val="lowerLetter"/>
      <w:lvlText w:val="%5."/>
      <w:lvlJc w:val="left"/>
      <w:pPr>
        <w:ind w:left="4774" w:hanging="360"/>
      </w:pPr>
    </w:lvl>
    <w:lvl w:ilvl="5" w:tplc="0809001B" w:tentative="1">
      <w:start w:val="1"/>
      <w:numFmt w:val="lowerRoman"/>
      <w:lvlText w:val="%6."/>
      <w:lvlJc w:val="right"/>
      <w:pPr>
        <w:ind w:left="5494" w:hanging="180"/>
      </w:pPr>
    </w:lvl>
    <w:lvl w:ilvl="6" w:tplc="0809000F" w:tentative="1">
      <w:start w:val="1"/>
      <w:numFmt w:val="decimal"/>
      <w:lvlText w:val="%7."/>
      <w:lvlJc w:val="left"/>
      <w:pPr>
        <w:ind w:left="6214" w:hanging="360"/>
      </w:pPr>
    </w:lvl>
    <w:lvl w:ilvl="7" w:tplc="08090019" w:tentative="1">
      <w:start w:val="1"/>
      <w:numFmt w:val="lowerLetter"/>
      <w:lvlText w:val="%8."/>
      <w:lvlJc w:val="left"/>
      <w:pPr>
        <w:ind w:left="6934" w:hanging="360"/>
      </w:pPr>
    </w:lvl>
    <w:lvl w:ilvl="8" w:tplc="0809001B" w:tentative="1">
      <w:start w:val="1"/>
      <w:numFmt w:val="lowerRoman"/>
      <w:lvlText w:val="%9."/>
      <w:lvlJc w:val="right"/>
      <w:pPr>
        <w:ind w:left="7654" w:hanging="180"/>
      </w:pPr>
    </w:lvl>
  </w:abstractNum>
  <w:abstractNum w:abstractNumId="2" w15:restartNumberingAfterBreak="0">
    <w:nsid w:val="058C0E51"/>
    <w:multiLevelType w:val="hybridMultilevel"/>
    <w:tmpl w:val="C81426A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0A4F1B1B"/>
    <w:multiLevelType w:val="hybridMultilevel"/>
    <w:tmpl w:val="FADA3B3A"/>
    <w:lvl w:ilvl="0" w:tplc="2F4491F6">
      <w:start w:val="2"/>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4" w15:restartNumberingAfterBreak="0">
    <w:nsid w:val="0B0C7F65"/>
    <w:multiLevelType w:val="hybridMultilevel"/>
    <w:tmpl w:val="B9FA1FEE"/>
    <w:lvl w:ilvl="0" w:tplc="BDCE1D06">
      <w:start w:val="1"/>
      <w:numFmt w:val="upperLetter"/>
      <w:lvlText w:val="%1)"/>
      <w:lvlJc w:val="left"/>
      <w:pPr>
        <w:ind w:left="1528" w:hanging="360"/>
      </w:pPr>
      <w:rPr>
        <w:rFonts w:hint="default"/>
      </w:rPr>
    </w:lvl>
    <w:lvl w:ilvl="1" w:tplc="08090019" w:tentative="1">
      <w:start w:val="1"/>
      <w:numFmt w:val="lowerLetter"/>
      <w:lvlText w:val="%2."/>
      <w:lvlJc w:val="left"/>
      <w:pPr>
        <w:ind w:left="2248" w:hanging="360"/>
      </w:pPr>
    </w:lvl>
    <w:lvl w:ilvl="2" w:tplc="0809001B" w:tentative="1">
      <w:start w:val="1"/>
      <w:numFmt w:val="lowerRoman"/>
      <w:lvlText w:val="%3."/>
      <w:lvlJc w:val="right"/>
      <w:pPr>
        <w:ind w:left="2968" w:hanging="180"/>
      </w:pPr>
    </w:lvl>
    <w:lvl w:ilvl="3" w:tplc="0809000F" w:tentative="1">
      <w:start w:val="1"/>
      <w:numFmt w:val="decimal"/>
      <w:lvlText w:val="%4."/>
      <w:lvlJc w:val="left"/>
      <w:pPr>
        <w:ind w:left="3688" w:hanging="360"/>
      </w:pPr>
    </w:lvl>
    <w:lvl w:ilvl="4" w:tplc="08090019" w:tentative="1">
      <w:start w:val="1"/>
      <w:numFmt w:val="lowerLetter"/>
      <w:lvlText w:val="%5."/>
      <w:lvlJc w:val="left"/>
      <w:pPr>
        <w:ind w:left="4408" w:hanging="360"/>
      </w:pPr>
    </w:lvl>
    <w:lvl w:ilvl="5" w:tplc="0809001B" w:tentative="1">
      <w:start w:val="1"/>
      <w:numFmt w:val="lowerRoman"/>
      <w:lvlText w:val="%6."/>
      <w:lvlJc w:val="right"/>
      <w:pPr>
        <w:ind w:left="5128" w:hanging="180"/>
      </w:pPr>
    </w:lvl>
    <w:lvl w:ilvl="6" w:tplc="0809000F" w:tentative="1">
      <w:start w:val="1"/>
      <w:numFmt w:val="decimal"/>
      <w:lvlText w:val="%7."/>
      <w:lvlJc w:val="left"/>
      <w:pPr>
        <w:ind w:left="5848" w:hanging="360"/>
      </w:pPr>
    </w:lvl>
    <w:lvl w:ilvl="7" w:tplc="08090019" w:tentative="1">
      <w:start w:val="1"/>
      <w:numFmt w:val="lowerLetter"/>
      <w:lvlText w:val="%8."/>
      <w:lvlJc w:val="left"/>
      <w:pPr>
        <w:ind w:left="6568" w:hanging="360"/>
      </w:pPr>
    </w:lvl>
    <w:lvl w:ilvl="8" w:tplc="0809001B" w:tentative="1">
      <w:start w:val="1"/>
      <w:numFmt w:val="lowerRoman"/>
      <w:lvlText w:val="%9."/>
      <w:lvlJc w:val="right"/>
      <w:pPr>
        <w:ind w:left="7288" w:hanging="180"/>
      </w:pPr>
    </w:lvl>
  </w:abstractNum>
  <w:abstractNum w:abstractNumId="5" w15:restartNumberingAfterBreak="0">
    <w:nsid w:val="0B987FF0"/>
    <w:multiLevelType w:val="hybridMultilevel"/>
    <w:tmpl w:val="51188B20"/>
    <w:lvl w:ilvl="0" w:tplc="7B444DD4">
      <w:start w:val="1"/>
      <w:numFmt w:val="decimal"/>
      <w:lvlText w:val="%1."/>
      <w:lvlJc w:val="left"/>
      <w:pPr>
        <w:ind w:left="1894" w:hanging="360"/>
      </w:pPr>
      <w:rPr>
        <w:rFonts w:hint="default"/>
      </w:rPr>
    </w:lvl>
    <w:lvl w:ilvl="1" w:tplc="08090019" w:tentative="1">
      <w:start w:val="1"/>
      <w:numFmt w:val="lowerLetter"/>
      <w:lvlText w:val="%2."/>
      <w:lvlJc w:val="left"/>
      <w:pPr>
        <w:ind w:left="2614" w:hanging="360"/>
      </w:pPr>
    </w:lvl>
    <w:lvl w:ilvl="2" w:tplc="0809001B" w:tentative="1">
      <w:start w:val="1"/>
      <w:numFmt w:val="lowerRoman"/>
      <w:lvlText w:val="%3."/>
      <w:lvlJc w:val="right"/>
      <w:pPr>
        <w:ind w:left="3334" w:hanging="180"/>
      </w:pPr>
    </w:lvl>
    <w:lvl w:ilvl="3" w:tplc="0809000F" w:tentative="1">
      <w:start w:val="1"/>
      <w:numFmt w:val="decimal"/>
      <w:lvlText w:val="%4."/>
      <w:lvlJc w:val="left"/>
      <w:pPr>
        <w:ind w:left="4054" w:hanging="360"/>
      </w:pPr>
    </w:lvl>
    <w:lvl w:ilvl="4" w:tplc="08090019" w:tentative="1">
      <w:start w:val="1"/>
      <w:numFmt w:val="lowerLetter"/>
      <w:lvlText w:val="%5."/>
      <w:lvlJc w:val="left"/>
      <w:pPr>
        <w:ind w:left="4774" w:hanging="360"/>
      </w:pPr>
    </w:lvl>
    <w:lvl w:ilvl="5" w:tplc="0809001B" w:tentative="1">
      <w:start w:val="1"/>
      <w:numFmt w:val="lowerRoman"/>
      <w:lvlText w:val="%6."/>
      <w:lvlJc w:val="right"/>
      <w:pPr>
        <w:ind w:left="5494" w:hanging="180"/>
      </w:pPr>
    </w:lvl>
    <w:lvl w:ilvl="6" w:tplc="0809000F" w:tentative="1">
      <w:start w:val="1"/>
      <w:numFmt w:val="decimal"/>
      <w:lvlText w:val="%7."/>
      <w:lvlJc w:val="left"/>
      <w:pPr>
        <w:ind w:left="6214" w:hanging="360"/>
      </w:pPr>
    </w:lvl>
    <w:lvl w:ilvl="7" w:tplc="08090019" w:tentative="1">
      <w:start w:val="1"/>
      <w:numFmt w:val="lowerLetter"/>
      <w:lvlText w:val="%8."/>
      <w:lvlJc w:val="left"/>
      <w:pPr>
        <w:ind w:left="6934" w:hanging="360"/>
      </w:pPr>
    </w:lvl>
    <w:lvl w:ilvl="8" w:tplc="0809001B" w:tentative="1">
      <w:start w:val="1"/>
      <w:numFmt w:val="lowerRoman"/>
      <w:lvlText w:val="%9."/>
      <w:lvlJc w:val="right"/>
      <w:pPr>
        <w:ind w:left="7654" w:hanging="180"/>
      </w:pPr>
    </w:lvl>
  </w:abstractNum>
  <w:abstractNum w:abstractNumId="6" w15:restartNumberingAfterBreak="0">
    <w:nsid w:val="0BBF477A"/>
    <w:multiLevelType w:val="hybridMultilevel"/>
    <w:tmpl w:val="1EF61BFE"/>
    <w:lvl w:ilvl="0" w:tplc="B254CE4E">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0C6C400E"/>
    <w:multiLevelType w:val="hybridMultilevel"/>
    <w:tmpl w:val="0A4ED722"/>
    <w:lvl w:ilvl="0" w:tplc="EBE2F33C">
      <w:start w:val="1"/>
      <w:numFmt w:val="upperLetter"/>
      <w:lvlText w:val="%1)"/>
      <w:lvlJc w:val="left"/>
      <w:pPr>
        <w:ind w:left="1528" w:hanging="360"/>
      </w:pPr>
      <w:rPr>
        <w:rFonts w:hint="default"/>
      </w:rPr>
    </w:lvl>
    <w:lvl w:ilvl="1" w:tplc="08090019" w:tentative="1">
      <w:start w:val="1"/>
      <w:numFmt w:val="lowerLetter"/>
      <w:lvlText w:val="%2."/>
      <w:lvlJc w:val="left"/>
      <w:pPr>
        <w:ind w:left="2248" w:hanging="360"/>
      </w:pPr>
    </w:lvl>
    <w:lvl w:ilvl="2" w:tplc="0809001B" w:tentative="1">
      <w:start w:val="1"/>
      <w:numFmt w:val="lowerRoman"/>
      <w:lvlText w:val="%3."/>
      <w:lvlJc w:val="right"/>
      <w:pPr>
        <w:ind w:left="2968" w:hanging="180"/>
      </w:pPr>
    </w:lvl>
    <w:lvl w:ilvl="3" w:tplc="0809000F" w:tentative="1">
      <w:start w:val="1"/>
      <w:numFmt w:val="decimal"/>
      <w:lvlText w:val="%4."/>
      <w:lvlJc w:val="left"/>
      <w:pPr>
        <w:ind w:left="3688" w:hanging="360"/>
      </w:pPr>
    </w:lvl>
    <w:lvl w:ilvl="4" w:tplc="08090019" w:tentative="1">
      <w:start w:val="1"/>
      <w:numFmt w:val="lowerLetter"/>
      <w:lvlText w:val="%5."/>
      <w:lvlJc w:val="left"/>
      <w:pPr>
        <w:ind w:left="4408" w:hanging="360"/>
      </w:pPr>
    </w:lvl>
    <w:lvl w:ilvl="5" w:tplc="0809001B" w:tentative="1">
      <w:start w:val="1"/>
      <w:numFmt w:val="lowerRoman"/>
      <w:lvlText w:val="%6."/>
      <w:lvlJc w:val="right"/>
      <w:pPr>
        <w:ind w:left="5128" w:hanging="180"/>
      </w:pPr>
    </w:lvl>
    <w:lvl w:ilvl="6" w:tplc="0809000F" w:tentative="1">
      <w:start w:val="1"/>
      <w:numFmt w:val="decimal"/>
      <w:lvlText w:val="%7."/>
      <w:lvlJc w:val="left"/>
      <w:pPr>
        <w:ind w:left="5848" w:hanging="360"/>
      </w:pPr>
    </w:lvl>
    <w:lvl w:ilvl="7" w:tplc="08090019" w:tentative="1">
      <w:start w:val="1"/>
      <w:numFmt w:val="lowerLetter"/>
      <w:lvlText w:val="%8."/>
      <w:lvlJc w:val="left"/>
      <w:pPr>
        <w:ind w:left="6568" w:hanging="360"/>
      </w:pPr>
    </w:lvl>
    <w:lvl w:ilvl="8" w:tplc="0809001B" w:tentative="1">
      <w:start w:val="1"/>
      <w:numFmt w:val="lowerRoman"/>
      <w:lvlText w:val="%9."/>
      <w:lvlJc w:val="right"/>
      <w:pPr>
        <w:ind w:left="7288" w:hanging="180"/>
      </w:pPr>
    </w:lvl>
  </w:abstractNum>
  <w:abstractNum w:abstractNumId="8"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10CF1856"/>
    <w:multiLevelType w:val="hybridMultilevel"/>
    <w:tmpl w:val="7068BDDC"/>
    <w:lvl w:ilvl="0" w:tplc="8EEEBD1C">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0" w15:restartNumberingAfterBreak="0">
    <w:nsid w:val="156E4AFF"/>
    <w:multiLevelType w:val="hybridMultilevel"/>
    <w:tmpl w:val="9E2EF72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173D29EA"/>
    <w:multiLevelType w:val="hybridMultilevel"/>
    <w:tmpl w:val="33DE2B0E"/>
    <w:lvl w:ilvl="0" w:tplc="C8806A6C">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2" w15:restartNumberingAfterBreak="0">
    <w:nsid w:val="1D700071"/>
    <w:multiLevelType w:val="hybridMultilevel"/>
    <w:tmpl w:val="D90EA550"/>
    <w:lvl w:ilvl="0" w:tplc="EE224D1E">
      <w:start w:val="3"/>
      <w:numFmt w:val="bullet"/>
      <w:lvlText w:val="-"/>
      <w:lvlJc w:val="left"/>
      <w:pPr>
        <w:ind w:left="1962" w:hanging="360"/>
      </w:pPr>
      <w:rPr>
        <w:rFonts w:ascii="Times New Roman" w:eastAsia="Times New Roman" w:hAnsi="Times New Roman" w:cs="Times New Roman" w:hint="default"/>
      </w:rPr>
    </w:lvl>
    <w:lvl w:ilvl="1" w:tplc="040C0003">
      <w:start w:val="1"/>
      <w:numFmt w:val="bullet"/>
      <w:lvlText w:val="o"/>
      <w:lvlJc w:val="left"/>
      <w:pPr>
        <w:ind w:left="2475" w:hanging="360"/>
      </w:pPr>
      <w:rPr>
        <w:rFonts w:ascii="Courier New" w:hAnsi="Courier New" w:cs="Courier New" w:hint="default"/>
      </w:rPr>
    </w:lvl>
    <w:lvl w:ilvl="2" w:tplc="040C0005" w:tentative="1">
      <w:start w:val="1"/>
      <w:numFmt w:val="bullet"/>
      <w:lvlText w:val=""/>
      <w:lvlJc w:val="left"/>
      <w:pPr>
        <w:ind w:left="3195" w:hanging="360"/>
      </w:pPr>
      <w:rPr>
        <w:rFonts w:ascii="Wingdings" w:hAnsi="Wingdings" w:hint="default"/>
      </w:rPr>
    </w:lvl>
    <w:lvl w:ilvl="3" w:tplc="040C0001" w:tentative="1">
      <w:start w:val="1"/>
      <w:numFmt w:val="bullet"/>
      <w:lvlText w:val=""/>
      <w:lvlJc w:val="left"/>
      <w:pPr>
        <w:ind w:left="3915" w:hanging="360"/>
      </w:pPr>
      <w:rPr>
        <w:rFonts w:ascii="Symbol" w:hAnsi="Symbol" w:hint="default"/>
      </w:rPr>
    </w:lvl>
    <w:lvl w:ilvl="4" w:tplc="040C0003" w:tentative="1">
      <w:start w:val="1"/>
      <w:numFmt w:val="bullet"/>
      <w:lvlText w:val="o"/>
      <w:lvlJc w:val="left"/>
      <w:pPr>
        <w:ind w:left="4635" w:hanging="360"/>
      </w:pPr>
      <w:rPr>
        <w:rFonts w:ascii="Courier New" w:hAnsi="Courier New" w:cs="Courier New" w:hint="default"/>
      </w:rPr>
    </w:lvl>
    <w:lvl w:ilvl="5" w:tplc="040C0005" w:tentative="1">
      <w:start w:val="1"/>
      <w:numFmt w:val="bullet"/>
      <w:lvlText w:val=""/>
      <w:lvlJc w:val="left"/>
      <w:pPr>
        <w:ind w:left="5355" w:hanging="360"/>
      </w:pPr>
      <w:rPr>
        <w:rFonts w:ascii="Wingdings" w:hAnsi="Wingdings" w:hint="default"/>
      </w:rPr>
    </w:lvl>
    <w:lvl w:ilvl="6" w:tplc="040C0001" w:tentative="1">
      <w:start w:val="1"/>
      <w:numFmt w:val="bullet"/>
      <w:lvlText w:val=""/>
      <w:lvlJc w:val="left"/>
      <w:pPr>
        <w:ind w:left="6075" w:hanging="360"/>
      </w:pPr>
      <w:rPr>
        <w:rFonts w:ascii="Symbol" w:hAnsi="Symbol" w:hint="default"/>
      </w:rPr>
    </w:lvl>
    <w:lvl w:ilvl="7" w:tplc="040C0003" w:tentative="1">
      <w:start w:val="1"/>
      <w:numFmt w:val="bullet"/>
      <w:lvlText w:val="o"/>
      <w:lvlJc w:val="left"/>
      <w:pPr>
        <w:ind w:left="6795" w:hanging="360"/>
      </w:pPr>
      <w:rPr>
        <w:rFonts w:ascii="Courier New" w:hAnsi="Courier New" w:cs="Courier New" w:hint="default"/>
      </w:rPr>
    </w:lvl>
    <w:lvl w:ilvl="8" w:tplc="040C0005" w:tentative="1">
      <w:start w:val="1"/>
      <w:numFmt w:val="bullet"/>
      <w:lvlText w:val=""/>
      <w:lvlJc w:val="left"/>
      <w:pPr>
        <w:ind w:left="7515" w:hanging="360"/>
      </w:pPr>
      <w:rPr>
        <w:rFonts w:ascii="Wingdings" w:hAnsi="Wingdings" w:hint="default"/>
      </w:rPr>
    </w:lvl>
  </w:abstractNum>
  <w:abstractNum w:abstractNumId="13" w15:restartNumberingAfterBreak="0">
    <w:nsid w:val="1E206004"/>
    <w:multiLevelType w:val="hybridMultilevel"/>
    <w:tmpl w:val="D876B302"/>
    <w:lvl w:ilvl="0" w:tplc="08090001">
      <w:start w:val="1"/>
      <w:numFmt w:val="bullet"/>
      <w:lvlText w:val=""/>
      <w:lvlJc w:val="left"/>
      <w:pPr>
        <w:ind w:left="2420" w:hanging="360"/>
      </w:pPr>
      <w:rPr>
        <w:rFonts w:ascii="Symbol" w:hAnsi="Symbol" w:hint="default"/>
      </w:rPr>
    </w:lvl>
    <w:lvl w:ilvl="1" w:tplc="08090003" w:tentative="1">
      <w:start w:val="1"/>
      <w:numFmt w:val="bullet"/>
      <w:lvlText w:val="o"/>
      <w:lvlJc w:val="left"/>
      <w:pPr>
        <w:ind w:left="3140" w:hanging="360"/>
      </w:pPr>
      <w:rPr>
        <w:rFonts w:ascii="Courier New" w:hAnsi="Courier New" w:cs="Courier New" w:hint="default"/>
      </w:rPr>
    </w:lvl>
    <w:lvl w:ilvl="2" w:tplc="08090005" w:tentative="1">
      <w:start w:val="1"/>
      <w:numFmt w:val="bullet"/>
      <w:lvlText w:val=""/>
      <w:lvlJc w:val="left"/>
      <w:pPr>
        <w:ind w:left="3860" w:hanging="360"/>
      </w:pPr>
      <w:rPr>
        <w:rFonts w:ascii="Wingdings" w:hAnsi="Wingdings" w:hint="default"/>
      </w:rPr>
    </w:lvl>
    <w:lvl w:ilvl="3" w:tplc="08090001" w:tentative="1">
      <w:start w:val="1"/>
      <w:numFmt w:val="bullet"/>
      <w:lvlText w:val=""/>
      <w:lvlJc w:val="left"/>
      <w:pPr>
        <w:ind w:left="4580" w:hanging="360"/>
      </w:pPr>
      <w:rPr>
        <w:rFonts w:ascii="Symbol" w:hAnsi="Symbol" w:hint="default"/>
      </w:rPr>
    </w:lvl>
    <w:lvl w:ilvl="4" w:tplc="08090003" w:tentative="1">
      <w:start w:val="1"/>
      <w:numFmt w:val="bullet"/>
      <w:lvlText w:val="o"/>
      <w:lvlJc w:val="left"/>
      <w:pPr>
        <w:ind w:left="5300" w:hanging="360"/>
      </w:pPr>
      <w:rPr>
        <w:rFonts w:ascii="Courier New" w:hAnsi="Courier New" w:cs="Courier New" w:hint="default"/>
      </w:rPr>
    </w:lvl>
    <w:lvl w:ilvl="5" w:tplc="08090005" w:tentative="1">
      <w:start w:val="1"/>
      <w:numFmt w:val="bullet"/>
      <w:lvlText w:val=""/>
      <w:lvlJc w:val="left"/>
      <w:pPr>
        <w:ind w:left="6020" w:hanging="360"/>
      </w:pPr>
      <w:rPr>
        <w:rFonts w:ascii="Wingdings" w:hAnsi="Wingdings" w:hint="default"/>
      </w:rPr>
    </w:lvl>
    <w:lvl w:ilvl="6" w:tplc="08090001" w:tentative="1">
      <w:start w:val="1"/>
      <w:numFmt w:val="bullet"/>
      <w:lvlText w:val=""/>
      <w:lvlJc w:val="left"/>
      <w:pPr>
        <w:ind w:left="6740" w:hanging="360"/>
      </w:pPr>
      <w:rPr>
        <w:rFonts w:ascii="Symbol" w:hAnsi="Symbol" w:hint="default"/>
      </w:rPr>
    </w:lvl>
    <w:lvl w:ilvl="7" w:tplc="08090003" w:tentative="1">
      <w:start w:val="1"/>
      <w:numFmt w:val="bullet"/>
      <w:lvlText w:val="o"/>
      <w:lvlJc w:val="left"/>
      <w:pPr>
        <w:ind w:left="7460" w:hanging="360"/>
      </w:pPr>
      <w:rPr>
        <w:rFonts w:ascii="Courier New" w:hAnsi="Courier New" w:cs="Courier New" w:hint="default"/>
      </w:rPr>
    </w:lvl>
    <w:lvl w:ilvl="8" w:tplc="08090005" w:tentative="1">
      <w:start w:val="1"/>
      <w:numFmt w:val="bullet"/>
      <w:lvlText w:val=""/>
      <w:lvlJc w:val="left"/>
      <w:pPr>
        <w:ind w:left="8180" w:hanging="360"/>
      </w:pPr>
      <w:rPr>
        <w:rFonts w:ascii="Wingdings" w:hAnsi="Wingdings" w:hint="default"/>
      </w:rPr>
    </w:lvl>
  </w:abstractNum>
  <w:abstractNum w:abstractNumId="14" w15:restartNumberingAfterBreak="0">
    <w:nsid w:val="2AEC509D"/>
    <w:multiLevelType w:val="hybridMultilevel"/>
    <w:tmpl w:val="7C8A198C"/>
    <w:lvl w:ilvl="0" w:tplc="5C824DEA">
      <w:start w:val="1"/>
      <w:numFmt w:val="upperLetter"/>
      <w:lvlText w:val="%1)"/>
      <w:lvlJc w:val="left"/>
      <w:pPr>
        <w:ind w:left="1207" w:hanging="360"/>
      </w:pPr>
      <w:rPr>
        <w:rFonts w:hint="default"/>
      </w:rPr>
    </w:lvl>
    <w:lvl w:ilvl="1" w:tplc="08090019" w:tentative="1">
      <w:start w:val="1"/>
      <w:numFmt w:val="lowerLetter"/>
      <w:lvlText w:val="%2."/>
      <w:lvlJc w:val="left"/>
      <w:pPr>
        <w:ind w:left="1927" w:hanging="360"/>
      </w:pPr>
    </w:lvl>
    <w:lvl w:ilvl="2" w:tplc="0809001B" w:tentative="1">
      <w:start w:val="1"/>
      <w:numFmt w:val="lowerRoman"/>
      <w:lvlText w:val="%3."/>
      <w:lvlJc w:val="right"/>
      <w:pPr>
        <w:ind w:left="2647" w:hanging="180"/>
      </w:pPr>
    </w:lvl>
    <w:lvl w:ilvl="3" w:tplc="0809000F" w:tentative="1">
      <w:start w:val="1"/>
      <w:numFmt w:val="decimal"/>
      <w:lvlText w:val="%4."/>
      <w:lvlJc w:val="left"/>
      <w:pPr>
        <w:ind w:left="3367" w:hanging="360"/>
      </w:pPr>
    </w:lvl>
    <w:lvl w:ilvl="4" w:tplc="08090019" w:tentative="1">
      <w:start w:val="1"/>
      <w:numFmt w:val="lowerLetter"/>
      <w:lvlText w:val="%5."/>
      <w:lvlJc w:val="left"/>
      <w:pPr>
        <w:ind w:left="4087" w:hanging="360"/>
      </w:pPr>
    </w:lvl>
    <w:lvl w:ilvl="5" w:tplc="0809001B" w:tentative="1">
      <w:start w:val="1"/>
      <w:numFmt w:val="lowerRoman"/>
      <w:lvlText w:val="%6."/>
      <w:lvlJc w:val="right"/>
      <w:pPr>
        <w:ind w:left="4807" w:hanging="180"/>
      </w:pPr>
    </w:lvl>
    <w:lvl w:ilvl="6" w:tplc="0809000F" w:tentative="1">
      <w:start w:val="1"/>
      <w:numFmt w:val="decimal"/>
      <w:lvlText w:val="%7."/>
      <w:lvlJc w:val="left"/>
      <w:pPr>
        <w:ind w:left="5527" w:hanging="360"/>
      </w:pPr>
    </w:lvl>
    <w:lvl w:ilvl="7" w:tplc="08090019" w:tentative="1">
      <w:start w:val="1"/>
      <w:numFmt w:val="lowerLetter"/>
      <w:lvlText w:val="%8."/>
      <w:lvlJc w:val="left"/>
      <w:pPr>
        <w:ind w:left="6247" w:hanging="360"/>
      </w:pPr>
    </w:lvl>
    <w:lvl w:ilvl="8" w:tplc="0809001B" w:tentative="1">
      <w:start w:val="1"/>
      <w:numFmt w:val="lowerRoman"/>
      <w:lvlText w:val="%9."/>
      <w:lvlJc w:val="right"/>
      <w:pPr>
        <w:ind w:left="6967" w:hanging="180"/>
      </w:pPr>
    </w:lvl>
  </w:abstractNum>
  <w:abstractNum w:abstractNumId="15" w15:restartNumberingAfterBreak="0">
    <w:nsid w:val="2B232135"/>
    <w:multiLevelType w:val="hybridMultilevel"/>
    <w:tmpl w:val="D2FA40A6"/>
    <w:lvl w:ilvl="0" w:tplc="66C40442">
      <w:start w:val="1"/>
      <w:numFmt w:val="upperLetter"/>
      <w:lvlText w:val="%1)"/>
      <w:lvlJc w:val="left"/>
      <w:pPr>
        <w:ind w:left="1528" w:hanging="360"/>
      </w:pPr>
      <w:rPr>
        <w:rFonts w:hint="default"/>
      </w:rPr>
    </w:lvl>
    <w:lvl w:ilvl="1" w:tplc="08090019" w:tentative="1">
      <w:start w:val="1"/>
      <w:numFmt w:val="lowerLetter"/>
      <w:lvlText w:val="%2."/>
      <w:lvlJc w:val="left"/>
      <w:pPr>
        <w:ind w:left="2248" w:hanging="360"/>
      </w:pPr>
    </w:lvl>
    <w:lvl w:ilvl="2" w:tplc="0809001B" w:tentative="1">
      <w:start w:val="1"/>
      <w:numFmt w:val="lowerRoman"/>
      <w:lvlText w:val="%3."/>
      <w:lvlJc w:val="right"/>
      <w:pPr>
        <w:ind w:left="2968" w:hanging="180"/>
      </w:pPr>
    </w:lvl>
    <w:lvl w:ilvl="3" w:tplc="0809000F" w:tentative="1">
      <w:start w:val="1"/>
      <w:numFmt w:val="decimal"/>
      <w:lvlText w:val="%4."/>
      <w:lvlJc w:val="left"/>
      <w:pPr>
        <w:ind w:left="3688" w:hanging="360"/>
      </w:pPr>
    </w:lvl>
    <w:lvl w:ilvl="4" w:tplc="08090019" w:tentative="1">
      <w:start w:val="1"/>
      <w:numFmt w:val="lowerLetter"/>
      <w:lvlText w:val="%5."/>
      <w:lvlJc w:val="left"/>
      <w:pPr>
        <w:ind w:left="4408" w:hanging="360"/>
      </w:pPr>
    </w:lvl>
    <w:lvl w:ilvl="5" w:tplc="0809001B" w:tentative="1">
      <w:start w:val="1"/>
      <w:numFmt w:val="lowerRoman"/>
      <w:lvlText w:val="%6."/>
      <w:lvlJc w:val="right"/>
      <w:pPr>
        <w:ind w:left="5128" w:hanging="180"/>
      </w:pPr>
    </w:lvl>
    <w:lvl w:ilvl="6" w:tplc="0809000F" w:tentative="1">
      <w:start w:val="1"/>
      <w:numFmt w:val="decimal"/>
      <w:lvlText w:val="%7."/>
      <w:lvlJc w:val="left"/>
      <w:pPr>
        <w:ind w:left="5848" w:hanging="360"/>
      </w:pPr>
    </w:lvl>
    <w:lvl w:ilvl="7" w:tplc="08090019" w:tentative="1">
      <w:start w:val="1"/>
      <w:numFmt w:val="lowerLetter"/>
      <w:lvlText w:val="%8."/>
      <w:lvlJc w:val="left"/>
      <w:pPr>
        <w:ind w:left="6568" w:hanging="360"/>
      </w:pPr>
    </w:lvl>
    <w:lvl w:ilvl="8" w:tplc="0809001B" w:tentative="1">
      <w:start w:val="1"/>
      <w:numFmt w:val="lowerRoman"/>
      <w:lvlText w:val="%9."/>
      <w:lvlJc w:val="right"/>
      <w:pPr>
        <w:ind w:left="7288" w:hanging="180"/>
      </w:pPr>
    </w:lvl>
  </w:abstractNum>
  <w:abstractNum w:abstractNumId="16" w15:restartNumberingAfterBreak="0">
    <w:nsid w:val="2C0C7FFE"/>
    <w:multiLevelType w:val="hybridMultilevel"/>
    <w:tmpl w:val="BD3652AC"/>
    <w:lvl w:ilvl="0" w:tplc="657CE040">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2F9A5FD7"/>
    <w:multiLevelType w:val="hybridMultilevel"/>
    <w:tmpl w:val="9FF60866"/>
    <w:lvl w:ilvl="0" w:tplc="08090001">
      <w:start w:val="1"/>
      <w:numFmt w:val="bullet"/>
      <w:lvlText w:val=""/>
      <w:lvlJc w:val="left"/>
      <w:pPr>
        <w:ind w:left="2544" w:hanging="360"/>
      </w:pPr>
      <w:rPr>
        <w:rFonts w:ascii="Symbol" w:hAnsi="Symbol" w:hint="default"/>
      </w:rPr>
    </w:lvl>
    <w:lvl w:ilvl="1" w:tplc="08090003" w:tentative="1">
      <w:start w:val="1"/>
      <w:numFmt w:val="bullet"/>
      <w:lvlText w:val="o"/>
      <w:lvlJc w:val="left"/>
      <w:pPr>
        <w:ind w:left="3264" w:hanging="360"/>
      </w:pPr>
      <w:rPr>
        <w:rFonts w:ascii="Courier New" w:hAnsi="Courier New" w:cs="Courier New" w:hint="default"/>
      </w:rPr>
    </w:lvl>
    <w:lvl w:ilvl="2" w:tplc="08090005" w:tentative="1">
      <w:start w:val="1"/>
      <w:numFmt w:val="bullet"/>
      <w:lvlText w:val=""/>
      <w:lvlJc w:val="left"/>
      <w:pPr>
        <w:ind w:left="3984" w:hanging="360"/>
      </w:pPr>
      <w:rPr>
        <w:rFonts w:ascii="Wingdings" w:hAnsi="Wingdings" w:hint="default"/>
      </w:rPr>
    </w:lvl>
    <w:lvl w:ilvl="3" w:tplc="08090001" w:tentative="1">
      <w:start w:val="1"/>
      <w:numFmt w:val="bullet"/>
      <w:lvlText w:val=""/>
      <w:lvlJc w:val="left"/>
      <w:pPr>
        <w:ind w:left="4704" w:hanging="360"/>
      </w:pPr>
      <w:rPr>
        <w:rFonts w:ascii="Symbol" w:hAnsi="Symbol" w:hint="default"/>
      </w:rPr>
    </w:lvl>
    <w:lvl w:ilvl="4" w:tplc="08090003" w:tentative="1">
      <w:start w:val="1"/>
      <w:numFmt w:val="bullet"/>
      <w:lvlText w:val="o"/>
      <w:lvlJc w:val="left"/>
      <w:pPr>
        <w:ind w:left="5424" w:hanging="360"/>
      </w:pPr>
      <w:rPr>
        <w:rFonts w:ascii="Courier New" w:hAnsi="Courier New" w:cs="Courier New" w:hint="default"/>
      </w:rPr>
    </w:lvl>
    <w:lvl w:ilvl="5" w:tplc="08090005" w:tentative="1">
      <w:start w:val="1"/>
      <w:numFmt w:val="bullet"/>
      <w:lvlText w:val=""/>
      <w:lvlJc w:val="left"/>
      <w:pPr>
        <w:ind w:left="6144" w:hanging="360"/>
      </w:pPr>
      <w:rPr>
        <w:rFonts w:ascii="Wingdings" w:hAnsi="Wingdings" w:hint="default"/>
      </w:rPr>
    </w:lvl>
    <w:lvl w:ilvl="6" w:tplc="08090001" w:tentative="1">
      <w:start w:val="1"/>
      <w:numFmt w:val="bullet"/>
      <w:lvlText w:val=""/>
      <w:lvlJc w:val="left"/>
      <w:pPr>
        <w:ind w:left="6864" w:hanging="360"/>
      </w:pPr>
      <w:rPr>
        <w:rFonts w:ascii="Symbol" w:hAnsi="Symbol" w:hint="default"/>
      </w:rPr>
    </w:lvl>
    <w:lvl w:ilvl="7" w:tplc="08090003" w:tentative="1">
      <w:start w:val="1"/>
      <w:numFmt w:val="bullet"/>
      <w:lvlText w:val="o"/>
      <w:lvlJc w:val="left"/>
      <w:pPr>
        <w:ind w:left="7584" w:hanging="360"/>
      </w:pPr>
      <w:rPr>
        <w:rFonts w:ascii="Courier New" w:hAnsi="Courier New" w:cs="Courier New" w:hint="default"/>
      </w:rPr>
    </w:lvl>
    <w:lvl w:ilvl="8" w:tplc="08090005" w:tentative="1">
      <w:start w:val="1"/>
      <w:numFmt w:val="bullet"/>
      <w:lvlText w:val=""/>
      <w:lvlJc w:val="left"/>
      <w:pPr>
        <w:ind w:left="8304" w:hanging="360"/>
      </w:pPr>
      <w:rPr>
        <w:rFonts w:ascii="Wingdings" w:hAnsi="Wingdings" w:hint="default"/>
      </w:rPr>
    </w:lvl>
  </w:abstractNum>
  <w:abstractNum w:abstractNumId="18" w15:restartNumberingAfterBreak="0">
    <w:nsid w:val="31D14FEA"/>
    <w:multiLevelType w:val="hybridMultilevel"/>
    <w:tmpl w:val="7D14F760"/>
    <w:lvl w:ilvl="0" w:tplc="327E5230">
      <w:start w:val="1"/>
      <w:numFmt w:val="decimal"/>
      <w:lvlText w:val="%1."/>
      <w:lvlJc w:val="left"/>
      <w:pPr>
        <w:ind w:left="1534" w:hanging="360"/>
      </w:pPr>
      <w:rPr>
        <w:rFonts w:hint="default"/>
      </w:rPr>
    </w:lvl>
    <w:lvl w:ilvl="1" w:tplc="08090019" w:tentative="1">
      <w:start w:val="1"/>
      <w:numFmt w:val="lowerLetter"/>
      <w:lvlText w:val="%2."/>
      <w:lvlJc w:val="left"/>
      <w:pPr>
        <w:ind w:left="2254" w:hanging="360"/>
      </w:pPr>
    </w:lvl>
    <w:lvl w:ilvl="2" w:tplc="0809001B" w:tentative="1">
      <w:start w:val="1"/>
      <w:numFmt w:val="lowerRoman"/>
      <w:lvlText w:val="%3."/>
      <w:lvlJc w:val="right"/>
      <w:pPr>
        <w:ind w:left="2974" w:hanging="180"/>
      </w:pPr>
    </w:lvl>
    <w:lvl w:ilvl="3" w:tplc="0809000F" w:tentative="1">
      <w:start w:val="1"/>
      <w:numFmt w:val="decimal"/>
      <w:lvlText w:val="%4."/>
      <w:lvlJc w:val="left"/>
      <w:pPr>
        <w:ind w:left="3694" w:hanging="360"/>
      </w:pPr>
    </w:lvl>
    <w:lvl w:ilvl="4" w:tplc="08090019" w:tentative="1">
      <w:start w:val="1"/>
      <w:numFmt w:val="lowerLetter"/>
      <w:lvlText w:val="%5."/>
      <w:lvlJc w:val="left"/>
      <w:pPr>
        <w:ind w:left="4414" w:hanging="360"/>
      </w:pPr>
    </w:lvl>
    <w:lvl w:ilvl="5" w:tplc="0809001B" w:tentative="1">
      <w:start w:val="1"/>
      <w:numFmt w:val="lowerRoman"/>
      <w:lvlText w:val="%6."/>
      <w:lvlJc w:val="right"/>
      <w:pPr>
        <w:ind w:left="5134" w:hanging="180"/>
      </w:pPr>
    </w:lvl>
    <w:lvl w:ilvl="6" w:tplc="0809000F" w:tentative="1">
      <w:start w:val="1"/>
      <w:numFmt w:val="decimal"/>
      <w:lvlText w:val="%7."/>
      <w:lvlJc w:val="left"/>
      <w:pPr>
        <w:ind w:left="5854" w:hanging="360"/>
      </w:pPr>
    </w:lvl>
    <w:lvl w:ilvl="7" w:tplc="08090019" w:tentative="1">
      <w:start w:val="1"/>
      <w:numFmt w:val="lowerLetter"/>
      <w:lvlText w:val="%8."/>
      <w:lvlJc w:val="left"/>
      <w:pPr>
        <w:ind w:left="6574" w:hanging="360"/>
      </w:pPr>
    </w:lvl>
    <w:lvl w:ilvl="8" w:tplc="0809001B" w:tentative="1">
      <w:start w:val="1"/>
      <w:numFmt w:val="lowerRoman"/>
      <w:lvlText w:val="%9."/>
      <w:lvlJc w:val="right"/>
      <w:pPr>
        <w:ind w:left="7294" w:hanging="180"/>
      </w:pPr>
    </w:lvl>
  </w:abstractNum>
  <w:abstractNum w:abstractNumId="19" w15:restartNumberingAfterBreak="0">
    <w:nsid w:val="395239ED"/>
    <w:multiLevelType w:val="hybridMultilevel"/>
    <w:tmpl w:val="D9A2C57E"/>
    <w:lvl w:ilvl="0" w:tplc="458443F4">
      <w:start w:val="1"/>
      <w:numFmt w:val="upperLetter"/>
      <w:lvlText w:val="%1)"/>
      <w:lvlJc w:val="left"/>
      <w:pPr>
        <w:ind w:left="1528" w:hanging="360"/>
      </w:pPr>
      <w:rPr>
        <w:rFonts w:hint="default"/>
        <w:b/>
      </w:rPr>
    </w:lvl>
    <w:lvl w:ilvl="1" w:tplc="08090019">
      <w:start w:val="1"/>
      <w:numFmt w:val="lowerLetter"/>
      <w:lvlText w:val="%2."/>
      <w:lvlJc w:val="left"/>
      <w:pPr>
        <w:ind w:left="2248" w:hanging="360"/>
      </w:pPr>
    </w:lvl>
    <w:lvl w:ilvl="2" w:tplc="0809001B" w:tentative="1">
      <w:start w:val="1"/>
      <w:numFmt w:val="lowerRoman"/>
      <w:lvlText w:val="%3."/>
      <w:lvlJc w:val="right"/>
      <w:pPr>
        <w:ind w:left="2968" w:hanging="180"/>
      </w:pPr>
    </w:lvl>
    <w:lvl w:ilvl="3" w:tplc="0809000F" w:tentative="1">
      <w:start w:val="1"/>
      <w:numFmt w:val="decimal"/>
      <w:lvlText w:val="%4."/>
      <w:lvlJc w:val="left"/>
      <w:pPr>
        <w:ind w:left="3688" w:hanging="360"/>
      </w:pPr>
    </w:lvl>
    <w:lvl w:ilvl="4" w:tplc="08090019" w:tentative="1">
      <w:start w:val="1"/>
      <w:numFmt w:val="lowerLetter"/>
      <w:lvlText w:val="%5."/>
      <w:lvlJc w:val="left"/>
      <w:pPr>
        <w:ind w:left="4408" w:hanging="360"/>
      </w:pPr>
    </w:lvl>
    <w:lvl w:ilvl="5" w:tplc="0809001B" w:tentative="1">
      <w:start w:val="1"/>
      <w:numFmt w:val="lowerRoman"/>
      <w:lvlText w:val="%6."/>
      <w:lvlJc w:val="right"/>
      <w:pPr>
        <w:ind w:left="5128" w:hanging="180"/>
      </w:pPr>
    </w:lvl>
    <w:lvl w:ilvl="6" w:tplc="0809000F" w:tentative="1">
      <w:start w:val="1"/>
      <w:numFmt w:val="decimal"/>
      <w:lvlText w:val="%7."/>
      <w:lvlJc w:val="left"/>
      <w:pPr>
        <w:ind w:left="5848" w:hanging="360"/>
      </w:pPr>
    </w:lvl>
    <w:lvl w:ilvl="7" w:tplc="08090019" w:tentative="1">
      <w:start w:val="1"/>
      <w:numFmt w:val="lowerLetter"/>
      <w:lvlText w:val="%8."/>
      <w:lvlJc w:val="left"/>
      <w:pPr>
        <w:ind w:left="6568" w:hanging="360"/>
      </w:pPr>
    </w:lvl>
    <w:lvl w:ilvl="8" w:tplc="0809001B" w:tentative="1">
      <w:start w:val="1"/>
      <w:numFmt w:val="lowerRoman"/>
      <w:lvlText w:val="%9."/>
      <w:lvlJc w:val="right"/>
      <w:pPr>
        <w:ind w:left="7288" w:hanging="180"/>
      </w:pPr>
    </w:lvl>
  </w:abstractNum>
  <w:abstractNum w:abstractNumId="20" w15:restartNumberingAfterBreak="0">
    <w:nsid w:val="39CC094D"/>
    <w:multiLevelType w:val="hybridMultilevel"/>
    <w:tmpl w:val="A30CAA2A"/>
    <w:lvl w:ilvl="0" w:tplc="031201A0">
      <w:start w:val="1"/>
      <w:numFmt w:val="upp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BA8647F"/>
    <w:multiLevelType w:val="hybridMultilevel"/>
    <w:tmpl w:val="1AFEE9F8"/>
    <w:lvl w:ilvl="0" w:tplc="66AA1826">
      <w:start w:val="1"/>
      <w:numFmt w:val="decimal"/>
      <w:lvlText w:val="%1."/>
      <w:lvlJc w:val="left"/>
      <w:pPr>
        <w:ind w:left="1494" w:hanging="360"/>
      </w:pPr>
      <w:rPr>
        <w:rFonts w:ascii="Times New Roman" w:eastAsia="Times New Roman" w:hAnsi="Times New Roman" w:cs="Times New Roman"/>
        <w:b w:val="0"/>
        <w:i w:val="0"/>
        <w:sz w:val="2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3D110204"/>
    <w:multiLevelType w:val="hybridMultilevel"/>
    <w:tmpl w:val="23223FE0"/>
    <w:lvl w:ilvl="0" w:tplc="AF8E4AF6">
      <w:start w:val="1"/>
      <w:numFmt w:val="upperLetter"/>
      <w:lvlText w:val="%1)"/>
      <w:lvlJc w:val="left"/>
      <w:pPr>
        <w:ind w:left="1528" w:hanging="360"/>
      </w:pPr>
      <w:rPr>
        <w:rFonts w:hint="default"/>
      </w:rPr>
    </w:lvl>
    <w:lvl w:ilvl="1" w:tplc="08090019" w:tentative="1">
      <w:start w:val="1"/>
      <w:numFmt w:val="lowerLetter"/>
      <w:lvlText w:val="%2."/>
      <w:lvlJc w:val="left"/>
      <w:pPr>
        <w:ind w:left="2248" w:hanging="360"/>
      </w:pPr>
    </w:lvl>
    <w:lvl w:ilvl="2" w:tplc="0809001B" w:tentative="1">
      <w:start w:val="1"/>
      <w:numFmt w:val="lowerRoman"/>
      <w:lvlText w:val="%3."/>
      <w:lvlJc w:val="right"/>
      <w:pPr>
        <w:ind w:left="2968" w:hanging="180"/>
      </w:pPr>
    </w:lvl>
    <w:lvl w:ilvl="3" w:tplc="0809000F" w:tentative="1">
      <w:start w:val="1"/>
      <w:numFmt w:val="decimal"/>
      <w:lvlText w:val="%4."/>
      <w:lvlJc w:val="left"/>
      <w:pPr>
        <w:ind w:left="3688" w:hanging="360"/>
      </w:pPr>
    </w:lvl>
    <w:lvl w:ilvl="4" w:tplc="08090019" w:tentative="1">
      <w:start w:val="1"/>
      <w:numFmt w:val="lowerLetter"/>
      <w:lvlText w:val="%5."/>
      <w:lvlJc w:val="left"/>
      <w:pPr>
        <w:ind w:left="4408" w:hanging="360"/>
      </w:pPr>
    </w:lvl>
    <w:lvl w:ilvl="5" w:tplc="0809001B" w:tentative="1">
      <w:start w:val="1"/>
      <w:numFmt w:val="lowerRoman"/>
      <w:lvlText w:val="%6."/>
      <w:lvlJc w:val="right"/>
      <w:pPr>
        <w:ind w:left="5128" w:hanging="180"/>
      </w:pPr>
    </w:lvl>
    <w:lvl w:ilvl="6" w:tplc="0809000F" w:tentative="1">
      <w:start w:val="1"/>
      <w:numFmt w:val="decimal"/>
      <w:lvlText w:val="%7."/>
      <w:lvlJc w:val="left"/>
      <w:pPr>
        <w:ind w:left="5848" w:hanging="360"/>
      </w:pPr>
    </w:lvl>
    <w:lvl w:ilvl="7" w:tplc="08090019" w:tentative="1">
      <w:start w:val="1"/>
      <w:numFmt w:val="lowerLetter"/>
      <w:lvlText w:val="%8."/>
      <w:lvlJc w:val="left"/>
      <w:pPr>
        <w:ind w:left="6568" w:hanging="360"/>
      </w:pPr>
    </w:lvl>
    <w:lvl w:ilvl="8" w:tplc="0809001B" w:tentative="1">
      <w:start w:val="1"/>
      <w:numFmt w:val="lowerRoman"/>
      <w:lvlText w:val="%9."/>
      <w:lvlJc w:val="right"/>
      <w:pPr>
        <w:ind w:left="7288" w:hanging="180"/>
      </w:pPr>
    </w:lvl>
  </w:abstractNum>
  <w:abstractNum w:abstractNumId="24" w15:restartNumberingAfterBreak="0">
    <w:nsid w:val="3F710E65"/>
    <w:multiLevelType w:val="hybridMultilevel"/>
    <w:tmpl w:val="F5822B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43851165"/>
    <w:multiLevelType w:val="hybridMultilevel"/>
    <w:tmpl w:val="CC7EB60E"/>
    <w:lvl w:ilvl="0" w:tplc="C38C7DBA">
      <w:start w:val="1"/>
      <w:numFmt w:val="upperRoman"/>
      <w:lvlText w:val="%1."/>
      <w:lvlJc w:val="left"/>
      <w:pPr>
        <w:ind w:left="1430" w:hanging="720"/>
      </w:pPr>
      <w:rPr>
        <w:rFonts w:ascii="Times New Roman" w:hAnsi="Times New Roman" w:cs="Times New Roman" w:hint="default"/>
        <w:b/>
        <w:i w:val="0"/>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CE4E44"/>
    <w:multiLevelType w:val="hybridMultilevel"/>
    <w:tmpl w:val="F19CA7C6"/>
    <w:lvl w:ilvl="0" w:tplc="FE92EF40">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15:restartNumberingAfterBreak="0">
    <w:nsid w:val="44F23B9B"/>
    <w:multiLevelType w:val="hybridMultilevel"/>
    <w:tmpl w:val="02CA4642"/>
    <w:lvl w:ilvl="0" w:tplc="9C98F372">
      <w:start w:val="1"/>
      <w:numFmt w:val="upperLetter"/>
      <w:lvlText w:val="%1)"/>
      <w:lvlJc w:val="left"/>
      <w:pPr>
        <w:ind w:left="1528" w:hanging="360"/>
      </w:pPr>
      <w:rPr>
        <w:rFonts w:hint="default"/>
      </w:rPr>
    </w:lvl>
    <w:lvl w:ilvl="1" w:tplc="08090019" w:tentative="1">
      <w:start w:val="1"/>
      <w:numFmt w:val="lowerLetter"/>
      <w:lvlText w:val="%2."/>
      <w:lvlJc w:val="left"/>
      <w:pPr>
        <w:ind w:left="2248" w:hanging="360"/>
      </w:pPr>
    </w:lvl>
    <w:lvl w:ilvl="2" w:tplc="0809001B" w:tentative="1">
      <w:start w:val="1"/>
      <w:numFmt w:val="lowerRoman"/>
      <w:lvlText w:val="%3."/>
      <w:lvlJc w:val="right"/>
      <w:pPr>
        <w:ind w:left="2968" w:hanging="180"/>
      </w:pPr>
    </w:lvl>
    <w:lvl w:ilvl="3" w:tplc="0809000F" w:tentative="1">
      <w:start w:val="1"/>
      <w:numFmt w:val="decimal"/>
      <w:lvlText w:val="%4."/>
      <w:lvlJc w:val="left"/>
      <w:pPr>
        <w:ind w:left="3688" w:hanging="360"/>
      </w:pPr>
    </w:lvl>
    <w:lvl w:ilvl="4" w:tplc="08090019" w:tentative="1">
      <w:start w:val="1"/>
      <w:numFmt w:val="lowerLetter"/>
      <w:lvlText w:val="%5."/>
      <w:lvlJc w:val="left"/>
      <w:pPr>
        <w:ind w:left="4408" w:hanging="360"/>
      </w:pPr>
    </w:lvl>
    <w:lvl w:ilvl="5" w:tplc="0809001B" w:tentative="1">
      <w:start w:val="1"/>
      <w:numFmt w:val="lowerRoman"/>
      <w:lvlText w:val="%6."/>
      <w:lvlJc w:val="right"/>
      <w:pPr>
        <w:ind w:left="5128" w:hanging="180"/>
      </w:pPr>
    </w:lvl>
    <w:lvl w:ilvl="6" w:tplc="0809000F" w:tentative="1">
      <w:start w:val="1"/>
      <w:numFmt w:val="decimal"/>
      <w:lvlText w:val="%7."/>
      <w:lvlJc w:val="left"/>
      <w:pPr>
        <w:ind w:left="5848" w:hanging="360"/>
      </w:pPr>
    </w:lvl>
    <w:lvl w:ilvl="7" w:tplc="08090019" w:tentative="1">
      <w:start w:val="1"/>
      <w:numFmt w:val="lowerLetter"/>
      <w:lvlText w:val="%8."/>
      <w:lvlJc w:val="left"/>
      <w:pPr>
        <w:ind w:left="6568" w:hanging="360"/>
      </w:pPr>
    </w:lvl>
    <w:lvl w:ilvl="8" w:tplc="0809001B" w:tentative="1">
      <w:start w:val="1"/>
      <w:numFmt w:val="lowerRoman"/>
      <w:lvlText w:val="%9."/>
      <w:lvlJc w:val="right"/>
      <w:pPr>
        <w:ind w:left="7288" w:hanging="180"/>
      </w:pPr>
    </w:lvl>
  </w:abstractNum>
  <w:abstractNum w:abstractNumId="28" w15:restartNumberingAfterBreak="0">
    <w:nsid w:val="47C80236"/>
    <w:multiLevelType w:val="hybridMultilevel"/>
    <w:tmpl w:val="037619FC"/>
    <w:lvl w:ilvl="0" w:tplc="3E6ADAFE">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48361488"/>
    <w:multiLevelType w:val="hybridMultilevel"/>
    <w:tmpl w:val="F7A29CEA"/>
    <w:lvl w:ilvl="0" w:tplc="E9BC968C">
      <w:start w:val="1"/>
      <w:numFmt w:val="upperLetter"/>
      <w:lvlText w:val="%1)"/>
      <w:lvlJc w:val="left"/>
      <w:pPr>
        <w:ind w:left="1528" w:hanging="360"/>
      </w:pPr>
      <w:rPr>
        <w:rFonts w:hint="default"/>
      </w:rPr>
    </w:lvl>
    <w:lvl w:ilvl="1" w:tplc="08090019" w:tentative="1">
      <w:start w:val="1"/>
      <w:numFmt w:val="lowerLetter"/>
      <w:lvlText w:val="%2."/>
      <w:lvlJc w:val="left"/>
      <w:pPr>
        <w:ind w:left="2248" w:hanging="360"/>
      </w:pPr>
    </w:lvl>
    <w:lvl w:ilvl="2" w:tplc="0809001B" w:tentative="1">
      <w:start w:val="1"/>
      <w:numFmt w:val="lowerRoman"/>
      <w:lvlText w:val="%3."/>
      <w:lvlJc w:val="right"/>
      <w:pPr>
        <w:ind w:left="2968" w:hanging="180"/>
      </w:pPr>
    </w:lvl>
    <w:lvl w:ilvl="3" w:tplc="0809000F" w:tentative="1">
      <w:start w:val="1"/>
      <w:numFmt w:val="decimal"/>
      <w:lvlText w:val="%4."/>
      <w:lvlJc w:val="left"/>
      <w:pPr>
        <w:ind w:left="3688" w:hanging="360"/>
      </w:pPr>
    </w:lvl>
    <w:lvl w:ilvl="4" w:tplc="08090019" w:tentative="1">
      <w:start w:val="1"/>
      <w:numFmt w:val="lowerLetter"/>
      <w:lvlText w:val="%5."/>
      <w:lvlJc w:val="left"/>
      <w:pPr>
        <w:ind w:left="4408" w:hanging="360"/>
      </w:pPr>
    </w:lvl>
    <w:lvl w:ilvl="5" w:tplc="0809001B" w:tentative="1">
      <w:start w:val="1"/>
      <w:numFmt w:val="lowerRoman"/>
      <w:lvlText w:val="%6."/>
      <w:lvlJc w:val="right"/>
      <w:pPr>
        <w:ind w:left="5128" w:hanging="180"/>
      </w:pPr>
    </w:lvl>
    <w:lvl w:ilvl="6" w:tplc="0809000F" w:tentative="1">
      <w:start w:val="1"/>
      <w:numFmt w:val="decimal"/>
      <w:lvlText w:val="%7."/>
      <w:lvlJc w:val="left"/>
      <w:pPr>
        <w:ind w:left="5848" w:hanging="360"/>
      </w:pPr>
    </w:lvl>
    <w:lvl w:ilvl="7" w:tplc="08090019" w:tentative="1">
      <w:start w:val="1"/>
      <w:numFmt w:val="lowerLetter"/>
      <w:lvlText w:val="%8."/>
      <w:lvlJc w:val="left"/>
      <w:pPr>
        <w:ind w:left="6568" w:hanging="360"/>
      </w:pPr>
    </w:lvl>
    <w:lvl w:ilvl="8" w:tplc="0809001B" w:tentative="1">
      <w:start w:val="1"/>
      <w:numFmt w:val="lowerRoman"/>
      <w:lvlText w:val="%9."/>
      <w:lvlJc w:val="right"/>
      <w:pPr>
        <w:ind w:left="7288" w:hanging="180"/>
      </w:pPr>
    </w:lvl>
  </w:abstractNum>
  <w:abstractNum w:abstractNumId="30" w15:restartNumberingAfterBreak="0">
    <w:nsid w:val="48F363E8"/>
    <w:multiLevelType w:val="hybridMultilevel"/>
    <w:tmpl w:val="14AA11F0"/>
    <w:lvl w:ilvl="0" w:tplc="1C52D424">
      <w:start w:val="1"/>
      <w:numFmt w:val="decimal"/>
      <w:lvlText w:val="%1."/>
      <w:lvlJc w:val="left"/>
      <w:pPr>
        <w:ind w:left="1920" w:hanging="360"/>
      </w:pPr>
      <w:rPr>
        <w:rFonts w:hint="default"/>
        <w:b/>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1" w15:restartNumberingAfterBreak="0">
    <w:nsid w:val="49A46076"/>
    <w:multiLevelType w:val="hybridMultilevel"/>
    <w:tmpl w:val="423C6CD4"/>
    <w:lvl w:ilvl="0" w:tplc="6BA2951E">
      <w:start w:val="1"/>
      <w:numFmt w:val="upperLetter"/>
      <w:lvlText w:val="%1)"/>
      <w:lvlJc w:val="left"/>
      <w:pPr>
        <w:ind w:left="1528" w:hanging="360"/>
      </w:pPr>
      <w:rPr>
        <w:rFonts w:hint="default"/>
      </w:rPr>
    </w:lvl>
    <w:lvl w:ilvl="1" w:tplc="08090019" w:tentative="1">
      <w:start w:val="1"/>
      <w:numFmt w:val="lowerLetter"/>
      <w:lvlText w:val="%2."/>
      <w:lvlJc w:val="left"/>
      <w:pPr>
        <w:ind w:left="2248" w:hanging="360"/>
      </w:pPr>
    </w:lvl>
    <w:lvl w:ilvl="2" w:tplc="0809001B" w:tentative="1">
      <w:start w:val="1"/>
      <w:numFmt w:val="lowerRoman"/>
      <w:lvlText w:val="%3."/>
      <w:lvlJc w:val="right"/>
      <w:pPr>
        <w:ind w:left="2968" w:hanging="180"/>
      </w:pPr>
    </w:lvl>
    <w:lvl w:ilvl="3" w:tplc="0809000F" w:tentative="1">
      <w:start w:val="1"/>
      <w:numFmt w:val="decimal"/>
      <w:lvlText w:val="%4."/>
      <w:lvlJc w:val="left"/>
      <w:pPr>
        <w:ind w:left="3688" w:hanging="360"/>
      </w:pPr>
    </w:lvl>
    <w:lvl w:ilvl="4" w:tplc="08090019" w:tentative="1">
      <w:start w:val="1"/>
      <w:numFmt w:val="lowerLetter"/>
      <w:lvlText w:val="%5."/>
      <w:lvlJc w:val="left"/>
      <w:pPr>
        <w:ind w:left="4408" w:hanging="360"/>
      </w:pPr>
    </w:lvl>
    <w:lvl w:ilvl="5" w:tplc="0809001B" w:tentative="1">
      <w:start w:val="1"/>
      <w:numFmt w:val="lowerRoman"/>
      <w:lvlText w:val="%6."/>
      <w:lvlJc w:val="right"/>
      <w:pPr>
        <w:ind w:left="5128" w:hanging="180"/>
      </w:pPr>
    </w:lvl>
    <w:lvl w:ilvl="6" w:tplc="0809000F" w:tentative="1">
      <w:start w:val="1"/>
      <w:numFmt w:val="decimal"/>
      <w:lvlText w:val="%7."/>
      <w:lvlJc w:val="left"/>
      <w:pPr>
        <w:ind w:left="5848" w:hanging="360"/>
      </w:pPr>
    </w:lvl>
    <w:lvl w:ilvl="7" w:tplc="08090019" w:tentative="1">
      <w:start w:val="1"/>
      <w:numFmt w:val="lowerLetter"/>
      <w:lvlText w:val="%8."/>
      <w:lvlJc w:val="left"/>
      <w:pPr>
        <w:ind w:left="6568" w:hanging="360"/>
      </w:pPr>
    </w:lvl>
    <w:lvl w:ilvl="8" w:tplc="0809001B" w:tentative="1">
      <w:start w:val="1"/>
      <w:numFmt w:val="lowerRoman"/>
      <w:lvlText w:val="%9."/>
      <w:lvlJc w:val="right"/>
      <w:pPr>
        <w:ind w:left="7288" w:hanging="180"/>
      </w:pPr>
    </w:lvl>
  </w:abstractNum>
  <w:abstractNum w:abstractNumId="32" w15:restartNumberingAfterBreak="0">
    <w:nsid w:val="4AC078A4"/>
    <w:multiLevelType w:val="hybridMultilevel"/>
    <w:tmpl w:val="3920FEB0"/>
    <w:lvl w:ilvl="0" w:tplc="0809000F">
      <w:start w:val="1"/>
      <w:numFmt w:val="decimal"/>
      <w:lvlText w:val="%1."/>
      <w:lvlJc w:val="left"/>
      <w:pPr>
        <w:ind w:left="1894" w:hanging="360"/>
      </w:pPr>
      <w:rPr>
        <w:rFonts w:hint="default"/>
      </w:rPr>
    </w:lvl>
    <w:lvl w:ilvl="1" w:tplc="08090019">
      <w:start w:val="1"/>
      <w:numFmt w:val="lowerLetter"/>
      <w:lvlText w:val="%2."/>
      <w:lvlJc w:val="left"/>
      <w:pPr>
        <w:ind w:left="2614" w:hanging="360"/>
      </w:pPr>
    </w:lvl>
    <w:lvl w:ilvl="2" w:tplc="0809001B">
      <w:start w:val="1"/>
      <w:numFmt w:val="lowerRoman"/>
      <w:lvlText w:val="%3."/>
      <w:lvlJc w:val="right"/>
      <w:pPr>
        <w:ind w:left="3334" w:hanging="180"/>
      </w:pPr>
    </w:lvl>
    <w:lvl w:ilvl="3" w:tplc="0809000F" w:tentative="1">
      <w:start w:val="1"/>
      <w:numFmt w:val="decimal"/>
      <w:lvlText w:val="%4."/>
      <w:lvlJc w:val="left"/>
      <w:pPr>
        <w:ind w:left="4054" w:hanging="360"/>
      </w:pPr>
    </w:lvl>
    <w:lvl w:ilvl="4" w:tplc="08090019" w:tentative="1">
      <w:start w:val="1"/>
      <w:numFmt w:val="lowerLetter"/>
      <w:lvlText w:val="%5."/>
      <w:lvlJc w:val="left"/>
      <w:pPr>
        <w:ind w:left="4774" w:hanging="360"/>
      </w:pPr>
    </w:lvl>
    <w:lvl w:ilvl="5" w:tplc="0809001B" w:tentative="1">
      <w:start w:val="1"/>
      <w:numFmt w:val="lowerRoman"/>
      <w:lvlText w:val="%6."/>
      <w:lvlJc w:val="right"/>
      <w:pPr>
        <w:ind w:left="5494" w:hanging="180"/>
      </w:pPr>
    </w:lvl>
    <w:lvl w:ilvl="6" w:tplc="0809000F" w:tentative="1">
      <w:start w:val="1"/>
      <w:numFmt w:val="decimal"/>
      <w:lvlText w:val="%7."/>
      <w:lvlJc w:val="left"/>
      <w:pPr>
        <w:ind w:left="6214" w:hanging="360"/>
      </w:pPr>
    </w:lvl>
    <w:lvl w:ilvl="7" w:tplc="08090019" w:tentative="1">
      <w:start w:val="1"/>
      <w:numFmt w:val="lowerLetter"/>
      <w:lvlText w:val="%8."/>
      <w:lvlJc w:val="left"/>
      <w:pPr>
        <w:ind w:left="6934" w:hanging="360"/>
      </w:pPr>
    </w:lvl>
    <w:lvl w:ilvl="8" w:tplc="0809001B" w:tentative="1">
      <w:start w:val="1"/>
      <w:numFmt w:val="lowerRoman"/>
      <w:lvlText w:val="%9."/>
      <w:lvlJc w:val="right"/>
      <w:pPr>
        <w:ind w:left="7654" w:hanging="180"/>
      </w:pPr>
    </w:lvl>
  </w:abstractNum>
  <w:abstractNum w:abstractNumId="33" w15:restartNumberingAfterBreak="0">
    <w:nsid w:val="4ED03F8B"/>
    <w:multiLevelType w:val="hybridMultilevel"/>
    <w:tmpl w:val="28D4BEB8"/>
    <w:lvl w:ilvl="0" w:tplc="0A942E60">
      <w:start w:val="1"/>
      <w:numFmt w:val="decimal"/>
      <w:lvlText w:val="%1."/>
      <w:lvlJc w:val="left"/>
      <w:pPr>
        <w:ind w:left="1353" w:hanging="360"/>
      </w:pPr>
      <w:rPr>
        <w:rFonts w:hint="default"/>
        <w:b/>
        <w:sz w:val="2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4" w15:restartNumberingAfterBreak="0">
    <w:nsid w:val="5A80367C"/>
    <w:multiLevelType w:val="hybridMultilevel"/>
    <w:tmpl w:val="9A121826"/>
    <w:lvl w:ilvl="0" w:tplc="CEE02730">
      <w:start w:val="1"/>
      <w:numFmt w:val="upperLetter"/>
      <w:lvlText w:val="%1)"/>
      <w:lvlJc w:val="left"/>
      <w:pPr>
        <w:ind w:left="1528" w:hanging="360"/>
      </w:pPr>
      <w:rPr>
        <w:rFonts w:hint="default"/>
        <w:i w:val="0"/>
      </w:rPr>
    </w:lvl>
    <w:lvl w:ilvl="1" w:tplc="08090019" w:tentative="1">
      <w:start w:val="1"/>
      <w:numFmt w:val="lowerLetter"/>
      <w:lvlText w:val="%2."/>
      <w:lvlJc w:val="left"/>
      <w:pPr>
        <w:ind w:left="2248" w:hanging="360"/>
      </w:pPr>
    </w:lvl>
    <w:lvl w:ilvl="2" w:tplc="0809001B" w:tentative="1">
      <w:start w:val="1"/>
      <w:numFmt w:val="lowerRoman"/>
      <w:lvlText w:val="%3."/>
      <w:lvlJc w:val="right"/>
      <w:pPr>
        <w:ind w:left="2968" w:hanging="180"/>
      </w:pPr>
    </w:lvl>
    <w:lvl w:ilvl="3" w:tplc="0809000F" w:tentative="1">
      <w:start w:val="1"/>
      <w:numFmt w:val="decimal"/>
      <w:lvlText w:val="%4."/>
      <w:lvlJc w:val="left"/>
      <w:pPr>
        <w:ind w:left="3688" w:hanging="360"/>
      </w:pPr>
    </w:lvl>
    <w:lvl w:ilvl="4" w:tplc="08090019" w:tentative="1">
      <w:start w:val="1"/>
      <w:numFmt w:val="lowerLetter"/>
      <w:lvlText w:val="%5."/>
      <w:lvlJc w:val="left"/>
      <w:pPr>
        <w:ind w:left="4408" w:hanging="360"/>
      </w:pPr>
    </w:lvl>
    <w:lvl w:ilvl="5" w:tplc="0809001B" w:tentative="1">
      <w:start w:val="1"/>
      <w:numFmt w:val="lowerRoman"/>
      <w:lvlText w:val="%6."/>
      <w:lvlJc w:val="right"/>
      <w:pPr>
        <w:ind w:left="5128" w:hanging="180"/>
      </w:pPr>
    </w:lvl>
    <w:lvl w:ilvl="6" w:tplc="0809000F" w:tentative="1">
      <w:start w:val="1"/>
      <w:numFmt w:val="decimal"/>
      <w:lvlText w:val="%7."/>
      <w:lvlJc w:val="left"/>
      <w:pPr>
        <w:ind w:left="5848" w:hanging="360"/>
      </w:pPr>
    </w:lvl>
    <w:lvl w:ilvl="7" w:tplc="08090019" w:tentative="1">
      <w:start w:val="1"/>
      <w:numFmt w:val="lowerLetter"/>
      <w:lvlText w:val="%8."/>
      <w:lvlJc w:val="left"/>
      <w:pPr>
        <w:ind w:left="6568" w:hanging="360"/>
      </w:pPr>
    </w:lvl>
    <w:lvl w:ilvl="8" w:tplc="0809001B" w:tentative="1">
      <w:start w:val="1"/>
      <w:numFmt w:val="lowerRoman"/>
      <w:lvlText w:val="%9."/>
      <w:lvlJc w:val="right"/>
      <w:pPr>
        <w:ind w:left="7288" w:hanging="180"/>
      </w:pPr>
    </w:lvl>
  </w:abstractNum>
  <w:abstractNum w:abstractNumId="35" w15:restartNumberingAfterBreak="0">
    <w:nsid w:val="5D387CCA"/>
    <w:multiLevelType w:val="hybridMultilevel"/>
    <w:tmpl w:val="6514108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5EB518AC"/>
    <w:multiLevelType w:val="hybridMultilevel"/>
    <w:tmpl w:val="1DD280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87029B"/>
    <w:multiLevelType w:val="hybridMultilevel"/>
    <w:tmpl w:val="E5D854BE"/>
    <w:lvl w:ilvl="0" w:tplc="674437B8">
      <w:start w:val="1"/>
      <w:numFmt w:val="upperLetter"/>
      <w:lvlText w:val="%1)"/>
      <w:lvlJc w:val="left"/>
      <w:pPr>
        <w:ind w:left="1528" w:hanging="360"/>
      </w:pPr>
      <w:rPr>
        <w:rFonts w:hint="default"/>
      </w:rPr>
    </w:lvl>
    <w:lvl w:ilvl="1" w:tplc="08090019" w:tentative="1">
      <w:start w:val="1"/>
      <w:numFmt w:val="lowerLetter"/>
      <w:lvlText w:val="%2."/>
      <w:lvlJc w:val="left"/>
      <w:pPr>
        <w:ind w:left="2248" w:hanging="360"/>
      </w:pPr>
    </w:lvl>
    <w:lvl w:ilvl="2" w:tplc="0809001B" w:tentative="1">
      <w:start w:val="1"/>
      <w:numFmt w:val="lowerRoman"/>
      <w:lvlText w:val="%3."/>
      <w:lvlJc w:val="right"/>
      <w:pPr>
        <w:ind w:left="2968" w:hanging="180"/>
      </w:pPr>
    </w:lvl>
    <w:lvl w:ilvl="3" w:tplc="0809000F" w:tentative="1">
      <w:start w:val="1"/>
      <w:numFmt w:val="decimal"/>
      <w:lvlText w:val="%4."/>
      <w:lvlJc w:val="left"/>
      <w:pPr>
        <w:ind w:left="3688" w:hanging="360"/>
      </w:pPr>
    </w:lvl>
    <w:lvl w:ilvl="4" w:tplc="08090019" w:tentative="1">
      <w:start w:val="1"/>
      <w:numFmt w:val="lowerLetter"/>
      <w:lvlText w:val="%5."/>
      <w:lvlJc w:val="left"/>
      <w:pPr>
        <w:ind w:left="4408" w:hanging="360"/>
      </w:pPr>
    </w:lvl>
    <w:lvl w:ilvl="5" w:tplc="0809001B" w:tentative="1">
      <w:start w:val="1"/>
      <w:numFmt w:val="lowerRoman"/>
      <w:lvlText w:val="%6."/>
      <w:lvlJc w:val="right"/>
      <w:pPr>
        <w:ind w:left="5128" w:hanging="180"/>
      </w:pPr>
    </w:lvl>
    <w:lvl w:ilvl="6" w:tplc="0809000F" w:tentative="1">
      <w:start w:val="1"/>
      <w:numFmt w:val="decimal"/>
      <w:lvlText w:val="%7."/>
      <w:lvlJc w:val="left"/>
      <w:pPr>
        <w:ind w:left="5848" w:hanging="360"/>
      </w:pPr>
    </w:lvl>
    <w:lvl w:ilvl="7" w:tplc="08090019" w:tentative="1">
      <w:start w:val="1"/>
      <w:numFmt w:val="lowerLetter"/>
      <w:lvlText w:val="%8."/>
      <w:lvlJc w:val="left"/>
      <w:pPr>
        <w:ind w:left="6568" w:hanging="360"/>
      </w:pPr>
    </w:lvl>
    <w:lvl w:ilvl="8" w:tplc="0809001B" w:tentative="1">
      <w:start w:val="1"/>
      <w:numFmt w:val="lowerRoman"/>
      <w:lvlText w:val="%9."/>
      <w:lvlJc w:val="right"/>
      <w:pPr>
        <w:ind w:left="7288" w:hanging="180"/>
      </w:pPr>
    </w:lvl>
  </w:abstractNum>
  <w:abstractNum w:abstractNumId="38" w15:restartNumberingAfterBreak="0">
    <w:nsid w:val="61A5392E"/>
    <w:multiLevelType w:val="hybridMultilevel"/>
    <w:tmpl w:val="77A2026C"/>
    <w:lvl w:ilvl="0" w:tplc="B5003A00">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15:restartNumberingAfterBreak="0">
    <w:nsid w:val="644A3F91"/>
    <w:multiLevelType w:val="hybridMultilevel"/>
    <w:tmpl w:val="FE883C34"/>
    <w:lvl w:ilvl="0" w:tplc="96BC1BFC">
      <w:start w:val="1"/>
      <w:numFmt w:val="upperLetter"/>
      <w:lvlText w:val="%1)"/>
      <w:lvlJc w:val="left"/>
      <w:pPr>
        <w:ind w:left="1528" w:hanging="360"/>
      </w:pPr>
      <w:rPr>
        <w:rFonts w:hint="default"/>
      </w:rPr>
    </w:lvl>
    <w:lvl w:ilvl="1" w:tplc="08090019">
      <w:start w:val="1"/>
      <w:numFmt w:val="lowerLetter"/>
      <w:lvlText w:val="%2."/>
      <w:lvlJc w:val="left"/>
      <w:pPr>
        <w:ind w:left="2248" w:hanging="360"/>
      </w:pPr>
    </w:lvl>
    <w:lvl w:ilvl="2" w:tplc="0809001B" w:tentative="1">
      <w:start w:val="1"/>
      <w:numFmt w:val="lowerRoman"/>
      <w:lvlText w:val="%3."/>
      <w:lvlJc w:val="right"/>
      <w:pPr>
        <w:ind w:left="2968" w:hanging="180"/>
      </w:pPr>
    </w:lvl>
    <w:lvl w:ilvl="3" w:tplc="0809000F" w:tentative="1">
      <w:start w:val="1"/>
      <w:numFmt w:val="decimal"/>
      <w:lvlText w:val="%4."/>
      <w:lvlJc w:val="left"/>
      <w:pPr>
        <w:ind w:left="3688" w:hanging="360"/>
      </w:pPr>
    </w:lvl>
    <w:lvl w:ilvl="4" w:tplc="08090019" w:tentative="1">
      <w:start w:val="1"/>
      <w:numFmt w:val="lowerLetter"/>
      <w:lvlText w:val="%5."/>
      <w:lvlJc w:val="left"/>
      <w:pPr>
        <w:ind w:left="4408" w:hanging="360"/>
      </w:pPr>
    </w:lvl>
    <w:lvl w:ilvl="5" w:tplc="0809001B" w:tentative="1">
      <w:start w:val="1"/>
      <w:numFmt w:val="lowerRoman"/>
      <w:lvlText w:val="%6."/>
      <w:lvlJc w:val="right"/>
      <w:pPr>
        <w:ind w:left="5128" w:hanging="180"/>
      </w:pPr>
    </w:lvl>
    <w:lvl w:ilvl="6" w:tplc="0809000F" w:tentative="1">
      <w:start w:val="1"/>
      <w:numFmt w:val="decimal"/>
      <w:lvlText w:val="%7."/>
      <w:lvlJc w:val="left"/>
      <w:pPr>
        <w:ind w:left="5848" w:hanging="360"/>
      </w:pPr>
    </w:lvl>
    <w:lvl w:ilvl="7" w:tplc="08090019" w:tentative="1">
      <w:start w:val="1"/>
      <w:numFmt w:val="lowerLetter"/>
      <w:lvlText w:val="%8."/>
      <w:lvlJc w:val="left"/>
      <w:pPr>
        <w:ind w:left="6568" w:hanging="360"/>
      </w:pPr>
    </w:lvl>
    <w:lvl w:ilvl="8" w:tplc="0809001B" w:tentative="1">
      <w:start w:val="1"/>
      <w:numFmt w:val="lowerRoman"/>
      <w:lvlText w:val="%9."/>
      <w:lvlJc w:val="right"/>
      <w:pPr>
        <w:ind w:left="7288" w:hanging="180"/>
      </w:pPr>
    </w:lvl>
  </w:abstractNum>
  <w:abstractNum w:abstractNumId="40" w15:restartNumberingAfterBreak="0">
    <w:nsid w:val="6512212C"/>
    <w:multiLevelType w:val="hybridMultilevel"/>
    <w:tmpl w:val="A9CED756"/>
    <w:lvl w:ilvl="0" w:tplc="C938E2A0">
      <w:start w:val="2"/>
      <w:numFmt w:val="upperLetter"/>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2" w15:restartNumberingAfterBreak="0">
    <w:nsid w:val="68F70BBD"/>
    <w:multiLevelType w:val="hybridMultilevel"/>
    <w:tmpl w:val="31723B7A"/>
    <w:lvl w:ilvl="0" w:tplc="B8C29310">
      <w:start w:val="3"/>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BA67B8"/>
    <w:multiLevelType w:val="hybridMultilevel"/>
    <w:tmpl w:val="D2D2784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4" w15:restartNumberingAfterBreak="0">
    <w:nsid w:val="75063FD0"/>
    <w:multiLevelType w:val="hybridMultilevel"/>
    <w:tmpl w:val="8BFE2012"/>
    <w:lvl w:ilvl="0" w:tplc="C0A6176A">
      <w:start w:val="1"/>
      <w:numFmt w:val="upperLetter"/>
      <w:lvlText w:val="%1)"/>
      <w:lvlJc w:val="left"/>
      <w:pPr>
        <w:ind w:left="1528" w:hanging="360"/>
      </w:pPr>
      <w:rPr>
        <w:rFonts w:hint="default"/>
      </w:rPr>
    </w:lvl>
    <w:lvl w:ilvl="1" w:tplc="08090019" w:tentative="1">
      <w:start w:val="1"/>
      <w:numFmt w:val="lowerLetter"/>
      <w:lvlText w:val="%2."/>
      <w:lvlJc w:val="left"/>
      <w:pPr>
        <w:ind w:left="2248" w:hanging="360"/>
      </w:pPr>
    </w:lvl>
    <w:lvl w:ilvl="2" w:tplc="0809001B" w:tentative="1">
      <w:start w:val="1"/>
      <w:numFmt w:val="lowerRoman"/>
      <w:lvlText w:val="%3."/>
      <w:lvlJc w:val="right"/>
      <w:pPr>
        <w:ind w:left="2968" w:hanging="180"/>
      </w:pPr>
    </w:lvl>
    <w:lvl w:ilvl="3" w:tplc="0809000F" w:tentative="1">
      <w:start w:val="1"/>
      <w:numFmt w:val="decimal"/>
      <w:lvlText w:val="%4."/>
      <w:lvlJc w:val="left"/>
      <w:pPr>
        <w:ind w:left="3688" w:hanging="360"/>
      </w:pPr>
    </w:lvl>
    <w:lvl w:ilvl="4" w:tplc="08090019" w:tentative="1">
      <w:start w:val="1"/>
      <w:numFmt w:val="lowerLetter"/>
      <w:lvlText w:val="%5."/>
      <w:lvlJc w:val="left"/>
      <w:pPr>
        <w:ind w:left="4408" w:hanging="360"/>
      </w:pPr>
    </w:lvl>
    <w:lvl w:ilvl="5" w:tplc="0809001B" w:tentative="1">
      <w:start w:val="1"/>
      <w:numFmt w:val="lowerRoman"/>
      <w:lvlText w:val="%6."/>
      <w:lvlJc w:val="right"/>
      <w:pPr>
        <w:ind w:left="5128" w:hanging="180"/>
      </w:pPr>
    </w:lvl>
    <w:lvl w:ilvl="6" w:tplc="0809000F" w:tentative="1">
      <w:start w:val="1"/>
      <w:numFmt w:val="decimal"/>
      <w:lvlText w:val="%7."/>
      <w:lvlJc w:val="left"/>
      <w:pPr>
        <w:ind w:left="5848" w:hanging="360"/>
      </w:pPr>
    </w:lvl>
    <w:lvl w:ilvl="7" w:tplc="08090019" w:tentative="1">
      <w:start w:val="1"/>
      <w:numFmt w:val="lowerLetter"/>
      <w:lvlText w:val="%8."/>
      <w:lvlJc w:val="left"/>
      <w:pPr>
        <w:ind w:left="6568" w:hanging="360"/>
      </w:pPr>
    </w:lvl>
    <w:lvl w:ilvl="8" w:tplc="0809001B" w:tentative="1">
      <w:start w:val="1"/>
      <w:numFmt w:val="lowerRoman"/>
      <w:lvlText w:val="%9."/>
      <w:lvlJc w:val="right"/>
      <w:pPr>
        <w:ind w:left="7288" w:hanging="180"/>
      </w:pPr>
    </w:lvl>
  </w:abstractNum>
  <w:abstractNum w:abstractNumId="45" w15:restartNumberingAfterBreak="0">
    <w:nsid w:val="75365944"/>
    <w:multiLevelType w:val="hybridMultilevel"/>
    <w:tmpl w:val="4C720DAE"/>
    <w:lvl w:ilvl="0" w:tplc="3E943526">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6" w15:restartNumberingAfterBreak="0">
    <w:nsid w:val="78F35E0E"/>
    <w:multiLevelType w:val="hybridMultilevel"/>
    <w:tmpl w:val="D674B6DC"/>
    <w:lvl w:ilvl="0" w:tplc="EAC29EB4">
      <w:start w:val="1"/>
      <w:numFmt w:val="decimal"/>
      <w:lvlText w:val="%1."/>
      <w:lvlJc w:val="left"/>
      <w:pPr>
        <w:ind w:left="1920" w:hanging="360"/>
      </w:pPr>
      <w:rPr>
        <w:rFonts w:hint="default"/>
      </w:rPr>
    </w:lvl>
    <w:lvl w:ilvl="1" w:tplc="08090019" w:tentative="1">
      <w:start w:val="1"/>
      <w:numFmt w:val="lowerLetter"/>
      <w:lvlText w:val="%2."/>
      <w:lvlJc w:val="left"/>
      <w:pPr>
        <w:ind w:left="2614" w:hanging="360"/>
      </w:pPr>
    </w:lvl>
    <w:lvl w:ilvl="2" w:tplc="0809001B" w:tentative="1">
      <w:start w:val="1"/>
      <w:numFmt w:val="lowerRoman"/>
      <w:lvlText w:val="%3."/>
      <w:lvlJc w:val="right"/>
      <w:pPr>
        <w:ind w:left="3334" w:hanging="180"/>
      </w:pPr>
    </w:lvl>
    <w:lvl w:ilvl="3" w:tplc="0809000F" w:tentative="1">
      <w:start w:val="1"/>
      <w:numFmt w:val="decimal"/>
      <w:lvlText w:val="%4."/>
      <w:lvlJc w:val="left"/>
      <w:pPr>
        <w:ind w:left="4054" w:hanging="360"/>
      </w:pPr>
    </w:lvl>
    <w:lvl w:ilvl="4" w:tplc="08090019" w:tentative="1">
      <w:start w:val="1"/>
      <w:numFmt w:val="lowerLetter"/>
      <w:lvlText w:val="%5."/>
      <w:lvlJc w:val="left"/>
      <w:pPr>
        <w:ind w:left="4774" w:hanging="360"/>
      </w:pPr>
    </w:lvl>
    <w:lvl w:ilvl="5" w:tplc="0809001B" w:tentative="1">
      <w:start w:val="1"/>
      <w:numFmt w:val="lowerRoman"/>
      <w:lvlText w:val="%6."/>
      <w:lvlJc w:val="right"/>
      <w:pPr>
        <w:ind w:left="5494" w:hanging="180"/>
      </w:pPr>
    </w:lvl>
    <w:lvl w:ilvl="6" w:tplc="0809000F" w:tentative="1">
      <w:start w:val="1"/>
      <w:numFmt w:val="decimal"/>
      <w:lvlText w:val="%7."/>
      <w:lvlJc w:val="left"/>
      <w:pPr>
        <w:ind w:left="6214" w:hanging="360"/>
      </w:pPr>
    </w:lvl>
    <w:lvl w:ilvl="7" w:tplc="08090019" w:tentative="1">
      <w:start w:val="1"/>
      <w:numFmt w:val="lowerLetter"/>
      <w:lvlText w:val="%8."/>
      <w:lvlJc w:val="left"/>
      <w:pPr>
        <w:ind w:left="6934" w:hanging="360"/>
      </w:pPr>
    </w:lvl>
    <w:lvl w:ilvl="8" w:tplc="0809001B" w:tentative="1">
      <w:start w:val="1"/>
      <w:numFmt w:val="lowerRoman"/>
      <w:lvlText w:val="%9."/>
      <w:lvlJc w:val="right"/>
      <w:pPr>
        <w:ind w:left="7654" w:hanging="180"/>
      </w:pPr>
    </w:lvl>
  </w:abstractNum>
  <w:abstractNum w:abstractNumId="47" w15:restartNumberingAfterBreak="0">
    <w:nsid w:val="7ACE001D"/>
    <w:multiLevelType w:val="hybridMultilevel"/>
    <w:tmpl w:val="5636D644"/>
    <w:lvl w:ilvl="0" w:tplc="C7B4EDEE">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8" w15:restartNumberingAfterBreak="0">
    <w:nsid w:val="7D1A0F29"/>
    <w:multiLevelType w:val="hybridMultilevel"/>
    <w:tmpl w:val="B24EEE2E"/>
    <w:lvl w:ilvl="0" w:tplc="08090001">
      <w:start w:val="1"/>
      <w:numFmt w:val="bullet"/>
      <w:lvlText w:val=""/>
      <w:lvlJc w:val="left"/>
      <w:pPr>
        <w:ind w:left="1894" w:hanging="360"/>
      </w:pPr>
      <w:rPr>
        <w:rFonts w:ascii="Symbol" w:hAnsi="Symbol" w:hint="default"/>
      </w:rPr>
    </w:lvl>
    <w:lvl w:ilvl="1" w:tplc="08090003" w:tentative="1">
      <w:start w:val="1"/>
      <w:numFmt w:val="bullet"/>
      <w:lvlText w:val="o"/>
      <w:lvlJc w:val="left"/>
      <w:pPr>
        <w:ind w:left="2614" w:hanging="360"/>
      </w:pPr>
      <w:rPr>
        <w:rFonts w:ascii="Courier New" w:hAnsi="Courier New" w:cs="Courier New" w:hint="default"/>
      </w:rPr>
    </w:lvl>
    <w:lvl w:ilvl="2" w:tplc="08090005" w:tentative="1">
      <w:start w:val="1"/>
      <w:numFmt w:val="bullet"/>
      <w:lvlText w:val=""/>
      <w:lvlJc w:val="left"/>
      <w:pPr>
        <w:ind w:left="3334" w:hanging="360"/>
      </w:pPr>
      <w:rPr>
        <w:rFonts w:ascii="Wingdings" w:hAnsi="Wingdings" w:hint="default"/>
      </w:rPr>
    </w:lvl>
    <w:lvl w:ilvl="3" w:tplc="08090001" w:tentative="1">
      <w:start w:val="1"/>
      <w:numFmt w:val="bullet"/>
      <w:lvlText w:val=""/>
      <w:lvlJc w:val="left"/>
      <w:pPr>
        <w:ind w:left="4054" w:hanging="360"/>
      </w:pPr>
      <w:rPr>
        <w:rFonts w:ascii="Symbol" w:hAnsi="Symbol" w:hint="default"/>
      </w:rPr>
    </w:lvl>
    <w:lvl w:ilvl="4" w:tplc="08090003" w:tentative="1">
      <w:start w:val="1"/>
      <w:numFmt w:val="bullet"/>
      <w:lvlText w:val="o"/>
      <w:lvlJc w:val="left"/>
      <w:pPr>
        <w:ind w:left="4774" w:hanging="360"/>
      </w:pPr>
      <w:rPr>
        <w:rFonts w:ascii="Courier New" w:hAnsi="Courier New" w:cs="Courier New" w:hint="default"/>
      </w:rPr>
    </w:lvl>
    <w:lvl w:ilvl="5" w:tplc="08090005" w:tentative="1">
      <w:start w:val="1"/>
      <w:numFmt w:val="bullet"/>
      <w:lvlText w:val=""/>
      <w:lvlJc w:val="left"/>
      <w:pPr>
        <w:ind w:left="5494" w:hanging="360"/>
      </w:pPr>
      <w:rPr>
        <w:rFonts w:ascii="Wingdings" w:hAnsi="Wingdings" w:hint="default"/>
      </w:rPr>
    </w:lvl>
    <w:lvl w:ilvl="6" w:tplc="08090001" w:tentative="1">
      <w:start w:val="1"/>
      <w:numFmt w:val="bullet"/>
      <w:lvlText w:val=""/>
      <w:lvlJc w:val="left"/>
      <w:pPr>
        <w:ind w:left="6214" w:hanging="360"/>
      </w:pPr>
      <w:rPr>
        <w:rFonts w:ascii="Symbol" w:hAnsi="Symbol" w:hint="default"/>
      </w:rPr>
    </w:lvl>
    <w:lvl w:ilvl="7" w:tplc="08090003" w:tentative="1">
      <w:start w:val="1"/>
      <w:numFmt w:val="bullet"/>
      <w:lvlText w:val="o"/>
      <w:lvlJc w:val="left"/>
      <w:pPr>
        <w:ind w:left="6934" w:hanging="360"/>
      </w:pPr>
      <w:rPr>
        <w:rFonts w:ascii="Courier New" w:hAnsi="Courier New" w:cs="Courier New" w:hint="default"/>
      </w:rPr>
    </w:lvl>
    <w:lvl w:ilvl="8" w:tplc="08090005" w:tentative="1">
      <w:start w:val="1"/>
      <w:numFmt w:val="bullet"/>
      <w:lvlText w:val=""/>
      <w:lvlJc w:val="left"/>
      <w:pPr>
        <w:ind w:left="7654" w:hanging="360"/>
      </w:pPr>
      <w:rPr>
        <w:rFonts w:ascii="Wingdings" w:hAnsi="Wingdings" w:hint="default"/>
      </w:rPr>
    </w:lvl>
  </w:abstractNum>
  <w:num w:numId="1">
    <w:abstractNumId w:val="41"/>
  </w:num>
  <w:num w:numId="2">
    <w:abstractNumId w:val="21"/>
  </w:num>
  <w:num w:numId="3">
    <w:abstractNumId w:val="8"/>
  </w:num>
  <w:num w:numId="4">
    <w:abstractNumId w:val="12"/>
  </w:num>
  <w:num w:numId="5">
    <w:abstractNumId w:val="22"/>
  </w:num>
  <w:num w:numId="6">
    <w:abstractNumId w:val="47"/>
  </w:num>
  <w:num w:numId="7">
    <w:abstractNumId w:val="11"/>
  </w:num>
  <w:num w:numId="8">
    <w:abstractNumId w:val="4"/>
  </w:num>
  <w:num w:numId="9">
    <w:abstractNumId w:val="25"/>
  </w:num>
  <w:num w:numId="10">
    <w:abstractNumId w:val="20"/>
  </w:num>
  <w:num w:numId="11">
    <w:abstractNumId w:val="27"/>
  </w:num>
  <w:num w:numId="12">
    <w:abstractNumId w:val="17"/>
  </w:num>
  <w:num w:numId="13">
    <w:abstractNumId w:val="29"/>
  </w:num>
  <w:num w:numId="14">
    <w:abstractNumId w:val="0"/>
  </w:num>
  <w:num w:numId="15">
    <w:abstractNumId w:val="32"/>
  </w:num>
  <w:num w:numId="16">
    <w:abstractNumId w:val="44"/>
  </w:num>
  <w:num w:numId="17">
    <w:abstractNumId w:val="15"/>
  </w:num>
  <w:num w:numId="18">
    <w:abstractNumId w:val="31"/>
  </w:num>
  <w:num w:numId="19">
    <w:abstractNumId w:val="23"/>
  </w:num>
  <w:num w:numId="20">
    <w:abstractNumId w:val="5"/>
  </w:num>
  <w:num w:numId="21">
    <w:abstractNumId w:val="39"/>
  </w:num>
  <w:num w:numId="22">
    <w:abstractNumId w:val="7"/>
  </w:num>
  <w:num w:numId="23">
    <w:abstractNumId w:val="19"/>
  </w:num>
  <w:num w:numId="24">
    <w:abstractNumId w:val="33"/>
  </w:num>
  <w:num w:numId="25">
    <w:abstractNumId w:val="45"/>
  </w:num>
  <w:num w:numId="26">
    <w:abstractNumId w:val="1"/>
  </w:num>
  <w:num w:numId="27">
    <w:abstractNumId w:val="46"/>
  </w:num>
  <w:num w:numId="28">
    <w:abstractNumId w:val="30"/>
  </w:num>
  <w:num w:numId="29">
    <w:abstractNumId w:val="28"/>
  </w:num>
  <w:num w:numId="30">
    <w:abstractNumId w:val="38"/>
  </w:num>
  <w:num w:numId="31">
    <w:abstractNumId w:val="2"/>
  </w:num>
  <w:num w:numId="32">
    <w:abstractNumId w:val="13"/>
  </w:num>
  <w:num w:numId="33">
    <w:abstractNumId w:val="35"/>
  </w:num>
  <w:num w:numId="34">
    <w:abstractNumId w:val="43"/>
  </w:num>
  <w:num w:numId="35">
    <w:abstractNumId w:val="24"/>
  </w:num>
  <w:num w:numId="36">
    <w:abstractNumId w:val="9"/>
  </w:num>
  <w:num w:numId="37">
    <w:abstractNumId w:val="26"/>
  </w:num>
  <w:num w:numId="38">
    <w:abstractNumId w:val="34"/>
  </w:num>
  <w:num w:numId="39">
    <w:abstractNumId w:val="36"/>
  </w:num>
  <w:num w:numId="40">
    <w:abstractNumId w:val="48"/>
  </w:num>
  <w:num w:numId="41">
    <w:abstractNumId w:val="18"/>
  </w:num>
  <w:num w:numId="42">
    <w:abstractNumId w:val="14"/>
  </w:num>
  <w:num w:numId="43">
    <w:abstractNumId w:val="37"/>
  </w:num>
  <w:num w:numId="44">
    <w:abstractNumId w:val="16"/>
  </w:num>
  <w:num w:numId="45">
    <w:abstractNumId w:val="3"/>
  </w:num>
  <w:num w:numId="46">
    <w:abstractNumId w:val="6"/>
  </w:num>
  <w:num w:numId="47">
    <w:abstractNumId w:val="42"/>
  </w:num>
  <w:num w:numId="48">
    <w:abstractNumId w:val="40"/>
  </w:num>
  <w:num w:numId="49">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fr-MC" w:vendorID="64" w:dllVersion="131078" w:nlCheck="1" w:checkStyle="0"/>
  <w:activeWritingStyle w:appName="MSWord" w:lang="en-GB" w:vendorID="64" w:dllVersion="131078" w:nlCheck="1" w:checkStyle="1"/>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915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DA"/>
    <w:rsid w:val="0000333C"/>
    <w:rsid w:val="00003676"/>
    <w:rsid w:val="00003E7D"/>
    <w:rsid w:val="00005C62"/>
    <w:rsid w:val="0000696F"/>
    <w:rsid w:val="00006EF1"/>
    <w:rsid w:val="000105F8"/>
    <w:rsid w:val="00011FAB"/>
    <w:rsid w:val="00014A96"/>
    <w:rsid w:val="000153A4"/>
    <w:rsid w:val="00016AC5"/>
    <w:rsid w:val="00030ADE"/>
    <w:rsid w:val="00032491"/>
    <w:rsid w:val="00032F0D"/>
    <w:rsid w:val="000408A4"/>
    <w:rsid w:val="00041768"/>
    <w:rsid w:val="00044D83"/>
    <w:rsid w:val="000455FE"/>
    <w:rsid w:val="00050E1A"/>
    <w:rsid w:val="00082EA9"/>
    <w:rsid w:val="0008446B"/>
    <w:rsid w:val="00086A55"/>
    <w:rsid w:val="000905B0"/>
    <w:rsid w:val="000A0D10"/>
    <w:rsid w:val="000A0F87"/>
    <w:rsid w:val="000B0D68"/>
    <w:rsid w:val="000B159E"/>
    <w:rsid w:val="000B4C63"/>
    <w:rsid w:val="000D3B97"/>
    <w:rsid w:val="000D5D3E"/>
    <w:rsid w:val="000F41F2"/>
    <w:rsid w:val="00100F2B"/>
    <w:rsid w:val="0010146A"/>
    <w:rsid w:val="001103BE"/>
    <w:rsid w:val="0011157C"/>
    <w:rsid w:val="00111D41"/>
    <w:rsid w:val="0011253A"/>
    <w:rsid w:val="00115002"/>
    <w:rsid w:val="00135C0D"/>
    <w:rsid w:val="00140F99"/>
    <w:rsid w:val="00145244"/>
    <w:rsid w:val="001510FD"/>
    <w:rsid w:val="00152167"/>
    <w:rsid w:val="0015586A"/>
    <w:rsid w:val="0016017F"/>
    <w:rsid w:val="00160540"/>
    <w:rsid w:val="00172869"/>
    <w:rsid w:val="00172D57"/>
    <w:rsid w:val="0017665A"/>
    <w:rsid w:val="00177007"/>
    <w:rsid w:val="00183F17"/>
    <w:rsid w:val="00186EE9"/>
    <w:rsid w:val="00192EEB"/>
    <w:rsid w:val="0019434B"/>
    <w:rsid w:val="001A20FB"/>
    <w:rsid w:val="001B3554"/>
    <w:rsid w:val="001B67B6"/>
    <w:rsid w:val="001B6F40"/>
    <w:rsid w:val="001B7FA8"/>
    <w:rsid w:val="001C4795"/>
    <w:rsid w:val="001D7F8A"/>
    <w:rsid w:val="001E3FEB"/>
    <w:rsid w:val="001E4532"/>
    <w:rsid w:val="001E4A02"/>
    <w:rsid w:val="001F24DE"/>
    <w:rsid w:val="001F4461"/>
    <w:rsid w:val="002000F5"/>
    <w:rsid w:val="00212A93"/>
    <w:rsid w:val="00213B89"/>
    <w:rsid w:val="00213CB2"/>
    <w:rsid w:val="0022190B"/>
    <w:rsid w:val="00223B89"/>
    <w:rsid w:val="00224C97"/>
    <w:rsid w:val="002251C4"/>
    <w:rsid w:val="00225A8C"/>
    <w:rsid w:val="002303D4"/>
    <w:rsid w:val="00232E03"/>
    <w:rsid w:val="002347E0"/>
    <w:rsid w:val="0024724E"/>
    <w:rsid w:val="00247BC8"/>
    <w:rsid w:val="00255611"/>
    <w:rsid w:val="002659F1"/>
    <w:rsid w:val="00270754"/>
    <w:rsid w:val="00270BF3"/>
    <w:rsid w:val="0027108A"/>
    <w:rsid w:val="002730F0"/>
    <w:rsid w:val="00282DE7"/>
    <w:rsid w:val="00284361"/>
    <w:rsid w:val="00286FC2"/>
    <w:rsid w:val="00287E79"/>
    <w:rsid w:val="002928F9"/>
    <w:rsid w:val="002A5D07"/>
    <w:rsid w:val="002B4B84"/>
    <w:rsid w:val="002B5B6D"/>
    <w:rsid w:val="002B65A8"/>
    <w:rsid w:val="002B712C"/>
    <w:rsid w:val="002B73FE"/>
    <w:rsid w:val="002C78C3"/>
    <w:rsid w:val="002D1C2E"/>
    <w:rsid w:val="002D2588"/>
    <w:rsid w:val="002D4557"/>
    <w:rsid w:val="002D7A3E"/>
    <w:rsid w:val="002E224D"/>
    <w:rsid w:val="002E4295"/>
    <w:rsid w:val="002E65D1"/>
    <w:rsid w:val="003016B7"/>
    <w:rsid w:val="00303819"/>
    <w:rsid w:val="003102AF"/>
    <w:rsid w:val="003209B1"/>
    <w:rsid w:val="00331F85"/>
    <w:rsid w:val="003347B6"/>
    <w:rsid w:val="00340C35"/>
    <w:rsid w:val="003456B0"/>
    <w:rsid w:val="003515AA"/>
    <w:rsid w:val="003531AD"/>
    <w:rsid w:val="00370E0F"/>
    <w:rsid w:val="00374106"/>
    <w:rsid w:val="00385A4C"/>
    <w:rsid w:val="00385CA6"/>
    <w:rsid w:val="003928BD"/>
    <w:rsid w:val="003943FA"/>
    <w:rsid w:val="003947F9"/>
    <w:rsid w:val="00394F98"/>
    <w:rsid w:val="003976D5"/>
    <w:rsid w:val="003A3B0D"/>
    <w:rsid w:val="003B3539"/>
    <w:rsid w:val="003C04CF"/>
    <w:rsid w:val="003C0D77"/>
    <w:rsid w:val="003C3DA4"/>
    <w:rsid w:val="003C72A6"/>
    <w:rsid w:val="003D16BA"/>
    <w:rsid w:val="003D1DF3"/>
    <w:rsid w:val="003D4493"/>
    <w:rsid w:val="003D46A7"/>
    <w:rsid w:val="003D6C68"/>
    <w:rsid w:val="003F2D4B"/>
    <w:rsid w:val="0040184A"/>
    <w:rsid w:val="00402B06"/>
    <w:rsid w:val="00405E9A"/>
    <w:rsid w:val="004109B0"/>
    <w:rsid w:val="004159D0"/>
    <w:rsid w:val="00423623"/>
    <w:rsid w:val="00423791"/>
    <w:rsid w:val="004249E7"/>
    <w:rsid w:val="004306F2"/>
    <w:rsid w:val="00433B30"/>
    <w:rsid w:val="00447046"/>
    <w:rsid w:val="00462E5A"/>
    <w:rsid w:val="0046378D"/>
    <w:rsid w:val="00464599"/>
    <w:rsid w:val="00465B98"/>
    <w:rsid w:val="00473504"/>
    <w:rsid w:val="004758DA"/>
    <w:rsid w:val="00492D14"/>
    <w:rsid w:val="004A30EF"/>
    <w:rsid w:val="004A7FCC"/>
    <w:rsid w:val="004B2C09"/>
    <w:rsid w:val="004B301D"/>
    <w:rsid w:val="004B400D"/>
    <w:rsid w:val="004B5F6A"/>
    <w:rsid w:val="004C173E"/>
    <w:rsid w:val="004C1817"/>
    <w:rsid w:val="004C2319"/>
    <w:rsid w:val="004D4F17"/>
    <w:rsid w:val="004D5935"/>
    <w:rsid w:val="004E45B3"/>
    <w:rsid w:val="004E5A3C"/>
    <w:rsid w:val="004F0B3B"/>
    <w:rsid w:val="004F3E8B"/>
    <w:rsid w:val="004F5142"/>
    <w:rsid w:val="004F69D0"/>
    <w:rsid w:val="005046DB"/>
    <w:rsid w:val="00507169"/>
    <w:rsid w:val="00510DC6"/>
    <w:rsid w:val="00516DBC"/>
    <w:rsid w:val="0053448F"/>
    <w:rsid w:val="005404A4"/>
    <w:rsid w:val="00543D5E"/>
    <w:rsid w:val="00551156"/>
    <w:rsid w:val="00554BE1"/>
    <w:rsid w:val="00555A55"/>
    <w:rsid w:val="00556E6D"/>
    <w:rsid w:val="00571F41"/>
    <w:rsid w:val="0057380B"/>
    <w:rsid w:val="00577DD0"/>
    <w:rsid w:val="005968A7"/>
    <w:rsid w:val="00596ADE"/>
    <w:rsid w:val="005B09DD"/>
    <w:rsid w:val="005B21DD"/>
    <w:rsid w:val="005B42B0"/>
    <w:rsid w:val="005B4C00"/>
    <w:rsid w:val="005D1D30"/>
    <w:rsid w:val="005D33E2"/>
    <w:rsid w:val="005D6FC3"/>
    <w:rsid w:val="005E5006"/>
    <w:rsid w:val="005E5D1F"/>
    <w:rsid w:val="005E63CE"/>
    <w:rsid w:val="005F581D"/>
    <w:rsid w:val="00603391"/>
    <w:rsid w:val="00611D43"/>
    <w:rsid w:val="00612D48"/>
    <w:rsid w:val="00614C91"/>
    <w:rsid w:val="00616B45"/>
    <w:rsid w:val="00620B1F"/>
    <w:rsid w:val="00627D63"/>
    <w:rsid w:val="00630D9B"/>
    <w:rsid w:val="00631953"/>
    <w:rsid w:val="006410B6"/>
    <w:rsid w:val="006439EC"/>
    <w:rsid w:val="00652353"/>
    <w:rsid w:val="00654287"/>
    <w:rsid w:val="006613D4"/>
    <w:rsid w:val="0067085F"/>
    <w:rsid w:val="006708D2"/>
    <w:rsid w:val="00670ED2"/>
    <w:rsid w:val="00674616"/>
    <w:rsid w:val="00674679"/>
    <w:rsid w:val="00681F86"/>
    <w:rsid w:val="0068241B"/>
    <w:rsid w:val="00696243"/>
    <w:rsid w:val="006A57AD"/>
    <w:rsid w:val="006B0386"/>
    <w:rsid w:val="006B4590"/>
    <w:rsid w:val="006C004E"/>
    <w:rsid w:val="006C2882"/>
    <w:rsid w:val="006C340C"/>
    <w:rsid w:val="006D1FAA"/>
    <w:rsid w:val="006E38EF"/>
    <w:rsid w:val="006F4BE7"/>
    <w:rsid w:val="0070347C"/>
    <w:rsid w:val="00703638"/>
    <w:rsid w:val="00704072"/>
    <w:rsid w:val="007066DB"/>
    <w:rsid w:val="00715169"/>
    <w:rsid w:val="007176C1"/>
    <w:rsid w:val="00725550"/>
    <w:rsid w:val="00732D2E"/>
    <w:rsid w:val="007410A0"/>
    <w:rsid w:val="00745FA6"/>
    <w:rsid w:val="00746843"/>
    <w:rsid w:val="00750C09"/>
    <w:rsid w:val="00755C0B"/>
    <w:rsid w:val="00760FF4"/>
    <w:rsid w:val="00761E0F"/>
    <w:rsid w:val="00763763"/>
    <w:rsid w:val="0077456B"/>
    <w:rsid w:val="007778C3"/>
    <w:rsid w:val="0078209B"/>
    <w:rsid w:val="00782930"/>
    <w:rsid w:val="007B1FF0"/>
    <w:rsid w:val="007B5471"/>
    <w:rsid w:val="007C00DF"/>
    <w:rsid w:val="007C0E8B"/>
    <w:rsid w:val="007D192F"/>
    <w:rsid w:val="007D1D7F"/>
    <w:rsid w:val="007E17F4"/>
    <w:rsid w:val="007E3159"/>
    <w:rsid w:val="007F55CB"/>
    <w:rsid w:val="007F5DDA"/>
    <w:rsid w:val="00805D47"/>
    <w:rsid w:val="00813498"/>
    <w:rsid w:val="008159DC"/>
    <w:rsid w:val="00816815"/>
    <w:rsid w:val="008210BD"/>
    <w:rsid w:val="0082149D"/>
    <w:rsid w:val="00823747"/>
    <w:rsid w:val="00823CDD"/>
    <w:rsid w:val="008317F6"/>
    <w:rsid w:val="00844750"/>
    <w:rsid w:val="0085240F"/>
    <w:rsid w:val="008527F8"/>
    <w:rsid w:val="00861672"/>
    <w:rsid w:val="008619A6"/>
    <w:rsid w:val="00863650"/>
    <w:rsid w:val="00872837"/>
    <w:rsid w:val="00877F27"/>
    <w:rsid w:val="00881BCC"/>
    <w:rsid w:val="008A7B6D"/>
    <w:rsid w:val="008B3B31"/>
    <w:rsid w:val="008B44C4"/>
    <w:rsid w:val="008B665F"/>
    <w:rsid w:val="008B7879"/>
    <w:rsid w:val="008C04EF"/>
    <w:rsid w:val="008C2F9B"/>
    <w:rsid w:val="008D0C29"/>
    <w:rsid w:val="008D1E2E"/>
    <w:rsid w:val="008D4FA4"/>
    <w:rsid w:val="008D6AB2"/>
    <w:rsid w:val="008D768B"/>
    <w:rsid w:val="008E1198"/>
    <w:rsid w:val="008E188C"/>
    <w:rsid w:val="008E7FAE"/>
    <w:rsid w:val="008F107E"/>
    <w:rsid w:val="008F5388"/>
    <w:rsid w:val="00903BF5"/>
    <w:rsid w:val="00911BF7"/>
    <w:rsid w:val="0092493A"/>
    <w:rsid w:val="00925847"/>
    <w:rsid w:val="00931B14"/>
    <w:rsid w:val="00931BB4"/>
    <w:rsid w:val="009331EE"/>
    <w:rsid w:val="009422C4"/>
    <w:rsid w:val="009527BF"/>
    <w:rsid w:val="00952989"/>
    <w:rsid w:val="00953EB3"/>
    <w:rsid w:val="009572C2"/>
    <w:rsid w:val="009579D3"/>
    <w:rsid w:val="00957F6A"/>
    <w:rsid w:val="00962401"/>
    <w:rsid w:val="00962A56"/>
    <w:rsid w:val="00963596"/>
    <w:rsid w:val="00963F65"/>
    <w:rsid w:val="00972650"/>
    <w:rsid w:val="00975438"/>
    <w:rsid w:val="00977EC8"/>
    <w:rsid w:val="00983026"/>
    <w:rsid w:val="00987643"/>
    <w:rsid w:val="009A14FA"/>
    <w:rsid w:val="009A1BDD"/>
    <w:rsid w:val="009A29E4"/>
    <w:rsid w:val="009A59DD"/>
    <w:rsid w:val="009B1F49"/>
    <w:rsid w:val="009B6A3E"/>
    <w:rsid w:val="009B6C14"/>
    <w:rsid w:val="009C12DC"/>
    <w:rsid w:val="009C2E69"/>
    <w:rsid w:val="009C30CB"/>
    <w:rsid w:val="009D27A9"/>
    <w:rsid w:val="009D3A8C"/>
    <w:rsid w:val="009D5A5E"/>
    <w:rsid w:val="009E44DD"/>
    <w:rsid w:val="009E4D4C"/>
    <w:rsid w:val="009E4EF6"/>
    <w:rsid w:val="009E5FAE"/>
    <w:rsid w:val="009E7956"/>
    <w:rsid w:val="009F5257"/>
    <w:rsid w:val="009F759C"/>
    <w:rsid w:val="00A02E14"/>
    <w:rsid w:val="00A048C9"/>
    <w:rsid w:val="00A07FFE"/>
    <w:rsid w:val="00A10D3F"/>
    <w:rsid w:val="00A117A6"/>
    <w:rsid w:val="00A2149A"/>
    <w:rsid w:val="00A2492E"/>
    <w:rsid w:val="00A304EB"/>
    <w:rsid w:val="00A331B7"/>
    <w:rsid w:val="00A36E37"/>
    <w:rsid w:val="00A6291C"/>
    <w:rsid w:val="00A65470"/>
    <w:rsid w:val="00A70163"/>
    <w:rsid w:val="00A72204"/>
    <w:rsid w:val="00A72427"/>
    <w:rsid w:val="00A7697B"/>
    <w:rsid w:val="00A92177"/>
    <w:rsid w:val="00AA0BAE"/>
    <w:rsid w:val="00AB2584"/>
    <w:rsid w:val="00AC5AE8"/>
    <w:rsid w:val="00AC67A1"/>
    <w:rsid w:val="00AC6DAA"/>
    <w:rsid w:val="00AC7977"/>
    <w:rsid w:val="00AD364B"/>
    <w:rsid w:val="00AE352C"/>
    <w:rsid w:val="00AE634D"/>
    <w:rsid w:val="00AF10A6"/>
    <w:rsid w:val="00AF3DCD"/>
    <w:rsid w:val="00B002ED"/>
    <w:rsid w:val="00B02DEB"/>
    <w:rsid w:val="00B161A1"/>
    <w:rsid w:val="00B20A71"/>
    <w:rsid w:val="00B21C68"/>
    <w:rsid w:val="00B30AC6"/>
    <w:rsid w:val="00B32E2D"/>
    <w:rsid w:val="00B368B3"/>
    <w:rsid w:val="00B3745E"/>
    <w:rsid w:val="00B4466B"/>
    <w:rsid w:val="00B4646F"/>
    <w:rsid w:val="00B51E80"/>
    <w:rsid w:val="00B61990"/>
    <w:rsid w:val="00B61AD5"/>
    <w:rsid w:val="00B72B49"/>
    <w:rsid w:val="00B82B9C"/>
    <w:rsid w:val="00B83235"/>
    <w:rsid w:val="00B85D99"/>
    <w:rsid w:val="00B86E53"/>
    <w:rsid w:val="00B913B6"/>
    <w:rsid w:val="00B916CD"/>
    <w:rsid w:val="00B96B2C"/>
    <w:rsid w:val="00BA1551"/>
    <w:rsid w:val="00BC290B"/>
    <w:rsid w:val="00BC6701"/>
    <w:rsid w:val="00BD4D6E"/>
    <w:rsid w:val="00BE18BE"/>
    <w:rsid w:val="00BF0198"/>
    <w:rsid w:val="00BF0556"/>
    <w:rsid w:val="00BF0EBC"/>
    <w:rsid w:val="00C00BAA"/>
    <w:rsid w:val="00C04D79"/>
    <w:rsid w:val="00C075B5"/>
    <w:rsid w:val="00C11663"/>
    <w:rsid w:val="00C12F58"/>
    <w:rsid w:val="00C1456B"/>
    <w:rsid w:val="00C23180"/>
    <w:rsid w:val="00C261F8"/>
    <w:rsid w:val="00C30133"/>
    <w:rsid w:val="00C30D1B"/>
    <w:rsid w:val="00C316C0"/>
    <w:rsid w:val="00C33100"/>
    <w:rsid w:val="00C3643E"/>
    <w:rsid w:val="00C40D74"/>
    <w:rsid w:val="00C43272"/>
    <w:rsid w:val="00C5328A"/>
    <w:rsid w:val="00C6506E"/>
    <w:rsid w:val="00C70ABB"/>
    <w:rsid w:val="00C72B61"/>
    <w:rsid w:val="00C7442B"/>
    <w:rsid w:val="00C77758"/>
    <w:rsid w:val="00C940E9"/>
    <w:rsid w:val="00C97336"/>
    <w:rsid w:val="00CA18E2"/>
    <w:rsid w:val="00CA2599"/>
    <w:rsid w:val="00CB25DD"/>
    <w:rsid w:val="00CB47AE"/>
    <w:rsid w:val="00CC162E"/>
    <w:rsid w:val="00CD1A71"/>
    <w:rsid w:val="00CD1FBB"/>
    <w:rsid w:val="00CE09BB"/>
    <w:rsid w:val="00CE5694"/>
    <w:rsid w:val="00CF3699"/>
    <w:rsid w:val="00D016B5"/>
    <w:rsid w:val="00D034F1"/>
    <w:rsid w:val="00D0679E"/>
    <w:rsid w:val="00D11B17"/>
    <w:rsid w:val="00D13DEE"/>
    <w:rsid w:val="00D17943"/>
    <w:rsid w:val="00D201C3"/>
    <w:rsid w:val="00D24CB2"/>
    <w:rsid w:val="00D251C2"/>
    <w:rsid w:val="00D27D5E"/>
    <w:rsid w:val="00D31C3D"/>
    <w:rsid w:val="00D44E49"/>
    <w:rsid w:val="00D54B34"/>
    <w:rsid w:val="00D76006"/>
    <w:rsid w:val="00D77A85"/>
    <w:rsid w:val="00D8236D"/>
    <w:rsid w:val="00D86918"/>
    <w:rsid w:val="00D93427"/>
    <w:rsid w:val="00DA0404"/>
    <w:rsid w:val="00DA1F81"/>
    <w:rsid w:val="00DA57D4"/>
    <w:rsid w:val="00DA79F3"/>
    <w:rsid w:val="00DB1E6D"/>
    <w:rsid w:val="00DB44ED"/>
    <w:rsid w:val="00DB4793"/>
    <w:rsid w:val="00DB714E"/>
    <w:rsid w:val="00DC0150"/>
    <w:rsid w:val="00DC1D54"/>
    <w:rsid w:val="00DC3055"/>
    <w:rsid w:val="00DC4059"/>
    <w:rsid w:val="00DD47A4"/>
    <w:rsid w:val="00DD6497"/>
    <w:rsid w:val="00DE01E3"/>
    <w:rsid w:val="00DE1A8C"/>
    <w:rsid w:val="00DE4E2E"/>
    <w:rsid w:val="00DE6D90"/>
    <w:rsid w:val="00DF002F"/>
    <w:rsid w:val="00E01066"/>
    <w:rsid w:val="00E010B7"/>
    <w:rsid w:val="00E0244D"/>
    <w:rsid w:val="00E0333C"/>
    <w:rsid w:val="00E153AE"/>
    <w:rsid w:val="00E15932"/>
    <w:rsid w:val="00E265F8"/>
    <w:rsid w:val="00E37350"/>
    <w:rsid w:val="00E470FB"/>
    <w:rsid w:val="00E55D71"/>
    <w:rsid w:val="00E61115"/>
    <w:rsid w:val="00E626E8"/>
    <w:rsid w:val="00E675B4"/>
    <w:rsid w:val="00E77A58"/>
    <w:rsid w:val="00E77AC1"/>
    <w:rsid w:val="00E804F2"/>
    <w:rsid w:val="00E81E94"/>
    <w:rsid w:val="00E82607"/>
    <w:rsid w:val="00E82698"/>
    <w:rsid w:val="00E87ECE"/>
    <w:rsid w:val="00E9170D"/>
    <w:rsid w:val="00E9332D"/>
    <w:rsid w:val="00E9431E"/>
    <w:rsid w:val="00EA31C2"/>
    <w:rsid w:val="00EB41D9"/>
    <w:rsid w:val="00EB474F"/>
    <w:rsid w:val="00EB4D57"/>
    <w:rsid w:val="00EC38FA"/>
    <w:rsid w:val="00EC4698"/>
    <w:rsid w:val="00EC4753"/>
    <w:rsid w:val="00EC5347"/>
    <w:rsid w:val="00EC61A0"/>
    <w:rsid w:val="00EC78CA"/>
    <w:rsid w:val="00ED4395"/>
    <w:rsid w:val="00EE2EA3"/>
    <w:rsid w:val="00F01516"/>
    <w:rsid w:val="00F025F9"/>
    <w:rsid w:val="00F042D5"/>
    <w:rsid w:val="00F07891"/>
    <w:rsid w:val="00F16436"/>
    <w:rsid w:val="00F17353"/>
    <w:rsid w:val="00F20783"/>
    <w:rsid w:val="00F211B1"/>
    <w:rsid w:val="00F36FBE"/>
    <w:rsid w:val="00F4587D"/>
    <w:rsid w:val="00F50BA6"/>
    <w:rsid w:val="00F51CE8"/>
    <w:rsid w:val="00F74094"/>
    <w:rsid w:val="00F74B16"/>
    <w:rsid w:val="00F82652"/>
    <w:rsid w:val="00F878AB"/>
    <w:rsid w:val="00F954C6"/>
    <w:rsid w:val="00F96E1A"/>
    <w:rsid w:val="00FA4C10"/>
    <w:rsid w:val="00FA52C0"/>
    <w:rsid w:val="00FA5850"/>
    <w:rsid w:val="00FA5A79"/>
    <w:rsid w:val="00FB0BFE"/>
    <w:rsid w:val="00FB11B1"/>
    <w:rsid w:val="00FB30F2"/>
    <w:rsid w:val="00FB36CA"/>
    <w:rsid w:val="00FB4C51"/>
    <w:rsid w:val="00FB5306"/>
    <w:rsid w:val="00FB7ADC"/>
    <w:rsid w:val="00FC1534"/>
    <w:rsid w:val="00FD2F75"/>
    <w:rsid w:val="00FD7420"/>
    <w:rsid w:val="00FD7CF6"/>
    <w:rsid w:val="00FE1B68"/>
    <w:rsid w:val="00FE3705"/>
    <w:rsid w:val="00FF1DBD"/>
    <w:rsid w:val="00FF2E16"/>
    <w:rsid w:val="00FF484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oNotEmbedSmartTags/>
  <w:decimalSymbol w:val="."/>
  <w:listSeparator w:val=";"/>
  <w14:docId w14:val="6317D911"/>
  <w15:docId w15:val="{B33F9B39-F03C-4103-B436-AFFC9FE0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D1D30"/>
    <w:pPr>
      <w:suppressAutoHyphens/>
      <w:spacing w:line="240" w:lineRule="atLeast"/>
    </w:pPr>
    <w:rPr>
      <w:lang w:val="fr-CH" w:eastAsia="en-US"/>
    </w:rPr>
  </w:style>
  <w:style w:type="paragraph" w:styleId="Titre1">
    <w:name w:val="heading 1"/>
    <w:aliases w:val="Table_G"/>
    <w:basedOn w:val="SingleTxtG"/>
    <w:next w:val="SingleTxtG"/>
    <w:link w:val="Titre1Car"/>
    <w:uiPriority w:val="9"/>
    <w:qFormat/>
    <w:rsid w:val="0000696F"/>
    <w:pPr>
      <w:keepNext/>
      <w:keepLines/>
      <w:spacing w:after="0" w:line="240" w:lineRule="auto"/>
      <w:ind w:right="0"/>
      <w:jc w:val="left"/>
      <w:outlineLvl w:val="0"/>
    </w:pPr>
  </w:style>
  <w:style w:type="paragraph" w:styleId="Titre2">
    <w:name w:val="heading 2"/>
    <w:basedOn w:val="Normal"/>
    <w:next w:val="Normal"/>
    <w:link w:val="Titre2Car"/>
    <w:uiPriority w:val="9"/>
    <w:semiHidden/>
    <w:qFormat/>
    <w:rsid w:val="0000696F"/>
    <w:pPr>
      <w:outlineLvl w:val="1"/>
    </w:pPr>
  </w:style>
  <w:style w:type="paragraph" w:styleId="Titre3">
    <w:name w:val="heading 3"/>
    <w:basedOn w:val="Normal"/>
    <w:next w:val="Normal"/>
    <w:link w:val="Titre3Car"/>
    <w:uiPriority w:val="9"/>
    <w:semiHidden/>
    <w:qFormat/>
    <w:rsid w:val="0000696F"/>
    <w:pPr>
      <w:outlineLvl w:val="2"/>
    </w:pPr>
  </w:style>
  <w:style w:type="paragraph" w:styleId="Titre4">
    <w:name w:val="heading 4"/>
    <w:basedOn w:val="Normal"/>
    <w:next w:val="Normal"/>
    <w:link w:val="Titre4Car"/>
    <w:uiPriority w:val="9"/>
    <w:semiHidden/>
    <w:qFormat/>
    <w:rsid w:val="0000696F"/>
    <w:pPr>
      <w:outlineLvl w:val="3"/>
    </w:pPr>
  </w:style>
  <w:style w:type="paragraph" w:styleId="Titre5">
    <w:name w:val="heading 5"/>
    <w:basedOn w:val="Normal"/>
    <w:next w:val="Normal"/>
    <w:link w:val="Titre5Car"/>
    <w:uiPriority w:val="9"/>
    <w:semiHidden/>
    <w:qFormat/>
    <w:rsid w:val="0000696F"/>
    <w:pPr>
      <w:outlineLvl w:val="4"/>
    </w:pPr>
  </w:style>
  <w:style w:type="paragraph" w:styleId="Titre6">
    <w:name w:val="heading 6"/>
    <w:basedOn w:val="Normal"/>
    <w:next w:val="Normal"/>
    <w:semiHidden/>
    <w:qFormat/>
    <w:rsid w:val="0000696F"/>
    <w:pPr>
      <w:outlineLvl w:val="5"/>
    </w:pPr>
  </w:style>
  <w:style w:type="paragraph" w:styleId="Titre7">
    <w:name w:val="heading 7"/>
    <w:basedOn w:val="Normal"/>
    <w:next w:val="Normal"/>
    <w:semiHidden/>
    <w:qFormat/>
    <w:rsid w:val="0000696F"/>
    <w:pPr>
      <w:outlineLvl w:val="6"/>
    </w:pPr>
  </w:style>
  <w:style w:type="paragraph" w:styleId="Titre8">
    <w:name w:val="heading 8"/>
    <w:basedOn w:val="Normal"/>
    <w:next w:val="Normal"/>
    <w:semiHidden/>
    <w:qFormat/>
    <w:rsid w:val="0000696F"/>
    <w:pPr>
      <w:outlineLvl w:val="7"/>
    </w:pPr>
  </w:style>
  <w:style w:type="paragraph" w:styleId="Titre9">
    <w:name w:val="heading 9"/>
    <w:basedOn w:val="Normal"/>
    <w:next w:val="Normal"/>
    <w:semiHidden/>
    <w:qFormat/>
    <w:rsid w:val="00D11B17"/>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00696F"/>
    <w:pPr>
      <w:spacing w:after="120"/>
      <w:ind w:left="1134" w:right="1134"/>
      <w:jc w:val="both"/>
    </w:pPr>
  </w:style>
  <w:style w:type="character" w:customStyle="1" w:styleId="SingleTxtGChar">
    <w:name w:val="_ Single Txt_G Char"/>
    <w:link w:val="SingleTxtG"/>
    <w:locked/>
    <w:rsid w:val="007E3159"/>
    <w:rPr>
      <w:lang w:val="fr-CH" w:eastAsia="en-US"/>
    </w:rPr>
  </w:style>
  <w:style w:type="character" w:customStyle="1" w:styleId="Titre1Car">
    <w:name w:val="Titre 1 Car"/>
    <w:aliases w:val="Table_G Car"/>
    <w:basedOn w:val="Policepardfaut"/>
    <w:link w:val="Titre1"/>
    <w:uiPriority w:val="9"/>
    <w:rsid w:val="004306F2"/>
    <w:rPr>
      <w:lang w:val="fr-CH" w:eastAsia="en-US"/>
    </w:rPr>
  </w:style>
  <w:style w:type="character" w:customStyle="1" w:styleId="Titre2Car">
    <w:name w:val="Titre 2 Car"/>
    <w:basedOn w:val="Policepardfaut"/>
    <w:link w:val="Titre2"/>
    <w:uiPriority w:val="9"/>
    <w:semiHidden/>
    <w:rsid w:val="004306F2"/>
    <w:rPr>
      <w:lang w:val="fr-CH" w:eastAsia="en-US"/>
    </w:rPr>
  </w:style>
  <w:style w:type="character" w:customStyle="1" w:styleId="Titre3Car">
    <w:name w:val="Titre 3 Car"/>
    <w:basedOn w:val="Policepardfaut"/>
    <w:link w:val="Titre3"/>
    <w:uiPriority w:val="9"/>
    <w:semiHidden/>
    <w:rsid w:val="004306F2"/>
    <w:rPr>
      <w:lang w:val="fr-CH" w:eastAsia="en-US"/>
    </w:rPr>
  </w:style>
  <w:style w:type="character" w:customStyle="1" w:styleId="Titre4Car">
    <w:name w:val="Titre 4 Car"/>
    <w:basedOn w:val="Policepardfaut"/>
    <w:link w:val="Titre4"/>
    <w:uiPriority w:val="9"/>
    <w:semiHidden/>
    <w:rsid w:val="004306F2"/>
    <w:rPr>
      <w:lang w:val="fr-CH" w:eastAsia="en-US"/>
    </w:rPr>
  </w:style>
  <w:style w:type="character" w:customStyle="1" w:styleId="Titre5Car">
    <w:name w:val="Titre 5 Car"/>
    <w:basedOn w:val="Policepardfaut"/>
    <w:link w:val="Titre5"/>
    <w:uiPriority w:val="9"/>
    <w:semiHidden/>
    <w:rsid w:val="004306F2"/>
    <w:rPr>
      <w:lang w:val="fr-CH" w:eastAsia="en-US"/>
    </w:rPr>
  </w:style>
  <w:style w:type="paragraph" w:customStyle="1" w:styleId="HMG">
    <w:name w:val="_ H __M_G"/>
    <w:basedOn w:val="Normal"/>
    <w:next w:val="Normal"/>
    <w:qFormat/>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0696F"/>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qFormat/>
    <w:rsid w:val="0000696F"/>
    <w:pPr>
      <w:numPr>
        <w:numId w:val="1"/>
      </w:numPr>
      <w:spacing w:after="120"/>
      <w:ind w:right="1134"/>
      <w:jc w:val="both"/>
    </w:pPr>
  </w:style>
  <w:style w:type="paragraph" w:customStyle="1" w:styleId="Bullet2G">
    <w:name w:val="_Bullet 2_G"/>
    <w:basedOn w:val="Normal"/>
    <w:qFormat/>
    <w:rsid w:val="0000696F"/>
    <w:pPr>
      <w:numPr>
        <w:numId w:val="2"/>
      </w:numPr>
      <w:spacing w:after="120"/>
      <w:ind w:right="1134"/>
      <w:jc w:val="both"/>
    </w:pPr>
  </w:style>
  <w:style w:type="character" w:styleId="Appelnotedebasdep">
    <w:name w:val="footnote reference"/>
    <w:aliases w:val="4_G"/>
    <w:basedOn w:val="Policepardfaut"/>
    <w:qFormat/>
    <w:rsid w:val="0000696F"/>
    <w:rPr>
      <w:rFonts w:ascii="Times New Roman" w:hAnsi="Times New Roman"/>
      <w:sz w:val="18"/>
      <w:vertAlign w:val="superscript"/>
      <w:lang w:val="fr-CH"/>
    </w:rPr>
  </w:style>
  <w:style w:type="character" w:styleId="Appeldenotedefin">
    <w:name w:val="endnote reference"/>
    <w:aliases w:val="1_G"/>
    <w:basedOn w:val="Appelnotedebasdep"/>
    <w:qFormat/>
    <w:rsid w:val="0000696F"/>
    <w:rPr>
      <w:rFonts w:ascii="Times New Roman" w:hAnsi="Times New Roman"/>
      <w:sz w:val="18"/>
      <w:vertAlign w:val="superscript"/>
      <w:lang w:val="fr-CH"/>
    </w:rPr>
  </w:style>
  <w:style w:type="paragraph" w:styleId="En-tte">
    <w:name w:val="header"/>
    <w:aliases w:val="6_G"/>
    <w:basedOn w:val="Normal"/>
    <w:next w:val="Normal"/>
    <w:link w:val="En-tteCar"/>
    <w:uiPriority w:val="99"/>
    <w:qFormat/>
    <w:rsid w:val="0000696F"/>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4306F2"/>
    <w:rPr>
      <w:b/>
      <w:sz w:val="18"/>
      <w:lang w:val="fr-CH" w:eastAsia="en-US"/>
    </w:rPr>
  </w:style>
  <w:style w:type="paragraph" w:styleId="Notedebasdepage">
    <w:name w:val="footnote text"/>
    <w:aliases w:val="5_G"/>
    <w:basedOn w:val="Normal"/>
    <w:link w:val="NotedebasdepageCar"/>
    <w:qFormat/>
    <w:rsid w:val="0000696F"/>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2B712C"/>
    <w:rPr>
      <w:sz w:val="18"/>
      <w:lang w:val="fr-CH" w:eastAsia="en-US"/>
    </w:rPr>
  </w:style>
  <w:style w:type="paragraph" w:styleId="Notedefin">
    <w:name w:val="endnote text"/>
    <w:aliases w:val="2_G"/>
    <w:basedOn w:val="Notedebasdepage"/>
    <w:qFormat/>
    <w:rsid w:val="0000696F"/>
  </w:style>
  <w:style w:type="character" w:styleId="Numrodepage">
    <w:name w:val="page number"/>
    <w:aliases w:val="7_G"/>
    <w:basedOn w:val="Policepardfaut"/>
    <w:qFormat/>
    <w:rsid w:val="0000696F"/>
    <w:rPr>
      <w:rFonts w:ascii="Times New Roman" w:hAnsi="Times New Roman"/>
      <w:b/>
      <w:sz w:val="18"/>
      <w:lang w:val="fr-CH"/>
    </w:rPr>
  </w:style>
  <w:style w:type="paragraph" w:styleId="Pieddepage">
    <w:name w:val="footer"/>
    <w:aliases w:val="3_G"/>
    <w:basedOn w:val="Normal"/>
    <w:next w:val="Normal"/>
    <w:link w:val="PieddepageCar"/>
    <w:uiPriority w:val="99"/>
    <w:qFormat/>
    <w:rsid w:val="0000696F"/>
    <w:pPr>
      <w:spacing w:line="240" w:lineRule="auto"/>
    </w:pPr>
    <w:rPr>
      <w:sz w:val="16"/>
    </w:rPr>
  </w:style>
  <w:style w:type="character" w:customStyle="1" w:styleId="PieddepageCar">
    <w:name w:val="Pied de page Car"/>
    <w:aliases w:val="3_G Car"/>
    <w:basedOn w:val="Policepardfaut"/>
    <w:link w:val="Pieddepage"/>
    <w:uiPriority w:val="99"/>
    <w:rsid w:val="004306F2"/>
    <w:rPr>
      <w:sz w:val="16"/>
      <w:lang w:val="fr-CH" w:eastAsia="en-US"/>
    </w:rPr>
  </w:style>
  <w:style w:type="character" w:styleId="Lienhypertexte">
    <w:name w:val="Hyperlink"/>
    <w:basedOn w:val="Policepardfaut"/>
    <w:uiPriority w:val="99"/>
    <w:rsid w:val="0000696F"/>
    <w:rPr>
      <w:color w:val="auto"/>
      <w:u w:val="none"/>
    </w:rPr>
  </w:style>
  <w:style w:type="character" w:styleId="Lienhypertextesuivivisit">
    <w:name w:val="FollowedHyperlink"/>
    <w:basedOn w:val="Policepardfaut"/>
    <w:semiHidden/>
    <w:rsid w:val="0000696F"/>
    <w:rPr>
      <w:color w:val="auto"/>
      <w:u w:val="none"/>
    </w:rPr>
  </w:style>
  <w:style w:type="table" w:styleId="Grilledetableau1">
    <w:name w:val="Table Grid 1"/>
    <w:basedOn w:val="TableauNormal"/>
    <w:semiHidden/>
    <w:rsid w:val="0000696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uiPriority w:val="59"/>
    <w:rsid w:val="0000696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uiPriority w:val="99"/>
    <w:semiHidden/>
    <w:rsid w:val="005D1D3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1D30"/>
    <w:rPr>
      <w:rFonts w:ascii="Tahoma" w:hAnsi="Tahoma" w:cs="Tahoma"/>
      <w:sz w:val="16"/>
      <w:szCs w:val="16"/>
      <w:lang w:val="fr-CH" w:eastAsia="en-US"/>
    </w:rPr>
  </w:style>
  <w:style w:type="paragraph" w:customStyle="1" w:styleId="ParNoG">
    <w:name w:val="_ParNo_G"/>
    <w:basedOn w:val="SingleTxtG"/>
    <w:qFormat/>
    <w:rsid w:val="002000F5"/>
    <w:pPr>
      <w:numPr>
        <w:numId w:val="3"/>
      </w:numPr>
      <w:kinsoku w:val="0"/>
      <w:overflowPunct w:val="0"/>
      <w:autoSpaceDE w:val="0"/>
      <w:autoSpaceDN w:val="0"/>
      <w:adjustRightInd w:val="0"/>
      <w:snapToGrid w:val="0"/>
    </w:pPr>
  </w:style>
  <w:style w:type="paragraph" w:styleId="TM1">
    <w:name w:val="toc 1"/>
    <w:basedOn w:val="Normal"/>
    <w:next w:val="Normal"/>
    <w:autoRedefine/>
    <w:uiPriority w:val="39"/>
    <w:unhideWhenUsed/>
    <w:qFormat/>
    <w:rsid w:val="00E265F8"/>
    <w:pPr>
      <w:tabs>
        <w:tab w:val="right" w:leader="hyphen" w:pos="9205"/>
      </w:tabs>
      <w:suppressAutoHyphens w:val="0"/>
      <w:spacing w:after="100" w:line="276" w:lineRule="auto"/>
    </w:pPr>
    <w:rPr>
      <w:rFonts w:ascii="Calibri" w:eastAsia="Calibri" w:hAnsi="Calibri"/>
      <w:sz w:val="22"/>
      <w:szCs w:val="22"/>
      <w:lang w:val="fr-FR"/>
    </w:rPr>
  </w:style>
  <w:style w:type="paragraph" w:styleId="TM2">
    <w:name w:val="toc 2"/>
    <w:basedOn w:val="Normal"/>
    <w:next w:val="Normal"/>
    <w:autoRedefine/>
    <w:uiPriority w:val="39"/>
    <w:unhideWhenUsed/>
    <w:qFormat/>
    <w:rsid w:val="00E265F8"/>
    <w:pPr>
      <w:suppressAutoHyphens w:val="0"/>
      <w:spacing w:after="100" w:line="276" w:lineRule="auto"/>
      <w:ind w:left="220"/>
    </w:pPr>
    <w:rPr>
      <w:rFonts w:ascii="Calibri" w:hAnsi="Calibri"/>
      <w:sz w:val="22"/>
      <w:szCs w:val="22"/>
      <w:lang w:val="en-US" w:eastAsia="ja-JP"/>
    </w:rPr>
  </w:style>
  <w:style w:type="paragraph" w:styleId="TM3">
    <w:name w:val="toc 3"/>
    <w:basedOn w:val="Normal"/>
    <w:next w:val="Normal"/>
    <w:autoRedefine/>
    <w:uiPriority w:val="39"/>
    <w:unhideWhenUsed/>
    <w:qFormat/>
    <w:rsid w:val="00E265F8"/>
    <w:pPr>
      <w:suppressAutoHyphens w:val="0"/>
      <w:spacing w:after="100" w:line="276" w:lineRule="auto"/>
      <w:ind w:left="440"/>
    </w:pPr>
    <w:rPr>
      <w:rFonts w:ascii="Calibri" w:hAnsi="Calibri"/>
      <w:sz w:val="22"/>
      <w:szCs w:val="22"/>
      <w:lang w:val="en-US" w:eastAsia="ja-JP"/>
    </w:rPr>
  </w:style>
  <w:style w:type="paragraph" w:styleId="TM4">
    <w:name w:val="toc 4"/>
    <w:basedOn w:val="Normal"/>
    <w:next w:val="Normal"/>
    <w:autoRedefine/>
    <w:uiPriority w:val="39"/>
    <w:unhideWhenUsed/>
    <w:rsid w:val="00E265F8"/>
    <w:pPr>
      <w:suppressAutoHyphens w:val="0"/>
      <w:spacing w:after="100" w:line="276" w:lineRule="auto"/>
      <w:ind w:left="660"/>
    </w:pPr>
    <w:rPr>
      <w:rFonts w:ascii="Calibri" w:eastAsia="Calibri" w:hAnsi="Calibri"/>
      <w:sz w:val="22"/>
      <w:szCs w:val="22"/>
      <w:lang w:val="fr-FR"/>
    </w:rPr>
  </w:style>
  <w:style w:type="paragraph" w:styleId="TM5">
    <w:name w:val="toc 5"/>
    <w:basedOn w:val="Normal"/>
    <w:next w:val="Normal"/>
    <w:autoRedefine/>
    <w:uiPriority w:val="39"/>
    <w:unhideWhenUsed/>
    <w:rsid w:val="00E265F8"/>
    <w:pPr>
      <w:suppressAutoHyphens w:val="0"/>
      <w:spacing w:after="100" w:line="276" w:lineRule="auto"/>
      <w:ind w:left="880"/>
    </w:pPr>
    <w:rPr>
      <w:rFonts w:ascii="Calibri" w:eastAsia="Calibri" w:hAnsi="Calibri"/>
      <w:sz w:val="22"/>
      <w:szCs w:val="22"/>
      <w:lang w:val="fr-FR"/>
    </w:rPr>
  </w:style>
  <w:style w:type="character" w:customStyle="1" w:styleId="hps">
    <w:name w:val="hps"/>
    <w:basedOn w:val="Policepardfaut"/>
    <w:rsid w:val="007E3159"/>
  </w:style>
  <w:style w:type="paragraph" w:customStyle="1" w:styleId="DDHCI1">
    <w:name w:val="DDHCI 1"/>
    <w:basedOn w:val="SingleTxtG"/>
    <w:qFormat/>
    <w:rsid w:val="007E3159"/>
    <w:pPr>
      <w:spacing w:before="120" w:after="240"/>
      <w:ind w:left="0"/>
    </w:pPr>
    <w:rPr>
      <w:b/>
      <w:sz w:val="30"/>
      <w:szCs w:val="24"/>
      <w:lang w:val="fr-FR"/>
    </w:rPr>
  </w:style>
  <w:style w:type="paragraph" w:styleId="Paragraphedeliste">
    <w:name w:val="List Paragraph"/>
    <w:aliases w:val="References,Grille claire - Accent 31,Liste couleur - Accent 111,Liste couleur - Accent 11,Liste couleur - Accent 112,List Paragraph1,3 partie"/>
    <w:basedOn w:val="Normal"/>
    <w:link w:val="ParagraphedelisteCar"/>
    <w:uiPriority w:val="34"/>
    <w:qFormat/>
    <w:rsid w:val="002B712C"/>
    <w:pPr>
      <w:suppressAutoHyphens w:val="0"/>
      <w:spacing w:after="200" w:line="276" w:lineRule="auto"/>
      <w:ind w:left="720"/>
      <w:contextualSpacing/>
    </w:pPr>
    <w:rPr>
      <w:rFonts w:ascii="Calibri" w:eastAsia="Calibri" w:hAnsi="Calibri"/>
      <w:sz w:val="22"/>
      <w:szCs w:val="22"/>
      <w:lang w:val="fr-FR"/>
    </w:rPr>
  </w:style>
  <w:style w:type="character" w:customStyle="1" w:styleId="ParagraphedelisteCar">
    <w:name w:val="Paragraphe de liste Car"/>
    <w:aliases w:val="References Car,Grille claire - Accent 31 Car,Liste couleur - Accent 111 Car,Liste couleur - Accent 11 Car,Liste couleur - Accent 112 Car,List Paragraph1 Car,3 partie Car"/>
    <w:link w:val="Paragraphedeliste"/>
    <w:uiPriority w:val="34"/>
    <w:locked/>
    <w:rsid w:val="002B712C"/>
    <w:rPr>
      <w:rFonts w:ascii="Calibri" w:eastAsia="Calibri" w:hAnsi="Calibri"/>
      <w:sz w:val="22"/>
      <w:szCs w:val="22"/>
      <w:lang w:eastAsia="en-US"/>
    </w:rPr>
  </w:style>
  <w:style w:type="paragraph" w:customStyle="1" w:styleId="DDHCI2">
    <w:name w:val="DDHCI 2"/>
    <w:basedOn w:val="Normal"/>
    <w:qFormat/>
    <w:rsid w:val="002B712C"/>
    <w:pPr>
      <w:suppressAutoHyphens w:val="0"/>
      <w:spacing w:line="240" w:lineRule="auto"/>
      <w:jc w:val="both"/>
    </w:pPr>
    <w:rPr>
      <w:rFonts w:eastAsia="Calibri"/>
      <w:b/>
      <w:color w:val="000000"/>
      <w:sz w:val="28"/>
      <w:szCs w:val="24"/>
      <w:lang w:val="fr-FR"/>
    </w:rPr>
  </w:style>
  <w:style w:type="paragraph" w:customStyle="1" w:styleId="DDHCI3">
    <w:name w:val="DDHCI 3"/>
    <w:basedOn w:val="Normal"/>
    <w:qFormat/>
    <w:rsid w:val="002B712C"/>
    <w:pPr>
      <w:suppressAutoHyphens w:val="0"/>
      <w:spacing w:after="200" w:line="276" w:lineRule="auto"/>
    </w:pPr>
    <w:rPr>
      <w:rFonts w:eastAsia="Calibri"/>
      <w:b/>
      <w:sz w:val="26"/>
      <w:szCs w:val="24"/>
      <w:lang w:val="fr-FR"/>
    </w:rPr>
  </w:style>
  <w:style w:type="paragraph" w:customStyle="1" w:styleId="DDHCI4">
    <w:name w:val="DDHCI 4"/>
    <w:basedOn w:val="Paragraphedeliste"/>
    <w:qFormat/>
    <w:rsid w:val="002B712C"/>
    <w:pPr>
      <w:ind w:hanging="360"/>
    </w:pPr>
    <w:rPr>
      <w:rFonts w:ascii="Times New Roman" w:hAnsi="Times New Roman"/>
      <w:b/>
      <w:sz w:val="24"/>
      <w:szCs w:val="24"/>
    </w:rPr>
  </w:style>
  <w:style w:type="paragraph" w:styleId="NormalWeb">
    <w:name w:val="Normal (Web)"/>
    <w:basedOn w:val="Normal"/>
    <w:uiPriority w:val="99"/>
    <w:unhideWhenUsed/>
    <w:rsid w:val="004306F2"/>
    <w:pPr>
      <w:suppressAutoHyphens w:val="0"/>
      <w:spacing w:before="100" w:beforeAutospacing="1" w:after="100" w:afterAutospacing="1" w:line="240" w:lineRule="auto"/>
    </w:pPr>
    <w:rPr>
      <w:sz w:val="24"/>
      <w:szCs w:val="24"/>
      <w:lang w:val="fr-FR" w:eastAsia="fr-FR"/>
    </w:rPr>
  </w:style>
  <w:style w:type="character" w:customStyle="1" w:styleId="st">
    <w:name w:val="st"/>
    <w:basedOn w:val="Policepardfaut"/>
    <w:rsid w:val="004306F2"/>
  </w:style>
  <w:style w:type="paragraph" w:customStyle="1" w:styleId="Default">
    <w:name w:val="Default"/>
    <w:rsid w:val="004306F2"/>
    <w:pPr>
      <w:autoSpaceDE w:val="0"/>
      <w:autoSpaceDN w:val="0"/>
      <w:adjustRightInd w:val="0"/>
    </w:pPr>
    <w:rPr>
      <w:rFonts w:ascii="Cambria" w:hAnsi="Cambria" w:cs="Cambria"/>
      <w:color w:val="000000"/>
      <w:sz w:val="24"/>
      <w:szCs w:val="24"/>
      <w:lang w:val="en-US" w:eastAsia="en-US"/>
    </w:rPr>
  </w:style>
  <w:style w:type="character" w:styleId="Accentuation">
    <w:name w:val="Emphasis"/>
    <w:basedOn w:val="Policepardfaut"/>
    <w:uiPriority w:val="20"/>
    <w:qFormat/>
    <w:rsid w:val="004306F2"/>
    <w:rPr>
      <w:i/>
      <w:iCs/>
    </w:rPr>
  </w:style>
  <w:style w:type="paragraph" w:styleId="Commentaire">
    <w:name w:val="annotation text"/>
    <w:basedOn w:val="Normal"/>
    <w:link w:val="CommentaireCar"/>
    <w:uiPriority w:val="99"/>
    <w:unhideWhenUsed/>
    <w:rsid w:val="004306F2"/>
    <w:pPr>
      <w:suppressAutoHyphens w:val="0"/>
      <w:spacing w:after="200" w:line="240" w:lineRule="auto"/>
    </w:pPr>
    <w:rPr>
      <w:rFonts w:ascii="Calibri" w:eastAsia="Calibri" w:hAnsi="Calibri"/>
      <w:lang w:val="fr-FR"/>
    </w:rPr>
  </w:style>
  <w:style w:type="character" w:customStyle="1" w:styleId="CommentaireCar">
    <w:name w:val="Commentaire Car"/>
    <w:basedOn w:val="Policepardfaut"/>
    <w:link w:val="Commentaire"/>
    <w:uiPriority w:val="99"/>
    <w:rsid w:val="004306F2"/>
    <w:rPr>
      <w:rFonts w:ascii="Calibri" w:eastAsia="Calibri" w:hAnsi="Calibri"/>
      <w:lang w:eastAsia="en-US"/>
    </w:rPr>
  </w:style>
  <w:style w:type="character" w:customStyle="1" w:styleId="ObjetducommentaireCar">
    <w:name w:val="Objet du commentaire Car"/>
    <w:basedOn w:val="CommentaireCar"/>
    <w:link w:val="Objetducommentaire"/>
    <w:uiPriority w:val="99"/>
    <w:semiHidden/>
    <w:rsid w:val="004306F2"/>
    <w:rPr>
      <w:rFonts w:ascii="Calibri" w:eastAsia="Calibri" w:hAnsi="Calibri"/>
      <w:b/>
      <w:bCs/>
      <w:lang w:eastAsia="en-US"/>
    </w:rPr>
  </w:style>
  <w:style w:type="paragraph" w:styleId="Objetducommentaire">
    <w:name w:val="annotation subject"/>
    <w:basedOn w:val="Commentaire"/>
    <w:next w:val="Commentaire"/>
    <w:link w:val="ObjetducommentaireCar"/>
    <w:uiPriority w:val="99"/>
    <w:semiHidden/>
    <w:unhideWhenUsed/>
    <w:rsid w:val="004306F2"/>
    <w:rPr>
      <w:b/>
      <w:bCs/>
    </w:rPr>
  </w:style>
  <w:style w:type="character" w:customStyle="1" w:styleId="CommentSubjectChar1">
    <w:name w:val="Comment Subject Char1"/>
    <w:basedOn w:val="CommentaireCar"/>
    <w:semiHidden/>
    <w:rsid w:val="004306F2"/>
    <w:rPr>
      <w:rFonts w:ascii="Calibri" w:eastAsia="Calibri" w:hAnsi="Calibri"/>
      <w:b/>
      <w:bCs/>
      <w:lang w:eastAsia="en-US"/>
    </w:rPr>
  </w:style>
  <w:style w:type="character" w:customStyle="1" w:styleId="shorttext">
    <w:name w:val="short_text"/>
    <w:basedOn w:val="Policepardfaut"/>
    <w:rsid w:val="004306F2"/>
  </w:style>
  <w:style w:type="character" w:customStyle="1" w:styleId="SingleTxtGCar">
    <w:name w:val="_ Single Txt_G Car"/>
    <w:rsid w:val="004306F2"/>
    <w:rPr>
      <w:rFonts w:ascii="Times New Roman" w:eastAsia="Times New Roman" w:hAnsi="Times New Roman" w:cs="Times New Roman"/>
      <w:sz w:val="20"/>
      <w:szCs w:val="20"/>
      <w:lang w:val="fr-CH"/>
    </w:rPr>
  </w:style>
  <w:style w:type="paragraph" w:styleId="Titre">
    <w:name w:val="Title"/>
    <w:basedOn w:val="Normal"/>
    <w:next w:val="Normal"/>
    <w:link w:val="TitreCar"/>
    <w:uiPriority w:val="10"/>
    <w:qFormat/>
    <w:rsid w:val="004306F2"/>
    <w:pPr>
      <w:pBdr>
        <w:bottom w:val="single" w:sz="8" w:space="4" w:color="4F81BD"/>
      </w:pBdr>
      <w:suppressAutoHyphens w:val="0"/>
      <w:spacing w:after="300" w:line="240" w:lineRule="auto"/>
      <w:contextualSpacing/>
    </w:pPr>
    <w:rPr>
      <w:rFonts w:ascii="Cambria" w:hAnsi="Cambria"/>
      <w:color w:val="17365D"/>
      <w:spacing w:val="5"/>
      <w:kern w:val="28"/>
      <w:sz w:val="52"/>
      <w:szCs w:val="52"/>
      <w:lang w:val="fr-FR"/>
    </w:rPr>
  </w:style>
  <w:style w:type="character" w:customStyle="1" w:styleId="TitreCar">
    <w:name w:val="Titre Car"/>
    <w:basedOn w:val="Policepardfaut"/>
    <w:link w:val="Titre"/>
    <w:uiPriority w:val="10"/>
    <w:rsid w:val="004306F2"/>
    <w:rPr>
      <w:rFonts w:ascii="Cambria" w:hAnsi="Cambria"/>
      <w:color w:val="17365D"/>
      <w:spacing w:val="5"/>
      <w:kern w:val="28"/>
      <w:sz w:val="52"/>
      <w:szCs w:val="52"/>
      <w:lang w:eastAsia="en-US"/>
    </w:rPr>
  </w:style>
  <w:style w:type="paragraph" w:styleId="Sansinterligne">
    <w:name w:val="No Spacing"/>
    <w:uiPriority w:val="1"/>
    <w:qFormat/>
    <w:rsid w:val="004306F2"/>
    <w:rPr>
      <w:rFonts w:ascii="Calibri" w:eastAsia="Calibri" w:hAnsi="Calibri"/>
      <w:sz w:val="22"/>
      <w:szCs w:val="22"/>
      <w:lang w:eastAsia="en-US"/>
    </w:rPr>
  </w:style>
  <w:style w:type="paragraph" w:customStyle="1" w:styleId="DDHCI5">
    <w:name w:val="DDHCI 5"/>
    <w:basedOn w:val="Paragraphedeliste"/>
    <w:qFormat/>
    <w:rsid w:val="004306F2"/>
    <w:pPr>
      <w:spacing w:after="0" w:line="240" w:lineRule="auto"/>
      <w:ind w:left="1776" w:hanging="360"/>
      <w:jc w:val="both"/>
    </w:pPr>
    <w:rPr>
      <w:rFonts w:ascii="Times New Roman" w:hAnsi="Times New Roman"/>
      <w:b/>
      <w:color w:val="000000"/>
      <w:szCs w:val="24"/>
      <w:lang w:val="fr-MC"/>
    </w:rPr>
  </w:style>
  <w:style w:type="character" w:customStyle="1" w:styleId="H1GChar">
    <w:name w:val="_ H_1_G Char"/>
    <w:link w:val="H1G"/>
    <w:locked/>
    <w:rsid w:val="0019434B"/>
    <w:rPr>
      <w:b/>
      <w:sz w:val="24"/>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4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E\E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DCE4E-FD6C-4F83-BAB9-08061C288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E_F.dotm</Template>
  <TotalTime>0</TotalTime>
  <Pages>41</Pages>
  <Words>19503</Words>
  <Characters>107267</Characters>
  <Application>Microsoft Office Word</Application>
  <DocSecurity>0</DocSecurity>
  <Lines>893</Lines>
  <Paragraphs>253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E/C.12/CMR/4</vt:lpstr>
      <vt:lpstr>E/C.12/CMR/4</vt:lpstr>
    </vt:vector>
  </TitlesOfParts>
  <Company>Corinne</Company>
  <LinksUpToDate>false</LinksUpToDate>
  <CharactersWithSpaces>126517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E/C.12/CMR/4</dc:title>
  <dc:subject/>
  <dc:creator>Nath V.</dc:creator>
  <cp:keywords/>
  <dc:description/>
  <cp:lastModifiedBy>Nathalie Vittoz</cp:lastModifiedBy>
  <cp:revision>2</cp:revision>
  <cp:lastPrinted>2017-12-08T14:18:00Z</cp:lastPrinted>
  <dcterms:created xsi:type="dcterms:W3CDTF">2017-12-11T13:04:00Z</dcterms:created>
  <dcterms:modified xsi:type="dcterms:W3CDTF">2017-12-11T13:04:00Z</dcterms:modified>
</cp:coreProperties>
</file>