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CB399B">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CB399B" w:rsidP="00CB399B">
            <w:pPr>
              <w:jc w:val="right"/>
            </w:pPr>
            <w:r w:rsidRPr="00CB399B">
              <w:rPr>
                <w:sz w:val="40"/>
              </w:rPr>
              <w:t>E</w:t>
            </w:r>
            <w:r>
              <w:t>/C.12/RWA/2-4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B399B" w:rsidRDefault="00CB399B" w:rsidP="00F01516">
            <w:pPr>
              <w:spacing w:before="240"/>
            </w:pPr>
            <w:r>
              <w:t>Distr. générale</w:t>
            </w:r>
          </w:p>
          <w:p w:rsidR="00B861F1" w:rsidRDefault="00CB399B" w:rsidP="00CB399B">
            <w:pPr>
              <w:spacing w:line="240" w:lineRule="exact"/>
            </w:pPr>
            <w:r>
              <w:t>4 octobre 2011</w:t>
            </w:r>
          </w:p>
          <w:p w:rsidR="00B861F1" w:rsidRDefault="00B861F1" w:rsidP="00CB399B">
            <w:pPr>
              <w:spacing w:line="240" w:lineRule="exact"/>
            </w:pPr>
          </w:p>
          <w:p w:rsidR="003D1DF3" w:rsidRPr="00DB58B5" w:rsidRDefault="00CB399B" w:rsidP="00CB399B">
            <w:pPr>
              <w:spacing w:line="240" w:lineRule="exact"/>
            </w:pPr>
            <w:r>
              <w:t>Original: français</w:t>
            </w:r>
          </w:p>
        </w:tc>
      </w:tr>
    </w:tbl>
    <w:p w:rsidR="00CB399B" w:rsidRPr="00477CEC" w:rsidRDefault="00CB399B" w:rsidP="00CB399B">
      <w:pPr>
        <w:spacing w:before="120"/>
        <w:rPr>
          <w:b/>
          <w:sz w:val="24"/>
          <w:szCs w:val="24"/>
          <w:lang w:val="fr-FR"/>
        </w:rPr>
      </w:pPr>
      <w:r w:rsidRPr="00477CEC">
        <w:rPr>
          <w:b/>
          <w:sz w:val="24"/>
          <w:szCs w:val="24"/>
          <w:lang w:val="fr-FR"/>
        </w:rPr>
        <w:t>Comité des droits économiques, sociaux et culturels</w:t>
      </w:r>
    </w:p>
    <w:p w:rsidR="00CB399B" w:rsidRPr="009B6952" w:rsidRDefault="00CB399B" w:rsidP="00CB399B">
      <w:pPr>
        <w:pStyle w:val="HMG"/>
      </w:pPr>
      <w:r w:rsidRPr="009B6952">
        <w:tab/>
      </w:r>
      <w:r w:rsidRPr="009B6952">
        <w:tab/>
        <w:t>Application du Pacte international relatif</w:t>
      </w:r>
      <w:r w:rsidR="00F40792">
        <w:br/>
      </w:r>
      <w:r w:rsidRPr="009B6952">
        <w:t>aux droits économiques, sociaux et culturels</w:t>
      </w:r>
    </w:p>
    <w:p w:rsidR="00CB399B" w:rsidRPr="00101009" w:rsidRDefault="00CB399B" w:rsidP="00CB399B">
      <w:pPr>
        <w:pStyle w:val="HChG"/>
      </w:pPr>
      <w:r w:rsidRPr="009B6952">
        <w:tab/>
      </w:r>
      <w:r w:rsidRPr="009B6952">
        <w:tab/>
      </w:r>
      <w:r w:rsidRPr="00101009">
        <w:t xml:space="preserve">Deuxième, troisième et quatrième </w:t>
      </w:r>
      <w:r w:rsidRPr="00E679BE">
        <w:t>rapports périodiques</w:t>
      </w:r>
      <w:r w:rsidRPr="00101009">
        <w:t xml:space="preserve"> présentés, en un même document, en application des</w:t>
      </w:r>
      <w:r w:rsidR="00F40792">
        <w:t> </w:t>
      </w:r>
      <w:r w:rsidRPr="00101009">
        <w:t>articles 16 et 17 du Pacte</w:t>
      </w:r>
    </w:p>
    <w:p w:rsidR="00CB399B" w:rsidRPr="009B6952" w:rsidRDefault="00CB399B" w:rsidP="00CB399B">
      <w:pPr>
        <w:pStyle w:val="HMG"/>
      </w:pPr>
      <w:r w:rsidRPr="00E679BE">
        <w:tab/>
      </w:r>
      <w:r w:rsidRPr="00E679BE">
        <w:tab/>
        <w:t>Rwanda</w:t>
      </w:r>
      <w:r w:rsidRPr="009B6952">
        <w:rPr>
          <w:rStyle w:val="FootnoteReference"/>
          <w:b w:val="0"/>
          <w:sz w:val="20"/>
          <w:vertAlign w:val="baseline"/>
        </w:rPr>
        <w:footnoteReference w:customMarkFollows="1" w:id="2"/>
        <w:t>*</w:t>
      </w:r>
    </w:p>
    <w:p w:rsidR="00CB399B" w:rsidRPr="009B6952" w:rsidRDefault="00CB399B" w:rsidP="00CB399B">
      <w:pPr>
        <w:pStyle w:val="SingleTxtG"/>
        <w:jc w:val="right"/>
      </w:pPr>
      <w:r w:rsidRPr="009B6952">
        <w:t>[20 janvier 2010]</w:t>
      </w:r>
    </w:p>
    <w:p w:rsidR="00335688" w:rsidRPr="00335688" w:rsidRDefault="00CB399B" w:rsidP="00335688">
      <w:pPr>
        <w:spacing w:after="120"/>
        <w:rPr>
          <w:sz w:val="28"/>
        </w:rPr>
      </w:pPr>
      <w:r w:rsidRPr="009B6952">
        <w:br w:type="page"/>
      </w:r>
      <w:r w:rsidR="00335688" w:rsidRPr="00335688">
        <w:rPr>
          <w:sz w:val="28"/>
        </w:rPr>
        <w:t>Table des matières</w:t>
      </w:r>
    </w:p>
    <w:p w:rsidR="00335688" w:rsidRDefault="00335688" w:rsidP="00335688">
      <w:pPr>
        <w:tabs>
          <w:tab w:val="right" w:pos="8929"/>
          <w:tab w:val="right" w:pos="9638"/>
        </w:tabs>
        <w:spacing w:after="120"/>
        <w:ind w:left="283"/>
        <w:rPr>
          <w:i/>
          <w:sz w:val="18"/>
        </w:rPr>
      </w:pPr>
      <w:r w:rsidRPr="00335688">
        <w:rPr>
          <w:i/>
          <w:sz w:val="18"/>
        </w:rPr>
        <w:tab/>
        <w:t>Paragraphes</w:t>
      </w:r>
      <w:r w:rsidRPr="00335688">
        <w:rPr>
          <w:i/>
          <w:sz w:val="18"/>
        </w:rPr>
        <w:tab/>
        <w:t>Page</w:t>
      </w:r>
    </w:p>
    <w:p w:rsidR="00335688" w:rsidRDefault="00335688" w:rsidP="00335688">
      <w:pPr>
        <w:tabs>
          <w:tab w:val="right" w:pos="850"/>
          <w:tab w:val="right" w:leader="dot" w:pos="8929"/>
          <w:tab w:val="right" w:pos="9638"/>
        </w:tabs>
        <w:spacing w:after="120"/>
        <w:ind w:left="1134" w:hanging="1134"/>
      </w:pPr>
      <w:r>
        <w:tab/>
      </w:r>
      <w:r>
        <w:tab/>
      </w:r>
      <w:r w:rsidRPr="009B6952">
        <w:t>Acronymes et sigles</w:t>
      </w:r>
      <w:r>
        <w:tab/>
      </w:r>
      <w:r>
        <w:tab/>
        <w:t>3</w:t>
      </w:r>
    </w:p>
    <w:p w:rsidR="00335688" w:rsidRDefault="00335688" w:rsidP="00335688">
      <w:pPr>
        <w:tabs>
          <w:tab w:val="right" w:pos="850"/>
          <w:tab w:val="right" w:leader="dot" w:pos="8929"/>
          <w:tab w:val="right" w:pos="9638"/>
        </w:tabs>
        <w:spacing w:after="120"/>
        <w:ind w:left="1134" w:hanging="1134"/>
        <w:rPr>
          <w:bCs/>
        </w:rPr>
      </w:pPr>
      <w:r>
        <w:tab/>
      </w:r>
      <w:r>
        <w:tab/>
      </w:r>
      <w:r w:rsidRPr="009B6952">
        <w:rPr>
          <w:bCs/>
        </w:rPr>
        <w:t>Liste des tableaux et graphiques</w:t>
      </w:r>
      <w:r>
        <w:rPr>
          <w:bCs/>
        </w:rPr>
        <w:tab/>
      </w:r>
      <w:r>
        <w:rPr>
          <w:bCs/>
        </w:rPr>
        <w:tab/>
        <w:t>6</w:t>
      </w:r>
    </w:p>
    <w:p w:rsidR="00335688" w:rsidRDefault="00335688" w:rsidP="00335688">
      <w:pPr>
        <w:tabs>
          <w:tab w:val="right" w:pos="850"/>
          <w:tab w:val="right" w:leader="dot" w:pos="8929"/>
          <w:tab w:val="right" w:pos="9638"/>
        </w:tabs>
        <w:spacing w:after="120"/>
        <w:ind w:left="1134" w:hanging="1134"/>
      </w:pPr>
      <w:r>
        <w:rPr>
          <w:bCs/>
        </w:rPr>
        <w:tab/>
      </w:r>
      <w:r>
        <w:rPr>
          <w:bCs/>
        </w:rPr>
        <w:tab/>
        <w:t>Introduction</w:t>
      </w:r>
      <w:r>
        <w:rPr>
          <w:bCs/>
        </w:rPr>
        <w:tab/>
      </w:r>
      <w:r>
        <w:rPr>
          <w:bCs/>
        </w:rPr>
        <w:tab/>
        <w:t>7</w:t>
      </w:r>
    </w:p>
    <w:p w:rsidR="00335688" w:rsidRDefault="00335688" w:rsidP="00335688">
      <w:pPr>
        <w:tabs>
          <w:tab w:val="right" w:pos="850"/>
          <w:tab w:val="right" w:leader="dot" w:pos="7654"/>
          <w:tab w:val="right" w:pos="8929"/>
          <w:tab w:val="right" w:pos="9638"/>
        </w:tabs>
        <w:spacing w:after="120"/>
        <w:ind w:left="1134" w:hanging="1134"/>
      </w:pPr>
      <w:r>
        <w:tab/>
        <w:t>I.</w:t>
      </w:r>
      <w:r>
        <w:tab/>
      </w:r>
      <w:r w:rsidRPr="009B6952">
        <w:t>Informations sommaires sur le Rwanda</w:t>
      </w:r>
      <w:r>
        <w:tab/>
      </w:r>
      <w:r>
        <w:tab/>
        <w:t>12−32</w:t>
      </w:r>
      <w:r>
        <w:tab/>
      </w:r>
      <w:r w:rsidR="00D638C7">
        <w:t>8</w:t>
      </w:r>
    </w:p>
    <w:p w:rsidR="00335688" w:rsidRDefault="00335688" w:rsidP="00335688">
      <w:pPr>
        <w:tabs>
          <w:tab w:val="right" w:leader="dot" w:pos="7654"/>
          <w:tab w:val="right" w:pos="8929"/>
          <w:tab w:val="right" w:pos="9638"/>
        </w:tabs>
        <w:spacing w:after="120"/>
        <w:ind w:left="1559" w:hanging="425"/>
      </w:pPr>
      <w:r>
        <w:t>A.</w:t>
      </w:r>
      <w:r>
        <w:tab/>
      </w:r>
      <w:r w:rsidRPr="009B6952">
        <w:t>Présentation du Rwanda</w:t>
      </w:r>
      <w:r>
        <w:tab/>
      </w:r>
      <w:r>
        <w:tab/>
        <w:t>12−18</w:t>
      </w:r>
      <w:r>
        <w:tab/>
        <w:t>8</w:t>
      </w:r>
    </w:p>
    <w:p w:rsidR="00335688" w:rsidRDefault="00335688" w:rsidP="00335688">
      <w:pPr>
        <w:tabs>
          <w:tab w:val="right" w:leader="dot" w:pos="7654"/>
          <w:tab w:val="right" w:pos="8929"/>
          <w:tab w:val="right" w:pos="9638"/>
        </w:tabs>
        <w:spacing w:after="120"/>
        <w:ind w:left="1559" w:hanging="425"/>
      </w:pPr>
      <w:r>
        <w:t>B.</w:t>
      </w:r>
      <w:r>
        <w:tab/>
        <w:t>Cadre démographique</w:t>
      </w:r>
      <w:r>
        <w:tab/>
      </w:r>
      <w:r>
        <w:tab/>
        <w:t>19−21</w:t>
      </w:r>
      <w:r>
        <w:tab/>
        <w:t>9</w:t>
      </w:r>
    </w:p>
    <w:p w:rsidR="00335688" w:rsidRDefault="00335688" w:rsidP="00335688">
      <w:pPr>
        <w:tabs>
          <w:tab w:val="right" w:leader="dot" w:pos="7654"/>
          <w:tab w:val="right" w:pos="8929"/>
          <w:tab w:val="right" w:pos="9638"/>
        </w:tabs>
        <w:spacing w:after="120"/>
        <w:ind w:left="1559" w:hanging="425"/>
      </w:pPr>
      <w:r>
        <w:t>C.</w:t>
      </w:r>
      <w:r>
        <w:tab/>
        <w:t>Cadre institutionnel</w:t>
      </w:r>
      <w:r>
        <w:tab/>
      </w:r>
      <w:r>
        <w:tab/>
        <w:t>22−24</w:t>
      </w:r>
      <w:r>
        <w:tab/>
        <w:t>10</w:t>
      </w:r>
    </w:p>
    <w:p w:rsidR="00335688" w:rsidRDefault="00335688" w:rsidP="00335688">
      <w:pPr>
        <w:tabs>
          <w:tab w:val="right" w:leader="dot" w:pos="7654"/>
          <w:tab w:val="right" w:pos="8929"/>
          <w:tab w:val="right" w:pos="9638"/>
        </w:tabs>
        <w:spacing w:after="120"/>
        <w:ind w:left="1559" w:hanging="425"/>
      </w:pPr>
      <w:r>
        <w:t>D.</w:t>
      </w:r>
      <w:r>
        <w:tab/>
        <w:t>Portrait socioéconomique</w:t>
      </w:r>
      <w:r>
        <w:tab/>
      </w:r>
      <w:r>
        <w:tab/>
        <w:t>25−32</w:t>
      </w:r>
      <w:r>
        <w:tab/>
        <w:t>10</w:t>
      </w:r>
    </w:p>
    <w:p w:rsidR="00335688" w:rsidRDefault="00335688" w:rsidP="00335688">
      <w:pPr>
        <w:tabs>
          <w:tab w:val="right" w:pos="850"/>
          <w:tab w:val="right" w:leader="dot" w:pos="7654"/>
          <w:tab w:val="right" w:pos="8929"/>
          <w:tab w:val="right" w:pos="9638"/>
        </w:tabs>
        <w:spacing w:after="120"/>
        <w:ind w:left="1134" w:hanging="1134"/>
      </w:pPr>
      <w:r>
        <w:tab/>
        <w:t>II.</w:t>
      </w:r>
      <w:r>
        <w:tab/>
      </w:r>
      <w:r w:rsidRPr="009B6952">
        <w:rPr>
          <w:bCs/>
        </w:rPr>
        <w:t>Les mesures prises pour la mise en œuvre et la jouissance des droits garantis</w:t>
      </w:r>
      <w:r w:rsidR="007B5E2E">
        <w:rPr>
          <w:bCs/>
        </w:rPr>
        <w:br/>
      </w:r>
      <w:r w:rsidRPr="009B6952">
        <w:rPr>
          <w:bCs/>
        </w:rPr>
        <w:t xml:space="preserve">par le </w:t>
      </w:r>
      <w:r>
        <w:rPr>
          <w:bCs/>
        </w:rPr>
        <w:t>P</w:t>
      </w:r>
      <w:r w:rsidRPr="009B6952">
        <w:rPr>
          <w:bCs/>
        </w:rPr>
        <w:t>acte international relatif aux droits économiques, sociaux et culturels</w:t>
      </w:r>
      <w:r>
        <w:rPr>
          <w:bCs/>
        </w:rPr>
        <w:tab/>
      </w:r>
      <w:r>
        <w:rPr>
          <w:bCs/>
        </w:rPr>
        <w:tab/>
        <w:t>33−336</w:t>
      </w:r>
      <w:r>
        <w:rPr>
          <w:bCs/>
        </w:rPr>
        <w:tab/>
        <w:t>12</w:t>
      </w:r>
    </w:p>
    <w:p w:rsidR="00335688" w:rsidRDefault="00335688" w:rsidP="00335688">
      <w:pPr>
        <w:tabs>
          <w:tab w:val="right" w:leader="dot" w:pos="7654"/>
          <w:tab w:val="right" w:pos="8929"/>
          <w:tab w:val="right" w:pos="9638"/>
        </w:tabs>
        <w:spacing w:after="120"/>
        <w:ind w:left="1559" w:hanging="425"/>
      </w:pPr>
      <w:r>
        <w:rPr>
          <w:bCs/>
        </w:rPr>
        <w:t>A.</w:t>
      </w:r>
      <w:r w:rsidRPr="009B6952">
        <w:rPr>
          <w:bCs/>
        </w:rPr>
        <w:tab/>
        <w:t>Les dispositions générales du Pacte</w:t>
      </w:r>
      <w:r>
        <w:rPr>
          <w:bCs/>
        </w:rPr>
        <w:tab/>
      </w:r>
      <w:r>
        <w:rPr>
          <w:bCs/>
        </w:rPr>
        <w:tab/>
        <w:t>33−48</w:t>
      </w:r>
      <w:r>
        <w:rPr>
          <w:bCs/>
        </w:rPr>
        <w:tab/>
        <w:t>12</w:t>
      </w:r>
    </w:p>
    <w:p w:rsidR="00335688" w:rsidRDefault="00335688" w:rsidP="00335688">
      <w:pPr>
        <w:tabs>
          <w:tab w:val="right" w:leader="dot" w:pos="7654"/>
          <w:tab w:val="right" w:pos="8929"/>
          <w:tab w:val="right" w:pos="9638"/>
        </w:tabs>
        <w:spacing w:after="120"/>
        <w:ind w:left="1984" w:hanging="425"/>
      </w:pPr>
      <w:r>
        <w:t>1.</w:t>
      </w:r>
      <w:r>
        <w:tab/>
      </w:r>
      <w:r w:rsidRPr="009B6952">
        <w:t xml:space="preserve">Article </w:t>
      </w:r>
      <w:r w:rsidRPr="009B6952">
        <w:rPr>
          <w:bCs/>
        </w:rPr>
        <w:t>1</w:t>
      </w:r>
      <w:r w:rsidRPr="009F42F6">
        <w:rPr>
          <w:bCs/>
          <w:vertAlign w:val="superscript"/>
        </w:rPr>
        <w:t>er</w:t>
      </w:r>
      <w:r w:rsidRPr="009B6952">
        <w:rPr>
          <w:bCs/>
        </w:rPr>
        <w:t xml:space="preserve">: </w:t>
      </w:r>
      <w:r>
        <w:rPr>
          <w:bCs/>
        </w:rPr>
        <w:t>Le d</w:t>
      </w:r>
      <w:r w:rsidRPr="009B6952">
        <w:rPr>
          <w:bCs/>
        </w:rPr>
        <w:t>roit à l</w:t>
      </w:r>
      <w:r>
        <w:rPr>
          <w:bCs/>
        </w:rPr>
        <w:t>’</w:t>
      </w:r>
      <w:r w:rsidRPr="009B6952">
        <w:rPr>
          <w:bCs/>
        </w:rPr>
        <w:t>autodétermination</w:t>
      </w:r>
      <w:r>
        <w:tab/>
      </w:r>
      <w:r>
        <w:tab/>
        <w:t>33−40</w:t>
      </w:r>
      <w:r>
        <w:tab/>
        <w:t>12</w:t>
      </w:r>
    </w:p>
    <w:p w:rsidR="00335688" w:rsidRDefault="00335688" w:rsidP="00335688">
      <w:pPr>
        <w:tabs>
          <w:tab w:val="right" w:leader="dot" w:pos="7654"/>
          <w:tab w:val="right" w:pos="8929"/>
          <w:tab w:val="right" w:pos="9638"/>
        </w:tabs>
        <w:spacing w:after="120"/>
        <w:ind w:left="1984" w:hanging="425"/>
        <w:rPr>
          <w:bCs/>
        </w:rPr>
      </w:pPr>
      <w:r>
        <w:t>2.</w:t>
      </w:r>
      <w:r>
        <w:tab/>
      </w:r>
      <w:r w:rsidRPr="009B6952">
        <w:rPr>
          <w:bCs/>
        </w:rPr>
        <w:t>Article 2: L</w:t>
      </w:r>
      <w:r>
        <w:rPr>
          <w:bCs/>
        </w:rPr>
        <w:t>’</w:t>
      </w:r>
      <w:r w:rsidRPr="009B6952">
        <w:rPr>
          <w:bCs/>
        </w:rPr>
        <w:t>exercice des droits est assuré sans discrimination</w:t>
      </w:r>
      <w:r>
        <w:rPr>
          <w:bCs/>
        </w:rPr>
        <w:tab/>
      </w:r>
      <w:r>
        <w:rPr>
          <w:bCs/>
        </w:rPr>
        <w:tab/>
        <w:t>41−48</w:t>
      </w:r>
      <w:r>
        <w:rPr>
          <w:bCs/>
        </w:rPr>
        <w:tab/>
        <w:t>1</w:t>
      </w:r>
      <w:r w:rsidR="00D638C7">
        <w:rPr>
          <w:bCs/>
        </w:rPr>
        <w:t>4</w:t>
      </w:r>
    </w:p>
    <w:p w:rsidR="00335688" w:rsidRDefault="00335688" w:rsidP="00335688">
      <w:pPr>
        <w:tabs>
          <w:tab w:val="right" w:leader="dot" w:pos="7654"/>
          <w:tab w:val="right" w:pos="8929"/>
          <w:tab w:val="right" w:pos="9638"/>
        </w:tabs>
        <w:spacing w:after="120"/>
        <w:ind w:left="1559" w:hanging="425"/>
      </w:pPr>
      <w:r>
        <w:t>B.</w:t>
      </w:r>
      <w:r>
        <w:tab/>
      </w:r>
      <w:r w:rsidRPr="009B6952">
        <w:rPr>
          <w:bCs/>
        </w:rPr>
        <w:t xml:space="preserve">Les droits </w:t>
      </w:r>
      <w:r w:rsidRPr="009B6952">
        <w:t>précis</w:t>
      </w:r>
      <w:r>
        <w:tab/>
      </w:r>
      <w:r w:rsidR="0062180D">
        <w:tab/>
        <w:t>49−336</w:t>
      </w:r>
      <w:r w:rsidR="0062180D">
        <w:tab/>
        <w:t>17</w:t>
      </w:r>
    </w:p>
    <w:p w:rsidR="0062180D" w:rsidRPr="009B6952" w:rsidRDefault="0062180D" w:rsidP="0062180D">
      <w:pPr>
        <w:tabs>
          <w:tab w:val="right" w:leader="dot" w:pos="7654"/>
          <w:tab w:val="right" w:pos="8929"/>
          <w:tab w:val="right" w:pos="9638"/>
        </w:tabs>
        <w:spacing w:after="120"/>
        <w:ind w:left="1984" w:hanging="425"/>
      </w:pPr>
      <w:r w:rsidRPr="009B6952">
        <w:t>1.</w:t>
      </w:r>
      <w:r w:rsidRPr="009B6952">
        <w:rPr>
          <w:i/>
        </w:rPr>
        <w:tab/>
      </w:r>
      <w:r w:rsidRPr="009B6952">
        <w:t>Article 6: Du droit au travail</w:t>
      </w:r>
      <w:r w:rsidRPr="009B6952">
        <w:tab/>
      </w:r>
      <w:r>
        <w:tab/>
        <w:t>49</w:t>
      </w:r>
      <w:r>
        <w:rPr>
          <w:bCs/>
        </w:rPr>
        <w:t>–</w:t>
      </w:r>
      <w:r>
        <w:t>97</w:t>
      </w:r>
      <w:r w:rsidRPr="009B6952">
        <w:tab/>
      </w:r>
      <w:r>
        <w:t>17</w:t>
      </w:r>
    </w:p>
    <w:p w:rsidR="0062180D" w:rsidRPr="009B6952" w:rsidRDefault="0062180D" w:rsidP="0062180D">
      <w:pPr>
        <w:tabs>
          <w:tab w:val="right" w:leader="dot" w:pos="7654"/>
          <w:tab w:val="right" w:pos="8929"/>
          <w:tab w:val="right" w:pos="9638"/>
        </w:tabs>
        <w:spacing w:after="120"/>
        <w:ind w:left="1984" w:hanging="425"/>
      </w:pPr>
      <w:r w:rsidRPr="009B6952">
        <w:t>2.</w:t>
      </w:r>
      <w:r w:rsidRPr="009B6952">
        <w:tab/>
        <w:t xml:space="preserve">Article 7: Des conditions de travail justes et </w:t>
      </w:r>
      <w:r w:rsidRPr="0062180D">
        <w:rPr>
          <w:bCs/>
        </w:rPr>
        <w:t>favorables</w:t>
      </w:r>
      <w:r w:rsidRPr="009B6952">
        <w:tab/>
      </w:r>
      <w:r>
        <w:tab/>
        <w:t>98</w:t>
      </w:r>
      <w:r>
        <w:rPr>
          <w:bCs/>
        </w:rPr>
        <w:t xml:space="preserve">– </w:t>
      </w:r>
      <w:r>
        <w:t>117</w:t>
      </w:r>
      <w:r w:rsidRPr="009B6952">
        <w:tab/>
      </w:r>
      <w:r>
        <w:t>26</w:t>
      </w:r>
    </w:p>
    <w:p w:rsidR="0062180D" w:rsidRPr="009B6952" w:rsidRDefault="0062180D" w:rsidP="0062180D">
      <w:pPr>
        <w:tabs>
          <w:tab w:val="right" w:leader="dot" w:pos="7654"/>
          <w:tab w:val="right" w:pos="8929"/>
          <w:tab w:val="right" w:pos="9638"/>
        </w:tabs>
        <w:spacing w:after="120"/>
        <w:ind w:left="1984" w:hanging="425"/>
      </w:pPr>
      <w:r w:rsidRPr="009B6952">
        <w:t>3.</w:t>
      </w:r>
      <w:r w:rsidRPr="009B6952">
        <w:tab/>
        <w:t>Article 8: Du libre choix de former des syndicats</w:t>
      </w:r>
      <w:r>
        <w:t xml:space="preserve">, des fédérations </w:t>
      </w:r>
      <w:r>
        <w:br/>
        <w:t>et de leur libre exercice</w:t>
      </w:r>
      <w:r w:rsidRPr="009B6952">
        <w:tab/>
      </w:r>
      <w:r>
        <w:tab/>
        <w:t>118</w:t>
      </w:r>
      <w:r>
        <w:rPr>
          <w:bCs/>
        </w:rPr>
        <w:t>–</w:t>
      </w:r>
      <w:r>
        <w:t>134</w:t>
      </w:r>
      <w:r w:rsidRPr="009B6952">
        <w:tab/>
      </w:r>
      <w:r>
        <w:t>32</w:t>
      </w:r>
    </w:p>
    <w:p w:rsidR="0062180D" w:rsidRPr="009B6952" w:rsidRDefault="0062180D" w:rsidP="0062180D">
      <w:pPr>
        <w:tabs>
          <w:tab w:val="right" w:leader="dot" w:pos="7654"/>
          <w:tab w:val="right" w:pos="8929"/>
          <w:tab w:val="right" w:pos="9638"/>
        </w:tabs>
        <w:spacing w:after="120"/>
        <w:ind w:left="1984" w:hanging="425"/>
      </w:pPr>
      <w:r w:rsidRPr="009B6952">
        <w:t>4.</w:t>
      </w:r>
      <w:r w:rsidRPr="009B6952">
        <w:tab/>
        <w:t>Article 9: Le droit à la sécurité sociale</w:t>
      </w:r>
      <w:r w:rsidRPr="009B6952">
        <w:tab/>
      </w:r>
      <w:r>
        <w:tab/>
        <w:t>135</w:t>
      </w:r>
      <w:r>
        <w:rPr>
          <w:bCs/>
        </w:rPr>
        <w:t>–</w:t>
      </w:r>
      <w:r>
        <w:t>157</w:t>
      </w:r>
      <w:r w:rsidRPr="009B6952">
        <w:tab/>
      </w:r>
      <w:r>
        <w:t>35</w:t>
      </w:r>
    </w:p>
    <w:p w:rsidR="0062180D" w:rsidRPr="009B6952" w:rsidRDefault="0062180D" w:rsidP="0062180D">
      <w:pPr>
        <w:tabs>
          <w:tab w:val="right" w:leader="dot" w:pos="7654"/>
          <w:tab w:val="right" w:pos="8929"/>
          <w:tab w:val="right" w:pos="9638"/>
        </w:tabs>
        <w:spacing w:after="120"/>
        <w:ind w:left="1984" w:hanging="425"/>
      </w:pPr>
      <w:r w:rsidRPr="009B6952">
        <w:t>5.</w:t>
      </w:r>
      <w:r w:rsidRPr="009B6952">
        <w:tab/>
        <w:t xml:space="preserve">Article 10: La protection accordée à </w:t>
      </w:r>
      <w:r w:rsidR="00D638C7">
        <w:t>«</w:t>
      </w:r>
      <w:r w:rsidRPr="009B6952">
        <w:t>la famille»</w:t>
      </w:r>
      <w:r w:rsidRPr="009B6952">
        <w:tab/>
      </w:r>
      <w:r>
        <w:tab/>
        <w:t>158</w:t>
      </w:r>
      <w:r>
        <w:rPr>
          <w:bCs/>
        </w:rPr>
        <w:t>–</w:t>
      </w:r>
      <w:r>
        <w:t>188</w:t>
      </w:r>
      <w:r w:rsidRPr="009B6952">
        <w:tab/>
      </w:r>
      <w:r>
        <w:t>39</w:t>
      </w:r>
    </w:p>
    <w:p w:rsidR="0062180D" w:rsidRPr="009B6952" w:rsidRDefault="0062180D" w:rsidP="0062180D">
      <w:pPr>
        <w:tabs>
          <w:tab w:val="right" w:leader="dot" w:pos="7654"/>
          <w:tab w:val="right" w:pos="8929"/>
          <w:tab w:val="right" w:pos="9638"/>
        </w:tabs>
        <w:spacing w:after="120"/>
        <w:ind w:left="1984" w:hanging="425"/>
      </w:pPr>
      <w:r w:rsidRPr="009B6952">
        <w:t>6.</w:t>
      </w:r>
      <w:r w:rsidRPr="009B6952">
        <w:tab/>
        <w:t>Article 11: Du niveau de vie</w:t>
      </w:r>
      <w:r w:rsidRPr="009B6952">
        <w:tab/>
      </w:r>
      <w:r>
        <w:tab/>
        <w:t>189</w:t>
      </w:r>
      <w:r>
        <w:rPr>
          <w:bCs/>
        </w:rPr>
        <w:t>–</w:t>
      </w:r>
      <w:r>
        <w:t>236</w:t>
      </w:r>
      <w:r w:rsidRPr="009B6952">
        <w:tab/>
      </w:r>
      <w:r>
        <w:t>51</w:t>
      </w:r>
    </w:p>
    <w:p w:rsidR="0062180D" w:rsidRPr="009B6952" w:rsidRDefault="0062180D" w:rsidP="0062180D">
      <w:pPr>
        <w:tabs>
          <w:tab w:val="right" w:leader="dot" w:pos="7654"/>
          <w:tab w:val="right" w:pos="8929"/>
          <w:tab w:val="right" w:pos="9638"/>
        </w:tabs>
        <w:spacing w:after="120"/>
        <w:ind w:left="1984" w:hanging="425"/>
      </w:pPr>
      <w:r w:rsidRPr="009B6952">
        <w:t>7.</w:t>
      </w:r>
      <w:r w:rsidRPr="009B6952">
        <w:tab/>
        <w:t>Article 12: Le droit à la santé physique et mentale</w:t>
      </w:r>
      <w:r w:rsidRPr="009B6952">
        <w:tab/>
      </w:r>
      <w:r>
        <w:tab/>
        <w:t>237</w:t>
      </w:r>
      <w:r>
        <w:rPr>
          <w:bCs/>
        </w:rPr>
        <w:t>–</w:t>
      </w:r>
      <w:r>
        <w:t>267</w:t>
      </w:r>
      <w:r w:rsidRPr="009B6952">
        <w:tab/>
      </w:r>
      <w:r>
        <w:t>67</w:t>
      </w:r>
    </w:p>
    <w:p w:rsidR="0062180D" w:rsidRPr="009B6952" w:rsidRDefault="0062180D" w:rsidP="0062180D">
      <w:pPr>
        <w:tabs>
          <w:tab w:val="right" w:leader="dot" w:pos="7654"/>
          <w:tab w:val="right" w:pos="8929"/>
          <w:tab w:val="right" w:pos="9638"/>
        </w:tabs>
        <w:spacing w:after="120"/>
        <w:ind w:left="1984" w:hanging="425"/>
      </w:pPr>
      <w:r w:rsidRPr="009B6952">
        <w:t>8.</w:t>
      </w:r>
      <w:r w:rsidRPr="009B6952">
        <w:tab/>
        <w:t>Article 13: Le droit à l</w:t>
      </w:r>
      <w:r>
        <w:t>’</w:t>
      </w:r>
      <w:r w:rsidRPr="009B6952">
        <w:t>éducation</w:t>
      </w:r>
      <w:r w:rsidRPr="009B6952">
        <w:tab/>
      </w:r>
      <w:r>
        <w:tab/>
        <w:t>268</w:t>
      </w:r>
      <w:r>
        <w:rPr>
          <w:bCs/>
        </w:rPr>
        <w:t>–</w:t>
      </w:r>
      <w:r>
        <w:t>308</w:t>
      </w:r>
      <w:r w:rsidRPr="009B6952">
        <w:tab/>
      </w:r>
      <w:r>
        <w:t>79</w:t>
      </w:r>
    </w:p>
    <w:p w:rsidR="0062180D" w:rsidRPr="009B6952" w:rsidRDefault="0062180D" w:rsidP="0062180D">
      <w:pPr>
        <w:tabs>
          <w:tab w:val="right" w:leader="dot" w:pos="7654"/>
          <w:tab w:val="right" w:pos="8929"/>
          <w:tab w:val="right" w:pos="9638"/>
        </w:tabs>
        <w:spacing w:after="120"/>
        <w:ind w:left="1984" w:hanging="425"/>
      </w:pPr>
      <w:r w:rsidRPr="009B6952">
        <w:t>9.</w:t>
      </w:r>
      <w:r w:rsidRPr="009B6952">
        <w:tab/>
        <w:t>Article 15: Le droit à la vie culturelle</w:t>
      </w:r>
      <w:r w:rsidRPr="009B6952">
        <w:tab/>
      </w:r>
      <w:r>
        <w:tab/>
        <w:t>309</w:t>
      </w:r>
      <w:r>
        <w:rPr>
          <w:bCs/>
        </w:rPr>
        <w:t>–</w:t>
      </w:r>
      <w:r>
        <w:t>336</w:t>
      </w:r>
      <w:r w:rsidRPr="009B6952">
        <w:tab/>
      </w:r>
      <w:r w:rsidR="00D638C7">
        <w:t>89</w:t>
      </w:r>
    </w:p>
    <w:p w:rsidR="0062180D" w:rsidRPr="009B6952" w:rsidRDefault="0062180D" w:rsidP="0062180D">
      <w:pPr>
        <w:tabs>
          <w:tab w:val="right" w:leader="dot" w:pos="7654"/>
          <w:tab w:val="right" w:pos="8929"/>
          <w:tab w:val="right" w:pos="9638"/>
        </w:tabs>
        <w:spacing w:after="120"/>
        <w:ind w:left="1134"/>
      </w:pPr>
      <w:r w:rsidRPr="009B6952">
        <w:t>Conclusion</w:t>
      </w:r>
      <w:r w:rsidRPr="009B6952">
        <w:tab/>
      </w:r>
      <w:r>
        <w:tab/>
        <w:t>337</w:t>
      </w:r>
      <w:r>
        <w:rPr>
          <w:bCs/>
        </w:rPr>
        <w:t>–</w:t>
      </w:r>
      <w:r>
        <w:t>339</w:t>
      </w:r>
      <w:r w:rsidRPr="009B6952">
        <w:tab/>
      </w:r>
      <w:r w:rsidR="00D638C7">
        <w:t>97</w:t>
      </w:r>
    </w:p>
    <w:p w:rsidR="00335688" w:rsidRPr="00335688" w:rsidRDefault="00335688" w:rsidP="00335688">
      <w:pPr>
        <w:tabs>
          <w:tab w:val="right" w:pos="850"/>
        </w:tabs>
        <w:spacing w:after="120"/>
      </w:pPr>
      <w:r>
        <w:tab/>
        <w:t>Annexe</w:t>
      </w:r>
    </w:p>
    <w:p w:rsidR="00335688" w:rsidRDefault="00335688" w:rsidP="00335688">
      <w:pPr>
        <w:tabs>
          <w:tab w:val="right" w:pos="850"/>
          <w:tab w:val="right" w:leader="dot" w:pos="8929"/>
          <w:tab w:val="right" w:pos="9638"/>
        </w:tabs>
        <w:spacing w:after="120"/>
        <w:ind w:left="1134" w:hanging="1134"/>
      </w:pPr>
      <w:r>
        <w:tab/>
      </w:r>
      <w:r>
        <w:tab/>
      </w:r>
      <w:r w:rsidR="0062180D">
        <w:t>Bibliographie</w:t>
      </w:r>
      <w:r>
        <w:tab/>
      </w:r>
      <w:r>
        <w:tab/>
      </w:r>
      <w:r w:rsidR="0062180D">
        <w:t>9</w:t>
      </w:r>
      <w:r w:rsidR="00D638C7">
        <w:t>8</w:t>
      </w:r>
    </w:p>
    <w:p w:rsidR="00CB399B" w:rsidRPr="009B6952" w:rsidRDefault="0062180D" w:rsidP="00CB399B">
      <w:pPr>
        <w:pStyle w:val="H1G"/>
      </w:pPr>
      <w:r>
        <w:br w:type="page"/>
      </w:r>
      <w:r w:rsidR="00CB399B" w:rsidRPr="009B6952">
        <w:tab/>
      </w:r>
      <w:r w:rsidR="00CB399B" w:rsidRPr="009B6952">
        <w:tab/>
        <w:t>Acronymes</w:t>
      </w:r>
      <w:r w:rsidR="00CB399B">
        <w:t xml:space="preserve"> et s</w:t>
      </w:r>
      <w:r w:rsidR="00CB399B" w:rsidRPr="009B6952">
        <w:t>igles</w:t>
      </w:r>
    </w:p>
    <w:p w:rsidR="00CB399B" w:rsidRPr="009B6952" w:rsidRDefault="00CB399B" w:rsidP="00CB399B">
      <w:pPr>
        <w:pStyle w:val="SingleTxtG"/>
        <w:tabs>
          <w:tab w:val="left" w:pos="2835"/>
        </w:tabs>
      </w:pPr>
      <w:r w:rsidRPr="009B6952">
        <w:rPr>
          <w:b/>
        </w:rPr>
        <w:t>ADPA</w:t>
      </w:r>
      <w:r w:rsidRPr="009B6952">
        <w:rPr>
          <w:b/>
        </w:rPr>
        <w:tab/>
      </w:r>
      <w:r w:rsidRPr="009B6952">
        <w:t>Action pour le Développement et la Paix en Afrique</w:t>
      </w:r>
    </w:p>
    <w:p w:rsidR="00CB399B" w:rsidRPr="009B6952" w:rsidRDefault="00CB399B" w:rsidP="00CB399B">
      <w:pPr>
        <w:pStyle w:val="SingleTxtG"/>
        <w:tabs>
          <w:tab w:val="left" w:pos="2835"/>
        </w:tabs>
      </w:pPr>
      <w:r w:rsidRPr="00C558D1">
        <w:rPr>
          <w:b/>
        </w:rPr>
        <w:t>ARVs</w:t>
      </w:r>
      <w:r w:rsidRPr="00C558D1">
        <w:tab/>
      </w:r>
      <w:r w:rsidRPr="00C558D1">
        <w:tab/>
        <w:t>Antiretroviral drugs</w:t>
      </w:r>
    </w:p>
    <w:p w:rsidR="00CB399B" w:rsidRPr="009B6952" w:rsidRDefault="00CB399B" w:rsidP="00CB399B">
      <w:pPr>
        <w:pStyle w:val="SingleTxtG"/>
        <w:tabs>
          <w:tab w:val="left" w:pos="2835"/>
        </w:tabs>
      </w:pPr>
      <w:r w:rsidRPr="009B6952">
        <w:rPr>
          <w:b/>
        </w:rPr>
        <w:t>ASC-Umurimo</w:t>
      </w:r>
      <w:r w:rsidRPr="009B6952">
        <w:rPr>
          <w:b/>
        </w:rPr>
        <w:tab/>
      </w:r>
      <w:r w:rsidRPr="009B6952">
        <w:t>Association des Syndicats Chrétiens-Umurimo</w:t>
      </w:r>
    </w:p>
    <w:p w:rsidR="00CB399B" w:rsidRPr="009B6952" w:rsidRDefault="00CB399B" w:rsidP="00CB399B">
      <w:pPr>
        <w:pStyle w:val="SingleTxtG"/>
        <w:tabs>
          <w:tab w:val="left" w:pos="2835"/>
        </w:tabs>
      </w:pPr>
      <w:r w:rsidRPr="009B6952">
        <w:rPr>
          <w:b/>
        </w:rPr>
        <w:t>CAPMER</w:t>
      </w:r>
      <w:r w:rsidRPr="009B6952">
        <w:rPr>
          <w:b/>
        </w:rPr>
        <w:tab/>
      </w:r>
      <w:r w:rsidRPr="009B6952">
        <w:t>Centre d</w:t>
      </w:r>
      <w:r w:rsidR="00B861F1">
        <w:t>’</w:t>
      </w:r>
      <w:r w:rsidRPr="009B6952">
        <w:t>Appui aux Petites et Moyens Entreprises au Rwanda</w:t>
      </w:r>
    </w:p>
    <w:p w:rsidR="00CB399B" w:rsidRPr="009B6952" w:rsidRDefault="00CB399B" w:rsidP="00CB399B">
      <w:pPr>
        <w:pStyle w:val="SingleTxtG"/>
        <w:tabs>
          <w:tab w:val="left" w:pos="2835"/>
        </w:tabs>
      </w:pPr>
      <w:r w:rsidRPr="009B6952">
        <w:rPr>
          <w:b/>
        </w:rPr>
        <w:t>CCOAIB</w:t>
      </w:r>
      <w:r w:rsidRPr="009B6952">
        <w:rPr>
          <w:b/>
        </w:rPr>
        <w:tab/>
      </w:r>
      <w:r w:rsidRPr="009B6952">
        <w:t>Concertation des Organisations d</w:t>
      </w:r>
      <w:r w:rsidR="00B861F1">
        <w:t>’</w:t>
      </w:r>
      <w:r w:rsidRPr="009B6952">
        <w:t>Appui aux Initiatives de Base</w:t>
      </w:r>
    </w:p>
    <w:p w:rsidR="00CB399B" w:rsidRPr="009B6952" w:rsidRDefault="00CB399B" w:rsidP="00CB399B">
      <w:pPr>
        <w:pStyle w:val="SingleTxtG"/>
        <w:tabs>
          <w:tab w:val="left" w:pos="2835"/>
        </w:tabs>
      </w:pPr>
      <w:r w:rsidRPr="00C558D1">
        <w:rPr>
          <w:b/>
        </w:rPr>
        <w:t>CEPEX</w:t>
      </w:r>
      <w:r w:rsidRPr="00C558D1">
        <w:tab/>
        <w:t>Central Public Investissements and External Finance Bureau</w:t>
      </w:r>
    </w:p>
    <w:p w:rsidR="00CB399B" w:rsidRPr="00537B21" w:rsidRDefault="00CB399B" w:rsidP="00CB399B">
      <w:pPr>
        <w:pStyle w:val="SingleTxtG"/>
        <w:tabs>
          <w:tab w:val="left" w:pos="2835"/>
        </w:tabs>
        <w:rPr>
          <w:lang w:val="fr-FR"/>
        </w:rPr>
      </w:pPr>
      <w:r w:rsidRPr="00C558D1">
        <w:rPr>
          <w:b/>
          <w:lang w:val="fr-FR"/>
        </w:rPr>
        <w:t>CERN</w:t>
      </w:r>
      <w:r w:rsidRPr="00537B21">
        <w:rPr>
          <w:lang w:val="fr-FR"/>
        </w:rPr>
        <w:tab/>
        <w:t xml:space="preserve">Organisation européenne pour la recherché </w:t>
      </w:r>
      <w:r>
        <w:rPr>
          <w:lang w:val="fr-FR"/>
        </w:rPr>
        <w:t>nucléaire</w:t>
      </w:r>
    </w:p>
    <w:p w:rsidR="00CB399B" w:rsidRPr="009B6952" w:rsidRDefault="00CB399B" w:rsidP="00CB399B">
      <w:pPr>
        <w:pStyle w:val="SingleTxtG"/>
        <w:tabs>
          <w:tab w:val="left" w:pos="2835"/>
        </w:tabs>
      </w:pPr>
      <w:r w:rsidRPr="009B6952">
        <w:rPr>
          <w:b/>
        </w:rPr>
        <w:t>CESTRAR</w:t>
      </w:r>
      <w:r w:rsidRPr="009B6952">
        <w:tab/>
        <w:t>Centrale des Syndicats des Travailleurs du Rwanda</w:t>
      </w:r>
    </w:p>
    <w:p w:rsidR="00CB399B" w:rsidRPr="009B6952" w:rsidRDefault="00CB399B" w:rsidP="00CB399B">
      <w:pPr>
        <w:pStyle w:val="SingleTxtG"/>
        <w:tabs>
          <w:tab w:val="left" w:pos="2835"/>
        </w:tabs>
      </w:pPr>
      <w:r w:rsidRPr="009B6952">
        <w:rPr>
          <w:b/>
        </w:rPr>
        <w:t>CFJ</w:t>
      </w:r>
      <w:r w:rsidRPr="009B6952">
        <w:tab/>
        <w:t>Centre de Formation des Jeunes</w:t>
      </w:r>
    </w:p>
    <w:p w:rsidR="00CB399B" w:rsidRPr="009B6952" w:rsidRDefault="00CB399B" w:rsidP="00CB399B">
      <w:pPr>
        <w:pStyle w:val="SingleTxtG"/>
        <w:tabs>
          <w:tab w:val="left" w:pos="2835"/>
        </w:tabs>
      </w:pPr>
      <w:r w:rsidRPr="009B6952">
        <w:rPr>
          <w:b/>
        </w:rPr>
        <w:t>CFP</w:t>
      </w:r>
      <w:r w:rsidRPr="009B6952">
        <w:tab/>
        <w:t xml:space="preserve">Centre de Formation Professionnelle </w:t>
      </w:r>
    </w:p>
    <w:p w:rsidR="00CB399B" w:rsidRPr="001A0BE9" w:rsidRDefault="00CB399B" w:rsidP="00CB399B">
      <w:pPr>
        <w:pStyle w:val="SingleTxtG"/>
        <w:tabs>
          <w:tab w:val="left" w:pos="2835"/>
        </w:tabs>
        <w:rPr>
          <w:lang w:val="fr-FR"/>
        </w:rPr>
      </w:pPr>
      <w:r w:rsidRPr="001A0BE9">
        <w:rPr>
          <w:b/>
          <w:lang w:val="fr-FR"/>
        </w:rPr>
        <w:t>CFSVA</w:t>
      </w:r>
      <w:r w:rsidRPr="001A0BE9">
        <w:rPr>
          <w:lang w:val="fr-FR"/>
        </w:rPr>
        <w:tab/>
        <w:t>Comprehensive Food Security and Vulnerability Analysis</w:t>
      </w:r>
    </w:p>
    <w:p w:rsidR="00CB399B" w:rsidRPr="003D22B5" w:rsidRDefault="00CB399B" w:rsidP="00CB399B">
      <w:pPr>
        <w:pStyle w:val="SingleTxtG"/>
        <w:tabs>
          <w:tab w:val="left" w:pos="2835"/>
        </w:tabs>
        <w:rPr>
          <w:lang w:val="fr-FR"/>
        </w:rPr>
      </w:pPr>
      <w:r w:rsidRPr="00D2541D">
        <w:rPr>
          <w:b/>
          <w:lang w:val="fr-FR"/>
        </w:rPr>
        <w:t>COMESA</w:t>
      </w:r>
      <w:r w:rsidRPr="003D22B5">
        <w:rPr>
          <w:lang w:val="fr-FR"/>
        </w:rPr>
        <w:tab/>
        <w:t>Marché commun de l</w:t>
      </w:r>
      <w:r w:rsidR="00B861F1">
        <w:rPr>
          <w:lang w:val="fr-FR"/>
        </w:rPr>
        <w:t>’</w:t>
      </w:r>
      <w:r w:rsidRPr="003D22B5">
        <w:rPr>
          <w:lang w:val="fr-FR"/>
        </w:rPr>
        <w:t>Afrique orientale et australe</w:t>
      </w:r>
    </w:p>
    <w:p w:rsidR="00CB399B" w:rsidRPr="009B6952" w:rsidRDefault="00CB399B" w:rsidP="00CB399B">
      <w:pPr>
        <w:pStyle w:val="SingleTxtG"/>
        <w:tabs>
          <w:tab w:val="left" w:pos="2835"/>
        </w:tabs>
      </w:pPr>
      <w:r w:rsidRPr="009B6952">
        <w:rPr>
          <w:b/>
        </w:rPr>
        <w:t>COOJAD</w:t>
      </w:r>
      <w:r w:rsidRPr="009B6952">
        <w:tab/>
        <w:t>Coopérative de le Jeunesse pour l</w:t>
      </w:r>
      <w:r w:rsidR="00B861F1">
        <w:t>’</w:t>
      </w:r>
      <w:r w:rsidRPr="009B6952">
        <w:t xml:space="preserve">Auto-emploi et le Développement </w:t>
      </w:r>
    </w:p>
    <w:p w:rsidR="00CB399B" w:rsidRPr="009B6952" w:rsidRDefault="00CB399B" w:rsidP="00CB399B">
      <w:pPr>
        <w:pStyle w:val="SingleTxtG"/>
        <w:tabs>
          <w:tab w:val="left" w:pos="2835"/>
        </w:tabs>
      </w:pPr>
      <w:r w:rsidRPr="009B6952">
        <w:rPr>
          <w:b/>
        </w:rPr>
        <w:t>CSR</w:t>
      </w:r>
      <w:r w:rsidRPr="009B6952">
        <w:rPr>
          <w:b/>
        </w:rPr>
        <w:tab/>
      </w:r>
      <w:r w:rsidRPr="009B6952">
        <w:t>Caisse Sociale du Rwanda</w:t>
      </w:r>
    </w:p>
    <w:p w:rsidR="00CB399B" w:rsidRPr="009B6952" w:rsidRDefault="00CB399B" w:rsidP="00CB399B">
      <w:pPr>
        <w:pStyle w:val="SingleTxtG"/>
        <w:tabs>
          <w:tab w:val="left" w:pos="2835"/>
        </w:tabs>
      </w:pPr>
      <w:r w:rsidRPr="009B6952">
        <w:rPr>
          <w:b/>
        </w:rPr>
        <w:t>C.T.</w:t>
      </w:r>
      <w:r w:rsidRPr="009B6952">
        <w:tab/>
        <w:t>Code du Travail</w:t>
      </w:r>
    </w:p>
    <w:p w:rsidR="00CB399B" w:rsidRPr="00F9401B" w:rsidRDefault="00CB399B" w:rsidP="00CB399B">
      <w:pPr>
        <w:pStyle w:val="SingleTxtG"/>
        <w:tabs>
          <w:tab w:val="left" w:pos="2835"/>
        </w:tabs>
        <w:rPr>
          <w:lang w:val="en-US"/>
        </w:rPr>
      </w:pPr>
      <w:r w:rsidRPr="00F9401B">
        <w:rPr>
          <w:b/>
          <w:lang w:val="en-US"/>
        </w:rPr>
        <w:t>DFID</w:t>
      </w:r>
      <w:r w:rsidRPr="00F9401B">
        <w:rPr>
          <w:lang w:val="en-US"/>
        </w:rPr>
        <w:tab/>
        <w:t xml:space="preserve">UK Department for International Development </w:t>
      </w:r>
    </w:p>
    <w:p w:rsidR="00CB399B" w:rsidRPr="009B6952" w:rsidRDefault="00CB399B" w:rsidP="00CB399B">
      <w:pPr>
        <w:pStyle w:val="SingleTxtG"/>
        <w:tabs>
          <w:tab w:val="left" w:pos="2835"/>
        </w:tabs>
        <w:ind w:left="2835" w:hanging="1701"/>
      </w:pPr>
      <w:r w:rsidRPr="00D2541D">
        <w:rPr>
          <w:b/>
        </w:rPr>
        <w:t>DHS</w:t>
      </w:r>
      <w:r w:rsidRPr="00D2541D">
        <w:tab/>
        <w:t>Demographic and Health Survey/EDS: Enquête Démographique</w:t>
      </w:r>
      <w:r w:rsidRPr="009B6952">
        <w:t xml:space="preserve"> et de Santé</w:t>
      </w:r>
    </w:p>
    <w:p w:rsidR="00CB399B" w:rsidRPr="003D22B5" w:rsidRDefault="00CB399B" w:rsidP="00CB399B">
      <w:pPr>
        <w:pStyle w:val="SingleTxtG"/>
        <w:tabs>
          <w:tab w:val="left" w:pos="2835"/>
        </w:tabs>
        <w:rPr>
          <w:lang w:val="fr-FR"/>
        </w:rPr>
      </w:pPr>
      <w:r w:rsidRPr="00D2541D">
        <w:rPr>
          <w:b/>
          <w:lang w:val="fr-FR"/>
        </w:rPr>
        <w:t>EDPRS</w:t>
      </w:r>
      <w:r w:rsidRPr="003D22B5">
        <w:rPr>
          <w:lang w:val="fr-FR"/>
        </w:rPr>
        <w:tab/>
      </w:r>
      <w:r>
        <w:t>Stratégie de réduction de la pauvreté et de développement économique</w:t>
      </w:r>
    </w:p>
    <w:p w:rsidR="00CB399B" w:rsidRPr="009B6952" w:rsidRDefault="00CB399B" w:rsidP="00CB399B">
      <w:pPr>
        <w:pStyle w:val="SingleTxtG"/>
        <w:tabs>
          <w:tab w:val="left" w:pos="2835"/>
        </w:tabs>
      </w:pPr>
      <w:r w:rsidRPr="009B6952">
        <w:rPr>
          <w:b/>
        </w:rPr>
        <w:t>EICV</w:t>
      </w:r>
      <w:r w:rsidRPr="009B6952">
        <w:tab/>
        <w:t>Enquête Intégrale sur les Conditions de Vie des ménages</w:t>
      </w:r>
    </w:p>
    <w:p w:rsidR="00CB399B" w:rsidRPr="009B6952" w:rsidRDefault="00CB399B" w:rsidP="00CB399B">
      <w:pPr>
        <w:pStyle w:val="SingleTxtG"/>
        <w:tabs>
          <w:tab w:val="left" w:pos="2835"/>
        </w:tabs>
      </w:pPr>
      <w:r w:rsidRPr="009B6952">
        <w:rPr>
          <w:b/>
        </w:rPr>
        <w:t>FAO</w:t>
      </w:r>
      <w:r w:rsidRPr="009B6952">
        <w:tab/>
      </w:r>
      <w:r>
        <w:t>Organisation des Nations Unies pour l</w:t>
      </w:r>
      <w:r w:rsidR="00B861F1">
        <w:t>’</w:t>
      </w:r>
      <w:r>
        <w:t>alimentation et l</w:t>
      </w:r>
      <w:r w:rsidR="00B861F1">
        <w:t>’</w:t>
      </w:r>
      <w:r>
        <w:t xml:space="preserve">agriculture </w:t>
      </w:r>
    </w:p>
    <w:p w:rsidR="00CB399B" w:rsidRPr="009B6952" w:rsidRDefault="00CB399B" w:rsidP="00CB399B">
      <w:pPr>
        <w:pStyle w:val="SingleTxtG"/>
        <w:tabs>
          <w:tab w:val="left" w:pos="2835"/>
        </w:tabs>
      </w:pPr>
      <w:r w:rsidRPr="009B6952">
        <w:rPr>
          <w:b/>
        </w:rPr>
        <w:t>FARG</w:t>
      </w:r>
      <w:r w:rsidRPr="009B6952">
        <w:tab/>
        <w:t>Fonds d</w:t>
      </w:r>
      <w:r w:rsidR="00B861F1">
        <w:t>’</w:t>
      </w:r>
      <w:r w:rsidRPr="009B6952">
        <w:t xml:space="preserve">Assistance aux Rescapés du génocide contre les </w:t>
      </w:r>
      <w:r>
        <w:t>T</w:t>
      </w:r>
      <w:r w:rsidRPr="00F17E0B">
        <w:t>utsi</w:t>
      </w:r>
    </w:p>
    <w:p w:rsidR="00CB399B" w:rsidRDefault="00CB399B" w:rsidP="00CB399B">
      <w:pPr>
        <w:pStyle w:val="SingleTxtG"/>
        <w:tabs>
          <w:tab w:val="left" w:pos="2835"/>
        </w:tabs>
        <w:rPr>
          <w:lang w:val="en-US"/>
        </w:rPr>
      </w:pPr>
      <w:r w:rsidRPr="00F9401B">
        <w:rPr>
          <w:b/>
          <w:lang w:val="en-US"/>
        </w:rPr>
        <w:t>FAWE</w:t>
      </w:r>
      <w:r w:rsidRPr="00F9401B">
        <w:rPr>
          <w:lang w:val="en-US"/>
        </w:rPr>
        <w:tab/>
        <w:t>Forum for African Women Educationalists</w:t>
      </w:r>
    </w:p>
    <w:p w:rsidR="00CB399B" w:rsidRPr="0009521C" w:rsidRDefault="00CB399B" w:rsidP="00CB399B">
      <w:pPr>
        <w:pStyle w:val="SingleTxtG"/>
        <w:tabs>
          <w:tab w:val="left" w:pos="2835"/>
        </w:tabs>
        <w:rPr>
          <w:lang w:val="fr-FR"/>
        </w:rPr>
      </w:pPr>
      <w:r w:rsidRPr="0009521C">
        <w:rPr>
          <w:b/>
          <w:lang w:val="fr-FR"/>
        </w:rPr>
        <w:t>FIDA</w:t>
      </w:r>
      <w:r w:rsidRPr="0009521C">
        <w:rPr>
          <w:b/>
          <w:lang w:val="fr-FR"/>
        </w:rPr>
        <w:tab/>
      </w:r>
      <w:r w:rsidRPr="005B52CA">
        <w:rPr>
          <w:lang w:val="fr-FR"/>
        </w:rPr>
        <w:t>Fonds international de développement agricole</w:t>
      </w:r>
    </w:p>
    <w:p w:rsidR="00CB399B" w:rsidRPr="009B6952" w:rsidRDefault="00CB399B" w:rsidP="00CB399B">
      <w:pPr>
        <w:pStyle w:val="SingleTxtG"/>
        <w:tabs>
          <w:tab w:val="left" w:pos="2835"/>
        </w:tabs>
      </w:pPr>
      <w:r w:rsidRPr="009B6952">
        <w:rPr>
          <w:b/>
        </w:rPr>
        <w:t>FRW</w:t>
      </w:r>
      <w:r w:rsidRPr="009B6952">
        <w:tab/>
        <w:t>Francs Rwandais (Cours moyen: 1 USD</w:t>
      </w:r>
      <w:r>
        <w:t xml:space="preserve"> </w:t>
      </w:r>
      <w:r w:rsidRPr="009B6952">
        <w:t>= 658,394.668 Frw)</w:t>
      </w:r>
    </w:p>
    <w:p w:rsidR="00CB399B" w:rsidRPr="00F9401B" w:rsidRDefault="00CB399B" w:rsidP="00CB399B">
      <w:pPr>
        <w:pStyle w:val="SingleTxtG"/>
        <w:tabs>
          <w:tab w:val="left" w:pos="2835"/>
        </w:tabs>
        <w:rPr>
          <w:lang w:val="en-US"/>
        </w:rPr>
      </w:pPr>
      <w:r w:rsidRPr="007867F2">
        <w:rPr>
          <w:b/>
          <w:lang w:val="en-US"/>
        </w:rPr>
        <w:t>GoR</w:t>
      </w:r>
      <w:r w:rsidRPr="007867F2">
        <w:rPr>
          <w:lang w:val="en-US"/>
        </w:rPr>
        <w:tab/>
        <w:t>Government of Rwanda/Gouvernement du Rwanda</w:t>
      </w:r>
    </w:p>
    <w:p w:rsidR="00CB399B" w:rsidRPr="00F9401B" w:rsidRDefault="00CB399B" w:rsidP="00CB399B">
      <w:pPr>
        <w:pStyle w:val="SingleTxtG"/>
        <w:tabs>
          <w:tab w:val="left" w:pos="2835"/>
        </w:tabs>
        <w:rPr>
          <w:lang w:val="en-US"/>
        </w:rPr>
      </w:pPr>
      <w:r w:rsidRPr="007867F2">
        <w:rPr>
          <w:b/>
          <w:lang w:val="en-US"/>
        </w:rPr>
        <w:t>HIDA</w:t>
      </w:r>
      <w:r w:rsidRPr="007867F2">
        <w:rPr>
          <w:lang w:val="en-US"/>
        </w:rPr>
        <w:tab/>
        <w:t>Human Resources and Institutional Capacity Development Agency</w:t>
      </w:r>
    </w:p>
    <w:p w:rsidR="00CB399B" w:rsidRPr="009B6952" w:rsidRDefault="00CB399B" w:rsidP="00CB399B">
      <w:pPr>
        <w:pStyle w:val="SingleTxtG"/>
        <w:tabs>
          <w:tab w:val="left" w:pos="2835"/>
        </w:tabs>
      </w:pPr>
      <w:r w:rsidRPr="009B6952">
        <w:rPr>
          <w:b/>
        </w:rPr>
        <w:t>Imidugudu</w:t>
      </w:r>
      <w:r w:rsidRPr="009B6952">
        <w:tab/>
        <w:t>Habitats groupés</w:t>
      </w:r>
    </w:p>
    <w:p w:rsidR="00CB399B" w:rsidRPr="009B6952" w:rsidRDefault="00CB399B" w:rsidP="00CB399B">
      <w:pPr>
        <w:pStyle w:val="SingleTxtG"/>
        <w:tabs>
          <w:tab w:val="left" w:pos="2835"/>
        </w:tabs>
      </w:pPr>
      <w:r w:rsidRPr="009B6952">
        <w:rPr>
          <w:b/>
        </w:rPr>
        <w:t>Ingando</w:t>
      </w:r>
      <w:r w:rsidRPr="009B6952">
        <w:tab/>
        <w:t>Camps de solidarité</w:t>
      </w:r>
    </w:p>
    <w:p w:rsidR="00CB399B" w:rsidRPr="009B6952" w:rsidRDefault="00CB399B" w:rsidP="00CB399B">
      <w:pPr>
        <w:pStyle w:val="SingleTxtG"/>
        <w:tabs>
          <w:tab w:val="left" w:pos="2835"/>
        </w:tabs>
      </w:pPr>
      <w:r w:rsidRPr="009B6952">
        <w:rPr>
          <w:b/>
        </w:rPr>
        <w:t>IRST</w:t>
      </w:r>
      <w:r w:rsidRPr="009B6952">
        <w:tab/>
        <w:t>Institut de Recherche Scientifique et Technologique</w:t>
      </w:r>
    </w:p>
    <w:p w:rsidR="00CB399B" w:rsidRPr="009B6952" w:rsidRDefault="00CB399B" w:rsidP="00CB399B">
      <w:pPr>
        <w:pStyle w:val="SingleTxtG"/>
        <w:tabs>
          <w:tab w:val="left" w:pos="2835"/>
        </w:tabs>
      </w:pPr>
      <w:r w:rsidRPr="009B6952">
        <w:rPr>
          <w:b/>
        </w:rPr>
        <w:t>ISAR</w:t>
      </w:r>
      <w:r w:rsidRPr="009B6952">
        <w:tab/>
        <w:t>Institut des Sciences Agronomiques du Rwanda</w:t>
      </w:r>
    </w:p>
    <w:p w:rsidR="00CB399B" w:rsidRPr="009B6952" w:rsidRDefault="00CB399B" w:rsidP="00CB399B">
      <w:pPr>
        <w:pStyle w:val="SingleTxtG"/>
        <w:tabs>
          <w:tab w:val="left" w:pos="2835"/>
        </w:tabs>
      </w:pPr>
      <w:r w:rsidRPr="009B6952">
        <w:rPr>
          <w:b/>
        </w:rPr>
        <w:t>Itorero</w:t>
      </w:r>
      <w:r w:rsidRPr="009B6952">
        <w:tab/>
        <w:t>Lieu de rassemblement, assemblée</w:t>
      </w:r>
    </w:p>
    <w:p w:rsidR="00CB399B" w:rsidRPr="009B6952" w:rsidRDefault="00CB399B" w:rsidP="00CB399B">
      <w:pPr>
        <w:pStyle w:val="SingleTxtG"/>
        <w:tabs>
          <w:tab w:val="left" w:pos="2835"/>
        </w:tabs>
      </w:pPr>
      <w:r w:rsidRPr="009B6952">
        <w:rPr>
          <w:b/>
        </w:rPr>
        <w:t>JICA</w:t>
      </w:r>
      <w:r w:rsidRPr="009B6952">
        <w:tab/>
        <w:t>Japan International Cooperation Agency</w:t>
      </w:r>
    </w:p>
    <w:p w:rsidR="00CB399B" w:rsidRPr="00F9401B" w:rsidRDefault="00CB399B" w:rsidP="00CB399B">
      <w:pPr>
        <w:pStyle w:val="SingleTxtG"/>
        <w:tabs>
          <w:tab w:val="left" w:pos="2835"/>
        </w:tabs>
        <w:rPr>
          <w:lang w:val="en-US"/>
        </w:rPr>
      </w:pPr>
      <w:r w:rsidRPr="00F9401B">
        <w:rPr>
          <w:b/>
          <w:lang w:val="en-US"/>
        </w:rPr>
        <w:t>J.O.</w:t>
      </w:r>
      <w:r w:rsidRPr="00F9401B">
        <w:rPr>
          <w:lang w:val="en-US"/>
        </w:rPr>
        <w:tab/>
        <w:t>Journal Officiel</w:t>
      </w:r>
    </w:p>
    <w:p w:rsidR="00CB399B" w:rsidRPr="00F9401B" w:rsidRDefault="00CB399B" w:rsidP="00CB399B">
      <w:pPr>
        <w:pStyle w:val="SingleTxtG"/>
        <w:tabs>
          <w:tab w:val="left" w:pos="2835"/>
        </w:tabs>
        <w:rPr>
          <w:lang w:val="en-US"/>
        </w:rPr>
      </w:pPr>
      <w:r w:rsidRPr="00F9401B">
        <w:rPr>
          <w:b/>
          <w:lang w:val="en-US"/>
        </w:rPr>
        <w:t>KIST</w:t>
      </w:r>
      <w:r w:rsidRPr="00F9401B">
        <w:rPr>
          <w:lang w:val="en-US"/>
        </w:rPr>
        <w:tab/>
        <w:t>Kigali Institute of Science and Technology</w:t>
      </w:r>
    </w:p>
    <w:p w:rsidR="00CB399B" w:rsidRPr="009B6952" w:rsidRDefault="00CB399B" w:rsidP="00CB399B">
      <w:pPr>
        <w:pStyle w:val="SingleTxtG"/>
        <w:tabs>
          <w:tab w:val="left" w:pos="2835"/>
        </w:tabs>
      </w:pPr>
      <w:r w:rsidRPr="009B6952">
        <w:rPr>
          <w:b/>
        </w:rPr>
        <w:t>Kugabira</w:t>
      </w:r>
      <w:r w:rsidRPr="009B6952">
        <w:tab/>
        <w:t>Faire un don</w:t>
      </w:r>
    </w:p>
    <w:p w:rsidR="00CB399B" w:rsidRPr="009B6952" w:rsidRDefault="00CB399B" w:rsidP="00CB399B">
      <w:pPr>
        <w:pStyle w:val="SingleTxtG"/>
        <w:tabs>
          <w:tab w:val="left" w:pos="2835"/>
        </w:tabs>
        <w:ind w:left="2835" w:hanging="1701"/>
      </w:pPr>
      <w:r w:rsidRPr="009B6952">
        <w:rPr>
          <w:b/>
        </w:rPr>
        <w:t>Kwitura</w:t>
      </w:r>
      <w:r w:rsidRPr="009B6952">
        <w:tab/>
        <w:t xml:space="preserve">Reconnaître une personne pour ses bienfaits et le lui dispenser en retour </w:t>
      </w:r>
    </w:p>
    <w:p w:rsidR="00CB399B" w:rsidRPr="009B6952" w:rsidRDefault="00CB399B" w:rsidP="00CB399B">
      <w:pPr>
        <w:pStyle w:val="SingleTxtG"/>
        <w:tabs>
          <w:tab w:val="left" w:pos="2835"/>
        </w:tabs>
      </w:pPr>
      <w:r w:rsidRPr="009B6952">
        <w:rPr>
          <w:b/>
        </w:rPr>
        <w:t>LMIS</w:t>
      </w:r>
      <w:r w:rsidRPr="009B6952">
        <w:tab/>
        <w:t>Labour Market Information System</w:t>
      </w:r>
    </w:p>
    <w:p w:rsidR="00CB399B" w:rsidRPr="009B6952" w:rsidRDefault="00CB399B" w:rsidP="00CB399B">
      <w:pPr>
        <w:pStyle w:val="SingleTxtG"/>
        <w:tabs>
          <w:tab w:val="left" w:pos="2835"/>
        </w:tabs>
      </w:pPr>
      <w:r w:rsidRPr="009B6952">
        <w:rPr>
          <w:b/>
        </w:rPr>
        <w:t>MIFOTRA</w:t>
      </w:r>
      <w:r w:rsidRPr="009B6952">
        <w:tab/>
        <w:t>Ministère de la Fonction Publique et du Travail</w:t>
      </w:r>
    </w:p>
    <w:p w:rsidR="00CB399B" w:rsidRPr="009B6952" w:rsidRDefault="00CB399B" w:rsidP="00CB399B">
      <w:pPr>
        <w:pStyle w:val="SingleTxtG"/>
        <w:tabs>
          <w:tab w:val="left" w:pos="2835"/>
        </w:tabs>
        <w:ind w:left="2835" w:hanging="1701"/>
      </w:pPr>
      <w:r w:rsidRPr="009B6952">
        <w:rPr>
          <w:b/>
        </w:rPr>
        <w:t>MIGEPROF</w:t>
      </w:r>
      <w:r w:rsidRPr="009B6952">
        <w:tab/>
        <w:t>Ministère à la Primature chargé du Genre et de la Promotion de la Famille</w:t>
      </w:r>
    </w:p>
    <w:p w:rsidR="00CB399B" w:rsidRPr="009B6952" w:rsidRDefault="00CB399B" w:rsidP="00CB399B">
      <w:pPr>
        <w:pStyle w:val="SingleTxtG"/>
        <w:tabs>
          <w:tab w:val="left" w:pos="2835"/>
        </w:tabs>
      </w:pPr>
      <w:r w:rsidRPr="009B6952">
        <w:rPr>
          <w:b/>
        </w:rPr>
        <w:t>MINAGRI</w:t>
      </w:r>
      <w:r w:rsidRPr="009B6952">
        <w:rPr>
          <w:b/>
        </w:rPr>
        <w:tab/>
      </w:r>
      <w:r w:rsidRPr="009B6952">
        <w:t>Ministère de l</w:t>
      </w:r>
      <w:r w:rsidR="00B861F1">
        <w:t>’</w:t>
      </w:r>
      <w:r w:rsidRPr="009B6952">
        <w:t>agriculture et</w:t>
      </w:r>
      <w:r>
        <w:t xml:space="preserve"> </w:t>
      </w:r>
      <w:r w:rsidRPr="009B6952">
        <w:t>des ressources animales</w:t>
      </w:r>
    </w:p>
    <w:p w:rsidR="00CB399B" w:rsidRPr="009B6952" w:rsidRDefault="00CB399B" w:rsidP="00CB399B">
      <w:pPr>
        <w:pStyle w:val="SingleTxtG"/>
        <w:tabs>
          <w:tab w:val="left" w:pos="2835"/>
        </w:tabs>
      </w:pPr>
      <w:r w:rsidRPr="009B6952">
        <w:rPr>
          <w:b/>
        </w:rPr>
        <w:t>MINALOC</w:t>
      </w:r>
      <w:r w:rsidRPr="009B6952">
        <w:rPr>
          <w:b/>
        </w:rPr>
        <w:tab/>
      </w:r>
      <w:r w:rsidRPr="009B6952">
        <w:t>Ministère de l</w:t>
      </w:r>
      <w:r w:rsidR="00B861F1">
        <w:t>’</w:t>
      </w:r>
      <w:r w:rsidRPr="009B6952">
        <w:t xml:space="preserve">Administration Locale </w:t>
      </w:r>
    </w:p>
    <w:p w:rsidR="00CB399B" w:rsidRPr="009B6952" w:rsidRDefault="00CB399B" w:rsidP="00CB399B">
      <w:pPr>
        <w:pStyle w:val="SingleTxtG"/>
        <w:tabs>
          <w:tab w:val="left" w:pos="2835"/>
        </w:tabs>
      </w:pPr>
      <w:r w:rsidRPr="009B6952">
        <w:rPr>
          <w:b/>
        </w:rPr>
        <w:t>MINECOFIN</w:t>
      </w:r>
      <w:r w:rsidRPr="009B6952">
        <w:rPr>
          <w:b/>
        </w:rPr>
        <w:tab/>
      </w:r>
      <w:r w:rsidRPr="009B6952">
        <w:t xml:space="preserve">Ministère des Finances et de la Planification Économique </w:t>
      </w:r>
    </w:p>
    <w:p w:rsidR="00CB399B" w:rsidRPr="009B6952" w:rsidRDefault="00CB399B" w:rsidP="00CB399B">
      <w:pPr>
        <w:pStyle w:val="SingleTxtG"/>
        <w:tabs>
          <w:tab w:val="left" w:pos="2835"/>
        </w:tabs>
        <w:ind w:left="2835" w:hanging="1701"/>
      </w:pPr>
      <w:r w:rsidRPr="009B6952">
        <w:rPr>
          <w:b/>
        </w:rPr>
        <w:t>MINEDUC</w:t>
      </w:r>
      <w:r w:rsidRPr="009B6952">
        <w:rPr>
          <w:b/>
        </w:rPr>
        <w:tab/>
      </w:r>
      <w:r w:rsidRPr="009B6952">
        <w:t>Ministère de l</w:t>
      </w:r>
      <w:r w:rsidR="00B861F1">
        <w:t>’</w:t>
      </w:r>
      <w:r w:rsidRPr="009B6952">
        <w:t>Éducation, de la Science, de la Technolo</w:t>
      </w:r>
      <w:r>
        <w:t xml:space="preserve">gie et de la Recherche </w:t>
      </w:r>
      <w:r w:rsidRPr="009B6952">
        <w:t xml:space="preserve">scientifique </w:t>
      </w:r>
    </w:p>
    <w:p w:rsidR="00CB399B" w:rsidRPr="009B6952" w:rsidRDefault="00CB399B" w:rsidP="00CB399B">
      <w:pPr>
        <w:pStyle w:val="SingleTxtG"/>
        <w:tabs>
          <w:tab w:val="left" w:pos="2835"/>
        </w:tabs>
      </w:pPr>
      <w:r w:rsidRPr="009B6952">
        <w:rPr>
          <w:b/>
        </w:rPr>
        <w:t>MINIJUST</w:t>
      </w:r>
      <w:r w:rsidRPr="009B6952">
        <w:rPr>
          <w:b/>
        </w:rPr>
        <w:tab/>
      </w:r>
      <w:r w:rsidRPr="009B6952">
        <w:t>Ministère de la Justice</w:t>
      </w:r>
    </w:p>
    <w:p w:rsidR="00CB399B" w:rsidRPr="009B6952" w:rsidRDefault="00CB399B" w:rsidP="00CB399B">
      <w:pPr>
        <w:pStyle w:val="SingleTxtG"/>
        <w:tabs>
          <w:tab w:val="left" w:pos="2835"/>
        </w:tabs>
      </w:pPr>
      <w:r w:rsidRPr="009B6952">
        <w:rPr>
          <w:b/>
        </w:rPr>
        <w:t>MININFRA</w:t>
      </w:r>
      <w:r w:rsidRPr="009B6952">
        <w:tab/>
        <w:t>Ministère des Infrastructures</w:t>
      </w:r>
    </w:p>
    <w:p w:rsidR="00CB399B" w:rsidRPr="009B6952" w:rsidRDefault="00CB399B" w:rsidP="00CB399B">
      <w:pPr>
        <w:pStyle w:val="SingleTxtG"/>
        <w:tabs>
          <w:tab w:val="left" w:pos="2835"/>
        </w:tabs>
      </w:pPr>
      <w:r w:rsidRPr="009B6952">
        <w:rPr>
          <w:b/>
        </w:rPr>
        <w:t>MINIRENA</w:t>
      </w:r>
      <w:r w:rsidRPr="009B6952">
        <w:rPr>
          <w:b/>
        </w:rPr>
        <w:tab/>
      </w:r>
      <w:r w:rsidRPr="009B6952">
        <w:t>Ministère</w:t>
      </w:r>
      <w:r>
        <w:t xml:space="preserve"> des Ressources naturelles </w:t>
      </w:r>
    </w:p>
    <w:p w:rsidR="00CB399B" w:rsidRPr="009B6952" w:rsidRDefault="00CB399B" w:rsidP="00CB399B">
      <w:pPr>
        <w:pStyle w:val="SingleTxtG"/>
        <w:tabs>
          <w:tab w:val="left" w:pos="2835"/>
        </w:tabs>
      </w:pPr>
      <w:r w:rsidRPr="009B6952">
        <w:rPr>
          <w:b/>
        </w:rPr>
        <w:t>MINISANTE</w:t>
      </w:r>
      <w:r w:rsidRPr="009B6952">
        <w:rPr>
          <w:b/>
        </w:rPr>
        <w:tab/>
      </w:r>
      <w:r w:rsidRPr="009B6952">
        <w:t>Ministère de la Santé</w:t>
      </w:r>
    </w:p>
    <w:p w:rsidR="00CB399B" w:rsidRPr="009B6952" w:rsidRDefault="00CB399B" w:rsidP="00CB399B">
      <w:pPr>
        <w:pStyle w:val="SingleTxtG"/>
        <w:tabs>
          <w:tab w:val="left" w:pos="2835"/>
        </w:tabs>
      </w:pPr>
      <w:r w:rsidRPr="009B6952">
        <w:rPr>
          <w:b/>
        </w:rPr>
        <w:t>MINISPOC</w:t>
      </w:r>
      <w:r w:rsidRPr="009B6952">
        <w:rPr>
          <w:b/>
        </w:rPr>
        <w:tab/>
      </w:r>
      <w:r w:rsidRPr="009B6952">
        <w:t>Ministère des Sports et de la Culture</w:t>
      </w:r>
    </w:p>
    <w:p w:rsidR="00CB399B" w:rsidRPr="009B6952" w:rsidRDefault="00CB399B" w:rsidP="00CB399B">
      <w:pPr>
        <w:pStyle w:val="SingleTxtG"/>
        <w:tabs>
          <w:tab w:val="left" w:pos="2835"/>
        </w:tabs>
        <w:ind w:left="2835" w:hanging="1701"/>
      </w:pPr>
      <w:r w:rsidRPr="00F17E0B">
        <w:rPr>
          <w:b/>
        </w:rPr>
        <w:t>NISR</w:t>
      </w:r>
      <w:r w:rsidRPr="009B6952">
        <w:rPr>
          <w:b/>
        </w:rPr>
        <w:tab/>
      </w:r>
      <w:r w:rsidRPr="009B6952">
        <w:t xml:space="preserve">National Institute of Statistics </w:t>
      </w:r>
      <w:r>
        <w:t>of Rwanda/</w:t>
      </w:r>
      <w:r w:rsidRPr="009B6952">
        <w:t>Institut National de la Statistique du Rwanda</w:t>
      </w:r>
    </w:p>
    <w:p w:rsidR="00CB399B" w:rsidRPr="009B6952" w:rsidRDefault="00CB399B" w:rsidP="00CB399B">
      <w:pPr>
        <w:pStyle w:val="SingleTxtG"/>
        <w:tabs>
          <w:tab w:val="left" w:pos="2835"/>
        </w:tabs>
      </w:pPr>
      <w:r w:rsidRPr="009B6952">
        <w:rPr>
          <w:b/>
        </w:rPr>
        <w:t>ONG</w:t>
      </w:r>
      <w:r w:rsidRPr="009B6952">
        <w:rPr>
          <w:b/>
        </w:rPr>
        <w:tab/>
      </w:r>
      <w:r w:rsidRPr="009B6952">
        <w:t>Organisation Non Gouvernementale</w:t>
      </w:r>
    </w:p>
    <w:p w:rsidR="00CB399B" w:rsidRPr="009B6952" w:rsidRDefault="00CB399B" w:rsidP="00CB399B">
      <w:pPr>
        <w:pStyle w:val="SingleTxtG"/>
        <w:tabs>
          <w:tab w:val="left" w:pos="2835"/>
        </w:tabs>
      </w:pPr>
      <w:r w:rsidRPr="009B6952">
        <w:rPr>
          <w:b/>
        </w:rPr>
        <w:t>PCIME</w:t>
      </w:r>
      <w:r w:rsidRPr="009B6952">
        <w:rPr>
          <w:b/>
        </w:rPr>
        <w:tab/>
      </w:r>
      <w:r w:rsidRPr="009B6952">
        <w:t>Prise en Charge Intégrée des Maladies de l</w:t>
      </w:r>
      <w:r w:rsidR="00B861F1">
        <w:t>’</w:t>
      </w:r>
      <w:r w:rsidRPr="009B6952">
        <w:t>Enfance</w:t>
      </w:r>
    </w:p>
    <w:p w:rsidR="00CB399B" w:rsidRPr="009B6952" w:rsidRDefault="00CB399B" w:rsidP="00CB399B">
      <w:pPr>
        <w:pStyle w:val="SingleTxtG"/>
        <w:tabs>
          <w:tab w:val="left" w:pos="2835"/>
        </w:tabs>
      </w:pPr>
      <w:r w:rsidRPr="009B6952">
        <w:rPr>
          <w:b/>
        </w:rPr>
        <w:t>PDCRE</w:t>
      </w:r>
      <w:r w:rsidRPr="009B6952">
        <w:tab/>
        <w:t>Projet de Développement des Cultures de Rente et d</w:t>
      </w:r>
      <w:r w:rsidR="00B861F1">
        <w:t>’</w:t>
      </w:r>
      <w:r w:rsidRPr="009B6952">
        <w:t>Exportation</w:t>
      </w:r>
    </w:p>
    <w:p w:rsidR="00CB399B" w:rsidRPr="009B6952" w:rsidRDefault="00CB399B" w:rsidP="00CB399B">
      <w:pPr>
        <w:pStyle w:val="SingleTxtG"/>
        <w:tabs>
          <w:tab w:val="left" w:pos="2835"/>
        </w:tabs>
        <w:ind w:left="2835" w:hanging="1701"/>
      </w:pPr>
      <w:r w:rsidRPr="009B6952">
        <w:rPr>
          <w:b/>
        </w:rPr>
        <w:t>PDL-HIMO</w:t>
      </w:r>
      <w:r w:rsidRPr="009B6952">
        <w:tab/>
        <w:t>Programme de Développement Local à Haute Intensité de Main d</w:t>
      </w:r>
      <w:r w:rsidR="00B861F1">
        <w:t>’</w:t>
      </w:r>
      <w:r>
        <w:t>Œuvre</w:t>
      </w:r>
    </w:p>
    <w:p w:rsidR="00CB399B" w:rsidRDefault="00CB399B" w:rsidP="00CB399B">
      <w:pPr>
        <w:pStyle w:val="SingleTxtG"/>
        <w:tabs>
          <w:tab w:val="left" w:pos="2835"/>
        </w:tabs>
      </w:pPr>
      <w:r w:rsidRPr="009B6952">
        <w:rPr>
          <w:b/>
        </w:rPr>
        <w:t>PIB</w:t>
      </w:r>
      <w:r w:rsidRPr="009B6952">
        <w:tab/>
        <w:t>Produit Intérieur Brut</w:t>
      </w:r>
    </w:p>
    <w:p w:rsidR="00CB399B" w:rsidRPr="005B52CA" w:rsidRDefault="00CB399B" w:rsidP="00CB399B">
      <w:pPr>
        <w:pStyle w:val="SingleTxtG"/>
        <w:tabs>
          <w:tab w:val="left" w:pos="2835"/>
        </w:tabs>
      </w:pPr>
      <w:r>
        <w:rPr>
          <w:b/>
        </w:rPr>
        <w:t>PNUD</w:t>
      </w:r>
      <w:r>
        <w:rPr>
          <w:b/>
        </w:rPr>
        <w:tab/>
      </w:r>
      <w:r w:rsidRPr="005B52CA">
        <w:t>Programme des Nations Unies pour le développement</w:t>
      </w:r>
    </w:p>
    <w:p w:rsidR="00CB399B" w:rsidRPr="009B6952" w:rsidRDefault="00CB399B" w:rsidP="00CB399B">
      <w:pPr>
        <w:pStyle w:val="SingleTxtG"/>
        <w:tabs>
          <w:tab w:val="left" w:pos="2835"/>
        </w:tabs>
      </w:pPr>
      <w:r w:rsidRPr="009B6952">
        <w:rPr>
          <w:b/>
        </w:rPr>
        <w:t>PPMER</w:t>
      </w:r>
      <w:r w:rsidRPr="009B6952">
        <w:tab/>
        <w:t>Promotion des Petites et Moyennes Entreprises au Rwanda</w:t>
      </w:r>
    </w:p>
    <w:p w:rsidR="00CB399B" w:rsidRPr="009B6952" w:rsidRDefault="00CB399B" w:rsidP="00CB399B">
      <w:pPr>
        <w:pStyle w:val="SingleTxtG"/>
        <w:tabs>
          <w:tab w:val="left" w:pos="2835"/>
        </w:tabs>
      </w:pPr>
      <w:r w:rsidRPr="009B6952">
        <w:rPr>
          <w:b/>
        </w:rPr>
        <w:t>PRODIAF</w:t>
      </w:r>
      <w:r w:rsidRPr="009B6952">
        <w:tab/>
        <w:t>Promotion du Dialogue en Afrique Francophone</w:t>
      </w:r>
    </w:p>
    <w:p w:rsidR="00CB399B" w:rsidRPr="009B6952" w:rsidRDefault="00CB399B" w:rsidP="00CB399B">
      <w:pPr>
        <w:pStyle w:val="SingleTxtG"/>
        <w:tabs>
          <w:tab w:val="left" w:pos="2835"/>
        </w:tabs>
      </w:pPr>
      <w:r w:rsidRPr="009B6952">
        <w:rPr>
          <w:b/>
        </w:rPr>
        <w:t>PSTA</w:t>
      </w:r>
      <w:r w:rsidRPr="009B6952">
        <w:tab/>
        <w:t>Plan Stratégique de Transformation de l</w:t>
      </w:r>
      <w:r w:rsidR="00B861F1">
        <w:t>’</w:t>
      </w:r>
      <w:r w:rsidRPr="009B6952">
        <w:t>Agriculture</w:t>
      </w:r>
    </w:p>
    <w:p w:rsidR="00CB399B" w:rsidRPr="00787779" w:rsidRDefault="00CB399B" w:rsidP="00CB399B">
      <w:pPr>
        <w:pStyle w:val="SingleTxtG"/>
        <w:tabs>
          <w:tab w:val="left" w:pos="2835"/>
        </w:tabs>
        <w:rPr>
          <w:lang w:val="fr-FR"/>
        </w:rPr>
      </w:pPr>
      <w:r w:rsidRPr="00787779">
        <w:rPr>
          <w:b/>
          <w:lang w:val="fr-FR"/>
        </w:rPr>
        <w:t>REMA</w:t>
      </w:r>
      <w:r w:rsidRPr="00787779">
        <w:rPr>
          <w:lang w:val="fr-FR"/>
        </w:rPr>
        <w:tab/>
        <w:t xml:space="preserve">Rwanda Environmental Management Authority </w:t>
      </w:r>
    </w:p>
    <w:p w:rsidR="00CB399B" w:rsidRPr="009B6952" w:rsidRDefault="00CB399B" w:rsidP="00CB399B">
      <w:pPr>
        <w:pStyle w:val="SingleTxtG"/>
        <w:tabs>
          <w:tab w:val="left" w:pos="2835"/>
        </w:tabs>
      </w:pPr>
      <w:r w:rsidRPr="009B6952">
        <w:rPr>
          <w:b/>
        </w:rPr>
        <w:t>RGPH</w:t>
      </w:r>
      <w:r w:rsidRPr="009B6952">
        <w:tab/>
        <w:t>Recensement Général de la Population et de l</w:t>
      </w:r>
      <w:r w:rsidR="00B861F1">
        <w:t>’</w:t>
      </w:r>
      <w:r w:rsidRPr="009B6952">
        <w:t>Habitat</w:t>
      </w:r>
    </w:p>
    <w:p w:rsidR="00CB399B" w:rsidRPr="00F9401B" w:rsidRDefault="00CB399B" w:rsidP="00CB399B">
      <w:pPr>
        <w:pStyle w:val="SingleTxtG"/>
        <w:tabs>
          <w:tab w:val="left" w:pos="2835"/>
        </w:tabs>
        <w:rPr>
          <w:lang w:val="en-US"/>
        </w:rPr>
      </w:pPr>
      <w:r w:rsidRPr="00F9401B">
        <w:rPr>
          <w:b/>
          <w:lang w:val="en-US"/>
        </w:rPr>
        <w:t>RIEPA</w:t>
      </w:r>
      <w:r w:rsidRPr="00F9401B">
        <w:rPr>
          <w:lang w:val="en-US"/>
        </w:rPr>
        <w:tab/>
        <w:t>Rwanda Investment and Export Promotion Agency</w:t>
      </w:r>
    </w:p>
    <w:p w:rsidR="00CB399B" w:rsidRPr="00F9401B" w:rsidRDefault="00CB399B" w:rsidP="00CB399B">
      <w:pPr>
        <w:pStyle w:val="SingleTxtG"/>
        <w:tabs>
          <w:tab w:val="left" w:pos="2835"/>
        </w:tabs>
        <w:rPr>
          <w:lang w:val="en-US"/>
        </w:rPr>
      </w:pPr>
      <w:r w:rsidRPr="00F9401B">
        <w:rPr>
          <w:b/>
          <w:lang w:val="en-US"/>
        </w:rPr>
        <w:t>RSSP</w:t>
      </w:r>
      <w:r w:rsidRPr="00F9401B">
        <w:rPr>
          <w:lang w:val="en-US"/>
        </w:rPr>
        <w:tab/>
        <w:t>Rural Sector Support Project</w:t>
      </w:r>
    </w:p>
    <w:p w:rsidR="00CB399B" w:rsidRPr="00F9401B" w:rsidRDefault="00CB399B" w:rsidP="00CB399B">
      <w:pPr>
        <w:pStyle w:val="SingleTxtG"/>
        <w:tabs>
          <w:tab w:val="left" w:pos="2835"/>
        </w:tabs>
        <w:rPr>
          <w:lang w:val="en-US"/>
        </w:rPr>
      </w:pPr>
      <w:r w:rsidRPr="00F9401B">
        <w:rPr>
          <w:b/>
          <w:lang w:val="en-US"/>
        </w:rPr>
        <w:t>SACCO</w:t>
      </w:r>
      <w:r w:rsidRPr="00F9401B">
        <w:rPr>
          <w:lang w:val="en-US"/>
        </w:rPr>
        <w:tab/>
        <w:t>Savings and Credit Cooperative</w:t>
      </w:r>
    </w:p>
    <w:p w:rsidR="00CB399B" w:rsidRPr="00F9401B" w:rsidRDefault="00CB399B" w:rsidP="00CB399B">
      <w:pPr>
        <w:pStyle w:val="SingleTxtG"/>
        <w:tabs>
          <w:tab w:val="left" w:pos="2835"/>
        </w:tabs>
        <w:rPr>
          <w:lang w:val="en-US"/>
        </w:rPr>
      </w:pPr>
      <w:r w:rsidRPr="00F9401B">
        <w:rPr>
          <w:b/>
          <w:lang w:val="en-US"/>
        </w:rPr>
        <w:t>SFAR</w:t>
      </w:r>
      <w:r w:rsidRPr="00F9401B">
        <w:rPr>
          <w:lang w:val="en-US"/>
        </w:rPr>
        <w:tab/>
        <w:t xml:space="preserve">Student Financing Agency of Rwanda </w:t>
      </w:r>
    </w:p>
    <w:p w:rsidR="00CB399B" w:rsidRPr="001A0BE9" w:rsidRDefault="00CB399B" w:rsidP="00CB399B">
      <w:pPr>
        <w:pStyle w:val="SingleTxtG"/>
        <w:tabs>
          <w:tab w:val="left" w:pos="2835"/>
        </w:tabs>
      </w:pPr>
      <w:r w:rsidRPr="001A0BE9">
        <w:rPr>
          <w:b/>
        </w:rPr>
        <w:t>SWAP</w:t>
      </w:r>
      <w:r w:rsidRPr="001A0BE9">
        <w:tab/>
        <w:t>Sector Wide Approach</w:t>
      </w:r>
    </w:p>
    <w:p w:rsidR="00CB399B" w:rsidRPr="001A0BE9" w:rsidRDefault="00CB399B" w:rsidP="00CB399B">
      <w:pPr>
        <w:pStyle w:val="SingleTxtG"/>
        <w:tabs>
          <w:tab w:val="left" w:pos="2835"/>
        </w:tabs>
      </w:pPr>
      <w:r w:rsidRPr="001A0BE9">
        <w:rPr>
          <w:b/>
        </w:rPr>
        <w:t>TIG</w:t>
      </w:r>
      <w:r w:rsidRPr="001A0BE9">
        <w:tab/>
        <w:t>Travaux d</w:t>
      </w:r>
      <w:r w:rsidR="00B861F1">
        <w:t>’</w:t>
      </w:r>
      <w:r w:rsidRPr="001A0BE9">
        <w:t>Intérêt Général</w:t>
      </w:r>
    </w:p>
    <w:p w:rsidR="00CB399B" w:rsidRPr="001A0BE9" w:rsidRDefault="00CB399B" w:rsidP="00CB399B">
      <w:pPr>
        <w:pStyle w:val="SingleTxtG"/>
        <w:tabs>
          <w:tab w:val="left" w:pos="2835"/>
        </w:tabs>
        <w:ind w:left="2835" w:hanging="1701"/>
      </w:pPr>
      <w:r w:rsidRPr="001A0BE9">
        <w:rPr>
          <w:b/>
        </w:rPr>
        <w:t>TRAC+CIDC</w:t>
      </w:r>
      <w:r w:rsidRPr="001A0BE9">
        <w:tab/>
        <w:t>Treatment and Research for AIDS Center- Centre de Recherche sur le Sida</w:t>
      </w:r>
    </w:p>
    <w:p w:rsidR="00CB399B" w:rsidRPr="009B6952" w:rsidRDefault="00CB399B" w:rsidP="00CB399B">
      <w:pPr>
        <w:pStyle w:val="SingleTxtG"/>
        <w:tabs>
          <w:tab w:val="left" w:pos="2835"/>
        </w:tabs>
      </w:pPr>
      <w:r w:rsidRPr="009B6952">
        <w:rPr>
          <w:b/>
        </w:rPr>
        <w:t>Tronc commun</w:t>
      </w:r>
      <w:r w:rsidRPr="009B6952">
        <w:tab/>
        <w:t>Cycle inférieur du secondaire</w:t>
      </w:r>
    </w:p>
    <w:p w:rsidR="00CB399B" w:rsidRPr="00F9401B" w:rsidRDefault="00CB399B" w:rsidP="00CB399B">
      <w:pPr>
        <w:pStyle w:val="SingleTxtG"/>
        <w:tabs>
          <w:tab w:val="left" w:pos="2835"/>
        </w:tabs>
        <w:rPr>
          <w:lang w:val="en-US"/>
        </w:rPr>
      </w:pPr>
      <w:r w:rsidRPr="00F9401B">
        <w:rPr>
          <w:b/>
          <w:lang w:val="en-US"/>
        </w:rPr>
        <w:t>TVET</w:t>
      </w:r>
      <w:r w:rsidRPr="00F9401B">
        <w:rPr>
          <w:lang w:val="en-US"/>
        </w:rPr>
        <w:tab/>
        <w:t>Technical and Vocational Education Training</w:t>
      </w:r>
    </w:p>
    <w:p w:rsidR="00CB399B" w:rsidRPr="00F9401B" w:rsidRDefault="00CB399B" w:rsidP="00CB399B">
      <w:pPr>
        <w:pStyle w:val="SingleTxtG"/>
        <w:tabs>
          <w:tab w:val="left" w:pos="2835"/>
        </w:tabs>
        <w:rPr>
          <w:lang w:val="en-US"/>
        </w:rPr>
      </w:pPr>
      <w:r w:rsidRPr="00F9401B">
        <w:rPr>
          <w:b/>
          <w:lang w:val="en-US"/>
        </w:rPr>
        <w:t>ULK</w:t>
      </w:r>
      <w:r w:rsidRPr="00F9401B">
        <w:rPr>
          <w:lang w:val="en-US"/>
        </w:rPr>
        <w:tab/>
        <w:t>Université Libre de Kigali</w:t>
      </w:r>
    </w:p>
    <w:p w:rsidR="00CB399B" w:rsidRPr="00F9401B" w:rsidRDefault="00CB399B" w:rsidP="00CB399B">
      <w:pPr>
        <w:pStyle w:val="SingleTxtG"/>
        <w:tabs>
          <w:tab w:val="left" w:pos="2835"/>
        </w:tabs>
        <w:rPr>
          <w:lang w:val="en-US"/>
        </w:rPr>
      </w:pPr>
      <w:r w:rsidRPr="00F9401B">
        <w:rPr>
          <w:b/>
          <w:lang w:val="en-US"/>
        </w:rPr>
        <w:t>USAID</w:t>
      </w:r>
      <w:r w:rsidRPr="00F9401B">
        <w:rPr>
          <w:lang w:val="en-US"/>
        </w:rPr>
        <w:tab/>
        <w:t xml:space="preserve">United States Agency- International Development </w:t>
      </w:r>
    </w:p>
    <w:p w:rsidR="00CB399B" w:rsidRPr="001A0BE9" w:rsidRDefault="00CB399B" w:rsidP="00CB399B">
      <w:pPr>
        <w:pStyle w:val="SingleTxtG"/>
        <w:tabs>
          <w:tab w:val="left" w:pos="2835"/>
        </w:tabs>
        <w:rPr>
          <w:lang w:val="en-GB"/>
        </w:rPr>
      </w:pPr>
      <w:r w:rsidRPr="001A0BE9">
        <w:rPr>
          <w:b/>
          <w:lang w:val="en-GB"/>
        </w:rPr>
        <w:t>WDA</w:t>
      </w:r>
      <w:r w:rsidRPr="001A0BE9">
        <w:rPr>
          <w:b/>
          <w:lang w:val="en-GB"/>
        </w:rPr>
        <w:tab/>
      </w:r>
      <w:r w:rsidRPr="001A0BE9">
        <w:rPr>
          <w:lang w:val="en-GB"/>
        </w:rPr>
        <w:t>Workforce Development Authority</w:t>
      </w:r>
    </w:p>
    <w:p w:rsidR="00CB399B" w:rsidRPr="009B6952" w:rsidRDefault="00CB399B" w:rsidP="00CB399B">
      <w:pPr>
        <w:pStyle w:val="H1G"/>
      </w:pPr>
      <w:r w:rsidRPr="00282CFD">
        <w:br w:type="page"/>
      </w:r>
      <w:r w:rsidRPr="00282CFD">
        <w:tab/>
      </w:r>
      <w:r w:rsidRPr="00282CFD">
        <w:tab/>
      </w:r>
      <w:r w:rsidRPr="009B6952">
        <w:t>Liste des tableaux</w:t>
      </w:r>
    </w:p>
    <w:p w:rsidR="00CB399B" w:rsidRPr="009B6952" w:rsidRDefault="00CB399B" w:rsidP="00CB399B">
      <w:pPr>
        <w:pStyle w:val="SingleTxtG"/>
        <w:tabs>
          <w:tab w:val="left" w:pos="2552"/>
        </w:tabs>
      </w:pPr>
      <w:r>
        <w:t>Tableau 1</w:t>
      </w:r>
      <w:r>
        <w:tab/>
      </w:r>
      <w:r w:rsidRPr="009B6952">
        <w:t>Réalisations des activités des TIG</w:t>
      </w:r>
    </w:p>
    <w:p w:rsidR="00CB399B" w:rsidRPr="009B6952" w:rsidRDefault="00CB399B" w:rsidP="00CB399B">
      <w:pPr>
        <w:pStyle w:val="SingleTxtG"/>
        <w:tabs>
          <w:tab w:val="left" w:pos="2552"/>
        </w:tabs>
        <w:ind w:left="2552" w:hanging="1418"/>
      </w:pPr>
      <w:r>
        <w:t>Tableau 2</w:t>
      </w:r>
      <w:r>
        <w:tab/>
      </w:r>
      <w:r w:rsidRPr="009B6952">
        <w:t>Coopération multilatérale: liste des partenaires et montants des financements</w:t>
      </w:r>
    </w:p>
    <w:p w:rsidR="00CB399B" w:rsidRPr="009B6952" w:rsidRDefault="00CB399B" w:rsidP="00CB399B">
      <w:pPr>
        <w:pStyle w:val="SingleTxtG"/>
        <w:tabs>
          <w:tab w:val="left" w:pos="2552"/>
        </w:tabs>
      </w:pPr>
      <w:r>
        <w:t>Tableau 3</w:t>
      </w:r>
      <w:r w:rsidRPr="009B6952">
        <w:tab/>
        <w:t>Coopération bilatérale: liste des partenaires et montants des financements</w:t>
      </w:r>
    </w:p>
    <w:p w:rsidR="00CB399B" w:rsidRPr="009B6952" w:rsidRDefault="00CB399B" w:rsidP="00CB399B">
      <w:pPr>
        <w:pStyle w:val="SingleTxtG"/>
        <w:tabs>
          <w:tab w:val="left" w:pos="2552"/>
        </w:tabs>
      </w:pPr>
      <w:r w:rsidRPr="009B6952">
        <w:t>Tab</w:t>
      </w:r>
      <w:r>
        <w:t>leau 4</w:t>
      </w:r>
      <w:r w:rsidRPr="009B6952">
        <w:tab/>
        <w:t>Indicateurs de la situation de l</w:t>
      </w:r>
      <w:r w:rsidR="00B861F1">
        <w:t>’</w:t>
      </w:r>
      <w:r w:rsidRPr="009B6952">
        <w:t>emploi</w:t>
      </w:r>
    </w:p>
    <w:p w:rsidR="00CB399B" w:rsidRPr="009B6952" w:rsidRDefault="00CB399B" w:rsidP="00CB399B">
      <w:pPr>
        <w:pStyle w:val="SingleTxtG"/>
        <w:tabs>
          <w:tab w:val="left" w:pos="2552"/>
        </w:tabs>
      </w:pPr>
      <w:r>
        <w:t>Tableau 5</w:t>
      </w:r>
      <w:r>
        <w:tab/>
      </w:r>
      <w:r w:rsidRPr="009B6952">
        <w:t>Données sur les travailleurs du secteur informel</w:t>
      </w:r>
    </w:p>
    <w:p w:rsidR="00CB399B" w:rsidRPr="009B6952" w:rsidRDefault="00CB399B" w:rsidP="00CB399B">
      <w:pPr>
        <w:pStyle w:val="SingleTxtG"/>
        <w:tabs>
          <w:tab w:val="left" w:pos="2552"/>
        </w:tabs>
      </w:pPr>
      <w:r>
        <w:t>Tableau 6</w:t>
      </w:r>
      <w:r>
        <w:tab/>
      </w:r>
      <w:r w:rsidRPr="009B6952">
        <w:t xml:space="preserve">Situation </w:t>
      </w:r>
      <w:r>
        <w:t>du</w:t>
      </w:r>
      <w:r w:rsidRPr="009B6952">
        <w:t xml:space="preserve"> chômage</w:t>
      </w:r>
    </w:p>
    <w:p w:rsidR="00CB399B" w:rsidRPr="009B6952" w:rsidRDefault="00CB399B" w:rsidP="00CB399B">
      <w:pPr>
        <w:pStyle w:val="SingleTxtG"/>
        <w:tabs>
          <w:tab w:val="left" w:pos="2552"/>
        </w:tabs>
        <w:ind w:left="2552" w:hanging="1418"/>
      </w:pPr>
      <w:r>
        <w:t>Tableau 7</w:t>
      </w:r>
      <w:r>
        <w:tab/>
      </w:r>
      <w:r w:rsidRPr="009B6952">
        <w:t>Étude comparative des niveaux de salaire des travailleurs d</w:t>
      </w:r>
      <w:r>
        <w:t>es</w:t>
      </w:r>
      <w:r w:rsidRPr="009B6952">
        <w:t xml:space="preserve"> secteur</w:t>
      </w:r>
      <w:r>
        <w:t>s</w:t>
      </w:r>
      <w:r w:rsidR="00B861F1">
        <w:t xml:space="preserve"> </w:t>
      </w:r>
      <w:r w:rsidRPr="009B6952">
        <w:t>public et privé</w:t>
      </w:r>
    </w:p>
    <w:p w:rsidR="00CB399B" w:rsidRPr="009B6952" w:rsidRDefault="00CB399B" w:rsidP="00CB399B">
      <w:pPr>
        <w:pStyle w:val="SingleTxtG"/>
        <w:tabs>
          <w:tab w:val="left" w:pos="2552"/>
        </w:tabs>
      </w:pPr>
      <w:r w:rsidRPr="009B6952">
        <w:t>Tablea</w:t>
      </w:r>
      <w:r>
        <w:t>u 8</w:t>
      </w:r>
      <w:r>
        <w:tab/>
      </w:r>
      <w:r w:rsidRPr="009B6952">
        <w:t>Données sur les risques professionnels</w:t>
      </w:r>
    </w:p>
    <w:p w:rsidR="00CB399B" w:rsidRPr="009B6952" w:rsidRDefault="00CB399B" w:rsidP="00CB399B">
      <w:pPr>
        <w:pStyle w:val="SingleTxtG"/>
        <w:tabs>
          <w:tab w:val="left" w:pos="2552"/>
        </w:tabs>
      </w:pPr>
      <w:r>
        <w:t>Tableau 9</w:t>
      </w:r>
      <w:r>
        <w:tab/>
      </w:r>
      <w:r w:rsidRPr="009B6952">
        <w:t xml:space="preserve">Données relatives au travail des enfants et </w:t>
      </w:r>
      <w:r>
        <w:t xml:space="preserve">des </w:t>
      </w:r>
      <w:r w:rsidRPr="009B6952">
        <w:t>jeunes</w:t>
      </w:r>
    </w:p>
    <w:p w:rsidR="00CB399B" w:rsidRPr="009B6952" w:rsidRDefault="00CB399B" w:rsidP="00CB399B">
      <w:pPr>
        <w:pStyle w:val="SingleTxtG"/>
        <w:tabs>
          <w:tab w:val="left" w:pos="2552"/>
        </w:tabs>
      </w:pPr>
      <w:r w:rsidRPr="009B6952">
        <w:t>Tableau 10</w:t>
      </w:r>
      <w:r>
        <w:tab/>
      </w:r>
      <w:r w:rsidRPr="009B6952">
        <w:t>Financement des COOJAD</w:t>
      </w:r>
    </w:p>
    <w:p w:rsidR="00CB399B" w:rsidRPr="009B6952" w:rsidRDefault="00CB399B" w:rsidP="00CB399B">
      <w:pPr>
        <w:pStyle w:val="SingleTxtG"/>
        <w:tabs>
          <w:tab w:val="left" w:pos="2552"/>
        </w:tabs>
      </w:pPr>
      <w:r w:rsidRPr="009B6952">
        <w:t>Tableau 11</w:t>
      </w:r>
      <w:r>
        <w:tab/>
      </w:r>
      <w:r w:rsidRPr="009B6952">
        <w:t>Données sur le niveau de vie</w:t>
      </w:r>
    </w:p>
    <w:p w:rsidR="00CB399B" w:rsidRPr="009B6952" w:rsidRDefault="00CB399B" w:rsidP="00CB399B">
      <w:pPr>
        <w:pStyle w:val="SingleTxtG"/>
        <w:tabs>
          <w:tab w:val="left" w:pos="2552"/>
        </w:tabs>
      </w:pPr>
      <w:r w:rsidRPr="009B6952">
        <w:t>Tableau 12</w:t>
      </w:r>
      <w:r>
        <w:tab/>
      </w:r>
      <w:r w:rsidRPr="009B6952">
        <w:t>État de la vulnérabilité des ménages</w:t>
      </w:r>
    </w:p>
    <w:p w:rsidR="00CB399B" w:rsidRPr="009B6952" w:rsidRDefault="00CB399B" w:rsidP="00CB399B">
      <w:pPr>
        <w:pStyle w:val="SingleTxtG"/>
        <w:tabs>
          <w:tab w:val="left" w:pos="2552"/>
        </w:tabs>
      </w:pPr>
      <w:r w:rsidRPr="009B6952">
        <w:t>Tableau 13</w:t>
      </w:r>
      <w:r>
        <w:tab/>
      </w:r>
      <w:r w:rsidRPr="009B6952">
        <w:t>Évolution de la situation nutritionnelle</w:t>
      </w:r>
    </w:p>
    <w:p w:rsidR="00CB399B" w:rsidRPr="009B6952" w:rsidRDefault="00CB399B" w:rsidP="00CB399B">
      <w:pPr>
        <w:pStyle w:val="SingleTxtG"/>
        <w:tabs>
          <w:tab w:val="left" w:pos="2552"/>
        </w:tabs>
      </w:pPr>
      <w:r w:rsidRPr="009B6952">
        <w:t>Tableau 14</w:t>
      </w:r>
      <w:r>
        <w:tab/>
      </w:r>
      <w:r w:rsidRPr="009B6952">
        <w:t xml:space="preserve">Les ménages </w:t>
      </w:r>
      <w:r>
        <w:t xml:space="preserve">à </w:t>
      </w:r>
      <w:r w:rsidRPr="009B6952">
        <w:t>risque nutritionnel</w:t>
      </w:r>
    </w:p>
    <w:p w:rsidR="00CB399B" w:rsidRPr="009B6952" w:rsidRDefault="00CB399B" w:rsidP="00CB399B">
      <w:pPr>
        <w:pStyle w:val="SingleTxtG"/>
        <w:tabs>
          <w:tab w:val="left" w:pos="2552"/>
        </w:tabs>
      </w:pPr>
      <w:r w:rsidRPr="009B6952">
        <w:t>Tableau 15</w:t>
      </w:r>
      <w:r>
        <w:tab/>
      </w:r>
      <w:r w:rsidRPr="009B6952">
        <w:t xml:space="preserve">Catégorie des ménages </w:t>
      </w:r>
      <w:r>
        <w:t>à</w:t>
      </w:r>
      <w:r w:rsidRPr="009B6952">
        <w:t xml:space="preserve"> risque nutritionnel</w:t>
      </w:r>
    </w:p>
    <w:p w:rsidR="00CB399B" w:rsidRPr="009B6952" w:rsidRDefault="00CB399B" w:rsidP="00CB399B">
      <w:pPr>
        <w:pStyle w:val="SingleTxtG"/>
        <w:tabs>
          <w:tab w:val="left" w:pos="2552"/>
        </w:tabs>
      </w:pPr>
      <w:r w:rsidRPr="009B6952">
        <w:t>Tableau 16</w:t>
      </w:r>
      <w:r>
        <w:tab/>
      </w:r>
      <w:r w:rsidRPr="009B6952">
        <w:t>Indicateurs en matière de santé</w:t>
      </w:r>
    </w:p>
    <w:p w:rsidR="00CB399B" w:rsidRPr="009B6952" w:rsidRDefault="00CB399B" w:rsidP="00CB399B">
      <w:pPr>
        <w:pStyle w:val="SingleTxtG"/>
        <w:tabs>
          <w:tab w:val="left" w:pos="2552"/>
        </w:tabs>
      </w:pPr>
      <w:r w:rsidRPr="009B6952">
        <w:t>Tableau 17</w:t>
      </w:r>
      <w:r>
        <w:tab/>
      </w:r>
      <w:r w:rsidRPr="009B6952">
        <w:t xml:space="preserve">Situation </w:t>
      </w:r>
      <w:r>
        <w:t>relative à</w:t>
      </w:r>
      <w:r w:rsidRPr="009B6952">
        <w:t xml:space="preserve"> la cécité</w:t>
      </w:r>
    </w:p>
    <w:p w:rsidR="00CB399B" w:rsidRPr="009B6952" w:rsidRDefault="00CB399B" w:rsidP="00CB399B">
      <w:pPr>
        <w:pStyle w:val="SingleTxtG"/>
        <w:tabs>
          <w:tab w:val="left" w:pos="2552"/>
        </w:tabs>
      </w:pPr>
      <w:r w:rsidRPr="009B6952">
        <w:t>Tableau 18</w:t>
      </w:r>
      <w:r>
        <w:tab/>
      </w:r>
      <w:r w:rsidRPr="009B6952">
        <w:t xml:space="preserve">Budget alloué au secteur de la santé </w:t>
      </w:r>
    </w:p>
    <w:p w:rsidR="00CB399B" w:rsidRPr="009B6952" w:rsidRDefault="00CB399B" w:rsidP="00CB399B">
      <w:pPr>
        <w:pStyle w:val="SingleTxtG"/>
        <w:tabs>
          <w:tab w:val="left" w:pos="2552"/>
        </w:tabs>
      </w:pPr>
      <w:r w:rsidRPr="009B6952">
        <w:t>Tableau 19</w:t>
      </w:r>
      <w:r>
        <w:tab/>
      </w:r>
      <w:r w:rsidRPr="009B6952">
        <w:t>Indicateurs au niveau primaire</w:t>
      </w:r>
    </w:p>
    <w:p w:rsidR="00CB399B" w:rsidRPr="009B6952" w:rsidRDefault="00CB399B" w:rsidP="00CB399B">
      <w:pPr>
        <w:pStyle w:val="SingleTxtG"/>
        <w:tabs>
          <w:tab w:val="left" w:pos="2552"/>
        </w:tabs>
      </w:pPr>
      <w:r w:rsidRPr="009B6952">
        <w:t>Tableau 20</w:t>
      </w:r>
      <w:r>
        <w:tab/>
      </w:r>
      <w:r w:rsidRPr="009B6952">
        <w:t>Indicateurs au niveau secondaire</w:t>
      </w:r>
    </w:p>
    <w:p w:rsidR="00CB399B" w:rsidRPr="009B6952" w:rsidRDefault="00CB399B" w:rsidP="00CB399B">
      <w:pPr>
        <w:pStyle w:val="SingleTxtG"/>
        <w:tabs>
          <w:tab w:val="left" w:pos="2552"/>
        </w:tabs>
      </w:pPr>
      <w:r w:rsidRPr="009B6952">
        <w:t>Tableau 21</w:t>
      </w:r>
      <w:r>
        <w:tab/>
      </w:r>
      <w:r w:rsidRPr="009B6952">
        <w:t>Indicateurs dans le domaine de l</w:t>
      </w:r>
      <w:r w:rsidR="00B861F1">
        <w:t>’</w:t>
      </w:r>
      <w:r w:rsidRPr="009B6952">
        <w:t>alphabétisation</w:t>
      </w:r>
    </w:p>
    <w:p w:rsidR="00CB399B" w:rsidRPr="009B6952" w:rsidRDefault="00CB399B" w:rsidP="00CB399B">
      <w:pPr>
        <w:pStyle w:val="SingleTxtG"/>
        <w:tabs>
          <w:tab w:val="left" w:pos="2552"/>
        </w:tabs>
      </w:pPr>
      <w:r w:rsidRPr="009B6952">
        <w:t>Tableau 22</w:t>
      </w:r>
      <w:r>
        <w:tab/>
      </w:r>
      <w:r w:rsidRPr="009B6952">
        <w:t>Budget alloué au secteur de l</w:t>
      </w:r>
      <w:r w:rsidR="00B861F1">
        <w:t>’</w:t>
      </w:r>
      <w:r w:rsidRPr="009B6952">
        <w:t>éducation</w:t>
      </w:r>
    </w:p>
    <w:p w:rsidR="00CB399B" w:rsidRPr="009B6952" w:rsidRDefault="00CB399B" w:rsidP="00CB399B">
      <w:pPr>
        <w:pStyle w:val="SingleTxtG"/>
        <w:tabs>
          <w:tab w:val="left" w:pos="2552"/>
        </w:tabs>
      </w:pPr>
      <w:r w:rsidRPr="009B6952">
        <w:t>Tableau 23</w:t>
      </w:r>
      <w:r>
        <w:tab/>
      </w:r>
      <w:r w:rsidRPr="009B6952">
        <w:t>Données sur les salaires du personnel enseignant</w:t>
      </w:r>
    </w:p>
    <w:p w:rsidR="00CB399B" w:rsidRPr="009B6952" w:rsidRDefault="00CB399B" w:rsidP="00CB399B">
      <w:pPr>
        <w:pStyle w:val="SingleTxtG"/>
        <w:ind w:left="2552" w:hanging="1418"/>
      </w:pPr>
      <w:r>
        <w:t>Tableau 24</w:t>
      </w:r>
      <w:r>
        <w:tab/>
      </w:r>
      <w:r w:rsidRPr="009B6952">
        <w:t xml:space="preserve">Comparaison entre les salaires du personnel enseignant et </w:t>
      </w:r>
      <w:r>
        <w:t>ceux des agents de la fonction</w:t>
      </w:r>
      <w:r w:rsidRPr="009B6952">
        <w:t xml:space="preserve"> publique en général </w:t>
      </w:r>
    </w:p>
    <w:p w:rsidR="00CB399B" w:rsidRPr="009B6952" w:rsidRDefault="00CB399B" w:rsidP="00CB399B">
      <w:pPr>
        <w:pStyle w:val="SingleTxtG"/>
        <w:tabs>
          <w:tab w:val="left" w:pos="2552"/>
        </w:tabs>
      </w:pPr>
      <w:r w:rsidRPr="009B6952">
        <w:t>Tableau 25</w:t>
      </w:r>
      <w:r>
        <w:tab/>
      </w:r>
      <w:r w:rsidRPr="009B6952">
        <w:t>Données sur les institutions privées</w:t>
      </w:r>
    </w:p>
    <w:p w:rsidR="00CB399B" w:rsidRPr="009B6952" w:rsidRDefault="00CB399B" w:rsidP="00CB399B">
      <w:pPr>
        <w:pStyle w:val="H1G"/>
      </w:pPr>
      <w:r>
        <w:tab/>
      </w:r>
      <w:r>
        <w:tab/>
        <w:t>L</w:t>
      </w:r>
      <w:r w:rsidRPr="009B6952">
        <w:t>iste des graphiques</w:t>
      </w:r>
    </w:p>
    <w:p w:rsidR="00CB399B" w:rsidRPr="009B6952" w:rsidRDefault="00CB399B" w:rsidP="00CB399B">
      <w:pPr>
        <w:pStyle w:val="SingleTxtG"/>
        <w:tabs>
          <w:tab w:val="left" w:pos="2552"/>
        </w:tabs>
      </w:pPr>
      <w:r>
        <w:t>Graphique 1</w:t>
      </w:r>
      <w:r>
        <w:tab/>
        <w:t>Évolutions tendancielles</w:t>
      </w:r>
      <w:r w:rsidRPr="009B6952">
        <w:t xml:space="preserve"> du niveau de vie par région</w:t>
      </w:r>
    </w:p>
    <w:p w:rsidR="00CB399B" w:rsidRPr="009B6952" w:rsidRDefault="00CB399B" w:rsidP="00CB399B">
      <w:pPr>
        <w:pStyle w:val="SingleTxtG"/>
        <w:tabs>
          <w:tab w:val="left" w:pos="2552"/>
        </w:tabs>
      </w:pPr>
      <w:r>
        <w:t>Graphique 2</w:t>
      </w:r>
      <w:r>
        <w:tab/>
      </w:r>
      <w:r w:rsidRPr="009B6952">
        <w:t xml:space="preserve">Données sur les </w:t>
      </w:r>
      <w:r w:rsidRPr="00F44C75">
        <w:t>régions à risque</w:t>
      </w:r>
      <w:r w:rsidRPr="009B6952">
        <w:t xml:space="preserve"> nutritionnel</w:t>
      </w:r>
    </w:p>
    <w:p w:rsidR="00CB399B" w:rsidRPr="009B6952" w:rsidRDefault="00CB399B" w:rsidP="00CB399B">
      <w:pPr>
        <w:pStyle w:val="HChG"/>
      </w:pPr>
      <w:r w:rsidRPr="009B6952">
        <w:br w:type="page"/>
      </w:r>
      <w:r w:rsidRPr="009B6952">
        <w:tab/>
      </w:r>
      <w:r w:rsidRPr="009B6952">
        <w:tab/>
        <w:t>Introduction</w:t>
      </w:r>
    </w:p>
    <w:p w:rsidR="00CB399B" w:rsidRPr="009B6952" w:rsidRDefault="00CB399B" w:rsidP="00CB399B">
      <w:pPr>
        <w:pStyle w:val="SingleTxtG"/>
      </w:pPr>
      <w:r w:rsidRPr="009B6952">
        <w:t>1.</w:t>
      </w:r>
      <w:r w:rsidRPr="009B6952">
        <w:tab/>
        <w:t xml:space="preserve">Le Pacte </w:t>
      </w:r>
      <w:r>
        <w:t>i</w:t>
      </w:r>
      <w:r w:rsidRPr="009B6952">
        <w:t>nternational relatif aux droits économiques, sociaux et culturels, adopté le 16 Décembre 1966, est entré en vigueur le 3 Janvier 1</w:t>
      </w:r>
      <w:r>
        <w:t>976. Le Rwanda y a adhéré le 16 </w:t>
      </w:r>
      <w:r w:rsidRPr="009B6952">
        <w:t>Avril 1975. Le Pacte a été intégré dans la légis</w:t>
      </w:r>
      <w:r>
        <w:t xml:space="preserve">lation interne par Décret-loi </w:t>
      </w:r>
      <w:r>
        <w:rPr>
          <w:rFonts w:eastAsia="MS Mincho"/>
        </w:rPr>
        <w:t>n</w:t>
      </w:r>
      <w:r>
        <w:rPr>
          <w:rFonts w:eastAsia="MS Mincho"/>
          <w:vertAlign w:val="superscript"/>
        </w:rPr>
        <w:t>o</w:t>
      </w:r>
      <w:r>
        <w:t xml:space="preserve"> </w:t>
      </w:r>
      <w:r w:rsidRPr="009B6952">
        <w:t>8/75 du 12 Février 1975 (J.O., 1975, p.</w:t>
      </w:r>
      <w:r>
        <w:t xml:space="preserve"> </w:t>
      </w:r>
      <w:r w:rsidRPr="009B6952">
        <w:t xml:space="preserve">230). </w:t>
      </w:r>
    </w:p>
    <w:p w:rsidR="00CB399B" w:rsidRPr="009B6952" w:rsidRDefault="00CB399B" w:rsidP="00CB399B">
      <w:pPr>
        <w:pStyle w:val="SingleTxtG"/>
      </w:pPr>
      <w:r w:rsidRPr="009B6952">
        <w:t>2.</w:t>
      </w:r>
      <w:r w:rsidRPr="009B6952">
        <w:tab/>
        <w:t xml:space="preserve">Le </w:t>
      </w:r>
      <w:r>
        <w:t>G</w:t>
      </w:r>
      <w:r w:rsidRPr="009B6952">
        <w:t>ouvernement rwandais avait émis une réserve à l</w:t>
      </w:r>
      <w:r w:rsidR="00B861F1">
        <w:t>’</w:t>
      </w:r>
      <w:r w:rsidRPr="009B6952">
        <w:t xml:space="preserve">article 13 du Pacte lors de son adhésion. Elle se lisait comme suit </w:t>
      </w:r>
      <w:r>
        <w:t>«</w:t>
      </w:r>
      <w:r w:rsidRPr="009B6952">
        <w:t>En ce qui a trait à l</w:t>
      </w:r>
      <w:r w:rsidR="00B861F1">
        <w:t>’</w:t>
      </w:r>
      <w:r w:rsidRPr="009B6952">
        <w:t>éducation, le gouvernement rwandais est lié par les dispositions de sa constitution</w:t>
      </w:r>
      <w:r>
        <w:t>»</w:t>
      </w:r>
      <w:r w:rsidRPr="009B6952">
        <w:t xml:space="preserve">. </w:t>
      </w:r>
    </w:p>
    <w:p w:rsidR="00CB399B" w:rsidRPr="009B6952" w:rsidRDefault="00CB399B" w:rsidP="00CB399B">
      <w:pPr>
        <w:pStyle w:val="SingleTxtG"/>
      </w:pPr>
      <w:r w:rsidRPr="009B6952">
        <w:t>3.</w:t>
      </w:r>
      <w:r w:rsidRPr="009B6952">
        <w:tab/>
        <w:t>Cette réserve a été levée par l</w:t>
      </w:r>
      <w:r w:rsidR="00B861F1">
        <w:t>’</w:t>
      </w:r>
      <w:r w:rsidRPr="009B6952">
        <w:t>arrêté présidentiel</w:t>
      </w:r>
      <w:r w:rsidRPr="00EC4D18">
        <w:rPr>
          <w:sz w:val="18"/>
          <w:szCs w:val="18"/>
          <w:vertAlign w:val="superscript"/>
        </w:rPr>
        <w:footnoteReference w:id="3"/>
      </w:r>
      <w:r w:rsidRPr="009B6952">
        <w:t xml:space="preserve"> levant la réserve de la République du Rwanda à l</w:t>
      </w:r>
      <w:r w:rsidR="00B861F1">
        <w:t>’</w:t>
      </w:r>
      <w:r>
        <w:t xml:space="preserve">article </w:t>
      </w:r>
      <w:r w:rsidRPr="009B6952">
        <w:t xml:space="preserve">13 du Pacte international </w:t>
      </w:r>
      <w:r>
        <w:t>relatif aux</w:t>
      </w:r>
      <w:r w:rsidRPr="009B6952">
        <w:t xml:space="preserve"> droits économiques, sociaux et culturels (voir notification du dépositaire: CN.1034.2008 TREATIES-8).</w:t>
      </w:r>
      <w:r>
        <w:t xml:space="preserve"> </w:t>
      </w:r>
    </w:p>
    <w:p w:rsidR="005B52CA" w:rsidRDefault="00CB399B" w:rsidP="005B52CA">
      <w:pPr>
        <w:pStyle w:val="SingleTxtG"/>
      </w:pPr>
      <w:r w:rsidRPr="009B6952">
        <w:t>4.</w:t>
      </w:r>
      <w:r w:rsidRPr="009B6952">
        <w:tab/>
        <w:t xml:space="preserve">Le présent rapport est un document cumulé des rapports devant être présentés par la République du Rwanda conformément aux articles 16 &amp; 17 du Pacte </w:t>
      </w:r>
      <w:r>
        <w:t>i</w:t>
      </w:r>
      <w:r w:rsidRPr="009B6952">
        <w:t xml:space="preserve">nternational </w:t>
      </w:r>
      <w:r>
        <w:t>relatif aux</w:t>
      </w:r>
      <w:r w:rsidRPr="009B6952">
        <w:t xml:space="preserve"> droits économiques, sociaux et culturels. </w:t>
      </w:r>
    </w:p>
    <w:p w:rsidR="005B52CA" w:rsidRDefault="00CB399B" w:rsidP="005B52CA">
      <w:pPr>
        <w:pStyle w:val="SingleTxtG"/>
      </w:pPr>
      <w:r w:rsidRPr="009B6952">
        <w:t>Notons qu</w:t>
      </w:r>
      <w:r w:rsidR="00B861F1">
        <w:t>’</w:t>
      </w:r>
      <w:r w:rsidRPr="009B6952">
        <w:t>avant les directives de 1991, les rapports périodiques portaient sur certains articles seulement. Le dernier rapport</w:t>
      </w:r>
      <w:r>
        <w:t xml:space="preserve"> </w:t>
      </w:r>
      <w:r w:rsidRPr="009B6952">
        <w:t>périodique (le 2</w:t>
      </w:r>
      <w:r w:rsidRPr="009B6952">
        <w:rPr>
          <w:vertAlign w:val="superscript"/>
        </w:rPr>
        <w:t>ème</w:t>
      </w:r>
      <w:r w:rsidRPr="009B6952">
        <w:t xml:space="preserve"> rapport) portait seulement sur les articles 6 à 9, il avait été soumis par le Rwa</w:t>
      </w:r>
      <w:r>
        <w:t>nda le 9 Novembre 1987.</w:t>
      </w:r>
    </w:p>
    <w:p w:rsidR="00CB399B" w:rsidRPr="009B6952" w:rsidRDefault="00CB399B" w:rsidP="005B52CA">
      <w:pPr>
        <w:pStyle w:val="SingleTxtG"/>
      </w:pPr>
      <w:r w:rsidRPr="009B6952">
        <w:t>Ce présent rapport est un cumul des rapports suivants: le 2</w:t>
      </w:r>
      <w:r w:rsidRPr="009B6952">
        <w:rPr>
          <w:vertAlign w:val="superscript"/>
        </w:rPr>
        <w:t>ème</w:t>
      </w:r>
      <w:r>
        <w:rPr>
          <w:vertAlign w:val="superscript"/>
        </w:rPr>
        <w:t xml:space="preserve"> </w:t>
      </w:r>
      <w:r w:rsidRPr="009B6952">
        <w:t>rapport (art. 10 à 12) devant être présenté le 30 Juin 1990, le 3</w:t>
      </w:r>
      <w:r w:rsidRPr="009B6952">
        <w:rPr>
          <w:vertAlign w:val="superscript"/>
        </w:rPr>
        <w:t>ème</w:t>
      </w:r>
      <w:r>
        <w:t xml:space="preserve"> </w:t>
      </w:r>
      <w:r w:rsidRPr="009B6952">
        <w:t>rap</w:t>
      </w:r>
      <w:r>
        <w:t>port devant être présenté le 30 </w:t>
      </w:r>
      <w:r w:rsidRPr="009B6952">
        <w:t>Juin 1995, le 4</w:t>
      </w:r>
      <w:r w:rsidRPr="009B6952">
        <w:rPr>
          <w:vertAlign w:val="superscript"/>
        </w:rPr>
        <w:t>ème</w:t>
      </w:r>
      <w:r w:rsidRPr="009B6952">
        <w:t xml:space="preserve"> devant être présenté le 30 Juin 2000 et le 5</w:t>
      </w:r>
      <w:r w:rsidRPr="009B6952">
        <w:rPr>
          <w:vertAlign w:val="superscript"/>
        </w:rPr>
        <w:t>ème</w:t>
      </w:r>
      <w:r>
        <w:t xml:space="preserve"> </w:t>
      </w:r>
      <w:r w:rsidRPr="009B6952">
        <w:t xml:space="preserve">rapport devant être présenté le 30 Juin 2005. Il couvre la période qui </w:t>
      </w:r>
      <w:r>
        <w:t>s</w:t>
      </w:r>
      <w:r w:rsidR="00B861F1">
        <w:t>’</w:t>
      </w:r>
      <w:r>
        <w:t>étend</w:t>
      </w:r>
      <w:r w:rsidRPr="009B6952">
        <w:t xml:space="preserve"> de la soumission du dernier rapport </w:t>
      </w:r>
      <w:r>
        <w:t>à</w:t>
      </w:r>
      <w:r w:rsidRPr="009B6952">
        <w:t xml:space="preserve"> juillet 2009.</w:t>
      </w:r>
    </w:p>
    <w:p w:rsidR="00CB399B" w:rsidRPr="009B6952" w:rsidRDefault="00CB399B" w:rsidP="00CB399B">
      <w:pPr>
        <w:pStyle w:val="SingleTxtG"/>
      </w:pPr>
      <w:r w:rsidRPr="009B6952">
        <w:t>5.</w:t>
      </w:r>
      <w:r w:rsidRPr="009B6952">
        <w:tab/>
        <w:t>Le retard dans la soumission des rapports</w:t>
      </w:r>
      <w:r>
        <w:t>,</w:t>
      </w:r>
      <w:r w:rsidRPr="009B6952">
        <w:t xml:space="preserve"> tel</w:t>
      </w:r>
      <w:r>
        <w:t>le</w:t>
      </w:r>
      <w:r w:rsidRPr="009B6952">
        <w:t xml:space="preserve"> que prévu</w:t>
      </w:r>
      <w:r>
        <w:t>e</w:t>
      </w:r>
      <w:r w:rsidRPr="009B6952">
        <w:t xml:space="preserve"> dans le Pacte</w:t>
      </w:r>
      <w:r>
        <w:t>,</w:t>
      </w:r>
      <w:r w:rsidRPr="009B6952">
        <w:t xml:space="preserve"> est en partie dû aux services techniques chargés de la rédaction des rapports à soumettre au </w:t>
      </w:r>
      <w:r>
        <w:t>C</w:t>
      </w:r>
      <w:r w:rsidRPr="009B6952">
        <w:t xml:space="preserve">omité des Nations Unies, </w:t>
      </w:r>
      <w:r>
        <w:t xml:space="preserve">qui sont </w:t>
      </w:r>
      <w:r w:rsidRPr="009B6952">
        <w:t xml:space="preserve">inadéquats. </w:t>
      </w:r>
    </w:p>
    <w:p w:rsidR="00CB399B" w:rsidRPr="009B6952" w:rsidRDefault="00CB399B" w:rsidP="00CB399B">
      <w:pPr>
        <w:pStyle w:val="SingleTxtG"/>
      </w:pPr>
      <w:r w:rsidRPr="009B6952">
        <w:t>6.</w:t>
      </w:r>
      <w:r w:rsidRPr="009B6952">
        <w:tab/>
        <w:t>Il est aussi dû à la situation de crise que le pays a connue, finissant par conduire au génocide des Tutsi de 1994. L</w:t>
      </w:r>
      <w:r w:rsidR="00B861F1">
        <w:t>’</w:t>
      </w:r>
      <w:r w:rsidRPr="009B6952">
        <w:t>après-génocide a été caractérisé par une période d</w:t>
      </w:r>
      <w:r w:rsidR="00B861F1">
        <w:t>’</w:t>
      </w:r>
      <w:r w:rsidRPr="009B6952">
        <w:t>urgence, le pays faisait face à de grands défis comme la situation des personnes déplacées, la multiplicité des personnes vulnérables comme les veuves, enfants orphelins et autres ainsi que le problème des réfugiés</w:t>
      </w:r>
      <w:r>
        <w:t xml:space="preserve"> –</w:t>
      </w:r>
      <w:r w:rsidRPr="009B6952">
        <w:t xml:space="preserve"> ceux qui pendant des décennies ne pouvaient rentrer dans leur pays, et ceux</w:t>
      </w:r>
      <w:r>
        <w:t xml:space="preserve"> ayant fui</w:t>
      </w:r>
      <w:r w:rsidRPr="009B6952">
        <w:t xml:space="preserve"> plus récemment en 1994 se retrouvant pris en otage dans les pays limitrophes et servant de bouclier à ceux qui avaient planifié et mis à exécution le génocide. De plus</w:t>
      </w:r>
      <w:r>
        <w:t>,</w:t>
      </w:r>
      <w:r w:rsidRPr="009B6952">
        <w:t xml:space="preserve"> l</w:t>
      </w:r>
      <w:r w:rsidR="00B861F1">
        <w:t>’</w:t>
      </w:r>
      <w:r w:rsidRPr="009B6952">
        <w:t>activité économique s</w:t>
      </w:r>
      <w:r w:rsidR="00B861F1">
        <w:t>’</w:t>
      </w:r>
      <w:r w:rsidRPr="009B6952">
        <w:t>était totalement arrêtée et les services sociaux avaient pratiquement cessé de fonctionner. Par ailleurs</w:t>
      </w:r>
      <w:r>
        <w:t>,</w:t>
      </w:r>
      <w:r w:rsidRPr="009B6952">
        <w:t xml:space="preserve"> la confiance de la population en l</w:t>
      </w:r>
      <w:r w:rsidR="00B861F1">
        <w:t>’</w:t>
      </w:r>
      <w:r w:rsidRPr="009B6952">
        <w:t>État avait été brisée. Le Gouvernement s</w:t>
      </w:r>
      <w:r w:rsidR="00B861F1">
        <w:t>’</w:t>
      </w:r>
      <w:r w:rsidRPr="009B6952">
        <w:t>est d</w:t>
      </w:r>
      <w:r w:rsidR="00B861F1">
        <w:t>’</w:t>
      </w:r>
      <w:r w:rsidRPr="009B6952">
        <w:t>abord attelé à la reconstruction du tissu social, économique et politique.</w:t>
      </w:r>
      <w:r>
        <w:t xml:space="preserve"> </w:t>
      </w:r>
    </w:p>
    <w:p w:rsidR="00CB399B" w:rsidRPr="009B6952" w:rsidRDefault="00CB399B" w:rsidP="00CB399B">
      <w:pPr>
        <w:pStyle w:val="SingleTxtG"/>
      </w:pPr>
      <w:r w:rsidRPr="009B6952">
        <w:t>7.</w:t>
      </w:r>
      <w:r w:rsidRPr="009B6952">
        <w:tab/>
        <w:t xml:space="preserve">Ce Pacte a, tout comme les autres traités et instruments internationaux, toute sa place et </w:t>
      </w:r>
      <w:r>
        <w:t xml:space="preserve">toute son </w:t>
      </w:r>
      <w:r w:rsidRPr="009B6952">
        <w:t>importance dans la législation rwandaise interne, ainsi que cela est prévu à l</w:t>
      </w:r>
      <w:r w:rsidR="00B861F1">
        <w:t>’</w:t>
      </w:r>
      <w:r>
        <w:t xml:space="preserve">article </w:t>
      </w:r>
      <w:r w:rsidRPr="009B6952">
        <w:t>190 de la Constitution</w:t>
      </w:r>
      <w:r w:rsidRPr="00EC4D18">
        <w:rPr>
          <w:sz w:val="18"/>
          <w:szCs w:val="18"/>
          <w:vertAlign w:val="superscript"/>
        </w:rPr>
        <w:footnoteReference w:id="4"/>
      </w:r>
      <w:r w:rsidRPr="009B6952">
        <w:t xml:space="preserve"> du Rwanda</w:t>
      </w:r>
      <w:r>
        <w:t>,</w:t>
      </w:r>
      <w:r w:rsidRPr="009B6952">
        <w:t xml:space="preserve"> qui prévoit que</w:t>
      </w:r>
      <w:r>
        <w:t xml:space="preserve"> </w:t>
      </w:r>
      <w:r w:rsidRPr="009B6952">
        <w:t>les traités et accords internationaux régulièrement ratifiés ou approuvés ont, dès leur publication au Journal Officiel, une autorité supérieure à celle des lois organiques et des lois ordinaires, sous réserve, pour chaque accord ou traité, de son application par l</w:t>
      </w:r>
      <w:r w:rsidR="00B861F1">
        <w:t>’</w:t>
      </w:r>
      <w:r w:rsidRPr="009B6952">
        <w:t xml:space="preserve">autre partie. </w:t>
      </w:r>
    </w:p>
    <w:p w:rsidR="00CB399B" w:rsidRPr="009B6952" w:rsidRDefault="00CB399B" w:rsidP="00CB399B">
      <w:pPr>
        <w:pStyle w:val="SingleTxtG"/>
      </w:pPr>
      <w:r w:rsidRPr="009B6952">
        <w:t>8.</w:t>
      </w:r>
      <w:r w:rsidRPr="009B6952">
        <w:tab/>
        <w:t>Ce travail n</w:t>
      </w:r>
      <w:r w:rsidR="00B861F1">
        <w:t>’</w:t>
      </w:r>
      <w:r w:rsidRPr="009B6952">
        <w:t>aurait pu s</w:t>
      </w:r>
      <w:r w:rsidR="00B861F1">
        <w:t>’</w:t>
      </w:r>
      <w:r w:rsidRPr="009B6952">
        <w:t>achever sans l</w:t>
      </w:r>
      <w:r w:rsidR="00B861F1">
        <w:t>’</w:t>
      </w:r>
      <w:r w:rsidRPr="009B6952">
        <w:t>aide et la coopération de diverses institutions étatiques et de la société civile et autres organisations gouvernementales. Ces dernières jouent particulièrement un rôle important dans l</w:t>
      </w:r>
      <w:r w:rsidR="00B861F1">
        <w:t>’</w:t>
      </w:r>
      <w:r w:rsidRPr="009B6952">
        <w:t>exercice, la promotion et le développement des droits prévus dans le Pacte.</w:t>
      </w:r>
      <w:r>
        <w:t xml:space="preserve"> </w:t>
      </w:r>
    </w:p>
    <w:p w:rsidR="00CB399B" w:rsidRPr="009B6952" w:rsidRDefault="00CB399B" w:rsidP="00CB399B">
      <w:pPr>
        <w:pStyle w:val="SingleTxtG"/>
      </w:pPr>
      <w:r w:rsidRPr="009B6952">
        <w:t>9.</w:t>
      </w:r>
      <w:r w:rsidRPr="009B6952">
        <w:tab/>
        <w:t xml:space="preserve">Notons particulièrement certaines organisations nationales de la société civile </w:t>
      </w:r>
      <w:r>
        <w:t>en ce qui concerne</w:t>
      </w:r>
      <w:r w:rsidRPr="009B6952">
        <w:t xml:space="preserve"> les droits reconnus dans ce Pacte. Elles ont collaboré dans la collecte de</w:t>
      </w:r>
      <w:r>
        <w:t>s</w:t>
      </w:r>
      <w:r w:rsidRPr="009B6952">
        <w:t xml:space="preserve"> données factuelles: </w:t>
      </w:r>
    </w:p>
    <w:p w:rsidR="00CB399B" w:rsidRPr="009B6952" w:rsidRDefault="00CB399B" w:rsidP="00CB399B">
      <w:pPr>
        <w:pStyle w:val="SingleTxtG"/>
        <w:ind w:firstLine="567"/>
      </w:pPr>
      <w:r>
        <w:t>a)</w:t>
      </w:r>
      <w:r>
        <w:tab/>
      </w:r>
      <w:r w:rsidRPr="009B6952">
        <w:t>Le FARG: Le Fonds d</w:t>
      </w:r>
      <w:r w:rsidR="00B861F1">
        <w:t>’</w:t>
      </w:r>
      <w:r w:rsidRPr="009B6952">
        <w:t>Assistance aux Rescapés du Génocide contre les Tutsi. C</w:t>
      </w:r>
      <w:r w:rsidR="00B861F1">
        <w:t>’</w:t>
      </w:r>
      <w:r w:rsidRPr="009B6952">
        <w:t xml:space="preserve">est une organisation gouvernementale créée en 1998 pour pallier </w:t>
      </w:r>
      <w:r>
        <w:t>les</w:t>
      </w:r>
      <w:r w:rsidRPr="009B6952">
        <w:t xml:space="preserve"> problèmes récurrents dus au génocide contre les </w:t>
      </w:r>
      <w:r>
        <w:t>T</w:t>
      </w:r>
      <w:r w:rsidRPr="009B6952">
        <w:t>utsi. Il se focalise sur les secteurs de l</w:t>
      </w:r>
      <w:r w:rsidR="00B861F1">
        <w:t>’</w:t>
      </w:r>
      <w:r w:rsidRPr="009B6952">
        <w:t>éducation, la santé et le logem</w:t>
      </w:r>
      <w:r>
        <w:t>ent de ces personnes;</w:t>
      </w:r>
    </w:p>
    <w:p w:rsidR="00CB399B" w:rsidRPr="009B6952" w:rsidRDefault="00CB399B" w:rsidP="00CB399B">
      <w:pPr>
        <w:pStyle w:val="SingleTxtG"/>
        <w:ind w:firstLine="567"/>
      </w:pPr>
      <w:r>
        <w:t>b)</w:t>
      </w:r>
      <w:r>
        <w:tab/>
      </w:r>
      <w:r w:rsidRPr="009B6952">
        <w:t>Le CCOAIB: le Conseil de Concertation des Organisations d</w:t>
      </w:r>
      <w:r w:rsidR="00B861F1">
        <w:t>’</w:t>
      </w:r>
      <w:r w:rsidRPr="009B6952">
        <w:t>Appui aux Initiatives de Base. C</w:t>
      </w:r>
      <w:r w:rsidR="00B861F1">
        <w:t>’</w:t>
      </w:r>
      <w:r w:rsidRPr="009B6952">
        <w:t>est un collectif d</w:t>
      </w:r>
      <w:r w:rsidR="00B861F1">
        <w:t>’</w:t>
      </w:r>
      <w:r w:rsidRPr="009B6952">
        <w:t>ONG rwandaises de développement. Sa vision étant la promotion d</w:t>
      </w:r>
      <w:r w:rsidR="00B861F1">
        <w:t>’</w:t>
      </w:r>
      <w:r w:rsidRPr="009B6952">
        <w:t>une plus grande participation de la population à son propre développement</w:t>
      </w:r>
      <w:r>
        <w:t>;</w:t>
      </w:r>
    </w:p>
    <w:p w:rsidR="00CB399B" w:rsidRPr="009B6952" w:rsidRDefault="00CB399B" w:rsidP="00CB399B">
      <w:pPr>
        <w:pStyle w:val="SingleTxtG"/>
        <w:ind w:firstLine="567"/>
      </w:pPr>
      <w:r>
        <w:t>c)</w:t>
      </w:r>
      <w:r>
        <w:tab/>
      </w:r>
      <w:r w:rsidRPr="009B6952">
        <w:t>La CESTRAR: la Centrale Syndicale des Travailleurs du Rwanda. C</w:t>
      </w:r>
      <w:r w:rsidR="00B861F1">
        <w:t>’</w:t>
      </w:r>
      <w:r w:rsidRPr="009B6952">
        <w:t>est le plus ancien regroupement syndical au Rwanda, représentant aujourd</w:t>
      </w:r>
      <w:r w:rsidR="00B861F1">
        <w:t>’</w:t>
      </w:r>
      <w:r w:rsidRPr="009B6952">
        <w:t>hui la plus grande majorité des travailleurs syndiqués</w:t>
      </w:r>
      <w:r>
        <w:t xml:space="preserve">; </w:t>
      </w:r>
    </w:p>
    <w:p w:rsidR="00CB399B" w:rsidRPr="009B6952" w:rsidRDefault="00CB399B" w:rsidP="00CB399B">
      <w:pPr>
        <w:pStyle w:val="SingleTxtG"/>
        <w:ind w:firstLine="567"/>
      </w:pPr>
      <w:r>
        <w:t>d)</w:t>
      </w:r>
      <w:r>
        <w:tab/>
      </w:r>
      <w:r w:rsidRPr="009B6952">
        <w:t>Le CLADHO: Collectif des Ligues et Associations de Défense des Droits de l</w:t>
      </w:r>
      <w:r w:rsidR="00B861F1">
        <w:t>’</w:t>
      </w:r>
      <w:r w:rsidRPr="009B6952">
        <w:t>Homme au Rwanda (CLADHO)</w:t>
      </w:r>
      <w:r>
        <w:t>;</w:t>
      </w:r>
      <w:r w:rsidRPr="009B6952">
        <w:t xml:space="preserve"> </w:t>
      </w:r>
    </w:p>
    <w:p w:rsidR="00CB399B" w:rsidRPr="009B6952" w:rsidRDefault="00CB399B" w:rsidP="00CB399B">
      <w:pPr>
        <w:pStyle w:val="SingleTxtG"/>
        <w:ind w:firstLine="567"/>
      </w:pPr>
      <w:r>
        <w:t>e)</w:t>
      </w:r>
      <w:r>
        <w:tab/>
      </w:r>
      <w:r w:rsidRPr="009B6952">
        <w:t>Collectif pour la liberté et les droits de la femme au Rwanda (PROMMES/TWESE HAMWE).</w:t>
      </w:r>
    </w:p>
    <w:p w:rsidR="00CB399B" w:rsidRPr="009B6952" w:rsidRDefault="00CB399B" w:rsidP="00CB399B">
      <w:pPr>
        <w:pStyle w:val="SingleTxtG"/>
      </w:pPr>
      <w:r w:rsidRPr="009B6952">
        <w:t>10.</w:t>
      </w:r>
      <w:r w:rsidRPr="009B6952">
        <w:tab/>
        <w:t>Notons également</w:t>
      </w:r>
      <w:r>
        <w:t xml:space="preserve"> </w:t>
      </w:r>
      <w:r w:rsidRPr="009B6952">
        <w:t>le rôle joué dans la collecte des données par les organisations internationales comme</w:t>
      </w:r>
      <w:r>
        <w:t xml:space="preserve"> </w:t>
      </w:r>
      <w:r w:rsidRPr="009B6952">
        <w:t xml:space="preserve">CAIRE International, World Vision etc. et les </w:t>
      </w:r>
      <w:r>
        <w:t>institutions spécialisées</w:t>
      </w:r>
      <w:r w:rsidRPr="009B6952">
        <w:t xml:space="preserve"> des Nations Unies comme </w:t>
      </w:r>
      <w:r>
        <w:t>le PNUD</w:t>
      </w:r>
      <w:r w:rsidRPr="009B6952">
        <w:t>, l</w:t>
      </w:r>
      <w:r w:rsidR="00B861F1">
        <w:t>’</w:t>
      </w:r>
      <w:r w:rsidRPr="009B6952">
        <w:t>U</w:t>
      </w:r>
      <w:r w:rsidRPr="00F17E0B">
        <w:rPr>
          <w:caps/>
        </w:rPr>
        <w:t>nicef</w:t>
      </w:r>
      <w:r w:rsidRPr="009B6952">
        <w:t>, etc.</w:t>
      </w:r>
    </w:p>
    <w:p w:rsidR="00CB399B" w:rsidRPr="009B6952" w:rsidRDefault="00CB399B" w:rsidP="00CB399B">
      <w:pPr>
        <w:pStyle w:val="SingleTxtG"/>
      </w:pPr>
      <w:r w:rsidRPr="009B6952">
        <w:t>11.</w:t>
      </w:r>
      <w:r w:rsidRPr="009B6952">
        <w:tab/>
        <w:t>Ce travail est divisé en deux grandes parties. La première consiste en la présentation du Rwanda au point de vue institutionnel et socioéconomique; quant à la seconde partie, elle présente les mesures d</w:t>
      </w:r>
      <w:r w:rsidR="00B861F1">
        <w:t>’</w:t>
      </w:r>
      <w:r w:rsidRPr="009B6952">
        <w:t>exécution prises en application des droits contenus dans ce Pacte.</w:t>
      </w:r>
    </w:p>
    <w:p w:rsidR="00CB399B" w:rsidRPr="009B6952" w:rsidRDefault="00CB399B" w:rsidP="00CB399B">
      <w:pPr>
        <w:pStyle w:val="HChG"/>
      </w:pPr>
      <w:r>
        <w:tab/>
      </w:r>
      <w:r w:rsidRPr="009B6952">
        <w:t>I.</w:t>
      </w:r>
      <w:r>
        <w:tab/>
      </w:r>
      <w:r w:rsidRPr="009B6952">
        <w:t>Informations sommaires sur le Rwanda</w:t>
      </w:r>
    </w:p>
    <w:p w:rsidR="00CB399B" w:rsidRPr="009B6952" w:rsidRDefault="00CB399B" w:rsidP="00CB399B">
      <w:pPr>
        <w:pStyle w:val="H1G"/>
      </w:pPr>
      <w:r>
        <w:tab/>
        <w:t>A.</w:t>
      </w:r>
      <w:r>
        <w:tab/>
      </w:r>
      <w:r w:rsidRPr="009B6952">
        <w:t>Présentation du Rwanda</w:t>
      </w:r>
    </w:p>
    <w:p w:rsidR="00CB399B" w:rsidRPr="009B6952" w:rsidRDefault="00CB399B" w:rsidP="00CB399B">
      <w:pPr>
        <w:pStyle w:val="SingleTxtG"/>
      </w:pPr>
      <w:r w:rsidRPr="009B6952">
        <w:t>12.</w:t>
      </w:r>
      <w:r w:rsidRPr="009B6952">
        <w:tab/>
        <w:t>La République du Rwanda est un pays enclavé de l</w:t>
      </w:r>
      <w:r w:rsidR="00B861F1">
        <w:t>’</w:t>
      </w:r>
      <w:r w:rsidRPr="009B6952">
        <w:t>Afrique Centrale</w:t>
      </w:r>
      <w:r>
        <w:t>,</w:t>
      </w:r>
      <w:r w:rsidRPr="009B6952">
        <w:t xml:space="preserve"> situé entre l</w:t>
      </w:r>
      <w:r w:rsidR="00B861F1">
        <w:t>’</w:t>
      </w:r>
      <w:r w:rsidRPr="009B6952">
        <w:t>Ouganda au Nord, le Burundi au Sud, la Tanzanie à l</w:t>
      </w:r>
      <w:r w:rsidR="00B861F1">
        <w:t>’</w:t>
      </w:r>
      <w:r w:rsidRPr="009B6952">
        <w:t>Est et la République Démocratique du Congo à l</w:t>
      </w:r>
      <w:r w:rsidR="00B861F1">
        <w:t>’</w:t>
      </w:r>
      <w:r w:rsidRPr="009B6952">
        <w:t>Ouest. Il s</w:t>
      </w:r>
      <w:r w:rsidR="00B861F1">
        <w:t>’</w:t>
      </w:r>
      <w:r w:rsidRPr="009B6952">
        <w:t>étend sur une superficie de 26</w:t>
      </w:r>
      <w:r>
        <w:t xml:space="preserve"> </w:t>
      </w:r>
      <w:r w:rsidRPr="009B6952">
        <w:t>338 km</w:t>
      </w:r>
      <w:r w:rsidRPr="009B6952">
        <w:rPr>
          <w:vertAlign w:val="superscript"/>
        </w:rPr>
        <w:t>2</w:t>
      </w:r>
      <w:r>
        <w:rPr>
          <w:vertAlign w:val="superscript"/>
        </w:rPr>
        <w:t xml:space="preserve"> </w:t>
      </w:r>
      <w:r w:rsidRPr="009B6952">
        <w:t>et se situe entre 1° et 3° de latitude sud et 29-31° de longitude Est et jouit d</w:t>
      </w:r>
      <w:r w:rsidR="00B861F1">
        <w:t>’</w:t>
      </w:r>
      <w:r w:rsidRPr="009B6952">
        <w:t xml:space="preserve">un climat tropical de montagne. </w:t>
      </w:r>
    </w:p>
    <w:p w:rsidR="00CB399B" w:rsidRPr="009B6952" w:rsidRDefault="00CB399B" w:rsidP="00CB399B">
      <w:pPr>
        <w:pStyle w:val="SingleTxtG"/>
      </w:pPr>
      <w:r w:rsidRPr="009B6952">
        <w:t>13.</w:t>
      </w:r>
      <w:r w:rsidRPr="009B6952">
        <w:tab/>
        <w:t>La population actuelle</w:t>
      </w:r>
      <w:r w:rsidRPr="00EC4D18">
        <w:rPr>
          <w:sz w:val="18"/>
          <w:szCs w:val="18"/>
          <w:vertAlign w:val="superscript"/>
        </w:rPr>
        <w:footnoteReference w:id="5"/>
      </w:r>
      <w:r w:rsidRPr="009B6952">
        <w:t xml:space="preserve"> est estimée à 9</w:t>
      </w:r>
      <w:r>
        <w:t xml:space="preserve"> </w:t>
      </w:r>
      <w:r w:rsidRPr="009B6952">
        <w:t>567</w:t>
      </w:r>
      <w:r>
        <w:t xml:space="preserve"> </w:t>
      </w:r>
      <w:r w:rsidRPr="009B6952">
        <w:t>190 millions d</w:t>
      </w:r>
      <w:r w:rsidR="00B861F1">
        <w:t>’</w:t>
      </w:r>
      <w:r w:rsidRPr="009B6952">
        <w:t>habitants et une densité</w:t>
      </w:r>
      <w:r w:rsidRPr="00EC4D18">
        <w:rPr>
          <w:sz w:val="18"/>
          <w:szCs w:val="18"/>
          <w:vertAlign w:val="superscript"/>
        </w:rPr>
        <w:footnoteReference w:id="6"/>
      </w:r>
      <w:r w:rsidRPr="009B6952">
        <w:t xml:space="preserve"> de 368 habitants par km</w:t>
      </w:r>
      <w:r w:rsidRPr="009B6952">
        <w:rPr>
          <w:vertAlign w:val="superscript"/>
        </w:rPr>
        <w:t>2</w:t>
      </w:r>
      <w:r w:rsidRPr="009B6952">
        <w:t xml:space="preserve">. Le pays est divisé en 4 provinces (Nord, Sud, Est, Ouest) et la ville de Kigali et en 30 Districts. </w:t>
      </w:r>
    </w:p>
    <w:p w:rsidR="00CB399B" w:rsidRPr="009B6952" w:rsidRDefault="00CB399B" w:rsidP="00CB399B">
      <w:pPr>
        <w:pStyle w:val="SingleTxtG"/>
      </w:pPr>
      <w:r w:rsidRPr="009B6952">
        <w:t>14.</w:t>
      </w:r>
      <w:r w:rsidRPr="009B6952">
        <w:tab/>
        <w:t>Depuis son indépendance en 1962, la République du Rwanda a connu des institutions caractérisées par des violations massives des droits de l</w:t>
      </w:r>
      <w:r w:rsidR="00B861F1">
        <w:t>’</w:t>
      </w:r>
      <w:r w:rsidRPr="009B6952">
        <w:t>homme. La politique de division au Rwanda avait entraîné et perpétué la politique de l</w:t>
      </w:r>
      <w:r w:rsidR="00B861F1">
        <w:t>’</w:t>
      </w:r>
      <w:r w:rsidRPr="009B6952">
        <w:t>exclusion ainsi que la haine ethnique et l</w:t>
      </w:r>
      <w:r w:rsidR="00B861F1">
        <w:t>’</w:t>
      </w:r>
      <w:r w:rsidRPr="009B6952">
        <w:t xml:space="preserve">intolérance dans le tissu social et politique du pays, ce qui culmina </w:t>
      </w:r>
      <w:r>
        <w:t xml:space="preserve">dans les </w:t>
      </w:r>
      <w:r w:rsidRPr="009B6952">
        <w:t xml:space="preserve">massacres et </w:t>
      </w:r>
      <w:r>
        <w:t xml:space="preserve">le </w:t>
      </w:r>
      <w:r w:rsidRPr="009B6952">
        <w:t xml:space="preserve">génocide </w:t>
      </w:r>
      <w:r>
        <w:t>d</w:t>
      </w:r>
      <w:r w:rsidRPr="009B6952">
        <w:t xml:space="preserve">es </w:t>
      </w:r>
      <w:r>
        <w:t>T</w:t>
      </w:r>
      <w:r w:rsidRPr="009B6952">
        <w:t>utsi en 1994.</w:t>
      </w:r>
    </w:p>
    <w:p w:rsidR="00CB399B" w:rsidRPr="009B6952" w:rsidRDefault="00CB399B" w:rsidP="00CB399B">
      <w:pPr>
        <w:pStyle w:val="SingleTxtG"/>
      </w:pPr>
      <w:r w:rsidRPr="009B6952">
        <w:t>15.</w:t>
      </w:r>
      <w:r w:rsidRPr="009B6952">
        <w:tab/>
        <w:t>Le Rwanda a depuis lors passé le cap d</w:t>
      </w:r>
      <w:r w:rsidR="00B861F1">
        <w:t>’</w:t>
      </w:r>
      <w:r w:rsidRPr="009B6952">
        <w:t xml:space="preserve">être dirigé par un </w:t>
      </w:r>
      <w:r>
        <w:t>Gouvernement</w:t>
      </w:r>
      <w:r w:rsidRPr="009B6952">
        <w:t xml:space="preserve"> de transition. </w:t>
      </w:r>
    </w:p>
    <w:p w:rsidR="00CB399B" w:rsidRPr="009B6952" w:rsidRDefault="00CB399B" w:rsidP="00CB399B">
      <w:pPr>
        <w:pStyle w:val="SingleTxtG"/>
      </w:pPr>
      <w:r w:rsidRPr="009B6952">
        <w:t>16.</w:t>
      </w:r>
      <w:r w:rsidRPr="009B6952">
        <w:tab/>
        <w:t>La transition ayant pris fin en 2003, le pays s</w:t>
      </w:r>
      <w:r w:rsidR="00B861F1">
        <w:t>’</w:t>
      </w:r>
      <w:r w:rsidRPr="009B6952">
        <w:t>est doté d</w:t>
      </w:r>
      <w:r w:rsidR="00B861F1">
        <w:t>’</w:t>
      </w:r>
      <w:r w:rsidRPr="009B6952">
        <w:t xml:space="preserve">une nouvelle </w:t>
      </w:r>
      <w:r>
        <w:t>C</w:t>
      </w:r>
      <w:r w:rsidRPr="009B6952">
        <w:t xml:space="preserve">onstitution et de nouvelles institutions démocratiquement élues. </w:t>
      </w:r>
    </w:p>
    <w:p w:rsidR="00CB399B" w:rsidRPr="009B6952" w:rsidRDefault="00CB399B" w:rsidP="00CB399B">
      <w:pPr>
        <w:pStyle w:val="SingleTxtG"/>
      </w:pPr>
      <w:r w:rsidRPr="009B6952">
        <w:t>17.</w:t>
      </w:r>
      <w:r w:rsidRPr="009B6952">
        <w:tab/>
        <w:t xml:space="preserve">Cette Constitution a constitué </w:t>
      </w:r>
      <w:r>
        <w:t>la</w:t>
      </w:r>
      <w:r w:rsidRPr="009B6952">
        <w:t xml:space="preserve"> pierre angulaire de la fin de la transition. Elle garantit les libertés et droits fondamentaux </w:t>
      </w:r>
      <w:r>
        <w:t>de</w:t>
      </w:r>
      <w:r w:rsidRPr="009B6952">
        <w:t xml:space="preserve"> tout citoyen et prévoit l</w:t>
      </w:r>
      <w:r w:rsidR="00B861F1">
        <w:t>’</w:t>
      </w:r>
      <w:r w:rsidRPr="009B6952">
        <w:t>établissement d</w:t>
      </w:r>
      <w:r w:rsidR="00B861F1">
        <w:t>’</w:t>
      </w:r>
      <w:r w:rsidRPr="009B6952">
        <w:t xml:space="preserve">institutions pour asseoir la démocratie. Parmi les principes fondamentaux de la nouvelle Constitution, on citera: </w:t>
      </w:r>
    </w:p>
    <w:p w:rsidR="00CB399B" w:rsidRPr="009B6952" w:rsidRDefault="00CB399B" w:rsidP="00CB399B">
      <w:pPr>
        <w:pStyle w:val="SingleTxtG"/>
        <w:ind w:firstLine="567"/>
      </w:pPr>
      <w:r>
        <w:t>a)</w:t>
      </w:r>
      <w:r>
        <w:tab/>
      </w:r>
      <w:r w:rsidRPr="009B6952">
        <w:t>L</w:t>
      </w:r>
      <w:r w:rsidR="00B861F1">
        <w:t>’</w:t>
      </w:r>
      <w:r w:rsidRPr="009B6952">
        <w:t>édification d</w:t>
      </w:r>
      <w:r w:rsidR="00B861F1">
        <w:t>’</w:t>
      </w:r>
      <w:r w:rsidRPr="009B6952">
        <w:t>un État de droit fondé sur le respect des libertés et droits fondamentaux de la personne, l</w:t>
      </w:r>
      <w:r w:rsidR="00B861F1">
        <w:t>’</w:t>
      </w:r>
      <w:r w:rsidRPr="009B6952">
        <w:t>égalité entre hommes et femmes reflétée par l</w:t>
      </w:r>
      <w:r w:rsidR="00B861F1">
        <w:t>’</w:t>
      </w:r>
      <w:r w:rsidRPr="009B6952">
        <w:t>attribution aux femmes d</w:t>
      </w:r>
      <w:r w:rsidR="00B861F1">
        <w:t>’</w:t>
      </w:r>
      <w:r w:rsidRPr="009B6952">
        <w:t>au moins 30</w:t>
      </w:r>
      <w:r>
        <w:t xml:space="preserve"> %</w:t>
      </w:r>
      <w:r w:rsidRPr="009B6952">
        <w:t xml:space="preserve"> des postes dans les instances de prise de décision; </w:t>
      </w:r>
    </w:p>
    <w:p w:rsidR="00CB399B" w:rsidRPr="009B6952" w:rsidRDefault="00CB399B" w:rsidP="00CB399B">
      <w:pPr>
        <w:pStyle w:val="SingleTxtG"/>
        <w:ind w:firstLine="567"/>
      </w:pPr>
      <w:r>
        <w:t>b)</w:t>
      </w:r>
      <w:r>
        <w:tab/>
      </w:r>
      <w:r w:rsidRPr="009B6952">
        <w:t>La lutte contre l</w:t>
      </w:r>
      <w:r w:rsidR="00B861F1">
        <w:t>’</w:t>
      </w:r>
      <w:r w:rsidRPr="009B6952">
        <w:t xml:space="preserve">idéologie du génocide contre les </w:t>
      </w:r>
      <w:r>
        <w:t>T</w:t>
      </w:r>
      <w:r w:rsidRPr="009B6952">
        <w:t>utsi et tout ce qui en fait foi;</w:t>
      </w:r>
    </w:p>
    <w:p w:rsidR="00CB399B" w:rsidRPr="009B6952" w:rsidRDefault="00CB399B" w:rsidP="00CB399B">
      <w:pPr>
        <w:pStyle w:val="SingleTxtG"/>
        <w:ind w:firstLine="567"/>
      </w:pPr>
      <w:r>
        <w:t>c)</w:t>
      </w:r>
      <w:r>
        <w:tab/>
      </w:r>
      <w:r w:rsidRPr="009B6952">
        <w:t>L</w:t>
      </w:r>
      <w:r w:rsidR="00B861F1">
        <w:t>’</w:t>
      </w:r>
      <w:r w:rsidRPr="009B6952">
        <w:t>édification d</w:t>
      </w:r>
      <w:r w:rsidR="00B861F1">
        <w:t>’</w:t>
      </w:r>
      <w:r w:rsidRPr="009B6952">
        <w:t>un État voué au bien-être de la population et à la justice sociale.</w:t>
      </w:r>
    </w:p>
    <w:p w:rsidR="00CB399B" w:rsidRPr="009B6952" w:rsidRDefault="00CB399B" w:rsidP="00CB399B">
      <w:pPr>
        <w:pStyle w:val="SingleTxtG"/>
      </w:pPr>
      <w:r w:rsidRPr="009B6952">
        <w:t>18.</w:t>
      </w:r>
      <w:r w:rsidRPr="009B6952">
        <w:tab/>
        <w:t xml:space="preserve">Le </w:t>
      </w:r>
      <w:r>
        <w:t>Gouvernement</w:t>
      </w:r>
      <w:r w:rsidRPr="009B6952">
        <w:t xml:space="preserve"> a entamé des réformes administratives et a mis en place des institutions chargées de la bonne gouvernance comme l</w:t>
      </w:r>
      <w:r w:rsidR="00B861F1">
        <w:t>’</w:t>
      </w:r>
      <w:r w:rsidRPr="009B6952">
        <w:t>office de l</w:t>
      </w:r>
      <w:r w:rsidR="00B861F1">
        <w:t>’</w:t>
      </w:r>
      <w:r w:rsidRPr="009B6952">
        <w:t>Ombudsman, l</w:t>
      </w:r>
      <w:r w:rsidR="00B861F1">
        <w:t>’</w:t>
      </w:r>
      <w:r w:rsidRPr="009B6952">
        <w:t xml:space="preserve">Observatoire du Genre, </w:t>
      </w:r>
      <w:r>
        <w:t>d</w:t>
      </w:r>
      <w:r w:rsidRPr="009B6952">
        <w:t>e multiples commissions (</w:t>
      </w:r>
      <w:r>
        <w:t xml:space="preserve">par </w:t>
      </w:r>
      <w:r w:rsidRPr="009B6952">
        <w:t>exemple: celle de la lutte contre le génocide, la Commission Nationale pour l</w:t>
      </w:r>
      <w:r w:rsidR="00B861F1">
        <w:t>’</w:t>
      </w:r>
      <w:r w:rsidRPr="009B6952">
        <w:t>Unité et la Réconciliation, etc.), différents conseils (des femmes et de la jeunesse)</w:t>
      </w:r>
      <w:r>
        <w:t xml:space="preserve">, mais aussi </w:t>
      </w:r>
      <w:r w:rsidRPr="009B6952">
        <w:t>les tribunaux G</w:t>
      </w:r>
      <w:r w:rsidRPr="009B6952">
        <w:rPr>
          <w:i/>
        </w:rPr>
        <w:t>acaca</w:t>
      </w:r>
      <w:r w:rsidRPr="009B6952">
        <w:t xml:space="preserve"> pour une justice transitoire, pour ne citer que ceux-là.</w:t>
      </w:r>
    </w:p>
    <w:p w:rsidR="00CB399B" w:rsidRPr="009B6952" w:rsidRDefault="00CB399B" w:rsidP="00CB399B">
      <w:pPr>
        <w:pStyle w:val="H1G"/>
      </w:pPr>
      <w:r>
        <w:tab/>
        <w:t>B.</w:t>
      </w:r>
      <w:r>
        <w:tab/>
      </w:r>
      <w:r w:rsidRPr="009B6952">
        <w:t xml:space="preserve">Cadre démographique </w:t>
      </w:r>
    </w:p>
    <w:p w:rsidR="00CB399B" w:rsidRPr="009B6952" w:rsidRDefault="00CB399B" w:rsidP="00CB399B">
      <w:pPr>
        <w:pStyle w:val="SingleTxtG"/>
      </w:pPr>
      <w:r>
        <w:t>19</w:t>
      </w:r>
      <w:r w:rsidRPr="009B6952">
        <w:t>.</w:t>
      </w:r>
      <w:r w:rsidRPr="009B6952">
        <w:tab/>
        <w:t>La richesse du Rwanda se trouve dans sa population homogène, 99,4</w:t>
      </w:r>
      <w:r w:rsidR="008E1473">
        <w:t> </w:t>
      </w:r>
      <w:r>
        <w:t>%</w:t>
      </w:r>
      <w:r w:rsidRPr="009B6952">
        <w:t xml:space="preserve"> de la population parle</w:t>
      </w:r>
      <w:r>
        <w:t>nt</w:t>
      </w:r>
      <w:r w:rsidRPr="009B6952">
        <w:t xml:space="preserve"> tous la même langue, le kinyarwanda. D</w:t>
      </w:r>
      <w:r w:rsidR="00B861F1">
        <w:t>’</w:t>
      </w:r>
      <w:r w:rsidRPr="009B6952">
        <w:t>autres langues sont aussi parlées: le français par 3,9</w:t>
      </w:r>
      <w:r>
        <w:t xml:space="preserve"> %</w:t>
      </w:r>
      <w:r w:rsidRPr="009B6952">
        <w:t>, l</w:t>
      </w:r>
      <w:r w:rsidR="00B861F1">
        <w:t>’</w:t>
      </w:r>
      <w:r w:rsidRPr="009B6952">
        <w:t>anglais par 1,9</w:t>
      </w:r>
      <w:r w:rsidR="008E1473">
        <w:t> </w:t>
      </w:r>
      <w:r>
        <w:t>%</w:t>
      </w:r>
      <w:r w:rsidRPr="009B6952">
        <w:t xml:space="preserve"> et le swahili par 3,0</w:t>
      </w:r>
      <w:r w:rsidR="008E1473">
        <w:t> </w:t>
      </w:r>
      <w:r>
        <w:t>%</w:t>
      </w:r>
      <w:r w:rsidRPr="009B6952">
        <w:t xml:space="preserve"> de la population</w:t>
      </w:r>
      <w:r w:rsidRPr="00EC4D18">
        <w:rPr>
          <w:sz w:val="18"/>
          <w:szCs w:val="18"/>
          <w:vertAlign w:val="superscript"/>
        </w:rPr>
        <w:footnoteReference w:id="7"/>
      </w:r>
      <w:r w:rsidRPr="009B6952">
        <w:t xml:space="preserve">. </w:t>
      </w:r>
    </w:p>
    <w:p w:rsidR="00CB399B" w:rsidRPr="009B6952" w:rsidRDefault="00CB399B" w:rsidP="00CB399B">
      <w:pPr>
        <w:pStyle w:val="SingleTxtG"/>
      </w:pPr>
      <w:r>
        <w:t>20</w:t>
      </w:r>
      <w:r w:rsidRPr="009B6952">
        <w:t>.</w:t>
      </w:r>
      <w:r w:rsidRPr="009B6952">
        <w:tab/>
        <w:t xml:space="preserve">Les </w:t>
      </w:r>
      <w:r>
        <w:t>R</w:t>
      </w:r>
      <w:r w:rsidRPr="009B6952">
        <w:t>wandais pratiquent à 49,8</w:t>
      </w:r>
      <w:r w:rsidR="008E1473">
        <w:t> </w:t>
      </w:r>
      <w:r>
        <w:t xml:space="preserve">% </w:t>
      </w:r>
      <w:r w:rsidRPr="009B6952">
        <w:t>la religion catholique, 27,3</w:t>
      </w:r>
      <w:r w:rsidR="008E1473">
        <w:t> </w:t>
      </w:r>
      <w:r>
        <w:t>%</w:t>
      </w:r>
      <w:r w:rsidRPr="009B6952">
        <w:t xml:space="preserve"> la </w:t>
      </w:r>
      <w:r>
        <w:t xml:space="preserve">religion </w:t>
      </w:r>
      <w:r w:rsidRPr="009B6952">
        <w:t>protestante et le reste se partage</w:t>
      </w:r>
      <w:r>
        <w:t xml:space="preserve"> entre</w:t>
      </w:r>
      <w:r w:rsidRPr="009B6952">
        <w:t xml:space="preserve"> les autres confessions religieuses comme la religion adventiste, musulmane et </w:t>
      </w:r>
      <w:r>
        <w:t xml:space="preserve">les </w:t>
      </w:r>
      <w:r w:rsidRPr="009B6952">
        <w:t>autres</w:t>
      </w:r>
      <w:r>
        <w:t xml:space="preserve"> religions</w:t>
      </w:r>
      <w:r w:rsidRPr="009B6952">
        <w:t xml:space="preserve">. </w:t>
      </w:r>
    </w:p>
    <w:p w:rsidR="00CB399B" w:rsidRPr="009B6952" w:rsidRDefault="00CB399B" w:rsidP="00CB399B">
      <w:pPr>
        <w:pStyle w:val="SingleTxtG"/>
      </w:pPr>
      <w:r w:rsidRPr="009B6952">
        <w:t>2</w:t>
      </w:r>
      <w:r>
        <w:t>1</w:t>
      </w:r>
      <w:r w:rsidRPr="009B6952">
        <w:t>.</w:t>
      </w:r>
      <w:r w:rsidRPr="009B6952">
        <w:tab/>
        <w:t>La population rwandaise est jeune: plus de 6 millions d</w:t>
      </w:r>
      <w:r w:rsidR="00B861F1">
        <w:t>’</w:t>
      </w:r>
      <w:r>
        <w:t>habitants ont moins de 25 </w:t>
      </w:r>
      <w:r w:rsidRPr="009B6952">
        <w:t>ans, alors que</w:t>
      </w:r>
      <w:r>
        <w:t xml:space="preserve"> </w:t>
      </w:r>
    </w:p>
    <w:p w:rsidR="00CB399B" w:rsidRPr="009B6952" w:rsidRDefault="00CB399B" w:rsidP="00CB399B">
      <w:pPr>
        <w:pStyle w:val="SingleTxtG"/>
        <w:ind w:firstLine="567"/>
      </w:pPr>
      <w:r>
        <w:t>a)</w:t>
      </w:r>
      <w:r>
        <w:tab/>
      </w:r>
      <w:r w:rsidRPr="009B6952">
        <w:t>La population de moins de 5 ans est de 16</w:t>
      </w:r>
      <w:r>
        <w:t>,</w:t>
      </w:r>
      <w:r w:rsidRPr="009B6952">
        <w:t>3</w:t>
      </w:r>
      <w:r>
        <w:t xml:space="preserve"> %;</w:t>
      </w:r>
    </w:p>
    <w:p w:rsidR="00CB399B" w:rsidRPr="009B6952" w:rsidRDefault="00CB399B" w:rsidP="00CB399B">
      <w:pPr>
        <w:pStyle w:val="SingleTxtG"/>
        <w:ind w:firstLine="567"/>
      </w:pPr>
      <w:r>
        <w:t>b)</w:t>
      </w:r>
      <w:r>
        <w:tab/>
      </w:r>
      <w:r w:rsidRPr="009B6952">
        <w:t>La population de moins de 15 ans est de 42</w:t>
      </w:r>
      <w:r>
        <w:t>,</w:t>
      </w:r>
      <w:r w:rsidRPr="009B6952">
        <w:t>1</w:t>
      </w:r>
      <w:r>
        <w:t xml:space="preserve"> %;</w:t>
      </w:r>
    </w:p>
    <w:p w:rsidR="00CB399B" w:rsidRPr="009B6952" w:rsidRDefault="00CB399B" w:rsidP="00CB399B">
      <w:pPr>
        <w:pStyle w:val="SingleTxtG"/>
        <w:ind w:firstLine="567"/>
      </w:pPr>
      <w:r>
        <w:t>c)</w:t>
      </w:r>
      <w:r>
        <w:tab/>
      </w:r>
      <w:r w:rsidRPr="009B6952">
        <w:t>La population de 15 à 64 ans est de 55</w:t>
      </w:r>
      <w:r>
        <w:t>,</w:t>
      </w:r>
      <w:r w:rsidRPr="009B6952">
        <w:t>2</w:t>
      </w:r>
      <w:r>
        <w:t xml:space="preserve"> %;</w:t>
      </w:r>
    </w:p>
    <w:p w:rsidR="00CB399B" w:rsidRPr="009B6952" w:rsidRDefault="00CB399B" w:rsidP="00CB399B">
      <w:pPr>
        <w:pStyle w:val="SingleTxtG"/>
        <w:ind w:firstLine="567"/>
      </w:pPr>
      <w:r>
        <w:t>d)</w:t>
      </w:r>
      <w:r>
        <w:tab/>
      </w:r>
      <w:r w:rsidRPr="009B6952">
        <w:t>La population de plus de 65 ans est de 2</w:t>
      </w:r>
      <w:r>
        <w:t>,</w:t>
      </w:r>
      <w:r w:rsidRPr="009B6952">
        <w:t>7</w:t>
      </w:r>
      <w:r>
        <w:t xml:space="preserve"> %;</w:t>
      </w:r>
    </w:p>
    <w:p w:rsidR="00CB399B" w:rsidRPr="009B6952" w:rsidRDefault="00CB399B" w:rsidP="00CB399B">
      <w:pPr>
        <w:pStyle w:val="SingleTxtG"/>
        <w:ind w:firstLine="567"/>
      </w:pPr>
      <w:r>
        <w:t>e)</w:t>
      </w:r>
      <w:r>
        <w:tab/>
      </w:r>
      <w:r w:rsidRPr="009B6952">
        <w:t>Et que l</w:t>
      </w:r>
      <w:r w:rsidR="00B861F1">
        <w:t>’</w:t>
      </w:r>
      <w:r w:rsidRPr="009B6952">
        <w:t xml:space="preserve">espérance de vie est de 50,2 ans pour les hommes et </w:t>
      </w:r>
      <w:r>
        <w:t xml:space="preserve">de </w:t>
      </w:r>
      <w:r w:rsidRPr="009B6952">
        <w:t>55,6 ans pour les femmes. L</w:t>
      </w:r>
      <w:r w:rsidR="00B861F1">
        <w:t>’</w:t>
      </w:r>
      <w:r w:rsidRPr="009B6952">
        <w:t>indice synthétique de fécondité est de 5,5 en 2008</w:t>
      </w:r>
      <w:r w:rsidRPr="00EC4D18">
        <w:rPr>
          <w:sz w:val="18"/>
          <w:szCs w:val="18"/>
          <w:vertAlign w:val="superscript"/>
        </w:rPr>
        <w:footnoteReference w:id="8"/>
      </w:r>
      <w:r w:rsidRPr="009B6952">
        <w:t>; le taux de croissance annuel est de 6</w:t>
      </w:r>
      <w:r>
        <w:t>,</w:t>
      </w:r>
      <w:r w:rsidRPr="009B6952">
        <w:t>0</w:t>
      </w:r>
      <w:r>
        <w:t xml:space="preserve"> %</w:t>
      </w:r>
      <w:r w:rsidRPr="009B6952">
        <w:t>. La majorité de la population du Rwanda vit en milieu rural, plus de 7 millions contre plus d</w:t>
      </w:r>
      <w:r w:rsidR="00B861F1">
        <w:t>’</w:t>
      </w:r>
      <w:r w:rsidRPr="009B6952">
        <w:t>1,8 million en zone urbaine</w:t>
      </w:r>
      <w:r w:rsidRPr="00EC4D18">
        <w:rPr>
          <w:sz w:val="18"/>
          <w:szCs w:val="18"/>
          <w:vertAlign w:val="superscript"/>
        </w:rPr>
        <w:footnoteReference w:id="9"/>
      </w:r>
      <w:r>
        <w:t>.</w:t>
      </w:r>
      <w:r w:rsidRPr="009B6952">
        <w:t xml:space="preserve"> Quant à la taille moyenne des ménages ordinaires, elle est de 4,53 personnes</w:t>
      </w:r>
      <w:r w:rsidRPr="00EC4D18">
        <w:rPr>
          <w:sz w:val="18"/>
          <w:szCs w:val="18"/>
          <w:vertAlign w:val="superscript"/>
        </w:rPr>
        <w:footnoteReference w:id="10"/>
      </w:r>
      <w:r w:rsidRPr="009B6952">
        <w:t>.</w:t>
      </w:r>
      <w:r>
        <w:t xml:space="preserve"> </w:t>
      </w:r>
    </w:p>
    <w:p w:rsidR="00CB399B" w:rsidRPr="009B6952" w:rsidRDefault="00CB399B" w:rsidP="00CB399B">
      <w:pPr>
        <w:pStyle w:val="H1G"/>
      </w:pPr>
      <w:r>
        <w:tab/>
        <w:t>C.</w:t>
      </w:r>
      <w:r>
        <w:tab/>
      </w:r>
      <w:r w:rsidRPr="009B6952">
        <w:t xml:space="preserve"> Cadre institutionnel</w:t>
      </w:r>
    </w:p>
    <w:p w:rsidR="00CB399B" w:rsidRPr="009B6952" w:rsidRDefault="00CB399B" w:rsidP="00CB399B">
      <w:pPr>
        <w:pStyle w:val="SingleTxtG"/>
      </w:pPr>
      <w:r>
        <w:t>22</w:t>
      </w:r>
      <w:r w:rsidRPr="009B6952">
        <w:t>.</w:t>
      </w:r>
      <w:r w:rsidRPr="009B6952">
        <w:tab/>
        <w:t>Au lendemain du génocide contre les Tutsi, le Gouvernement rwandais s</w:t>
      </w:r>
      <w:r w:rsidR="00B861F1">
        <w:t>’</w:t>
      </w:r>
      <w:r w:rsidRPr="009B6952">
        <w:t>est doté d</w:t>
      </w:r>
      <w:r w:rsidR="00B861F1">
        <w:t>’</w:t>
      </w:r>
      <w:r w:rsidRPr="009B6952">
        <w:t>institutions capables de consolider un État de droit. La Constitution a mis en place des structures de représentation et de participation des citoyens, en introduisant des organes et diverses commissions</w:t>
      </w:r>
      <w:r>
        <w:t xml:space="preserve">, comme le décrivent les paragraphes </w:t>
      </w:r>
      <w:r w:rsidRPr="009B6952">
        <w:t>suivants</w:t>
      </w:r>
      <w:r>
        <w:t>.</w:t>
      </w:r>
      <w:r w:rsidRPr="009B6952">
        <w:t xml:space="preserve"> </w:t>
      </w:r>
    </w:p>
    <w:p w:rsidR="00CB399B" w:rsidRPr="009B6952" w:rsidRDefault="00CB399B" w:rsidP="00CB399B">
      <w:pPr>
        <w:pStyle w:val="SingleTxtG"/>
      </w:pPr>
      <w:r w:rsidRPr="009B6952">
        <w:t>2</w:t>
      </w:r>
      <w:r>
        <w:t>3</w:t>
      </w:r>
      <w:r w:rsidRPr="009B6952">
        <w:t>.</w:t>
      </w:r>
      <w:r w:rsidRPr="009B6952">
        <w:tab/>
        <w:t>Les organes démocratiques</w:t>
      </w:r>
      <w:r>
        <w:t>,</w:t>
      </w:r>
      <w:r w:rsidRPr="009B6952">
        <w:t xml:space="preserve"> avec le pouvoir législatif exercé par 2 chambres (la Chambre des députés et le Sénat) (art.</w:t>
      </w:r>
      <w:r>
        <w:t xml:space="preserve"> </w:t>
      </w:r>
      <w:r w:rsidRPr="009B6952">
        <w:t>62 et suiv</w:t>
      </w:r>
      <w:r>
        <w:t>.</w:t>
      </w:r>
      <w:r w:rsidRPr="009B6952">
        <w:t>)</w:t>
      </w:r>
      <w:r>
        <w:t xml:space="preserve"> et</w:t>
      </w:r>
      <w:r w:rsidRPr="009B6952">
        <w:t xml:space="preserve"> le pouvoir exécutif exercé par le Président de la République et le Gouvernement. Ce dernier est composé du Premier Ministre, des Ministres, des Secrétaires d</w:t>
      </w:r>
      <w:r w:rsidR="00B861F1">
        <w:t>’</w:t>
      </w:r>
      <w:r w:rsidRPr="009B6952">
        <w:t>État et d</w:t>
      </w:r>
      <w:r w:rsidR="00B861F1">
        <w:t>’</w:t>
      </w:r>
      <w:r w:rsidRPr="009B6952">
        <w:t>autres membres que peut désigner le Président de la République (art.</w:t>
      </w:r>
      <w:r>
        <w:t xml:space="preserve"> </w:t>
      </w:r>
      <w:r w:rsidRPr="009B6952">
        <w:t>97 et suiv</w:t>
      </w:r>
      <w:r>
        <w:t>.</w:t>
      </w:r>
      <w:r w:rsidRPr="009B6952">
        <w:t>)</w:t>
      </w:r>
      <w:r>
        <w:t>. L</w:t>
      </w:r>
      <w:r w:rsidRPr="009B6952">
        <w:t>e pouvoir judiciaire</w:t>
      </w:r>
      <w:r>
        <w:t xml:space="preserve"> est</w:t>
      </w:r>
      <w:r w:rsidRPr="009B6952">
        <w:t xml:space="preserve"> constitué de toute la panoplie des cours et tribunaux (art.</w:t>
      </w:r>
      <w:r>
        <w:t xml:space="preserve"> </w:t>
      </w:r>
      <w:r w:rsidRPr="009B6952">
        <w:t>140 et suiv</w:t>
      </w:r>
      <w:r>
        <w:t>.</w:t>
      </w:r>
      <w:r w:rsidRPr="009B6952">
        <w:t>).</w:t>
      </w:r>
      <w:r>
        <w:t xml:space="preserve"> </w:t>
      </w:r>
    </w:p>
    <w:p w:rsidR="00CB399B" w:rsidRPr="009B6952" w:rsidRDefault="00CB399B" w:rsidP="00CB399B">
      <w:pPr>
        <w:pStyle w:val="SingleTxtG"/>
      </w:pPr>
      <w:r w:rsidRPr="009B6952">
        <w:t>2</w:t>
      </w:r>
      <w:r>
        <w:t>4</w:t>
      </w:r>
      <w:r w:rsidRPr="009B6952">
        <w:t>.</w:t>
      </w:r>
      <w:r w:rsidRPr="009B6952">
        <w:tab/>
        <w:t xml:space="preserve">Les commissions nationales et </w:t>
      </w:r>
      <w:r>
        <w:t xml:space="preserve">les </w:t>
      </w:r>
      <w:r w:rsidRPr="009B6952">
        <w:t>organes étatiques spécialisés ont été également créés pour traiter des questions</w:t>
      </w:r>
      <w:r>
        <w:t xml:space="preserve"> </w:t>
      </w:r>
      <w:r w:rsidRPr="009B6952">
        <w:t>particulières. Pour les fins de ce rapport, nous n</w:t>
      </w:r>
      <w:r w:rsidR="00B861F1">
        <w:t>’</w:t>
      </w:r>
      <w:r w:rsidRPr="009B6952">
        <w:t>en citerons que quelques</w:t>
      </w:r>
      <w:r>
        <w:t>-</w:t>
      </w:r>
      <w:r w:rsidRPr="009B6952">
        <w:t>uns, comme par exemple la Commission Nationale des Droits de la Personne, la Commission Nationale pour l</w:t>
      </w:r>
      <w:r w:rsidR="00B861F1">
        <w:t>’</w:t>
      </w:r>
      <w:r w:rsidRPr="009B6952">
        <w:t>Unité et la Réconciliation, l</w:t>
      </w:r>
      <w:r w:rsidR="00B861F1">
        <w:t>’</w:t>
      </w:r>
      <w:r w:rsidRPr="009B6952">
        <w:t xml:space="preserve">Observatoire du Genre, </w:t>
      </w:r>
      <w:r>
        <w:t>l</w:t>
      </w:r>
      <w:r w:rsidR="00B861F1">
        <w:t>’</w:t>
      </w:r>
      <w:r w:rsidRPr="009B6952">
        <w:t>Office de l</w:t>
      </w:r>
      <w:r w:rsidR="00B861F1">
        <w:t>’</w:t>
      </w:r>
      <w:r w:rsidRPr="009B6952">
        <w:t>Auditeur Général et l</w:t>
      </w:r>
      <w:r w:rsidR="00B861F1">
        <w:t>’</w:t>
      </w:r>
      <w:r w:rsidRPr="009B6952">
        <w:t>Office de l</w:t>
      </w:r>
      <w:r w:rsidR="00B861F1">
        <w:t>’</w:t>
      </w:r>
      <w:r w:rsidRPr="009B6952">
        <w:t>Ombudsman.</w:t>
      </w:r>
      <w:r>
        <w:t xml:space="preserve"> </w:t>
      </w:r>
    </w:p>
    <w:p w:rsidR="00CB399B" w:rsidRPr="009B6952" w:rsidRDefault="00CB399B" w:rsidP="00CB399B">
      <w:pPr>
        <w:pStyle w:val="H1G"/>
      </w:pPr>
      <w:r>
        <w:tab/>
        <w:t>D.</w:t>
      </w:r>
      <w:r>
        <w:tab/>
      </w:r>
      <w:r w:rsidRPr="009B6952">
        <w:t>Portrait soc</w:t>
      </w:r>
      <w:r>
        <w:t>io</w:t>
      </w:r>
      <w:r w:rsidRPr="009B6952">
        <w:t>économique</w:t>
      </w:r>
      <w:r>
        <w:t xml:space="preserve"> </w:t>
      </w:r>
    </w:p>
    <w:p w:rsidR="00CB399B" w:rsidRPr="009B6952" w:rsidRDefault="00CB399B" w:rsidP="00CB399B">
      <w:pPr>
        <w:pStyle w:val="SingleTxtG"/>
      </w:pPr>
      <w:r>
        <w:t>25</w:t>
      </w:r>
      <w:r w:rsidRPr="009B6952">
        <w:t>.</w:t>
      </w:r>
      <w:r w:rsidRPr="009B6952">
        <w:tab/>
        <w:t>L</w:t>
      </w:r>
      <w:r w:rsidR="00B861F1">
        <w:t>’</w:t>
      </w:r>
      <w:r w:rsidRPr="009B6952">
        <w:t>agriculture occupe une place prépondérante dans l</w:t>
      </w:r>
      <w:r w:rsidR="00B861F1">
        <w:t>’</w:t>
      </w:r>
      <w:r w:rsidRPr="009B6952">
        <w:t xml:space="preserve">économie du Rwanda: ce secteur a contribué à </w:t>
      </w:r>
      <w:r>
        <w:t xml:space="preserve">hauteur de </w:t>
      </w:r>
      <w:r w:rsidRPr="009B6952">
        <w:t>39</w:t>
      </w:r>
      <w:r>
        <w:t xml:space="preserve"> %</w:t>
      </w:r>
      <w:r w:rsidRPr="009B6952">
        <w:t xml:space="preserve"> au PIB, le secteur industriel et les services à</w:t>
      </w:r>
      <w:r>
        <w:t xml:space="preserve"> hauteur de</w:t>
      </w:r>
      <w:r w:rsidRPr="009B6952">
        <w:t xml:space="preserve"> 14</w:t>
      </w:r>
      <w:r>
        <w:t xml:space="preserve"> %</w:t>
      </w:r>
      <w:r w:rsidRPr="009B6952">
        <w:t xml:space="preserve"> et</w:t>
      </w:r>
      <w:r>
        <w:t xml:space="preserve"> de</w:t>
      </w:r>
      <w:r w:rsidRPr="009B6952">
        <w:t xml:space="preserve"> 41</w:t>
      </w:r>
      <w:r>
        <w:t xml:space="preserve"> %</w:t>
      </w:r>
      <w:r w:rsidRPr="009B6952">
        <w:t xml:space="preserve"> respectivement</w:t>
      </w:r>
      <w:r w:rsidRPr="00F45E30">
        <w:rPr>
          <w:sz w:val="18"/>
          <w:szCs w:val="18"/>
          <w:vertAlign w:val="superscript"/>
        </w:rPr>
        <w:footnoteReference w:id="11"/>
      </w:r>
      <w:r w:rsidRPr="009B6952">
        <w:t>.</w:t>
      </w:r>
      <w:r>
        <w:t xml:space="preserve"> </w:t>
      </w:r>
    </w:p>
    <w:p w:rsidR="00CB399B" w:rsidRPr="009B6952" w:rsidRDefault="00CB399B" w:rsidP="00CB399B">
      <w:pPr>
        <w:pStyle w:val="SingleTxtG"/>
      </w:pPr>
      <w:r w:rsidRPr="009B6952">
        <w:t>2</w:t>
      </w:r>
      <w:r>
        <w:t>6</w:t>
      </w:r>
      <w:r w:rsidRPr="009B6952">
        <w:t>.</w:t>
      </w:r>
      <w:r w:rsidRPr="009B6952">
        <w:tab/>
        <w:t>L</w:t>
      </w:r>
      <w:r>
        <w:t>e PIB/</w:t>
      </w:r>
      <w:r w:rsidRPr="009B6952">
        <w:t>tête était de 314 USD en 2006, l</w:t>
      </w:r>
      <w:r w:rsidR="00B861F1">
        <w:t>’</w:t>
      </w:r>
      <w:r w:rsidRPr="009B6952">
        <w:t>objectif de la vision 2020 est qu</w:t>
      </w:r>
      <w:r w:rsidR="00B861F1">
        <w:t>’</w:t>
      </w:r>
      <w:r w:rsidRPr="009B6952">
        <w:t>il atteigne 900 USD</w:t>
      </w:r>
      <w:r w:rsidRPr="00F45E30">
        <w:rPr>
          <w:sz w:val="18"/>
          <w:szCs w:val="18"/>
          <w:vertAlign w:val="superscript"/>
        </w:rPr>
        <w:footnoteReference w:id="12"/>
      </w:r>
      <w:r>
        <w:t>. Le taux de croissance du PIB/</w:t>
      </w:r>
      <w:r w:rsidRPr="009B6952">
        <w:t>habitant était de 5,8</w:t>
      </w:r>
      <w:r>
        <w:t xml:space="preserve"> %</w:t>
      </w:r>
      <w:r w:rsidRPr="009B6952">
        <w:t xml:space="preserve"> en 2003</w:t>
      </w:r>
      <w:r>
        <w:t xml:space="preserve"> et</w:t>
      </w:r>
      <w:r w:rsidRPr="009B6952">
        <w:t xml:space="preserve"> de 14,3</w:t>
      </w:r>
      <w:r>
        <w:t xml:space="preserve"> %</w:t>
      </w:r>
      <w:r w:rsidRPr="009B6952">
        <w:t xml:space="preserve"> en 2007. Quant au revenu national brut, il a quitté le seuil de 798,6 milliards de FRW en 2001 pour atteindre 1</w:t>
      </w:r>
      <w:r>
        <w:t xml:space="preserve"> </w:t>
      </w:r>
      <w:r w:rsidRPr="009B6952">
        <w:t>785</w:t>
      </w:r>
      <w:r>
        <w:t xml:space="preserve"> </w:t>
      </w:r>
      <w:r w:rsidRPr="009B6952">
        <w:t>92 milliards de FRW en 2006. L</w:t>
      </w:r>
      <w:r w:rsidR="00B861F1">
        <w:t>’</w:t>
      </w:r>
      <w:r w:rsidRPr="009B6952">
        <w:t>indice des prix à la consommation, quant à lui était de 74,6</w:t>
      </w:r>
      <w:r>
        <w:t xml:space="preserve"> %</w:t>
      </w:r>
      <w:r w:rsidRPr="009B6952">
        <w:t xml:space="preserve"> en 2001, il est d</w:t>
      </w:r>
      <w:r w:rsidR="00B861F1">
        <w:t>’</w:t>
      </w:r>
      <w:r w:rsidRPr="009B6952">
        <w:t>environ 152</w:t>
      </w:r>
      <w:r>
        <w:t>,</w:t>
      </w:r>
      <w:r w:rsidRPr="009B6952">
        <w:t>8</w:t>
      </w:r>
      <w:r>
        <w:t xml:space="preserve"> %</w:t>
      </w:r>
      <w:r w:rsidRPr="009B6952">
        <w:t xml:space="preserve"> durant le </w:t>
      </w:r>
      <w:r w:rsidRPr="009B6952">
        <w:rPr>
          <w:vertAlign w:val="superscript"/>
        </w:rPr>
        <w:t>1er</w:t>
      </w:r>
      <w:r w:rsidRPr="009B6952">
        <w:t xml:space="preserve"> trimestre 2008</w:t>
      </w:r>
      <w:r w:rsidRPr="00F45E30">
        <w:rPr>
          <w:sz w:val="18"/>
          <w:szCs w:val="18"/>
          <w:vertAlign w:val="superscript"/>
        </w:rPr>
        <w:footnoteReference w:id="13"/>
      </w:r>
      <w:r w:rsidRPr="009B6952">
        <w:t>. Le seuil de pauvreté se situait en 2005/06 à 56</w:t>
      </w:r>
      <w:r>
        <w:t>,</w:t>
      </w:r>
      <w:r w:rsidRPr="009B6952">
        <w:t>9</w:t>
      </w:r>
      <w:r>
        <w:t xml:space="preserve"> %</w:t>
      </w:r>
      <w:r w:rsidRPr="009B6952">
        <w:t>, une réduction de 3</w:t>
      </w:r>
      <w:r>
        <w:t>,</w:t>
      </w:r>
      <w:r w:rsidRPr="009B6952">
        <w:t>5</w:t>
      </w:r>
      <w:r>
        <w:t xml:space="preserve"> %</w:t>
      </w:r>
      <w:r w:rsidRPr="009B6952">
        <w:t xml:space="preserve"> par rapport au taux de 60</w:t>
      </w:r>
      <w:r>
        <w:t>,</w:t>
      </w:r>
      <w:r w:rsidRPr="009B6952">
        <w:t>4</w:t>
      </w:r>
      <w:r>
        <w:t xml:space="preserve"> % en </w:t>
      </w:r>
      <w:r w:rsidRPr="009B6952">
        <w:t>2000/01,</w:t>
      </w:r>
      <w:r w:rsidRPr="00F45E30">
        <w:rPr>
          <w:sz w:val="18"/>
          <w:szCs w:val="18"/>
          <w:vertAlign w:val="superscript"/>
        </w:rPr>
        <w:footnoteReference w:id="14"/>
      </w:r>
      <w:r w:rsidRPr="009B6952">
        <w:t>. La dette nationale en déclin est estimée à 165 milliards de FRW en mars 2008, comparée à 172 milliards de FRW en Décembre 2007</w:t>
      </w:r>
      <w:r w:rsidRPr="00F45E30">
        <w:rPr>
          <w:sz w:val="18"/>
          <w:szCs w:val="18"/>
          <w:vertAlign w:val="superscript"/>
        </w:rPr>
        <w:footnoteReference w:id="15"/>
      </w:r>
      <w:r w:rsidRPr="009B6952">
        <w:t>. Quant aux prêts pour financer le budget, ils sont en déclin de 22</w:t>
      </w:r>
      <w:r>
        <w:t xml:space="preserve"> %</w:t>
      </w:r>
      <w:r w:rsidRPr="009B6952">
        <w:t xml:space="preserve"> sur le budget de l</w:t>
      </w:r>
      <w:r w:rsidR="00B861F1">
        <w:t>’</w:t>
      </w:r>
      <w:r w:rsidRPr="009B6952">
        <w:t>année 2000, ils étaient à 14</w:t>
      </w:r>
      <w:r>
        <w:t xml:space="preserve"> %</w:t>
      </w:r>
      <w:r w:rsidRPr="009B6952">
        <w:t xml:space="preserve"> en 2003 et sont estimés à 5</w:t>
      </w:r>
      <w:r>
        <w:t xml:space="preserve"> %</w:t>
      </w:r>
      <w:r w:rsidRPr="009B6952">
        <w:t xml:space="preserve"> du budget de 2008; ce déclin étant dû à la croissance économique.</w:t>
      </w:r>
      <w:r>
        <w:t xml:space="preserve"> </w:t>
      </w:r>
    </w:p>
    <w:p w:rsidR="00CB399B" w:rsidRPr="009B6952" w:rsidRDefault="00CB399B" w:rsidP="00CB399B">
      <w:pPr>
        <w:pStyle w:val="SingleTxtG"/>
      </w:pPr>
      <w:r>
        <w:t>27</w:t>
      </w:r>
      <w:r w:rsidRPr="009B6952">
        <w:t>.</w:t>
      </w:r>
      <w:r w:rsidRPr="009B6952">
        <w:tab/>
        <w:t>Créer une stabilité fiscale et une croissance économique était et reste encore l</w:t>
      </w:r>
      <w:r w:rsidR="00B861F1">
        <w:t>’</w:t>
      </w:r>
      <w:r w:rsidRPr="009B6952">
        <w:t>agenda du nouveau Gouvernement d</w:t>
      </w:r>
      <w:r w:rsidR="00B861F1">
        <w:t>’</w:t>
      </w:r>
      <w:r w:rsidRPr="009B6952">
        <w:t>unité nationale après 1994. Après avoir passé le cap de l</w:t>
      </w:r>
      <w:r w:rsidR="00B861F1">
        <w:t>’</w:t>
      </w:r>
      <w:r w:rsidRPr="009B6952">
        <w:t>état d</w:t>
      </w:r>
      <w:r w:rsidR="00B861F1">
        <w:t>’</w:t>
      </w:r>
      <w:r w:rsidRPr="009B6952">
        <w:t xml:space="preserve">urgence </w:t>
      </w:r>
      <w:r>
        <w:t xml:space="preserve">pour arriver </w:t>
      </w:r>
      <w:r w:rsidRPr="009B6952">
        <w:t>à celui de la stabilisation du pays, le pays est en bonne voie dans le processus de développement à long terme avec la vision 2020 au début de ce siècle et les programmes de réduction de la pauvreté (EDPRS en anglais).</w:t>
      </w:r>
    </w:p>
    <w:p w:rsidR="00CB399B" w:rsidRPr="009B6952" w:rsidRDefault="00CB399B" w:rsidP="00CB399B">
      <w:pPr>
        <w:pStyle w:val="SingleTxtG"/>
      </w:pPr>
      <w:r>
        <w:t>28</w:t>
      </w:r>
      <w:r w:rsidRPr="009B6952">
        <w:t>.</w:t>
      </w:r>
      <w:r w:rsidRPr="009B6952">
        <w:tab/>
        <w:t>La vision 2020 s</w:t>
      </w:r>
      <w:r w:rsidR="00B861F1">
        <w:t>’</w:t>
      </w:r>
      <w:r w:rsidRPr="009B6952">
        <w:t xml:space="preserve">inscrit dans les aspirations du Rwanda </w:t>
      </w:r>
      <w:r>
        <w:t>d</w:t>
      </w:r>
      <w:r w:rsidR="00B861F1">
        <w:t>’</w:t>
      </w:r>
      <w:r>
        <w:t>enregistrer une</w:t>
      </w:r>
      <w:r w:rsidRPr="009B6952">
        <w:t xml:space="preserve"> croissance économique d</w:t>
      </w:r>
      <w:r>
        <w:t>ans le</w:t>
      </w:r>
      <w:r w:rsidRPr="009B6952">
        <w:t xml:space="preserve"> </w:t>
      </w:r>
      <w:r>
        <w:t>pays</w:t>
      </w:r>
      <w:r w:rsidRPr="009B6952">
        <w:t xml:space="preserve"> basée sur certains piliers d</w:t>
      </w:r>
      <w:r>
        <w:t>u</w:t>
      </w:r>
      <w:r w:rsidRPr="009B6952">
        <w:t xml:space="preserve"> développement, à savoir: la création de la nation et de son capital social; le développement d</w:t>
      </w:r>
      <w:r w:rsidR="00B861F1">
        <w:t>’</w:t>
      </w:r>
      <w:r w:rsidRPr="009B6952">
        <w:t>un État crédible et efficace gouverné selon les principes d</w:t>
      </w:r>
      <w:r w:rsidR="00B861F1">
        <w:t>’</w:t>
      </w:r>
      <w:r w:rsidRPr="009B6952">
        <w:t>un État de droit; le développement des ressources humaines en conformité avec l</w:t>
      </w:r>
      <w:r w:rsidR="00B861F1">
        <w:t>’</w:t>
      </w:r>
      <w:r w:rsidRPr="009B6952">
        <w:t xml:space="preserve">objectif de </w:t>
      </w:r>
      <w:r>
        <w:t>mettre en place</w:t>
      </w:r>
      <w:r w:rsidRPr="009B6952">
        <w:t xml:space="preserve"> au Rwanda une économie prospère fondée sur le savoir et le savoir-faire; le développement des infrastructures de base dont la planification urbaine; le développement de l</w:t>
      </w:r>
      <w:r w:rsidR="00B861F1">
        <w:t>’</w:t>
      </w:r>
      <w:r w:rsidRPr="009B6952">
        <w:t>entreprenariat et du secteur privé;</w:t>
      </w:r>
      <w:r>
        <w:t xml:space="preserve"> enfin</w:t>
      </w:r>
      <w:r w:rsidRPr="009B6952">
        <w:t xml:space="preserve"> la modernisation de l</w:t>
      </w:r>
      <w:r w:rsidR="00B861F1">
        <w:t>’</w:t>
      </w:r>
      <w:r w:rsidRPr="009B6952">
        <w:t>agriculture et de l</w:t>
      </w:r>
      <w:r w:rsidR="00B861F1">
        <w:t>’</w:t>
      </w:r>
      <w:r w:rsidRPr="009B6952">
        <w:t>élevage. Sans oublier des piliers transversaux comme le genre, la protection de l</w:t>
      </w:r>
      <w:r w:rsidR="00B861F1">
        <w:t>’</w:t>
      </w:r>
      <w:r w:rsidRPr="009B6952">
        <w:t>environnement, les sciences et technologies ainsi que l</w:t>
      </w:r>
      <w:r w:rsidR="00B861F1">
        <w:t>’</w:t>
      </w:r>
      <w:r w:rsidRPr="009B6952">
        <w:t xml:space="preserve">intégration régionale. La vision du Gouvernement est que le Rwanda atteigne en 2020 </w:t>
      </w:r>
      <w:r>
        <w:t xml:space="preserve">un </w:t>
      </w:r>
      <w:r w:rsidRPr="009B6952">
        <w:t>niveau d</w:t>
      </w:r>
      <w:r>
        <w:t>e</w:t>
      </w:r>
      <w:r w:rsidRPr="009B6952">
        <w:t xml:space="preserve"> revenu moyen et que le pays devienne une économie du savoir.</w:t>
      </w:r>
      <w:r>
        <w:t xml:space="preserve"> </w:t>
      </w:r>
    </w:p>
    <w:p w:rsidR="00CB399B" w:rsidRPr="009B6952" w:rsidRDefault="00CB399B" w:rsidP="00CB399B">
      <w:pPr>
        <w:pStyle w:val="SingleTxtG"/>
      </w:pPr>
      <w:r>
        <w:t>29.</w:t>
      </w:r>
      <w:r>
        <w:tab/>
      </w:r>
      <w:r w:rsidRPr="009B6952">
        <w:t>Quant au programme de réduction de la pauvreté,</w:t>
      </w:r>
      <w:r>
        <w:t xml:space="preserve"> qui s</w:t>
      </w:r>
      <w:r w:rsidR="00B861F1">
        <w:t>’</w:t>
      </w:r>
      <w:r>
        <w:t>inscrit dans</w:t>
      </w:r>
      <w:r w:rsidRPr="009B6952">
        <w:t xml:space="preserve"> la Stratégie de Développement Économique et de Réduction de la Pauvreté</w:t>
      </w:r>
      <w:r w:rsidRPr="009E754B">
        <w:rPr>
          <w:sz w:val="18"/>
          <w:szCs w:val="18"/>
          <w:vertAlign w:val="superscript"/>
        </w:rPr>
        <w:footnoteReference w:id="16"/>
      </w:r>
      <w:r w:rsidRPr="009B6952">
        <w:t>, il préconise dans ses grandes lignes une croissance économique élevée, l</w:t>
      </w:r>
      <w:r w:rsidR="00B861F1">
        <w:t>’</w:t>
      </w:r>
      <w:r w:rsidRPr="009B6952">
        <w:t>appui à l</w:t>
      </w:r>
      <w:r w:rsidR="00B861F1">
        <w:t>’</w:t>
      </w:r>
      <w:r w:rsidRPr="009B6952">
        <w:t>intégration du développement rural et l</w:t>
      </w:r>
      <w:r w:rsidR="00B861F1">
        <w:t>’</w:t>
      </w:r>
      <w:r w:rsidRPr="009B6952">
        <w:t>assise d</w:t>
      </w:r>
      <w:r w:rsidR="00B861F1">
        <w:t>’</w:t>
      </w:r>
      <w:r w:rsidRPr="009B6952">
        <w:t>une bonne gouvernance.</w:t>
      </w:r>
    </w:p>
    <w:p w:rsidR="00CB399B" w:rsidRPr="009B6952" w:rsidRDefault="00CB399B" w:rsidP="00CB399B">
      <w:pPr>
        <w:pStyle w:val="SingleTxtG"/>
        <w:rPr>
          <w:bCs/>
        </w:rPr>
      </w:pPr>
      <w:r>
        <w:rPr>
          <w:bCs/>
        </w:rPr>
        <w:t>30</w:t>
      </w:r>
      <w:r w:rsidRPr="009B6952">
        <w:rPr>
          <w:bCs/>
        </w:rPr>
        <w:t>.</w:t>
      </w:r>
      <w:r w:rsidRPr="009B6952">
        <w:rPr>
          <w:bCs/>
        </w:rPr>
        <w:tab/>
      </w:r>
      <w:r w:rsidRPr="009B6952">
        <w:t>Des programmes de réduction de la pauvreté visant la croissance économique sont mis en place:</w:t>
      </w:r>
      <w:r>
        <w:t xml:space="preserve"> </w:t>
      </w:r>
    </w:p>
    <w:p w:rsidR="00CB399B" w:rsidRPr="009B6952" w:rsidRDefault="00CB399B" w:rsidP="00CB399B">
      <w:pPr>
        <w:pStyle w:val="SingleTxtG"/>
        <w:ind w:firstLine="567"/>
      </w:pPr>
      <w:r>
        <w:t>a)</w:t>
      </w:r>
      <w:r>
        <w:tab/>
        <w:t>M</w:t>
      </w:r>
      <w:r w:rsidRPr="009B6952">
        <w:t>ettant l</w:t>
      </w:r>
      <w:r w:rsidR="00B861F1">
        <w:t>’</w:t>
      </w:r>
      <w:r w:rsidRPr="009B6952">
        <w:t>accent sur l</w:t>
      </w:r>
      <w:r w:rsidR="00B861F1">
        <w:t>’</w:t>
      </w:r>
      <w:r w:rsidRPr="009B6952">
        <w:t xml:space="preserve">investissement </w:t>
      </w:r>
      <w:r>
        <w:t>dans les</w:t>
      </w:r>
      <w:r w:rsidRPr="009B6952">
        <w:t xml:space="preserve"> infrastructures, sur la modernisation de l</w:t>
      </w:r>
      <w:r w:rsidR="00B861F1">
        <w:t>’</w:t>
      </w:r>
      <w:r w:rsidRPr="009B6952">
        <w:t>agriculture et</w:t>
      </w:r>
      <w:r>
        <w:t xml:space="preserve"> sur</w:t>
      </w:r>
      <w:r w:rsidRPr="009B6952">
        <w:t xml:space="preserve"> le développement des habiletés;</w:t>
      </w:r>
    </w:p>
    <w:p w:rsidR="00CB399B" w:rsidRPr="009B6952" w:rsidRDefault="00CB399B" w:rsidP="00CB399B">
      <w:pPr>
        <w:pStyle w:val="SingleTxtG"/>
        <w:ind w:firstLine="567"/>
      </w:pPr>
      <w:r>
        <w:t>b)</w:t>
      </w:r>
      <w:r>
        <w:tab/>
        <w:t>P</w:t>
      </w:r>
      <w:r w:rsidRPr="009B6952">
        <w:t>our la réduction de la population par des programmes de planification familiale;</w:t>
      </w:r>
    </w:p>
    <w:p w:rsidR="00CB399B" w:rsidRPr="009B6952" w:rsidRDefault="00CB399B" w:rsidP="00CB399B">
      <w:pPr>
        <w:pStyle w:val="SingleTxtG"/>
        <w:ind w:firstLine="567"/>
      </w:pPr>
      <w:r>
        <w:t>c)</w:t>
      </w:r>
      <w:r>
        <w:tab/>
        <w:t>P</w:t>
      </w:r>
      <w:r w:rsidRPr="009B6952">
        <w:t>our s</w:t>
      </w:r>
      <w:r w:rsidR="00B861F1">
        <w:t>’</w:t>
      </w:r>
      <w:r w:rsidRPr="009B6952">
        <w:t>attaquer à l</w:t>
      </w:r>
      <w:r w:rsidR="00B861F1">
        <w:t>’</w:t>
      </w:r>
      <w:r w:rsidRPr="009B6952">
        <w:t>extrême pauvreté en améliorant la sécurité alimentaire, en ciblant la création d</w:t>
      </w:r>
      <w:r w:rsidR="00B861F1">
        <w:t>’</w:t>
      </w:r>
      <w:r w:rsidRPr="009B6952">
        <w:t>emploi et en améliorant les méthodes de protection sociale</w:t>
      </w:r>
      <w:r>
        <w:t>.</w:t>
      </w:r>
    </w:p>
    <w:p w:rsidR="00CB399B" w:rsidRPr="009B6952" w:rsidRDefault="00CB399B" w:rsidP="00CB399B">
      <w:pPr>
        <w:pStyle w:val="SingleTxtG"/>
      </w:pPr>
      <w:r w:rsidRPr="009B6952">
        <w:t>3</w:t>
      </w:r>
      <w:r>
        <w:t>1</w:t>
      </w:r>
      <w:r w:rsidRPr="009B6952">
        <w:t>.</w:t>
      </w:r>
      <w:r w:rsidRPr="009B6952">
        <w:tab/>
        <w:t>Pour y arriver, le Rwanda s</w:t>
      </w:r>
      <w:r w:rsidR="00B861F1">
        <w:t>’</w:t>
      </w:r>
      <w:r w:rsidRPr="009B6952">
        <w:t>est doté d</w:t>
      </w:r>
      <w:r w:rsidR="00B861F1">
        <w:t>’</w:t>
      </w:r>
      <w:r w:rsidRPr="009B6952">
        <w:t>institutions à même de donner une impulsion à ses diverses politiques</w:t>
      </w:r>
      <w:r>
        <w:t xml:space="preserve"> </w:t>
      </w:r>
      <w:r w:rsidRPr="009B6952">
        <w:t>et stratégies. Notons la création du Rwanda Development Board (RDB)</w:t>
      </w:r>
      <w:r>
        <w:t>,</w:t>
      </w:r>
      <w:r w:rsidRPr="009B6952">
        <w:t xml:space="preserve"> regroupant en son sein des institutions</w:t>
      </w:r>
      <w:r w:rsidRPr="009E754B">
        <w:rPr>
          <w:sz w:val="18"/>
          <w:szCs w:val="18"/>
          <w:vertAlign w:val="superscript"/>
        </w:rPr>
        <w:footnoteReference w:id="17"/>
      </w:r>
      <w:r w:rsidRPr="009B6952">
        <w:t xml:space="preserve"> capables de servir de catalyseur</w:t>
      </w:r>
      <w:r>
        <w:t>s</w:t>
      </w:r>
      <w:r w:rsidRPr="009B6952">
        <w:t xml:space="preserve"> au rebondissement de l</w:t>
      </w:r>
      <w:r w:rsidR="00B861F1">
        <w:t>’</w:t>
      </w:r>
      <w:r w:rsidRPr="009B6952">
        <w:t>économie en mobilisant l</w:t>
      </w:r>
      <w:r w:rsidR="00B861F1">
        <w:t>’</w:t>
      </w:r>
      <w:r w:rsidRPr="009B6952">
        <w:t>investissement tant local qu</w:t>
      </w:r>
      <w:r w:rsidR="00B861F1">
        <w:t>’</w:t>
      </w:r>
      <w:r w:rsidRPr="009B6952">
        <w:t xml:space="preserve">étranger, </w:t>
      </w:r>
      <w:r>
        <w:t>en</w:t>
      </w:r>
      <w:r w:rsidRPr="009B6952">
        <w:t xml:space="preserve"> développ</w:t>
      </w:r>
      <w:r>
        <w:t>ant l</w:t>
      </w:r>
      <w:r w:rsidRPr="009B6952">
        <w:t xml:space="preserve">es ressources humaines et </w:t>
      </w:r>
      <w:r>
        <w:t>l</w:t>
      </w:r>
      <w:r w:rsidRPr="009B6952">
        <w:t>es techniques d</w:t>
      </w:r>
      <w:r>
        <w:t>e l</w:t>
      </w:r>
      <w:r w:rsidR="00B861F1">
        <w:t>’</w:t>
      </w:r>
      <w:r w:rsidRPr="009B6952">
        <w:t>information et de</w:t>
      </w:r>
      <w:r>
        <w:t xml:space="preserve"> la </w:t>
      </w:r>
      <w:r w:rsidRPr="009B6952">
        <w:t>communication ainsi qu</w:t>
      </w:r>
      <w:r w:rsidR="00B861F1">
        <w:t>’</w:t>
      </w:r>
      <w:r>
        <w:t xml:space="preserve">en promouvant </w:t>
      </w:r>
      <w:r w:rsidRPr="009B6952">
        <w:t>l</w:t>
      </w:r>
      <w:r w:rsidR="00B861F1">
        <w:t>’</w:t>
      </w:r>
      <w:r w:rsidRPr="009B6952">
        <w:t xml:space="preserve">exportation ainsi que le tourisme. </w:t>
      </w:r>
    </w:p>
    <w:p w:rsidR="00CB399B" w:rsidRPr="009B6952" w:rsidRDefault="00CB399B" w:rsidP="00F917CF">
      <w:pPr>
        <w:pStyle w:val="SingleTxtG"/>
      </w:pPr>
      <w:r>
        <w:t>32</w:t>
      </w:r>
      <w:r w:rsidRPr="009B6952">
        <w:t>.</w:t>
      </w:r>
      <w:r w:rsidRPr="009B6952">
        <w:tab/>
        <w:t>Le Rwanda a raffiné sa coopération et son partenariat avec d</w:t>
      </w:r>
      <w:r w:rsidR="00B861F1">
        <w:t>’</w:t>
      </w:r>
      <w:r w:rsidRPr="009B6952">
        <w:t xml:space="preserve">autres pays. Le pays est membre de différentes organisations de développement comme le Marché </w:t>
      </w:r>
      <w:r>
        <w:t>c</w:t>
      </w:r>
      <w:r w:rsidRPr="009B6952">
        <w:t>ommun de</w:t>
      </w:r>
      <w:r>
        <w:t xml:space="preserve"> l</w:t>
      </w:r>
      <w:r w:rsidR="00B861F1">
        <w:t>’</w:t>
      </w:r>
      <w:r w:rsidRPr="009B6952">
        <w:t xml:space="preserve">Afrique </w:t>
      </w:r>
      <w:r>
        <w:t>orientale</w:t>
      </w:r>
      <w:r w:rsidRPr="009B6952">
        <w:t xml:space="preserve"> et </w:t>
      </w:r>
      <w:r>
        <w:t>australe</w:t>
      </w:r>
      <w:r w:rsidRPr="009B6952">
        <w:t xml:space="preserve"> (COMESA), la Conférence </w:t>
      </w:r>
      <w:r>
        <w:t>i</w:t>
      </w:r>
      <w:r w:rsidRPr="009B6952">
        <w:t xml:space="preserve">nternationale sur la </w:t>
      </w:r>
      <w:r>
        <w:t>r</w:t>
      </w:r>
      <w:r w:rsidRPr="009B6952">
        <w:t>égion des Grands Lacs; il fait partie des pays de la Communauté des États d</w:t>
      </w:r>
      <w:r w:rsidR="00B861F1">
        <w:t>’</w:t>
      </w:r>
      <w:r w:rsidRPr="009B6952">
        <w:t>Afrique de l</w:t>
      </w:r>
      <w:r w:rsidR="00B861F1">
        <w:t>’</w:t>
      </w:r>
      <w:r w:rsidRPr="009B6952">
        <w:t>Est; il a aussi relancé la coopération régionale au sein de la CEPGL.</w:t>
      </w:r>
      <w:r>
        <w:t xml:space="preserve"> </w:t>
      </w:r>
    </w:p>
    <w:p w:rsidR="00CB399B" w:rsidRPr="009B6952" w:rsidRDefault="00CB399B" w:rsidP="00CB399B">
      <w:pPr>
        <w:pStyle w:val="HChG"/>
      </w:pPr>
      <w:r>
        <w:tab/>
        <w:t>II.</w:t>
      </w:r>
      <w:r>
        <w:tab/>
      </w:r>
      <w:r w:rsidRPr="009B6952">
        <w:t>Les mesures prises pour la mise en œuvre et la jouissance des droits garantis par le</w:t>
      </w:r>
      <w:r>
        <w:t xml:space="preserve"> P</w:t>
      </w:r>
      <w:r w:rsidRPr="009B6952">
        <w:t>acte international relatif aux droits économiques, sociaux et culturels</w:t>
      </w:r>
    </w:p>
    <w:p w:rsidR="00CB399B" w:rsidRPr="009B6952" w:rsidRDefault="00CB399B" w:rsidP="00CB399B">
      <w:pPr>
        <w:pStyle w:val="H1G"/>
      </w:pPr>
      <w:r>
        <w:tab/>
        <w:t>A.</w:t>
      </w:r>
      <w:r>
        <w:tab/>
      </w:r>
      <w:r w:rsidRPr="009B6952">
        <w:t>Les dispositions générales du Pacte</w:t>
      </w:r>
    </w:p>
    <w:p w:rsidR="00CB399B" w:rsidRPr="009B6952" w:rsidRDefault="00CB399B" w:rsidP="00CB399B">
      <w:pPr>
        <w:pStyle w:val="H23G"/>
      </w:pPr>
      <w:r>
        <w:tab/>
      </w:r>
      <w:r w:rsidRPr="009B6952">
        <w:t>1.</w:t>
      </w:r>
      <w:r w:rsidRPr="009B6952">
        <w:tab/>
      </w:r>
      <w:r>
        <w:t>Article 1</w:t>
      </w:r>
      <w:r w:rsidRPr="00F32C05">
        <w:rPr>
          <w:vertAlign w:val="superscript"/>
        </w:rPr>
        <w:t>er</w:t>
      </w:r>
      <w:r w:rsidRPr="009B6952">
        <w:t>: Le droit à l</w:t>
      </w:r>
      <w:r w:rsidR="00B861F1">
        <w:t>’</w:t>
      </w:r>
      <w:r w:rsidRPr="009B6952">
        <w:t xml:space="preserve">autodétermination </w:t>
      </w:r>
    </w:p>
    <w:p w:rsidR="00CB399B" w:rsidRPr="009B6952" w:rsidRDefault="00CB399B" w:rsidP="00CB399B">
      <w:pPr>
        <w:pStyle w:val="H4G"/>
      </w:pPr>
      <w:r w:rsidRPr="00FD68D6">
        <w:tab/>
      </w:r>
      <w:r w:rsidRPr="00FD68D6">
        <w:tab/>
        <w:t>Paragraphe 1</w:t>
      </w:r>
      <w:r w:rsidRPr="009B6952">
        <w:t xml:space="preserve">: </w:t>
      </w:r>
      <w:r>
        <w:t>D</w:t>
      </w:r>
      <w:r w:rsidRPr="009B6952">
        <w:t>u point de vue politique</w:t>
      </w:r>
    </w:p>
    <w:p w:rsidR="00CB399B" w:rsidRPr="009B6952" w:rsidRDefault="00CB399B" w:rsidP="00CB399B">
      <w:pPr>
        <w:pStyle w:val="SingleTxtG"/>
        <w:rPr>
          <w:b/>
        </w:rPr>
      </w:pPr>
      <w:r w:rsidRPr="009B6952">
        <w:t>3</w:t>
      </w:r>
      <w:r>
        <w:t>3</w:t>
      </w:r>
      <w:r w:rsidRPr="009B6952">
        <w:t>.</w:t>
      </w:r>
      <w:r w:rsidRPr="009B6952">
        <w:tab/>
        <w:t>La Constitution de la République du Rwanda affirme le principe de l</w:t>
      </w:r>
      <w:r w:rsidR="00B861F1">
        <w:t>’</w:t>
      </w:r>
      <w:r w:rsidRPr="009B6952">
        <w:t>autodétermination, principe selon lequel un peuple a le droit de déterminer sa propre forme de gouvernement, indépendamment de toute influence étrangère. L</w:t>
      </w:r>
      <w:r w:rsidR="00B861F1">
        <w:t>’</w:t>
      </w:r>
      <w:r w:rsidRPr="009B6952">
        <w:t>article premier dispose que l</w:t>
      </w:r>
      <w:r w:rsidR="00B861F1">
        <w:t>’</w:t>
      </w:r>
      <w:r w:rsidRPr="009B6952">
        <w:t>État rwandais est une République indépendante, souveraine, démocratique, sociale et laïque. Un État étranger ne peut s</w:t>
      </w:r>
      <w:r w:rsidR="00B861F1">
        <w:t>’</w:t>
      </w:r>
      <w:r w:rsidRPr="009B6952">
        <w:t>immiscer dans les affaires internes de l</w:t>
      </w:r>
      <w:r w:rsidR="00B861F1">
        <w:t>’</w:t>
      </w:r>
      <w:r w:rsidRPr="009B6952">
        <w:t>État rwandais.</w:t>
      </w:r>
      <w:r>
        <w:t xml:space="preserve"> </w:t>
      </w:r>
    </w:p>
    <w:p w:rsidR="00CB399B" w:rsidRPr="009B6952" w:rsidRDefault="00CB399B" w:rsidP="00CB399B">
      <w:pPr>
        <w:pStyle w:val="SingleTxtG"/>
        <w:rPr>
          <w:b/>
        </w:rPr>
      </w:pPr>
      <w:r>
        <w:t>34</w:t>
      </w:r>
      <w:r w:rsidRPr="009B6952">
        <w:t>.</w:t>
      </w:r>
      <w:r w:rsidRPr="009B6952">
        <w:tab/>
        <w:t xml:space="preserve">Le principe de la République est le </w:t>
      </w:r>
      <w:r>
        <w:t>g</w:t>
      </w:r>
      <w:r w:rsidRPr="009B6952">
        <w:t>ouvernement du peuple par le peuple et pour le peuple. Ce pouvoir est exercé par le peuple par voie de référendum ou par ses représentants (art.</w:t>
      </w:r>
      <w:r>
        <w:t xml:space="preserve"> 1, al.</w:t>
      </w:r>
      <w:r w:rsidRPr="009B6952">
        <w:t xml:space="preserve"> 2; art.</w:t>
      </w:r>
      <w:r>
        <w:t xml:space="preserve"> </w:t>
      </w:r>
      <w:r w:rsidRPr="009B6952">
        <w:t>2 de</w:t>
      </w:r>
      <w:r>
        <w:t xml:space="preserve"> </w:t>
      </w:r>
      <w:r w:rsidRPr="009B6952">
        <w:t xml:space="preserve">la Constitution). </w:t>
      </w:r>
    </w:p>
    <w:p w:rsidR="00CB399B" w:rsidRPr="009B6952" w:rsidRDefault="00CB399B" w:rsidP="00CB399B">
      <w:pPr>
        <w:pStyle w:val="SingleTxtG"/>
      </w:pPr>
      <w:r w:rsidRPr="009B6952">
        <w:t>3</w:t>
      </w:r>
      <w:r>
        <w:t>5</w:t>
      </w:r>
      <w:r w:rsidRPr="009B6952">
        <w:t>.</w:t>
      </w:r>
      <w:r w:rsidRPr="009B6952">
        <w:tab/>
        <w:t>Pour ce qui est de l</w:t>
      </w:r>
      <w:r w:rsidR="00B861F1">
        <w:t>’</w:t>
      </w:r>
      <w:r w:rsidRPr="009B6952">
        <w:t>élection présidentielle et législative, le suffrage est universel et égal pour tous les citoyens. Il est direct ou indirect et secret.</w:t>
      </w:r>
    </w:p>
    <w:p w:rsidR="00CB399B" w:rsidRPr="009B6952" w:rsidRDefault="00CB399B" w:rsidP="00CB399B">
      <w:pPr>
        <w:pStyle w:val="SingleTxtG"/>
        <w:ind w:firstLine="567"/>
      </w:pPr>
      <w:r>
        <w:t>a)</w:t>
      </w:r>
      <w:r>
        <w:tab/>
      </w:r>
      <w:r w:rsidRPr="009B6952">
        <w:t>Le Président de la République est élu au suffrage universel direct et sec</w:t>
      </w:r>
      <w:r>
        <w:t>ret;</w:t>
      </w:r>
    </w:p>
    <w:p w:rsidR="00CB399B" w:rsidRPr="009B6952" w:rsidRDefault="00CB399B" w:rsidP="00CB399B">
      <w:pPr>
        <w:pStyle w:val="SingleTxtG"/>
        <w:ind w:firstLine="567"/>
      </w:pPr>
      <w:r>
        <w:t>b)</w:t>
      </w:r>
      <w:r>
        <w:tab/>
      </w:r>
      <w:r w:rsidRPr="009B6952">
        <w:t>Il en est de même pour les membres de la chambre des Députés (issus des partis politiques), à l</w:t>
      </w:r>
      <w:r w:rsidR="00B861F1">
        <w:t>’</w:t>
      </w:r>
      <w:r w:rsidRPr="009B6952">
        <w:t xml:space="preserve">exception des membres représentatifs de certains groupes, comme les jeunes et </w:t>
      </w:r>
      <w:r>
        <w:t xml:space="preserve">les </w:t>
      </w:r>
      <w:r w:rsidRPr="009B6952">
        <w:t>personnes handicapées. Ces derniers sont élus au scrutin majoritaire à un tour (art.</w:t>
      </w:r>
      <w:r>
        <w:t xml:space="preserve"> </w:t>
      </w:r>
      <w:r w:rsidRPr="009B6952">
        <w:t>83);</w:t>
      </w:r>
    </w:p>
    <w:p w:rsidR="00CB399B" w:rsidRPr="009B6952" w:rsidRDefault="00CB399B" w:rsidP="00CB399B">
      <w:pPr>
        <w:pStyle w:val="SingleTxtG"/>
        <w:ind w:firstLine="567"/>
      </w:pPr>
      <w:r>
        <w:t>c)</w:t>
      </w:r>
      <w:r>
        <w:tab/>
      </w:r>
      <w:r w:rsidRPr="009B6952">
        <w:t>Les Sénateurs sont élus ou désignés, soit en fonction d</w:t>
      </w:r>
      <w:r w:rsidR="00B861F1">
        <w:t>’</w:t>
      </w:r>
      <w:r w:rsidRPr="009B6952">
        <w:t>entités administratives, soit encore par le forum des formations politiques (art.</w:t>
      </w:r>
      <w:r>
        <w:t xml:space="preserve"> </w:t>
      </w:r>
      <w:r w:rsidRPr="009B6952">
        <w:t xml:space="preserve">91). </w:t>
      </w:r>
    </w:p>
    <w:p w:rsidR="00CB399B" w:rsidRPr="009B6952" w:rsidRDefault="00CB399B" w:rsidP="00CB399B">
      <w:pPr>
        <w:pStyle w:val="SingleTxtG"/>
        <w:rPr>
          <w:b/>
        </w:rPr>
      </w:pPr>
      <w:r>
        <w:t>36</w:t>
      </w:r>
      <w:r w:rsidRPr="009B6952">
        <w:t>.</w:t>
      </w:r>
      <w:r w:rsidRPr="009B6952">
        <w:tab/>
        <w:t>Quant aux élections administratives</w:t>
      </w:r>
      <w:r w:rsidRPr="009E754B">
        <w:rPr>
          <w:sz w:val="18"/>
          <w:szCs w:val="18"/>
          <w:vertAlign w:val="superscript"/>
        </w:rPr>
        <w:footnoteReference w:id="18"/>
      </w:r>
      <w:r w:rsidRPr="009E754B">
        <w:t>,</w:t>
      </w:r>
      <w:r w:rsidRPr="009B6952">
        <w:t xml:space="preserve"> le suffrage est direct et secret pour les membres du conseil de District ainsi que les membres du conseil exécutif de District et de la Ville de Kigali.</w:t>
      </w:r>
    </w:p>
    <w:p w:rsidR="00CB399B" w:rsidRPr="009B6952" w:rsidRDefault="00CB399B" w:rsidP="00CB399B">
      <w:pPr>
        <w:pStyle w:val="H4G"/>
      </w:pPr>
      <w:r w:rsidRPr="009E754B">
        <w:tab/>
      </w:r>
      <w:r w:rsidRPr="009E754B">
        <w:tab/>
        <w:t>Paragraphe 2</w:t>
      </w:r>
      <w:r w:rsidRPr="009B6952">
        <w:t xml:space="preserve">: </w:t>
      </w:r>
      <w:r>
        <w:t>D</w:t>
      </w:r>
      <w:r w:rsidRPr="009B6952">
        <w:t>u point de vue économique</w:t>
      </w:r>
    </w:p>
    <w:p w:rsidR="00CB399B" w:rsidRPr="009B6952" w:rsidRDefault="00CB399B" w:rsidP="00CB399B">
      <w:pPr>
        <w:pStyle w:val="SingleTxtG"/>
      </w:pPr>
      <w:r w:rsidRPr="009B6952">
        <w:t>3</w:t>
      </w:r>
      <w:r>
        <w:t>7</w:t>
      </w:r>
      <w:r w:rsidRPr="009B6952">
        <w:t>.</w:t>
      </w:r>
      <w:r w:rsidRPr="009B6952">
        <w:tab/>
        <w:t>Pour faire participer le peuple au processus de développement et lui permettre de s</w:t>
      </w:r>
      <w:r w:rsidR="00B861F1">
        <w:t>’</w:t>
      </w:r>
      <w:r w:rsidRPr="009B6952">
        <w:t>approprier ce processus de développement économique et social, l</w:t>
      </w:r>
      <w:r w:rsidR="00B861F1">
        <w:t>’</w:t>
      </w:r>
      <w:r w:rsidRPr="009B6952">
        <w:t>État a instauré depuis 2000, une politique de décentralisation politique et fiscale consistant à transférer le pouvoir, les responsabilités et les ressources du gouvernement central aux autorités administratives locales. Cette politique trouve ses fondements dans diverses lois</w:t>
      </w:r>
      <w:r w:rsidRPr="009E754B">
        <w:rPr>
          <w:sz w:val="18"/>
          <w:szCs w:val="18"/>
          <w:vertAlign w:val="superscript"/>
        </w:rPr>
        <w:footnoteReference w:id="19"/>
      </w:r>
      <w:r w:rsidRPr="009B6952">
        <w:t>.</w:t>
      </w:r>
      <w:r>
        <w:t xml:space="preserve"> </w:t>
      </w:r>
    </w:p>
    <w:p w:rsidR="00CB399B" w:rsidRPr="009B6952" w:rsidRDefault="00CB399B" w:rsidP="00CB399B">
      <w:pPr>
        <w:pStyle w:val="SingleTxtG"/>
      </w:pPr>
      <w:r>
        <w:t>38</w:t>
      </w:r>
      <w:r w:rsidRPr="009B6952">
        <w:t>.</w:t>
      </w:r>
      <w:r w:rsidRPr="009B6952">
        <w:tab/>
        <w:t>Ceci pour répondre à l</w:t>
      </w:r>
      <w:r w:rsidR="00B861F1">
        <w:t>’</w:t>
      </w:r>
      <w:r w:rsidRPr="009B6952">
        <w:t>engagement de l</w:t>
      </w:r>
      <w:r w:rsidR="00B861F1">
        <w:t>’</w:t>
      </w:r>
      <w:r w:rsidRPr="009B6952">
        <w:t>État de faire acquérir</w:t>
      </w:r>
      <w:r>
        <w:t xml:space="preserve"> </w:t>
      </w:r>
      <w:r w:rsidRPr="009B6952">
        <w:t>à la population locale des habiletés politiques, économiques, sociales, administratives, techniques et de direction en s</w:t>
      </w:r>
      <w:r w:rsidR="00B861F1">
        <w:t>’</w:t>
      </w:r>
      <w:r w:rsidRPr="009B6952">
        <w:t>assurant qu</w:t>
      </w:r>
      <w:r w:rsidR="00B861F1">
        <w:t>’</w:t>
      </w:r>
      <w:r w:rsidRPr="009B6952">
        <w:t>elle participe au processus de planification et de direction servant à combattre la pauvreté et à développer leurs régions respectives. La population locale est à même d</w:t>
      </w:r>
      <w:r w:rsidR="00B861F1">
        <w:t>’</w:t>
      </w:r>
      <w:r w:rsidRPr="009B6952">
        <w:t xml:space="preserve">élaborer des politiques directement liées aux problèmes de </w:t>
      </w:r>
      <w:r>
        <w:t>sa</w:t>
      </w:r>
      <w:r w:rsidRPr="009B6952">
        <w:t xml:space="preserve"> région et d</w:t>
      </w:r>
      <w:r w:rsidR="00B861F1">
        <w:t>’</w:t>
      </w:r>
      <w:r w:rsidRPr="009B6952">
        <w:t xml:space="preserve">en faire le suivi, plutôt que ce soit </w:t>
      </w:r>
      <w:r>
        <w:t>au</w:t>
      </w:r>
      <w:r w:rsidRPr="009B6952">
        <w:t xml:space="preserve"> </w:t>
      </w:r>
      <w:r>
        <w:t>Gouvernement</w:t>
      </w:r>
      <w:r w:rsidRPr="009B6952">
        <w:t xml:space="preserve"> central </w:t>
      </w:r>
      <w:r>
        <w:t>de</w:t>
      </w:r>
      <w:r w:rsidRPr="009B6952">
        <w:t xml:space="preserve"> s</w:t>
      </w:r>
      <w:r w:rsidR="00B861F1">
        <w:t>’</w:t>
      </w:r>
      <w:r w:rsidRPr="009B6952">
        <w:t>en occupe</w:t>
      </w:r>
      <w:r>
        <w:t>r</w:t>
      </w:r>
      <w:r w:rsidRPr="009B6952">
        <w:t xml:space="preserve">; ce dernier se trouvant en général éloigné géographiquement des lieux où les besoins sont ressentis et les services fournis. </w:t>
      </w:r>
    </w:p>
    <w:p w:rsidR="00CB399B" w:rsidRPr="009B6952" w:rsidRDefault="00CB399B" w:rsidP="00CB399B">
      <w:pPr>
        <w:pStyle w:val="SingleTxtG"/>
      </w:pPr>
      <w:r>
        <w:t>39</w:t>
      </w:r>
      <w:r w:rsidRPr="009B6952">
        <w:t>.</w:t>
      </w:r>
      <w:r w:rsidRPr="009B6952">
        <w:tab/>
        <w:t>Cette politique est passée par:</w:t>
      </w:r>
    </w:p>
    <w:p w:rsidR="00CB399B" w:rsidRPr="009B6952" w:rsidRDefault="00CB399B" w:rsidP="00CB399B">
      <w:pPr>
        <w:pStyle w:val="SingleTxtG"/>
        <w:ind w:firstLine="567"/>
      </w:pPr>
      <w:r>
        <w:t>a)</w:t>
      </w:r>
      <w:r>
        <w:tab/>
        <w:t>U</w:t>
      </w:r>
      <w:r w:rsidRPr="009B6952">
        <w:t>ne 1</w:t>
      </w:r>
      <w:r w:rsidRPr="009B6952">
        <w:rPr>
          <w:vertAlign w:val="superscript"/>
        </w:rPr>
        <w:t>ère</w:t>
      </w:r>
      <w:r w:rsidRPr="009B6952">
        <w:t xml:space="preserve"> phase de 5 ans consistant à institutionnaliser la gouvernance décentralisée en articulant toutes les politiques et les cadres juridiques y relatifs</w:t>
      </w:r>
      <w:r>
        <w:t xml:space="preserve"> et</w:t>
      </w:r>
      <w:r w:rsidRPr="009B6952">
        <w:t xml:space="preserve"> en mettant en place les mécanismes administratifs nécessaires;</w:t>
      </w:r>
    </w:p>
    <w:p w:rsidR="00CB399B" w:rsidRPr="009B6952" w:rsidRDefault="00CB399B" w:rsidP="00CB399B">
      <w:pPr>
        <w:pStyle w:val="SingleTxtG"/>
        <w:ind w:firstLine="567"/>
      </w:pPr>
      <w:r>
        <w:t>b)</w:t>
      </w:r>
      <w:r>
        <w:tab/>
        <w:t>U</w:t>
      </w:r>
      <w:r w:rsidRPr="009B6952">
        <w:t>ne 2</w:t>
      </w:r>
      <w:r w:rsidRPr="00F46B85">
        <w:rPr>
          <w:vertAlign w:val="superscript"/>
        </w:rPr>
        <w:t>ème</w:t>
      </w:r>
      <w:r w:rsidRPr="009B6952">
        <w:t xml:space="preserve"> phase en cours ayant commencé en 2006 consiste à implanter la gouvernance locale décentralisée en consolidant les progrès déjà réalisés</w:t>
      </w:r>
      <w:r w:rsidRPr="00977FDD">
        <w:t xml:space="preserve"> </w:t>
      </w:r>
      <w:r>
        <w:t xml:space="preserve">au niveau </w:t>
      </w:r>
      <w:r w:rsidRPr="009B6952">
        <w:t>des politiques nationales;</w:t>
      </w:r>
    </w:p>
    <w:p w:rsidR="00CB399B" w:rsidRPr="009B6952" w:rsidRDefault="00CB399B" w:rsidP="00CB399B">
      <w:pPr>
        <w:pStyle w:val="SingleTxtG"/>
        <w:ind w:firstLine="567"/>
      </w:pPr>
      <w:r>
        <w:t>c)</w:t>
      </w:r>
      <w:r>
        <w:tab/>
        <w:t>L</w:t>
      </w:r>
      <w:r w:rsidRPr="009B6952">
        <w:t>a 3</w:t>
      </w:r>
      <w:r w:rsidRPr="009B6952">
        <w:rPr>
          <w:vertAlign w:val="superscript"/>
        </w:rPr>
        <w:t>ème</w:t>
      </w:r>
      <w:r w:rsidRPr="009B6952">
        <w:t xml:space="preserve"> phase (2011-2015) consistera à capitaliser les réussites des phases précédentes afin de réorganiser toutes les structures et </w:t>
      </w:r>
      <w:r>
        <w:t xml:space="preserve">de </w:t>
      </w:r>
      <w:r w:rsidRPr="009B6952">
        <w:t xml:space="preserve">rapprocher davantage le </w:t>
      </w:r>
      <w:r>
        <w:t>Gouvernement</w:t>
      </w:r>
      <w:r w:rsidRPr="009B6952">
        <w:t xml:space="preserve"> du peuple. </w:t>
      </w:r>
    </w:p>
    <w:p w:rsidR="00CB399B" w:rsidRPr="009B6952" w:rsidRDefault="00CB399B" w:rsidP="00CB399B">
      <w:pPr>
        <w:pStyle w:val="SingleTxtG"/>
      </w:pPr>
      <w:r>
        <w:t>40</w:t>
      </w:r>
      <w:r w:rsidRPr="009B6952">
        <w:t>.</w:t>
      </w:r>
      <w:r w:rsidRPr="009B6952">
        <w:tab/>
        <w:t>Diverses initiatives supportent et appuient le processus de décentralisation, c</w:t>
      </w:r>
      <w:r w:rsidR="00B861F1">
        <w:t>’</w:t>
      </w:r>
      <w:r w:rsidRPr="009B6952">
        <w:t xml:space="preserve">est-à-dire la participation de la population à son propre développement économique et social ainsi que la mise à exécution des programmes de développement initiés et générés au niveau local. A ce propos, les initiatives suivantes existent: </w:t>
      </w:r>
      <w:r w:rsidRPr="009B6952">
        <w:rPr>
          <w:i/>
        </w:rPr>
        <w:t xml:space="preserve">Ubudehe, </w:t>
      </w:r>
      <w:r w:rsidRPr="009B6952">
        <w:t>PDL-HIMO</w:t>
      </w:r>
      <w:r w:rsidRPr="009B6952">
        <w:rPr>
          <w:i/>
        </w:rPr>
        <w:t>, itorero</w:t>
      </w:r>
      <w:r w:rsidRPr="009B6952">
        <w:t xml:space="preserve">, </w:t>
      </w:r>
      <w:r w:rsidRPr="009B6952">
        <w:rPr>
          <w:i/>
        </w:rPr>
        <w:t>Gacaca</w:t>
      </w:r>
      <w:r w:rsidRPr="009B6952">
        <w:t xml:space="preserve">, les </w:t>
      </w:r>
      <w:r w:rsidRPr="009B6952">
        <w:rPr>
          <w:i/>
        </w:rPr>
        <w:t>Abunzi,</w:t>
      </w:r>
      <w:r>
        <w:rPr>
          <w:i/>
        </w:rPr>
        <w:t xml:space="preserve"> </w:t>
      </w:r>
      <w:r w:rsidRPr="00435F75">
        <w:rPr>
          <w:i/>
        </w:rPr>
        <w:t>community policing</w:t>
      </w:r>
      <w:r w:rsidRPr="009B6952">
        <w:t xml:space="preserve">, </w:t>
      </w:r>
      <w:r w:rsidRPr="009B6952">
        <w:rPr>
          <w:i/>
        </w:rPr>
        <w:t>umuganda</w:t>
      </w:r>
      <w:r w:rsidRPr="009B6952">
        <w:t xml:space="preserve"> et </w:t>
      </w:r>
      <w:r w:rsidRPr="009B6952">
        <w:rPr>
          <w:i/>
        </w:rPr>
        <w:t>umusanzu.</w:t>
      </w:r>
      <w:r>
        <w:rPr>
          <w:i/>
        </w:rPr>
        <w:t xml:space="preserve"> </w:t>
      </w:r>
    </w:p>
    <w:p w:rsidR="00CB399B" w:rsidRPr="009B6952" w:rsidRDefault="00CB399B" w:rsidP="00CB399B">
      <w:pPr>
        <w:pStyle w:val="Bullet1G"/>
      </w:pPr>
      <w:r w:rsidRPr="009B6952">
        <w:rPr>
          <w:i/>
        </w:rPr>
        <w:t>Ubudehe mu kurwanya ubukene</w:t>
      </w:r>
      <w:r w:rsidRPr="009E754B">
        <w:rPr>
          <w:sz w:val="18"/>
          <w:szCs w:val="18"/>
          <w:vertAlign w:val="superscript"/>
        </w:rPr>
        <w:footnoteReference w:id="20"/>
      </w:r>
      <w:r w:rsidRPr="009B6952">
        <w:rPr>
          <w:i/>
        </w:rPr>
        <w:t xml:space="preserve"> </w:t>
      </w:r>
      <w:r w:rsidRPr="009B6952">
        <w:t xml:space="preserve">étant une </w:t>
      </w:r>
      <w:r>
        <w:t>«</w:t>
      </w:r>
      <w:r w:rsidRPr="009B6952">
        <w:t>planification de l</w:t>
      </w:r>
      <w:r w:rsidR="00B861F1">
        <w:t>’</w:t>
      </w:r>
      <w:r w:rsidRPr="009B6952">
        <w:t>action communautaire</w:t>
      </w:r>
      <w:r>
        <w:t>»</w:t>
      </w:r>
      <w:r w:rsidRPr="009B6952">
        <w:t>: c</w:t>
      </w:r>
      <w:r w:rsidR="00B861F1">
        <w:t>’</w:t>
      </w:r>
      <w:r w:rsidRPr="009B6952">
        <w:t>est la tradition d</w:t>
      </w:r>
      <w:r>
        <w:t>e l</w:t>
      </w:r>
      <w:r w:rsidR="00B861F1">
        <w:t>’</w:t>
      </w:r>
      <w:r w:rsidRPr="009B6952">
        <w:t>action collective, adoptée pour résoudre le problème d</w:t>
      </w:r>
      <w:r>
        <w:t>e pauvreté au niveau de la base;</w:t>
      </w:r>
    </w:p>
    <w:p w:rsidR="00CB399B" w:rsidRPr="009B6952" w:rsidRDefault="00CB399B" w:rsidP="00CB399B">
      <w:pPr>
        <w:pStyle w:val="Bullet1G"/>
      </w:pPr>
      <w:r w:rsidRPr="009B6952">
        <w:t>Quant à HIMO, il permet l</w:t>
      </w:r>
      <w:r w:rsidR="00B861F1">
        <w:t>’</w:t>
      </w:r>
      <w:r w:rsidRPr="009B6952">
        <w:t>établissement et la mise en œuvre de travaux publics à haute intensité de main-d</w:t>
      </w:r>
      <w:r w:rsidR="00B861F1">
        <w:t>’</w:t>
      </w:r>
      <w:r w:rsidRPr="009B6952">
        <w:t>œuvre. Cette stratégie permet la création d</w:t>
      </w:r>
      <w:r w:rsidR="00B861F1">
        <w:t>’</w:t>
      </w:r>
      <w:r w:rsidRPr="009B6952">
        <w:t>emploi pour les habitants locaux, surtout ceux des régions rurales. Depuis le début du programme</w:t>
      </w:r>
      <w:r w:rsidRPr="009E754B">
        <w:rPr>
          <w:sz w:val="18"/>
          <w:szCs w:val="18"/>
          <w:vertAlign w:val="superscript"/>
        </w:rPr>
        <w:footnoteReference w:id="21"/>
      </w:r>
      <w:r w:rsidRPr="009B6952">
        <w:t>, plus de 43</w:t>
      </w:r>
      <w:r>
        <w:t xml:space="preserve"> </w:t>
      </w:r>
      <w:r w:rsidRPr="009B6952">
        <w:t>000 individus, dont 39</w:t>
      </w:r>
      <w:r>
        <w:t xml:space="preserve"> %</w:t>
      </w:r>
      <w:r w:rsidRPr="009B6952">
        <w:t xml:space="preserve"> sont des femmes, ont trouvé de l</w:t>
      </w:r>
      <w:r w:rsidR="00B861F1">
        <w:t>’</w:t>
      </w:r>
      <w:r w:rsidRPr="009B6952">
        <w:t xml:space="preserve">emploi du fait des travaux HIMO (pouvant consister </w:t>
      </w:r>
      <w:r>
        <w:t xml:space="preserve">à </w:t>
      </w:r>
      <w:r w:rsidRPr="009B6952">
        <w:t>plant</w:t>
      </w:r>
      <w:r>
        <w:t xml:space="preserve">er </w:t>
      </w:r>
      <w:r w:rsidRPr="009B6952">
        <w:t>d</w:t>
      </w:r>
      <w:r>
        <w:t xml:space="preserve">es </w:t>
      </w:r>
      <w:r w:rsidRPr="009B6952">
        <w:t>arbres, constr</w:t>
      </w:r>
      <w:r>
        <w:t>uire des terrasses, et autres);</w:t>
      </w:r>
      <w:r w:rsidRPr="009B6952">
        <w:t xml:space="preserve"> </w:t>
      </w:r>
    </w:p>
    <w:p w:rsidR="00CB399B" w:rsidRPr="009B6952" w:rsidRDefault="00CB399B" w:rsidP="00CB399B">
      <w:pPr>
        <w:pStyle w:val="Bullet1G"/>
      </w:pPr>
      <w:r w:rsidRPr="009B6952">
        <w:t>L</w:t>
      </w:r>
      <w:r w:rsidR="00B861F1">
        <w:t>’</w:t>
      </w:r>
      <w:r w:rsidRPr="009B6952">
        <w:rPr>
          <w:i/>
        </w:rPr>
        <w:t>Itorero</w:t>
      </w:r>
      <w:r w:rsidRPr="009E754B">
        <w:t>:</w:t>
      </w:r>
      <w:r w:rsidRPr="009B6952">
        <w:t xml:space="preserve"> c</w:t>
      </w:r>
      <w:r w:rsidR="00B861F1">
        <w:t>’</w:t>
      </w:r>
      <w:r w:rsidRPr="009B6952">
        <w:t>est une plate</w:t>
      </w:r>
      <w:r>
        <w:t>-</w:t>
      </w:r>
      <w:r w:rsidRPr="009B6952">
        <w:t xml:space="preserve">forme </w:t>
      </w:r>
      <w:r>
        <w:t>pour les</w:t>
      </w:r>
      <w:r w:rsidRPr="009B6952">
        <w:t xml:space="preserve"> programmes d</w:t>
      </w:r>
      <w:r w:rsidR="00B861F1">
        <w:t>’</w:t>
      </w:r>
      <w:r w:rsidRPr="009B6952">
        <w:t>éducation culturelle.</w:t>
      </w:r>
    </w:p>
    <w:p w:rsidR="00CB399B" w:rsidRDefault="00CB399B" w:rsidP="00CB399B">
      <w:pPr>
        <w:pStyle w:val="Bullet1G"/>
      </w:pPr>
      <w:r w:rsidRPr="009B6952">
        <w:rPr>
          <w:i/>
        </w:rPr>
        <w:t>Gacaca</w:t>
      </w:r>
      <w:r w:rsidRPr="009B6952">
        <w:t xml:space="preserve">, la tradition collective </w:t>
      </w:r>
      <w:r>
        <w:t>pour le</w:t>
      </w:r>
      <w:r w:rsidRPr="009B6952">
        <w:t xml:space="preserve"> règlement des litiges. Elle aide à résorber la multitude de procès légués par le génocide</w:t>
      </w:r>
      <w:r w:rsidRPr="00DE2468">
        <w:rPr>
          <w:sz w:val="18"/>
          <w:szCs w:val="18"/>
          <w:vertAlign w:val="superscript"/>
        </w:rPr>
        <w:footnoteReference w:id="22"/>
      </w:r>
      <w:r w:rsidRPr="009B6952">
        <w:t xml:space="preserve">. La loi instituant les juridictions </w:t>
      </w:r>
      <w:r w:rsidRPr="009B6952">
        <w:rPr>
          <w:i/>
        </w:rPr>
        <w:t>Gacaca</w:t>
      </w:r>
      <w:r w:rsidRPr="00DE2468">
        <w:rPr>
          <w:sz w:val="18"/>
          <w:szCs w:val="18"/>
          <w:vertAlign w:val="superscript"/>
        </w:rPr>
        <w:footnoteReference w:id="23"/>
      </w:r>
      <w:r w:rsidRPr="00DE2468">
        <w:rPr>
          <w:sz w:val="18"/>
          <w:szCs w:val="18"/>
        </w:rPr>
        <w:t xml:space="preserve"> </w:t>
      </w:r>
      <w:r w:rsidRPr="009B6952">
        <w:t xml:space="preserve">prévoit une peine </w:t>
      </w:r>
      <w:r>
        <w:t>de</w:t>
      </w:r>
      <w:r w:rsidRPr="009B6952">
        <w:t xml:space="preserve"> travaux communautaires pour </w:t>
      </w:r>
      <w:r>
        <w:t>l</w:t>
      </w:r>
      <w:r w:rsidRPr="009B6952">
        <w:t>es personnes ayant confessé et avoué leurs crimes et plaidé coupable</w:t>
      </w:r>
      <w:r>
        <w:t>s</w:t>
      </w:r>
      <w:r w:rsidRPr="009B6952">
        <w:t xml:space="preserve"> aux infractions </w:t>
      </w:r>
      <w:r>
        <w:t xml:space="preserve">qui </w:t>
      </w:r>
      <w:r w:rsidRPr="009B6952">
        <w:t xml:space="preserve">leur </w:t>
      </w:r>
      <w:r>
        <w:t xml:space="preserve">sont </w:t>
      </w:r>
      <w:r w:rsidRPr="009B6952">
        <w:t xml:space="preserve">reprochées. Ces personnes purgent leur peine </w:t>
      </w:r>
      <w:r>
        <w:t>au sein de</w:t>
      </w:r>
      <w:r w:rsidRPr="009B6952">
        <w:t xml:space="preserve"> la communauté en effectuant </w:t>
      </w:r>
      <w:r>
        <w:t>d</w:t>
      </w:r>
      <w:r w:rsidRPr="009B6952">
        <w:t>es travaux d</w:t>
      </w:r>
      <w:r w:rsidR="00B861F1">
        <w:t>’</w:t>
      </w:r>
      <w:r w:rsidRPr="009B6952">
        <w:t>intérêt général (TIG)</w:t>
      </w:r>
      <w:r w:rsidRPr="00DE2468">
        <w:rPr>
          <w:sz w:val="18"/>
          <w:szCs w:val="18"/>
          <w:vertAlign w:val="superscript"/>
        </w:rPr>
        <w:footnoteReference w:id="24"/>
      </w:r>
      <w:r w:rsidRPr="009B6952">
        <w:t xml:space="preserve">. Cette condamnation alternative permet aux inculpés </w:t>
      </w:r>
      <w:r>
        <w:t>une</w:t>
      </w:r>
      <w:r w:rsidRPr="009B6952">
        <w:t xml:space="preserve"> réintégration dans la communauté le moment venu et</w:t>
      </w:r>
      <w:r>
        <w:t xml:space="preserve"> elle</w:t>
      </w:r>
      <w:r w:rsidRPr="009B6952">
        <w:t xml:space="preserve"> est un moyen de renforcer l</w:t>
      </w:r>
      <w:r w:rsidR="00B861F1">
        <w:t>’</w:t>
      </w:r>
      <w:r w:rsidRPr="009B6952">
        <w:t>unité et la réconciliation.</w:t>
      </w:r>
      <w:r>
        <w:t xml:space="preserve"> On trouvera dans le tableau ci-dessous</w:t>
      </w:r>
      <w:r w:rsidRPr="009B6952">
        <w:t xml:space="preserve"> un aperçu des travaux accomplis par ces personnes</w:t>
      </w:r>
      <w:r>
        <w:t>.</w:t>
      </w:r>
      <w:r w:rsidRPr="009B6952">
        <w:t xml:space="preserve"> </w:t>
      </w:r>
    </w:p>
    <w:p w:rsidR="00CB399B" w:rsidRPr="008F6C74" w:rsidRDefault="00CB399B" w:rsidP="00E65FFA">
      <w:pPr>
        <w:pStyle w:val="Heading1"/>
        <w:spacing w:after="120"/>
        <w:ind w:right="1134"/>
      </w:pPr>
      <w:r w:rsidRPr="008F6C74">
        <w:t>Tableau 1</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3968"/>
        <w:gridCol w:w="3402"/>
      </w:tblGrid>
      <w:tr w:rsidR="00CB399B" w:rsidRPr="00DE2468" w:rsidTr="008E1473">
        <w:tblPrEx>
          <w:tblCellMar>
            <w:top w:w="0" w:type="dxa"/>
            <w:bottom w:w="0" w:type="dxa"/>
          </w:tblCellMar>
        </w:tblPrEx>
        <w:trPr>
          <w:trHeight w:val="195"/>
          <w:tblHeader/>
        </w:trPr>
        <w:tc>
          <w:tcPr>
            <w:tcW w:w="3968" w:type="dxa"/>
            <w:tcBorders>
              <w:top w:val="single" w:sz="4" w:space="0" w:color="auto"/>
              <w:bottom w:val="single" w:sz="12" w:space="0" w:color="auto"/>
            </w:tcBorders>
            <w:shd w:val="clear" w:color="auto" w:fill="auto"/>
            <w:vAlign w:val="bottom"/>
          </w:tcPr>
          <w:p w:rsidR="00CB399B" w:rsidRPr="00DE2468" w:rsidRDefault="00CB399B" w:rsidP="008E1473">
            <w:pPr>
              <w:spacing w:before="80" w:after="80" w:line="200" w:lineRule="exact"/>
              <w:rPr>
                <w:i/>
                <w:sz w:val="16"/>
              </w:rPr>
            </w:pPr>
            <w:r w:rsidRPr="00DE2468">
              <w:rPr>
                <w:i/>
                <w:sz w:val="16"/>
              </w:rPr>
              <w:t>Type de travail</w:t>
            </w:r>
          </w:p>
        </w:tc>
        <w:tc>
          <w:tcPr>
            <w:tcW w:w="3402" w:type="dxa"/>
            <w:tcBorders>
              <w:top w:val="single" w:sz="4" w:space="0" w:color="auto"/>
              <w:bottom w:val="single" w:sz="12" w:space="0" w:color="auto"/>
            </w:tcBorders>
            <w:shd w:val="clear" w:color="auto" w:fill="auto"/>
            <w:vAlign w:val="bottom"/>
          </w:tcPr>
          <w:p w:rsidR="00CB399B" w:rsidRPr="00DE2468" w:rsidRDefault="00CB399B" w:rsidP="008E1473">
            <w:pPr>
              <w:spacing w:before="80" w:after="80" w:line="200" w:lineRule="exact"/>
              <w:rPr>
                <w:i/>
                <w:sz w:val="16"/>
              </w:rPr>
            </w:pPr>
            <w:r w:rsidRPr="00DE2468">
              <w:rPr>
                <w:i/>
                <w:sz w:val="16"/>
              </w:rPr>
              <w:t>Réalisations depuis 2005</w:t>
            </w:r>
          </w:p>
        </w:tc>
      </w:tr>
      <w:tr w:rsidR="008E1473" w:rsidRPr="00DE2468" w:rsidTr="008E1473">
        <w:tblPrEx>
          <w:tblCellMar>
            <w:top w:w="0" w:type="dxa"/>
            <w:bottom w:w="0" w:type="dxa"/>
          </w:tblCellMar>
        </w:tblPrEx>
        <w:trPr>
          <w:trHeight w:hRule="exact" w:val="113"/>
          <w:tblHeader/>
        </w:trPr>
        <w:tc>
          <w:tcPr>
            <w:tcW w:w="3968" w:type="dxa"/>
            <w:tcBorders>
              <w:top w:val="single" w:sz="12" w:space="0" w:color="auto"/>
              <w:bottom w:val="nil"/>
            </w:tcBorders>
            <w:shd w:val="clear" w:color="auto" w:fill="auto"/>
          </w:tcPr>
          <w:p w:rsidR="008E1473" w:rsidRPr="00DE2468" w:rsidRDefault="008E1473" w:rsidP="008E1473">
            <w:pPr>
              <w:keepLines/>
              <w:spacing w:before="40" w:after="120" w:line="220" w:lineRule="exact"/>
              <w:rPr>
                <w:sz w:val="18"/>
              </w:rPr>
            </w:pPr>
          </w:p>
        </w:tc>
        <w:tc>
          <w:tcPr>
            <w:tcW w:w="3402" w:type="dxa"/>
            <w:tcBorders>
              <w:top w:val="single" w:sz="12" w:space="0" w:color="auto"/>
              <w:bottom w:val="nil"/>
            </w:tcBorders>
            <w:shd w:val="clear" w:color="auto" w:fill="auto"/>
          </w:tcPr>
          <w:p w:rsidR="008E1473" w:rsidRPr="00DE2468" w:rsidRDefault="008E1473" w:rsidP="008E1473">
            <w:pPr>
              <w:keepLines/>
              <w:spacing w:before="40" w:after="120" w:line="220" w:lineRule="exact"/>
              <w:rPr>
                <w:sz w:val="18"/>
              </w:rPr>
            </w:pPr>
          </w:p>
        </w:tc>
      </w:tr>
      <w:tr w:rsidR="00CB399B" w:rsidRPr="00F40792" w:rsidTr="008E1473">
        <w:tblPrEx>
          <w:tblCellMar>
            <w:top w:w="0" w:type="dxa"/>
            <w:bottom w:w="0" w:type="dxa"/>
          </w:tblCellMar>
        </w:tblPrEx>
        <w:trPr>
          <w:trHeight w:val="20"/>
        </w:trPr>
        <w:tc>
          <w:tcPr>
            <w:tcW w:w="3968" w:type="dxa"/>
            <w:tcBorders>
              <w:top w:val="nil"/>
            </w:tcBorders>
            <w:shd w:val="clear" w:color="auto" w:fill="auto"/>
          </w:tcPr>
          <w:p w:rsidR="00CB399B" w:rsidRPr="00F40792" w:rsidRDefault="00CB399B" w:rsidP="008E1473">
            <w:pPr>
              <w:keepLines/>
              <w:spacing w:before="40" w:after="120" w:line="220" w:lineRule="atLeast"/>
            </w:pPr>
            <w:r w:rsidRPr="00F40792">
              <w:t>Nombre de maisons construites pour les rescapés du génocide contre les Tutsi</w:t>
            </w:r>
          </w:p>
        </w:tc>
        <w:tc>
          <w:tcPr>
            <w:tcW w:w="3402" w:type="dxa"/>
            <w:tcBorders>
              <w:top w:val="nil"/>
            </w:tcBorders>
            <w:shd w:val="clear" w:color="auto" w:fill="auto"/>
          </w:tcPr>
          <w:p w:rsidR="00CB399B" w:rsidRPr="00F40792" w:rsidRDefault="00CB399B" w:rsidP="008E1473">
            <w:pPr>
              <w:keepLines/>
              <w:spacing w:before="40" w:after="120" w:line="220" w:lineRule="atLeast"/>
            </w:pPr>
            <w:r w:rsidRPr="00F40792">
              <w:t>2 619</w:t>
            </w:r>
          </w:p>
        </w:tc>
      </w:tr>
      <w:tr w:rsidR="00CB399B" w:rsidRPr="00F40792" w:rsidTr="008E1473">
        <w:tblPrEx>
          <w:tblCellMar>
            <w:top w:w="0" w:type="dxa"/>
            <w:bottom w:w="0" w:type="dxa"/>
          </w:tblCellMar>
        </w:tblPrEx>
        <w:trPr>
          <w:trHeight w:val="20"/>
        </w:trPr>
        <w:tc>
          <w:tcPr>
            <w:tcW w:w="3968" w:type="dxa"/>
            <w:shd w:val="clear" w:color="auto" w:fill="auto"/>
          </w:tcPr>
          <w:p w:rsidR="00CB399B" w:rsidRPr="00F40792" w:rsidRDefault="00CB399B" w:rsidP="008E1473">
            <w:pPr>
              <w:spacing w:before="40" w:after="120" w:line="220" w:lineRule="atLeast"/>
            </w:pPr>
            <w:r w:rsidRPr="00F40792">
              <w:t>Les terrasses érigées</w:t>
            </w:r>
          </w:p>
        </w:tc>
        <w:tc>
          <w:tcPr>
            <w:tcW w:w="3402" w:type="dxa"/>
            <w:shd w:val="clear" w:color="auto" w:fill="auto"/>
          </w:tcPr>
          <w:p w:rsidR="00CB399B" w:rsidRPr="00F40792" w:rsidRDefault="00CB399B" w:rsidP="008E1473">
            <w:pPr>
              <w:spacing w:before="40" w:after="120" w:line="220" w:lineRule="atLeast"/>
            </w:pPr>
            <w:r w:rsidRPr="00F40792">
              <w:t xml:space="preserve">3 638 hectares </w:t>
            </w:r>
          </w:p>
        </w:tc>
      </w:tr>
      <w:tr w:rsidR="00CB399B" w:rsidRPr="00F40792" w:rsidTr="008E1473">
        <w:tblPrEx>
          <w:tblCellMar>
            <w:top w:w="0" w:type="dxa"/>
            <w:bottom w:w="0" w:type="dxa"/>
          </w:tblCellMar>
        </w:tblPrEx>
        <w:trPr>
          <w:trHeight w:val="20"/>
        </w:trPr>
        <w:tc>
          <w:tcPr>
            <w:tcW w:w="3968" w:type="dxa"/>
            <w:shd w:val="clear" w:color="auto" w:fill="auto"/>
          </w:tcPr>
          <w:p w:rsidR="00CB399B" w:rsidRPr="00F40792" w:rsidRDefault="00CB399B" w:rsidP="008E1473">
            <w:pPr>
              <w:spacing w:before="40" w:after="120" w:line="220" w:lineRule="atLeast"/>
            </w:pPr>
            <w:r w:rsidRPr="00F40792">
              <w:t>Les routes construites</w:t>
            </w:r>
          </w:p>
        </w:tc>
        <w:tc>
          <w:tcPr>
            <w:tcW w:w="3402" w:type="dxa"/>
            <w:shd w:val="clear" w:color="auto" w:fill="auto"/>
          </w:tcPr>
          <w:p w:rsidR="00CB399B" w:rsidRPr="00F40792" w:rsidRDefault="00CB399B" w:rsidP="008E1473">
            <w:pPr>
              <w:spacing w:before="40" w:after="120" w:line="220" w:lineRule="atLeast"/>
            </w:pPr>
            <w:r w:rsidRPr="00F40792">
              <w:t>1 650 Km</w:t>
            </w:r>
          </w:p>
        </w:tc>
      </w:tr>
      <w:tr w:rsidR="00CB399B" w:rsidRPr="00F40792" w:rsidTr="008E1473">
        <w:tblPrEx>
          <w:tblCellMar>
            <w:top w:w="0" w:type="dxa"/>
            <w:bottom w:w="0" w:type="dxa"/>
          </w:tblCellMar>
        </w:tblPrEx>
        <w:trPr>
          <w:trHeight w:val="20"/>
        </w:trPr>
        <w:tc>
          <w:tcPr>
            <w:tcW w:w="3968" w:type="dxa"/>
            <w:shd w:val="clear" w:color="auto" w:fill="auto"/>
          </w:tcPr>
          <w:p w:rsidR="00CB399B" w:rsidRPr="00F40792" w:rsidRDefault="00CB399B" w:rsidP="008E1473">
            <w:pPr>
              <w:spacing w:before="40" w:after="120" w:line="220" w:lineRule="atLeast"/>
            </w:pPr>
            <w:r w:rsidRPr="00F40792">
              <w:t>Les pierres taillées servant:</w:t>
            </w:r>
          </w:p>
        </w:tc>
        <w:tc>
          <w:tcPr>
            <w:tcW w:w="3402" w:type="dxa"/>
            <w:shd w:val="clear" w:color="auto" w:fill="auto"/>
          </w:tcPr>
          <w:p w:rsidR="00CB399B" w:rsidRPr="00F40792" w:rsidRDefault="00CB399B" w:rsidP="008E1473">
            <w:pPr>
              <w:spacing w:before="40" w:after="120" w:line="220" w:lineRule="atLeast"/>
            </w:pPr>
            <w:r w:rsidRPr="00F40792">
              <w:t xml:space="preserve">8 190 970 pavés </w:t>
            </w:r>
          </w:p>
          <w:p w:rsidR="00CB399B" w:rsidRPr="00F40792" w:rsidRDefault="00CB399B" w:rsidP="008E1473">
            <w:pPr>
              <w:spacing w:before="40" w:after="120" w:line="220" w:lineRule="atLeast"/>
            </w:pPr>
            <w:r w:rsidRPr="00F40792">
              <w:t>Concassés 27 765</w:t>
            </w:r>
          </w:p>
        </w:tc>
      </w:tr>
      <w:tr w:rsidR="00CB399B" w:rsidRPr="00F40792" w:rsidTr="008E1473">
        <w:tblPrEx>
          <w:tblCellMar>
            <w:top w:w="0" w:type="dxa"/>
            <w:bottom w:w="0" w:type="dxa"/>
          </w:tblCellMar>
        </w:tblPrEx>
        <w:trPr>
          <w:trHeight w:val="20"/>
        </w:trPr>
        <w:tc>
          <w:tcPr>
            <w:tcW w:w="3968" w:type="dxa"/>
            <w:shd w:val="clear" w:color="auto" w:fill="auto"/>
          </w:tcPr>
          <w:p w:rsidR="00CB399B" w:rsidRPr="00F40792" w:rsidRDefault="00CB399B" w:rsidP="008E1473">
            <w:pPr>
              <w:spacing w:before="40" w:after="120" w:line="220" w:lineRule="atLeast"/>
            </w:pPr>
            <w:r w:rsidRPr="00F40792">
              <w:t>Entretien des marais</w:t>
            </w:r>
          </w:p>
        </w:tc>
        <w:tc>
          <w:tcPr>
            <w:tcW w:w="3402" w:type="dxa"/>
            <w:shd w:val="clear" w:color="auto" w:fill="auto"/>
          </w:tcPr>
          <w:p w:rsidR="00CB399B" w:rsidRPr="00F40792" w:rsidRDefault="00CB399B" w:rsidP="008E1473">
            <w:pPr>
              <w:spacing w:before="40" w:after="120" w:line="220" w:lineRule="atLeast"/>
            </w:pPr>
            <w:r w:rsidRPr="00F40792">
              <w:t>300 hectares de terres cultivées; 104,4</w:t>
            </w:r>
            <w:r w:rsidR="00F40792">
              <w:t> </w:t>
            </w:r>
            <w:r w:rsidRPr="00F40792">
              <w:t>hectares de maïs cultivés</w:t>
            </w:r>
          </w:p>
        </w:tc>
      </w:tr>
      <w:tr w:rsidR="00CB399B" w:rsidRPr="00F40792" w:rsidTr="008E1473">
        <w:tblPrEx>
          <w:tblCellMar>
            <w:top w:w="0" w:type="dxa"/>
            <w:bottom w:w="0" w:type="dxa"/>
          </w:tblCellMar>
        </w:tblPrEx>
        <w:trPr>
          <w:trHeight w:val="20"/>
        </w:trPr>
        <w:tc>
          <w:tcPr>
            <w:tcW w:w="3968" w:type="dxa"/>
            <w:shd w:val="clear" w:color="auto" w:fill="auto"/>
          </w:tcPr>
          <w:p w:rsidR="00CB399B" w:rsidRPr="00F40792" w:rsidRDefault="00CB399B" w:rsidP="008E1473">
            <w:pPr>
              <w:spacing w:before="40" w:after="120" w:line="220" w:lineRule="atLeast"/>
            </w:pPr>
            <w:r w:rsidRPr="00F40792">
              <w:t>Plantation de café</w:t>
            </w:r>
          </w:p>
        </w:tc>
        <w:tc>
          <w:tcPr>
            <w:tcW w:w="3402" w:type="dxa"/>
            <w:shd w:val="clear" w:color="auto" w:fill="auto"/>
          </w:tcPr>
          <w:p w:rsidR="00CB399B" w:rsidRPr="00F40792" w:rsidRDefault="00CB399B" w:rsidP="008E1473">
            <w:pPr>
              <w:spacing w:before="40" w:after="120" w:line="220" w:lineRule="atLeast"/>
            </w:pPr>
            <w:r w:rsidRPr="00F40792">
              <w:t>1 671 051</w:t>
            </w:r>
          </w:p>
        </w:tc>
      </w:tr>
      <w:tr w:rsidR="00CB399B" w:rsidRPr="00F40792" w:rsidTr="008E1473">
        <w:tblPrEx>
          <w:tblCellMar>
            <w:top w:w="0" w:type="dxa"/>
            <w:bottom w:w="0" w:type="dxa"/>
          </w:tblCellMar>
        </w:tblPrEx>
        <w:trPr>
          <w:trHeight w:val="20"/>
        </w:trPr>
        <w:tc>
          <w:tcPr>
            <w:tcW w:w="3968" w:type="dxa"/>
            <w:shd w:val="clear" w:color="auto" w:fill="auto"/>
          </w:tcPr>
          <w:p w:rsidR="00CB399B" w:rsidRPr="00F40792" w:rsidRDefault="00CB399B" w:rsidP="008E1473">
            <w:pPr>
              <w:spacing w:before="40" w:after="120" w:line="220" w:lineRule="atLeast"/>
            </w:pPr>
            <w:r w:rsidRPr="00F40792">
              <w:t xml:space="preserve">Tôles + briques préparées </w:t>
            </w:r>
          </w:p>
        </w:tc>
        <w:tc>
          <w:tcPr>
            <w:tcW w:w="3402" w:type="dxa"/>
            <w:shd w:val="clear" w:color="auto" w:fill="auto"/>
          </w:tcPr>
          <w:p w:rsidR="00CB399B" w:rsidRPr="00F40792" w:rsidRDefault="00CB399B" w:rsidP="008E1473">
            <w:pPr>
              <w:spacing w:before="40" w:after="120" w:line="220" w:lineRule="atLeast"/>
            </w:pPr>
            <w:r w:rsidRPr="00F40792">
              <w:t>536 200</w:t>
            </w:r>
          </w:p>
        </w:tc>
      </w:tr>
      <w:tr w:rsidR="00CB399B" w:rsidRPr="00F40792" w:rsidTr="008E1473">
        <w:tblPrEx>
          <w:tblCellMar>
            <w:top w:w="0" w:type="dxa"/>
            <w:bottom w:w="0" w:type="dxa"/>
          </w:tblCellMar>
        </w:tblPrEx>
        <w:trPr>
          <w:trHeight w:val="20"/>
        </w:trPr>
        <w:tc>
          <w:tcPr>
            <w:tcW w:w="3968" w:type="dxa"/>
            <w:shd w:val="clear" w:color="auto" w:fill="auto"/>
          </w:tcPr>
          <w:p w:rsidR="00CB399B" w:rsidRPr="00F40792" w:rsidRDefault="00CB399B" w:rsidP="008E1473">
            <w:pPr>
              <w:spacing w:before="40" w:after="120" w:line="220" w:lineRule="atLeast"/>
            </w:pPr>
            <w:r w:rsidRPr="00F40792">
              <w:t>Culture du manioc</w:t>
            </w:r>
          </w:p>
        </w:tc>
        <w:tc>
          <w:tcPr>
            <w:tcW w:w="3402" w:type="dxa"/>
            <w:shd w:val="clear" w:color="auto" w:fill="auto"/>
          </w:tcPr>
          <w:p w:rsidR="00CB399B" w:rsidRPr="00F40792" w:rsidRDefault="00CB399B" w:rsidP="008E1473">
            <w:pPr>
              <w:spacing w:before="40" w:after="120" w:line="220" w:lineRule="atLeast"/>
            </w:pPr>
            <w:r w:rsidRPr="00F40792">
              <w:t>6 700 hectares</w:t>
            </w:r>
          </w:p>
        </w:tc>
      </w:tr>
    </w:tbl>
    <w:p w:rsidR="00CB399B" w:rsidRPr="002C1934" w:rsidRDefault="00CB399B" w:rsidP="00FF2FF5">
      <w:pPr>
        <w:pStyle w:val="Heading1"/>
        <w:spacing w:before="120" w:after="240"/>
        <w:ind w:right="1134" w:firstLine="170"/>
        <w:rPr>
          <w:iCs/>
          <w:sz w:val="18"/>
          <w:szCs w:val="18"/>
        </w:rPr>
      </w:pPr>
      <w:r w:rsidRPr="002C1934">
        <w:rPr>
          <w:i/>
          <w:sz w:val="18"/>
          <w:szCs w:val="18"/>
        </w:rPr>
        <w:t>Source</w:t>
      </w:r>
      <w:r w:rsidRPr="002C1934">
        <w:rPr>
          <w:iCs/>
          <w:sz w:val="18"/>
          <w:szCs w:val="18"/>
        </w:rPr>
        <w:t>: Secrétariat exécutif du TIG: Notons qu</w:t>
      </w:r>
      <w:r w:rsidR="00B861F1">
        <w:rPr>
          <w:iCs/>
          <w:sz w:val="18"/>
          <w:szCs w:val="18"/>
        </w:rPr>
        <w:t>’</w:t>
      </w:r>
      <w:r w:rsidRPr="002C1934">
        <w:rPr>
          <w:iCs/>
          <w:sz w:val="18"/>
          <w:szCs w:val="18"/>
        </w:rPr>
        <w:t>en 2008, les travaux de TIG ont fait entrer dans les</w:t>
      </w:r>
      <w:r w:rsidR="00E65FFA">
        <w:rPr>
          <w:iCs/>
          <w:sz w:val="18"/>
          <w:szCs w:val="18"/>
        </w:rPr>
        <w:t> </w:t>
      </w:r>
      <w:r w:rsidRPr="002C1934">
        <w:rPr>
          <w:iCs/>
          <w:sz w:val="18"/>
          <w:szCs w:val="18"/>
        </w:rPr>
        <w:t>caisses de l</w:t>
      </w:r>
      <w:r w:rsidR="00B861F1">
        <w:rPr>
          <w:iCs/>
          <w:sz w:val="18"/>
          <w:szCs w:val="18"/>
        </w:rPr>
        <w:t>’</w:t>
      </w:r>
      <w:r w:rsidRPr="002C1934">
        <w:rPr>
          <w:iCs/>
          <w:sz w:val="18"/>
          <w:szCs w:val="18"/>
        </w:rPr>
        <w:t>État</w:t>
      </w:r>
      <w:r w:rsidRPr="002C1934">
        <w:rPr>
          <w:iCs/>
        </w:rPr>
        <w:t xml:space="preserve"> </w:t>
      </w:r>
      <w:r w:rsidRPr="002C1934">
        <w:rPr>
          <w:iCs/>
          <w:sz w:val="18"/>
          <w:szCs w:val="18"/>
        </w:rPr>
        <w:t>12</w:t>
      </w:r>
      <w:r>
        <w:rPr>
          <w:iCs/>
          <w:sz w:val="18"/>
          <w:szCs w:val="18"/>
        </w:rPr>
        <w:t xml:space="preserve"> </w:t>
      </w:r>
      <w:r w:rsidRPr="002C1934">
        <w:rPr>
          <w:iCs/>
          <w:sz w:val="18"/>
          <w:szCs w:val="18"/>
        </w:rPr>
        <w:t>131</w:t>
      </w:r>
      <w:r>
        <w:rPr>
          <w:iCs/>
          <w:sz w:val="18"/>
          <w:szCs w:val="18"/>
        </w:rPr>
        <w:t xml:space="preserve"> </w:t>
      </w:r>
      <w:r w:rsidRPr="002C1934">
        <w:rPr>
          <w:iCs/>
          <w:sz w:val="18"/>
          <w:szCs w:val="18"/>
        </w:rPr>
        <w:t>965</w:t>
      </w:r>
      <w:r>
        <w:rPr>
          <w:iCs/>
          <w:sz w:val="18"/>
          <w:szCs w:val="18"/>
        </w:rPr>
        <w:t xml:space="preserve">, </w:t>
      </w:r>
      <w:r w:rsidRPr="002C1934">
        <w:rPr>
          <w:iCs/>
          <w:sz w:val="18"/>
          <w:szCs w:val="18"/>
        </w:rPr>
        <w:t>338 Frw</w:t>
      </w:r>
      <w:r>
        <w:rPr>
          <w:iCs/>
          <w:sz w:val="18"/>
          <w:szCs w:val="18"/>
        </w:rPr>
        <w:t>,</w:t>
      </w:r>
      <w:r w:rsidRPr="002C1934">
        <w:rPr>
          <w:iCs/>
          <w:sz w:val="18"/>
          <w:szCs w:val="18"/>
        </w:rPr>
        <w:t xml:space="preserve"> et au 1</w:t>
      </w:r>
      <w:r w:rsidRPr="002C1934">
        <w:rPr>
          <w:iCs/>
          <w:sz w:val="18"/>
          <w:szCs w:val="18"/>
          <w:vertAlign w:val="superscript"/>
        </w:rPr>
        <w:t>er</w:t>
      </w:r>
      <w:r w:rsidRPr="002C1934">
        <w:rPr>
          <w:iCs/>
          <w:sz w:val="18"/>
          <w:szCs w:val="18"/>
        </w:rPr>
        <w:t xml:space="preserve"> trimestre de l</w:t>
      </w:r>
      <w:r w:rsidR="00B861F1">
        <w:rPr>
          <w:iCs/>
          <w:sz w:val="18"/>
          <w:szCs w:val="18"/>
        </w:rPr>
        <w:t>’</w:t>
      </w:r>
      <w:r w:rsidRPr="002C1934">
        <w:rPr>
          <w:iCs/>
          <w:sz w:val="18"/>
          <w:szCs w:val="18"/>
        </w:rPr>
        <w:t>année 2009 un montant de 2</w:t>
      </w:r>
      <w:r w:rsidR="00E65FFA">
        <w:rPr>
          <w:iCs/>
          <w:sz w:val="18"/>
          <w:szCs w:val="18"/>
        </w:rPr>
        <w:t> </w:t>
      </w:r>
      <w:r w:rsidRPr="002C1934">
        <w:rPr>
          <w:iCs/>
          <w:sz w:val="18"/>
          <w:szCs w:val="18"/>
        </w:rPr>
        <w:t>710</w:t>
      </w:r>
      <w:r w:rsidR="008E1473">
        <w:rPr>
          <w:iCs/>
          <w:sz w:val="18"/>
          <w:szCs w:val="18"/>
        </w:rPr>
        <w:t> </w:t>
      </w:r>
      <w:r w:rsidRPr="002C1934">
        <w:rPr>
          <w:iCs/>
          <w:sz w:val="18"/>
          <w:szCs w:val="18"/>
        </w:rPr>
        <w:t>451</w:t>
      </w:r>
      <w:r w:rsidR="00E65FFA">
        <w:rPr>
          <w:iCs/>
          <w:sz w:val="18"/>
          <w:szCs w:val="18"/>
        </w:rPr>
        <w:t>,</w:t>
      </w:r>
      <w:r w:rsidRPr="002C1934">
        <w:rPr>
          <w:iCs/>
          <w:sz w:val="18"/>
          <w:szCs w:val="18"/>
        </w:rPr>
        <w:t xml:space="preserve">558 Frw. </w:t>
      </w:r>
    </w:p>
    <w:p w:rsidR="00CB399B" w:rsidRPr="009B6952" w:rsidRDefault="00CB399B" w:rsidP="00CB399B">
      <w:pPr>
        <w:pStyle w:val="Bullet1G"/>
      </w:pPr>
      <w:r w:rsidRPr="009B6952">
        <w:t xml:space="preserve">Les </w:t>
      </w:r>
      <w:r w:rsidRPr="009B6952">
        <w:rPr>
          <w:i/>
        </w:rPr>
        <w:t>Abunzi:</w:t>
      </w:r>
      <w:r w:rsidRPr="009B6952">
        <w:t xml:space="preserve"> </w:t>
      </w:r>
      <w:r>
        <w:t>C</w:t>
      </w:r>
      <w:r w:rsidRPr="009B6952">
        <w:t xml:space="preserve">e sont les conciliateurs traditionnels, servant à résoudre et arbitrer des conflits, et par là </w:t>
      </w:r>
      <w:r>
        <w:t>à promouvoir la réconciliation;</w:t>
      </w:r>
    </w:p>
    <w:p w:rsidR="00CB399B" w:rsidRPr="009B6952" w:rsidRDefault="00CB399B" w:rsidP="00CB399B">
      <w:pPr>
        <w:pStyle w:val="Bullet1G"/>
      </w:pPr>
      <w:r w:rsidRPr="009B6952">
        <w:t xml:space="preserve">Le </w:t>
      </w:r>
      <w:r w:rsidRPr="009B6952">
        <w:rPr>
          <w:i/>
        </w:rPr>
        <w:t>Community policing</w:t>
      </w:r>
      <w:r w:rsidRPr="009B6952">
        <w:t xml:space="preserve">: </w:t>
      </w:r>
      <w:r>
        <w:t>L</w:t>
      </w:r>
      <w:r w:rsidRPr="009B6952">
        <w:t>a communauté prend en charge leur propre sécurité en établ</w:t>
      </w:r>
      <w:r>
        <w:t>issant des comités de sécurité;</w:t>
      </w:r>
    </w:p>
    <w:p w:rsidR="00CB399B" w:rsidRPr="009B6952" w:rsidRDefault="00CB399B" w:rsidP="00CB399B">
      <w:pPr>
        <w:pStyle w:val="Bullet1G"/>
      </w:pPr>
      <w:r w:rsidRPr="009B6952">
        <w:t>L</w:t>
      </w:r>
      <w:r w:rsidR="00B861F1">
        <w:t>’</w:t>
      </w:r>
      <w:r w:rsidRPr="009B6952">
        <w:rPr>
          <w:i/>
        </w:rPr>
        <w:t>Umuganda:</w:t>
      </w:r>
      <w:r w:rsidRPr="009B6952">
        <w:t xml:space="preserve"> </w:t>
      </w:r>
      <w:r>
        <w:t>L</w:t>
      </w:r>
      <w:r w:rsidRPr="009B6952">
        <w:t>a</w:t>
      </w:r>
      <w:r>
        <w:rPr>
          <w:i/>
        </w:rPr>
        <w:t xml:space="preserve"> </w:t>
      </w:r>
      <w:r w:rsidRPr="009B6952">
        <w:t>tradition d</w:t>
      </w:r>
      <w:r>
        <w:t>u</w:t>
      </w:r>
      <w:r w:rsidRPr="009B6952">
        <w:t xml:space="preserve"> travail volontaire </w:t>
      </w:r>
      <w:r>
        <w:t xml:space="preserve">dans </w:t>
      </w:r>
      <w:r w:rsidRPr="009B6952">
        <w:t>les projets communautaires</w:t>
      </w:r>
      <w:r>
        <w:t xml:space="preserve">; </w:t>
      </w:r>
    </w:p>
    <w:p w:rsidR="00CB399B" w:rsidRPr="009B6952" w:rsidRDefault="00CB399B" w:rsidP="0062180D">
      <w:pPr>
        <w:pStyle w:val="Bullet1G"/>
        <w:keepNext/>
        <w:keepLines/>
      </w:pPr>
      <w:r w:rsidRPr="00435F75">
        <w:t>L</w:t>
      </w:r>
      <w:r w:rsidR="00B861F1">
        <w:t>’</w:t>
      </w:r>
      <w:r w:rsidRPr="00435F75">
        <w:rPr>
          <w:i/>
        </w:rPr>
        <w:t>Umusanzu</w:t>
      </w:r>
      <w:r w:rsidRPr="009B6952">
        <w:t xml:space="preserve">: </w:t>
      </w:r>
      <w:r>
        <w:t>L</w:t>
      </w:r>
      <w:r w:rsidRPr="009B6952">
        <w:t>a tradition de contribution au soutien des pauvres ou à la réalisation d</w:t>
      </w:r>
      <w:r w:rsidR="00B861F1">
        <w:t>’</w:t>
      </w:r>
      <w:r w:rsidRPr="009B6952">
        <w:t>un objectif communautaire spécifique. C</w:t>
      </w:r>
      <w:r w:rsidR="00B861F1">
        <w:t>’</w:t>
      </w:r>
      <w:r w:rsidRPr="009B6952">
        <w:t>est la base de l</w:t>
      </w:r>
      <w:r w:rsidR="00B861F1">
        <w:t>’</w:t>
      </w:r>
      <w:r w:rsidRPr="009B6952">
        <w:t>établissement d</w:t>
      </w:r>
      <w:r w:rsidR="00B861F1">
        <w:t>’</w:t>
      </w:r>
      <w:r w:rsidRPr="009B6952">
        <w:t>un fonds pour l</w:t>
      </w:r>
      <w:r w:rsidR="00B861F1">
        <w:t>’</w:t>
      </w:r>
      <w:r w:rsidRPr="009B6952">
        <w:t xml:space="preserve">éducation en faveur des enfants nécessiteux et des initiatives de mutuelles de santé. </w:t>
      </w:r>
    </w:p>
    <w:p w:rsidR="00CB399B" w:rsidRPr="009B6952" w:rsidRDefault="00CB399B" w:rsidP="00CB399B">
      <w:pPr>
        <w:pStyle w:val="H23G"/>
      </w:pPr>
      <w:r>
        <w:tab/>
      </w:r>
      <w:r w:rsidRPr="009B6952">
        <w:t>2.</w:t>
      </w:r>
      <w:r w:rsidRPr="009B6952">
        <w:tab/>
      </w:r>
      <w:r>
        <w:t xml:space="preserve">Article </w:t>
      </w:r>
      <w:r w:rsidRPr="009B6952">
        <w:t>2: L</w:t>
      </w:r>
      <w:r w:rsidR="00B861F1">
        <w:t>’</w:t>
      </w:r>
      <w:r w:rsidRPr="009B6952">
        <w:t xml:space="preserve">exercice des droits est assuré sans discrimination </w:t>
      </w:r>
    </w:p>
    <w:p w:rsidR="00CB399B" w:rsidRPr="009B6952" w:rsidRDefault="00CB399B" w:rsidP="00CB399B">
      <w:pPr>
        <w:pStyle w:val="H4G"/>
      </w:pPr>
      <w:r w:rsidRPr="00DE2468">
        <w:rPr>
          <w:bCs/>
        </w:rPr>
        <w:tab/>
      </w:r>
      <w:r w:rsidRPr="00DE2468">
        <w:rPr>
          <w:bCs/>
        </w:rPr>
        <w:tab/>
        <w:t>Paragraphe 1</w:t>
      </w:r>
      <w:r w:rsidRPr="009B6952">
        <w:rPr>
          <w:bCs/>
        </w:rPr>
        <w:t xml:space="preserve">: </w:t>
      </w:r>
      <w:r w:rsidRPr="009B6952">
        <w:t>Les dispositions de la législation nationale relative à la non-discrimination</w:t>
      </w:r>
    </w:p>
    <w:p w:rsidR="00CB399B" w:rsidRPr="009B6952" w:rsidRDefault="00CB399B" w:rsidP="00CB399B">
      <w:pPr>
        <w:pStyle w:val="SingleTxtG"/>
      </w:pPr>
      <w:r w:rsidRPr="009B6952">
        <w:t>4</w:t>
      </w:r>
      <w:r>
        <w:t>1</w:t>
      </w:r>
      <w:r w:rsidRPr="009B6952">
        <w:t>.</w:t>
      </w:r>
      <w:r w:rsidRPr="009B6952">
        <w:tab/>
        <w:t>Les droits reconnus par le Pacte sont garantis aussi bien aux nationaux qu</w:t>
      </w:r>
      <w:r w:rsidR="00B861F1">
        <w:t>’</w:t>
      </w:r>
      <w:r w:rsidRPr="009B6952">
        <w:t xml:space="preserve">aux étrangers </w:t>
      </w:r>
      <w:r>
        <w:t>comme le prévoient</w:t>
      </w:r>
      <w:r w:rsidRPr="009B6952">
        <w:t xml:space="preserve"> la Constitution </w:t>
      </w:r>
      <w:r>
        <w:t>et</w:t>
      </w:r>
      <w:r w:rsidRPr="009B6952">
        <w:t xml:space="preserve"> d</w:t>
      </w:r>
      <w:r w:rsidR="00B861F1">
        <w:t>’</w:t>
      </w:r>
      <w:r w:rsidRPr="009B6952">
        <w:t>autres textes législatifs:</w:t>
      </w:r>
      <w:r>
        <w:t xml:space="preserve"> </w:t>
      </w:r>
    </w:p>
    <w:p w:rsidR="00CB399B" w:rsidRPr="009B6952" w:rsidRDefault="00CB399B" w:rsidP="00CB399B">
      <w:pPr>
        <w:pStyle w:val="SingleTxtG"/>
        <w:ind w:firstLine="567"/>
      </w:pPr>
      <w:r>
        <w:t>a)</w:t>
      </w:r>
      <w:r w:rsidRPr="009B6952">
        <w:tab/>
        <w:t xml:space="preserve">La Constitution prévoit: </w:t>
      </w:r>
    </w:p>
    <w:p w:rsidR="00CB399B" w:rsidRPr="009B6952" w:rsidRDefault="00CB399B" w:rsidP="00CB399B">
      <w:pPr>
        <w:pStyle w:val="Bullet1G"/>
      </w:pPr>
      <w:r w:rsidRPr="009B6952">
        <w:t>A</w:t>
      </w:r>
      <w:r>
        <w:t>rticle</w:t>
      </w:r>
      <w:r w:rsidRPr="009B6952">
        <w:t xml:space="preserve"> 11: La discrimination fondée sur la nationalité est prohibée par la loi; </w:t>
      </w:r>
    </w:p>
    <w:p w:rsidR="00CB399B" w:rsidRPr="009B6952" w:rsidRDefault="00CB399B" w:rsidP="00CB399B">
      <w:pPr>
        <w:pStyle w:val="Bullet1G"/>
      </w:pPr>
      <w:r w:rsidRPr="009B6952">
        <w:t>Article 37:</w:t>
      </w:r>
      <w:r>
        <w:t xml:space="preserve"> </w:t>
      </w:r>
      <w:r w:rsidRPr="009B6952">
        <w:t>L</w:t>
      </w:r>
      <w:r w:rsidR="00B861F1">
        <w:t>’</w:t>
      </w:r>
      <w:r w:rsidRPr="009B6952">
        <w:t>égalité de salaire pour un travail égal;</w:t>
      </w:r>
      <w:r>
        <w:t xml:space="preserve"> </w:t>
      </w:r>
    </w:p>
    <w:p w:rsidR="00CB399B" w:rsidRPr="009B6952" w:rsidRDefault="00CB399B" w:rsidP="00CB399B">
      <w:pPr>
        <w:pStyle w:val="Bullet1G"/>
      </w:pPr>
      <w:r w:rsidRPr="009B6952">
        <w:t>Article 38: Le droit des travailleurs de former des syndicats;</w:t>
      </w:r>
    </w:p>
    <w:p w:rsidR="00CB399B" w:rsidRPr="009B6952" w:rsidRDefault="00CB399B" w:rsidP="00CB399B">
      <w:pPr>
        <w:pStyle w:val="Bullet1G"/>
      </w:pPr>
      <w:r w:rsidRPr="009B6952">
        <w:t>Article 43: L</w:t>
      </w:r>
      <w:r w:rsidR="00B861F1">
        <w:t>’</w:t>
      </w:r>
      <w:r w:rsidRPr="009B6952">
        <w:t>étranger se trouvant régulièrement sur le territoire de la République du Rwanda jouit de tous les droits à l</w:t>
      </w:r>
      <w:r w:rsidR="00B861F1">
        <w:t>’</w:t>
      </w:r>
      <w:r w:rsidRPr="009B6952">
        <w:t>exception de ceux réservés aux nationaux tels que prévus par la Constitution et d</w:t>
      </w:r>
      <w:r w:rsidR="00B861F1">
        <w:t>’</w:t>
      </w:r>
      <w:r w:rsidRPr="009B6952">
        <w:t>autres lois. Dans l</w:t>
      </w:r>
      <w:r w:rsidR="00B861F1">
        <w:t>’</w:t>
      </w:r>
      <w:r w:rsidRPr="009B6952">
        <w:t>exercice de ses droits […], chacun n</w:t>
      </w:r>
      <w:r w:rsidR="00B861F1">
        <w:t>’</w:t>
      </w:r>
      <w:r w:rsidRPr="009B6952">
        <w:t>est soumis qu</w:t>
      </w:r>
      <w:r w:rsidR="00B861F1">
        <w:t>’</w:t>
      </w:r>
      <w:r w:rsidRPr="009B6952">
        <w:t>aux limitations établies par la loi en vue d</w:t>
      </w:r>
      <w:r w:rsidR="00B861F1">
        <w:t>’</w:t>
      </w:r>
      <w:r w:rsidRPr="009B6952">
        <w:t>assurer la reconnaissance et le respect des droits et libertés d</w:t>
      </w:r>
      <w:r w:rsidR="00B861F1">
        <w:t>’</w:t>
      </w:r>
      <w:r w:rsidRPr="009B6952">
        <w:t xml:space="preserve">autrui […], dans une société démocratique. </w:t>
      </w:r>
    </w:p>
    <w:p w:rsidR="00CB399B" w:rsidRPr="009B6952" w:rsidRDefault="00CB399B" w:rsidP="00CB399B">
      <w:pPr>
        <w:pStyle w:val="SingleTxtG"/>
        <w:ind w:firstLine="567"/>
        <w:rPr>
          <w:bCs/>
        </w:rPr>
      </w:pPr>
      <w:r>
        <w:rPr>
          <w:bCs/>
        </w:rPr>
        <w:t>b)</w:t>
      </w:r>
      <w:r w:rsidRPr="009B6952">
        <w:rPr>
          <w:bCs/>
        </w:rPr>
        <w:tab/>
      </w:r>
      <w:r w:rsidRPr="009B6952">
        <w:t>Le Rwanda a adhéré le 15 Décembre 2008 à la Convention internationale sur la protection des droits de tous les travailleurs migrants</w:t>
      </w:r>
      <w:r>
        <w:t xml:space="preserve"> et des membres de leur famille;</w:t>
      </w:r>
    </w:p>
    <w:p w:rsidR="00CB399B" w:rsidRPr="009B6952" w:rsidRDefault="00CB399B" w:rsidP="00CB399B">
      <w:pPr>
        <w:pStyle w:val="SingleTxtG"/>
        <w:ind w:firstLine="567"/>
      </w:pPr>
      <w:r>
        <w:t>c)</w:t>
      </w:r>
      <w:r w:rsidRPr="009B6952">
        <w:tab/>
        <w:t>La loi portant répression des crimes de discrimination et pratique du sectarisme</w:t>
      </w:r>
      <w:r w:rsidRPr="00E20A22">
        <w:rPr>
          <w:sz w:val="18"/>
          <w:szCs w:val="18"/>
          <w:vertAlign w:val="superscript"/>
        </w:rPr>
        <w:footnoteReference w:id="25"/>
      </w:r>
      <w:r w:rsidRPr="009B6952">
        <w:t xml:space="preserve"> prohibe toute forme de discrimination fondée sur la nationalité. Cette même loi ajoute aussi qu</w:t>
      </w:r>
      <w:r w:rsidR="00B861F1">
        <w:t>’</w:t>
      </w:r>
      <w:r w:rsidRPr="009B6952">
        <w:t>elle ne peut empêcher l</w:t>
      </w:r>
      <w:r w:rsidR="00B861F1">
        <w:t>’</w:t>
      </w:r>
      <w:r w:rsidRPr="009B6952">
        <w:t xml:space="preserve">État de prendre des décisions qui accordent aux citoyens rwandais </w:t>
      </w:r>
      <w:r>
        <w:t>d</w:t>
      </w:r>
      <w:r w:rsidRPr="009B6952">
        <w:t>es pouvoirs et droits di</w:t>
      </w:r>
      <w:r>
        <w:t>fférents de ceux des étrangers;</w:t>
      </w:r>
    </w:p>
    <w:p w:rsidR="00CB399B" w:rsidRPr="009B6952" w:rsidRDefault="00CB399B" w:rsidP="00CB399B">
      <w:pPr>
        <w:pStyle w:val="SingleTxtG"/>
        <w:ind w:firstLine="567"/>
      </w:pPr>
      <w:r>
        <w:t>d)</w:t>
      </w:r>
      <w:r w:rsidRPr="009B6952">
        <w:tab/>
        <w:t>La loi sur les réfugiés reconna</w:t>
      </w:r>
      <w:r>
        <w:t>î</w:t>
      </w:r>
      <w:r w:rsidRPr="009B6952">
        <w:t>t à ces derniers les droits et libertés prévus dans les instruments internationaux relatifs aux réfugiés auxquels le Rwanda est partie</w:t>
      </w:r>
      <w:r w:rsidRPr="00E20A22">
        <w:rPr>
          <w:sz w:val="18"/>
          <w:szCs w:val="18"/>
          <w:vertAlign w:val="superscript"/>
        </w:rPr>
        <w:footnoteReference w:id="26"/>
      </w:r>
      <w:r>
        <w:t>;</w:t>
      </w:r>
    </w:p>
    <w:p w:rsidR="00CB399B" w:rsidRPr="009B6952" w:rsidRDefault="00CB399B" w:rsidP="00CB399B">
      <w:pPr>
        <w:pStyle w:val="SingleTxtG"/>
        <w:ind w:firstLine="567"/>
      </w:pPr>
      <w:r>
        <w:t>e)</w:t>
      </w:r>
      <w:r w:rsidRPr="009B6952">
        <w:tab/>
        <w:t>La loi portant réglementation du travail au Rwanda</w:t>
      </w:r>
      <w:r w:rsidRPr="00E20A22">
        <w:rPr>
          <w:sz w:val="18"/>
          <w:szCs w:val="18"/>
          <w:vertAlign w:val="superscript"/>
        </w:rPr>
        <w:footnoteReference w:id="27"/>
      </w:r>
      <w:r w:rsidRPr="009B6952">
        <w:t xml:space="preserve"> (la loi portant réglementation du travail) et le Statut Général des Agents de l</w:t>
      </w:r>
      <w:r w:rsidR="00B861F1">
        <w:t>’</w:t>
      </w:r>
      <w:r w:rsidRPr="009B6952">
        <w:t xml:space="preserve">État reprennent aussi: </w:t>
      </w:r>
    </w:p>
    <w:p w:rsidR="00CB399B" w:rsidRPr="009B6952" w:rsidRDefault="00CB399B" w:rsidP="00CB399B">
      <w:pPr>
        <w:pStyle w:val="Bullet1G"/>
      </w:pPr>
      <w:r w:rsidRPr="009B6952">
        <w:t>Le principe de non</w:t>
      </w:r>
      <w:r>
        <w:t>-</w:t>
      </w:r>
      <w:r w:rsidRPr="009B6952">
        <w:t>discrimination (art.</w:t>
      </w:r>
      <w:r>
        <w:t xml:space="preserve"> </w:t>
      </w:r>
      <w:r w:rsidRPr="009B6952">
        <w:t>12);</w:t>
      </w:r>
    </w:p>
    <w:p w:rsidR="00CB399B" w:rsidRPr="009B6952" w:rsidRDefault="00CB399B" w:rsidP="00CB399B">
      <w:pPr>
        <w:pStyle w:val="Bullet1G"/>
        <w:rPr>
          <w:bCs/>
        </w:rPr>
      </w:pPr>
      <w:r>
        <w:t>A</w:t>
      </w:r>
      <w:r w:rsidRPr="009B6952">
        <w:t>insi que la reconnaissance du droit des travailleurs de former des syndicats (art.</w:t>
      </w:r>
      <w:r>
        <w:t> </w:t>
      </w:r>
      <w:r w:rsidRPr="009B6952">
        <w:t>101 et 106).</w:t>
      </w:r>
      <w:r>
        <w:t xml:space="preserve"> </w:t>
      </w:r>
    </w:p>
    <w:p w:rsidR="00CB399B" w:rsidRPr="009B6952" w:rsidRDefault="00CB399B" w:rsidP="00CB399B">
      <w:pPr>
        <w:pStyle w:val="H4G"/>
      </w:pPr>
      <w:r w:rsidRPr="00DE2468">
        <w:tab/>
      </w:r>
      <w:r w:rsidRPr="00DE2468">
        <w:tab/>
        <w:t>Paragraphe 2</w:t>
      </w:r>
      <w:r w:rsidRPr="009B6952">
        <w:t>: Dans quelle mesure et de quelle façon les droits reconnus dans le Pacte ne sont-ils pas garantis aux non-ressortissants?</w:t>
      </w:r>
    </w:p>
    <w:p w:rsidR="00CB399B" w:rsidRPr="009B6952" w:rsidRDefault="00CB399B" w:rsidP="00CB399B">
      <w:pPr>
        <w:pStyle w:val="SingleTxtG"/>
      </w:pPr>
      <w:r>
        <w:t>42</w:t>
      </w:r>
      <w:r w:rsidRPr="009B6952">
        <w:t>.</w:t>
      </w:r>
      <w:r w:rsidRPr="009B6952">
        <w:tab/>
        <w:t>La loi portant réglementation du travail</w:t>
      </w:r>
      <w:r>
        <w:t xml:space="preserve"> </w:t>
      </w:r>
      <w:r w:rsidRPr="009B6952">
        <w:t xml:space="preserve">prévoit une exigence au droit au travail: </w:t>
      </w:r>
      <w:r>
        <w:t>l</w:t>
      </w:r>
      <w:r w:rsidR="00B861F1">
        <w:t>’</w:t>
      </w:r>
      <w:r w:rsidRPr="009B6952">
        <w:t>exigence d</w:t>
      </w:r>
      <w:r w:rsidR="00B861F1">
        <w:t>’</w:t>
      </w:r>
      <w:r w:rsidRPr="009B6952">
        <w:t>un permis de travail pour les travailleurs étrangers</w:t>
      </w:r>
      <w:r w:rsidRPr="00E20A22">
        <w:rPr>
          <w:sz w:val="18"/>
          <w:szCs w:val="18"/>
          <w:vertAlign w:val="superscript"/>
        </w:rPr>
        <w:footnoteReference w:id="28"/>
      </w:r>
      <w:r w:rsidRPr="009B6952">
        <w:t>. La procédure a été simplifiée: la demande du permis de travail et du permis de résidence est faite en un seul lieu</w:t>
      </w:r>
      <w:r>
        <w:t xml:space="preserve">, </w:t>
      </w:r>
      <w:r w:rsidRPr="009B6952">
        <w:t>à la Direction Générale d</w:t>
      </w:r>
      <w:r w:rsidR="00B861F1">
        <w:t>’</w:t>
      </w:r>
      <w:r w:rsidRPr="009B6952">
        <w:t>Immigration et Émigration.</w:t>
      </w:r>
      <w:r>
        <w:t xml:space="preserve"> </w:t>
      </w:r>
      <w:r w:rsidRPr="009B6952">
        <w:t>Les frais d</w:t>
      </w:r>
      <w:r w:rsidR="00B861F1">
        <w:t>’</w:t>
      </w:r>
      <w:r w:rsidRPr="009B6952">
        <w:t>obtention du permis de travail ont sensiblement baissé: de 200</w:t>
      </w:r>
      <w:r>
        <w:t xml:space="preserve"> </w:t>
      </w:r>
      <w:r w:rsidRPr="009B6952">
        <w:t>000 FRW à 50</w:t>
      </w:r>
      <w:r>
        <w:t xml:space="preserve"> </w:t>
      </w:r>
      <w:r w:rsidRPr="009B6952">
        <w:t>000 FRW pour les travailleurs de la catégorie A (avec un revenu mensuel brut d</w:t>
      </w:r>
      <w:r w:rsidR="00B861F1">
        <w:t>’</w:t>
      </w:r>
      <w:r w:rsidRPr="009B6952">
        <w:t>au moins 500</w:t>
      </w:r>
      <w:r>
        <w:t xml:space="preserve"> </w:t>
      </w:r>
      <w:r w:rsidRPr="009B6952">
        <w:t>000 FRW), et de 200</w:t>
      </w:r>
      <w:r w:rsidR="008E1473">
        <w:t> </w:t>
      </w:r>
      <w:r w:rsidRPr="009B6952">
        <w:t>000 FRW à 10</w:t>
      </w:r>
      <w:r>
        <w:t xml:space="preserve"> </w:t>
      </w:r>
      <w:r w:rsidRPr="009B6952">
        <w:t>000 FRW pour les travailleurs de la catégorie B (ceux avec un revenu mensuel brut de moins de 500</w:t>
      </w:r>
      <w:r>
        <w:t xml:space="preserve"> </w:t>
      </w:r>
      <w:r w:rsidRPr="009B6952">
        <w:t>000 FRW).</w:t>
      </w:r>
      <w:r>
        <w:t xml:space="preserve"> </w:t>
      </w:r>
      <w:r w:rsidRPr="009B6952">
        <w:t>Quant aux frais de demande de permis de travail pour les ressortissants des pays de la Communauté</w:t>
      </w:r>
      <w:r>
        <w:t xml:space="preserve"> </w:t>
      </w:r>
      <w:r w:rsidRPr="009B6952">
        <w:t>des États de l</w:t>
      </w:r>
      <w:r w:rsidR="00B861F1">
        <w:t>’</w:t>
      </w:r>
      <w:r w:rsidRPr="009B6952">
        <w:t>Afrique de l</w:t>
      </w:r>
      <w:r w:rsidR="00B861F1">
        <w:t>’</w:t>
      </w:r>
      <w:r w:rsidRPr="009B6952">
        <w:t xml:space="preserve">Est, ils </w:t>
      </w:r>
      <w:r>
        <w:t>s</w:t>
      </w:r>
      <w:r w:rsidRPr="009B6952">
        <w:t>ont abolis</w:t>
      </w:r>
      <w:r w:rsidRPr="00244348">
        <w:rPr>
          <w:sz w:val="18"/>
          <w:szCs w:val="18"/>
          <w:vertAlign w:val="superscript"/>
        </w:rPr>
        <w:footnoteReference w:id="29"/>
      </w:r>
      <w:r w:rsidRPr="009B6952">
        <w:t xml:space="preserve"> depuis Mars 2009. Cette exonération vaut aussi pour les travailleurs réfugiés.</w:t>
      </w:r>
      <w:r>
        <w:t xml:space="preserve"> </w:t>
      </w:r>
    </w:p>
    <w:p w:rsidR="00CB399B" w:rsidRPr="009B6952" w:rsidRDefault="00CB399B" w:rsidP="00CB399B">
      <w:pPr>
        <w:pStyle w:val="SingleTxtG"/>
      </w:pPr>
      <w:r>
        <w:t>43</w:t>
      </w:r>
      <w:r w:rsidRPr="009B6952">
        <w:t>.</w:t>
      </w:r>
      <w:r w:rsidRPr="009B6952">
        <w:tab/>
        <w:t>Le recrutement dans la fonction publique est réservé aux nationaux</w:t>
      </w:r>
      <w:r w:rsidRPr="00244348">
        <w:rPr>
          <w:sz w:val="18"/>
          <w:szCs w:val="18"/>
          <w:vertAlign w:val="superscript"/>
        </w:rPr>
        <w:footnoteReference w:id="30"/>
      </w:r>
      <w:r w:rsidRPr="009B6952">
        <w:t>.</w:t>
      </w:r>
    </w:p>
    <w:p w:rsidR="00CB399B" w:rsidRPr="009B6952" w:rsidRDefault="00CB399B" w:rsidP="00CB399B">
      <w:pPr>
        <w:pStyle w:val="H4G"/>
      </w:pPr>
      <w:r w:rsidRPr="00244348">
        <w:tab/>
      </w:r>
      <w:r w:rsidRPr="00244348">
        <w:tab/>
        <w:t>Paragraphe 3</w:t>
      </w:r>
      <w:r w:rsidRPr="009B6952">
        <w:t>: La coopération pour le développement s</w:t>
      </w:r>
      <w:r w:rsidR="00B861F1">
        <w:t>’</w:t>
      </w:r>
      <w:r w:rsidRPr="009B6952">
        <w:t>efforce-t-elle de promouvoir l</w:t>
      </w:r>
      <w:r w:rsidR="00B861F1">
        <w:t>’</w:t>
      </w:r>
      <w:r w:rsidRPr="009B6952">
        <w:t>exercice des droits prévus dans le Pacte</w:t>
      </w:r>
      <w:r>
        <w:t>?</w:t>
      </w:r>
    </w:p>
    <w:p w:rsidR="00CB399B" w:rsidRPr="009B6952" w:rsidRDefault="00CB399B" w:rsidP="00CB399B">
      <w:pPr>
        <w:pStyle w:val="SingleTxtG"/>
      </w:pPr>
      <w:r w:rsidRPr="009B6952">
        <w:t>4</w:t>
      </w:r>
      <w:r>
        <w:t>4</w:t>
      </w:r>
      <w:r w:rsidRPr="009B6952">
        <w:t>.</w:t>
      </w:r>
      <w:r w:rsidRPr="009B6952">
        <w:tab/>
        <w:t>Les financements et aides perçus par l</w:t>
      </w:r>
      <w:r w:rsidR="00B861F1">
        <w:t>’</w:t>
      </w:r>
      <w:r w:rsidRPr="009B6952">
        <w:t>État rwandais sont utilisés dans divers projets</w:t>
      </w:r>
      <w:r w:rsidRPr="00244348">
        <w:rPr>
          <w:sz w:val="18"/>
          <w:szCs w:val="18"/>
          <w:vertAlign w:val="superscript"/>
        </w:rPr>
        <w:footnoteReference w:id="31"/>
      </w:r>
      <w:r w:rsidRPr="009B6952">
        <w:t xml:space="preserve"> pour l</w:t>
      </w:r>
      <w:r w:rsidR="00B861F1">
        <w:t>’</w:t>
      </w:r>
      <w:r w:rsidRPr="009B6952">
        <w:t>avancement et la promotion des droits reconnus dans le Pacte. Le pays a l</w:t>
      </w:r>
      <w:r w:rsidR="00B861F1">
        <w:t>’</w:t>
      </w:r>
      <w:r w:rsidRPr="009B6952">
        <w:t>avantage de bénéficier de plusieurs partenaires au développement,</w:t>
      </w:r>
      <w:r>
        <w:t xml:space="preserve"> </w:t>
      </w:r>
      <w:r w:rsidRPr="009B6952">
        <w:t>nous n</w:t>
      </w:r>
      <w:r w:rsidR="00B861F1">
        <w:t>’</w:t>
      </w:r>
      <w:r w:rsidRPr="009B6952">
        <w:t>en citerons que quelques</w:t>
      </w:r>
      <w:r>
        <w:t>-</w:t>
      </w:r>
      <w:r w:rsidRPr="009B6952">
        <w:t>uns.</w:t>
      </w:r>
      <w:r>
        <w:t xml:space="preserve"> </w:t>
      </w:r>
    </w:p>
    <w:p w:rsidR="00CB399B" w:rsidRDefault="00CB399B" w:rsidP="00CB399B">
      <w:pPr>
        <w:pStyle w:val="SingleTxtG"/>
      </w:pPr>
      <w:r>
        <w:t>45</w:t>
      </w:r>
      <w:r w:rsidRPr="009B6952">
        <w:t>.</w:t>
      </w:r>
      <w:r w:rsidRPr="009B6952">
        <w:tab/>
      </w:r>
      <w:r w:rsidRPr="009B6952">
        <w:rPr>
          <w:b/>
        </w:rPr>
        <w:t>Pour la coopération multilatérale</w:t>
      </w:r>
      <w:r w:rsidRPr="00244348">
        <w:rPr>
          <w:sz w:val="18"/>
          <w:szCs w:val="18"/>
          <w:vertAlign w:val="superscript"/>
        </w:rPr>
        <w:footnoteReference w:id="32"/>
      </w:r>
      <w:r w:rsidRPr="009B6952">
        <w:t xml:space="preserve">, </w:t>
      </w:r>
      <w:r>
        <w:t>parmi</w:t>
      </w:r>
      <w:r w:rsidRPr="009B6952">
        <w:t xml:space="preserve"> </w:t>
      </w:r>
      <w:r>
        <w:t>l</w:t>
      </w:r>
      <w:r w:rsidRPr="009B6952">
        <w:t>es multiples partenaires ayant financé divers projets de développement</w:t>
      </w:r>
      <w:r>
        <w:t xml:space="preserve"> on citera les institutions figurant dans le tableau ci-dessous.</w:t>
      </w:r>
    </w:p>
    <w:p w:rsidR="00CB399B" w:rsidRPr="008F6C74" w:rsidRDefault="00CB399B" w:rsidP="00936522">
      <w:pPr>
        <w:pStyle w:val="Heading1"/>
        <w:spacing w:after="120"/>
      </w:pPr>
      <w:r w:rsidRPr="009B6952">
        <w:t>Tableau 2</w:t>
      </w:r>
    </w:p>
    <w:tbl>
      <w:tblPr>
        <w:tblW w:w="0" w:type="auto"/>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567"/>
        <w:gridCol w:w="2835"/>
        <w:gridCol w:w="1985"/>
        <w:gridCol w:w="1985"/>
      </w:tblGrid>
      <w:tr w:rsidR="00CB399B" w:rsidRPr="00A03BEC" w:rsidTr="00F40792">
        <w:tblPrEx>
          <w:tblCellMar>
            <w:top w:w="0" w:type="dxa"/>
            <w:bottom w:w="0" w:type="dxa"/>
          </w:tblCellMar>
        </w:tblPrEx>
        <w:trPr>
          <w:trHeight w:val="352"/>
          <w:tblHeader/>
        </w:trPr>
        <w:tc>
          <w:tcPr>
            <w:tcW w:w="567" w:type="dxa"/>
            <w:vMerge w:val="restart"/>
            <w:tcBorders>
              <w:top w:val="single" w:sz="4" w:space="0" w:color="auto"/>
              <w:bottom w:val="single" w:sz="12" w:space="0" w:color="auto"/>
            </w:tcBorders>
            <w:shd w:val="clear" w:color="auto" w:fill="auto"/>
            <w:vAlign w:val="bottom"/>
          </w:tcPr>
          <w:p w:rsidR="00CB399B" w:rsidRPr="00A03BEC" w:rsidRDefault="00CB399B" w:rsidP="008E1473">
            <w:pPr>
              <w:suppressAutoHyphens w:val="0"/>
              <w:spacing w:before="80" w:after="80" w:line="200" w:lineRule="exact"/>
              <w:rPr>
                <w:i/>
                <w:sz w:val="16"/>
              </w:rPr>
            </w:pPr>
            <w:r>
              <w:rPr>
                <w:rFonts w:eastAsia="MS Mincho"/>
                <w:i/>
                <w:sz w:val="16"/>
              </w:rPr>
              <w:t>N</w:t>
            </w:r>
            <w:r w:rsidRPr="000D1886">
              <w:rPr>
                <w:rFonts w:eastAsia="MS Mincho"/>
                <w:i/>
                <w:sz w:val="16"/>
                <w:vertAlign w:val="superscript"/>
              </w:rPr>
              <w:t>o</w:t>
            </w:r>
          </w:p>
        </w:tc>
        <w:tc>
          <w:tcPr>
            <w:tcW w:w="2835" w:type="dxa"/>
            <w:vMerge w:val="restart"/>
            <w:tcBorders>
              <w:top w:val="single" w:sz="4" w:space="0" w:color="auto"/>
              <w:bottom w:val="single" w:sz="12" w:space="0" w:color="auto"/>
            </w:tcBorders>
            <w:shd w:val="clear" w:color="auto" w:fill="auto"/>
            <w:vAlign w:val="bottom"/>
          </w:tcPr>
          <w:p w:rsidR="00CB399B" w:rsidRPr="00A03BEC" w:rsidRDefault="00CB399B" w:rsidP="008E1473">
            <w:pPr>
              <w:spacing w:before="80" w:after="80" w:line="200" w:lineRule="exact"/>
              <w:rPr>
                <w:i/>
                <w:sz w:val="16"/>
              </w:rPr>
            </w:pPr>
            <w:r w:rsidRPr="00A03BEC">
              <w:rPr>
                <w:i/>
                <w:sz w:val="16"/>
              </w:rPr>
              <w:t>Portefeuille</w:t>
            </w:r>
          </w:p>
        </w:tc>
        <w:tc>
          <w:tcPr>
            <w:tcW w:w="1985" w:type="dxa"/>
            <w:gridSpan w:val="2"/>
            <w:tcBorders>
              <w:top w:val="single" w:sz="4" w:space="0" w:color="auto"/>
              <w:bottom w:val="single" w:sz="4" w:space="0" w:color="auto"/>
            </w:tcBorders>
            <w:shd w:val="clear" w:color="auto" w:fill="auto"/>
          </w:tcPr>
          <w:p w:rsidR="00CB399B" w:rsidRPr="00A03BEC" w:rsidRDefault="00CB399B" w:rsidP="008E1473">
            <w:pPr>
              <w:spacing w:before="80" w:after="80" w:line="200" w:lineRule="exact"/>
              <w:jc w:val="center"/>
              <w:rPr>
                <w:i/>
                <w:sz w:val="16"/>
              </w:rPr>
            </w:pPr>
            <w:r w:rsidRPr="00A03BEC">
              <w:rPr>
                <w:i/>
                <w:sz w:val="16"/>
              </w:rPr>
              <w:t>Montant total alloué (USD)</w:t>
            </w:r>
          </w:p>
        </w:tc>
      </w:tr>
      <w:tr w:rsidR="00CB399B" w:rsidRPr="00A03BEC" w:rsidTr="00F40792">
        <w:tblPrEx>
          <w:tblCellMar>
            <w:top w:w="0" w:type="dxa"/>
            <w:bottom w:w="0" w:type="dxa"/>
          </w:tblCellMar>
        </w:tblPrEx>
        <w:trPr>
          <w:trHeight w:val="323"/>
          <w:tblHeader/>
        </w:trPr>
        <w:tc>
          <w:tcPr>
            <w:tcW w:w="567" w:type="dxa"/>
            <w:vMerge/>
            <w:tcBorders>
              <w:top w:val="single" w:sz="12" w:space="0" w:color="auto"/>
              <w:bottom w:val="single" w:sz="12" w:space="0" w:color="auto"/>
            </w:tcBorders>
            <w:shd w:val="clear" w:color="auto" w:fill="auto"/>
            <w:vAlign w:val="bottom"/>
          </w:tcPr>
          <w:p w:rsidR="00CB399B" w:rsidRPr="00A03BEC" w:rsidRDefault="00CB399B" w:rsidP="008E1473">
            <w:pPr>
              <w:suppressAutoHyphens w:val="0"/>
              <w:spacing w:before="80" w:after="80" w:line="200" w:lineRule="exact"/>
              <w:rPr>
                <w:sz w:val="18"/>
              </w:rPr>
            </w:pPr>
          </w:p>
        </w:tc>
        <w:tc>
          <w:tcPr>
            <w:tcW w:w="2835" w:type="dxa"/>
            <w:vMerge/>
            <w:tcBorders>
              <w:top w:val="single" w:sz="12" w:space="0" w:color="auto"/>
              <w:bottom w:val="single" w:sz="12" w:space="0" w:color="auto"/>
            </w:tcBorders>
            <w:shd w:val="clear" w:color="auto" w:fill="auto"/>
            <w:vAlign w:val="bottom"/>
          </w:tcPr>
          <w:p w:rsidR="00CB399B" w:rsidRPr="00A03BEC" w:rsidRDefault="00CB399B" w:rsidP="008E1473">
            <w:pPr>
              <w:suppressAutoHyphens w:val="0"/>
              <w:spacing w:before="80" w:after="80" w:line="200" w:lineRule="exact"/>
              <w:jc w:val="right"/>
              <w:rPr>
                <w:sz w:val="18"/>
              </w:rPr>
            </w:pPr>
          </w:p>
        </w:tc>
        <w:tc>
          <w:tcPr>
            <w:tcW w:w="1985" w:type="dxa"/>
            <w:tcBorders>
              <w:top w:val="single" w:sz="4" w:space="0" w:color="auto"/>
              <w:bottom w:val="single" w:sz="12" w:space="0" w:color="auto"/>
            </w:tcBorders>
            <w:shd w:val="clear" w:color="auto" w:fill="auto"/>
            <w:vAlign w:val="bottom"/>
          </w:tcPr>
          <w:p w:rsidR="00CB399B" w:rsidRPr="000D1886" w:rsidRDefault="00CB399B" w:rsidP="00E777A8">
            <w:pPr>
              <w:spacing w:before="80" w:after="80" w:line="200" w:lineRule="exact"/>
              <w:jc w:val="right"/>
              <w:rPr>
                <w:i/>
                <w:sz w:val="16"/>
              </w:rPr>
            </w:pPr>
            <w:r w:rsidRPr="000D1886">
              <w:rPr>
                <w:i/>
                <w:sz w:val="16"/>
              </w:rPr>
              <w:t>2007</w:t>
            </w:r>
          </w:p>
        </w:tc>
        <w:tc>
          <w:tcPr>
            <w:tcW w:w="1985" w:type="dxa"/>
            <w:tcBorders>
              <w:top w:val="single" w:sz="4" w:space="0" w:color="auto"/>
              <w:bottom w:val="single" w:sz="12" w:space="0" w:color="auto"/>
            </w:tcBorders>
            <w:shd w:val="clear" w:color="auto" w:fill="auto"/>
            <w:vAlign w:val="bottom"/>
          </w:tcPr>
          <w:p w:rsidR="00CB399B" w:rsidRPr="000D1886" w:rsidRDefault="00CB399B" w:rsidP="00E777A8">
            <w:pPr>
              <w:spacing w:before="80" w:after="80" w:line="200" w:lineRule="exact"/>
              <w:jc w:val="right"/>
              <w:rPr>
                <w:i/>
                <w:sz w:val="16"/>
              </w:rPr>
            </w:pPr>
            <w:r w:rsidRPr="000D1886">
              <w:rPr>
                <w:i/>
                <w:sz w:val="16"/>
              </w:rPr>
              <w:t>1</w:t>
            </w:r>
            <w:r w:rsidRPr="000D1886">
              <w:rPr>
                <w:i/>
                <w:sz w:val="16"/>
                <w:vertAlign w:val="superscript"/>
              </w:rPr>
              <w:t>er</w:t>
            </w:r>
            <w:r>
              <w:rPr>
                <w:i/>
                <w:sz w:val="16"/>
              </w:rPr>
              <w:t xml:space="preserve"> </w:t>
            </w:r>
            <w:r w:rsidRPr="000D1886">
              <w:rPr>
                <w:i/>
                <w:sz w:val="16"/>
              </w:rPr>
              <w:t>Semestr</w:t>
            </w:r>
            <w:r>
              <w:rPr>
                <w:i/>
                <w:sz w:val="16"/>
              </w:rPr>
              <w:t>e</w:t>
            </w:r>
            <w:r w:rsidRPr="000D1886">
              <w:rPr>
                <w:i/>
                <w:sz w:val="16"/>
              </w:rPr>
              <w:t xml:space="preserve"> 2008</w:t>
            </w:r>
          </w:p>
        </w:tc>
      </w:tr>
      <w:tr w:rsidR="00CB399B" w:rsidRPr="00A03BEC" w:rsidTr="00F40792">
        <w:tblPrEx>
          <w:tblCellMar>
            <w:top w:w="0" w:type="dxa"/>
            <w:bottom w:w="0" w:type="dxa"/>
          </w:tblCellMar>
        </w:tblPrEx>
        <w:trPr>
          <w:trHeight w:val="20"/>
        </w:trPr>
        <w:tc>
          <w:tcPr>
            <w:tcW w:w="567" w:type="dxa"/>
            <w:tcBorders>
              <w:top w:val="single" w:sz="12" w:space="0" w:color="auto"/>
            </w:tcBorders>
            <w:shd w:val="clear" w:color="auto" w:fill="auto"/>
          </w:tcPr>
          <w:p w:rsidR="00CB399B" w:rsidRPr="00A03BEC" w:rsidRDefault="00CB399B" w:rsidP="00345C73">
            <w:pPr>
              <w:spacing w:before="40" w:after="40" w:line="220" w:lineRule="exact"/>
              <w:rPr>
                <w:sz w:val="18"/>
              </w:rPr>
            </w:pPr>
            <w:r w:rsidRPr="00A03BEC">
              <w:rPr>
                <w:sz w:val="18"/>
              </w:rPr>
              <w:t>1</w:t>
            </w:r>
          </w:p>
        </w:tc>
        <w:tc>
          <w:tcPr>
            <w:tcW w:w="2835" w:type="dxa"/>
            <w:tcBorders>
              <w:top w:val="single" w:sz="12" w:space="0" w:color="auto"/>
            </w:tcBorders>
            <w:shd w:val="clear" w:color="auto" w:fill="auto"/>
            <w:vAlign w:val="bottom"/>
          </w:tcPr>
          <w:p w:rsidR="00CB399B" w:rsidRPr="00A03BEC" w:rsidRDefault="00CB399B" w:rsidP="00345C73">
            <w:pPr>
              <w:suppressAutoHyphens w:val="0"/>
              <w:spacing w:before="40" w:after="40" w:line="220" w:lineRule="exact"/>
              <w:rPr>
                <w:sz w:val="18"/>
              </w:rPr>
            </w:pPr>
            <w:r w:rsidRPr="00A03BEC">
              <w:rPr>
                <w:sz w:val="18"/>
              </w:rPr>
              <w:t xml:space="preserve">Banque </w:t>
            </w:r>
            <w:r>
              <w:rPr>
                <w:sz w:val="18"/>
              </w:rPr>
              <w:t>m</w:t>
            </w:r>
            <w:r w:rsidRPr="00A03BEC">
              <w:rPr>
                <w:sz w:val="18"/>
              </w:rPr>
              <w:t>ondiale</w:t>
            </w:r>
          </w:p>
        </w:tc>
        <w:tc>
          <w:tcPr>
            <w:tcW w:w="1985" w:type="dxa"/>
            <w:tcBorders>
              <w:top w:val="single" w:sz="12" w:space="0" w:color="auto"/>
            </w:tcBorders>
            <w:shd w:val="clear" w:color="auto" w:fill="auto"/>
            <w:vAlign w:val="bottom"/>
          </w:tcPr>
          <w:p w:rsidR="00CB399B" w:rsidRPr="00A03BEC" w:rsidRDefault="00CB399B" w:rsidP="00345C73">
            <w:pPr>
              <w:suppressAutoHyphens w:val="0"/>
              <w:spacing w:before="40" w:after="40" w:line="220" w:lineRule="exact"/>
              <w:jc w:val="right"/>
              <w:rPr>
                <w:sz w:val="18"/>
              </w:rPr>
            </w:pPr>
            <w:r w:rsidRPr="00A03BEC">
              <w:rPr>
                <w:sz w:val="18"/>
              </w:rPr>
              <w:t>383</w:t>
            </w:r>
            <w:r>
              <w:rPr>
                <w:sz w:val="18"/>
              </w:rPr>
              <w:t xml:space="preserve"> </w:t>
            </w:r>
            <w:r w:rsidRPr="00A03BEC">
              <w:rPr>
                <w:sz w:val="18"/>
              </w:rPr>
              <w:t>062</w:t>
            </w:r>
            <w:r>
              <w:rPr>
                <w:sz w:val="18"/>
              </w:rPr>
              <w:t>,</w:t>
            </w:r>
            <w:r w:rsidRPr="00A03BEC">
              <w:rPr>
                <w:sz w:val="18"/>
              </w:rPr>
              <w:t>743</w:t>
            </w:r>
          </w:p>
        </w:tc>
        <w:tc>
          <w:tcPr>
            <w:tcW w:w="1985" w:type="dxa"/>
            <w:tcBorders>
              <w:top w:val="single" w:sz="12" w:space="0" w:color="auto"/>
            </w:tcBorders>
            <w:shd w:val="clear" w:color="auto" w:fill="auto"/>
            <w:vAlign w:val="bottom"/>
          </w:tcPr>
          <w:p w:rsidR="00CB399B" w:rsidRPr="00A03BEC" w:rsidRDefault="00CB399B" w:rsidP="00345C73">
            <w:pPr>
              <w:suppressAutoHyphens w:val="0"/>
              <w:spacing w:before="40" w:after="40" w:line="220" w:lineRule="exact"/>
              <w:jc w:val="right"/>
              <w:rPr>
                <w:sz w:val="18"/>
              </w:rPr>
            </w:pPr>
            <w:r w:rsidRPr="00A03BEC">
              <w:rPr>
                <w:sz w:val="18"/>
              </w:rPr>
              <w:t>451</w:t>
            </w:r>
            <w:r>
              <w:rPr>
                <w:sz w:val="18"/>
              </w:rPr>
              <w:t xml:space="preserve"> </w:t>
            </w:r>
            <w:r w:rsidRPr="00A03BEC">
              <w:rPr>
                <w:sz w:val="18"/>
              </w:rPr>
              <w:t>361</w:t>
            </w:r>
            <w:r>
              <w:rPr>
                <w:sz w:val="18"/>
              </w:rPr>
              <w:t>,</w:t>
            </w:r>
            <w:r w:rsidRPr="00A03BEC">
              <w:rPr>
                <w:sz w:val="18"/>
              </w:rPr>
              <w:t>531</w:t>
            </w:r>
          </w:p>
        </w:tc>
      </w:tr>
      <w:tr w:rsidR="00CB399B" w:rsidRPr="00A03BEC" w:rsidTr="00F40792">
        <w:tblPrEx>
          <w:tblCellMar>
            <w:top w:w="0" w:type="dxa"/>
            <w:bottom w:w="0" w:type="dxa"/>
          </w:tblCellMar>
        </w:tblPrEx>
        <w:trPr>
          <w:trHeight w:val="20"/>
        </w:trPr>
        <w:tc>
          <w:tcPr>
            <w:tcW w:w="567" w:type="dxa"/>
            <w:tcBorders>
              <w:bottom w:val="nil"/>
            </w:tcBorders>
            <w:shd w:val="clear" w:color="auto" w:fill="auto"/>
          </w:tcPr>
          <w:p w:rsidR="00CB399B" w:rsidRPr="00A03BEC" w:rsidRDefault="00CB399B" w:rsidP="00345C73">
            <w:pPr>
              <w:spacing w:before="40" w:after="40" w:line="220" w:lineRule="exact"/>
              <w:rPr>
                <w:sz w:val="18"/>
              </w:rPr>
            </w:pPr>
            <w:r w:rsidRPr="00A03BEC">
              <w:rPr>
                <w:sz w:val="18"/>
              </w:rPr>
              <w:t>2</w:t>
            </w:r>
          </w:p>
        </w:tc>
        <w:tc>
          <w:tcPr>
            <w:tcW w:w="2835" w:type="dxa"/>
            <w:tcBorders>
              <w:bottom w:val="nil"/>
            </w:tcBorders>
            <w:shd w:val="clear" w:color="auto" w:fill="auto"/>
            <w:vAlign w:val="bottom"/>
          </w:tcPr>
          <w:p w:rsidR="00CB399B" w:rsidRPr="00A03BEC" w:rsidRDefault="00CB399B" w:rsidP="00345C73">
            <w:pPr>
              <w:suppressAutoHyphens w:val="0"/>
              <w:spacing w:before="40" w:after="40" w:line="220" w:lineRule="exact"/>
              <w:rPr>
                <w:sz w:val="18"/>
              </w:rPr>
            </w:pPr>
            <w:r w:rsidRPr="00A03BEC">
              <w:rPr>
                <w:sz w:val="18"/>
              </w:rPr>
              <w:t xml:space="preserve">Banque </w:t>
            </w:r>
            <w:r>
              <w:rPr>
                <w:sz w:val="18"/>
              </w:rPr>
              <w:t>a</w:t>
            </w:r>
            <w:r w:rsidRPr="00A03BEC">
              <w:rPr>
                <w:sz w:val="18"/>
              </w:rPr>
              <w:t xml:space="preserve">fricaine de </w:t>
            </w:r>
            <w:r>
              <w:rPr>
                <w:sz w:val="18"/>
              </w:rPr>
              <w:t>d</w:t>
            </w:r>
            <w:r w:rsidRPr="00A03BEC">
              <w:rPr>
                <w:sz w:val="18"/>
              </w:rPr>
              <w:t>éveloppement</w:t>
            </w:r>
          </w:p>
        </w:tc>
        <w:tc>
          <w:tcPr>
            <w:tcW w:w="1985" w:type="dxa"/>
            <w:tcBorders>
              <w:top w:val="nil"/>
              <w:bottom w:val="nil"/>
            </w:tcBorders>
            <w:shd w:val="clear" w:color="auto" w:fill="auto"/>
            <w:vAlign w:val="bottom"/>
          </w:tcPr>
          <w:p w:rsidR="00CB399B" w:rsidRPr="00A03BEC" w:rsidRDefault="00CB399B" w:rsidP="00345C73">
            <w:pPr>
              <w:suppressAutoHyphens w:val="0"/>
              <w:spacing w:before="40" w:after="40" w:line="220" w:lineRule="exact"/>
              <w:jc w:val="right"/>
              <w:rPr>
                <w:sz w:val="18"/>
              </w:rPr>
            </w:pPr>
            <w:r w:rsidRPr="00A03BEC">
              <w:rPr>
                <w:sz w:val="18"/>
              </w:rPr>
              <w:t>275</w:t>
            </w:r>
            <w:r>
              <w:rPr>
                <w:sz w:val="18"/>
              </w:rPr>
              <w:t xml:space="preserve"> </w:t>
            </w:r>
            <w:r w:rsidRPr="00A03BEC">
              <w:rPr>
                <w:sz w:val="18"/>
              </w:rPr>
              <w:t>988</w:t>
            </w:r>
            <w:r>
              <w:rPr>
                <w:sz w:val="18"/>
              </w:rPr>
              <w:t>,</w:t>
            </w:r>
            <w:r w:rsidRPr="00A03BEC">
              <w:rPr>
                <w:sz w:val="18"/>
              </w:rPr>
              <w:t>677</w:t>
            </w:r>
          </w:p>
        </w:tc>
        <w:tc>
          <w:tcPr>
            <w:tcW w:w="1985" w:type="dxa"/>
            <w:tcBorders>
              <w:bottom w:val="nil"/>
            </w:tcBorders>
            <w:shd w:val="clear" w:color="auto" w:fill="auto"/>
            <w:vAlign w:val="bottom"/>
          </w:tcPr>
          <w:p w:rsidR="00CB399B" w:rsidRPr="00A03BEC" w:rsidRDefault="00CB399B" w:rsidP="00345C73">
            <w:pPr>
              <w:suppressAutoHyphens w:val="0"/>
              <w:spacing w:before="40" w:after="40" w:line="220" w:lineRule="exact"/>
              <w:jc w:val="right"/>
              <w:rPr>
                <w:sz w:val="18"/>
              </w:rPr>
            </w:pPr>
            <w:r w:rsidRPr="00A03BEC">
              <w:rPr>
                <w:sz w:val="18"/>
              </w:rPr>
              <w:t>285</w:t>
            </w:r>
            <w:r>
              <w:rPr>
                <w:sz w:val="18"/>
              </w:rPr>
              <w:t xml:space="preserve"> </w:t>
            </w:r>
            <w:r w:rsidRPr="00A03BEC">
              <w:rPr>
                <w:sz w:val="18"/>
              </w:rPr>
              <w:t>981</w:t>
            </w:r>
            <w:r>
              <w:rPr>
                <w:sz w:val="18"/>
              </w:rPr>
              <w:t>,</w:t>
            </w:r>
            <w:r w:rsidRPr="00A03BEC">
              <w:rPr>
                <w:sz w:val="18"/>
              </w:rPr>
              <w:t>981</w:t>
            </w:r>
          </w:p>
        </w:tc>
      </w:tr>
      <w:tr w:rsidR="00CB399B" w:rsidRPr="00A03BEC" w:rsidTr="00F40792">
        <w:tblPrEx>
          <w:tblCellMar>
            <w:top w:w="0" w:type="dxa"/>
            <w:bottom w:w="0" w:type="dxa"/>
          </w:tblCellMar>
        </w:tblPrEx>
        <w:trPr>
          <w:trHeight w:val="20"/>
        </w:trPr>
        <w:tc>
          <w:tcPr>
            <w:tcW w:w="567" w:type="dxa"/>
            <w:tcBorders>
              <w:top w:val="nil"/>
              <w:bottom w:val="single" w:sz="12" w:space="0" w:color="auto"/>
            </w:tcBorders>
            <w:shd w:val="clear" w:color="auto" w:fill="auto"/>
          </w:tcPr>
          <w:p w:rsidR="00CB399B" w:rsidRPr="00A03BEC" w:rsidRDefault="00CB399B" w:rsidP="00345C73">
            <w:pPr>
              <w:spacing w:before="40" w:after="40" w:line="220" w:lineRule="exact"/>
              <w:rPr>
                <w:sz w:val="18"/>
              </w:rPr>
            </w:pPr>
            <w:r w:rsidRPr="00A03BEC">
              <w:rPr>
                <w:sz w:val="18"/>
              </w:rPr>
              <w:t>3</w:t>
            </w:r>
          </w:p>
        </w:tc>
        <w:tc>
          <w:tcPr>
            <w:tcW w:w="2835" w:type="dxa"/>
            <w:tcBorders>
              <w:top w:val="nil"/>
              <w:bottom w:val="single" w:sz="12" w:space="0" w:color="auto"/>
            </w:tcBorders>
            <w:shd w:val="clear" w:color="auto" w:fill="auto"/>
            <w:vAlign w:val="bottom"/>
          </w:tcPr>
          <w:p w:rsidR="00CB399B" w:rsidRPr="00A03BEC" w:rsidRDefault="00CB399B" w:rsidP="00345C73">
            <w:pPr>
              <w:suppressAutoHyphens w:val="0"/>
              <w:spacing w:before="40" w:after="40" w:line="220" w:lineRule="exact"/>
              <w:rPr>
                <w:sz w:val="18"/>
              </w:rPr>
            </w:pPr>
            <w:r w:rsidRPr="00A03BEC">
              <w:rPr>
                <w:sz w:val="18"/>
              </w:rPr>
              <w:t xml:space="preserve">Union </w:t>
            </w:r>
            <w:r>
              <w:rPr>
                <w:sz w:val="18"/>
              </w:rPr>
              <w:t>e</w:t>
            </w:r>
            <w:r w:rsidRPr="00A03BEC">
              <w:rPr>
                <w:sz w:val="18"/>
              </w:rPr>
              <w:t>uropéenne</w:t>
            </w:r>
          </w:p>
        </w:tc>
        <w:tc>
          <w:tcPr>
            <w:tcW w:w="1985" w:type="dxa"/>
            <w:tcBorders>
              <w:top w:val="nil"/>
              <w:bottom w:val="single" w:sz="12" w:space="0" w:color="auto"/>
            </w:tcBorders>
            <w:shd w:val="clear" w:color="auto" w:fill="auto"/>
            <w:vAlign w:val="bottom"/>
          </w:tcPr>
          <w:p w:rsidR="00CB399B" w:rsidRPr="00A03BEC" w:rsidRDefault="00CB399B" w:rsidP="00345C73">
            <w:pPr>
              <w:suppressAutoHyphens w:val="0"/>
              <w:spacing w:before="40" w:after="40" w:line="220" w:lineRule="exact"/>
              <w:jc w:val="right"/>
              <w:rPr>
                <w:sz w:val="18"/>
              </w:rPr>
            </w:pPr>
            <w:r w:rsidRPr="00A03BEC">
              <w:rPr>
                <w:sz w:val="18"/>
              </w:rPr>
              <w:t>532</w:t>
            </w:r>
            <w:r>
              <w:rPr>
                <w:sz w:val="18"/>
              </w:rPr>
              <w:t xml:space="preserve"> </w:t>
            </w:r>
            <w:r w:rsidRPr="00A03BEC">
              <w:rPr>
                <w:sz w:val="18"/>
              </w:rPr>
              <w:t>970</w:t>
            </w:r>
            <w:r>
              <w:rPr>
                <w:sz w:val="18"/>
              </w:rPr>
              <w:t>,</w:t>
            </w:r>
            <w:r w:rsidRPr="00A03BEC">
              <w:rPr>
                <w:sz w:val="18"/>
              </w:rPr>
              <w:t>038</w:t>
            </w:r>
          </w:p>
        </w:tc>
        <w:tc>
          <w:tcPr>
            <w:tcW w:w="1985" w:type="dxa"/>
            <w:tcBorders>
              <w:top w:val="nil"/>
              <w:bottom w:val="single" w:sz="12" w:space="0" w:color="auto"/>
            </w:tcBorders>
            <w:shd w:val="clear" w:color="auto" w:fill="auto"/>
            <w:vAlign w:val="bottom"/>
          </w:tcPr>
          <w:p w:rsidR="00CB399B" w:rsidRPr="00A03BEC" w:rsidRDefault="00CB399B" w:rsidP="00345C73">
            <w:pPr>
              <w:suppressAutoHyphens w:val="0"/>
              <w:spacing w:before="40" w:after="40" w:line="220" w:lineRule="exact"/>
              <w:jc w:val="right"/>
              <w:rPr>
                <w:sz w:val="18"/>
              </w:rPr>
            </w:pPr>
            <w:r w:rsidRPr="00A03BEC">
              <w:rPr>
                <w:sz w:val="18"/>
              </w:rPr>
              <w:t>595</w:t>
            </w:r>
            <w:r>
              <w:rPr>
                <w:sz w:val="18"/>
              </w:rPr>
              <w:t xml:space="preserve"> </w:t>
            </w:r>
            <w:r w:rsidRPr="00A03BEC">
              <w:rPr>
                <w:sz w:val="18"/>
              </w:rPr>
              <w:t>306</w:t>
            </w:r>
            <w:r>
              <w:rPr>
                <w:sz w:val="18"/>
              </w:rPr>
              <w:t>,</w:t>
            </w:r>
            <w:r w:rsidRPr="00A03BEC">
              <w:rPr>
                <w:sz w:val="18"/>
              </w:rPr>
              <w:t>546</w:t>
            </w:r>
          </w:p>
        </w:tc>
      </w:tr>
    </w:tbl>
    <w:p w:rsidR="00CB399B" w:rsidRPr="000D1886" w:rsidRDefault="00CB399B" w:rsidP="00345C73">
      <w:pPr>
        <w:pStyle w:val="Heading1"/>
        <w:spacing w:before="120" w:after="240"/>
        <w:ind w:right="1134" w:firstLine="170"/>
        <w:rPr>
          <w:sz w:val="18"/>
          <w:szCs w:val="18"/>
        </w:rPr>
      </w:pPr>
      <w:r w:rsidRPr="000D1886">
        <w:rPr>
          <w:i/>
          <w:sz w:val="18"/>
          <w:szCs w:val="18"/>
        </w:rPr>
        <w:t>Source</w:t>
      </w:r>
      <w:r w:rsidRPr="000D1886">
        <w:rPr>
          <w:sz w:val="18"/>
          <w:szCs w:val="18"/>
        </w:rPr>
        <w:t>: CEPEX.</w:t>
      </w:r>
    </w:p>
    <w:p w:rsidR="00CB399B" w:rsidRPr="009B6952" w:rsidRDefault="00CB399B" w:rsidP="00CB399B">
      <w:pPr>
        <w:pStyle w:val="SingleTxtG"/>
        <w:ind w:firstLine="567"/>
      </w:pPr>
      <w:r>
        <w:t>a)</w:t>
      </w:r>
      <w:r>
        <w:tab/>
      </w:r>
      <w:r w:rsidRPr="009B6952">
        <w:t xml:space="preserve">Les financements de la Banque </w:t>
      </w:r>
      <w:r>
        <w:t>m</w:t>
      </w:r>
      <w:r w:rsidRPr="009B6952">
        <w:t>ondiale ont contribué à la promotion des droits au travail, à la santé</w:t>
      </w:r>
      <w:r>
        <w:t xml:space="preserve"> et</w:t>
      </w:r>
      <w:r w:rsidRPr="009B6952">
        <w:t xml:space="preserve"> à la nutrition. Les financements reçus ont servi entre autres à renforcer des projets comme le projet d</w:t>
      </w:r>
      <w:r w:rsidR="00B861F1">
        <w:t>’</w:t>
      </w:r>
      <w:r w:rsidRPr="009B6952">
        <w:t xml:space="preserve">approvisionnement en eau et </w:t>
      </w:r>
      <w:r>
        <w:t>d</w:t>
      </w:r>
      <w:r w:rsidR="00B861F1">
        <w:t>’</w:t>
      </w:r>
      <w:r w:rsidRPr="009B6952">
        <w:t xml:space="preserve">assainissement en milieu rural, le projet de lutte contre le sida </w:t>
      </w:r>
      <w:r>
        <w:t xml:space="preserve">dans le cadre de </w:t>
      </w:r>
      <w:r w:rsidRPr="009B6952">
        <w:t>l</w:t>
      </w:r>
      <w:r w:rsidR="00B861F1">
        <w:t>’</w:t>
      </w:r>
      <w:r w:rsidRPr="009B6952">
        <w:t>Initiative des Grand-Lacs</w:t>
      </w:r>
      <w:r>
        <w:t xml:space="preserve"> et</w:t>
      </w:r>
      <w:r w:rsidRPr="009B6952">
        <w:t xml:space="preserve"> le projet RSSP (Rural Support Sector Project) dans la création d</w:t>
      </w:r>
      <w:r w:rsidR="00B861F1">
        <w:t>’</w:t>
      </w:r>
      <w:r w:rsidRPr="009B6952">
        <w:t xml:space="preserve">emploi en milieu rural par </w:t>
      </w:r>
      <w:r>
        <w:t xml:space="preserve">le biais de </w:t>
      </w:r>
      <w:r w:rsidRPr="009B6952">
        <w:t>la diversification des acti</w:t>
      </w:r>
      <w:r>
        <w:t>vités économiques non agricoles;</w:t>
      </w:r>
    </w:p>
    <w:p w:rsidR="00CB399B" w:rsidRPr="009B6952" w:rsidRDefault="00CB399B" w:rsidP="00CB399B">
      <w:pPr>
        <w:pStyle w:val="SingleTxtG"/>
        <w:ind w:firstLine="567"/>
      </w:pPr>
      <w:r>
        <w:t>b)</w:t>
      </w:r>
      <w:r>
        <w:tab/>
      </w:r>
      <w:r w:rsidRPr="009B6952">
        <w:t>Le portefeuille d</w:t>
      </w:r>
      <w:r w:rsidR="00B861F1">
        <w:t>’</w:t>
      </w:r>
      <w:r w:rsidRPr="009B6952">
        <w:t xml:space="preserve">assistance et </w:t>
      </w:r>
      <w:r>
        <w:t xml:space="preserve">de </w:t>
      </w:r>
      <w:r w:rsidRPr="009B6952">
        <w:t xml:space="preserve">coopération avec la Banque </w:t>
      </w:r>
      <w:r>
        <w:t>a</w:t>
      </w:r>
      <w:r w:rsidRPr="009B6952">
        <w:t xml:space="preserve">fricaine de </w:t>
      </w:r>
      <w:r>
        <w:t>d</w:t>
      </w:r>
      <w:r w:rsidRPr="009B6952">
        <w:t>éveloppement est tout aussi imposant. Il couvre la promotion du droit à l</w:t>
      </w:r>
      <w:r w:rsidR="00B861F1">
        <w:t>’</w:t>
      </w:r>
      <w:r w:rsidRPr="009B6952">
        <w:t xml:space="preserve">éducation avec le soutien </w:t>
      </w:r>
      <w:r>
        <w:t xml:space="preserve">apporté </w:t>
      </w:r>
      <w:r w:rsidRPr="009B6952">
        <w:t>à l</w:t>
      </w:r>
      <w:r w:rsidR="00B861F1">
        <w:t>’</w:t>
      </w:r>
      <w:r w:rsidRPr="009B6952">
        <w:t>enseignement primaire, la promotion de l</w:t>
      </w:r>
      <w:r w:rsidR="00B861F1">
        <w:t>’</w:t>
      </w:r>
      <w:r w:rsidRPr="009B6952">
        <w:t xml:space="preserve">emploi de la femme </w:t>
      </w:r>
      <w:r>
        <w:t>par le biais de</w:t>
      </w:r>
      <w:r w:rsidRPr="009B6952">
        <w:t xml:space="preserve"> l</w:t>
      </w:r>
      <w:r w:rsidR="00B861F1">
        <w:t>’</w:t>
      </w:r>
      <w:r w:rsidRPr="009B6952">
        <w:t>aide aux projets de réduction de la pauvreté chez les femmes (par le biais du Programme de Réduction de la Pauvreté chez les Femmes: PREPAF) ainsi que les prog</w:t>
      </w:r>
      <w:r>
        <w:t>rammes de lutte contre le sida;</w:t>
      </w:r>
    </w:p>
    <w:p w:rsidR="00CB399B" w:rsidRPr="009B6952" w:rsidRDefault="00CB399B" w:rsidP="00CB399B">
      <w:pPr>
        <w:pStyle w:val="SingleTxtG"/>
        <w:ind w:firstLine="567"/>
      </w:pPr>
      <w:r>
        <w:t>c)</w:t>
      </w:r>
      <w:r>
        <w:tab/>
      </w:r>
      <w:r w:rsidRPr="009B6952">
        <w:t>Quant à l</w:t>
      </w:r>
      <w:r w:rsidR="00B861F1">
        <w:t>’</w:t>
      </w:r>
      <w:r w:rsidRPr="009B6952">
        <w:t xml:space="preserve">Union </w:t>
      </w:r>
      <w:r>
        <w:t>e</w:t>
      </w:r>
      <w:r w:rsidRPr="000D1886">
        <w:t>u</w:t>
      </w:r>
      <w:r w:rsidRPr="009B6952">
        <w:t xml:space="preserve">ropéenne, </w:t>
      </w:r>
      <w:r>
        <w:t>son</w:t>
      </w:r>
      <w:r w:rsidRPr="009B6952">
        <w:t xml:space="preserve"> financement en 2008 a porté sur le soutien aux programmes de réduction de la pauvreté.</w:t>
      </w:r>
      <w:r>
        <w:t xml:space="preserve"> </w:t>
      </w:r>
    </w:p>
    <w:p w:rsidR="00CB399B" w:rsidRDefault="00CB399B" w:rsidP="00F917CF">
      <w:pPr>
        <w:pStyle w:val="SingleTxtG"/>
      </w:pPr>
      <w:r>
        <w:t>46</w:t>
      </w:r>
      <w:r w:rsidRPr="003E7566">
        <w:t>.</w:t>
      </w:r>
      <w:r w:rsidRPr="003E7566">
        <w:tab/>
      </w:r>
      <w:r w:rsidRPr="003E7566">
        <w:rPr>
          <w:b/>
        </w:rPr>
        <w:t>La coopération bilatérale</w:t>
      </w:r>
      <w:r w:rsidRPr="003E7566">
        <w:rPr>
          <w:sz w:val="18"/>
          <w:szCs w:val="18"/>
          <w:vertAlign w:val="superscript"/>
        </w:rPr>
        <w:footnoteReference w:id="33"/>
      </w:r>
      <w:r w:rsidRPr="003E7566">
        <w:t xml:space="preserve"> </w:t>
      </w:r>
      <w:r>
        <w:t>implique</w:t>
      </w:r>
      <w:r w:rsidRPr="003E7566">
        <w:t xml:space="preserve"> divers États comme la Belgique, la Grande-Bretagne (DFID), le Luxembourg, les États-Unis (USAID), les Pays-Bas, la Suède, l</w:t>
      </w:r>
      <w:r w:rsidR="00B861F1">
        <w:t>’</w:t>
      </w:r>
      <w:r w:rsidRPr="003E7566">
        <w:t xml:space="preserve">Allemagne, la Suisse, le Canada, ainsi que les Nations Unies. Nous citerons aussi </w:t>
      </w:r>
      <w:r>
        <w:t xml:space="preserve">les </w:t>
      </w:r>
      <w:r w:rsidRPr="003E7566">
        <w:t>quelques exemples</w:t>
      </w:r>
      <w:r>
        <w:t xml:space="preserve"> figurant dans le tableau ci-dessous.</w:t>
      </w:r>
    </w:p>
    <w:p w:rsidR="00CB399B" w:rsidRPr="008F6C74" w:rsidRDefault="00CB399B" w:rsidP="00E777A8">
      <w:pPr>
        <w:pStyle w:val="Heading1"/>
        <w:spacing w:after="120"/>
      </w:pPr>
      <w:r>
        <w:t>Tableau 3</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2835"/>
        <w:gridCol w:w="1985"/>
        <w:gridCol w:w="1985"/>
      </w:tblGrid>
      <w:tr w:rsidR="00CB399B" w:rsidRPr="000D1886" w:rsidTr="00F40792">
        <w:tblPrEx>
          <w:tblCellMar>
            <w:top w:w="0" w:type="dxa"/>
            <w:bottom w:w="0" w:type="dxa"/>
          </w:tblCellMar>
        </w:tblPrEx>
        <w:trPr>
          <w:trHeight w:val="225"/>
          <w:tblHeader/>
        </w:trPr>
        <w:tc>
          <w:tcPr>
            <w:tcW w:w="567" w:type="dxa"/>
            <w:vMerge w:val="restart"/>
            <w:tcBorders>
              <w:top w:val="single" w:sz="4" w:space="0" w:color="auto"/>
              <w:bottom w:val="single" w:sz="12" w:space="0" w:color="auto"/>
            </w:tcBorders>
            <w:shd w:val="clear" w:color="auto" w:fill="auto"/>
            <w:vAlign w:val="bottom"/>
          </w:tcPr>
          <w:p w:rsidR="00CB399B" w:rsidRPr="000D1886" w:rsidRDefault="00CB399B" w:rsidP="00E777A8">
            <w:pPr>
              <w:spacing w:before="80" w:after="80" w:line="200" w:lineRule="exact"/>
              <w:rPr>
                <w:i/>
                <w:sz w:val="16"/>
              </w:rPr>
            </w:pPr>
            <w:r>
              <w:rPr>
                <w:rFonts w:eastAsia="MS Mincho"/>
                <w:i/>
                <w:sz w:val="16"/>
              </w:rPr>
              <w:t>N</w:t>
            </w:r>
            <w:r w:rsidRPr="002D7510">
              <w:rPr>
                <w:rFonts w:eastAsia="MS Mincho"/>
                <w:i/>
                <w:sz w:val="16"/>
                <w:vertAlign w:val="superscript"/>
              </w:rPr>
              <w:t>o</w:t>
            </w:r>
          </w:p>
        </w:tc>
        <w:tc>
          <w:tcPr>
            <w:tcW w:w="2835" w:type="dxa"/>
            <w:vMerge w:val="restart"/>
            <w:tcBorders>
              <w:top w:val="single" w:sz="4" w:space="0" w:color="auto"/>
              <w:bottom w:val="single" w:sz="12" w:space="0" w:color="auto"/>
            </w:tcBorders>
            <w:shd w:val="clear" w:color="auto" w:fill="auto"/>
            <w:vAlign w:val="bottom"/>
          </w:tcPr>
          <w:p w:rsidR="00CB399B" w:rsidRPr="000D1886" w:rsidRDefault="00CB399B" w:rsidP="00E777A8">
            <w:pPr>
              <w:spacing w:before="80" w:after="80" w:line="200" w:lineRule="exact"/>
              <w:rPr>
                <w:i/>
                <w:sz w:val="16"/>
              </w:rPr>
            </w:pPr>
            <w:r w:rsidRPr="000D1886">
              <w:rPr>
                <w:i/>
                <w:sz w:val="16"/>
              </w:rPr>
              <w:t>Portefeuille</w:t>
            </w:r>
          </w:p>
        </w:tc>
        <w:tc>
          <w:tcPr>
            <w:tcW w:w="1985" w:type="dxa"/>
            <w:gridSpan w:val="2"/>
            <w:tcBorders>
              <w:top w:val="single" w:sz="4" w:space="0" w:color="auto"/>
              <w:bottom w:val="single" w:sz="4" w:space="0" w:color="auto"/>
            </w:tcBorders>
            <w:shd w:val="clear" w:color="auto" w:fill="auto"/>
            <w:vAlign w:val="bottom"/>
          </w:tcPr>
          <w:p w:rsidR="00CB399B" w:rsidRPr="000D1886" w:rsidRDefault="00CB399B" w:rsidP="00E777A8">
            <w:pPr>
              <w:spacing w:before="80" w:after="80" w:line="200" w:lineRule="exact"/>
              <w:jc w:val="center"/>
              <w:rPr>
                <w:i/>
                <w:sz w:val="16"/>
              </w:rPr>
            </w:pPr>
            <w:r w:rsidRPr="000D1886">
              <w:rPr>
                <w:i/>
                <w:sz w:val="16"/>
              </w:rPr>
              <w:t>Montant total alloué (USD)</w:t>
            </w:r>
          </w:p>
        </w:tc>
      </w:tr>
      <w:tr w:rsidR="00CB399B" w:rsidRPr="000D1886" w:rsidTr="00F40792">
        <w:tblPrEx>
          <w:tblCellMar>
            <w:top w:w="0" w:type="dxa"/>
            <w:bottom w:w="0" w:type="dxa"/>
          </w:tblCellMar>
        </w:tblPrEx>
        <w:trPr>
          <w:trHeight w:val="139"/>
          <w:tblHeader/>
        </w:trPr>
        <w:tc>
          <w:tcPr>
            <w:tcW w:w="567" w:type="dxa"/>
            <w:vMerge/>
            <w:tcBorders>
              <w:top w:val="single" w:sz="12" w:space="0" w:color="auto"/>
              <w:bottom w:val="single" w:sz="12" w:space="0" w:color="auto"/>
            </w:tcBorders>
            <w:shd w:val="clear" w:color="auto" w:fill="auto"/>
            <w:vAlign w:val="bottom"/>
          </w:tcPr>
          <w:p w:rsidR="00CB399B" w:rsidRPr="000D1886" w:rsidRDefault="00CB399B" w:rsidP="00E777A8">
            <w:pPr>
              <w:suppressAutoHyphens w:val="0"/>
              <w:spacing w:before="80" w:after="80" w:line="200" w:lineRule="exact"/>
              <w:rPr>
                <w:sz w:val="18"/>
              </w:rPr>
            </w:pPr>
          </w:p>
        </w:tc>
        <w:tc>
          <w:tcPr>
            <w:tcW w:w="2835" w:type="dxa"/>
            <w:vMerge/>
            <w:tcBorders>
              <w:top w:val="single" w:sz="12" w:space="0" w:color="auto"/>
              <w:bottom w:val="single" w:sz="12" w:space="0" w:color="auto"/>
            </w:tcBorders>
            <w:shd w:val="clear" w:color="auto" w:fill="auto"/>
            <w:vAlign w:val="bottom"/>
          </w:tcPr>
          <w:p w:rsidR="00CB399B" w:rsidRPr="000D1886" w:rsidRDefault="00CB399B" w:rsidP="00E777A8">
            <w:pPr>
              <w:suppressAutoHyphens w:val="0"/>
              <w:spacing w:before="80" w:after="80" w:line="200" w:lineRule="exact"/>
              <w:jc w:val="right"/>
              <w:rPr>
                <w:sz w:val="18"/>
              </w:rPr>
            </w:pPr>
          </w:p>
        </w:tc>
        <w:tc>
          <w:tcPr>
            <w:tcW w:w="1985" w:type="dxa"/>
            <w:tcBorders>
              <w:top w:val="single" w:sz="4" w:space="0" w:color="auto"/>
              <w:bottom w:val="single" w:sz="12" w:space="0" w:color="auto"/>
            </w:tcBorders>
            <w:shd w:val="clear" w:color="auto" w:fill="auto"/>
            <w:vAlign w:val="bottom"/>
          </w:tcPr>
          <w:p w:rsidR="00CB399B" w:rsidRPr="002D7510" w:rsidRDefault="00CB399B" w:rsidP="00E777A8">
            <w:pPr>
              <w:spacing w:before="80" w:after="80" w:line="200" w:lineRule="exact"/>
              <w:jc w:val="right"/>
              <w:rPr>
                <w:i/>
                <w:sz w:val="16"/>
              </w:rPr>
            </w:pPr>
            <w:r w:rsidRPr="002D7510">
              <w:rPr>
                <w:i/>
                <w:sz w:val="16"/>
              </w:rPr>
              <w:t>2007</w:t>
            </w:r>
          </w:p>
        </w:tc>
        <w:tc>
          <w:tcPr>
            <w:tcW w:w="1985" w:type="dxa"/>
            <w:tcBorders>
              <w:top w:val="single" w:sz="4" w:space="0" w:color="auto"/>
              <w:bottom w:val="single" w:sz="12" w:space="0" w:color="auto"/>
            </w:tcBorders>
            <w:shd w:val="clear" w:color="auto" w:fill="auto"/>
            <w:vAlign w:val="bottom"/>
          </w:tcPr>
          <w:p w:rsidR="00CB399B" w:rsidRPr="002D7510" w:rsidRDefault="00CB399B" w:rsidP="00E777A8">
            <w:pPr>
              <w:spacing w:before="80" w:after="80" w:line="200" w:lineRule="exact"/>
              <w:jc w:val="right"/>
              <w:rPr>
                <w:i/>
                <w:sz w:val="16"/>
              </w:rPr>
            </w:pPr>
            <w:r w:rsidRPr="002D7510">
              <w:rPr>
                <w:i/>
                <w:sz w:val="16"/>
              </w:rPr>
              <w:t>1</w:t>
            </w:r>
            <w:r w:rsidRPr="002D7510">
              <w:rPr>
                <w:i/>
                <w:sz w:val="16"/>
                <w:vertAlign w:val="superscript"/>
              </w:rPr>
              <w:t>er</w:t>
            </w:r>
            <w:r w:rsidRPr="002D7510">
              <w:rPr>
                <w:i/>
                <w:sz w:val="16"/>
              </w:rPr>
              <w:t xml:space="preserve"> Semestre 2008</w:t>
            </w:r>
          </w:p>
        </w:tc>
      </w:tr>
      <w:tr w:rsidR="00CB399B" w:rsidRPr="000D1886" w:rsidTr="00F40792">
        <w:tblPrEx>
          <w:tblCellMar>
            <w:top w:w="0" w:type="dxa"/>
            <w:bottom w:w="0" w:type="dxa"/>
          </w:tblCellMar>
        </w:tblPrEx>
        <w:trPr>
          <w:trHeight w:val="210"/>
        </w:trPr>
        <w:tc>
          <w:tcPr>
            <w:tcW w:w="567" w:type="dxa"/>
            <w:tcBorders>
              <w:top w:val="single" w:sz="12" w:space="0" w:color="auto"/>
            </w:tcBorders>
            <w:shd w:val="clear" w:color="auto" w:fill="auto"/>
          </w:tcPr>
          <w:p w:rsidR="00CB399B" w:rsidRPr="000D1886" w:rsidRDefault="00CB399B" w:rsidP="00936522">
            <w:pPr>
              <w:spacing w:before="40" w:after="40" w:line="220" w:lineRule="exact"/>
              <w:rPr>
                <w:sz w:val="18"/>
              </w:rPr>
            </w:pPr>
            <w:r w:rsidRPr="000D1886">
              <w:rPr>
                <w:sz w:val="18"/>
              </w:rPr>
              <w:t>1</w:t>
            </w:r>
          </w:p>
        </w:tc>
        <w:tc>
          <w:tcPr>
            <w:tcW w:w="2835" w:type="dxa"/>
            <w:tcBorders>
              <w:top w:val="single" w:sz="12" w:space="0" w:color="auto"/>
            </w:tcBorders>
            <w:shd w:val="clear" w:color="auto" w:fill="auto"/>
            <w:vAlign w:val="bottom"/>
          </w:tcPr>
          <w:p w:rsidR="00CB399B" w:rsidRPr="000D1886" w:rsidRDefault="00CB399B" w:rsidP="00936522">
            <w:pPr>
              <w:suppressAutoHyphens w:val="0"/>
              <w:spacing w:before="40" w:after="40" w:line="220" w:lineRule="exact"/>
              <w:rPr>
                <w:sz w:val="18"/>
              </w:rPr>
            </w:pPr>
            <w:r w:rsidRPr="000D1886">
              <w:rPr>
                <w:sz w:val="18"/>
              </w:rPr>
              <w:t>USAID</w:t>
            </w:r>
          </w:p>
        </w:tc>
        <w:tc>
          <w:tcPr>
            <w:tcW w:w="1985" w:type="dxa"/>
            <w:tcBorders>
              <w:top w:val="single" w:sz="12" w:space="0" w:color="auto"/>
            </w:tcBorders>
            <w:shd w:val="clear" w:color="auto" w:fill="auto"/>
            <w:vAlign w:val="bottom"/>
          </w:tcPr>
          <w:p w:rsidR="00CB399B" w:rsidRPr="000D1886" w:rsidRDefault="00CB399B" w:rsidP="00936522">
            <w:pPr>
              <w:suppressAutoHyphens w:val="0"/>
              <w:spacing w:before="40" w:after="40" w:line="220" w:lineRule="exact"/>
              <w:jc w:val="right"/>
              <w:rPr>
                <w:sz w:val="18"/>
              </w:rPr>
            </w:pPr>
            <w:r w:rsidRPr="000D1886">
              <w:rPr>
                <w:sz w:val="18"/>
              </w:rPr>
              <w:t>277</w:t>
            </w:r>
            <w:r>
              <w:rPr>
                <w:sz w:val="18"/>
              </w:rPr>
              <w:t xml:space="preserve"> </w:t>
            </w:r>
            <w:r w:rsidRPr="000D1886">
              <w:rPr>
                <w:sz w:val="18"/>
              </w:rPr>
              <w:t>596</w:t>
            </w:r>
            <w:r>
              <w:rPr>
                <w:sz w:val="18"/>
              </w:rPr>
              <w:t>,</w:t>
            </w:r>
            <w:r w:rsidRPr="000D1886">
              <w:rPr>
                <w:sz w:val="18"/>
              </w:rPr>
              <w:t>896</w:t>
            </w:r>
          </w:p>
        </w:tc>
        <w:tc>
          <w:tcPr>
            <w:tcW w:w="1985" w:type="dxa"/>
            <w:tcBorders>
              <w:top w:val="single" w:sz="12" w:space="0" w:color="auto"/>
            </w:tcBorders>
            <w:shd w:val="clear" w:color="auto" w:fill="auto"/>
            <w:vAlign w:val="bottom"/>
          </w:tcPr>
          <w:p w:rsidR="00CB399B" w:rsidRPr="000D1886" w:rsidRDefault="00CB399B" w:rsidP="00936522">
            <w:pPr>
              <w:suppressAutoHyphens w:val="0"/>
              <w:spacing w:before="40" w:after="40" w:line="220" w:lineRule="exact"/>
              <w:jc w:val="right"/>
              <w:rPr>
                <w:sz w:val="18"/>
              </w:rPr>
            </w:pPr>
            <w:r w:rsidRPr="000D1886">
              <w:rPr>
                <w:sz w:val="18"/>
              </w:rPr>
              <w:t>252</w:t>
            </w:r>
            <w:r>
              <w:rPr>
                <w:sz w:val="18"/>
              </w:rPr>
              <w:t xml:space="preserve"> </w:t>
            </w:r>
            <w:r w:rsidRPr="000D1886">
              <w:rPr>
                <w:sz w:val="18"/>
              </w:rPr>
              <w:t>649</w:t>
            </w:r>
            <w:r>
              <w:rPr>
                <w:sz w:val="18"/>
              </w:rPr>
              <w:t>,</w:t>
            </w:r>
            <w:r w:rsidRPr="000D1886">
              <w:rPr>
                <w:sz w:val="18"/>
              </w:rPr>
              <w:t>998</w:t>
            </w:r>
          </w:p>
        </w:tc>
      </w:tr>
      <w:tr w:rsidR="00CB399B" w:rsidRPr="000D1886" w:rsidTr="00F40792">
        <w:tblPrEx>
          <w:tblCellMar>
            <w:top w:w="0" w:type="dxa"/>
            <w:bottom w:w="0" w:type="dxa"/>
          </w:tblCellMar>
        </w:tblPrEx>
        <w:trPr>
          <w:trHeight w:val="210"/>
        </w:trPr>
        <w:tc>
          <w:tcPr>
            <w:tcW w:w="567" w:type="dxa"/>
            <w:shd w:val="clear" w:color="auto" w:fill="auto"/>
          </w:tcPr>
          <w:p w:rsidR="00CB399B" w:rsidRPr="000D1886" w:rsidRDefault="00CB399B" w:rsidP="00936522">
            <w:pPr>
              <w:spacing w:before="40" w:after="40" w:line="220" w:lineRule="exact"/>
              <w:rPr>
                <w:sz w:val="18"/>
              </w:rPr>
            </w:pPr>
            <w:r w:rsidRPr="000D1886">
              <w:rPr>
                <w:sz w:val="18"/>
              </w:rPr>
              <w:t>2</w:t>
            </w:r>
          </w:p>
        </w:tc>
        <w:tc>
          <w:tcPr>
            <w:tcW w:w="2835" w:type="dxa"/>
            <w:shd w:val="clear" w:color="auto" w:fill="auto"/>
            <w:vAlign w:val="bottom"/>
          </w:tcPr>
          <w:p w:rsidR="00CB399B" w:rsidRPr="000D1886" w:rsidRDefault="00CB399B" w:rsidP="00936522">
            <w:pPr>
              <w:suppressAutoHyphens w:val="0"/>
              <w:spacing w:before="40" w:after="40" w:line="220" w:lineRule="exact"/>
              <w:rPr>
                <w:sz w:val="18"/>
              </w:rPr>
            </w:pPr>
            <w:r w:rsidRPr="000D1886">
              <w:rPr>
                <w:sz w:val="18"/>
              </w:rPr>
              <w:t xml:space="preserve">Coopération </w:t>
            </w:r>
            <w:r>
              <w:rPr>
                <w:sz w:val="18"/>
              </w:rPr>
              <w:t>b</w:t>
            </w:r>
            <w:r w:rsidRPr="000D1886">
              <w:rPr>
                <w:sz w:val="18"/>
              </w:rPr>
              <w:t>elge</w:t>
            </w:r>
          </w:p>
        </w:tc>
        <w:tc>
          <w:tcPr>
            <w:tcW w:w="1985" w:type="dxa"/>
            <w:shd w:val="clear" w:color="auto" w:fill="auto"/>
            <w:vAlign w:val="bottom"/>
          </w:tcPr>
          <w:p w:rsidR="00CB399B" w:rsidRPr="000D1886" w:rsidRDefault="00CB399B" w:rsidP="00936522">
            <w:pPr>
              <w:suppressAutoHyphens w:val="0"/>
              <w:spacing w:before="40" w:after="40" w:line="220" w:lineRule="exact"/>
              <w:jc w:val="right"/>
              <w:rPr>
                <w:sz w:val="18"/>
              </w:rPr>
            </w:pPr>
            <w:r w:rsidRPr="000D1886">
              <w:rPr>
                <w:sz w:val="18"/>
              </w:rPr>
              <w:t>86</w:t>
            </w:r>
            <w:r>
              <w:rPr>
                <w:sz w:val="18"/>
              </w:rPr>
              <w:t xml:space="preserve"> </w:t>
            </w:r>
            <w:r w:rsidRPr="000D1886">
              <w:rPr>
                <w:sz w:val="18"/>
              </w:rPr>
              <w:t>604</w:t>
            </w:r>
            <w:r>
              <w:rPr>
                <w:sz w:val="18"/>
              </w:rPr>
              <w:t>,</w:t>
            </w:r>
            <w:r w:rsidRPr="000D1886">
              <w:rPr>
                <w:sz w:val="18"/>
              </w:rPr>
              <w:t>420</w:t>
            </w:r>
          </w:p>
        </w:tc>
        <w:tc>
          <w:tcPr>
            <w:tcW w:w="1985" w:type="dxa"/>
            <w:shd w:val="clear" w:color="auto" w:fill="auto"/>
            <w:vAlign w:val="bottom"/>
          </w:tcPr>
          <w:p w:rsidR="00CB399B" w:rsidRPr="000D1886" w:rsidRDefault="00CB399B" w:rsidP="00936522">
            <w:pPr>
              <w:suppressAutoHyphens w:val="0"/>
              <w:spacing w:before="40" w:after="40" w:line="220" w:lineRule="exact"/>
              <w:jc w:val="right"/>
              <w:rPr>
                <w:sz w:val="18"/>
              </w:rPr>
            </w:pPr>
            <w:r w:rsidRPr="000D1886">
              <w:rPr>
                <w:sz w:val="18"/>
              </w:rPr>
              <w:t>140</w:t>
            </w:r>
            <w:r>
              <w:rPr>
                <w:sz w:val="18"/>
              </w:rPr>
              <w:t xml:space="preserve"> </w:t>
            </w:r>
            <w:r w:rsidRPr="000D1886">
              <w:rPr>
                <w:sz w:val="18"/>
              </w:rPr>
              <w:t>631</w:t>
            </w:r>
            <w:r>
              <w:rPr>
                <w:sz w:val="18"/>
              </w:rPr>
              <w:t>,</w:t>
            </w:r>
            <w:r w:rsidRPr="000D1886">
              <w:rPr>
                <w:sz w:val="18"/>
              </w:rPr>
              <w:t>822</w:t>
            </w:r>
          </w:p>
        </w:tc>
      </w:tr>
      <w:tr w:rsidR="00CB399B" w:rsidRPr="000D1886" w:rsidTr="00F40792">
        <w:tblPrEx>
          <w:tblCellMar>
            <w:top w:w="0" w:type="dxa"/>
            <w:bottom w:w="0" w:type="dxa"/>
          </w:tblCellMar>
        </w:tblPrEx>
        <w:trPr>
          <w:trHeight w:val="210"/>
        </w:trPr>
        <w:tc>
          <w:tcPr>
            <w:tcW w:w="567" w:type="dxa"/>
            <w:tcBorders>
              <w:bottom w:val="nil"/>
            </w:tcBorders>
            <w:shd w:val="clear" w:color="auto" w:fill="auto"/>
          </w:tcPr>
          <w:p w:rsidR="00CB399B" w:rsidRPr="000D1886" w:rsidRDefault="00CB399B" w:rsidP="00936522">
            <w:pPr>
              <w:spacing w:before="40" w:after="40" w:line="220" w:lineRule="exact"/>
              <w:rPr>
                <w:sz w:val="18"/>
              </w:rPr>
            </w:pPr>
            <w:r w:rsidRPr="000D1886">
              <w:rPr>
                <w:sz w:val="18"/>
              </w:rPr>
              <w:t>3</w:t>
            </w:r>
          </w:p>
        </w:tc>
        <w:tc>
          <w:tcPr>
            <w:tcW w:w="2835" w:type="dxa"/>
            <w:tcBorders>
              <w:bottom w:val="nil"/>
            </w:tcBorders>
            <w:shd w:val="clear" w:color="auto" w:fill="auto"/>
            <w:vAlign w:val="bottom"/>
          </w:tcPr>
          <w:p w:rsidR="00CB399B" w:rsidRPr="000D1886" w:rsidRDefault="00CB399B" w:rsidP="00936522">
            <w:pPr>
              <w:suppressAutoHyphens w:val="0"/>
              <w:spacing w:before="40" w:after="40" w:line="220" w:lineRule="exact"/>
              <w:rPr>
                <w:sz w:val="18"/>
              </w:rPr>
            </w:pPr>
            <w:r w:rsidRPr="000D1886">
              <w:rPr>
                <w:sz w:val="18"/>
              </w:rPr>
              <w:t>DFID</w:t>
            </w:r>
          </w:p>
        </w:tc>
        <w:tc>
          <w:tcPr>
            <w:tcW w:w="1985" w:type="dxa"/>
            <w:tcBorders>
              <w:bottom w:val="nil"/>
            </w:tcBorders>
            <w:shd w:val="clear" w:color="auto" w:fill="auto"/>
            <w:vAlign w:val="bottom"/>
          </w:tcPr>
          <w:p w:rsidR="00CB399B" w:rsidRPr="000D1886" w:rsidRDefault="00CB399B" w:rsidP="00936522">
            <w:pPr>
              <w:suppressAutoHyphens w:val="0"/>
              <w:spacing w:before="40" w:after="40" w:line="220" w:lineRule="exact"/>
              <w:jc w:val="right"/>
              <w:rPr>
                <w:sz w:val="18"/>
              </w:rPr>
            </w:pPr>
            <w:r w:rsidRPr="000D1886">
              <w:rPr>
                <w:sz w:val="18"/>
              </w:rPr>
              <w:t>89</w:t>
            </w:r>
            <w:r>
              <w:rPr>
                <w:sz w:val="18"/>
              </w:rPr>
              <w:t xml:space="preserve"> </w:t>
            </w:r>
            <w:r w:rsidRPr="000D1886">
              <w:rPr>
                <w:sz w:val="18"/>
              </w:rPr>
              <w:t>035</w:t>
            </w:r>
            <w:r>
              <w:rPr>
                <w:sz w:val="18"/>
              </w:rPr>
              <w:t>,</w:t>
            </w:r>
            <w:r w:rsidRPr="000D1886">
              <w:rPr>
                <w:sz w:val="18"/>
              </w:rPr>
              <w:t>757</w:t>
            </w:r>
          </w:p>
        </w:tc>
        <w:tc>
          <w:tcPr>
            <w:tcW w:w="1985" w:type="dxa"/>
            <w:tcBorders>
              <w:bottom w:val="nil"/>
            </w:tcBorders>
            <w:shd w:val="clear" w:color="auto" w:fill="auto"/>
            <w:vAlign w:val="bottom"/>
          </w:tcPr>
          <w:p w:rsidR="00CB399B" w:rsidRPr="000D1886" w:rsidRDefault="00CB399B" w:rsidP="00936522">
            <w:pPr>
              <w:suppressAutoHyphens w:val="0"/>
              <w:spacing w:before="40" w:after="40" w:line="220" w:lineRule="exact"/>
              <w:jc w:val="right"/>
              <w:rPr>
                <w:sz w:val="18"/>
              </w:rPr>
            </w:pPr>
            <w:r w:rsidRPr="000D1886">
              <w:rPr>
                <w:sz w:val="18"/>
              </w:rPr>
              <w:t>124</w:t>
            </w:r>
            <w:r>
              <w:rPr>
                <w:sz w:val="18"/>
              </w:rPr>
              <w:t xml:space="preserve"> </w:t>
            </w:r>
            <w:r w:rsidRPr="000D1886">
              <w:rPr>
                <w:sz w:val="18"/>
              </w:rPr>
              <w:t>127</w:t>
            </w:r>
            <w:r>
              <w:rPr>
                <w:sz w:val="18"/>
              </w:rPr>
              <w:t>,</w:t>
            </w:r>
            <w:r w:rsidRPr="000D1886">
              <w:rPr>
                <w:sz w:val="18"/>
              </w:rPr>
              <w:t>707</w:t>
            </w:r>
          </w:p>
        </w:tc>
      </w:tr>
      <w:tr w:rsidR="00CB399B" w:rsidRPr="000D1886" w:rsidTr="00F40792">
        <w:tblPrEx>
          <w:tblCellMar>
            <w:top w:w="0" w:type="dxa"/>
            <w:bottom w:w="0" w:type="dxa"/>
          </w:tblCellMar>
        </w:tblPrEx>
        <w:trPr>
          <w:trHeight w:val="210"/>
        </w:trPr>
        <w:tc>
          <w:tcPr>
            <w:tcW w:w="567" w:type="dxa"/>
            <w:tcBorders>
              <w:top w:val="nil"/>
              <w:bottom w:val="single" w:sz="12" w:space="0" w:color="auto"/>
            </w:tcBorders>
            <w:shd w:val="clear" w:color="auto" w:fill="auto"/>
          </w:tcPr>
          <w:p w:rsidR="00CB399B" w:rsidRPr="000D1886" w:rsidRDefault="00CB399B" w:rsidP="00936522">
            <w:pPr>
              <w:spacing w:before="40" w:after="40" w:line="220" w:lineRule="exact"/>
              <w:rPr>
                <w:sz w:val="18"/>
              </w:rPr>
            </w:pPr>
            <w:r w:rsidRPr="000D1886">
              <w:rPr>
                <w:sz w:val="18"/>
              </w:rPr>
              <w:t>4</w:t>
            </w:r>
          </w:p>
        </w:tc>
        <w:tc>
          <w:tcPr>
            <w:tcW w:w="2835" w:type="dxa"/>
            <w:tcBorders>
              <w:top w:val="nil"/>
              <w:bottom w:val="single" w:sz="12" w:space="0" w:color="auto"/>
            </w:tcBorders>
            <w:shd w:val="clear" w:color="auto" w:fill="auto"/>
            <w:vAlign w:val="bottom"/>
          </w:tcPr>
          <w:p w:rsidR="00CB399B" w:rsidRPr="000D1886" w:rsidRDefault="00CB399B" w:rsidP="00936522">
            <w:pPr>
              <w:suppressAutoHyphens w:val="0"/>
              <w:spacing w:before="40" w:after="40" w:line="220" w:lineRule="exact"/>
              <w:rPr>
                <w:sz w:val="18"/>
              </w:rPr>
            </w:pPr>
            <w:r w:rsidRPr="000D1886">
              <w:rPr>
                <w:sz w:val="18"/>
              </w:rPr>
              <w:t>Portefeuille du PNUD</w:t>
            </w:r>
          </w:p>
        </w:tc>
        <w:tc>
          <w:tcPr>
            <w:tcW w:w="1985" w:type="dxa"/>
            <w:tcBorders>
              <w:top w:val="nil"/>
              <w:bottom w:val="single" w:sz="12" w:space="0" w:color="auto"/>
            </w:tcBorders>
            <w:shd w:val="clear" w:color="auto" w:fill="auto"/>
            <w:vAlign w:val="bottom"/>
          </w:tcPr>
          <w:p w:rsidR="00CB399B" w:rsidRPr="000D1886" w:rsidRDefault="00CB399B" w:rsidP="00936522">
            <w:pPr>
              <w:suppressAutoHyphens w:val="0"/>
              <w:spacing w:before="40" w:after="40" w:line="220" w:lineRule="exact"/>
              <w:jc w:val="right"/>
              <w:rPr>
                <w:sz w:val="18"/>
              </w:rPr>
            </w:pPr>
            <w:r w:rsidRPr="000D1886">
              <w:rPr>
                <w:sz w:val="18"/>
              </w:rPr>
              <w:t>85</w:t>
            </w:r>
            <w:r>
              <w:rPr>
                <w:sz w:val="18"/>
              </w:rPr>
              <w:t xml:space="preserve"> </w:t>
            </w:r>
            <w:r w:rsidRPr="000D1886">
              <w:rPr>
                <w:sz w:val="18"/>
              </w:rPr>
              <w:t>713</w:t>
            </w:r>
            <w:r>
              <w:rPr>
                <w:sz w:val="18"/>
              </w:rPr>
              <w:t>,</w:t>
            </w:r>
            <w:r w:rsidRPr="000D1886">
              <w:rPr>
                <w:sz w:val="18"/>
              </w:rPr>
              <w:t>031</w:t>
            </w:r>
          </w:p>
        </w:tc>
        <w:tc>
          <w:tcPr>
            <w:tcW w:w="1985" w:type="dxa"/>
            <w:tcBorders>
              <w:top w:val="nil"/>
              <w:bottom w:val="single" w:sz="12" w:space="0" w:color="auto"/>
            </w:tcBorders>
            <w:shd w:val="clear" w:color="auto" w:fill="auto"/>
            <w:vAlign w:val="bottom"/>
          </w:tcPr>
          <w:p w:rsidR="00CB399B" w:rsidRPr="000D1886" w:rsidRDefault="00CB399B" w:rsidP="00936522">
            <w:pPr>
              <w:suppressAutoHyphens w:val="0"/>
              <w:spacing w:before="40" w:after="40" w:line="220" w:lineRule="exact"/>
              <w:jc w:val="right"/>
              <w:rPr>
                <w:sz w:val="18"/>
              </w:rPr>
            </w:pPr>
            <w:r w:rsidRPr="000D1886">
              <w:rPr>
                <w:sz w:val="18"/>
              </w:rPr>
              <w:t>57</w:t>
            </w:r>
            <w:r>
              <w:rPr>
                <w:sz w:val="18"/>
              </w:rPr>
              <w:t xml:space="preserve"> </w:t>
            </w:r>
            <w:r w:rsidRPr="000D1886">
              <w:rPr>
                <w:sz w:val="18"/>
              </w:rPr>
              <w:t>658</w:t>
            </w:r>
            <w:r>
              <w:rPr>
                <w:sz w:val="18"/>
              </w:rPr>
              <w:t>,</w:t>
            </w:r>
            <w:r w:rsidRPr="000D1886">
              <w:rPr>
                <w:sz w:val="18"/>
              </w:rPr>
              <w:t>218</w:t>
            </w:r>
          </w:p>
        </w:tc>
      </w:tr>
    </w:tbl>
    <w:p w:rsidR="00CB399B" w:rsidRPr="00BE7C41" w:rsidRDefault="00CB399B" w:rsidP="00CB399B">
      <w:pPr>
        <w:pStyle w:val="Heading1"/>
        <w:spacing w:before="120" w:after="240"/>
        <w:ind w:right="1134" w:firstLine="170"/>
        <w:rPr>
          <w:sz w:val="18"/>
          <w:szCs w:val="18"/>
        </w:rPr>
      </w:pPr>
      <w:r w:rsidRPr="00BE7C41">
        <w:rPr>
          <w:i/>
          <w:sz w:val="18"/>
          <w:szCs w:val="18"/>
        </w:rPr>
        <w:t>Source</w:t>
      </w:r>
      <w:r w:rsidRPr="00BE7C41">
        <w:rPr>
          <w:sz w:val="18"/>
          <w:szCs w:val="18"/>
        </w:rPr>
        <w:t>: CEPEX.</w:t>
      </w:r>
    </w:p>
    <w:p w:rsidR="00CB399B" w:rsidRPr="009B6952" w:rsidRDefault="00CB399B" w:rsidP="00CB399B">
      <w:pPr>
        <w:pStyle w:val="SingleTxtG"/>
        <w:ind w:firstLine="567"/>
      </w:pPr>
      <w:r>
        <w:t>a)</w:t>
      </w:r>
      <w:r>
        <w:tab/>
      </w:r>
      <w:r w:rsidRPr="009B6952">
        <w:t>Le portefeuille de l</w:t>
      </w:r>
      <w:r w:rsidR="00B861F1">
        <w:t>’</w:t>
      </w:r>
      <w:r w:rsidRPr="009B6952">
        <w:t>USAID comprend entre autres le financement en matière d</w:t>
      </w:r>
      <w:r>
        <w:t>e santé avec les programmes VIH/s</w:t>
      </w:r>
      <w:r w:rsidRPr="009B6952">
        <w:t>ida, le programme anti-malaria (President</w:t>
      </w:r>
      <w:r w:rsidR="00B861F1">
        <w:t>’</w:t>
      </w:r>
      <w:r w:rsidRPr="009B6952">
        <w:t>s malaria initiative) et la santé maternelle et infantile; le financement pour les programmes des enfants et orphelins vulnérables ainsi que le projet de conservation des ressource</w:t>
      </w:r>
      <w:r>
        <w:t>s naturelles et de la biodiversité;</w:t>
      </w:r>
    </w:p>
    <w:p w:rsidR="00CB399B" w:rsidRPr="009B6952" w:rsidRDefault="00CB399B" w:rsidP="00CB399B">
      <w:pPr>
        <w:pStyle w:val="SingleTxtG"/>
        <w:ind w:firstLine="567"/>
      </w:pPr>
      <w:r>
        <w:t>b)</w:t>
      </w:r>
      <w:r>
        <w:tab/>
      </w:r>
      <w:r w:rsidRPr="009B6952">
        <w:t>Les financements de la Coopération belge ont assuré le droit à la santé en 2008 par l</w:t>
      </w:r>
      <w:r w:rsidR="00B861F1">
        <w:t>’</w:t>
      </w:r>
      <w:r w:rsidRPr="009B6952">
        <w:t>appui au système de santé en général (appui aux écoles d</w:t>
      </w:r>
      <w:r w:rsidR="00B861F1">
        <w:t>’</w:t>
      </w:r>
      <w:r w:rsidRPr="009B6952">
        <w:t>infirmerie, à la lutte contre la malaria, renforcement du secteur santé en général);</w:t>
      </w:r>
    </w:p>
    <w:p w:rsidR="00CB399B" w:rsidRPr="009B6952" w:rsidRDefault="00CB399B" w:rsidP="00CB399B">
      <w:pPr>
        <w:pStyle w:val="SingleTxtG"/>
        <w:ind w:firstLine="567"/>
      </w:pPr>
      <w:r>
        <w:t>c)</w:t>
      </w:r>
      <w:r>
        <w:tab/>
      </w:r>
      <w:r w:rsidRPr="009B6952">
        <w:t>Les projets du DFID ont porté en 2008 sur l</w:t>
      </w:r>
      <w:r w:rsidR="00B861F1">
        <w:t>’</w:t>
      </w:r>
      <w:r w:rsidRPr="009B6952">
        <w:t xml:space="preserve">assistance aux personnes vulnérables et </w:t>
      </w:r>
      <w:r>
        <w:t>aux</w:t>
      </w:r>
      <w:r w:rsidRPr="009B6952">
        <w:t xml:space="preserve"> services d</w:t>
      </w:r>
      <w:r w:rsidR="00B861F1">
        <w:t>’</w:t>
      </w:r>
      <w:r w:rsidRPr="009B6952">
        <w:t>appui</w:t>
      </w:r>
      <w:r>
        <w:t xml:space="preserve"> aux personnes infectées du VIH/</w:t>
      </w:r>
      <w:r w:rsidRPr="009B6952">
        <w:t>sida ainsi qu</w:t>
      </w:r>
      <w:r w:rsidR="00B861F1">
        <w:t>’</w:t>
      </w:r>
      <w:r>
        <w:t xml:space="preserve">à </w:t>
      </w:r>
      <w:r w:rsidRPr="009B6952">
        <w:t xml:space="preserve">leurs familles; </w:t>
      </w:r>
    </w:p>
    <w:p w:rsidR="00CB399B" w:rsidRPr="009B6952" w:rsidRDefault="00CB399B" w:rsidP="00CB399B">
      <w:pPr>
        <w:pStyle w:val="SingleTxtG"/>
        <w:ind w:firstLine="567"/>
      </w:pPr>
      <w:r>
        <w:t>d)</w:t>
      </w:r>
      <w:r>
        <w:tab/>
      </w:r>
      <w:r w:rsidRPr="009B6952">
        <w:t xml:space="preserve">Le portefeuille des Nations Unies touche </w:t>
      </w:r>
      <w:r>
        <w:t xml:space="preserve">de </w:t>
      </w:r>
      <w:r w:rsidRPr="009B6952">
        <w:t>multiples secteurs d</w:t>
      </w:r>
      <w:r>
        <w:t>u</w:t>
      </w:r>
      <w:r w:rsidRPr="009B6952">
        <w:t xml:space="preserve"> développement (allant de l</w:t>
      </w:r>
      <w:r w:rsidR="00B861F1">
        <w:t>’</w:t>
      </w:r>
      <w:r w:rsidRPr="009B6952">
        <w:t>appui à la bonne gestion de la terre, à la mise à exécution des programmes de décentralisation en passant par le renforcement des institutions étatiques pour ne citer que ceux-là).</w:t>
      </w:r>
      <w:r>
        <w:t xml:space="preserve"> </w:t>
      </w:r>
    </w:p>
    <w:p w:rsidR="00CB399B" w:rsidRPr="009B6952" w:rsidRDefault="00CB399B" w:rsidP="00CB399B">
      <w:pPr>
        <w:pStyle w:val="SingleTxtG"/>
      </w:pPr>
      <w:r>
        <w:t>47</w:t>
      </w:r>
      <w:r w:rsidRPr="009B6952">
        <w:t>.</w:t>
      </w:r>
      <w:r w:rsidRPr="009B6952">
        <w:tab/>
      </w:r>
      <w:r w:rsidRPr="009B6952">
        <w:rPr>
          <w:b/>
        </w:rPr>
        <w:t>La coopération régionale</w:t>
      </w:r>
      <w:r w:rsidRPr="009B6952">
        <w:t xml:space="preserve"> (États d</w:t>
      </w:r>
      <w:r w:rsidR="00B861F1">
        <w:t>’</w:t>
      </w:r>
      <w:r w:rsidRPr="009B6952">
        <w:t>Afrique de l</w:t>
      </w:r>
      <w:r w:rsidR="00B861F1">
        <w:t>’</w:t>
      </w:r>
      <w:r w:rsidRPr="009B6952">
        <w:t>Est) tend aussi à promouvoir l</w:t>
      </w:r>
      <w:r w:rsidR="00B861F1">
        <w:t>’</w:t>
      </w:r>
      <w:r w:rsidRPr="009B6952">
        <w:t xml:space="preserve">exercice des droits </w:t>
      </w:r>
      <w:r>
        <w:t xml:space="preserve">découlant </w:t>
      </w:r>
      <w:r w:rsidRPr="009B6952">
        <w:t xml:space="preserve">du présent Pacte. La libre mobilité des travailleurs des pays </w:t>
      </w:r>
      <w:r>
        <w:t>d</w:t>
      </w:r>
      <w:r w:rsidR="00B861F1">
        <w:t>’</w:t>
      </w:r>
      <w:r>
        <w:t xml:space="preserve">Afrique </w:t>
      </w:r>
      <w:r w:rsidRPr="009B6952">
        <w:t>de l</w:t>
      </w:r>
      <w:r w:rsidR="00B861F1">
        <w:t>’</w:t>
      </w:r>
      <w:r w:rsidRPr="009B6952">
        <w:t>Est a en vue l</w:t>
      </w:r>
      <w:r w:rsidR="00B861F1">
        <w:t>’</w:t>
      </w:r>
      <w:r w:rsidRPr="009B6952">
        <w:t>exercice des droits prévus dans ce Pacte.</w:t>
      </w:r>
    </w:p>
    <w:p w:rsidR="00CB399B" w:rsidRPr="009B6952" w:rsidRDefault="00CB399B" w:rsidP="00CB399B">
      <w:pPr>
        <w:pStyle w:val="SingleTxtG"/>
      </w:pPr>
      <w:r>
        <w:t>48</w:t>
      </w:r>
      <w:r w:rsidRPr="009B6952">
        <w:t>.</w:t>
      </w:r>
      <w:r w:rsidRPr="009B6952">
        <w:tab/>
        <w:t xml:space="preserve">Le </w:t>
      </w:r>
      <w:r>
        <w:t>P</w:t>
      </w:r>
      <w:r w:rsidRPr="009B6952">
        <w:t>artenariat pour le développement de l</w:t>
      </w:r>
      <w:r w:rsidR="00B861F1">
        <w:t>’</w:t>
      </w:r>
      <w:r w:rsidRPr="009B6952">
        <w:t>Afrique (NEPAD) permet aussi que des stratégies, comme celle de la santé par exemple, continuent d</w:t>
      </w:r>
      <w:r w:rsidR="00B861F1">
        <w:t>’</w:t>
      </w:r>
      <w:r w:rsidRPr="009B6952">
        <w:t>être renforcées. L</w:t>
      </w:r>
      <w:r w:rsidR="00B861F1">
        <w:t>’</w:t>
      </w:r>
      <w:r w:rsidRPr="009B6952">
        <w:t xml:space="preserve">objectif du NEPAD est aussi </w:t>
      </w:r>
      <w:r>
        <w:t xml:space="preserve">de </w:t>
      </w:r>
      <w:r w:rsidRPr="009B6952">
        <w:t>restaurer la croissance agricole et la sécurité alimentaire.</w:t>
      </w:r>
      <w:r>
        <w:t xml:space="preserve"> </w:t>
      </w:r>
    </w:p>
    <w:p w:rsidR="00CB399B" w:rsidRPr="009B6952" w:rsidRDefault="00CB399B" w:rsidP="00CB399B">
      <w:pPr>
        <w:pStyle w:val="H1G"/>
      </w:pPr>
      <w:r>
        <w:tab/>
        <w:t>B.</w:t>
      </w:r>
      <w:r>
        <w:tab/>
      </w:r>
      <w:r w:rsidRPr="009B6952">
        <w:t xml:space="preserve">Les droits précis </w:t>
      </w:r>
    </w:p>
    <w:p w:rsidR="00CB399B" w:rsidRPr="009B6952" w:rsidRDefault="00CB399B" w:rsidP="00CB399B">
      <w:pPr>
        <w:pStyle w:val="H23G"/>
      </w:pPr>
      <w:r>
        <w:tab/>
      </w:r>
      <w:r w:rsidRPr="009B6952">
        <w:t>1.</w:t>
      </w:r>
      <w:r w:rsidRPr="009B6952">
        <w:tab/>
        <w:t>Art</w:t>
      </w:r>
      <w:r>
        <w:t xml:space="preserve">icle </w:t>
      </w:r>
      <w:r w:rsidRPr="009B6952">
        <w:t>6: Du droit au travail</w:t>
      </w:r>
    </w:p>
    <w:p w:rsidR="00CB399B" w:rsidRPr="009B6952" w:rsidRDefault="00CB399B" w:rsidP="00CB399B">
      <w:pPr>
        <w:pStyle w:val="H4G"/>
      </w:pPr>
      <w:r>
        <w:tab/>
      </w:r>
      <w:r>
        <w:tab/>
      </w:r>
      <w:r w:rsidRPr="009B6952">
        <w:t>Les renseignements sur le niveau et</w:t>
      </w:r>
      <w:r>
        <w:t xml:space="preserve"> la </w:t>
      </w:r>
      <w:r w:rsidRPr="009B6952">
        <w:t>situation de l</w:t>
      </w:r>
      <w:r w:rsidR="00B861F1">
        <w:t>’</w:t>
      </w:r>
      <w:r w:rsidRPr="009B6952">
        <w:t xml:space="preserve">emploi </w:t>
      </w:r>
    </w:p>
    <w:p w:rsidR="00CB399B" w:rsidRDefault="00CB399B" w:rsidP="00CB399B">
      <w:pPr>
        <w:pStyle w:val="SingleTxtG"/>
      </w:pPr>
      <w:r>
        <w:t>49</w:t>
      </w:r>
      <w:r w:rsidRPr="002C0B21">
        <w:t>.</w:t>
      </w:r>
      <w:r w:rsidRPr="002C0B21">
        <w:tab/>
      </w:r>
      <w:r>
        <w:t>Ci-dessous quelques</w:t>
      </w:r>
      <w:r w:rsidRPr="009B6952">
        <w:t xml:space="preserve"> indicateurs de la situation de l</w:t>
      </w:r>
      <w:r w:rsidR="00B861F1">
        <w:t>’</w:t>
      </w:r>
      <w:r w:rsidRPr="009B6952">
        <w:t>emploi au Rwanda</w:t>
      </w:r>
      <w:r>
        <w:t>.</w:t>
      </w:r>
    </w:p>
    <w:p w:rsidR="00CB399B" w:rsidRDefault="00CB399B" w:rsidP="00F917CF">
      <w:pPr>
        <w:pStyle w:val="Heading1"/>
        <w:spacing w:after="120"/>
      </w:pPr>
      <w:r w:rsidRPr="009B6952">
        <w:t>Table</w:t>
      </w:r>
      <w:r>
        <w:t>au 4</w:t>
      </w:r>
    </w:p>
    <w:tbl>
      <w:tblPr>
        <w:tblW w:w="0" w:type="auto"/>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4763"/>
        <w:gridCol w:w="1304"/>
        <w:gridCol w:w="1304"/>
      </w:tblGrid>
      <w:tr w:rsidR="00CB399B" w:rsidRPr="002C0B21" w:rsidTr="00F40792">
        <w:trPr>
          <w:trHeight w:val="113"/>
          <w:tblHeader/>
        </w:trPr>
        <w:tc>
          <w:tcPr>
            <w:tcW w:w="4763" w:type="dxa"/>
            <w:tcBorders>
              <w:top w:val="single" w:sz="4" w:space="0" w:color="auto"/>
              <w:bottom w:val="single" w:sz="12" w:space="0" w:color="auto"/>
            </w:tcBorders>
            <w:shd w:val="clear" w:color="auto" w:fill="auto"/>
            <w:vAlign w:val="bottom"/>
          </w:tcPr>
          <w:p w:rsidR="00CB399B" w:rsidRPr="002C0B21" w:rsidRDefault="00CB399B" w:rsidP="00F917CF">
            <w:pPr>
              <w:keepNext/>
              <w:suppressAutoHyphens w:val="0"/>
              <w:spacing w:before="80" w:after="80" w:line="200" w:lineRule="exact"/>
              <w:ind w:right="113"/>
              <w:rPr>
                <w:i/>
                <w:sz w:val="16"/>
              </w:rPr>
            </w:pPr>
            <w:r w:rsidRPr="002C0B21">
              <w:rPr>
                <w:i/>
                <w:sz w:val="16"/>
              </w:rPr>
              <w:t>Secteur d</w:t>
            </w:r>
            <w:r w:rsidR="00B861F1">
              <w:rPr>
                <w:i/>
                <w:sz w:val="16"/>
              </w:rPr>
              <w:t>’</w:t>
            </w:r>
            <w:r w:rsidRPr="002C0B21">
              <w:rPr>
                <w:i/>
                <w:sz w:val="16"/>
              </w:rPr>
              <w:t>emploi/Type d</w:t>
            </w:r>
            <w:r w:rsidR="00B861F1">
              <w:rPr>
                <w:i/>
                <w:sz w:val="16"/>
              </w:rPr>
              <w:t>’</w:t>
            </w:r>
            <w:r w:rsidRPr="002C0B21">
              <w:rPr>
                <w:i/>
                <w:sz w:val="16"/>
              </w:rPr>
              <w:t>emploi/Région</w:t>
            </w:r>
          </w:p>
        </w:tc>
        <w:tc>
          <w:tcPr>
            <w:tcW w:w="1304" w:type="dxa"/>
            <w:gridSpan w:val="2"/>
            <w:tcBorders>
              <w:top w:val="single" w:sz="4" w:space="0" w:color="auto"/>
              <w:bottom w:val="single" w:sz="12" w:space="0" w:color="auto"/>
            </w:tcBorders>
            <w:shd w:val="clear" w:color="auto" w:fill="auto"/>
            <w:vAlign w:val="bottom"/>
          </w:tcPr>
          <w:p w:rsidR="00CB399B" w:rsidRPr="002C0B21" w:rsidRDefault="00CB399B" w:rsidP="00F917CF">
            <w:pPr>
              <w:keepNext/>
              <w:spacing w:before="80" w:after="80" w:line="200" w:lineRule="exact"/>
              <w:jc w:val="right"/>
              <w:rPr>
                <w:i/>
                <w:sz w:val="16"/>
              </w:rPr>
            </w:pPr>
            <w:r w:rsidRPr="002C0B21">
              <w:rPr>
                <w:i/>
                <w:sz w:val="16"/>
              </w:rPr>
              <w:t>2007</w:t>
            </w:r>
          </w:p>
        </w:tc>
      </w:tr>
      <w:tr w:rsidR="00CB399B" w:rsidRPr="002C0B21" w:rsidTr="00F40792">
        <w:trPr>
          <w:trHeight w:val="300"/>
        </w:trPr>
        <w:tc>
          <w:tcPr>
            <w:tcW w:w="4763" w:type="dxa"/>
            <w:vMerge w:val="restart"/>
            <w:tcBorders>
              <w:top w:val="single" w:sz="12" w:space="0" w:color="auto"/>
            </w:tcBorders>
            <w:shd w:val="clear" w:color="auto" w:fill="auto"/>
          </w:tcPr>
          <w:p w:rsidR="00CB399B" w:rsidRPr="002C0B21" w:rsidRDefault="00CB399B" w:rsidP="00F917CF">
            <w:pPr>
              <w:keepNext/>
              <w:spacing w:before="40" w:after="40" w:line="220" w:lineRule="exact"/>
              <w:rPr>
                <w:sz w:val="18"/>
              </w:rPr>
            </w:pPr>
            <w:r w:rsidRPr="002C0B21">
              <w:rPr>
                <w:sz w:val="18"/>
              </w:rPr>
              <w:t>Agriculture</w:t>
            </w:r>
          </w:p>
        </w:tc>
        <w:tc>
          <w:tcPr>
            <w:tcW w:w="1304" w:type="dxa"/>
            <w:gridSpan w:val="2"/>
            <w:tcBorders>
              <w:top w:val="single" w:sz="12" w:space="0" w:color="auto"/>
            </w:tcBorders>
            <w:shd w:val="clear" w:color="auto" w:fill="auto"/>
            <w:vAlign w:val="bottom"/>
          </w:tcPr>
          <w:p w:rsidR="00CB399B" w:rsidRPr="002C0B21" w:rsidRDefault="00CB399B" w:rsidP="00F917CF">
            <w:pPr>
              <w:keepNext/>
              <w:suppressAutoHyphens w:val="0"/>
              <w:spacing w:before="40" w:after="40" w:line="220" w:lineRule="exact"/>
              <w:jc w:val="right"/>
              <w:rPr>
                <w:sz w:val="18"/>
              </w:rPr>
            </w:pPr>
            <w:r w:rsidRPr="002C0B21">
              <w:rPr>
                <w:sz w:val="18"/>
              </w:rPr>
              <w:t>68</w:t>
            </w:r>
            <w:r>
              <w:rPr>
                <w:sz w:val="18"/>
              </w:rPr>
              <w:t>,</w:t>
            </w:r>
            <w:r w:rsidRPr="002C0B21">
              <w:rPr>
                <w:sz w:val="18"/>
              </w:rPr>
              <w:t>1 %</w:t>
            </w:r>
          </w:p>
        </w:tc>
      </w:tr>
      <w:tr w:rsidR="00CB399B" w:rsidRPr="002C0B21" w:rsidTr="00F40792">
        <w:trPr>
          <w:trHeight w:val="102"/>
        </w:trPr>
        <w:tc>
          <w:tcPr>
            <w:tcW w:w="4763" w:type="dxa"/>
            <w:vMerge/>
            <w:shd w:val="clear" w:color="auto" w:fill="auto"/>
          </w:tcPr>
          <w:p w:rsidR="00CB399B" w:rsidRPr="002C0B21" w:rsidRDefault="00CB399B" w:rsidP="00F917CF">
            <w:pPr>
              <w:keepNext/>
              <w:suppressAutoHyphens w:val="0"/>
              <w:spacing w:before="40" w:after="40" w:line="220" w:lineRule="exact"/>
              <w:rPr>
                <w:sz w:val="18"/>
              </w:rPr>
            </w:pPr>
          </w:p>
        </w:tc>
        <w:tc>
          <w:tcPr>
            <w:tcW w:w="1304" w:type="dxa"/>
            <w:shd w:val="clear" w:color="auto" w:fill="auto"/>
            <w:vAlign w:val="bottom"/>
          </w:tcPr>
          <w:p w:rsidR="00CB399B" w:rsidRPr="002C0B21" w:rsidRDefault="00CB399B" w:rsidP="00F917CF">
            <w:pPr>
              <w:keepNext/>
              <w:suppressAutoHyphens w:val="0"/>
              <w:spacing w:before="40" w:after="40" w:line="220" w:lineRule="exact"/>
              <w:jc w:val="right"/>
              <w:rPr>
                <w:sz w:val="18"/>
              </w:rPr>
            </w:pPr>
            <w:r w:rsidRPr="002C0B21">
              <w:rPr>
                <w:sz w:val="18"/>
              </w:rPr>
              <w:t>Femmes</w:t>
            </w:r>
            <w:r w:rsidRPr="003036A3">
              <w:rPr>
                <w:i/>
                <w:sz w:val="18"/>
                <w:vertAlign w:val="superscript"/>
              </w:rPr>
              <w:footnoteReference w:id="34"/>
            </w:r>
          </w:p>
        </w:tc>
        <w:tc>
          <w:tcPr>
            <w:tcW w:w="1304" w:type="dxa"/>
            <w:shd w:val="clear" w:color="auto" w:fill="auto"/>
            <w:vAlign w:val="bottom"/>
          </w:tcPr>
          <w:p w:rsidR="00CB399B" w:rsidRPr="002C0B21" w:rsidRDefault="00CB399B" w:rsidP="00F917CF">
            <w:pPr>
              <w:keepNext/>
              <w:suppressAutoHyphens w:val="0"/>
              <w:spacing w:before="40" w:after="40" w:line="220" w:lineRule="exact"/>
              <w:jc w:val="right"/>
              <w:rPr>
                <w:sz w:val="18"/>
              </w:rPr>
            </w:pPr>
            <w:r w:rsidRPr="002C0B21">
              <w:rPr>
                <w:sz w:val="18"/>
              </w:rPr>
              <w:t>Hommes</w:t>
            </w:r>
          </w:p>
        </w:tc>
      </w:tr>
      <w:tr w:rsidR="00CB399B" w:rsidRPr="002C0B21" w:rsidTr="00F40792">
        <w:trPr>
          <w:trHeight w:val="135"/>
        </w:trPr>
        <w:tc>
          <w:tcPr>
            <w:tcW w:w="4763" w:type="dxa"/>
            <w:vMerge/>
            <w:shd w:val="clear" w:color="auto" w:fill="auto"/>
          </w:tcPr>
          <w:p w:rsidR="00CB399B" w:rsidRPr="002C0B21" w:rsidRDefault="00CB399B" w:rsidP="003036A3">
            <w:pPr>
              <w:suppressAutoHyphens w:val="0"/>
              <w:spacing w:before="40" w:after="40" w:line="220" w:lineRule="exact"/>
              <w:rPr>
                <w:sz w:val="18"/>
              </w:rPr>
            </w:pPr>
          </w:p>
        </w:tc>
        <w:tc>
          <w:tcPr>
            <w:tcW w:w="1304" w:type="dxa"/>
            <w:shd w:val="clear" w:color="auto" w:fill="auto"/>
            <w:vAlign w:val="bottom"/>
          </w:tcPr>
          <w:p w:rsidR="00CB399B" w:rsidRPr="002C0B21" w:rsidRDefault="00CB399B" w:rsidP="003036A3">
            <w:pPr>
              <w:suppressAutoHyphens w:val="0"/>
              <w:spacing w:before="40" w:after="40" w:line="220" w:lineRule="exact"/>
              <w:jc w:val="right"/>
              <w:rPr>
                <w:sz w:val="18"/>
              </w:rPr>
            </w:pPr>
            <w:r w:rsidRPr="002C0B21">
              <w:rPr>
                <w:sz w:val="18"/>
              </w:rPr>
              <w:t xml:space="preserve">97,18 % </w:t>
            </w:r>
          </w:p>
        </w:tc>
        <w:tc>
          <w:tcPr>
            <w:tcW w:w="1304" w:type="dxa"/>
            <w:shd w:val="clear" w:color="auto" w:fill="auto"/>
            <w:vAlign w:val="bottom"/>
          </w:tcPr>
          <w:p w:rsidR="00CB399B" w:rsidRPr="002C0B21" w:rsidRDefault="00CB399B" w:rsidP="003036A3">
            <w:pPr>
              <w:suppressAutoHyphens w:val="0"/>
              <w:spacing w:before="40" w:after="40" w:line="220" w:lineRule="exact"/>
              <w:jc w:val="right"/>
              <w:rPr>
                <w:sz w:val="18"/>
              </w:rPr>
            </w:pPr>
            <w:r w:rsidRPr="002C0B21">
              <w:rPr>
                <w:sz w:val="18"/>
              </w:rPr>
              <w:t xml:space="preserve">90,19 % </w:t>
            </w:r>
          </w:p>
        </w:tc>
      </w:tr>
      <w:tr w:rsidR="00CB399B" w:rsidRPr="002C0B21" w:rsidTr="00F40792">
        <w:trPr>
          <w:trHeight w:val="285"/>
        </w:trPr>
        <w:tc>
          <w:tcPr>
            <w:tcW w:w="4763" w:type="dxa"/>
            <w:shd w:val="clear" w:color="auto" w:fill="auto"/>
          </w:tcPr>
          <w:p w:rsidR="00CB399B" w:rsidRPr="002C0B21" w:rsidRDefault="00CB399B" w:rsidP="003036A3">
            <w:pPr>
              <w:spacing w:before="40" w:after="40" w:line="220" w:lineRule="exact"/>
              <w:rPr>
                <w:sz w:val="18"/>
              </w:rPr>
            </w:pPr>
            <w:r w:rsidRPr="002C0B21">
              <w:rPr>
                <w:sz w:val="18"/>
              </w:rPr>
              <w:t xml:space="preserve">Travailleurs autonomes </w:t>
            </w:r>
          </w:p>
        </w:tc>
        <w:tc>
          <w:tcPr>
            <w:tcW w:w="1304" w:type="dxa"/>
            <w:gridSpan w:val="2"/>
            <w:shd w:val="clear" w:color="auto" w:fill="auto"/>
            <w:vAlign w:val="bottom"/>
          </w:tcPr>
          <w:p w:rsidR="00CB399B" w:rsidRPr="002C0B21" w:rsidRDefault="00CB399B" w:rsidP="003036A3">
            <w:pPr>
              <w:suppressAutoHyphens w:val="0"/>
              <w:spacing w:before="40" w:after="40" w:line="220" w:lineRule="exact"/>
              <w:jc w:val="right"/>
              <w:rPr>
                <w:sz w:val="18"/>
              </w:rPr>
            </w:pPr>
            <w:r w:rsidRPr="002C0B21">
              <w:rPr>
                <w:sz w:val="18"/>
              </w:rPr>
              <w:t>5</w:t>
            </w:r>
            <w:r>
              <w:rPr>
                <w:sz w:val="18"/>
              </w:rPr>
              <w:t>,</w:t>
            </w:r>
            <w:r w:rsidRPr="002C0B21">
              <w:rPr>
                <w:sz w:val="18"/>
              </w:rPr>
              <w:t xml:space="preserve">1 % </w:t>
            </w:r>
          </w:p>
        </w:tc>
      </w:tr>
      <w:tr w:rsidR="00CB399B" w:rsidRPr="002C0B21" w:rsidTr="00F40792">
        <w:trPr>
          <w:trHeight w:val="285"/>
        </w:trPr>
        <w:tc>
          <w:tcPr>
            <w:tcW w:w="4763" w:type="dxa"/>
            <w:shd w:val="clear" w:color="auto" w:fill="auto"/>
          </w:tcPr>
          <w:p w:rsidR="00CB399B" w:rsidRPr="002C0B21" w:rsidRDefault="00CB399B" w:rsidP="003036A3">
            <w:pPr>
              <w:spacing w:before="40" w:after="40" w:line="220" w:lineRule="exact"/>
              <w:rPr>
                <w:sz w:val="18"/>
              </w:rPr>
            </w:pPr>
            <w:r w:rsidRPr="002C0B21">
              <w:rPr>
                <w:sz w:val="18"/>
              </w:rPr>
              <w:t>Les travailleurs salariés</w:t>
            </w:r>
          </w:p>
        </w:tc>
        <w:tc>
          <w:tcPr>
            <w:tcW w:w="1304" w:type="dxa"/>
            <w:gridSpan w:val="2"/>
            <w:shd w:val="clear" w:color="auto" w:fill="auto"/>
            <w:vAlign w:val="bottom"/>
          </w:tcPr>
          <w:p w:rsidR="00CB399B" w:rsidRPr="002C0B21" w:rsidRDefault="00CB399B" w:rsidP="003036A3">
            <w:pPr>
              <w:suppressAutoHyphens w:val="0"/>
              <w:spacing w:before="40" w:after="40" w:line="220" w:lineRule="exact"/>
              <w:jc w:val="right"/>
              <w:rPr>
                <w:sz w:val="18"/>
              </w:rPr>
            </w:pPr>
            <w:r w:rsidRPr="002C0B21">
              <w:rPr>
                <w:sz w:val="18"/>
              </w:rPr>
              <w:t>7</w:t>
            </w:r>
            <w:r>
              <w:rPr>
                <w:sz w:val="18"/>
              </w:rPr>
              <w:t>,</w:t>
            </w:r>
            <w:r w:rsidRPr="002C0B21">
              <w:rPr>
                <w:sz w:val="18"/>
              </w:rPr>
              <w:t xml:space="preserve">5 % </w:t>
            </w:r>
          </w:p>
        </w:tc>
      </w:tr>
      <w:tr w:rsidR="00CB399B" w:rsidRPr="002C0B21" w:rsidTr="00F40792">
        <w:trPr>
          <w:trHeight w:val="285"/>
        </w:trPr>
        <w:tc>
          <w:tcPr>
            <w:tcW w:w="4763" w:type="dxa"/>
            <w:shd w:val="clear" w:color="auto" w:fill="auto"/>
          </w:tcPr>
          <w:p w:rsidR="00CB399B" w:rsidRPr="002C0B21" w:rsidRDefault="00CB399B" w:rsidP="003036A3">
            <w:pPr>
              <w:spacing w:before="40" w:after="40" w:line="220" w:lineRule="exact"/>
              <w:rPr>
                <w:sz w:val="18"/>
              </w:rPr>
            </w:pPr>
            <w:r w:rsidRPr="002C0B21">
              <w:rPr>
                <w:sz w:val="18"/>
              </w:rPr>
              <w:t>Les travailleurs domestiques</w:t>
            </w:r>
          </w:p>
        </w:tc>
        <w:tc>
          <w:tcPr>
            <w:tcW w:w="1304" w:type="dxa"/>
            <w:gridSpan w:val="2"/>
            <w:shd w:val="clear" w:color="auto" w:fill="auto"/>
            <w:vAlign w:val="bottom"/>
          </w:tcPr>
          <w:p w:rsidR="00CB399B" w:rsidRPr="002C0B21" w:rsidRDefault="00CB399B" w:rsidP="003036A3">
            <w:pPr>
              <w:suppressAutoHyphens w:val="0"/>
              <w:spacing w:before="40" w:after="40" w:line="220" w:lineRule="exact"/>
              <w:jc w:val="right"/>
              <w:rPr>
                <w:sz w:val="18"/>
              </w:rPr>
            </w:pPr>
            <w:r w:rsidRPr="002C0B21">
              <w:rPr>
                <w:sz w:val="18"/>
              </w:rPr>
              <w:t>15</w:t>
            </w:r>
            <w:r>
              <w:rPr>
                <w:sz w:val="18"/>
              </w:rPr>
              <w:t>,</w:t>
            </w:r>
            <w:r w:rsidRPr="002C0B21">
              <w:rPr>
                <w:sz w:val="18"/>
              </w:rPr>
              <w:t xml:space="preserve">2 % </w:t>
            </w:r>
          </w:p>
        </w:tc>
      </w:tr>
      <w:tr w:rsidR="00CB399B" w:rsidRPr="002C0B21" w:rsidTr="00F40792">
        <w:trPr>
          <w:trHeight w:val="285"/>
        </w:trPr>
        <w:tc>
          <w:tcPr>
            <w:tcW w:w="4763" w:type="dxa"/>
            <w:shd w:val="clear" w:color="auto" w:fill="auto"/>
          </w:tcPr>
          <w:p w:rsidR="00CB399B" w:rsidRPr="002C0B21" w:rsidRDefault="00CB399B" w:rsidP="003036A3">
            <w:pPr>
              <w:spacing w:before="40" w:after="40" w:line="220" w:lineRule="exact"/>
              <w:rPr>
                <w:sz w:val="18"/>
              </w:rPr>
            </w:pPr>
            <w:r w:rsidRPr="002C0B21">
              <w:rPr>
                <w:sz w:val="18"/>
              </w:rPr>
              <w:t>Les autres travailleurs (apprentis ou autres n</w:t>
            </w:r>
            <w:r w:rsidR="00B861F1">
              <w:rPr>
                <w:sz w:val="18"/>
              </w:rPr>
              <w:t>’</w:t>
            </w:r>
            <w:r w:rsidRPr="002C0B21">
              <w:rPr>
                <w:sz w:val="18"/>
              </w:rPr>
              <w:t>ayant pas déclaré leur situation d</w:t>
            </w:r>
            <w:r w:rsidR="00B861F1">
              <w:rPr>
                <w:sz w:val="18"/>
              </w:rPr>
              <w:t>’</w:t>
            </w:r>
            <w:r w:rsidRPr="002C0B21">
              <w:rPr>
                <w:sz w:val="18"/>
              </w:rPr>
              <w:t>emploi lors du recensement)</w:t>
            </w:r>
          </w:p>
        </w:tc>
        <w:tc>
          <w:tcPr>
            <w:tcW w:w="1304" w:type="dxa"/>
            <w:gridSpan w:val="2"/>
            <w:shd w:val="clear" w:color="auto" w:fill="auto"/>
            <w:vAlign w:val="bottom"/>
          </w:tcPr>
          <w:p w:rsidR="00CB399B" w:rsidRPr="002C0B21" w:rsidRDefault="00CB399B" w:rsidP="003036A3">
            <w:pPr>
              <w:suppressAutoHyphens w:val="0"/>
              <w:spacing w:before="40" w:after="40" w:line="220" w:lineRule="exact"/>
              <w:jc w:val="right"/>
              <w:rPr>
                <w:sz w:val="18"/>
              </w:rPr>
            </w:pPr>
            <w:r w:rsidRPr="002C0B21">
              <w:rPr>
                <w:sz w:val="18"/>
              </w:rPr>
              <w:t>4</w:t>
            </w:r>
            <w:r>
              <w:rPr>
                <w:sz w:val="18"/>
              </w:rPr>
              <w:t>,</w:t>
            </w:r>
            <w:r w:rsidRPr="002C0B21">
              <w:rPr>
                <w:sz w:val="18"/>
              </w:rPr>
              <w:t xml:space="preserve">1 % </w:t>
            </w:r>
          </w:p>
        </w:tc>
      </w:tr>
      <w:tr w:rsidR="00CB399B" w:rsidRPr="002C0B21" w:rsidTr="00F40792">
        <w:trPr>
          <w:trHeight w:val="285"/>
        </w:trPr>
        <w:tc>
          <w:tcPr>
            <w:tcW w:w="4763" w:type="dxa"/>
            <w:shd w:val="clear" w:color="auto" w:fill="auto"/>
          </w:tcPr>
          <w:p w:rsidR="00CB399B" w:rsidRPr="002C0B21" w:rsidRDefault="00CB399B" w:rsidP="003036A3">
            <w:pPr>
              <w:spacing w:before="40" w:after="40" w:line="220" w:lineRule="exact"/>
              <w:rPr>
                <w:sz w:val="18"/>
              </w:rPr>
            </w:pPr>
            <w:r w:rsidRPr="002C0B21">
              <w:rPr>
                <w:sz w:val="18"/>
              </w:rPr>
              <w:t>Emploi du secteur informel</w:t>
            </w:r>
            <w:r w:rsidRPr="003036A3">
              <w:rPr>
                <w:i/>
                <w:sz w:val="18"/>
                <w:vertAlign w:val="superscript"/>
              </w:rPr>
              <w:footnoteReference w:id="35"/>
            </w:r>
          </w:p>
        </w:tc>
        <w:tc>
          <w:tcPr>
            <w:tcW w:w="1304" w:type="dxa"/>
            <w:gridSpan w:val="2"/>
            <w:shd w:val="clear" w:color="auto" w:fill="auto"/>
            <w:vAlign w:val="bottom"/>
          </w:tcPr>
          <w:p w:rsidR="00CB399B" w:rsidRPr="002C0B21" w:rsidRDefault="00CB399B" w:rsidP="003036A3">
            <w:pPr>
              <w:suppressAutoHyphens w:val="0"/>
              <w:spacing w:before="40" w:after="40" w:line="220" w:lineRule="exact"/>
              <w:jc w:val="right"/>
              <w:rPr>
                <w:sz w:val="18"/>
              </w:rPr>
            </w:pPr>
            <w:r w:rsidRPr="002C0B21">
              <w:rPr>
                <w:sz w:val="18"/>
              </w:rPr>
              <w:t>93,8 % de la population active</w:t>
            </w:r>
          </w:p>
        </w:tc>
      </w:tr>
      <w:tr w:rsidR="00CB399B" w:rsidRPr="002C0B21" w:rsidTr="00F40792">
        <w:trPr>
          <w:trHeight w:val="285"/>
        </w:trPr>
        <w:tc>
          <w:tcPr>
            <w:tcW w:w="4763" w:type="dxa"/>
            <w:shd w:val="clear" w:color="auto" w:fill="auto"/>
          </w:tcPr>
          <w:p w:rsidR="00CB399B" w:rsidRPr="002C0B21" w:rsidRDefault="00CB399B" w:rsidP="003036A3">
            <w:pPr>
              <w:spacing w:before="40" w:after="40" w:line="220" w:lineRule="exact"/>
              <w:rPr>
                <w:sz w:val="18"/>
              </w:rPr>
            </w:pPr>
            <w:r w:rsidRPr="002C0B21">
              <w:rPr>
                <w:sz w:val="18"/>
              </w:rPr>
              <w:t xml:space="preserve">Emploi du secteur formel </w:t>
            </w:r>
          </w:p>
        </w:tc>
        <w:tc>
          <w:tcPr>
            <w:tcW w:w="1304" w:type="dxa"/>
            <w:gridSpan w:val="2"/>
            <w:shd w:val="clear" w:color="auto" w:fill="auto"/>
            <w:vAlign w:val="bottom"/>
          </w:tcPr>
          <w:p w:rsidR="00CB399B" w:rsidRPr="002C0B21" w:rsidRDefault="00CB399B" w:rsidP="003036A3">
            <w:pPr>
              <w:suppressAutoHyphens w:val="0"/>
              <w:spacing w:before="40" w:after="40" w:line="220" w:lineRule="exact"/>
              <w:jc w:val="right"/>
              <w:rPr>
                <w:sz w:val="18"/>
              </w:rPr>
            </w:pPr>
            <w:r w:rsidRPr="002C0B21">
              <w:rPr>
                <w:sz w:val="18"/>
              </w:rPr>
              <w:t>6,2 % de la population active</w:t>
            </w:r>
          </w:p>
        </w:tc>
      </w:tr>
    </w:tbl>
    <w:p w:rsidR="00CB399B" w:rsidRPr="00943B1D" w:rsidRDefault="00CB399B" w:rsidP="003036A3">
      <w:pPr>
        <w:pStyle w:val="SingleTxtG"/>
        <w:spacing w:before="120" w:after="240"/>
        <w:ind w:firstLine="170"/>
        <w:rPr>
          <w:sz w:val="18"/>
          <w:szCs w:val="18"/>
        </w:rPr>
      </w:pPr>
      <w:r w:rsidRPr="00943B1D">
        <w:rPr>
          <w:i/>
          <w:sz w:val="18"/>
          <w:szCs w:val="18"/>
        </w:rPr>
        <w:t>Source</w:t>
      </w:r>
      <w:r w:rsidRPr="00943B1D">
        <w:rPr>
          <w:sz w:val="18"/>
          <w:szCs w:val="18"/>
        </w:rPr>
        <w:t>: Caisse Sociale du Rwanda: Annual statistical bulletin 2007, Octobre 2008</w:t>
      </w:r>
      <w:r>
        <w:rPr>
          <w:sz w:val="18"/>
          <w:szCs w:val="18"/>
        </w:rPr>
        <w:t>.</w:t>
      </w:r>
    </w:p>
    <w:p w:rsidR="00CB399B" w:rsidRDefault="00CB399B" w:rsidP="00CB399B">
      <w:pPr>
        <w:pStyle w:val="SingleTxtG"/>
        <w:spacing w:after="240"/>
      </w:pPr>
      <w:r>
        <w:rPr>
          <w:szCs w:val="24"/>
        </w:rPr>
        <w:t>50</w:t>
      </w:r>
      <w:r w:rsidRPr="009B6952">
        <w:rPr>
          <w:szCs w:val="24"/>
        </w:rPr>
        <w:t>.</w:t>
      </w:r>
      <w:r w:rsidRPr="009B6952">
        <w:rPr>
          <w:szCs w:val="24"/>
        </w:rPr>
        <w:tab/>
      </w:r>
      <w:r w:rsidRPr="009B6952">
        <w:t>La majorité des travailleurs du secteur informel sont des agriculteurs et</w:t>
      </w:r>
      <w:r>
        <w:t xml:space="preserve"> des</w:t>
      </w:r>
      <w:r w:rsidRPr="009B6952">
        <w:t xml:space="preserve"> fermiers travaillant pour la plupart sur des terres familiales comme l</w:t>
      </w:r>
      <w:r w:rsidR="00B861F1">
        <w:t>’</w:t>
      </w:r>
      <w:r w:rsidRPr="009B6952">
        <w:t>indique le tableau ci-après</w:t>
      </w:r>
      <w:r w:rsidRPr="002C0B21">
        <w:rPr>
          <w:sz w:val="18"/>
          <w:szCs w:val="18"/>
          <w:vertAlign w:val="superscript"/>
        </w:rPr>
        <w:footnoteReference w:id="36"/>
      </w:r>
      <w:r>
        <w:t>.</w:t>
      </w:r>
      <w:r w:rsidRPr="009B6952">
        <w:t xml:space="preserve"> </w:t>
      </w:r>
    </w:p>
    <w:p w:rsidR="00CB399B" w:rsidRPr="009B6952" w:rsidRDefault="00CB399B" w:rsidP="007E44B0">
      <w:pPr>
        <w:pStyle w:val="Heading1"/>
        <w:spacing w:after="120"/>
      </w:pPr>
      <w:r>
        <w:t>Tableau 5</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2"/>
        <w:gridCol w:w="776"/>
        <w:gridCol w:w="467"/>
        <w:gridCol w:w="853"/>
        <w:gridCol w:w="548"/>
        <w:gridCol w:w="857"/>
        <w:gridCol w:w="544"/>
        <w:gridCol w:w="853"/>
        <w:gridCol w:w="548"/>
        <w:gridCol w:w="857"/>
        <w:gridCol w:w="544"/>
        <w:gridCol w:w="853"/>
        <w:gridCol w:w="467"/>
      </w:tblGrid>
      <w:tr w:rsidR="00CB399B" w:rsidRPr="00943B1D" w:rsidTr="00F40792">
        <w:trPr>
          <w:trHeight w:val="226"/>
          <w:tblHeader/>
        </w:trPr>
        <w:tc>
          <w:tcPr>
            <w:tcW w:w="1710" w:type="dxa"/>
            <w:vMerge w:val="restart"/>
            <w:tcBorders>
              <w:top w:val="single" w:sz="4" w:space="0" w:color="auto"/>
              <w:bottom w:val="single" w:sz="12" w:space="0" w:color="auto"/>
            </w:tcBorders>
            <w:shd w:val="clear" w:color="auto" w:fill="auto"/>
            <w:vAlign w:val="bottom"/>
          </w:tcPr>
          <w:p w:rsidR="00CB399B" w:rsidRPr="00943B1D" w:rsidRDefault="00CB399B" w:rsidP="007E44B0">
            <w:pPr>
              <w:suppressAutoHyphens w:val="0"/>
              <w:spacing w:before="80" w:after="80" w:line="200" w:lineRule="exact"/>
              <w:rPr>
                <w:i/>
                <w:sz w:val="16"/>
              </w:rPr>
            </w:pPr>
          </w:p>
        </w:tc>
        <w:tc>
          <w:tcPr>
            <w:tcW w:w="3060" w:type="dxa"/>
            <w:gridSpan w:val="4"/>
            <w:tcBorders>
              <w:top w:val="single" w:sz="4" w:space="0" w:color="auto"/>
              <w:bottom w:val="single" w:sz="4" w:space="0" w:color="auto"/>
              <w:right w:val="single" w:sz="24" w:space="0" w:color="FFFFFF"/>
            </w:tcBorders>
            <w:shd w:val="clear" w:color="auto" w:fill="auto"/>
            <w:vAlign w:val="bottom"/>
          </w:tcPr>
          <w:p w:rsidR="00CB399B" w:rsidRPr="00943B1D" w:rsidRDefault="00CB399B" w:rsidP="007E44B0">
            <w:pPr>
              <w:spacing w:before="80" w:after="80" w:line="200" w:lineRule="exact"/>
              <w:jc w:val="center"/>
              <w:rPr>
                <w:i/>
                <w:sz w:val="16"/>
              </w:rPr>
            </w:pPr>
            <w:r w:rsidRPr="00943B1D">
              <w:rPr>
                <w:i/>
                <w:sz w:val="16"/>
              </w:rPr>
              <w:t>Hommes</w:t>
            </w:r>
          </w:p>
        </w:tc>
        <w:tc>
          <w:tcPr>
            <w:tcW w:w="3240"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CB399B" w:rsidRPr="00943B1D" w:rsidRDefault="00CB399B" w:rsidP="007E44B0">
            <w:pPr>
              <w:spacing w:before="80" w:after="80" w:line="200" w:lineRule="exact"/>
              <w:jc w:val="center"/>
              <w:rPr>
                <w:i/>
                <w:sz w:val="16"/>
              </w:rPr>
            </w:pPr>
            <w:r w:rsidRPr="00943B1D">
              <w:rPr>
                <w:i/>
                <w:sz w:val="16"/>
              </w:rPr>
              <w:t xml:space="preserve">Femmes </w:t>
            </w:r>
          </w:p>
        </w:tc>
        <w:tc>
          <w:tcPr>
            <w:tcW w:w="3150" w:type="dxa"/>
            <w:gridSpan w:val="4"/>
            <w:tcBorders>
              <w:top w:val="single" w:sz="4" w:space="0" w:color="auto"/>
              <w:left w:val="single" w:sz="24" w:space="0" w:color="FFFFFF"/>
              <w:bottom w:val="single" w:sz="4" w:space="0" w:color="auto"/>
            </w:tcBorders>
            <w:shd w:val="clear" w:color="auto" w:fill="auto"/>
            <w:vAlign w:val="bottom"/>
          </w:tcPr>
          <w:p w:rsidR="00CB399B" w:rsidRPr="007E44B0" w:rsidRDefault="00CB399B" w:rsidP="007E44B0">
            <w:pPr>
              <w:spacing w:before="80" w:after="80" w:line="200" w:lineRule="exact"/>
              <w:jc w:val="center"/>
              <w:rPr>
                <w:b/>
                <w:i/>
                <w:sz w:val="16"/>
              </w:rPr>
            </w:pPr>
            <w:r w:rsidRPr="007E44B0">
              <w:rPr>
                <w:b/>
                <w:i/>
                <w:sz w:val="16"/>
              </w:rPr>
              <w:t xml:space="preserve">Total </w:t>
            </w:r>
          </w:p>
        </w:tc>
      </w:tr>
      <w:tr w:rsidR="00CB399B" w:rsidRPr="00943B1D" w:rsidTr="00F40792">
        <w:trPr>
          <w:trHeight w:val="368"/>
          <w:tblHeader/>
        </w:trPr>
        <w:tc>
          <w:tcPr>
            <w:tcW w:w="1710" w:type="dxa"/>
            <w:vMerge/>
            <w:tcBorders>
              <w:top w:val="single" w:sz="12" w:space="0" w:color="auto"/>
              <w:bottom w:val="single" w:sz="12" w:space="0" w:color="auto"/>
            </w:tcBorders>
            <w:shd w:val="clear" w:color="auto" w:fill="auto"/>
            <w:vAlign w:val="bottom"/>
          </w:tcPr>
          <w:p w:rsidR="00CB399B" w:rsidRPr="00943B1D" w:rsidRDefault="00CB399B" w:rsidP="007E44B0">
            <w:pPr>
              <w:suppressAutoHyphens w:val="0"/>
              <w:spacing w:before="80" w:after="80" w:line="200" w:lineRule="exact"/>
              <w:rPr>
                <w:sz w:val="18"/>
              </w:rPr>
            </w:pPr>
          </w:p>
        </w:tc>
        <w:tc>
          <w:tcPr>
            <w:tcW w:w="900" w:type="dxa"/>
            <w:tcBorders>
              <w:top w:val="single" w:sz="4" w:space="0" w:color="auto"/>
              <w:bottom w:val="single" w:sz="12" w:space="0" w:color="auto"/>
            </w:tcBorders>
            <w:shd w:val="clear" w:color="auto" w:fill="auto"/>
            <w:vAlign w:val="bottom"/>
          </w:tcPr>
          <w:p w:rsidR="00CB399B" w:rsidRPr="009A7433" w:rsidRDefault="00CB399B" w:rsidP="007E44B0">
            <w:pPr>
              <w:spacing w:before="80" w:after="80" w:line="200" w:lineRule="exact"/>
              <w:jc w:val="right"/>
              <w:rPr>
                <w:i/>
                <w:sz w:val="16"/>
              </w:rPr>
            </w:pPr>
            <w:r w:rsidRPr="009A7433">
              <w:rPr>
                <w:i/>
                <w:sz w:val="16"/>
              </w:rPr>
              <w:t>EICVI 1</w:t>
            </w:r>
          </w:p>
        </w:tc>
        <w:tc>
          <w:tcPr>
            <w:tcW w:w="540" w:type="dxa"/>
            <w:tcBorders>
              <w:top w:val="single" w:sz="4" w:space="0" w:color="auto"/>
              <w:bottom w:val="single" w:sz="12" w:space="0" w:color="auto"/>
            </w:tcBorders>
            <w:shd w:val="clear" w:color="auto" w:fill="auto"/>
            <w:vAlign w:val="bottom"/>
          </w:tcPr>
          <w:p w:rsidR="00CB399B" w:rsidRPr="009A7433" w:rsidRDefault="00CB399B" w:rsidP="007E44B0">
            <w:pPr>
              <w:spacing w:before="80" w:after="80" w:line="200" w:lineRule="exact"/>
              <w:jc w:val="right"/>
              <w:rPr>
                <w:i/>
                <w:sz w:val="16"/>
              </w:rPr>
            </w:pPr>
          </w:p>
        </w:tc>
        <w:tc>
          <w:tcPr>
            <w:tcW w:w="990" w:type="dxa"/>
            <w:tcBorders>
              <w:top w:val="single" w:sz="4" w:space="0" w:color="auto"/>
              <w:bottom w:val="single" w:sz="12" w:space="0" w:color="auto"/>
            </w:tcBorders>
            <w:shd w:val="clear" w:color="auto" w:fill="auto"/>
            <w:vAlign w:val="bottom"/>
          </w:tcPr>
          <w:p w:rsidR="00CB399B" w:rsidRPr="009A7433" w:rsidRDefault="00CB399B" w:rsidP="007E44B0">
            <w:pPr>
              <w:spacing w:before="80" w:after="80" w:line="200" w:lineRule="exact"/>
              <w:jc w:val="right"/>
              <w:rPr>
                <w:i/>
                <w:sz w:val="16"/>
              </w:rPr>
            </w:pPr>
            <w:r w:rsidRPr="009A7433">
              <w:rPr>
                <w:i/>
                <w:sz w:val="16"/>
              </w:rPr>
              <w:t>EICV 2</w:t>
            </w:r>
          </w:p>
        </w:tc>
        <w:tc>
          <w:tcPr>
            <w:tcW w:w="630" w:type="dxa"/>
            <w:tcBorders>
              <w:top w:val="single" w:sz="4" w:space="0" w:color="auto"/>
              <w:bottom w:val="single" w:sz="12" w:space="0" w:color="auto"/>
              <w:right w:val="single" w:sz="24" w:space="0" w:color="FFFFFF"/>
            </w:tcBorders>
            <w:shd w:val="clear" w:color="auto" w:fill="auto"/>
            <w:vAlign w:val="bottom"/>
          </w:tcPr>
          <w:p w:rsidR="00CB399B" w:rsidRPr="009A7433" w:rsidRDefault="00CB399B" w:rsidP="007E44B0">
            <w:pPr>
              <w:spacing w:before="80" w:after="80" w:line="200" w:lineRule="exact"/>
              <w:jc w:val="right"/>
              <w:rPr>
                <w:i/>
                <w:sz w:val="16"/>
              </w:rPr>
            </w:pPr>
          </w:p>
        </w:tc>
        <w:tc>
          <w:tcPr>
            <w:tcW w:w="990" w:type="dxa"/>
            <w:tcBorders>
              <w:top w:val="single" w:sz="4" w:space="0" w:color="auto"/>
              <w:left w:val="single" w:sz="24" w:space="0" w:color="FFFFFF"/>
              <w:bottom w:val="single" w:sz="12" w:space="0" w:color="auto"/>
            </w:tcBorders>
            <w:shd w:val="clear" w:color="auto" w:fill="auto"/>
            <w:vAlign w:val="bottom"/>
          </w:tcPr>
          <w:p w:rsidR="00CB399B" w:rsidRPr="009A7433" w:rsidRDefault="00CB399B" w:rsidP="007E44B0">
            <w:pPr>
              <w:spacing w:before="80" w:after="80" w:line="200" w:lineRule="exact"/>
              <w:jc w:val="right"/>
              <w:rPr>
                <w:i/>
                <w:sz w:val="16"/>
              </w:rPr>
            </w:pPr>
            <w:r w:rsidRPr="009A7433">
              <w:rPr>
                <w:i/>
                <w:sz w:val="16"/>
              </w:rPr>
              <w:t>EICV 1</w:t>
            </w:r>
          </w:p>
        </w:tc>
        <w:tc>
          <w:tcPr>
            <w:tcW w:w="630" w:type="dxa"/>
            <w:tcBorders>
              <w:top w:val="single" w:sz="4" w:space="0" w:color="auto"/>
              <w:bottom w:val="single" w:sz="12" w:space="0" w:color="auto"/>
            </w:tcBorders>
            <w:shd w:val="clear" w:color="auto" w:fill="auto"/>
            <w:vAlign w:val="bottom"/>
          </w:tcPr>
          <w:p w:rsidR="00CB399B" w:rsidRPr="009A7433" w:rsidRDefault="00CB399B" w:rsidP="007E44B0">
            <w:pPr>
              <w:spacing w:before="80" w:after="80" w:line="200" w:lineRule="exact"/>
              <w:jc w:val="right"/>
              <w:rPr>
                <w:i/>
                <w:sz w:val="16"/>
              </w:rPr>
            </w:pPr>
          </w:p>
        </w:tc>
        <w:tc>
          <w:tcPr>
            <w:tcW w:w="990" w:type="dxa"/>
            <w:tcBorders>
              <w:top w:val="single" w:sz="4" w:space="0" w:color="auto"/>
              <w:bottom w:val="single" w:sz="12" w:space="0" w:color="auto"/>
            </w:tcBorders>
            <w:shd w:val="clear" w:color="auto" w:fill="auto"/>
            <w:vAlign w:val="bottom"/>
          </w:tcPr>
          <w:p w:rsidR="00CB399B" w:rsidRPr="009A7433" w:rsidRDefault="00CB399B" w:rsidP="007E44B0">
            <w:pPr>
              <w:spacing w:before="80" w:after="80" w:line="200" w:lineRule="exact"/>
              <w:jc w:val="right"/>
              <w:rPr>
                <w:i/>
                <w:sz w:val="16"/>
              </w:rPr>
            </w:pPr>
            <w:r w:rsidRPr="009A7433">
              <w:rPr>
                <w:i/>
                <w:sz w:val="16"/>
              </w:rPr>
              <w:t>EICV 2</w:t>
            </w:r>
          </w:p>
        </w:tc>
        <w:tc>
          <w:tcPr>
            <w:tcW w:w="630" w:type="dxa"/>
            <w:tcBorders>
              <w:top w:val="single" w:sz="4" w:space="0" w:color="auto"/>
              <w:bottom w:val="single" w:sz="12" w:space="0" w:color="auto"/>
              <w:right w:val="single" w:sz="24" w:space="0" w:color="FFFFFF"/>
            </w:tcBorders>
            <w:shd w:val="clear" w:color="auto" w:fill="auto"/>
            <w:vAlign w:val="bottom"/>
          </w:tcPr>
          <w:p w:rsidR="00CB399B" w:rsidRPr="009A7433" w:rsidRDefault="00CB399B" w:rsidP="007E44B0">
            <w:pPr>
              <w:spacing w:before="80" w:after="80" w:line="200" w:lineRule="exact"/>
              <w:jc w:val="right"/>
              <w:rPr>
                <w:i/>
                <w:sz w:val="16"/>
              </w:rPr>
            </w:pPr>
          </w:p>
        </w:tc>
        <w:tc>
          <w:tcPr>
            <w:tcW w:w="990" w:type="dxa"/>
            <w:tcBorders>
              <w:top w:val="single" w:sz="4" w:space="0" w:color="auto"/>
              <w:left w:val="single" w:sz="24" w:space="0" w:color="FFFFFF"/>
              <w:bottom w:val="single" w:sz="12" w:space="0" w:color="auto"/>
            </w:tcBorders>
            <w:shd w:val="clear" w:color="auto" w:fill="auto"/>
            <w:vAlign w:val="bottom"/>
          </w:tcPr>
          <w:p w:rsidR="00CB399B" w:rsidRPr="00F40792" w:rsidRDefault="00CB399B" w:rsidP="007E44B0">
            <w:pPr>
              <w:spacing w:before="80" w:after="80" w:line="200" w:lineRule="exact"/>
              <w:jc w:val="right"/>
              <w:rPr>
                <w:b/>
                <w:i/>
                <w:sz w:val="16"/>
              </w:rPr>
            </w:pPr>
            <w:r w:rsidRPr="00F40792">
              <w:rPr>
                <w:b/>
                <w:i/>
                <w:sz w:val="16"/>
              </w:rPr>
              <w:t>EICV1</w:t>
            </w:r>
          </w:p>
        </w:tc>
        <w:tc>
          <w:tcPr>
            <w:tcW w:w="630" w:type="dxa"/>
            <w:tcBorders>
              <w:top w:val="single" w:sz="4" w:space="0" w:color="auto"/>
              <w:bottom w:val="single" w:sz="12" w:space="0" w:color="auto"/>
            </w:tcBorders>
            <w:shd w:val="clear" w:color="auto" w:fill="auto"/>
            <w:vAlign w:val="bottom"/>
          </w:tcPr>
          <w:p w:rsidR="00CB399B" w:rsidRPr="00F40792" w:rsidRDefault="00CB399B" w:rsidP="007E44B0">
            <w:pPr>
              <w:spacing w:before="80" w:after="80" w:line="200" w:lineRule="exact"/>
              <w:jc w:val="right"/>
              <w:rPr>
                <w:b/>
                <w:i/>
                <w:sz w:val="16"/>
              </w:rPr>
            </w:pPr>
          </w:p>
        </w:tc>
        <w:tc>
          <w:tcPr>
            <w:tcW w:w="990" w:type="dxa"/>
            <w:tcBorders>
              <w:top w:val="single" w:sz="4" w:space="0" w:color="auto"/>
              <w:bottom w:val="single" w:sz="12" w:space="0" w:color="auto"/>
            </w:tcBorders>
            <w:shd w:val="clear" w:color="auto" w:fill="auto"/>
            <w:vAlign w:val="bottom"/>
          </w:tcPr>
          <w:p w:rsidR="00CB399B" w:rsidRPr="00F40792" w:rsidRDefault="00CB399B" w:rsidP="007E44B0">
            <w:pPr>
              <w:spacing w:before="80" w:after="80" w:line="200" w:lineRule="exact"/>
              <w:jc w:val="right"/>
              <w:rPr>
                <w:b/>
                <w:i/>
                <w:sz w:val="16"/>
              </w:rPr>
            </w:pPr>
            <w:r w:rsidRPr="00F40792">
              <w:rPr>
                <w:b/>
                <w:i/>
                <w:sz w:val="16"/>
              </w:rPr>
              <w:t>EICV2</w:t>
            </w:r>
          </w:p>
        </w:tc>
        <w:tc>
          <w:tcPr>
            <w:tcW w:w="540" w:type="dxa"/>
            <w:tcBorders>
              <w:top w:val="single" w:sz="4" w:space="0" w:color="auto"/>
              <w:bottom w:val="single" w:sz="12" w:space="0" w:color="auto"/>
            </w:tcBorders>
            <w:shd w:val="clear" w:color="auto" w:fill="auto"/>
            <w:vAlign w:val="bottom"/>
          </w:tcPr>
          <w:p w:rsidR="00CB399B" w:rsidRPr="00F40792" w:rsidRDefault="00CB399B" w:rsidP="007E44B0">
            <w:pPr>
              <w:spacing w:before="80" w:after="80" w:line="200" w:lineRule="exact"/>
              <w:jc w:val="right"/>
              <w:rPr>
                <w:b/>
                <w:i/>
                <w:sz w:val="16"/>
              </w:rPr>
            </w:pPr>
          </w:p>
        </w:tc>
      </w:tr>
      <w:tr w:rsidR="00CB399B" w:rsidRPr="00943B1D" w:rsidTr="008639F7">
        <w:tc>
          <w:tcPr>
            <w:tcW w:w="1710" w:type="dxa"/>
            <w:tcBorders>
              <w:top w:val="single" w:sz="12" w:space="0" w:color="auto"/>
            </w:tcBorders>
            <w:shd w:val="clear" w:color="auto" w:fill="auto"/>
            <w:vAlign w:val="bottom"/>
          </w:tcPr>
          <w:p w:rsidR="00CB399B" w:rsidRPr="009A7433" w:rsidRDefault="00CB399B" w:rsidP="008639F7">
            <w:pPr>
              <w:spacing w:before="40" w:after="40" w:line="220" w:lineRule="exact"/>
              <w:rPr>
                <w:sz w:val="18"/>
              </w:rPr>
            </w:pPr>
            <w:r w:rsidRPr="009A7433">
              <w:rPr>
                <w:sz w:val="18"/>
              </w:rPr>
              <w:t>Salariés agricoles</w:t>
            </w:r>
          </w:p>
        </w:tc>
        <w:tc>
          <w:tcPr>
            <w:tcW w:w="900" w:type="dxa"/>
            <w:tcBorders>
              <w:top w:val="single" w:sz="12"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81</w:t>
            </w:r>
            <w:r>
              <w:rPr>
                <w:sz w:val="18"/>
                <w:szCs w:val="18"/>
              </w:rPr>
              <w:t xml:space="preserve"> </w:t>
            </w:r>
            <w:r w:rsidRPr="009A7433">
              <w:rPr>
                <w:sz w:val="18"/>
                <w:szCs w:val="18"/>
              </w:rPr>
              <w:t>000</w:t>
            </w:r>
          </w:p>
        </w:tc>
        <w:tc>
          <w:tcPr>
            <w:tcW w:w="540" w:type="dxa"/>
            <w:tcBorders>
              <w:top w:val="single" w:sz="12"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5,0</w:t>
            </w:r>
          </w:p>
        </w:tc>
        <w:tc>
          <w:tcPr>
            <w:tcW w:w="990" w:type="dxa"/>
            <w:tcBorders>
              <w:top w:val="single" w:sz="12"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201</w:t>
            </w:r>
            <w:r>
              <w:rPr>
                <w:sz w:val="18"/>
                <w:szCs w:val="18"/>
              </w:rPr>
              <w:t xml:space="preserve"> </w:t>
            </w:r>
            <w:r w:rsidRPr="009A7433">
              <w:rPr>
                <w:sz w:val="18"/>
                <w:szCs w:val="18"/>
              </w:rPr>
              <w:t>000</w:t>
            </w:r>
          </w:p>
        </w:tc>
        <w:tc>
          <w:tcPr>
            <w:tcW w:w="630" w:type="dxa"/>
            <w:tcBorders>
              <w:top w:val="single" w:sz="12"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10,2</w:t>
            </w:r>
          </w:p>
        </w:tc>
        <w:tc>
          <w:tcPr>
            <w:tcW w:w="990" w:type="dxa"/>
            <w:tcBorders>
              <w:top w:val="single" w:sz="12"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53</w:t>
            </w:r>
            <w:r>
              <w:rPr>
                <w:sz w:val="18"/>
                <w:szCs w:val="18"/>
              </w:rPr>
              <w:t xml:space="preserve"> </w:t>
            </w:r>
            <w:r w:rsidRPr="009A7433">
              <w:rPr>
                <w:sz w:val="18"/>
                <w:szCs w:val="18"/>
              </w:rPr>
              <w:t>000</w:t>
            </w:r>
          </w:p>
        </w:tc>
        <w:tc>
          <w:tcPr>
            <w:tcW w:w="630" w:type="dxa"/>
            <w:tcBorders>
              <w:top w:val="single" w:sz="12"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2,6</w:t>
            </w:r>
          </w:p>
        </w:tc>
        <w:tc>
          <w:tcPr>
            <w:tcW w:w="990" w:type="dxa"/>
            <w:tcBorders>
              <w:top w:val="single" w:sz="12"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159</w:t>
            </w:r>
            <w:r>
              <w:rPr>
                <w:sz w:val="18"/>
                <w:szCs w:val="18"/>
              </w:rPr>
              <w:t xml:space="preserve"> </w:t>
            </w:r>
            <w:r w:rsidRPr="009A7433">
              <w:rPr>
                <w:sz w:val="18"/>
                <w:szCs w:val="18"/>
              </w:rPr>
              <w:t>000</w:t>
            </w:r>
          </w:p>
        </w:tc>
        <w:tc>
          <w:tcPr>
            <w:tcW w:w="630" w:type="dxa"/>
            <w:tcBorders>
              <w:top w:val="single" w:sz="12"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6,6</w:t>
            </w:r>
          </w:p>
        </w:tc>
        <w:tc>
          <w:tcPr>
            <w:tcW w:w="990" w:type="dxa"/>
            <w:tcBorders>
              <w:top w:val="single" w:sz="12" w:space="0" w:color="auto"/>
            </w:tcBorders>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134 000</w:t>
            </w:r>
          </w:p>
        </w:tc>
        <w:tc>
          <w:tcPr>
            <w:tcW w:w="630" w:type="dxa"/>
            <w:tcBorders>
              <w:top w:val="single" w:sz="12" w:space="0" w:color="auto"/>
            </w:tcBorders>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3,7</w:t>
            </w:r>
          </w:p>
        </w:tc>
        <w:tc>
          <w:tcPr>
            <w:tcW w:w="990" w:type="dxa"/>
            <w:tcBorders>
              <w:top w:val="single" w:sz="12" w:space="0" w:color="auto"/>
            </w:tcBorders>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36 0000</w:t>
            </w:r>
          </w:p>
        </w:tc>
        <w:tc>
          <w:tcPr>
            <w:tcW w:w="540" w:type="dxa"/>
            <w:tcBorders>
              <w:top w:val="single" w:sz="12" w:space="0" w:color="auto"/>
            </w:tcBorders>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8,2</w:t>
            </w:r>
          </w:p>
        </w:tc>
      </w:tr>
      <w:tr w:rsidR="00CB399B" w:rsidRPr="00943B1D" w:rsidTr="008639F7">
        <w:tc>
          <w:tcPr>
            <w:tcW w:w="1710" w:type="dxa"/>
            <w:shd w:val="clear" w:color="auto" w:fill="auto"/>
            <w:vAlign w:val="bottom"/>
          </w:tcPr>
          <w:p w:rsidR="00CB399B" w:rsidRPr="009A7433" w:rsidRDefault="00CB399B" w:rsidP="008639F7">
            <w:pPr>
              <w:spacing w:before="40" w:after="40" w:line="220" w:lineRule="exact"/>
              <w:rPr>
                <w:sz w:val="18"/>
              </w:rPr>
            </w:pPr>
            <w:r w:rsidRPr="009A7433">
              <w:rPr>
                <w:sz w:val="18"/>
              </w:rPr>
              <w:t>Agriculture de</w:t>
            </w:r>
            <w:r w:rsidR="00F40792">
              <w:rPr>
                <w:sz w:val="18"/>
              </w:rPr>
              <w:t> </w:t>
            </w:r>
            <w:r w:rsidRPr="009A7433">
              <w:rPr>
                <w:sz w:val="18"/>
              </w:rPr>
              <w:t>subsistance</w:t>
            </w:r>
          </w:p>
        </w:tc>
        <w:tc>
          <w:tcPr>
            <w:tcW w:w="90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w:t>
            </w:r>
            <w:r>
              <w:rPr>
                <w:sz w:val="18"/>
                <w:szCs w:val="18"/>
              </w:rPr>
              <w:t xml:space="preserve"> </w:t>
            </w:r>
            <w:r w:rsidRPr="009A7433">
              <w:rPr>
                <w:sz w:val="18"/>
                <w:szCs w:val="18"/>
              </w:rPr>
              <w:t>268</w:t>
            </w:r>
            <w:r>
              <w:rPr>
                <w:sz w:val="18"/>
                <w:szCs w:val="18"/>
              </w:rPr>
              <w:t xml:space="preserve"> </w:t>
            </w:r>
            <w:r w:rsidRPr="009A7433">
              <w:rPr>
                <w:sz w:val="18"/>
                <w:szCs w:val="18"/>
              </w:rPr>
              <w:t>000</w:t>
            </w:r>
          </w:p>
        </w:tc>
        <w:tc>
          <w:tcPr>
            <w:tcW w:w="54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78,8</w:t>
            </w:r>
          </w:p>
        </w:tc>
        <w:tc>
          <w:tcPr>
            <w:tcW w:w="99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w:t>
            </w:r>
            <w:r>
              <w:rPr>
                <w:sz w:val="18"/>
                <w:szCs w:val="18"/>
              </w:rPr>
              <w:t xml:space="preserve"> </w:t>
            </w:r>
            <w:r w:rsidRPr="009A7433">
              <w:rPr>
                <w:sz w:val="18"/>
                <w:szCs w:val="18"/>
              </w:rPr>
              <w:t>201</w:t>
            </w:r>
            <w:r>
              <w:rPr>
                <w:sz w:val="18"/>
                <w:szCs w:val="18"/>
              </w:rPr>
              <w:t xml:space="preserve"> </w:t>
            </w:r>
            <w:r w:rsidRPr="009A7433">
              <w:rPr>
                <w:sz w:val="18"/>
                <w:szCs w:val="18"/>
              </w:rPr>
              <w:t>000</w:t>
            </w:r>
          </w:p>
        </w:tc>
        <w:tc>
          <w:tcPr>
            <w:tcW w:w="63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61,1</w:t>
            </w:r>
          </w:p>
        </w:tc>
        <w:tc>
          <w:tcPr>
            <w:tcW w:w="99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w:t>
            </w:r>
            <w:r>
              <w:rPr>
                <w:sz w:val="18"/>
                <w:szCs w:val="18"/>
              </w:rPr>
              <w:t xml:space="preserve"> </w:t>
            </w:r>
            <w:r w:rsidRPr="009A7433">
              <w:rPr>
                <w:sz w:val="18"/>
                <w:szCs w:val="18"/>
              </w:rPr>
              <w:t>858</w:t>
            </w:r>
            <w:r>
              <w:rPr>
                <w:sz w:val="18"/>
                <w:szCs w:val="18"/>
              </w:rPr>
              <w:t xml:space="preserve"> </w:t>
            </w:r>
            <w:r w:rsidRPr="009A7433">
              <w:rPr>
                <w:sz w:val="18"/>
                <w:szCs w:val="18"/>
              </w:rPr>
              <w:t>000</w:t>
            </w:r>
          </w:p>
        </w:tc>
        <w:tc>
          <w:tcPr>
            <w:tcW w:w="63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89,7</w:t>
            </w:r>
          </w:p>
        </w:tc>
        <w:tc>
          <w:tcPr>
            <w:tcW w:w="99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w:t>
            </w:r>
            <w:r>
              <w:rPr>
                <w:sz w:val="18"/>
                <w:szCs w:val="18"/>
              </w:rPr>
              <w:t xml:space="preserve"> </w:t>
            </w:r>
            <w:r w:rsidRPr="009A7433">
              <w:rPr>
                <w:sz w:val="18"/>
                <w:szCs w:val="18"/>
              </w:rPr>
              <w:t>919</w:t>
            </w:r>
            <w:r>
              <w:rPr>
                <w:sz w:val="18"/>
                <w:szCs w:val="18"/>
              </w:rPr>
              <w:t xml:space="preserve"> </w:t>
            </w:r>
            <w:r w:rsidRPr="009A7433">
              <w:rPr>
                <w:sz w:val="18"/>
                <w:szCs w:val="18"/>
              </w:rPr>
              <w:t>000</w:t>
            </w:r>
          </w:p>
        </w:tc>
        <w:tc>
          <w:tcPr>
            <w:tcW w:w="63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76,6</w:t>
            </w:r>
          </w:p>
        </w:tc>
        <w:tc>
          <w:tcPr>
            <w:tcW w:w="99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3 126 000</w:t>
            </w:r>
          </w:p>
        </w:tc>
        <w:tc>
          <w:tcPr>
            <w:tcW w:w="63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84,9</w:t>
            </w:r>
          </w:p>
        </w:tc>
        <w:tc>
          <w:tcPr>
            <w:tcW w:w="99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311 9000</w:t>
            </w:r>
          </w:p>
        </w:tc>
        <w:tc>
          <w:tcPr>
            <w:tcW w:w="54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71,3</w:t>
            </w:r>
          </w:p>
        </w:tc>
      </w:tr>
      <w:tr w:rsidR="00CB399B" w:rsidRPr="00943B1D" w:rsidTr="008639F7">
        <w:trPr>
          <w:trHeight w:val="20"/>
        </w:trPr>
        <w:tc>
          <w:tcPr>
            <w:tcW w:w="1710" w:type="dxa"/>
            <w:shd w:val="clear" w:color="auto" w:fill="auto"/>
            <w:vAlign w:val="bottom"/>
          </w:tcPr>
          <w:p w:rsidR="00CB399B" w:rsidRPr="009A7433" w:rsidRDefault="00CB399B" w:rsidP="008639F7">
            <w:pPr>
              <w:spacing w:before="40" w:after="40" w:line="220" w:lineRule="exact"/>
              <w:rPr>
                <w:sz w:val="18"/>
              </w:rPr>
            </w:pPr>
            <w:r w:rsidRPr="009A7433">
              <w:rPr>
                <w:sz w:val="18"/>
              </w:rPr>
              <w:t>Salariés non agricoles</w:t>
            </w:r>
          </w:p>
        </w:tc>
        <w:tc>
          <w:tcPr>
            <w:tcW w:w="90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185</w:t>
            </w:r>
            <w:r>
              <w:rPr>
                <w:sz w:val="18"/>
                <w:szCs w:val="18"/>
              </w:rPr>
              <w:t xml:space="preserve"> </w:t>
            </w:r>
            <w:r w:rsidRPr="009A7433">
              <w:rPr>
                <w:sz w:val="18"/>
                <w:szCs w:val="18"/>
              </w:rPr>
              <w:t>000</w:t>
            </w:r>
          </w:p>
        </w:tc>
        <w:tc>
          <w:tcPr>
            <w:tcW w:w="54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11,5</w:t>
            </w:r>
          </w:p>
        </w:tc>
        <w:tc>
          <w:tcPr>
            <w:tcW w:w="99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342</w:t>
            </w:r>
            <w:r>
              <w:rPr>
                <w:sz w:val="18"/>
                <w:szCs w:val="18"/>
              </w:rPr>
              <w:t xml:space="preserve"> </w:t>
            </w:r>
            <w:r w:rsidRPr="009A7433">
              <w:rPr>
                <w:sz w:val="18"/>
                <w:szCs w:val="18"/>
              </w:rPr>
              <w:t>000</w:t>
            </w:r>
          </w:p>
        </w:tc>
        <w:tc>
          <w:tcPr>
            <w:tcW w:w="63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17,4</w:t>
            </w:r>
          </w:p>
        </w:tc>
        <w:tc>
          <w:tcPr>
            <w:tcW w:w="99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91</w:t>
            </w:r>
            <w:r>
              <w:rPr>
                <w:sz w:val="18"/>
                <w:szCs w:val="18"/>
              </w:rPr>
              <w:t xml:space="preserve"> </w:t>
            </w:r>
            <w:r w:rsidRPr="009A7433">
              <w:rPr>
                <w:sz w:val="18"/>
                <w:szCs w:val="18"/>
              </w:rPr>
              <w:t>000</w:t>
            </w:r>
          </w:p>
        </w:tc>
        <w:tc>
          <w:tcPr>
            <w:tcW w:w="63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4,4</w:t>
            </w:r>
          </w:p>
        </w:tc>
        <w:tc>
          <w:tcPr>
            <w:tcW w:w="99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136</w:t>
            </w:r>
            <w:r>
              <w:rPr>
                <w:sz w:val="18"/>
                <w:szCs w:val="18"/>
              </w:rPr>
              <w:t xml:space="preserve"> </w:t>
            </w:r>
            <w:r w:rsidRPr="009A7433">
              <w:rPr>
                <w:sz w:val="18"/>
                <w:szCs w:val="18"/>
              </w:rPr>
              <w:t>000</w:t>
            </w:r>
          </w:p>
        </w:tc>
        <w:tc>
          <w:tcPr>
            <w:tcW w:w="63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5,6</w:t>
            </w:r>
          </w:p>
        </w:tc>
        <w:tc>
          <w:tcPr>
            <w:tcW w:w="99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276 000</w:t>
            </w:r>
          </w:p>
        </w:tc>
        <w:tc>
          <w:tcPr>
            <w:tcW w:w="63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7,5</w:t>
            </w:r>
          </w:p>
        </w:tc>
        <w:tc>
          <w:tcPr>
            <w:tcW w:w="99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47 8000</w:t>
            </w:r>
          </w:p>
        </w:tc>
        <w:tc>
          <w:tcPr>
            <w:tcW w:w="54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10,9</w:t>
            </w:r>
          </w:p>
        </w:tc>
      </w:tr>
      <w:tr w:rsidR="00CB399B" w:rsidRPr="00943B1D" w:rsidTr="008639F7">
        <w:tc>
          <w:tcPr>
            <w:tcW w:w="1710" w:type="dxa"/>
            <w:shd w:val="clear" w:color="auto" w:fill="auto"/>
            <w:vAlign w:val="bottom"/>
          </w:tcPr>
          <w:p w:rsidR="00CB399B" w:rsidRPr="009A7433" w:rsidRDefault="00CB399B" w:rsidP="008639F7">
            <w:pPr>
              <w:spacing w:before="40" w:after="40" w:line="220" w:lineRule="exact"/>
              <w:rPr>
                <w:sz w:val="18"/>
              </w:rPr>
            </w:pPr>
            <w:r w:rsidRPr="009A7433">
              <w:rPr>
                <w:sz w:val="18"/>
              </w:rPr>
              <w:t>Travailleurs Indépendants no</w:t>
            </w:r>
            <w:r w:rsidR="00F40792">
              <w:rPr>
                <w:sz w:val="18"/>
              </w:rPr>
              <w:t>n </w:t>
            </w:r>
            <w:r w:rsidRPr="009A7433">
              <w:rPr>
                <w:sz w:val="18"/>
              </w:rPr>
              <w:t>agricoles</w:t>
            </w:r>
          </w:p>
        </w:tc>
        <w:tc>
          <w:tcPr>
            <w:tcW w:w="90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71</w:t>
            </w:r>
            <w:r>
              <w:rPr>
                <w:sz w:val="18"/>
                <w:szCs w:val="18"/>
              </w:rPr>
              <w:t xml:space="preserve"> </w:t>
            </w:r>
            <w:r w:rsidRPr="009A7433">
              <w:rPr>
                <w:sz w:val="18"/>
                <w:szCs w:val="18"/>
              </w:rPr>
              <w:t>000</w:t>
            </w:r>
          </w:p>
        </w:tc>
        <w:tc>
          <w:tcPr>
            <w:tcW w:w="54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4,4</w:t>
            </w:r>
          </w:p>
        </w:tc>
        <w:tc>
          <w:tcPr>
            <w:tcW w:w="99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205</w:t>
            </w:r>
            <w:r>
              <w:rPr>
                <w:sz w:val="18"/>
                <w:szCs w:val="18"/>
              </w:rPr>
              <w:t xml:space="preserve"> </w:t>
            </w:r>
            <w:r w:rsidRPr="009A7433">
              <w:rPr>
                <w:sz w:val="18"/>
                <w:szCs w:val="18"/>
              </w:rPr>
              <w:t>000</w:t>
            </w:r>
          </w:p>
        </w:tc>
        <w:tc>
          <w:tcPr>
            <w:tcW w:w="63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10,4</w:t>
            </w:r>
          </w:p>
        </w:tc>
        <w:tc>
          <w:tcPr>
            <w:tcW w:w="99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57</w:t>
            </w:r>
            <w:r>
              <w:rPr>
                <w:sz w:val="18"/>
                <w:szCs w:val="18"/>
              </w:rPr>
              <w:t xml:space="preserve"> </w:t>
            </w:r>
            <w:r w:rsidRPr="009A7433">
              <w:rPr>
                <w:sz w:val="18"/>
                <w:szCs w:val="18"/>
              </w:rPr>
              <w:t>000</w:t>
            </w:r>
          </w:p>
        </w:tc>
        <w:tc>
          <w:tcPr>
            <w:tcW w:w="63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2,8</w:t>
            </w:r>
          </w:p>
        </w:tc>
        <w:tc>
          <w:tcPr>
            <w:tcW w:w="99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143</w:t>
            </w:r>
            <w:r>
              <w:rPr>
                <w:sz w:val="18"/>
                <w:szCs w:val="18"/>
              </w:rPr>
              <w:t xml:space="preserve"> </w:t>
            </w:r>
            <w:r w:rsidRPr="009A7433">
              <w:rPr>
                <w:sz w:val="18"/>
                <w:szCs w:val="18"/>
              </w:rPr>
              <w:t>000</w:t>
            </w:r>
          </w:p>
        </w:tc>
        <w:tc>
          <w:tcPr>
            <w:tcW w:w="630" w:type="dxa"/>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5,9</w:t>
            </w:r>
          </w:p>
        </w:tc>
        <w:tc>
          <w:tcPr>
            <w:tcW w:w="99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128 000</w:t>
            </w:r>
          </w:p>
        </w:tc>
        <w:tc>
          <w:tcPr>
            <w:tcW w:w="63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3,5</w:t>
            </w:r>
          </w:p>
        </w:tc>
        <w:tc>
          <w:tcPr>
            <w:tcW w:w="99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34 8000</w:t>
            </w:r>
          </w:p>
        </w:tc>
        <w:tc>
          <w:tcPr>
            <w:tcW w:w="54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8.0</w:t>
            </w:r>
          </w:p>
        </w:tc>
      </w:tr>
      <w:tr w:rsidR="00CB399B" w:rsidRPr="00943B1D" w:rsidTr="008639F7">
        <w:tc>
          <w:tcPr>
            <w:tcW w:w="1710" w:type="dxa"/>
            <w:tcBorders>
              <w:bottom w:val="single" w:sz="4" w:space="0" w:color="auto"/>
            </w:tcBorders>
            <w:shd w:val="clear" w:color="auto" w:fill="auto"/>
            <w:vAlign w:val="bottom"/>
          </w:tcPr>
          <w:p w:rsidR="00CB399B" w:rsidRPr="009A7433" w:rsidRDefault="00CB399B" w:rsidP="008639F7">
            <w:pPr>
              <w:spacing w:before="40" w:after="40" w:line="220" w:lineRule="exact"/>
              <w:rPr>
                <w:sz w:val="18"/>
              </w:rPr>
            </w:pPr>
            <w:r w:rsidRPr="009A7433">
              <w:rPr>
                <w:sz w:val="18"/>
              </w:rPr>
              <w:t>Main-d</w:t>
            </w:r>
            <w:r w:rsidR="00B861F1">
              <w:rPr>
                <w:sz w:val="18"/>
              </w:rPr>
              <w:t>’</w:t>
            </w:r>
            <w:r w:rsidRPr="009A7433">
              <w:rPr>
                <w:sz w:val="18"/>
              </w:rPr>
              <w:t>œuvre non</w:t>
            </w:r>
            <w:r w:rsidR="00F40792">
              <w:rPr>
                <w:sz w:val="18"/>
              </w:rPr>
              <w:t> </w:t>
            </w:r>
            <w:r w:rsidRPr="009A7433">
              <w:rPr>
                <w:sz w:val="18"/>
              </w:rPr>
              <w:t>Monétaire non</w:t>
            </w:r>
            <w:r w:rsidR="00F40792">
              <w:rPr>
                <w:sz w:val="18"/>
              </w:rPr>
              <w:t> </w:t>
            </w:r>
            <w:r w:rsidRPr="009A7433">
              <w:rPr>
                <w:sz w:val="18"/>
              </w:rPr>
              <w:t>agricole</w:t>
            </w:r>
          </w:p>
        </w:tc>
        <w:tc>
          <w:tcPr>
            <w:tcW w:w="900" w:type="dxa"/>
            <w:tcBorders>
              <w:bottom w:val="single" w:sz="4"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5</w:t>
            </w:r>
            <w:r>
              <w:rPr>
                <w:sz w:val="18"/>
                <w:szCs w:val="18"/>
              </w:rPr>
              <w:t xml:space="preserve"> </w:t>
            </w:r>
            <w:r w:rsidRPr="009A7433">
              <w:rPr>
                <w:sz w:val="18"/>
                <w:szCs w:val="18"/>
              </w:rPr>
              <w:t>000</w:t>
            </w:r>
          </w:p>
        </w:tc>
        <w:tc>
          <w:tcPr>
            <w:tcW w:w="540" w:type="dxa"/>
            <w:tcBorders>
              <w:bottom w:val="single" w:sz="4"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0,3</w:t>
            </w:r>
          </w:p>
        </w:tc>
        <w:tc>
          <w:tcPr>
            <w:tcW w:w="990" w:type="dxa"/>
            <w:tcBorders>
              <w:bottom w:val="single" w:sz="4"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18</w:t>
            </w:r>
            <w:r>
              <w:rPr>
                <w:sz w:val="18"/>
                <w:szCs w:val="18"/>
              </w:rPr>
              <w:t xml:space="preserve"> </w:t>
            </w:r>
            <w:r w:rsidRPr="009A7433">
              <w:rPr>
                <w:sz w:val="18"/>
                <w:szCs w:val="18"/>
              </w:rPr>
              <w:t>000</w:t>
            </w:r>
          </w:p>
        </w:tc>
        <w:tc>
          <w:tcPr>
            <w:tcW w:w="630" w:type="dxa"/>
            <w:tcBorders>
              <w:bottom w:val="single" w:sz="4"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0,9</w:t>
            </w:r>
          </w:p>
        </w:tc>
        <w:tc>
          <w:tcPr>
            <w:tcW w:w="990" w:type="dxa"/>
            <w:tcBorders>
              <w:bottom w:val="single" w:sz="4"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13</w:t>
            </w:r>
            <w:r>
              <w:rPr>
                <w:sz w:val="18"/>
                <w:szCs w:val="18"/>
              </w:rPr>
              <w:t xml:space="preserve"> </w:t>
            </w:r>
            <w:r w:rsidRPr="009A7433">
              <w:rPr>
                <w:sz w:val="18"/>
                <w:szCs w:val="18"/>
              </w:rPr>
              <w:t>000</w:t>
            </w:r>
          </w:p>
        </w:tc>
        <w:tc>
          <w:tcPr>
            <w:tcW w:w="630" w:type="dxa"/>
            <w:tcBorders>
              <w:bottom w:val="single" w:sz="4"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0,6</w:t>
            </w:r>
          </w:p>
        </w:tc>
        <w:tc>
          <w:tcPr>
            <w:tcW w:w="990" w:type="dxa"/>
            <w:tcBorders>
              <w:bottom w:val="single" w:sz="4"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54</w:t>
            </w:r>
            <w:r>
              <w:rPr>
                <w:sz w:val="18"/>
                <w:szCs w:val="18"/>
              </w:rPr>
              <w:t xml:space="preserve"> </w:t>
            </w:r>
            <w:r w:rsidRPr="009A7433">
              <w:rPr>
                <w:sz w:val="18"/>
                <w:szCs w:val="18"/>
              </w:rPr>
              <w:t>000</w:t>
            </w:r>
          </w:p>
        </w:tc>
        <w:tc>
          <w:tcPr>
            <w:tcW w:w="630" w:type="dxa"/>
            <w:tcBorders>
              <w:bottom w:val="single" w:sz="4" w:space="0" w:color="auto"/>
            </w:tcBorders>
            <w:shd w:val="clear" w:color="auto" w:fill="auto"/>
            <w:vAlign w:val="bottom"/>
          </w:tcPr>
          <w:p w:rsidR="00CB399B" w:rsidRPr="009A7433" w:rsidRDefault="00CB399B" w:rsidP="008639F7">
            <w:pPr>
              <w:suppressAutoHyphens w:val="0"/>
              <w:spacing w:before="40" w:after="40" w:line="220" w:lineRule="exact"/>
              <w:jc w:val="right"/>
              <w:rPr>
                <w:sz w:val="18"/>
                <w:szCs w:val="18"/>
              </w:rPr>
            </w:pPr>
            <w:r w:rsidRPr="009A7433">
              <w:rPr>
                <w:sz w:val="18"/>
                <w:szCs w:val="18"/>
              </w:rPr>
              <w:t>2,2</w:t>
            </w:r>
          </w:p>
        </w:tc>
        <w:tc>
          <w:tcPr>
            <w:tcW w:w="990" w:type="dxa"/>
            <w:tcBorders>
              <w:bottom w:val="single" w:sz="4" w:space="0" w:color="auto"/>
            </w:tcBorders>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18 000</w:t>
            </w:r>
          </w:p>
        </w:tc>
        <w:tc>
          <w:tcPr>
            <w:tcW w:w="630" w:type="dxa"/>
            <w:tcBorders>
              <w:bottom w:val="single" w:sz="4" w:space="0" w:color="auto"/>
            </w:tcBorders>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0,5</w:t>
            </w:r>
          </w:p>
        </w:tc>
        <w:tc>
          <w:tcPr>
            <w:tcW w:w="990" w:type="dxa"/>
            <w:tcBorders>
              <w:bottom w:val="single" w:sz="4" w:space="0" w:color="auto"/>
            </w:tcBorders>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7 2000</w:t>
            </w:r>
          </w:p>
        </w:tc>
        <w:tc>
          <w:tcPr>
            <w:tcW w:w="540" w:type="dxa"/>
            <w:shd w:val="clear" w:color="auto" w:fill="auto"/>
            <w:vAlign w:val="bottom"/>
          </w:tcPr>
          <w:p w:rsidR="00CB399B" w:rsidRPr="00F40792" w:rsidRDefault="00CB399B" w:rsidP="008639F7">
            <w:pPr>
              <w:suppressAutoHyphens w:val="0"/>
              <w:spacing w:before="40" w:after="40" w:line="220" w:lineRule="exact"/>
              <w:jc w:val="right"/>
              <w:rPr>
                <w:b/>
                <w:sz w:val="18"/>
                <w:szCs w:val="18"/>
              </w:rPr>
            </w:pPr>
            <w:r w:rsidRPr="00F40792">
              <w:rPr>
                <w:b/>
                <w:sz w:val="18"/>
                <w:szCs w:val="18"/>
              </w:rPr>
              <w:t>1,6</w:t>
            </w:r>
          </w:p>
        </w:tc>
      </w:tr>
      <w:tr w:rsidR="00CB399B" w:rsidRPr="009A7433" w:rsidTr="008639F7">
        <w:trPr>
          <w:trHeight w:val="413"/>
        </w:trPr>
        <w:tc>
          <w:tcPr>
            <w:tcW w:w="1710" w:type="dxa"/>
            <w:tcBorders>
              <w:top w:val="single" w:sz="4" w:space="0" w:color="auto"/>
              <w:bottom w:val="single" w:sz="12" w:space="0" w:color="auto"/>
            </w:tcBorders>
            <w:shd w:val="clear" w:color="auto" w:fill="auto"/>
            <w:vAlign w:val="bottom"/>
          </w:tcPr>
          <w:p w:rsidR="00CB399B" w:rsidRPr="009A7433" w:rsidRDefault="00CB399B" w:rsidP="008639F7">
            <w:pPr>
              <w:spacing w:before="80" w:after="80" w:line="220" w:lineRule="exact"/>
              <w:ind w:firstLine="284"/>
              <w:rPr>
                <w:b/>
                <w:sz w:val="18"/>
              </w:rPr>
            </w:pPr>
            <w:r w:rsidRPr="009A7433">
              <w:rPr>
                <w:b/>
                <w:sz w:val="18"/>
              </w:rPr>
              <w:t>Total</w:t>
            </w:r>
          </w:p>
        </w:tc>
        <w:tc>
          <w:tcPr>
            <w:tcW w:w="90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1</w:t>
            </w:r>
            <w:r>
              <w:rPr>
                <w:b/>
                <w:sz w:val="18"/>
                <w:szCs w:val="18"/>
              </w:rPr>
              <w:t xml:space="preserve"> </w:t>
            </w:r>
            <w:r w:rsidRPr="009A7433">
              <w:rPr>
                <w:b/>
                <w:sz w:val="18"/>
                <w:szCs w:val="18"/>
              </w:rPr>
              <w:t>610</w:t>
            </w:r>
            <w:r>
              <w:rPr>
                <w:b/>
                <w:sz w:val="18"/>
                <w:szCs w:val="18"/>
              </w:rPr>
              <w:t xml:space="preserve"> </w:t>
            </w:r>
            <w:r w:rsidRPr="009A7433">
              <w:rPr>
                <w:b/>
                <w:sz w:val="18"/>
                <w:szCs w:val="18"/>
              </w:rPr>
              <w:t>000</w:t>
            </w:r>
          </w:p>
        </w:tc>
        <w:tc>
          <w:tcPr>
            <w:tcW w:w="54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100</w:t>
            </w:r>
          </w:p>
        </w:tc>
        <w:tc>
          <w:tcPr>
            <w:tcW w:w="99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1</w:t>
            </w:r>
            <w:r>
              <w:rPr>
                <w:b/>
                <w:sz w:val="18"/>
                <w:szCs w:val="18"/>
              </w:rPr>
              <w:t xml:space="preserve"> </w:t>
            </w:r>
            <w:r w:rsidRPr="009A7433">
              <w:rPr>
                <w:b/>
                <w:sz w:val="18"/>
                <w:szCs w:val="18"/>
              </w:rPr>
              <w:t>967</w:t>
            </w:r>
            <w:r>
              <w:rPr>
                <w:b/>
                <w:sz w:val="18"/>
                <w:szCs w:val="18"/>
              </w:rPr>
              <w:t xml:space="preserve"> </w:t>
            </w:r>
            <w:r w:rsidRPr="009A7433">
              <w:rPr>
                <w:b/>
                <w:sz w:val="18"/>
                <w:szCs w:val="18"/>
              </w:rPr>
              <w:t>000</w:t>
            </w:r>
          </w:p>
        </w:tc>
        <w:tc>
          <w:tcPr>
            <w:tcW w:w="63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100</w:t>
            </w:r>
          </w:p>
        </w:tc>
        <w:tc>
          <w:tcPr>
            <w:tcW w:w="99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2</w:t>
            </w:r>
            <w:r>
              <w:rPr>
                <w:b/>
                <w:sz w:val="18"/>
                <w:szCs w:val="18"/>
              </w:rPr>
              <w:t xml:space="preserve"> </w:t>
            </w:r>
            <w:r w:rsidRPr="009A7433">
              <w:rPr>
                <w:b/>
                <w:sz w:val="18"/>
                <w:szCs w:val="18"/>
              </w:rPr>
              <w:t>072</w:t>
            </w:r>
            <w:r>
              <w:rPr>
                <w:b/>
                <w:sz w:val="18"/>
                <w:szCs w:val="18"/>
              </w:rPr>
              <w:t xml:space="preserve"> </w:t>
            </w:r>
            <w:r w:rsidRPr="009A7433">
              <w:rPr>
                <w:b/>
                <w:sz w:val="18"/>
                <w:szCs w:val="18"/>
              </w:rPr>
              <w:t>000</w:t>
            </w:r>
          </w:p>
        </w:tc>
        <w:tc>
          <w:tcPr>
            <w:tcW w:w="63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100</w:t>
            </w:r>
          </w:p>
        </w:tc>
        <w:tc>
          <w:tcPr>
            <w:tcW w:w="99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2</w:t>
            </w:r>
            <w:r>
              <w:rPr>
                <w:b/>
                <w:sz w:val="18"/>
                <w:szCs w:val="18"/>
              </w:rPr>
              <w:t xml:space="preserve"> </w:t>
            </w:r>
            <w:r w:rsidRPr="009A7433">
              <w:rPr>
                <w:b/>
                <w:sz w:val="18"/>
                <w:szCs w:val="18"/>
              </w:rPr>
              <w:t>411</w:t>
            </w:r>
            <w:r>
              <w:rPr>
                <w:b/>
                <w:sz w:val="18"/>
                <w:szCs w:val="18"/>
              </w:rPr>
              <w:t xml:space="preserve"> </w:t>
            </w:r>
            <w:r w:rsidRPr="009A7433">
              <w:rPr>
                <w:b/>
                <w:sz w:val="18"/>
                <w:szCs w:val="18"/>
              </w:rPr>
              <w:t>000</w:t>
            </w:r>
          </w:p>
        </w:tc>
        <w:tc>
          <w:tcPr>
            <w:tcW w:w="63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100</w:t>
            </w:r>
          </w:p>
        </w:tc>
        <w:tc>
          <w:tcPr>
            <w:tcW w:w="99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3</w:t>
            </w:r>
            <w:r>
              <w:rPr>
                <w:b/>
                <w:sz w:val="18"/>
                <w:szCs w:val="18"/>
              </w:rPr>
              <w:t xml:space="preserve"> </w:t>
            </w:r>
            <w:r w:rsidRPr="009A7433">
              <w:rPr>
                <w:b/>
                <w:sz w:val="18"/>
                <w:szCs w:val="18"/>
              </w:rPr>
              <w:t>683</w:t>
            </w:r>
            <w:r>
              <w:rPr>
                <w:b/>
                <w:sz w:val="18"/>
                <w:szCs w:val="18"/>
              </w:rPr>
              <w:t xml:space="preserve"> </w:t>
            </w:r>
            <w:r w:rsidRPr="009A7433">
              <w:rPr>
                <w:b/>
                <w:sz w:val="18"/>
                <w:szCs w:val="18"/>
              </w:rPr>
              <w:t>000</w:t>
            </w:r>
          </w:p>
        </w:tc>
        <w:tc>
          <w:tcPr>
            <w:tcW w:w="63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100</w:t>
            </w:r>
          </w:p>
        </w:tc>
        <w:tc>
          <w:tcPr>
            <w:tcW w:w="990" w:type="dxa"/>
            <w:tcBorders>
              <w:top w:val="single" w:sz="4" w:space="0" w:color="auto"/>
              <w:bottom w:val="single" w:sz="12" w:space="0" w:color="auto"/>
            </w:tcBorders>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437</w:t>
            </w:r>
            <w:r>
              <w:rPr>
                <w:b/>
                <w:sz w:val="18"/>
                <w:szCs w:val="18"/>
              </w:rPr>
              <w:t xml:space="preserve"> </w:t>
            </w:r>
            <w:r w:rsidRPr="009A7433">
              <w:rPr>
                <w:b/>
                <w:sz w:val="18"/>
                <w:szCs w:val="18"/>
              </w:rPr>
              <w:t>7000</w:t>
            </w:r>
          </w:p>
        </w:tc>
        <w:tc>
          <w:tcPr>
            <w:tcW w:w="540" w:type="dxa"/>
            <w:shd w:val="clear" w:color="auto" w:fill="auto"/>
            <w:vAlign w:val="bottom"/>
          </w:tcPr>
          <w:p w:rsidR="00CB399B" w:rsidRPr="009A7433" w:rsidRDefault="00CB399B" w:rsidP="008639F7">
            <w:pPr>
              <w:suppressAutoHyphens w:val="0"/>
              <w:spacing w:before="80" w:after="80" w:line="220" w:lineRule="exact"/>
              <w:jc w:val="right"/>
              <w:rPr>
                <w:b/>
                <w:sz w:val="18"/>
                <w:szCs w:val="18"/>
              </w:rPr>
            </w:pPr>
            <w:r w:rsidRPr="009A7433">
              <w:rPr>
                <w:b/>
                <w:sz w:val="18"/>
                <w:szCs w:val="18"/>
              </w:rPr>
              <w:t>100</w:t>
            </w:r>
          </w:p>
        </w:tc>
      </w:tr>
    </w:tbl>
    <w:p w:rsidR="00CB399B" w:rsidRPr="009B6952" w:rsidRDefault="00CB399B" w:rsidP="00CB399B">
      <w:pPr>
        <w:pStyle w:val="SingleTxtG"/>
        <w:spacing w:before="240"/>
      </w:pPr>
      <w:r w:rsidRPr="00E534D8">
        <w:t>5</w:t>
      </w:r>
      <w:r>
        <w:t>1</w:t>
      </w:r>
      <w:r w:rsidRPr="00E534D8">
        <w:t>.</w:t>
      </w:r>
      <w:r w:rsidRPr="009B6952">
        <w:rPr>
          <w:sz w:val="24"/>
          <w:szCs w:val="24"/>
        </w:rPr>
        <w:tab/>
      </w:r>
      <w:r w:rsidRPr="009B6952">
        <w:t>Les travailleurs sous-employés</w:t>
      </w:r>
      <w:r w:rsidRPr="00C5681E">
        <w:rPr>
          <w:sz w:val="18"/>
          <w:szCs w:val="18"/>
          <w:vertAlign w:val="superscript"/>
        </w:rPr>
        <w:footnoteReference w:id="37"/>
      </w:r>
      <w:r w:rsidRPr="009B6952">
        <w:t xml:space="preserve"> se remarquent beaucoup plus chez les agriculteurs travaillant moins de 24 heures par semaine. </w:t>
      </w:r>
    </w:p>
    <w:p w:rsidR="00CB399B" w:rsidRPr="003E7566" w:rsidRDefault="00CB399B" w:rsidP="00CB399B">
      <w:pPr>
        <w:pStyle w:val="SingleTxtG"/>
        <w:keepNext/>
        <w:keepLines/>
      </w:pPr>
      <w:r>
        <w:t>52</w:t>
      </w:r>
      <w:r w:rsidRPr="003E7566">
        <w:t>.</w:t>
      </w:r>
      <w:r w:rsidRPr="003E7566">
        <w:rPr>
          <w:szCs w:val="24"/>
        </w:rPr>
        <w:tab/>
      </w:r>
      <w:r w:rsidRPr="003E7566">
        <w:t xml:space="preserve">Les informations </w:t>
      </w:r>
      <w:r>
        <w:t xml:space="preserve">recueillies </w:t>
      </w:r>
      <w:r w:rsidRPr="003E7566">
        <w:t xml:space="preserve">sur </w:t>
      </w:r>
      <w:r>
        <w:t xml:space="preserve">les </w:t>
      </w:r>
      <w:r w:rsidRPr="003E7566">
        <w:t>autres catégories de travailleurs</w:t>
      </w:r>
      <w:r>
        <w:t xml:space="preserve"> –</w:t>
      </w:r>
      <w:r w:rsidRPr="003E7566">
        <w:t xml:space="preserve"> les femmes, </w:t>
      </w:r>
      <w:r>
        <w:t xml:space="preserve">les </w:t>
      </w:r>
      <w:r w:rsidRPr="003E7566">
        <w:t xml:space="preserve">jeunes et </w:t>
      </w:r>
      <w:r>
        <w:t xml:space="preserve">les </w:t>
      </w:r>
      <w:r w:rsidRPr="003E7566">
        <w:t>travailleurs âgés</w:t>
      </w:r>
      <w:r>
        <w:t xml:space="preserve"> – révèlent que</w:t>
      </w:r>
      <w:r w:rsidRPr="003E7566">
        <w:t xml:space="preserve">: </w:t>
      </w:r>
    </w:p>
    <w:p w:rsidR="00CB399B" w:rsidRPr="009B6952" w:rsidRDefault="00CB399B" w:rsidP="00CB399B">
      <w:pPr>
        <w:pStyle w:val="SingleTxtG"/>
        <w:ind w:firstLine="567"/>
      </w:pPr>
      <w:r>
        <w:t>a)</w:t>
      </w:r>
      <w:r>
        <w:tab/>
      </w:r>
      <w:r w:rsidRPr="009B6952">
        <w:t>La majorité des femmes</w:t>
      </w:r>
      <w:r w:rsidRPr="00D60FFC">
        <w:rPr>
          <w:sz w:val="18"/>
          <w:szCs w:val="18"/>
          <w:vertAlign w:val="superscript"/>
        </w:rPr>
        <w:footnoteReference w:id="38"/>
      </w:r>
      <w:r w:rsidRPr="009B6952">
        <w:t xml:space="preserve"> travaillent dans des emplois ne nécessitant aucune compétence, comme commerçantes ou arti</w:t>
      </w:r>
      <w:r>
        <w:t>sanes;</w:t>
      </w:r>
    </w:p>
    <w:p w:rsidR="00CB399B" w:rsidRPr="009B6952" w:rsidRDefault="00CB399B" w:rsidP="00CB399B">
      <w:pPr>
        <w:pStyle w:val="SingleTxtG"/>
        <w:ind w:firstLine="567"/>
      </w:pPr>
      <w:r>
        <w:t>b)</w:t>
      </w:r>
      <w:r>
        <w:tab/>
      </w:r>
      <w:r w:rsidRPr="009B6952">
        <w:t>En milieu rural, 60</w:t>
      </w:r>
      <w:r>
        <w:t xml:space="preserve"> % </w:t>
      </w:r>
      <w:r w:rsidRPr="009B6952">
        <w:t xml:space="preserve">des femmes sont ouvrières, </w:t>
      </w:r>
      <w:r>
        <w:t>et parmi elles</w:t>
      </w:r>
      <w:r w:rsidRPr="009B6952">
        <w:t xml:space="preserve"> 15</w:t>
      </w:r>
      <w:r>
        <w:t xml:space="preserve"> % </w:t>
      </w:r>
      <w:r w:rsidRPr="009B6952">
        <w:t>sont salariées contre 33</w:t>
      </w:r>
      <w:r>
        <w:t xml:space="preserve"> % </w:t>
      </w:r>
      <w:r w:rsidRPr="009B6952">
        <w:t>en milieu urbain</w:t>
      </w:r>
      <w:r>
        <w:t>;</w:t>
      </w:r>
    </w:p>
    <w:p w:rsidR="00CB399B" w:rsidRPr="009B6952" w:rsidRDefault="00CB399B" w:rsidP="00CB399B">
      <w:pPr>
        <w:pStyle w:val="SingleTxtG"/>
        <w:ind w:firstLine="567"/>
      </w:pPr>
      <w:r>
        <w:t>c)</w:t>
      </w:r>
      <w:r>
        <w:tab/>
      </w:r>
      <w:r w:rsidRPr="009B6952">
        <w:t>Parmi la population active</w:t>
      </w:r>
      <w:r w:rsidRPr="00D60FFC">
        <w:rPr>
          <w:sz w:val="18"/>
          <w:szCs w:val="18"/>
          <w:vertAlign w:val="superscript"/>
        </w:rPr>
        <w:footnoteReference w:id="39"/>
      </w:r>
      <w:r w:rsidRPr="009B6952">
        <w:t xml:space="preserve"> (estimée à 4</w:t>
      </w:r>
      <w:r>
        <w:t xml:space="preserve"> </w:t>
      </w:r>
      <w:r w:rsidRPr="009B6952">
        <w:t>484</w:t>
      </w:r>
      <w:r>
        <w:t xml:space="preserve"> </w:t>
      </w:r>
      <w:r w:rsidRPr="009B6952">
        <w:t>000) en 2005/06, 4,5</w:t>
      </w:r>
      <w:r>
        <w:t xml:space="preserve"> % sont </w:t>
      </w:r>
      <w:r w:rsidRPr="009B6952">
        <w:t>des personnes âgées de plus de 65 ans</w:t>
      </w:r>
      <w:r>
        <w:t xml:space="preserve">; </w:t>
      </w:r>
    </w:p>
    <w:p w:rsidR="00CB399B" w:rsidRPr="009B6952" w:rsidRDefault="00CB399B" w:rsidP="00CB399B">
      <w:pPr>
        <w:pStyle w:val="SingleTxtG"/>
        <w:ind w:firstLine="567"/>
      </w:pPr>
      <w:r>
        <w:t>d)</w:t>
      </w:r>
      <w:r>
        <w:tab/>
      </w:r>
      <w:r w:rsidRPr="009B6952">
        <w:t>Quant aux jeunes</w:t>
      </w:r>
      <w:r w:rsidRPr="00D60FFC">
        <w:rPr>
          <w:sz w:val="18"/>
          <w:szCs w:val="18"/>
          <w:vertAlign w:val="superscript"/>
        </w:rPr>
        <w:footnoteReference w:id="40"/>
      </w:r>
      <w:r w:rsidRPr="009B6952">
        <w:t xml:space="preserve"> qui occupent un emploi, ils </w:t>
      </w:r>
      <w:r>
        <w:t>représentent</w:t>
      </w:r>
      <w:r w:rsidRPr="009B6952">
        <w:t xml:space="preserve"> 52</w:t>
      </w:r>
      <w:r>
        <w:t xml:space="preserve"> % </w:t>
      </w:r>
      <w:r w:rsidRPr="009B6952">
        <w:t>(jeunes entre 15 et 29 ans) et 25,6</w:t>
      </w:r>
      <w:r>
        <w:t xml:space="preserve"> %</w:t>
      </w:r>
      <w:r w:rsidRPr="009B6952">
        <w:t xml:space="preserve"> (jeunes de moins de 20 ans) </w:t>
      </w:r>
      <w:r>
        <w:t xml:space="preserve">des travailleurs </w:t>
      </w:r>
      <w:r w:rsidRPr="009B6952">
        <w:t>durant la même période 2005/06.</w:t>
      </w:r>
    </w:p>
    <w:p w:rsidR="00CB399B" w:rsidRDefault="00CB399B" w:rsidP="00CB399B">
      <w:pPr>
        <w:pStyle w:val="SingleTxtG"/>
        <w:spacing w:after="240"/>
      </w:pPr>
      <w:r>
        <w:t>53</w:t>
      </w:r>
      <w:r w:rsidRPr="003E7566">
        <w:t>.</w:t>
      </w:r>
      <w:r w:rsidRPr="003E7566">
        <w:rPr>
          <w:szCs w:val="24"/>
        </w:rPr>
        <w:tab/>
      </w:r>
      <w:r w:rsidRPr="003E7566">
        <w:t xml:space="preserve">Quant au chômage, il </w:t>
      </w:r>
      <w:r>
        <w:t>est</w:t>
      </w:r>
      <w:r w:rsidRPr="003E7566">
        <w:t xml:space="preserve"> </w:t>
      </w:r>
      <w:r>
        <w:t>exposé dans le tableau ci-dessous.</w:t>
      </w:r>
    </w:p>
    <w:p w:rsidR="00CB399B" w:rsidRDefault="00CB399B" w:rsidP="007E44B0">
      <w:pPr>
        <w:pStyle w:val="Heading1"/>
        <w:spacing w:after="120"/>
      </w:pPr>
      <w:r>
        <w:t xml:space="preserve">Tableau </w:t>
      </w:r>
      <w:r w:rsidRPr="00D120C6">
        <w:t>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66"/>
        <w:gridCol w:w="4304"/>
      </w:tblGrid>
      <w:tr w:rsidR="00CB399B" w:rsidRPr="00D120C6" w:rsidTr="008639F7">
        <w:trPr>
          <w:tblHeader/>
        </w:trPr>
        <w:tc>
          <w:tcPr>
            <w:tcW w:w="3066" w:type="dxa"/>
            <w:tcBorders>
              <w:top w:val="single" w:sz="4" w:space="0" w:color="auto"/>
              <w:bottom w:val="single" w:sz="12" w:space="0" w:color="auto"/>
            </w:tcBorders>
            <w:shd w:val="clear" w:color="auto" w:fill="auto"/>
            <w:vAlign w:val="bottom"/>
          </w:tcPr>
          <w:p w:rsidR="00CB399B" w:rsidRPr="00D120C6" w:rsidRDefault="00CB399B" w:rsidP="007E44B0">
            <w:pPr>
              <w:suppressAutoHyphens w:val="0"/>
              <w:spacing w:before="80" w:after="80" w:line="200" w:lineRule="exact"/>
              <w:ind w:right="113"/>
              <w:rPr>
                <w:i/>
                <w:sz w:val="16"/>
              </w:rPr>
            </w:pPr>
            <w:r w:rsidRPr="00D120C6">
              <w:rPr>
                <w:i/>
                <w:sz w:val="16"/>
              </w:rPr>
              <w:t>Région</w:t>
            </w:r>
          </w:p>
        </w:tc>
        <w:tc>
          <w:tcPr>
            <w:tcW w:w="4304" w:type="dxa"/>
            <w:tcBorders>
              <w:top w:val="single" w:sz="4" w:space="0" w:color="auto"/>
              <w:bottom w:val="single" w:sz="12" w:space="0" w:color="auto"/>
            </w:tcBorders>
            <w:shd w:val="clear" w:color="auto" w:fill="auto"/>
            <w:vAlign w:val="bottom"/>
          </w:tcPr>
          <w:p w:rsidR="00CB399B" w:rsidRPr="00D120C6" w:rsidRDefault="00CB399B" w:rsidP="007E44B0">
            <w:pPr>
              <w:suppressAutoHyphens w:val="0"/>
              <w:spacing w:before="80" w:after="80" w:line="200" w:lineRule="exact"/>
              <w:jc w:val="right"/>
              <w:rPr>
                <w:i/>
                <w:sz w:val="16"/>
              </w:rPr>
            </w:pPr>
            <w:r w:rsidRPr="00D120C6">
              <w:rPr>
                <w:i/>
                <w:sz w:val="16"/>
              </w:rPr>
              <w:t>Taux de chômage</w:t>
            </w:r>
          </w:p>
        </w:tc>
      </w:tr>
      <w:tr w:rsidR="00CB399B" w:rsidRPr="00D120C6" w:rsidTr="008639F7">
        <w:tc>
          <w:tcPr>
            <w:tcW w:w="3066" w:type="dxa"/>
            <w:tcBorders>
              <w:top w:val="single" w:sz="12" w:space="0" w:color="auto"/>
            </w:tcBorders>
            <w:shd w:val="clear" w:color="auto" w:fill="auto"/>
          </w:tcPr>
          <w:p w:rsidR="00CB399B" w:rsidRPr="00D120C6" w:rsidRDefault="00CB399B" w:rsidP="007E44B0">
            <w:pPr>
              <w:suppressAutoHyphens w:val="0"/>
              <w:spacing w:before="40" w:after="40" w:line="220" w:lineRule="exact"/>
              <w:rPr>
                <w:sz w:val="18"/>
              </w:rPr>
            </w:pPr>
            <w:r w:rsidRPr="00D120C6">
              <w:rPr>
                <w:sz w:val="18"/>
              </w:rPr>
              <w:t>Ville de Kigali</w:t>
            </w:r>
          </w:p>
        </w:tc>
        <w:tc>
          <w:tcPr>
            <w:tcW w:w="4304" w:type="dxa"/>
            <w:tcBorders>
              <w:top w:val="single" w:sz="12" w:space="0" w:color="auto"/>
            </w:tcBorders>
            <w:shd w:val="clear" w:color="auto" w:fill="auto"/>
            <w:vAlign w:val="bottom"/>
          </w:tcPr>
          <w:p w:rsidR="00CB399B" w:rsidRPr="00D120C6" w:rsidRDefault="00CB399B" w:rsidP="007E44B0">
            <w:pPr>
              <w:suppressAutoHyphens w:val="0"/>
              <w:spacing w:before="40" w:after="40" w:line="220" w:lineRule="exact"/>
              <w:jc w:val="right"/>
              <w:rPr>
                <w:sz w:val="18"/>
              </w:rPr>
            </w:pPr>
            <w:r w:rsidRPr="00D120C6">
              <w:rPr>
                <w:sz w:val="18"/>
              </w:rPr>
              <w:t>6,6 %</w:t>
            </w:r>
          </w:p>
        </w:tc>
      </w:tr>
      <w:tr w:rsidR="00CB399B" w:rsidRPr="00D120C6" w:rsidTr="008639F7">
        <w:tc>
          <w:tcPr>
            <w:tcW w:w="3066" w:type="dxa"/>
            <w:shd w:val="clear" w:color="auto" w:fill="auto"/>
          </w:tcPr>
          <w:p w:rsidR="00CB399B" w:rsidRPr="00D120C6" w:rsidRDefault="00CB399B" w:rsidP="007E44B0">
            <w:pPr>
              <w:suppressAutoHyphens w:val="0"/>
              <w:spacing w:before="40" w:after="40" w:line="220" w:lineRule="exact"/>
              <w:rPr>
                <w:sz w:val="18"/>
              </w:rPr>
            </w:pPr>
            <w:r w:rsidRPr="00D120C6">
              <w:rPr>
                <w:sz w:val="18"/>
              </w:rPr>
              <w:t>Autres villes urbaines</w:t>
            </w:r>
          </w:p>
        </w:tc>
        <w:tc>
          <w:tcPr>
            <w:tcW w:w="4304" w:type="dxa"/>
            <w:shd w:val="clear" w:color="auto" w:fill="auto"/>
            <w:vAlign w:val="bottom"/>
          </w:tcPr>
          <w:p w:rsidR="00CB399B" w:rsidRPr="00D120C6" w:rsidRDefault="00CB399B" w:rsidP="007E44B0">
            <w:pPr>
              <w:suppressAutoHyphens w:val="0"/>
              <w:spacing w:before="40" w:after="40" w:line="220" w:lineRule="exact"/>
              <w:jc w:val="right"/>
              <w:rPr>
                <w:sz w:val="18"/>
              </w:rPr>
            </w:pPr>
            <w:r w:rsidRPr="00D120C6">
              <w:rPr>
                <w:sz w:val="18"/>
              </w:rPr>
              <w:t>3 %</w:t>
            </w:r>
          </w:p>
        </w:tc>
      </w:tr>
      <w:tr w:rsidR="00CB399B" w:rsidRPr="00D120C6" w:rsidTr="008639F7">
        <w:tc>
          <w:tcPr>
            <w:tcW w:w="3066" w:type="dxa"/>
            <w:shd w:val="clear" w:color="auto" w:fill="auto"/>
          </w:tcPr>
          <w:p w:rsidR="00CB399B" w:rsidRPr="00D120C6" w:rsidRDefault="00CB399B" w:rsidP="007E44B0">
            <w:pPr>
              <w:suppressAutoHyphens w:val="0"/>
              <w:spacing w:before="40" w:after="40" w:line="220" w:lineRule="exact"/>
              <w:rPr>
                <w:sz w:val="18"/>
              </w:rPr>
            </w:pPr>
            <w:r w:rsidRPr="00D120C6">
              <w:rPr>
                <w:sz w:val="18"/>
              </w:rPr>
              <w:t>Régions rurales</w:t>
            </w:r>
          </w:p>
        </w:tc>
        <w:tc>
          <w:tcPr>
            <w:tcW w:w="4304" w:type="dxa"/>
            <w:shd w:val="clear" w:color="auto" w:fill="auto"/>
            <w:vAlign w:val="bottom"/>
          </w:tcPr>
          <w:p w:rsidR="00CB399B" w:rsidRPr="00D120C6" w:rsidRDefault="00CB399B" w:rsidP="007E44B0">
            <w:pPr>
              <w:suppressAutoHyphens w:val="0"/>
              <w:spacing w:before="40" w:after="40" w:line="220" w:lineRule="exact"/>
              <w:jc w:val="right"/>
              <w:rPr>
                <w:sz w:val="18"/>
              </w:rPr>
            </w:pPr>
            <w:r w:rsidRPr="00D120C6">
              <w:rPr>
                <w:sz w:val="18"/>
              </w:rPr>
              <w:t>0,5 %</w:t>
            </w:r>
          </w:p>
        </w:tc>
      </w:tr>
    </w:tbl>
    <w:p w:rsidR="00CB399B" w:rsidRPr="009B6952" w:rsidRDefault="00CB399B" w:rsidP="007E44B0">
      <w:pPr>
        <w:pStyle w:val="SingleTxtG"/>
        <w:spacing w:before="120" w:after="240"/>
        <w:ind w:firstLine="170"/>
      </w:pPr>
      <w:r w:rsidRPr="00D120C6">
        <w:rPr>
          <w:i/>
          <w:sz w:val="18"/>
          <w:szCs w:val="18"/>
        </w:rPr>
        <w:t>Source</w:t>
      </w:r>
      <w:r w:rsidRPr="009B6952">
        <w:t>: EICV2 (données de 2005-2006)</w:t>
      </w:r>
      <w:r>
        <w:t>.</w:t>
      </w:r>
    </w:p>
    <w:p w:rsidR="00CB399B" w:rsidRPr="009B6952" w:rsidRDefault="00CB399B" w:rsidP="00CB399B">
      <w:pPr>
        <w:pStyle w:val="H4G"/>
      </w:pPr>
      <w:r>
        <w:tab/>
      </w:r>
      <w:r>
        <w:tab/>
        <w:t>Les personnes/groupes/</w:t>
      </w:r>
      <w:r w:rsidRPr="009B6952">
        <w:t xml:space="preserve">régions considérés </w:t>
      </w:r>
      <w:r>
        <w:t xml:space="preserve">comme </w:t>
      </w:r>
      <w:r w:rsidRPr="009B6952">
        <w:t xml:space="preserve">particulièrement vulnérables </w:t>
      </w:r>
    </w:p>
    <w:p w:rsidR="00CB399B" w:rsidRPr="009B6952" w:rsidRDefault="00CB399B" w:rsidP="00CB399B">
      <w:pPr>
        <w:pStyle w:val="SingleTxtG"/>
      </w:pPr>
      <w:r>
        <w:t>54</w:t>
      </w:r>
      <w:r w:rsidRPr="00C5681E">
        <w:t>.</w:t>
      </w:r>
      <w:r w:rsidRPr="009B6952">
        <w:rPr>
          <w:sz w:val="24"/>
          <w:szCs w:val="24"/>
        </w:rPr>
        <w:tab/>
      </w:r>
      <w:r w:rsidRPr="009B6952">
        <w:t xml:space="preserve">Les travailleurs </w:t>
      </w:r>
      <w:r>
        <w:t>qu</w:t>
      </w:r>
      <w:r w:rsidR="00B861F1">
        <w:t>’</w:t>
      </w:r>
      <w:r>
        <w:t>il convient de considérer</w:t>
      </w:r>
      <w:r w:rsidRPr="009B6952">
        <w:t xml:space="preserve"> comme vulnérables ou défavorisés sont ceux œuvrant dans le domaine agricole, les mines et </w:t>
      </w:r>
      <w:r>
        <w:t xml:space="preserve">les </w:t>
      </w:r>
      <w:r w:rsidRPr="009B6952">
        <w:t xml:space="preserve">carrières, </w:t>
      </w:r>
      <w:r>
        <w:t xml:space="preserve">ainsi que </w:t>
      </w:r>
      <w:r w:rsidRPr="009B6952">
        <w:t>les autres travailleurs manuels sans aucune compétence ou encore les personnes handicapées</w:t>
      </w:r>
      <w:r w:rsidRPr="00C5681E">
        <w:rPr>
          <w:sz w:val="18"/>
          <w:szCs w:val="18"/>
          <w:vertAlign w:val="superscript"/>
        </w:rPr>
        <w:footnoteReference w:id="41"/>
      </w:r>
      <w:r w:rsidRPr="009B6952">
        <w:t xml:space="preserve">. </w:t>
      </w:r>
    </w:p>
    <w:p w:rsidR="00CB399B" w:rsidRPr="009B6952" w:rsidRDefault="00CB399B" w:rsidP="00CB399B">
      <w:pPr>
        <w:pStyle w:val="SingleTxtG"/>
      </w:pPr>
      <w:r>
        <w:t>55</w:t>
      </w:r>
      <w:r w:rsidRPr="00C5681E">
        <w:t>.</w:t>
      </w:r>
      <w:r w:rsidRPr="00C5681E">
        <w:tab/>
        <w:t>Les autres</w:t>
      </w:r>
      <w:r w:rsidRPr="009B6952">
        <w:t xml:space="preserve"> travailleurs vulnérables sont les femmes</w:t>
      </w:r>
      <w:r>
        <w:t>. L</w:t>
      </w:r>
      <w:r w:rsidRPr="009B6952">
        <w:t xml:space="preserve">e domaine agricole est fortement dominé par les femmes: la population féminine </w:t>
      </w:r>
      <w:r w:rsidRPr="00B54208">
        <w:t>y</w:t>
      </w:r>
      <w:r>
        <w:t xml:space="preserve"> est représentée</w:t>
      </w:r>
      <w:r w:rsidRPr="009B6952">
        <w:t xml:space="preserve"> </w:t>
      </w:r>
      <w:r>
        <w:t xml:space="preserve">à </w:t>
      </w:r>
      <w:r w:rsidRPr="009B6952">
        <w:t>92,97</w:t>
      </w:r>
      <w:r>
        <w:t xml:space="preserve"> %</w:t>
      </w:r>
      <w:r w:rsidRPr="009B6952">
        <w:t xml:space="preserve"> contre 80,9</w:t>
      </w:r>
      <w:r>
        <w:t xml:space="preserve"> %</w:t>
      </w:r>
      <w:r w:rsidRPr="009B6952">
        <w:t xml:space="preserve"> </w:t>
      </w:r>
      <w:r>
        <w:t>pour</w:t>
      </w:r>
      <w:r w:rsidRPr="009B6952">
        <w:t xml:space="preserve"> les hommes. </w:t>
      </w:r>
    </w:p>
    <w:p w:rsidR="00CB399B" w:rsidRPr="009B6952" w:rsidRDefault="00CB399B" w:rsidP="00CB399B">
      <w:pPr>
        <w:pStyle w:val="SingleTxtG"/>
      </w:pPr>
      <w:r>
        <w:t>56</w:t>
      </w:r>
      <w:r w:rsidRPr="00C5681E">
        <w:t>.</w:t>
      </w:r>
      <w:r w:rsidRPr="00C5681E">
        <w:tab/>
        <w:t>Cette</w:t>
      </w:r>
      <w:r w:rsidRPr="009B6952">
        <w:t xml:space="preserve"> vulnérabilité s</w:t>
      </w:r>
      <w:r w:rsidR="00B861F1">
        <w:t>’</w:t>
      </w:r>
      <w:r w:rsidRPr="009B6952">
        <w:t>explique par le fait que le secteur primaire présente des signes d</w:t>
      </w:r>
      <w:r w:rsidR="00B861F1">
        <w:t>’</w:t>
      </w:r>
      <w:r w:rsidRPr="009B6952">
        <w:t>essoufflement caractérisés par le vieillissement des plantations</w:t>
      </w:r>
      <w:r>
        <w:t xml:space="preserve"> et</w:t>
      </w:r>
      <w:r w:rsidRPr="009B6952">
        <w:t xml:space="preserve"> les difficultés d</w:t>
      </w:r>
      <w:r w:rsidR="00B861F1">
        <w:t>’</w:t>
      </w:r>
      <w:r w:rsidRPr="009B6952">
        <w:t>accès au crédit et aux innovations technologiques.</w:t>
      </w:r>
      <w:r>
        <w:t xml:space="preserve"> </w:t>
      </w:r>
      <w:r w:rsidRPr="009B6952">
        <w:t>Quant à la vulnérabilité des personnes handicapées, elle s</w:t>
      </w:r>
      <w:r w:rsidR="00B861F1">
        <w:t>’</w:t>
      </w:r>
      <w:r w:rsidRPr="009B6952">
        <w:t xml:space="preserve">explique par le fait que </w:t>
      </w:r>
      <w:r>
        <w:t>l</w:t>
      </w:r>
      <w:r w:rsidR="00B861F1">
        <w:t>’</w:t>
      </w:r>
      <w:r>
        <w:t>ensemble d</w:t>
      </w:r>
      <w:r w:rsidRPr="009B6952">
        <w:t>es infrastructures (par exemple le transport, l</w:t>
      </w:r>
      <w:r w:rsidR="00B861F1">
        <w:t>’</w:t>
      </w:r>
      <w:r w:rsidRPr="009B6952">
        <w:t xml:space="preserve">accès aux lieux de travail) ne </w:t>
      </w:r>
      <w:r w:rsidRPr="005E7CEA">
        <w:t>prend pas encore suffisamment en compte</w:t>
      </w:r>
      <w:r>
        <w:t xml:space="preserve"> leurs besoins</w:t>
      </w:r>
      <w:r w:rsidRPr="009B6952">
        <w:t>.</w:t>
      </w:r>
      <w:r>
        <w:t xml:space="preserve"> </w:t>
      </w:r>
    </w:p>
    <w:p w:rsidR="00CB399B" w:rsidRPr="009B6952" w:rsidRDefault="00CB399B" w:rsidP="00CB399B">
      <w:pPr>
        <w:pStyle w:val="H4G"/>
      </w:pPr>
      <w:r>
        <w:tab/>
      </w:r>
      <w:r>
        <w:tab/>
      </w:r>
      <w:r w:rsidRPr="009B6952">
        <w:t>Les mesures et politiques adoptées pour assurer l</w:t>
      </w:r>
      <w:r w:rsidR="00B861F1">
        <w:t>’</w:t>
      </w:r>
      <w:r w:rsidRPr="009B6952">
        <w:t>accès à l</w:t>
      </w:r>
      <w:r w:rsidR="00B861F1">
        <w:t>’</w:t>
      </w:r>
      <w:r w:rsidRPr="009B6952">
        <w:t>emploi pour tous</w:t>
      </w:r>
      <w:r w:rsidRPr="00C5681E">
        <w:rPr>
          <w:i w:val="0"/>
          <w:sz w:val="18"/>
          <w:szCs w:val="18"/>
          <w:vertAlign w:val="superscript"/>
        </w:rPr>
        <w:footnoteReference w:id="42"/>
      </w:r>
    </w:p>
    <w:p w:rsidR="00CB399B" w:rsidRPr="009B6952" w:rsidRDefault="00CB399B" w:rsidP="00CB399B">
      <w:pPr>
        <w:pStyle w:val="SingleTxtG"/>
        <w:keepNext/>
        <w:keepLines/>
      </w:pPr>
      <w:r>
        <w:t>57</w:t>
      </w:r>
      <w:r w:rsidRPr="00C5681E">
        <w:t>.</w:t>
      </w:r>
      <w:r w:rsidRPr="00C5681E">
        <w:tab/>
        <w:t xml:space="preserve">Parler des politiques et </w:t>
      </w:r>
      <w:r>
        <w:t xml:space="preserve">des </w:t>
      </w:r>
      <w:r w:rsidRPr="00C5681E">
        <w:t>mesures adoptées pour faire en sorte que le travail soit aussi productif que possible et que tous</w:t>
      </w:r>
      <w:r w:rsidRPr="009B6952">
        <w:t xml:space="preserve"> aient accès à un emploi </w:t>
      </w:r>
      <w:r>
        <w:t xml:space="preserve">oblige </w:t>
      </w:r>
      <w:r w:rsidRPr="00D035EB">
        <w:t>à</w:t>
      </w:r>
      <w:r>
        <w:t xml:space="preserve"> </w:t>
      </w:r>
      <w:r w:rsidRPr="009B6952">
        <w:t>mentionner en premier les sphères d</w:t>
      </w:r>
      <w:r w:rsidR="00B861F1">
        <w:t>’</w:t>
      </w:r>
      <w:r w:rsidRPr="009B6952">
        <w:t xml:space="preserve">intervention du </w:t>
      </w:r>
      <w:r>
        <w:t>Gouvernement</w:t>
      </w:r>
      <w:r w:rsidRPr="009B6952">
        <w:t>. Il va s</w:t>
      </w:r>
      <w:r w:rsidR="00B861F1">
        <w:t>’</w:t>
      </w:r>
      <w:r w:rsidRPr="009B6952">
        <w:t>en dire que le secteur rural domine l</w:t>
      </w:r>
      <w:r w:rsidR="00B861F1">
        <w:t>’</w:t>
      </w:r>
      <w:r w:rsidRPr="009B6952">
        <w:t xml:space="preserve">économie du Rwanda, </w:t>
      </w:r>
      <w:r>
        <w:t>tant</w:t>
      </w:r>
      <w:r w:rsidRPr="009B6952">
        <w:t xml:space="preserve"> </w:t>
      </w:r>
      <w:r>
        <w:t xml:space="preserve">de par </w:t>
      </w:r>
      <w:r w:rsidRPr="009B6952">
        <w:t>sa contribution à la croissance économique qu</w:t>
      </w:r>
      <w:r>
        <w:t xml:space="preserve">e par son </w:t>
      </w:r>
      <w:r w:rsidRPr="009B6952">
        <w:t xml:space="preserve">potentiel en termes de réduction de la pauvreté. Notons bien que </w:t>
      </w:r>
      <w:r>
        <w:t xml:space="preserve">les </w:t>
      </w:r>
      <w:r w:rsidRPr="009B6952">
        <w:t>2/3 de la population vivent en milieu rural et font du travail agricole et des activités reliées à l</w:t>
      </w:r>
      <w:r w:rsidR="00B861F1">
        <w:t>’</w:t>
      </w:r>
      <w:r w:rsidRPr="009B6952">
        <w:t>élevage.</w:t>
      </w:r>
    </w:p>
    <w:p w:rsidR="00CB399B" w:rsidRPr="009B6952" w:rsidRDefault="00CB399B" w:rsidP="00CB399B">
      <w:pPr>
        <w:pStyle w:val="SingleTxtG"/>
      </w:pPr>
      <w:r>
        <w:rPr>
          <w:szCs w:val="24"/>
        </w:rPr>
        <w:t>58</w:t>
      </w:r>
      <w:r w:rsidRPr="009B6952">
        <w:rPr>
          <w:szCs w:val="24"/>
        </w:rPr>
        <w:t>.</w:t>
      </w:r>
      <w:r w:rsidRPr="009B6952">
        <w:rPr>
          <w:szCs w:val="24"/>
        </w:rPr>
        <w:tab/>
      </w:r>
      <w:r w:rsidRPr="009B6952">
        <w:t>En matière agricole, les stratégies entreprises visent:</w:t>
      </w:r>
    </w:p>
    <w:p w:rsidR="00CB399B" w:rsidRPr="009B6952" w:rsidRDefault="00CB399B" w:rsidP="00CB399B">
      <w:pPr>
        <w:pStyle w:val="SingleTxtG"/>
        <w:ind w:firstLine="567"/>
      </w:pPr>
      <w:r>
        <w:t>a)</w:t>
      </w:r>
      <w:r>
        <w:tab/>
        <w:t>U</w:t>
      </w:r>
      <w:r w:rsidRPr="009B6952">
        <w:t xml:space="preserve">ne spécialisation et </w:t>
      </w:r>
      <w:r>
        <w:t xml:space="preserve">une </w:t>
      </w:r>
      <w:r w:rsidRPr="009B6952">
        <w:t xml:space="preserve">régionalisation des produits; </w:t>
      </w:r>
    </w:p>
    <w:p w:rsidR="00CB399B" w:rsidRPr="009B6952" w:rsidRDefault="00CB399B" w:rsidP="00CB399B">
      <w:pPr>
        <w:pStyle w:val="SingleTxtG"/>
        <w:ind w:firstLine="567"/>
      </w:pPr>
      <w:r>
        <w:t>b)</w:t>
      </w:r>
      <w:r>
        <w:tab/>
        <w:t>L</w:t>
      </w:r>
      <w:r w:rsidR="00B861F1">
        <w:t>’</w:t>
      </w:r>
      <w:r w:rsidRPr="009B6952">
        <w:t>augmentation de la productivité par l</w:t>
      </w:r>
      <w:r w:rsidR="00B861F1">
        <w:t>’</w:t>
      </w:r>
      <w:r w:rsidRPr="009B6952">
        <w:t>utilisation des techno</w:t>
      </w:r>
      <w:r>
        <w:t>logies agricoles appropriées; et</w:t>
      </w:r>
    </w:p>
    <w:p w:rsidR="00CB399B" w:rsidRPr="009B6952" w:rsidRDefault="00CB399B" w:rsidP="00CB399B">
      <w:pPr>
        <w:pStyle w:val="SingleTxtG"/>
        <w:ind w:firstLine="567"/>
      </w:pPr>
      <w:r>
        <w:t>c)</w:t>
      </w:r>
      <w:r>
        <w:tab/>
        <w:t>L</w:t>
      </w:r>
      <w:r w:rsidRPr="009B6952">
        <w:t xml:space="preserve">e financement des régions rurales. </w:t>
      </w:r>
    </w:p>
    <w:p w:rsidR="00CB399B" w:rsidRPr="009B6952" w:rsidRDefault="00CB399B" w:rsidP="00CB399B">
      <w:pPr>
        <w:pStyle w:val="SingleTxtG"/>
      </w:pPr>
      <w:r>
        <w:tab/>
      </w:r>
      <w:r w:rsidRPr="009B6952">
        <w:t>En vue d</w:t>
      </w:r>
      <w:r w:rsidR="00B861F1">
        <w:t>’</w:t>
      </w:r>
      <w:r w:rsidRPr="009B6952">
        <w:t>atteindre ces stratégies, des</w:t>
      </w:r>
      <w:r>
        <w:t xml:space="preserve"> </w:t>
      </w:r>
      <w:r w:rsidRPr="009B6952">
        <w:t>infrastructures comme les routes, l</w:t>
      </w:r>
      <w:r w:rsidR="00B861F1">
        <w:t>’</w:t>
      </w:r>
      <w:r w:rsidRPr="009B6952">
        <w:t>énergie rurale, l</w:t>
      </w:r>
      <w:r w:rsidR="00B861F1">
        <w:t>’</w:t>
      </w:r>
      <w:r w:rsidRPr="009B6952">
        <w:t>eau potable, etc. sont développées.</w:t>
      </w:r>
    </w:p>
    <w:p w:rsidR="00CB399B" w:rsidRPr="009B6952" w:rsidRDefault="00CB399B" w:rsidP="00CB399B">
      <w:pPr>
        <w:pStyle w:val="SingleTxtG"/>
      </w:pPr>
      <w:r>
        <w:t>59</w:t>
      </w:r>
      <w:r w:rsidRPr="00C5681E">
        <w:t>.</w:t>
      </w:r>
      <w:r w:rsidRPr="00C5681E">
        <w:tab/>
      </w:r>
      <w:r>
        <w:t>D</w:t>
      </w:r>
      <w:r w:rsidRPr="00C5681E">
        <w:t>es possibilités de création d</w:t>
      </w:r>
      <w:r w:rsidR="00B861F1">
        <w:t>’</w:t>
      </w:r>
      <w:r w:rsidRPr="00C5681E">
        <w:t>emploi sont offertes par les travaux HIMO, comme</w:t>
      </w:r>
      <w:r w:rsidRPr="009B6952">
        <w:t xml:space="preserve"> la construction des ponts et chaussées, l</w:t>
      </w:r>
      <w:r w:rsidR="00B861F1">
        <w:t>’</w:t>
      </w:r>
      <w:r w:rsidRPr="009B6952">
        <w:t>aménagement des marais, les travaux d</w:t>
      </w:r>
      <w:r>
        <w:t>ans l</w:t>
      </w:r>
      <w:r w:rsidRPr="009B6952">
        <w:t>es plantations ou autres travaux d</w:t>
      </w:r>
      <w:r w:rsidR="00B861F1">
        <w:t>’</w:t>
      </w:r>
      <w:r w:rsidRPr="009B6952">
        <w:t>usine relatifs au transport des matières premières et des combustibles.</w:t>
      </w:r>
      <w:r>
        <w:t xml:space="preserve"> </w:t>
      </w:r>
    </w:p>
    <w:p w:rsidR="00CB399B" w:rsidRPr="009B6952" w:rsidRDefault="00CB399B" w:rsidP="00CB399B">
      <w:pPr>
        <w:pStyle w:val="SingleTxtG"/>
      </w:pPr>
      <w:r>
        <w:rPr>
          <w:szCs w:val="24"/>
        </w:rPr>
        <w:t>60</w:t>
      </w:r>
      <w:r w:rsidRPr="009B6952">
        <w:rPr>
          <w:szCs w:val="24"/>
        </w:rPr>
        <w:t>.</w:t>
      </w:r>
      <w:r w:rsidRPr="009B6952">
        <w:rPr>
          <w:szCs w:val="24"/>
        </w:rPr>
        <w:tab/>
      </w:r>
      <w:r w:rsidRPr="009B6952">
        <w:t>D</w:t>
      </w:r>
      <w:r w:rsidR="00B861F1">
        <w:t>’</w:t>
      </w:r>
      <w:r w:rsidRPr="009B6952">
        <w:t>autres actions sont entreprises pour stimuler ce secteur d</w:t>
      </w:r>
      <w:r w:rsidR="00B861F1">
        <w:t>’</w:t>
      </w:r>
      <w:r w:rsidRPr="009B6952">
        <w:t>activité. Il s</w:t>
      </w:r>
      <w:r w:rsidR="00B861F1">
        <w:t>’</w:t>
      </w:r>
      <w:r w:rsidRPr="009B6952">
        <w:t xml:space="preserve">agit de: </w:t>
      </w:r>
    </w:p>
    <w:p w:rsidR="00CB399B" w:rsidRPr="009B6952" w:rsidRDefault="00CB399B" w:rsidP="00CB399B">
      <w:pPr>
        <w:pStyle w:val="SingleTxtG"/>
        <w:ind w:firstLine="567"/>
      </w:pPr>
      <w:r>
        <w:t>a)</w:t>
      </w:r>
      <w:r>
        <w:tab/>
        <w:t>L</w:t>
      </w:r>
      <w:r w:rsidRPr="009B6952">
        <w:t>a multiplication des centres de formation. Ils sont aujourd</w:t>
      </w:r>
      <w:r w:rsidR="00B861F1">
        <w:t>’</w:t>
      </w:r>
      <w:r w:rsidRPr="009B6952">
        <w:t>hui 163 dans tout le pays</w:t>
      </w:r>
      <w:r>
        <w:t>, qui</w:t>
      </w:r>
      <w:r w:rsidRPr="009B6952">
        <w:t xml:space="preserve"> offrent une gamme variée de filières et </w:t>
      </w:r>
      <w:r>
        <w:t xml:space="preserve">de </w:t>
      </w:r>
      <w:r w:rsidRPr="009B6952">
        <w:t>professions</w:t>
      </w:r>
      <w:r w:rsidRPr="00B13B44">
        <w:rPr>
          <w:sz w:val="18"/>
          <w:szCs w:val="18"/>
          <w:vertAlign w:val="superscript"/>
        </w:rPr>
        <w:footnoteReference w:id="43"/>
      </w:r>
      <w:r>
        <w:t>;</w:t>
      </w:r>
    </w:p>
    <w:p w:rsidR="00CB399B" w:rsidRPr="009B6952" w:rsidRDefault="00CB399B" w:rsidP="00CB399B">
      <w:pPr>
        <w:pStyle w:val="SingleTxtG"/>
        <w:ind w:firstLine="567"/>
      </w:pPr>
      <w:r>
        <w:t>b)</w:t>
      </w:r>
      <w:r>
        <w:tab/>
        <w:t>L</w:t>
      </w:r>
      <w:r w:rsidRPr="009B6952">
        <w:t>a création de coopératives pour l</w:t>
      </w:r>
      <w:r w:rsidR="00B861F1">
        <w:t>’</w:t>
      </w:r>
      <w:r w:rsidR="00C13FE4">
        <w:t>épargne et le micro</w:t>
      </w:r>
      <w:r w:rsidRPr="009B6952">
        <w:t>crédit;</w:t>
      </w:r>
      <w:r>
        <w:t xml:space="preserve"> </w:t>
      </w:r>
    </w:p>
    <w:p w:rsidR="00CB399B" w:rsidRPr="009B6952" w:rsidRDefault="00CB399B" w:rsidP="00CB399B">
      <w:pPr>
        <w:pStyle w:val="SingleTxtG"/>
        <w:ind w:firstLine="567"/>
      </w:pPr>
      <w:r>
        <w:t>c)</w:t>
      </w:r>
      <w:r>
        <w:tab/>
        <w:t>L</w:t>
      </w:r>
      <w:r w:rsidRPr="009B6952">
        <w:t>a mise sur pied d</w:t>
      </w:r>
      <w:r w:rsidR="00B861F1">
        <w:t>’</w:t>
      </w:r>
      <w:r w:rsidRPr="009B6952">
        <w:t>un système de récompense et boni destiné à encourager et stimuler les jeunes à revenir au travail agricole.</w:t>
      </w:r>
    </w:p>
    <w:p w:rsidR="00CB399B" w:rsidRPr="009B6952" w:rsidRDefault="00CB399B" w:rsidP="00CB399B">
      <w:pPr>
        <w:pStyle w:val="SingleTxtG"/>
      </w:pPr>
      <w:r>
        <w:rPr>
          <w:szCs w:val="24"/>
        </w:rPr>
        <w:t>61</w:t>
      </w:r>
      <w:r w:rsidRPr="009B6952">
        <w:rPr>
          <w:szCs w:val="24"/>
        </w:rPr>
        <w:t>.</w:t>
      </w:r>
      <w:r w:rsidRPr="009B6952">
        <w:rPr>
          <w:szCs w:val="24"/>
        </w:rPr>
        <w:tab/>
      </w:r>
      <w:r w:rsidRPr="009B6952">
        <w:t>Dans le domaine du secteur privé et du développement de l</w:t>
      </w:r>
      <w:r w:rsidR="00B861F1">
        <w:t>’</w:t>
      </w:r>
      <w:r>
        <w:t>entreprenariat:</w:t>
      </w:r>
    </w:p>
    <w:p w:rsidR="00CB399B" w:rsidRPr="009B6952" w:rsidRDefault="00CB399B" w:rsidP="00CB399B">
      <w:pPr>
        <w:pStyle w:val="SingleTxtG"/>
        <w:ind w:firstLine="567"/>
      </w:pPr>
      <w:r>
        <w:t>a)</w:t>
      </w:r>
      <w:r>
        <w:tab/>
        <w:t>U</w:t>
      </w:r>
      <w:r w:rsidRPr="009B6952">
        <w:t>n forum de partenariat a été créé entr</w:t>
      </w:r>
      <w:r>
        <w:t>e les secteurs privé et public;</w:t>
      </w:r>
    </w:p>
    <w:p w:rsidR="00CB399B" w:rsidRPr="009B6952" w:rsidRDefault="00CB399B" w:rsidP="00CB399B">
      <w:pPr>
        <w:pStyle w:val="SingleTxtG"/>
        <w:ind w:firstLine="567"/>
      </w:pPr>
      <w:r>
        <w:t>b)</w:t>
      </w:r>
      <w:r>
        <w:tab/>
      </w:r>
      <w:r w:rsidRPr="009B6952">
        <w:t>Il y a une ouverture du pays aux mar</w:t>
      </w:r>
      <w:r>
        <w:t>chés financiers internationaux;</w:t>
      </w:r>
    </w:p>
    <w:p w:rsidR="00CB399B" w:rsidRPr="009B6952" w:rsidRDefault="00CB399B" w:rsidP="00CB399B">
      <w:pPr>
        <w:pStyle w:val="SingleTxtG"/>
        <w:ind w:firstLine="567"/>
      </w:pPr>
      <w:r>
        <w:t>c)</w:t>
      </w:r>
      <w:r>
        <w:tab/>
        <w:t>Un</w:t>
      </w:r>
      <w:r w:rsidRPr="009B6952">
        <w:t xml:space="preserve"> système d</w:t>
      </w:r>
      <w:r w:rsidR="00B861F1">
        <w:t>’</w:t>
      </w:r>
      <w:r w:rsidRPr="009B6952">
        <w:t>incitation est prévu par le Code des investissements ainsi que la mise en place d</w:t>
      </w:r>
      <w:r w:rsidR="00B861F1">
        <w:t>’</w:t>
      </w:r>
      <w:r w:rsidRPr="009B6952">
        <w:t>une</w:t>
      </w:r>
      <w:r>
        <w:t xml:space="preserve"> </w:t>
      </w:r>
      <w:r w:rsidRPr="009B6952">
        <w:t xml:space="preserve">fiscalité incitative. </w:t>
      </w:r>
    </w:p>
    <w:p w:rsidR="00CB399B" w:rsidRPr="009B6952" w:rsidRDefault="00CB399B" w:rsidP="00CB399B">
      <w:pPr>
        <w:pStyle w:val="SingleTxtG"/>
      </w:pPr>
      <w:r w:rsidRPr="009B6952">
        <w:rPr>
          <w:szCs w:val="24"/>
        </w:rPr>
        <w:t>6</w:t>
      </w:r>
      <w:r>
        <w:rPr>
          <w:szCs w:val="24"/>
        </w:rPr>
        <w:t>2</w:t>
      </w:r>
      <w:r w:rsidRPr="009B6952">
        <w:rPr>
          <w:szCs w:val="24"/>
        </w:rPr>
        <w:t>.</w:t>
      </w:r>
      <w:r w:rsidRPr="009B6952">
        <w:rPr>
          <w:szCs w:val="24"/>
        </w:rPr>
        <w:tab/>
      </w:r>
      <w:r w:rsidRPr="009B6952">
        <w:t>Des mesures sont prises pour la promotion de l</w:t>
      </w:r>
      <w:r w:rsidR="00B861F1">
        <w:t>’</w:t>
      </w:r>
      <w:r w:rsidRPr="009B6952">
        <w:t xml:space="preserve">emploi des jeunes, </w:t>
      </w:r>
      <w:r>
        <w:t xml:space="preserve">des </w:t>
      </w:r>
      <w:r w:rsidRPr="009B6952">
        <w:t xml:space="preserve">femmes et </w:t>
      </w:r>
      <w:r>
        <w:t xml:space="preserve">des </w:t>
      </w:r>
      <w:r w:rsidRPr="009B6952">
        <w:t>personnes handicapées</w:t>
      </w:r>
      <w:r>
        <w:t>, notamment</w:t>
      </w:r>
      <w:r w:rsidRPr="009B6952">
        <w:t>:</w:t>
      </w:r>
    </w:p>
    <w:p w:rsidR="00CB399B" w:rsidRPr="009B6952" w:rsidRDefault="00CB399B" w:rsidP="00CB399B">
      <w:pPr>
        <w:pStyle w:val="SingleTxtG"/>
        <w:ind w:firstLine="567"/>
      </w:pPr>
      <w:r>
        <w:t>a)</w:t>
      </w:r>
      <w:r>
        <w:tab/>
      </w:r>
      <w:r w:rsidRPr="009B6952">
        <w:t>Le programme auto-emploi et micro-entreprise pour encourager les jeunes à l</w:t>
      </w:r>
      <w:r w:rsidR="00B861F1">
        <w:t>’</w:t>
      </w:r>
      <w:r w:rsidRPr="009B6952">
        <w:t>entreprenariat;</w:t>
      </w:r>
    </w:p>
    <w:p w:rsidR="00CB399B" w:rsidRPr="009B6952" w:rsidRDefault="00CB399B" w:rsidP="00CB399B">
      <w:pPr>
        <w:pStyle w:val="SingleTxtG"/>
        <w:ind w:firstLine="567"/>
      </w:pPr>
      <w:r>
        <w:t>b)</w:t>
      </w:r>
      <w:r>
        <w:tab/>
      </w:r>
      <w:r w:rsidRPr="009B6952">
        <w:t>L</w:t>
      </w:r>
      <w:r w:rsidR="00B861F1">
        <w:t>’</w:t>
      </w:r>
      <w:r w:rsidRPr="009B6952">
        <w:t xml:space="preserve">obtention de crédits de financement </w:t>
      </w:r>
      <w:r>
        <w:t xml:space="preserve">en partenariat </w:t>
      </w:r>
      <w:r w:rsidRPr="009B6952">
        <w:t>avec les coopératives de jeunes pour des projets générateurs de revenus. Notons qu</w:t>
      </w:r>
      <w:r w:rsidR="00B861F1">
        <w:t>’</w:t>
      </w:r>
      <w:r w:rsidRPr="009B6952">
        <w:t>un Fonds pour l</w:t>
      </w:r>
      <w:r w:rsidR="00B861F1">
        <w:t>’</w:t>
      </w:r>
      <w:r w:rsidRPr="009B6952">
        <w:t>emploi des jeunes (Youth Employment Fund) est en voie d</w:t>
      </w:r>
      <w:r w:rsidR="00B861F1">
        <w:t>’</w:t>
      </w:r>
      <w:r w:rsidRPr="009B6952">
        <w:t>être mis sur pied. Ce fonds permettra l</w:t>
      </w:r>
      <w:r w:rsidR="00B861F1">
        <w:t>’</w:t>
      </w:r>
      <w:r w:rsidRPr="009B6952">
        <w:t>accès à une ligne de crédit auprès d</w:t>
      </w:r>
      <w:r w:rsidR="00B861F1">
        <w:t>’</w:t>
      </w:r>
      <w:r w:rsidRPr="009B6952">
        <w:t>une institution bancaire, avec une garantie octroyée par le Ministère en charge du travail</w:t>
      </w:r>
      <w:r>
        <w:t xml:space="preserve">; </w:t>
      </w:r>
    </w:p>
    <w:p w:rsidR="00CB399B" w:rsidRPr="009B6952" w:rsidRDefault="00CB399B" w:rsidP="00CB399B">
      <w:pPr>
        <w:pStyle w:val="SingleTxtG"/>
        <w:ind w:firstLine="567"/>
      </w:pPr>
      <w:r>
        <w:t>c)</w:t>
      </w:r>
      <w:r>
        <w:tab/>
      </w:r>
      <w:r w:rsidRPr="009B6952">
        <w:t>La mise en place et le financement d</w:t>
      </w:r>
      <w:r w:rsidR="00B861F1">
        <w:t>’</w:t>
      </w:r>
      <w:r w:rsidRPr="009B6952">
        <w:t xml:space="preserve">un fonds de crédit au niveau de chaque district pour </w:t>
      </w:r>
      <w:r>
        <w:t xml:space="preserve">octroyer </w:t>
      </w:r>
      <w:r w:rsidRPr="009B6952">
        <w:t>des petits crédits aux femmes rurales</w:t>
      </w:r>
      <w:r>
        <w:t>;</w:t>
      </w:r>
    </w:p>
    <w:p w:rsidR="00CB399B" w:rsidRPr="009B6952" w:rsidRDefault="00CB399B" w:rsidP="00CB399B">
      <w:pPr>
        <w:pStyle w:val="SingleTxtG"/>
        <w:ind w:firstLine="567"/>
      </w:pPr>
      <w:r>
        <w:t>d)</w:t>
      </w:r>
      <w:r>
        <w:tab/>
      </w:r>
      <w:r w:rsidRPr="009B6952">
        <w:t>Des programmes d</w:t>
      </w:r>
      <w:r w:rsidR="00B861F1">
        <w:t>’</w:t>
      </w:r>
      <w:r w:rsidRPr="009B6952">
        <w:t xml:space="preserve">assistance aux handicapés incluant </w:t>
      </w:r>
      <w:r>
        <w:t>d</w:t>
      </w:r>
      <w:r w:rsidRPr="009B6952">
        <w:t xml:space="preserve">es micro-financements et </w:t>
      </w:r>
      <w:r>
        <w:t xml:space="preserve">des </w:t>
      </w:r>
      <w:r w:rsidRPr="009B6952">
        <w:t>formations spécialisées.</w:t>
      </w:r>
    </w:p>
    <w:p w:rsidR="00CB399B" w:rsidRPr="009B6952" w:rsidRDefault="00CB399B" w:rsidP="00CB399B">
      <w:pPr>
        <w:pStyle w:val="SingleTxtG"/>
      </w:pPr>
      <w:r>
        <w:t>63</w:t>
      </w:r>
      <w:r w:rsidRPr="00033DAB">
        <w:t>.</w:t>
      </w:r>
      <w:r w:rsidRPr="00033DAB">
        <w:tab/>
        <w:t>D</w:t>
      </w:r>
      <w:r w:rsidR="00B861F1">
        <w:t>’</w:t>
      </w:r>
      <w:r w:rsidRPr="00033DAB">
        <w:t>autres initiatives de création d</w:t>
      </w:r>
      <w:r w:rsidR="00B861F1">
        <w:t>’</w:t>
      </w:r>
      <w:r w:rsidRPr="00033DAB">
        <w:t>emploi existent par le biais du Rural Sector Support Project (RSSP) où les</w:t>
      </w:r>
      <w:r w:rsidRPr="009B6952">
        <w:t xml:space="preserve"> opportunités de formation et de renforcement de</w:t>
      </w:r>
      <w:r>
        <w:t>s</w:t>
      </w:r>
      <w:r w:rsidRPr="009B6952">
        <w:t xml:space="preserve"> capacités ont </w:t>
      </w:r>
      <w:r>
        <w:t xml:space="preserve">été </w:t>
      </w:r>
      <w:r w:rsidRPr="009B6952">
        <w:t xml:space="preserve">accrues. </w:t>
      </w:r>
    </w:p>
    <w:p w:rsidR="00CB399B" w:rsidRPr="009B6952" w:rsidRDefault="00CB399B" w:rsidP="00CB399B">
      <w:pPr>
        <w:pStyle w:val="SingleTxtG"/>
        <w:rPr>
          <w:i/>
          <w:u w:val="single"/>
        </w:rPr>
      </w:pPr>
      <w:r>
        <w:t>64</w:t>
      </w:r>
      <w:r w:rsidRPr="00033DAB">
        <w:t>.</w:t>
      </w:r>
      <w:r w:rsidRPr="00033DAB">
        <w:tab/>
        <w:t>L</w:t>
      </w:r>
      <w:r w:rsidR="00B861F1">
        <w:t>’</w:t>
      </w:r>
      <w:r w:rsidRPr="00033DAB">
        <w:t>agence de développement de la main-d</w:t>
      </w:r>
      <w:r w:rsidR="00B861F1">
        <w:t>’</w:t>
      </w:r>
      <w:r w:rsidRPr="00033DAB">
        <w:t>œuvre (Workforce Development Agency: WDA) mise en place depuis</w:t>
      </w:r>
      <w:r w:rsidRPr="009B6952">
        <w:t xml:space="preserve"> 2008 sert d</w:t>
      </w:r>
      <w:r w:rsidR="00B861F1">
        <w:t>’</w:t>
      </w:r>
      <w:r w:rsidRPr="009B6952">
        <w:t>intermédiaire entre les employeurs et les employés potentiels par le biais d</w:t>
      </w:r>
      <w:r w:rsidR="00B861F1">
        <w:t>’</w:t>
      </w:r>
      <w:r w:rsidRPr="009B6952">
        <w:t xml:space="preserve">une de ses branches, le Labor Market Information System (LMIS). </w:t>
      </w:r>
    </w:p>
    <w:p w:rsidR="00CB399B" w:rsidRPr="009B6952" w:rsidRDefault="00CB399B" w:rsidP="00CB399B">
      <w:pPr>
        <w:pStyle w:val="SingleTxtG"/>
        <w:rPr>
          <w:i/>
          <w:u w:val="single"/>
        </w:rPr>
      </w:pPr>
      <w:r>
        <w:t>65</w:t>
      </w:r>
      <w:r w:rsidRPr="00033DAB">
        <w:t>.</w:t>
      </w:r>
      <w:r w:rsidRPr="00033DAB">
        <w:tab/>
        <w:t xml:space="preserve">Cette dernière a été créée afin de pallier </w:t>
      </w:r>
      <w:r>
        <w:t>le</w:t>
      </w:r>
      <w:r w:rsidRPr="00033DAB">
        <w:t xml:space="preserve"> manque d</w:t>
      </w:r>
      <w:r w:rsidR="00B861F1">
        <w:t>’</w:t>
      </w:r>
      <w:r w:rsidRPr="00033DAB">
        <w:t>information sur le marché de travail. Elle permet ainsi de</w:t>
      </w:r>
      <w:r w:rsidRPr="009B6952">
        <w:t xml:space="preserve"> faire le pont entre employeurs en quête de travailleurs qualifiés et ceux voulant accéder </w:t>
      </w:r>
      <w:r>
        <w:t>au</w:t>
      </w:r>
      <w:r w:rsidRPr="009B6952">
        <w:t xml:space="preserve"> marché du travail</w:t>
      </w:r>
      <w:r>
        <w:t>,</w:t>
      </w:r>
      <w:r w:rsidRPr="009B6952">
        <w:t xml:space="preserve"> en fournissant des informations </w:t>
      </w:r>
      <w:r>
        <w:t>sur le</w:t>
      </w:r>
      <w:r w:rsidRPr="009B6952">
        <w:t xml:space="preserve"> marché d</w:t>
      </w:r>
      <w:r>
        <w:t>u</w:t>
      </w:r>
      <w:r w:rsidRPr="009B6952">
        <w:t xml:space="preserve"> travail rwandais.</w:t>
      </w:r>
      <w:r>
        <w:t xml:space="preserve"> </w:t>
      </w:r>
    </w:p>
    <w:p w:rsidR="00CB399B" w:rsidRPr="009B6952" w:rsidRDefault="00CB399B" w:rsidP="00CB399B">
      <w:pPr>
        <w:pStyle w:val="H4G"/>
      </w:pPr>
      <w:r>
        <w:tab/>
      </w:r>
      <w:r>
        <w:tab/>
      </w:r>
      <w:r w:rsidRPr="009B6952">
        <w:t xml:space="preserve">Les mesures prises </w:t>
      </w:r>
      <w:r>
        <w:t xml:space="preserve">pour </w:t>
      </w:r>
      <w:r w:rsidRPr="009B6952">
        <w:t>fai</w:t>
      </w:r>
      <w:r>
        <w:t xml:space="preserve">re </w:t>
      </w:r>
      <w:r w:rsidRPr="009B6952">
        <w:t>en sorte que</w:t>
      </w:r>
      <w:r>
        <w:t xml:space="preserve"> </w:t>
      </w:r>
      <w:r w:rsidRPr="009B6952">
        <w:t>le travail soit aussi</w:t>
      </w:r>
      <w:r>
        <w:t xml:space="preserve"> </w:t>
      </w:r>
      <w:r w:rsidRPr="009B6952">
        <w:t>productif que possible</w:t>
      </w:r>
    </w:p>
    <w:p w:rsidR="00CB399B" w:rsidRPr="009B6952" w:rsidRDefault="00CB399B" w:rsidP="00CB399B">
      <w:pPr>
        <w:pStyle w:val="SingleTxtG"/>
      </w:pPr>
      <w:r>
        <w:t>66</w:t>
      </w:r>
      <w:r w:rsidRPr="00033DAB">
        <w:t>.</w:t>
      </w:r>
      <w:r w:rsidRPr="00033DAB">
        <w:tab/>
        <w:t>Le développement des ressources humaines et des compétences est un</w:t>
      </w:r>
      <w:r>
        <w:t>e</w:t>
      </w:r>
      <w:r w:rsidRPr="00033DAB">
        <w:t xml:space="preserve"> des priorités</w:t>
      </w:r>
      <w:r w:rsidRPr="009B6952">
        <w:t xml:space="preserve"> du </w:t>
      </w:r>
      <w:r>
        <w:t>Gouvernement</w:t>
      </w:r>
      <w:r w:rsidRPr="009B6952">
        <w:t>.</w:t>
      </w:r>
      <w:r>
        <w:t xml:space="preserve"> </w:t>
      </w:r>
      <w:r w:rsidRPr="009B6952">
        <w:t>Il s</w:t>
      </w:r>
      <w:r w:rsidR="00B861F1">
        <w:t>’</w:t>
      </w:r>
      <w:r w:rsidRPr="009B6952">
        <w:t xml:space="preserve">inscrit </w:t>
      </w:r>
      <w:r>
        <w:t>comme</w:t>
      </w:r>
      <w:r w:rsidRPr="009B6952">
        <w:t xml:space="preserve"> l</w:t>
      </w:r>
      <w:r w:rsidR="00B861F1">
        <w:t>’</w:t>
      </w:r>
      <w:r w:rsidRPr="009B6952">
        <w:t>un des piliers de la Vision 2020 du pays.</w:t>
      </w:r>
    </w:p>
    <w:p w:rsidR="00CB399B" w:rsidRPr="009B6952" w:rsidRDefault="00CB399B" w:rsidP="00CB399B">
      <w:pPr>
        <w:pStyle w:val="SingleTxtG"/>
      </w:pPr>
      <w:r>
        <w:t>67</w:t>
      </w:r>
      <w:r w:rsidRPr="00033DAB">
        <w:t>.</w:t>
      </w:r>
      <w:r w:rsidRPr="00033DAB">
        <w:tab/>
        <w:t>L</w:t>
      </w:r>
      <w:r w:rsidR="00B861F1">
        <w:t>’</w:t>
      </w:r>
      <w:r w:rsidRPr="00033DAB">
        <w:t>agence HIDA (Human Resources and Institutional Capacity Development Agency) a vu le jour en 2005</w:t>
      </w:r>
      <w:r>
        <w:t>,</w:t>
      </w:r>
      <w:r w:rsidRPr="00033DAB">
        <w:t xml:space="preserve"> afin</w:t>
      </w:r>
      <w:r w:rsidRPr="009B6952">
        <w:t xml:space="preserve"> d</w:t>
      </w:r>
      <w:r w:rsidR="00B861F1">
        <w:t>’</w:t>
      </w:r>
      <w:r w:rsidRPr="009B6952">
        <w:t xml:space="preserve">améliorer et </w:t>
      </w:r>
      <w:r>
        <w:t xml:space="preserve">de </w:t>
      </w:r>
      <w:r w:rsidRPr="009B6952">
        <w:t>renforcer les compétences de la main-d</w:t>
      </w:r>
      <w:r w:rsidR="00B861F1">
        <w:t>’</w:t>
      </w:r>
      <w:r w:rsidRPr="009B6952">
        <w:t>œuvre locale, et ainsi être plus compétitive sur les marchés d</w:t>
      </w:r>
      <w:r>
        <w:t>u</w:t>
      </w:r>
      <w:r w:rsidRPr="009B6952">
        <w:t xml:space="preserve"> travail locaux, régionaux et internationaux. Cette agence appuie les diverses institutions publiques</w:t>
      </w:r>
      <w:r>
        <w:t xml:space="preserve"> et</w:t>
      </w:r>
      <w:r w:rsidRPr="009B6952">
        <w:t xml:space="preserve"> privées</w:t>
      </w:r>
      <w:r>
        <w:t>,</w:t>
      </w:r>
      <w:r w:rsidRPr="009B6952">
        <w:t xml:space="preserve"> </w:t>
      </w:r>
      <w:r>
        <w:t xml:space="preserve">tout comme </w:t>
      </w:r>
      <w:r w:rsidRPr="009B6952">
        <w:t>celles de la société civile</w:t>
      </w:r>
      <w:r>
        <w:t>,</w:t>
      </w:r>
      <w:r w:rsidRPr="009B6952">
        <w:t xml:space="preserve"> dans le suivi et</w:t>
      </w:r>
      <w:r>
        <w:t xml:space="preserve"> l</w:t>
      </w:r>
      <w:r w:rsidR="00B861F1">
        <w:t>’</w:t>
      </w:r>
      <w:r w:rsidRPr="009B6952">
        <w:t xml:space="preserve">évaluation de leurs progrès respectifs </w:t>
      </w:r>
      <w:r>
        <w:t xml:space="preserve">au regard de </w:t>
      </w:r>
      <w:r w:rsidRPr="009B6952">
        <w:t>la mise à exécution de leurs plans de développement.</w:t>
      </w:r>
    </w:p>
    <w:p w:rsidR="00CB399B" w:rsidRPr="009B6952" w:rsidRDefault="00CB399B" w:rsidP="00CB399B">
      <w:pPr>
        <w:pStyle w:val="SingleTxtG"/>
      </w:pPr>
      <w:r>
        <w:t>68</w:t>
      </w:r>
      <w:r w:rsidRPr="00033DAB">
        <w:t>.</w:t>
      </w:r>
      <w:r w:rsidRPr="00033DAB">
        <w:tab/>
        <w:t>L</w:t>
      </w:r>
      <w:r>
        <w:t>e</w:t>
      </w:r>
      <w:r w:rsidRPr="00033DAB">
        <w:t xml:space="preserve"> RIAM (Rwanda Institute of Administration and Management) </w:t>
      </w:r>
      <w:r>
        <w:t xml:space="preserve">a été créé </w:t>
      </w:r>
      <w:r w:rsidRPr="00033DAB">
        <w:t>en 2001 afin de soutenir et appuyer le</w:t>
      </w:r>
      <w:r w:rsidRPr="009B6952">
        <w:t xml:space="preserve"> développement des compétences des travailleurs rwandais.</w:t>
      </w:r>
    </w:p>
    <w:p w:rsidR="00CB399B" w:rsidRPr="009B6952" w:rsidRDefault="00CB399B" w:rsidP="00CB399B">
      <w:pPr>
        <w:pStyle w:val="SingleTxtG"/>
      </w:pPr>
      <w:r>
        <w:t>69</w:t>
      </w:r>
      <w:r w:rsidRPr="00033DAB">
        <w:t>.</w:t>
      </w:r>
      <w:r w:rsidRPr="00033DAB">
        <w:tab/>
      </w:r>
      <w:r>
        <w:t>Un</w:t>
      </w:r>
      <w:r w:rsidRPr="00033DAB">
        <w:t xml:space="preserve"> programme de reconversion des agents de la fonction publique</w:t>
      </w:r>
      <w:r>
        <w:t xml:space="preserve"> a été mis en place, qui permet à c</w:t>
      </w:r>
      <w:r w:rsidRPr="00033DAB">
        <w:t>eux n</w:t>
      </w:r>
      <w:r w:rsidR="00B861F1">
        <w:t>’</w:t>
      </w:r>
      <w:r w:rsidRPr="00033DAB">
        <w:t xml:space="preserve">ayant pas </w:t>
      </w:r>
      <w:r>
        <w:t>les</w:t>
      </w:r>
      <w:r w:rsidRPr="00033DAB">
        <w:t xml:space="preserve"> compétences requises </w:t>
      </w:r>
      <w:r w:rsidRPr="009B6952">
        <w:t xml:space="preserve">de terminer </w:t>
      </w:r>
      <w:r>
        <w:t>une</w:t>
      </w:r>
      <w:r w:rsidRPr="009B6952">
        <w:t xml:space="preserve"> formation professionnelle ou académique. </w:t>
      </w:r>
    </w:p>
    <w:p w:rsidR="00CB399B" w:rsidRPr="009B6952" w:rsidRDefault="00CB399B" w:rsidP="00CB399B">
      <w:pPr>
        <w:pStyle w:val="SingleTxtG"/>
      </w:pPr>
      <w:r>
        <w:rPr>
          <w:szCs w:val="24"/>
        </w:rPr>
        <w:t>70</w:t>
      </w:r>
      <w:r w:rsidRPr="009B6952">
        <w:rPr>
          <w:szCs w:val="24"/>
        </w:rPr>
        <w:t>.</w:t>
      </w:r>
      <w:r w:rsidRPr="009B6952">
        <w:rPr>
          <w:szCs w:val="24"/>
        </w:rPr>
        <w:tab/>
      </w:r>
      <w:r w:rsidRPr="009B6952">
        <w:t>Le développement de la technologie de l</w:t>
      </w:r>
      <w:r w:rsidR="00B861F1">
        <w:t>’</w:t>
      </w:r>
      <w:r w:rsidRPr="009B6952">
        <w:t>informatique et de la communication</w:t>
      </w:r>
      <w:r>
        <w:t xml:space="preserve"> n</w:t>
      </w:r>
      <w:r w:rsidR="00B861F1">
        <w:t>’</w:t>
      </w:r>
      <w:r>
        <w:t xml:space="preserve">est pas oublié. </w:t>
      </w:r>
      <w:r w:rsidRPr="009B6952">
        <w:t>La technologie de l</w:t>
      </w:r>
      <w:r w:rsidR="00B861F1">
        <w:t>’</w:t>
      </w:r>
      <w:r w:rsidRPr="009B6952">
        <w:t>informatique et de la communication est aussi un des axes transversaux de la Vision 2020 du pays.</w:t>
      </w:r>
      <w:r>
        <w:t xml:space="preserve"> </w:t>
      </w:r>
      <w:r w:rsidRPr="009B6952">
        <w:t>Le Rwanda a adopté et continue d</w:t>
      </w:r>
      <w:r w:rsidR="00B861F1">
        <w:t>’</w:t>
      </w:r>
      <w:r w:rsidRPr="009B6952">
        <w:t>exploiter les technologies modernes de l</w:t>
      </w:r>
      <w:r w:rsidR="00B861F1">
        <w:t>’</w:t>
      </w:r>
      <w:r w:rsidRPr="009B6952">
        <w:t xml:space="preserve">information et de la communication. Notons quelques exemples: </w:t>
      </w:r>
    </w:p>
    <w:p w:rsidR="00CB399B" w:rsidRPr="009B6952" w:rsidRDefault="00CB399B" w:rsidP="00CB399B">
      <w:pPr>
        <w:pStyle w:val="SingleTxtG"/>
        <w:ind w:firstLine="567"/>
      </w:pPr>
      <w:r>
        <w:t>a)</w:t>
      </w:r>
      <w:r>
        <w:tab/>
      </w:r>
      <w:r w:rsidRPr="009B6952">
        <w:t xml:space="preserve">Le programme «esoko» (electronic agricultural market price access system) permettant un accès plus rapide aux informations </w:t>
      </w:r>
      <w:r>
        <w:t xml:space="preserve">disponibles </w:t>
      </w:r>
      <w:r w:rsidRPr="009B6952">
        <w:t>sur les marchés des produits agricoles</w:t>
      </w:r>
      <w:r>
        <w:t>;</w:t>
      </w:r>
    </w:p>
    <w:p w:rsidR="00CB399B" w:rsidRPr="009B6952" w:rsidRDefault="00CB399B" w:rsidP="00CB399B">
      <w:pPr>
        <w:pStyle w:val="SingleTxtG"/>
        <w:ind w:firstLine="567"/>
      </w:pPr>
      <w:r>
        <w:t>b)</w:t>
      </w:r>
      <w:r>
        <w:tab/>
      </w:r>
      <w:r w:rsidRPr="009B6952">
        <w:t>L</w:t>
      </w:r>
      <w:r w:rsidR="00B861F1">
        <w:t>’</w:t>
      </w:r>
      <w:r w:rsidRPr="009B6952">
        <w:t>initiative du «e-government» permettant la connexion de toutes les institutions gouvernementales à un même système d</w:t>
      </w:r>
      <w:r w:rsidR="00B861F1">
        <w:t>’</w:t>
      </w:r>
      <w:r w:rsidRPr="009B6952">
        <w:t>écha</w:t>
      </w:r>
      <w:r>
        <w:t>nge de données et d</w:t>
      </w:r>
      <w:r w:rsidR="00B861F1">
        <w:t>’</w:t>
      </w:r>
      <w:r>
        <w:t>informations;</w:t>
      </w:r>
    </w:p>
    <w:p w:rsidR="00CB399B" w:rsidRPr="009B6952" w:rsidRDefault="00CB399B" w:rsidP="00CB399B">
      <w:pPr>
        <w:pStyle w:val="SingleTxtG"/>
        <w:ind w:firstLine="567"/>
      </w:pPr>
      <w:r>
        <w:t>c)</w:t>
      </w:r>
      <w:r>
        <w:tab/>
      </w:r>
      <w:r w:rsidRPr="009B6952">
        <w:t>Le développement de la télémédecine et le TracNet (système de suivi et rapportage par téléphone ou électroniquement des données sur le VIH) pour l</w:t>
      </w:r>
      <w:r w:rsidR="00B861F1">
        <w:t>’</w:t>
      </w:r>
      <w:r w:rsidRPr="009B6952">
        <w:t>amélioration des services de santé à l</w:t>
      </w:r>
      <w:r w:rsidR="00B861F1">
        <w:t>’</w:t>
      </w:r>
      <w:r w:rsidRPr="009B6952">
        <w:t>échelle nationale.</w:t>
      </w:r>
      <w:r>
        <w:t xml:space="preserve"> </w:t>
      </w:r>
    </w:p>
    <w:p w:rsidR="00CB399B" w:rsidRPr="009B6952" w:rsidRDefault="00CB399B" w:rsidP="00CB399B">
      <w:pPr>
        <w:pStyle w:val="SingleTxtG"/>
        <w:keepNext/>
        <w:keepLines/>
      </w:pPr>
      <w:r w:rsidRPr="00B8133E">
        <w:t>7</w:t>
      </w:r>
      <w:r>
        <w:t>1</w:t>
      </w:r>
      <w:r w:rsidRPr="00B8133E">
        <w:t>.</w:t>
      </w:r>
      <w:r w:rsidRPr="00B8133E">
        <w:tab/>
        <w:t xml:space="preserve">La production agricole </w:t>
      </w:r>
      <w:r>
        <w:t xml:space="preserve">est en hausse grâce à </w:t>
      </w:r>
      <w:r w:rsidRPr="00B8133E">
        <w:t>l</w:t>
      </w:r>
      <w:r w:rsidR="00B861F1">
        <w:t>’</w:t>
      </w:r>
      <w:r w:rsidRPr="00B8133E">
        <w:t xml:space="preserve">insémination des intrants et </w:t>
      </w:r>
      <w:r>
        <w:t>aux</w:t>
      </w:r>
      <w:r w:rsidRPr="00B8133E">
        <w:t xml:space="preserve"> mesures de transformation </w:t>
      </w:r>
      <w:r w:rsidRPr="009B6952">
        <w:t>agricole</w:t>
      </w:r>
      <w:r w:rsidRPr="00B8133E">
        <w:rPr>
          <w:sz w:val="18"/>
          <w:szCs w:val="18"/>
          <w:vertAlign w:val="superscript"/>
        </w:rPr>
        <w:footnoteReference w:id="44"/>
      </w:r>
      <w:r>
        <w:t>.</w:t>
      </w:r>
    </w:p>
    <w:p w:rsidR="00CB399B" w:rsidRPr="009B6952" w:rsidRDefault="00CB399B" w:rsidP="00CB399B">
      <w:pPr>
        <w:pStyle w:val="SingleTxtG"/>
      </w:pPr>
      <w:r>
        <w:t>72</w:t>
      </w:r>
      <w:r w:rsidRPr="00B8133E">
        <w:t>.</w:t>
      </w:r>
      <w:r w:rsidRPr="00B8133E">
        <w:tab/>
      </w:r>
      <w:r w:rsidRPr="009B6952">
        <w:t>Le programme «One cow per family» a aussi contribué à la productivité du travail agricole.</w:t>
      </w:r>
    </w:p>
    <w:p w:rsidR="00CB399B" w:rsidRPr="009B6952" w:rsidRDefault="00CB399B" w:rsidP="00CB399B">
      <w:pPr>
        <w:pStyle w:val="SingleTxtG"/>
      </w:pPr>
      <w:r>
        <w:t>73</w:t>
      </w:r>
      <w:r w:rsidRPr="00B8133E">
        <w:t>.</w:t>
      </w:r>
      <w:r w:rsidRPr="00B8133E">
        <w:tab/>
        <w:t>Au niveau de chaque cellule, les stratégies de promotion de l</w:t>
      </w:r>
      <w:r w:rsidR="00B861F1">
        <w:t>’</w:t>
      </w:r>
      <w:r w:rsidRPr="00B8133E">
        <w:t xml:space="preserve">emploi sont mises en œuvre par des animateurs </w:t>
      </w:r>
      <w:r w:rsidRPr="009B6952">
        <w:t>d</w:t>
      </w:r>
      <w:r>
        <w:t>u</w:t>
      </w:r>
      <w:r w:rsidRPr="009B6952">
        <w:t xml:space="preserve"> travail «abakangurira murimo».</w:t>
      </w:r>
    </w:p>
    <w:p w:rsidR="00CB399B" w:rsidRPr="009B6952" w:rsidRDefault="00CB399B" w:rsidP="00CB399B">
      <w:pPr>
        <w:pStyle w:val="SingleTxtG"/>
      </w:pPr>
      <w:r>
        <w:t>74</w:t>
      </w:r>
      <w:r w:rsidRPr="00B8133E">
        <w:t>.</w:t>
      </w:r>
      <w:r w:rsidRPr="00B8133E">
        <w:tab/>
      </w:r>
      <w:r>
        <w:t>D</w:t>
      </w:r>
      <w:r w:rsidRPr="00B8133E">
        <w:t xml:space="preserve">es réunions de consultation et </w:t>
      </w:r>
      <w:r>
        <w:t xml:space="preserve">de </w:t>
      </w:r>
      <w:r w:rsidRPr="00B8133E">
        <w:t xml:space="preserve">concertation </w:t>
      </w:r>
      <w:r w:rsidRPr="009B6952">
        <w:t xml:space="preserve">se tiennent régulièrement </w:t>
      </w:r>
      <w:r w:rsidRPr="00B8133E">
        <w:t>entre la Fédération du secteur privé, les syndicats et le Gouvernement</w:t>
      </w:r>
      <w:r w:rsidRPr="009B6952">
        <w:t xml:space="preserve"> en vue de déceler toute difficulté reliée à l</w:t>
      </w:r>
      <w:r w:rsidR="00B861F1">
        <w:t>’</w:t>
      </w:r>
      <w:r w:rsidRPr="009B6952">
        <w:t xml:space="preserve">emploi et de discuter des voies </w:t>
      </w:r>
      <w:r>
        <w:t xml:space="preserve">à suivre pour </w:t>
      </w:r>
      <w:r w:rsidRPr="009B6952">
        <w:t>améliorer la productivité.</w:t>
      </w:r>
      <w:r>
        <w:t xml:space="preserve"> </w:t>
      </w:r>
    </w:p>
    <w:p w:rsidR="00CB399B" w:rsidRPr="009B6952" w:rsidRDefault="00CB399B" w:rsidP="00CB399B">
      <w:pPr>
        <w:pStyle w:val="SingleTxtG"/>
      </w:pPr>
      <w:r>
        <w:t>75</w:t>
      </w:r>
      <w:r w:rsidRPr="00B8133E">
        <w:t>.</w:t>
      </w:r>
      <w:r w:rsidRPr="00B8133E">
        <w:tab/>
        <w:t>La coopération Asie-Rwanda a contribué à faire bénéficier le pays d</w:t>
      </w:r>
      <w:r w:rsidR="00B861F1">
        <w:t>’</w:t>
      </w:r>
      <w:r>
        <w:t xml:space="preserve">une </w:t>
      </w:r>
      <w:r w:rsidRPr="00B8133E">
        <w:t>expertise dans les domaines des centres de</w:t>
      </w:r>
      <w:r w:rsidRPr="009B6952">
        <w:t xml:space="preserve"> formation et </w:t>
      </w:r>
      <w:r>
        <w:t xml:space="preserve">des </w:t>
      </w:r>
      <w:r w:rsidRPr="009B6952">
        <w:t>centres de formation professionnelle. La nouvelle structure des TVET (Technical Vocational Education Training) s</w:t>
      </w:r>
      <w:r w:rsidR="00B861F1">
        <w:t>’</w:t>
      </w:r>
      <w:r w:rsidRPr="009B6952">
        <w:t>est inspirée des modèles des pays émergent</w:t>
      </w:r>
      <w:r>
        <w:t>s d</w:t>
      </w:r>
      <w:r w:rsidR="00B861F1">
        <w:t>’</w:t>
      </w:r>
      <w:r w:rsidRPr="009B6952">
        <w:t>Asie</w:t>
      </w:r>
      <w:r>
        <w:t>,</w:t>
      </w:r>
      <w:r w:rsidRPr="009B6952">
        <w:t xml:space="preserve"> </w:t>
      </w:r>
      <w:r>
        <w:t>de</w:t>
      </w:r>
      <w:r w:rsidRPr="009B6952">
        <w:t xml:space="preserve"> Singapour, </w:t>
      </w:r>
      <w:r>
        <w:t xml:space="preserve">de la </w:t>
      </w:r>
      <w:r w:rsidRPr="009B6952">
        <w:t>Corée du Sud</w:t>
      </w:r>
      <w:r>
        <w:t xml:space="preserve"> et</w:t>
      </w:r>
      <w:r w:rsidRPr="009B6952">
        <w:t xml:space="preserve"> </w:t>
      </w:r>
      <w:r>
        <w:t xml:space="preserve">du </w:t>
      </w:r>
      <w:r w:rsidRPr="009B6952">
        <w:t>Japon pour ne citer que ceux-là.</w:t>
      </w:r>
    </w:p>
    <w:p w:rsidR="00CB399B" w:rsidRPr="009B6952" w:rsidRDefault="00CB399B" w:rsidP="00CB399B">
      <w:pPr>
        <w:pStyle w:val="H4G"/>
      </w:pPr>
      <w:r>
        <w:tab/>
      </w:r>
      <w:r>
        <w:tab/>
      </w:r>
      <w:r w:rsidRPr="009B6952">
        <w:t>Le libre choix de l</w:t>
      </w:r>
      <w:r w:rsidR="00B861F1">
        <w:t>’</w:t>
      </w:r>
      <w:r w:rsidRPr="009B6952">
        <w:t xml:space="preserve">emploi </w:t>
      </w:r>
    </w:p>
    <w:p w:rsidR="00CB399B" w:rsidRPr="009B6952" w:rsidRDefault="00CB399B" w:rsidP="00CB399B">
      <w:pPr>
        <w:pStyle w:val="SingleTxtG"/>
      </w:pPr>
      <w:r w:rsidRPr="00B8133E">
        <w:t>7</w:t>
      </w:r>
      <w:r>
        <w:t>6</w:t>
      </w:r>
      <w:r w:rsidRPr="00B8133E">
        <w:t>.</w:t>
      </w:r>
      <w:r w:rsidRPr="009B6952">
        <w:rPr>
          <w:sz w:val="24"/>
          <w:szCs w:val="24"/>
        </w:rPr>
        <w:tab/>
      </w:r>
      <w:r w:rsidRPr="009B6952">
        <w:t xml:space="preserve">Il est garanti par les dispositions suivantes: </w:t>
      </w:r>
    </w:p>
    <w:p w:rsidR="00CB399B" w:rsidRPr="009B6952" w:rsidRDefault="00CB399B" w:rsidP="00CB399B">
      <w:pPr>
        <w:pStyle w:val="SingleTxtG"/>
        <w:ind w:firstLine="567"/>
      </w:pPr>
      <w:r>
        <w:t>a)</w:t>
      </w:r>
      <w:r>
        <w:tab/>
      </w:r>
      <w:r w:rsidRPr="009B6952">
        <w:t>La</w:t>
      </w:r>
      <w:r>
        <w:t xml:space="preserve"> </w:t>
      </w:r>
      <w:r w:rsidRPr="009B6952">
        <w:t>Constitution du Rwanda à l</w:t>
      </w:r>
      <w:r w:rsidR="00B861F1">
        <w:t>’</w:t>
      </w:r>
      <w:r>
        <w:t>article 37 ci-haut mentionné;</w:t>
      </w:r>
    </w:p>
    <w:p w:rsidR="00CB399B" w:rsidRPr="009B6952" w:rsidRDefault="00CB399B" w:rsidP="00CB399B">
      <w:pPr>
        <w:pStyle w:val="SingleTxtG"/>
        <w:ind w:firstLine="567"/>
      </w:pPr>
      <w:r>
        <w:t>b)</w:t>
      </w:r>
      <w:r>
        <w:tab/>
      </w:r>
      <w:r w:rsidRPr="009B6952">
        <w:t>La Convention C29 sur le travail forcé, ratifiée par le Rwanda en 2001</w:t>
      </w:r>
      <w:r>
        <w:t>;</w:t>
      </w:r>
    </w:p>
    <w:p w:rsidR="00CB399B" w:rsidRPr="009B6952" w:rsidRDefault="00CB399B" w:rsidP="00CB399B">
      <w:pPr>
        <w:pStyle w:val="SingleTxtG"/>
        <w:ind w:firstLine="567"/>
      </w:pPr>
      <w:r>
        <w:t>c)</w:t>
      </w:r>
      <w:r>
        <w:tab/>
      </w:r>
      <w:r w:rsidRPr="009B6952">
        <w:t>La Convention C182 sur les pires formes de travail des enfants</w:t>
      </w:r>
      <w:r>
        <w:t>,</w:t>
      </w:r>
      <w:r w:rsidRPr="00343042">
        <w:t xml:space="preserve"> </w:t>
      </w:r>
      <w:r w:rsidRPr="009B6952">
        <w:t>ratifiée par le Rwanda en 2000</w:t>
      </w:r>
      <w:r>
        <w:t>.</w:t>
      </w:r>
    </w:p>
    <w:p w:rsidR="00CB399B" w:rsidRPr="009B6952" w:rsidRDefault="00CB399B" w:rsidP="00CB399B">
      <w:pPr>
        <w:pStyle w:val="SingleTxtG"/>
      </w:pPr>
      <w:r w:rsidRPr="00B8133E">
        <w:t>7</w:t>
      </w:r>
      <w:r>
        <w:t>7</w:t>
      </w:r>
      <w:r w:rsidRPr="00B8133E">
        <w:t>.</w:t>
      </w:r>
      <w:r w:rsidRPr="00B8133E">
        <w:tab/>
        <w:t>Les conditions d</w:t>
      </w:r>
      <w:r w:rsidR="00B861F1">
        <w:t>’</w:t>
      </w:r>
      <w:r w:rsidRPr="00B8133E">
        <w:t>emploi respectent les libertés politiques et économiques</w:t>
      </w:r>
      <w:r w:rsidRPr="009B6952">
        <w:t xml:space="preserve"> fondamentales de l</w:t>
      </w:r>
      <w:r w:rsidR="00B861F1">
        <w:t>’</w:t>
      </w:r>
      <w:r w:rsidRPr="009B6952">
        <w:t>individu.</w:t>
      </w:r>
    </w:p>
    <w:p w:rsidR="00CB399B" w:rsidRPr="009B6952" w:rsidRDefault="00CB399B" w:rsidP="00CB399B">
      <w:pPr>
        <w:pStyle w:val="H4G"/>
      </w:pPr>
      <w:r>
        <w:tab/>
      </w:r>
      <w:r>
        <w:tab/>
      </w:r>
      <w:r w:rsidRPr="009B6952">
        <w:t>Aperçu des programmes de formatio</w:t>
      </w:r>
      <w:r>
        <w:t>n technique et professionnelle</w:t>
      </w:r>
    </w:p>
    <w:p w:rsidR="00CB399B" w:rsidRPr="009B6952" w:rsidRDefault="00CB399B" w:rsidP="00CB399B">
      <w:pPr>
        <w:pStyle w:val="SingleTxtG"/>
      </w:pPr>
      <w:r>
        <w:rPr>
          <w:szCs w:val="24"/>
        </w:rPr>
        <w:t>78</w:t>
      </w:r>
      <w:r w:rsidRPr="009B6952">
        <w:rPr>
          <w:szCs w:val="24"/>
        </w:rPr>
        <w:t>.</w:t>
      </w:r>
      <w:r w:rsidRPr="009B6952">
        <w:rPr>
          <w:szCs w:val="24"/>
        </w:rPr>
        <w:tab/>
      </w:r>
      <w:r w:rsidRPr="009B6952">
        <w:t xml:space="preserve">Le système qui </w:t>
      </w:r>
      <w:r>
        <w:t>a été</w:t>
      </w:r>
      <w:r w:rsidRPr="009B6952">
        <w:t xml:space="preserve"> en place </w:t>
      </w:r>
      <w:r>
        <w:t>durant</w:t>
      </w:r>
      <w:r w:rsidRPr="009B6952">
        <w:t xml:space="preserve"> quelques années était le suivant: </w:t>
      </w:r>
    </w:p>
    <w:p w:rsidR="00CB399B" w:rsidRPr="009B6952" w:rsidRDefault="00CB399B" w:rsidP="00CB399B">
      <w:pPr>
        <w:pStyle w:val="SingleTxtG"/>
        <w:ind w:firstLine="567"/>
      </w:pPr>
      <w:r>
        <w:t>a)</w:t>
      </w:r>
      <w:r>
        <w:tab/>
      </w:r>
      <w:r w:rsidRPr="009B6952">
        <w:t>Il y avait des écoles techniques (au même niveau que l</w:t>
      </w:r>
      <w:r w:rsidR="00B861F1">
        <w:t>’</w:t>
      </w:r>
      <w:r w:rsidRPr="009B6952">
        <w:t>enseignement secondaire);</w:t>
      </w:r>
    </w:p>
    <w:p w:rsidR="00CB399B" w:rsidRPr="009B6952" w:rsidRDefault="00CB399B" w:rsidP="00CB399B">
      <w:pPr>
        <w:pStyle w:val="SingleTxtG"/>
        <w:ind w:firstLine="567"/>
      </w:pPr>
      <w:r>
        <w:t>b)</w:t>
      </w:r>
      <w:r>
        <w:tab/>
      </w:r>
      <w:r w:rsidRPr="009B6952">
        <w:t xml:space="preserve">Il existait aussi de multiples centres de formation des jeunes (CFJ), </w:t>
      </w:r>
      <w:r>
        <w:t xml:space="preserve">dont les </w:t>
      </w:r>
      <w:r w:rsidRPr="009B6952">
        <w:t xml:space="preserve">programmes </w:t>
      </w:r>
      <w:r>
        <w:t xml:space="preserve">duraient, selon le cas, </w:t>
      </w:r>
      <w:r w:rsidRPr="009B6952">
        <w:t>de six mois à un ou deux ans. Chaque centre de formation avait son curriculum d</w:t>
      </w:r>
      <w:r w:rsidR="00B861F1">
        <w:t>’</w:t>
      </w:r>
      <w:r w:rsidRPr="009B6952">
        <w:t>activités</w:t>
      </w:r>
      <w:r>
        <w:t xml:space="preserve">; </w:t>
      </w:r>
    </w:p>
    <w:p w:rsidR="00CB399B" w:rsidRPr="009B6952" w:rsidRDefault="00CB399B" w:rsidP="00CB399B">
      <w:pPr>
        <w:pStyle w:val="SingleTxtG"/>
        <w:ind w:firstLine="567"/>
      </w:pPr>
      <w:r>
        <w:t>c)</w:t>
      </w:r>
      <w:r>
        <w:tab/>
      </w:r>
      <w:r w:rsidRPr="009B6952">
        <w:t>Notons que ces centres de formation professionnelle relevaient pour la plupart du Ministère en charge du travail, alors que les écoles techniques étaient administrées par le Ministère de l</w:t>
      </w:r>
      <w:r w:rsidR="00B861F1">
        <w:t>’</w:t>
      </w:r>
      <w:r w:rsidRPr="009B6952">
        <w:t>éducation</w:t>
      </w:r>
      <w:r>
        <w:t>;</w:t>
      </w:r>
    </w:p>
    <w:p w:rsidR="00CB399B" w:rsidRPr="009B6952" w:rsidRDefault="00CB399B" w:rsidP="00CB399B">
      <w:pPr>
        <w:pStyle w:val="SingleTxtG"/>
        <w:ind w:firstLine="567"/>
      </w:pPr>
      <w:r>
        <w:t>d)</w:t>
      </w:r>
      <w:r>
        <w:tab/>
      </w:r>
      <w:r w:rsidRPr="009B6952">
        <w:t>Depuis Septembre 2008, tous ces centres relèvent du Ministère de l</w:t>
      </w:r>
      <w:r w:rsidR="00B861F1">
        <w:t>’</w:t>
      </w:r>
      <w:r w:rsidRPr="009B6952">
        <w:t>éducation.</w:t>
      </w:r>
    </w:p>
    <w:p w:rsidR="00CB399B" w:rsidRPr="009B6952" w:rsidRDefault="00CB399B" w:rsidP="00CB399B">
      <w:pPr>
        <w:pStyle w:val="SingleTxtG"/>
      </w:pPr>
      <w:r>
        <w:t>79</w:t>
      </w:r>
      <w:r w:rsidRPr="00B8133E">
        <w:t>.</w:t>
      </w:r>
      <w:r w:rsidRPr="00B8133E">
        <w:tab/>
        <w:t>La politique du TVET (le Technical Vocational Education Training) a été adoptée</w:t>
      </w:r>
      <w:r w:rsidRPr="009B6952">
        <w:t xml:space="preserve"> en 2008 par le </w:t>
      </w:r>
      <w:r>
        <w:t>G</w:t>
      </w:r>
      <w:r w:rsidRPr="009B6952">
        <w:t xml:space="preserve">ouvernement rwandais. Elle vise </w:t>
      </w:r>
      <w:r>
        <w:t>à harmoniser</w:t>
      </w:r>
      <w:r w:rsidRPr="009B6952">
        <w:t>, regroupe</w:t>
      </w:r>
      <w:r>
        <w:t xml:space="preserve">r </w:t>
      </w:r>
      <w:r w:rsidRPr="009B6952">
        <w:t>et intégr</w:t>
      </w:r>
      <w:r>
        <w:t xml:space="preserve">er </w:t>
      </w:r>
      <w:r w:rsidRPr="009B6952">
        <w:t>l</w:t>
      </w:r>
      <w:r w:rsidR="00B861F1">
        <w:t>’</w:t>
      </w:r>
      <w:r w:rsidRPr="009B6952">
        <w:t xml:space="preserve">enseignement technique et la formation professionnelle des jeunes. </w:t>
      </w:r>
    </w:p>
    <w:p w:rsidR="00CB399B" w:rsidRPr="009B6952" w:rsidRDefault="00CB399B" w:rsidP="00CB399B">
      <w:pPr>
        <w:pStyle w:val="SingleTxtG"/>
      </w:pPr>
      <w:r w:rsidRPr="000555EA">
        <w:t>8</w:t>
      </w:r>
      <w:r>
        <w:t>0</w:t>
      </w:r>
      <w:r w:rsidRPr="000555EA">
        <w:t>.</w:t>
      </w:r>
      <w:r w:rsidRPr="000555EA">
        <w:tab/>
        <w:t>Dans le nouveau</w:t>
      </w:r>
      <w:r w:rsidRPr="009B6952">
        <w:t xml:space="preserve"> système des TVET, le système d</w:t>
      </w:r>
      <w:r w:rsidR="00B861F1">
        <w:t>’</w:t>
      </w:r>
      <w:r w:rsidRPr="009B6952">
        <w:t>éducation est modifié de façon qu</w:t>
      </w:r>
      <w:r w:rsidR="00B861F1">
        <w:t>’</w:t>
      </w:r>
      <w:r w:rsidRPr="009B6952">
        <w:t>il y ait une nette séparation entre le système d</w:t>
      </w:r>
      <w:r w:rsidR="00B861F1">
        <w:t>’</w:t>
      </w:r>
      <w:r w:rsidRPr="009B6952">
        <w:t xml:space="preserve">éducation générale et le nouveau système des TVET. Cette intégration se fera dans des centres régionaux de polytechnique intégrée (IPRC: Integrated Polytechnic Regional Centre). Il y en aura cinq dans tout le pays, un centre par province. On y offrira aussi bien </w:t>
      </w:r>
      <w:r>
        <w:t>d</w:t>
      </w:r>
      <w:r w:rsidRPr="009B6952">
        <w:t xml:space="preserve">es diplômes A1, </w:t>
      </w:r>
      <w:r>
        <w:t>que d</w:t>
      </w:r>
      <w:r w:rsidRPr="009B6952">
        <w:t xml:space="preserve">es certificats techniques (A2) et </w:t>
      </w:r>
      <w:r>
        <w:t>une</w:t>
      </w:r>
      <w:r w:rsidRPr="009B6952">
        <w:t xml:space="preserve"> formation professionnelle.</w:t>
      </w:r>
    </w:p>
    <w:p w:rsidR="00CB399B" w:rsidRPr="009B6952" w:rsidRDefault="00CB399B" w:rsidP="00CB399B">
      <w:pPr>
        <w:pStyle w:val="SingleTxtG"/>
      </w:pPr>
      <w:r w:rsidRPr="000555EA">
        <w:t>8</w:t>
      </w:r>
      <w:r>
        <w:t>1</w:t>
      </w:r>
      <w:r w:rsidRPr="000555EA">
        <w:t>.</w:t>
      </w:r>
      <w:r w:rsidRPr="000555EA">
        <w:tab/>
      </w:r>
      <w:r w:rsidRPr="009B6952">
        <w:t>Il y a présentement deux (2) centres de polytechnique intégrée: un dans la ville de Kigali (Kicukiro) et l</w:t>
      </w:r>
      <w:r w:rsidR="00B861F1">
        <w:t>’</w:t>
      </w:r>
      <w:r>
        <w:t>autre dans la Province de l</w:t>
      </w:r>
      <w:r w:rsidR="00B861F1">
        <w:t>’</w:t>
      </w:r>
      <w:r w:rsidRPr="009B6952">
        <w:t xml:space="preserve">Ouest (Kavumu). </w:t>
      </w:r>
    </w:p>
    <w:p w:rsidR="00CB399B" w:rsidRPr="009B6952" w:rsidRDefault="00CB399B" w:rsidP="00CB399B">
      <w:pPr>
        <w:pStyle w:val="SingleTxtG"/>
      </w:pPr>
      <w:r>
        <w:t>82</w:t>
      </w:r>
      <w:r w:rsidRPr="000555EA">
        <w:t>.</w:t>
      </w:r>
      <w:r w:rsidRPr="000555EA">
        <w:tab/>
        <w:t xml:space="preserve">Les Centres de formation professionnelle et de formation des jeunes </w:t>
      </w:r>
      <w:r>
        <w:t xml:space="preserve">qui </w:t>
      </w:r>
      <w:r w:rsidRPr="000555EA">
        <w:t>exista</w:t>
      </w:r>
      <w:r>
        <w:t>ie</w:t>
      </w:r>
      <w:r w:rsidRPr="000555EA">
        <w:t>nt</w:t>
      </w:r>
      <w:r>
        <w:t xml:space="preserve"> déjà </w:t>
      </w:r>
      <w:r w:rsidRPr="000555EA">
        <w:t>avant la nouvelle structure des TVET</w:t>
      </w:r>
      <w:r w:rsidRPr="009B6952">
        <w:t xml:space="preserve"> sont au nombre de 163</w:t>
      </w:r>
      <w:r>
        <w:t xml:space="preserve">; </w:t>
      </w:r>
      <w:r w:rsidRPr="009B6952">
        <w:t>67</w:t>
      </w:r>
      <w:r>
        <w:t xml:space="preserve"> %</w:t>
      </w:r>
      <w:r w:rsidRPr="009B6952">
        <w:t xml:space="preserve"> de ces centres appartiennent à des personnes ou </w:t>
      </w:r>
      <w:r>
        <w:t xml:space="preserve">à des </w:t>
      </w:r>
      <w:r w:rsidRPr="009B6952">
        <w:t>institutions privées (des ONG locales et internationales) et</w:t>
      </w:r>
      <w:r>
        <w:t xml:space="preserve"> à</w:t>
      </w:r>
      <w:r w:rsidRPr="009B6952">
        <w:t xml:space="preserve"> des organisations </w:t>
      </w:r>
      <w:r>
        <w:t>de</w:t>
      </w:r>
      <w:r w:rsidRPr="009B6952">
        <w:t xml:space="preserve"> confession religieuse, alors que 22</w:t>
      </w:r>
      <w:r>
        <w:t xml:space="preserve"> %</w:t>
      </w:r>
      <w:r w:rsidRPr="009B6952">
        <w:t xml:space="preserve"> sont des centres administrés et financés par le </w:t>
      </w:r>
      <w:r>
        <w:t>Gouvernement</w:t>
      </w:r>
      <w:r w:rsidRPr="009B6952">
        <w:t>. 48</w:t>
      </w:r>
      <w:r>
        <w:t xml:space="preserve"> %</w:t>
      </w:r>
      <w:r w:rsidRPr="009B6952">
        <w:t xml:space="preserve"> de ces centres obtiennent des subventions des bailleurs de fonds</w:t>
      </w:r>
      <w:r w:rsidRPr="00FE4227">
        <w:rPr>
          <w:sz w:val="18"/>
          <w:szCs w:val="18"/>
          <w:vertAlign w:val="superscript"/>
        </w:rPr>
        <w:footnoteReference w:id="45"/>
      </w:r>
      <w:r w:rsidRPr="009B6952">
        <w:t>.</w:t>
      </w:r>
      <w:r>
        <w:t xml:space="preserve"> </w:t>
      </w:r>
    </w:p>
    <w:p w:rsidR="00CB399B" w:rsidRPr="009B6952" w:rsidRDefault="00CB399B" w:rsidP="00CB399B">
      <w:pPr>
        <w:pStyle w:val="SingleTxtG"/>
      </w:pPr>
      <w:r w:rsidRPr="000555EA">
        <w:t>8</w:t>
      </w:r>
      <w:r>
        <w:t>3</w:t>
      </w:r>
      <w:r w:rsidRPr="000555EA">
        <w:t>.</w:t>
      </w:r>
      <w:r w:rsidRPr="000555EA">
        <w:tab/>
        <w:t>Pour ce qui est de l</w:t>
      </w:r>
      <w:r w:rsidR="00B861F1">
        <w:t>’</w:t>
      </w:r>
      <w:r w:rsidRPr="000555EA">
        <w:t xml:space="preserve">accès pratique à ces formations, il y a divers projets permettant </w:t>
      </w:r>
      <w:r>
        <w:t xml:space="preserve">aux </w:t>
      </w:r>
      <w:r w:rsidRPr="000555EA">
        <w:t>employés d</w:t>
      </w:r>
      <w:r w:rsidR="00B861F1">
        <w:t>’</w:t>
      </w:r>
      <w:r w:rsidRPr="000555EA">
        <w:t>y avoir</w:t>
      </w:r>
      <w:r w:rsidRPr="009B6952">
        <w:t xml:space="preserve"> accès; il y a des ONG locales ou internationales, ainsi que des initiatives gouvernementales se chargeant de payer les frais (par exemple la réintégration des ex-combattants passant par des formations techniques). D</w:t>
      </w:r>
      <w:r w:rsidR="00B861F1">
        <w:t>’</w:t>
      </w:r>
      <w:r w:rsidRPr="009B6952">
        <w:t>autres formations de jeunes apprentis (apprentissage des jeunes non scolarisés) ont été conduites par la Promotion des Petites et Moyennes Entreprises au Rwanda (PPMER)</w:t>
      </w:r>
      <w:r w:rsidRPr="00FE4227">
        <w:rPr>
          <w:sz w:val="18"/>
          <w:szCs w:val="18"/>
          <w:vertAlign w:val="superscript"/>
        </w:rPr>
        <w:footnoteReference w:id="46"/>
      </w:r>
      <w:r w:rsidRPr="009B6952">
        <w:t xml:space="preserve">. </w:t>
      </w:r>
    </w:p>
    <w:p w:rsidR="00CB399B" w:rsidRPr="009B6952" w:rsidRDefault="00CB399B" w:rsidP="00CB399B">
      <w:pPr>
        <w:pStyle w:val="SingleTxtG"/>
      </w:pPr>
      <w:r>
        <w:t>84</w:t>
      </w:r>
      <w:r w:rsidRPr="000555EA">
        <w:t>.</w:t>
      </w:r>
      <w:r w:rsidRPr="000555EA">
        <w:tab/>
        <w:t>L</w:t>
      </w:r>
      <w:r w:rsidR="00B861F1">
        <w:t>’</w:t>
      </w:r>
      <w:r w:rsidRPr="000555EA">
        <w:t>organe chargé de la mise à exécution et de la coordination de cette nouvelle politique est le WDA (Workforce</w:t>
      </w:r>
      <w:r w:rsidRPr="009B6952">
        <w:t xml:space="preserve"> Development Agency). Le WDA </w:t>
      </w:r>
      <w:r>
        <w:t>est</w:t>
      </w:r>
      <w:r w:rsidRPr="009B6952">
        <w:t xml:space="preserve"> charg</w:t>
      </w:r>
      <w:r>
        <w:t>é</w:t>
      </w:r>
      <w:r w:rsidRPr="009B6952">
        <w:t xml:space="preserve"> de développer les capacités </w:t>
      </w:r>
      <w:r>
        <w:t>en</w:t>
      </w:r>
      <w:r w:rsidRPr="009B6952">
        <w:t xml:space="preserve"> ressources humaines et d</w:t>
      </w:r>
      <w:r w:rsidR="00B861F1">
        <w:t>’</w:t>
      </w:r>
      <w:r w:rsidRPr="009B6952">
        <w:t>améliorer les compétences de la main-d</w:t>
      </w:r>
      <w:r w:rsidR="00B861F1">
        <w:t>’</w:t>
      </w:r>
      <w:r w:rsidRPr="009B6952">
        <w:t>œuvre locale afin d</w:t>
      </w:r>
      <w:r w:rsidR="00B861F1">
        <w:t>’</w:t>
      </w:r>
      <w:r w:rsidRPr="009B6952">
        <w:t xml:space="preserve">accroître </w:t>
      </w:r>
      <w:r>
        <w:t>sa</w:t>
      </w:r>
      <w:r w:rsidRPr="009B6952">
        <w:t xml:space="preserve"> compétitivité. </w:t>
      </w:r>
    </w:p>
    <w:p w:rsidR="00CB399B" w:rsidRPr="009B6952" w:rsidRDefault="00CB399B" w:rsidP="00CB399B">
      <w:pPr>
        <w:pStyle w:val="SingleTxtG"/>
      </w:pPr>
      <w:r>
        <w:t>85</w:t>
      </w:r>
      <w:r w:rsidRPr="000555EA">
        <w:t>.</w:t>
      </w:r>
      <w:r w:rsidRPr="000555EA">
        <w:tab/>
        <w:t>L</w:t>
      </w:r>
      <w:r w:rsidR="00B861F1">
        <w:t>’</w:t>
      </w:r>
      <w:r w:rsidRPr="000555EA">
        <w:t>agence RIAM est aussi chargée d</w:t>
      </w:r>
      <w:r w:rsidR="00B861F1">
        <w:t>’</w:t>
      </w:r>
      <w:r w:rsidRPr="000555EA">
        <w:t>assurer la formation professionnelle</w:t>
      </w:r>
      <w:r w:rsidRPr="00FE4227">
        <w:rPr>
          <w:sz w:val="18"/>
          <w:szCs w:val="18"/>
          <w:vertAlign w:val="superscript"/>
        </w:rPr>
        <w:footnoteReference w:id="47"/>
      </w:r>
      <w:r w:rsidRPr="000555EA">
        <w:t xml:space="preserve"> des travailleurs, </w:t>
      </w:r>
      <w:r>
        <w:t xml:space="preserve">en ciblant par </w:t>
      </w:r>
      <w:r w:rsidRPr="000555EA">
        <w:t>des programmes</w:t>
      </w:r>
      <w:r w:rsidRPr="009B6952">
        <w:t xml:space="preserve"> spécifiques </w:t>
      </w:r>
      <w:r>
        <w:t>les</w:t>
      </w:r>
      <w:r w:rsidRPr="009B6952">
        <w:t xml:space="preserve"> agents de l</w:t>
      </w:r>
      <w:r w:rsidR="00B861F1">
        <w:t>’</w:t>
      </w:r>
      <w:r w:rsidRPr="009B6952">
        <w:t>État, le personnel des organisations de la société civile ou du secteur privé. De 2006 à 2008, cette agence a formé en tout 2</w:t>
      </w:r>
      <w:r>
        <w:t xml:space="preserve"> </w:t>
      </w:r>
      <w:r w:rsidRPr="009B6952">
        <w:t>907 individus. La grande majorité de</w:t>
      </w:r>
      <w:r>
        <w:t>s</w:t>
      </w:r>
      <w:r w:rsidRPr="009B6952">
        <w:t xml:space="preserve"> bénéficiaires se trouve être les agents de l</w:t>
      </w:r>
      <w:r w:rsidR="00B861F1">
        <w:t>’</w:t>
      </w:r>
      <w:r w:rsidRPr="009B6952">
        <w:t>État (en 2008 sur 1</w:t>
      </w:r>
      <w:r>
        <w:t xml:space="preserve"> </w:t>
      </w:r>
      <w:r w:rsidRPr="009B6952">
        <w:t>512 individus formés</w:t>
      </w:r>
      <w:r>
        <w:t>,</w:t>
      </w:r>
      <w:r w:rsidRPr="009B6952">
        <w:t xml:space="preserve"> au moins 72</w:t>
      </w:r>
      <w:r>
        <w:t xml:space="preserve"> %</w:t>
      </w:r>
      <w:r w:rsidRPr="009B6952">
        <w:t xml:space="preserve"> étaient des agents de la fonction publique ou de l</w:t>
      </w:r>
      <w:r w:rsidR="00B861F1">
        <w:t>’</w:t>
      </w:r>
      <w:r w:rsidRPr="009B6952">
        <w:t>administration locale).</w:t>
      </w:r>
      <w:r>
        <w:t xml:space="preserve"> </w:t>
      </w:r>
    </w:p>
    <w:p w:rsidR="00CB399B" w:rsidRPr="009B6952" w:rsidRDefault="00CB399B" w:rsidP="00CB399B">
      <w:pPr>
        <w:pStyle w:val="H4G"/>
      </w:pPr>
      <w:r>
        <w:tab/>
      </w:r>
      <w:r>
        <w:tab/>
      </w:r>
      <w:r w:rsidRPr="009B6952">
        <w:t>Les défis auxquels se heurtent les mesures et</w:t>
      </w:r>
      <w:r>
        <w:t xml:space="preserve"> les</w:t>
      </w:r>
      <w:r w:rsidRPr="009B6952">
        <w:t xml:space="preserve"> politiques pour l</w:t>
      </w:r>
      <w:r w:rsidR="00B861F1">
        <w:t>’</w:t>
      </w:r>
      <w:r w:rsidRPr="009B6952">
        <w:t>accès à l</w:t>
      </w:r>
      <w:r w:rsidR="00B861F1">
        <w:t>’</w:t>
      </w:r>
      <w:r w:rsidRPr="009B6952">
        <w:t>emploi pour tous et la façon dont ils sont surmo</w:t>
      </w:r>
      <w:r>
        <w:t>ntés</w:t>
      </w:r>
    </w:p>
    <w:p w:rsidR="00CB399B" w:rsidRPr="009B6952" w:rsidRDefault="00CB399B" w:rsidP="00CB399B">
      <w:pPr>
        <w:pStyle w:val="SingleTxtG"/>
      </w:pPr>
      <w:r>
        <w:t>86</w:t>
      </w:r>
      <w:r w:rsidRPr="000555EA">
        <w:t>.</w:t>
      </w:r>
      <w:r w:rsidRPr="009B6952">
        <w:rPr>
          <w:sz w:val="24"/>
          <w:szCs w:val="24"/>
        </w:rPr>
        <w:tab/>
      </w:r>
      <w:r>
        <w:t>L</w:t>
      </w:r>
      <w:r w:rsidRPr="009B6952">
        <w:t>es défis rencontrés</w:t>
      </w:r>
      <w:r>
        <w:t xml:space="preserve"> sont les suivants</w:t>
      </w:r>
      <w:r w:rsidRPr="009B6952">
        <w:t xml:space="preserve">: </w:t>
      </w:r>
    </w:p>
    <w:p w:rsidR="00CB399B" w:rsidRPr="009B6952" w:rsidRDefault="00CB399B" w:rsidP="00CB399B">
      <w:pPr>
        <w:pStyle w:val="SingleTxtG"/>
        <w:ind w:firstLine="567"/>
      </w:pPr>
      <w:r>
        <w:t>a)</w:t>
      </w:r>
      <w:r>
        <w:tab/>
      </w:r>
      <w:r w:rsidRPr="009B6952">
        <w:t>La population rwandaise a une croissance démographique élevée. L</w:t>
      </w:r>
      <w:r>
        <w:t xml:space="preserve">e nombre des personnes </w:t>
      </w:r>
      <w:r w:rsidRPr="009B6952">
        <w:t>à la recherche d</w:t>
      </w:r>
      <w:r w:rsidR="00B861F1">
        <w:t>’</w:t>
      </w:r>
      <w:r>
        <w:t xml:space="preserve">un </w:t>
      </w:r>
      <w:r w:rsidRPr="009B6952">
        <w:t>emploi est élevé comparé aux capacités présentes d</w:t>
      </w:r>
      <w:r>
        <w:t>e l</w:t>
      </w:r>
      <w:r w:rsidR="00B861F1">
        <w:t>’</w:t>
      </w:r>
      <w:r w:rsidRPr="009B6952">
        <w:t>offre d</w:t>
      </w:r>
      <w:r w:rsidR="00B861F1">
        <w:t>’</w:t>
      </w:r>
      <w:r w:rsidRPr="009B6952">
        <w:t>emploi</w:t>
      </w:r>
      <w:r>
        <w:t>. Le taux de chômage est élevé;</w:t>
      </w:r>
    </w:p>
    <w:p w:rsidR="00CB399B" w:rsidRPr="009B6952" w:rsidRDefault="00CB399B" w:rsidP="00CB399B">
      <w:pPr>
        <w:pStyle w:val="SingleTxtG"/>
        <w:ind w:firstLine="567"/>
      </w:pPr>
      <w:r>
        <w:t>b)</w:t>
      </w:r>
      <w:r>
        <w:tab/>
      </w:r>
      <w:r w:rsidRPr="009B6952">
        <w:t>Le manque de formation de la main-d</w:t>
      </w:r>
      <w:r w:rsidR="00B861F1">
        <w:t>’</w:t>
      </w:r>
      <w:r w:rsidRPr="009B6952">
        <w:t>œuvre active et l</w:t>
      </w:r>
      <w:r w:rsidR="00B861F1">
        <w:t>’</w:t>
      </w:r>
      <w:r w:rsidRPr="009B6952">
        <w:t xml:space="preserve">inadéquation entre formation et emploi; </w:t>
      </w:r>
    </w:p>
    <w:p w:rsidR="00CB399B" w:rsidRPr="009B6952" w:rsidRDefault="00CB399B" w:rsidP="00CB399B">
      <w:pPr>
        <w:pStyle w:val="SingleTxtG"/>
        <w:ind w:firstLine="567"/>
      </w:pPr>
      <w:r>
        <w:t>c)</w:t>
      </w:r>
      <w:r>
        <w:tab/>
      </w:r>
      <w:r w:rsidRPr="009B6952">
        <w:t xml:space="preserve">Le secteur industriel est de petite </w:t>
      </w:r>
      <w:r>
        <w:t>taille</w:t>
      </w:r>
      <w:r w:rsidRPr="009B6952">
        <w:t xml:space="preserve">; </w:t>
      </w:r>
    </w:p>
    <w:p w:rsidR="00CB399B" w:rsidRPr="009B6952" w:rsidRDefault="00CB399B" w:rsidP="00CB399B">
      <w:pPr>
        <w:pStyle w:val="SingleTxtG"/>
        <w:ind w:firstLine="567"/>
      </w:pPr>
      <w:r>
        <w:t>d)</w:t>
      </w:r>
      <w:r>
        <w:tab/>
      </w:r>
      <w:r w:rsidRPr="009B6952">
        <w:t>Le secteur agricole est dominé par l</w:t>
      </w:r>
      <w:r w:rsidR="00B861F1">
        <w:t>’</w:t>
      </w:r>
      <w:r w:rsidRPr="009B6952">
        <w:t xml:space="preserve">insuffisance des terres et </w:t>
      </w:r>
      <w:r>
        <w:t xml:space="preserve">il </w:t>
      </w:r>
      <w:r w:rsidRPr="009B6952">
        <w:t>est caractérisé par des plantations assez vieilles et un déclin de la production;</w:t>
      </w:r>
    </w:p>
    <w:p w:rsidR="00CB399B" w:rsidRPr="009B6952" w:rsidRDefault="00CB399B" w:rsidP="00CB399B">
      <w:pPr>
        <w:pStyle w:val="SingleTxtG"/>
        <w:ind w:firstLine="567"/>
      </w:pPr>
      <w:r>
        <w:t>e)</w:t>
      </w:r>
      <w:r>
        <w:tab/>
      </w:r>
      <w:r w:rsidRPr="009B6952">
        <w:t>Le secteur privé est encore sous-développé</w:t>
      </w:r>
      <w:r>
        <w:t>;</w:t>
      </w:r>
      <w:r w:rsidRPr="009B6952">
        <w:t xml:space="preserve"> </w:t>
      </w:r>
    </w:p>
    <w:p w:rsidR="00CB399B" w:rsidRPr="009B6952" w:rsidRDefault="00CB399B" w:rsidP="00CB399B">
      <w:pPr>
        <w:pStyle w:val="SingleTxtG"/>
        <w:ind w:firstLine="567"/>
      </w:pPr>
      <w:r>
        <w:t>f)</w:t>
      </w:r>
      <w:r>
        <w:tab/>
      </w:r>
      <w:r w:rsidRPr="009B6952">
        <w:t>Les traditions</w:t>
      </w:r>
      <w:r>
        <w:t xml:space="preserve"> et</w:t>
      </w:r>
      <w:r w:rsidRPr="009B6952">
        <w:t xml:space="preserve"> l</w:t>
      </w:r>
      <w:r w:rsidR="00B861F1">
        <w:t>’</w:t>
      </w:r>
      <w:r w:rsidRPr="009B6952">
        <w:t>analphabétisme;</w:t>
      </w:r>
    </w:p>
    <w:p w:rsidR="00CB399B" w:rsidRPr="009B6952" w:rsidRDefault="00CB399B" w:rsidP="00CB399B">
      <w:pPr>
        <w:pStyle w:val="SingleTxtG"/>
        <w:ind w:firstLine="567"/>
      </w:pPr>
      <w:r>
        <w:t>g)</w:t>
      </w:r>
      <w:r>
        <w:tab/>
      </w:r>
      <w:r w:rsidRPr="009B6952">
        <w:t>Les contraintes budgétaires;</w:t>
      </w:r>
    </w:p>
    <w:p w:rsidR="00CB399B" w:rsidRPr="009B6952" w:rsidRDefault="00CB399B" w:rsidP="00CB399B">
      <w:pPr>
        <w:pStyle w:val="SingleTxtG"/>
        <w:ind w:firstLine="567"/>
      </w:pPr>
      <w:r>
        <w:t>h)</w:t>
      </w:r>
      <w:r>
        <w:tab/>
      </w:r>
      <w:r w:rsidRPr="009B6952">
        <w:t>L</w:t>
      </w:r>
      <w:r w:rsidR="00B861F1">
        <w:t>’</w:t>
      </w:r>
      <w:r w:rsidRPr="009B6952">
        <w:t>accès des femmes à l</w:t>
      </w:r>
      <w:r w:rsidR="00B861F1">
        <w:t>’</w:t>
      </w:r>
      <w:r w:rsidRPr="009B6952">
        <w:t>emploi reste encore limité, dû au manque de compétences techniques.</w:t>
      </w:r>
    </w:p>
    <w:p w:rsidR="00CB399B" w:rsidRPr="009B6952" w:rsidRDefault="00CB399B" w:rsidP="00CB399B">
      <w:pPr>
        <w:pStyle w:val="SingleTxtG"/>
      </w:pPr>
      <w:r w:rsidRPr="009B6952">
        <w:rPr>
          <w:szCs w:val="24"/>
        </w:rPr>
        <w:t>8</w:t>
      </w:r>
      <w:r>
        <w:rPr>
          <w:szCs w:val="24"/>
        </w:rPr>
        <w:t>7</w:t>
      </w:r>
      <w:r w:rsidRPr="009B6952">
        <w:rPr>
          <w:sz w:val="24"/>
          <w:szCs w:val="24"/>
        </w:rPr>
        <w:t>.</w:t>
      </w:r>
      <w:r w:rsidRPr="009B6952">
        <w:rPr>
          <w:sz w:val="24"/>
          <w:szCs w:val="24"/>
        </w:rPr>
        <w:tab/>
      </w:r>
      <w:r w:rsidRPr="009B6952">
        <w:t>Les solutions aux défis rencontrés</w:t>
      </w:r>
      <w:r>
        <w:t xml:space="preserve"> sont les suivantes</w:t>
      </w:r>
      <w:r w:rsidRPr="009B6952">
        <w:t>:</w:t>
      </w:r>
    </w:p>
    <w:p w:rsidR="00CB399B" w:rsidRPr="009B6952" w:rsidRDefault="00CB399B" w:rsidP="00CB399B">
      <w:pPr>
        <w:pStyle w:val="SingleTxtG"/>
        <w:ind w:firstLine="567"/>
      </w:pPr>
      <w:r>
        <w:t>a)</w:t>
      </w:r>
      <w:r>
        <w:tab/>
      </w:r>
      <w:r w:rsidRPr="009B6952">
        <w:t>L</w:t>
      </w:r>
      <w:r w:rsidR="00B861F1">
        <w:t>’</w:t>
      </w:r>
      <w:r w:rsidRPr="009B6952">
        <w:t xml:space="preserve">éducation et les programmes de planification familiale pour résorber le problème de croissance rapide continuent et produisent des effets: les mentalités commencent à changer vis-à-vis </w:t>
      </w:r>
      <w:r>
        <w:t xml:space="preserve">de </w:t>
      </w:r>
      <w:r w:rsidRPr="009B6952">
        <w:t>ces programmes au point que même les hommes ont commencé à faire usage des programmes de planification familiale;</w:t>
      </w:r>
    </w:p>
    <w:p w:rsidR="00CB399B" w:rsidRPr="009B6952" w:rsidRDefault="00CB399B" w:rsidP="00CB399B">
      <w:pPr>
        <w:pStyle w:val="SingleTxtG"/>
        <w:ind w:firstLine="567"/>
      </w:pPr>
      <w:r>
        <w:t>b)</w:t>
      </w:r>
      <w:r>
        <w:tab/>
      </w:r>
      <w:r w:rsidRPr="009B6952">
        <w:t xml:space="preserve">Les institutions et stratégies ci-haut mentionnées (HIDA, WDA, TVET) visent à palier </w:t>
      </w:r>
      <w:r>
        <w:t>les</w:t>
      </w:r>
      <w:r w:rsidRPr="009B6952">
        <w:t xml:space="preserve"> problèmes d</w:t>
      </w:r>
      <w:r w:rsidR="00B861F1">
        <w:t>’</w:t>
      </w:r>
      <w:r w:rsidRPr="009B6952">
        <w:t>inadéquation entre offre et emploi et d</w:t>
      </w:r>
      <w:r w:rsidR="00B861F1">
        <w:t>’</w:t>
      </w:r>
      <w:r w:rsidRPr="009B6952">
        <w:t>autres encore comme PDL-HIMO visent la création d</w:t>
      </w:r>
      <w:r w:rsidR="00B861F1">
        <w:t>’</w:t>
      </w:r>
      <w:r w:rsidRPr="009B6952">
        <w:t xml:space="preserve">emploi; </w:t>
      </w:r>
    </w:p>
    <w:p w:rsidR="00CB399B" w:rsidRPr="009B6952" w:rsidRDefault="00CB399B" w:rsidP="00CB399B">
      <w:pPr>
        <w:pStyle w:val="SingleTxtG"/>
        <w:ind w:firstLine="567"/>
      </w:pPr>
      <w:r>
        <w:t>c)</w:t>
      </w:r>
      <w:r>
        <w:tab/>
      </w:r>
      <w:r w:rsidRPr="009B6952">
        <w:t>La politique de transformation de l</w:t>
      </w:r>
      <w:r w:rsidR="00B861F1">
        <w:t>’</w:t>
      </w:r>
      <w:r w:rsidRPr="009B6952">
        <w:t>agriculture (voir sous l</w:t>
      </w:r>
      <w:r w:rsidR="00B861F1">
        <w:t>’</w:t>
      </w:r>
      <w:r>
        <w:t xml:space="preserve">article </w:t>
      </w:r>
      <w:r w:rsidRPr="009B6952">
        <w:t>11) vise à améliorer le secteur agricole;</w:t>
      </w:r>
    </w:p>
    <w:p w:rsidR="00CB399B" w:rsidRPr="009B6952" w:rsidRDefault="00CB399B" w:rsidP="00CB399B">
      <w:pPr>
        <w:pStyle w:val="SingleTxtG"/>
        <w:ind w:firstLine="567"/>
      </w:pPr>
      <w:r>
        <w:t>d)</w:t>
      </w:r>
      <w:r>
        <w:tab/>
      </w:r>
      <w:r w:rsidRPr="009B6952">
        <w:t>La création des villages «imidugudu» pour libérer les terres cultivables;</w:t>
      </w:r>
    </w:p>
    <w:p w:rsidR="00CB399B" w:rsidRPr="009B6952" w:rsidRDefault="00CB399B" w:rsidP="00CB399B">
      <w:pPr>
        <w:pStyle w:val="SingleTxtG"/>
        <w:ind w:firstLine="567"/>
      </w:pPr>
      <w:r>
        <w:t>e)</w:t>
      </w:r>
      <w:r>
        <w:tab/>
      </w:r>
      <w:r w:rsidRPr="009B6952">
        <w:t xml:space="preserve">Des mesures sont prises pour </w:t>
      </w:r>
      <w:r>
        <w:t>promouvoir</w:t>
      </w:r>
      <w:r w:rsidRPr="009B6952">
        <w:t xml:space="preserve"> l</w:t>
      </w:r>
      <w:r w:rsidR="00B861F1">
        <w:t>’</w:t>
      </w:r>
      <w:r w:rsidRPr="009B6952">
        <w:t>emploi de la femme et l</w:t>
      </w:r>
      <w:r w:rsidR="00B861F1">
        <w:t>’</w:t>
      </w:r>
      <w:r w:rsidRPr="009B6952">
        <w:t>emploi des jeunes: des mouvements associatifs sont créés, des programmes de microprojets productifs en faveur des femmes sont mis en place;</w:t>
      </w:r>
    </w:p>
    <w:p w:rsidR="00CB399B" w:rsidRPr="009B6952" w:rsidRDefault="00CB399B" w:rsidP="00CB399B">
      <w:pPr>
        <w:pStyle w:val="SingleTxtG"/>
        <w:ind w:firstLine="567"/>
      </w:pPr>
      <w:r>
        <w:t>f)</w:t>
      </w:r>
      <w:r>
        <w:tab/>
      </w:r>
      <w:r w:rsidRPr="009B6952">
        <w:t>La promotion de l</w:t>
      </w:r>
      <w:r w:rsidR="00B861F1">
        <w:t>’</w:t>
      </w:r>
      <w:r w:rsidRPr="009B6952">
        <w:t xml:space="preserve">investissement privé est encouragée, des avantages fiscaux sont octroyés. </w:t>
      </w:r>
    </w:p>
    <w:p w:rsidR="00CB399B" w:rsidRPr="009B6952" w:rsidRDefault="00CB399B" w:rsidP="00CB399B">
      <w:pPr>
        <w:pStyle w:val="H4G"/>
      </w:pPr>
      <w:r>
        <w:tab/>
      </w:r>
      <w:r>
        <w:tab/>
      </w:r>
      <w:r w:rsidRPr="009B6952">
        <w:t>De certaines distinction</w:t>
      </w:r>
      <w:r>
        <w:t>s</w:t>
      </w:r>
      <w:r w:rsidRPr="009B6952">
        <w:t>, exclus</w:t>
      </w:r>
      <w:r>
        <w:t>ions, restrictions ou préférences</w:t>
      </w:r>
    </w:p>
    <w:p w:rsidR="00CB399B" w:rsidRPr="009B6952" w:rsidRDefault="00CB399B" w:rsidP="00CB399B">
      <w:pPr>
        <w:pStyle w:val="SingleTxtG"/>
      </w:pPr>
      <w:r>
        <w:t>88</w:t>
      </w:r>
      <w:r w:rsidRPr="00FE4227">
        <w:t>.</w:t>
      </w:r>
      <w:r w:rsidRPr="009B6952">
        <w:rPr>
          <w:sz w:val="24"/>
          <w:szCs w:val="24"/>
        </w:rPr>
        <w:tab/>
      </w:r>
      <w:r>
        <w:t>La loi autorise</w:t>
      </w:r>
      <w:r w:rsidRPr="009B6952">
        <w:t xml:space="preserve"> certaines restrictions fondées sur la nationalité: </w:t>
      </w:r>
    </w:p>
    <w:p w:rsidR="00CB399B" w:rsidRPr="009B6952" w:rsidRDefault="00CB399B" w:rsidP="00CB399B">
      <w:pPr>
        <w:pStyle w:val="SingleTxtG"/>
        <w:ind w:firstLine="567"/>
      </w:pPr>
      <w:r>
        <w:t>a)</w:t>
      </w:r>
      <w:r>
        <w:tab/>
      </w:r>
      <w:r w:rsidRPr="009B6952">
        <w:t>L</w:t>
      </w:r>
      <w:r w:rsidR="00B861F1">
        <w:t>’</w:t>
      </w:r>
      <w:r w:rsidRPr="009B6952">
        <w:t>une des conditions pour participer au système de recrutement et être admis au</w:t>
      </w:r>
      <w:r>
        <w:t>x</w:t>
      </w:r>
      <w:r w:rsidRPr="009B6952">
        <w:t xml:space="preserve"> concours dans la fonction publique est d</w:t>
      </w:r>
      <w:r w:rsidR="00B861F1">
        <w:t>’</w:t>
      </w:r>
      <w:r w:rsidRPr="009B6952">
        <w:t>être de nationalité rwandaise (art.</w:t>
      </w:r>
      <w:r>
        <w:t xml:space="preserve"> </w:t>
      </w:r>
      <w:r w:rsidRPr="009B6952">
        <w:t xml:space="preserve">28 </w:t>
      </w:r>
      <w:r>
        <w:t xml:space="preserve">de la </w:t>
      </w:r>
      <w:r w:rsidRPr="009B6952">
        <w:t>loi portant statut g</w:t>
      </w:r>
      <w:r>
        <w:t>énéral de la fonction publique);</w:t>
      </w:r>
    </w:p>
    <w:p w:rsidR="00CB399B" w:rsidRPr="009B6952" w:rsidRDefault="00CB399B" w:rsidP="00CB399B">
      <w:pPr>
        <w:pStyle w:val="SingleTxtG"/>
        <w:ind w:firstLine="567"/>
      </w:pPr>
      <w:r>
        <w:t>b)</w:t>
      </w:r>
      <w:r>
        <w:tab/>
      </w:r>
      <w:r w:rsidRPr="009B6952">
        <w:t>La même chose s</w:t>
      </w:r>
      <w:r w:rsidR="00B861F1">
        <w:t>’</w:t>
      </w:r>
      <w:r w:rsidRPr="009B6952">
        <w:t xml:space="preserve">applique </w:t>
      </w:r>
      <w:r>
        <w:t>au</w:t>
      </w:r>
      <w:r w:rsidRPr="009B6952">
        <w:t xml:space="preserve"> recrutement d</w:t>
      </w:r>
      <w:r>
        <w:t>ans l</w:t>
      </w:r>
      <w:r w:rsidRPr="009B6952">
        <w:t xml:space="preserve">es forces armées, la police nationale et </w:t>
      </w:r>
      <w:r>
        <w:t>le</w:t>
      </w:r>
      <w:r w:rsidRPr="009B6952">
        <w:t xml:space="preserve"> service local de maintien de la sécurité «local defence»</w:t>
      </w:r>
      <w:r w:rsidRPr="002F7FFE">
        <w:rPr>
          <w:sz w:val="18"/>
          <w:szCs w:val="18"/>
          <w:vertAlign w:val="superscript"/>
        </w:rPr>
        <w:footnoteReference w:id="48"/>
      </w:r>
      <w:r>
        <w:t>.</w:t>
      </w:r>
    </w:p>
    <w:p w:rsidR="00CB399B" w:rsidRPr="009B6952" w:rsidRDefault="00CB399B" w:rsidP="00CB399B">
      <w:pPr>
        <w:pStyle w:val="SingleTxtG"/>
      </w:pPr>
      <w:r>
        <w:t>89</w:t>
      </w:r>
      <w:r w:rsidRPr="00FE4227">
        <w:t>.</w:t>
      </w:r>
      <w:r w:rsidRPr="00FE4227">
        <w:tab/>
      </w:r>
      <w:r w:rsidRPr="009B6952">
        <w:t xml:space="preserve">Le </w:t>
      </w:r>
      <w:r>
        <w:t>G</w:t>
      </w:r>
      <w:r w:rsidRPr="009B6952">
        <w:t>ouvernement rwandais pratique une discrimination positive</w:t>
      </w:r>
      <w:r w:rsidRPr="002F7FFE">
        <w:rPr>
          <w:sz w:val="18"/>
          <w:szCs w:val="18"/>
          <w:vertAlign w:val="superscript"/>
        </w:rPr>
        <w:footnoteReference w:id="49"/>
      </w:r>
      <w:r w:rsidRPr="009B6952">
        <w:t>: l</w:t>
      </w:r>
      <w:r w:rsidR="00B861F1">
        <w:t>’</w:t>
      </w:r>
      <w:r w:rsidRPr="009B6952">
        <w:t>attribution d</w:t>
      </w:r>
      <w:r w:rsidR="00B861F1">
        <w:t>’</w:t>
      </w:r>
      <w:r w:rsidRPr="009B6952">
        <w:t>au moins trente pour cent (30</w:t>
      </w:r>
      <w:r>
        <w:t xml:space="preserve"> %</w:t>
      </w:r>
      <w:r w:rsidRPr="009B6952">
        <w:t>) des postes aux femmes dans les instances de prise de décisi</w:t>
      </w:r>
      <w:r>
        <w:t>on. Ainsi, l</w:t>
      </w:r>
      <w:r w:rsidRPr="009B6952">
        <w:t>a préférence est de plus en plus donnée aux femmes dans divers secteurs tant public</w:t>
      </w:r>
      <w:r>
        <w:t>s</w:t>
      </w:r>
      <w:r w:rsidRPr="009B6952">
        <w:t xml:space="preserve"> que privé</w:t>
      </w:r>
      <w:r>
        <w:t>s</w:t>
      </w:r>
      <w:r w:rsidRPr="009B6952">
        <w:t xml:space="preserve"> pour leur bonne représentativité. </w:t>
      </w:r>
    </w:p>
    <w:p w:rsidR="00CB399B" w:rsidRPr="009B6952" w:rsidRDefault="00CB399B" w:rsidP="00CB399B">
      <w:pPr>
        <w:pStyle w:val="SingleTxtG"/>
      </w:pPr>
      <w:r w:rsidRPr="00FE4227">
        <w:t>9</w:t>
      </w:r>
      <w:r>
        <w:t>0</w:t>
      </w:r>
      <w:r w:rsidRPr="00FE4227">
        <w:t>.</w:t>
      </w:r>
      <w:r w:rsidRPr="009B6952">
        <w:rPr>
          <w:sz w:val="24"/>
          <w:szCs w:val="24"/>
        </w:rPr>
        <w:tab/>
      </w:r>
      <w:r w:rsidRPr="009B6952">
        <w:t>Aucune catégorie de travailleurs n</w:t>
      </w:r>
      <w:r w:rsidR="00B861F1">
        <w:t>’</w:t>
      </w:r>
      <w:r w:rsidRPr="009B6952">
        <w:t xml:space="preserve">est exclue </w:t>
      </w:r>
      <w:r>
        <w:t>du</w:t>
      </w:r>
      <w:r w:rsidRPr="009B6952">
        <w:t xml:space="preserve"> libre choix de l</w:t>
      </w:r>
      <w:r w:rsidR="00B861F1">
        <w:t>’</w:t>
      </w:r>
      <w:r w:rsidRPr="009B6952">
        <w:t xml:space="preserve">emploi. </w:t>
      </w:r>
    </w:p>
    <w:p w:rsidR="00CB399B" w:rsidRPr="009B6952" w:rsidRDefault="00CB399B" w:rsidP="00CB399B">
      <w:pPr>
        <w:pStyle w:val="SingleTxtG"/>
      </w:pPr>
      <w:r>
        <w:t>91</w:t>
      </w:r>
      <w:r w:rsidRPr="00FE4227">
        <w:t>.</w:t>
      </w:r>
      <w:r w:rsidRPr="00FE4227">
        <w:tab/>
      </w:r>
      <w:r w:rsidRPr="009B6952">
        <w:t>Les mesures prises sont</w:t>
      </w:r>
      <w:r>
        <w:t xml:space="preserve"> les suivantes</w:t>
      </w:r>
      <w:r w:rsidRPr="009B6952">
        <w:t>:</w:t>
      </w:r>
    </w:p>
    <w:p w:rsidR="00CB399B" w:rsidRPr="009B6952" w:rsidRDefault="00CB399B" w:rsidP="00CB399B">
      <w:pPr>
        <w:pStyle w:val="SingleTxtG"/>
        <w:ind w:firstLine="567"/>
      </w:pPr>
      <w:r>
        <w:t>a)</w:t>
      </w:r>
      <w:r>
        <w:tab/>
      </w:r>
      <w:r w:rsidRPr="009B6952">
        <w:t>L</w:t>
      </w:r>
      <w:r w:rsidR="00B861F1">
        <w:t>’</w:t>
      </w:r>
      <w:r w:rsidRPr="009B6952">
        <w:t xml:space="preserve">abolition des frais relatifs au permis de travail pour les ressortissants des </w:t>
      </w:r>
      <w:r>
        <w:t>É</w:t>
      </w:r>
      <w:r w:rsidRPr="009B6952">
        <w:t>tats de l</w:t>
      </w:r>
      <w:r w:rsidR="00B861F1">
        <w:t>’</w:t>
      </w:r>
      <w:r w:rsidRPr="009B6952">
        <w:t>Afrique de l</w:t>
      </w:r>
      <w:r w:rsidR="00B861F1">
        <w:t>’</w:t>
      </w:r>
      <w:r w:rsidRPr="009B6952">
        <w:t>Est, ainsi que pour les réfugiés</w:t>
      </w:r>
      <w:r>
        <w:t>,</w:t>
      </w:r>
      <w:r w:rsidRPr="009B6952">
        <w:t xml:space="preserve"> </w:t>
      </w:r>
      <w:r>
        <w:t>afin de</w:t>
      </w:r>
      <w:r w:rsidRPr="009B6952">
        <w:t xml:space="preserve"> permettr</w:t>
      </w:r>
      <w:r>
        <w:t>e une mobilité des travailleurs;</w:t>
      </w:r>
    </w:p>
    <w:p w:rsidR="00CB399B" w:rsidRPr="009B6952" w:rsidRDefault="00CB399B" w:rsidP="00CB399B">
      <w:pPr>
        <w:pStyle w:val="SingleTxtG"/>
        <w:ind w:firstLine="567"/>
      </w:pPr>
      <w:r>
        <w:t>b)</w:t>
      </w:r>
      <w:r>
        <w:tab/>
      </w:r>
      <w:r w:rsidRPr="009B6952">
        <w:t>Les autres ressortissants de pays étrangers ont vu leurs frais relatifs au permis de travail réduits et la procédure d</w:t>
      </w:r>
      <w:r w:rsidR="00B861F1">
        <w:t>’</w:t>
      </w:r>
      <w:r w:rsidRPr="009B6952">
        <w:t xml:space="preserve">obtention de ces permis centralisée </w:t>
      </w:r>
      <w:r>
        <w:t>auprès d</w:t>
      </w:r>
      <w:r w:rsidR="00B861F1">
        <w:t>’</w:t>
      </w:r>
      <w:r w:rsidRPr="009B6952">
        <w:t>un seul bureau, au sein de la direction générale d</w:t>
      </w:r>
      <w:r w:rsidR="00B861F1">
        <w:t>’</w:t>
      </w:r>
      <w:r w:rsidRPr="009B6952">
        <w:t xml:space="preserve">immigration et émigration. </w:t>
      </w:r>
    </w:p>
    <w:p w:rsidR="00CB399B" w:rsidRPr="009B6952" w:rsidRDefault="00CB399B" w:rsidP="00CB399B">
      <w:pPr>
        <w:pStyle w:val="SingleTxtG"/>
        <w:rPr>
          <w:i/>
          <w:u w:val="single"/>
        </w:rPr>
      </w:pPr>
      <w:r>
        <w:t>92</w:t>
      </w:r>
      <w:r w:rsidRPr="00FE4227">
        <w:t>.</w:t>
      </w:r>
      <w:r w:rsidRPr="00FE4227">
        <w:tab/>
        <w:t>La discrimination positive à l</w:t>
      </w:r>
      <w:r w:rsidR="00B861F1">
        <w:t>’</w:t>
      </w:r>
      <w:r w:rsidRPr="00FE4227">
        <w:t>égard des femmes est un des cas où la préférence fondée sur le sexe n</w:t>
      </w:r>
      <w:r w:rsidR="00B861F1">
        <w:t>’</w:t>
      </w:r>
      <w:r w:rsidRPr="00FE4227">
        <w:t>est pas considérée</w:t>
      </w:r>
      <w:r w:rsidRPr="009B6952">
        <w:t xml:space="preserve"> comme une forme de discrimination en raison de la spécificité de l</w:t>
      </w:r>
      <w:r w:rsidR="00B861F1">
        <w:t>’</w:t>
      </w:r>
      <w:r w:rsidRPr="009B6952">
        <w:t>emploi (cas des postes dans les instances de prise de décision). Ceci est en vue de promouvoir l</w:t>
      </w:r>
      <w:r w:rsidR="00B861F1">
        <w:t>’</w:t>
      </w:r>
      <w:r w:rsidRPr="009B6952">
        <w:t>égalité et l</w:t>
      </w:r>
      <w:r w:rsidR="00B861F1">
        <w:t>’</w:t>
      </w:r>
      <w:r w:rsidRPr="009B6952">
        <w:t>équité entre l</w:t>
      </w:r>
      <w:r w:rsidR="00B861F1">
        <w:t>’</w:t>
      </w:r>
      <w:r w:rsidRPr="009B6952">
        <w:t xml:space="preserve">homme et la femme dans le processus de développement. </w:t>
      </w:r>
    </w:p>
    <w:p w:rsidR="00CB399B" w:rsidRPr="009B6952" w:rsidRDefault="00CB399B" w:rsidP="00CB399B">
      <w:pPr>
        <w:pStyle w:val="H4G"/>
      </w:pPr>
      <w:r>
        <w:tab/>
      </w:r>
      <w:r>
        <w:tab/>
      </w:r>
      <w:r w:rsidRPr="009B6952">
        <w:t>Du cumul d</w:t>
      </w:r>
      <w:r>
        <w:t xml:space="preserve">es </w:t>
      </w:r>
      <w:r w:rsidRPr="009B6952">
        <w:t>emplois</w:t>
      </w:r>
    </w:p>
    <w:p w:rsidR="00CB399B" w:rsidRPr="009B6952" w:rsidRDefault="00CB399B" w:rsidP="00CB399B">
      <w:pPr>
        <w:pStyle w:val="SingleTxtG"/>
      </w:pPr>
      <w:r w:rsidRPr="00FE4227">
        <w:t>9</w:t>
      </w:r>
      <w:r>
        <w:t>3</w:t>
      </w:r>
      <w:r w:rsidRPr="00FE4227">
        <w:t>.</w:t>
      </w:r>
      <w:r w:rsidRPr="00FE4227">
        <w:tab/>
      </w:r>
      <w:r w:rsidRPr="009B6952">
        <w:t>Au moins 40</w:t>
      </w:r>
      <w:r>
        <w:t xml:space="preserve"> %</w:t>
      </w:r>
      <w:r w:rsidRPr="009B6952">
        <w:t xml:space="preserve"> de la population active cumule</w:t>
      </w:r>
      <w:r>
        <w:t>nt</w:t>
      </w:r>
      <w:r w:rsidRPr="009B6952">
        <w:t xml:space="preserve"> deux emplois. Plus de la moitié d</w:t>
      </w:r>
      <w:r>
        <w:t xml:space="preserve">es </w:t>
      </w:r>
      <w:r w:rsidRPr="009B6952">
        <w:t xml:space="preserve">agriculteurs indépendants ont travaillé à </w:t>
      </w:r>
      <w:r>
        <w:t>un</w:t>
      </w:r>
      <w:r w:rsidRPr="009B6952">
        <w:t xml:space="preserve"> moment</w:t>
      </w:r>
      <w:r>
        <w:t xml:space="preserve"> ou à l</w:t>
      </w:r>
      <w:r w:rsidR="00B861F1">
        <w:t>’</w:t>
      </w:r>
      <w:r>
        <w:t>autre</w:t>
      </w:r>
      <w:r w:rsidRPr="009B6952">
        <w:t xml:space="preserve"> comme travailleurs agricoles percevant un revenu</w:t>
      </w:r>
      <w:r w:rsidRPr="00FE4227">
        <w:rPr>
          <w:sz w:val="18"/>
          <w:szCs w:val="18"/>
          <w:vertAlign w:val="superscript"/>
        </w:rPr>
        <w:footnoteReference w:id="50"/>
      </w:r>
      <w:r w:rsidRPr="009B6952">
        <w:t xml:space="preserve">. </w:t>
      </w:r>
    </w:p>
    <w:p w:rsidR="00CB399B" w:rsidRPr="009B6952" w:rsidRDefault="00CB399B" w:rsidP="00CB399B">
      <w:pPr>
        <w:pStyle w:val="SingleTxtG"/>
      </w:pPr>
      <w:r>
        <w:t>94</w:t>
      </w:r>
      <w:r w:rsidRPr="00FE4227">
        <w:t>.</w:t>
      </w:r>
      <w:r w:rsidRPr="00FE4227">
        <w:tab/>
      </w:r>
      <w:r w:rsidRPr="009B6952">
        <w:t>Il existe une pratique à l</w:t>
      </w:r>
      <w:r w:rsidR="00B861F1">
        <w:t>’</w:t>
      </w:r>
      <w:r w:rsidRPr="009B6952">
        <w:t xml:space="preserve">effet que </w:t>
      </w:r>
      <w:r>
        <w:t>d</w:t>
      </w:r>
      <w:r w:rsidRPr="009B6952">
        <w:t>es fonctionnaires du secteur public ou privé travaillent aussi comme professeurs à temps partiel; ou encore</w:t>
      </w:r>
      <w:r>
        <w:t>,</w:t>
      </w:r>
      <w:r w:rsidRPr="009B6952">
        <w:t xml:space="preserve"> </w:t>
      </w:r>
      <w:r>
        <w:t xml:space="preserve">que </w:t>
      </w:r>
      <w:r w:rsidRPr="009B6952">
        <w:t xml:space="preserve">des agents militaires </w:t>
      </w:r>
      <w:r>
        <w:t>pratiquent</w:t>
      </w:r>
      <w:r w:rsidRPr="009B6952">
        <w:t xml:space="preserve"> aussi l</w:t>
      </w:r>
      <w:r w:rsidR="00B861F1">
        <w:t>’</w:t>
      </w:r>
      <w:r w:rsidRPr="009B6952">
        <w:t xml:space="preserve">élevage. </w:t>
      </w:r>
    </w:p>
    <w:p w:rsidR="00CB399B" w:rsidRPr="009B6952" w:rsidRDefault="00CB399B" w:rsidP="00CB399B">
      <w:pPr>
        <w:pStyle w:val="H4G"/>
      </w:pPr>
      <w:r>
        <w:tab/>
      </w:r>
      <w:r>
        <w:tab/>
      </w:r>
      <w:r w:rsidRPr="009B6952">
        <w:t>Aperçu des modifications dep</w:t>
      </w:r>
      <w:r>
        <w:t>uis le dernier rapport</w:t>
      </w:r>
    </w:p>
    <w:p w:rsidR="00CB399B" w:rsidRPr="009B6952" w:rsidRDefault="00CB399B" w:rsidP="00CB399B">
      <w:pPr>
        <w:pStyle w:val="SingleTxtG"/>
      </w:pPr>
      <w:r>
        <w:t>95</w:t>
      </w:r>
      <w:r w:rsidRPr="000E147E">
        <w:t>.</w:t>
      </w:r>
      <w:r w:rsidRPr="009B6952">
        <w:rPr>
          <w:sz w:val="24"/>
          <w:szCs w:val="24"/>
        </w:rPr>
        <w:tab/>
      </w:r>
      <w:r w:rsidRPr="000E147E">
        <w:t>L</w:t>
      </w:r>
      <w:r w:rsidRPr="009B6952">
        <w:t>es modifications sont celles prévues par les textes législatifs</w:t>
      </w:r>
      <w:r>
        <w:t xml:space="preserve"> suivants</w:t>
      </w:r>
      <w:r w:rsidRPr="009B6952">
        <w:t xml:space="preserve">: </w:t>
      </w:r>
    </w:p>
    <w:p w:rsidR="00CB399B" w:rsidRPr="009B6952" w:rsidRDefault="00CB399B" w:rsidP="00CB399B">
      <w:pPr>
        <w:pStyle w:val="SingleTxtG"/>
        <w:ind w:firstLine="567"/>
      </w:pPr>
      <w:r>
        <w:t>a)</w:t>
      </w:r>
      <w:r>
        <w:tab/>
      </w:r>
      <w:r w:rsidRPr="009B6952">
        <w:t>La Constitution (les articles 11, 37</w:t>
      </w:r>
      <w:r>
        <w:t xml:space="preserve"> et</w:t>
      </w:r>
      <w:r w:rsidRPr="009B6952">
        <w:t xml:space="preserve"> 42);</w:t>
      </w:r>
    </w:p>
    <w:p w:rsidR="00CB399B" w:rsidRPr="009B6952" w:rsidRDefault="00CB399B" w:rsidP="00CB399B">
      <w:pPr>
        <w:pStyle w:val="SingleTxtG"/>
        <w:ind w:firstLine="567"/>
      </w:pPr>
      <w:r>
        <w:t>b)</w:t>
      </w:r>
      <w:r>
        <w:tab/>
      </w:r>
      <w:r w:rsidRPr="009B6952">
        <w:t>Le Rwanda a a</w:t>
      </w:r>
      <w:r>
        <w:t xml:space="preserve">dhéré en 2000 à la Convention </w:t>
      </w:r>
      <w:r>
        <w:rPr>
          <w:rFonts w:eastAsia="MS Mincho"/>
        </w:rPr>
        <w:t>n</w:t>
      </w:r>
      <w:r>
        <w:rPr>
          <w:rFonts w:eastAsia="MS Mincho"/>
          <w:vertAlign w:val="superscript"/>
        </w:rPr>
        <w:t>o</w:t>
      </w:r>
      <w:r>
        <w:t xml:space="preserve"> </w:t>
      </w:r>
      <w:r w:rsidRPr="009B6952">
        <w:t xml:space="preserve">182 sur les pires formes de travail </w:t>
      </w:r>
      <w:r>
        <w:t xml:space="preserve">des enfants </w:t>
      </w:r>
      <w:r w:rsidRPr="009B6952">
        <w:t xml:space="preserve">et à </w:t>
      </w:r>
      <w:r>
        <w:t xml:space="preserve">la Convention sur le </w:t>
      </w:r>
      <w:r w:rsidRPr="009B6952">
        <w:t>travail forcé (C29) en 2001;</w:t>
      </w:r>
    </w:p>
    <w:p w:rsidR="00CB399B" w:rsidRPr="009B6952" w:rsidRDefault="00CB399B" w:rsidP="00CB399B">
      <w:pPr>
        <w:pStyle w:val="SingleTxtG"/>
        <w:ind w:firstLine="567"/>
      </w:pPr>
      <w:r>
        <w:t>c)</w:t>
      </w:r>
      <w:r>
        <w:tab/>
        <w:t>L</w:t>
      </w:r>
      <w:r w:rsidRPr="009B6952">
        <w:t xml:space="preserve">a Convention relative aux droits des personnes handicapées et </w:t>
      </w:r>
      <w:r>
        <w:t>P</w:t>
      </w:r>
      <w:r w:rsidRPr="009B6952">
        <w:t>rotocole facultatif</w:t>
      </w:r>
      <w:r>
        <w:t>, adhésion du Rwanda</w:t>
      </w:r>
      <w:r w:rsidRPr="009B6952">
        <w:t xml:space="preserve"> le 15 Décembre 2008</w:t>
      </w:r>
      <w:r>
        <w:t>;</w:t>
      </w:r>
    </w:p>
    <w:p w:rsidR="00CB399B" w:rsidRPr="009B6952" w:rsidRDefault="00CB399B" w:rsidP="00CB399B">
      <w:pPr>
        <w:pStyle w:val="SingleTxtG"/>
        <w:ind w:firstLine="567"/>
      </w:pPr>
      <w:r>
        <w:t>d)</w:t>
      </w:r>
      <w:r>
        <w:tab/>
      </w:r>
      <w:r w:rsidRPr="009B6952">
        <w:t xml:space="preserve">La loi portant réglementation du travail au Rwanda; </w:t>
      </w:r>
    </w:p>
    <w:p w:rsidR="00CB399B" w:rsidRPr="009B6952" w:rsidRDefault="00CB399B" w:rsidP="00CB399B">
      <w:pPr>
        <w:pStyle w:val="SingleTxtG"/>
        <w:ind w:firstLine="567"/>
      </w:pPr>
      <w:r>
        <w:t>e)</w:t>
      </w:r>
      <w:r>
        <w:tab/>
      </w:r>
      <w:r w:rsidRPr="009B6952">
        <w:t>La loi portant protection des personnes handicapées</w:t>
      </w:r>
      <w:r w:rsidRPr="000E147E">
        <w:rPr>
          <w:sz w:val="18"/>
          <w:szCs w:val="18"/>
          <w:vertAlign w:val="superscript"/>
        </w:rPr>
        <w:footnoteReference w:id="51"/>
      </w:r>
      <w:r w:rsidRPr="009B6952">
        <w:t xml:space="preserve">, </w:t>
      </w:r>
      <w:r>
        <w:t>qui</w:t>
      </w:r>
      <w:r w:rsidRPr="009B6952">
        <w:t xml:space="preserve"> garantit à la personne handicapée </w:t>
      </w:r>
      <w:r>
        <w:t xml:space="preserve">la </w:t>
      </w:r>
      <w:r w:rsidRPr="009B6952">
        <w:t>priorité à l</w:t>
      </w:r>
      <w:r w:rsidR="00B861F1">
        <w:t>’</w:t>
      </w:r>
      <w:r w:rsidRPr="009B6952">
        <w:t>issue d</w:t>
      </w:r>
      <w:r w:rsidR="00B861F1">
        <w:t>’</w:t>
      </w:r>
      <w:r w:rsidRPr="009B6952">
        <w:t xml:space="preserve">un concours pour un emploi </w:t>
      </w:r>
      <w:r>
        <w:t>à</w:t>
      </w:r>
      <w:r w:rsidRPr="009B6952">
        <w:t xml:space="preserve"> compétences professionnelles égales et des conditions favorables à l</w:t>
      </w:r>
      <w:r w:rsidR="00B861F1">
        <w:t>’</w:t>
      </w:r>
      <w:r w:rsidRPr="009B6952">
        <w:t>état de son handicap;</w:t>
      </w:r>
    </w:p>
    <w:p w:rsidR="00CB399B" w:rsidRPr="009B6952" w:rsidRDefault="00CB399B" w:rsidP="00CB399B">
      <w:pPr>
        <w:pStyle w:val="SingleTxtG"/>
        <w:ind w:firstLine="567"/>
      </w:pPr>
      <w:r>
        <w:t>f)</w:t>
      </w:r>
      <w:r>
        <w:tab/>
      </w:r>
      <w:r w:rsidRPr="009B6952">
        <w:t>La loi relative à</w:t>
      </w:r>
      <w:r w:rsidRPr="00FE4227">
        <w:t xml:space="preserve"> </w:t>
      </w:r>
      <w:r w:rsidRPr="009B6952">
        <w:t>la protection des ex-combattants</w:t>
      </w:r>
      <w:r w:rsidRPr="000E147E">
        <w:rPr>
          <w:sz w:val="18"/>
          <w:szCs w:val="18"/>
          <w:vertAlign w:val="superscript"/>
        </w:rPr>
        <w:footnoteReference w:id="52"/>
      </w:r>
      <w:r w:rsidRPr="009B6952">
        <w:t xml:space="preserve"> handicapés de guerre</w:t>
      </w:r>
      <w:r>
        <w:t xml:space="preserve">, qui </w:t>
      </w:r>
      <w:r w:rsidRPr="009B6952">
        <w:t>accorde aux personnes handicapées de guerre la priorité dans l</w:t>
      </w:r>
      <w:r w:rsidR="00B861F1">
        <w:t>’</w:t>
      </w:r>
      <w:r w:rsidRPr="009B6952">
        <w:t>obtention d</w:t>
      </w:r>
      <w:r w:rsidR="00B861F1">
        <w:t>’</w:t>
      </w:r>
      <w:r w:rsidRPr="009B6952">
        <w:t>un em</w:t>
      </w:r>
      <w:r>
        <w:t>ploi à compétence égale;</w:t>
      </w:r>
    </w:p>
    <w:p w:rsidR="00CB399B" w:rsidRPr="009B6952" w:rsidRDefault="00CB399B" w:rsidP="00CB399B">
      <w:pPr>
        <w:pStyle w:val="SingleTxtG"/>
        <w:ind w:firstLine="567"/>
      </w:pPr>
      <w:r>
        <w:t>g)</w:t>
      </w:r>
      <w:r>
        <w:tab/>
      </w:r>
      <w:r w:rsidRPr="009B6952">
        <w:t>Un arrêté ministériel</w:t>
      </w:r>
      <w:r w:rsidRPr="000E147E">
        <w:rPr>
          <w:sz w:val="18"/>
          <w:szCs w:val="18"/>
          <w:vertAlign w:val="superscript"/>
        </w:rPr>
        <w:footnoteReference w:id="53"/>
      </w:r>
      <w:r w:rsidRPr="000E147E">
        <w:rPr>
          <w:sz w:val="18"/>
          <w:szCs w:val="18"/>
        </w:rPr>
        <w:t xml:space="preserve"> </w:t>
      </w:r>
      <w:r w:rsidRPr="009B6952">
        <w:t xml:space="preserve">publié. </w:t>
      </w:r>
    </w:p>
    <w:p w:rsidR="00CB399B" w:rsidRPr="009B6952" w:rsidRDefault="00CB399B" w:rsidP="00CB399B">
      <w:pPr>
        <w:pStyle w:val="SingleTxtG"/>
        <w:keepNext/>
      </w:pPr>
      <w:r>
        <w:rPr>
          <w:szCs w:val="24"/>
        </w:rPr>
        <w:t>96</w:t>
      </w:r>
      <w:r w:rsidRPr="009B6952">
        <w:rPr>
          <w:szCs w:val="24"/>
        </w:rPr>
        <w:t>.</w:t>
      </w:r>
      <w:r w:rsidRPr="009B6952">
        <w:rPr>
          <w:szCs w:val="24"/>
        </w:rPr>
        <w:tab/>
      </w:r>
      <w:r w:rsidRPr="009B6952">
        <w:t xml:space="preserve">Diverses politiques et stratégies ont été mises en place, </w:t>
      </w:r>
      <w:r>
        <w:t>notamment</w:t>
      </w:r>
      <w:r w:rsidRPr="009B6952">
        <w:t xml:space="preserve">: </w:t>
      </w:r>
    </w:p>
    <w:p w:rsidR="00CB399B" w:rsidRPr="009B6952" w:rsidRDefault="00CB399B" w:rsidP="00CB399B">
      <w:pPr>
        <w:pStyle w:val="SingleTxtG"/>
        <w:ind w:firstLine="567"/>
      </w:pPr>
      <w:r>
        <w:t>a)</w:t>
      </w:r>
      <w:r>
        <w:tab/>
        <w:t>Une</w:t>
      </w:r>
      <w:r w:rsidRPr="009B6952">
        <w:t xml:space="preserve"> politique de l</w:t>
      </w:r>
      <w:r w:rsidR="00B861F1">
        <w:t>’</w:t>
      </w:r>
      <w:r w:rsidRPr="009B6952">
        <w:t xml:space="preserve">emploi a été élaborée; </w:t>
      </w:r>
    </w:p>
    <w:p w:rsidR="00CB399B" w:rsidRPr="009B6952" w:rsidRDefault="00CB399B" w:rsidP="00CB399B">
      <w:pPr>
        <w:pStyle w:val="SingleTxtG"/>
        <w:ind w:firstLine="567"/>
      </w:pPr>
      <w:r>
        <w:t>b)</w:t>
      </w:r>
      <w:r>
        <w:tab/>
      </w:r>
      <w:r w:rsidRPr="009B6952">
        <w:t>Ainsi que des plans d</w:t>
      </w:r>
      <w:r w:rsidR="00B861F1">
        <w:t>’</w:t>
      </w:r>
      <w:r w:rsidRPr="009B6952">
        <w:t>action quinquennaux pour la promotion de l</w:t>
      </w:r>
      <w:r w:rsidR="00B861F1">
        <w:t>’</w:t>
      </w:r>
      <w:r w:rsidRPr="009B6952">
        <w:t xml:space="preserve">emploi des jeunes et des femmes; </w:t>
      </w:r>
    </w:p>
    <w:p w:rsidR="00CB399B" w:rsidRPr="009B6952" w:rsidRDefault="00CB399B" w:rsidP="00CB399B">
      <w:pPr>
        <w:pStyle w:val="SingleTxtG"/>
        <w:ind w:firstLine="567"/>
      </w:pPr>
      <w:r>
        <w:t>c)</w:t>
      </w:r>
      <w:r>
        <w:tab/>
      </w:r>
      <w:r w:rsidRPr="009B6952">
        <w:t>La politique pour l</w:t>
      </w:r>
      <w:r w:rsidR="00B861F1">
        <w:t>’</w:t>
      </w:r>
      <w:r w:rsidRPr="009B6952">
        <w:t>élimination du travail des enfants;</w:t>
      </w:r>
    </w:p>
    <w:p w:rsidR="00CB399B" w:rsidRPr="009B6952" w:rsidRDefault="00CB399B" w:rsidP="00CB399B">
      <w:pPr>
        <w:pStyle w:val="SingleTxtG"/>
        <w:ind w:firstLine="567"/>
      </w:pPr>
      <w:r>
        <w:t>d)</w:t>
      </w:r>
      <w:r>
        <w:tab/>
      </w:r>
      <w:r w:rsidRPr="009B6952">
        <w:t>La nouvelle politique sur la formation professionnelle et technique.</w:t>
      </w:r>
      <w:r>
        <w:t xml:space="preserve"> </w:t>
      </w:r>
    </w:p>
    <w:p w:rsidR="00CB399B" w:rsidRPr="009B6952" w:rsidRDefault="00CB399B" w:rsidP="00CB399B">
      <w:pPr>
        <w:pStyle w:val="SingleTxtG"/>
      </w:pPr>
      <w:r>
        <w:t>97</w:t>
      </w:r>
      <w:r w:rsidRPr="000E147E">
        <w:t>.</w:t>
      </w:r>
      <w:r w:rsidRPr="000E147E">
        <w:tab/>
      </w:r>
      <w:r>
        <w:t xml:space="preserve">De nombreuses </w:t>
      </w:r>
      <w:r w:rsidRPr="000E147E">
        <w:t xml:space="preserve">institutions ont été créées, afin de palier </w:t>
      </w:r>
      <w:r>
        <w:t>le</w:t>
      </w:r>
      <w:r w:rsidRPr="000E147E">
        <w:t xml:space="preserve"> manque ou l</w:t>
      </w:r>
      <w:r w:rsidR="00B861F1">
        <w:t>’</w:t>
      </w:r>
      <w:r w:rsidRPr="000E147E">
        <w:t>inadéquation des compétences de la main-</w:t>
      </w:r>
      <w:r w:rsidRPr="009B6952">
        <w:t>d</w:t>
      </w:r>
      <w:r w:rsidR="00B861F1">
        <w:t>’</w:t>
      </w:r>
      <w:r w:rsidRPr="009B6952">
        <w:t xml:space="preserve">œuvre locale. </w:t>
      </w:r>
    </w:p>
    <w:p w:rsidR="00CB399B" w:rsidRPr="009B6952" w:rsidRDefault="00CB399B" w:rsidP="00CB399B">
      <w:pPr>
        <w:pStyle w:val="SingleTxtG"/>
        <w:ind w:firstLine="567"/>
      </w:pPr>
      <w:r>
        <w:t>a)</w:t>
      </w:r>
      <w:r>
        <w:tab/>
      </w:r>
      <w:r w:rsidRPr="009B6952">
        <w:t>Les agences HIDA, RIAM, WDA et sa branche LMIS: toutes dans le but d</w:t>
      </w:r>
      <w:r w:rsidR="00B861F1">
        <w:t>’</w:t>
      </w:r>
      <w:r w:rsidRPr="009B6952">
        <w:t>améliorer la productivité du travail en équipant et en dotant la main-d</w:t>
      </w:r>
      <w:r w:rsidR="00B861F1">
        <w:t>’</w:t>
      </w:r>
      <w:r w:rsidRPr="009B6952">
        <w:t>œuvre locale de</w:t>
      </w:r>
      <w:r>
        <w:t>s</w:t>
      </w:r>
      <w:r w:rsidRPr="009B6952">
        <w:t xml:space="preserve"> compétences requises par le marché du travail</w:t>
      </w:r>
      <w:r>
        <w:t>;</w:t>
      </w:r>
      <w:r w:rsidRPr="009B6952">
        <w:t xml:space="preserve"> </w:t>
      </w:r>
    </w:p>
    <w:p w:rsidR="00CB399B" w:rsidRPr="009B6952" w:rsidRDefault="00CB399B" w:rsidP="00CB399B">
      <w:pPr>
        <w:pStyle w:val="SingleTxtG"/>
        <w:ind w:firstLine="567"/>
      </w:pPr>
      <w:r>
        <w:t>b)</w:t>
      </w:r>
      <w:r>
        <w:tab/>
      </w:r>
      <w:r w:rsidRPr="009B6952">
        <w:t>D</w:t>
      </w:r>
      <w:r w:rsidR="00B861F1">
        <w:t>’</w:t>
      </w:r>
      <w:r w:rsidRPr="009B6952">
        <w:t>autres projets comme le PDL-HIMO, le</w:t>
      </w:r>
      <w:r>
        <w:t xml:space="preserve"> </w:t>
      </w:r>
      <w:r w:rsidRPr="009B6952">
        <w:t>Rural Sector Support Project (RSSP)</w:t>
      </w:r>
      <w:r>
        <w:t xml:space="preserve"> et</w:t>
      </w:r>
      <w:r w:rsidRPr="009B6952">
        <w:t xml:space="preserve"> la Promotion des Petites et Moyens Entreprises au Rwanda (PPMER) visent la création et </w:t>
      </w:r>
      <w:r>
        <w:t xml:space="preserve">la </w:t>
      </w:r>
      <w:r w:rsidRPr="009B6952">
        <w:t>promotion d</w:t>
      </w:r>
      <w:r>
        <w:t xml:space="preserve">es </w:t>
      </w:r>
      <w:r w:rsidRPr="009B6952">
        <w:t>emplois au niveau des collectivités de base</w:t>
      </w:r>
      <w:r>
        <w:t>;</w:t>
      </w:r>
    </w:p>
    <w:p w:rsidR="00CB399B" w:rsidRPr="009B6952" w:rsidRDefault="00CB399B" w:rsidP="00CB399B">
      <w:pPr>
        <w:pStyle w:val="SingleTxtG"/>
        <w:ind w:firstLine="567"/>
      </w:pPr>
      <w:r>
        <w:t>c)</w:t>
      </w:r>
      <w:r>
        <w:tab/>
      </w:r>
      <w:r w:rsidRPr="009B6952">
        <w:t>L</w:t>
      </w:r>
      <w:r w:rsidR="00B861F1">
        <w:t>’</w:t>
      </w:r>
      <w:r w:rsidRPr="009B6952">
        <w:t>agence RIEPA (Rwanda Investment and Export Promotion Agency) et plus récemment le RDB (Rwanda Development Board)</w:t>
      </w:r>
      <w:r>
        <w:t>,</w:t>
      </w:r>
      <w:r w:rsidRPr="009B6952">
        <w:t xml:space="preserve"> </w:t>
      </w:r>
      <w:r>
        <w:t xml:space="preserve">qui </w:t>
      </w:r>
      <w:r w:rsidRPr="009B6952">
        <w:t>chapeaut</w:t>
      </w:r>
      <w:r>
        <w:t xml:space="preserve">e la </w:t>
      </w:r>
      <w:r w:rsidRPr="009B6952">
        <w:t>première, ont comme mission de promouvoir l</w:t>
      </w:r>
      <w:r w:rsidR="00B861F1">
        <w:t>’</w:t>
      </w:r>
      <w:r w:rsidRPr="009B6952">
        <w:t xml:space="preserve">investissement local et étranger et par là </w:t>
      </w:r>
      <w:r>
        <w:t xml:space="preserve">de </w:t>
      </w:r>
      <w:r w:rsidRPr="009B6952">
        <w:t>favoriser un environnement propice à la création d</w:t>
      </w:r>
      <w:r w:rsidR="00B861F1">
        <w:t>’</w:t>
      </w:r>
      <w:r>
        <w:t>emploi;</w:t>
      </w:r>
    </w:p>
    <w:p w:rsidR="00CB399B" w:rsidRPr="009B6952" w:rsidRDefault="00CB399B" w:rsidP="00CB399B">
      <w:pPr>
        <w:pStyle w:val="SingleTxtG"/>
        <w:ind w:firstLine="567"/>
      </w:pPr>
      <w:r>
        <w:t>d)</w:t>
      </w:r>
      <w:r>
        <w:tab/>
      </w:r>
      <w:r w:rsidRPr="009B6952">
        <w:t>Le CAPMER (Centre d</w:t>
      </w:r>
      <w:r w:rsidR="00B861F1">
        <w:t>’</w:t>
      </w:r>
      <w:r w:rsidRPr="009B6952">
        <w:t>Appui aux Petites et Moyennes Entreprises au Rwanda) offre un renforcement de</w:t>
      </w:r>
      <w:r>
        <w:t>s</w:t>
      </w:r>
      <w:r w:rsidRPr="009B6952">
        <w:t xml:space="preserve"> capacités</w:t>
      </w:r>
      <w:r>
        <w:t xml:space="preserve"> ainsi que</w:t>
      </w:r>
      <w:r w:rsidRPr="009B6952">
        <w:t xml:space="preserve"> des informations du marché </w:t>
      </w:r>
      <w:r>
        <w:t xml:space="preserve">aux </w:t>
      </w:r>
      <w:r w:rsidRPr="009B6952">
        <w:t>petites et moyennes entreprises.</w:t>
      </w:r>
    </w:p>
    <w:p w:rsidR="00CB399B" w:rsidRPr="009B6952" w:rsidRDefault="00CB399B" w:rsidP="00CB399B">
      <w:pPr>
        <w:pStyle w:val="H4G"/>
      </w:pPr>
      <w:r>
        <w:tab/>
      </w:r>
      <w:r>
        <w:tab/>
      </w:r>
      <w:r w:rsidRPr="009B6952">
        <w:t>L</w:t>
      </w:r>
      <w:r w:rsidR="00B861F1">
        <w:t>’</w:t>
      </w:r>
      <w:r w:rsidRPr="009B6952">
        <w:t>aide internationale</w:t>
      </w:r>
    </w:p>
    <w:p w:rsidR="00CB399B" w:rsidRPr="009B6952" w:rsidRDefault="00CB399B" w:rsidP="00CB399B">
      <w:pPr>
        <w:pStyle w:val="SingleTxtG"/>
        <w:ind w:firstLine="567"/>
      </w:pPr>
      <w:r>
        <w:t>a)</w:t>
      </w:r>
      <w:r>
        <w:tab/>
      </w:r>
      <w:r w:rsidRPr="009B6952">
        <w:t xml:space="preserve">Le Bureau </w:t>
      </w:r>
      <w:r>
        <w:t>i</w:t>
      </w:r>
      <w:r w:rsidRPr="009B6952">
        <w:t>n</w:t>
      </w:r>
      <w:r w:rsidRPr="00FE4227">
        <w:t>t</w:t>
      </w:r>
      <w:r w:rsidRPr="009B6952">
        <w:t>ernational du Travail</w:t>
      </w:r>
      <w:r>
        <w:t xml:space="preserve"> et</w:t>
      </w:r>
      <w:r w:rsidRPr="009B6952">
        <w:t xml:space="preserve"> la Banque </w:t>
      </w:r>
      <w:r>
        <w:t>m</w:t>
      </w:r>
      <w:r w:rsidRPr="009B6952">
        <w:t>ondiale offrent une assistance technique dans divers projets couver</w:t>
      </w:r>
      <w:r>
        <w:t>ts par le Ministère du travail;</w:t>
      </w:r>
    </w:p>
    <w:p w:rsidR="00CB399B" w:rsidRPr="009B6952" w:rsidRDefault="00CB399B" w:rsidP="00CB399B">
      <w:pPr>
        <w:pStyle w:val="SingleTxtG"/>
        <w:ind w:firstLine="567"/>
      </w:pPr>
      <w:r>
        <w:t>b)</w:t>
      </w:r>
      <w:r>
        <w:tab/>
      </w:r>
      <w:r w:rsidRPr="009B6952">
        <w:t>L</w:t>
      </w:r>
      <w:r w:rsidR="00B861F1">
        <w:t>’</w:t>
      </w:r>
      <w:r w:rsidRPr="009B6952">
        <w:t>African Capacity Building Foundation aide dans le renforcement des capacité</w:t>
      </w:r>
      <w:r>
        <w:t>s</w:t>
      </w:r>
      <w:r w:rsidRPr="009B6952">
        <w:t xml:space="preserve"> et compétences via l</w:t>
      </w:r>
      <w:r w:rsidR="00B861F1">
        <w:t>’</w:t>
      </w:r>
      <w:r w:rsidRPr="009B6952">
        <w:t>agence HIDA.</w:t>
      </w:r>
    </w:p>
    <w:p w:rsidR="00CB399B" w:rsidRPr="009B6952" w:rsidRDefault="00CB399B" w:rsidP="00CB399B">
      <w:pPr>
        <w:pStyle w:val="H23G"/>
      </w:pPr>
      <w:r>
        <w:tab/>
      </w:r>
      <w:r w:rsidRPr="009B6952">
        <w:t>2.</w:t>
      </w:r>
      <w:r w:rsidRPr="009B6952">
        <w:tab/>
      </w:r>
      <w:r>
        <w:t xml:space="preserve">Article </w:t>
      </w:r>
      <w:r w:rsidRPr="009B6952">
        <w:t>7: Des conditions de travail justes et favorables</w:t>
      </w:r>
    </w:p>
    <w:p w:rsidR="00CB399B" w:rsidRPr="009B6952" w:rsidRDefault="00CB399B" w:rsidP="00CB399B">
      <w:pPr>
        <w:pStyle w:val="H23G"/>
      </w:pPr>
      <w:r>
        <w:tab/>
      </w:r>
      <w:r>
        <w:tab/>
      </w:r>
      <w:r w:rsidRPr="009B6952">
        <w:t>Renseignements sur les salaires</w:t>
      </w:r>
    </w:p>
    <w:p w:rsidR="00CB399B" w:rsidRPr="009B6952" w:rsidRDefault="00CB399B" w:rsidP="00CB399B">
      <w:pPr>
        <w:pStyle w:val="H4G"/>
      </w:pPr>
      <w:r>
        <w:tab/>
      </w:r>
      <w:r>
        <w:tab/>
      </w:r>
      <w:r w:rsidRPr="009B6952">
        <w:t>De la fixation du sala</w:t>
      </w:r>
      <w:r>
        <w:t>ire</w:t>
      </w:r>
    </w:p>
    <w:p w:rsidR="00CB399B" w:rsidRPr="009B6952" w:rsidRDefault="00CB399B" w:rsidP="00CB399B">
      <w:pPr>
        <w:pStyle w:val="SingleTxtG"/>
      </w:pPr>
      <w:r>
        <w:rPr>
          <w:szCs w:val="24"/>
        </w:rPr>
        <w:t>98</w:t>
      </w:r>
      <w:r w:rsidRPr="009B6952">
        <w:rPr>
          <w:szCs w:val="24"/>
        </w:rPr>
        <w:t>.</w:t>
      </w:r>
      <w:r w:rsidRPr="009B6952">
        <w:rPr>
          <w:szCs w:val="24"/>
        </w:rPr>
        <w:tab/>
      </w:r>
      <w:r w:rsidRPr="009B6952">
        <w:t xml:space="preserve">La loi portant réglementation du travail mentionne </w:t>
      </w:r>
      <w:r>
        <w:t>dans</w:t>
      </w:r>
      <w:r w:rsidRPr="009B6952">
        <w:t xml:space="preserve"> son art</w:t>
      </w:r>
      <w:r>
        <w:t xml:space="preserve">icle </w:t>
      </w:r>
      <w:r w:rsidRPr="009B6952">
        <w:t>76 que le salaire minimum interprofessionnel garanti (SMIG) est fixé par un arrêté du ministre ayant le travail dans ses attributions. Notons cependant que pareil arrêté est en cours d</w:t>
      </w:r>
      <w:r w:rsidR="00B861F1">
        <w:t>’</w:t>
      </w:r>
      <w:r w:rsidRPr="009B6952">
        <w:t>élaboration</w:t>
      </w:r>
      <w:r>
        <w:t>,</w:t>
      </w:r>
      <w:r w:rsidRPr="009B6952">
        <w:t xml:space="preserve"> </w:t>
      </w:r>
      <w:r>
        <w:t>qu</w:t>
      </w:r>
      <w:r w:rsidR="00B861F1">
        <w:t>’</w:t>
      </w:r>
      <w:r w:rsidRPr="009B6952">
        <w:t>il fixe le SMIG par catégorie professionnelle et que</w:t>
      </w:r>
      <w:r>
        <w:t xml:space="preserve"> la </w:t>
      </w:r>
      <w:r w:rsidRPr="009B6952">
        <w:t>loi portant réglementation du travail</w:t>
      </w:r>
      <w:r>
        <w:t xml:space="preserve"> </w:t>
      </w:r>
      <w:r w:rsidRPr="009B6952">
        <w:t xml:space="preserve">ne régit que les relations du travail entre les travailleurs et </w:t>
      </w:r>
      <w:r>
        <w:t xml:space="preserve">les </w:t>
      </w:r>
      <w:r w:rsidRPr="009B6952">
        <w:t xml:space="preserve">employeurs, </w:t>
      </w:r>
      <w:r>
        <w:t xml:space="preserve">et </w:t>
      </w:r>
      <w:r w:rsidRPr="009B6952">
        <w:t>entre ceux-ci et les apprentis et</w:t>
      </w:r>
      <w:r>
        <w:t xml:space="preserve"> les </w:t>
      </w:r>
      <w:r w:rsidRPr="009B6952">
        <w:t>stagiaires.</w:t>
      </w:r>
    </w:p>
    <w:p w:rsidR="00CB399B" w:rsidRPr="009B6952" w:rsidRDefault="00CB399B" w:rsidP="00CB399B">
      <w:pPr>
        <w:pStyle w:val="SingleTxtG"/>
      </w:pPr>
      <w:r>
        <w:rPr>
          <w:szCs w:val="24"/>
        </w:rPr>
        <w:t>99</w:t>
      </w:r>
      <w:r w:rsidRPr="009B6952">
        <w:rPr>
          <w:szCs w:val="24"/>
        </w:rPr>
        <w:t>.</w:t>
      </w:r>
      <w:r w:rsidRPr="009B6952">
        <w:rPr>
          <w:szCs w:val="24"/>
        </w:rPr>
        <w:tab/>
      </w:r>
      <w:r w:rsidRPr="009B6952">
        <w:t>Q</w:t>
      </w:r>
      <w:r>
        <w:t xml:space="preserve">uant au secteur public, la loi </w:t>
      </w:r>
      <w:r w:rsidRPr="009B6952">
        <w:t>portant statut général de la fonction publique prévoit un classement dans l</w:t>
      </w:r>
      <w:r w:rsidR="00B861F1">
        <w:t>’</w:t>
      </w:r>
      <w:r w:rsidRPr="009B6952">
        <w:t>échelle de la classification des emplois en vigueur</w:t>
      </w:r>
      <w:r>
        <w:t xml:space="preserve">. En outre, </w:t>
      </w:r>
      <w:r w:rsidRPr="009B6952">
        <w:t>la rémunération exigible se compose d</w:t>
      </w:r>
      <w:r w:rsidR="00B861F1">
        <w:t>’</w:t>
      </w:r>
      <w:r w:rsidRPr="009B6952">
        <w:t>un salaire de base calculé suivant la position de chaque poste d</w:t>
      </w:r>
      <w:r w:rsidR="00B861F1">
        <w:t>’</w:t>
      </w:r>
      <w:r w:rsidRPr="009B6952">
        <w:t>emploi sur la grille salariale conformément à l</w:t>
      </w:r>
      <w:r w:rsidR="00B861F1">
        <w:t>’</w:t>
      </w:r>
      <w:r w:rsidRPr="009B6952">
        <w:t xml:space="preserve">annexe II (art. 107 et 108 de la loi, </w:t>
      </w:r>
      <w:r>
        <w:t xml:space="preserve">voir </w:t>
      </w:r>
      <w:r w:rsidRPr="00AE3C20">
        <w:t>bibliographie en annexe).</w:t>
      </w:r>
      <w:r w:rsidRPr="009B6952">
        <w:t xml:space="preserve"> Le salaire de base constitue au moins 70</w:t>
      </w:r>
      <w:r>
        <w:t xml:space="preserve"> %</w:t>
      </w:r>
      <w:r w:rsidRPr="009B6952">
        <w:t xml:space="preserve"> du salaire brut. Il repose sur une grille indiciaire. Cette dernière est dérivée de la grille de classification des emplois, </w:t>
      </w:r>
      <w:r>
        <w:t>qui présente</w:t>
      </w:r>
      <w:r w:rsidRPr="009B6952">
        <w:t xml:space="preserve"> une structure à 20 niveaux (correspondant aux 20 niveaux de la classification des emplois) </w:t>
      </w:r>
      <w:r>
        <w:t>et</w:t>
      </w:r>
      <w:r w:rsidRPr="009B6952">
        <w:t xml:space="preserve"> 5 échelons par niveau. Le montant brut du salaire de base se calcule en multipliant le nombre de points d</w:t>
      </w:r>
      <w:r w:rsidR="00B861F1">
        <w:t>’</w:t>
      </w:r>
      <w:r w:rsidRPr="009B6952">
        <w:t>indice par la valeur du point d</w:t>
      </w:r>
      <w:r w:rsidR="00B861F1">
        <w:t>’</w:t>
      </w:r>
      <w:r w:rsidRPr="009B6952">
        <w:t>indice brut, celle-ci étant fixée en fonction des possibilités budgétaires d</w:t>
      </w:r>
      <w:r w:rsidR="00B861F1">
        <w:t>’</w:t>
      </w:r>
      <w:r w:rsidRPr="009B6952">
        <w:t>une part et du coût de la vie d</w:t>
      </w:r>
      <w:r w:rsidR="00B861F1">
        <w:t>’</w:t>
      </w:r>
      <w:r w:rsidRPr="009B6952">
        <w:t>autre part. D</w:t>
      </w:r>
      <w:r w:rsidR="00B861F1">
        <w:t>’</w:t>
      </w:r>
      <w:r w:rsidRPr="009B6952">
        <w:t xml:space="preserve">autres compléments du salaire existent comme le système indemnitaire et </w:t>
      </w:r>
      <w:r>
        <w:t xml:space="preserve">le système </w:t>
      </w:r>
      <w:r w:rsidRPr="009B6952">
        <w:t>de primes: celui-ci est réduit à sa simple expression car le salaire de base indiciaire intègre</w:t>
      </w:r>
      <w:r>
        <w:t xml:space="preserve"> </w:t>
      </w:r>
      <w:r w:rsidRPr="009B6952">
        <w:t>la plupart des éléments de rémunération: primes et indemnités de toute nature ne devant pas excéder 30</w:t>
      </w:r>
      <w:r>
        <w:t xml:space="preserve"> %</w:t>
      </w:r>
      <w:r w:rsidRPr="009B6952">
        <w:t xml:space="preserve"> du salaire indiciaire de base. </w:t>
      </w:r>
    </w:p>
    <w:p w:rsidR="00CB399B" w:rsidRPr="009B6952" w:rsidRDefault="00CB399B" w:rsidP="00CB399B">
      <w:pPr>
        <w:pStyle w:val="H4G"/>
      </w:pPr>
      <w:r>
        <w:tab/>
      </w:r>
      <w:r>
        <w:tab/>
      </w:r>
      <w:r w:rsidRPr="009B6952">
        <w:t>Y a-t-il dans le pays des inégalités de rémunération pour un travail égal</w:t>
      </w:r>
      <w:r>
        <w:t>?</w:t>
      </w:r>
    </w:p>
    <w:p w:rsidR="00CB399B" w:rsidRPr="009B6952" w:rsidRDefault="00CB399B" w:rsidP="00CB399B">
      <w:pPr>
        <w:pStyle w:val="SingleTxtG"/>
      </w:pPr>
      <w:r w:rsidRPr="009B6952">
        <w:rPr>
          <w:szCs w:val="24"/>
        </w:rPr>
        <w:t>10</w:t>
      </w:r>
      <w:r>
        <w:rPr>
          <w:szCs w:val="24"/>
        </w:rPr>
        <w:t>0</w:t>
      </w:r>
      <w:r w:rsidRPr="009B6952">
        <w:rPr>
          <w:sz w:val="24"/>
          <w:szCs w:val="24"/>
        </w:rPr>
        <w:t>.</w:t>
      </w:r>
      <w:r w:rsidRPr="009B6952">
        <w:rPr>
          <w:sz w:val="24"/>
          <w:szCs w:val="24"/>
        </w:rPr>
        <w:tab/>
      </w:r>
      <w:r w:rsidRPr="009B6952">
        <w:t>Il n</w:t>
      </w:r>
      <w:r w:rsidR="00B861F1">
        <w:t>’</w:t>
      </w:r>
      <w:r w:rsidRPr="009B6952">
        <w:t>existe pas d</w:t>
      </w:r>
      <w:r w:rsidR="00B861F1">
        <w:t>’</w:t>
      </w:r>
      <w:r w:rsidRPr="009B6952">
        <w:t>inégalité de rémunération pour les travailleurs exécutant le même type de travail et dans les mêmes conditions de travail. La Constitution (art.</w:t>
      </w:r>
      <w:r>
        <w:t xml:space="preserve"> </w:t>
      </w:r>
      <w:r w:rsidRPr="009B6952">
        <w:t>37,</w:t>
      </w:r>
      <w:r>
        <w:t xml:space="preserve"> deuxième alinéa</w:t>
      </w:r>
      <w:r w:rsidRPr="009B6952">
        <w:t>) et l</w:t>
      </w:r>
      <w:r w:rsidR="00B861F1">
        <w:t>’</w:t>
      </w:r>
      <w:r>
        <w:t xml:space="preserve">article </w:t>
      </w:r>
      <w:r w:rsidRPr="009B6952">
        <w:t>12 de la loi portant réglementation du travail sur la prohibition de discriminer en matière du travail et de priver le travailleur de l</w:t>
      </w:r>
      <w:r w:rsidR="00B861F1">
        <w:t>’</w:t>
      </w:r>
      <w:r w:rsidRPr="009B6952">
        <w:t>égalité de chances ou de traitement sont clairs à ce sujet. Les femmes aussi bénéficient des mêmes conditions de travail et de rémunération que les hommes.</w:t>
      </w:r>
      <w:r>
        <w:t xml:space="preserve"> </w:t>
      </w:r>
    </w:p>
    <w:p w:rsidR="00CB399B" w:rsidRPr="009B6952" w:rsidRDefault="00CB399B" w:rsidP="00CB399B">
      <w:pPr>
        <w:pStyle w:val="H4G"/>
      </w:pPr>
      <w:r>
        <w:tab/>
      </w:r>
      <w:r>
        <w:tab/>
      </w:r>
      <w:r w:rsidRPr="009B6952">
        <w:t>Répartition du revenu d</w:t>
      </w:r>
      <w:r w:rsidRPr="00B46C58">
        <w:t>e</w:t>
      </w:r>
      <w:r w:rsidRPr="009B6952">
        <w:t>s salariés d</w:t>
      </w:r>
      <w:r>
        <w:t>es</w:t>
      </w:r>
      <w:r w:rsidRPr="009B6952">
        <w:t xml:space="preserve"> secteur</w:t>
      </w:r>
      <w:r>
        <w:t>s</w:t>
      </w:r>
      <w:r w:rsidRPr="009B6952">
        <w:t xml:space="preserve"> public et privé</w:t>
      </w:r>
    </w:p>
    <w:p w:rsidR="00CB399B" w:rsidRPr="009B6952" w:rsidRDefault="00CB399B" w:rsidP="00CB399B">
      <w:pPr>
        <w:pStyle w:val="SingleTxtG"/>
      </w:pPr>
      <w:r w:rsidRPr="009B6952">
        <w:rPr>
          <w:szCs w:val="24"/>
        </w:rPr>
        <w:t>10</w:t>
      </w:r>
      <w:r>
        <w:rPr>
          <w:szCs w:val="24"/>
        </w:rPr>
        <w:t>1</w:t>
      </w:r>
      <w:r w:rsidRPr="009B6952">
        <w:rPr>
          <w:sz w:val="24"/>
          <w:szCs w:val="24"/>
        </w:rPr>
        <w:t>.</w:t>
      </w:r>
      <w:r w:rsidRPr="009B6952">
        <w:rPr>
          <w:sz w:val="24"/>
          <w:szCs w:val="24"/>
        </w:rPr>
        <w:tab/>
      </w:r>
      <w:r w:rsidRPr="009B6952">
        <w:t>L</w:t>
      </w:r>
      <w:r>
        <w:t>es</w:t>
      </w:r>
      <w:r w:rsidRPr="009B6952">
        <w:t xml:space="preserve"> revenu</w:t>
      </w:r>
      <w:r>
        <w:t>s</w:t>
      </w:r>
      <w:r w:rsidRPr="009B6952">
        <w:t xml:space="preserve"> </w:t>
      </w:r>
      <w:r>
        <w:t>entre l</w:t>
      </w:r>
      <w:r w:rsidRPr="009B6952">
        <w:t>es salariés d</w:t>
      </w:r>
      <w:r>
        <w:t xml:space="preserve">es </w:t>
      </w:r>
      <w:r w:rsidRPr="009B6952">
        <w:t>secteur</w:t>
      </w:r>
      <w:r>
        <w:t>s</w:t>
      </w:r>
      <w:r w:rsidRPr="009B6952">
        <w:t xml:space="preserve"> public et privé </w:t>
      </w:r>
      <w:r>
        <w:t>sont</w:t>
      </w:r>
      <w:r w:rsidRPr="009B6952">
        <w:t xml:space="preserve"> à quelques exceptions près comparable</w:t>
      </w:r>
      <w:r>
        <w:t>s</w:t>
      </w:r>
      <w:r w:rsidRPr="009B6952">
        <w:t>. La différence réside dans les autres avantages non</w:t>
      </w:r>
      <w:r>
        <w:t xml:space="preserve"> </w:t>
      </w:r>
      <w:r w:rsidRPr="009B6952">
        <w:t>monétaires (comme l</w:t>
      </w:r>
      <w:r w:rsidR="00B861F1">
        <w:t>’</w:t>
      </w:r>
      <w:r w:rsidRPr="009B6952">
        <w:t>assurance-maladie et les congés de maladie payés, l</w:t>
      </w:r>
      <w:r w:rsidR="00B861F1">
        <w:t>’</w:t>
      </w:r>
      <w:r w:rsidRPr="009B6952">
        <w:t>assurance-vie, l</w:t>
      </w:r>
      <w:r w:rsidR="00B861F1">
        <w:t>’</w:t>
      </w:r>
      <w:r w:rsidRPr="009B6952">
        <w:t>allocation de logement et les autres termes du contrat). Les travailleurs œuvrant dans l</w:t>
      </w:r>
      <w:r w:rsidR="00B861F1">
        <w:t>’</w:t>
      </w:r>
      <w:r w:rsidRPr="009B6952">
        <w:t xml:space="preserve">administration publique ou privée ainsi que ceux du contentieux judiciaire sont généralement traités de la même façon </w:t>
      </w:r>
      <w:r>
        <w:t>d</w:t>
      </w:r>
      <w:r w:rsidRPr="009B6952">
        <w:t>u point de vue salarial. Cependant</w:t>
      </w:r>
      <w:r>
        <w:t>,</w:t>
      </w:r>
      <w:r w:rsidRPr="009B6952">
        <w:t xml:space="preserve"> ceux des secteurs comptable, médical</w:t>
      </w:r>
      <w:r>
        <w:t xml:space="preserve"> et</w:t>
      </w:r>
      <w:r w:rsidRPr="009B6952">
        <w:t xml:space="preserve"> informatique, </w:t>
      </w:r>
      <w:r>
        <w:t xml:space="preserve">et ceux des secteurs des </w:t>
      </w:r>
      <w:r w:rsidRPr="009B6952">
        <w:t xml:space="preserve">communications et </w:t>
      </w:r>
      <w:r>
        <w:t xml:space="preserve">des </w:t>
      </w:r>
      <w:r w:rsidRPr="009B6952">
        <w:t>technologie</w:t>
      </w:r>
      <w:r>
        <w:t>s</w:t>
      </w:r>
      <w:r w:rsidRPr="009B6952">
        <w:t xml:space="preserve"> voient leurs salaires et autres avantages grossir au fur et à mesure qu</w:t>
      </w:r>
      <w:r w:rsidR="00B861F1">
        <w:t>’</w:t>
      </w:r>
      <w:r w:rsidRPr="009B6952">
        <w:t>ils gravissent les échelons dans le secteur privé.</w:t>
      </w:r>
    </w:p>
    <w:p w:rsidR="00CB399B" w:rsidRDefault="00CB399B" w:rsidP="00CB399B">
      <w:pPr>
        <w:pStyle w:val="SingleTxtG"/>
        <w:ind w:firstLine="567"/>
      </w:pPr>
      <w:r>
        <w:t xml:space="preserve">Ci-dessous </w:t>
      </w:r>
      <w:r w:rsidRPr="009B6952">
        <w:t>un tableau comparatif</w:t>
      </w:r>
      <w:r w:rsidRPr="00B46C58">
        <w:rPr>
          <w:sz w:val="18"/>
          <w:szCs w:val="18"/>
          <w:vertAlign w:val="superscript"/>
        </w:rPr>
        <w:footnoteReference w:id="54"/>
      </w:r>
      <w:r w:rsidRPr="009B6952">
        <w:t xml:space="preserve"> des salariés du secteur public et </w:t>
      </w:r>
      <w:r>
        <w:t>des salariés</w:t>
      </w:r>
      <w:r w:rsidRPr="009B6952">
        <w:t xml:space="preserve"> du secteur privé (montant x 1</w:t>
      </w:r>
      <w:r>
        <w:t xml:space="preserve"> </w:t>
      </w:r>
      <w:r w:rsidRPr="009B6952">
        <w:t>000)</w:t>
      </w:r>
      <w:r>
        <w:t>.</w:t>
      </w:r>
    </w:p>
    <w:p w:rsidR="00CB399B" w:rsidRPr="0093287C" w:rsidRDefault="00CB399B" w:rsidP="00613876">
      <w:pPr>
        <w:pStyle w:val="Heading1"/>
        <w:spacing w:after="120"/>
      </w:pPr>
      <w:r w:rsidRPr="0093287C">
        <w:t>Tableau 7</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402"/>
        <w:gridCol w:w="1814"/>
        <w:gridCol w:w="1077"/>
        <w:gridCol w:w="1077"/>
      </w:tblGrid>
      <w:tr w:rsidR="00CB399B" w:rsidRPr="00B46C58" w:rsidTr="002C4CE2">
        <w:trPr>
          <w:trHeight w:val="358"/>
          <w:tblHeader/>
        </w:trPr>
        <w:tc>
          <w:tcPr>
            <w:tcW w:w="3402" w:type="dxa"/>
            <w:tcBorders>
              <w:top w:val="single" w:sz="4" w:space="0" w:color="auto"/>
              <w:bottom w:val="single" w:sz="12" w:space="0" w:color="auto"/>
            </w:tcBorders>
            <w:shd w:val="clear" w:color="auto" w:fill="auto"/>
            <w:vAlign w:val="bottom"/>
          </w:tcPr>
          <w:p w:rsidR="00CB399B" w:rsidRPr="00B46C58" w:rsidRDefault="00CB399B" w:rsidP="00613876">
            <w:pPr>
              <w:spacing w:before="80" w:after="80" w:line="200" w:lineRule="exact"/>
              <w:rPr>
                <w:i/>
                <w:sz w:val="16"/>
              </w:rPr>
            </w:pPr>
            <w:r w:rsidRPr="00B46C58">
              <w:rPr>
                <w:i/>
                <w:sz w:val="16"/>
              </w:rPr>
              <w:t>Domaines d</w:t>
            </w:r>
            <w:r w:rsidR="00B861F1">
              <w:rPr>
                <w:i/>
                <w:sz w:val="16"/>
              </w:rPr>
              <w:t>’</w:t>
            </w:r>
            <w:r w:rsidRPr="00B46C58">
              <w:rPr>
                <w:i/>
                <w:sz w:val="16"/>
              </w:rPr>
              <w:t>activité</w:t>
            </w:r>
          </w:p>
        </w:tc>
        <w:tc>
          <w:tcPr>
            <w:tcW w:w="1814" w:type="dxa"/>
            <w:tcBorders>
              <w:top w:val="single" w:sz="4" w:space="0" w:color="auto"/>
              <w:bottom w:val="single" w:sz="12" w:space="0" w:color="auto"/>
            </w:tcBorders>
            <w:shd w:val="clear" w:color="auto" w:fill="auto"/>
            <w:vAlign w:val="bottom"/>
          </w:tcPr>
          <w:p w:rsidR="00CB399B" w:rsidRPr="00B46C58" w:rsidRDefault="00CB399B" w:rsidP="00613876">
            <w:pPr>
              <w:spacing w:before="80" w:after="80" w:line="200" w:lineRule="exact"/>
              <w:jc w:val="right"/>
              <w:rPr>
                <w:i/>
                <w:sz w:val="16"/>
              </w:rPr>
            </w:pPr>
            <w:r w:rsidRPr="00B46C58">
              <w:rPr>
                <w:i/>
                <w:sz w:val="16"/>
              </w:rPr>
              <w:t>Niveau/Catégorie d</w:t>
            </w:r>
            <w:r w:rsidR="00B861F1">
              <w:rPr>
                <w:i/>
                <w:sz w:val="16"/>
              </w:rPr>
              <w:t>’</w:t>
            </w:r>
            <w:r w:rsidRPr="00B46C58">
              <w:rPr>
                <w:i/>
                <w:sz w:val="16"/>
              </w:rPr>
              <w:t xml:space="preserve">emploi </w:t>
            </w:r>
          </w:p>
        </w:tc>
        <w:tc>
          <w:tcPr>
            <w:tcW w:w="1077" w:type="dxa"/>
            <w:tcBorders>
              <w:top w:val="single" w:sz="4" w:space="0" w:color="auto"/>
              <w:bottom w:val="single" w:sz="12" w:space="0" w:color="auto"/>
            </w:tcBorders>
            <w:shd w:val="clear" w:color="auto" w:fill="auto"/>
            <w:vAlign w:val="bottom"/>
          </w:tcPr>
          <w:p w:rsidR="00CB399B" w:rsidRPr="00B46C58" w:rsidRDefault="00CB399B" w:rsidP="00613876">
            <w:pPr>
              <w:spacing w:before="80" w:after="80" w:line="200" w:lineRule="exact"/>
              <w:jc w:val="right"/>
              <w:rPr>
                <w:i/>
                <w:sz w:val="16"/>
              </w:rPr>
            </w:pPr>
            <w:r w:rsidRPr="00B46C58">
              <w:rPr>
                <w:i/>
                <w:sz w:val="16"/>
              </w:rPr>
              <w:t>Secteur public</w:t>
            </w:r>
          </w:p>
        </w:tc>
        <w:tc>
          <w:tcPr>
            <w:tcW w:w="1077" w:type="dxa"/>
            <w:tcBorders>
              <w:top w:val="single" w:sz="4" w:space="0" w:color="auto"/>
              <w:bottom w:val="single" w:sz="12" w:space="0" w:color="auto"/>
            </w:tcBorders>
            <w:shd w:val="clear" w:color="auto" w:fill="auto"/>
            <w:vAlign w:val="bottom"/>
          </w:tcPr>
          <w:p w:rsidR="00CB399B" w:rsidRPr="00B46C58" w:rsidRDefault="00CB399B" w:rsidP="00613876">
            <w:pPr>
              <w:spacing w:before="80" w:after="80" w:line="200" w:lineRule="exact"/>
              <w:jc w:val="right"/>
              <w:rPr>
                <w:i/>
                <w:sz w:val="16"/>
              </w:rPr>
            </w:pPr>
            <w:r w:rsidRPr="00B46C58">
              <w:rPr>
                <w:i/>
                <w:sz w:val="16"/>
              </w:rPr>
              <w:t>Secteur Privé</w:t>
            </w:r>
          </w:p>
        </w:tc>
      </w:tr>
      <w:tr w:rsidR="00CB399B" w:rsidRPr="00B46C58" w:rsidTr="002C4CE2">
        <w:trPr>
          <w:trHeight w:val="21"/>
        </w:trPr>
        <w:tc>
          <w:tcPr>
            <w:tcW w:w="3402" w:type="dxa"/>
            <w:tcBorders>
              <w:top w:val="single" w:sz="12" w:space="0" w:color="auto"/>
              <w:bottom w:val="nil"/>
            </w:tcBorders>
            <w:shd w:val="clear" w:color="auto" w:fill="auto"/>
          </w:tcPr>
          <w:p w:rsidR="00CB399B" w:rsidRPr="00B46C58" w:rsidRDefault="00CB399B" w:rsidP="00AB18ED">
            <w:pPr>
              <w:spacing w:before="40" w:after="40" w:line="220" w:lineRule="exact"/>
              <w:rPr>
                <w:sz w:val="18"/>
              </w:rPr>
            </w:pPr>
            <w:r w:rsidRPr="00B46C58">
              <w:rPr>
                <w:sz w:val="18"/>
              </w:rPr>
              <w:t>Comptabilité</w:t>
            </w:r>
          </w:p>
        </w:tc>
        <w:tc>
          <w:tcPr>
            <w:tcW w:w="1814" w:type="dxa"/>
            <w:tcBorders>
              <w:top w:val="single" w:sz="12" w:space="0" w:color="auto"/>
            </w:tcBorders>
            <w:shd w:val="clear" w:color="auto" w:fill="auto"/>
            <w:vAlign w:val="bottom"/>
          </w:tcPr>
          <w:p w:rsidR="00CB399B" w:rsidRPr="00B44A87" w:rsidRDefault="00CB399B" w:rsidP="00AB18ED">
            <w:pPr>
              <w:spacing w:before="40" w:after="40" w:line="220" w:lineRule="exact"/>
              <w:jc w:val="right"/>
              <w:rPr>
                <w:sz w:val="18"/>
              </w:rPr>
            </w:pPr>
            <w:r w:rsidRPr="00B44A87">
              <w:rPr>
                <w:sz w:val="18"/>
              </w:rPr>
              <w:t>2</w:t>
            </w:r>
          </w:p>
        </w:tc>
        <w:tc>
          <w:tcPr>
            <w:tcW w:w="1077" w:type="dxa"/>
            <w:tcBorders>
              <w:top w:val="single" w:sz="12" w:space="0" w:color="auto"/>
            </w:tcBorders>
            <w:shd w:val="clear" w:color="auto" w:fill="auto"/>
            <w:vAlign w:val="bottom"/>
          </w:tcPr>
          <w:p w:rsidR="00CB399B" w:rsidRPr="00B44A87" w:rsidRDefault="00CB399B" w:rsidP="00AB18ED">
            <w:pPr>
              <w:spacing w:before="40" w:after="40" w:line="220" w:lineRule="exact"/>
              <w:jc w:val="right"/>
              <w:rPr>
                <w:sz w:val="18"/>
              </w:rPr>
            </w:pPr>
            <w:r w:rsidRPr="00B44A87">
              <w:rPr>
                <w:sz w:val="18"/>
              </w:rPr>
              <w:t>562</w:t>
            </w:r>
          </w:p>
        </w:tc>
        <w:tc>
          <w:tcPr>
            <w:tcW w:w="1077" w:type="dxa"/>
            <w:tcBorders>
              <w:top w:val="single" w:sz="12" w:space="0" w:color="auto"/>
            </w:tcBorders>
            <w:shd w:val="clear" w:color="auto" w:fill="auto"/>
            <w:vAlign w:val="bottom"/>
          </w:tcPr>
          <w:p w:rsidR="00CB399B" w:rsidRPr="00B44A87" w:rsidRDefault="00CB399B" w:rsidP="00AB18ED">
            <w:pPr>
              <w:spacing w:before="40" w:after="40" w:line="220" w:lineRule="exact"/>
              <w:jc w:val="right"/>
              <w:rPr>
                <w:sz w:val="18"/>
              </w:rPr>
            </w:pPr>
            <w:r w:rsidRPr="00B44A87">
              <w:rPr>
                <w:sz w:val="18"/>
              </w:rPr>
              <w:t>540</w:t>
            </w:r>
          </w:p>
        </w:tc>
      </w:tr>
      <w:tr w:rsidR="00CB399B" w:rsidRPr="00B46C58" w:rsidTr="002C4CE2">
        <w:trPr>
          <w:trHeight w:val="21"/>
        </w:trPr>
        <w:tc>
          <w:tcPr>
            <w:tcW w:w="3402" w:type="dxa"/>
            <w:tcBorders>
              <w:top w:val="nil"/>
              <w:bottom w:val="nil"/>
            </w:tcBorders>
            <w:shd w:val="clear" w:color="auto" w:fill="auto"/>
          </w:tcPr>
          <w:p w:rsidR="00CB399B" w:rsidRPr="00B46C58" w:rsidRDefault="00CB399B" w:rsidP="00AB18ED">
            <w:pPr>
              <w:spacing w:before="40" w:after="40" w:line="220" w:lineRule="exact"/>
              <w:rPr>
                <w:sz w:val="18"/>
              </w:rPr>
            </w:pPr>
          </w:p>
        </w:tc>
        <w:tc>
          <w:tcPr>
            <w:tcW w:w="1814"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5</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1</w:t>
            </w:r>
            <w:r>
              <w:rPr>
                <w:sz w:val="18"/>
              </w:rPr>
              <w:t xml:space="preserve"> </w:t>
            </w:r>
            <w:r w:rsidRPr="00B44A87">
              <w:rPr>
                <w:sz w:val="18"/>
              </w:rPr>
              <w:t>244</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2</w:t>
            </w:r>
            <w:r>
              <w:rPr>
                <w:sz w:val="18"/>
              </w:rPr>
              <w:t xml:space="preserve"> </w:t>
            </w:r>
            <w:r w:rsidRPr="00B44A87">
              <w:rPr>
                <w:sz w:val="18"/>
              </w:rPr>
              <w:t>100</w:t>
            </w:r>
          </w:p>
        </w:tc>
      </w:tr>
      <w:tr w:rsidR="00CB399B" w:rsidRPr="00B46C58" w:rsidTr="002C4CE2">
        <w:trPr>
          <w:trHeight w:val="21"/>
        </w:trPr>
        <w:tc>
          <w:tcPr>
            <w:tcW w:w="3402" w:type="dxa"/>
            <w:tcBorders>
              <w:top w:val="nil"/>
              <w:bottom w:val="nil"/>
            </w:tcBorders>
            <w:shd w:val="clear" w:color="auto" w:fill="auto"/>
          </w:tcPr>
          <w:p w:rsidR="00CB399B" w:rsidRPr="00B46C58" w:rsidRDefault="00CB399B" w:rsidP="00AB18ED">
            <w:pPr>
              <w:spacing w:before="40" w:after="40" w:line="220" w:lineRule="exact"/>
              <w:rPr>
                <w:sz w:val="18"/>
              </w:rPr>
            </w:pPr>
            <w:r w:rsidRPr="00B46C58">
              <w:rPr>
                <w:sz w:val="18"/>
              </w:rPr>
              <w:t>Administration</w:t>
            </w:r>
          </w:p>
        </w:tc>
        <w:tc>
          <w:tcPr>
            <w:tcW w:w="1814"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4</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281</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250</w:t>
            </w:r>
          </w:p>
        </w:tc>
      </w:tr>
      <w:tr w:rsidR="00CB399B" w:rsidRPr="00B46C58" w:rsidTr="002C4CE2">
        <w:trPr>
          <w:trHeight w:val="21"/>
        </w:trPr>
        <w:tc>
          <w:tcPr>
            <w:tcW w:w="3402" w:type="dxa"/>
            <w:tcBorders>
              <w:top w:val="nil"/>
            </w:tcBorders>
            <w:shd w:val="clear" w:color="auto" w:fill="auto"/>
          </w:tcPr>
          <w:p w:rsidR="00CB399B" w:rsidRPr="00B46C58" w:rsidRDefault="00CB399B" w:rsidP="00AB18ED">
            <w:pPr>
              <w:spacing w:before="40" w:after="40" w:line="220" w:lineRule="exact"/>
              <w:rPr>
                <w:sz w:val="18"/>
              </w:rPr>
            </w:pPr>
          </w:p>
        </w:tc>
        <w:tc>
          <w:tcPr>
            <w:tcW w:w="1814"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9</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808</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750</w:t>
            </w:r>
          </w:p>
        </w:tc>
      </w:tr>
      <w:tr w:rsidR="00CB399B" w:rsidRPr="00B46C58" w:rsidTr="002C4CE2">
        <w:trPr>
          <w:trHeight w:val="21"/>
        </w:trPr>
        <w:tc>
          <w:tcPr>
            <w:tcW w:w="3402" w:type="dxa"/>
            <w:vMerge w:val="restart"/>
            <w:shd w:val="clear" w:color="auto" w:fill="auto"/>
          </w:tcPr>
          <w:p w:rsidR="00CB399B" w:rsidRPr="00B46C58" w:rsidRDefault="00CB399B" w:rsidP="00AB18ED">
            <w:pPr>
              <w:spacing w:before="40" w:after="40" w:line="220" w:lineRule="exact"/>
              <w:rPr>
                <w:sz w:val="18"/>
              </w:rPr>
            </w:pPr>
            <w:r w:rsidRPr="00B46C58">
              <w:rPr>
                <w:sz w:val="18"/>
              </w:rPr>
              <w:t>Informatique, Communication et Technologie</w:t>
            </w:r>
          </w:p>
        </w:tc>
        <w:tc>
          <w:tcPr>
            <w:tcW w:w="1814"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2</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562</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540</w:t>
            </w:r>
          </w:p>
        </w:tc>
      </w:tr>
      <w:tr w:rsidR="00CB399B" w:rsidRPr="00B46C58" w:rsidTr="002C4CE2">
        <w:trPr>
          <w:trHeight w:val="21"/>
        </w:trPr>
        <w:tc>
          <w:tcPr>
            <w:tcW w:w="3402" w:type="dxa"/>
            <w:vMerge/>
            <w:tcBorders>
              <w:bottom w:val="nil"/>
            </w:tcBorders>
            <w:shd w:val="clear" w:color="auto" w:fill="auto"/>
          </w:tcPr>
          <w:p w:rsidR="00CB399B" w:rsidRPr="00B46C58" w:rsidRDefault="00CB399B" w:rsidP="00AB18ED">
            <w:pPr>
              <w:spacing w:before="40" w:after="40" w:line="220" w:lineRule="exact"/>
              <w:rPr>
                <w:sz w:val="18"/>
              </w:rPr>
            </w:pPr>
          </w:p>
        </w:tc>
        <w:tc>
          <w:tcPr>
            <w:tcW w:w="1814"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5</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1</w:t>
            </w:r>
            <w:r>
              <w:rPr>
                <w:sz w:val="18"/>
              </w:rPr>
              <w:t xml:space="preserve"> </w:t>
            </w:r>
            <w:r w:rsidRPr="00B44A87">
              <w:rPr>
                <w:sz w:val="18"/>
              </w:rPr>
              <w:t>244</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2</w:t>
            </w:r>
            <w:r>
              <w:rPr>
                <w:sz w:val="18"/>
              </w:rPr>
              <w:t xml:space="preserve"> </w:t>
            </w:r>
            <w:r w:rsidRPr="00B44A87">
              <w:rPr>
                <w:sz w:val="18"/>
              </w:rPr>
              <w:t>100</w:t>
            </w:r>
          </w:p>
        </w:tc>
      </w:tr>
      <w:tr w:rsidR="00CB399B" w:rsidRPr="00B46C58" w:rsidTr="002C4CE2">
        <w:trPr>
          <w:trHeight w:val="21"/>
        </w:trPr>
        <w:tc>
          <w:tcPr>
            <w:tcW w:w="3402" w:type="dxa"/>
            <w:tcBorders>
              <w:top w:val="nil"/>
              <w:bottom w:val="nil"/>
            </w:tcBorders>
            <w:shd w:val="clear" w:color="auto" w:fill="auto"/>
          </w:tcPr>
          <w:p w:rsidR="00CB399B" w:rsidRPr="00B46C58" w:rsidRDefault="00CB399B" w:rsidP="00AB18ED">
            <w:pPr>
              <w:spacing w:before="40" w:after="40" w:line="220" w:lineRule="exact"/>
              <w:rPr>
                <w:sz w:val="18"/>
              </w:rPr>
            </w:pPr>
            <w:r w:rsidRPr="00B46C58">
              <w:rPr>
                <w:sz w:val="18"/>
              </w:rPr>
              <w:t xml:space="preserve">Juridique </w:t>
            </w:r>
          </w:p>
        </w:tc>
        <w:tc>
          <w:tcPr>
            <w:tcW w:w="1814"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2</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337</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450</w:t>
            </w:r>
          </w:p>
        </w:tc>
      </w:tr>
      <w:tr w:rsidR="00CB399B" w:rsidRPr="00B46C58" w:rsidTr="002C4CE2">
        <w:trPr>
          <w:trHeight w:val="21"/>
        </w:trPr>
        <w:tc>
          <w:tcPr>
            <w:tcW w:w="3402" w:type="dxa"/>
            <w:tcBorders>
              <w:top w:val="nil"/>
              <w:bottom w:val="nil"/>
            </w:tcBorders>
            <w:shd w:val="clear" w:color="auto" w:fill="auto"/>
          </w:tcPr>
          <w:p w:rsidR="00CB399B" w:rsidRPr="00B46C58" w:rsidRDefault="00CB399B" w:rsidP="00AB18ED">
            <w:pPr>
              <w:spacing w:before="40" w:after="40" w:line="220" w:lineRule="exact"/>
              <w:rPr>
                <w:sz w:val="18"/>
              </w:rPr>
            </w:pPr>
          </w:p>
        </w:tc>
        <w:tc>
          <w:tcPr>
            <w:tcW w:w="1814"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4</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880</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700</w:t>
            </w:r>
          </w:p>
        </w:tc>
      </w:tr>
      <w:tr w:rsidR="00CB399B" w:rsidRPr="00B46C58" w:rsidTr="002C4CE2">
        <w:trPr>
          <w:trHeight w:val="21"/>
        </w:trPr>
        <w:tc>
          <w:tcPr>
            <w:tcW w:w="3402" w:type="dxa"/>
            <w:tcBorders>
              <w:top w:val="nil"/>
              <w:bottom w:val="nil"/>
            </w:tcBorders>
            <w:shd w:val="clear" w:color="auto" w:fill="auto"/>
          </w:tcPr>
          <w:p w:rsidR="00CB399B" w:rsidRPr="00B46C58" w:rsidRDefault="00CB399B" w:rsidP="00AB18ED">
            <w:pPr>
              <w:spacing w:before="40" w:after="40" w:line="220" w:lineRule="exact"/>
              <w:rPr>
                <w:sz w:val="18"/>
              </w:rPr>
            </w:pPr>
            <w:r w:rsidRPr="00B46C58">
              <w:rPr>
                <w:sz w:val="18"/>
              </w:rPr>
              <w:t>Médical</w:t>
            </w:r>
          </w:p>
        </w:tc>
        <w:tc>
          <w:tcPr>
            <w:tcW w:w="1814"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2</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233</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549</w:t>
            </w:r>
          </w:p>
        </w:tc>
      </w:tr>
      <w:tr w:rsidR="00CB399B" w:rsidRPr="00B46C58" w:rsidTr="002C4CE2">
        <w:trPr>
          <w:trHeight w:val="21"/>
        </w:trPr>
        <w:tc>
          <w:tcPr>
            <w:tcW w:w="3402" w:type="dxa"/>
            <w:tcBorders>
              <w:top w:val="nil"/>
            </w:tcBorders>
            <w:shd w:val="clear" w:color="auto" w:fill="auto"/>
          </w:tcPr>
          <w:p w:rsidR="00CB399B" w:rsidRPr="00B46C58" w:rsidRDefault="00CB399B" w:rsidP="00AB18ED">
            <w:pPr>
              <w:spacing w:before="40" w:after="40" w:line="220" w:lineRule="exact"/>
              <w:rPr>
                <w:sz w:val="18"/>
              </w:rPr>
            </w:pPr>
          </w:p>
        </w:tc>
        <w:tc>
          <w:tcPr>
            <w:tcW w:w="1814"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5</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1</w:t>
            </w:r>
            <w:r>
              <w:rPr>
                <w:sz w:val="18"/>
              </w:rPr>
              <w:t xml:space="preserve"> </w:t>
            </w:r>
            <w:r w:rsidRPr="00B44A87">
              <w:rPr>
                <w:sz w:val="18"/>
              </w:rPr>
              <w:t>097</w:t>
            </w:r>
          </w:p>
        </w:tc>
        <w:tc>
          <w:tcPr>
            <w:tcW w:w="1077" w:type="dxa"/>
            <w:shd w:val="clear" w:color="auto" w:fill="auto"/>
            <w:vAlign w:val="bottom"/>
          </w:tcPr>
          <w:p w:rsidR="00CB399B" w:rsidRPr="00B44A87" w:rsidRDefault="00CB399B" w:rsidP="00AB18ED">
            <w:pPr>
              <w:spacing w:before="40" w:after="40" w:line="220" w:lineRule="exact"/>
              <w:jc w:val="right"/>
              <w:rPr>
                <w:sz w:val="18"/>
              </w:rPr>
            </w:pPr>
            <w:r w:rsidRPr="00B44A87">
              <w:rPr>
                <w:sz w:val="18"/>
              </w:rPr>
              <w:t>1</w:t>
            </w:r>
            <w:r>
              <w:rPr>
                <w:sz w:val="18"/>
              </w:rPr>
              <w:t xml:space="preserve"> </w:t>
            </w:r>
            <w:r w:rsidRPr="00B44A87">
              <w:rPr>
                <w:sz w:val="18"/>
              </w:rPr>
              <w:t>640</w:t>
            </w:r>
          </w:p>
        </w:tc>
      </w:tr>
    </w:tbl>
    <w:p w:rsidR="00CB399B" w:rsidRPr="00F9401B" w:rsidRDefault="00CB399B" w:rsidP="00613876">
      <w:pPr>
        <w:pStyle w:val="SingleTxtG"/>
        <w:spacing w:before="120" w:after="240"/>
        <w:ind w:firstLine="170"/>
        <w:rPr>
          <w:sz w:val="18"/>
          <w:szCs w:val="18"/>
          <w:lang w:val="en-US"/>
        </w:rPr>
      </w:pPr>
      <w:r w:rsidRPr="00F9401B">
        <w:rPr>
          <w:i/>
          <w:sz w:val="18"/>
          <w:szCs w:val="18"/>
          <w:lang w:val="en-US"/>
        </w:rPr>
        <w:t>Source</w:t>
      </w:r>
      <w:r w:rsidRPr="00F9401B">
        <w:rPr>
          <w:sz w:val="18"/>
          <w:szCs w:val="18"/>
          <w:lang w:val="en-US"/>
        </w:rPr>
        <w:t>: MIFOTRA: Comparative study for salaries in the public and private sectors; Octobre 2007.</w:t>
      </w:r>
    </w:p>
    <w:p w:rsidR="00CB399B" w:rsidRPr="009B6952" w:rsidRDefault="00CB399B" w:rsidP="00CB399B">
      <w:pPr>
        <w:pStyle w:val="H4G"/>
      </w:pPr>
      <w:r w:rsidRPr="00F9401B">
        <w:rPr>
          <w:lang w:val="en-US"/>
        </w:rPr>
        <w:tab/>
      </w:r>
      <w:r w:rsidRPr="00F9401B">
        <w:rPr>
          <w:lang w:val="en-US"/>
        </w:rPr>
        <w:tab/>
      </w:r>
      <w:r w:rsidRPr="009B6952">
        <w:t>De la sécurité et de l</w:t>
      </w:r>
      <w:r w:rsidR="00B861F1">
        <w:t>’</w:t>
      </w:r>
      <w:r>
        <w:t>hygiène du travail</w:t>
      </w:r>
    </w:p>
    <w:p w:rsidR="00CB399B" w:rsidRPr="003E7566" w:rsidRDefault="00CB399B" w:rsidP="00CB399B">
      <w:pPr>
        <w:pStyle w:val="SingleTxtG"/>
      </w:pPr>
      <w:r>
        <w:rPr>
          <w:szCs w:val="24"/>
        </w:rPr>
        <w:t>102</w:t>
      </w:r>
      <w:r w:rsidRPr="003E7566">
        <w:rPr>
          <w:szCs w:val="24"/>
        </w:rPr>
        <w:t>.</w:t>
      </w:r>
      <w:r w:rsidRPr="003E7566">
        <w:rPr>
          <w:szCs w:val="24"/>
        </w:rPr>
        <w:tab/>
      </w:r>
      <w:r w:rsidRPr="003E7566">
        <w:t xml:space="preserve">La loi portant réglementation du travail prévoit des dispositions visant à protéger les travailleurs </w:t>
      </w:r>
      <w:r>
        <w:t xml:space="preserve">dans le </w:t>
      </w:r>
      <w:r w:rsidRPr="003E7566">
        <w:t xml:space="preserve">milieu </w:t>
      </w:r>
      <w:r>
        <w:t>professionnel</w:t>
      </w:r>
      <w:r w:rsidRPr="003E7566">
        <w:t>:</w:t>
      </w:r>
    </w:p>
    <w:p w:rsidR="00CB399B" w:rsidRPr="009B6952" w:rsidRDefault="00CB399B" w:rsidP="00CB399B">
      <w:pPr>
        <w:pStyle w:val="SingleTxtG"/>
        <w:ind w:firstLine="567"/>
      </w:pPr>
      <w:r>
        <w:t>a)</w:t>
      </w:r>
      <w:r>
        <w:tab/>
      </w:r>
      <w:r w:rsidRPr="009B6952">
        <w:t>Le lieu de travail doit être tenu dans un état constant de propreté (art.</w:t>
      </w:r>
      <w:r>
        <w:t xml:space="preserve"> </w:t>
      </w:r>
      <w:r w:rsidRPr="009B6952">
        <w:t xml:space="preserve">90); </w:t>
      </w:r>
    </w:p>
    <w:p w:rsidR="00CB399B" w:rsidRPr="009B6952" w:rsidRDefault="00CB399B" w:rsidP="00CB399B">
      <w:pPr>
        <w:pStyle w:val="SingleTxtG"/>
        <w:ind w:firstLine="567"/>
      </w:pPr>
      <w:r>
        <w:t>b)</w:t>
      </w:r>
      <w:r>
        <w:tab/>
      </w:r>
      <w:r w:rsidRPr="009B6952">
        <w:t>Avec des équipements de protection nécessaires et appropriés pour les travailleurs (art.</w:t>
      </w:r>
      <w:r>
        <w:t xml:space="preserve"> </w:t>
      </w:r>
      <w:r w:rsidRPr="009B6952">
        <w:t>91);</w:t>
      </w:r>
    </w:p>
    <w:p w:rsidR="00CB399B" w:rsidRPr="009B6952" w:rsidRDefault="00CB399B" w:rsidP="00CB399B">
      <w:pPr>
        <w:pStyle w:val="SingleTxtG"/>
        <w:ind w:firstLine="567"/>
      </w:pPr>
      <w:r>
        <w:t>c)</w:t>
      </w:r>
      <w:r>
        <w:tab/>
      </w:r>
      <w:r w:rsidRPr="009B6952">
        <w:t>Les accidents de travail sont déclarés aux autorités compétentes (art.</w:t>
      </w:r>
      <w:r>
        <w:t xml:space="preserve"> </w:t>
      </w:r>
      <w:r w:rsidRPr="009B6952">
        <w:t xml:space="preserve">94); </w:t>
      </w:r>
    </w:p>
    <w:p w:rsidR="00CB399B" w:rsidRPr="009B6952" w:rsidRDefault="00CB399B" w:rsidP="00CB399B">
      <w:pPr>
        <w:pStyle w:val="SingleTxtG"/>
        <w:ind w:firstLine="567"/>
      </w:pPr>
      <w:r>
        <w:t>d)</w:t>
      </w:r>
      <w:r>
        <w:tab/>
      </w:r>
      <w:r w:rsidRPr="009B6952">
        <w:t>Une boîte de secours et des soins médicaux</w:t>
      </w:r>
      <w:r>
        <w:t xml:space="preserve"> </w:t>
      </w:r>
      <w:r w:rsidRPr="009B6952">
        <w:t>sont mis à la disposition des travailleurs (art.</w:t>
      </w:r>
      <w:r>
        <w:t xml:space="preserve"> </w:t>
      </w:r>
      <w:r w:rsidRPr="009B6952">
        <w:t xml:space="preserve">96); </w:t>
      </w:r>
    </w:p>
    <w:p w:rsidR="00CB399B" w:rsidRPr="009B6952" w:rsidRDefault="00CB399B" w:rsidP="00CB399B">
      <w:pPr>
        <w:pStyle w:val="SingleTxtG"/>
        <w:ind w:firstLine="567"/>
      </w:pPr>
      <w:r>
        <w:t>e)</w:t>
      </w:r>
      <w:r>
        <w:tab/>
      </w:r>
      <w:r w:rsidRPr="009B6952">
        <w:t xml:space="preserve">Des mesures relatives à la santé et </w:t>
      </w:r>
      <w:r>
        <w:t xml:space="preserve">à la </w:t>
      </w:r>
      <w:r w:rsidRPr="009B6952">
        <w:t>sécurité au travail existent dans divers secteurs d</w:t>
      </w:r>
      <w:r w:rsidR="00B861F1">
        <w:t>’</w:t>
      </w:r>
      <w:r w:rsidRPr="009B6952">
        <w:t xml:space="preserve">activité: </w:t>
      </w:r>
    </w:p>
    <w:p w:rsidR="00CB399B" w:rsidRPr="009B6952" w:rsidRDefault="00CB399B" w:rsidP="00CB399B">
      <w:pPr>
        <w:pStyle w:val="SingleTxtG"/>
        <w:ind w:left="1700"/>
      </w:pPr>
      <w:r>
        <w:t>i)</w:t>
      </w:r>
      <w:r>
        <w:tab/>
        <w:t>D</w:t>
      </w:r>
      <w:r w:rsidRPr="009B6952">
        <w:t xml:space="preserve">ans les centres de santé, des mesures de protection </w:t>
      </w:r>
      <w:r>
        <w:t xml:space="preserve">permettant </w:t>
      </w:r>
      <w:r w:rsidRPr="009B6952">
        <w:t>de disposer des déchets ou des boîtes de sécurité existent;</w:t>
      </w:r>
    </w:p>
    <w:p w:rsidR="00CB399B" w:rsidRPr="009B6952" w:rsidRDefault="00CB399B" w:rsidP="00CB399B">
      <w:pPr>
        <w:pStyle w:val="SingleTxtG"/>
        <w:ind w:left="1700"/>
      </w:pPr>
      <w:r>
        <w:t>ii)</w:t>
      </w:r>
      <w:r>
        <w:tab/>
        <w:t>D</w:t>
      </w:r>
      <w:r w:rsidRPr="009B6952">
        <w:t xml:space="preserve">ans </w:t>
      </w:r>
      <w:r>
        <w:t>l</w:t>
      </w:r>
      <w:r w:rsidRPr="009B6952">
        <w:t>es usines de thé</w:t>
      </w:r>
      <w:r>
        <w:t>,</w:t>
      </w:r>
      <w:r w:rsidRPr="009B6952">
        <w:t xml:space="preserve"> par exemple, les travailleurs exposés à une forte intensité électrique reçoivent régulièrement du lait. </w:t>
      </w:r>
    </w:p>
    <w:p w:rsidR="00CB399B" w:rsidRPr="003E7566" w:rsidRDefault="00CB399B" w:rsidP="00CB399B">
      <w:pPr>
        <w:pStyle w:val="SingleTxtG"/>
      </w:pPr>
      <w:r>
        <w:rPr>
          <w:szCs w:val="24"/>
        </w:rPr>
        <w:t>103</w:t>
      </w:r>
      <w:r w:rsidRPr="003E7566">
        <w:rPr>
          <w:szCs w:val="24"/>
        </w:rPr>
        <w:t>.</w:t>
      </w:r>
      <w:r w:rsidRPr="003E7566">
        <w:rPr>
          <w:szCs w:val="24"/>
        </w:rPr>
        <w:tab/>
      </w:r>
      <w:r w:rsidRPr="003E7566">
        <w:t>La loi portant statut général des agents de la fonction publique prévoit aussi la protection des agents de l</w:t>
      </w:r>
      <w:r w:rsidR="00B861F1">
        <w:t>’</w:t>
      </w:r>
      <w:r w:rsidRPr="003E7566">
        <w:t>État en cas d</w:t>
      </w:r>
      <w:r w:rsidR="00B861F1">
        <w:t>’</w:t>
      </w:r>
      <w:r w:rsidRPr="003E7566">
        <w:t>accident de travail et de maladie professionnelle (art. 77 et 78).</w:t>
      </w:r>
    </w:p>
    <w:p w:rsidR="00CB399B" w:rsidRPr="003E7566" w:rsidRDefault="00CB399B" w:rsidP="00CB399B">
      <w:pPr>
        <w:pStyle w:val="SingleTxtG"/>
      </w:pPr>
      <w:r w:rsidRPr="003E7566">
        <w:rPr>
          <w:szCs w:val="24"/>
        </w:rPr>
        <w:t>10</w:t>
      </w:r>
      <w:r>
        <w:rPr>
          <w:szCs w:val="24"/>
        </w:rPr>
        <w:t>4</w:t>
      </w:r>
      <w:r w:rsidRPr="003E7566">
        <w:rPr>
          <w:szCs w:val="24"/>
        </w:rPr>
        <w:t>.</w:t>
      </w:r>
      <w:r w:rsidRPr="003E7566">
        <w:rPr>
          <w:szCs w:val="24"/>
        </w:rPr>
        <w:tab/>
      </w:r>
      <w:r w:rsidRPr="003E7566">
        <w:t>Tous les travailleurs bénéficient de la protection prévue par ce régime. La nouvelle loi portant réglementation du travail prévoit en son art</w:t>
      </w:r>
      <w:r>
        <w:t>icle</w:t>
      </w:r>
      <w:r w:rsidRPr="003E7566">
        <w:t xml:space="preserve"> 3 que les travailleurs du secteur informel sont soumis aux dispositions de la loi en ce qui a trait aux matières relatives à la santé et </w:t>
      </w:r>
      <w:r>
        <w:t xml:space="preserve">à la </w:t>
      </w:r>
      <w:r w:rsidRPr="003E7566">
        <w:t xml:space="preserve">sécurité au travail. </w:t>
      </w:r>
    </w:p>
    <w:p w:rsidR="00CB399B" w:rsidRDefault="00CB399B" w:rsidP="00CB399B">
      <w:pPr>
        <w:pStyle w:val="SingleTxtG"/>
        <w:spacing w:after="240"/>
      </w:pPr>
      <w:r>
        <w:rPr>
          <w:szCs w:val="24"/>
        </w:rPr>
        <w:t>105</w:t>
      </w:r>
      <w:r w:rsidRPr="003E7566">
        <w:rPr>
          <w:szCs w:val="24"/>
        </w:rPr>
        <w:t>.</w:t>
      </w:r>
      <w:r w:rsidRPr="003E7566">
        <w:rPr>
          <w:szCs w:val="24"/>
        </w:rPr>
        <w:tab/>
      </w:r>
      <w:r w:rsidRPr="003E7566">
        <w:t>Le nombre des risques professionnels (accidents d</w:t>
      </w:r>
      <w:r>
        <w:t>u</w:t>
      </w:r>
      <w:r w:rsidRPr="003E7566">
        <w:t xml:space="preserve"> travail et maladies professionnelles) </w:t>
      </w:r>
      <w:r>
        <w:t>est</w:t>
      </w:r>
      <w:r w:rsidRPr="003E7566">
        <w:t xml:space="preserve"> </w:t>
      </w:r>
      <w:r>
        <w:t>décrit dans le tableau ci-dessous.</w:t>
      </w:r>
      <w:r w:rsidRPr="003E7566">
        <w:t xml:space="preserve"> </w:t>
      </w:r>
    </w:p>
    <w:p w:rsidR="00CB399B" w:rsidRPr="008F6C74" w:rsidRDefault="00CB399B" w:rsidP="00AB18ED">
      <w:pPr>
        <w:pStyle w:val="Heading1"/>
        <w:spacing w:after="120"/>
      </w:pPr>
      <w:r>
        <w:t>Tableau 8</w:t>
      </w:r>
    </w:p>
    <w:tbl>
      <w:tblPr>
        <w:tblW w:w="7370" w:type="dxa"/>
        <w:tblInd w:w="1134" w:type="dxa"/>
        <w:tblLayout w:type="fixed"/>
        <w:tblCellMar>
          <w:left w:w="0" w:type="dxa"/>
          <w:right w:w="0" w:type="dxa"/>
        </w:tblCellMar>
        <w:tblLook w:val="01E0" w:firstRow="1" w:lastRow="1" w:firstColumn="1" w:lastColumn="1" w:noHBand="0" w:noVBand="0"/>
      </w:tblPr>
      <w:tblGrid>
        <w:gridCol w:w="2866"/>
        <w:gridCol w:w="900"/>
        <w:gridCol w:w="901"/>
        <w:gridCol w:w="901"/>
        <w:gridCol w:w="901"/>
        <w:gridCol w:w="901"/>
      </w:tblGrid>
      <w:tr w:rsidR="002C4CE2" w:rsidRPr="002C4CE2" w:rsidTr="00FE08E0">
        <w:tc>
          <w:tcPr>
            <w:tcW w:w="2866" w:type="dxa"/>
            <w:tcBorders>
              <w:top w:val="single" w:sz="4" w:space="0" w:color="auto"/>
              <w:bottom w:val="single" w:sz="12" w:space="0" w:color="auto"/>
            </w:tcBorders>
            <w:shd w:val="clear" w:color="auto" w:fill="auto"/>
            <w:vAlign w:val="bottom"/>
          </w:tcPr>
          <w:p w:rsidR="002C4CE2" w:rsidRPr="002C4CE2" w:rsidRDefault="002C4CE2" w:rsidP="002C4CE2">
            <w:pPr>
              <w:spacing w:before="80" w:after="80" w:line="200" w:lineRule="exact"/>
              <w:rPr>
                <w:i/>
                <w:sz w:val="18"/>
              </w:rPr>
            </w:pPr>
            <w:r w:rsidRPr="002C4CE2">
              <w:rPr>
                <w:i/>
                <w:sz w:val="18"/>
              </w:rPr>
              <w:t>Année</w:t>
            </w:r>
          </w:p>
        </w:tc>
        <w:tc>
          <w:tcPr>
            <w:tcW w:w="900" w:type="dxa"/>
            <w:tcBorders>
              <w:top w:val="single" w:sz="4" w:space="0" w:color="auto"/>
              <w:bottom w:val="single" w:sz="12" w:space="0" w:color="auto"/>
            </w:tcBorders>
            <w:shd w:val="clear" w:color="auto" w:fill="auto"/>
          </w:tcPr>
          <w:p w:rsidR="002C4CE2" w:rsidRPr="002C4CE2" w:rsidRDefault="002C4CE2" w:rsidP="002C4CE2">
            <w:pPr>
              <w:spacing w:before="80" w:after="80" w:line="200" w:lineRule="exact"/>
              <w:jc w:val="right"/>
              <w:rPr>
                <w:i/>
                <w:sz w:val="18"/>
              </w:rPr>
            </w:pPr>
            <w:r w:rsidRPr="002C4CE2">
              <w:rPr>
                <w:i/>
                <w:sz w:val="18"/>
              </w:rPr>
              <w:t>2003</w:t>
            </w:r>
          </w:p>
        </w:tc>
        <w:tc>
          <w:tcPr>
            <w:tcW w:w="901" w:type="dxa"/>
            <w:tcBorders>
              <w:top w:val="single" w:sz="4" w:space="0" w:color="auto"/>
              <w:bottom w:val="single" w:sz="12" w:space="0" w:color="auto"/>
            </w:tcBorders>
            <w:shd w:val="clear" w:color="auto" w:fill="auto"/>
          </w:tcPr>
          <w:p w:rsidR="002C4CE2" w:rsidRPr="002C4CE2" w:rsidRDefault="002C4CE2" w:rsidP="002C4CE2">
            <w:pPr>
              <w:spacing w:before="80" w:after="80" w:line="200" w:lineRule="exact"/>
              <w:jc w:val="right"/>
              <w:rPr>
                <w:i/>
                <w:sz w:val="18"/>
              </w:rPr>
            </w:pPr>
            <w:r w:rsidRPr="002C4CE2">
              <w:rPr>
                <w:i/>
                <w:sz w:val="18"/>
              </w:rPr>
              <w:t>2004</w:t>
            </w:r>
          </w:p>
        </w:tc>
        <w:tc>
          <w:tcPr>
            <w:tcW w:w="901" w:type="dxa"/>
            <w:tcBorders>
              <w:top w:val="single" w:sz="4" w:space="0" w:color="auto"/>
              <w:bottom w:val="single" w:sz="12" w:space="0" w:color="auto"/>
            </w:tcBorders>
            <w:shd w:val="clear" w:color="auto" w:fill="auto"/>
          </w:tcPr>
          <w:p w:rsidR="002C4CE2" w:rsidRPr="002C4CE2" w:rsidRDefault="002C4CE2" w:rsidP="002C4CE2">
            <w:pPr>
              <w:spacing w:before="80" w:after="80" w:line="200" w:lineRule="exact"/>
              <w:jc w:val="right"/>
              <w:rPr>
                <w:i/>
                <w:sz w:val="18"/>
              </w:rPr>
            </w:pPr>
            <w:r w:rsidRPr="002C4CE2">
              <w:rPr>
                <w:i/>
                <w:sz w:val="18"/>
              </w:rPr>
              <w:t>2005</w:t>
            </w:r>
          </w:p>
        </w:tc>
        <w:tc>
          <w:tcPr>
            <w:tcW w:w="901" w:type="dxa"/>
            <w:tcBorders>
              <w:top w:val="single" w:sz="4" w:space="0" w:color="auto"/>
              <w:bottom w:val="single" w:sz="12" w:space="0" w:color="auto"/>
            </w:tcBorders>
            <w:shd w:val="clear" w:color="auto" w:fill="auto"/>
          </w:tcPr>
          <w:p w:rsidR="002C4CE2" w:rsidRPr="002C4CE2" w:rsidRDefault="002C4CE2" w:rsidP="002C4CE2">
            <w:pPr>
              <w:spacing w:before="80" w:after="80" w:line="200" w:lineRule="exact"/>
              <w:jc w:val="right"/>
              <w:rPr>
                <w:i/>
                <w:sz w:val="18"/>
              </w:rPr>
            </w:pPr>
            <w:r w:rsidRPr="002C4CE2">
              <w:rPr>
                <w:i/>
                <w:sz w:val="18"/>
              </w:rPr>
              <w:t>2006</w:t>
            </w:r>
          </w:p>
        </w:tc>
        <w:tc>
          <w:tcPr>
            <w:tcW w:w="901" w:type="dxa"/>
            <w:tcBorders>
              <w:top w:val="single" w:sz="4" w:space="0" w:color="auto"/>
              <w:bottom w:val="single" w:sz="12" w:space="0" w:color="auto"/>
            </w:tcBorders>
            <w:shd w:val="clear" w:color="auto" w:fill="auto"/>
          </w:tcPr>
          <w:p w:rsidR="002C4CE2" w:rsidRPr="002C4CE2" w:rsidRDefault="002C4CE2" w:rsidP="002C4CE2">
            <w:pPr>
              <w:spacing w:before="80" w:after="80" w:line="200" w:lineRule="exact"/>
              <w:jc w:val="right"/>
              <w:rPr>
                <w:i/>
                <w:sz w:val="18"/>
              </w:rPr>
            </w:pPr>
            <w:r w:rsidRPr="002C4CE2">
              <w:rPr>
                <w:i/>
                <w:sz w:val="18"/>
              </w:rPr>
              <w:t>2007</w:t>
            </w:r>
          </w:p>
        </w:tc>
      </w:tr>
      <w:tr w:rsidR="00CB399B" w:rsidRPr="004F7950" w:rsidTr="008639F7">
        <w:tc>
          <w:tcPr>
            <w:tcW w:w="2866" w:type="dxa"/>
            <w:shd w:val="clear" w:color="auto" w:fill="auto"/>
            <w:vAlign w:val="bottom"/>
          </w:tcPr>
          <w:p w:rsidR="00CB399B" w:rsidRPr="004F7950" w:rsidRDefault="00CB399B" w:rsidP="00AB18ED">
            <w:pPr>
              <w:spacing w:before="40" w:after="40" w:line="220" w:lineRule="exact"/>
              <w:rPr>
                <w:sz w:val="18"/>
              </w:rPr>
            </w:pPr>
            <w:r w:rsidRPr="004F7950">
              <w:rPr>
                <w:sz w:val="18"/>
              </w:rPr>
              <w:t>Accident du travail</w:t>
            </w:r>
          </w:p>
        </w:tc>
        <w:tc>
          <w:tcPr>
            <w:tcW w:w="900" w:type="dxa"/>
            <w:shd w:val="clear" w:color="auto" w:fill="auto"/>
          </w:tcPr>
          <w:p w:rsidR="00CB399B" w:rsidRPr="004F7950" w:rsidRDefault="00CB399B" w:rsidP="00AB18ED">
            <w:pPr>
              <w:spacing w:before="40" w:after="40" w:line="220" w:lineRule="exact"/>
              <w:jc w:val="right"/>
              <w:rPr>
                <w:sz w:val="18"/>
              </w:rPr>
            </w:pPr>
            <w:r w:rsidRPr="004F7950">
              <w:rPr>
                <w:sz w:val="18"/>
              </w:rPr>
              <w:t>218</w:t>
            </w:r>
          </w:p>
        </w:tc>
        <w:tc>
          <w:tcPr>
            <w:tcW w:w="901" w:type="dxa"/>
            <w:shd w:val="clear" w:color="auto" w:fill="auto"/>
          </w:tcPr>
          <w:p w:rsidR="00CB399B" w:rsidRPr="004F7950" w:rsidRDefault="00CB399B" w:rsidP="00AB18ED">
            <w:pPr>
              <w:spacing w:before="40" w:after="40" w:line="220" w:lineRule="exact"/>
              <w:jc w:val="right"/>
              <w:rPr>
                <w:sz w:val="18"/>
              </w:rPr>
            </w:pPr>
            <w:r w:rsidRPr="004F7950">
              <w:rPr>
                <w:sz w:val="18"/>
              </w:rPr>
              <w:t>149</w:t>
            </w:r>
          </w:p>
        </w:tc>
        <w:tc>
          <w:tcPr>
            <w:tcW w:w="901" w:type="dxa"/>
            <w:shd w:val="clear" w:color="auto" w:fill="auto"/>
          </w:tcPr>
          <w:p w:rsidR="00CB399B" w:rsidRPr="004F7950" w:rsidRDefault="00CB399B" w:rsidP="00AB18ED">
            <w:pPr>
              <w:spacing w:before="40" w:after="40" w:line="220" w:lineRule="exact"/>
              <w:jc w:val="right"/>
              <w:rPr>
                <w:sz w:val="18"/>
              </w:rPr>
            </w:pPr>
            <w:r w:rsidRPr="004F7950">
              <w:rPr>
                <w:sz w:val="18"/>
              </w:rPr>
              <w:t>137</w:t>
            </w:r>
          </w:p>
        </w:tc>
        <w:tc>
          <w:tcPr>
            <w:tcW w:w="901" w:type="dxa"/>
            <w:shd w:val="clear" w:color="auto" w:fill="auto"/>
          </w:tcPr>
          <w:p w:rsidR="00CB399B" w:rsidRPr="004F7950" w:rsidRDefault="00CB399B" w:rsidP="00AB18ED">
            <w:pPr>
              <w:spacing w:before="40" w:after="40" w:line="220" w:lineRule="exact"/>
              <w:jc w:val="right"/>
              <w:rPr>
                <w:sz w:val="18"/>
              </w:rPr>
            </w:pPr>
            <w:r w:rsidRPr="004F7950">
              <w:rPr>
                <w:sz w:val="18"/>
              </w:rPr>
              <w:t>117</w:t>
            </w:r>
          </w:p>
        </w:tc>
        <w:tc>
          <w:tcPr>
            <w:tcW w:w="901" w:type="dxa"/>
            <w:shd w:val="clear" w:color="auto" w:fill="auto"/>
          </w:tcPr>
          <w:p w:rsidR="00CB399B" w:rsidRPr="004F7950" w:rsidRDefault="00CB399B" w:rsidP="00AB18ED">
            <w:pPr>
              <w:spacing w:before="40" w:after="40" w:line="220" w:lineRule="exact"/>
              <w:jc w:val="right"/>
              <w:rPr>
                <w:sz w:val="18"/>
              </w:rPr>
            </w:pPr>
            <w:r w:rsidRPr="004F7950">
              <w:rPr>
                <w:sz w:val="18"/>
              </w:rPr>
              <w:t>132</w:t>
            </w:r>
          </w:p>
        </w:tc>
      </w:tr>
      <w:tr w:rsidR="00CB399B" w:rsidRPr="004F7950" w:rsidTr="008639F7">
        <w:tc>
          <w:tcPr>
            <w:tcW w:w="2866" w:type="dxa"/>
            <w:tcBorders>
              <w:bottom w:val="single" w:sz="4" w:space="0" w:color="auto"/>
            </w:tcBorders>
            <w:shd w:val="clear" w:color="auto" w:fill="auto"/>
            <w:vAlign w:val="bottom"/>
          </w:tcPr>
          <w:p w:rsidR="00CB399B" w:rsidRPr="004F7950" w:rsidRDefault="00CB399B" w:rsidP="00AB18ED">
            <w:pPr>
              <w:spacing w:before="40" w:after="40" w:line="220" w:lineRule="exact"/>
              <w:rPr>
                <w:sz w:val="18"/>
              </w:rPr>
            </w:pPr>
            <w:r w:rsidRPr="004F7950">
              <w:rPr>
                <w:sz w:val="18"/>
              </w:rPr>
              <w:t>Maladie professionnelle</w:t>
            </w:r>
          </w:p>
        </w:tc>
        <w:tc>
          <w:tcPr>
            <w:tcW w:w="900" w:type="dxa"/>
            <w:tcBorders>
              <w:bottom w:val="single" w:sz="4" w:space="0" w:color="auto"/>
            </w:tcBorders>
            <w:shd w:val="clear" w:color="auto" w:fill="auto"/>
          </w:tcPr>
          <w:p w:rsidR="00CB399B" w:rsidRPr="004F7950" w:rsidRDefault="00CB399B" w:rsidP="00AB18ED">
            <w:pPr>
              <w:spacing w:before="40" w:after="40" w:line="220" w:lineRule="exact"/>
              <w:jc w:val="right"/>
              <w:rPr>
                <w:sz w:val="18"/>
              </w:rPr>
            </w:pPr>
            <w:r w:rsidRPr="004F7950">
              <w:rPr>
                <w:sz w:val="18"/>
              </w:rPr>
              <w:t>5</w:t>
            </w:r>
          </w:p>
        </w:tc>
        <w:tc>
          <w:tcPr>
            <w:tcW w:w="901" w:type="dxa"/>
            <w:tcBorders>
              <w:bottom w:val="single" w:sz="4" w:space="0" w:color="auto"/>
            </w:tcBorders>
            <w:shd w:val="clear" w:color="auto" w:fill="auto"/>
          </w:tcPr>
          <w:p w:rsidR="00CB399B" w:rsidRPr="004F7950" w:rsidRDefault="00CB399B" w:rsidP="00AB18ED">
            <w:pPr>
              <w:spacing w:before="40" w:after="40" w:line="220" w:lineRule="exact"/>
              <w:jc w:val="right"/>
              <w:rPr>
                <w:sz w:val="18"/>
              </w:rPr>
            </w:pPr>
            <w:r w:rsidRPr="004F7950">
              <w:rPr>
                <w:sz w:val="18"/>
              </w:rPr>
              <w:t>3</w:t>
            </w:r>
          </w:p>
        </w:tc>
        <w:tc>
          <w:tcPr>
            <w:tcW w:w="901" w:type="dxa"/>
            <w:tcBorders>
              <w:bottom w:val="single" w:sz="4" w:space="0" w:color="auto"/>
            </w:tcBorders>
            <w:shd w:val="clear" w:color="auto" w:fill="auto"/>
          </w:tcPr>
          <w:p w:rsidR="00CB399B" w:rsidRPr="004F7950" w:rsidRDefault="00CB399B" w:rsidP="00AB18ED">
            <w:pPr>
              <w:spacing w:before="40" w:after="40" w:line="220" w:lineRule="exact"/>
              <w:jc w:val="right"/>
              <w:rPr>
                <w:sz w:val="18"/>
              </w:rPr>
            </w:pPr>
            <w:r w:rsidRPr="004F7950">
              <w:rPr>
                <w:sz w:val="18"/>
              </w:rPr>
              <w:t>4</w:t>
            </w:r>
          </w:p>
        </w:tc>
        <w:tc>
          <w:tcPr>
            <w:tcW w:w="901" w:type="dxa"/>
            <w:tcBorders>
              <w:bottom w:val="single" w:sz="4" w:space="0" w:color="auto"/>
            </w:tcBorders>
            <w:shd w:val="clear" w:color="auto" w:fill="auto"/>
          </w:tcPr>
          <w:p w:rsidR="00CB399B" w:rsidRPr="004F7950" w:rsidRDefault="00CB399B" w:rsidP="00AB18ED">
            <w:pPr>
              <w:spacing w:before="40" w:after="40" w:line="220" w:lineRule="exact"/>
              <w:jc w:val="right"/>
              <w:rPr>
                <w:sz w:val="18"/>
              </w:rPr>
            </w:pPr>
            <w:r w:rsidRPr="004F7950">
              <w:rPr>
                <w:sz w:val="18"/>
              </w:rPr>
              <w:t>3</w:t>
            </w:r>
          </w:p>
        </w:tc>
        <w:tc>
          <w:tcPr>
            <w:tcW w:w="901" w:type="dxa"/>
            <w:tcBorders>
              <w:bottom w:val="single" w:sz="4" w:space="0" w:color="auto"/>
            </w:tcBorders>
            <w:shd w:val="clear" w:color="auto" w:fill="auto"/>
          </w:tcPr>
          <w:p w:rsidR="00CB399B" w:rsidRPr="004F7950" w:rsidRDefault="00CB399B" w:rsidP="00AB18ED">
            <w:pPr>
              <w:spacing w:before="40" w:after="40" w:line="220" w:lineRule="exact"/>
              <w:jc w:val="right"/>
              <w:rPr>
                <w:sz w:val="18"/>
              </w:rPr>
            </w:pPr>
            <w:r w:rsidRPr="004F7950">
              <w:rPr>
                <w:sz w:val="18"/>
              </w:rPr>
              <w:t>1</w:t>
            </w:r>
          </w:p>
        </w:tc>
      </w:tr>
      <w:tr w:rsidR="00CB399B" w:rsidRPr="004F7950" w:rsidTr="008639F7">
        <w:tc>
          <w:tcPr>
            <w:tcW w:w="2866" w:type="dxa"/>
            <w:tcBorders>
              <w:top w:val="single" w:sz="4" w:space="0" w:color="auto"/>
              <w:bottom w:val="single" w:sz="12" w:space="0" w:color="auto"/>
            </w:tcBorders>
            <w:shd w:val="clear" w:color="auto" w:fill="auto"/>
            <w:vAlign w:val="bottom"/>
          </w:tcPr>
          <w:p w:rsidR="00CB399B" w:rsidRPr="004F7950" w:rsidRDefault="00CB399B" w:rsidP="00AB18ED">
            <w:pPr>
              <w:spacing w:before="80" w:after="80" w:line="220" w:lineRule="exact"/>
              <w:ind w:left="284"/>
              <w:rPr>
                <w:b/>
                <w:sz w:val="18"/>
              </w:rPr>
            </w:pPr>
            <w:r w:rsidRPr="004F7950">
              <w:rPr>
                <w:b/>
                <w:sz w:val="18"/>
              </w:rPr>
              <w:t>Total</w:t>
            </w:r>
          </w:p>
        </w:tc>
        <w:tc>
          <w:tcPr>
            <w:tcW w:w="900" w:type="dxa"/>
            <w:tcBorders>
              <w:top w:val="single" w:sz="4" w:space="0" w:color="auto"/>
              <w:bottom w:val="single" w:sz="12" w:space="0" w:color="auto"/>
            </w:tcBorders>
            <w:shd w:val="clear" w:color="auto" w:fill="auto"/>
          </w:tcPr>
          <w:p w:rsidR="00CB399B" w:rsidRPr="004F7950" w:rsidRDefault="00CB399B" w:rsidP="002C4CE2">
            <w:pPr>
              <w:spacing w:before="80" w:after="80" w:line="220" w:lineRule="exact"/>
              <w:jc w:val="right"/>
              <w:rPr>
                <w:b/>
                <w:sz w:val="18"/>
              </w:rPr>
            </w:pPr>
            <w:r w:rsidRPr="004F7950">
              <w:rPr>
                <w:b/>
                <w:sz w:val="18"/>
              </w:rPr>
              <w:t>223</w:t>
            </w:r>
          </w:p>
        </w:tc>
        <w:tc>
          <w:tcPr>
            <w:tcW w:w="901" w:type="dxa"/>
            <w:tcBorders>
              <w:top w:val="single" w:sz="4" w:space="0" w:color="auto"/>
              <w:bottom w:val="single" w:sz="12" w:space="0" w:color="auto"/>
            </w:tcBorders>
            <w:shd w:val="clear" w:color="auto" w:fill="auto"/>
          </w:tcPr>
          <w:p w:rsidR="00CB399B" w:rsidRPr="004F7950" w:rsidRDefault="00CB399B" w:rsidP="002C4CE2">
            <w:pPr>
              <w:spacing w:before="80" w:after="80" w:line="220" w:lineRule="exact"/>
              <w:jc w:val="right"/>
              <w:rPr>
                <w:b/>
                <w:sz w:val="18"/>
              </w:rPr>
            </w:pPr>
            <w:r w:rsidRPr="004F7950">
              <w:rPr>
                <w:b/>
                <w:sz w:val="18"/>
              </w:rPr>
              <w:t>152</w:t>
            </w:r>
          </w:p>
        </w:tc>
        <w:tc>
          <w:tcPr>
            <w:tcW w:w="901" w:type="dxa"/>
            <w:tcBorders>
              <w:top w:val="single" w:sz="4" w:space="0" w:color="auto"/>
              <w:bottom w:val="single" w:sz="12" w:space="0" w:color="auto"/>
            </w:tcBorders>
            <w:shd w:val="clear" w:color="auto" w:fill="auto"/>
          </w:tcPr>
          <w:p w:rsidR="00CB399B" w:rsidRPr="004F7950" w:rsidRDefault="00CB399B" w:rsidP="002C4CE2">
            <w:pPr>
              <w:spacing w:before="80" w:after="80" w:line="220" w:lineRule="exact"/>
              <w:jc w:val="right"/>
              <w:rPr>
                <w:b/>
                <w:sz w:val="18"/>
              </w:rPr>
            </w:pPr>
            <w:r w:rsidRPr="004F7950">
              <w:rPr>
                <w:b/>
                <w:sz w:val="18"/>
              </w:rPr>
              <w:t>141</w:t>
            </w:r>
          </w:p>
        </w:tc>
        <w:tc>
          <w:tcPr>
            <w:tcW w:w="901" w:type="dxa"/>
            <w:tcBorders>
              <w:top w:val="single" w:sz="4" w:space="0" w:color="auto"/>
              <w:bottom w:val="single" w:sz="12" w:space="0" w:color="auto"/>
            </w:tcBorders>
            <w:shd w:val="clear" w:color="auto" w:fill="auto"/>
          </w:tcPr>
          <w:p w:rsidR="00CB399B" w:rsidRPr="004F7950" w:rsidRDefault="00CB399B" w:rsidP="002C4CE2">
            <w:pPr>
              <w:spacing w:before="80" w:after="80" w:line="220" w:lineRule="exact"/>
              <w:jc w:val="right"/>
              <w:rPr>
                <w:b/>
                <w:sz w:val="18"/>
              </w:rPr>
            </w:pPr>
            <w:r w:rsidRPr="004F7950">
              <w:rPr>
                <w:b/>
                <w:sz w:val="18"/>
              </w:rPr>
              <w:t>120</w:t>
            </w:r>
          </w:p>
        </w:tc>
        <w:tc>
          <w:tcPr>
            <w:tcW w:w="901" w:type="dxa"/>
            <w:tcBorders>
              <w:top w:val="single" w:sz="4" w:space="0" w:color="auto"/>
              <w:bottom w:val="single" w:sz="12" w:space="0" w:color="auto"/>
            </w:tcBorders>
            <w:shd w:val="clear" w:color="auto" w:fill="auto"/>
          </w:tcPr>
          <w:p w:rsidR="00CB399B" w:rsidRPr="004F7950" w:rsidRDefault="00CB399B" w:rsidP="002C4CE2">
            <w:pPr>
              <w:spacing w:before="80" w:after="80" w:line="220" w:lineRule="exact"/>
              <w:jc w:val="right"/>
              <w:rPr>
                <w:b/>
                <w:sz w:val="18"/>
              </w:rPr>
            </w:pPr>
            <w:r w:rsidRPr="004F7950">
              <w:rPr>
                <w:b/>
                <w:sz w:val="18"/>
              </w:rPr>
              <w:t>133</w:t>
            </w:r>
          </w:p>
        </w:tc>
      </w:tr>
    </w:tbl>
    <w:p w:rsidR="00CB399B" w:rsidRPr="009038B3" w:rsidRDefault="00CB399B" w:rsidP="00AB18ED">
      <w:pPr>
        <w:pStyle w:val="SingleTxtG"/>
        <w:spacing w:before="120" w:after="240"/>
        <w:ind w:firstLine="170"/>
        <w:rPr>
          <w:sz w:val="18"/>
          <w:szCs w:val="18"/>
        </w:rPr>
      </w:pPr>
      <w:r w:rsidRPr="009038B3">
        <w:rPr>
          <w:i/>
          <w:sz w:val="18"/>
          <w:szCs w:val="18"/>
        </w:rPr>
        <w:t>Source</w:t>
      </w:r>
      <w:r w:rsidRPr="009038B3">
        <w:rPr>
          <w:sz w:val="18"/>
          <w:szCs w:val="18"/>
        </w:rPr>
        <w:t>: Caisse sociale du Rwanda: Unité Planification et Statistiques-2009</w:t>
      </w:r>
      <w:r>
        <w:rPr>
          <w:sz w:val="18"/>
          <w:szCs w:val="18"/>
        </w:rPr>
        <w:t>.</w:t>
      </w:r>
    </w:p>
    <w:p w:rsidR="00CB399B" w:rsidRPr="009B6952" w:rsidRDefault="00CB399B" w:rsidP="00CB399B">
      <w:pPr>
        <w:pStyle w:val="H4G"/>
      </w:pPr>
      <w:r>
        <w:tab/>
      </w:r>
      <w:r>
        <w:tab/>
      </w:r>
      <w:r w:rsidRPr="009B6952">
        <w:t>Le principe de l</w:t>
      </w:r>
      <w:r w:rsidR="00B861F1">
        <w:t>’</w:t>
      </w:r>
      <w:r w:rsidRPr="009B6952">
        <w:t>égalité de</w:t>
      </w:r>
      <w:r>
        <w:t>s</w:t>
      </w:r>
      <w:r w:rsidRPr="009B6952">
        <w:t xml:space="preserve"> chances de promotion</w:t>
      </w:r>
      <w:r>
        <w:t xml:space="preserve"> </w:t>
      </w:r>
    </w:p>
    <w:p w:rsidR="00CB399B" w:rsidRPr="003E7566" w:rsidRDefault="00CB399B" w:rsidP="00CB399B">
      <w:pPr>
        <w:pStyle w:val="SingleTxtG"/>
      </w:pPr>
      <w:r>
        <w:rPr>
          <w:szCs w:val="24"/>
        </w:rPr>
        <w:t>106</w:t>
      </w:r>
      <w:r w:rsidRPr="003E7566">
        <w:rPr>
          <w:szCs w:val="24"/>
        </w:rPr>
        <w:t>.</w:t>
      </w:r>
      <w:r w:rsidRPr="003E7566">
        <w:rPr>
          <w:szCs w:val="24"/>
        </w:rPr>
        <w:tab/>
      </w:r>
      <w:r w:rsidRPr="003E7566">
        <w:t>Tous les groupes de travailleurs jouissent de l</w:t>
      </w:r>
      <w:r w:rsidR="00B861F1">
        <w:t>’</w:t>
      </w:r>
      <w:r w:rsidRPr="003E7566">
        <w:t xml:space="preserve">égalité des chances de promotion, comme stipulé dans la Constitution (art. 37) et </w:t>
      </w:r>
      <w:r>
        <w:t xml:space="preserve">à </w:t>
      </w:r>
      <w:r w:rsidRPr="003E7566">
        <w:t>l</w:t>
      </w:r>
      <w:r w:rsidR="00B861F1">
        <w:t>’</w:t>
      </w:r>
      <w:r w:rsidRPr="003E7566">
        <w:t>article 12 de la loi portant réglementation du travail</w:t>
      </w:r>
      <w:r>
        <w:t>,</w:t>
      </w:r>
      <w:r w:rsidRPr="003E7566">
        <w:t xml:space="preserve"> ci-haut mentionné. </w:t>
      </w:r>
    </w:p>
    <w:p w:rsidR="00CB399B" w:rsidRPr="009B6952" w:rsidRDefault="00CB399B" w:rsidP="00CB399B">
      <w:pPr>
        <w:pStyle w:val="H4G"/>
      </w:pPr>
      <w:r>
        <w:tab/>
      </w:r>
      <w:r>
        <w:tab/>
      </w:r>
      <w:r w:rsidRPr="009B6952">
        <w:t>Quelle est en particulier la situation des femmes en matière d</w:t>
      </w:r>
      <w:r w:rsidR="00B861F1">
        <w:t>’</w:t>
      </w:r>
      <w:r w:rsidRPr="009B6952">
        <w:t>égalité de</w:t>
      </w:r>
      <w:r>
        <w:t>s</w:t>
      </w:r>
      <w:r w:rsidRPr="009B6952">
        <w:t xml:space="preserve"> chances de promotion</w:t>
      </w:r>
      <w:r>
        <w:t>?</w:t>
      </w:r>
    </w:p>
    <w:p w:rsidR="00CB399B" w:rsidRPr="003E7566" w:rsidRDefault="00CB399B" w:rsidP="00CB399B">
      <w:pPr>
        <w:pStyle w:val="SingleTxtG"/>
        <w:keepNext/>
        <w:keepLines/>
      </w:pPr>
      <w:r>
        <w:rPr>
          <w:szCs w:val="24"/>
        </w:rPr>
        <w:t>107</w:t>
      </w:r>
      <w:r w:rsidRPr="003E7566">
        <w:rPr>
          <w:szCs w:val="24"/>
        </w:rPr>
        <w:t>.</w:t>
      </w:r>
      <w:r w:rsidRPr="003E7566">
        <w:rPr>
          <w:szCs w:val="24"/>
        </w:rPr>
        <w:tab/>
      </w:r>
      <w:r w:rsidRPr="003E7566">
        <w:t>Un cadre légal et institutionnel</w:t>
      </w:r>
      <w:r>
        <w:t xml:space="preserve"> a été mis en place, de même que</w:t>
      </w:r>
      <w:r w:rsidRPr="003E7566">
        <w:t xml:space="preserve"> des mesures diverses ont été adoptées</w:t>
      </w:r>
      <w:r>
        <w:t>,</w:t>
      </w:r>
      <w:r w:rsidRPr="003E7566">
        <w:t xml:space="preserve"> pour appuyer le principe de l</w:t>
      </w:r>
      <w:r w:rsidR="00B861F1">
        <w:t>’</w:t>
      </w:r>
      <w:r w:rsidRPr="003E7566">
        <w:t>égalité de</w:t>
      </w:r>
      <w:r>
        <w:t>s</w:t>
      </w:r>
      <w:r w:rsidRPr="003E7566">
        <w:t xml:space="preserve"> chances de promotion (ci-haut mentionné).</w:t>
      </w:r>
    </w:p>
    <w:p w:rsidR="00CB399B" w:rsidRPr="009B6952" w:rsidRDefault="00CB399B" w:rsidP="00CB399B">
      <w:pPr>
        <w:pStyle w:val="SingleTxtG"/>
        <w:ind w:firstLine="567"/>
      </w:pPr>
      <w:r>
        <w:t>a)</w:t>
      </w:r>
      <w:r>
        <w:tab/>
      </w:r>
      <w:r w:rsidRPr="009B6952">
        <w:t>La Constitution prévoit des organes chargés de l</w:t>
      </w:r>
      <w:r w:rsidR="00B861F1">
        <w:t>’</w:t>
      </w:r>
      <w:r w:rsidRPr="009B6952">
        <w:t xml:space="preserve">intégration des femmes </w:t>
      </w:r>
      <w:r>
        <w:t>dans le</w:t>
      </w:r>
      <w:r w:rsidRPr="009B6952">
        <w:t xml:space="preserve"> développement du pays. Notons:</w:t>
      </w:r>
    </w:p>
    <w:p w:rsidR="00CB399B" w:rsidRPr="009B6952" w:rsidRDefault="00CB399B" w:rsidP="00CB399B">
      <w:pPr>
        <w:pStyle w:val="SingleTxtG"/>
        <w:ind w:left="1700"/>
      </w:pPr>
      <w:r>
        <w:t>i)</w:t>
      </w:r>
      <w:r>
        <w:tab/>
      </w:r>
      <w:r w:rsidRPr="009B6952">
        <w:t>Le Conseil National des Femmes qui a, entre autres actions, encourager les femmes à lutter pour l</w:t>
      </w:r>
      <w:r w:rsidR="00B861F1">
        <w:t>’</w:t>
      </w:r>
      <w:r w:rsidRPr="009B6952">
        <w:t>égalité et la complémentarité entre hommes et femmes;</w:t>
      </w:r>
    </w:p>
    <w:p w:rsidR="00CB399B" w:rsidRPr="009B6952" w:rsidRDefault="00CB399B" w:rsidP="0018038C">
      <w:pPr>
        <w:pStyle w:val="SingleTxtG"/>
        <w:ind w:left="1701"/>
      </w:pPr>
      <w:r>
        <w:t>ii)</w:t>
      </w:r>
      <w:r>
        <w:tab/>
      </w:r>
      <w:r w:rsidRPr="009B6952">
        <w:t>L</w:t>
      </w:r>
      <w:r w:rsidR="00B861F1">
        <w:t>’</w:t>
      </w:r>
      <w:r w:rsidRPr="009B6952">
        <w:t>Observatoire du genre</w:t>
      </w:r>
      <w:r w:rsidR="0018038C">
        <w:t xml:space="preserve"> </w:t>
      </w:r>
      <w:r w:rsidRPr="009B6952">
        <w:t>joue le rôle de monit</w:t>
      </w:r>
      <w:r>
        <w:t>oring des indicateurs du genre.</w:t>
      </w:r>
    </w:p>
    <w:p w:rsidR="00CB399B" w:rsidRPr="009B6952" w:rsidRDefault="00CB399B" w:rsidP="00CB399B">
      <w:pPr>
        <w:pStyle w:val="SingleTxtG"/>
        <w:ind w:firstLine="567"/>
      </w:pPr>
      <w:r>
        <w:t>b)</w:t>
      </w:r>
      <w:r>
        <w:tab/>
        <w:t>D</w:t>
      </w:r>
      <w:r w:rsidRPr="009B6952">
        <w:t>es Conventions ont été ratifiées pour éliminer toute discrimination envers les femmes et par là assurer le principe de l</w:t>
      </w:r>
      <w:r w:rsidR="00B861F1">
        <w:t>’</w:t>
      </w:r>
      <w:r w:rsidRPr="009B6952">
        <w:t xml:space="preserve">égalité </w:t>
      </w:r>
      <w:r>
        <w:t xml:space="preserve">des hommes et </w:t>
      </w:r>
      <w:r w:rsidRPr="009B6952">
        <w:t xml:space="preserve">des femmes </w:t>
      </w:r>
      <w:r>
        <w:t xml:space="preserve">pour ce qui est de </w:t>
      </w:r>
      <w:r w:rsidRPr="009B6952">
        <w:t>la promotion en matière d</w:t>
      </w:r>
      <w:r w:rsidR="00B861F1">
        <w:t>’</w:t>
      </w:r>
      <w:r w:rsidRPr="009B6952">
        <w:t xml:space="preserve">emploi. Depuis la soumission du dernier rapport, les </w:t>
      </w:r>
      <w:r>
        <w:t>c</w:t>
      </w:r>
      <w:r w:rsidRPr="009B6952">
        <w:t xml:space="preserve">onventions et </w:t>
      </w:r>
      <w:r>
        <w:t>p</w:t>
      </w:r>
      <w:r w:rsidRPr="009B6952">
        <w:t>rotocoles suivants ont été ratifiés:</w:t>
      </w:r>
    </w:p>
    <w:p w:rsidR="00CB399B" w:rsidRPr="005677BD" w:rsidRDefault="00CB399B" w:rsidP="00CB399B">
      <w:pPr>
        <w:pStyle w:val="SingleTxtG"/>
        <w:ind w:left="1700"/>
      </w:pPr>
      <w:r>
        <w:t>i)</w:t>
      </w:r>
      <w:r>
        <w:tab/>
      </w:r>
      <w:r w:rsidRPr="005677BD">
        <w:t>Le Protocole à la Charte africaine des droits de l</w:t>
      </w:r>
      <w:r w:rsidR="00B861F1">
        <w:t>’</w:t>
      </w:r>
      <w:r w:rsidRPr="005677BD">
        <w:t>homme et des peuples, relatif aux droits de la femme en Afrique (ratifié le 24/6/2004);</w:t>
      </w:r>
    </w:p>
    <w:p w:rsidR="00CB399B" w:rsidRPr="00835F9F" w:rsidRDefault="00CB399B" w:rsidP="00CB399B">
      <w:pPr>
        <w:pStyle w:val="SingleTxtG"/>
        <w:ind w:left="1700"/>
      </w:pPr>
      <w:r w:rsidRPr="00835F9F">
        <w:t>ii)</w:t>
      </w:r>
      <w:r w:rsidRPr="00835F9F">
        <w:tab/>
        <w:t>La Convention sur les droits politiques de la femme</w:t>
      </w:r>
      <w:r w:rsidR="0018038C">
        <w:t xml:space="preserve"> </w:t>
      </w:r>
      <w:r w:rsidRPr="00835F9F">
        <w:t>(adhésion le 31/12/2002);</w:t>
      </w:r>
    </w:p>
    <w:p w:rsidR="00CB399B" w:rsidRPr="00835F9F" w:rsidRDefault="00CB399B" w:rsidP="00CB399B">
      <w:pPr>
        <w:pStyle w:val="SingleTxtG"/>
        <w:ind w:left="1700"/>
      </w:pPr>
      <w:r w:rsidRPr="00835F9F">
        <w:t>iii)</w:t>
      </w:r>
      <w:r w:rsidRPr="00835F9F">
        <w:tab/>
        <w:t>La Convention sur la nationalité de la femme (adhésion le 31/12/2002);</w:t>
      </w:r>
    </w:p>
    <w:p w:rsidR="00CB399B" w:rsidRPr="00835F9F" w:rsidRDefault="00CB399B" w:rsidP="00CB399B">
      <w:pPr>
        <w:pStyle w:val="SingleTxtG"/>
        <w:ind w:left="1700"/>
      </w:pPr>
      <w:r w:rsidRPr="00835F9F">
        <w:t>iv)</w:t>
      </w:r>
      <w:r w:rsidRPr="00835F9F">
        <w:tab/>
        <w:t>La Convention relative au statut des apatrides (ratifiée le 28/12/2005);</w:t>
      </w:r>
    </w:p>
    <w:p w:rsidR="00CB399B" w:rsidRPr="00835F9F" w:rsidRDefault="00CB399B" w:rsidP="00CB399B">
      <w:pPr>
        <w:pStyle w:val="SingleTxtG"/>
        <w:ind w:left="1700"/>
      </w:pPr>
      <w:r w:rsidRPr="00835F9F">
        <w:t>v)</w:t>
      </w:r>
      <w:r w:rsidRPr="00835F9F">
        <w:tab/>
        <w:t>C118</w:t>
      </w:r>
      <w:r>
        <w:t xml:space="preserve"> </w:t>
      </w:r>
      <w:r w:rsidRPr="00835F9F">
        <w:t>Convention sur l</w:t>
      </w:r>
      <w:r w:rsidR="00B861F1">
        <w:t>’</w:t>
      </w:r>
      <w:r w:rsidRPr="00835F9F">
        <w:t>égalité de traitement (sécurité sociale): ratifiée le 21/9/1989;</w:t>
      </w:r>
    </w:p>
    <w:p w:rsidR="00CB399B" w:rsidRPr="009B6952" w:rsidRDefault="00CB399B" w:rsidP="00CB399B">
      <w:pPr>
        <w:pStyle w:val="SingleTxtG"/>
        <w:ind w:left="1700"/>
      </w:pPr>
      <w:r w:rsidRPr="00C662C4">
        <w:t>vi)</w:t>
      </w:r>
      <w:r w:rsidRPr="00C662C4">
        <w:tab/>
        <w:t>C156 Convention sur les travailleurs ayant des responsabilités familiales (à l</w:t>
      </w:r>
      <w:r w:rsidR="00B861F1">
        <w:t>’</w:t>
      </w:r>
      <w:r w:rsidRPr="00C662C4">
        <w:t>heure actuelle devant le Parlement pour ratification);</w:t>
      </w:r>
    </w:p>
    <w:p w:rsidR="00CB399B" w:rsidRPr="009B6952" w:rsidRDefault="00CB399B" w:rsidP="00CB399B">
      <w:pPr>
        <w:pStyle w:val="SingleTxtG"/>
        <w:ind w:left="1700"/>
      </w:pPr>
      <w:r>
        <w:t>vii)</w:t>
      </w:r>
      <w:r>
        <w:tab/>
      </w:r>
      <w:r w:rsidRPr="009B6952">
        <w:t xml:space="preserve">Le Rwanda a approuvé la </w:t>
      </w:r>
      <w:r>
        <w:t>D</w:t>
      </w:r>
      <w:r w:rsidRPr="009B6952">
        <w:t xml:space="preserve">éclaration et </w:t>
      </w:r>
      <w:r w:rsidRPr="00EF4680">
        <w:t>le Programme d</w:t>
      </w:r>
      <w:r w:rsidR="00B861F1">
        <w:t>’</w:t>
      </w:r>
      <w:r w:rsidRPr="00EF4680">
        <w:t>action</w:t>
      </w:r>
      <w:r>
        <w:t xml:space="preserve"> de Beijing (en </w:t>
      </w:r>
      <w:r w:rsidRPr="009B6952">
        <w:t>1995);</w:t>
      </w:r>
    </w:p>
    <w:p w:rsidR="00CB399B" w:rsidRPr="009B6952" w:rsidRDefault="00CB399B" w:rsidP="00CB399B">
      <w:pPr>
        <w:pStyle w:val="SingleTxtG"/>
        <w:ind w:left="1700"/>
      </w:pPr>
      <w:r>
        <w:t>viii)</w:t>
      </w:r>
      <w:r>
        <w:tab/>
      </w:r>
      <w:r w:rsidRPr="00CE5492">
        <w:t>Ainsi que la Déclaration solennelle</w:t>
      </w:r>
      <w:r w:rsidRPr="009B6952">
        <w:t xml:space="preserve"> sur l</w:t>
      </w:r>
      <w:r w:rsidR="00B861F1">
        <w:t>’</w:t>
      </w:r>
      <w:r w:rsidRPr="009B6952">
        <w:t xml:space="preserve">égalité entre les hommes et </w:t>
      </w:r>
      <w:r>
        <w:t>les femmes en Afrique (en 2004).</w:t>
      </w:r>
    </w:p>
    <w:p w:rsidR="00CB399B" w:rsidRPr="009B6952" w:rsidRDefault="00CB399B" w:rsidP="00CB399B">
      <w:pPr>
        <w:pStyle w:val="SingleTxtG"/>
        <w:ind w:firstLine="567"/>
      </w:pPr>
      <w:r>
        <w:t>c)</w:t>
      </w:r>
      <w:r>
        <w:tab/>
      </w:r>
      <w:r w:rsidRPr="009B6952">
        <w:t>La loi portant statut général des agents de l</w:t>
      </w:r>
      <w:r w:rsidR="00B861F1">
        <w:t>’</w:t>
      </w:r>
      <w:r w:rsidRPr="009B6952">
        <w:t>État prévoit le mode de recrutement par concours pour assurer la neutralité;</w:t>
      </w:r>
      <w:r>
        <w:t xml:space="preserve"> </w:t>
      </w:r>
    </w:p>
    <w:p w:rsidR="00CB399B" w:rsidRPr="009B6952" w:rsidRDefault="00CB399B" w:rsidP="00CB399B">
      <w:pPr>
        <w:pStyle w:val="SingleTxtG"/>
        <w:ind w:firstLine="567"/>
      </w:pPr>
      <w:r>
        <w:t>d)</w:t>
      </w:r>
      <w:r>
        <w:tab/>
      </w:r>
      <w:r w:rsidRPr="009B6952">
        <w:t>D</w:t>
      </w:r>
      <w:r w:rsidR="00B861F1">
        <w:t>’</w:t>
      </w:r>
      <w:r w:rsidRPr="009B6952">
        <w:t>autres mesures sont:</w:t>
      </w:r>
    </w:p>
    <w:p w:rsidR="00CB399B" w:rsidRPr="009B6952" w:rsidRDefault="00CB399B" w:rsidP="00CB399B">
      <w:pPr>
        <w:pStyle w:val="SingleTxtG"/>
        <w:ind w:left="1700"/>
      </w:pPr>
      <w:r>
        <w:t>i)</w:t>
      </w:r>
      <w:r>
        <w:tab/>
        <w:t>La c</w:t>
      </w:r>
      <w:r w:rsidRPr="009B6952">
        <w:t>réation d</w:t>
      </w:r>
      <w:r w:rsidR="00B861F1">
        <w:t>’</w:t>
      </w:r>
      <w:r w:rsidRPr="009B6952">
        <w:t>un Ministère chargé de la promotion de la femme (le Ministère de la promotion familiale et du genre). Il vise le renforcement des capacités des femmes dans toutes les sphères de la vie nationale;</w:t>
      </w:r>
    </w:p>
    <w:p w:rsidR="00CB399B" w:rsidRPr="009B6952" w:rsidRDefault="00CB399B" w:rsidP="00CB399B">
      <w:pPr>
        <w:pStyle w:val="SingleTxtG"/>
        <w:ind w:left="1700"/>
      </w:pPr>
      <w:r>
        <w:t>ii)</w:t>
      </w:r>
      <w:r>
        <w:tab/>
      </w:r>
      <w:r w:rsidRPr="009B6952">
        <w:t>La création en 1997 d</w:t>
      </w:r>
      <w:r w:rsidR="00B861F1">
        <w:t>’</w:t>
      </w:r>
      <w:r w:rsidRPr="009B6952">
        <w:t xml:space="preserve">une structure nationale de suivi de la Conférence de Beijing pour mettre en exécution les résolutions de la </w:t>
      </w:r>
      <w:r w:rsidRPr="00CE5492">
        <w:t>Déclaration de Beijing</w:t>
      </w:r>
      <w:r w:rsidRPr="009B6952">
        <w:t>. Parmi les volets du plan d</w:t>
      </w:r>
      <w:r w:rsidR="00B861F1">
        <w:t>’</w:t>
      </w:r>
      <w:r w:rsidRPr="009B6952">
        <w:t xml:space="preserve">action </w:t>
      </w:r>
      <w:r w:rsidRPr="00F77E27">
        <w:t>du Secrétariat de</w:t>
      </w:r>
      <w:r w:rsidRPr="009B6952">
        <w:t xml:space="preserve"> Beijing se trouve </w:t>
      </w:r>
      <w:r>
        <w:t>la nécessité</w:t>
      </w:r>
      <w:r w:rsidRPr="009B6952">
        <w:t xml:space="preserve"> d</w:t>
      </w:r>
      <w:r w:rsidR="00B861F1">
        <w:t>’</w:t>
      </w:r>
      <w:r w:rsidRPr="009B6952">
        <w:t xml:space="preserve">augmenter les formations </w:t>
      </w:r>
      <w:r>
        <w:t>aux</w:t>
      </w:r>
      <w:r w:rsidRPr="009B6952">
        <w:t xml:space="preserve"> techniques d</w:t>
      </w:r>
      <w:r w:rsidR="00B861F1">
        <w:t>’</w:t>
      </w:r>
      <w:r w:rsidRPr="009B6952">
        <w:t xml:space="preserve">entreprenariat et de gestion afin de rendre les femmes aussi compétitives que les hommes sur le marché du travail. Notons que le </w:t>
      </w:r>
      <w:r w:rsidRPr="00F77E27">
        <w:t>Secrétariat</w:t>
      </w:r>
      <w:r w:rsidRPr="009B6952">
        <w:t xml:space="preserve"> de Beijing vient d</w:t>
      </w:r>
      <w:r w:rsidR="00B861F1">
        <w:t>’</w:t>
      </w:r>
      <w:r w:rsidRPr="009B6952">
        <w:t>être incorporé cette année à la structure de l</w:t>
      </w:r>
      <w:r w:rsidR="00B861F1">
        <w:t>’</w:t>
      </w:r>
      <w:r>
        <w:t>Observatoire du Genre;</w:t>
      </w:r>
    </w:p>
    <w:p w:rsidR="00CB399B" w:rsidRPr="009B6952" w:rsidRDefault="00CB399B" w:rsidP="00CB399B">
      <w:pPr>
        <w:pStyle w:val="SingleTxtG"/>
        <w:ind w:left="1700"/>
      </w:pPr>
      <w:r>
        <w:t>iii)</w:t>
      </w:r>
      <w:r>
        <w:tab/>
      </w:r>
      <w:r w:rsidRPr="009B6952">
        <w:t>La problématique genre (promotion de la femme et égalité de</w:t>
      </w:r>
      <w:r>
        <w:t>s</w:t>
      </w:r>
      <w:r w:rsidRPr="009B6952">
        <w:t xml:space="preserve"> chances de promotion) a été prise en compte dans les piliers de la Vision 2020</w:t>
      </w:r>
      <w:r>
        <w:t xml:space="preserve"> et</w:t>
      </w:r>
      <w:r w:rsidRPr="009B6952">
        <w:t xml:space="preserve"> dans les programmes et stratégies de réduction de la pauvreté;</w:t>
      </w:r>
    </w:p>
    <w:p w:rsidR="00CB399B" w:rsidRPr="009B6952" w:rsidRDefault="00CB399B" w:rsidP="00CB399B">
      <w:pPr>
        <w:pStyle w:val="SingleTxtG"/>
        <w:ind w:left="1700"/>
      </w:pPr>
      <w:r>
        <w:t>iv)</w:t>
      </w:r>
      <w:r>
        <w:tab/>
      </w:r>
      <w:r w:rsidRPr="009B6952">
        <w:t>L</w:t>
      </w:r>
      <w:r w:rsidR="00B861F1">
        <w:t>’</w:t>
      </w:r>
      <w:r w:rsidRPr="009B6952">
        <w:t>intégration de la dimension genre dans les budgets</w:t>
      </w:r>
      <w:r>
        <w:t>;</w:t>
      </w:r>
      <w:r w:rsidRPr="009B6952">
        <w:t xml:space="preserve"> </w:t>
      </w:r>
    </w:p>
    <w:p w:rsidR="00CB399B" w:rsidRPr="009B6952" w:rsidRDefault="00CB399B" w:rsidP="00CB399B">
      <w:pPr>
        <w:pStyle w:val="SingleTxtG"/>
        <w:ind w:left="1700"/>
      </w:pPr>
      <w:r>
        <w:t>v)</w:t>
      </w:r>
      <w:r>
        <w:tab/>
      </w:r>
      <w:r w:rsidRPr="009B6952">
        <w:t>La politique nationale de l</w:t>
      </w:r>
      <w:r w:rsidR="00B861F1">
        <w:t>’</w:t>
      </w:r>
      <w:r w:rsidRPr="009B6952">
        <w:t>emploi envisage des mesures pour l</w:t>
      </w:r>
      <w:r w:rsidR="00B861F1">
        <w:t>’</w:t>
      </w:r>
      <w:r w:rsidRPr="009B6952">
        <w:t>amélioration de la situation des femmes en matière d</w:t>
      </w:r>
      <w:r w:rsidR="00B861F1">
        <w:t>’</w:t>
      </w:r>
      <w:r w:rsidRPr="009B6952">
        <w:t>emploi;</w:t>
      </w:r>
    </w:p>
    <w:p w:rsidR="00CB399B" w:rsidRPr="009B6952" w:rsidRDefault="00CB399B" w:rsidP="00CB399B">
      <w:pPr>
        <w:pStyle w:val="SingleTxtG"/>
        <w:ind w:left="1700"/>
      </w:pPr>
      <w:r>
        <w:t>vi)</w:t>
      </w:r>
      <w:r>
        <w:tab/>
      </w:r>
      <w:r w:rsidRPr="009B6952">
        <w:t>Le plan d</w:t>
      </w:r>
      <w:r w:rsidR="00B861F1">
        <w:t>’</w:t>
      </w:r>
      <w:r w:rsidRPr="009B6952">
        <w:t>action quinquennal pour la promotion de l</w:t>
      </w:r>
      <w:r w:rsidR="00B861F1">
        <w:t>’</w:t>
      </w:r>
      <w:r w:rsidRPr="009B6952">
        <w:t xml:space="preserve">emploi des femmes (2006-10) </w:t>
      </w:r>
      <w:r>
        <w:t>et ses</w:t>
      </w:r>
      <w:r w:rsidRPr="009B6952">
        <w:t xml:space="preserve"> différents volets comme la sensibilisation </w:t>
      </w:r>
      <w:r>
        <w:t>à</w:t>
      </w:r>
      <w:r w:rsidRPr="009B6952">
        <w:t xml:space="preserve"> la promotion du genre dans le milieu du travail, le développement des compétences des femmes afin d</w:t>
      </w:r>
      <w:r w:rsidR="00B861F1">
        <w:t>’</w:t>
      </w:r>
      <w:r w:rsidRPr="009B6952">
        <w:t>assurer la compétitivité ainsi que le financement des initiatives des femmes;</w:t>
      </w:r>
      <w:r>
        <w:t xml:space="preserve"> </w:t>
      </w:r>
    </w:p>
    <w:p w:rsidR="00CB399B" w:rsidRPr="009B6952" w:rsidRDefault="00CB399B" w:rsidP="00CB399B">
      <w:pPr>
        <w:pStyle w:val="SingleTxtG"/>
        <w:ind w:left="1700"/>
      </w:pPr>
      <w:r>
        <w:t>vii)</w:t>
      </w:r>
      <w:r>
        <w:tab/>
      </w:r>
      <w:r w:rsidRPr="009B6952">
        <w:t>La politique gouvernementale de la promotion de l</w:t>
      </w:r>
      <w:r w:rsidR="00B861F1">
        <w:t>’</w:t>
      </w:r>
      <w:r w:rsidRPr="009B6952">
        <w:t>éducation de la fille, afin qu</w:t>
      </w:r>
      <w:r w:rsidR="00B861F1">
        <w:t>’</w:t>
      </w:r>
      <w:r w:rsidRPr="009B6952">
        <w:t>elle dispose des mêmes capacités techniques que le garçon; l</w:t>
      </w:r>
      <w:r w:rsidR="00B861F1">
        <w:t>’</w:t>
      </w:r>
      <w:r w:rsidRPr="009B6952">
        <w:t>encouragement et incitation des filles à entreprendre des études en sciences et technologie;</w:t>
      </w:r>
    </w:p>
    <w:p w:rsidR="00CB399B" w:rsidRPr="009B6952" w:rsidRDefault="00CB399B" w:rsidP="00CB399B">
      <w:pPr>
        <w:pStyle w:val="SingleTxtG"/>
        <w:ind w:left="1700"/>
      </w:pPr>
      <w:r>
        <w:t>viii)</w:t>
      </w:r>
      <w:r>
        <w:tab/>
      </w:r>
      <w:r w:rsidRPr="009B6952">
        <w:t>La politique de décentralisation a permis aussi une plus grande représentativité des femmes</w:t>
      </w:r>
      <w:r>
        <w:t>, dans l</w:t>
      </w:r>
      <w:r w:rsidRPr="009B6952">
        <w:t>es échelons administratifs</w:t>
      </w:r>
      <w:r>
        <w:t>,</w:t>
      </w:r>
      <w:r w:rsidRPr="009B6952">
        <w:t xml:space="preserve"> chargées des questions du genre. Une Direction chargée du Genre et des affaires sociales</w:t>
      </w:r>
      <w:r>
        <w:t xml:space="preserve"> </w:t>
      </w:r>
      <w:r w:rsidRPr="009B6952">
        <w:t xml:space="preserve">a été créée au niveau des provinces et le poste de vice-maire chargé des affaires sociales ayant le genre dans ses attributions a été </w:t>
      </w:r>
      <w:r>
        <w:t>ouvert au niveau des districts;</w:t>
      </w:r>
    </w:p>
    <w:p w:rsidR="00CB399B" w:rsidRPr="009B6952" w:rsidRDefault="00CB399B" w:rsidP="00CB399B">
      <w:pPr>
        <w:pStyle w:val="SingleTxtG"/>
        <w:ind w:left="1700"/>
      </w:pPr>
      <w:r>
        <w:t>ix)</w:t>
      </w:r>
      <w:r>
        <w:tab/>
      </w:r>
      <w:r w:rsidRPr="009B6952">
        <w:t>La direction du genre et de la protection de l</w:t>
      </w:r>
      <w:r w:rsidR="00B861F1">
        <w:t>’</w:t>
      </w:r>
      <w:r w:rsidRPr="009B6952">
        <w:t>enfant, comme</w:t>
      </w:r>
      <w:r>
        <w:t xml:space="preserve"> unité à part, a été créée;</w:t>
      </w:r>
    </w:p>
    <w:p w:rsidR="00CB399B" w:rsidRPr="009B6952" w:rsidRDefault="00CB399B" w:rsidP="00CB399B">
      <w:pPr>
        <w:pStyle w:val="SingleTxtG"/>
        <w:ind w:left="1700"/>
      </w:pPr>
      <w:r>
        <w:t>x)</w:t>
      </w:r>
      <w:r>
        <w:tab/>
      </w:r>
      <w:r w:rsidRPr="009B6952">
        <w:t>Dans la même veine, la création des conseils des femmes au niveau des cellules et secteurs a permis la promotion de l</w:t>
      </w:r>
      <w:r w:rsidR="00B861F1">
        <w:t>’</w:t>
      </w:r>
      <w:r w:rsidRPr="009B6952">
        <w:t xml:space="preserve">égalité des genres aux </w:t>
      </w:r>
      <w:r>
        <w:t>échelons administratifs</w:t>
      </w:r>
      <w:r w:rsidRPr="0004111B">
        <w:t xml:space="preserve"> </w:t>
      </w:r>
      <w:r w:rsidRPr="009B6952">
        <w:t>pl</w:t>
      </w:r>
      <w:r>
        <w:t>us bas.</w:t>
      </w:r>
    </w:p>
    <w:p w:rsidR="00CB399B" w:rsidRPr="009B6952" w:rsidRDefault="00CB399B" w:rsidP="00CB399B">
      <w:pPr>
        <w:pStyle w:val="SingleTxtG"/>
        <w:ind w:firstLine="567"/>
      </w:pPr>
      <w:r>
        <w:t>e)</w:t>
      </w:r>
      <w:r>
        <w:tab/>
      </w:r>
      <w:r w:rsidRPr="009B6952">
        <w:t xml:space="preserve">Une discrimination positive </w:t>
      </w:r>
      <w:r>
        <w:t>est conduite par le</w:t>
      </w:r>
      <w:r w:rsidRPr="009B6952">
        <w:t xml:space="preserve"> </w:t>
      </w:r>
      <w:r>
        <w:t>Gouvernement</w:t>
      </w:r>
      <w:r w:rsidRPr="009B6952">
        <w:t xml:space="preserve"> </w:t>
      </w:r>
      <w:r>
        <w:t>pour</w:t>
      </w:r>
      <w:r w:rsidRPr="009B6952">
        <w:t xml:space="preserve"> intégr</w:t>
      </w:r>
      <w:r>
        <w:t xml:space="preserve">er </w:t>
      </w:r>
      <w:r w:rsidRPr="009B6952">
        <w:t xml:space="preserve">un quota de femmes dans les comités exécutifs des districts et secteurs, ainsi que dans les comités de développement communautaire </w:t>
      </w:r>
      <w:r>
        <w:t>et</w:t>
      </w:r>
      <w:r w:rsidRPr="009B6952">
        <w:t xml:space="preserve"> dans toutes les instances de prise de décision. Notons que les femmes représentent 56</w:t>
      </w:r>
      <w:r>
        <w:t xml:space="preserve"> %</w:t>
      </w:r>
      <w:r w:rsidRPr="009B6952">
        <w:t xml:space="preserve"> des membres de la chambre basse du parlement; la présidente de cette chambre étant une femme. La Cour suprême du Rwanda </w:t>
      </w:r>
      <w:r>
        <w:t>est aussi dirigée par une femme;</w:t>
      </w:r>
    </w:p>
    <w:p w:rsidR="00CB399B" w:rsidRPr="009B6952" w:rsidRDefault="00CB399B" w:rsidP="00CB399B">
      <w:pPr>
        <w:pStyle w:val="SingleTxtG"/>
        <w:ind w:firstLine="567"/>
      </w:pPr>
      <w:r>
        <w:t>f)</w:t>
      </w:r>
      <w:r>
        <w:tab/>
      </w:r>
      <w:r w:rsidRPr="009B6952">
        <w:t>Les points focaux genre dans les structures nationales ont comme objectif l</w:t>
      </w:r>
      <w:r w:rsidR="00B861F1">
        <w:t>’</w:t>
      </w:r>
      <w:r w:rsidRPr="009B6952">
        <w:t xml:space="preserve">intégration de la dimension genre dans tous les secteurs </w:t>
      </w:r>
      <w:r>
        <w:t xml:space="preserve">ainsi que </w:t>
      </w:r>
      <w:r w:rsidRPr="009B6952">
        <w:t>la promotion et l</w:t>
      </w:r>
      <w:r w:rsidR="00B861F1">
        <w:t>’</w:t>
      </w:r>
      <w:r w:rsidRPr="009B6952">
        <w:t>égal</w:t>
      </w:r>
      <w:r>
        <w:t>ité du genre à tous les niveaux;</w:t>
      </w:r>
    </w:p>
    <w:p w:rsidR="00CB399B" w:rsidRPr="009B6952" w:rsidRDefault="00CB399B" w:rsidP="00CB399B">
      <w:pPr>
        <w:pStyle w:val="SingleTxtG"/>
        <w:ind w:firstLine="567"/>
      </w:pPr>
      <w:r>
        <w:t>g)</w:t>
      </w:r>
      <w:r>
        <w:tab/>
      </w:r>
      <w:r w:rsidRPr="009B6952">
        <w:t>Le forum des femmes parlementaires sert aussi entre autres à promouvoir l</w:t>
      </w:r>
      <w:r w:rsidR="00B861F1">
        <w:t>’</w:t>
      </w:r>
      <w:r>
        <w:t>égalité des genres;</w:t>
      </w:r>
    </w:p>
    <w:p w:rsidR="00CB399B" w:rsidRPr="009B6952" w:rsidRDefault="00CB399B" w:rsidP="00CB399B">
      <w:pPr>
        <w:pStyle w:val="SingleTxtG"/>
        <w:ind w:firstLine="567"/>
      </w:pPr>
      <w:r>
        <w:t>h)</w:t>
      </w:r>
      <w:r>
        <w:tab/>
      </w:r>
      <w:r w:rsidRPr="009B6952">
        <w:t>Des campagnes de sensibilisation et d</w:t>
      </w:r>
      <w:r w:rsidR="00B861F1">
        <w:t>’</w:t>
      </w:r>
      <w:r w:rsidRPr="009B6952">
        <w:t xml:space="preserve">information </w:t>
      </w:r>
      <w:r>
        <w:t>sur le</w:t>
      </w:r>
      <w:r w:rsidRPr="009B6952">
        <w:t xml:space="preserve"> genre sont régulièrement menées;</w:t>
      </w:r>
    </w:p>
    <w:p w:rsidR="00CB399B" w:rsidRPr="009B6952" w:rsidRDefault="00CB399B" w:rsidP="00CB399B">
      <w:pPr>
        <w:pStyle w:val="SingleTxtG"/>
        <w:ind w:firstLine="567"/>
      </w:pPr>
      <w:r>
        <w:t>i)</w:t>
      </w:r>
      <w:r>
        <w:tab/>
      </w:r>
      <w:r w:rsidRPr="009B6952">
        <w:t xml:space="preserve">Au niveau des districts, des fonds ont été créés </w:t>
      </w:r>
      <w:r>
        <w:t>pour l</w:t>
      </w:r>
      <w:r w:rsidR="00B861F1">
        <w:t>’</w:t>
      </w:r>
      <w:r>
        <w:t xml:space="preserve">octroi </w:t>
      </w:r>
      <w:r w:rsidRPr="009B6952">
        <w:t>de crédit</w:t>
      </w:r>
      <w:r>
        <w:t>s</w:t>
      </w:r>
      <w:r w:rsidRPr="009B6952">
        <w:t xml:space="preserve"> </w:t>
      </w:r>
      <w:r>
        <w:t xml:space="preserve">aux </w:t>
      </w:r>
      <w:r w:rsidRPr="009B6952">
        <w:t xml:space="preserve">petites entreprises </w:t>
      </w:r>
      <w:r>
        <w:t xml:space="preserve">dirigées par </w:t>
      </w:r>
      <w:r w:rsidRPr="009B6952">
        <w:t>des femmes.</w:t>
      </w:r>
    </w:p>
    <w:p w:rsidR="00CB399B" w:rsidRPr="009B6952" w:rsidRDefault="00CB399B" w:rsidP="00CB399B">
      <w:pPr>
        <w:pStyle w:val="H4G"/>
      </w:pPr>
      <w:r>
        <w:tab/>
      </w:r>
      <w:r>
        <w:tab/>
      </w:r>
      <w:r w:rsidRPr="009B6952">
        <w:t xml:space="preserve">Du repos, de la limitation raisonnable de la </w:t>
      </w:r>
      <w:r w:rsidRPr="000C07FA">
        <w:t>durée de travail</w:t>
      </w:r>
      <w:r w:rsidRPr="009B6952">
        <w:t>, des congés payés et de la rémunération des jours fériés</w:t>
      </w:r>
    </w:p>
    <w:p w:rsidR="00CB399B" w:rsidRPr="003E7566" w:rsidRDefault="00CB399B" w:rsidP="00CB399B">
      <w:pPr>
        <w:pStyle w:val="SingleTxtG"/>
        <w:keepNext/>
        <w:keepLines/>
      </w:pPr>
      <w:r>
        <w:rPr>
          <w:szCs w:val="24"/>
        </w:rPr>
        <w:t>108</w:t>
      </w:r>
      <w:r w:rsidRPr="003E7566">
        <w:rPr>
          <w:szCs w:val="24"/>
        </w:rPr>
        <w:t>.</w:t>
      </w:r>
      <w:r w:rsidRPr="003E7566">
        <w:rPr>
          <w:szCs w:val="24"/>
        </w:rPr>
        <w:tab/>
      </w:r>
      <w:r w:rsidRPr="003E7566">
        <w:t xml:space="preserve">Les législations pertinentes </w:t>
      </w:r>
      <w:r>
        <w:t xml:space="preserve">relatives au </w:t>
      </w:r>
      <w:r w:rsidRPr="003E7566">
        <w:t xml:space="preserve">repos, </w:t>
      </w:r>
      <w:r>
        <w:t xml:space="preserve">aux </w:t>
      </w:r>
      <w:r w:rsidRPr="003E7566">
        <w:t xml:space="preserve">loisirs, </w:t>
      </w:r>
      <w:r>
        <w:t xml:space="preserve">à la </w:t>
      </w:r>
      <w:r w:rsidRPr="003E7566">
        <w:t xml:space="preserve">limitation du travail et </w:t>
      </w:r>
      <w:r>
        <w:t xml:space="preserve">aux </w:t>
      </w:r>
      <w:r w:rsidRPr="003E7566">
        <w:t xml:space="preserve">congés divers sont </w:t>
      </w:r>
      <w:r>
        <w:t>précisées ci-après.</w:t>
      </w:r>
      <w:r w:rsidRPr="003E7566">
        <w:t xml:space="preserve"> </w:t>
      </w:r>
    </w:p>
    <w:p w:rsidR="00CB399B" w:rsidRPr="009B6952" w:rsidRDefault="00CB399B" w:rsidP="00CB399B">
      <w:pPr>
        <w:pStyle w:val="H4G"/>
      </w:pPr>
      <w:r>
        <w:tab/>
      </w:r>
      <w:r>
        <w:tab/>
      </w:r>
      <w:r w:rsidRPr="009B6952">
        <w:t>Le repos</w:t>
      </w:r>
    </w:p>
    <w:p w:rsidR="00CB399B" w:rsidRPr="009B6952" w:rsidRDefault="00CB399B" w:rsidP="00CB399B">
      <w:pPr>
        <w:pStyle w:val="SingleTxtG"/>
        <w:ind w:firstLine="567"/>
      </w:pPr>
      <w:r>
        <w:t>a)</w:t>
      </w:r>
      <w:r>
        <w:tab/>
      </w:r>
      <w:r w:rsidRPr="009B6952">
        <w:t>Le repos hebdomadaire est prévu dans la loi portant réglementation du travail (art.</w:t>
      </w:r>
      <w:r>
        <w:t> </w:t>
      </w:r>
      <w:r w:rsidRPr="009B6952">
        <w:t>52) et son arrêté d</w:t>
      </w:r>
      <w:r w:rsidR="00B861F1">
        <w:t>’</w:t>
      </w:r>
      <w:r w:rsidRPr="009B6952">
        <w:t>application</w:t>
      </w:r>
      <w:r w:rsidRPr="000F3109">
        <w:rPr>
          <w:sz w:val="18"/>
          <w:szCs w:val="18"/>
          <w:vertAlign w:val="superscript"/>
        </w:rPr>
        <w:footnoteReference w:id="55"/>
      </w:r>
      <w:r w:rsidRPr="009B6952">
        <w:t>. Il est au minimum de vingt</w:t>
      </w:r>
      <w:r>
        <w:t>-</w:t>
      </w:r>
      <w:r w:rsidRPr="009B6952">
        <w:t>quatre heures par semaine. Il a lieu en principe le dimanche</w:t>
      </w:r>
      <w:r>
        <w:t>;</w:t>
      </w:r>
      <w:r w:rsidRPr="009B6952">
        <w:t xml:space="preserve"> </w:t>
      </w:r>
    </w:p>
    <w:p w:rsidR="00CB399B" w:rsidRPr="009B6952" w:rsidRDefault="00CB399B" w:rsidP="00CB399B">
      <w:pPr>
        <w:pStyle w:val="SingleTxtG"/>
        <w:ind w:firstLine="567"/>
      </w:pPr>
      <w:r>
        <w:t>b)</w:t>
      </w:r>
      <w:r>
        <w:tab/>
      </w:r>
      <w:r w:rsidRPr="009B6952">
        <w:t>Le même repos est de 48 heures dans les services publics</w:t>
      </w:r>
      <w:r w:rsidRPr="000F3109">
        <w:rPr>
          <w:sz w:val="18"/>
          <w:szCs w:val="18"/>
          <w:vertAlign w:val="superscript"/>
        </w:rPr>
        <w:footnoteReference w:id="56"/>
      </w:r>
      <w:r>
        <w:t>;</w:t>
      </w:r>
    </w:p>
    <w:p w:rsidR="00CB399B" w:rsidRDefault="00CB399B" w:rsidP="00B861F1">
      <w:pPr>
        <w:pStyle w:val="SingleTxtG"/>
        <w:ind w:firstLine="567"/>
      </w:pPr>
      <w:r>
        <w:t>c)</w:t>
      </w:r>
      <w:r>
        <w:tab/>
      </w:r>
      <w:r w:rsidRPr="009B6952">
        <w:t>Le repos de l</w:t>
      </w:r>
      <w:r w:rsidR="00B861F1">
        <w:t>’</w:t>
      </w:r>
      <w:r w:rsidRPr="009B6952">
        <w:t>enfant entre deux périodes de travail doit avoir une durée minimum de douze heures consécutives (art.</w:t>
      </w:r>
      <w:r>
        <w:t xml:space="preserve"> </w:t>
      </w:r>
      <w:r w:rsidRPr="009B6952">
        <w:t>5 de la même loi)</w:t>
      </w:r>
      <w:r>
        <w:t>.</w:t>
      </w:r>
    </w:p>
    <w:p w:rsidR="0036354A" w:rsidRPr="00AA16D9" w:rsidRDefault="0036354A" w:rsidP="0036354A">
      <w:pPr>
        <w:pStyle w:val="H4G"/>
      </w:pPr>
      <w:r w:rsidRPr="00AA16D9">
        <w:tab/>
      </w:r>
      <w:r w:rsidRPr="00AA16D9">
        <w:tab/>
        <w:t>La limitation raisonnable de la durée du travail</w:t>
      </w:r>
    </w:p>
    <w:p w:rsidR="0036354A" w:rsidRPr="00AA16D9" w:rsidRDefault="0036354A" w:rsidP="0036354A">
      <w:pPr>
        <w:pStyle w:val="SingleTxtG"/>
        <w:ind w:firstLine="567"/>
      </w:pPr>
      <w:r w:rsidRPr="00AA16D9">
        <w:t>a)</w:t>
      </w:r>
      <w:r w:rsidRPr="00AA16D9">
        <w:tab/>
        <w:t>Pour ce qui est de la limitation raisonnable de la durée du travail, la loi portant réglementation du travail prévoit qu</w:t>
      </w:r>
      <w:r>
        <w:t>’</w:t>
      </w:r>
      <w:r w:rsidRPr="00AA16D9">
        <w:t>elle ne peut excéder quarante-cinq heures par semaine;</w:t>
      </w:r>
    </w:p>
    <w:p w:rsidR="0036354A" w:rsidRPr="00AA16D9" w:rsidRDefault="0036354A" w:rsidP="0036354A">
      <w:pPr>
        <w:pStyle w:val="SingleTxtG"/>
        <w:ind w:firstLine="567"/>
      </w:pPr>
      <w:r w:rsidRPr="00AA16D9">
        <w:t>b)</w:t>
      </w:r>
      <w:r w:rsidRPr="00AA16D9">
        <w:tab/>
        <w:t>Pour les agents de l</w:t>
      </w:r>
      <w:r>
        <w:t>’</w:t>
      </w:r>
      <w:r w:rsidRPr="00AA16D9">
        <w:t>État, la durée de travail prévue est de quarante heures par semaine</w:t>
      </w:r>
      <w:r w:rsidRPr="00AA16D9">
        <w:rPr>
          <w:sz w:val="18"/>
          <w:szCs w:val="18"/>
          <w:vertAlign w:val="superscript"/>
        </w:rPr>
        <w:footnoteReference w:id="57"/>
      </w:r>
      <w:r w:rsidRPr="00AA16D9">
        <w:t>. Un projet de loi est en voie d</w:t>
      </w:r>
      <w:r>
        <w:t>’</w:t>
      </w:r>
      <w:r w:rsidRPr="00AA16D9">
        <w:t>élaboration aux termes duquel la durée de travail hebdomadaire sera la même que celle prévue par la loi portant réglementation du travail (quarante-cinq heures).</w:t>
      </w:r>
    </w:p>
    <w:p w:rsidR="0036354A" w:rsidRPr="00AA16D9" w:rsidRDefault="0036354A" w:rsidP="0036354A">
      <w:pPr>
        <w:pStyle w:val="H4G"/>
      </w:pPr>
      <w:r w:rsidRPr="00AA16D9">
        <w:tab/>
      </w:r>
      <w:r w:rsidRPr="00AA16D9">
        <w:tab/>
        <w:t>Les congés payés et la rémunération des jours fériés</w:t>
      </w:r>
    </w:p>
    <w:p w:rsidR="0036354A" w:rsidRPr="00AA16D9" w:rsidRDefault="0036354A" w:rsidP="0036354A">
      <w:pPr>
        <w:pStyle w:val="SingleTxtG"/>
        <w:ind w:firstLine="567"/>
      </w:pPr>
      <w:r w:rsidRPr="00AA16D9">
        <w:t>a)</w:t>
      </w:r>
      <w:r w:rsidRPr="00AA16D9">
        <w:tab/>
        <w:t>En ce qui concerne les congés payés périodiques et la rémunération des jours fériés, la loi portant réglementation du travail prévoit qu</w:t>
      </w:r>
      <w:r>
        <w:t>’</w:t>
      </w:r>
      <w:r w:rsidRPr="00AA16D9">
        <w:t>ils sont à charge de l</w:t>
      </w:r>
      <w:r>
        <w:t>’</w:t>
      </w:r>
      <w:r w:rsidRPr="00AA16D9">
        <w:t>employeur (art. 53) à raison d</w:t>
      </w:r>
      <w:r>
        <w:t>’</w:t>
      </w:r>
      <w:r w:rsidRPr="00AA16D9">
        <w:t>un jour ouvrable et demi de congé par mois de service effectif continu. Les jours fériés officiels ne sont pas comptés dans le congé annuel payé (art. 56);</w:t>
      </w:r>
    </w:p>
    <w:p w:rsidR="0036354A" w:rsidRPr="00AA16D9" w:rsidRDefault="0036354A" w:rsidP="0036354A">
      <w:pPr>
        <w:pStyle w:val="SingleTxtG"/>
        <w:ind w:firstLine="567"/>
      </w:pPr>
      <w:r w:rsidRPr="00AA16D9">
        <w:t>b)</w:t>
      </w:r>
      <w:r w:rsidRPr="00AA16D9">
        <w:tab/>
        <w:t>Les congés payés sont aussi prévus dans la loi portant statut général des agents de l</w:t>
      </w:r>
      <w:r>
        <w:t>’</w:t>
      </w:r>
      <w:r w:rsidRPr="00AA16D9">
        <w:t>État, à raison de 30 jours calendrier pour douze mois d</w:t>
      </w:r>
      <w:r>
        <w:t>’</w:t>
      </w:r>
      <w:r w:rsidRPr="00AA16D9">
        <w:t>activité de l</w:t>
      </w:r>
      <w:r>
        <w:t>’</w:t>
      </w:r>
      <w:r w:rsidRPr="00AA16D9">
        <w:t xml:space="preserve">agent (art. 42 de ladite loi). </w:t>
      </w:r>
    </w:p>
    <w:p w:rsidR="0036354A" w:rsidRPr="00AA16D9" w:rsidRDefault="0036354A" w:rsidP="0036354A">
      <w:pPr>
        <w:pStyle w:val="H4G"/>
      </w:pPr>
      <w:r w:rsidRPr="00AA16D9">
        <w:tab/>
      </w:r>
      <w:r w:rsidRPr="00AA16D9">
        <w:tab/>
        <w:t>Les loisirs</w:t>
      </w:r>
    </w:p>
    <w:p w:rsidR="0036354A" w:rsidRPr="00AA16D9" w:rsidRDefault="0036354A" w:rsidP="0036354A">
      <w:pPr>
        <w:pStyle w:val="SingleTxtG"/>
        <w:ind w:firstLine="567"/>
      </w:pPr>
      <w:r w:rsidRPr="00AA16D9">
        <w:t>a)</w:t>
      </w:r>
      <w:r w:rsidRPr="00AA16D9">
        <w:tab/>
        <w:t>En ce qui a trait aux loisirs, l</w:t>
      </w:r>
      <w:r>
        <w:t>’</w:t>
      </w:r>
      <w:r w:rsidRPr="00AA16D9">
        <w:t>État définit la politique générale des sports et loisirs</w:t>
      </w:r>
      <w:r w:rsidRPr="00AA16D9">
        <w:rPr>
          <w:sz w:val="18"/>
          <w:szCs w:val="18"/>
          <w:vertAlign w:val="superscript"/>
        </w:rPr>
        <w:footnoteReference w:id="58"/>
      </w:r>
      <w:r w:rsidRPr="00AA16D9">
        <w:t>;</w:t>
      </w:r>
    </w:p>
    <w:p w:rsidR="0036354A" w:rsidRPr="00AA16D9" w:rsidRDefault="0036354A" w:rsidP="0036354A">
      <w:pPr>
        <w:pStyle w:val="SingleTxtG"/>
        <w:ind w:firstLine="567"/>
      </w:pPr>
      <w:r w:rsidRPr="00AA16D9">
        <w:t>b)</w:t>
      </w:r>
      <w:r w:rsidRPr="00AA16D9">
        <w:tab/>
        <w:t>Les sports sont vivement encouragés dans toutes les institutions publiques: un après</w:t>
      </w:r>
      <w:r w:rsidRPr="00AA16D9">
        <w:noBreakHyphen/>
        <w:t>midi (soit le jeudi ou le vendredi) est dédié à des activités sportives. L</w:t>
      </w:r>
      <w:r>
        <w:t>’</w:t>
      </w:r>
      <w:r w:rsidRPr="00AA16D9">
        <w:t>État offre même des subventions pour l</w:t>
      </w:r>
      <w:r>
        <w:t>’</w:t>
      </w:r>
      <w:r w:rsidRPr="00AA16D9">
        <w:t>adhésion de ses employés à des centres sportifs.</w:t>
      </w:r>
    </w:p>
    <w:p w:rsidR="0036354A" w:rsidRPr="00AA16D9" w:rsidRDefault="0036354A" w:rsidP="0036354A">
      <w:pPr>
        <w:pStyle w:val="SingleTxtG"/>
      </w:pPr>
      <w:r w:rsidRPr="00AA16D9">
        <w:rPr>
          <w:szCs w:val="24"/>
        </w:rPr>
        <w:t>109.</w:t>
      </w:r>
      <w:r w:rsidRPr="00AA16D9">
        <w:rPr>
          <w:szCs w:val="24"/>
        </w:rPr>
        <w:tab/>
      </w:r>
      <w:r w:rsidRPr="00AA16D9">
        <w:t>L</w:t>
      </w:r>
      <w:r>
        <w:t>’</w:t>
      </w:r>
      <w:r w:rsidRPr="00AA16D9">
        <w:t>exercice des droits ci-haut mentionnés n</w:t>
      </w:r>
      <w:r>
        <w:t>’</w:t>
      </w:r>
      <w:r w:rsidRPr="00AA16D9">
        <w:t>encourt aucune difficulté. Il n</w:t>
      </w:r>
      <w:r>
        <w:t>’</w:t>
      </w:r>
      <w:r w:rsidRPr="00AA16D9">
        <w:t>en reste pas moins que la catégorie des travailleurs du secteur informel ne jouit pas dans la pratique de tous ces droits, car ils ne sont pas couverts par le régime de la loi portant réglementation du travail.</w:t>
      </w:r>
    </w:p>
    <w:p w:rsidR="0036354A" w:rsidRPr="00AA16D9" w:rsidRDefault="0036354A" w:rsidP="0036354A">
      <w:pPr>
        <w:pStyle w:val="H4G"/>
      </w:pPr>
      <w:r w:rsidRPr="00AA16D9">
        <w:tab/>
      </w:r>
      <w:r w:rsidRPr="00AA16D9">
        <w:tab/>
        <w:t xml:space="preserve">Modifications enregistrées depuis le dernier rapport </w:t>
      </w:r>
    </w:p>
    <w:p w:rsidR="0036354A" w:rsidRPr="00AA16D9" w:rsidRDefault="0036354A" w:rsidP="0036354A">
      <w:pPr>
        <w:pStyle w:val="SingleTxtG"/>
      </w:pPr>
      <w:r w:rsidRPr="00AA16D9">
        <w:rPr>
          <w:szCs w:val="24"/>
        </w:rPr>
        <w:t>110.</w:t>
      </w:r>
      <w:r w:rsidRPr="00AA16D9">
        <w:rPr>
          <w:szCs w:val="24"/>
        </w:rPr>
        <w:tab/>
      </w:r>
      <w:r w:rsidRPr="00AA16D9">
        <w:t>Les modifications sont en premier celles contenues dans:</w:t>
      </w:r>
    </w:p>
    <w:p w:rsidR="0036354A" w:rsidRPr="00AA16D9" w:rsidRDefault="0036354A" w:rsidP="0036354A">
      <w:pPr>
        <w:pStyle w:val="SingleTxtG"/>
        <w:ind w:firstLine="567"/>
        <w:rPr>
          <w:bCs/>
        </w:rPr>
      </w:pPr>
      <w:r w:rsidRPr="00AA16D9">
        <w:t>a)</w:t>
      </w:r>
      <w:r w:rsidRPr="00AA16D9">
        <w:tab/>
        <w:t>La Constitution;</w:t>
      </w:r>
    </w:p>
    <w:p w:rsidR="0036354A" w:rsidRPr="00AA16D9" w:rsidRDefault="0036354A" w:rsidP="0036354A">
      <w:pPr>
        <w:pStyle w:val="SingleTxtG"/>
        <w:ind w:firstLine="567"/>
        <w:rPr>
          <w:bCs/>
        </w:rPr>
      </w:pPr>
      <w:r w:rsidRPr="00AA16D9">
        <w:t>b)</w:t>
      </w:r>
      <w:r w:rsidRPr="00AA16D9">
        <w:tab/>
        <w:t xml:space="preserve">La Convention </w:t>
      </w:r>
      <w:r w:rsidRPr="00AA16D9">
        <w:rPr>
          <w:rFonts w:eastAsia="MS Mincho"/>
        </w:rPr>
        <w:t>n</w:t>
      </w:r>
      <w:r w:rsidRPr="00AA16D9">
        <w:rPr>
          <w:rFonts w:eastAsia="MS Mincho"/>
          <w:vertAlign w:val="superscript"/>
        </w:rPr>
        <w:t>o</w:t>
      </w:r>
      <w:r w:rsidRPr="00AA16D9">
        <w:t xml:space="preserve"> 132 sur les congés payés (révisée),</w:t>
      </w:r>
      <w:r w:rsidR="00C13FE4">
        <w:t xml:space="preserve"> </w:t>
      </w:r>
      <w:r w:rsidRPr="00AA16D9">
        <w:t>1970, ratifiée par arrêté présidentiel du 9 Nov. 1987 (J.O., 1987, p. 1780);</w:t>
      </w:r>
    </w:p>
    <w:p w:rsidR="0036354A" w:rsidRPr="00AA16D9" w:rsidRDefault="0036354A" w:rsidP="0036354A">
      <w:pPr>
        <w:pStyle w:val="SingleTxtG"/>
        <w:ind w:firstLine="567"/>
        <w:rPr>
          <w:bCs/>
        </w:rPr>
      </w:pPr>
      <w:r w:rsidRPr="00AA16D9">
        <w:t>c)</w:t>
      </w:r>
      <w:r w:rsidRPr="00AA16D9">
        <w:tab/>
        <w:t xml:space="preserve">La loi portant réglementation du travail; </w:t>
      </w:r>
    </w:p>
    <w:p w:rsidR="0036354A" w:rsidRPr="00AA16D9" w:rsidRDefault="0036354A" w:rsidP="0036354A">
      <w:pPr>
        <w:pStyle w:val="SingleTxtG"/>
        <w:ind w:firstLine="567"/>
        <w:rPr>
          <w:bCs/>
        </w:rPr>
      </w:pPr>
      <w:r w:rsidRPr="00AA16D9">
        <w:t>d)</w:t>
      </w:r>
      <w:r w:rsidRPr="00AA16D9">
        <w:tab/>
        <w:t>En matière de sécurité au travail, divers arrêtés présidentiels et ministériels</w:t>
      </w:r>
      <w:r w:rsidRPr="00AA16D9">
        <w:rPr>
          <w:sz w:val="18"/>
          <w:szCs w:val="18"/>
          <w:vertAlign w:val="superscript"/>
        </w:rPr>
        <w:footnoteReference w:id="59"/>
      </w:r>
      <w:r w:rsidRPr="00AA16D9">
        <w:t xml:space="preserve"> qui ont donné le ton à la protection du travailleur en matière de sécurité sociale. </w:t>
      </w:r>
    </w:p>
    <w:p w:rsidR="0036354A" w:rsidRPr="00AA16D9" w:rsidRDefault="0036354A" w:rsidP="0036354A">
      <w:pPr>
        <w:pStyle w:val="SingleTxtG"/>
      </w:pPr>
      <w:r w:rsidRPr="00AA16D9">
        <w:rPr>
          <w:szCs w:val="24"/>
        </w:rPr>
        <w:t>111.</w:t>
      </w:r>
      <w:r w:rsidRPr="00AA16D9">
        <w:rPr>
          <w:szCs w:val="24"/>
        </w:rPr>
        <w:tab/>
        <w:t>Les d</w:t>
      </w:r>
      <w:r w:rsidRPr="00AA16D9">
        <w:t>iverses politiques énumérées ci-haut sont menées pour renforcer l</w:t>
      </w:r>
      <w:r>
        <w:t>’</w:t>
      </w:r>
      <w:r w:rsidRPr="00AA16D9">
        <w:t>action gouvernementale de promotion des conditions de travail justes et équitables et de renforcement du principe de l</w:t>
      </w:r>
      <w:r>
        <w:t>’</w:t>
      </w:r>
      <w:r w:rsidRPr="00AA16D9">
        <w:t>égalité des chances de promotion.</w:t>
      </w:r>
    </w:p>
    <w:p w:rsidR="0036354A" w:rsidRPr="00AA16D9" w:rsidRDefault="0036354A" w:rsidP="0036354A">
      <w:pPr>
        <w:pStyle w:val="SingleTxtG"/>
      </w:pPr>
      <w:r w:rsidRPr="00AA16D9">
        <w:rPr>
          <w:szCs w:val="24"/>
        </w:rPr>
        <w:t>112.</w:t>
      </w:r>
      <w:r w:rsidRPr="00AA16D9">
        <w:rPr>
          <w:szCs w:val="24"/>
        </w:rPr>
        <w:tab/>
      </w:r>
      <w:r w:rsidRPr="00AA16D9">
        <w:t>Une collaboration étroite entre le Gouvernement et la Société Civile permet d</w:t>
      </w:r>
      <w:r>
        <w:t>’</w:t>
      </w:r>
      <w:r w:rsidRPr="00AA16D9">
        <w:t>avoir une vision convergente du développement et une complémentarité d</w:t>
      </w:r>
      <w:r>
        <w:t>’</w:t>
      </w:r>
      <w:r w:rsidRPr="00AA16D9">
        <w:t xml:space="preserve">action surtout en faveur des groupes marginalisés, notamment les femmes en situation difficile. </w:t>
      </w:r>
    </w:p>
    <w:p w:rsidR="0036354A" w:rsidRPr="00AA16D9" w:rsidRDefault="0036354A" w:rsidP="0036354A">
      <w:pPr>
        <w:pStyle w:val="SingleTxtG"/>
      </w:pPr>
      <w:r w:rsidRPr="00AA16D9">
        <w:rPr>
          <w:szCs w:val="24"/>
        </w:rPr>
        <w:t>113.</w:t>
      </w:r>
      <w:r w:rsidRPr="00AA16D9">
        <w:rPr>
          <w:szCs w:val="24"/>
        </w:rPr>
        <w:tab/>
      </w:r>
      <w:r w:rsidRPr="00AA16D9">
        <w:t>Différentes commissions ont été mises en place pour appuyer la politique gouvernementale de non-discrimination comme:</w:t>
      </w:r>
    </w:p>
    <w:p w:rsidR="0036354A" w:rsidRPr="00AA16D9" w:rsidRDefault="0036354A" w:rsidP="0036354A">
      <w:pPr>
        <w:pStyle w:val="SingleTxtG"/>
        <w:ind w:firstLine="567"/>
        <w:rPr>
          <w:bCs/>
        </w:rPr>
      </w:pPr>
      <w:r w:rsidRPr="00AA16D9">
        <w:t>a)</w:t>
      </w:r>
      <w:r w:rsidRPr="00AA16D9">
        <w:tab/>
        <w:t xml:space="preserve">La Commission nationale des droits de la personne; </w:t>
      </w:r>
    </w:p>
    <w:p w:rsidR="0036354A" w:rsidRPr="00AA16D9" w:rsidRDefault="0036354A" w:rsidP="0036354A">
      <w:pPr>
        <w:pStyle w:val="SingleTxtG"/>
        <w:ind w:firstLine="567"/>
        <w:rPr>
          <w:bCs/>
        </w:rPr>
      </w:pPr>
      <w:r w:rsidRPr="00AA16D9">
        <w:t>b)</w:t>
      </w:r>
      <w:r w:rsidRPr="00AA16D9">
        <w:tab/>
        <w:t xml:space="preserve">Le Conseil national des femmes; </w:t>
      </w:r>
    </w:p>
    <w:p w:rsidR="0036354A" w:rsidRPr="00AA16D9" w:rsidRDefault="0036354A" w:rsidP="0036354A">
      <w:pPr>
        <w:pStyle w:val="SingleTxtG"/>
        <w:ind w:firstLine="567"/>
        <w:rPr>
          <w:bCs/>
        </w:rPr>
      </w:pPr>
      <w:r w:rsidRPr="00AA16D9">
        <w:t>c)</w:t>
      </w:r>
      <w:r w:rsidRPr="00AA16D9">
        <w:tab/>
        <w:t>L</w:t>
      </w:r>
      <w:r>
        <w:t>’</w:t>
      </w:r>
      <w:r w:rsidRPr="00AA16D9">
        <w:t xml:space="preserve">Observatoire du genre; </w:t>
      </w:r>
    </w:p>
    <w:p w:rsidR="0036354A" w:rsidRPr="00AA16D9" w:rsidRDefault="0036354A" w:rsidP="0036354A">
      <w:pPr>
        <w:pStyle w:val="SingleTxtG"/>
        <w:ind w:firstLine="567"/>
        <w:rPr>
          <w:bCs/>
        </w:rPr>
      </w:pPr>
      <w:r w:rsidRPr="00AA16D9">
        <w:t>d)</w:t>
      </w:r>
      <w:r w:rsidRPr="00AA16D9">
        <w:tab/>
        <w:t xml:space="preserve">À cela ajoutons la commission de la fonction publique; </w:t>
      </w:r>
    </w:p>
    <w:p w:rsidR="0036354A" w:rsidRPr="00AA16D9" w:rsidRDefault="0036354A" w:rsidP="0036354A">
      <w:pPr>
        <w:pStyle w:val="SingleTxtG"/>
        <w:ind w:firstLine="567"/>
        <w:rPr>
          <w:bCs/>
        </w:rPr>
      </w:pPr>
      <w:r w:rsidRPr="00AA16D9">
        <w:t>e)</w:t>
      </w:r>
      <w:r w:rsidRPr="00AA16D9">
        <w:tab/>
        <w:t>Le bureau de l</w:t>
      </w:r>
      <w:r>
        <w:t>’</w:t>
      </w:r>
      <w:r w:rsidRPr="00AA16D9">
        <w:t xml:space="preserve">inspecteur du travail. </w:t>
      </w:r>
    </w:p>
    <w:p w:rsidR="0036354A" w:rsidRPr="00AA16D9" w:rsidRDefault="0036354A" w:rsidP="0036354A">
      <w:pPr>
        <w:pStyle w:val="SingleTxtG"/>
      </w:pPr>
      <w:r w:rsidRPr="00AA16D9">
        <w:rPr>
          <w:szCs w:val="24"/>
        </w:rPr>
        <w:t>114.</w:t>
      </w:r>
      <w:r w:rsidRPr="00AA16D9">
        <w:rPr>
          <w:szCs w:val="24"/>
        </w:rPr>
        <w:tab/>
      </w:r>
      <w:r w:rsidRPr="00AA16D9">
        <w:t>Différents programmes</w:t>
      </w:r>
      <w:r w:rsidRPr="00AA16D9">
        <w:rPr>
          <w:sz w:val="18"/>
          <w:szCs w:val="18"/>
          <w:vertAlign w:val="superscript"/>
        </w:rPr>
        <w:footnoteReference w:id="60"/>
      </w:r>
      <w:r w:rsidRPr="00AA16D9">
        <w:t xml:space="preserve"> s</w:t>
      </w:r>
      <w:r>
        <w:t>’</w:t>
      </w:r>
      <w:r w:rsidRPr="00AA16D9">
        <w:t xml:space="preserve">occupent de la formation des travailleurs et contribuent à réduire la pauvreté en initiant des activités génératrices de revenus. </w:t>
      </w:r>
    </w:p>
    <w:p w:rsidR="0036354A" w:rsidRPr="00AA16D9" w:rsidRDefault="0036354A" w:rsidP="0036354A">
      <w:pPr>
        <w:pStyle w:val="H4G"/>
      </w:pPr>
      <w:r w:rsidRPr="00AA16D9">
        <w:tab/>
      </w:r>
      <w:r w:rsidRPr="00AA16D9">
        <w:tab/>
        <w:t>L</w:t>
      </w:r>
      <w:r>
        <w:t>’</w:t>
      </w:r>
      <w:r w:rsidRPr="00AA16D9">
        <w:t>aide internationale aux fins de l</w:t>
      </w:r>
      <w:r>
        <w:t>’</w:t>
      </w:r>
      <w:r w:rsidRPr="00AA16D9">
        <w:t>exercice du droit: Citons entre autres</w:t>
      </w:r>
    </w:p>
    <w:p w:rsidR="0036354A" w:rsidRPr="00AA16D9" w:rsidRDefault="0036354A" w:rsidP="0036354A">
      <w:pPr>
        <w:pStyle w:val="SingleTxtG"/>
      </w:pPr>
      <w:r w:rsidRPr="00AA16D9">
        <w:rPr>
          <w:szCs w:val="24"/>
        </w:rPr>
        <w:t>115.</w:t>
      </w:r>
      <w:r w:rsidRPr="00AA16D9">
        <w:rPr>
          <w:szCs w:val="24"/>
        </w:rPr>
        <w:tab/>
      </w:r>
      <w:r w:rsidRPr="00AA16D9">
        <w:t>Le Bureau international du Travail: ce dernier propose une assistance technique et un renforcement des capacités.</w:t>
      </w:r>
    </w:p>
    <w:p w:rsidR="0036354A" w:rsidRPr="00AA16D9" w:rsidRDefault="0036354A" w:rsidP="0036354A">
      <w:pPr>
        <w:pStyle w:val="SingleTxtG"/>
      </w:pPr>
      <w:r w:rsidRPr="00AA16D9">
        <w:rPr>
          <w:szCs w:val="24"/>
        </w:rPr>
        <w:t>116.</w:t>
      </w:r>
      <w:r w:rsidRPr="00AA16D9">
        <w:rPr>
          <w:szCs w:val="24"/>
        </w:rPr>
        <w:tab/>
      </w:r>
      <w:r w:rsidRPr="00AA16D9">
        <w:t>La Banque mondiale: cette institution offre aussi une aide aux programmes d</w:t>
      </w:r>
      <w:r>
        <w:t>’</w:t>
      </w:r>
      <w:r w:rsidRPr="00AA16D9">
        <w:t>assistance technique destinés aux agents de la fonction publique.</w:t>
      </w:r>
    </w:p>
    <w:p w:rsidR="0036354A" w:rsidRPr="00AA16D9" w:rsidRDefault="0036354A" w:rsidP="0036354A">
      <w:pPr>
        <w:pStyle w:val="SingleTxtG"/>
      </w:pPr>
      <w:r w:rsidRPr="00AA16D9">
        <w:rPr>
          <w:szCs w:val="24"/>
        </w:rPr>
        <w:t>117.</w:t>
      </w:r>
      <w:r w:rsidRPr="00AA16D9">
        <w:rPr>
          <w:szCs w:val="24"/>
        </w:rPr>
        <w:tab/>
      </w:r>
      <w:r w:rsidRPr="00AA16D9">
        <w:t>L</w:t>
      </w:r>
      <w:r>
        <w:t>’</w:t>
      </w:r>
      <w:r w:rsidRPr="00AA16D9">
        <w:t xml:space="preserve">UNIFEM: quant à cette organisation, elle offre un appui dans le projet «Genre et Emploi». </w:t>
      </w:r>
    </w:p>
    <w:p w:rsidR="0036354A" w:rsidRPr="00AA16D9" w:rsidRDefault="0036354A" w:rsidP="0036354A">
      <w:pPr>
        <w:pStyle w:val="H23G"/>
      </w:pPr>
      <w:r w:rsidRPr="00AA16D9">
        <w:tab/>
        <w:t>3.</w:t>
      </w:r>
      <w:r w:rsidRPr="00AA16D9">
        <w:tab/>
        <w:t xml:space="preserve">Article 8: Du libre choix de former des syndicats, des fédérations et de leur libre exercice </w:t>
      </w:r>
    </w:p>
    <w:p w:rsidR="0036354A" w:rsidRPr="00AA16D9" w:rsidRDefault="0036354A" w:rsidP="0036354A">
      <w:pPr>
        <w:pStyle w:val="H23G"/>
      </w:pPr>
      <w:r w:rsidRPr="00AA16D9">
        <w:tab/>
      </w:r>
      <w:r w:rsidRPr="00AA16D9">
        <w:tab/>
        <w:t>Conditions de formation d</w:t>
      </w:r>
      <w:r>
        <w:t>’</w:t>
      </w:r>
      <w:r w:rsidRPr="00AA16D9">
        <w:t xml:space="preserve">un syndicat </w:t>
      </w:r>
    </w:p>
    <w:p w:rsidR="0036354A" w:rsidRPr="00AA16D9" w:rsidRDefault="0036354A" w:rsidP="0036354A">
      <w:pPr>
        <w:pStyle w:val="H4G"/>
      </w:pPr>
      <w:r w:rsidRPr="00AA16D9">
        <w:tab/>
      </w:r>
      <w:r w:rsidRPr="00AA16D9">
        <w:tab/>
        <w:t>Conditions de fond ou de forme à remplir pour la formation d</w:t>
      </w:r>
      <w:r>
        <w:t>’</w:t>
      </w:r>
      <w:r w:rsidRPr="00AA16D9">
        <w:t>un syndicat</w:t>
      </w:r>
    </w:p>
    <w:p w:rsidR="0036354A" w:rsidRPr="00AA16D9" w:rsidRDefault="0036354A" w:rsidP="0036354A">
      <w:pPr>
        <w:pStyle w:val="SingleTxtG"/>
      </w:pPr>
      <w:r w:rsidRPr="00AA16D9">
        <w:rPr>
          <w:szCs w:val="24"/>
        </w:rPr>
        <w:t>118</w:t>
      </w:r>
      <w:r w:rsidRPr="00AA16D9">
        <w:rPr>
          <w:sz w:val="24"/>
          <w:szCs w:val="24"/>
        </w:rPr>
        <w:t>.</w:t>
      </w:r>
      <w:r w:rsidRPr="00AA16D9">
        <w:rPr>
          <w:sz w:val="24"/>
          <w:szCs w:val="24"/>
        </w:rPr>
        <w:tab/>
      </w:r>
      <w:r w:rsidRPr="00AA16D9">
        <w:t>Il n</w:t>
      </w:r>
      <w:r>
        <w:t>’</w:t>
      </w:r>
      <w:r w:rsidRPr="00AA16D9">
        <w:t>y a pas d</w:t>
      </w:r>
      <w:r>
        <w:t>’</w:t>
      </w:r>
      <w:r w:rsidRPr="00AA16D9">
        <w:t>autorisation préalable à la formation d</w:t>
      </w:r>
      <w:r>
        <w:t>’</w:t>
      </w:r>
      <w:r w:rsidRPr="00AA16D9">
        <w:t>un syndicat, comme le prévoit la loi portant réglementation du travail. Les travailleurs ou employeurs peuvent librement former un syndicat. Ils peuvent aussi librement adhérer à un syndicat ou à une organisation d</w:t>
      </w:r>
      <w:r>
        <w:t>’</w:t>
      </w:r>
      <w:r w:rsidRPr="00AA16D9">
        <w:t>employeurs de leur choix (art. 101). Ainsi:</w:t>
      </w:r>
    </w:p>
    <w:p w:rsidR="0036354A" w:rsidRPr="00AA16D9" w:rsidRDefault="0036354A" w:rsidP="0036354A">
      <w:pPr>
        <w:pStyle w:val="SingleTxtG"/>
        <w:ind w:firstLine="567"/>
      </w:pPr>
      <w:r w:rsidRPr="00AA16D9">
        <w:t>a)</w:t>
      </w:r>
      <w:r w:rsidRPr="00AA16D9">
        <w:tab/>
        <w:t>La loi portant réglementation du travail prévoit qu</w:t>
      </w:r>
      <w:r>
        <w:t>’</w:t>
      </w:r>
      <w:r w:rsidRPr="00AA16D9">
        <w:t>un arrêté du ministre ayant le travail dans ses attributions déterminera les conditions d</w:t>
      </w:r>
      <w:r>
        <w:t>’</w:t>
      </w:r>
      <w:r w:rsidRPr="00AA16D9">
        <w:t>enregistrement des syndicats et des organisations patronales. Pareil arrêté est en processus d</w:t>
      </w:r>
      <w:r>
        <w:t>’</w:t>
      </w:r>
      <w:r w:rsidRPr="00AA16D9">
        <w:t>élaboration;</w:t>
      </w:r>
    </w:p>
    <w:p w:rsidR="0036354A" w:rsidRPr="00AA16D9" w:rsidRDefault="0036354A" w:rsidP="0036354A">
      <w:pPr>
        <w:pStyle w:val="SingleTxtG"/>
        <w:ind w:firstLine="567"/>
      </w:pPr>
      <w:r w:rsidRPr="00AA16D9">
        <w:t>b)</w:t>
      </w:r>
      <w:r w:rsidRPr="00AA16D9">
        <w:tab/>
        <w:t>La législation rwandaise ne contient aucune disposition juridique régissant spécialement la formation de syndicats par certaines catégories de travailleurs. La disposition générale à l</w:t>
      </w:r>
      <w:r>
        <w:t>’</w:t>
      </w:r>
      <w:r w:rsidRPr="00AA16D9">
        <w:t>article 101 de la loi s</w:t>
      </w:r>
      <w:r>
        <w:t>’</w:t>
      </w:r>
      <w:r w:rsidRPr="00AA16D9">
        <w:t xml:space="preserve">applique à toutes les catégories de travailleurs. </w:t>
      </w:r>
    </w:p>
    <w:p w:rsidR="0036354A" w:rsidRPr="00AA16D9" w:rsidRDefault="0036354A" w:rsidP="0036354A">
      <w:pPr>
        <w:pStyle w:val="H4G"/>
      </w:pPr>
      <w:r w:rsidRPr="00AA16D9">
        <w:tab/>
      </w:r>
      <w:r w:rsidRPr="00AA16D9">
        <w:tab/>
        <w:t>Y a-t-il des restrictions apportées à l</w:t>
      </w:r>
      <w:r>
        <w:t>’</w:t>
      </w:r>
      <w:r w:rsidRPr="00AA16D9">
        <w:t>exercice par les travailleurs du droit de former des syndicats et de s</w:t>
      </w:r>
      <w:r>
        <w:t>’</w:t>
      </w:r>
      <w:r w:rsidRPr="00AA16D9">
        <w:t>y affilier?</w:t>
      </w:r>
    </w:p>
    <w:p w:rsidR="0036354A" w:rsidRPr="00AA16D9" w:rsidRDefault="0036354A" w:rsidP="0036354A">
      <w:pPr>
        <w:pStyle w:val="SingleTxtG"/>
      </w:pPr>
      <w:r w:rsidRPr="00AA16D9">
        <w:rPr>
          <w:szCs w:val="24"/>
        </w:rPr>
        <w:t>119.</w:t>
      </w:r>
      <w:r w:rsidRPr="00AA16D9">
        <w:rPr>
          <w:szCs w:val="24"/>
        </w:rPr>
        <w:tab/>
      </w:r>
      <w:r w:rsidRPr="00AA16D9">
        <w:t>Il n</w:t>
      </w:r>
      <w:r>
        <w:t>’</w:t>
      </w:r>
      <w:r w:rsidRPr="00AA16D9">
        <w:t>y a aucune restriction à l</w:t>
      </w:r>
      <w:r>
        <w:t>’</w:t>
      </w:r>
      <w:r w:rsidRPr="00AA16D9">
        <w:t>exercice du droit syndical. Le droit de s</w:t>
      </w:r>
      <w:r>
        <w:t>’</w:t>
      </w:r>
      <w:r w:rsidRPr="00AA16D9">
        <w:t>affilier est reconnu tant par la Constitution (à l</w:t>
      </w:r>
      <w:r>
        <w:t>’</w:t>
      </w:r>
      <w:r w:rsidRPr="00AA16D9">
        <w:t>article 38) que par la loi portant réglementation du travail (art. 106). Cette dernière reconnaît à tous les travailleurs l</w:t>
      </w:r>
      <w:r>
        <w:t>’</w:t>
      </w:r>
      <w:r w:rsidRPr="00AA16D9">
        <w:t>exercice du droit syndical.</w:t>
      </w:r>
    </w:p>
    <w:p w:rsidR="0036354A" w:rsidRPr="00AA16D9" w:rsidRDefault="0036354A" w:rsidP="0036354A">
      <w:pPr>
        <w:pStyle w:val="H4G"/>
      </w:pPr>
      <w:r w:rsidRPr="00AA16D9">
        <w:tab/>
      </w:r>
      <w:r w:rsidRPr="00AA16D9">
        <w:tab/>
        <w:t>Le droit des syndicats de former des fédérations et de s</w:t>
      </w:r>
      <w:r>
        <w:t>’</w:t>
      </w:r>
      <w:r w:rsidRPr="00AA16D9">
        <w:t>affilier à des organisations syndicales internationales</w:t>
      </w:r>
    </w:p>
    <w:p w:rsidR="0036354A" w:rsidRPr="00AA16D9" w:rsidRDefault="0036354A" w:rsidP="0036354A">
      <w:pPr>
        <w:pStyle w:val="SingleTxtG"/>
      </w:pPr>
      <w:r w:rsidRPr="00AA16D9">
        <w:rPr>
          <w:szCs w:val="24"/>
        </w:rPr>
        <w:t>120.</w:t>
      </w:r>
      <w:r w:rsidRPr="00AA16D9">
        <w:rPr>
          <w:szCs w:val="24"/>
        </w:rPr>
        <w:tab/>
      </w:r>
      <w:r w:rsidRPr="00AA16D9">
        <w:t>La loi permet aussi aux syndicats de former des fédérations et de s</w:t>
      </w:r>
      <w:r>
        <w:t>’</w:t>
      </w:r>
      <w:r w:rsidRPr="00AA16D9">
        <w:t>affilier à des organisations syndicales internationales (art. 115, al. 4 &amp; 7 et art. 116, al. 2 &amp; 4). Il n</w:t>
      </w:r>
      <w:r>
        <w:t>’</w:t>
      </w:r>
      <w:r w:rsidRPr="00AA16D9">
        <w:t xml:space="preserve">y a aucune restriction, ni condition préalable à cet effet. </w:t>
      </w:r>
    </w:p>
    <w:p w:rsidR="0036354A" w:rsidRPr="00AA16D9" w:rsidRDefault="0036354A" w:rsidP="0036354A">
      <w:pPr>
        <w:pStyle w:val="H4G"/>
      </w:pPr>
      <w:r w:rsidRPr="00AA16D9">
        <w:tab/>
      </w:r>
      <w:r w:rsidRPr="00AA16D9">
        <w:tab/>
        <w:t>Que fait-on pour encourager la liberté des négociations collectives?</w:t>
      </w:r>
    </w:p>
    <w:p w:rsidR="0036354A" w:rsidRPr="00AA16D9" w:rsidRDefault="0036354A" w:rsidP="0036354A">
      <w:pPr>
        <w:pStyle w:val="SingleTxtG"/>
      </w:pPr>
      <w:r w:rsidRPr="00AA16D9">
        <w:t>121.</w:t>
      </w:r>
      <w:r w:rsidRPr="00AA16D9">
        <w:tab/>
        <w:t>La négociation collective est très encouragée. La volonté politique de l</w:t>
      </w:r>
      <w:r>
        <w:t>’</w:t>
      </w:r>
      <w:r w:rsidRPr="00AA16D9">
        <w:t>État rwandais est de privilégier le dialogue social et un cadre de concertation permanent entre les partenaires sociaux (organisations d</w:t>
      </w:r>
      <w:r>
        <w:t>’</w:t>
      </w:r>
      <w:r w:rsidRPr="00AA16D9">
        <w:t xml:space="preserve">employeurs et de travailleurs), les organisations de la société civile (femmes, jeunes, handicapés) et le Gouvernement, et ainsi prévenir les conflits sociaux potentiels. </w:t>
      </w:r>
    </w:p>
    <w:p w:rsidR="0036354A" w:rsidRPr="00AA16D9" w:rsidRDefault="0036354A" w:rsidP="0036354A">
      <w:pPr>
        <w:pStyle w:val="SingleTxtG"/>
      </w:pPr>
      <w:r w:rsidRPr="00AA16D9">
        <w:t>122.</w:t>
      </w:r>
      <w:r w:rsidRPr="00AA16D9">
        <w:tab/>
        <w:t>Citons par exemple le conflit collectif survenu en 2008 entre la compagnie sucrière, Kabuye Sugar, et ses employés (405 travailleurs). Le conflit portait sur le paiement des heures supplémentaires. Une résolution à l</w:t>
      </w:r>
      <w:r>
        <w:t>’</w:t>
      </w:r>
      <w:r w:rsidRPr="00AA16D9">
        <w:t>amiable est en cours et en bonne voie</w:t>
      </w:r>
      <w:r w:rsidRPr="00AA16D9">
        <w:rPr>
          <w:sz w:val="18"/>
          <w:szCs w:val="18"/>
          <w:vertAlign w:val="superscript"/>
        </w:rPr>
        <w:footnoteReference w:id="61"/>
      </w:r>
      <w:r w:rsidRPr="00AA16D9">
        <w:t>.</w:t>
      </w:r>
    </w:p>
    <w:p w:rsidR="0036354A" w:rsidRPr="00AA16D9" w:rsidRDefault="0036354A" w:rsidP="0036354A">
      <w:pPr>
        <w:pStyle w:val="H4G"/>
      </w:pPr>
      <w:r w:rsidRPr="00AA16D9">
        <w:tab/>
      </w:r>
      <w:r w:rsidRPr="00AA16D9">
        <w:tab/>
        <w:t xml:space="preserve">Le nombre et la structure des syndicats </w:t>
      </w:r>
    </w:p>
    <w:p w:rsidR="0036354A" w:rsidRPr="00AA16D9" w:rsidRDefault="0036354A" w:rsidP="0036354A">
      <w:pPr>
        <w:pStyle w:val="SingleTxtG"/>
        <w:keepNext/>
        <w:keepLines/>
      </w:pPr>
      <w:r w:rsidRPr="00AA16D9">
        <w:t>123.</w:t>
      </w:r>
      <w:r w:rsidRPr="00AA16D9">
        <w:tab/>
        <w:t>La majorité des syndicats de base sont affiliés à la CESTRAR. Cette dernière est membre de la PRODIAF (Promotion du Dialogue en Afrique Francophone). C</w:t>
      </w:r>
      <w:r>
        <w:t>’</w:t>
      </w:r>
      <w:r w:rsidRPr="00AA16D9">
        <w:t xml:space="preserve">est un programme qui a pour objectif le renforcement de la coopération et le dialogue tripartite entre employés, employeurs et Gouvernement. </w:t>
      </w:r>
    </w:p>
    <w:p w:rsidR="0036354A" w:rsidRPr="00AA16D9" w:rsidRDefault="0036354A" w:rsidP="0036354A">
      <w:pPr>
        <w:pStyle w:val="H4G"/>
      </w:pPr>
      <w:r w:rsidRPr="00AA16D9">
        <w:tab/>
      </w:r>
      <w:r w:rsidRPr="00AA16D9">
        <w:tab/>
        <w:t>La liberté des négociations collectives</w:t>
      </w:r>
    </w:p>
    <w:p w:rsidR="0036354A" w:rsidRPr="00AA16D9" w:rsidRDefault="0036354A" w:rsidP="0036354A">
      <w:pPr>
        <w:pStyle w:val="SingleTxtG"/>
      </w:pPr>
      <w:r w:rsidRPr="00AA16D9">
        <w:t>124.</w:t>
      </w:r>
      <w:r w:rsidRPr="00AA16D9">
        <w:tab/>
        <w:t>La loi protège aussi les conventions collectives (aux articles 119 à 136 du Code). C</w:t>
      </w:r>
      <w:r>
        <w:t>’</w:t>
      </w:r>
      <w:r w:rsidRPr="00AA16D9">
        <w:t>est à la demande d</w:t>
      </w:r>
      <w:r>
        <w:t>’</w:t>
      </w:r>
      <w:r w:rsidRPr="00AA16D9">
        <w:t>un syndicat ou d</w:t>
      </w:r>
      <w:r>
        <w:t>’</w:t>
      </w:r>
      <w:r w:rsidRPr="00AA16D9">
        <w:t>une organisation patronale qu</w:t>
      </w:r>
      <w:r>
        <w:t>’</w:t>
      </w:r>
      <w:r w:rsidRPr="00AA16D9">
        <w:t>une convention collective peut être négociée, et ce, au sein d</w:t>
      </w:r>
      <w:r>
        <w:t>’</w:t>
      </w:r>
      <w:r w:rsidRPr="00AA16D9">
        <w:t>une commission paritaire convoquée par le ministre ayant le travail dans ses attributions ou son délégué, ou encore par l</w:t>
      </w:r>
      <w:r>
        <w:t>’</w:t>
      </w:r>
      <w:r w:rsidRPr="00AA16D9">
        <w:t xml:space="preserve">inspecteur du travail (art. 121). </w:t>
      </w:r>
    </w:p>
    <w:p w:rsidR="0036354A" w:rsidRPr="00AA16D9" w:rsidRDefault="0036354A" w:rsidP="0036354A">
      <w:pPr>
        <w:pStyle w:val="H4G"/>
      </w:pPr>
      <w:r w:rsidRPr="00AA16D9">
        <w:tab/>
      </w:r>
      <w:r w:rsidRPr="00AA16D9">
        <w:tab/>
        <w:t>Nombre et structure des syndicats et des organisations patronales</w:t>
      </w:r>
    </w:p>
    <w:p w:rsidR="0036354A" w:rsidRPr="00AA16D9" w:rsidRDefault="0036354A" w:rsidP="0036354A">
      <w:pPr>
        <w:pStyle w:val="SingleTxtG"/>
      </w:pPr>
      <w:r w:rsidRPr="00AA16D9">
        <w:t>125.</w:t>
      </w:r>
      <w:r w:rsidRPr="00AA16D9">
        <w:tab/>
        <w:t>Les syndicats des travailleurs au Rwanda sont regroupés au sein de collectifs. Il y a 5 collectifs de syndicats de travailleurs</w:t>
      </w:r>
      <w:r w:rsidRPr="00AA16D9">
        <w:rPr>
          <w:sz w:val="18"/>
          <w:szCs w:val="18"/>
          <w:vertAlign w:val="superscript"/>
        </w:rPr>
        <w:footnoteReference w:id="62"/>
      </w:r>
      <w:r w:rsidRPr="00AA16D9">
        <w:t xml:space="preserve">: </w:t>
      </w:r>
    </w:p>
    <w:p w:rsidR="0036354A" w:rsidRPr="00AA16D9" w:rsidRDefault="0036354A" w:rsidP="0036354A">
      <w:pPr>
        <w:pStyle w:val="SingleTxtG"/>
        <w:ind w:firstLine="566"/>
      </w:pPr>
      <w:r w:rsidRPr="00AA16D9">
        <w:t>a)</w:t>
      </w:r>
      <w:r w:rsidRPr="00AA16D9">
        <w:tab/>
        <w:t>La CESTRAR (Centrale Syndicale des Travailleurs du Rwanda)</w:t>
      </w:r>
      <w:r w:rsidRPr="00AA16D9">
        <w:rPr>
          <w:sz w:val="18"/>
          <w:szCs w:val="18"/>
          <w:vertAlign w:val="superscript"/>
        </w:rPr>
        <w:footnoteReference w:id="63"/>
      </w:r>
      <w:r w:rsidRPr="00AA16D9">
        <w:t xml:space="preserve"> rassemble presque la totalité des travailleurs. Au moins 93 % des travailleurs syndiqués sont regroupés au sein de la CESTRAR. Elle compte 23 syndicats de base. L</w:t>
      </w:r>
      <w:r>
        <w:t>’</w:t>
      </w:r>
      <w:r w:rsidRPr="00AA16D9">
        <w:t>effectif des membres est estimé à 70 000;</w:t>
      </w:r>
    </w:p>
    <w:p w:rsidR="0036354A" w:rsidRPr="00AA16D9" w:rsidRDefault="0036354A" w:rsidP="0036354A">
      <w:pPr>
        <w:pStyle w:val="SingleTxtG"/>
        <w:ind w:firstLine="566"/>
      </w:pPr>
      <w:r w:rsidRPr="00AA16D9">
        <w:t>b)</w:t>
      </w:r>
      <w:r w:rsidRPr="00AA16D9">
        <w:tab/>
        <w:t>Cinq autres associations syndicales se partagent 7 % des travailleurs restants. Il s</w:t>
      </w:r>
      <w:r>
        <w:t>’</w:t>
      </w:r>
      <w:r w:rsidRPr="00AA16D9">
        <w:t xml:space="preserve">agit: </w:t>
      </w:r>
    </w:p>
    <w:p w:rsidR="0036354A" w:rsidRPr="00AA16D9" w:rsidRDefault="0036354A" w:rsidP="0036354A">
      <w:pPr>
        <w:pStyle w:val="SingleTxtG"/>
        <w:ind w:left="1700"/>
      </w:pPr>
      <w:r w:rsidRPr="00AA16D9">
        <w:t>i)</w:t>
      </w:r>
      <w:r w:rsidRPr="00AA16D9">
        <w:tab/>
        <w:t>Du COSYLI (Conseil national des Syndicats Libres) avec 14 syndicats de base, qui compte 12 336 membres;</w:t>
      </w:r>
    </w:p>
    <w:p w:rsidR="0036354A" w:rsidRPr="00AA16D9" w:rsidRDefault="0036354A" w:rsidP="0036354A">
      <w:pPr>
        <w:pStyle w:val="SingleTxtG"/>
        <w:ind w:left="1700"/>
      </w:pPr>
      <w:r w:rsidRPr="00AA16D9">
        <w:t>ii)</w:t>
      </w:r>
      <w:r w:rsidRPr="00AA16D9">
        <w:tab/>
        <w:t>Du COTRAF (Congrès du Travail et de la Fraternité) avec 8 syndicats de base et 7 520 membres;</w:t>
      </w:r>
    </w:p>
    <w:p w:rsidR="0036354A" w:rsidRPr="00AA16D9" w:rsidRDefault="0036354A" w:rsidP="0036354A">
      <w:pPr>
        <w:pStyle w:val="SingleTxtG"/>
        <w:ind w:left="1700"/>
      </w:pPr>
      <w:r w:rsidRPr="00AA16D9">
        <w:t>iii)</w:t>
      </w:r>
      <w:r w:rsidRPr="00AA16D9">
        <w:tab/>
        <w:t>Du CRISAT (Confédération Rwandaise Indépendante des Syndicats et Associations des Travailleurs) avec 13 syndicats de base. Les membres sont estimés à 3 654;</w:t>
      </w:r>
    </w:p>
    <w:p w:rsidR="0036354A" w:rsidRPr="00AA16D9" w:rsidRDefault="0036354A" w:rsidP="0036354A">
      <w:pPr>
        <w:pStyle w:val="SingleTxtG"/>
        <w:ind w:left="1700"/>
      </w:pPr>
      <w:r w:rsidRPr="00AA16D9">
        <w:t>iv)</w:t>
      </w:r>
      <w:r w:rsidRPr="00AA16D9">
        <w:tab/>
        <w:t>De l</w:t>
      </w:r>
      <w:r>
        <w:t>’</w:t>
      </w:r>
      <w:r w:rsidRPr="00AA16D9">
        <w:t>ASC (Association des Syndicats Chrétiens) − Umurimo avec 8 syndicats. Nombre d</w:t>
      </w:r>
      <w:r>
        <w:t>’</w:t>
      </w:r>
      <w:r w:rsidRPr="00AA16D9">
        <w:t>adhérents −</w:t>
      </w:r>
      <w:r>
        <w:t xml:space="preserve"> </w:t>
      </w:r>
      <w:r w:rsidRPr="00AA16D9">
        <w:t xml:space="preserve">5 311. </w:t>
      </w:r>
    </w:p>
    <w:p w:rsidR="0036354A" w:rsidRPr="00AA16D9" w:rsidRDefault="0036354A" w:rsidP="0036354A">
      <w:pPr>
        <w:pStyle w:val="SingleTxtG"/>
      </w:pPr>
      <w:r w:rsidRPr="00AA16D9">
        <w:t>126.</w:t>
      </w:r>
      <w:r w:rsidRPr="00AA16D9">
        <w:tab/>
        <w:t>La fédération d</w:t>
      </w:r>
      <w:r>
        <w:t>’</w:t>
      </w:r>
      <w:r w:rsidRPr="00AA16D9">
        <w:t>employeurs du secteur privé (Fédération du Secteur Privé), quant à elle, chapeaute 9 chambres professionnelles</w:t>
      </w:r>
      <w:r w:rsidRPr="00AA16D9">
        <w:rPr>
          <w:sz w:val="18"/>
          <w:szCs w:val="18"/>
          <w:vertAlign w:val="superscript"/>
        </w:rPr>
        <w:footnoteReference w:id="64"/>
      </w:r>
      <w:r w:rsidRPr="00AA16D9">
        <w:t>. Le nombre d</w:t>
      </w:r>
      <w:r>
        <w:t>’</w:t>
      </w:r>
      <w:r w:rsidRPr="00AA16D9">
        <w:t>associations adhérentes à la Fédération du Secteur Privé est de 54, alors que les membres sont estimés à 11 000 personnes.</w:t>
      </w:r>
    </w:p>
    <w:p w:rsidR="0036354A" w:rsidRPr="00AA16D9" w:rsidRDefault="0036354A" w:rsidP="0036354A">
      <w:pPr>
        <w:pStyle w:val="H4G"/>
      </w:pPr>
      <w:r w:rsidRPr="00AA16D9">
        <w:tab/>
      </w:r>
      <w:r w:rsidRPr="00AA16D9">
        <w:tab/>
        <w:t>Le droit de grève</w:t>
      </w:r>
    </w:p>
    <w:p w:rsidR="0036354A" w:rsidRPr="00AA16D9" w:rsidRDefault="0036354A" w:rsidP="0036354A">
      <w:pPr>
        <w:pStyle w:val="SingleTxtG"/>
        <w:keepNext/>
      </w:pPr>
      <w:r w:rsidRPr="00AA16D9">
        <w:t>127.</w:t>
      </w:r>
      <w:r w:rsidRPr="00AA16D9">
        <w:tab/>
        <w:t>Ce droit est garanti par la Constitution à l</w:t>
      </w:r>
      <w:r>
        <w:t>’</w:t>
      </w:r>
      <w:r w:rsidRPr="00AA16D9">
        <w:t xml:space="preserve">article 39. </w:t>
      </w:r>
    </w:p>
    <w:p w:rsidR="0036354A" w:rsidRPr="00AA16D9" w:rsidRDefault="0036354A" w:rsidP="0036354A">
      <w:pPr>
        <w:pStyle w:val="SingleTxtG"/>
        <w:keepNext/>
      </w:pPr>
      <w:r w:rsidRPr="00AA16D9">
        <w:t>128.</w:t>
      </w:r>
      <w:r w:rsidRPr="00AA16D9">
        <w:tab/>
        <w:t>La loi portant réglementation du travail donne les procédures à suivre avant de conclure au déclenchement d</w:t>
      </w:r>
      <w:r>
        <w:t>’</w:t>
      </w:r>
      <w:r w:rsidRPr="00AA16D9">
        <w:t>une grève légale (voir dans la bibliographie en annexe l</w:t>
      </w:r>
      <w:r>
        <w:t>’</w:t>
      </w:r>
      <w:r w:rsidRPr="00AA16D9">
        <w:t xml:space="preserve">article 189 et suiv.). </w:t>
      </w:r>
    </w:p>
    <w:p w:rsidR="0036354A" w:rsidRPr="00AA16D9" w:rsidRDefault="0036354A" w:rsidP="0036354A">
      <w:pPr>
        <w:pStyle w:val="SingleTxtG"/>
      </w:pPr>
      <w:r w:rsidRPr="00AA16D9">
        <w:t>129.</w:t>
      </w:r>
      <w:r w:rsidRPr="00AA16D9">
        <w:tab/>
        <w:t>L</w:t>
      </w:r>
      <w:r>
        <w:t>’</w:t>
      </w:r>
      <w:r w:rsidRPr="00AA16D9">
        <w:t>exercice du droit de grève est restreint dans les cas prévus par l</w:t>
      </w:r>
      <w:r>
        <w:t>’</w:t>
      </w:r>
      <w:r w:rsidRPr="00AA16D9">
        <w:t>article 191 du Code du Travail pour les travailleurs occupant un emploi indispensable au maintien de la sécurité des personnes et des biens, de même que pour le travailleur occupant un emploi dont l</w:t>
      </w:r>
      <w:r>
        <w:t>’</w:t>
      </w:r>
      <w:r w:rsidRPr="00AA16D9">
        <w:t>arrêt compromettrait la sécurité et les vies humaines. Mentionnons que l</w:t>
      </w:r>
      <w:r>
        <w:t>’</w:t>
      </w:r>
      <w:r w:rsidRPr="00AA16D9">
        <w:t>arrêté ministériel spécifiant la liste des services essentiels (le cas serait par exemple les médecins, les services des pompiers et autres) est en cours de rédaction. Il nous est donc impossible à ce stade de préciser le nombre de personnes visées par cette restriction faute d</w:t>
      </w:r>
      <w:r>
        <w:t>’</w:t>
      </w:r>
      <w:r w:rsidRPr="00AA16D9">
        <w:t xml:space="preserve">avoir la liste des services essentiels. </w:t>
      </w:r>
    </w:p>
    <w:p w:rsidR="0036354A" w:rsidRPr="00AA16D9" w:rsidRDefault="0036354A" w:rsidP="0036354A">
      <w:pPr>
        <w:pStyle w:val="H4G"/>
      </w:pPr>
      <w:r w:rsidRPr="00AA16D9">
        <w:tab/>
      </w:r>
      <w:r w:rsidRPr="00AA16D9">
        <w:tab/>
        <w:t>L</w:t>
      </w:r>
      <w:r>
        <w:t>’</w:t>
      </w:r>
      <w:r w:rsidRPr="00AA16D9">
        <w:t xml:space="preserve">exercice des droits (former un syndicat et le droit de grève) par les agents des forces armées, de la police et de la fonction publique </w:t>
      </w:r>
    </w:p>
    <w:p w:rsidR="0036354A" w:rsidRPr="00AA16D9" w:rsidRDefault="0036354A" w:rsidP="0036354A">
      <w:pPr>
        <w:pStyle w:val="SingleTxtG"/>
        <w:rPr>
          <w:bCs/>
        </w:rPr>
      </w:pPr>
      <w:r w:rsidRPr="00AA16D9">
        <w:rPr>
          <w:bCs/>
        </w:rPr>
        <w:t>130.</w:t>
      </w:r>
      <w:r w:rsidRPr="00AA16D9">
        <w:rPr>
          <w:bCs/>
        </w:rPr>
        <w:tab/>
      </w:r>
      <w:r w:rsidRPr="00AA16D9">
        <w:t>Les agents des forces armées</w:t>
      </w:r>
      <w:r w:rsidRPr="00AA16D9">
        <w:rPr>
          <w:sz w:val="18"/>
          <w:szCs w:val="18"/>
          <w:vertAlign w:val="superscript"/>
        </w:rPr>
        <w:footnoteReference w:id="65"/>
      </w:r>
      <w:r w:rsidRPr="00AA16D9">
        <w:t xml:space="preserve"> et les agents de la police nationale</w:t>
      </w:r>
      <w:r w:rsidRPr="00AA16D9">
        <w:rPr>
          <w:sz w:val="18"/>
          <w:szCs w:val="18"/>
          <w:vertAlign w:val="superscript"/>
        </w:rPr>
        <w:footnoteReference w:id="66"/>
      </w:r>
      <w:r w:rsidRPr="00AA16D9">
        <w:t xml:space="preserve"> ne peuvent pas participer à des mouvements de grève.</w:t>
      </w:r>
      <w:r w:rsidRPr="00AA16D9">
        <w:rPr>
          <w:bCs/>
        </w:rPr>
        <w:t xml:space="preserve"> </w:t>
      </w:r>
    </w:p>
    <w:p w:rsidR="0036354A" w:rsidRPr="00AA16D9" w:rsidRDefault="0036354A" w:rsidP="0036354A">
      <w:pPr>
        <w:pStyle w:val="SingleTxtG"/>
      </w:pPr>
      <w:r w:rsidRPr="00AA16D9">
        <w:t>131.</w:t>
      </w:r>
      <w:r w:rsidRPr="00AA16D9">
        <w:tab/>
        <w:t>Quant au droit de former des syndicats, le principe constitutionnel le permet aux catégories ci-haut mentionnées (art. 38 de la Constitution).</w:t>
      </w:r>
    </w:p>
    <w:p w:rsidR="0036354A" w:rsidRPr="00AA16D9" w:rsidRDefault="0036354A" w:rsidP="0036354A">
      <w:pPr>
        <w:pStyle w:val="SingleTxtG"/>
      </w:pPr>
      <w:r w:rsidRPr="00AA16D9">
        <w:t>132.</w:t>
      </w:r>
      <w:r w:rsidRPr="00AA16D9">
        <w:tab/>
        <w:t>L</w:t>
      </w:r>
      <w:r>
        <w:t>’</w:t>
      </w:r>
      <w:r w:rsidRPr="00AA16D9">
        <w:t xml:space="preserve">arrêté ministériel </w:t>
      </w:r>
      <w:r w:rsidRPr="00AA16D9">
        <w:rPr>
          <w:rFonts w:eastAsia="MS Mincho"/>
        </w:rPr>
        <w:t>n</w:t>
      </w:r>
      <w:r w:rsidRPr="00AA16D9">
        <w:rPr>
          <w:rFonts w:eastAsia="MS Mincho"/>
          <w:vertAlign w:val="superscript"/>
        </w:rPr>
        <w:t>o</w:t>
      </w:r>
      <w:r w:rsidRPr="00AA16D9">
        <w:t xml:space="preserve"> 004/05 du 22/12/2005 instituant le règlement, les sanctions et la procédure disciplinaire au sein de la police nationale prévoit que le policier peut adhérer à des mouvements ou à des associations formés dans le but de promouvoir le développement national. </w:t>
      </w:r>
    </w:p>
    <w:p w:rsidR="0036354A" w:rsidRPr="00AA16D9" w:rsidRDefault="0036354A" w:rsidP="0036354A">
      <w:pPr>
        <w:pStyle w:val="SingleTxtG"/>
      </w:pPr>
      <w:r w:rsidRPr="00AA16D9">
        <w:t>133.</w:t>
      </w:r>
      <w:r w:rsidRPr="00AA16D9">
        <w:tab/>
        <w:t xml:space="preserve">Quant aux </w:t>
      </w:r>
      <w:r w:rsidRPr="00AA16D9">
        <w:rPr>
          <w:rStyle w:val="SingleTxtGCar"/>
        </w:rPr>
        <w:t>a</w:t>
      </w:r>
      <w:r w:rsidRPr="00AA16D9">
        <w:t xml:space="preserve">gents de la fonction publique, ils sont aussi régis par le principe constitutionnel pour ce qui est de leur droit de grève et de leur droit de former des syndicats. </w:t>
      </w:r>
    </w:p>
    <w:p w:rsidR="0036354A" w:rsidRPr="00AA16D9" w:rsidRDefault="0036354A" w:rsidP="0036354A">
      <w:pPr>
        <w:pStyle w:val="H4G"/>
      </w:pPr>
      <w:r w:rsidRPr="00AA16D9">
        <w:tab/>
      </w:r>
      <w:r w:rsidRPr="00AA16D9">
        <w:tab/>
        <w:t>Modifications enregistrées depuis le dernier rapport</w:t>
      </w:r>
    </w:p>
    <w:p w:rsidR="0036354A" w:rsidRPr="00AA16D9" w:rsidRDefault="0036354A" w:rsidP="0036354A">
      <w:pPr>
        <w:pStyle w:val="SingleTxtG"/>
      </w:pPr>
      <w:r w:rsidRPr="00AA16D9">
        <w:t>134.</w:t>
      </w:r>
      <w:r w:rsidRPr="00AA16D9">
        <w:tab/>
        <w:t>Diverses modifications ont été enregistrées, comme dans le cas des articles précédents:</w:t>
      </w:r>
    </w:p>
    <w:p w:rsidR="0036354A" w:rsidRPr="00AA16D9" w:rsidRDefault="0036354A" w:rsidP="0036354A">
      <w:pPr>
        <w:pStyle w:val="SingleTxtG"/>
        <w:ind w:firstLine="567"/>
      </w:pPr>
      <w:r w:rsidRPr="00AA16D9">
        <w:t>a)</w:t>
      </w:r>
      <w:r w:rsidRPr="00AA16D9">
        <w:tab/>
        <w:t>La Constitution a enchâssé le droit de s</w:t>
      </w:r>
      <w:r>
        <w:t>’</w:t>
      </w:r>
      <w:r w:rsidRPr="00AA16D9">
        <w:t>affilier à un syndicat et le droit de grève comme droits fondamentaux, à l</w:t>
      </w:r>
      <w:r>
        <w:t>’</w:t>
      </w:r>
      <w:r w:rsidRPr="00AA16D9">
        <w:t>instar de la loi portant statut général de la fonction publique et des divers arrêtés ministériels</w:t>
      </w:r>
      <w:r w:rsidRPr="00AA16D9">
        <w:rPr>
          <w:sz w:val="18"/>
          <w:szCs w:val="18"/>
          <w:vertAlign w:val="superscript"/>
        </w:rPr>
        <w:footnoteReference w:id="67"/>
      </w:r>
      <w:r w:rsidRPr="00AA16D9">
        <w:t>;</w:t>
      </w:r>
    </w:p>
    <w:p w:rsidR="0036354A" w:rsidRPr="00AA16D9" w:rsidRDefault="0036354A" w:rsidP="0036354A">
      <w:pPr>
        <w:pStyle w:val="SingleTxtG"/>
        <w:ind w:firstLine="567"/>
      </w:pPr>
      <w:r w:rsidRPr="00AA16D9">
        <w:t>b)</w:t>
      </w:r>
      <w:r w:rsidRPr="00AA16D9">
        <w:tab/>
        <w:t>Des conventions internationales</w:t>
      </w:r>
      <w:r w:rsidRPr="00AA16D9">
        <w:rPr>
          <w:sz w:val="18"/>
          <w:szCs w:val="18"/>
          <w:vertAlign w:val="superscript"/>
        </w:rPr>
        <w:footnoteReference w:id="68"/>
      </w:r>
      <w:r w:rsidRPr="00AA16D9">
        <w:t xml:space="preserve"> ont été ratifiées en rapport avec les droits prévus à l</w:t>
      </w:r>
      <w:r>
        <w:t>’</w:t>
      </w:r>
      <w:r w:rsidRPr="00AA16D9">
        <w:t>article 8;</w:t>
      </w:r>
    </w:p>
    <w:p w:rsidR="0036354A" w:rsidRPr="00AA16D9" w:rsidRDefault="0036354A" w:rsidP="0036354A">
      <w:pPr>
        <w:pStyle w:val="SingleTxtG"/>
        <w:ind w:firstLine="567"/>
      </w:pPr>
      <w:r w:rsidRPr="00AA16D9">
        <w:t>c)</w:t>
      </w:r>
      <w:r w:rsidRPr="00AA16D9">
        <w:tab/>
        <w:t>La loi portant réglementation du travail reconnaît la liberté d</w:t>
      </w:r>
      <w:r>
        <w:t>’</w:t>
      </w:r>
      <w:r w:rsidRPr="00AA16D9">
        <w:t>association pour les travailleurs et les employeurs; l</w:t>
      </w:r>
      <w:r>
        <w:t>’</w:t>
      </w:r>
      <w:r w:rsidRPr="00AA16D9">
        <w:t>intervention du syndicat dans le dialogue à l</w:t>
      </w:r>
      <w:r>
        <w:t>’</w:t>
      </w:r>
      <w:r w:rsidRPr="00AA16D9">
        <w:t>intérieur des entreprises est reconnue; la loi portant réglementation du travail institue aussi les délégués du personnel et l</w:t>
      </w:r>
      <w:r>
        <w:t>’</w:t>
      </w:r>
      <w:r w:rsidRPr="00AA16D9">
        <w:t>inspecteur du travail. L</w:t>
      </w:r>
      <w:r>
        <w:t>’</w:t>
      </w:r>
      <w:r w:rsidRPr="00AA16D9">
        <w:t>inspecteur du travail intervient dès que notifié dans la conciliation des différends collectifs. Des comités d</w:t>
      </w:r>
      <w:r>
        <w:t>’</w:t>
      </w:r>
      <w:r w:rsidRPr="00AA16D9">
        <w:t>arbitrage ont été établis par le Conseil National du Travail pour une bonne gestion des conflits collectifs. Les droits et obligations des organisations syndicales des travailleurs et des organisations patronales ont été définis;</w:t>
      </w:r>
    </w:p>
    <w:p w:rsidR="0036354A" w:rsidRPr="00AA16D9" w:rsidRDefault="0036354A" w:rsidP="0036354A">
      <w:pPr>
        <w:pStyle w:val="SingleTxtG"/>
        <w:ind w:firstLine="567"/>
      </w:pPr>
      <w:r w:rsidRPr="00AA16D9">
        <w:t>d)</w:t>
      </w:r>
      <w:r w:rsidRPr="00AA16D9">
        <w:tab/>
        <w:t>La création du Conseil National du Travail, comme organe consultatif</w:t>
      </w:r>
      <w:r w:rsidRPr="00AA16D9">
        <w:rPr>
          <w:sz w:val="18"/>
          <w:szCs w:val="18"/>
          <w:vertAlign w:val="superscript"/>
        </w:rPr>
        <w:footnoteReference w:id="69"/>
      </w:r>
      <w:r w:rsidRPr="00AA16D9">
        <w:t xml:space="preserve">; </w:t>
      </w:r>
    </w:p>
    <w:p w:rsidR="0036354A" w:rsidRPr="00AA16D9" w:rsidRDefault="0036354A" w:rsidP="0036354A">
      <w:pPr>
        <w:pStyle w:val="SingleTxtG"/>
        <w:ind w:firstLine="567"/>
      </w:pPr>
      <w:r w:rsidRPr="00AA16D9">
        <w:t>e)</w:t>
      </w:r>
      <w:r w:rsidRPr="00AA16D9">
        <w:tab/>
        <w:t>La création de la Commission de la Fonction Publique;</w:t>
      </w:r>
    </w:p>
    <w:p w:rsidR="0036354A" w:rsidRPr="00AA16D9" w:rsidRDefault="0036354A" w:rsidP="0036354A">
      <w:pPr>
        <w:pStyle w:val="SingleTxtG"/>
        <w:ind w:firstLine="567"/>
      </w:pPr>
      <w:r w:rsidRPr="00AA16D9">
        <w:t>f)</w:t>
      </w:r>
      <w:r w:rsidRPr="00AA16D9">
        <w:tab/>
        <w:t>Des élections sociales ont été organisées par les associations syndicales du pays en 2007: ce fut une première dans l</w:t>
      </w:r>
      <w:r>
        <w:t>’</w:t>
      </w:r>
      <w:r w:rsidRPr="00AA16D9">
        <w:t xml:space="preserve">histoire des syndicats au Rwanda. </w:t>
      </w:r>
    </w:p>
    <w:p w:rsidR="0036354A" w:rsidRPr="00AA16D9" w:rsidRDefault="0036354A" w:rsidP="0036354A">
      <w:pPr>
        <w:pStyle w:val="H23G"/>
      </w:pPr>
      <w:r w:rsidRPr="00AA16D9">
        <w:tab/>
        <w:t>4.</w:t>
      </w:r>
      <w:r w:rsidRPr="00AA16D9">
        <w:tab/>
        <w:t>Article 9: Le droit à la sécurité sociale</w:t>
      </w:r>
    </w:p>
    <w:p w:rsidR="0036354A" w:rsidRPr="00AA16D9" w:rsidRDefault="0036354A" w:rsidP="0036354A">
      <w:pPr>
        <w:pStyle w:val="SingleTxtG"/>
      </w:pPr>
      <w:r w:rsidRPr="00AA16D9">
        <w:t>135.</w:t>
      </w:r>
      <w:r w:rsidRPr="00AA16D9">
        <w:tab/>
        <w:t>Les branches de la sécurité sociale telles que définies par la loi qui régit la sécurité sociale</w:t>
      </w:r>
      <w:r w:rsidRPr="00AA16D9">
        <w:rPr>
          <w:sz w:val="18"/>
          <w:szCs w:val="18"/>
          <w:vertAlign w:val="superscript"/>
        </w:rPr>
        <w:footnoteReference w:id="70"/>
      </w:r>
      <w:r w:rsidRPr="00AA16D9">
        <w:t xml:space="preserve"> au Rwanda sont: les prestations de vieillesse, les prestations d</w:t>
      </w:r>
      <w:r>
        <w:t>’</w:t>
      </w:r>
      <w:r w:rsidRPr="00AA16D9">
        <w:t xml:space="preserve">invalidité, les prestations aux survivants, les prestations pour accidents de travail et maladies professionnelles. </w:t>
      </w:r>
    </w:p>
    <w:p w:rsidR="0036354A" w:rsidRPr="00AA16D9" w:rsidRDefault="0036354A" w:rsidP="0036354A">
      <w:pPr>
        <w:pStyle w:val="H4G"/>
      </w:pPr>
      <w:r w:rsidRPr="00AA16D9">
        <w:tab/>
      </w:r>
      <w:r w:rsidRPr="00AA16D9">
        <w:tab/>
        <w:t>Les caractéristiques du régime de sécurité sociale</w:t>
      </w:r>
    </w:p>
    <w:p w:rsidR="0036354A" w:rsidRPr="00AA16D9" w:rsidRDefault="0036354A" w:rsidP="0036354A">
      <w:pPr>
        <w:pStyle w:val="SingleTxtG"/>
      </w:pPr>
      <w:r w:rsidRPr="00AA16D9">
        <w:t>136.</w:t>
      </w:r>
      <w:r w:rsidRPr="00AA16D9">
        <w:tab/>
        <w:t>Pour chacune de ces branches, le régime en place est celui de la répartition, régime dans lequel le bénéficiaire reçoit sa prestation selon le niveau de son salaire et peut même recevoir sa prestation, par exemple d</w:t>
      </w:r>
      <w:r>
        <w:t>’</w:t>
      </w:r>
      <w:r w:rsidRPr="00AA16D9">
        <w:t>accident ou de maladie professionnelle, quand bien même il n</w:t>
      </w:r>
      <w:r>
        <w:t>’</w:t>
      </w:r>
      <w:r w:rsidRPr="00AA16D9">
        <w:t xml:space="preserve">aurait pas encore contribué au régime de la sécurité sociale. </w:t>
      </w:r>
    </w:p>
    <w:p w:rsidR="0036354A" w:rsidRPr="00AA16D9" w:rsidRDefault="0036354A" w:rsidP="0036354A">
      <w:pPr>
        <w:pStyle w:val="SingleTxtG"/>
      </w:pPr>
      <w:r w:rsidRPr="00AA16D9">
        <w:t>137.</w:t>
      </w:r>
      <w:r w:rsidRPr="00AA16D9">
        <w:tab/>
      </w:r>
      <w:r w:rsidRPr="00AA16D9">
        <w:rPr>
          <w:b/>
        </w:rPr>
        <w:t>Les prestations de vieillesse</w:t>
      </w:r>
      <w:r w:rsidRPr="00AA16D9">
        <w:t>: La loi prévoit les différentes méthodes de calcul de la pension de vieillesse ou d</w:t>
      </w:r>
      <w:r>
        <w:t>’</w:t>
      </w:r>
      <w:r w:rsidRPr="00AA16D9">
        <w:t>invalidité de la pension anticipée et de l</w:t>
      </w:r>
      <w:r>
        <w:t>’</w:t>
      </w:r>
      <w:r w:rsidRPr="00AA16D9">
        <w:t>allocation de vieillesse (voir bibliographie en annexe). La couverture de la pension de vieillesse s</w:t>
      </w:r>
      <w:r>
        <w:t>’</w:t>
      </w:r>
      <w:r w:rsidRPr="00AA16D9">
        <w:t>étend encore seulement aux travailleurs du secteur formel (représentant approximativement 7 % de la population active), mais seuls 5,6 % de ceux-ci sont couverts (soit 2,3 % de la population)</w:t>
      </w:r>
      <w:r w:rsidRPr="00AA16D9">
        <w:rPr>
          <w:sz w:val="18"/>
          <w:szCs w:val="18"/>
          <w:vertAlign w:val="superscript"/>
        </w:rPr>
        <w:footnoteReference w:id="71"/>
      </w:r>
      <w:r w:rsidRPr="00AA16D9">
        <w:t>.</w:t>
      </w:r>
    </w:p>
    <w:p w:rsidR="0036354A" w:rsidRPr="00AA16D9" w:rsidRDefault="0036354A" w:rsidP="0036354A">
      <w:pPr>
        <w:pStyle w:val="SingleTxtG"/>
      </w:pPr>
      <w:r w:rsidRPr="00AA16D9">
        <w:t>138.</w:t>
      </w:r>
      <w:r w:rsidRPr="00AA16D9">
        <w:tab/>
      </w:r>
      <w:r w:rsidRPr="00AA16D9">
        <w:rPr>
          <w:b/>
        </w:rPr>
        <w:t>Les prestations d</w:t>
      </w:r>
      <w:r>
        <w:rPr>
          <w:b/>
        </w:rPr>
        <w:t>’</w:t>
      </w:r>
      <w:r w:rsidRPr="00AA16D9">
        <w:rPr>
          <w:b/>
        </w:rPr>
        <w:t>invalidité</w:t>
      </w:r>
      <w:r w:rsidRPr="00AA16D9">
        <w:t>: Les modalités de calcul de l</w:t>
      </w:r>
      <w:r>
        <w:t>’</w:t>
      </w:r>
      <w:r w:rsidRPr="00AA16D9">
        <w:t>incapacité temporaire ou permanente sont prévues aux articles 23 et 25 de la loi.</w:t>
      </w:r>
    </w:p>
    <w:p w:rsidR="0036354A" w:rsidRPr="00AA16D9" w:rsidRDefault="0036354A" w:rsidP="0036354A">
      <w:pPr>
        <w:pStyle w:val="SingleTxtG"/>
        <w:rPr>
          <w:b/>
        </w:rPr>
      </w:pPr>
      <w:r w:rsidRPr="00AA16D9">
        <w:t>139.</w:t>
      </w:r>
      <w:r w:rsidRPr="00AA16D9">
        <w:tab/>
      </w:r>
      <w:r w:rsidRPr="00AA16D9">
        <w:rPr>
          <w:b/>
        </w:rPr>
        <w:t>Les prestations aux survivants</w:t>
      </w:r>
      <w:r w:rsidRPr="00AA16D9">
        <w:t xml:space="preserve">: Les rentes de survivants ainsi que les survivants potentiels sont déterminés par la loi (art. 28 et 33). </w:t>
      </w:r>
    </w:p>
    <w:p w:rsidR="0036354A" w:rsidRPr="00AA16D9" w:rsidRDefault="0036354A" w:rsidP="0036354A">
      <w:pPr>
        <w:pStyle w:val="SingleTxtG"/>
      </w:pPr>
      <w:r w:rsidRPr="00AA16D9">
        <w:t>140.</w:t>
      </w:r>
      <w:r w:rsidRPr="00AA16D9">
        <w:tab/>
      </w:r>
      <w:r w:rsidRPr="00AA16D9">
        <w:rPr>
          <w:b/>
        </w:rPr>
        <w:t>Les prestations pour accidents du travail:</w:t>
      </w:r>
      <w:r w:rsidRPr="00AA16D9">
        <w:t xml:space="preserve"> Est considéré comme accident du travail, quelle qu</w:t>
      </w:r>
      <w:r>
        <w:t>’</w:t>
      </w:r>
      <w:r w:rsidRPr="00AA16D9">
        <w:t>en soit la cause, l</w:t>
      </w:r>
      <w:r>
        <w:t>’</w:t>
      </w:r>
      <w:r w:rsidRPr="00AA16D9">
        <w:t>accident subi par un travailleur par le fait et/ou à l</w:t>
      </w:r>
      <w:r>
        <w:t>’</w:t>
      </w:r>
      <w:r w:rsidRPr="00AA16D9">
        <w:t>occasion du travail.</w:t>
      </w:r>
    </w:p>
    <w:p w:rsidR="0036354A" w:rsidRPr="00AA16D9" w:rsidRDefault="0036354A" w:rsidP="0036354A">
      <w:pPr>
        <w:pStyle w:val="H4G"/>
      </w:pPr>
      <w:r w:rsidRPr="00AA16D9">
        <w:tab/>
      </w:r>
      <w:r w:rsidRPr="00AA16D9">
        <w:tab/>
        <w:t>Les diverses prestations et le mode de financement de la Caisse sociale</w:t>
      </w:r>
    </w:p>
    <w:p w:rsidR="0036354A" w:rsidRPr="00AA16D9" w:rsidRDefault="0036354A" w:rsidP="0036354A">
      <w:pPr>
        <w:pStyle w:val="SingleTxtG"/>
      </w:pPr>
      <w:r w:rsidRPr="00AA16D9">
        <w:t>141.</w:t>
      </w:r>
      <w:r w:rsidRPr="00AA16D9">
        <w:tab/>
        <w:t xml:space="preserve">Diverses prestations sont servies par la Caisse Sociale du Rwanda (aux articles 20, 21 et 22 de la même loi). </w:t>
      </w:r>
    </w:p>
    <w:p w:rsidR="0036354A" w:rsidRPr="00AA16D9" w:rsidRDefault="0036354A" w:rsidP="0036354A">
      <w:pPr>
        <w:pStyle w:val="SingleTxtG"/>
      </w:pPr>
      <w:r w:rsidRPr="00AA16D9">
        <w:t>142.</w:t>
      </w:r>
      <w:r w:rsidRPr="00AA16D9">
        <w:tab/>
        <w:t>Le financement de la caisse sociale est aussi prévu dans la loi et provient de diverses sources</w:t>
      </w:r>
      <w:r w:rsidRPr="00AA16D9">
        <w:rPr>
          <w:sz w:val="18"/>
          <w:szCs w:val="18"/>
          <w:vertAlign w:val="superscript"/>
        </w:rPr>
        <w:footnoteReference w:id="72"/>
      </w:r>
      <w:r w:rsidRPr="00AA16D9">
        <w:t>.</w:t>
      </w:r>
    </w:p>
    <w:p w:rsidR="0036354A" w:rsidRPr="00AA16D9" w:rsidRDefault="0036354A" w:rsidP="0036354A">
      <w:pPr>
        <w:pStyle w:val="H4G"/>
      </w:pPr>
      <w:r w:rsidRPr="00AA16D9">
        <w:tab/>
      </w:r>
      <w:r w:rsidRPr="00AA16D9">
        <w:tab/>
        <w:t>Autres régimes d</w:t>
      </w:r>
      <w:r>
        <w:t>’</w:t>
      </w:r>
      <w:r w:rsidRPr="00AA16D9">
        <w:t>assurance-maladie disponibles</w:t>
      </w:r>
    </w:p>
    <w:p w:rsidR="0036354A" w:rsidRPr="00AA16D9" w:rsidRDefault="0036354A" w:rsidP="0036354A">
      <w:pPr>
        <w:pStyle w:val="SingleTxtG"/>
        <w:ind w:firstLine="567"/>
      </w:pPr>
      <w:r w:rsidRPr="00AA16D9">
        <w:t>Notons que 91 % de la population est couverte par une assurance-maladie (85 % sont couverts par les mutuelles de santé, 6 % par les autres régimes RAMA, MMI et les assurances privées)</w:t>
      </w:r>
      <w:r w:rsidRPr="00AA16D9">
        <w:rPr>
          <w:sz w:val="18"/>
          <w:szCs w:val="18"/>
          <w:vertAlign w:val="superscript"/>
        </w:rPr>
        <w:footnoteReference w:id="73"/>
      </w:r>
      <w:r w:rsidRPr="00AA16D9">
        <w:t xml:space="preserve">. Les régimes disponibles sont décrits ci-après. </w:t>
      </w:r>
    </w:p>
    <w:p w:rsidR="0036354A" w:rsidRPr="00AA16D9" w:rsidRDefault="0036354A" w:rsidP="0036354A">
      <w:pPr>
        <w:pStyle w:val="SingleTxtG"/>
      </w:pPr>
      <w:r w:rsidRPr="00AA16D9">
        <w:t>143.</w:t>
      </w:r>
      <w:r w:rsidRPr="00AA16D9">
        <w:tab/>
      </w:r>
      <w:r w:rsidRPr="00AA16D9">
        <w:rPr>
          <w:b/>
        </w:rPr>
        <w:t>La Rwandaise d</w:t>
      </w:r>
      <w:r>
        <w:rPr>
          <w:b/>
        </w:rPr>
        <w:t>’</w:t>
      </w:r>
      <w:r w:rsidRPr="00AA16D9">
        <w:rPr>
          <w:b/>
        </w:rPr>
        <w:t>Assurance Maladies</w:t>
      </w:r>
      <w:r w:rsidRPr="00AA16D9">
        <w:rPr>
          <w:sz w:val="18"/>
          <w:szCs w:val="18"/>
          <w:vertAlign w:val="superscript"/>
        </w:rPr>
        <w:footnoteReference w:id="74"/>
      </w:r>
      <w:r w:rsidRPr="00AA16D9">
        <w:t>: À part la couverture de la Caisse sociale, il existe une panoplie de couvertures publiques en cas de maladie. À signaler le régime d</w:t>
      </w:r>
      <w:r>
        <w:t>’</w:t>
      </w:r>
      <w:r w:rsidRPr="00AA16D9">
        <w:t>assurance maladie, la Rwandaise d</w:t>
      </w:r>
      <w:r>
        <w:t>’</w:t>
      </w:r>
      <w:r w:rsidRPr="00AA16D9">
        <w:t xml:space="preserve">Assurance Maladies «RAMA», créé en 2001. Ce dernier présente les caractéristiques suivantes: </w:t>
      </w:r>
    </w:p>
    <w:p w:rsidR="0036354A" w:rsidRPr="00AA16D9" w:rsidRDefault="0036354A" w:rsidP="0036354A">
      <w:pPr>
        <w:pStyle w:val="SingleTxtG"/>
        <w:ind w:firstLine="567"/>
      </w:pPr>
      <w:r w:rsidRPr="00AA16D9">
        <w:t>a)</w:t>
      </w:r>
      <w:r w:rsidRPr="00AA16D9">
        <w:tab/>
        <w:t>La couverture s</w:t>
      </w:r>
      <w:r>
        <w:t>’</w:t>
      </w:r>
      <w:r w:rsidRPr="00AA16D9">
        <w:t>étend aussi bien aux agents de l</w:t>
      </w:r>
      <w:r>
        <w:t>’</w:t>
      </w:r>
      <w:r w:rsidRPr="00AA16D9">
        <w:t>État ou de toute autre institution publique et aux hauts cadres de l</w:t>
      </w:r>
      <w:r>
        <w:t>’</w:t>
      </w:r>
      <w:r w:rsidRPr="00AA16D9">
        <w:t>État qu</w:t>
      </w:r>
      <w:r>
        <w:t>’</w:t>
      </w:r>
      <w:r w:rsidRPr="00AA16D9">
        <w:t>aux établissements privés qui ont sollicité et obtenu l</w:t>
      </w:r>
      <w:r>
        <w:t>’</w:t>
      </w:r>
      <w:r w:rsidRPr="00AA16D9">
        <w:t>assurance pour les membres de leur personnel. (art. 32);</w:t>
      </w:r>
    </w:p>
    <w:p w:rsidR="0036354A" w:rsidRPr="00AA16D9" w:rsidRDefault="0036354A" w:rsidP="0036354A">
      <w:pPr>
        <w:pStyle w:val="SingleTxtG"/>
        <w:ind w:firstLine="567"/>
      </w:pPr>
      <w:r w:rsidRPr="00AA16D9">
        <w:t>b)</w:t>
      </w:r>
      <w:r w:rsidRPr="00AA16D9">
        <w:tab/>
        <w:t>Les prestations couvertes sont prévues dans la loi (art. 37 et 38). Les cotisations sont payées à égalité entre l</w:t>
      </w:r>
      <w:r>
        <w:t>’</w:t>
      </w:r>
      <w:r w:rsidRPr="00AA16D9">
        <w:t>employeur et l</w:t>
      </w:r>
      <w:r>
        <w:t>’</w:t>
      </w:r>
      <w:r w:rsidRPr="00AA16D9">
        <w:t>employé;</w:t>
      </w:r>
    </w:p>
    <w:p w:rsidR="0036354A" w:rsidRPr="00AA16D9" w:rsidRDefault="0036354A" w:rsidP="0036354A">
      <w:pPr>
        <w:pStyle w:val="SingleTxtG"/>
        <w:ind w:firstLine="567"/>
      </w:pPr>
      <w:r w:rsidRPr="00AA16D9">
        <w:t>c)</w:t>
      </w:r>
      <w:r w:rsidRPr="00AA16D9">
        <w:tab/>
        <w:t xml:space="preserve">Le financement de la RAMA provient de plusieurs sources comme le prévoit la loi (art. 23). </w:t>
      </w:r>
    </w:p>
    <w:p w:rsidR="0036354A" w:rsidRPr="00AA16D9" w:rsidRDefault="0036354A" w:rsidP="0036354A">
      <w:pPr>
        <w:pStyle w:val="SingleTxtG"/>
      </w:pPr>
      <w:r w:rsidRPr="00AA16D9">
        <w:t>144.</w:t>
      </w:r>
      <w:r w:rsidRPr="00AA16D9">
        <w:tab/>
      </w:r>
      <w:r w:rsidRPr="00AA16D9">
        <w:rPr>
          <w:b/>
        </w:rPr>
        <w:t>L</w:t>
      </w:r>
      <w:r>
        <w:rPr>
          <w:b/>
        </w:rPr>
        <w:t>’</w:t>
      </w:r>
      <w:r w:rsidRPr="00AA16D9">
        <w:rPr>
          <w:b/>
        </w:rPr>
        <w:t>assurance maladie des militaires</w:t>
      </w:r>
      <w:r w:rsidRPr="00AA16D9">
        <w:rPr>
          <w:sz w:val="18"/>
          <w:szCs w:val="18"/>
          <w:vertAlign w:val="superscript"/>
        </w:rPr>
        <w:footnoteReference w:id="75"/>
      </w:r>
      <w:r w:rsidRPr="00AA16D9">
        <w:t xml:space="preserve"> (MMI) se présente comme suit: </w:t>
      </w:r>
    </w:p>
    <w:p w:rsidR="0036354A" w:rsidRPr="00AA16D9" w:rsidRDefault="0036354A" w:rsidP="0036354A">
      <w:pPr>
        <w:pStyle w:val="SingleTxtG"/>
        <w:ind w:firstLine="567"/>
      </w:pPr>
      <w:r w:rsidRPr="00AA16D9">
        <w:t>a)</w:t>
      </w:r>
      <w:r w:rsidRPr="00AA16D9">
        <w:tab/>
        <w:t>Le principe de la couverture est identique à celui de l</w:t>
      </w:r>
      <w:r>
        <w:t>’</w:t>
      </w:r>
      <w:r w:rsidRPr="00AA16D9">
        <w:t>assurance maladie des agents de l</w:t>
      </w:r>
      <w:r>
        <w:t>’</w:t>
      </w:r>
      <w:r w:rsidRPr="00AA16D9">
        <w:t>État (art. 21);</w:t>
      </w:r>
    </w:p>
    <w:p w:rsidR="0036354A" w:rsidRPr="00AA16D9" w:rsidRDefault="0036354A" w:rsidP="0036354A">
      <w:pPr>
        <w:pStyle w:val="SingleTxtG"/>
        <w:ind w:firstLine="567"/>
      </w:pPr>
      <w:r w:rsidRPr="00AA16D9">
        <w:t>b)</w:t>
      </w:r>
      <w:r w:rsidRPr="00AA16D9">
        <w:tab/>
        <w:t xml:space="preserve">Les prestations couvertes sont aussi prévues par la loi et le financement provient aussi de diverses sources (art. 23 et 34). </w:t>
      </w:r>
    </w:p>
    <w:p w:rsidR="0036354A" w:rsidRPr="00AA16D9" w:rsidRDefault="0036354A" w:rsidP="0036354A">
      <w:pPr>
        <w:pStyle w:val="SingleTxtG"/>
      </w:pPr>
      <w:r w:rsidRPr="00AA16D9">
        <w:t>145.</w:t>
      </w:r>
      <w:r w:rsidRPr="00AA16D9">
        <w:tab/>
      </w:r>
      <w:r w:rsidRPr="00AA16D9">
        <w:rPr>
          <w:b/>
        </w:rPr>
        <w:t>Les mutuelles de santé</w:t>
      </w:r>
      <w:r w:rsidRPr="00AA16D9">
        <w:t>: C</w:t>
      </w:r>
      <w:r>
        <w:t>’</w:t>
      </w:r>
      <w:r w:rsidRPr="00AA16D9">
        <w:t>est le système de couverture médicale dont bénéficie la grande majorité de la population, celle non couverte par les autres couvertures médicales. La couverture médicale est prévue par la loi</w:t>
      </w:r>
      <w:r w:rsidRPr="00AA16D9">
        <w:rPr>
          <w:sz w:val="18"/>
          <w:szCs w:val="18"/>
          <w:vertAlign w:val="superscript"/>
        </w:rPr>
        <w:footnoteReference w:id="76"/>
      </w:r>
      <w:r w:rsidRPr="00AA16D9">
        <w:t xml:space="preserve">, et plus précisément: </w:t>
      </w:r>
    </w:p>
    <w:p w:rsidR="0036354A" w:rsidRPr="00AA16D9" w:rsidRDefault="0036354A" w:rsidP="0036354A">
      <w:pPr>
        <w:pStyle w:val="SingleTxtG"/>
        <w:ind w:firstLine="567"/>
      </w:pPr>
      <w:r w:rsidRPr="00AA16D9">
        <w:t>a)</w:t>
      </w:r>
      <w:r w:rsidRPr="00AA16D9">
        <w:tab/>
        <w:t>Les bénéficiaires sont prévus par la loi;</w:t>
      </w:r>
    </w:p>
    <w:p w:rsidR="0036354A" w:rsidRPr="00AA16D9" w:rsidRDefault="0036354A" w:rsidP="0036354A">
      <w:pPr>
        <w:pStyle w:val="SingleTxtG"/>
        <w:ind w:firstLine="567"/>
      </w:pPr>
      <w:r w:rsidRPr="00AA16D9">
        <w:t>b)</w:t>
      </w:r>
      <w:r w:rsidRPr="00AA16D9">
        <w:tab/>
        <w:t>La couverture médicale ressemble de près à celle des autres couvertures (RAMA ou MMI): article 30 de la loi;</w:t>
      </w:r>
    </w:p>
    <w:p w:rsidR="0036354A" w:rsidRPr="00AA16D9" w:rsidRDefault="0036354A" w:rsidP="0036354A">
      <w:pPr>
        <w:pStyle w:val="SingleTxtG"/>
        <w:ind w:firstLine="567"/>
      </w:pPr>
      <w:r w:rsidRPr="00AA16D9">
        <w:t>c)</w:t>
      </w:r>
      <w:r w:rsidRPr="00AA16D9">
        <w:tab/>
        <w:t>Quant au financement des mutuelles de santé, il provient aussi de diverses sources (art. 37).</w:t>
      </w:r>
    </w:p>
    <w:p w:rsidR="0036354A" w:rsidRPr="00AA16D9" w:rsidRDefault="0036354A" w:rsidP="0036354A">
      <w:pPr>
        <w:pStyle w:val="H4G"/>
      </w:pPr>
      <w:r w:rsidRPr="00AA16D9">
        <w:tab/>
      </w:r>
      <w:r w:rsidRPr="00AA16D9">
        <w:tab/>
        <w:t>Les initiatives privées d</w:t>
      </w:r>
      <w:r>
        <w:t>’</w:t>
      </w:r>
      <w:r w:rsidRPr="00AA16D9">
        <w:t>assurance-maladie</w:t>
      </w:r>
    </w:p>
    <w:p w:rsidR="0036354A" w:rsidRPr="00AA16D9" w:rsidRDefault="0036354A" w:rsidP="0036354A">
      <w:pPr>
        <w:pStyle w:val="SingleTxtG"/>
      </w:pPr>
      <w:r w:rsidRPr="00AA16D9">
        <w:t>146.</w:t>
      </w:r>
      <w:r w:rsidRPr="00AA16D9">
        <w:tab/>
        <w:t>On observe une multiplication des initiatives privées en matière d</w:t>
      </w:r>
      <w:r>
        <w:t>’</w:t>
      </w:r>
      <w:r w:rsidRPr="00AA16D9">
        <w:t>assurance-maladie. On note une panoplie de compagnies d</w:t>
      </w:r>
      <w:r>
        <w:t>’</w:t>
      </w:r>
      <w:r w:rsidRPr="00AA16D9">
        <w:t>assurances, comme par exemple la SONARWA (Société Nationale d</w:t>
      </w:r>
      <w:r>
        <w:t>’</w:t>
      </w:r>
      <w:r w:rsidRPr="00AA16D9">
        <w:t>Assurances au Rwanda), la COGEAR (Compagnie Générale d</w:t>
      </w:r>
      <w:r>
        <w:t>’</w:t>
      </w:r>
      <w:r w:rsidRPr="00AA16D9">
        <w:t>Assurances et de Réassurances), la CORAR (Compagnie Rwandaise d</w:t>
      </w:r>
      <w:r>
        <w:t>’</w:t>
      </w:r>
      <w:r w:rsidRPr="00AA16D9">
        <w:t>Assurances et de Réassurances) et la SORAS (Société Rwandaise d</w:t>
      </w:r>
      <w:r>
        <w:t>’</w:t>
      </w:r>
      <w:r w:rsidRPr="00AA16D9">
        <w:t xml:space="preserve">Assurances), pour ne citer que celles-là. Elles offrent toutes une couverture médicale aux affiliés. </w:t>
      </w:r>
    </w:p>
    <w:p w:rsidR="0036354A" w:rsidRPr="00AA16D9" w:rsidRDefault="0036354A" w:rsidP="0036354A">
      <w:pPr>
        <w:pStyle w:val="H4G"/>
      </w:pPr>
      <w:r w:rsidRPr="00AA16D9">
        <w:tab/>
      </w:r>
      <w:r w:rsidRPr="00AA16D9">
        <w:tab/>
        <w:t>Le financement de la Caisse sociale du Rwanda (CSR)</w:t>
      </w:r>
    </w:p>
    <w:p w:rsidR="0036354A" w:rsidRPr="00AA16D9" w:rsidRDefault="0036354A" w:rsidP="0036354A">
      <w:pPr>
        <w:pStyle w:val="SingleTxtG"/>
      </w:pPr>
      <w:r w:rsidRPr="00AA16D9">
        <w:t>147.</w:t>
      </w:r>
      <w:r w:rsidRPr="00AA16D9">
        <w:tab/>
        <w:t>La Caisse Sociale est une entité qui s</w:t>
      </w:r>
      <w:r>
        <w:t>’</w:t>
      </w:r>
      <w:r w:rsidRPr="00AA16D9">
        <w:t>autofinance. Le financement provient des cotisations, des amendes et des majorations de retard, des revenus de son patrimoine, du produit des services prestés par la C.S.R. et des dons et legs. Du fait de son autofinancement, le besoin ne s</w:t>
      </w:r>
      <w:r>
        <w:t>’</w:t>
      </w:r>
      <w:r w:rsidRPr="00AA16D9">
        <w:t xml:space="preserve">est pas fait sentir de recourir au budget du Gouvernement. </w:t>
      </w:r>
    </w:p>
    <w:p w:rsidR="0036354A" w:rsidRPr="00AA16D9" w:rsidRDefault="0036354A" w:rsidP="0036354A">
      <w:pPr>
        <w:pStyle w:val="SingleTxtG"/>
      </w:pPr>
      <w:r w:rsidRPr="00AA16D9">
        <w:t>148.</w:t>
      </w:r>
      <w:r w:rsidRPr="00AA16D9">
        <w:tab/>
        <w:t>Il n</w:t>
      </w:r>
      <w:r>
        <w:t>’</w:t>
      </w:r>
      <w:r w:rsidRPr="00AA16D9">
        <w:t xml:space="preserve">y a pas de complémentarité entre les régimes officiels (publics) et les dispositifs privés de sécurité sociale. </w:t>
      </w:r>
    </w:p>
    <w:p w:rsidR="0036354A" w:rsidRPr="00AA16D9" w:rsidRDefault="0036354A" w:rsidP="0036354A">
      <w:pPr>
        <w:pStyle w:val="H4G"/>
      </w:pPr>
      <w:r w:rsidRPr="00AA16D9">
        <w:tab/>
      </w:r>
      <w:r w:rsidRPr="00AA16D9">
        <w:tab/>
        <w:t xml:space="preserve">Les groupes ne jouissant pas de la protection de la Caisse Sociale </w:t>
      </w:r>
    </w:p>
    <w:p w:rsidR="0036354A" w:rsidRPr="00AA16D9" w:rsidRDefault="0036354A" w:rsidP="0036354A">
      <w:pPr>
        <w:pStyle w:val="SingleTxtG"/>
      </w:pPr>
      <w:r w:rsidRPr="00AA16D9">
        <w:t>149.</w:t>
      </w:r>
      <w:r w:rsidRPr="00AA16D9">
        <w:tab/>
        <w:t>La sécurité sociale était, jusqu</w:t>
      </w:r>
      <w:r>
        <w:t>’</w:t>
      </w:r>
      <w:r w:rsidRPr="00AA16D9">
        <w:t>à fin mai 2009, disponible pour les travailleurs du secteur formel (les travailleurs soumis au Code du Travail, les mandataires politiques non retraités et les agents de l</w:t>
      </w:r>
      <w:r>
        <w:t>’</w:t>
      </w:r>
      <w:r w:rsidRPr="00AA16D9">
        <w:t>État sous-statut). La nouvelle loi portant sur la réglementation du travail y a apporté une modification en stipulant que ce secteur soit couvert dans les dispositions relatives à la sécurité sociale de la nouvelle loi.</w:t>
      </w:r>
    </w:p>
    <w:p w:rsidR="0036354A" w:rsidRPr="00AA16D9" w:rsidRDefault="0036354A" w:rsidP="0036354A">
      <w:pPr>
        <w:pStyle w:val="SingleTxtG"/>
      </w:pPr>
      <w:r w:rsidRPr="00AA16D9">
        <w:t>150.</w:t>
      </w:r>
      <w:r w:rsidRPr="00AA16D9">
        <w:tab/>
        <w:t>Les groupes exclus du dispositif de la sécurité sociale sont certains travailleurs du secteur informel (agro-élevage, artisanat, petit commerce et travaux ménagers). Les femmes se retrouvent être majoritaires dans ce secteur</w:t>
      </w:r>
      <w:r w:rsidRPr="00AA16D9">
        <w:rPr>
          <w:sz w:val="18"/>
          <w:szCs w:val="18"/>
          <w:vertAlign w:val="superscript"/>
        </w:rPr>
        <w:footnoteReference w:id="77"/>
      </w:r>
      <w:r w:rsidRPr="00AA16D9">
        <w:t>. Notons que la proportion des femmes couvertes par la Caisse sociale dans tous les secteurs de l</w:t>
      </w:r>
      <w:r>
        <w:t>’</w:t>
      </w:r>
      <w:r w:rsidRPr="00AA16D9">
        <w:t>activité économique</w:t>
      </w:r>
      <w:r w:rsidRPr="00AA16D9">
        <w:rPr>
          <w:sz w:val="18"/>
          <w:szCs w:val="18"/>
          <w:vertAlign w:val="superscript"/>
        </w:rPr>
        <w:footnoteReference w:id="78"/>
      </w:r>
      <w:r w:rsidRPr="00AA16D9">
        <w:t xml:space="preserve"> était de 14% contre 86 % d</w:t>
      </w:r>
      <w:r>
        <w:t>’</w:t>
      </w:r>
      <w:r w:rsidRPr="00AA16D9">
        <w:t xml:space="preserve">hommes en 2005. </w:t>
      </w:r>
    </w:p>
    <w:p w:rsidR="0036354A" w:rsidRPr="00AA16D9" w:rsidRDefault="0036354A" w:rsidP="0036354A">
      <w:pPr>
        <w:pStyle w:val="H4G"/>
      </w:pPr>
      <w:r w:rsidRPr="00AA16D9">
        <w:tab/>
      </w:r>
      <w:r w:rsidRPr="00AA16D9">
        <w:tab/>
        <w:t>Les mesures prises par le Gouvernement à cet effet</w:t>
      </w:r>
    </w:p>
    <w:p w:rsidR="0036354A" w:rsidRPr="00AA16D9" w:rsidRDefault="0036354A" w:rsidP="0036354A">
      <w:pPr>
        <w:pStyle w:val="SingleTxtG"/>
      </w:pPr>
      <w:r w:rsidRPr="00AA16D9">
        <w:t>151.</w:t>
      </w:r>
      <w:r w:rsidRPr="00AA16D9">
        <w:tab/>
        <w:t xml:space="preserve">Le Gouvernement est conscient du fait que la population ne bénéficie pas dans son ensemble de la couverture de sécurité sociale, et a donc pris un certain nombre de mesures, à savoir: </w:t>
      </w:r>
    </w:p>
    <w:p w:rsidR="0036354A" w:rsidRPr="00AA16D9" w:rsidRDefault="0036354A" w:rsidP="0036354A">
      <w:pPr>
        <w:pStyle w:val="SingleTxtG"/>
        <w:ind w:firstLine="567"/>
      </w:pPr>
      <w:r w:rsidRPr="00AA16D9">
        <w:t>a)</w:t>
      </w:r>
      <w:r w:rsidRPr="00AA16D9">
        <w:tab/>
        <w:t>Une politique nationale de la sécurité sociale</w:t>
      </w:r>
      <w:r w:rsidRPr="00AA16D9">
        <w:rPr>
          <w:sz w:val="18"/>
          <w:szCs w:val="18"/>
          <w:vertAlign w:val="superscript"/>
        </w:rPr>
        <w:footnoteReference w:id="79"/>
      </w:r>
      <w:r w:rsidRPr="00AA16D9">
        <w:t xml:space="preserve"> vient d</w:t>
      </w:r>
      <w:r>
        <w:t>’</w:t>
      </w:r>
      <w:r w:rsidRPr="00AA16D9">
        <w:t xml:space="preserve">être définie en 2009. Certains des objectifs à atteindre en 2020 sont les suivants: </w:t>
      </w:r>
    </w:p>
    <w:p w:rsidR="0036354A" w:rsidRPr="00AA16D9" w:rsidRDefault="0036354A" w:rsidP="0036354A">
      <w:pPr>
        <w:pStyle w:val="SingleTxtG"/>
        <w:ind w:left="1700"/>
      </w:pPr>
      <w:r w:rsidRPr="00AA16D9">
        <w:t>i)</w:t>
      </w:r>
      <w:r w:rsidRPr="00AA16D9">
        <w:tab/>
        <w:t>Pour la branche des pensions, que chaque résident du Rwanda dispose d</w:t>
      </w:r>
      <w:r>
        <w:t>’</w:t>
      </w:r>
      <w:r w:rsidRPr="00AA16D9">
        <w:t>une pension privée ou publique;</w:t>
      </w:r>
    </w:p>
    <w:p w:rsidR="0036354A" w:rsidRPr="00AA16D9" w:rsidRDefault="0036354A" w:rsidP="0036354A">
      <w:pPr>
        <w:pStyle w:val="SingleTxtG"/>
        <w:ind w:left="1700"/>
      </w:pPr>
      <w:r w:rsidRPr="00AA16D9">
        <w:t>ii)</w:t>
      </w:r>
      <w:r w:rsidRPr="00AA16D9">
        <w:tab/>
        <w:t xml:space="preserve">Pour la branche de la pension publique, que cette forme de pension continue à être obligatoire pour les travailleurs du secteur formel; </w:t>
      </w:r>
    </w:p>
    <w:p w:rsidR="0036354A" w:rsidRPr="00AA16D9" w:rsidRDefault="0036354A" w:rsidP="0036354A">
      <w:pPr>
        <w:pStyle w:val="SingleTxtG"/>
        <w:ind w:left="1700"/>
      </w:pPr>
      <w:r w:rsidRPr="00AA16D9">
        <w:t>iii)</w:t>
      </w:r>
      <w:r w:rsidRPr="00AA16D9">
        <w:tab/>
        <w:t>Pour la branche du «provident fund», qu</w:t>
      </w:r>
      <w:r>
        <w:t>’</w:t>
      </w:r>
      <w:r w:rsidRPr="00AA16D9">
        <w:t>elle se compose d</w:t>
      </w:r>
      <w:r>
        <w:t>’</w:t>
      </w:r>
      <w:r w:rsidRPr="00AA16D9">
        <w:t>une pension complémentaire assortie d</w:t>
      </w:r>
      <w:r>
        <w:t>’</w:t>
      </w:r>
      <w:r w:rsidRPr="00AA16D9">
        <w:t>une composante épargne-logement ou épargne-études;</w:t>
      </w:r>
    </w:p>
    <w:p w:rsidR="0036354A" w:rsidRPr="00AA16D9" w:rsidRDefault="0036354A" w:rsidP="0036354A">
      <w:pPr>
        <w:pStyle w:val="SingleTxtG"/>
        <w:ind w:left="1700"/>
      </w:pPr>
      <w:r w:rsidRPr="00AA16D9">
        <w:t>iv)</w:t>
      </w:r>
      <w:r w:rsidRPr="00AA16D9">
        <w:tab/>
        <w:t xml:space="preserve">Pour la pension privée, que pour le reste de la population (du secteur informel) cette pension soit obligatoire; </w:t>
      </w:r>
    </w:p>
    <w:p w:rsidR="0036354A" w:rsidRPr="00AA16D9" w:rsidRDefault="0036354A" w:rsidP="0036354A">
      <w:pPr>
        <w:pStyle w:val="SingleTxtG"/>
        <w:ind w:left="1700"/>
      </w:pPr>
      <w:r w:rsidRPr="00AA16D9">
        <w:t>v)</w:t>
      </w:r>
      <w:r w:rsidRPr="00AA16D9">
        <w:tab/>
        <w:t>Pour les accidents du travail, que cette branche reste obligatoire pour les travailleurs du secteur formel et qu</w:t>
      </w:r>
      <w:r>
        <w:t>’</w:t>
      </w:r>
      <w:r w:rsidRPr="00AA16D9">
        <w:t>elle soit ouverte à tous</w:t>
      </w:r>
      <w:r w:rsidRPr="00AA16D9">
        <w:rPr>
          <w:rStyle w:val="Bullet2GCar"/>
        </w:rPr>
        <w:t xml:space="preserve"> </w:t>
      </w:r>
      <w:r w:rsidRPr="00AA16D9">
        <w:t>les autres travailleurs du secteur informel (surtout ceux organisés au sein de diverses coopératives);</w:t>
      </w:r>
    </w:p>
    <w:p w:rsidR="0036354A" w:rsidRPr="00AA16D9" w:rsidRDefault="0036354A" w:rsidP="0036354A">
      <w:pPr>
        <w:pStyle w:val="SingleTxtG"/>
        <w:ind w:left="1700"/>
      </w:pPr>
      <w:r w:rsidRPr="00AA16D9">
        <w:t>vi)</w:t>
      </w:r>
      <w:r w:rsidRPr="00AA16D9">
        <w:tab/>
        <w:t>Pour la branche des maladies et de l</w:t>
      </w:r>
      <w:r>
        <w:t>’</w:t>
      </w:r>
      <w:r w:rsidRPr="00AA16D9">
        <w:t>assurance maternité, que la promotion de l</w:t>
      </w:r>
      <w:r>
        <w:t>’</w:t>
      </w:r>
      <w:r w:rsidRPr="00AA16D9">
        <w:t>adhésion volontaire soit encouragée, et qu</w:t>
      </w:r>
      <w:r>
        <w:t>’</w:t>
      </w:r>
      <w:r w:rsidRPr="00AA16D9">
        <w:t>au moins 70 % des travailleurs du secteur informel soient couverts.</w:t>
      </w:r>
    </w:p>
    <w:p w:rsidR="0036354A" w:rsidRPr="00AA16D9" w:rsidRDefault="0036354A" w:rsidP="0036354A">
      <w:pPr>
        <w:pStyle w:val="SingleTxtG"/>
      </w:pPr>
      <w:r w:rsidRPr="00AA16D9">
        <w:t xml:space="preserve">Pour cela, </w:t>
      </w:r>
    </w:p>
    <w:p w:rsidR="0036354A" w:rsidRPr="00AA16D9" w:rsidRDefault="0036354A" w:rsidP="0036354A">
      <w:pPr>
        <w:pStyle w:val="SingleTxtG"/>
        <w:ind w:firstLine="567"/>
      </w:pPr>
      <w:r w:rsidRPr="00AA16D9">
        <w:t>a)</w:t>
      </w:r>
      <w:r w:rsidRPr="00AA16D9">
        <w:tab/>
        <w:t>Des campagnes de sensibilisation et d</w:t>
      </w:r>
      <w:r>
        <w:t>’</w:t>
      </w:r>
      <w:r w:rsidRPr="00AA16D9">
        <w:t xml:space="preserve">éducation sont organisées par la Caisse sociale; </w:t>
      </w:r>
    </w:p>
    <w:p w:rsidR="0036354A" w:rsidRPr="00AA16D9" w:rsidRDefault="0036354A" w:rsidP="0036354A">
      <w:pPr>
        <w:pStyle w:val="SingleTxtG"/>
        <w:ind w:firstLine="567"/>
        <w:rPr>
          <w:i/>
          <w:u w:val="single"/>
        </w:rPr>
      </w:pPr>
      <w:r w:rsidRPr="00AA16D9">
        <w:t>b)</w:t>
      </w:r>
      <w:r w:rsidRPr="00AA16D9">
        <w:tab/>
        <w:t xml:space="preserve">Les contributions volontaires sont autorisées et encouragées. </w:t>
      </w:r>
    </w:p>
    <w:p w:rsidR="0036354A" w:rsidRPr="00AA16D9" w:rsidRDefault="0036354A" w:rsidP="0036354A">
      <w:pPr>
        <w:pStyle w:val="SingleTxtG"/>
        <w:rPr>
          <w:i/>
          <w:u w:val="single"/>
        </w:rPr>
      </w:pPr>
      <w:r w:rsidRPr="00AA16D9">
        <w:t>152.</w:t>
      </w:r>
      <w:r w:rsidRPr="00AA16D9">
        <w:tab/>
        <w:t>Quant aux effets que ces mesures ont eus, ils ne sont pas encore visibles car le système se construit.</w:t>
      </w:r>
    </w:p>
    <w:p w:rsidR="0036354A" w:rsidRPr="00AA16D9" w:rsidRDefault="0036354A" w:rsidP="0036354A">
      <w:pPr>
        <w:pStyle w:val="H4G"/>
      </w:pPr>
      <w:r w:rsidRPr="00AA16D9">
        <w:tab/>
      </w:r>
      <w:r w:rsidRPr="00AA16D9">
        <w:tab/>
        <w:t>Modifications enregistrées depuis le dernier rapport</w:t>
      </w:r>
    </w:p>
    <w:p w:rsidR="0036354A" w:rsidRPr="00AA16D9" w:rsidRDefault="0036354A" w:rsidP="0036354A">
      <w:pPr>
        <w:pStyle w:val="SingleTxtG"/>
      </w:pPr>
      <w:r w:rsidRPr="00AA16D9">
        <w:t>153.</w:t>
      </w:r>
      <w:r w:rsidRPr="00AA16D9">
        <w:tab/>
        <w:t xml:space="preserve">La Convention </w:t>
      </w:r>
      <w:r w:rsidRPr="00AA16D9">
        <w:rPr>
          <w:rFonts w:eastAsia="MS Mincho"/>
        </w:rPr>
        <w:t>n</w:t>
      </w:r>
      <w:r w:rsidRPr="00AA16D9">
        <w:rPr>
          <w:rFonts w:eastAsia="MS Mincho"/>
          <w:vertAlign w:val="superscript"/>
        </w:rPr>
        <w:t>o</w:t>
      </w:r>
      <w:r w:rsidRPr="00AA16D9">
        <w:t xml:space="preserve"> 118 sur l</w:t>
      </w:r>
      <w:r>
        <w:t>’</w:t>
      </w:r>
      <w:r w:rsidRPr="00AA16D9">
        <w:t>égalité de traitement (sécurité sociale) a été ratifiée (1987).</w:t>
      </w:r>
    </w:p>
    <w:p w:rsidR="0036354A" w:rsidRPr="00AA16D9" w:rsidRDefault="0036354A" w:rsidP="0036354A">
      <w:pPr>
        <w:pStyle w:val="SingleTxtG"/>
      </w:pPr>
      <w:r w:rsidRPr="00AA16D9">
        <w:t>154.</w:t>
      </w:r>
      <w:r w:rsidRPr="00AA16D9">
        <w:tab/>
        <w:t>De nouvelles lois ont vu le jour, comme la loi portant mission […] de la Rwandaise d</w:t>
      </w:r>
      <w:r>
        <w:t>’</w:t>
      </w:r>
      <w:r w:rsidRPr="00AA16D9">
        <w:t>Assurance Maladie (RAMA); la loi portant création, […] et gestion des mutuelles de santé; et la loi portant institution, […] de l</w:t>
      </w:r>
      <w:r>
        <w:t>’</w:t>
      </w:r>
      <w:r w:rsidRPr="00AA16D9">
        <w:t xml:space="preserve">assurance maladie des militaires. </w:t>
      </w:r>
    </w:p>
    <w:p w:rsidR="0036354A" w:rsidRPr="00AA16D9" w:rsidRDefault="0036354A" w:rsidP="0036354A">
      <w:pPr>
        <w:pStyle w:val="SingleTxtG"/>
      </w:pPr>
      <w:r w:rsidRPr="00AA16D9">
        <w:t>155.</w:t>
      </w:r>
      <w:r w:rsidRPr="00AA16D9">
        <w:tab/>
        <w:t>Plusieurs amendements ont été apportés à la loi sur l</w:t>
      </w:r>
      <w:r>
        <w:t>’</w:t>
      </w:r>
      <w:r w:rsidRPr="00AA16D9">
        <w:t xml:space="preserve">organisation de la Caisse sociale, notamment: </w:t>
      </w:r>
    </w:p>
    <w:p w:rsidR="0036354A" w:rsidRPr="00AA16D9" w:rsidRDefault="0036354A" w:rsidP="0036354A">
      <w:pPr>
        <w:pStyle w:val="SingleTxtG"/>
        <w:ind w:firstLine="567"/>
      </w:pPr>
      <w:r w:rsidRPr="00AA16D9">
        <w:t>a)</w:t>
      </w:r>
      <w:r w:rsidRPr="00AA16D9">
        <w:tab/>
        <w:t>L</w:t>
      </w:r>
      <w:r>
        <w:t>’</w:t>
      </w:r>
      <w:r w:rsidRPr="00AA16D9">
        <w:t>âge de la retraite est passé de 55 ans à 65 ans. La pension anticipée pouvant commencer à être versée à l</w:t>
      </w:r>
      <w:r>
        <w:t>’</w:t>
      </w:r>
      <w:r w:rsidRPr="00AA16D9">
        <w:t>âge de 55 ans;</w:t>
      </w:r>
    </w:p>
    <w:p w:rsidR="0036354A" w:rsidRPr="00AA16D9" w:rsidRDefault="0036354A" w:rsidP="0036354A">
      <w:pPr>
        <w:pStyle w:val="SingleTxtG"/>
        <w:ind w:firstLine="567"/>
      </w:pPr>
      <w:r w:rsidRPr="00AA16D9">
        <w:t>b)</w:t>
      </w:r>
      <w:r w:rsidRPr="00AA16D9">
        <w:tab/>
        <w:t xml:space="preserve">Il y a eu introduction des contributions volontaires; </w:t>
      </w:r>
    </w:p>
    <w:p w:rsidR="0036354A" w:rsidRPr="00AA16D9" w:rsidRDefault="0036354A" w:rsidP="0036354A">
      <w:pPr>
        <w:pStyle w:val="SingleTxtG"/>
        <w:ind w:firstLine="567"/>
      </w:pPr>
      <w:r w:rsidRPr="00AA16D9">
        <w:t>c)</w:t>
      </w:r>
      <w:r w:rsidRPr="00AA16D9">
        <w:tab/>
        <w:t xml:space="preserve">Les parents adoptifs ont été ajoutés comme ayants droit aux prestations de la Caisse Sociale; </w:t>
      </w:r>
    </w:p>
    <w:p w:rsidR="0036354A" w:rsidRPr="00AA16D9" w:rsidRDefault="0036354A" w:rsidP="0036354A">
      <w:pPr>
        <w:pStyle w:val="SingleTxtG"/>
        <w:ind w:firstLine="567"/>
      </w:pPr>
      <w:r w:rsidRPr="00AA16D9">
        <w:t>d)</w:t>
      </w:r>
      <w:r w:rsidRPr="00AA16D9">
        <w:tab/>
        <w:t xml:space="preserve">Le délai de prescription légal pour réclamer les prestations de sécurité sociale, qui était auparavant de 5 ans, a été rallongé et porté à 10 ans; </w:t>
      </w:r>
    </w:p>
    <w:p w:rsidR="0036354A" w:rsidRPr="00AA16D9" w:rsidRDefault="0036354A" w:rsidP="0036354A">
      <w:pPr>
        <w:pStyle w:val="SingleTxtG"/>
        <w:ind w:firstLine="567"/>
      </w:pPr>
      <w:r w:rsidRPr="00AA16D9">
        <w:t>e)</w:t>
      </w:r>
      <w:r w:rsidRPr="00AA16D9">
        <w:tab/>
        <w:t>Les indemnités ont été majorées au coût de la vie actuelle;</w:t>
      </w:r>
    </w:p>
    <w:p w:rsidR="0036354A" w:rsidRPr="00AA16D9" w:rsidRDefault="0036354A" w:rsidP="0036354A">
      <w:pPr>
        <w:pStyle w:val="SingleTxtG"/>
        <w:ind w:firstLine="567"/>
      </w:pPr>
      <w:r w:rsidRPr="00AA16D9">
        <w:t>f)</w:t>
      </w:r>
      <w:r w:rsidRPr="00AA16D9">
        <w:tab/>
        <w:t xml:space="preserve">Les taux de cotisations de la branche des pensions présentent un taux différentiel pour les catégories de travailleurs œuvrant dans des conditions particulièrement dures et pénibles (art. 13 de la loi). </w:t>
      </w:r>
    </w:p>
    <w:p w:rsidR="0036354A" w:rsidRPr="00AA16D9" w:rsidRDefault="0036354A" w:rsidP="0036354A">
      <w:pPr>
        <w:pStyle w:val="SingleTxtG"/>
      </w:pPr>
      <w:r w:rsidRPr="00AA16D9">
        <w:t>156.</w:t>
      </w:r>
      <w:r w:rsidRPr="00AA16D9">
        <w:tab/>
        <w:t>En outre, il convient de signaler qu</w:t>
      </w:r>
      <w:r>
        <w:t>’</w:t>
      </w:r>
      <w:r w:rsidRPr="00AA16D9">
        <w:t>une politique nationale de la sécurité sociale a été mise sur pied.</w:t>
      </w:r>
    </w:p>
    <w:p w:rsidR="0036354A" w:rsidRPr="00AA16D9" w:rsidRDefault="0036354A" w:rsidP="0036354A">
      <w:pPr>
        <w:pStyle w:val="SingleTxtG"/>
      </w:pPr>
      <w:r w:rsidRPr="00AA16D9">
        <w:t>157.</w:t>
      </w:r>
      <w:r w:rsidRPr="00AA16D9">
        <w:tab/>
        <w:t xml:space="preserve">Les institutions (RAMA et la Caisse Sociale du Rwanda) ont été regroupées (le Rwanda Social Security Board) pour assurer une meilleure coordination de leurs services. </w:t>
      </w:r>
    </w:p>
    <w:p w:rsidR="0036354A" w:rsidRPr="00AA16D9" w:rsidRDefault="0036354A" w:rsidP="0036354A">
      <w:pPr>
        <w:pStyle w:val="H4G"/>
      </w:pPr>
      <w:r w:rsidRPr="00AA16D9">
        <w:tab/>
      </w:r>
      <w:r w:rsidRPr="00AA16D9">
        <w:tab/>
        <w:t>De l</w:t>
      </w:r>
      <w:r>
        <w:t>’</w:t>
      </w:r>
      <w:r w:rsidRPr="00AA16D9">
        <w:t>aide internationale</w:t>
      </w:r>
    </w:p>
    <w:p w:rsidR="0036354A" w:rsidRPr="00AA16D9" w:rsidRDefault="0036354A" w:rsidP="0036354A">
      <w:pPr>
        <w:pStyle w:val="SingleTxtG"/>
        <w:ind w:firstLine="567"/>
      </w:pPr>
      <w:r w:rsidRPr="00AA16D9">
        <w:t>a)</w:t>
      </w:r>
      <w:r w:rsidRPr="00AA16D9">
        <w:tab/>
        <w:t>La Caisse Sociale ne reçoit aucune aide internationale;</w:t>
      </w:r>
    </w:p>
    <w:p w:rsidR="0036354A" w:rsidRPr="00AA16D9" w:rsidRDefault="0036354A" w:rsidP="0036354A">
      <w:pPr>
        <w:pStyle w:val="SingleTxtG"/>
        <w:ind w:firstLine="567"/>
      </w:pPr>
      <w:r w:rsidRPr="00AA16D9">
        <w:t>b)</w:t>
      </w:r>
      <w:r w:rsidRPr="00AA16D9">
        <w:tab/>
        <w:t>Les fonds des mutuelles de santé sont couverts à approximativement 14,5 % par divers intervenants</w:t>
      </w:r>
      <w:r w:rsidRPr="00AA16D9">
        <w:rPr>
          <w:sz w:val="18"/>
          <w:szCs w:val="18"/>
          <w:vertAlign w:val="superscript"/>
        </w:rPr>
        <w:footnoteReference w:id="80"/>
      </w:r>
      <w:r w:rsidRPr="00AA16D9">
        <w:t>.</w:t>
      </w:r>
    </w:p>
    <w:p w:rsidR="0036354A" w:rsidRPr="00AA16D9" w:rsidRDefault="0036354A" w:rsidP="0036354A">
      <w:pPr>
        <w:pStyle w:val="H23G"/>
      </w:pPr>
      <w:r w:rsidRPr="00AA16D9">
        <w:tab/>
        <w:t>5.</w:t>
      </w:r>
      <w:r w:rsidRPr="00AA16D9">
        <w:tab/>
        <w:t>Article 10: La protection accordée à «la famille»</w:t>
      </w:r>
    </w:p>
    <w:p w:rsidR="0036354A" w:rsidRPr="00AA16D9" w:rsidRDefault="0036354A" w:rsidP="0036354A">
      <w:pPr>
        <w:pStyle w:val="H4G"/>
      </w:pPr>
      <w:r w:rsidRPr="00AA16D9">
        <w:tab/>
      </w:r>
      <w:r w:rsidRPr="00AA16D9">
        <w:tab/>
        <w:t>Définition de la famille</w:t>
      </w:r>
    </w:p>
    <w:p w:rsidR="0036354A" w:rsidRPr="00AA16D9" w:rsidRDefault="0036354A" w:rsidP="0036354A">
      <w:pPr>
        <w:pStyle w:val="SingleTxtG"/>
      </w:pPr>
      <w:r w:rsidRPr="00AA16D9">
        <w:rPr>
          <w:szCs w:val="24"/>
        </w:rPr>
        <w:t>158.</w:t>
      </w:r>
      <w:r w:rsidRPr="00AA16D9">
        <w:rPr>
          <w:szCs w:val="24"/>
        </w:rPr>
        <w:tab/>
      </w:r>
      <w:r w:rsidRPr="00AA16D9">
        <w:t xml:space="preserve">La famille est ainsi définie dans le contexte rwandais: </w:t>
      </w:r>
    </w:p>
    <w:p w:rsidR="0036354A" w:rsidRPr="00AA16D9" w:rsidRDefault="0036354A" w:rsidP="0036354A">
      <w:pPr>
        <w:pStyle w:val="SingleTxtG"/>
        <w:ind w:firstLine="567"/>
      </w:pPr>
      <w:r w:rsidRPr="00AA16D9">
        <w:t>a)</w:t>
      </w:r>
      <w:r w:rsidRPr="00AA16D9">
        <w:tab/>
        <w:t>La famille est la base naturelle de la société rwandaise (art. 27 de la Constitution);</w:t>
      </w:r>
    </w:p>
    <w:p w:rsidR="0036354A" w:rsidRPr="00AA16D9" w:rsidRDefault="0036354A" w:rsidP="0036354A">
      <w:pPr>
        <w:pStyle w:val="SingleTxtG"/>
        <w:ind w:firstLine="567"/>
      </w:pPr>
      <w:r w:rsidRPr="00AA16D9">
        <w:t>b)</w:t>
      </w:r>
      <w:r w:rsidRPr="00AA16D9">
        <w:tab/>
        <w:t>La famille s</w:t>
      </w:r>
      <w:r>
        <w:t>’</w:t>
      </w:r>
      <w:r w:rsidRPr="00AA16D9">
        <w:t>entend d</w:t>
      </w:r>
      <w:r>
        <w:t>’</w:t>
      </w:r>
      <w:r w:rsidRPr="00AA16D9">
        <w:t>individus liés par les liens de sang ou par les liens d</w:t>
      </w:r>
      <w:r>
        <w:t>’</w:t>
      </w:r>
      <w:r w:rsidRPr="00AA16D9">
        <w:t>alliance, ceux-ci résultant du mariage</w:t>
      </w:r>
      <w:r w:rsidRPr="00AA16D9">
        <w:rPr>
          <w:sz w:val="18"/>
          <w:szCs w:val="18"/>
          <w:vertAlign w:val="superscript"/>
        </w:rPr>
        <w:footnoteReference w:id="81"/>
      </w:r>
      <w:r w:rsidRPr="00AA16D9">
        <w:t>;</w:t>
      </w:r>
    </w:p>
    <w:p w:rsidR="0036354A" w:rsidRPr="00AA16D9" w:rsidRDefault="0036354A" w:rsidP="0036354A">
      <w:pPr>
        <w:pStyle w:val="SingleTxtG"/>
        <w:ind w:firstLine="567"/>
      </w:pPr>
      <w:r w:rsidRPr="00AA16D9">
        <w:t>c)</w:t>
      </w:r>
      <w:r w:rsidRPr="00AA16D9">
        <w:tab/>
        <w:t>On a la famille mononucléaire (parents et enfants jeunes ou d</w:t>
      </w:r>
      <w:r>
        <w:t>’</w:t>
      </w:r>
      <w:r w:rsidRPr="00AA16D9">
        <w:t>âge scolaire);</w:t>
      </w:r>
    </w:p>
    <w:p w:rsidR="0036354A" w:rsidRPr="00AA16D9" w:rsidRDefault="0036354A" w:rsidP="0036354A">
      <w:pPr>
        <w:pStyle w:val="SingleTxtG"/>
        <w:ind w:firstLine="567"/>
      </w:pPr>
      <w:r w:rsidRPr="00AA16D9">
        <w:t>d)</w:t>
      </w:r>
      <w:r w:rsidRPr="00AA16D9">
        <w:tab/>
        <w:t>La famille élargie (caractéristique de la famille rwandaise de jadis): regroupant non seulement le père, la mère et les enfants, mais aussi toutes les personnes ayant des liens de parenté directe et parfois même indirecte;</w:t>
      </w:r>
    </w:p>
    <w:p w:rsidR="0036354A" w:rsidRPr="00AA16D9" w:rsidRDefault="0036354A" w:rsidP="0036354A">
      <w:pPr>
        <w:pStyle w:val="SingleTxtG"/>
        <w:ind w:firstLine="567"/>
      </w:pPr>
      <w:r w:rsidRPr="00AA16D9">
        <w:t>e)</w:t>
      </w:r>
      <w:r w:rsidRPr="00AA16D9">
        <w:tab/>
        <w:t>La famille monoparentale: famille dirigée par un des parents, suite au veuvage, au divorce ou à l</w:t>
      </w:r>
      <w:r>
        <w:t>’</w:t>
      </w:r>
      <w:r w:rsidRPr="00AA16D9">
        <w:t>absence de l</w:t>
      </w:r>
      <w:r>
        <w:t>’</w:t>
      </w:r>
      <w:r w:rsidRPr="00AA16D9">
        <w:t>autre conjoint;</w:t>
      </w:r>
    </w:p>
    <w:p w:rsidR="0036354A" w:rsidRPr="00AA16D9" w:rsidRDefault="0036354A" w:rsidP="0036354A">
      <w:pPr>
        <w:pStyle w:val="SingleTxtG"/>
        <w:ind w:firstLine="567"/>
      </w:pPr>
      <w:r w:rsidRPr="00AA16D9">
        <w:t>f)</w:t>
      </w:r>
      <w:r w:rsidRPr="00AA16D9">
        <w:tab/>
        <w:t>La famille recomposée: famille constituée par un couple dont l</w:t>
      </w:r>
      <w:r>
        <w:t>’</w:t>
      </w:r>
      <w:r w:rsidRPr="00AA16D9">
        <w:t>un des conjoints au moins a un passé matrimonial et la garde d</w:t>
      </w:r>
      <w:r>
        <w:t>’</w:t>
      </w:r>
      <w:r w:rsidRPr="00AA16D9">
        <w:t>un ou des enfants issus de ce passé;</w:t>
      </w:r>
    </w:p>
    <w:p w:rsidR="0036354A" w:rsidRPr="00AA16D9" w:rsidRDefault="0036354A" w:rsidP="0036354A">
      <w:pPr>
        <w:pStyle w:val="SingleTxtG"/>
        <w:ind w:firstLine="567"/>
      </w:pPr>
      <w:r w:rsidRPr="00AA16D9">
        <w:t>g)</w:t>
      </w:r>
      <w:r w:rsidRPr="00AA16D9">
        <w:tab/>
        <w:t>La famille dont le chef de ménage est un enfant.</w:t>
      </w:r>
    </w:p>
    <w:p w:rsidR="0036354A" w:rsidRPr="00AA16D9" w:rsidRDefault="0036354A" w:rsidP="0036354A">
      <w:pPr>
        <w:pStyle w:val="H4G"/>
      </w:pPr>
      <w:r w:rsidRPr="00AA16D9">
        <w:tab/>
      </w:r>
      <w:r w:rsidRPr="00AA16D9">
        <w:tab/>
        <w:t>L</w:t>
      </w:r>
      <w:r>
        <w:t>’</w:t>
      </w:r>
      <w:r w:rsidRPr="00AA16D9">
        <w:t>âge de la majorité</w:t>
      </w:r>
    </w:p>
    <w:p w:rsidR="0036354A" w:rsidRPr="00AA16D9" w:rsidRDefault="0036354A" w:rsidP="0036354A">
      <w:pPr>
        <w:pStyle w:val="SingleTxtG"/>
      </w:pPr>
      <w:r w:rsidRPr="00AA16D9">
        <w:rPr>
          <w:szCs w:val="24"/>
        </w:rPr>
        <w:t>1</w:t>
      </w:r>
      <w:r w:rsidRPr="00AA16D9">
        <w:t>59</w:t>
      </w:r>
      <w:r w:rsidRPr="00AA16D9">
        <w:rPr>
          <w:szCs w:val="24"/>
        </w:rPr>
        <w:t>.</w:t>
      </w:r>
      <w:r w:rsidRPr="00AA16D9">
        <w:rPr>
          <w:szCs w:val="24"/>
        </w:rPr>
        <w:tab/>
      </w:r>
      <w:r w:rsidRPr="00AA16D9">
        <w:t>La majorité est établie à des fins diverses, à savoir:</w:t>
      </w:r>
    </w:p>
    <w:p w:rsidR="0036354A" w:rsidRPr="00AA16D9" w:rsidRDefault="0036354A" w:rsidP="0036354A">
      <w:pPr>
        <w:pStyle w:val="SingleTxtG"/>
        <w:ind w:firstLine="567"/>
      </w:pPr>
      <w:r w:rsidRPr="00AA16D9">
        <w:t>a)</w:t>
      </w:r>
      <w:r w:rsidRPr="00AA16D9">
        <w:tab/>
        <w:t>La majorité civile: Elle est atteinte à 21 ans</w:t>
      </w:r>
      <w:r w:rsidRPr="00AA16D9">
        <w:rPr>
          <w:sz w:val="18"/>
          <w:szCs w:val="18"/>
          <w:vertAlign w:val="superscript"/>
        </w:rPr>
        <w:footnoteReference w:id="82"/>
      </w:r>
      <w:r w:rsidRPr="00AA16D9">
        <w:t>;</w:t>
      </w:r>
    </w:p>
    <w:p w:rsidR="0036354A" w:rsidRPr="00AA16D9" w:rsidRDefault="0036354A" w:rsidP="0036354A">
      <w:pPr>
        <w:pStyle w:val="SingleTxtG"/>
        <w:ind w:firstLine="567"/>
      </w:pPr>
      <w:r w:rsidRPr="00AA16D9">
        <w:t>b)</w:t>
      </w:r>
      <w:r w:rsidRPr="00AA16D9">
        <w:tab/>
        <w:t>La majorité politique</w:t>
      </w:r>
      <w:r w:rsidRPr="00AA16D9">
        <w:rPr>
          <w:sz w:val="18"/>
          <w:szCs w:val="18"/>
          <w:vertAlign w:val="superscript"/>
        </w:rPr>
        <w:footnoteReference w:id="83"/>
      </w:r>
      <w:r w:rsidRPr="00AA16D9">
        <w:t xml:space="preserve"> est atteinte à l</w:t>
      </w:r>
      <w:r>
        <w:t>’</w:t>
      </w:r>
      <w:r w:rsidRPr="00AA16D9">
        <w:t>âge de 18 ans, comme électeur lors des élections présidentielles et législatives; à l</w:t>
      </w:r>
      <w:r>
        <w:t>’</w:t>
      </w:r>
      <w:r w:rsidRPr="00AA16D9">
        <w:t>âge de 21 ans, pour pouvoir valablement se faire inscrire sur la liste électorale</w:t>
      </w:r>
      <w:r w:rsidRPr="00AA16D9" w:rsidDel="006C5EF5">
        <w:t xml:space="preserve"> </w:t>
      </w:r>
      <w:r w:rsidRPr="00AA16D9">
        <w:t>des députés; et à l</w:t>
      </w:r>
      <w:r>
        <w:t>’</w:t>
      </w:r>
      <w:r w:rsidRPr="00AA16D9">
        <w:t xml:space="preserve">âge de 18 ans, pour pouvoir valablement se faire inscrire sur la liste électorale des autorités administratives locales; </w:t>
      </w:r>
    </w:p>
    <w:p w:rsidR="0036354A" w:rsidRPr="00AA16D9" w:rsidRDefault="0036354A" w:rsidP="0036354A">
      <w:pPr>
        <w:pStyle w:val="SingleTxtG"/>
        <w:ind w:firstLine="567"/>
      </w:pPr>
      <w:r w:rsidRPr="00AA16D9">
        <w:t>f)</w:t>
      </w:r>
      <w:r w:rsidRPr="00AA16D9">
        <w:tab/>
        <w:t>La majorité pénale</w:t>
      </w:r>
      <w:r w:rsidRPr="00AA16D9">
        <w:rPr>
          <w:sz w:val="18"/>
          <w:szCs w:val="18"/>
          <w:vertAlign w:val="superscript"/>
        </w:rPr>
        <w:footnoteReference w:id="84"/>
      </w:r>
      <w:r w:rsidRPr="00AA16D9">
        <w:t xml:space="preserve">: Elle est fixée à 18 ans; </w:t>
      </w:r>
    </w:p>
    <w:p w:rsidR="0036354A" w:rsidRPr="00AA16D9" w:rsidRDefault="0036354A" w:rsidP="0036354A">
      <w:pPr>
        <w:pStyle w:val="SingleTxtG"/>
        <w:ind w:firstLine="567"/>
      </w:pPr>
      <w:r w:rsidRPr="00AA16D9">
        <w:t>g)</w:t>
      </w:r>
      <w:r w:rsidRPr="00AA16D9">
        <w:tab/>
        <w:t>La majorité</w:t>
      </w:r>
      <w:r w:rsidRPr="00AA16D9">
        <w:rPr>
          <w:sz w:val="18"/>
          <w:szCs w:val="18"/>
          <w:vertAlign w:val="superscript"/>
        </w:rPr>
        <w:footnoteReference w:id="85"/>
      </w:r>
      <w:r w:rsidRPr="00AA16D9">
        <w:t xml:space="preserve"> aux fins de recrutement dans les forces armées, la police nationale et le service local d</w:t>
      </w:r>
      <w:r>
        <w:t>’</w:t>
      </w:r>
      <w:r w:rsidRPr="00AA16D9">
        <w:t>assistance au maintien de la sécurité: 18 ans;</w:t>
      </w:r>
    </w:p>
    <w:p w:rsidR="0036354A" w:rsidRPr="00AA16D9" w:rsidRDefault="0036354A" w:rsidP="0036354A">
      <w:pPr>
        <w:pStyle w:val="SingleTxtG"/>
        <w:ind w:firstLine="567"/>
      </w:pPr>
      <w:r w:rsidRPr="00AA16D9">
        <w:t>h)</w:t>
      </w:r>
      <w:r w:rsidRPr="00AA16D9">
        <w:tab/>
        <w:t>La majorité aux fins d</w:t>
      </w:r>
      <w:r>
        <w:t>’</w:t>
      </w:r>
      <w:r w:rsidRPr="00AA16D9">
        <w:t>acquisition de la nationalité rwandaise</w:t>
      </w:r>
      <w:r w:rsidRPr="00AA16D9">
        <w:rPr>
          <w:sz w:val="18"/>
          <w:szCs w:val="18"/>
          <w:vertAlign w:val="superscript"/>
        </w:rPr>
        <w:footnoteReference w:id="86"/>
      </w:r>
      <w:r w:rsidRPr="00AA16D9">
        <w:t>: 18 ans;</w:t>
      </w:r>
    </w:p>
    <w:p w:rsidR="0036354A" w:rsidRPr="00AA16D9" w:rsidRDefault="0036354A" w:rsidP="0036354A">
      <w:pPr>
        <w:pStyle w:val="SingleTxtG"/>
        <w:ind w:firstLine="567"/>
      </w:pPr>
      <w:r w:rsidRPr="00AA16D9">
        <w:t>i)</w:t>
      </w:r>
      <w:r w:rsidRPr="00AA16D9">
        <w:tab/>
        <w:t>La majorité aux fins de travail: 16 ans (art. 4 de la loi portant réglementation du travail);</w:t>
      </w:r>
    </w:p>
    <w:p w:rsidR="0036354A" w:rsidRPr="00AA16D9" w:rsidRDefault="0036354A" w:rsidP="0036354A">
      <w:pPr>
        <w:pStyle w:val="SingleTxtG"/>
        <w:ind w:firstLine="567"/>
      </w:pPr>
      <w:r w:rsidRPr="00AA16D9">
        <w:t>j)</w:t>
      </w:r>
      <w:r w:rsidRPr="00AA16D9">
        <w:tab/>
        <w:t>La majorité aux fins de la loi sur les sociétés coopératives au Rwanda</w:t>
      </w:r>
      <w:r w:rsidRPr="00AA16D9">
        <w:rPr>
          <w:sz w:val="18"/>
          <w:szCs w:val="18"/>
          <w:vertAlign w:val="superscript"/>
        </w:rPr>
        <w:footnoteReference w:id="87"/>
      </w:r>
      <w:r w:rsidRPr="00AA16D9">
        <w:t>: 16 ans.</w:t>
      </w:r>
    </w:p>
    <w:p w:rsidR="0036354A" w:rsidRPr="00AA16D9" w:rsidRDefault="0036354A" w:rsidP="0036354A">
      <w:pPr>
        <w:pStyle w:val="SingleTxtG"/>
      </w:pPr>
      <w:r w:rsidRPr="00AA16D9">
        <w:rPr>
          <w:szCs w:val="24"/>
        </w:rPr>
        <w:t>160.</w:t>
      </w:r>
      <w:r w:rsidRPr="00AA16D9">
        <w:rPr>
          <w:szCs w:val="24"/>
        </w:rPr>
        <w:tab/>
        <w:t>L</w:t>
      </w:r>
      <w:r>
        <w:t>’</w:t>
      </w:r>
      <w:r w:rsidRPr="00AA16D9">
        <w:t xml:space="preserve">émancipation survient dans les cas suivants: </w:t>
      </w:r>
    </w:p>
    <w:p w:rsidR="0036354A" w:rsidRPr="00AA16D9" w:rsidRDefault="0036354A" w:rsidP="0036354A">
      <w:pPr>
        <w:pStyle w:val="SingleTxtG"/>
        <w:ind w:firstLine="567"/>
      </w:pPr>
      <w:r w:rsidRPr="00AA16D9">
        <w:t>a)</w:t>
      </w:r>
      <w:r w:rsidRPr="00AA16D9">
        <w:tab/>
        <w:t>Dans le cas du mariage: avant vingt et un ans (21) révolus, le ministre de la justice peut accorder la dispense pour des motifs graves (art. 171, 2 et art. 426, Livre 1</w:t>
      </w:r>
      <w:r w:rsidRPr="00AA16D9">
        <w:rPr>
          <w:vertAlign w:val="superscript"/>
        </w:rPr>
        <w:t>er</w:t>
      </w:r>
      <w:r w:rsidRPr="00AA16D9">
        <w:t xml:space="preserve"> du Code Civil);</w:t>
      </w:r>
    </w:p>
    <w:p w:rsidR="0036354A" w:rsidRPr="00AA16D9" w:rsidRDefault="0036354A" w:rsidP="0036354A">
      <w:pPr>
        <w:pStyle w:val="SingleTxtG"/>
        <w:ind w:firstLine="567"/>
      </w:pPr>
      <w:r w:rsidRPr="00AA16D9">
        <w:t>b)</w:t>
      </w:r>
      <w:r w:rsidRPr="00AA16D9">
        <w:tab/>
        <w:t>L</w:t>
      </w:r>
      <w:r>
        <w:t>’</w:t>
      </w:r>
      <w:r w:rsidRPr="00AA16D9">
        <w:t>émancipation s</w:t>
      </w:r>
      <w:r>
        <w:t>’</w:t>
      </w:r>
      <w:r w:rsidRPr="00AA16D9">
        <w:t>opérant par la déclaration du père ou de la mère ou du conseil de tutelle, lorsque le mineur a au moins 18 ans (art. 427 et 428, Livre 1</w:t>
      </w:r>
      <w:r w:rsidRPr="00AA16D9">
        <w:rPr>
          <w:vertAlign w:val="superscript"/>
        </w:rPr>
        <w:t>er</w:t>
      </w:r>
      <w:r w:rsidRPr="00AA16D9">
        <w:t xml:space="preserve"> du Code Civil).</w:t>
      </w:r>
    </w:p>
    <w:p w:rsidR="0036354A" w:rsidRPr="00AA16D9" w:rsidRDefault="0036354A" w:rsidP="0036354A">
      <w:pPr>
        <w:pStyle w:val="H23G"/>
      </w:pPr>
      <w:r w:rsidRPr="00AA16D9">
        <w:tab/>
      </w:r>
      <w:r w:rsidRPr="00AA16D9">
        <w:tab/>
        <w:t>Diverses mesures d</w:t>
      </w:r>
      <w:r>
        <w:t>’</w:t>
      </w:r>
      <w:r w:rsidRPr="00AA16D9">
        <w:t>assistance, protection et consolidation de la famille</w:t>
      </w:r>
    </w:p>
    <w:p w:rsidR="0036354A" w:rsidRPr="00AA16D9" w:rsidRDefault="0036354A" w:rsidP="0036354A">
      <w:pPr>
        <w:pStyle w:val="H4G"/>
      </w:pPr>
      <w:r w:rsidRPr="00AA16D9">
        <w:tab/>
      </w:r>
      <w:r w:rsidRPr="00AA16D9">
        <w:tab/>
        <w:t>Le droit des hommes et des femmes de contracter librement mariage</w:t>
      </w:r>
    </w:p>
    <w:p w:rsidR="0036354A" w:rsidRPr="00AA16D9" w:rsidRDefault="0036354A" w:rsidP="0036354A">
      <w:pPr>
        <w:pStyle w:val="SingleTxtG"/>
      </w:pPr>
      <w:r w:rsidRPr="00AA16D9">
        <w:rPr>
          <w:szCs w:val="24"/>
        </w:rPr>
        <w:t>161.</w:t>
      </w:r>
      <w:r w:rsidRPr="00AA16D9">
        <w:rPr>
          <w:szCs w:val="24"/>
        </w:rPr>
        <w:tab/>
      </w:r>
      <w:r w:rsidRPr="00AA16D9">
        <w:t>L</w:t>
      </w:r>
      <w:r>
        <w:t>’</w:t>
      </w:r>
      <w:r w:rsidRPr="00AA16D9">
        <w:t>homme et la femme peuvent contracter librement mariage et fonder une famille.</w:t>
      </w:r>
    </w:p>
    <w:p w:rsidR="0036354A" w:rsidRPr="00AA16D9" w:rsidRDefault="0036354A" w:rsidP="0036354A">
      <w:pPr>
        <w:pStyle w:val="SingleTxtG"/>
      </w:pPr>
      <w:r w:rsidRPr="00AA16D9">
        <w:rPr>
          <w:szCs w:val="24"/>
        </w:rPr>
        <w:t>162</w:t>
      </w:r>
      <w:r w:rsidRPr="00AA16D9">
        <w:t>.</w:t>
      </w:r>
      <w:r w:rsidRPr="00AA16D9">
        <w:tab/>
        <w:t>La restriction est celle prévue dans la loi</w:t>
      </w:r>
      <w:r w:rsidRPr="00AA16D9">
        <w:rPr>
          <w:sz w:val="18"/>
          <w:szCs w:val="18"/>
          <w:vertAlign w:val="superscript"/>
        </w:rPr>
        <w:footnoteReference w:id="88"/>
      </w:r>
      <w:r w:rsidRPr="00AA16D9">
        <w:t>, qui stipule que «Le mariage est prohibé, en ligne directe, entre tous les ascendants et les descendants et, en ligne collatérale, jusqu</w:t>
      </w:r>
      <w:r>
        <w:t>’</w:t>
      </w:r>
      <w:r w:rsidRPr="00AA16D9">
        <w:t xml:space="preserve">au septième degré». Il est aussi prohibé entre «une personne et ses beaux-parents». Pour les deux dernières catégories, les prohibitions peuvent être levées par le Ministre de la Justice ou son délégué pour des motifs graves. </w:t>
      </w:r>
    </w:p>
    <w:p w:rsidR="0036354A" w:rsidRPr="00AA16D9" w:rsidRDefault="0036354A" w:rsidP="0036354A">
      <w:pPr>
        <w:pStyle w:val="SingleTxtG"/>
      </w:pPr>
      <w:r w:rsidRPr="00AA16D9">
        <w:rPr>
          <w:szCs w:val="24"/>
        </w:rPr>
        <w:t>163.</w:t>
      </w:r>
      <w:r w:rsidRPr="00AA16D9">
        <w:rPr>
          <w:szCs w:val="24"/>
        </w:rPr>
        <w:tab/>
      </w:r>
      <w:r w:rsidRPr="00AA16D9">
        <w:t>Les coutumes existent dans le pays à l</w:t>
      </w:r>
      <w:r>
        <w:t>’</w:t>
      </w:r>
      <w:r w:rsidRPr="00AA16D9">
        <w:t>effet que la dot (inkwano) est obligatoire, mais la loi a allégé cette pratique, en statuant que la validité du mariage ne peut être conditionnée par le versement de l</w:t>
      </w:r>
      <w:r>
        <w:t>’</w:t>
      </w:r>
      <w:r w:rsidRPr="00AA16D9">
        <w:t xml:space="preserve">inkwano (art. 168, Livre 1er du Code Civil). </w:t>
      </w:r>
    </w:p>
    <w:p w:rsidR="0036354A" w:rsidRPr="00AA16D9" w:rsidRDefault="0036354A" w:rsidP="0036354A">
      <w:pPr>
        <w:pStyle w:val="H4G"/>
      </w:pPr>
      <w:r w:rsidRPr="00AA16D9">
        <w:tab/>
      </w:r>
      <w:r w:rsidRPr="00AA16D9">
        <w:tab/>
        <w:t>Les mesures afin de faciliter la formation de la famille et contribuer à la maintenir, à la consolider et à la protéger</w:t>
      </w:r>
    </w:p>
    <w:p w:rsidR="0036354A" w:rsidRPr="00AA16D9" w:rsidRDefault="0036354A" w:rsidP="0036354A">
      <w:pPr>
        <w:pStyle w:val="SingleTxtG"/>
      </w:pPr>
      <w:r w:rsidRPr="00AA16D9">
        <w:t>164.</w:t>
      </w:r>
      <w:r w:rsidRPr="00AA16D9">
        <w:tab/>
        <w:t>Les mesures législatives</w:t>
      </w:r>
      <w:r w:rsidRPr="00AA16D9">
        <w:rPr>
          <w:sz w:val="18"/>
          <w:szCs w:val="18"/>
          <w:vertAlign w:val="superscript"/>
        </w:rPr>
        <w:footnoteReference w:id="89"/>
      </w:r>
      <w:r w:rsidRPr="00AA16D9">
        <w:t xml:space="preserve"> pour accorder assistance et protection à la famille sont les suivantes:</w:t>
      </w:r>
    </w:p>
    <w:p w:rsidR="0036354A" w:rsidRPr="00AA16D9" w:rsidRDefault="0036354A" w:rsidP="0036354A">
      <w:pPr>
        <w:pStyle w:val="SingleTxtG"/>
        <w:ind w:firstLine="567"/>
      </w:pPr>
      <w:r w:rsidRPr="00AA16D9">
        <w:t>a)</w:t>
      </w:r>
      <w:r w:rsidRPr="00AA16D9">
        <w:tab/>
        <w:t>L</w:t>
      </w:r>
      <w:r>
        <w:t>’</w:t>
      </w:r>
      <w:r w:rsidRPr="00AA16D9">
        <w:t>État a un devoir constitutionnel d</w:t>
      </w:r>
      <w:r>
        <w:t>’</w:t>
      </w:r>
      <w:r w:rsidRPr="00AA16D9">
        <w:t>assister dans les limites de ses capacités les rescapés du génocide contre les Tutsi, les personnes vulnérables, handicapées, âgées ou sans ressources (art. 14 de la constitution);</w:t>
      </w:r>
    </w:p>
    <w:p w:rsidR="0036354A" w:rsidRPr="00AA16D9" w:rsidRDefault="0036354A" w:rsidP="0036354A">
      <w:pPr>
        <w:pStyle w:val="SingleTxtG"/>
        <w:ind w:firstLine="567"/>
      </w:pPr>
      <w:r w:rsidRPr="00AA16D9">
        <w:t>b)</w:t>
      </w:r>
      <w:r w:rsidRPr="00AA16D9">
        <w:tab/>
        <w:t>La loi portant création du Fonds National d</w:t>
      </w:r>
      <w:r>
        <w:t>’</w:t>
      </w:r>
      <w:r w:rsidRPr="00AA16D9">
        <w:t>Assistance aux Rescapés du Génocide contre les Tutsi (FARG);</w:t>
      </w:r>
    </w:p>
    <w:p w:rsidR="0036354A" w:rsidRPr="00AA16D9" w:rsidRDefault="0036354A" w:rsidP="0036354A">
      <w:pPr>
        <w:pStyle w:val="SingleTxtG"/>
        <w:ind w:firstLine="567"/>
      </w:pPr>
      <w:r w:rsidRPr="00AA16D9">
        <w:t>c)</w:t>
      </w:r>
      <w:r w:rsidRPr="00AA16D9">
        <w:tab/>
        <w:t>En cas de séparation entre conjoints, la loi prévoit que la femme a droit aux aliments de la part de son époux en vie (art. 200 Loi portant titre préliminaire et livre premier du Code civil);</w:t>
      </w:r>
    </w:p>
    <w:p w:rsidR="0036354A" w:rsidRPr="00AA16D9" w:rsidRDefault="0036354A" w:rsidP="0036354A">
      <w:pPr>
        <w:pStyle w:val="SingleTxtG"/>
        <w:ind w:firstLine="567"/>
      </w:pPr>
      <w:r w:rsidRPr="00AA16D9">
        <w:t>d)</w:t>
      </w:r>
      <w:r w:rsidRPr="00AA16D9">
        <w:tab/>
        <w:t>La loi permet aussi la dispense du paiement de l</w:t>
      </w:r>
      <w:r>
        <w:t>’</w:t>
      </w:r>
      <w:r w:rsidRPr="00AA16D9">
        <w:t>impôt sur le bien immobilier par l</w:t>
      </w:r>
      <w:r>
        <w:t>’</w:t>
      </w:r>
      <w:r w:rsidRPr="00AA16D9">
        <w:t>indigent, sur approbation du conseil de district ou de la ville (art. 9, Loi portant finances des districts et villes et régissant leur utilisation);</w:t>
      </w:r>
    </w:p>
    <w:p w:rsidR="0036354A" w:rsidRPr="00AA16D9" w:rsidRDefault="0036354A" w:rsidP="0036354A">
      <w:pPr>
        <w:pStyle w:val="SingleTxtG"/>
        <w:ind w:firstLine="567"/>
      </w:pPr>
      <w:r w:rsidRPr="00AA16D9">
        <w:t>e)</w:t>
      </w:r>
      <w:r w:rsidRPr="00AA16D9">
        <w:tab/>
        <w:t>La loi relative aux droits et à la protection de l</w:t>
      </w:r>
      <w:r>
        <w:t>’</w:t>
      </w:r>
      <w:r w:rsidRPr="00AA16D9">
        <w:t>enfant contre les violences ainsi que celle protégeant les personnes handicapées;</w:t>
      </w:r>
    </w:p>
    <w:p w:rsidR="0036354A" w:rsidRPr="00AA16D9" w:rsidRDefault="0036354A" w:rsidP="0036354A">
      <w:pPr>
        <w:pStyle w:val="SingleTxtG"/>
        <w:ind w:firstLine="567"/>
      </w:pPr>
      <w:r w:rsidRPr="00AA16D9">
        <w:t>f)</w:t>
      </w:r>
      <w:r w:rsidRPr="00AA16D9">
        <w:tab/>
        <w:t xml:space="preserve">La loi portant prévention et répression de la violence basée sur le genre; </w:t>
      </w:r>
    </w:p>
    <w:p w:rsidR="0036354A" w:rsidRPr="00AA16D9" w:rsidRDefault="0036354A" w:rsidP="0036354A">
      <w:pPr>
        <w:pStyle w:val="SingleTxtG"/>
        <w:ind w:firstLine="567"/>
      </w:pPr>
      <w:r w:rsidRPr="00AA16D9">
        <w:t>g)</w:t>
      </w:r>
      <w:r w:rsidRPr="00AA16D9">
        <w:tab/>
        <w:t>La loi portant sur les régimes matrimoniaux, libéralités et successions garantit l</w:t>
      </w:r>
      <w:r>
        <w:t>’</w:t>
      </w:r>
      <w:r w:rsidRPr="00AA16D9">
        <w:t>égalité de la fille et du garçon dans la succession du père défunt;</w:t>
      </w:r>
    </w:p>
    <w:p w:rsidR="0036354A" w:rsidRPr="00AA16D9" w:rsidRDefault="0036354A" w:rsidP="0036354A">
      <w:pPr>
        <w:pStyle w:val="SingleTxtG"/>
        <w:ind w:firstLine="567"/>
      </w:pPr>
      <w:r w:rsidRPr="00AA16D9">
        <w:t>h)</w:t>
      </w:r>
      <w:r w:rsidRPr="00AA16D9">
        <w:tab/>
        <w:t>L</w:t>
      </w:r>
      <w:r>
        <w:t>’</w:t>
      </w:r>
      <w:r w:rsidRPr="00AA16D9">
        <w:t>arrêté ministériel déterminant les frais de subsistance de l</w:t>
      </w:r>
      <w:r>
        <w:t>’</w:t>
      </w:r>
      <w:r w:rsidRPr="00AA16D9">
        <w:t>ex-combattant handicapé de guerre démuni</w:t>
      </w:r>
      <w:r w:rsidRPr="00AA16D9">
        <w:rPr>
          <w:sz w:val="18"/>
          <w:szCs w:val="18"/>
          <w:vertAlign w:val="superscript"/>
        </w:rPr>
        <w:footnoteReference w:id="90"/>
      </w:r>
      <w:r w:rsidRPr="00AA16D9">
        <w:t>. Des frais de subsistance sont disponibles et alloués mensuellement; le montant varie entre 20 000 Frw et 35 000 Frw selon les catégories;</w:t>
      </w:r>
    </w:p>
    <w:p w:rsidR="0036354A" w:rsidRPr="00AA16D9" w:rsidRDefault="0036354A" w:rsidP="0036354A">
      <w:pPr>
        <w:pStyle w:val="SingleTxtG"/>
        <w:ind w:firstLine="567"/>
      </w:pPr>
      <w:r w:rsidRPr="00AA16D9">
        <w:t>i)</w:t>
      </w:r>
      <w:r w:rsidRPr="00AA16D9">
        <w:tab/>
        <w:t>Plusieurs arrêtés ministériels</w:t>
      </w:r>
      <w:r w:rsidRPr="00AA16D9">
        <w:rPr>
          <w:sz w:val="18"/>
          <w:szCs w:val="18"/>
          <w:vertAlign w:val="superscript"/>
        </w:rPr>
        <w:footnoteReference w:id="91"/>
      </w:r>
      <w:r w:rsidRPr="00AA16D9">
        <w:t xml:space="preserve"> pour une plus grande protection des personnes handicapées ont été adoptés dont l</w:t>
      </w:r>
      <w:r>
        <w:t>’</w:t>
      </w:r>
      <w:r w:rsidRPr="00AA16D9">
        <w:t>arrêté portant modalités de suivi des activités des tuteurs et des centres de prise en charge des personnes handicapées; l</w:t>
      </w:r>
      <w:r>
        <w:t>’</w:t>
      </w:r>
      <w:r w:rsidRPr="00AA16D9">
        <w:t>arrêté portant modalités d</w:t>
      </w:r>
      <w:r>
        <w:t>’</w:t>
      </w:r>
      <w:r w:rsidRPr="00AA16D9">
        <w:t>assistance aux personnes handicapées en cas de conflit, d</w:t>
      </w:r>
      <w:r>
        <w:t>’</w:t>
      </w:r>
      <w:r w:rsidRPr="00AA16D9">
        <w:t>accident et d</w:t>
      </w:r>
      <w:r>
        <w:t>’</w:t>
      </w:r>
      <w:r w:rsidRPr="00AA16D9">
        <w:t>autres catastrophes; l</w:t>
      </w:r>
      <w:r>
        <w:t>’</w:t>
      </w:r>
      <w:r w:rsidRPr="00AA16D9">
        <w:t>arrêté portant modalités de prise en charge par l</w:t>
      </w:r>
      <w:r>
        <w:t>’</w:t>
      </w:r>
      <w:r w:rsidRPr="00AA16D9">
        <w:t>État de personne handicapée sans assistance, l</w:t>
      </w:r>
      <w:r>
        <w:t>’</w:t>
      </w:r>
      <w:r w:rsidRPr="00AA16D9">
        <w:t>arrêté déterminant les modalités de construction des bâtiments où différents services publics sont prestés de façon à faciliter l</w:t>
      </w:r>
      <w:r>
        <w:t>’</w:t>
      </w:r>
      <w:r w:rsidRPr="00AA16D9">
        <w:t>accès aux personnes handicapées; l</w:t>
      </w:r>
      <w:r>
        <w:t>’</w:t>
      </w:r>
      <w:r w:rsidRPr="00AA16D9">
        <w:t>arrêté déterminant les modalités d</w:t>
      </w:r>
      <w:r>
        <w:t>’</w:t>
      </w:r>
      <w:r w:rsidRPr="00AA16D9">
        <w:t>octroi des facilités aux personnes handicapées pour leur transport nécessaire dans le pays; l</w:t>
      </w:r>
      <w:r>
        <w:t>’</w:t>
      </w:r>
      <w:r w:rsidRPr="00AA16D9">
        <w:t>arrêté déterminant les modalités d</w:t>
      </w:r>
      <w:r>
        <w:t>’</w:t>
      </w:r>
      <w:r w:rsidRPr="00AA16D9">
        <w:t>accès à un emploi aux personnes handicapées; l</w:t>
      </w:r>
      <w:r>
        <w:t>’</w:t>
      </w:r>
      <w:r w:rsidRPr="00AA16D9">
        <w:t>arrêté déterminant les modalités d</w:t>
      </w:r>
      <w:r>
        <w:t>’</w:t>
      </w:r>
      <w:r w:rsidRPr="00AA16D9">
        <w:t>accès aux soins médicaux pour les personnes handicapées; l</w:t>
      </w:r>
      <w:r>
        <w:t>’</w:t>
      </w:r>
      <w:r w:rsidRPr="00AA16D9">
        <w:t>arrêté déterminant les modalités d</w:t>
      </w:r>
      <w:r>
        <w:t>’</w:t>
      </w:r>
      <w:r w:rsidRPr="00AA16D9">
        <w:t>octroi des facilités aux personnes handicapées en matière de communication, etc.</w:t>
      </w:r>
    </w:p>
    <w:p w:rsidR="0036354A" w:rsidRPr="00AA16D9" w:rsidRDefault="0036354A" w:rsidP="0036354A">
      <w:pPr>
        <w:pStyle w:val="SingleTxtG"/>
      </w:pPr>
      <w:r w:rsidRPr="00AA16D9">
        <w:rPr>
          <w:szCs w:val="24"/>
        </w:rPr>
        <w:t>165.</w:t>
      </w:r>
      <w:r w:rsidRPr="00AA16D9">
        <w:rPr>
          <w:szCs w:val="24"/>
        </w:rPr>
        <w:tab/>
      </w:r>
      <w:r w:rsidRPr="00AA16D9">
        <w:t>Les politiques prévues à cet effet sont les suivantes:</w:t>
      </w:r>
    </w:p>
    <w:p w:rsidR="0036354A" w:rsidRPr="00AA16D9" w:rsidRDefault="0036354A" w:rsidP="0036354A">
      <w:pPr>
        <w:pStyle w:val="SingleTxtG"/>
        <w:ind w:firstLine="567"/>
      </w:pPr>
      <w:r w:rsidRPr="00AA16D9">
        <w:t>a)</w:t>
      </w:r>
      <w:r w:rsidRPr="00AA16D9">
        <w:tab/>
        <w:t xml:space="preserve">Les actions du Ministère en charge de la famille et du genre; </w:t>
      </w:r>
    </w:p>
    <w:p w:rsidR="0036354A" w:rsidRPr="00AA16D9" w:rsidRDefault="0036354A" w:rsidP="0036354A">
      <w:pPr>
        <w:pStyle w:val="SingleTxtG"/>
        <w:ind w:firstLine="567"/>
      </w:pPr>
      <w:r w:rsidRPr="00AA16D9">
        <w:t>b)</w:t>
      </w:r>
      <w:r w:rsidRPr="00AA16D9">
        <w:tab/>
        <w:t>Le programme national de réduction de la pauvreté, dont la réalisation aura un impact positif sur le bien-être de la famille;</w:t>
      </w:r>
    </w:p>
    <w:p w:rsidR="0036354A" w:rsidRPr="00AA16D9" w:rsidRDefault="0036354A" w:rsidP="0036354A">
      <w:pPr>
        <w:pStyle w:val="SingleTxtG"/>
        <w:ind w:firstLine="567"/>
      </w:pPr>
      <w:r w:rsidRPr="00AA16D9">
        <w:t>c)</w:t>
      </w:r>
      <w:r w:rsidRPr="00AA16D9">
        <w:tab/>
        <w:t>La politique nationale de protection sociale: elle vise le bien-être des groupes vulnérables (comme les veuves, les femmes ou les enfants chefs de ménage);</w:t>
      </w:r>
    </w:p>
    <w:p w:rsidR="0036354A" w:rsidRPr="00AA16D9" w:rsidRDefault="0036354A" w:rsidP="0036354A">
      <w:pPr>
        <w:pStyle w:val="SingleTxtG"/>
        <w:ind w:firstLine="567"/>
      </w:pPr>
      <w:r w:rsidRPr="00AA16D9">
        <w:t>d)</w:t>
      </w:r>
      <w:r w:rsidRPr="00AA16D9">
        <w:tab/>
        <w:t>La politique nationale des enfants orphelins et autres enfants vulnérables;</w:t>
      </w:r>
    </w:p>
    <w:p w:rsidR="0036354A" w:rsidRPr="00AA16D9" w:rsidRDefault="0036354A" w:rsidP="0036354A">
      <w:pPr>
        <w:pStyle w:val="SingleTxtG"/>
        <w:ind w:firstLine="567"/>
      </w:pPr>
      <w:r w:rsidRPr="00AA16D9">
        <w:t>e)</w:t>
      </w:r>
      <w:r w:rsidRPr="00AA16D9">
        <w:tab/>
        <w:t xml:space="preserve">La politique nationale du genre visant aussi le bien-être de la famille; </w:t>
      </w:r>
    </w:p>
    <w:p w:rsidR="0036354A" w:rsidRPr="00AA16D9" w:rsidRDefault="0036354A" w:rsidP="0036354A">
      <w:pPr>
        <w:pStyle w:val="SingleTxtG"/>
        <w:ind w:firstLine="567"/>
      </w:pPr>
      <w:r w:rsidRPr="00AA16D9">
        <w:t>f)</w:t>
      </w:r>
      <w:r w:rsidRPr="00AA16D9">
        <w:tab/>
        <w:t>La politique nationale de la population pour le développement durable au Rwanda: elle vise l</w:t>
      </w:r>
      <w:r>
        <w:t>’</w:t>
      </w:r>
      <w:r w:rsidRPr="00AA16D9">
        <w:t>amélioration de la qualité de vie de la population en général;</w:t>
      </w:r>
    </w:p>
    <w:p w:rsidR="0036354A" w:rsidRPr="00AA16D9" w:rsidRDefault="0036354A" w:rsidP="0036354A">
      <w:pPr>
        <w:pStyle w:val="SingleTxtG"/>
        <w:ind w:firstLine="567"/>
      </w:pPr>
      <w:r w:rsidRPr="00AA16D9">
        <w:t>g)</w:t>
      </w:r>
      <w:r w:rsidRPr="00AA16D9">
        <w:tab/>
        <w:t>La politique nationale des personnes âgées et des personnes handicapées;</w:t>
      </w:r>
    </w:p>
    <w:p w:rsidR="0036354A" w:rsidRPr="00AA16D9" w:rsidRDefault="0036354A" w:rsidP="0036354A">
      <w:pPr>
        <w:pStyle w:val="SingleTxtG"/>
        <w:ind w:firstLine="567"/>
      </w:pPr>
      <w:r w:rsidRPr="00AA16D9">
        <w:t>h)</w:t>
      </w:r>
      <w:r w:rsidRPr="00AA16D9">
        <w:tab/>
        <w:t>L</w:t>
      </w:r>
      <w:r>
        <w:t>’</w:t>
      </w:r>
      <w:r w:rsidRPr="00AA16D9">
        <w:t xml:space="preserve">intégration de la dimension genre dans la vision 2020 et dans les politiques de réduction de la pauvreté. </w:t>
      </w:r>
    </w:p>
    <w:p w:rsidR="0036354A" w:rsidRPr="00AA16D9" w:rsidRDefault="0036354A" w:rsidP="0036354A">
      <w:pPr>
        <w:pStyle w:val="SingleTxtG"/>
      </w:pPr>
      <w:r w:rsidRPr="00AA16D9">
        <w:rPr>
          <w:szCs w:val="24"/>
        </w:rPr>
        <w:t>166.</w:t>
      </w:r>
      <w:r w:rsidRPr="00AA16D9">
        <w:rPr>
          <w:szCs w:val="24"/>
        </w:rPr>
        <w:tab/>
      </w:r>
      <w:r w:rsidRPr="00AA16D9">
        <w:t xml:space="preserve">Les autres initiatives sont notamment: </w:t>
      </w:r>
    </w:p>
    <w:p w:rsidR="0036354A" w:rsidRPr="00AA16D9" w:rsidRDefault="0036354A" w:rsidP="0036354A">
      <w:pPr>
        <w:pStyle w:val="SingleTxtG"/>
        <w:ind w:firstLine="567"/>
      </w:pPr>
      <w:r w:rsidRPr="00AA16D9">
        <w:t>a)</w:t>
      </w:r>
      <w:r w:rsidRPr="00AA16D9">
        <w:tab/>
        <w:t>Le programme de distribution d</w:t>
      </w:r>
      <w:r>
        <w:t>’</w:t>
      </w:r>
      <w:r w:rsidRPr="00AA16D9">
        <w:t>une vache par famille. Ce projet date de 2006 et il vise à réduire les taux de malnutrition surtout parmi les enfants des familles les plus vulnérables financièrement. Il se focalise sur les familles ayant moins de 0,75 hectare de terre. Au 1</w:t>
      </w:r>
      <w:r w:rsidRPr="00AA16D9">
        <w:rPr>
          <w:vertAlign w:val="superscript"/>
        </w:rPr>
        <w:t>er</w:t>
      </w:r>
      <w:r w:rsidRPr="00AA16D9">
        <w:t xml:space="preserve"> semestre 2008, la distribution d</w:t>
      </w:r>
      <w:r>
        <w:t>’</w:t>
      </w:r>
      <w:r w:rsidRPr="00AA16D9">
        <w:t>une vache avait été faite dans 30 000 familles depuis le début du programme</w:t>
      </w:r>
      <w:r w:rsidRPr="00AA16D9">
        <w:rPr>
          <w:sz w:val="18"/>
          <w:szCs w:val="18"/>
          <w:vertAlign w:val="superscript"/>
        </w:rPr>
        <w:footnoteReference w:id="92"/>
      </w:r>
      <w:r w:rsidRPr="00AA16D9">
        <w:t xml:space="preserve"> (il est prévu qu</w:t>
      </w:r>
      <w:r>
        <w:t>’</w:t>
      </w:r>
      <w:r w:rsidRPr="00AA16D9">
        <w:t>à la fin de l</w:t>
      </w:r>
      <w:r>
        <w:t>’</w:t>
      </w:r>
      <w:r w:rsidRPr="00AA16D9">
        <w:t>année 2012, 501 572 familles auront bénéficié du programme);</w:t>
      </w:r>
    </w:p>
    <w:p w:rsidR="0036354A" w:rsidRPr="00AA16D9" w:rsidRDefault="0036354A" w:rsidP="0036354A">
      <w:pPr>
        <w:pStyle w:val="SingleTxtG"/>
        <w:ind w:firstLine="567"/>
      </w:pPr>
      <w:r w:rsidRPr="00AA16D9">
        <w:t>b)</w:t>
      </w:r>
      <w:r w:rsidRPr="00AA16D9">
        <w:tab/>
        <w:t>Le programme communautaire de l</w:t>
      </w:r>
      <w:r>
        <w:t>’</w:t>
      </w:r>
      <w:r w:rsidRPr="00AA16D9">
        <w:rPr>
          <w:i/>
        </w:rPr>
        <w:t xml:space="preserve">Ubudehe. </w:t>
      </w:r>
      <w:r w:rsidRPr="00AA16D9">
        <w:t>Il</w:t>
      </w:r>
      <w:r w:rsidRPr="00AA16D9">
        <w:rPr>
          <w:i/>
        </w:rPr>
        <w:t xml:space="preserve"> </w:t>
      </w:r>
      <w:r w:rsidRPr="00AA16D9">
        <w:t>permet aux collectivités locales d</w:t>
      </w:r>
      <w:r>
        <w:t>’</w:t>
      </w:r>
      <w:r w:rsidRPr="00AA16D9">
        <w:t>identifier en leur sein les familles les plus pauvres. Ces dernières reçoivent un fonds de roulement pour entamer un projet générant des revenus. Les bénéficiaires pourront à leur tour étendre ce bienfait à d</w:t>
      </w:r>
      <w:r>
        <w:t>’</w:t>
      </w:r>
      <w:r w:rsidRPr="00AA16D9">
        <w:t>autres familles dans le besoin (ce que l</w:t>
      </w:r>
      <w:r>
        <w:t>’</w:t>
      </w:r>
      <w:r w:rsidRPr="00AA16D9">
        <w:t xml:space="preserve">on appelle </w:t>
      </w:r>
      <w:r w:rsidRPr="00AA16D9">
        <w:rPr>
          <w:i/>
        </w:rPr>
        <w:t>kugabira</w:t>
      </w:r>
      <w:r w:rsidRPr="00AA16D9">
        <w:t xml:space="preserve"> et </w:t>
      </w:r>
      <w:r w:rsidRPr="00C13FE4">
        <w:rPr>
          <w:i/>
        </w:rPr>
        <w:t>k</w:t>
      </w:r>
      <w:r w:rsidRPr="00AA16D9">
        <w:rPr>
          <w:i/>
        </w:rPr>
        <w:t>witura</w:t>
      </w:r>
      <w:r w:rsidRPr="00AA16D9">
        <w:t>). En 2006, ce programme a financé 8 459 projets dans 21 secteurs d</w:t>
      </w:r>
      <w:r>
        <w:t>’</w:t>
      </w:r>
      <w:r w:rsidRPr="00AA16D9">
        <w:t>activité. Ce projet a profité à 29 674 bénéficiaires durant l</w:t>
      </w:r>
      <w:r>
        <w:t>’</w:t>
      </w:r>
      <w:r w:rsidRPr="00AA16D9">
        <w:t>année 2007/08</w:t>
      </w:r>
      <w:r w:rsidRPr="00AA16D9">
        <w:rPr>
          <w:sz w:val="18"/>
          <w:szCs w:val="18"/>
          <w:vertAlign w:val="superscript"/>
        </w:rPr>
        <w:footnoteReference w:id="93"/>
      </w:r>
      <w:r w:rsidRPr="00AA16D9">
        <w:t>. Depuis 2007, les 9 154 villages que compte le Rwanda ont tous participé à mettre en place une structure et une analyse des besoins et priorités spécifiques à leur village. Une assistance directe est prodiguée à ceux qui ne peuvent pas travailler tandis que pour ceux qui peuvent être intégrés dans un emploi quelconque, des projets de création d</w:t>
      </w:r>
      <w:r>
        <w:t>’</w:t>
      </w:r>
      <w:r w:rsidRPr="00AA16D9">
        <w:t>emplois générateurs de revenus existent. Ajoutons au programme Ubudehe, le programme Vision 2020 Umurenge (VUP) officiellement lancé en 2008: il est opérationnel dans 28 secteurs identifiés comme les plus démunis. Il vise aussi l</w:t>
      </w:r>
      <w:r>
        <w:t>’</w:t>
      </w:r>
      <w:r w:rsidRPr="00AA16D9">
        <w:t>appui direct aux couches de la population les plus vulnérables ainsi que le développement de projets de création d</w:t>
      </w:r>
      <w:r>
        <w:t>’</w:t>
      </w:r>
      <w:r w:rsidRPr="00AA16D9">
        <w:t>emploi dans les régions ciblées. 19 626 individus ont pu trouver de l</w:t>
      </w:r>
      <w:r>
        <w:t>’</w:t>
      </w:r>
      <w:r w:rsidRPr="00AA16D9">
        <w:t>emploi grâce à ce programme en 2008. Les projets financés étaient entre autres la construction des routes et des terrasses et l</w:t>
      </w:r>
      <w:r>
        <w:t>’</w:t>
      </w:r>
      <w:r w:rsidRPr="00AA16D9">
        <w:t>aménagement des fossés antiérosifs. Ces deux programmes sont financés à même les fonds du Fonds Commun de Développement</w:t>
      </w:r>
      <w:r w:rsidRPr="00AA16D9">
        <w:rPr>
          <w:sz w:val="18"/>
          <w:szCs w:val="18"/>
          <w:vertAlign w:val="superscript"/>
        </w:rPr>
        <w:footnoteReference w:id="94"/>
      </w:r>
      <w:r w:rsidRPr="00AA16D9">
        <w:t>;</w:t>
      </w:r>
    </w:p>
    <w:p w:rsidR="0036354A" w:rsidRPr="00AA16D9" w:rsidRDefault="0036354A" w:rsidP="0036354A">
      <w:pPr>
        <w:pStyle w:val="SingleTxtG"/>
        <w:ind w:firstLine="567"/>
      </w:pPr>
      <w:r w:rsidRPr="00AA16D9">
        <w:t>c)</w:t>
      </w:r>
      <w:r w:rsidRPr="00AA16D9">
        <w:tab/>
        <w:t>Il y a aussi la construction de maisons pour les personnes vulnérables. Des initiatives de l</w:t>
      </w:r>
      <w:r>
        <w:t>’</w:t>
      </w:r>
      <w:r w:rsidRPr="00AA16D9">
        <w:t>État et de ses partenaires existent. Depuis 2006, la coordination des efforts et des fonds se fait par le biais du Ministère chargé de l</w:t>
      </w:r>
      <w:r>
        <w:t>’</w:t>
      </w:r>
      <w:r w:rsidRPr="00AA16D9">
        <w:t>administration locale. Les constructions des maisons se font directement par les habitants eux-mêmes, les outils étant fournis à même le fonds budgétaire envoyé dans les districts; d</w:t>
      </w:r>
      <w:r>
        <w:t>’</w:t>
      </w:r>
      <w:r w:rsidRPr="00AA16D9">
        <w:t>autres habitations sont construites lors de travaux communautaires ou par le programme des Travaux d</w:t>
      </w:r>
      <w:r>
        <w:t>’</w:t>
      </w:r>
      <w:r w:rsidRPr="00AA16D9">
        <w:t>Intérêt Général. Les bénéficiaires de ces programmes sont les personnes nouvellement rentrées au pays que sont les expulsés de la Tanzanie; les populations historiquement marginalisées et autres catégories vulnérables comme les vieillards, les orphelins, les rescapés du génocide ou les personnes handicapées</w:t>
      </w:r>
      <w:r w:rsidRPr="00AA16D9">
        <w:rPr>
          <w:sz w:val="18"/>
          <w:szCs w:val="18"/>
          <w:vertAlign w:val="superscript"/>
        </w:rPr>
        <w:footnoteReference w:id="95"/>
      </w:r>
      <w:r w:rsidRPr="00AA16D9">
        <w:t>;</w:t>
      </w:r>
    </w:p>
    <w:p w:rsidR="0036354A" w:rsidRPr="00AA16D9" w:rsidRDefault="0036354A" w:rsidP="0036354A">
      <w:pPr>
        <w:pStyle w:val="SingleTxtG"/>
        <w:ind w:firstLine="567"/>
      </w:pPr>
      <w:r w:rsidRPr="00AA16D9">
        <w:t>d)</w:t>
      </w:r>
      <w:r w:rsidRPr="00AA16D9">
        <w:tab/>
        <w:t>Pour ce qui est des personnes âgées, l</w:t>
      </w:r>
      <w:r>
        <w:t>’</w:t>
      </w:r>
      <w:r w:rsidRPr="00AA16D9">
        <w:t>État aussi bien que les organisations non gouvernementales et spécialement les communautés religieuses sont très impliqués dans les activités d</w:t>
      </w:r>
      <w:r>
        <w:t>’</w:t>
      </w:r>
      <w:r w:rsidRPr="00AA16D9">
        <w:t>assistance. L</w:t>
      </w:r>
      <w:r>
        <w:t>’</w:t>
      </w:r>
      <w:r w:rsidRPr="00AA16D9">
        <w:t>Association Rwandaise des Personnes Âgées (ARPA) ainsi que d</w:t>
      </w:r>
      <w:r>
        <w:t>’</w:t>
      </w:r>
      <w:r w:rsidRPr="00AA16D9">
        <w:t>autres associations et établissements bénéficient de l</w:t>
      </w:r>
      <w:r>
        <w:t>’</w:t>
      </w:r>
      <w:r w:rsidRPr="00AA16D9">
        <w:t>assistance et du soutien de l</w:t>
      </w:r>
      <w:r>
        <w:t>’</w:t>
      </w:r>
      <w:r w:rsidRPr="00AA16D9">
        <w:t>État dans le cadre du programme d</w:t>
      </w:r>
      <w:r>
        <w:t>’</w:t>
      </w:r>
      <w:r w:rsidRPr="00AA16D9">
        <w:t>aide et d</w:t>
      </w:r>
      <w:r>
        <w:t>’</w:t>
      </w:r>
      <w:r w:rsidRPr="00AA16D9">
        <w:t>assistance aux personnes sans ressources. L</w:t>
      </w:r>
      <w:r>
        <w:t>’</w:t>
      </w:r>
      <w:r w:rsidRPr="00AA16D9">
        <w:t>assistance sociale en vue de lutter contre leur isolement est assurée par des ONG comme Help Age International.</w:t>
      </w:r>
    </w:p>
    <w:p w:rsidR="0036354A" w:rsidRPr="00AA16D9" w:rsidRDefault="0036354A" w:rsidP="0036354A">
      <w:pPr>
        <w:pStyle w:val="SingleTxtG"/>
      </w:pPr>
      <w:r w:rsidRPr="00AA16D9">
        <w:rPr>
          <w:szCs w:val="24"/>
        </w:rPr>
        <w:t>167.</w:t>
      </w:r>
      <w:r w:rsidRPr="00AA16D9">
        <w:rPr>
          <w:szCs w:val="24"/>
        </w:rPr>
        <w:tab/>
      </w:r>
      <w:r w:rsidRPr="00AA16D9">
        <w:t>D</w:t>
      </w:r>
      <w:r>
        <w:t>’</w:t>
      </w:r>
      <w:r w:rsidRPr="00AA16D9">
        <w:t xml:space="preserve">autres mesures et pratiques sont notamment: </w:t>
      </w:r>
    </w:p>
    <w:p w:rsidR="0036354A" w:rsidRPr="00AA16D9" w:rsidRDefault="0036354A" w:rsidP="0036354A">
      <w:pPr>
        <w:pStyle w:val="Bullet1G"/>
      </w:pPr>
      <w:r w:rsidRPr="00AA16D9">
        <w:t>La promotion de l</w:t>
      </w:r>
      <w:r>
        <w:t>’</w:t>
      </w:r>
      <w:r w:rsidRPr="00AA16D9">
        <w:t>esprit associatif et le développement des groupements coopératifs;</w:t>
      </w:r>
    </w:p>
    <w:p w:rsidR="0036354A" w:rsidRPr="00AA16D9" w:rsidRDefault="0036354A" w:rsidP="0036354A">
      <w:pPr>
        <w:pStyle w:val="Bullet1G"/>
      </w:pPr>
      <w:r w:rsidRPr="00AA16D9">
        <w:t>L</w:t>
      </w:r>
      <w:r>
        <w:t>’</w:t>
      </w:r>
      <w:r w:rsidRPr="00AA16D9">
        <w:t>assistance fournie par l</w:t>
      </w:r>
      <w:r>
        <w:t>’</w:t>
      </w:r>
      <w:r w:rsidRPr="00AA16D9">
        <w:t>État afin d</w:t>
      </w:r>
      <w:r>
        <w:t>’</w:t>
      </w:r>
      <w:r w:rsidRPr="00AA16D9">
        <w:t>accéder aux soins de santé (par la souscription aux mutuelles de santé);</w:t>
      </w:r>
    </w:p>
    <w:p w:rsidR="0036354A" w:rsidRPr="00AA16D9" w:rsidRDefault="0036354A" w:rsidP="0036354A">
      <w:pPr>
        <w:pStyle w:val="Bullet1G"/>
      </w:pPr>
      <w:r w:rsidRPr="00AA16D9">
        <w:t>La promotion de l</w:t>
      </w:r>
      <w:r>
        <w:t>’</w:t>
      </w:r>
      <w:r w:rsidRPr="00AA16D9">
        <w:t>allaitement maternel;</w:t>
      </w:r>
    </w:p>
    <w:p w:rsidR="0036354A" w:rsidRPr="00AA16D9" w:rsidRDefault="0036354A" w:rsidP="0036354A">
      <w:pPr>
        <w:pStyle w:val="Bullet1G"/>
      </w:pPr>
      <w:r w:rsidRPr="00AA16D9">
        <w:t>Les mesures en matière de santé à l</w:t>
      </w:r>
      <w:r>
        <w:t>’</w:t>
      </w:r>
      <w:r w:rsidRPr="00AA16D9">
        <w:t>effet aussi de maintenir et consolider la famille (la politique de lutte contre le sida, les programmes de lutte contre la transmission du sida de la mère à l</w:t>
      </w:r>
      <w:r>
        <w:t>’</w:t>
      </w:r>
      <w:r w:rsidRPr="00AA16D9">
        <w:t>enfant; les détails sont discutés sous l</w:t>
      </w:r>
      <w:r>
        <w:t>’</w:t>
      </w:r>
      <w:r w:rsidRPr="00AA16D9">
        <w:t>article 12);</w:t>
      </w:r>
    </w:p>
    <w:p w:rsidR="0036354A" w:rsidRPr="00AA16D9" w:rsidRDefault="0036354A" w:rsidP="0036354A">
      <w:pPr>
        <w:pStyle w:val="Bullet1G"/>
      </w:pPr>
      <w:r w:rsidRPr="00AA16D9">
        <w:t>Les fonds aux fins d</w:t>
      </w:r>
      <w:r>
        <w:t>’</w:t>
      </w:r>
      <w:r w:rsidRPr="00AA16D9">
        <w:t>éducation du Ministère de l</w:t>
      </w:r>
      <w:r>
        <w:t>’</w:t>
      </w:r>
      <w:r w:rsidRPr="00AA16D9">
        <w:t>éducation en faveur des écoliers, qui aident ainsi les parents à faire face à leurs obligations; l</w:t>
      </w:r>
      <w:r>
        <w:t>’</w:t>
      </w:r>
      <w:r w:rsidRPr="00AA16D9">
        <w:t>enseignement gratuit et obligatoire au niveau du primaire et du tronc commun;</w:t>
      </w:r>
    </w:p>
    <w:p w:rsidR="0036354A" w:rsidRPr="00AA16D9" w:rsidRDefault="0036354A" w:rsidP="0036354A">
      <w:pPr>
        <w:pStyle w:val="Bullet1G"/>
      </w:pPr>
      <w:r w:rsidRPr="00AA16D9">
        <w:t>Les fonds d</w:t>
      </w:r>
      <w:r>
        <w:t>’</w:t>
      </w:r>
      <w:r w:rsidRPr="00AA16D9">
        <w:t>assistance sociale au niveau de chaque district;</w:t>
      </w:r>
    </w:p>
    <w:p w:rsidR="0036354A" w:rsidRPr="00AA16D9" w:rsidRDefault="0036354A" w:rsidP="0036354A">
      <w:pPr>
        <w:pStyle w:val="Bullet1G"/>
      </w:pPr>
      <w:r w:rsidRPr="00AA16D9">
        <w:t>Mise sur pied d</w:t>
      </w:r>
      <w:r>
        <w:t>’</w:t>
      </w:r>
      <w:r w:rsidRPr="00AA16D9">
        <w:t>une unité de protection contre la violence basée sur le genre au sein de la police et de l</w:t>
      </w:r>
      <w:r>
        <w:t>’</w:t>
      </w:r>
      <w:r w:rsidRPr="00AA16D9">
        <w:t>armée nationale;</w:t>
      </w:r>
    </w:p>
    <w:p w:rsidR="0036354A" w:rsidRPr="00AA16D9" w:rsidRDefault="0036354A" w:rsidP="0036354A">
      <w:pPr>
        <w:pStyle w:val="Bullet1G"/>
      </w:pPr>
      <w:r w:rsidRPr="00AA16D9">
        <w:t xml:space="preserve">Afin de protéger les familles, les couples en union libre sont encouragés à régulariser leur union, les frais payables aux districts étant annulés. </w:t>
      </w:r>
    </w:p>
    <w:p w:rsidR="0036354A" w:rsidRPr="00AA16D9" w:rsidRDefault="0036354A" w:rsidP="0036354A">
      <w:pPr>
        <w:pStyle w:val="H4G"/>
      </w:pPr>
      <w:r w:rsidRPr="00AA16D9">
        <w:tab/>
      </w:r>
      <w:r w:rsidRPr="00AA16D9">
        <w:tab/>
        <w:t xml:space="preserve">Les mesures prises pour faciliter la formation de la famille en vue de la consolider </w:t>
      </w:r>
    </w:p>
    <w:p w:rsidR="0036354A" w:rsidRPr="00AA16D9" w:rsidRDefault="0036354A" w:rsidP="0036354A">
      <w:pPr>
        <w:pStyle w:val="SingleTxtG"/>
      </w:pPr>
      <w:r w:rsidRPr="00AA16D9">
        <w:rPr>
          <w:szCs w:val="24"/>
        </w:rPr>
        <w:t>168.</w:t>
      </w:r>
      <w:r w:rsidRPr="00AA16D9">
        <w:rPr>
          <w:szCs w:val="24"/>
        </w:rPr>
        <w:tab/>
      </w:r>
      <w:r w:rsidRPr="00AA16D9">
        <w:t>Des mesures ont été prises pour faciliter la formation de la famille, notamment:</w:t>
      </w:r>
    </w:p>
    <w:p w:rsidR="0036354A" w:rsidRPr="00AA16D9" w:rsidRDefault="0036354A" w:rsidP="0036354A">
      <w:pPr>
        <w:pStyle w:val="Bullet1G"/>
      </w:pPr>
      <w:r w:rsidRPr="00AA16D9">
        <w:t>Mise en place d</w:t>
      </w:r>
      <w:r>
        <w:t>’</w:t>
      </w:r>
      <w:r w:rsidRPr="00AA16D9">
        <w:t>une plate-forme de</w:t>
      </w:r>
      <w:r w:rsidRPr="00AA16D9">
        <w:rPr>
          <w:b/>
        </w:rPr>
        <w:t xml:space="preserve"> </w:t>
      </w:r>
      <w:r w:rsidRPr="00AA16D9">
        <w:t>programmes d</w:t>
      </w:r>
      <w:r>
        <w:t>’</w:t>
      </w:r>
      <w:r w:rsidRPr="00AA16D9">
        <w:t xml:space="preserve">éducation culturelle, </w:t>
      </w:r>
      <w:r w:rsidRPr="00AA16D9">
        <w:rPr>
          <w:i/>
        </w:rPr>
        <w:t xml:space="preserve">Itorero. </w:t>
      </w:r>
      <w:r w:rsidRPr="00AA16D9">
        <w:t>C</w:t>
      </w:r>
      <w:r>
        <w:t>’</w:t>
      </w:r>
      <w:r w:rsidRPr="00AA16D9">
        <w:t>est un</w:t>
      </w:r>
      <w:r w:rsidRPr="00AA16D9">
        <w:rPr>
          <w:b/>
        </w:rPr>
        <w:t xml:space="preserve"> </w:t>
      </w:r>
      <w:r w:rsidRPr="00AA16D9">
        <w:t>rassemblement où les gens discutent de plusieurs sujets comme l</w:t>
      </w:r>
      <w:r>
        <w:t>’</w:t>
      </w:r>
      <w:r w:rsidRPr="00AA16D9">
        <w:t>unité, la réconciliation et les problèmes socioéconomiques affectant leur communauté et le pays en général et des solutions à y apporter;</w:t>
      </w:r>
    </w:p>
    <w:p w:rsidR="0036354A" w:rsidRPr="00AA16D9" w:rsidRDefault="0036354A" w:rsidP="0036354A">
      <w:pPr>
        <w:pStyle w:val="Bullet1G"/>
      </w:pPr>
      <w:r w:rsidRPr="00AA16D9">
        <w:t>Création d</w:t>
      </w:r>
      <w:r>
        <w:t>’</w:t>
      </w:r>
      <w:r w:rsidRPr="00AA16D9">
        <w:t>associations (clubs pour les jeunes et les adolescents) pour l</w:t>
      </w:r>
      <w:r>
        <w:t>’</w:t>
      </w:r>
      <w:r w:rsidRPr="00AA16D9">
        <w:t>éducation aux valeurs positives de la famille;</w:t>
      </w:r>
    </w:p>
    <w:p w:rsidR="0036354A" w:rsidRPr="00AA16D9" w:rsidRDefault="0036354A" w:rsidP="0036354A">
      <w:pPr>
        <w:pStyle w:val="Bullet1G"/>
      </w:pPr>
      <w:r w:rsidRPr="00AA16D9">
        <w:t>Renforcement des mécanismes traditionnels de règlement des conflits impliquant les familles (en particulier les femmes et les personnes âgées) dans la médiation;</w:t>
      </w:r>
    </w:p>
    <w:p w:rsidR="0036354A" w:rsidRPr="00AA16D9" w:rsidRDefault="0036354A" w:rsidP="0036354A">
      <w:pPr>
        <w:pStyle w:val="Bullet1G"/>
      </w:pPr>
      <w:r w:rsidRPr="00AA16D9">
        <w:t>L</w:t>
      </w:r>
      <w:r>
        <w:t>’</w:t>
      </w:r>
      <w:r w:rsidRPr="00AA16D9">
        <w:t xml:space="preserve">autre mesure consiste à organiser des réunions après le déroulement des travaux communautaires. Lors de celles-ci, divers messages sont diffusés comme par exemple des informations sur la nutrition. </w:t>
      </w:r>
    </w:p>
    <w:p w:rsidR="0036354A" w:rsidRPr="00AA16D9" w:rsidRDefault="0036354A" w:rsidP="0036354A">
      <w:pPr>
        <w:pStyle w:val="H4G"/>
      </w:pPr>
      <w:r w:rsidRPr="00AA16D9">
        <w:tab/>
      </w:r>
      <w:r w:rsidRPr="00AA16D9">
        <w:tab/>
        <w:t xml:space="preserve">Les bénéficiaires de ces prestations </w:t>
      </w:r>
    </w:p>
    <w:p w:rsidR="0036354A" w:rsidRPr="00AA16D9" w:rsidRDefault="0036354A" w:rsidP="0036354A">
      <w:pPr>
        <w:pStyle w:val="SingleTxtG"/>
      </w:pPr>
      <w:r w:rsidRPr="00AA16D9">
        <w:rPr>
          <w:szCs w:val="24"/>
        </w:rPr>
        <w:t>169.</w:t>
      </w:r>
      <w:r w:rsidRPr="00AA16D9">
        <w:rPr>
          <w:szCs w:val="24"/>
        </w:rPr>
        <w:tab/>
      </w:r>
      <w:r w:rsidRPr="00AA16D9">
        <w:t>Quant aux bénéficiaires des prestations, l</w:t>
      </w:r>
      <w:r>
        <w:t>’</w:t>
      </w:r>
      <w:r w:rsidRPr="00AA16D9">
        <w:t>État tient compte de la cellule familiale en général. Notons, cependant, les diverses composantes de la famille: il y a ainsi des orphelins vivant dans un ménage dans lequel un autre enfant est le chef de ménage, des veuves vivant parfois avec des enfants n</w:t>
      </w:r>
      <w:r>
        <w:t>’</w:t>
      </w:r>
      <w:r w:rsidRPr="00AA16D9">
        <w:t>appartenant pas à la même famille biologique, dans le cadre d</w:t>
      </w:r>
      <w:r>
        <w:t>’</w:t>
      </w:r>
      <w:r w:rsidRPr="00AA16D9">
        <w:t xml:space="preserve">une famille reconstituée, et il y a les familles au sens traditionnel du terme (père, mère, enfants), etc. </w:t>
      </w:r>
    </w:p>
    <w:p w:rsidR="0036354A" w:rsidRPr="00AA16D9" w:rsidRDefault="0036354A" w:rsidP="0036354A">
      <w:pPr>
        <w:pStyle w:val="SingleTxtG"/>
      </w:pPr>
      <w:r w:rsidRPr="00AA16D9">
        <w:t>170.</w:t>
      </w:r>
      <w:r w:rsidRPr="00AA16D9">
        <w:tab/>
        <w:t>Il y a certes encore des familles qui ne bénéficient pas de l</w:t>
      </w:r>
      <w:r>
        <w:t>’</w:t>
      </w:r>
      <w:r w:rsidRPr="00AA16D9">
        <w:t>assistance requise. Cela est dû aux capacités encore limitées du Gouvernement alors que les besoins ne font qu</w:t>
      </w:r>
      <w:r>
        <w:t>’</w:t>
      </w:r>
      <w:r w:rsidRPr="00AA16D9">
        <w:t>augmenter depuis plus d</w:t>
      </w:r>
      <w:r>
        <w:t>’</w:t>
      </w:r>
      <w:r w:rsidRPr="00AA16D9">
        <w:t xml:space="preserve">une décennie. </w:t>
      </w:r>
    </w:p>
    <w:p w:rsidR="0036354A" w:rsidRPr="00AA16D9" w:rsidRDefault="0036354A" w:rsidP="0036354A">
      <w:pPr>
        <w:pStyle w:val="SingleTxtG"/>
      </w:pPr>
      <w:r w:rsidRPr="00AA16D9">
        <w:rPr>
          <w:szCs w:val="24"/>
        </w:rPr>
        <w:t>171.</w:t>
      </w:r>
      <w:r w:rsidRPr="00AA16D9">
        <w:rPr>
          <w:szCs w:val="24"/>
        </w:rPr>
        <w:tab/>
      </w:r>
      <w:r w:rsidRPr="00AA16D9">
        <w:t xml:space="preserve">Toutes les mesures citées précédemment pourraient aider à pallier les lacunes existantes. </w:t>
      </w:r>
    </w:p>
    <w:p w:rsidR="0036354A" w:rsidRPr="00AA16D9" w:rsidRDefault="0036354A" w:rsidP="0036354A">
      <w:pPr>
        <w:pStyle w:val="H4G"/>
      </w:pPr>
      <w:r w:rsidRPr="00AA16D9">
        <w:tab/>
      </w:r>
      <w:r w:rsidRPr="00AA16D9">
        <w:tab/>
        <w:t>De la protection de la maternité</w:t>
      </w:r>
    </w:p>
    <w:p w:rsidR="0036354A" w:rsidRPr="00AA16D9" w:rsidRDefault="0036354A" w:rsidP="0036354A">
      <w:pPr>
        <w:pStyle w:val="SingleTxtG"/>
      </w:pPr>
      <w:r w:rsidRPr="00AA16D9">
        <w:rPr>
          <w:szCs w:val="24"/>
        </w:rPr>
        <w:t>172.</w:t>
      </w:r>
      <w:r w:rsidRPr="00AA16D9">
        <w:rPr>
          <w:szCs w:val="24"/>
        </w:rPr>
        <w:tab/>
      </w:r>
      <w:r w:rsidRPr="00AA16D9">
        <w:t>Le pays ne s</w:t>
      </w:r>
      <w:r>
        <w:t>’</w:t>
      </w:r>
      <w:r w:rsidRPr="00AA16D9">
        <w:t>est pas encore doté d</w:t>
      </w:r>
      <w:r>
        <w:t>’</w:t>
      </w:r>
      <w:r w:rsidRPr="00AA16D9">
        <w:t>un système d</w:t>
      </w:r>
      <w:r>
        <w:t>’</w:t>
      </w:r>
      <w:r w:rsidRPr="00AA16D9">
        <w:t>assurance maternité. Notons que la nouvelle politique de sécurité sociale au Rwanda mentionne que le régime de maternité</w:t>
      </w:r>
      <w:r w:rsidRPr="00AA16D9">
        <w:rPr>
          <w:sz w:val="18"/>
          <w:szCs w:val="18"/>
          <w:vertAlign w:val="superscript"/>
        </w:rPr>
        <w:footnoteReference w:id="96"/>
      </w:r>
      <w:r w:rsidRPr="00AA16D9">
        <w:t xml:space="preserve"> sera mis sur pied et visera le secteur formel en premier, mais que des stimulants seraient accordés aux travailleurs du secteur informel pour attirer l</w:t>
      </w:r>
      <w:r>
        <w:t>’</w:t>
      </w:r>
      <w:r w:rsidRPr="00AA16D9">
        <w:t>adhésion volontaire. La nouvelle loi sur la sécurité sociale est aussi en voie d</w:t>
      </w:r>
      <w:r>
        <w:t>’</w:t>
      </w:r>
      <w:r w:rsidRPr="00AA16D9">
        <w:t>élaboration.</w:t>
      </w:r>
    </w:p>
    <w:p w:rsidR="0036354A" w:rsidRPr="00AA16D9" w:rsidRDefault="0036354A" w:rsidP="0036354A">
      <w:pPr>
        <w:pStyle w:val="SingleTxtG"/>
      </w:pPr>
      <w:r w:rsidRPr="00AA16D9">
        <w:rPr>
          <w:szCs w:val="24"/>
        </w:rPr>
        <w:t>173.</w:t>
      </w:r>
      <w:r w:rsidRPr="00AA16D9">
        <w:rPr>
          <w:szCs w:val="24"/>
        </w:rPr>
        <w:tab/>
      </w:r>
      <w:r w:rsidRPr="00AA16D9">
        <w:t>Des dispositions</w:t>
      </w:r>
      <w:r w:rsidRPr="00AA16D9">
        <w:rPr>
          <w:sz w:val="18"/>
          <w:szCs w:val="18"/>
          <w:vertAlign w:val="superscript"/>
        </w:rPr>
        <w:footnoteReference w:id="97"/>
      </w:r>
      <w:r w:rsidRPr="00AA16D9">
        <w:t xml:space="preserve"> sur les congés de maternité sont prévues dans la loi portant réglementation du travail au Rwanda, notamment: </w:t>
      </w:r>
    </w:p>
    <w:p w:rsidR="0036354A" w:rsidRPr="00AA16D9" w:rsidRDefault="0036354A" w:rsidP="0036354A">
      <w:pPr>
        <w:pStyle w:val="SingleTxtG"/>
        <w:ind w:firstLine="567"/>
      </w:pPr>
      <w:r w:rsidRPr="00AA16D9">
        <w:t>a)</w:t>
      </w:r>
      <w:r w:rsidRPr="00AA16D9">
        <w:tab/>
        <w:t>12 semaines consécutives, dont au moins 2 semaines avant la date présumée de l</w:t>
      </w:r>
      <w:r>
        <w:t>’</w:t>
      </w:r>
      <w:r w:rsidRPr="00AA16D9">
        <w:t>accouchement;</w:t>
      </w:r>
    </w:p>
    <w:p w:rsidR="0036354A" w:rsidRPr="00AA16D9" w:rsidRDefault="0036354A" w:rsidP="0036354A">
      <w:pPr>
        <w:pStyle w:val="SingleTxtG"/>
        <w:ind w:firstLine="567"/>
      </w:pPr>
      <w:r w:rsidRPr="00AA16D9">
        <w:t>b)</w:t>
      </w:r>
      <w:r w:rsidRPr="00AA16D9">
        <w:tab/>
        <w:t>La femme a aussi droit à une heure d</w:t>
      </w:r>
      <w:r>
        <w:t>’</w:t>
      </w:r>
      <w:r w:rsidRPr="00AA16D9">
        <w:t>allaitement par jour durant douze mois à partir de la naissance de l</w:t>
      </w:r>
      <w:r>
        <w:t>’</w:t>
      </w:r>
      <w:r w:rsidRPr="00AA16D9">
        <w:t xml:space="preserve">enfant; </w:t>
      </w:r>
    </w:p>
    <w:p w:rsidR="0036354A" w:rsidRPr="00AA16D9" w:rsidRDefault="0036354A" w:rsidP="0036354A">
      <w:pPr>
        <w:pStyle w:val="SingleTxtG"/>
        <w:ind w:firstLine="567"/>
      </w:pPr>
      <w:r w:rsidRPr="00AA16D9">
        <w:t>c)</w:t>
      </w:r>
      <w:r w:rsidRPr="00AA16D9">
        <w:tab/>
        <w:t>Si la femme reprend le travail dans les six dernières semaines de son congé de maternité, elle a droit à deux heures d</w:t>
      </w:r>
      <w:r>
        <w:t>’</w:t>
      </w:r>
      <w:r w:rsidRPr="00AA16D9">
        <w:t xml:space="preserve">allaitement par jour (art. 64 &amp; 65); </w:t>
      </w:r>
    </w:p>
    <w:p w:rsidR="0036354A" w:rsidRPr="00AA16D9" w:rsidRDefault="0036354A" w:rsidP="0036354A">
      <w:pPr>
        <w:pStyle w:val="SingleTxtG"/>
        <w:ind w:firstLine="567"/>
      </w:pPr>
      <w:r w:rsidRPr="00AA16D9">
        <w:t>d)</w:t>
      </w:r>
      <w:r w:rsidRPr="00AA16D9">
        <w:tab/>
        <w:t>La femme a aussi droit à une rémunération pendant le congé de maternité, comme le prévoit l</w:t>
      </w:r>
      <w:r>
        <w:t>’</w:t>
      </w:r>
      <w:r w:rsidRPr="00AA16D9">
        <w:t>article 66, et elle ne peut pas faire l</w:t>
      </w:r>
      <w:r>
        <w:t>’</w:t>
      </w:r>
      <w:r w:rsidRPr="00AA16D9">
        <w:t>objet d</w:t>
      </w:r>
      <w:r>
        <w:t>’</w:t>
      </w:r>
      <w:r w:rsidRPr="00AA16D9">
        <w:t>un licenciement durant cette période (art. 67). Le secteur privé est couvert par la loi portant réglementation du travail.</w:t>
      </w:r>
    </w:p>
    <w:p w:rsidR="0036354A" w:rsidRPr="00AA16D9" w:rsidRDefault="0036354A" w:rsidP="0036354A">
      <w:pPr>
        <w:pStyle w:val="SingleTxtG"/>
      </w:pPr>
      <w:r w:rsidRPr="00AA16D9">
        <w:t>174.</w:t>
      </w:r>
      <w:r w:rsidRPr="00AA16D9">
        <w:tab/>
        <w:t>La loi portant statut général des agents de l</w:t>
      </w:r>
      <w:r>
        <w:t>’</w:t>
      </w:r>
      <w:r w:rsidRPr="00AA16D9">
        <w:t>État</w:t>
      </w:r>
      <w:r w:rsidRPr="00AA16D9">
        <w:rPr>
          <w:sz w:val="18"/>
          <w:szCs w:val="18"/>
          <w:vertAlign w:val="superscript"/>
        </w:rPr>
        <w:footnoteReference w:id="98"/>
      </w:r>
      <w:r w:rsidRPr="00AA16D9">
        <w:t xml:space="preserve"> donne droit à la même période de 12 semaines consécutives de congé de maternité. Cette dernière loi est en révision. Dès qu</w:t>
      </w:r>
      <w:r>
        <w:t>’</w:t>
      </w:r>
      <w:r w:rsidRPr="00AA16D9">
        <w:t>elle sera promulguée, le régime de maternité aura les mêmes caractéristiques que celles prévues dans la loi portant réglementation du travail. La nouvelle loi accordera aussi à l</w:t>
      </w:r>
      <w:r>
        <w:t>’</w:t>
      </w:r>
      <w:r w:rsidRPr="00AA16D9">
        <w:t>époux le droit à un congé de paternité de quatre jours ouvrables à l</w:t>
      </w:r>
      <w:r>
        <w:t>’</w:t>
      </w:r>
      <w:r w:rsidRPr="00AA16D9">
        <w:t>accouchement de l</w:t>
      </w:r>
      <w:r>
        <w:t>’</w:t>
      </w:r>
      <w:r w:rsidRPr="00AA16D9">
        <w:t>épouse.</w:t>
      </w:r>
    </w:p>
    <w:p w:rsidR="0036354A" w:rsidRPr="00AA16D9" w:rsidRDefault="0036354A" w:rsidP="0036354A">
      <w:pPr>
        <w:pStyle w:val="H4G"/>
        <w:keepNext w:val="0"/>
      </w:pPr>
      <w:r w:rsidRPr="00AA16D9">
        <w:tab/>
      </w:r>
      <w:r w:rsidRPr="00AA16D9">
        <w:tab/>
        <w:t>Les femmes ne bénéficiant pas de la protection de la maternité prévue par la loi</w:t>
      </w:r>
    </w:p>
    <w:p w:rsidR="0036354A" w:rsidRPr="00AA16D9" w:rsidRDefault="0036354A" w:rsidP="0036354A">
      <w:pPr>
        <w:pStyle w:val="SingleTxtG"/>
      </w:pPr>
      <w:r w:rsidRPr="00AA16D9">
        <w:t>175.</w:t>
      </w:r>
      <w:r w:rsidRPr="00AA16D9">
        <w:tab/>
        <w:t>Il existe des groupes de femmes qui ne bénéficient d</w:t>
      </w:r>
      <w:r>
        <w:t>’</w:t>
      </w:r>
      <w:r w:rsidRPr="00AA16D9">
        <w:t>aucune forme de protection de la maternité. Il s</w:t>
      </w:r>
      <w:r>
        <w:t>’</w:t>
      </w:r>
      <w:r w:rsidRPr="00AA16D9">
        <w:t>agit surtout de celles œuvrant dans le secteur informel. À cet effet, des mesures ont été prises:</w:t>
      </w:r>
    </w:p>
    <w:p w:rsidR="0036354A" w:rsidRPr="00AA16D9" w:rsidRDefault="0036354A" w:rsidP="0036354A">
      <w:pPr>
        <w:pStyle w:val="SingleTxtG"/>
        <w:ind w:firstLine="567"/>
      </w:pPr>
      <w:r w:rsidRPr="00AA16D9">
        <w:t>a)</w:t>
      </w:r>
      <w:r w:rsidRPr="00AA16D9">
        <w:tab/>
        <w:t>La nouvelle loi du travail (depuis le 27 mai, 2009) y a remédié en prévoyant qu</w:t>
      </w:r>
      <w:r>
        <w:t>’</w:t>
      </w:r>
      <w:r w:rsidRPr="00AA16D9">
        <w:t>elle s</w:t>
      </w:r>
      <w:r>
        <w:t>’</w:t>
      </w:r>
      <w:r w:rsidRPr="00AA16D9">
        <w:t xml:space="preserve">applique aux travailleurs du secteur informel en ce qui a trait aux matières relatives à la sécurité sociale; </w:t>
      </w:r>
    </w:p>
    <w:p w:rsidR="0036354A" w:rsidRPr="00AA16D9" w:rsidRDefault="0036354A" w:rsidP="0036354A">
      <w:pPr>
        <w:pStyle w:val="SingleTxtG"/>
        <w:ind w:firstLine="567"/>
      </w:pPr>
      <w:r w:rsidRPr="00AA16D9">
        <w:t>b)</w:t>
      </w:r>
      <w:r w:rsidRPr="00AA16D9">
        <w:tab/>
        <w:t xml:space="preserve">La loi portant réglementation du travail protège aussi les femmes allaitantes et enceintes (celles du secteur informel comprises) en ce qui a trait aux travaux qui leur sont interdits (art. 74 de la loi portant réglementation du travail); </w:t>
      </w:r>
    </w:p>
    <w:p w:rsidR="0036354A" w:rsidRPr="00AA16D9" w:rsidRDefault="0036354A" w:rsidP="0036354A">
      <w:pPr>
        <w:pStyle w:val="SingleTxtG"/>
        <w:ind w:firstLine="567"/>
      </w:pPr>
      <w:r w:rsidRPr="00AA16D9">
        <w:t>c)</w:t>
      </w:r>
      <w:r w:rsidRPr="00AA16D9">
        <w:tab/>
        <w:t>Notons aussi que la politique nationale de la sécurité sociale (et par là la nouvelle loi portant organisation de la sécurité sociale) vise à couvrir le secteur informel en offrant des stimulants pour inciter à une adhésion volontaire au régime de la sécurité sociale (régime d</w:t>
      </w:r>
      <w:r>
        <w:t>’</w:t>
      </w:r>
      <w:r w:rsidRPr="00AA16D9">
        <w:t xml:space="preserve">assurance-maternité compris). </w:t>
      </w:r>
    </w:p>
    <w:p w:rsidR="0036354A" w:rsidRPr="00AA16D9" w:rsidRDefault="0036354A" w:rsidP="0036354A">
      <w:pPr>
        <w:pStyle w:val="SingleTxtG"/>
      </w:pPr>
      <w:r w:rsidRPr="00AA16D9">
        <w:rPr>
          <w:szCs w:val="24"/>
        </w:rPr>
        <w:t>176.</w:t>
      </w:r>
      <w:r w:rsidRPr="00AA16D9">
        <w:rPr>
          <w:szCs w:val="24"/>
        </w:rPr>
        <w:tab/>
        <w:t xml:space="preserve">Les </w:t>
      </w:r>
      <w:r w:rsidRPr="00AA16D9">
        <w:t>autres moyens de protéger la maternité sont les suivants:</w:t>
      </w:r>
    </w:p>
    <w:p w:rsidR="0036354A" w:rsidRPr="00AA16D9" w:rsidRDefault="0036354A" w:rsidP="0036354A">
      <w:pPr>
        <w:pStyle w:val="Bullet1G"/>
      </w:pPr>
      <w:r w:rsidRPr="00AA16D9">
        <w:t>L</w:t>
      </w:r>
      <w:r>
        <w:t>’</w:t>
      </w:r>
      <w:r w:rsidRPr="00AA16D9">
        <w:t>accès financier aux soins de santé par les mutuelles de santé;</w:t>
      </w:r>
    </w:p>
    <w:p w:rsidR="0036354A" w:rsidRPr="00AA16D9" w:rsidRDefault="0036354A" w:rsidP="0036354A">
      <w:pPr>
        <w:pStyle w:val="Bullet1G"/>
      </w:pPr>
      <w:r w:rsidRPr="00AA16D9">
        <w:t>La promotion de l</w:t>
      </w:r>
      <w:r>
        <w:t>’</w:t>
      </w:r>
      <w:r w:rsidRPr="00AA16D9">
        <w:t>allaitement maternel;</w:t>
      </w:r>
    </w:p>
    <w:p w:rsidR="0036354A" w:rsidRPr="00AA16D9" w:rsidRDefault="0036354A" w:rsidP="0036354A">
      <w:pPr>
        <w:pStyle w:val="Bullet1G"/>
      </w:pPr>
      <w:r w:rsidRPr="00AA16D9">
        <w:t>La formation continue des agents à la santé.</w:t>
      </w:r>
    </w:p>
    <w:p w:rsidR="0036354A" w:rsidRPr="00AA16D9" w:rsidRDefault="0036354A" w:rsidP="0036354A">
      <w:pPr>
        <w:pStyle w:val="H4G"/>
      </w:pPr>
      <w:r w:rsidRPr="00AA16D9">
        <w:tab/>
      </w:r>
      <w:r w:rsidRPr="00AA16D9">
        <w:tab/>
        <w:t>Les mesures spéciales de protection et d</w:t>
      </w:r>
      <w:r>
        <w:t>’</w:t>
      </w:r>
      <w:r w:rsidRPr="00AA16D9">
        <w:t>assistance en faveur des enfants et des jeunes</w:t>
      </w:r>
    </w:p>
    <w:p w:rsidR="0036354A" w:rsidRPr="00AA16D9" w:rsidRDefault="0036354A" w:rsidP="0036354A">
      <w:pPr>
        <w:pStyle w:val="SingleTxtG"/>
      </w:pPr>
      <w:r w:rsidRPr="00AA16D9">
        <w:rPr>
          <w:szCs w:val="24"/>
        </w:rPr>
        <w:t>177.</w:t>
      </w:r>
      <w:r w:rsidRPr="00AA16D9">
        <w:rPr>
          <w:szCs w:val="24"/>
        </w:rPr>
        <w:tab/>
      </w:r>
      <w:r w:rsidRPr="00AA16D9">
        <w:t xml:space="preserve">Les mesures de protection sont les suivantes: </w:t>
      </w:r>
    </w:p>
    <w:p w:rsidR="0036354A" w:rsidRPr="00AA16D9" w:rsidRDefault="0036354A" w:rsidP="0036354A">
      <w:pPr>
        <w:pStyle w:val="SingleTxtG"/>
        <w:ind w:firstLine="567"/>
      </w:pPr>
      <w:r w:rsidRPr="00AA16D9">
        <w:t>a)</w:t>
      </w:r>
      <w:r w:rsidRPr="00AA16D9">
        <w:tab/>
        <w:t>Plusieurs conventions</w:t>
      </w:r>
      <w:r w:rsidRPr="00AA16D9">
        <w:rPr>
          <w:sz w:val="18"/>
          <w:szCs w:val="18"/>
          <w:vertAlign w:val="superscript"/>
        </w:rPr>
        <w:footnoteReference w:id="99"/>
      </w:r>
      <w:r w:rsidRPr="00AA16D9">
        <w:t xml:space="preserve"> de l</w:t>
      </w:r>
      <w:r>
        <w:t>’</w:t>
      </w:r>
      <w:r w:rsidRPr="00AA16D9">
        <w:t>OIT, d</w:t>
      </w:r>
      <w:r>
        <w:t>’</w:t>
      </w:r>
      <w:r w:rsidRPr="00AA16D9">
        <w:t>autres conventions et traités internationaux</w:t>
      </w:r>
      <w:r w:rsidRPr="00AA16D9">
        <w:rPr>
          <w:sz w:val="18"/>
          <w:szCs w:val="18"/>
          <w:vertAlign w:val="superscript"/>
        </w:rPr>
        <w:footnoteReference w:id="100"/>
      </w:r>
      <w:r w:rsidRPr="00AA16D9">
        <w:t xml:space="preserve"> ont été signés pour protéger les enfants;</w:t>
      </w:r>
    </w:p>
    <w:p w:rsidR="0036354A" w:rsidRPr="00AA16D9" w:rsidRDefault="0036354A" w:rsidP="0036354A">
      <w:pPr>
        <w:pStyle w:val="SingleTxtG"/>
        <w:ind w:firstLine="567"/>
      </w:pPr>
      <w:r w:rsidRPr="00AA16D9">
        <w:t>b)</w:t>
      </w:r>
      <w:r w:rsidRPr="00AA16D9">
        <w:tab/>
        <w:t>La loi portant réglementation du travail (art. 4 &amp; 6) interdit le travail nocturne, pénible, insalubre ou dangereux pour la santé ou la formation de l</w:t>
      </w:r>
      <w:r>
        <w:t>’</w:t>
      </w:r>
      <w:r w:rsidRPr="00AA16D9">
        <w:t>enfant. Constitue une infraction le fait d</w:t>
      </w:r>
      <w:r>
        <w:t>’</w:t>
      </w:r>
      <w:r w:rsidRPr="00AA16D9">
        <w:t>employer un enfant de moins de 18 ans à des travaux dits «pires formes de travail des enfants». La liste de ces travaux est énumérée à l</w:t>
      </w:r>
      <w:r>
        <w:t>’</w:t>
      </w:r>
      <w:r w:rsidRPr="00AA16D9">
        <w:t>article 72 de la loi. Il s</w:t>
      </w:r>
      <w:r>
        <w:t>’</w:t>
      </w:r>
      <w:r w:rsidRPr="00AA16D9">
        <w:t>agit par exemple de toutes formes d</w:t>
      </w:r>
      <w:r>
        <w:t>’</w:t>
      </w:r>
      <w:r w:rsidRPr="00AA16D9">
        <w:t>esclavage et pratiques analogues, du recrutement des enfants à des fins d</w:t>
      </w:r>
      <w:r>
        <w:t>’</w:t>
      </w:r>
      <w:r w:rsidRPr="00AA16D9">
        <w:t>activités illicites et autres;</w:t>
      </w:r>
    </w:p>
    <w:p w:rsidR="0036354A" w:rsidRPr="00AA16D9" w:rsidRDefault="0036354A" w:rsidP="0036354A">
      <w:pPr>
        <w:pStyle w:val="SingleTxtG"/>
        <w:ind w:firstLine="567"/>
      </w:pPr>
      <w:r w:rsidRPr="00AA16D9">
        <w:t>c)</w:t>
      </w:r>
      <w:r w:rsidRPr="00AA16D9">
        <w:tab/>
        <w:t>Les enfants dont l</w:t>
      </w:r>
      <w:r>
        <w:t>’</w:t>
      </w:r>
      <w:r w:rsidRPr="00AA16D9">
        <w:t>âge est compris entre 16 et 18 ans ont droit à deux jours ouvrables de congé par mois de travail continu [art. 51 (3)]; cette même catégorie d</w:t>
      </w:r>
      <w:r>
        <w:t>’</w:t>
      </w:r>
      <w:r w:rsidRPr="00AA16D9">
        <w:t>enfants bénéficie d</w:t>
      </w:r>
      <w:r>
        <w:t>’</w:t>
      </w:r>
      <w:r w:rsidRPr="00AA16D9">
        <w:t>un minimum de douze (12) heures consécutives de repos entre deux périodes de travail;</w:t>
      </w:r>
    </w:p>
    <w:p w:rsidR="0036354A" w:rsidRPr="00AA16D9" w:rsidRDefault="0036354A" w:rsidP="0036354A">
      <w:pPr>
        <w:pStyle w:val="SingleTxtG"/>
        <w:ind w:firstLine="567"/>
      </w:pPr>
      <w:r w:rsidRPr="00AA16D9">
        <w:t>d)</w:t>
      </w:r>
      <w:r w:rsidRPr="00AA16D9">
        <w:tab/>
        <w:t>La loi portant prévention et répression de la violence basée sur le genre. Elle protège l</w:t>
      </w:r>
      <w:r>
        <w:t>’</w:t>
      </w:r>
      <w:r w:rsidRPr="00AA16D9">
        <w:t>enfant contre toute situation susceptible de l</w:t>
      </w:r>
      <w:r>
        <w:t>’</w:t>
      </w:r>
      <w:r w:rsidRPr="00AA16D9">
        <w:t>exposer à la violence basée sur le genre;</w:t>
      </w:r>
    </w:p>
    <w:p w:rsidR="0036354A" w:rsidRPr="00AA16D9" w:rsidRDefault="0036354A" w:rsidP="0036354A">
      <w:pPr>
        <w:pStyle w:val="SingleTxtG"/>
        <w:ind w:firstLine="567"/>
      </w:pPr>
      <w:r w:rsidRPr="00AA16D9">
        <w:t>e)</w:t>
      </w:r>
      <w:r w:rsidRPr="00AA16D9">
        <w:tab/>
        <w:t>Un plan d</w:t>
      </w:r>
      <w:r>
        <w:t>’</w:t>
      </w:r>
      <w:r w:rsidRPr="00AA16D9">
        <w:t>action quinquennal national sur le travail des enfants (2007) a été mis sur pied avec comme mission l</w:t>
      </w:r>
      <w:r>
        <w:t>’</w:t>
      </w:r>
      <w:r w:rsidRPr="00AA16D9">
        <w:t>élimination du travail des enfants et la lutte contre les pires formes de travail des enfants;</w:t>
      </w:r>
    </w:p>
    <w:p w:rsidR="0036354A" w:rsidRPr="00AA16D9" w:rsidRDefault="0036354A" w:rsidP="0036354A">
      <w:pPr>
        <w:pStyle w:val="SingleTxtG"/>
        <w:ind w:firstLine="567"/>
      </w:pPr>
      <w:r w:rsidRPr="00AA16D9">
        <w:t>f)</w:t>
      </w:r>
      <w:r w:rsidRPr="00AA16D9">
        <w:tab/>
        <w:t>Le plan quinquennal relatif à la promotion de l</w:t>
      </w:r>
      <w:r>
        <w:t>’</w:t>
      </w:r>
      <w:r w:rsidRPr="00AA16D9">
        <w:t>éducation de la jeune fille (en 2007);</w:t>
      </w:r>
    </w:p>
    <w:p w:rsidR="0036354A" w:rsidRPr="00AA16D9" w:rsidRDefault="0036354A" w:rsidP="0036354A">
      <w:pPr>
        <w:pStyle w:val="SingleTxtG"/>
        <w:ind w:firstLine="567"/>
      </w:pPr>
      <w:r w:rsidRPr="00AA16D9">
        <w:t>g)</w:t>
      </w:r>
      <w:r w:rsidRPr="00AA16D9">
        <w:tab/>
        <w:t>L</w:t>
      </w:r>
      <w:r>
        <w:t>’</w:t>
      </w:r>
      <w:r w:rsidRPr="00AA16D9">
        <w:t>inspecteur du travail veille à ce que le travail dont les enfants sont chargés n</w:t>
      </w:r>
      <w:r>
        <w:t>’</w:t>
      </w:r>
      <w:r w:rsidRPr="00AA16D9">
        <w:t xml:space="preserve">excède pas leurs forces et ne nuit pas à leur santé (art. 7 de la loi portant réglementation du travail). </w:t>
      </w:r>
    </w:p>
    <w:p w:rsidR="0036354A" w:rsidRPr="00AA16D9" w:rsidRDefault="0036354A" w:rsidP="0036354A">
      <w:pPr>
        <w:pStyle w:val="SingleTxtG"/>
      </w:pPr>
      <w:r w:rsidRPr="00AA16D9">
        <w:rPr>
          <w:szCs w:val="24"/>
        </w:rPr>
        <w:t>178.</w:t>
      </w:r>
      <w:r w:rsidRPr="00AA16D9">
        <w:rPr>
          <w:szCs w:val="24"/>
        </w:rPr>
        <w:tab/>
      </w:r>
      <w:r w:rsidRPr="00AA16D9">
        <w:t>Du point de vue de l</w:t>
      </w:r>
      <w:r>
        <w:t>’</w:t>
      </w:r>
      <w:r w:rsidRPr="00AA16D9">
        <w:t>assistance, on notera les aspects figurant ci-dessous et, dans le tableau 9, des données relatives au travail des enfants et des jeunes gens:</w:t>
      </w:r>
    </w:p>
    <w:p w:rsidR="0036354A" w:rsidRPr="00AA16D9" w:rsidRDefault="0036354A" w:rsidP="0036354A">
      <w:pPr>
        <w:pStyle w:val="SingleTxtG"/>
        <w:ind w:firstLine="567"/>
      </w:pPr>
      <w:r w:rsidRPr="00AA16D9">
        <w:t>a)</w:t>
      </w:r>
      <w:r w:rsidRPr="00AA16D9">
        <w:tab/>
        <w:t>L</w:t>
      </w:r>
      <w:r>
        <w:t>’</w:t>
      </w:r>
      <w:r w:rsidRPr="00AA16D9">
        <w:t>État a supprimé les frais de scolarité: l</w:t>
      </w:r>
      <w:r>
        <w:t>’</w:t>
      </w:r>
      <w:r w:rsidRPr="00AA16D9">
        <w:t>enseignement primaire et le tronc commun (les trois premières années du secondaire) sont gratuits. Des enfants, jusque-là incapables d</w:t>
      </w:r>
      <w:r>
        <w:t>’</w:t>
      </w:r>
      <w:r w:rsidRPr="00AA16D9">
        <w:t>étudier car démunis, ont pu retourner à l</w:t>
      </w:r>
      <w:r>
        <w:t>’</w:t>
      </w:r>
      <w:r w:rsidRPr="00AA16D9">
        <w:t>école; cela a ainsi réduit le taux d</w:t>
      </w:r>
      <w:r>
        <w:t>’</w:t>
      </w:r>
      <w:r w:rsidRPr="00AA16D9">
        <w:t>abandon à l</w:t>
      </w:r>
      <w:r>
        <w:t>’</w:t>
      </w:r>
      <w:r w:rsidRPr="00AA16D9">
        <w:t>école et le taux d</w:t>
      </w:r>
      <w:r>
        <w:t>’</w:t>
      </w:r>
      <w:r w:rsidRPr="00AA16D9">
        <w:t xml:space="preserve">enfants cherchant à accéder précocement au marché du travail; </w:t>
      </w:r>
    </w:p>
    <w:p w:rsidR="0036354A" w:rsidRPr="00AA16D9" w:rsidRDefault="0036354A" w:rsidP="0036354A">
      <w:pPr>
        <w:pStyle w:val="SingleTxtG"/>
        <w:ind w:firstLine="567"/>
      </w:pPr>
      <w:r w:rsidRPr="00AA16D9">
        <w:t>b)</w:t>
      </w:r>
      <w:r w:rsidRPr="00AA16D9">
        <w:tab/>
        <w:t>Diverses institutions tant publiques que privées prennent en charge les frais de scolarité réduisant ainsi les taux d</w:t>
      </w:r>
      <w:r>
        <w:t>’</w:t>
      </w:r>
      <w:r w:rsidRPr="00AA16D9">
        <w:t xml:space="preserve">abandon précoce faute de financement: </w:t>
      </w:r>
    </w:p>
    <w:p w:rsidR="0036354A" w:rsidRPr="00AA16D9" w:rsidRDefault="0036354A" w:rsidP="0036354A">
      <w:pPr>
        <w:pStyle w:val="SingleTxtG"/>
        <w:ind w:left="1700"/>
      </w:pPr>
      <w:r w:rsidRPr="00AA16D9">
        <w:t>i)</w:t>
      </w:r>
      <w:r w:rsidRPr="00AA16D9">
        <w:tab/>
        <w:t>Des ONG</w:t>
      </w:r>
      <w:r w:rsidRPr="00AA16D9">
        <w:rPr>
          <w:sz w:val="18"/>
          <w:szCs w:val="18"/>
          <w:vertAlign w:val="superscript"/>
        </w:rPr>
        <w:footnoteReference w:id="101"/>
      </w:r>
      <w:r w:rsidRPr="00AA16D9">
        <w:t xml:space="preserve"> interviennent aussi en faveur des enfants-travailleurs domestiques ou travaillant dans les plantations, dans les mines ou dans les carrières;</w:t>
      </w:r>
    </w:p>
    <w:p w:rsidR="0036354A" w:rsidRPr="00AA16D9" w:rsidRDefault="0036354A" w:rsidP="0036354A">
      <w:pPr>
        <w:pStyle w:val="SingleTxtG"/>
        <w:ind w:left="1700"/>
      </w:pPr>
      <w:r w:rsidRPr="00AA16D9">
        <w:t>ii)</w:t>
      </w:r>
      <w:r w:rsidRPr="00AA16D9">
        <w:tab/>
        <w:t>Les enfants issus des populations historiquement marginalisées, les enfants rescapés du génocide contre les Tutsi et autres catégories d</w:t>
      </w:r>
      <w:r>
        <w:t>’</w:t>
      </w:r>
      <w:r w:rsidRPr="00AA16D9">
        <w:t>enfants vulnérables voient leurs frais de scolarité couverts, prévenant ainsi leur entrée précoce sur le marché du travail.</w:t>
      </w:r>
    </w:p>
    <w:p w:rsidR="0036354A" w:rsidRPr="00AA16D9" w:rsidRDefault="0036354A" w:rsidP="0036354A">
      <w:pPr>
        <w:pStyle w:val="SingleTxtG"/>
        <w:ind w:firstLine="567"/>
      </w:pPr>
      <w:r w:rsidRPr="00AA16D9">
        <w:t>c)</w:t>
      </w:r>
      <w:r w:rsidRPr="00AA16D9">
        <w:tab/>
        <w:t>Un programme d</w:t>
      </w:r>
      <w:r>
        <w:t>’</w:t>
      </w:r>
      <w:r w:rsidRPr="00AA16D9">
        <w:t>éducation spéciale existe aussi en faveur des enfants handicapés;</w:t>
      </w:r>
    </w:p>
    <w:p w:rsidR="0036354A" w:rsidRPr="00AA16D9" w:rsidRDefault="0036354A" w:rsidP="0036354A">
      <w:pPr>
        <w:pStyle w:val="SingleTxtG"/>
        <w:ind w:firstLine="567"/>
      </w:pPr>
      <w:r w:rsidRPr="00AA16D9">
        <w:t>d)</w:t>
      </w:r>
      <w:r w:rsidRPr="00AA16D9">
        <w:tab/>
        <w:t>Un paquet minimum de services est offert aux orphelins et autres enfants vulnérables (logement, santé, nutrition, éducation et autres);</w:t>
      </w:r>
    </w:p>
    <w:p w:rsidR="0036354A" w:rsidRPr="00AA16D9" w:rsidRDefault="0036354A" w:rsidP="0036354A">
      <w:pPr>
        <w:pStyle w:val="SingleTxtG"/>
        <w:ind w:firstLine="567"/>
      </w:pPr>
      <w:r w:rsidRPr="00AA16D9">
        <w:t>e)</w:t>
      </w:r>
      <w:r w:rsidRPr="00AA16D9">
        <w:tab/>
        <w:t>Les inspections du travail ont été décentralisées, et sont opérationnelles au niveau de tous les districts.</w:t>
      </w:r>
      <w:r w:rsidRPr="00AA16D9">
        <w:tab/>
      </w:r>
    </w:p>
    <w:p w:rsidR="0036354A" w:rsidRPr="00AA16D9" w:rsidRDefault="0036354A" w:rsidP="0036354A">
      <w:pPr>
        <w:pStyle w:val="Heading1"/>
        <w:spacing w:after="120"/>
      </w:pPr>
      <w:r w:rsidRPr="00AA16D9">
        <w:t>Tableau 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66"/>
        <w:gridCol w:w="1400"/>
        <w:gridCol w:w="2904"/>
      </w:tblGrid>
      <w:tr w:rsidR="0036354A" w:rsidRPr="00AA16D9" w:rsidTr="001A4057">
        <w:tblPrEx>
          <w:tblCellMar>
            <w:top w:w="0" w:type="dxa"/>
            <w:bottom w:w="0" w:type="dxa"/>
          </w:tblCellMar>
        </w:tblPrEx>
        <w:trPr>
          <w:trHeight w:val="305"/>
          <w:tblHeader/>
        </w:trPr>
        <w:tc>
          <w:tcPr>
            <w:tcW w:w="3066" w:type="dxa"/>
            <w:tcBorders>
              <w:top w:val="single" w:sz="4" w:space="0" w:color="auto"/>
              <w:bottom w:val="single" w:sz="12" w:space="0" w:color="auto"/>
            </w:tcBorders>
            <w:shd w:val="clear" w:color="auto" w:fill="auto"/>
            <w:vAlign w:val="bottom"/>
          </w:tcPr>
          <w:p w:rsidR="0036354A" w:rsidRPr="00AA16D9" w:rsidRDefault="0036354A" w:rsidP="001A4057">
            <w:pPr>
              <w:keepNext/>
              <w:keepLines/>
              <w:spacing w:before="80" w:after="80" w:line="200" w:lineRule="exact"/>
              <w:ind w:right="113"/>
              <w:rPr>
                <w:i/>
                <w:sz w:val="16"/>
              </w:rPr>
            </w:pPr>
            <w:r w:rsidRPr="00AA16D9">
              <w:rPr>
                <w:i/>
                <w:sz w:val="16"/>
              </w:rPr>
              <w:t>Groupe d</w:t>
            </w:r>
            <w:r>
              <w:rPr>
                <w:i/>
                <w:sz w:val="16"/>
              </w:rPr>
              <w:t>’</w:t>
            </w:r>
            <w:r w:rsidRPr="00AA16D9">
              <w:rPr>
                <w:i/>
                <w:sz w:val="16"/>
              </w:rPr>
              <w:t xml:space="preserve">enfants </w:t>
            </w:r>
          </w:p>
        </w:tc>
        <w:tc>
          <w:tcPr>
            <w:tcW w:w="4304" w:type="dxa"/>
            <w:gridSpan w:val="2"/>
            <w:tcBorders>
              <w:top w:val="single" w:sz="4" w:space="0" w:color="auto"/>
              <w:bottom w:val="single" w:sz="12" w:space="0" w:color="auto"/>
            </w:tcBorders>
            <w:shd w:val="clear" w:color="auto" w:fill="auto"/>
            <w:vAlign w:val="bottom"/>
          </w:tcPr>
          <w:p w:rsidR="0036354A" w:rsidRPr="00AA16D9" w:rsidRDefault="0036354A" w:rsidP="001A4057">
            <w:pPr>
              <w:keepNext/>
              <w:keepLines/>
              <w:spacing w:before="80" w:after="80" w:line="200" w:lineRule="exact"/>
              <w:ind w:right="113"/>
              <w:rPr>
                <w:i/>
                <w:sz w:val="16"/>
              </w:rPr>
            </w:pPr>
            <w:r w:rsidRPr="00AA16D9">
              <w:rPr>
                <w:i/>
                <w:sz w:val="16"/>
              </w:rPr>
              <w:t xml:space="preserve">Statistiques </w:t>
            </w:r>
          </w:p>
        </w:tc>
      </w:tr>
      <w:tr w:rsidR="0036354A" w:rsidRPr="00AA16D9" w:rsidTr="001A4057">
        <w:tblPrEx>
          <w:tblCellMar>
            <w:top w:w="0" w:type="dxa"/>
            <w:bottom w:w="0" w:type="dxa"/>
          </w:tblCellMar>
        </w:tblPrEx>
        <w:trPr>
          <w:trHeight w:hRule="exact" w:val="113"/>
        </w:trPr>
        <w:tc>
          <w:tcPr>
            <w:tcW w:w="3066" w:type="dxa"/>
            <w:tcBorders>
              <w:top w:val="single" w:sz="12" w:space="0" w:color="auto"/>
              <w:bottom w:val="nil"/>
            </w:tcBorders>
            <w:shd w:val="clear" w:color="auto" w:fill="auto"/>
          </w:tcPr>
          <w:p w:rsidR="0036354A" w:rsidRPr="00AA16D9" w:rsidRDefault="0036354A" w:rsidP="001A4057">
            <w:pPr>
              <w:keepNext/>
              <w:keepLines/>
              <w:spacing w:before="40" w:after="120"/>
              <w:ind w:right="113"/>
            </w:pPr>
          </w:p>
        </w:tc>
        <w:tc>
          <w:tcPr>
            <w:tcW w:w="1400" w:type="dxa"/>
            <w:tcBorders>
              <w:top w:val="single" w:sz="12" w:space="0" w:color="auto"/>
              <w:bottom w:val="nil"/>
            </w:tcBorders>
            <w:shd w:val="clear" w:color="auto" w:fill="auto"/>
          </w:tcPr>
          <w:p w:rsidR="0036354A" w:rsidRPr="00AA16D9" w:rsidRDefault="0036354A" w:rsidP="001A4057">
            <w:pPr>
              <w:keepNext/>
              <w:keepLines/>
              <w:spacing w:before="40" w:after="120"/>
              <w:ind w:right="113"/>
            </w:pPr>
          </w:p>
        </w:tc>
        <w:tc>
          <w:tcPr>
            <w:tcW w:w="2904" w:type="dxa"/>
            <w:tcBorders>
              <w:top w:val="single" w:sz="12" w:space="0" w:color="auto"/>
              <w:bottom w:val="nil"/>
            </w:tcBorders>
            <w:shd w:val="clear" w:color="auto" w:fill="auto"/>
          </w:tcPr>
          <w:p w:rsidR="0036354A" w:rsidRPr="00AA16D9" w:rsidRDefault="0036354A" w:rsidP="001A4057">
            <w:pPr>
              <w:keepNext/>
              <w:keepLines/>
              <w:spacing w:before="40" w:after="120"/>
              <w:ind w:right="113"/>
            </w:pPr>
          </w:p>
        </w:tc>
      </w:tr>
      <w:tr w:rsidR="0036354A" w:rsidRPr="00AA16D9" w:rsidTr="001A4057">
        <w:tblPrEx>
          <w:tblCellMar>
            <w:top w:w="0" w:type="dxa"/>
            <w:bottom w:w="0" w:type="dxa"/>
          </w:tblCellMar>
        </w:tblPrEx>
        <w:tc>
          <w:tcPr>
            <w:tcW w:w="3066" w:type="dxa"/>
            <w:tcBorders>
              <w:top w:val="nil"/>
            </w:tcBorders>
            <w:shd w:val="clear" w:color="auto" w:fill="auto"/>
          </w:tcPr>
          <w:p w:rsidR="0036354A" w:rsidRPr="00AA16D9" w:rsidRDefault="0036354A" w:rsidP="001A4057">
            <w:pPr>
              <w:keepNext/>
              <w:keepLines/>
              <w:spacing w:before="40" w:after="120"/>
              <w:ind w:right="113"/>
            </w:pPr>
            <w:r w:rsidRPr="00AA16D9">
              <w:t>Enfants de moins de 15 ans</w:t>
            </w:r>
          </w:p>
        </w:tc>
        <w:tc>
          <w:tcPr>
            <w:tcW w:w="1400" w:type="dxa"/>
            <w:tcBorders>
              <w:top w:val="nil"/>
            </w:tcBorders>
            <w:shd w:val="clear" w:color="auto" w:fill="auto"/>
          </w:tcPr>
          <w:p w:rsidR="0036354A" w:rsidRPr="00AA16D9" w:rsidRDefault="0036354A" w:rsidP="001A4057">
            <w:pPr>
              <w:keepNext/>
              <w:keepLines/>
              <w:spacing w:before="40" w:after="120"/>
              <w:ind w:right="113"/>
            </w:pPr>
            <w:r w:rsidRPr="00AA16D9">
              <w:t>5,3 % (à peu près 106 000)</w:t>
            </w:r>
          </w:p>
        </w:tc>
        <w:tc>
          <w:tcPr>
            <w:tcW w:w="2904" w:type="dxa"/>
            <w:vMerge w:val="restart"/>
            <w:tcBorders>
              <w:top w:val="nil"/>
            </w:tcBorders>
            <w:shd w:val="clear" w:color="auto" w:fill="auto"/>
          </w:tcPr>
          <w:p w:rsidR="0036354A" w:rsidRPr="00AA16D9" w:rsidRDefault="0036354A" w:rsidP="001A4057">
            <w:pPr>
              <w:keepNext/>
              <w:keepLines/>
              <w:spacing w:before="40" w:after="120"/>
              <w:ind w:right="113"/>
            </w:pPr>
            <w:r w:rsidRPr="00AA16D9">
              <w:t>Exercent une activité économique, soit rémunérée soit dans une entreprise ou ferme familiale: 2/3 de ces enfants œuvrent dans le secteur agricole</w:t>
            </w:r>
          </w:p>
        </w:tc>
      </w:tr>
      <w:tr w:rsidR="0036354A" w:rsidRPr="00AA16D9" w:rsidTr="001A4057">
        <w:tblPrEx>
          <w:tblCellMar>
            <w:top w:w="0" w:type="dxa"/>
            <w:bottom w:w="0" w:type="dxa"/>
          </w:tblCellMar>
        </w:tblPrEx>
        <w:tc>
          <w:tcPr>
            <w:tcW w:w="3066" w:type="dxa"/>
            <w:shd w:val="clear" w:color="auto" w:fill="auto"/>
          </w:tcPr>
          <w:p w:rsidR="0036354A" w:rsidRPr="00AA16D9" w:rsidRDefault="0036354A" w:rsidP="001A4057">
            <w:pPr>
              <w:keepNext/>
              <w:keepLines/>
              <w:spacing w:before="40" w:after="120"/>
              <w:ind w:right="113"/>
            </w:pPr>
            <w:r w:rsidRPr="00AA16D9">
              <w:t>Enfants d</w:t>
            </w:r>
            <w:r>
              <w:t>’</w:t>
            </w:r>
            <w:r w:rsidRPr="00AA16D9">
              <w:t>un peu moins de 21 ans</w:t>
            </w:r>
          </w:p>
        </w:tc>
        <w:tc>
          <w:tcPr>
            <w:tcW w:w="1400" w:type="dxa"/>
            <w:shd w:val="clear" w:color="auto" w:fill="auto"/>
          </w:tcPr>
          <w:p w:rsidR="0036354A" w:rsidRPr="00AA16D9" w:rsidRDefault="0036354A" w:rsidP="001A4057">
            <w:pPr>
              <w:keepNext/>
              <w:keepLines/>
              <w:spacing w:before="40" w:after="120"/>
              <w:ind w:right="113"/>
            </w:pPr>
            <w:r w:rsidRPr="00AA16D9">
              <w:t xml:space="preserve">900 000 </w:t>
            </w:r>
          </w:p>
        </w:tc>
        <w:tc>
          <w:tcPr>
            <w:tcW w:w="2904" w:type="dxa"/>
            <w:vMerge/>
            <w:shd w:val="clear" w:color="auto" w:fill="auto"/>
          </w:tcPr>
          <w:p w:rsidR="0036354A" w:rsidRPr="00AA16D9" w:rsidRDefault="0036354A" w:rsidP="001A4057">
            <w:pPr>
              <w:keepNext/>
              <w:keepLines/>
              <w:suppressAutoHyphens w:val="0"/>
              <w:spacing w:before="40" w:after="120" w:line="220" w:lineRule="exact"/>
              <w:ind w:right="113"/>
            </w:pPr>
          </w:p>
        </w:tc>
      </w:tr>
      <w:tr w:rsidR="0036354A" w:rsidRPr="00AA16D9" w:rsidTr="001A4057">
        <w:tblPrEx>
          <w:tblCellMar>
            <w:top w:w="0" w:type="dxa"/>
            <w:bottom w:w="0" w:type="dxa"/>
          </w:tblCellMar>
        </w:tblPrEx>
        <w:tc>
          <w:tcPr>
            <w:tcW w:w="3066" w:type="dxa"/>
            <w:shd w:val="clear" w:color="auto" w:fill="auto"/>
          </w:tcPr>
          <w:p w:rsidR="0036354A" w:rsidRPr="00AA16D9" w:rsidRDefault="0036354A" w:rsidP="001A4057">
            <w:pPr>
              <w:keepNext/>
              <w:keepLines/>
              <w:spacing w:before="40" w:after="120"/>
              <w:ind w:right="113"/>
            </w:pPr>
            <w:r w:rsidRPr="00AA16D9">
              <w:t>Enfants de moins de 10 ans</w:t>
            </w:r>
          </w:p>
        </w:tc>
        <w:tc>
          <w:tcPr>
            <w:tcW w:w="4304" w:type="dxa"/>
            <w:gridSpan w:val="2"/>
            <w:shd w:val="clear" w:color="auto" w:fill="auto"/>
          </w:tcPr>
          <w:p w:rsidR="0036354A" w:rsidRPr="00AA16D9" w:rsidRDefault="0036354A" w:rsidP="001A4057">
            <w:pPr>
              <w:keepNext/>
              <w:keepLines/>
              <w:spacing w:before="40" w:after="120"/>
              <w:ind w:right="113"/>
            </w:pPr>
            <w:r w:rsidRPr="00AA16D9">
              <w:t>Ces enfants faisaient en moyenne 9 heures par semaine de travaux ménagers, les filles travaillant plus d</w:t>
            </w:r>
            <w:r>
              <w:t>’</w:t>
            </w:r>
            <w:r w:rsidRPr="00AA16D9">
              <w:t xml:space="preserve">heures que les garçons. </w:t>
            </w:r>
          </w:p>
        </w:tc>
      </w:tr>
      <w:tr w:rsidR="0036354A" w:rsidRPr="00AA16D9" w:rsidTr="001A4057">
        <w:tblPrEx>
          <w:tblCellMar>
            <w:top w:w="0" w:type="dxa"/>
            <w:bottom w:w="0" w:type="dxa"/>
          </w:tblCellMar>
        </w:tblPrEx>
        <w:tc>
          <w:tcPr>
            <w:tcW w:w="3066" w:type="dxa"/>
            <w:shd w:val="clear" w:color="auto" w:fill="auto"/>
          </w:tcPr>
          <w:p w:rsidR="0036354A" w:rsidRPr="00AA16D9" w:rsidRDefault="0036354A" w:rsidP="001A4057">
            <w:pPr>
              <w:keepNext/>
              <w:keepLines/>
              <w:spacing w:before="40" w:after="120"/>
              <w:ind w:right="113"/>
            </w:pPr>
            <w:r w:rsidRPr="00AA16D9">
              <w:t>Dans la tranche de 11 à 15 ans</w:t>
            </w:r>
          </w:p>
        </w:tc>
        <w:tc>
          <w:tcPr>
            <w:tcW w:w="4304" w:type="dxa"/>
            <w:gridSpan w:val="2"/>
            <w:shd w:val="clear" w:color="auto" w:fill="auto"/>
          </w:tcPr>
          <w:p w:rsidR="0036354A" w:rsidRPr="00AA16D9" w:rsidRDefault="0036354A" w:rsidP="001A4057">
            <w:pPr>
              <w:keepNext/>
              <w:keepLines/>
              <w:spacing w:before="40" w:after="120"/>
              <w:ind w:right="113"/>
            </w:pPr>
            <w:r w:rsidRPr="00AA16D9">
              <w:t>Les heures de travail sont en moyenne de 14 heures par semaine</w:t>
            </w:r>
          </w:p>
        </w:tc>
      </w:tr>
    </w:tbl>
    <w:p w:rsidR="0036354A" w:rsidRPr="00AA16D9" w:rsidRDefault="0036354A" w:rsidP="0036354A">
      <w:pPr>
        <w:pStyle w:val="SingleTxtG"/>
        <w:spacing w:before="120"/>
        <w:ind w:firstLine="170"/>
        <w:rPr>
          <w:sz w:val="18"/>
          <w:szCs w:val="18"/>
        </w:rPr>
      </w:pPr>
      <w:r w:rsidRPr="00AA16D9">
        <w:rPr>
          <w:i/>
          <w:sz w:val="18"/>
          <w:szCs w:val="18"/>
        </w:rPr>
        <w:t>NISR</w:t>
      </w:r>
      <w:r w:rsidRPr="00AA16D9">
        <w:rPr>
          <w:sz w:val="18"/>
          <w:szCs w:val="18"/>
        </w:rPr>
        <w:t>: Labor market and economic activity trends in Rwanda, Analysis of EICV II.</w:t>
      </w:r>
    </w:p>
    <w:p w:rsidR="0036354A" w:rsidRPr="00AA16D9" w:rsidRDefault="0036354A" w:rsidP="0036354A">
      <w:pPr>
        <w:pStyle w:val="SingleTxtG"/>
        <w:ind w:firstLine="567"/>
      </w:pPr>
      <w:r w:rsidRPr="00AA16D9">
        <w:t>Notons que cette tendance des filles à accomplir plus d</w:t>
      </w:r>
      <w:r>
        <w:t>’</w:t>
      </w:r>
      <w:r w:rsidRPr="00AA16D9">
        <w:t>heures que les garçons continue à s</w:t>
      </w:r>
      <w:r>
        <w:t>’</w:t>
      </w:r>
      <w:r w:rsidRPr="00AA16D9">
        <w:t xml:space="preserve">accentuer même après 21 ans; leur temps de travail ménager pouvant être cinq fois supérieur à celui des garçons. </w:t>
      </w:r>
    </w:p>
    <w:p w:rsidR="0036354A" w:rsidRPr="00AA16D9" w:rsidRDefault="0036354A" w:rsidP="0036354A">
      <w:pPr>
        <w:pStyle w:val="H4G"/>
      </w:pPr>
      <w:r w:rsidRPr="00AA16D9">
        <w:tab/>
      </w:r>
      <w:r w:rsidRPr="00AA16D9">
        <w:tab/>
        <w:t>Y a-t-il dans le pays des groupes d</w:t>
      </w:r>
      <w:r>
        <w:t>’</w:t>
      </w:r>
      <w:r w:rsidRPr="00AA16D9">
        <w:t xml:space="preserve">enfants et de jeunes ne bénéficiant pas de mesure de protection? </w:t>
      </w:r>
    </w:p>
    <w:p w:rsidR="0036354A" w:rsidRPr="00AA16D9" w:rsidRDefault="0036354A" w:rsidP="0036354A">
      <w:pPr>
        <w:pStyle w:val="SingleTxtG"/>
      </w:pPr>
      <w:r w:rsidRPr="00AA16D9">
        <w:rPr>
          <w:szCs w:val="24"/>
        </w:rPr>
        <w:t>179.</w:t>
      </w:r>
      <w:r w:rsidRPr="00AA16D9">
        <w:rPr>
          <w:szCs w:val="24"/>
        </w:rPr>
        <w:tab/>
      </w:r>
      <w:r w:rsidRPr="00AA16D9">
        <w:t>Il existe encore, certes, des groupes d</w:t>
      </w:r>
      <w:r>
        <w:t>’</w:t>
      </w:r>
      <w:r w:rsidRPr="00AA16D9">
        <w:t>enfants et de jeunes (comme les enfants de la rue, les enfants orphelins, les enfants chefs de ménage) qui ne bénéficient pas encore de mesure de protection ni d</w:t>
      </w:r>
      <w:r>
        <w:t>’</w:t>
      </w:r>
      <w:r w:rsidRPr="00AA16D9">
        <w:t>assistance. Les efforts incessants déployés par l</w:t>
      </w:r>
      <w:r>
        <w:t>’</w:t>
      </w:r>
      <w:r w:rsidRPr="00AA16D9">
        <w:t>État visent à réduire cet effectif d</w:t>
      </w:r>
      <w:r>
        <w:t>’</w:t>
      </w:r>
      <w:r w:rsidRPr="00AA16D9">
        <w:t>année en année. Notons par exemple que:</w:t>
      </w:r>
    </w:p>
    <w:p w:rsidR="0036354A" w:rsidRPr="00AA16D9" w:rsidRDefault="0036354A" w:rsidP="0036354A">
      <w:pPr>
        <w:pStyle w:val="SingleTxtG"/>
        <w:ind w:firstLine="567"/>
      </w:pPr>
      <w:r w:rsidRPr="00AA16D9">
        <w:t>a)</w:t>
      </w:r>
      <w:r w:rsidRPr="00AA16D9">
        <w:tab/>
        <w:t>La politique nationale de protection sociale donne des orientations pour réduire la pauvreté;</w:t>
      </w:r>
      <w:r>
        <w:t xml:space="preserve"> </w:t>
      </w:r>
    </w:p>
    <w:p w:rsidR="0036354A" w:rsidRPr="00AA16D9" w:rsidRDefault="0036354A" w:rsidP="0036354A">
      <w:pPr>
        <w:pStyle w:val="SingleTxtG"/>
        <w:ind w:firstLine="567"/>
      </w:pPr>
      <w:r w:rsidRPr="00AA16D9">
        <w:t>b)</w:t>
      </w:r>
      <w:r w:rsidRPr="00AA16D9">
        <w:tab/>
        <w:t>La politique nationale de l</w:t>
      </w:r>
      <w:r>
        <w:t>’</w:t>
      </w:r>
      <w:r w:rsidRPr="00AA16D9">
        <w:t>emploi tient compte aussi des jeunes. Les projets HIMO tendent à créer des emplois également pour les jeunes en milieu rural, à insérer les groupes vulnérables dans des métiers et à promouvoir l</w:t>
      </w:r>
      <w:r>
        <w:t>’</w:t>
      </w:r>
      <w:r w:rsidRPr="00AA16D9">
        <w:t xml:space="preserve">auto-emploi dans les secteurs formel et informel de manière accentuée; </w:t>
      </w:r>
    </w:p>
    <w:p w:rsidR="0036354A" w:rsidRPr="00AA16D9" w:rsidRDefault="0036354A" w:rsidP="0036354A">
      <w:pPr>
        <w:pStyle w:val="SingleTxtG"/>
        <w:ind w:firstLine="567"/>
      </w:pPr>
      <w:r w:rsidRPr="00AA16D9">
        <w:t>c)</w:t>
      </w:r>
      <w:r w:rsidRPr="00AA16D9">
        <w:tab/>
        <w:t>Le plan d</w:t>
      </w:r>
      <w:r>
        <w:t>’</w:t>
      </w:r>
      <w:r w:rsidRPr="00AA16D9">
        <w:t>action quinquennal pour la promotion de l</w:t>
      </w:r>
      <w:r>
        <w:t>’</w:t>
      </w:r>
      <w:r w:rsidRPr="00AA16D9">
        <w:t>emploi des jeunes au Rwanda vise à former et à créer des emplois pour les jeunes. Le Gouvernement du Rwanda s</w:t>
      </w:r>
      <w:r>
        <w:t>’</w:t>
      </w:r>
      <w:r w:rsidRPr="00AA16D9">
        <w:t>est engagé à être un des pays-phare en matière de promotion de l</w:t>
      </w:r>
      <w:r>
        <w:t>’</w:t>
      </w:r>
      <w:r w:rsidRPr="00AA16D9">
        <w:t>emploi des jeunes en Afrique dans le cadre du «Youth Employment Network». Cette politique met aussi l</w:t>
      </w:r>
      <w:r>
        <w:t>’</w:t>
      </w:r>
      <w:r w:rsidRPr="00AA16D9">
        <w:t>accent sur l</w:t>
      </w:r>
      <w:r>
        <w:t>’</w:t>
      </w:r>
      <w:r w:rsidRPr="00AA16D9">
        <w:t>effort de formation des jeunes;</w:t>
      </w:r>
    </w:p>
    <w:p w:rsidR="0036354A" w:rsidRPr="00AA16D9" w:rsidRDefault="0036354A" w:rsidP="0036354A">
      <w:pPr>
        <w:pStyle w:val="SingleTxtG"/>
        <w:ind w:firstLine="567"/>
      </w:pPr>
      <w:r w:rsidRPr="00AA16D9">
        <w:t>d)</w:t>
      </w:r>
      <w:r w:rsidRPr="00AA16D9">
        <w:tab/>
        <w:t>La politique sectorielle de l</w:t>
      </w:r>
      <w:r>
        <w:t>’</w:t>
      </w:r>
      <w:r w:rsidRPr="00AA16D9">
        <w:t>éducation et le plan stratégique y afférant ont été mis en place;</w:t>
      </w:r>
    </w:p>
    <w:p w:rsidR="0036354A" w:rsidRPr="00AA16D9" w:rsidRDefault="0036354A" w:rsidP="0036354A">
      <w:pPr>
        <w:pStyle w:val="SingleTxtG"/>
        <w:ind w:firstLine="567"/>
      </w:pPr>
      <w:r w:rsidRPr="00AA16D9">
        <w:t>e)</w:t>
      </w:r>
      <w:r w:rsidRPr="00AA16D9">
        <w:tab/>
        <w:t>Le plan stratégique de 2005 en faveur des enfants de la rue vise à protéger ces derniers, à prévoir leur réinsertion dans leurs familles ou communauté et à prévenir leur présence dans la rue;</w:t>
      </w:r>
    </w:p>
    <w:p w:rsidR="0036354A" w:rsidRPr="00AA16D9" w:rsidRDefault="0036354A" w:rsidP="0036354A">
      <w:pPr>
        <w:pStyle w:val="SingleTxtG"/>
        <w:ind w:firstLine="567"/>
      </w:pPr>
      <w:r w:rsidRPr="00AA16D9">
        <w:t>f)</w:t>
      </w:r>
      <w:r w:rsidRPr="00AA16D9">
        <w:tab/>
        <w:t xml:space="preserve">La politique de prise en charge des enfants orphelins et autres enfants vulnérables a été mise en place; </w:t>
      </w:r>
    </w:p>
    <w:p w:rsidR="0036354A" w:rsidRPr="00AA16D9" w:rsidRDefault="0036354A" w:rsidP="0036354A">
      <w:pPr>
        <w:pStyle w:val="SingleTxtG"/>
        <w:ind w:firstLine="567"/>
      </w:pPr>
      <w:r w:rsidRPr="00AA16D9">
        <w:t>g)</w:t>
      </w:r>
      <w:r w:rsidRPr="00AA16D9">
        <w:tab/>
        <w:t>Un plan stratégique pour ces enfants est en place depuis 2007, qui vise notamment à mettre en place des structures d</w:t>
      </w:r>
      <w:r>
        <w:t>’</w:t>
      </w:r>
      <w:r w:rsidRPr="00AA16D9">
        <w:t>aide communautaire en vue d</w:t>
      </w:r>
      <w:r>
        <w:t>’</w:t>
      </w:r>
      <w:r w:rsidRPr="00AA16D9">
        <w:t>assurer leur protection, leur suivi et la prestation de divers services (comme l</w:t>
      </w:r>
      <w:r>
        <w:t>’</w:t>
      </w:r>
      <w:r w:rsidRPr="00AA16D9">
        <w:t>éducation, la santé, nutrition, logement et autres);</w:t>
      </w:r>
    </w:p>
    <w:p w:rsidR="0036354A" w:rsidRPr="00AA16D9" w:rsidRDefault="0036354A" w:rsidP="0036354A">
      <w:pPr>
        <w:pStyle w:val="SingleTxtG"/>
        <w:ind w:firstLine="567"/>
      </w:pPr>
      <w:r w:rsidRPr="00AA16D9">
        <w:t>h)</w:t>
      </w:r>
      <w:r w:rsidRPr="00AA16D9">
        <w:tab/>
        <w:t>Un plan d</w:t>
      </w:r>
      <w:r>
        <w:t>’</w:t>
      </w:r>
      <w:r w:rsidRPr="00AA16D9">
        <w:t>action quinquennal sur le travail des enfants a été élaboré visant à éliminer le travail des enfants et à lutter contre les pires formes de travail des enfants.</w:t>
      </w:r>
    </w:p>
    <w:p w:rsidR="0036354A" w:rsidRPr="00AA16D9" w:rsidRDefault="0036354A" w:rsidP="0036354A">
      <w:pPr>
        <w:pStyle w:val="SingleTxtG"/>
      </w:pPr>
      <w:r w:rsidRPr="00AA16D9">
        <w:rPr>
          <w:szCs w:val="24"/>
        </w:rPr>
        <w:t>180.</w:t>
      </w:r>
      <w:r w:rsidRPr="00AA16D9">
        <w:rPr>
          <w:szCs w:val="24"/>
        </w:rPr>
        <w:tab/>
      </w:r>
      <w:r w:rsidRPr="00AA16D9">
        <w:t>D</w:t>
      </w:r>
      <w:r>
        <w:t>’</w:t>
      </w:r>
      <w:r w:rsidRPr="00AA16D9">
        <w:t>autres mesures de protection et d</w:t>
      </w:r>
      <w:r>
        <w:t>’</w:t>
      </w:r>
      <w:r w:rsidRPr="00AA16D9">
        <w:t>assistance sont:</w:t>
      </w:r>
    </w:p>
    <w:p w:rsidR="0036354A" w:rsidRPr="00AA16D9" w:rsidRDefault="0036354A" w:rsidP="0036354A">
      <w:pPr>
        <w:pStyle w:val="SingleTxtG"/>
        <w:ind w:firstLine="567"/>
      </w:pPr>
      <w:r w:rsidRPr="00AA16D9">
        <w:t>a)</w:t>
      </w:r>
      <w:r w:rsidRPr="00AA16D9">
        <w:tab/>
        <w:t>La réhabilitation des centres de jeunes;</w:t>
      </w:r>
    </w:p>
    <w:p w:rsidR="0036354A" w:rsidRPr="00AA16D9" w:rsidRDefault="0036354A" w:rsidP="0036354A">
      <w:pPr>
        <w:pStyle w:val="SingleTxtG"/>
        <w:ind w:firstLine="567"/>
      </w:pPr>
      <w:r w:rsidRPr="00AA16D9">
        <w:t>b)</w:t>
      </w:r>
      <w:r w:rsidRPr="00AA16D9">
        <w:tab/>
        <w:t>La mise sur pied de coopératives des jeunes depuis 2007, les COOJAD</w:t>
      </w:r>
      <w:r w:rsidRPr="00AA16D9">
        <w:rPr>
          <w:sz w:val="18"/>
          <w:szCs w:val="18"/>
          <w:vertAlign w:val="superscript"/>
        </w:rPr>
        <w:footnoteReference w:id="102"/>
      </w:r>
      <w:r w:rsidRPr="00AA16D9">
        <w:rPr>
          <w:sz w:val="18"/>
          <w:szCs w:val="18"/>
        </w:rPr>
        <w:t xml:space="preserve"> </w:t>
      </w:r>
      <w:r w:rsidRPr="00AA16D9">
        <w:t>(Coopératives de la jeunesse pour l</w:t>
      </w:r>
      <w:r>
        <w:t>’</w:t>
      </w:r>
      <w:r w:rsidRPr="00AA16D9">
        <w:t>auto-emploi et le développement). Ce sont des coopératives d</w:t>
      </w:r>
      <w:r>
        <w:t>’</w:t>
      </w:r>
      <w:r w:rsidRPr="00AA16D9">
        <w:t>épargne et de crédit pour les jeunes, permettant à ces derniers de disposer d</w:t>
      </w:r>
      <w:r>
        <w:t>’</w:t>
      </w:r>
      <w:r w:rsidRPr="00AA16D9">
        <w:t xml:space="preserve">un financement et de lancer des projets générateurs de revenus. Notons que ces coopératives sont jusque-là financées par le Conseil National de la Jeunesse. Le tableau 10 ci-dessous décrit les montants alloués dans le passé. </w:t>
      </w:r>
    </w:p>
    <w:p w:rsidR="0036354A" w:rsidRPr="00AA16D9" w:rsidRDefault="0036354A" w:rsidP="0036354A">
      <w:pPr>
        <w:pStyle w:val="Heading1"/>
        <w:spacing w:after="120"/>
      </w:pPr>
      <w:r w:rsidRPr="00AA16D9">
        <w:t>Tableau 10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83"/>
        <w:gridCol w:w="5487"/>
      </w:tblGrid>
      <w:tr w:rsidR="0036354A" w:rsidRPr="00FD13EF" w:rsidTr="001A4057">
        <w:tblPrEx>
          <w:tblCellMar>
            <w:top w:w="0" w:type="dxa"/>
            <w:bottom w:w="0" w:type="dxa"/>
          </w:tblCellMar>
        </w:tblPrEx>
        <w:trPr>
          <w:trHeight w:val="150"/>
          <w:tblHeader/>
        </w:trPr>
        <w:tc>
          <w:tcPr>
            <w:tcW w:w="1883" w:type="dxa"/>
            <w:tcBorders>
              <w:top w:val="single" w:sz="4" w:space="0" w:color="auto"/>
              <w:bottom w:val="single" w:sz="12" w:space="0" w:color="auto"/>
            </w:tcBorders>
            <w:shd w:val="clear" w:color="auto" w:fill="auto"/>
            <w:vAlign w:val="bottom"/>
          </w:tcPr>
          <w:p w:rsidR="0036354A" w:rsidRPr="00FD13EF" w:rsidRDefault="0036354A" w:rsidP="001A4057">
            <w:pPr>
              <w:suppressAutoHyphens w:val="0"/>
              <w:spacing w:before="80" w:after="80" w:line="200" w:lineRule="exact"/>
              <w:rPr>
                <w:i/>
                <w:sz w:val="16"/>
              </w:rPr>
            </w:pPr>
            <w:r w:rsidRPr="00FD13EF">
              <w:rPr>
                <w:i/>
                <w:sz w:val="16"/>
              </w:rPr>
              <w:t>Année</w:t>
            </w:r>
          </w:p>
        </w:tc>
        <w:tc>
          <w:tcPr>
            <w:tcW w:w="5487" w:type="dxa"/>
            <w:tcBorders>
              <w:top w:val="single" w:sz="4" w:space="0" w:color="auto"/>
              <w:bottom w:val="single" w:sz="12" w:space="0" w:color="auto"/>
            </w:tcBorders>
            <w:shd w:val="clear" w:color="auto" w:fill="auto"/>
            <w:vAlign w:val="bottom"/>
          </w:tcPr>
          <w:p w:rsidR="0036354A" w:rsidRPr="00FD13EF" w:rsidRDefault="0036354A" w:rsidP="001A4057">
            <w:pPr>
              <w:suppressAutoHyphens w:val="0"/>
              <w:spacing w:before="80" w:after="80" w:line="200" w:lineRule="exact"/>
              <w:jc w:val="right"/>
              <w:rPr>
                <w:i/>
                <w:sz w:val="16"/>
              </w:rPr>
            </w:pPr>
            <w:r w:rsidRPr="00FD13EF">
              <w:rPr>
                <w:i/>
                <w:sz w:val="16"/>
              </w:rPr>
              <w:t>Financement provenant du Conseil National de la Jeunesse au COOJAD</w:t>
            </w:r>
          </w:p>
        </w:tc>
      </w:tr>
      <w:tr w:rsidR="0036354A" w:rsidRPr="00FD13EF" w:rsidTr="001A4057">
        <w:tblPrEx>
          <w:tblCellMar>
            <w:top w:w="0" w:type="dxa"/>
            <w:bottom w:w="0" w:type="dxa"/>
          </w:tblCellMar>
        </w:tblPrEx>
        <w:trPr>
          <w:trHeight w:val="150"/>
        </w:trPr>
        <w:tc>
          <w:tcPr>
            <w:tcW w:w="1883" w:type="dxa"/>
            <w:tcBorders>
              <w:top w:val="single" w:sz="12" w:space="0" w:color="auto"/>
            </w:tcBorders>
            <w:shd w:val="clear" w:color="auto" w:fill="auto"/>
          </w:tcPr>
          <w:p w:rsidR="0036354A" w:rsidRPr="00FD13EF" w:rsidRDefault="0036354A" w:rsidP="001A4057">
            <w:pPr>
              <w:suppressAutoHyphens w:val="0"/>
              <w:spacing w:before="40" w:after="40" w:line="220" w:lineRule="exact"/>
              <w:rPr>
                <w:sz w:val="18"/>
              </w:rPr>
            </w:pPr>
            <w:r w:rsidRPr="00FD13EF">
              <w:rPr>
                <w:sz w:val="18"/>
              </w:rPr>
              <w:t>2007</w:t>
            </w:r>
          </w:p>
        </w:tc>
        <w:tc>
          <w:tcPr>
            <w:tcW w:w="5487" w:type="dxa"/>
            <w:tcBorders>
              <w:top w:val="single" w:sz="12" w:space="0" w:color="auto"/>
            </w:tcBorders>
            <w:shd w:val="clear" w:color="auto" w:fill="auto"/>
            <w:vAlign w:val="bottom"/>
          </w:tcPr>
          <w:p w:rsidR="0036354A" w:rsidRPr="00FD13EF" w:rsidRDefault="0036354A" w:rsidP="001A4057">
            <w:pPr>
              <w:suppressAutoHyphens w:val="0"/>
              <w:spacing w:before="40" w:after="40" w:line="220" w:lineRule="exact"/>
              <w:jc w:val="right"/>
              <w:rPr>
                <w:sz w:val="18"/>
              </w:rPr>
            </w:pPr>
            <w:r w:rsidRPr="00FD13EF">
              <w:rPr>
                <w:sz w:val="18"/>
              </w:rPr>
              <w:t>27 000, 000</w:t>
            </w:r>
          </w:p>
        </w:tc>
      </w:tr>
      <w:tr w:rsidR="0036354A" w:rsidRPr="00FD13EF" w:rsidTr="001A4057">
        <w:tblPrEx>
          <w:tblCellMar>
            <w:top w:w="0" w:type="dxa"/>
            <w:bottom w:w="0" w:type="dxa"/>
          </w:tblCellMar>
        </w:tblPrEx>
        <w:trPr>
          <w:trHeight w:val="150"/>
        </w:trPr>
        <w:tc>
          <w:tcPr>
            <w:tcW w:w="1883" w:type="dxa"/>
            <w:shd w:val="clear" w:color="auto" w:fill="auto"/>
          </w:tcPr>
          <w:p w:rsidR="0036354A" w:rsidRPr="00FD13EF" w:rsidRDefault="0036354A" w:rsidP="001A4057">
            <w:pPr>
              <w:suppressAutoHyphens w:val="0"/>
              <w:spacing w:before="40" w:after="40" w:line="220" w:lineRule="exact"/>
              <w:rPr>
                <w:sz w:val="18"/>
              </w:rPr>
            </w:pPr>
            <w:r w:rsidRPr="00FD13EF">
              <w:rPr>
                <w:sz w:val="18"/>
              </w:rPr>
              <w:t>2008</w:t>
            </w:r>
          </w:p>
        </w:tc>
        <w:tc>
          <w:tcPr>
            <w:tcW w:w="5487" w:type="dxa"/>
            <w:shd w:val="clear" w:color="auto" w:fill="auto"/>
            <w:vAlign w:val="bottom"/>
          </w:tcPr>
          <w:p w:rsidR="0036354A" w:rsidRPr="00FD13EF" w:rsidRDefault="0036354A" w:rsidP="001A4057">
            <w:pPr>
              <w:suppressAutoHyphens w:val="0"/>
              <w:spacing w:before="40" w:after="40" w:line="220" w:lineRule="exact"/>
              <w:jc w:val="right"/>
              <w:rPr>
                <w:sz w:val="18"/>
              </w:rPr>
            </w:pPr>
            <w:r w:rsidRPr="00FD13EF">
              <w:rPr>
                <w:sz w:val="18"/>
              </w:rPr>
              <w:t>57 726,998</w:t>
            </w:r>
          </w:p>
        </w:tc>
      </w:tr>
      <w:tr w:rsidR="0036354A" w:rsidRPr="00FD13EF" w:rsidTr="001A4057">
        <w:tblPrEx>
          <w:tblCellMar>
            <w:top w:w="0" w:type="dxa"/>
            <w:bottom w:w="0" w:type="dxa"/>
          </w:tblCellMar>
        </w:tblPrEx>
        <w:trPr>
          <w:trHeight w:val="150"/>
        </w:trPr>
        <w:tc>
          <w:tcPr>
            <w:tcW w:w="1883" w:type="dxa"/>
            <w:shd w:val="clear" w:color="auto" w:fill="auto"/>
          </w:tcPr>
          <w:p w:rsidR="0036354A" w:rsidRPr="00FD13EF" w:rsidRDefault="0036354A" w:rsidP="001A4057">
            <w:pPr>
              <w:suppressAutoHyphens w:val="0"/>
              <w:spacing w:before="40" w:after="40" w:line="220" w:lineRule="exact"/>
              <w:rPr>
                <w:sz w:val="18"/>
              </w:rPr>
            </w:pPr>
            <w:r w:rsidRPr="00FD13EF">
              <w:rPr>
                <w:sz w:val="18"/>
              </w:rPr>
              <w:t>2009</w:t>
            </w:r>
          </w:p>
        </w:tc>
        <w:tc>
          <w:tcPr>
            <w:tcW w:w="5487" w:type="dxa"/>
            <w:shd w:val="clear" w:color="auto" w:fill="auto"/>
            <w:vAlign w:val="bottom"/>
          </w:tcPr>
          <w:p w:rsidR="0036354A" w:rsidRPr="00FD13EF" w:rsidRDefault="0036354A" w:rsidP="001A4057">
            <w:pPr>
              <w:suppressAutoHyphens w:val="0"/>
              <w:spacing w:before="40" w:after="40" w:line="220" w:lineRule="exact"/>
              <w:jc w:val="right"/>
              <w:rPr>
                <w:sz w:val="18"/>
              </w:rPr>
            </w:pPr>
            <w:r w:rsidRPr="00FD13EF">
              <w:rPr>
                <w:sz w:val="18"/>
              </w:rPr>
              <w:t>50 780,000</w:t>
            </w:r>
          </w:p>
        </w:tc>
      </w:tr>
    </w:tbl>
    <w:p w:rsidR="0036354A" w:rsidRPr="00AA16D9" w:rsidRDefault="0036354A" w:rsidP="0036354A">
      <w:pPr>
        <w:pStyle w:val="SingleTxtG"/>
        <w:spacing w:before="120"/>
        <w:ind w:firstLine="170"/>
        <w:rPr>
          <w:sz w:val="18"/>
          <w:szCs w:val="18"/>
        </w:rPr>
      </w:pPr>
      <w:r w:rsidRPr="00AA16D9">
        <w:rPr>
          <w:i/>
          <w:sz w:val="18"/>
          <w:szCs w:val="18"/>
        </w:rPr>
        <w:t>Source</w:t>
      </w:r>
      <w:r w:rsidRPr="00AA16D9">
        <w:rPr>
          <w:sz w:val="18"/>
          <w:szCs w:val="18"/>
        </w:rPr>
        <w:t>: Direction des COOJAD.</w:t>
      </w:r>
    </w:p>
    <w:p w:rsidR="0036354A" w:rsidRPr="00AA16D9" w:rsidRDefault="0036354A" w:rsidP="0036354A">
      <w:pPr>
        <w:pStyle w:val="SingleTxtG"/>
        <w:ind w:firstLine="567"/>
      </w:pPr>
      <w:r w:rsidRPr="00AA16D9">
        <w:t>c)</w:t>
      </w:r>
      <w:r w:rsidRPr="00AA16D9">
        <w:tab/>
        <w:t>La création de centres de réinsertion pour les enfants victimes de la délinquance juvénile: on y fournit des formations et compétences pour l</w:t>
      </w:r>
      <w:r>
        <w:t>’</w:t>
      </w:r>
      <w:r w:rsidRPr="00AA16D9">
        <w:t>exercice d</w:t>
      </w:r>
      <w:r>
        <w:t>’</w:t>
      </w:r>
      <w:r w:rsidRPr="00AA16D9">
        <w:t>un métier;</w:t>
      </w:r>
    </w:p>
    <w:p w:rsidR="0036354A" w:rsidRPr="00AA16D9" w:rsidRDefault="0036354A" w:rsidP="0036354A">
      <w:pPr>
        <w:pStyle w:val="SingleTxtG"/>
        <w:ind w:firstLine="567"/>
      </w:pPr>
      <w:r w:rsidRPr="00AA16D9">
        <w:t>d)</w:t>
      </w:r>
      <w:r w:rsidRPr="00AA16D9">
        <w:tab/>
        <w:t>Il existe auprès de chaque secteur administratif un agent de la police formé aux droits de l</w:t>
      </w:r>
      <w:r>
        <w:t>’</w:t>
      </w:r>
      <w:r w:rsidRPr="00AA16D9">
        <w:t xml:space="preserve">enfant, chargé de veiller à ce que protection soit assurée aux enfants et aux femmes et que les violations dont ils sont victimes soient reportées; </w:t>
      </w:r>
    </w:p>
    <w:p w:rsidR="0036354A" w:rsidRPr="00AA16D9" w:rsidRDefault="0036354A" w:rsidP="0036354A">
      <w:pPr>
        <w:pStyle w:val="SingleTxtG"/>
        <w:ind w:firstLine="567"/>
      </w:pPr>
      <w:r w:rsidRPr="00AA16D9">
        <w:t>e)</w:t>
      </w:r>
      <w:r w:rsidRPr="00AA16D9">
        <w:tab/>
        <w:t>Une ONG, ADPA, travaille en partenariat avec le MIFOTRA depuis 2001. Elle vise à retirer les enfants du travail domestique en leur apprenant un métier. Elle mène des caravanes à travers le pays pour dévoiler les conditions du travail domestique. Des points d</w:t>
      </w:r>
      <w:r>
        <w:t>’</w:t>
      </w:r>
      <w:r w:rsidRPr="00AA16D9">
        <w:t xml:space="preserve">écoute ont même été installés pour aider les enfants en détresse, surtout les enfants de la rue et les enfants domestiques; </w:t>
      </w:r>
    </w:p>
    <w:p w:rsidR="0036354A" w:rsidRPr="00AA16D9" w:rsidRDefault="0036354A" w:rsidP="0036354A">
      <w:pPr>
        <w:pStyle w:val="SingleTxtG"/>
        <w:ind w:firstLine="567"/>
      </w:pPr>
      <w:r w:rsidRPr="00AA16D9">
        <w:t>f)</w:t>
      </w:r>
      <w:r w:rsidRPr="00AA16D9">
        <w:tab/>
        <w:t>Plusieurs programmes</w:t>
      </w:r>
      <w:r w:rsidRPr="00AA16D9">
        <w:rPr>
          <w:sz w:val="18"/>
          <w:szCs w:val="18"/>
          <w:vertAlign w:val="superscript"/>
        </w:rPr>
        <w:footnoteReference w:id="103"/>
      </w:r>
      <w:r w:rsidRPr="00AA16D9">
        <w:t xml:space="preserve"> existent aussi pour les enfants de la rue ou les enfants abandonnés. Il y</w:t>
      </w:r>
      <w:r w:rsidR="00B54638">
        <w:t xml:space="preserve"> </w:t>
      </w:r>
      <w:r w:rsidRPr="00AA16D9">
        <w:t>a aussi le nouveau projet «Street School» lancé en 2007 par le MIGEPROF et divers partenaires. Il vise à réintégrer les enfants dans la société, et à leur offrir des capacités artistiques.</w:t>
      </w:r>
    </w:p>
    <w:p w:rsidR="0036354A" w:rsidRPr="00AA16D9" w:rsidRDefault="0036354A" w:rsidP="0036354A">
      <w:pPr>
        <w:pStyle w:val="H4G"/>
      </w:pPr>
      <w:r w:rsidRPr="00AA16D9">
        <w:tab/>
      </w:r>
      <w:r w:rsidRPr="00AA16D9">
        <w:tab/>
        <w:t>Comment se fait la dissémination des droits de l</w:t>
      </w:r>
      <w:r>
        <w:t>’</w:t>
      </w:r>
      <w:r w:rsidRPr="00AA16D9">
        <w:t>enfant?</w:t>
      </w:r>
    </w:p>
    <w:p w:rsidR="0036354A" w:rsidRPr="00AA16D9" w:rsidRDefault="0036354A" w:rsidP="0036354A">
      <w:pPr>
        <w:pStyle w:val="SingleTxtG"/>
      </w:pPr>
      <w:r w:rsidRPr="00AA16D9">
        <w:rPr>
          <w:szCs w:val="24"/>
        </w:rPr>
        <w:t>181.</w:t>
      </w:r>
      <w:r w:rsidRPr="00AA16D9">
        <w:rPr>
          <w:szCs w:val="24"/>
        </w:rPr>
        <w:tab/>
      </w:r>
      <w:r w:rsidRPr="00AA16D9">
        <w:t>Il existe des initiatives tant privées que publiques aidant à disséminer l</w:t>
      </w:r>
      <w:r>
        <w:t>’</w:t>
      </w:r>
      <w:r w:rsidRPr="00AA16D9">
        <w:t>information sur les droits de l</w:t>
      </w:r>
      <w:r>
        <w:t>’</w:t>
      </w:r>
      <w:r w:rsidRPr="00AA16D9">
        <w:t>enfant, notamment:</w:t>
      </w:r>
    </w:p>
    <w:p w:rsidR="0036354A" w:rsidRPr="00AA16D9" w:rsidRDefault="0036354A" w:rsidP="0036354A">
      <w:pPr>
        <w:pStyle w:val="SingleTxtG"/>
        <w:ind w:firstLine="567"/>
      </w:pPr>
      <w:r w:rsidRPr="00AA16D9">
        <w:t>a)</w:t>
      </w:r>
      <w:r w:rsidRPr="00AA16D9">
        <w:tab/>
        <w:t>L</w:t>
      </w:r>
      <w:r>
        <w:t>’</w:t>
      </w:r>
      <w:r w:rsidRPr="00AA16D9">
        <w:t>observatoire des droits de l</w:t>
      </w:r>
      <w:r>
        <w:t>’</w:t>
      </w:r>
      <w:r w:rsidRPr="00AA16D9">
        <w:t>enfant mis sur pied par la commission des droits de la personne;</w:t>
      </w:r>
    </w:p>
    <w:p w:rsidR="0036354A" w:rsidRPr="00AA16D9" w:rsidRDefault="0036354A" w:rsidP="007F2539">
      <w:pPr>
        <w:pStyle w:val="SingleTxtG"/>
        <w:spacing w:after="100"/>
        <w:ind w:firstLine="567"/>
      </w:pPr>
      <w:r w:rsidRPr="00AA16D9">
        <w:t>b)</w:t>
      </w:r>
      <w:r w:rsidRPr="00AA16D9">
        <w:tab/>
        <w:t>Les associations des journalistes ont créé une association pour la promotion des droits de l</w:t>
      </w:r>
      <w:r>
        <w:t>’</w:t>
      </w:r>
      <w:r w:rsidRPr="00AA16D9">
        <w:t xml:space="preserve">enfant; </w:t>
      </w:r>
    </w:p>
    <w:p w:rsidR="0036354A" w:rsidRPr="00AA16D9" w:rsidRDefault="0036354A" w:rsidP="007F2539">
      <w:pPr>
        <w:pStyle w:val="SingleTxtG"/>
        <w:spacing w:after="100"/>
        <w:ind w:firstLine="567"/>
      </w:pPr>
      <w:r w:rsidRPr="00AA16D9">
        <w:t>c)</w:t>
      </w:r>
      <w:r w:rsidRPr="00AA16D9">
        <w:tab/>
        <w:t>Des clubs sur les droits de l</w:t>
      </w:r>
      <w:r>
        <w:t>’</w:t>
      </w:r>
      <w:r w:rsidRPr="00AA16D9">
        <w:t>enfant ont été mis sur pied dans des écoles secondaires; ils offrent un cadre d</w:t>
      </w:r>
      <w:r>
        <w:t>’</w:t>
      </w:r>
      <w:r w:rsidRPr="00AA16D9">
        <w:t>échange entre enfants et enseignants;</w:t>
      </w:r>
    </w:p>
    <w:p w:rsidR="0036354A" w:rsidRPr="00AA16D9" w:rsidRDefault="0036354A" w:rsidP="007F2539">
      <w:pPr>
        <w:pStyle w:val="SingleTxtG"/>
        <w:spacing w:after="100"/>
        <w:ind w:firstLine="567"/>
      </w:pPr>
      <w:r w:rsidRPr="00AA16D9">
        <w:t>d)</w:t>
      </w:r>
      <w:r w:rsidRPr="00AA16D9">
        <w:tab/>
        <w:t>Des forums et des compétitions pour les enfants sont organisés sur les droits de l</w:t>
      </w:r>
      <w:r>
        <w:t>’</w:t>
      </w:r>
      <w:r w:rsidRPr="00AA16D9">
        <w:t xml:space="preserve">enfant par des partenaires du secteur privé et public; </w:t>
      </w:r>
    </w:p>
    <w:p w:rsidR="0036354A" w:rsidRPr="00AA16D9" w:rsidRDefault="0036354A" w:rsidP="007F2539">
      <w:pPr>
        <w:pStyle w:val="SingleTxtG"/>
        <w:spacing w:after="100"/>
        <w:ind w:firstLine="567"/>
      </w:pPr>
      <w:r w:rsidRPr="00AA16D9">
        <w:t>e)</w:t>
      </w:r>
      <w:r w:rsidRPr="00AA16D9">
        <w:tab/>
        <w:t xml:space="preserve">Des campagnes de sensibilisation et des sommets sont régulièrement organisés avec des enfants. Lors de ces sommets, les thèmes de discussion sont élaborés par les enfants et diffusés sur les ondes de la radio et de la télévision nationales; </w:t>
      </w:r>
    </w:p>
    <w:p w:rsidR="0036354A" w:rsidRPr="00AA16D9" w:rsidRDefault="0036354A" w:rsidP="007F2539">
      <w:pPr>
        <w:pStyle w:val="SingleTxtG"/>
        <w:spacing w:after="100"/>
        <w:ind w:firstLine="567"/>
      </w:pPr>
      <w:r w:rsidRPr="00AA16D9">
        <w:t>f)</w:t>
      </w:r>
      <w:r w:rsidRPr="00AA16D9">
        <w:tab/>
        <w:t>Des campagnes ont été menées dans tout le pays sur la loi protégeant les enfants contre les violences ainsi que sur la politique nationale en faveur des orphelins et autres enfants vulnérables</w:t>
      </w:r>
      <w:r w:rsidRPr="00AA16D9">
        <w:rPr>
          <w:sz w:val="18"/>
          <w:szCs w:val="18"/>
          <w:vertAlign w:val="superscript"/>
        </w:rPr>
        <w:footnoteReference w:id="104"/>
      </w:r>
      <w:r w:rsidRPr="00AA16D9">
        <w:t>.</w:t>
      </w:r>
    </w:p>
    <w:p w:rsidR="0036354A" w:rsidRPr="00AA16D9" w:rsidRDefault="0036354A" w:rsidP="007F2539">
      <w:pPr>
        <w:pStyle w:val="H4G"/>
        <w:spacing w:after="100"/>
      </w:pPr>
      <w:r w:rsidRPr="00AA16D9">
        <w:tab/>
      </w:r>
      <w:r w:rsidRPr="00AA16D9">
        <w:tab/>
        <w:t>Les points forts des mesures ci-haut mentionnées</w:t>
      </w:r>
    </w:p>
    <w:p w:rsidR="0036354A" w:rsidRPr="00AA16D9" w:rsidRDefault="0036354A" w:rsidP="007F2539">
      <w:pPr>
        <w:pStyle w:val="SingleTxtG"/>
        <w:spacing w:after="100"/>
      </w:pPr>
      <w:r w:rsidRPr="00AA16D9">
        <w:rPr>
          <w:szCs w:val="24"/>
        </w:rPr>
        <w:t>182.</w:t>
      </w:r>
      <w:r w:rsidRPr="00AA16D9">
        <w:rPr>
          <w:szCs w:val="24"/>
        </w:rPr>
        <w:tab/>
      </w:r>
      <w:r w:rsidRPr="00AA16D9">
        <w:t xml:space="preserve">La situation difficile de ces enfants a évolué positivement, en effet: </w:t>
      </w:r>
    </w:p>
    <w:p w:rsidR="0036354A" w:rsidRPr="00AA16D9" w:rsidRDefault="0036354A" w:rsidP="007F2539">
      <w:pPr>
        <w:pStyle w:val="SingleTxtG"/>
        <w:spacing w:after="100"/>
        <w:ind w:firstLine="567"/>
      </w:pPr>
      <w:r w:rsidRPr="00AA16D9">
        <w:t>a)</w:t>
      </w:r>
      <w:r w:rsidRPr="00AA16D9">
        <w:tab/>
        <w:t>L</w:t>
      </w:r>
      <w:r>
        <w:t>’</w:t>
      </w:r>
      <w:r w:rsidRPr="00AA16D9">
        <w:t>aide accordée aux enfants chefs de ménage par des organisations non gouvernementales et gouvernementales leur permet de prendre soin d</w:t>
      </w:r>
      <w:r>
        <w:t>’</w:t>
      </w:r>
      <w:r w:rsidRPr="00AA16D9">
        <w:t>eux-mêmes;</w:t>
      </w:r>
    </w:p>
    <w:p w:rsidR="0036354A" w:rsidRPr="00AA16D9" w:rsidRDefault="0036354A" w:rsidP="007F2539">
      <w:pPr>
        <w:pStyle w:val="SingleTxtG"/>
        <w:spacing w:after="100"/>
        <w:ind w:firstLine="567"/>
      </w:pPr>
      <w:r w:rsidRPr="00AA16D9">
        <w:t>b)</w:t>
      </w:r>
      <w:r w:rsidRPr="00AA16D9">
        <w:tab/>
        <w:t>Le déploiement des inspecteurs de travail dans les districts vise à pallier le problème de l</w:t>
      </w:r>
      <w:r>
        <w:t>’</w:t>
      </w:r>
      <w:r w:rsidRPr="00AA16D9">
        <w:t xml:space="preserve">exploitation des enfants dans le milieu du travail. </w:t>
      </w:r>
    </w:p>
    <w:p w:rsidR="0036354A" w:rsidRPr="00AA16D9" w:rsidRDefault="0036354A" w:rsidP="007F2539">
      <w:pPr>
        <w:pStyle w:val="H4G"/>
        <w:spacing w:after="100"/>
      </w:pPr>
      <w:r w:rsidRPr="00AA16D9">
        <w:tab/>
      </w:r>
      <w:r w:rsidRPr="00AA16D9">
        <w:tab/>
        <w:t>Les points faibles de ces mesures restent encore</w:t>
      </w:r>
    </w:p>
    <w:p w:rsidR="0036354A" w:rsidRPr="00AA16D9" w:rsidRDefault="0036354A" w:rsidP="007F2539">
      <w:pPr>
        <w:pStyle w:val="SingleTxtG"/>
        <w:spacing w:after="100"/>
      </w:pPr>
      <w:r w:rsidRPr="00AA16D9">
        <w:rPr>
          <w:szCs w:val="24"/>
        </w:rPr>
        <w:t>183.</w:t>
      </w:r>
      <w:r w:rsidRPr="00AA16D9">
        <w:rPr>
          <w:szCs w:val="24"/>
        </w:rPr>
        <w:tab/>
      </w:r>
      <w:r w:rsidRPr="00AA16D9">
        <w:t>Notons entre autres:</w:t>
      </w:r>
    </w:p>
    <w:p w:rsidR="0036354A" w:rsidRPr="00AA16D9" w:rsidRDefault="0036354A" w:rsidP="007F2539">
      <w:pPr>
        <w:pStyle w:val="SingleTxtG"/>
        <w:spacing w:after="100"/>
        <w:ind w:firstLine="567"/>
      </w:pPr>
      <w:r w:rsidRPr="00AA16D9">
        <w:t>a)</w:t>
      </w:r>
      <w:r w:rsidRPr="00AA16D9">
        <w:tab/>
        <w:t xml:space="preserve">Les moyens financiers limités et disproportionnés par rapport aux besoins, qui restent énormes; </w:t>
      </w:r>
    </w:p>
    <w:p w:rsidR="0036354A" w:rsidRPr="00AA16D9" w:rsidRDefault="0036354A" w:rsidP="007F2539">
      <w:pPr>
        <w:pStyle w:val="SingleTxtG"/>
        <w:spacing w:after="100"/>
        <w:ind w:firstLine="567"/>
      </w:pPr>
      <w:r w:rsidRPr="00AA16D9">
        <w:t>b)</w:t>
      </w:r>
      <w:r w:rsidRPr="00AA16D9">
        <w:tab/>
        <w:t>L</w:t>
      </w:r>
      <w:r>
        <w:t>’</w:t>
      </w:r>
      <w:r w:rsidRPr="00AA16D9">
        <w:t>absence de coordination entre les différents partenaires.</w:t>
      </w:r>
    </w:p>
    <w:p w:rsidR="0036354A" w:rsidRPr="00AA16D9" w:rsidRDefault="0036354A" w:rsidP="007F2539">
      <w:pPr>
        <w:pStyle w:val="SingleTxtG"/>
        <w:spacing w:after="100"/>
      </w:pPr>
      <w:r w:rsidRPr="00AA16D9">
        <w:rPr>
          <w:szCs w:val="24"/>
        </w:rPr>
        <w:t>184.</w:t>
      </w:r>
      <w:r w:rsidRPr="00AA16D9">
        <w:rPr>
          <w:szCs w:val="24"/>
        </w:rPr>
        <w:tab/>
      </w:r>
      <w:r w:rsidRPr="00AA16D9">
        <w:t xml:space="preserve">Les effets de ces mesures sont: </w:t>
      </w:r>
    </w:p>
    <w:p w:rsidR="0036354A" w:rsidRPr="00AA16D9" w:rsidRDefault="0036354A" w:rsidP="007F2539">
      <w:pPr>
        <w:pStyle w:val="SingleTxtG"/>
        <w:spacing w:after="100"/>
        <w:ind w:firstLine="567"/>
      </w:pPr>
      <w:r w:rsidRPr="00AA16D9">
        <w:t>a)</w:t>
      </w:r>
      <w:r w:rsidRPr="00AA16D9">
        <w:tab/>
        <w:t>La réduction du nombre d</w:t>
      </w:r>
      <w:r>
        <w:t>’</w:t>
      </w:r>
      <w:r w:rsidRPr="00AA16D9">
        <w:t xml:space="preserve">enfants se retrouvant astreints à un travail pénible ou illégal; </w:t>
      </w:r>
    </w:p>
    <w:p w:rsidR="0036354A" w:rsidRPr="00AA16D9" w:rsidRDefault="0036354A" w:rsidP="007F2539">
      <w:pPr>
        <w:pStyle w:val="SingleTxtG"/>
        <w:spacing w:after="100"/>
        <w:ind w:firstLine="567"/>
      </w:pPr>
      <w:r w:rsidRPr="00AA16D9">
        <w:t>b)</w:t>
      </w:r>
      <w:r w:rsidRPr="00AA16D9">
        <w:tab/>
        <w:t>L</w:t>
      </w:r>
      <w:r>
        <w:t>’</w:t>
      </w:r>
      <w:r w:rsidRPr="00AA16D9">
        <w:t>accès tardif au marché du travail pour les plus vulnérables, financièrement parlant, et la diminution du taux d</w:t>
      </w:r>
      <w:r>
        <w:t>’</w:t>
      </w:r>
      <w:r w:rsidRPr="00AA16D9">
        <w:t>abandon dans les écoles. Notons par exemple que le taux d</w:t>
      </w:r>
      <w:r>
        <w:t>’</w:t>
      </w:r>
      <w:r w:rsidRPr="00AA16D9">
        <w:t>abandon</w:t>
      </w:r>
      <w:r w:rsidRPr="00AA16D9">
        <w:rPr>
          <w:sz w:val="18"/>
          <w:szCs w:val="18"/>
          <w:vertAlign w:val="superscript"/>
        </w:rPr>
        <w:footnoteReference w:id="105"/>
      </w:r>
      <w:r w:rsidRPr="00AA16D9">
        <w:t xml:space="preserve"> des enfants au niveau primaire a été réduit, p</w:t>
      </w:r>
      <w:r w:rsidR="007F2539">
        <w:t>assant de 31,8 % en 2005 à 14,3 </w:t>
      </w:r>
      <w:r w:rsidRPr="00AA16D9">
        <w:t xml:space="preserve">% en 2007. </w:t>
      </w:r>
    </w:p>
    <w:p w:rsidR="0036354A" w:rsidRPr="00AA16D9" w:rsidRDefault="0036354A" w:rsidP="007F2539">
      <w:pPr>
        <w:pStyle w:val="H4G"/>
        <w:spacing w:after="100"/>
      </w:pPr>
      <w:r w:rsidRPr="00AA16D9">
        <w:tab/>
      </w:r>
      <w:r w:rsidRPr="00AA16D9">
        <w:tab/>
        <w:t>Aperçu des modifications</w:t>
      </w:r>
    </w:p>
    <w:p w:rsidR="0036354A" w:rsidRPr="00AA16D9" w:rsidRDefault="0036354A" w:rsidP="007F2539">
      <w:pPr>
        <w:pStyle w:val="SingleTxtG"/>
        <w:spacing w:after="100"/>
      </w:pPr>
      <w:r w:rsidRPr="00AA16D9">
        <w:rPr>
          <w:szCs w:val="24"/>
        </w:rPr>
        <w:t>185.</w:t>
      </w:r>
      <w:r w:rsidRPr="00AA16D9">
        <w:rPr>
          <w:szCs w:val="24"/>
        </w:rPr>
        <w:tab/>
      </w:r>
      <w:r w:rsidRPr="00AA16D9">
        <w:t>Les dispositions législatives sont les suivantes:</w:t>
      </w:r>
    </w:p>
    <w:p w:rsidR="0036354A" w:rsidRPr="00AA16D9" w:rsidRDefault="0036354A" w:rsidP="007F2539">
      <w:pPr>
        <w:pStyle w:val="SingleTxtG"/>
        <w:spacing w:after="100"/>
        <w:ind w:firstLine="567"/>
      </w:pPr>
      <w:r w:rsidRPr="00AA16D9">
        <w:t>a)</w:t>
      </w:r>
      <w:r w:rsidRPr="00AA16D9">
        <w:tab/>
        <w:t>Diverses lois</w:t>
      </w:r>
      <w:r w:rsidRPr="00AA16D9">
        <w:rPr>
          <w:sz w:val="18"/>
          <w:szCs w:val="18"/>
          <w:vertAlign w:val="superscript"/>
        </w:rPr>
        <w:footnoteReference w:id="106"/>
      </w:r>
      <w:r w:rsidRPr="00AA16D9">
        <w:t xml:space="preserve"> ont été promulguées et plusieurs conventions internationales</w:t>
      </w:r>
      <w:r w:rsidRPr="00AA16D9">
        <w:rPr>
          <w:sz w:val="18"/>
          <w:szCs w:val="18"/>
          <w:vertAlign w:val="superscript"/>
        </w:rPr>
        <w:footnoteReference w:id="107"/>
      </w:r>
      <w:r w:rsidRPr="00AA16D9">
        <w:t xml:space="preserve"> ont été ratifiées en vue de la protection des enfants, de la femme, des personnes handicapées et de la famille en général;</w:t>
      </w:r>
    </w:p>
    <w:p w:rsidR="0036354A" w:rsidRPr="00AA16D9" w:rsidRDefault="0036354A" w:rsidP="007F2539">
      <w:pPr>
        <w:pStyle w:val="SingleTxtG"/>
        <w:spacing w:after="100"/>
        <w:ind w:firstLine="567"/>
      </w:pPr>
      <w:r w:rsidRPr="00AA16D9">
        <w:t>b)</w:t>
      </w:r>
      <w:r w:rsidRPr="00AA16D9">
        <w:tab/>
        <w:t xml:space="preserve">La Convention C183 sur la protection de la maternité est en processus de ratification. </w:t>
      </w:r>
    </w:p>
    <w:p w:rsidR="0036354A" w:rsidRPr="00AA16D9" w:rsidRDefault="0036354A" w:rsidP="007F2539">
      <w:pPr>
        <w:pStyle w:val="SingleTxtG"/>
        <w:keepNext/>
        <w:spacing w:after="100"/>
      </w:pPr>
      <w:r w:rsidRPr="00AA16D9">
        <w:rPr>
          <w:szCs w:val="24"/>
        </w:rPr>
        <w:t>186.</w:t>
      </w:r>
      <w:r w:rsidRPr="00AA16D9">
        <w:rPr>
          <w:szCs w:val="24"/>
        </w:rPr>
        <w:tab/>
      </w:r>
      <w:r w:rsidRPr="00AA16D9">
        <w:t>Les diverses politiques (telles qu</w:t>
      </w:r>
      <w:r>
        <w:t>’</w:t>
      </w:r>
      <w:r w:rsidRPr="00AA16D9">
        <w:t>identifiées ci-haut) ont produit leurs effet.</w:t>
      </w:r>
    </w:p>
    <w:p w:rsidR="0036354A" w:rsidRPr="00AA16D9" w:rsidRDefault="0036354A" w:rsidP="007F2539">
      <w:pPr>
        <w:pStyle w:val="SingleTxtG"/>
        <w:spacing w:after="100"/>
      </w:pPr>
      <w:r w:rsidRPr="00AA16D9">
        <w:rPr>
          <w:szCs w:val="24"/>
        </w:rPr>
        <w:t>187.</w:t>
      </w:r>
      <w:r w:rsidRPr="00AA16D9">
        <w:rPr>
          <w:szCs w:val="24"/>
        </w:rPr>
        <w:tab/>
      </w:r>
      <w:r w:rsidRPr="00AA16D9">
        <w:t>D</w:t>
      </w:r>
      <w:r>
        <w:t>’</w:t>
      </w:r>
      <w:r w:rsidRPr="00AA16D9">
        <w:t>autres mesures ont été prises, à savoir:</w:t>
      </w:r>
    </w:p>
    <w:p w:rsidR="0036354A" w:rsidRPr="00AA16D9" w:rsidRDefault="0036354A" w:rsidP="007F2539">
      <w:pPr>
        <w:pStyle w:val="SingleTxtG"/>
        <w:spacing w:after="100"/>
        <w:ind w:firstLine="567"/>
      </w:pPr>
      <w:r w:rsidRPr="00AA16D9">
        <w:t>a)</w:t>
      </w:r>
      <w:r w:rsidRPr="00AA16D9">
        <w:tab/>
        <w:t xml:space="preserve">Un Ministère chargé de la famille et de la promotion de la femme a été créé; </w:t>
      </w:r>
    </w:p>
    <w:p w:rsidR="0036354A" w:rsidRPr="00AA16D9" w:rsidRDefault="0036354A" w:rsidP="007F2539">
      <w:pPr>
        <w:pStyle w:val="SingleTxtG"/>
        <w:spacing w:after="100"/>
        <w:ind w:firstLine="567"/>
      </w:pPr>
      <w:r w:rsidRPr="00AA16D9">
        <w:t>b)</w:t>
      </w:r>
      <w:r w:rsidRPr="00AA16D9">
        <w:tab/>
        <w:t>Un Observatoire des droits de l</w:t>
      </w:r>
      <w:r>
        <w:t>’</w:t>
      </w:r>
      <w:r w:rsidRPr="00AA16D9">
        <w:t>enfant a été mis sur pied en 2006; une commission nationale pour l</w:t>
      </w:r>
      <w:r>
        <w:t>’</w:t>
      </w:r>
      <w:r w:rsidRPr="00AA16D9">
        <w:t>enfance est en gestation;</w:t>
      </w:r>
    </w:p>
    <w:p w:rsidR="0036354A" w:rsidRPr="00AA16D9" w:rsidRDefault="0036354A" w:rsidP="007F2539">
      <w:pPr>
        <w:pStyle w:val="SingleTxtG"/>
        <w:spacing w:after="100"/>
        <w:ind w:firstLine="567"/>
      </w:pPr>
      <w:r w:rsidRPr="00AA16D9">
        <w:t>c)</w:t>
      </w:r>
      <w:r w:rsidRPr="00AA16D9">
        <w:tab/>
        <w:t>Un conseil national de la jeunesse a été créé, qui permet l</w:t>
      </w:r>
      <w:r>
        <w:t>’</w:t>
      </w:r>
      <w:r w:rsidRPr="00AA16D9">
        <w:t>organisation de programmes pour jeunes (comme les projets de coopératives pour jeunes);</w:t>
      </w:r>
    </w:p>
    <w:p w:rsidR="0036354A" w:rsidRPr="00AA16D9" w:rsidRDefault="0036354A" w:rsidP="007F2539">
      <w:pPr>
        <w:pStyle w:val="SingleTxtG"/>
        <w:spacing w:after="100"/>
        <w:ind w:firstLine="567"/>
      </w:pPr>
      <w:r w:rsidRPr="00AA16D9">
        <w:t>d)</w:t>
      </w:r>
      <w:r w:rsidRPr="00AA16D9">
        <w:tab/>
        <w:t>Le conseil national des femmes ainsi que l</w:t>
      </w:r>
      <w:r>
        <w:t>’</w:t>
      </w:r>
      <w:r w:rsidRPr="00AA16D9">
        <w:t>observatoire du genre ont été créés;</w:t>
      </w:r>
    </w:p>
    <w:p w:rsidR="0036354A" w:rsidRPr="00AA16D9" w:rsidRDefault="0036354A" w:rsidP="007F2539">
      <w:pPr>
        <w:pStyle w:val="SingleTxtG"/>
        <w:spacing w:after="100"/>
        <w:ind w:firstLine="567"/>
      </w:pPr>
      <w:r w:rsidRPr="00AA16D9">
        <w:t>e)</w:t>
      </w:r>
      <w:r w:rsidRPr="00AA16D9">
        <w:tab/>
        <w:t>L</w:t>
      </w:r>
      <w:r>
        <w:t>’</w:t>
      </w:r>
      <w:r w:rsidRPr="00AA16D9">
        <w:t xml:space="preserve">initiation des activités de promotion économique de la femme avec: </w:t>
      </w:r>
    </w:p>
    <w:p w:rsidR="0036354A" w:rsidRPr="00AA16D9" w:rsidRDefault="0036354A" w:rsidP="007F2539">
      <w:pPr>
        <w:pStyle w:val="SingleTxtG"/>
        <w:spacing w:after="100"/>
        <w:ind w:left="1700"/>
      </w:pPr>
      <w:r w:rsidRPr="00AA16D9">
        <w:t>i)</w:t>
      </w:r>
      <w:r w:rsidRPr="00AA16D9">
        <w:tab/>
        <w:t>La création d</w:t>
      </w:r>
      <w:r>
        <w:t>’</w:t>
      </w:r>
      <w:r w:rsidRPr="00AA16D9">
        <w:t>un fonds de garantie en faveur des femmes pour l</w:t>
      </w:r>
      <w:r>
        <w:t>’</w:t>
      </w:r>
      <w:r w:rsidRPr="00AA16D9">
        <w:t>obtention des crédits et prêts bancaires;</w:t>
      </w:r>
    </w:p>
    <w:p w:rsidR="0036354A" w:rsidRPr="00AA16D9" w:rsidRDefault="0036354A" w:rsidP="007F2539">
      <w:pPr>
        <w:pStyle w:val="SingleTxtG"/>
        <w:spacing w:after="100"/>
        <w:ind w:left="1700"/>
      </w:pPr>
      <w:r w:rsidRPr="00AA16D9">
        <w:t>ii)</w:t>
      </w:r>
      <w:r w:rsidRPr="00AA16D9">
        <w:tab/>
        <w:t>La création des coopératives des jeunes COOJAD;</w:t>
      </w:r>
    </w:p>
    <w:p w:rsidR="0036354A" w:rsidRPr="00AA16D9" w:rsidRDefault="0036354A" w:rsidP="007F2539">
      <w:pPr>
        <w:pStyle w:val="SingleTxtG"/>
        <w:spacing w:after="100"/>
        <w:ind w:left="1700"/>
      </w:pPr>
      <w:r w:rsidRPr="00AA16D9">
        <w:t>iii)</w:t>
      </w:r>
      <w:r w:rsidRPr="00AA16D9">
        <w:tab/>
        <w:t>La création d</w:t>
      </w:r>
      <w:r>
        <w:t>’</w:t>
      </w:r>
      <w:r w:rsidRPr="00AA16D9">
        <w:t>un bureau chargé uniquement de la violence basée sur le genre dans tous les services de l</w:t>
      </w:r>
      <w:r>
        <w:t>’</w:t>
      </w:r>
      <w:r w:rsidRPr="00AA16D9">
        <w:t xml:space="preserve">armée et de la police. </w:t>
      </w:r>
    </w:p>
    <w:p w:rsidR="0036354A" w:rsidRPr="00AA16D9" w:rsidRDefault="0036354A" w:rsidP="007F2539">
      <w:pPr>
        <w:pStyle w:val="H4G"/>
        <w:spacing w:after="100"/>
      </w:pPr>
      <w:r w:rsidRPr="00AA16D9">
        <w:tab/>
      </w:r>
      <w:r w:rsidRPr="00AA16D9">
        <w:tab/>
        <w:t>De l</w:t>
      </w:r>
      <w:r>
        <w:t>’</w:t>
      </w:r>
      <w:r w:rsidRPr="00AA16D9">
        <w:t>aide internationale</w:t>
      </w:r>
    </w:p>
    <w:p w:rsidR="0036354A" w:rsidRPr="00AA16D9" w:rsidRDefault="0036354A" w:rsidP="007F2539">
      <w:pPr>
        <w:pStyle w:val="SingleTxtG"/>
        <w:spacing w:after="100"/>
      </w:pPr>
      <w:r w:rsidRPr="00AA16D9">
        <w:rPr>
          <w:szCs w:val="24"/>
        </w:rPr>
        <w:t>188.</w:t>
      </w:r>
      <w:r w:rsidRPr="00AA16D9">
        <w:rPr>
          <w:szCs w:val="24"/>
        </w:rPr>
        <w:tab/>
      </w:r>
      <w:r w:rsidRPr="00AA16D9">
        <w:t xml:space="preserve">Plusieurs partenaires au développement subventionnent divers programmes et plans stratégiques, notamment: </w:t>
      </w:r>
    </w:p>
    <w:p w:rsidR="0036354A" w:rsidRPr="00AA16D9" w:rsidRDefault="0036354A" w:rsidP="007F2539">
      <w:pPr>
        <w:pStyle w:val="SingleTxtG"/>
        <w:spacing w:after="100"/>
        <w:ind w:firstLine="567"/>
      </w:pPr>
      <w:r w:rsidRPr="00AA16D9">
        <w:t>a)</w:t>
      </w:r>
      <w:r w:rsidRPr="00AA16D9">
        <w:tab/>
        <w:t>L</w:t>
      </w:r>
      <w:r>
        <w:t>’</w:t>
      </w:r>
      <w:r w:rsidRPr="00AA16D9">
        <w:t>UNICEF</w:t>
      </w:r>
      <w:r w:rsidRPr="00AA16D9">
        <w:rPr>
          <w:sz w:val="18"/>
          <w:szCs w:val="18"/>
          <w:vertAlign w:val="superscript"/>
        </w:rPr>
        <w:footnoteReference w:id="108"/>
      </w:r>
      <w:r w:rsidRPr="00AA16D9">
        <w:t>: Ces projets visent entre autres à améliorer la santé de la mère et de l</w:t>
      </w:r>
      <w:r>
        <w:t>’</w:t>
      </w:r>
      <w:r w:rsidRPr="00AA16D9">
        <w:t>enfant, à accentuer la qualité de l</w:t>
      </w:r>
      <w:r>
        <w:t>’</w:t>
      </w:r>
      <w:r w:rsidRPr="00AA16D9">
        <w:t>enseignement au Rwanda ainsi qu</w:t>
      </w:r>
      <w:r>
        <w:t>’</w:t>
      </w:r>
      <w:r w:rsidRPr="00AA16D9">
        <w:t>à améliorer le bien-être et la protection de l</w:t>
      </w:r>
      <w:r>
        <w:t>’</w:t>
      </w:r>
      <w:r w:rsidRPr="00AA16D9">
        <w:t>enfant;</w:t>
      </w:r>
    </w:p>
    <w:p w:rsidR="0036354A" w:rsidRPr="00AA16D9" w:rsidRDefault="0036354A" w:rsidP="007F2539">
      <w:pPr>
        <w:pStyle w:val="SingleTxtG"/>
        <w:spacing w:after="100"/>
        <w:ind w:firstLine="567"/>
      </w:pPr>
      <w:r w:rsidRPr="00AA16D9">
        <w:t>b)</w:t>
      </w:r>
      <w:r w:rsidRPr="00AA16D9">
        <w:tab/>
        <w:t>L</w:t>
      </w:r>
      <w:r>
        <w:t>’</w:t>
      </w:r>
      <w:r w:rsidRPr="00AA16D9">
        <w:t>UNIFEM offre entre autres un appui technique au nouveau bureau chargé de la violence basée sur le genre (le Gender based violence desk office) dans les stations de police et finance le travail d</w:t>
      </w:r>
      <w:r>
        <w:t>’</w:t>
      </w:r>
      <w:r w:rsidRPr="00AA16D9">
        <w:t>un conseiller en la matière; l</w:t>
      </w:r>
      <w:r>
        <w:t>’</w:t>
      </w:r>
      <w:r w:rsidRPr="00AA16D9">
        <w:t>UNIFEM appuie aussi divers programmes de réduction de la pauvreté chez les femmes en finançant des projets générateurs de revenus et un projet appelé village «Espoir». Ce dernier permet la réhabilitation des femmes ayant survécu au génocide. L</w:t>
      </w:r>
      <w:r>
        <w:t>’</w:t>
      </w:r>
      <w:r w:rsidRPr="00AA16D9">
        <w:t xml:space="preserve">UNIFEM appuie aussi sensiblement les organisations de promotion de la femme au Rwanda; </w:t>
      </w:r>
    </w:p>
    <w:p w:rsidR="0036354A" w:rsidRPr="00AA16D9" w:rsidRDefault="0036354A" w:rsidP="0036354A">
      <w:pPr>
        <w:pStyle w:val="SingleTxtG"/>
        <w:ind w:firstLine="567"/>
      </w:pPr>
      <w:r w:rsidRPr="00AA16D9">
        <w:t>c)</w:t>
      </w:r>
      <w:r w:rsidRPr="00AA16D9">
        <w:tab/>
        <w:t xml:space="preserve">La BAfD (Banque africaine de développement), quant à elle, soutient le Programme de Réduction de la Pauvreté chez les Femmes (PREPAF). </w:t>
      </w:r>
    </w:p>
    <w:p w:rsidR="0036354A" w:rsidRPr="00AA16D9" w:rsidRDefault="0036354A" w:rsidP="0036354A">
      <w:pPr>
        <w:pStyle w:val="H23G"/>
      </w:pPr>
      <w:r w:rsidRPr="00AA16D9">
        <w:tab/>
        <w:t>6.</w:t>
      </w:r>
      <w:r w:rsidRPr="00AA16D9">
        <w:tab/>
        <w:t>Article 11: Du niveau de vie</w:t>
      </w:r>
    </w:p>
    <w:p w:rsidR="0036354A" w:rsidRPr="00AA16D9" w:rsidRDefault="0036354A" w:rsidP="0036354A">
      <w:pPr>
        <w:pStyle w:val="H4G"/>
      </w:pPr>
      <w:r w:rsidRPr="00AA16D9">
        <w:tab/>
      </w:r>
      <w:r w:rsidRPr="00AA16D9">
        <w:tab/>
        <w:t>Le niveau de vie de la population</w:t>
      </w:r>
    </w:p>
    <w:p w:rsidR="0036354A" w:rsidRPr="00AA16D9" w:rsidRDefault="0036354A" w:rsidP="0036354A">
      <w:pPr>
        <w:pStyle w:val="SingleTxtG"/>
        <w:keepNext/>
      </w:pPr>
      <w:r w:rsidRPr="00AA16D9">
        <w:rPr>
          <w:szCs w:val="24"/>
        </w:rPr>
        <w:t>189.</w:t>
      </w:r>
      <w:r w:rsidRPr="00AA16D9">
        <w:rPr>
          <w:szCs w:val="24"/>
        </w:rPr>
        <w:tab/>
      </w:r>
      <w:r w:rsidRPr="00AA16D9">
        <w:t xml:space="preserve">Le tableau 11 ci-dessous fournit un certain nombre de données sur le niveau de vie et le graphique 1 donne un aperçu des évolutions tendancielles suivant les régions. </w:t>
      </w:r>
    </w:p>
    <w:p w:rsidR="0036354A" w:rsidRPr="00AA16D9" w:rsidRDefault="0036354A" w:rsidP="0036354A">
      <w:pPr>
        <w:pStyle w:val="Heading1"/>
        <w:spacing w:after="120"/>
      </w:pPr>
      <w:r w:rsidRPr="00AA16D9">
        <w:t>Tableau 11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66"/>
        <w:gridCol w:w="1800"/>
        <w:gridCol w:w="900"/>
        <w:gridCol w:w="2804"/>
      </w:tblGrid>
      <w:tr w:rsidR="0036354A" w:rsidRPr="00AA16D9" w:rsidTr="001A4057">
        <w:tblPrEx>
          <w:tblCellMar>
            <w:top w:w="0" w:type="dxa"/>
            <w:bottom w:w="0" w:type="dxa"/>
          </w:tblCellMar>
        </w:tblPrEx>
        <w:trPr>
          <w:trHeight w:val="285"/>
          <w:tblHeader/>
        </w:trPr>
        <w:tc>
          <w:tcPr>
            <w:tcW w:w="1866" w:type="dxa"/>
            <w:vMerge w:val="restart"/>
            <w:tcBorders>
              <w:top w:val="single" w:sz="4" w:space="0" w:color="auto"/>
              <w:bottom w:val="single" w:sz="12" w:space="0" w:color="auto"/>
            </w:tcBorders>
            <w:shd w:val="clear" w:color="auto" w:fill="auto"/>
            <w:vAlign w:val="bottom"/>
          </w:tcPr>
          <w:p w:rsidR="0036354A" w:rsidRPr="00AA16D9" w:rsidRDefault="0036354A" w:rsidP="001A4057">
            <w:pPr>
              <w:keepNext/>
              <w:spacing w:before="80" w:after="80" w:line="200" w:lineRule="exact"/>
              <w:rPr>
                <w:i/>
                <w:sz w:val="16"/>
              </w:rPr>
            </w:pPr>
            <w:r w:rsidRPr="00AA16D9">
              <w:rPr>
                <w:i/>
                <w:sz w:val="16"/>
              </w:rPr>
              <w:t>Seuil de pauvreté</w:t>
            </w:r>
          </w:p>
        </w:tc>
        <w:tc>
          <w:tcPr>
            <w:tcW w:w="5504" w:type="dxa"/>
            <w:gridSpan w:val="3"/>
            <w:tcBorders>
              <w:top w:val="single" w:sz="4" w:space="0" w:color="auto"/>
              <w:bottom w:val="single" w:sz="4" w:space="0" w:color="auto"/>
            </w:tcBorders>
            <w:shd w:val="clear" w:color="auto" w:fill="auto"/>
            <w:vAlign w:val="bottom"/>
          </w:tcPr>
          <w:p w:rsidR="0036354A" w:rsidRPr="00AA16D9" w:rsidRDefault="0036354A" w:rsidP="001A4057">
            <w:pPr>
              <w:keepNext/>
              <w:spacing w:before="80" w:after="80" w:line="200" w:lineRule="exact"/>
              <w:jc w:val="center"/>
              <w:rPr>
                <w:i/>
                <w:sz w:val="16"/>
              </w:rPr>
            </w:pPr>
            <w:r w:rsidRPr="00AA16D9">
              <w:rPr>
                <w:i/>
                <w:sz w:val="16"/>
              </w:rPr>
              <w:t>Année</w:t>
            </w:r>
          </w:p>
        </w:tc>
      </w:tr>
      <w:tr w:rsidR="0036354A" w:rsidRPr="00AA16D9" w:rsidTr="001A4057">
        <w:tblPrEx>
          <w:tblCellMar>
            <w:top w:w="0" w:type="dxa"/>
            <w:bottom w:w="0" w:type="dxa"/>
          </w:tblCellMar>
        </w:tblPrEx>
        <w:trPr>
          <w:trHeight w:val="252"/>
          <w:tblHeader/>
        </w:trPr>
        <w:tc>
          <w:tcPr>
            <w:tcW w:w="1866" w:type="dxa"/>
            <w:vMerge/>
            <w:tcBorders>
              <w:top w:val="single" w:sz="12" w:space="0" w:color="auto"/>
            </w:tcBorders>
            <w:shd w:val="clear" w:color="auto" w:fill="auto"/>
          </w:tcPr>
          <w:p w:rsidR="0036354A" w:rsidRPr="00AA16D9" w:rsidRDefault="0036354A" w:rsidP="001A4057">
            <w:pPr>
              <w:keepNext/>
              <w:suppressAutoHyphens w:val="0"/>
              <w:spacing w:before="40" w:after="120" w:line="220" w:lineRule="exact"/>
              <w:ind w:right="113"/>
            </w:pPr>
          </w:p>
        </w:tc>
        <w:tc>
          <w:tcPr>
            <w:tcW w:w="2700" w:type="dxa"/>
            <w:gridSpan w:val="2"/>
            <w:tcBorders>
              <w:top w:val="single" w:sz="4" w:space="0" w:color="auto"/>
              <w:bottom w:val="single" w:sz="4" w:space="0" w:color="auto"/>
              <w:right w:val="single" w:sz="24" w:space="0" w:color="FFFFFF"/>
            </w:tcBorders>
            <w:shd w:val="clear" w:color="auto" w:fill="auto"/>
          </w:tcPr>
          <w:p w:rsidR="0036354A" w:rsidRPr="00AA16D9" w:rsidRDefault="0036354A" w:rsidP="001A4057">
            <w:pPr>
              <w:keepNext/>
              <w:spacing w:before="80" w:after="80" w:line="200" w:lineRule="exact"/>
              <w:jc w:val="center"/>
              <w:rPr>
                <w:i/>
                <w:sz w:val="16"/>
              </w:rPr>
            </w:pPr>
            <w:r w:rsidRPr="00AA16D9">
              <w:rPr>
                <w:i/>
                <w:sz w:val="16"/>
              </w:rPr>
              <w:t>2000/01</w:t>
            </w:r>
          </w:p>
        </w:tc>
        <w:tc>
          <w:tcPr>
            <w:tcW w:w="2804" w:type="dxa"/>
            <w:tcBorders>
              <w:top w:val="single" w:sz="4" w:space="0" w:color="auto"/>
              <w:left w:val="single" w:sz="24" w:space="0" w:color="FFFFFF"/>
              <w:bottom w:val="single" w:sz="4" w:space="0" w:color="auto"/>
            </w:tcBorders>
            <w:shd w:val="clear" w:color="auto" w:fill="auto"/>
          </w:tcPr>
          <w:p w:rsidR="0036354A" w:rsidRPr="00AA16D9" w:rsidRDefault="0036354A" w:rsidP="001A4057">
            <w:pPr>
              <w:keepNext/>
              <w:spacing w:before="80" w:after="80" w:line="200" w:lineRule="exact"/>
              <w:jc w:val="center"/>
              <w:rPr>
                <w:i/>
                <w:sz w:val="16"/>
              </w:rPr>
            </w:pPr>
            <w:r w:rsidRPr="00AA16D9">
              <w:rPr>
                <w:i/>
                <w:sz w:val="16"/>
              </w:rPr>
              <w:t>2005/06</w:t>
            </w:r>
          </w:p>
        </w:tc>
      </w:tr>
      <w:tr w:rsidR="0036354A" w:rsidRPr="00AA16D9" w:rsidTr="001A4057">
        <w:tblPrEx>
          <w:tblCellMar>
            <w:top w:w="0" w:type="dxa"/>
            <w:bottom w:w="0" w:type="dxa"/>
          </w:tblCellMar>
        </w:tblPrEx>
        <w:trPr>
          <w:trHeight w:val="350"/>
          <w:tblHeader/>
        </w:trPr>
        <w:tc>
          <w:tcPr>
            <w:tcW w:w="1866" w:type="dxa"/>
            <w:vMerge/>
            <w:tcBorders>
              <w:bottom w:val="single" w:sz="12" w:space="0" w:color="auto"/>
            </w:tcBorders>
            <w:shd w:val="clear" w:color="auto" w:fill="auto"/>
          </w:tcPr>
          <w:p w:rsidR="0036354A" w:rsidRPr="00AA16D9" w:rsidRDefault="0036354A" w:rsidP="001A4057">
            <w:pPr>
              <w:keepNext/>
              <w:suppressAutoHyphens w:val="0"/>
              <w:spacing w:before="40" w:after="120" w:line="220" w:lineRule="exact"/>
              <w:ind w:right="113"/>
            </w:pPr>
          </w:p>
        </w:tc>
        <w:tc>
          <w:tcPr>
            <w:tcW w:w="2700" w:type="dxa"/>
            <w:gridSpan w:val="2"/>
            <w:tcBorders>
              <w:top w:val="single" w:sz="4" w:space="0" w:color="auto"/>
              <w:bottom w:val="single" w:sz="12" w:space="0" w:color="auto"/>
              <w:right w:val="single" w:sz="24" w:space="0" w:color="FFFFFF"/>
            </w:tcBorders>
            <w:shd w:val="clear" w:color="auto" w:fill="auto"/>
          </w:tcPr>
          <w:p w:rsidR="0036354A" w:rsidRPr="00AA16D9" w:rsidRDefault="0036354A" w:rsidP="001A4057">
            <w:pPr>
              <w:keepNext/>
              <w:spacing w:before="80" w:after="80" w:line="200" w:lineRule="exact"/>
              <w:jc w:val="right"/>
              <w:rPr>
                <w:i/>
                <w:sz w:val="16"/>
              </w:rPr>
            </w:pPr>
            <w:r w:rsidRPr="00AA16D9">
              <w:rPr>
                <w:i/>
                <w:sz w:val="16"/>
              </w:rPr>
              <w:t>60,4 % (64 000 Frw/adulte/an)</w:t>
            </w:r>
          </w:p>
        </w:tc>
        <w:tc>
          <w:tcPr>
            <w:tcW w:w="2804" w:type="dxa"/>
            <w:tcBorders>
              <w:top w:val="single" w:sz="4" w:space="0" w:color="auto"/>
              <w:left w:val="single" w:sz="24" w:space="0" w:color="FFFFFF"/>
              <w:bottom w:val="single" w:sz="12" w:space="0" w:color="auto"/>
            </w:tcBorders>
            <w:shd w:val="clear" w:color="auto" w:fill="auto"/>
          </w:tcPr>
          <w:p w:rsidR="0036354A" w:rsidRPr="00AA16D9" w:rsidRDefault="0036354A" w:rsidP="001A4057">
            <w:pPr>
              <w:keepNext/>
              <w:spacing w:before="80" w:after="80" w:line="200" w:lineRule="exact"/>
              <w:jc w:val="right"/>
              <w:rPr>
                <w:i/>
                <w:sz w:val="16"/>
              </w:rPr>
            </w:pPr>
            <w:r w:rsidRPr="00AA16D9">
              <w:rPr>
                <w:i/>
                <w:sz w:val="16"/>
              </w:rPr>
              <w:t>5,9 % (90 000 Frw/adulte/an),</w:t>
            </w:r>
            <w:r w:rsidRPr="00AA16D9">
              <w:rPr>
                <w:i/>
                <w:sz w:val="16"/>
              </w:rPr>
              <w:br/>
              <w:t xml:space="preserve"> dont 37 % vivant en extrême pauvreté</w:t>
            </w:r>
            <w:r w:rsidRPr="00AA16D9">
              <w:rPr>
                <w:i/>
                <w:sz w:val="16"/>
              </w:rPr>
              <w:br/>
              <w:t xml:space="preserve"> (avec 63 500 Frw/an)</w:t>
            </w:r>
          </w:p>
        </w:tc>
      </w:tr>
      <w:tr w:rsidR="0036354A" w:rsidRPr="00AA16D9" w:rsidTr="001A4057">
        <w:tblPrEx>
          <w:tblCellMar>
            <w:top w:w="0" w:type="dxa"/>
            <w:bottom w:w="0" w:type="dxa"/>
          </w:tblCellMar>
        </w:tblPrEx>
        <w:trPr>
          <w:trHeight w:val="20"/>
        </w:trPr>
        <w:tc>
          <w:tcPr>
            <w:tcW w:w="1866" w:type="dxa"/>
            <w:vMerge w:val="restart"/>
            <w:tcBorders>
              <w:top w:val="single" w:sz="12" w:space="0" w:color="auto"/>
            </w:tcBorders>
            <w:shd w:val="clear" w:color="auto" w:fill="auto"/>
          </w:tcPr>
          <w:p w:rsidR="0036354A" w:rsidRPr="00AA16D9" w:rsidRDefault="0036354A" w:rsidP="001A4057">
            <w:pPr>
              <w:keepNext/>
              <w:spacing w:before="40" w:after="40" w:line="220" w:lineRule="exact"/>
              <w:rPr>
                <w:sz w:val="18"/>
              </w:rPr>
            </w:pPr>
            <w:r w:rsidRPr="00AA16D9">
              <w:rPr>
                <w:sz w:val="18"/>
              </w:rPr>
              <w:t>Coefficient de Gini</w:t>
            </w:r>
          </w:p>
        </w:tc>
        <w:tc>
          <w:tcPr>
            <w:tcW w:w="1800" w:type="dxa"/>
            <w:tcBorders>
              <w:top w:val="single" w:sz="12" w:space="0" w:color="auto"/>
            </w:tcBorders>
            <w:shd w:val="clear" w:color="auto" w:fill="auto"/>
          </w:tcPr>
          <w:p w:rsidR="0036354A" w:rsidRPr="00AA16D9" w:rsidRDefault="0036354A" w:rsidP="001A4057">
            <w:pPr>
              <w:keepNext/>
              <w:spacing w:before="40" w:after="40" w:line="220" w:lineRule="exact"/>
              <w:rPr>
                <w:sz w:val="18"/>
              </w:rPr>
            </w:pPr>
            <w:r w:rsidRPr="00AA16D9">
              <w:rPr>
                <w:sz w:val="18"/>
              </w:rPr>
              <w:t>Par régions</w:t>
            </w:r>
          </w:p>
        </w:tc>
        <w:tc>
          <w:tcPr>
            <w:tcW w:w="900" w:type="dxa"/>
            <w:tcBorders>
              <w:top w:val="single" w:sz="12" w:space="0" w:color="auto"/>
            </w:tcBorders>
            <w:shd w:val="clear" w:color="auto" w:fill="auto"/>
          </w:tcPr>
          <w:p w:rsidR="0036354A" w:rsidRPr="00AA16D9" w:rsidRDefault="0036354A" w:rsidP="001A4057">
            <w:pPr>
              <w:keepNext/>
              <w:spacing w:before="40" w:after="40" w:line="220" w:lineRule="exact"/>
              <w:jc w:val="right"/>
              <w:rPr>
                <w:sz w:val="18"/>
              </w:rPr>
            </w:pPr>
            <w:r w:rsidRPr="00AA16D9">
              <w:rPr>
                <w:sz w:val="18"/>
              </w:rPr>
              <w:t>2000/01</w:t>
            </w:r>
          </w:p>
        </w:tc>
        <w:tc>
          <w:tcPr>
            <w:tcW w:w="2804" w:type="dxa"/>
            <w:tcBorders>
              <w:top w:val="single" w:sz="12" w:space="0" w:color="auto"/>
            </w:tcBorders>
            <w:shd w:val="clear" w:color="auto" w:fill="auto"/>
          </w:tcPr>
          <w:p w:rsidR="0036354A" w:rsidRPr="00AA16D9" w:rsidRDefault="0036354A" w:rsidP="001A4057">
            <w:pPr>
              <w:keepNext/>
              <w:spacing w:before="40" w:after="40" w:line="220" w:lineRule="exact"/>
              <w:jc w:val="right"/>
              <w:rPr>
                <w:sz w:val="18"/>
              </w:rPr>
            </w:pPr>
            <w:r w:rsidRPr="00AA16D9">
              <w:rPr>
                <w:sz w:val="18"/>
              </w:rPr>
              <w:t>2005/06</w:t>
            </w:r>
          </w:p>
        </w:tc>
      </w:tr>
      <w:tr w:rsidR="0036354A" w:rsidRPr="00AA16D9" w:rsidTr="001A4057">
        <w:tblPrEx>
          <w:tblCellMar>
            <w:top w:w="0" w:type="dxa"/>
            <w:bottom w:w="0" w:type="dxa"/>
          </w:tblCellMar>
        </w:tblPrEx>
        <w:trPr>
          <w:trHeight w:val="20"/>
        </w:trPr>
        <w:tc>
          <w:tcPr>
            <w:tcW w:w="1866" w:type="dxa"/>
            <w:vMerge/>
            <w:shd w:val="clear" w:color="auto" w:fill="auto"/>
          </w:tcPr>
          <w:p w:rsidR="0036354A" w:rsidRPr="00AA16D9" w:rsidRDefault="0036354A" w:rsidP="001A4057">
            <w:pPr>
              <w:keepNext/>
              <w:spacing w:before="40" w:after="40" w:line="220" w:lineRule="exact"/>
              <w:rPr>
                <w:sz w:val="18"/>
              </w:rPr>
            </w:pPr>
          </w:p>
        </w:tc>
        <w:tc>
          <w:tcPr>
            <w:tcW w:w="1800" w:type="dxa"/>
            <w:shd w:val="clear" w:color="auto" w:fill="auto"/>
          </w:tcPr>
          <w:p w:rsidR="0036354A" w:rsidRPr="00AA16D9" w:rsidRDefault="0036354A" w:rsidP="001A4057">
            <w:pPr>
              <w:keepNext/>
              <w:spacing w:before="40" w:after="40" w:line="220" w:lineRule="exact"/>
              <w:rPr>
                <w:sz w:val="18"/>
              </w:rPr>
            </w:pPr>
            <w:r w:rsidRPr="00AA16D9">
              <w:rPr>
                <w:sz w:val="18"/>
              </w:rPr>
              <w:t>Ville de Kigali</w:t>
            </w:r>
          </w:p>
        </w:tc>
        <w:tc>
          <w:tcPr>
            <w:tcW w:w="900" w:type="dxa"/>
            <w:shd w:val="clear" w:color="auto" w:fill="auto"/>
          </w:tcPr>
          <w:p w:rsidR="0036354A" w:rsidRPr="00AA16D9" w:rsidRDefault="0036354A" w:rsidP="001A4057">
            <w:pPr>
              <w:keepNext/>
              <w:spacing w:before="40" w:after="40" w:line="220" w:lineRule="exact"/>
              <w:jc w:val="right"/>
              <w:rPr>
                <w:sz w:val="18"/>
              </w:rPr>
            </w:pPr>
            <w:r w:rsidRPr="00AA16D9">
              <w:rPr>
                <w:sz w:val="18"/>
              </w:rPr>
              <w:t>0,48</w:t>
            </w:r>
          </w:p>
        </w:tc>
        <w:tc>
          <w:tcPr>
            <w:tcW w:w="2804" w:type="dxa"/>
            <w:shd w:val="clear" w:color="auto" w:fill="auto"/>
          </w:tcPr>
          <w:p w:rsidR="0036354A" w:rsidRPr="00AA16D9" w:rsidRDefault="0036354A" w:rsidP="001A4057">
            <w:pPr>
              <w:keepNext/>
              <w:spacing w:before="40" w:after="40" w:line="220" w:lineRule="exact"/>
              <w:jc w:val="right"/>
              <w:rPr>
                <w:sz w:val="18"/>
              </w:rPr>
            </w:pPr>
            <w:r w:rsidRPr="00AA16D9">
              <w:rPr>
                <w:sz w:val="18"/>
              </w:rPr>
              <w:t>0,47</w:t>
            </w:r>
          </w:p>
        </w:tc>
      </w:tr>
      <w:tr w:rsidR="0036354A" w:rsidRPr="00AA16D9" w:rsidTr="001A4057">
        <w:tblPrEx>
          <w:tblCellMar>
            <w:top w:w="0" w:type="dxa"/>
            <w:bottom w:w="0" w:type="dxa"/>
          </w:tblCellMar>
        </w:tblPrEx>
        <w:trPr>
          <w:trHeight w:val="20"/>
        </w:trPr>
        <w:tc>
          <w:tcPr>
            <w:tcW w:w="1866" w:type="dxa"/>
            <w:shd w:val="clear" w:color="auto" w:fill="auto"/>
          </w:tcPr>
          <w:p w:rsidR="0036354A" w:rsidRPr="00AA16D9" w:rsidRDefault="0036354A" w:rsidP="001A4057">
            <w:pPr>
              <w:keepNext/>
              <w:spacing w:before="40" w:after="40" w:line="220" w:lineRule="exact"/>
              <w:rPr>
                <w:sz w:val="18"/>
              </w:rPr>
            </w:pPr>
          </w:p>
        </w:tc>
        <w:tc>
          <w:tcPr>
            <w:tcW w:w="1800" w:type="dxa"/>
            <w:shd w:val="clear" w:color="auto" w:fill="auto"/>
          </w:tcPr>
          <w:p w:rsidR="0036354A" w:rsidRPr="00AA16D9" w:rsidRDefault="0036354A" w:rsidP="001A4057">
            <w:pPr>
              <w:keepNext/>
              <w:spacing w:before="40" w:after="40" w:line="220" w:lineRule="exact"/>
              <w:rPr>
                <w:sz w:val="18"/>
              </w:rPr>
            </w:pPr>
            <w:r w:rsidRPr="00AA16D9">
              <w:rPr>
                <w:sz w:val="18"/>
              </w:rPr>
              <w:t>Autres villes urbaines</w:t>
            </w:r>
          </w:p>
        </w:tc>
        <w:tc>
          <w:tcPr>
            <w:tcW w:w="900" w:type="dxa"/>
            <w:shd w:val="clear" w:color="auto" w:fill="auto"/>
          </w:tcPr>
          <w:p w:rsidR="0036354A" w:rsidRPr="00AA16D9" w:rsidRDefault="0036354A" w:rsidP="001A4057">
            <w:pPr>
              <w:keepNext/>
              <w:spacing w:before="40" w:after="40" w:line="220" w:lineRule="exact"/>
              <w:jc w:val="right"/>
              <w:rPr>
                <w:sz w:val="18"/>
              </w:rPr>
            </w:pPr>
            <w:r w:rsidRPr="00AA16D9">
              <w:rPr>
                <w:sz w:val="18"/>
              </w:rPr>
              <w:t>0,52</w:t>
            </w:r>
          </w:p>
        </w:tc>
        <w:tc>
          <w:tcPr>
            <w:tcW w:w="2804" w:type="dxa"/>
            <w:shd w:val="clear" w:color="auto" w:fill="auto"/>
          </w:tcPr>
          <w:p w:rsidR="0036354A" w:rsidRPr="00AA16D9" w:rsidRDefault="0036354A" w:rsidP="001A4057">
            <w:pPr>
              <w:keepNext/>
              <w:spacing w:before="40" w:after="40" w:line="220" w:lineRule="exact"/>
              <w:jc w:val="right"/>
              <w:rPr>
                <w:sz w:val="18"/>
              </w:rPr>
            </w:pPr>
            <w:r w:rsidRPr="00AA16D9">
              <w:rPr>
                <w:sz w:val="18"/>
              </w:rPr>
              <w:t>0,51</w:t>
            </w:r>
          </w:p>
        </w:tc>
      </w:tr>
      <w:tr w:rsidR="0036354A" w:rsidRPr="00AA16D9" w:rsidTr="001A4057">
        <w:tblPrEx>
          <w:tblCellMar>
            <w:top w:w="0" w:type="dxa"/>
            <w:bottom w:w="0" w:type="dxa"/>
          </w:tblCellMar>
        </w:tblPrEx>
        <w:trPr>
          <w:trHeight w:val="20"/>
        </w:trPr>
        <w:tc>
          <w:tcPr>
            <w:tcW w:w="1866" w:type="dxa"/>
            <w:shd w:val="clear" w:color="auto" w:fill="auto"/>
          </w:tcPr>
          <w:p w:rsidR="0036354A" w:rsidRPr="00AA16D9" w:rsidRDefault="0036354A" w:rsidP="001A4057">
            <w:pPr>
              <w:keepNext/>
              <w:spacing w:before="40" w:after="40" w:line="220" w:lineRule="exact"/>
              <w:rPr>
                <w:sz w:val="18"/>
              </w:rPr>
            </w:pPr>
          </w:p>
        </w:tc>
        <w:tc>
          <w:tcPr>
            <w:tcW w:w="1800" w:type="dxa"/>
            <w:shd w:val="clear" w:color="auto" w:fill="auto"/>
          </w:tcPr>
          <w:p w:rsidR="0036354A" w:rsidRPr="00AA16D9" w:rsidRDefault="0036354A" w:rsidP="001A4057">
            <w:pPr>
              <w:keepNext/>
              <w:spacing w:before="40" w:after="40" w:line="220" w:lineRule="exact"/>
              <w:rPr>
                <w:sz w:val="18"/>
              </w:rPr>
            </w:pPr>
            <w:r w:rsidRPr="00AA16D9">
              <w:rPr>
                <w:sz w:val="18"/>
              </w:rPr>
              <w:t>Régions rurales</w:t>
            </w:r>
          </w:p>
        </w:tc>
        <w:tc>
          <w:tcPr>
            <w:tcW w:w="900" w:type="dxa"/>
            <w:shd w:val="clear" w:color="auto" w:fill="auto"/>
          </w:tcPr>
          <w:p w:rsidR="0036354A" w:rsidRPr="00AA16D9" w:rsidRDefault="0036354A" w:rsidP="001A4057">
            <w:pPr>
              <w:keepNext/>
              <w:spacing w:before="40" w:after="40" w:line="220" w:lineRule="exact"/>
              <w:jc w:val="right"/>
              <w:rPr>
                <w:sz w:val="18"/>
              </w:rPr>
            </w:pPr>
            <w:r w:rsidRPr="00AA16D9">
              <w:rPr>
                <w:sz w:val="18"/>
              </w:rPr>
              <w:t>0,37</w:t>
            </w:r>
          </w:p>
        </w:tc>
        <w:tc>
          <w:tcPr>
            <w:tcW w:w="2804" w:type="dxa"/>
            <w:shd w:val="clear" w:color="auto" w:fill="auto"/>
          </w:tcPr>
          <w:p w:rsidR="0036354A" w:rsidRPr="00AA16D9" w:rsidRDefault="0036354A" w:rsidP="001A4057">
            <w:pPr>
              <w:keepNext/>
              <w:spacing w:before="40" w:after="40" w:line="220" w:lineRule="exact"/>
              <w:jc w:val="right"/>
              <w:rPr>
                <w:sz w:val="18"/>
              </w:rPr>
            </w:pPr>
            <w:r w:rsidRPr="00AA16D9">
              <w:rPr>
                <w:sz w:val="18"/>
              </w:rPr>
              <w:t>0,43</w:t>
            </w:r>
          </w:p>
        </w:tc>
      </w:tr>
      <w:tr w:rsidR="0036354A" w:rsidRPr="00AA16D9" w:rsidTr="001A4057">
        <w:tblPrEx>
          <w:tblCellMar>
            <w:top w:w="0" w:type="dxa"/>
            <w:bottom w:w="0" w:type="dxa"/>
          </w:tblCellMar>
        </w:tblPrEx>
        <w:trPr>
          <w:trHeight w:val="20"/>
        </w:trPr>
        <w:tc>
          <w:tcPr>
            <w:tcW w:w="3666" w:type="dxa"/>
            <w:gridSpan w:val="2"/>
            <w:tcBorders>
              <w:bottom w:val="single" w:sz="4" w:space="0" w:color="auto"/>
            </w:tcBorders>
            <w:shd w:val="clear" w:color="auto" w:fill="auto"/>
          </w:tcPr>
          <w:p w:rsidR="0036354A" w:rsidRPr="00AA16D9" w:rsidRDefault="0036354A" w:rsidP="001A4057">
            <w:pPr>
              <w:keepNext/>
              <w:spacing w:before="40" w:after="40" w:line="220" w:lineRule="exact"/>
            </w:pPr>
            <w:r w:rsidRPr="00AA16D9">
              <w:rPr>
                <w:sz w:val="18"/>
              </w:rPr>
              <w:t>Coefficient de Gini au niveau national</w:t>
            </w:r>
            <w:r w:rsidRPr="00AA16D9">
              <w:t xml:space="preserve"> </w:t>
            </w:r>
          </w:p>
        </w:tc>
        <w:tc>
          <w:tcPr>
            <w:tcW w:w="900" w:type="dxa"/>
            <w:tcBorders>
              <w:bottom w:val="single" w:sz="4" w:space="0" w:color="auto"/>
            </w:tcBorders>
            <w:shd w:val="clear" w:color="auto" w:fill="auto"/>
          </w:tcPr>
          <w:p w:rsidR="0036354A" w:rsidRPr="00AA16D9" w:rsidRDefault="0036354A" w:rsidP="001A4057">
            <w:pPr>
              <w:keepNext/>
              <w:spacing w:before="40" w:after="40" w:line="220" w:lineRule="exact"/>
              <w:jc w:val="right"/>
              <w:rPr>
                <w:sz w:val="18"/>
              </w:rPr>
            </w:pPr>
            <w:r w:rsidRPr="00AA16D9">
              <w:rPr>
                <w:sz w:val="18"/>
              </w:rPr>
              <w:t>0,47</w:t>
            </w:r>
          </w:p>
        </w:tc>
        <w:tc>
          <w:tcPr>
            <w:tcW w:w="2804" w:type="dxa"/>
            <w:tcBorders>
              <w:bottom w:val="single" w:sz="4" w:space="0" w:color="auto"/>
            </w:tcBorders>
            <w:shd w:val="clear" w:color="auto" w:fill="auto"/>
          </w:tcPr>
          <w:p w:rsidR="0036354A" w:rsidRPr="00AA16D9" w:rsidRDefault="0036354A" w:rsidP="001A4057">
            <w:pPr>
              <w:keepNext/>
              <w:spacing w:before="40" w:after="40" w:line="220" w:lineRule="exact"/>
              <w:jc w:val="right"/>
              <w:rPr>
                <w:sz w:val="18"/>
              </w:rPr>
            </w:pPr>
            <w:r w:rsidRPr="00AA16D9">
              <w:rPr>
                <w:sz w:val="18"/>
              </w:rPr>
              <w:t>0,51</w:t>
            </w:r>
          </w:p>
        </w:tc>
      </w:tr>
    </w:tbl>
    <w:p w:rsidR="0036354A" w:rsidRPr="00AA16D9" w:rsidRDefault="0036354A" w:rsidP="0036354A">
      <w:pPr>
        <w:pStyle w:val="SingleTxtG"/>
        <w:spacing w:before="120" w:after="240"/>
        <w:ind w:firstLine="170"/>
        <w:rPr>
          <w:sz w:val="18"/>
          <w:szCs w:val="18"/>
        </w:rPr>
      </w:pPr>
      <w:r w:rsidRPr="00AA16D9">
        <w:rPr>
          <w:bCs/>
          <w:i/>
          <w:sz w:val="18"/>
          <w:szCs w:val="18"/>
        </w:rPr>
        <w:t>Source</w:t>
      </w:r>
      <w:r w:rsidRPr="00AA16D9">
        <w:rPr>
          <w:bCs/>
          <w:sz w:val="18"/>
          <w:szCs w:val="18"/>
        </w:rPr>
        <w:t xml:space="preserve">: NISR, </w:t>
      </w:r>
      <w:r w:rsidRPr="00AA16D9">
        <w:rPr>
          <w:sz w:val="18"/>
          <w:szCs w:val="18"/>
        </w:rPr>
        <w:t>EICV I &amp; II, EICV EDPRS Final report, may 2007-P. 20.</w:t>
      </w:r>
    </w:p>
    <w:p w:rsidR="0036354A" w:rsidRPr="00AA16D9" w:rsidRDefault="0036354A" w:rsidP="0036354A">
      <w:pPr>
        <w:pStyle w:val="Bullet1G"/>
      </w:pPr>
      <w:r w:rsidRPr="00AA16D9">
        <w:t>Le niveau de vie a augmenté comme indiqué ci-haut avec des inégalités renforcées dans les provinces du sud et de l</w:t>
      </w:r>
      <w:r>
        <w:t>’</w:t>
      </w:r>
      <w:r w:rsidRPr="00AA16D9">
        <w:t>ouest</w:t>
      </w:r>
      <w:r w:rsidRPr="00AA16D9">
        <w:rPr>
          <w:sz w:val="18"/>
          <w:szCs w:val="18"/>
          <w:vertAlign w:val="superscript"/>
        </w:rPr>
        <w:footnoteReference w:id="109"/>
      </w:r>
      <w:r w:rsidRPr="00AA16D9">
        <w:t>;</w:t>
      </w:r>
    </w:p>
    <w:p w:rsidR="0036354A" w:rsidRPr="00AA16D9" w:rsidRDefault="0036354A" w:rsidP="0036354A">
      <w:pPr>
        <w:pStyle w:val="Bullet1G"/>
      </w:pPr>
      <w:r w:rsidRPr="00AA16D9">
        <w:t>Des différences régionales sont à observer: la pauvreté a diminué de façon substantielle dans la province de l</w:t>
      </w:r>
      <w:r>
        <w:t>’</w:t>
      </w:r>
      <w:r w:rsidRPr="00AA16D9">
        <w:t>Est, de façon plus modérée dans la province du Nord et dans la ville de Kigali. Elle a augmenté dans la province du sud en 2005/06 (EICV II);</w:t>
      </w:r>
    </w:p>
    <w:p w:rsidR="0036354A" w:rsidRPr="00AA16D9" w:rsidRDefault="007F2539" w:rsidP="0036354A">
      <w:pPr>
        <w:tabs>
          <w:tab w:val="right" w:pos="850"/>
          <w:tab w:val="left" w:pos="1134"/>
          <w:tab w:val="left" w:pos="1559"/>
          <w:tab w:val="left" w:pos="1984"/>
          <w:tab w:val="left" w:leader="dot" w:pos="8929"/>
          <w:tab w:val="right" w:pos="9638"/>
        </w:tabs>
        <w:spacing w:after="120"/>
        <w:ind w:left="1134"/>
      </w:pPr>
      <w:r w:rsidRPr="00AA16D9">
        <w:pict>
          <v:shape id="Picture 1" o:spid="_x0000_i1026" type="#_x0000_t75" style="width:369pt;height:243pt;visibility:visible">
            <v:imagedata r:id="rId8" o:title=""/>
          </v:shape>
        </w:pict>
      </w:r>
    </w:p>
    <w:p w:rsidR="0036354A" w:rsidRPr="00AA16D9" w:rsidRDefault="0036354A" w:rsidP="0036354A">
      <w:pPr>
        <w:pStyle w:val="Heading1"/>
        <w:spacing w:after="120"/>
      </w:pPr>
      <w:r w:rsidRPr="00AA16D9">
        <w:t>Graphique 1</w:t>
      </w:r>
    </w:p>
    <w:p w:rsidR="0036354A" w:rsidRPr="00AA16D9" w:rsidRDefault="0036354A" w:rsidP="0036354A">
      <w:pPr>
        <w:pStyle w:val="SingleTxtG"/>
        <w:spacing w:after="240"/>
        <w:ind w:firstLine="170"/>
        <w:rPr>
          <w:bCs/>
          <w:sz w:val="18"/>
          <w:szCs w:val="18"/>
        </w:rPr>
      </w:pPr>
      <w:r w:rsidRPr="00AA16D9">
        <w:rPr>
          <w:i/>
          <w:sz w:val="18"/>
          <w:szCs w:val="18"/>
        </w:rPr>
        <w:t>Source</w:t>
      </w:r>
      <w:r w:rsidRPr="00AA16D9">
        <w:rPr>
          <w:sz w:val="18"/>
          <w:szCs w:val="18"/>
        </w:rPr>
        <w:t xml:space="preserve">: NISR: EICV I (en 2000/01) &amp; II (en 2005/06). </w:t>
      </w:r>
    </w:p>
    <w:p w:rsidR="0036354A" w:rsidRPr="00AA16D9" w:rsidRDefault="0036354A" w:rsidP="0036354A">
      <w:pPr>
        <w:pStyle w:val="Bullet1G"/>
      </w:pPr>
      <w:r w:rsidRPr="00AA16D9">
        <w:t xml:space="preserve">60,2 % des femmes, chefs de ménage, vivent en deçà du seuil de pauvreté en 2005/06, contre 54 % des hommes chefs de ménage. </w:t>
      </w:r>
    </w:p>
    <w:p w:rsidR="0036354A" w:rsidRPr="00AA16D9" w:rsidRDefault="0036354A" w:rsidP="0036354A">
      <w:pPr>
        <w:pStyle w:val="Bullet1G"/>
      </w:pPr>
      <w:r w:rsidRPr="00AA16D9">
        <w:t>Quant au niveau de vulnérabilité</w:t>
      </w:r>
      <w:r w:rsidRPr="00AA16D9">
        <w:rPr>
          <w:sz w:val="18"/>
          <w:szCs w:val="18"/>
          <w:vertAlign w:val="superscript"/>
        </w:rPr>
        <w:footnoteReference w:id="110"/>
      </w:r>
      <w:r w:rsidRPr="00AA16D9">
        <w:t>, les ménages vulnérables sont estimés à 43 % de tous les ménages en 2005/06 (contre 51 % en 2000/01).</w:t>
      </w:r>
    </w:p>
    <w:p w:rsidR="0036354A" w:rsidRPr="00AA16D9" w:rsidRDefault="0036354A" w:rsidP="0036354A">
      <w:pPr>
        <w:pStyle w:val="Heading1"/>
        <w:spacing w:after="120"/>
      </w:pPr>
      <w:r w:rsidRPr="00AA16D9">
        <w:t>Tableau 12</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66"/>
        <w:gridCol w:w="1000"/>
        <w:gridCol w:w="1400"/>
        <w:gridCol w:w="1304"/>
      </w:tblGrid>
      <w:tr w:rsidR="0036354A" w:rsidRPr="00AA16D9" w:rsidTr="001A4057">
        <w:trPr>
          <w:trHeight w:val="368"/>
          <w:tblHeader/>
        </w:trPr>
        <w:tc>
          <w:tcPr>
            <w:tcW w:w="4666" w:type="dxa"/>
            <w:gridSpan w:val="2"/>
            <w:tcBorders>
              <w:top w:val="single" w:sz="4" w:space="0" w:color="auto"/>
              <w:bottom w:val="single" w:sz="12" w:space="0" w:color="auto"/>
            </w:tcBorders>
            <w:shd w:val="clear" w:color="auto" w:fill="auto"/>
            <w:vAlign w:val="bottom"/>
          </w:tcPr>
          <w:p w:rsidR="0036354A" w:rsidRPr="00AA16D9" w:rsidRDefault="0036354A" w:rsidP="001A4057">
            <w:pPr>
              <w:spacing w:before="80" w:after="80" w:line="200" w:lineRule="exact"/>
              <w:rPr>
                <w:bCs/>
                <w:i/>
                <w:sz w:val="16"/>
              </w:rPr>
            </w:pPr>
            <w:r w:rsidRPr="00AA16D9">
              <w:rPr>
                <w:i/>
                <w:sz w:val="16"/>
              </w:rPr>
              <w:t>Type de ménage</w:t>
            </w:r>
          </w:p>
        </w:tc>
        <w:tc>
          <w:tcPr>
            <w:tcW w:w="1400" w:type="dxa"/>
            <w:tcBorders>
              <w:top w:val="single" w:sz="4" w:space="0" w:color="auto"/>
              <w:bottom w:val="single" w:sz="12" w:space="0" w:color="auto"/>
            </w:tcBorders>
            <w:shd w:val="clear" w:color="auto" w:fill="auto"/>
            <w:vAlign w:val="bottom"/>
          </w:tcPr>
          <w:p w:rsidR="0036354A" w:rsidRPr="00AA16D9" w:rsidRDefault="0036354A" w:rsidP="001A4057">
            <w:pPr>
              <w:spacing w:before="80" w:after="80" w:line="200" w:lineRule="exact"/>
              <w:jc w:val="right"/>
              <w:rPr>
                <w:i/>
                <w:sz w:val="16"/>
              </w:rPr>
            </w:pPr>
            <w:r>
              <w:rPr>
                <w:i/>
                <w:sz w:val="16"/>
              </w:rPr>
              <w:t>Pourcentage</w:t>
            </w:r>
            <w:r w:rsidRPr="00AA16D9">
              <w:rPr>
                <w:i/>
                <w:sz w:val="16"/>
              </w:rPr>
              <w:t xml:space="preserve"> de la population</w:t>
            </w:r>
          </w:p>
        </w:tc>
        <w:tc>
          <w:tcPr>
            <w:tcW w:w="1304" w:type="dxa"/>
            <w:tcBorders>
              <w:top w:val="single" w:sz="4" w:space="0" w:color="auto"/>
              <w:bottom w:val="single" w:sz="12" w:space="0" w:color="auto"/>
            </w:tcBorders>
            <w:shd w:val="clear" w:color="auto" w:fill="auto"/>
            <w:vAlign w:val="bottom"/>
          </w:tcPr>
          <w:p w:rsidR="0036354A" w:rsidRPr="00AA16D9" w:rsidRDefault="0036354A" w:rsidP="001A4057">
            <w:pPr>
              <w:spacing w:before="80" w:after="80" w:line="200" w:lineRule="exact"/>
              <w:jc w:val="right"/>
              <w:rPr>
                <w:i/>
                <w:sz w:val="16"/>
              </w:rPr>
            </w:pPr>
            <w:r w:rsidRPr="00AA16D9">
              <w:rPr>
                <w:i/>
                <w:sz w:val="16"/>
              </w:rPr>
              <w:t>État de pauvreté</w:t>
            </w:r>
          </w:p>
        </w:tc>
      </w:tr>
      <w:tr w:rsidR="0036354A" w:rsidRPr="00AA16D9" w:rsidTr="001A4057">
        <w:tc>
          <w:tcPr>
            <w:tcW w:w="3666" w:type="dxa"/>
            <w:vMerge w:val="restart"/>
            <w:tcBorders>
              <w:top w:val="single" w:sz="12" w:space="0" w:color="auto"/>
            </w:tcBorders>
            <w:shd w:val="clear" w:color="auto" w:fill="auto"/>
          </w:tcPr>
          <w:p w:rsidR="0036354A" w:rsidRPr="00AA16D9" w:rsidRDefault="0036354A" w:rsidP="001A4057">
            <w:pPr>
              <w:spacing w:before="40" w:after="40" w:line="220" w:lineRule="exact"/>
              <w:rPr>
                <w:sz w:val="18"/>
              </w:rPr>
            </w:pPr>
            <w:r w:rsidRPr="00AA16D9">
              <w:rPr>
                <w:sz w:val="18"/>
              </w:rPr>
              <w:t>Ménage avec une femme à la tête</w:t>
            </w:r>
          </w:p>
        </w:tc>
        <w:tc>
          <w:tcPr>
            <w:tcW w:w="1000" w:type="dxa"/>
            <w:tcBorders>
              <w:top w:val="single" w:sz="12" w:space="0" w:color="auto"/>
            </w:tcBorders>
            <w:shd w:val="clear" w:color="auto" w:fill="auto"/>
          </w:tcPr>
          <w:p w:rsidR="0036354A" w:rsidRPr="00AA16D9" w:rsidRDefault="0036354A" w:rsidP="001A4057">
            <w:pPr>
              <w:spacing w:before="40" w:after="40" w:line="220" w:lineRule="exact"/>
              <w:jc w:val="right"/>
              <w:rPr>
                <w:sz w:val="18"/>
              </w:rPr>
            </w:pPr>
            <w:r w:rsidRPr="00AA16D9">
              <w:rPr>
                <w:sz w:val="18"/>
              </w:rPr>
              <w:t>2000/01</w:t>
            </w:r>
          </w:p>
        </w:tc>
        <w:tc>
          <w:tcPr>
            <w:tcW w:w="1400" w:type="dxa"/>
            <w:tcBorders>
              <w:top w:val="single" w:sz="12" w:space="0" w:color="auto"/>
            </w:tcBorders>
            <w:shd w:val="clear" w:color="auto" w:fill="auto"/>
            <w:vAlign w:val="bottom"/>
          </w:tcPr>
          <w:p w:rsidR="0036354A" w:rsidRPr="00AA16D9" w:rsidRDefault="0036354A" w:rsidP="001A4057">
            <w:pPr>
              <w:spacing w:before="40" w:after="40" w:line="220" w:lineRule="exact"/>
              <w:jc w:val="right"/>
              <w:rPr>
                <w:sz w:val="18"/>
              </w:rPr>
            </w:pPr>
            <w:r w:rsidRPr="00AA16D9">
              <w:rPr>
                <w:sz w:val="18"/>
              </w:rPr>
              <w:t>27,6</w:t>
            </w:r>
          </w:p>
        </w:tc>
        <w:tc>
          <w:tcPr>
            <w:tcW w:w="1304" w:type="dxa"/>
            <w:tcBorders>
              <w:top w:val="single" w:sz="12" w:space="0" w:color="auto"/>
            </w:tcBorders>
            <w:shd w:val="clear" w:color="auto" w:fill="auto"/>
            <w:vAlign w:val="bottom"/>
          </w:tcPr>
          <w:p w:rsidR="0036354A" w:rsidRPr="00AA16D9" w:rsidRDefault="0036354A" w:rsidP="001A4057">
            <w:pPr>
              <w:spacing w:before="40" w:after="40" w:line="220" w:lineRule="exact"/>
              <w:jc w:val="right"/>
              <w:rPr>
                <w:sz w:val="18"/>
              </w:rPr>
            </w:pPr>
            <w:r w:rsidRPr="00AA16D9">
              <w:rPr>
                <w:sz w:val="18"/>
              </w:rPr>
              <w:t>66,3</w:t>
            </w:r>
          </w:p>
        </w:tc>
      </w:tr>
      <w:tr w:rsidR="0036354A" w:rsidRPr="00AA16D9" w:rsidTr="001A4057">
        <w:tc>
          <w:tcPr>
            <w:tcW w:w="3666" w:type="dxa"/>
            <w:vMerge/>
            <w:shd w:val="clear" w:color="auto" w:fill="auto"/>
          </w:tcPr>
          <w:p w:rsidR="0036354A" w:rsidRPr="00AA16D9" w:rsidRDefault="0036354A" w:rsidP="001A4057">
            <w:pPr>
              <w:spacing w:before="40" w:after="40" w:line="220" w:lineRule="exact"/>
              <w:rPr>
                <w:sz w:val="18"/>
              </w:rPr>
            </w:pPr>
          </w:p>
        </w:tc>
        <w:tc>
          <w:tcPr>
            <w:tcW w:w="1000" w:type="dxa"/>
            <w:shd w:val="clear" w:color="auto" w:fill="auto"/>
          </w:tcPr>
          <w:p w:rsidR="0036354A" w:rsidRPr="00AA16D9" w:rsidRDefault="0036354A" w:rsidP="001A4057">
            <w:pPr>
              <w:spacing w:before="40" w:after="40" w:line="220" w:lineRule="exact"/>
              <w:jc w:val="right"/>
              <w:rPr>
                <w:sz w:val="18"/>
              </w:rPr>
            </w:pPr>
            <w:r w:rsidRPr="00AA16D9">
              <w:rPr>
                <w:sz w:val="18"/>
              </w:rPr>
              <w:t>2005/06</w:t>
            </w:r>
          </w:p>
        </w:tc>
        <w:tc>
          <w:tcPr>
            <w:tcW w:w="1400"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23,4</w:t>
            </w:r>
          </w:p>
        </w:tc>
        <w:tc>
          <w:tcPr>
            <w:tcW w:w="1304"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60,2</w:t>
            </w:r>
          </w:p>
        </w:tc>
      </w:tr>
      <w:tr w:rsidR="0036354A" w:rsidRPr="00AA16D9" w:rsidTr="001A4057">
        <w:trPr>
          <w:trHeight w:val="20"/>
        </w:trPr>
        <w:tc>
          <w:tcPr>
            <w:tcW w:w="3666" w:type="dxa"/>
            <w:vMerge w:val="restart"/>
            <w:shd w:val="clear" w:color="auto" w:fill="auto"/>
          </w:tcPr>
          <w:p w:rsidR="0036354A" w:rsidRPr="00AA16D9" w:rsidRDefault="0036354A" w:rsidP="001A4057">
            <w:pPr>
              <w:spacing w:before="40" w:after="40" w:line="220" w:lineRule="exact"/>
              <w:rPr>
                <w:sz w:val="18"/>
              </w:rPr>
            </w:pPr>
            <w:r w:rsidRPr="00AA16D9">
              <w:rPr>
                <w:sz w:val="18"/>
              </w:rPr>
              <w:t>Ménages avec une veuve à la tête</w:t>
            </w:r>
          </w:p>
        </w:tc>
        <w:tc>
          <w:tcPr>
            <w:tcW w:w="1000" w:type="dxa"/>
            <w:shd w:val="clear" w:color="auto" w:fill="auto"/>
          </w:tcPr>
          <w:p w:rsidR="0036354A" w:rsidRPr="00AA16D9" w:rsidRDefault="0036354A" w:rsidP="001A4057">
            <w:pPr>
              <w:spacing w:before="40" w:after="40" w:line="220" w:lineRule="exact"/>
              <w:jc w:val="right"/>
              <w:rPr>
                <w:sz w:val="18"/>
              </w:rPr>
            </w:pPr>
            <w:r w:rsidRPr="00AA16D9">
              <w:rPr>
                <w:sz w:val="18"/>
              </w:rPr>
              <w:t>2000/01</w:t>
            </w:r>
          </w:p>
        </w:tc>
        <w:tc>
          <w:tcPr>
            <w:tcW w:w="1400"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22,0</w:t>
            </w:r>
          </w:p>
        </w:tc>
        <w:tc>
          <w:tcPr>
            <w:tcW w:w="1304"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67,7</w:t>
            </w:r>
          </w:p>
        </w:tc>
      </w:tr>
      <w:tr w:rsidR="0036354A" w:rsidRPr="00AA16D9" w:rsidTr="001A4057">
        <w:trPr>
          <w:trHeight w:val="20"/>
        </w:trPr>
        <w:tc>
          <w:tcPr>
            <w:tcW w:w="3666" w:type="dxa"/>
            <w:vMerge/>
            <w:shd w:val="clear" w:color="auto" w:fill="auto"/>
          </w:tcPr>
          <w:p w:rsidR="0036354A" w:rsidRPr="00AA16D9" w:rsidRDefault="0036354A" w:rsidP="001A4057">
            <w:pPr>
              <w:spacing w:before="40" w:after="40" w:line="220" w:lineRule="exact"/>
              <w:rPr>
                <w:sz w:val="18"/>
              </w:rPr>
            </w:pPr>
          </w:p>
        </w:tc>
        <w:tc>
          <w:tcPr>
            <w:tcW w:w="1000" w:type="dxa"/>
            <w:shd w:val="clear" w:color="auto" w:fill="auto"/>
          </w:tcPr>
          <w:p w:rsidR="0036354A" w:rsidRPr="00AA16D9" w:rsidRDefault="0036354A" w:rsidP="001A4057">
            <w:pPr>
              <w:spacing w:before="40" w:after="40" w:line="220" w:lineRule="exact"/>
              <w:jc w:val="right"/>
              <w:rPr>
                <w:sz w:val="18"/>
              </w:rPr>
            </w:pPr>
            <w:r w:rsidRPr="00AA16D9">
              <w:rPr>
                <w:sz w:val="18"/>
              </w:rPr>
              <w:t>2005/06</w:t>
            </w:r>
          </w:p>
        </w:tc>
        <w:tc>
          <w:tcPr>
            <w:tcW w:w="1400"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18,7</w:t>
            </w:r>
          </w:p>
        </w:tc>
        <w:tc>
          <w:tcPr>
            <w:tcW w:w="1304"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59,9</w:t>
            </w:r>
          </w:p>
        </w:tc>
      </w:tr>
      <w:tr w:rsidR="0036354A" w:rsidRPr="00AA16D9" w:rsidTr="001A4057">
        <w:trPr>
          <w:trHeight w:val="20"/>
        </w:trPr>
        <w:tc>
          <w:tcPr>
            <w:tcW w:w="3666" w:type="dxa"/>
            <w:vMerge w:val="restart"/>
            <w:shd w:val="clear" w:color="auto" w:fill="auto"/>
          </w:tcPr>
          <w:p w:rsidR="0036354A" w:rsidRPr="00AA16D9" w:rsidRDefault="0036354A" w:rsidP="001A4057">
            <w:pPr>
              <w:spacing w:before="40" w:after="40" w:line="220" w:lineRule="exact"/>
              <w:rPr>
                <w:sz w:val="18"/>
              </w:rPr>
            </w:pPr>
            <w:r w:rsidRPr="00AA16D9">
              <w:rPr>
                <w:sz w:val="18"/>
              </w:rPr>
              <w:t>Ménages avec un enfant comme chef de ménage</w:t>
            </w:r>
          </w:p>
        </w:tc>
        <w:tc>
          <w:tcPr>
            <w:tcW w:w="1000" w:type="dxa"/>
            <w:shd w:val="clear" w:color="auto" w:fill="auto"/>
          </w:tcPr>
          <w:p w:rsidR="0036354A" w:rsidRPr="00AA16D9" w:rsidRDefault="0036354A" w:rsidP="001A4057">
            <w:pPr>
              <w:spacing w:before="40" w:after="40" w:line="220" w:lineRule="exact"/>
              <w:jc w:val="right"/>
              <w:rPr>
                <w:sz w:val="18"/>
              </w:rPr>
            </w:pPr>
            <w:r w:rsidRPr="00AA16D9">
              <w:rPr>
                <w:sz w:val="18"/>
              </w:rPr>
              <w:t>2000/01</w:t>
            </w:r>
          </w:p>
        </w:tc>
        <w:tc>
          <w:tcPr>
            <w:tcW w:w="1400"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1,3</w:t>
            </w:r>
          </w:p>
        </w:tc>
        <w:tc>
          <w:tcPr>
            <w:tcW w:w="1304"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60,1</w:t>
            </w:r>
          </w:p>
        </w:tc>
      </w:tr>
      <w:tr w:rsidR="0036354A" w:rsidRPr="00AA16D9" w:rsidTr="001A4057">
        <w:trPr>
          <w:trHeight w:val="20"/>
        </w:trPr>
        <w:tc>
          <w:tcPr>
            <w:tcW w:w="3666" w:type="dxa"/>
            <w:vMerge/>
            <w:shd w:val="clear" w:color="auto" w:fill="auto"/>
          </w:tcPr>
          <w:p w:rsidR="0036354A" w:rsidRPr="00AA16D9" w:rsidRDefault="0036354A" w:rsidP="001A4057">
            <w:pPr>
              <w:suppressAutoHyphens w:val="0"/>
              <w:spacing w:before="40" w:after="40" w:line="220" w:lineRule="exact"/>
              <w:ind w:right="113"/>
              <w:rPr>
                <w:bCs/>
                <w:sz w:val="18"/>
              </w:rPr>
            </w:pPr>
          </w:p>
        </w:tc>
        <w:tc>
          <w:tcPr>
            <w:tcW w:w="1000" w:type="dxa"/>
            <w:shd w:val="clear" w:color="auto" w:fill="auto"/>
          </w:tcPr>
          <w:p w:rsidR="0036354A" w:rsidRPr="00AA16D9" w:rsidRDefault="0036354A" w:rsidP="001A4057">
            <w:pPr>
              <w:spacing w:before="40" w:after="40" w:line="220" w:lineRule="exact"/>
              <w:jc w:val="right"/>
              <w:rPr>
                <w:sz w:val="18"/>
              </w:rPr>
            </w:pPr>
            <w:r w:rsidRPr="00AA16D9">
              <w:rPr>
                <w:sz w:val="18"/>
              </w:rPr>
              <w:t>2005/06</w:t>
            </w:r>
          </w:p>
        </w:tc>
        <w:tc>
          <w:tcPr>
            <w:tcW w:w="1400"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0,7</w:t>
            </w:r>
          </w:p>
        </w:tc>
        <w:tc>
          <w:tcPr>
            <w:tcW w:w="1304"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56,9</w:t>
            </w:r>
          </w:p>
        </w:tc>
      </w:tr>
    </w:tbl>
    <w:p w:rsidR="0036354A" w:rsidRPr="00AA16D9" w:rsidRDefault="0036354A" w:rsidP="0036354A">
      <w:pPr>
        <w:pStyle w:val="SingleTxtG"/>
        <w:spacing w:before="120" w:after="240"/>
        <w:ind w:firstLine="170"/>
        <w:rPr>
          <w:sz w:val="18"/>
          <w:szCs w:val="18"/>
        </w:rPr>
      </w:pPr>
      <w:r w:rsidRPr="00AA16D9">
        <w:rPr>
          <w:bCs/>
          <w:i/>
          <w:sz w:val="18"/>
          <w:szCs w:val="18"/>
        </w:rPr>
        <w:t>NISR</w:t>
      </w:r>
      <w:r w:rsidRPr="00AA16D9">
        <w:rPr>
          <w:bCs/>
          <w:sz w:val="18"/>
          <w:szCs w:val="18"/>
        </w:rPr>
        <w:t xml:space="preserve">: </w:t>
      </w:r>
      <w:r w:rsidRPr="00AA16D9">
        <w:rPr>
          <w:sz w:val="18"/>
          <w:szCs w:val="18"/>
        </w:rPr>
        <w:t>Résultats de l</w:t>
      </w:r>
      <w:r>
        <w:rPr>
          <w:sz w:val="18"/>
          <w:szCs w:val="18"/>
        </w:rPr>
        <w:t>’</w:t>
      </w:r>
      <w:r w:rsidRPr="00AA16D9">
        <w:rPr>
          <w:sz w:val="18"/>
          <w:szCs w:val="18"/>
        </w:rPr>
        <w:t>EICV II.</w:t>
      </w:r>
    </w:p>
    <w:p w:rsidR="0036354A" w:rsidRPr="00AA16D9" w:rsidRDefault="0036354A" w:rsidP="0036354A">
      <w:pPr>
        <w:pStyle w:val="SingleTxtG"/>
      </w:pPr>
      <w:r w:rsidRPr="00AA16D9">
        <w:rPr>
          <w:szCs w:val="24"/>
        </w:rPr>
        <w:t>190.</w:t>
      </w:r>
      <w:r w:rsidRPr="00AA16D9">
        <w:rPr>
          <w:szCs w:val="24"/>
        </w:rPr>
        <w:tab/>
      </w:r>
      <w:r w:rsidRPr="00AA16D9">
        <w:t>L</w:t>
      </w:r>
      <w:r>
        <w:t>’</w:t>
      </w:r>
      <w:r w:rsidRPr="00AA16D9">
        <w:t>amélioration des conditions d</w:t>
      </w:r>
      <w:r>
        <w:t>’</w:t>
      </w:r>
      <w:r w:rsidRPr="00AA16D9">
        <w:t>existence est encore un défi pour le Gouvernement du Rwanda. La majorité de la population vit dans des ménages tirant la majeure partie de leurs revenus de leurs propres activités agricoles. Au moins 5 % des Rwandais vivent dans des ménages tirant la majeure partie de leurs revenus d</w:t>
      </w:r>
      <w:r>
        <w:t>’</w:t>
      </w:r>
      <w:r w:rsidRPr="00AA16D9">
        <w:t xml:space="preserve">un travail agricole salarié. </w:t>
      </w:r>
    </w:p>
    <w:p w:rsidR="0036354A" w:rsidRPr="00AA16D9" w:rsidRDefault="0036354A" w:rsidP="0036354A">
      <w:pPr>
        <w:pStyle w:val="SingleTxtG"/>
        <w:keepNext/>
        <w:keepLines/>
      </w:pPr>
      <w:r w:rsidRPr="00AA16D9">
        <w:rPr>
          <w:szCs w:val="24"/>
        </w:rPr>
        <w:t>191.</w:t>
      </w:r>
      <w:r w:rsidRPr="00AA16D9">
        <w:rPr>
          <w:szCs w:val="24"/>
        </w:rPr>
        <w:tab/>
      </w:r>
      <w:r w:rsidRPr="00AA16D9">
        <w:t>Des stratégies de réduction de la pauvreté sont entreprises depuis 2002, en plus des objectifs du Millénaire pour le développement et de la Vision 2020; en outre, le Gouvernement s</w:t>
      </w:r>
      <w:r>
        <w:t>’</w:t>
      </w:r>
      <w:r w:rsidRPr="00AA16D9">
        <w:t>est fixé comme objectif de ramener le seuil de pauvreté à 30 %, grâce aux objectifs du Millénaire pour le développement, à l</w:t>
      </w:r>
      <w:r>
        <w:t>’</w:t>
      </w:r>
      <w:r w:rsidRPr="00AA16D9">
        <w:t xml:space="preserve">EDPRS et à la vision 2020. </w:t>
      </w:r>
    </w:p>
    <w:p w:rsidR="0036354A" w:rsidRPr="00AA16D9" w:rsidRDefault="0036354A" w:rsidP="0036354A">
      <w:pPr>
        <w:pStyle w:val="H4G"/>
      </w:pPr>
      <w:r w:rsidRPr="00AA16D9">
        <w:tab/>
      </w:r>
      <w:r w:rsidRPr="00AA16D9">
        <w:tab/>
        <w:t xml:space="preserve">Indication sur le PNB par habitant de la proportion (40 %) de la population la plus défavorisée </w:t>
      </w:r>
    </w:p>
    <w:p w:rsidR="0036354A" w:rsidRPr="00AA16D9" w:rsidRDefault="0036354A" w:rsidP="0036354A">
      <w:pPr>
        <w:pStyle w:val="SingleTxtG"/>
      </w:pPr>
      <w:r w:rsidRPr="00AA16D9">
        <w:rPr>
          <w:szCs w:val="24"/>
        </w:rPr>
        <w:t>192.</w:t>
      </w:r>
      <w:r w:rsidRPr="00AA16D9">
        <w:rPr>
          <w:szCs w:val="24"/>
        </w:rPr>
        <w:tab/>
      </w:r>
      <w:r w:rsidRPr="00AA16D9">
        <w:t xml:space="preserve">Le Rwanda utilise le Produit intérieur brut, et non le Produit National Brut. De ce fait, il est impossible de dégager le PNB par habitant de la proportion (40 %) de la population la plus défavorisée. </w:t>
      </w:r>
    </w:p>
    <w:p w:rsidR="0036354A" w:rsidRPr="00AA16D9" w:rsidRDefault="0036354A" w:rsidP="0036354A">
      <w:pPr>
        <w:pStyle w:val="H4G"/>
      </w:pPr>
      <w:r w:rsidRPr="00AA16D9">
        <w:tab/>
      </w:r>
      <w:r w:rsidRPr="00AA16D9">
        <w:tab/>
        <w:t>Existe-t-il un seuil de pauvreté?</w:t>
      </w:r>
    </w:p>
    <w:p w:rsidR="0036354A" w:rsidRPr="00AA16D9" w:rsidRDefault="0036354A" w:rsidP="0036354A">
      <w:pPr>
        <w:pStyle w:val="SingleTxtG"/>
      </w:pPr>
      <w:r w:rsidRPr="00AA16D9">
        <w:rPr>
          <w:szCs w:val="24"/>
        </w:rPr>
        <w:t>193.</w:t>
      </w:r>
      <w:r w:rsidRPr="00AA16D9">
        <w:rPr>
          <w:szCs w:val="24"/>
        </w:rPr>
        <w:tab/>
      </w:r>
      <w:r w:rsidRPr="00AA16D9">
        <w:t>Oui, le seuil de pauvreté existe dans notre pays. La méthode utilisée est de considérer le seuil de pauvreté comme le niveau des prix des denrées couvrant les besoins minimum d</w:t>
      </w:r>
      <w:r>
        <w:t>’</w:t>
      </w:r>
      <w:r w:rsidRPr="00AA16D9">
        <w:t>une personne adulte: étant entendu qu</w:t>
      </w:r>
      <w:r>
        <w:t>’</w:t>
      </w:r>
      <w:r w:rsidRPr="00AA16D9">
        <w:t>une personne consomme une variété de mets lui fournissant 2 500 calories/jour, sans oublier les autres produits de base non alimentaires. Ce coût a été estimé à 250 FRw/jour en tenant compte des prix des denrées de Janvier 2006</w:t>
      </w:r>
      <w:r w:rsidRPr="00AA16D9">
        <w:rPr>
          <w:sz w:val="18"/>
          <w:szCs w:val="18"/>
          <w:vertAlign w:val="superscript"/>
        </w:rPr>
        <w:footnoteReference w:id="111"/>
      </w:r>
      <w:r w:rsidRPr="00AA16D9">
        <w:t xml:space="preserve">. </w:t>
      </w:r>
    </w:p>
    <w:p w:rsidR="0036354A" w:rsidRPr="00AA16D9" w:rsidRDefault="0036354A" w:rsidP="0036354A">
      <w:pPr>
        <w:pStyle w:val="H4G"/>
      </w:pPr>
      <w:r w:rsidRPr="00AA16D9">
        <w:tab/>
      </w:r>
      <w:r w:rsidRPr="00AA16D9">
        <w:tab/>
        <w:t>Est-ce que le Rwanda dispose d</w:t>
      </w:r>
      <w:r>
        <w:t>’</w:t>
      </w:r>
      <w:r w:rsidRPr="00AA16D9">
        <w:t>un indice de qualité de vie physique?</w:t>
      </w:r>
    </w:p>
    <w:p w:rsidR="0036354A" w:rsidRPr="00AA16D9" w:rsidRDefault="0036354A" w:rsidP="0036354A">
      <w:pPr>
        <w:pStyle w:val="SingleTxtG"/>
      </w:pPr>
      <w:r w:rsidRPr="00AA16D9">
        <w:rPr>
          <w:szCs w:val="24"/>
        </w:rPr>
        <w:t>194.</w:t>
      </w:r>
      <w:r w:rsidRPr="00AA16D9">
        <w:rPr>
          <w:szCs w:val="24"/>
        </w:rPr>
        <w:tab/>
      </w:r>
      <w:r w:rsidRPr="00AA16D9">
        <w:t>Aucune information ni donnée n</w:t>
      </w:r>
      <w:r>
        <w:t>’</w:t>
      </w:r>
      <w:r w:rsidRPr="00AA16D9">
        <w:t>est disponible sur l</w:t>
      </w:r>
      <w:r>
        <w:t>’</w:t>
      </w:r>
      <w:r w:rsidRPr="00AA16D9">
        <w:t>indice de qualité de vie physique de notre pays.</w:t>
      </w:r>
    </w:p>
    <w:p w:rsidR="0036354A" w:rsidRPr="00AA16D9" w:rsidRDefault="0036354A" w:rsidP="0036354A">
      <w:pPr>
        <w:pStyle w:val="H4G"/>
      </w:pPr>
      <w:r w:rsidRPr="00AA16D9">
        <w:tab/>
      </w:r>
      <w:r w:rsidRPr="00AA16D9">
        <w:tab/>
        <w:t>Droit à une nourriture suffisante</w:t>
      </w:r>
    </w:p>
    <w:p w:rsidR="0036354A" w:rsidRPr="00AA16D9" w:rsidRDefault="0036354A" w:rsidP="0036354A">
      <w:pPr>
        <w:pStyle w:val="H4G"/>
      </w:pPr>
      <w:r w:rsidRPr="00AA16D9">
        <w:tab/>
      </w:r>
      <w:r w:rsidRPr="00AA16D9">
        <w:tab/>
        <w:t>Comment le droit à une nourriture suffisante est-il assuré et quelles sont les mesures entreprises à cet effet?</w:t>
      </w:r>
    </w:p>
    <w:p w:rsidR="0036354A" w:rsidRPr="00AA16D9" w:rsidRDefault="0036354A" w:rsidP="0036354A">
      <w:pPr>
        <w:pStyle w:val="SingleTxtG"/>
      </w:pPr>
      <w:r w:rsidRPr="00AA16D9">
        <w:rPr>
          <w:szCs w:val="24"/>
        </w:rPr>
        <w:t>195.</w:t>
      </w:r>
      <w:r w:rsidRPr="00AA16D9">
        <w:rPr>
          <w:szCs w:val="24"/>
        </w:rPr>
        <w:tab/>
      </w:r>
      <w:r w:rsidRPr="00AA16D9">
        <w:t>La situation nutritionnelle, comme d</w:t>
      </w:r>
      <w:r>
        <w:t>’</w:t>
      </w:r>
      <w:r w:rsidRPr="00AA16D9">
        <w:t>autres indicateurs socioéconomiques, s</w:t>
      </w:r>
      <w:r>
        <w:t>’</w:t>
      </w:r>
      <w:r w:rsidRPr="00AA16D9">
        <w:t xml:space="preserve">est considérablement détériorée durant les dernières décennies, suite aux événements survenus dans les années 1990. Une légère amélioration est observée à partir des années 2000. </w:t>
      </w:r>
    </w:p>
    <w:p w:rsidR="0036354A" w:rsidRPr="00AA16D9" w:rsidRDefault="0036354A" w:rsidP="0036354A">
      <w:pPr>
        <w:pStyle w:val="SingleTxtG"/>
      </w:pPr>
      <w:r w:rsidRPr="00AA16D9">
        <w:rPr>
          <w:szCs w:val="24"/>
        </w:rPr>
        <w:t>196.</w:t>
      </w:r>
      <w:r w:rsidRPr="00AA16D9">
        <w:rPr>
          <w:szCs w:val="24"/>
        </w:rPr>
        <w:tab/>
      </w:r>
      <w:r w:rsidRPr="00AA16D9">
        <w:t>La situation reste tout de même préoccupante sur le plan national en raison d</w:t>
      </w:r>
      <w:r>
        <w:t>’</w:t>
      </w:r>
      <w:r w:rsidRPr="00AA16D9">
        <w:t xml:space="preserve">une prévalence de la malnutrition protéino-énergétique et des carences encore élevées en micronutriments. </w:t>
      </w:r>
    </w:p>
    <w:p w:rsidR="0036354A" w:rsidRPr="00AA16D9" w:rsidRDefault="0036354A" w:rsidP="0036354A">
      <w:pPr>
        <w:pStyle w:val="SingleTxtG"/>
      </w:pPr>
      <w:r w:rsidRPr="00AA16D9">
        <w:rPr>
          <w:szCs w:val="24"/>
        </w:rPr>
        <w:t>197.</w:t>
      </w:r>
      <w:r w:rsidRPr="00AA16D9">
        <w:rPr>
          <w:szCs w:val="24"/>
        </w:rPr>
        <w:tab/>
      </w:r>
      <w:r w:rsidRPr="00AA16D9">
        <w:t xml:space="preserve">Des mesures ont été adoptées pour assurer ce droit, à savoir: </w:t>
      </w:r>
    </w:p>
    <w:p w:rsidR="0036354A" w:rsidRPr="00AA16D9" w:rsidRDefault="0036354A" w:rsidP="0036354A">
      <w:pPr>
        <w:pStyle w:val="Bullet1G"/>
      </w:pPr>
      <w:r w:rsidRPr="00AA16D9">
        <w:t xml:space="preserve">Une politique nationale de la nutrition; </w:t>
      </w:r>
    </w:p>
    <w:p w:rsidR="0036354A" w:rsidRPr="00AA16D9" w:rsidRDefault="0036354A" w:rsidP="0036354A">
      <w:pPr>
        <w:pStyle w:val="Bullet1G"/>
      </w:pPr>
      <w:r w:rsidRPr="00AA16D9">
        <w:t xml:space="preserve">Un système de surveillance de la sécurité alimentaire; </w:t>
      </w:r>
    </w:p>
    <w:p w:rsidR="0036354A" w:rsidRPr="00AA16D9" w:rsidRDefault="0036354A" w:rsidP="0036354A">
      <w:pPr>
        <w:pStyle w:val="Bullet1G"/>
      </w:pPr>
      <w:r w:rsidRPr="00AA16D9">
        <w:t xml:space="preserve">Il y a aussi la supervision formative des activités de nutrition; </w:t>
      </w:r>
    </w:p>
    <w:p w:rsidR="0036354A" w:rsidRPr="00AA16D9" w:rsidRDefault="0036354A" w:rsidP="0036354A">
      <w:pPr>
        <w:pStyle w:val="Bullet1G"/>
      </w:pPr>
      <w:r w:rsidRPr="00AA16D9">
        <w:t>Ainsi que l</w:t>
      </w:r>
      <w:r>
        <w:t>’</w:t>
      </w:r>
      <w:r w:rsidRPr="00AA16D9">
        <w:t xml:space="preserve">extension du programme de nutrition à base communautaire; </w:t>
      </w:r>
    </w:p>
    <w:p w:rsidR="0036354A" w:rsidRPr="00AA16D9" w:rsidRDefault="0036354A" w:rsidP="0036354A">
      <w:pPr>
        <w:pStyle w:val="Bullet1G"/>
      </w:pPr>
      <w:r w:rsidRPr="00AA16D9">
        <w:t xml:space="preserve">Et un appui aux personnes vivant avec le VIH/sida en matière de nutrition. </w:t>
      </w:r>
    </w:p>
    <w:p w:rsidR="0036354A" w:rsidRPr="00AA16D9" w:rsidRDefault="0036354A" w:rsidP="0036354A">
      <w:pPr>
        <w:pStyle w:val="H4G"/>
      </w:pPr>
      <w:r w:rsidRPr="00AA16D9">
        <w:tab/>
      </w:r>
      <w:r w:rsidRPr="00AA16D9">
        <w:tab/>
        <w:t>Existe-t-il des données sur l</w:t>
      </w:r>
      <w:r>
        <w:t>’</w:t>
      </w:r>
      <w:r w:rsidRPr="00AA16D9">
        <w:t>accessibilité des ménages aux produits alimentaires?</w:t>
      </w:r>
    </w:p>
    <w:p w:rsidR="0036354A" w:rsidRPr="00AA16D9" w:rsidRDefault="0036354A" w:rsidP="0036354A">
      <w:pPr>
        <w:pStyle w:val="SingleTxtG"/>
        <w:keepNext/>
        <w:keepLines/>
      </w:pPr>
      <w:r w:rsidRPr="00AA16D9">
        <w:rPr>
          <w:szCs w:val="24"/>
        </w:rPr>
        <w:t>198.</w:t>
      </w:r>
      <w:r w:rsidRPr="00AA16D9">
        <w:rPr>
          <w:szCs w:val="24"/>
        </w:rPr>
        <w:tab/>
      </w:r>
      <w:r w:rsidRPr="00AA16D9">
        <w:t>On ne dispose pas de données sur l</w:t>
      </w:r>
      <w:r>
        <w:t>’</w:t>
      </w:r>
      <w:r w:rsidRPr="00AA16D9">
        <w:t xml:space="preserve">accessibilité des ménages aux produits alimentaires et particulièrement des groupes vulnérables (ménages dirigés par des femmes ou des enfants, paysans sans terre, malades chroniques ou personnes malades du sida). </w:t>
      </w:r>
    </w:p>
    <w:p w:rsidR="0036354A" w:rsidRPr="00AA16D9" w:rsidRDefault="0036354A" w:rsidP="0036354A">
      <w:pPr>
        <w:pStyle w:val="H4G"/>
      </w:pPr>
      <w:r w:rsidRPr="00AA16D9">
        <w:tab/>
      </w:r>
      <w:r w:rsidRPr="00AA16D9">
        <w:tab/>
        <w:t>Les données sur la faim ou la malnutrition</w:t>
      </w:r>
    </w:p>
    <w:p w:rsidR="0036354A" w:rsidRPr="00AA16D9" w:rsidRDefault="0036354A" w:rsidP="0036354A">
      <w:pPr>
        <w:pStyle w:val="SingleTxtG"/>
      </w:pPr>
      <w:r w:rsidRPr="00AA16D9">
        <w:rPr>
          <w:szCs w:val="24"/>
        </w:rPr>
        <w:t>199.</w:t>
      </w:r>
      <w:r w:rsidRPr="00AA16D9">
        <w:rPr>
          <w:szCs w:val="24"/>
        </w:rPr>
        <w:tab/>
      </w:r>
      <w:r w:rsidRPr="00AA16D9">
        <w:t>Les données sur la faim ou la malnutrition rejoignent celles de l</w:t>
      </w:r>
      <w:r>
        <w:t>’</w:t>
      </w:r>
      <w:r w:rsidRPr="00AA16D9">
        <w:t xml:space="preserve">étude menée sur les défis que la population rencontre en ce qui a trait à une nourriture suffisante. </w:t>
      </w:r>
    </w:p>
    <w:p w:rsidR="0036354A" w:rsidRPr="00AA16D9" w:rsidRDefault="0036354A" w:rsidP="0036354A">
      <w:pPr>
        <w:pStyle w:val="H4G"/>
      </w:pPr>
      <w:r w:rsidRPr="00AA16D9">
        <w:tab/>
      </w:r>
      <w:r w:rsidRPr="00AA16D9">
        <w:tab/>
        <w:t>Le bilan alimentaire du Rwanda</w:t>
      </w:r>
    </w:p>
    <w:p w:rsidR="0036354A" w:rsidRPr="00AA16D9" w:rsidRDefault="0036354A" w:rsidP="0036354A">
      <w:pPr>
        <w:pStyle w:val="SingleTxtG"/>
      </w:pPr>
      <w:r w:rsidRPr="00AA16D9">
        <w:rPr>
          <w:szCs w:val="24"/>
        </w:rPr>
        <w:t>200.</w:t>
      </w:r>
      <w:r w:rsidRPr="00AA16D9">
        <w:rPr>
          <w:szCs w:val="24"/>
        </w:rPr>
        <w:tab/>
      </w:r>
      <w:r w:rsidRPr="00AA16D9">
        <w:t>Par rapport aux normes des besoins alimentaires moyens par habitant et par jour établies par la FAO</w:t>
      </w:r>
      <w:r w:rsidRPr="00AA16D9">
        <w:rPr>
          <w:sz w:val="18"/>
          <w:szCs w:val="18"/>
          <w:vertAlign w:val="superscript"/>
        </w:rPr>
        <w:footnoteReference w:id="112"/>
      </w:r>
      <w:r w:rsidRPr="00AA16D9">
        <w:t>, le bilan alimentaire du Rwanda, ou taux de couverture des besoins par la production agricole</w:t>
      </w:r>
      <w:r w:rsidRPr="00AA16D9">
        <w:rPr>
          <w:sz w:val="18"/>
          <w:szCs w:val="18"/>
          <w:vertAlign w:val="superscript"/>
        </w:rPr>
        <w:footnoteReference w:id="113"/>
      </w:r>
      <w:r w:rsidRPr="00AA16D9">
        <w:t>, s</w:t>
      </w:r>
      <w:r>
        <w:t>’</w:t>
      </w:r>
      <w:r w:rsidRPr="00AA16D9">
        <w:t>établit à 87 % pour les calories, 70 % pour les protéines et 22 % pour les lipides. Le déficit de la couverture des besoins alimentaires est général tant pour l</w:t>
      </w:r>
      <w:r>
        <w:t>’</w:t>
      </w:r>
      <w:r w:rsidRPr="00AA16D9">
        <w:t>énergie que pour les protéines mais le déficit lipidique chronique reste la principale caractéristique du panier des productions de l</w:t>
      </w:r>
      <w:r>
        <w:t>’</w:t>
      </w:r>
      <w:r w:rsidRPr="00AA16D9">
        <w:t xml:space="preserve">agriculture rwandaise. </w:t>
      </w:r>
    </w:p>
    <w:p w:rsidR="0036354A" w:rsidRPr="00AA16D9" w:rsidRDefault="0036354A" w:rsidP="0036354A">
      <w:pPr>
        <w:pStyle w:val="H4G"/>
      </w:pPr>
      <w:r w:rsidRPr="00AA16D9">
        <w:tab/>
      </w:r>
      <w:r w:rsidRPr="00AA16D9">
        <w:tab/>
        <w:t xml:space="preserve">De la situation des groupes particulièrement vulnérables </w:t>
      </w:r>
    </w:p>
    <w:p w:rsidR="0036354A" w:rsidRPr="00AA16D9" w:rsidRDefault="0036354A" w:rsidP="0036354A">
      <w:pPr>
        <w:pStyle w:val="SingleTxtG"/>
      </w:pPr>
      <w:r w:rsidRPr="00AA16D9">
        <w:rPr>
          <w:szCs w:val="24"/>
        </w:rPr>
        <w:t>201.</w:t>
      </w:r>
      <w:r w:rsidRPr="00AA16D9">
        <w:rPr>
          <w:szCs w:val="24"/>
        </w:rPr>
        <w:tab/>
      </w:r>
      <w:r w:rsidRPr="00AA16D9">
        <w:t xml:space="preserve">La situation des groupes particulièrement vulnérables se présente comme suit: </w:t>
      </w:r>
    </w:p>
    <w:p w:rsidR="0036354A" w:rsidRPr="00AA16D9" w:rsidRDefault="0036354A" w:rsidP="0036354A">
      <w:pPr>
        <w:pStyle w:val="Bullet1G"/>
      </w:pPr>
      <w:r w:rsidRPr="00AA16D9">
        <w:t>La malnutrition se manifeste surtout chez les enfants de 0 à 5 ans. 45 % des enfants de 0 à 5 ans sont affectés par la malnutrition chronique</w:t>
      </w:r>
      <w:r w:rsidRPr="00AA16D9">
        <w:rPr>
          <w:sz w:val="18"/>
          <w:szCs w:val="18"/>
          <w:vertAlign w:val="superscript"/>
        </w:rPr>
        <w:footnoteReference w:id="114"/>
      </w:r>
      <w:r w:rsidRPr="00AA16D9">
        <w:t>;</w:t>
      </w:r>
    </w:p>
    <w:p w:rsidR="0036354A" w:rsidRPr="00AA16D9" w:rsidRDefault="0036354A" w:rsidP="0036354A">
      <w:pPr>
        <w:pStyle w:val="Bullet1G"/>
        <w:spacing w:after="240"/>
      </w:pPr>
      <w:r w:rsidRPr="00AA16D9">
        <w:t>L</w:t>
      </w:r>
      <w:r>
        <w:t>’</w:t>
      </w:r>
      <w:r w:rsidRPr="00AA16D9">
        <w:t>évolution de la situation nutritionnelle au Rwanda est décrite dans le tableau 13 ci-dessous.</w:t>
      </w:r>
    </w:p>
    <w:p w:rsidR="0036354A" w:rsidRPr="00AA16D9" w:rsidRDefault="0036354A" w:rsidP="0036354A">
      <w:pPr>
        <w:pStyle w:val="Heading1"/>
        <w:spacing w:after="120"/>
      </w:pPr>
      <w:r w:rsidRPr="00AA16D9">
        <w:t>Tableau 13</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53"/>
        <w:gridCol w:w="2072"/>
        <w:gridCol w:w="2072"/>
        <w:gridCol w:w="2073"/>
      </w:tblGrid>
      <w:tr w:rsidR="0036354A" w:rsidRPr="004B70DE" w:rsidTr="001A4057">
        <w:tblPrEx>
          <w:tblCellMar>
            <w:top w:w="0" w:type="dxa"/>
            <w:bottom w:w="0" w:type="dxa"/>
          </w:tblCellMar>
        </w:tblPrEx>
        <w:trPr>
          <w:trHeight w:val="270"/>
          <w:tblHeader/>
        </w:trPr>
        <w:tc>
          <w:tcPr>
            <w:tcW w:w="1153" w:type="dxa"/>
            <w:tcBorders>
              <w:top w:val="single" w:sz="4" w:space="0" w:color="auto"/>
              <w:bottom w:val="single" w:sz="12" w:space="0" w:color="auto"/>
            </w:tcBorders>
            <w:shd w:val="clear" w:color="auto" w:fill="auto"/>
            <w:vAlign w:val="bottom"/>
          </w:tcPr>
          <w:p w:rsidR="0036354A" w:rsidRPr="004B70DE" w:rsidRDefault="0036354A" w:rsidP="001A4057">
            <w:pPr>
              <w:suppressAutoHyphens w:val="0"/>
              <w:spacing w:before="80" w:after="80" w:line="200" w:lineRule="exact"/>
              <w:rPr>
                <w:i/>
                <w:sz w:val="16"/>
              </w:rPr>
            </w:pPr>
            <w:r w:rsidRPr="004B70DE">
              <w:rPr>
                <w:i/>
                <w:sz w:val="16"/>
              </w:rPr>
              <w:t>Année</w:t>
            </w:r>
          </w:p>
        </w:tc>
        <w:tc>
          <w:tcPr>
            <w:tcW w:w="2072" w:type="dxa"/>
            <w:tcBorders>
              <w:top w:val="single" w:sz="4" w:space="0" w:color="auto"/>
              <w:bottom w:val="single" w:sz="12" w:space="0" w:color="auto"/>
            </w:tcBorders>
            <w:shd w:val="clear" w:color="auto" w:fill="auto"/>
            <w:vAlign w:val="bottom"/>
          </w:tcPr>
          <w:p w:rsidR="0036354A" w:rsidRPr="004B70DE" w:rsidRDefault="0036354A" w:rsidP="001A4057">
            <w:pPr>
              <w:suppressAutoHyphens w:val="0"/>
              <w:spacing w:before="80" w:after="80" w:line="200" w:lineRule="exact"/>
              <w:jc w:val="right"/>
              <w:rPr>
                <w:i/>
                <w:sz w:val="16"/>
              </w:rPr>
            </w:pPr>
            <w:r w:rsidRPr="004B70DE">
              <w:rPr>
                <w:i/>
                <w:sz w:val="16"/>
              </w:rPr>
              <w:t>Malnutrition chronique</w:t>
            </w:r>
          </w:p>
        </w:tc>
        <w:tc>
          <w:tcPr>
            <w:tcW w:w="2072" w:type="dxa"/>
            <w:tcBorders>
              <w:top w:val="single" w:sz="4" w:space="0" w:color="auto"/>
              <w:bottom w:val="single" w:sz="12" w:space="0" w:color="auto"/>
            </w:tcBorders>
            <w:shd w:val="clear" w:color="auto" w:fill="auto"/>
            <w:vAlign w:val="bottom"/>
          </w:tcPr>
          <w:p w:rsidR="0036354A" w:rsidRPr="004B70DE" w:rsidRDefault="0036354A" w:rsidP="001A4057">
            <w:pPr>
              <w:suppressAutoHyphens w:val="0"/>
              <w:spacing w:before="80" w:after="80" w:line="200" w:lineRule="exact"/>
              <w:jc w:val="right"/>
              <w:rPr>
                <w:i/>
                <w:sz w:val="16"/>
              </w:rPr>
            </w:pPr>
            <w:r w:rsidRPr="004B70DE">
              <w:rPr>
                <w:i/>
                <w:sz w:val="16"/>
              </w:rPr>
              <w:t>Malnutrition aigue</w:t>
            </w:r>
          </w:p>
        </w:tc>
        <w:tc>
          <w:tcPr>
            <w:tcW w:w="2073" w:type="dxa"/>
            <w:tcBorders>
              <w:top w:val="single" w:sz="4" w:space="0" w:color="auto"/>
              <w:bottom w:val="single" w:sz="12" w:space="0" w:color="auto"/>
            </w:tcBorders>
            <w:shd w:val="clear" w:color="auto" w:fill="auto"/>
            <w:vAlign w:val="bottom"/>
          </w:tcPr>
          <w:p w:rsidR="0036354A" w:rsidRPr="004B70DE" w:rsidRDefault="0036354A" w:rsidP="001A4057">
            <w:pPr>
              <w:suppressAutoHyphens w:val="0"/>
              <w:spacing w:before="80" w:after="80" w:line="200" w:lineRule="exact"/>
              <w:jc w:val="right"/>
              <w:rPr>
                <w:i/>
                <w:sz w:val="16"/>
              </w:rPr>
            </w:pPr>
            <w:r w:rsidRPr="004B70DE">
              <w:rPr>
                <w:i/>
                <w:sz w:val="16"/>
              </w:rPr>
              <w:t>Insuffisance pondérale</w:t>
            </w:r>
          </w:p>
        </w:tc>
      </w:tr>
      <w:tr w:rsidR="0036354A" w:rsidRPr="004B70DE" w:rsidTr="001A4057">
        <w:tblPrEx>
          <w:tblCellMar>
            <w:top w:w="0" w:type="dxa"/>
            <w:bottom w:w="0" w:type="dxa"/>
          </w:tblCellMar>
        </w:tblPrEx>
        <w:trPr>
          <w:trHeight w:val="210"/>
        </w:trPr>
        <w:tc>
          <w:tcPr>
            <w:tcW w:w="1153" w:type="dxa"/>
            <w:tcBorders>
              <w:top w:val="single" w:sz="12" w:space="0" w:color="auto"/>
            </w:tcBorders>
            <w:shd w:val="clear" w:color="auto" w:fill="auto"/>
          </w:tcPr>
          <w:p w:rsidR="0036354A" w:rsidRPr="004B70DE" w:rsidRDefault="0036354A" w:rsidP="001A4057">
            <w:pPr>
              <w:suppressAutoHyphens w:val="0"/>
              <w:spacing w:before="40" w:after="40" w:line="220" w:lineRule="exact"/>
              <w:rPr>
                <w:sz w:val="18"/>
              </w:rPr>
            </w:pPr>
            <w:r w:rsidRPr="004B70DE">
              <w:rPr>
                <w:sz w:val="18"/>
              </w:rPr>
              <w:t>2000</w:t>
            </w:r>
          </w:p>
        </w:tc>
        <w:tc>
          <w:tcPr>
            <w:tcW w:w="2072" w:type="dxa"/>
            <w:tcBorders>
              <w:top w:val="single" w:sz="12" w:space="0" w:color="auto"/>
            </w:tcBorders>
            <w:shd w:val="clear" w:color="auto" w:fill="auto"/>
            <w:vAlign w:val="bottom"/>
          </w:tcPr>
          <w:p w:rsidR="0036354A" w:rsidRPr="004B70DE" w:rsidRDefault="0036354A" w:rsidP="001A4057">
            <w:pPr>
              <w:suppressAutoHyphens w:val="0"/>
              <w:spacing w:before="40" w:after="40" w:line="220" w:lineRule="exact"/>
              <w:jc w:val="right"/>
              <w:rPr>
                <w:sz w:val="18"/>
              </w:rPr>
            </w:pPr>
            <w:r w:rsidRPr="004B70DE">
              <w:rPr>
                <w:sz w:val="18"/>
              </w:rPr>
              <w:t>43 %</w:t>
            </w:r>
          </w:p>
        </w:tc>
        <w:tc>
          <w:tcPr>
            <w:tcW w:w="2072" w:type="dxa"/>
            <w:tcBorders>
              <w:top w:val="single" w:sz="12" w:space="0" w:color="auto"/>
            </w:tcBorders>
            <w:shd w:val="clear" w:color="auto" w:fill="auto"/>
            <w:vAlign w:val="bottom"/>
          </w:tcPr>
          <w:p w:rsidR="0036354A" w:rsidRPr="004B70DE" w:rsidRDefault="0036354A" w:rsidP="001A4057">
            <w:pPr>
              <w:suppressAutoHyphens w:val="0"/>
              <w:spacing w:before="40" w:after="40" w:line="220" w:lineRule="exact"/>
              <w:jc w:val="right"/>
              <w:rPr>
                <w:sz w:val="18"/>
              </w:rPr>
            </w:pPr>
            <w:r w:rsidRPr="004B70DE">
              <w:rPr>
                <w:sz w:val="18"/>
              </w:rPr>
              <w:t>7 %</w:t>
            </w:r>
          </w:p>
        </w:tc>
        <w:tc>
          <w:tcPr>
            <w:tcW w:w="2073" w:type="dxa"/>
            <w:tcBorders>
              <w:top w:val="single" w:sz="12" w:space="0" w:color="auto"/>
            </w:tcBorders>
            <w:shd w:val="clear" w:color="auto" w:fill="auto"/>
            <w:vAlign w:val="bottom"/>
          </w:tcPr>
          <w:p w:rsidR="0036354A" w:rsidRPr="004B70DE" w:rsidRDefault="0036354A" w:rsidP="001A4057">
            <w:pPr>
              <w:suppressAutoHyphens w:val="0"/>
              <w:spacing w:before="40" w:after="40" w:line="220" w:lineRule="exact"/>
              <w:jc w:val="right"/>
              <w:rPr>
                <w:sz w:val="18"/>
              </w:rPr>
            </w:pPr>
            <w:r w:rsidRPr="004B70DE">
              <w:rPr>
                <w:sz w:val="18"/>
              </w:rPr>
              <w:t>24 %</w:t>
            </w:r>
          </w:p>
        </w:tc>
      </w:tr>
      <w:tr w:rsidR="0036354A" w:rsidRPr="004B70DE" w:rsidTr="001A4057">
        <w:tblPrEx>
          <w:tblCellMar>
            <w:top w:w="0" w:type="dxa"/>
            <w:bottom w:w="0" w:type="dxa"/>
          </w:tblCellMar>
        </w:tblPrEx>
        <w:trPr>
          <w:trHeight w:val="285"/>
        </w:trPr>
        <w:tc>
          <w:tcPr>
            <w:tcW w:w="1153" w:type="dxa"/>
            <w:shd w:val="clear" w:color="auto" w:fill="auto"/>
          </w:tcPr>
          <w:p w:rsidR="0036354A" w:rsidRPr="004B70DE" w:rsidRDefault="0036354A" w:rsidP="001A4057">
            <w:pPr>
              <w:suppressAutoHyphens w:val="0"/>
              <w:spacing w:before="40" w:after="40" w:line="220" w:lineRule="exact"/>
              <w:rPr>
                <w:sz w:val="18"/>
              </w:rPr>
            </w:pPr>
            <w:r w:rsidRPr="004B70DE">
              <w:rPr>
                <w:sz w:val="18"/>
              </w:rPr>
              <w:t>2005</w:t>
            </w:r>
          </w:p>
        </w:tc>
        <w:tc>
          <w:tcPr>
            <w:tcW w:w="2072" w:type="dxa"/>
            <w:shd w:val="clear" w:color="auto" w:fill="auto"/>
            <w:vAlign w:val="bottom"/>
          </w:tcPr>
          <w:p w:rsidR="0036354A" w:rsidRPr="004B70DE" w:rsidRDefault="0036354A" w:rsidP="001A4057">
            <w:pPr>
              <w:suppressAutoHyphens w:val="0"/>
              <w:spacing w:before="40" w:after="40" w:line="220" w:lineRule="exact"/>
              <w:jc w:val="right"/>
              <w:rPr>
                <w:sz w:val="18"/>
              </w:rPr>
            </w:pPr>
            <w:r w:rsidRPr="004B70DE">
              <w:rPr>
                <w:sz w:val="18"/>
              </w:rPr>
              <w:t>45 %</w:t>
            </w:r>
          </w:p>
        </w:tc>
        <w:tc>
          <w:tcPr>
            <w:tcW w:w="2072" w:type="dxa"/>
            <w:shd w:val="clear" w:color="auto" w:fill="auto"/>
            <w:vAlign w:val="bottom"/>
          </w:tcPr>
          <w:p w:rsidR="0036354A" w:rsidRPr="004B70DE" w:rsidRDefault="0036354A" w:rsidP="001A4057">
            <w:pPr>
              <w:suppressAutoHyphens w:val="0"/>
              <w:spacing w:before="40" w:after="40" w:line="220" w:lineRule="exact"/>
              <w:jc w:val="right"/>
              <w:rPr>
                <w:sz w:val="18"/>
              </w:rPr>
            </w:pPr>
            <w:r w:rsidRPr="004B70DE">
              <w:rPr>
                <w:sz w:val="18"/>
              </w:rPr>
              <w:t>4 %</w:t>
            </w:r>
          </w:p>
        </w:tc>
        <w:tc>
          <w:tcPr>
            <w:tcW w:w="2073" w:type="dxa"/>
            <w:shd w:val="clear" w:color="auto" w:fill="auto"/>
            <w:vAlign w:val="bottom"/>
          </w:tcPr>
          <w:p w:rsidR="0036354A" w:rsidRPr="004B70DE" w:rsidRDefault="0036354A" w:rsidP="001A4057">
            <w:pPr>
              <w:suppressAutoHyphens w:val="0"/>
              <w:spacing w:before="40" w:after="40" w:line="220" w:lineRule="exact"/>
              <w:jc w:val="right"/>
              <w:rPr>
                <w:sz w:val="18"/>
              </w:rPr>
            </w:pPr>
            <w:r w:rsidRPr="004B70DE">
              <w:rPr>
                <w:sz w:val="18"/>
              </w:rPr>
              <w:t>22 %</w:t>
            </w:r>
          </w:p>
        </w:tc>
      </w:tr>
    </w:tbl>
    <w:p w:rsidR="0036354A" w:rsidRPr="00AA16D9" w:rsidRDefault="0036354A" w:rsidP="0036354A">
      <w:pPr>
        <w:pStyle w:val="SingleTxtG"/>
        <w:spacing w:before="120" w:after="240"/>
        <w:ind w:firstLine="170"/>
        <w:rPr>
          <w:sz w:val="18"/>
          <w:szCs w:val="18"/>
        </w:rPr>
      </w:pPr>
      <w:r w:rsidRPr="00AA16D9">
        <w:rPr>
          <w:i/>
          <w:sz w:val="18"/>
          <w:szCs w:val="18"/>
        </w:rPr>
        <w:t>Source</w:t>
      </w:r>
      <w:r w:rsidRPr="00AA16D9">
        <w:rPr>
          <w:sz w:val="18"/>
          <w:szCs w:val="18"/>
        </w:rPr>
        <w:t>: Ministère de la Santé, Rapport annuel 2006, p. 88-89.</w:t>
      </w:r>
    </w:p>
    <w:p w:rsidR="0036354A" w:rsidRPr="00AA16D9" w:rsidRDefault="0036354A" w:rsidP="0036354A">
      <w:pPr>
        <w:pStyle w:val="Bullet1G"/>
      </w:pPr>
      <w:r w:rsidRPr="00AA16D9">
        <w:t>La population qui éprouve des difficultés à se nourrir est hétérogène: toutes les régions sont concernées ainsi que diverses couches de la société;</w:t>
      </w:r>
    </w:p>
    <w:p w:rsidR="0036354A" w:rsidRPr="00AA16D9" w:rsidRDefault="0036354A" w:rsidP="0036354A">
      <w:pPr>
        <w:pStyle w:val="Bullet1G"/>
      </w:pPr>
      <w:r w:rsidRPr="00AA16D9">
        <w:t xml:space="preserve">96 % de la population à risque nutritionnel se situent dans les régions rurales, contre 4 % dans les centres urbains. </w:t>
      </w:r>
    </w:p>
    <w:p w:rsidR="0036354A" w:rsidRPr="00AA16D9" w:rsidRDefault="0036354A" w:rsidP="0036354A">
      <w:pPr>
        <w:pStyle w:val="Heading1"/>
        <w:spacing w:after="120"/>
      </w:pPr>
      <w:r w:rsidRPr="00AA16D9">
        <w:t>Tableau 14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66"/>
        <w:gridCol w:w="4200"/>
        <w:gridCol w:w="1404"/>
      </w:tblGrid>
      <w:tr w:rsidR="0036354A" w:rsidRPr="004B70DE" w:rsidTr="001A4057">
        <w:tblPrEx>
          <w:tblCellMar>
            <w:top w:w="0" w:type="dxa"/>
            <w:bottom w:w="0" w:type="dxa"/>
          </w:tblCellMar>
        </w:tblPrEx>
        <w:trPr>
          <w:trHeight w:val="350"/>
          <w:tblHeader/>
        </w:trPr>
        <w:tc>
          <w:tcPr>
            <w:tcW w:w="1766" w:type="dxa"/>
            <w:tcBorders>
              <w:top w:val="single" w:sz="4" w:space="0" w:color="auto"/>
              <w:bottom w:val="single" w:sz="12" w:space="0" w:color="auto"/>
            </w:tcBorders>
            <w:shd w:val="clear" w:color="auto" w:fill="auto"/>
            <w:vAlign w:val="bottom"/>
          </w:tcPr>
          <w:p w:rsidR="0036354A" w:rsidRPr="004B70DE" w:rsidRDefault="0036354A" w:rsidP="001A4057">
            <w:pPr>
              <w:suppressAutoHyphens w:val="0"/>
              <w:spacing w:before="80" w:after="80" w:line="200" w:lineRule="exact"/>
              <w:ind w:right="113"/>
              <w:rPr>
                <w:i/>
                <w:sz w:val="16"/>
              </w:rPr>
            </w:pPr>
            <w:r w:rsidRPr="004B70DE">
              <w:rPr>
                <w:i/>
                <w:sz w:val="16"/>
              </w:rPr>
              <w:t>Type</w:t>
            </w:r>
          </w:p>
        </w:tc>
        <w:tc>
          <w:tcPr>
            <w:tcW w:w="4200" w:type="dxa"/>
            <w:tcBorders>
              <w:top w:val="single" w:sz="4" w:space="0" w:color="auto"/>
              <w:bottom w:val="single" w:sz="12" w:space="0" w:color="auto"/>
            </w:tcBorders>
            <w:shd w:val="clear" w:color="auto" w:fill="auto"/>
            <w:vAlign w:val="bottom"/>
          </w:tcPr>
          <w:p w:rsidR="0036354A" w:rsidRPr="004B70DE" w:rsidRDefault="0036354A" w:rsidP="001A4057">
            <w:pPr>
              <w:suppressAutoHyphens w:val="0"/>
              <w:spacing w:before="80" w:after="80" w:line="200" w:lineRule="exact"/>
              <w:ind w:right="113"/>
              <w:rPr>
                <w:i/>
                <w:sz w:val="16"/>
              </w:rPr>
            </w:pPr>
            <w:r w:rsidRPr="004B70DE">
              <w:rPr>
                <w:i/>
                <w:sz w:val="16"/>
              </w:rPr>
              <w:t>Ménages avec</w:t>
            </w:r>
          </w:p>
        </w:tc>
        <w:tc>
          <w:tcPr>
            <w:tcW w:w="1404" w:type="dxa"/>
            <w:tcBorders>
              <w:top w:val="single" w:sz="4" w:space="0" w:color="auto"/>
              <w:bottom w:val="single" w:sz="12" w:space="0" w:color="auto"/>
            </w:tcBorders>
            <w:shd w:val="clear" w:color="auto" w:fill="auto"/>
            <w:vAlign w:val="center"/>
          </w:tcPr>
          <w:p w:rsidR="0036354A" w:rsidRPr="004B70DE" w:rsidRDefault="0036354A" w:rsidP="001A4057">
            <w:pPr>
              <w:suppressAutoHyphens w:val="0"/>
              <w:spacing w:before="80" w:after="80" w:line="200" w:lineRule="exact"/>
              <w:ind w:right="113"/>
              <w:jc w:val="right"/>
              <w:rPr>
                <w:i/>
                <w:sz w:val="16"/>
              </w:rPr>
            </w:pPr>
            <w:r w:rsidRPr="004B70DE">
              <w:rPr>
                <w:i/>
                <w:sz w:val="16"/>
              </w:rPr>
              <w:t>Pourcentage</w:t>
            </w:r>
          </w:p>
        </w:tc>
      </w:tr>
      <w:tr w:rsidR="0036354A" w:rsidRPr="004B70DE" w:rsidTr="001A4057">
        <w:tblPrEx>
          <w:tblCellMar>
            <w:top w:w="0" w:type="dxa"/>
            <w:bottom w:w="0" w:type="dxa"/>
          </w:tblCellMar>
        </w:tblPrEx>
        <w:trPr>
          <w:trHeight w:hRule="exact" w:val="113"/>
        </w:trPr>
        <w:tc>
          <w:tcPr>
            <w:tcW w:w="1766" w:type="dxa"/>
            <w:tcBorders>
              <w:top w:val="single" w:sz="12" w:space="0" w:color="auto"/>
              <w:bottom w:val="nil"/>
            </w:tcBorders>
            <w:shd w:val="clear" w:color="auto" w:fill="auto"/>
          </w:tcPr>
          <w:p w:rsidR="0036354A" w:rsidRPr="004B70DE" w:rsidRDefault="0036354A" w:rsidP="001A4057">
            <w:pPr>
              <w:suppressAutoHyphens w:val="0"/>
              <w:spacing w:before="40" w:after="120" w:line="220" w:lineRule="exact"/>
              <w:ind w:right="113"/>
            </w:pPr>
          </w:p>
        </w:tc>
        <w:tc>
          <w:tcPr>
            <w:tcW w:w="4200" w:type="dxa"/>
            <w:tcBorders>
              <w:top w:val="single" w:sz="12" w:space="0" w:color="auto"/>
              <w:bottom w:val="nil"/>
            </w:tcBorders>
            <w:shd w:val="clear" w:color="auto" w:fill="auto"/>
          </w:tcPr>
          <w:p w:rsidR="0036354A" w:rsidRPr="004B70DE" w:rsidRDefault="0036354A" w:rsidP="001A4057">
            <w:pPr>
              <w:suppressAutoHyphens w:val="0"/>
              <w:spacing w:before="40" w:after="120" w:line="220" w:lineRule="exact"/>
              <w:ind w:right="113"/>
            </w:pPr>
          </w:p>
        </w:tc>
        <w:tc>
          <w:tcPr>
            <w:tcW w:w="1404" w:type="dxa"/>
            <w:tcBorders>
              <w:top w:val="single" w:sz="12" w:space="0" w:color="auto"/>
              <w:bottom w:val="nil"/>
            </w:tcBorders>
            <w:shd w:val="clear" w:color="auto" w:fill="auto"/>
            <w:vAlign w:val="center"/>
          </w:tcPr>
          <w:p w:rsidR="0036354A" w:rsidRPr="004B70DE" w:rsidRDefault="0036354A" w:rsidP="001A4057">
            <w:pPr>
              <w:suppressAutoHyphens w:val="0"/>
              <w:spacing w:before="40" w:after="120" w:line="220" w:lineRule="exact"/>
              <w:ind w:right="113"/>
              <w:jc w:val="right"/>
            </w:pPr>
          </w:p>
        </w:tc>
      </w:tr>
      <w:tr w:rsidR="0036354A" w:rsidRPr="004B70DE" w:rsidTr="001A4057">
        <w:tblPrEx>
          <w:tblCellMar>
            <w:top w:w="0" w:type="dxa"/>
            <w:bottom w:w="0" w:type="dxa"/>
          </w:tblCellMar>
        </w:tblPrEx>
        <w:tc>
          <w:tcPr>
            <w:tcW w:w="1766" w:type="dxa"/>
            <w:tcBorders>
              <w:top w:val="nil"/>
            </w:tcBorders>
            <w:shd w:val="clear" w:color="auto" w:fill="auto"/>
          </w:tcPr>
          <w:p w:rsidR="0036354A" w:rsidRPr="004B70DE" w:rsidRDefault="0036354A" w:rsidP="002F5FFE">
            <w:pPr>
              <w:suppressAutoHyphens w:val="0"/>
              <w:spacing w:before="40" w:after="120"/>
              <w:ind w:right="113"/>
            </w:pPr>
            <w:r w:rsidRPr="004B70DE">
              <w:t>Insécurité nutritionnelle</w:t>
            </w:r>
          </w:p>
        </w:tc>
        <w:tc>
          <w:tcPr>
            <w:tcW w:w="4200" w:type="dxa"/>
            <w:tcBorders>
              <w:top w:val="nil"/>
            </w:tcBorders>
            <w:shd w:val="clear" w:color="auto" w:fill="auto"/>
          </w:tcPr>
          <w:p w:rsidR="0036354A" w:rsidRPr="004B70DE" w:rsidRDefault="0036354A" w:rsidP="002F5FFE">
            <w:pPr>
              <w:suppressAutoHyphens w:val="0"/>
              <w:spacing w:before="40" w:after="120"/>
              <w:ind w:right="113"/>
            </w:pPr>
            <w:r w:rsidRPr="004B70DE">
              <w:t>Un très faible accès à la nourriture, et une pauvre consommation de la nourriture</w:t>
            </w:r>
          </w:p>
        </w:tc>
        <w:tc>
          <w:tcPr>
            <w:tcW w:w="1404" w:type="dxa"/>
            <w:tcBorders>
              <w:top w:val="nil"/>
            </w:tcBorders>
            <w:shd w:val="clear" w:color="auto" w:fill="auto"/>
            <w:vAlign w:val="center"/>
          </w:tcPr>
          <w:p w:rsidR="0036354A" w:rsidRPr="004B70DE" w:rsidRDefault="0036354A" w:rsidP="002F5FFE">
            <w:pPr>
              <w:suppressAutoHyphens w:val="0"/>
              <w:spacing w:before="40" w:after="120"/>
              <w:ind w:right="113"/>
              <w:jc w:val="right"/>
            </w:pPr>
            <w:r w:rsidRPr="004B70DE">
              <w:t>28 %</w:t>
            </w:r>
          </w:p>
        </w:tc>
      </w:tr>
      <w:tr w:rsidR="0036354A" w:rsidRPr="004B70DE" w:rsidTr="001A4057">
        <w:tblPrEx>
          <w:tblCellMar>
            <w:top w:w="0" w:type="dxa"/>
            <w:bottom w:w="0" w:type="dxa"/>
          </w:tblCellMar>
        </w:tblPrEx>
        <w:tc>
          <w:tcPr>
            <w:tcW w:w="1766" w:type="dxa"/>
            <w:shd w:val="clear" w:color="auto" w:fill="auto"/>
          </w:tcPr>
          <w:p w:rsidR="0036354A" w:rsidRPr="004B70DE" w:rsidRDefault="0036354A" w:rsidP="002F5FFE">
            <w:pPr>
              <w:suppressAutoHyphens w:val="0"/>
              <w:spacing w:before="40" w:after="120"/>
              <w:ind w:right="113"/>
            </w:pPr>
            <w:r w:rsidRPr="004B70DE">
              <w:t>Vulnérable</w:t>
            </w:r>
          </w:p>
        </w:tc>
        <w:tc>
          <w:tcPr>
            <w:tcW w:w="4200" w:type="dxa"/>
            <w:shd w:val="clear" w:color="auto" w:fill="auto"/>
          </w:tcPr>
          <w:p w:rsidR="0036354A" w:rsidRPr="004B70DE" w:rsidRDefault="0036354A" w:rsidP="002F5FFE">
            <w:pPr>
              <w:suppressAutoHyphens w:val="0"/>
              <w:spacing w:before="40" w:after="120"/>
              <w:ind w:right="113"/>
            </w:pPr>
            <w:r w:rsidRPr="004B70DE">
              <w:t>Un accès faible (à modéré) à la nourriture, et une pauvre consommation de cette dernière</w:t>
            </w:r>
          </w:p>
        </w:tc>
        <w:tc>
          <w:tcPr>
            <w:tcW w:w="1404" w:type="dxa"/>
            <w:shd w:val="clear" w:color="auto" w:fill="auto"/>
            <w:vAlign w:val="center"/>
          </w:tcPr>
          <w:p w:rsidR="0036354A" w:rsidRPr="004B70DE" w:rsidRDefault="0036354A" w:rsidP="002F5FFE">
            <w:pPr>
              <w:suppressAutoHyphens w:val="0"/>
              <w:spacing w:before="40" w:after="120"/>
              <w:ind w:right="113"/>
              <w:jc w:val="right"/>
            </w:pPr>
            <w:r w:rsidRPr="004B70DE">
              <w:t>24 %</w:t>
            </w:r>
          </w:p>
        </w:tc>
      </w:tr>
      <w:tr w:rsidR="0036354A" w:rsidRPr="004B70DE" w:rsidTr="001A4057">
        <w:tblPrEx>
          <w:tblCellMar>
            <w:top w:w="0" w:type="dxa"/>
            <w:bottom w:w="0" w:type="dxa"/>
          </w:tblCellMar>
        </w:tblPrEx>
        <w:tc>
          <w:tcPr>
            <w:tcW w:w="1766" w:type="dxa"/>
            <w:shd w:val="clear" w:color="auto" w:fill="auto"/>
          </w:tcPr>
          <w:p w:rsidR="0036354A" w:rsidRPr="004B70DE" w:rsidRDefault="0036354A" w:rsidP="002F5FFE">
            <w:pPr>
              <w:suppressAutoHyphens w:val="0"/>
              <w:spacing w:before="40" w:after="120"/>
              <w:ind w:right="113"/>
            </w:pPr>
            <w:r w:rsidRPr="004B70DE">
              <w:t>Sécurité nutritionnelle modérée</w:t>
            </w:r>
          </w:p>
        </w:tc>
        <w:tc>
          <w:tcPr>
            <w:tcW w:w="4200" w:type="dxa"/>
            <w:shd w:val="clear" w:color="auto" w:fill="auto"/>
          </w:tcPr>
          <w:p w:rsidR="0036354A" w:rsidRPr="004B70DE" w:rsidRDefault="0036354A" w:rsidP="002F5FFE">
            <w:pPr>
              <w:suppressAutoHyphens w:val="0"/>
              <w:spacing w:before="40" w:after="120"/>
              <w:ind w:right="113"/>
            </w:pPr>
            <w:r w:rsidRPr="004B70DE">
              <w:t xml:space="preserve">Un accès faible (à modéré) à la nourriture, et une consommation plus ou moins bonne de cette dernière </w:t>
            </w:r>
          </w:p>
        </w:tc>
        <w:tc>
          <w:tcPr>
            <w:tcW w:w="1404" w:type="dxa"/>
            <w:shd w:val="clear" w:color="auto" w:fill="auto"/>
            <w:vAlign w:val="center"/>
          </w:tcPr>
          <w:p w:rsidR="0036354A" w:rsidRPr="004B70DE" w:rsidRDefault="0036354A" w:rsidP="002F5FFE">
            <w:pPr>
              <w:suppressAutoHyphens w:val="0"/>
              <w:spacing w:before="40" w:after="120"/>
              <w:ind w:right="113"/>
              <w:jc w:val="right"/>
            </w:pPr>
            <w:r w:rsidRPr="004B70DE">
              <w:t>26 %</w:t>
            </w:r>
          </w:p>
        </w:tc>
      </w:tr>
      <w:tr w:rsidR="0036354A" w:rsidRPr="004B70DE" w:rsidTr="001A4057">
        <w:tblPrEx>
          <w:tblCellMar>
            <w:top w:w="0" w:type="dxa"/>
            <w:bottom w:w="0" w:type="dxa"/>
          </w:tblCellMar>
        </w:tblPrEx>
        <w:tc>
          <w:tcPr>
            <w:tcW w:w="1766" w:type="dxa"/>
            <w:shd w:val="clear" w:color="auto" w:fill="auto"/>
          </w:tcPr>
          <w:p w:rsidR="0036354A" w:rsidRPr="004B70DE" w:rsidRDefault="0036354A" w:rsidP="002F5FFE">
            <w:pPr>
              <w:suppressAutoHyphens w:val="0"/>
              <w:spacing w:before="40" w:after="120"/>
              <w:ind w:right="113"/>
            </w:pPr>
            <w:r w:rsidRPr="004B70DE">
              <w:t>Sécurité nutritionnelle</w:t>
            </w:r>
          </w:p>
        </w:tc>
        <w:tc>
          <w:tcPr>
            <w:tcW w:w="4200" w:type="dxa"/>
            <w:shd w:val="clear" w:color="auto" w:fill="auto"/>
          </w:tcPr>
          <w:p w:rsidR="0036354A" w:rsidRPr="004B70DE" w:rsidRDefault="0036354A" w:rsidP="002F5FFE">
            <w:pPr>
              <w:suppressAutoHyphens w:val="0"/>
              <w:spacing w:before="40" w:after="120"/>
              <w:ind w:right="113"/>
            </w:pPr>
            <w:r w:rsidRPr="004B70DE">
              <w:t>Un accès modéré (à bon) à la nourriture, et en général une très bonne consommation de cette dernière</w:t>
            </w:r>
          </w:p>
        </w:tc>
        <w:tc>
          <w:tcPr>
            <w:tcW w:w="1404" w:type="dxa"/>
            <w:shd w:val="clear" w:color="auto" w:fill="auto"/>
            <w:vAlign w:val="center"/>
          </w:tcPr>
          <w:p w:rsidR="0036354A" w:rsidRPr="004B70DE" w:rsidRDefault="0036354A" w:rsidP="002F5FFE">
            <w:pPr>
              <w:suppressAutoHyphens w:val="0"/>
              <w:spacing w:before="40" w:after="120"/>
              <w:ind w:right="113"/>
              <w:jc w:val="right"/>
            </w:pPr>
            <w:r w:rsidRPr="004B70DE">
              <w:t>22 %</w:t>
            </w:r>
          </w:p>
        </w:tc>
      </w:tr>
    </w:tbl>
    <w:p w:rsidR="0036354A" w:rsidRPr="00AA16D9" w:rsidRDefault="0036354A" w:rsidP="0036354A">
      <w:pPr>
        <w:pStyle w:val="SingleTxtG"/>
        <w:spacing w:before="120" w:after="240"/>
        <w:ind w:firstLine="170"/>
        <w:rPr>
          <w:sz w:val="18"/>
          <w:szCs w:val="18"/>
        </w:rPr>
      </w:pPr>
      <w:r w:rsidRPr="00AA16D9">
        <w:rPr>
          <w:i/>
          <w:sz w:val="18"/>
          <w:szCs w:val="18"/>
        </w:rPr>
        <w:t>Source</w:t>
      </w:r>
      <w:r w:rsidRPr="00AA16D9">
        <w:rPr>
          <w:sz w:val="18"/>
          <w:szCs w:val="18"/>
        </w:rPr>
        <w:t>: Rwanda CFSVA, 2006.</w:t>
      </w:r>
    </w:p>
    <w:p w:rsidR="0036354A" w:rsidRPr="00AA16D9" w:rsidRDefault="0036354A" w:rsidP="0036354A">
      <w:pPr>
        <w:pStyle w:val="Bullet1G"/>
      </w:pPr>
      <w:r w:rsidRPr="00AA16D9">
        <w:t>Notons que les deux premières catégories (52 % des ménages) sont soit vulnérables soit vivent dans une grande précarité nutritionnelle;</w:t>
      </w:r>
    </w:p>
    <w:p w:rsidR="0036354A" w:rsidRPr="00AA16D9" w:rsidRDefault="0036354A" w:rsidP="0036354A">
      <w:pPr>
        <w:pStyle w:val="Bullet1G"/>
      </w:pPr>
      <w:r w:rsidRPr="00AA16D9">
        <w:t>Le milieu rural est plus à risque avec 47,3 % des ménages contre 33,1 % des ménages à risque nutritionnel en milieu urbain;</w:t>
      </w:r>
    </w:p>
    <w:p w:rsidR="0036354A" w:rsidRPr="00AA16D9" w:rsidRDefault="0036354A" w:rsidP="0036354A">
      <w:pPr>
        <w:pStyle w:val="Bullet1G"/>
      </w:pPr>
      <w:r w:rsidRPr="00AA16D9">
        <w:t>Certaines régions</w:t>
      </w:r>
      <w:r w:rsidRPr="00AA16D9">
        <w:rPr>
          <w:sz w:val="18"/>
          <w:szCs w:val="18"/>
          <w:vertAlign w:val="superscript"/>
        </w:rPr>
        <w:footnoteReference w:id="115"/>
      </w:r>
      <w:r w:rsidRPr="00AA16D9">
        <w:t xml:space="preserve"> sont plus à risque, comme indiqué dans le tableau ci-bas: il s</w:t>
      </w:r>
      <w:r>
        <w:t>’</w:t>
      </w:r>
      <w:r w:rsidRPr="00AA16D9">
        <w:t>agit du pourcentage des ménages confrontés à l</w:t>
      </w:r>
      <w:r>
        <w:t>’</w:t>
      </w:r>
      <w:r w:rsidRPr="00AA16D9">
        <w:t>insécurité alimentaire par zone d</w:t>
      </w:r>
      <w:r>
        <w:t>’</w:t>
      </w:r>
      <w:r w:rsidRPr="00AA16D9">
        <w:t>économie alimentaire. L</w:t>
      </w:r>
      <w:r>
        <w:t>’</w:t>
      </w:r>
      <w:r w:rsidRPr="00AA16D9">
        <w:t>insécurité alimentaire est révélée partout dans le pays mais tend à se concentrer dans les provinces de l</w:t>
      </w:r>
      <w:r>
        <w:t>’</w:t>
      </w:r>
      <w:r w:rsidRPr="00AA16D9">
        <w:t>Ouest et du Sud.</w:t>
      </w:r>
    </w:p>
    <w:p w:rsidR="0036354A" w:rsidRPr="00AA16D9" w:rsidRDefault="0036354A" w:rsidP="0036354A">
      <w:pPr>
        <w:tabs>
          <w:tab w:val="left" w:leader="dot" w:pos="8929"/>
          <w:tab w:val="right" w:pos="9638"/>
        </w:tabs>
        <w:spacing w:after="120"/>
        <w:ind w:left="1134"/>
      </w:pPr>
      <w:r w:rsidRPr="00AA16D9">
        <w:pict>
          <v:shape id="_x0000_i1027" type="#_x0000_t75" style="width:369pt;height:243.75pt;visibility:visible">
            <v:imagedata r:id="rId9" o:title=""/>
          </v:shape>
        </w:pict>
      </w:r>
    </w:p>
    <w:p w:rsidR="0036354A" w:rsidRPr="00AA16D9" w:rsidRDefault="0036354A" w:rsidP="0036354A">
      <w:pPr>
        <w:pStyle w:val="Heading1"/>
        <w:spacing w:after="120"/>
      </w:pPr>
      <w:r w:rsidRPr="00AA16D9">
        <w:t>Graphique 2</w:t>
      </w:r>
    </w:p>
    <w:p w:rsidR="0036354A" w:rsidRPr="00AA16D9" w:rsidRDefault="0036354A" w:rsidP="0036354A">
      <w:pPr>
        <w:pStyle w:val="SingleTxtG"/>
        <w:spacing w:after="240"/>
        <w:ind w:firstLine="170"/>
        <w:rPr>
          <w:sz w:val="18"/>
          <w:szCs w:val="18"/>
        </w:rPr>
      </w:pPr>
      <w:r w:rsidRPr="00AA16D9">
        <w:rPr>
          <w:i/>
          <w:sz w:val="18"/>
          <w:szCs w:val="18"/>
        </w:rPr>
        <w:t>Source</w:t>
      </w:r>
      <w:r w:rsidRPr="00AA16D9">
        <w:rPr>
          <w:sz w:val="18"/>
          <w:szCs w:val="18"/>
        </w:rPr>
        <w:t xml:space="preserve">: NISR: Rwanda CFSVA 2006, p. 2-3 </w:t>
      </w:r>
    </w:p>
    <w:p w:rsidR="0036354A" w:rsidRPr="00AA16D9" w:rsidRDefault="0036354A" w:rsidP="0036354A">
      <w:pPr>
        <w:pStyle w:val="Bullet1G"/>
        <w:spacing w:after="240"/>
      </w:pPr>
      <w:r w:rsidRPr="00AA16D9">
        <w:t xml:space="preserve">Les catégories affectées sont surtout les ménages dont le chef est une femme ou une personne âgée, pauvre ou démunie de terrain cultivable, à revenu bas ou une ou des personnes illettrées, comme il appert du tableau qui suit. </w:t>
      </w:r>
    </w:p>
    <w:p w:rsidR="0036354A" w:rsidRPr="00AA16D9" w:rsidRDefault="0036354A" w:rsidP="0036354A">
      <w:pPr>
        <w:pStyle w:val="Heading1"/>
        <w:spacing w:after="120"/>
      </w:pPr>
      <w:r w:rsidRPr="00AA16D9">
        <w:t>Tableau 15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00"/>
        <w:gridCol w:w="3866"/>
        <w:gridCol w:w="2504"/>
      </w:tblGrid>
      <w:tr w:rsidR="0036354A" w:rsidRPr="00AA16D9" w:rsidTr="001A4057">
        <w:trPr>
          <w:trHeight w:val="255"/>
          <w:tblHeader/>
        </w:trPr>
        <w:tc>
          <w:tcPr>
            <w:tcW w:w="4866" w:type="dxa"/>
            <w:gridSpan w:val="2"/>
            <w:tcBorders>
              <w:top w:val="single" w:sz="4" w:space="0" w:color="auto"/>
              <w:bottom w:val="single" w:sz="12" w:space="0" w:color="auto"/>
            </w:tcBorders>
            <w:shd w:val="clear" w:color="auto" w:fill="auto"/>
            <w:vAlign w:val="bottom"/>
          </w:tcPr>
          <w:p w:rsidR="0036354A" w:rsidRPr="00AA16D9" w:rsidRDefault="0036354A" w:rsidP="001A4057">
            <w:pPr>
              <w:spacing w:before="80" w:after="80" w:line="200" w:lineRule="exact"/>
              <w:rPr>
                <w:i/>
                <w:sz w:val="16"/>
              </w:rPr>
            </w:pPr>
            <w:r w:rsidRPr="00AA16D9">
              <w:rPr>
                <w:i/>
                <w:sz w:val="16"/>
              </w:rPr>
              <w:t>Type de ménage</w:t>
            </w:r>
          </w:p>
        </w:tc>
        <w:tc>
          <w:tcPr>
            <w:tcW w:w="2504" w:type="dxa"/>
            <w:tcBorders>
              <w:top w:val="single" w:sz="4" w:space="0" w:color="auto"/>
              <w:bottom w:val="single" w:sz="12" w:space="0" w:color="auto"/>
            </w:tcBorders>
            <w:shd w:val="clear" w:color="auto" w:fill="auto"/>
            <w:vAlign w:val="bottom"/>
          </w:tcPr>
          <w:p w:rsidR="0036354A" w:rsidRPr="00AA16D9" w:rsidRDefault="0036354A" w:rsidP="001A4057">
            <w:pPr>
              <w:spacing w:before="80" w:after="80" w:line="200" w:lineRule="exact"/>
              <w:jc w:val="right"/>
              <w:rPr>
                <w:i/>
                <w:sz w:val="16"/>
              </w:rPr>
            </w:pPr>
            <w:r w:rsidRPr="00AA16D9">
              <w:rPr>
                <w:i/>
                <w:sz w:val="16"/>
              </w:rPr>
              <w:t>Degré de risque de malnutrition (%)</w:t>
            </w:r>
          </w:p>
        </w:tc>
      </w:tr>
      <w:tr w:rsidR="0036354A" w:rsidRPr="00AA16D9" w:rsidTr="001A4057">
        <w:tc>
          <w:tcPr>
            <w:tcW w:w="1000" w:type="dxa"/>
            <w:vMerge w:val="restart"/>
            <w:tcBorders>
              <w:top w:val="single" w:sz="12" w:space="0" w:color="auto"/>
            </w:tcBorders>
            <w:shd w:val="clear" w:color="auto" w:fill="auto"/>
          </w:tcPr>
          <w:p w:rsidR="0036354A" w:rsidRPr="00AA16D9" w:rsidRDefault="0036354A" w:rsidP="001A4057">
            <w:pPr>
              <w:spacing w:before="40" w:after="40" w:line="220" w:lineRule="exact"/>
              <w:rPr>
                <w:sz w:val="18"/>
              </w:rPr>
            </w:pPr>
            <w:r w:rsidRPr="00AA16D9">
              <w:rPr>
                <w:sz w:val="18"/>
              </w:rPr>
              <w:t>Sexe</w:t>
            </w:r>
          </w:p>
        </w:tc>
        <w:tc>
          <w:tcPr>
            <w:tcW w:w="3866" w:type="dxa"/>
            <w:tcBorders>
              <w:top w:val="single" w:sz="12" w:space="0" w:color="auto"/>
            </w:tcBorders>
            <w:shd w:val="clear" w:color="auto" w:fill="auto"/>
          </w:tcPr>
          <w:p w:rsidR="0036354A" w:rsidRPr="00AA16D9" w:rsidRDefault="0036354A" w:rsidP="001A4057">
            <w:pPr>
              <w:spacing w:before="40" w:after="40" w:line="220" w:lineRule="exact"/>
              <w:rPr>
                <w:sz w:val="18"/>
              </w:rPr>
            </w:pPr>
            <w:r w:rsidRPr="00AA16D9">
              <w:rPr>
                <w:sz w:val="18"/>
              </w:rPr>
              <w:t>Ménage dont le chef est une femme</w:t>
            </w:r>
          </w:p>
        </w:tc>
        <w:tc>
          <w:tcPr>
            <w:tcW w:w="2504" w:type="dxa"/>
            <w:tcBorders>
              <w:top w:val="single" w:sz="12" w:space="0" w:color="auto"/>
            </w:tcBorders>
            <w:shd w:val="clear" w:color="auto" w:fill="auto"/>
            <w:vAlign w:val="bottom"/>
          </w:tcPr>
          <w:p w:rsidR="0036354A" w:rsidRPr="00AA16D9" w:rsidRDefault="0036354A" w:rsidP="001A4057">
            <w:pPr>
              <w:spacing w:before="40" w:after="40" w:line="220" w:lineRule="exact"/>
              <w:jc w:val="right"/>
              <w:rPr>
                <w:sz w:val="18"/>
              </w:rPr>
            </w:pPr>
            <w:r w:rsidRPr="00AA16D9">
              <w:rPr>
                <w:sz w:val="18"/>
              </w:rPr>
              <w:t>37</w:t>
            </w:r>
          </w:p>
        </w:tc>
      </w:tr>
      <w:tr w:rsidR="0036354A" w:rsidRPr="00AA16D9" w:rsidTr="001A4057">
        <w:trPr>
          <w:trHeight w:val="210"/>
        </w:trPr>
        <w:tc>
          <w:tcPr>
            <w:tcW w:w="1000" w:type="dxa"/>
            <w:vMerge/>
            <w:shd w:val="clear" w:color="auto" w:fill="auto"/>
          </w:tcPr>
          <w:p w:rsidR="0036354A" w:rsidRPr="00AA16D9" w:rsidRDefault="0036354A" w:rsidP="001A4057">
            <w:pPr>
              <w:spacing w:before="40" w:after="40" w:line="220" w:lineRule="exact"/>
              <w:rPr>
                <w:sz w:val="18"/>
              </w:rPr>
            </w:pPr>
          </w:p>
        </w:tc>
        <w:tc>
          <w:tcPr>
            <w:tcW w:w="3866" w:type="dxa"/>
            <w:shd w:val="clear" w:color="auto" w:fill="auto"/>
          </w:tcPr>
          <w:p w:rsidR="0036354A" w:rsidRPr="00AA16D9" w:rsidRDefault="0036354A" w:rsidP="001A4057">
            <w:pPr>
              <w:spacing w:before="40" w:after="40" w:line="220" w:lineRule="exact"/>
              <w:rPr>
                <w:sz w:val="18"/>
              </w:rPr>
            </w:pPr>
            <w:r w:rsidRPr="00AA16D9">
              <w:rPr>
                <w:sz w:val="18"/>
              </w:rPr>
              <w:t>Ménage dont le chef est un homme</w:t>
            </w:r>
          </w:p>
        </w:tc>
        <w:tc>
          <w:tcPr>
            <w:tcW w:w="2504" w:type="dxa"/>
            <w:tcBorders>
              <w:bottom w:val="nil"/>
            </w:tcBorders>
            <w:shd w:val="clear" w:color="auto" w:fill="auto"/>
            <w:vAlign w:val="bottom"/>
          </w:tcPr>
          <w:p w:rsidR="0036354A" w:rsidRPr="00AA16D9" w:rsidRDefault="0036354A" w:rsidP="001A4057">
            <w:pPr>
              <w:spacing w:before="40" w:after="40" w:line="220" w:lineRule="exact"/>
              <w:jc w:val="right"/>
              <w:rPr>
                <w:sz w:val="18"/>
              </w:rPr>
            </w:pPr>
            <w:r w:rsidRPr="00AA16D9">
              <w:rPr>
                <w:sz w:val="18"/>
              </w:rPr>
              <w:t>25</w:t>
            </w:r>
          </w:p>
        </w:tc>
      </w:tr>
      <w:tr w:rsidR="0036354A" w:rsidRPr="00AA16D9" w:rsidTr="001A4057">
        <w:trPr>
          <w:trHeight w:val="20"/>
        </w:trPr>
        <w:tc>
          <w:tcPr>
            <w:tcW w:w="1000" w:type="dxa"/>
            <w:vMerge w:val="restart"/>
            <w:shd w:val="clear" w:color="auto" w:fill="auto"/>
          </w:tcPr>
          <w:p w:rsidR="0036354A" w:rsidRPr="00AA16D9" w:rsidRDefault="0036354A" w:rsidP="001A4057">
            <w:pPr>
              <w:spacing w:before="40" w:after="40" w:line="220" w:lineRule="exact"/>
              <w:rPr>
                <w:sz w:val="18"/>
              </w:rPr>
            </w:pPr>
            <w:r w:rsidRPr="00AA16D9">
              <w:rPr>
                <w:sz w:val="18"/>
              </w:rPr>
              <w:t>État civil</w:t>
            </w:r>
          </w:p>
        </w:tc>
        <w:tc>
          <w:tcPr>
            <w:tcW w:w="3866" w:type="dxa"/>
            <w:shd w:val="clear" w:color="auto" w:fill="auto"/>
          </w:tcPr>
          <w:p w:rsidR="0036354A" w:rsidRPr="00AA16D9" w:rsidRDefault="0036354A" w:rsidP="001A4057">
            <w:pPr>
              <w:spacing w:before="40" w:after="40" w:line="220" w:lineRule="exact"/>
              <w:rPr>
                <w:sz w:val="18"/>
              </w:rPr>
            </w:pPr>
            <w:r w:rsidRPr="00AA16D9">
              <w:rPr>
                <w:sz w:val="18"/>
              </w:rPr>
              <w:t>Ménage dont le chef est une personne veuve,</w:t>
            </w:r>
          </w:p>
        </w:tc>
        <w:tc>
          <w:tcPr>
            <w:tcW w:w="2504" w:type="dxa"/>
            <w:tcBorders>
              <w:top w:val="nil"/>
              <w:bottom w:val="nil"/>
            </w:tcBorders>
            <w:shd w:val="clear" w:color="auto" w:fill="auto"/>
            <w:vAlign w:val="bottom"/>
          </w:tcPr>
          <w:p w:rsidR="0036354A" w:rsidRPr="00AA16D9" w:rsidRDefault="0036354A" w:rsidP="001A4057">
            <w:pPr>
              <w:spacing w:before="40" w:after="40" w:line="220" w:lineRule="exact"/>
              <w:jc w:val="right"/>
              <w:rPr>
                <w:sz w:val="18"/>
              </w:rPr>
            </w:pPr>
            <w:r w:rsidRPr="00AA16D9">
              <w:rPr>
                <w:sz w:val="18"/>
              </w:rPr>
              <w:t>37</w:t>
            </w:r>
          </w:p>
        </w:tc>
      </w:tr>
      <w:tr w:rsidR="0036354A" w:rsidRPr="00AA16D9" w:rsidTr="001A4057">
        <w:tc>
          <w:tcPr>
            <w:tcW w:w="1000" w:type="dxa"/>
            <w:vMerge/>
            <w:shd w:val="clear" w:color="auto" w:fill="auto"/>
          </w:tcPr>
          <w:p w:rsidR="0036354A" w:rsidRPr="00AA16D9" w:rsidRDefault="0036354A" w:rsidP="001A4057">
            <w:pPr>
              <w:spacing w:before="40" w:after="40" w:line="220" w:lineRule="exact"/>
              <w:rPr>
                <w:sz w:val="18"/>
              </w:rPr>
            </w:pPr>
          </w:p>
        </w:tc>
        <w:tc>
          <w:tcPr>
            <w:tcW w:w="3866" w:type="dxa"/>
            <w:shd w:val="clear" w:color="auto" w:fill="auto"/>
          </w:tcPr>
          <w:p w:rsidR="0036354A" w:rsidRPr="00AA16D9" w:rsidRDefault="0036354A" w:rsidP="001A4057">
            <w:pPr>
              <w:spacing w:before="40" w:after="40" w:line="220" w:lineRule="exact"/>
              <w:rPr>
                <w:sz w:val="18"/>
              </w:rPr>
            </w:pPr>
            <w:r w:rsidRPr="00AA16D9">
              <w:rPr>
                <w:sz w:val="18"/>
              </w:rPr>
              <w:t xml:space="preserve">séparée ou divorcée </w:t>
            </w:r>
          </w:p>
        </w:tc>
        <w:tc>
          <w:tcPr>
            <w:tcW w:w="2504" w:type="dxa"/>
            <w:tcBorders>
              <w:top w:val="nil"/>
            </w:tcBorders>
            <w:shd w:val="clear" w:color="auto" w:fill="auto"/>
            <w:vAlign w:val="bottom"/>
          </w:tcPr>
          <w:p w:rsidR="0036354A" w:rsidRPr="00AA16D9" w:rsidRDefault="0036354A" w:rsidP="001A4057">
            <w:pPr>
              <w:spacing w:before="40" w:after="40" w:line="220" w:lineRule="exact"/>
              <w:jc w:val="right"/>
              <w:rPr>
                <w:sz w:val="18"/>
              </w:rPr>
            </w:pPr>
            <w:r w:rsidRPr="00AA16D9">
              <w:rPr>
                <w:sz w:val="18"/>
              </w:rPr>
              <w:t>35</w:t>
            </w:r>
          </w:p>
        </w:tc>
      </w:tr>
      <w:tr w:rsidR="0036354A" w:rsidRPr="00AA16D9" w:rsidTr="001A4057">
        <w:trPr>
          <w:trHeight w:val="173"/>
        </w:trPr>
        <w:tc>
          <w:tcPr>
            <w:tcW w:w="1000" w:type="dxa"/>
            <w:vMerge/>
            <w:shd w:val="clear" w:color="auto" w:fill="auto"/>
          </w:tcPr>
          <w:p w:rsidR="0036354A" w:rsidRPr="00AA16D9" w:rsidRDefault="0036354A" w:rsidP="001A4057">
            <w:pPr>
              <w:spacing w:before="40" w:after="40" w:line="220" w:lineRule="exact"/>
              <w:rPr>
                <w:sz w:val="18"/>
              </w:rPr>
            </w:pPr>
          </w:p>
        </w:tc>
        <w:tc>
          <w:tcPr>
            <w:tcW w:w="3866" w:type="dxa"/>
            <w:shd w:val="clear" w:color="auto" w:fill="auto"/>
          </w:tcPr>
          <w:p w:rsidR="0036354A" w:rsidRPr="00AA16D9" w:rsidRDefault="0036354A" w:rsidP="001A4057">
            <w:pPr>
              <w:spacing w:before="40" w:after="40" w:line="220" w:lineRule="exact"/>
              <w:rPr>
                <w:sz w:val="18"/>
              </w:rPr>
            </w:pPr>
            <w:r w:rsidRPr="00AA16D9">
              <w:rPr>
                <w:sz w:val="18"/>
              </w:rPr>
              <w:t>Ménage de couple marié</w:t>
            </w:r>
          </w:p>
        </w:tc>
        <w:tc>
          <w:tcPr>
            <w:tcW w:w="2504"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22</w:t>
            </w:r>
          </w:p>
        </w:tc>
      </w:tr>
      <w:tr w:rsidR="0036354A" w:rsidRPr="00AA16D9" w:rsidTr="001A4057">
        <w:trPr>
          <w:trHeight w:val="195"/>
        </w:trPr>
        <w:tc>
          <w:tcPr>
            <w:tcW w:w="1000" w:type="dxa"/>
            <w:vMerge w:val="restart"/>
            <w:shd w:val="clear" w:color="auto" w:fill="auto"/>
          </w:tcPr>
          <w:p w:rsidR="0036354A" w:rsidRPr="00AA16D9" w:rsidRDefault="0036354A" w:rsidP="001A4057">
            <w:pPr>
              <w:spacing w:before="40" w:after="40" w:line="220" w:lineRule="exact"/>
              <w:rPr>
                <w:sz w:val="18"/>
              </w:rPr>
            </w:pPr>
            <w:r w:rsidRPr="00AA16D9">
              <w:rPr>
                <w:sz w:val="18"/>
              </w:rPr>
              <w:t>Âge</w:t>
            </w:r>
          </w:p>
        </w:tc>
        <w:tc>
          <w:tcPr>
            <w:tcW w:w="3866" w:type="dxa"/>
            <w:shd w:val="clear" w:color="auto" w:fill="auto"/>
          </w:tcPr>
          <w:p w:rsidR="0036354A" w:rsidRPr="00AA16D9" w:rsidRDefault="0036354A" w:rsidP="001A4057">
            <w:pPr>
              <w:spacing w:before="40" w:after="40" w:line="220" w:lineRule="exact"/>
              <w:rPr>
                <w:sz w:val="18"/>
              </w:rPr>
            </w:pPr>
            <w:r w:rsidRPr="00AA16D9">
              <w:rPr>
                <w:sz w:val="18"/>
              </w:rPr>
              <w:t>Ménage avec une personne âgée (plus de 65 ans)</w:t>
            </w:r>
          </w:p>
        </w:tc>
        <w:tc>
          <w:tcPr>
            <w:tcW w:w="2504"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35</w:t>
            </w:r>
          </w:p>
        </w:tc>
      </w:tr>
      <w:tr w:rsidR="0036354A" w:rsidRPr="00AA16D9" w:rsidTr="001A4057">
        <w:trPr>
          <w:trHeight w:val="203"/>
        </w:trPr>
        <w:tc>
          <w:tcPr>
            <w:tcW w:w="1000" w:type="dxa"/>
            <w:vMerge/>
            <w:shd w:val="clear" w:color="auto" w:fill="auto"/>
          </w:tcPr>
          <w:p w:rsidR="0036354A" w:rsidRPr="00AA16D9" w:rsidRDefault="0036354A" w:rsidP="001A4057">
            <w:pPr>
              <w:spacing w:before="40" w:after="40" w:line="220" w:lineRule="exact"/>
              <w:rPr>
                <w:sz w:val="18"/>
              </w:rPr>
            </w:pPr>
          </w:p>
        </w:tc>
        <w:tc>
          <w:tcPr>
            <w:tcW w:w="3866" w:type="dxa"/>
            <w:shd w:val="clear" w:color="auto" w:fill="auto"/>
          </w:tcPr>
          <w:p w:rsidR="0036354A" w:rsidRPr="00AA16D9" w:rsidRDefault="0036354A" w:rsidP="001A4057">
            <w:pPr>
              <w:spacing w:before="40" w:after="40" w:line="220" w:lineRule="exact"/>
              <w:rPr>
                <w:sz w:val="18"/>
              </w:rPr>
            </w:pPr>
            <w:r w:rsidRPr="00AA16D9">
              <w:rPr>
                <w:sz w:val="18"/>
              </w:rPr>
              <w:t>Ménage dont le chef est une personne plus jeune</w:t>
            </w:r>
          </w:p>
        </w:tc>
        <w:tc>
          <w:tcPr>
            <w:tcW w:w="2504" w:type="dxa"/>
            <w:shd w:val="clear" w:color="auto" w:fill="auto"/>
            <w:vAlign w:val="bottom"/>
          </w:tcPr>
          <w:p w:rsidR="0036354A" w:rsidRPr="00AA16D9" w:rsidRDefault="0036354A" w:rsidP="001A4057">
            <w:pPr>
              <w:spacing w:before="40" w:after="40" w:line="220" w:lineRule="exact"/>
              <w:jc w:val="right"/>
              <w:rPr>
                <w:sz w:val="18"/>
              </w:rPr>
            </w:pPr>
            <w:r w:rsidRPr="00AA16D9">
              <w:rPr>
                <w:sz w:val="18"/>
              </w:rPr>
              <w:t>27</w:t>
            </w:r>
          </w:p>
        </w:tc>
      </w:tr>
    </w:tbl>
    <w:p w:rsidR="0036354A" w:rsidRPr="00AA16D9" w:rsidRDefault="0036354A" w:rsidP="0036354A">
      <w:pPr>
        <w:pStyle w:val="SingleTxtG"/>
        <w:spacing w:before="120" w:after="240"/>
        <w:ind w:firstLine="170"/>
        <w:rPr>
          <w:sz w:val="18"/>
          <w:szCs w:val="18"/>
        </w:rPr>
      </w:pPr>
      <w:r w:rsidRPr="00AA16D9">
        <w:rPr>
          <w:i/>
          <w:sz w:val="18"/>
          <w:szCs w:val="18"/>
        </w:rPr>
        <w:t>Source</w:t>
      </w:r>
      <w:r w:rsidRPr="00AA16D9">
        <w:rPr>
          <w:sz w:val="18"/>
          <w:szCs w:val="18"/>
        </w:rPr>
        <w:t>: NISR: Rwanda CFSVA 2006, p. 3-4.</w:t>
      </w:r>
    </w:p>
    <w:p w:rsidR="0036354A" w:rsidRPr="00AA16D9" w:rsidRDefault="0036354A" w:rsidP="0036354A">
      <w:pPr>
        <w:pStyle w:val="H4G"/>
      </w:pPr>
      <w:r w:rsidRPr="00AA16D9">
        <w:tab/>
      </w:r>
      <w:r w:rsidRPr="00AA16D9">
        <w:tab/>
        <w:t>Les mesures prises pour assurer à tous le droit à une nourriture suffisante</w:t>
      </w:r>
    </w:p>
    <w:p w:rsidR="0036354A" w:rsidRPr="00AA16D9" w:rsidRDefault="0036354A" w:rsidP="0036354A">
      <w:pPr>
        <w:pStyle w:val="SingleTxtG"/>
      </w:pPr>
      <w:r w:rsidRPr="00AA16D9">
        <w:rPr>
          <w:szCs w:val="24"/>
        </w:rPr>
        <w:t>202.</w:t>
      </w:r>
      <w:r w:rsidRPr="00AA16D9">
        <w:rPr>
          <w:szCs w:val="24"/>
        </w:rPr>
        <w:tab/>
      </w:r>
      <w:r w:rsidRPr="00AA16D9">
        <w:t>Il n</w:t>
      </w:r>
      <w:r>
        <w:t>’</w:t>
      </w:r>
      <w:r w:rsidRPr="00AA16D9">
        <w:t>y pas eu de politique, loi ou pratique nationale ayant eu d</w:t>
      </w:r>
      <w:r>
        <w:t>’</w:t>
      </w:r>
      <w:r w:rsidRPr="00AA16D9">
        <w:t>effet préjudiciable sur l</w:t>
      </w:r>
      <w:r>
        <w:t>’</w:t>
      </w:r>
      <w:r w:rsidRPr="00AA16D9">
        <w:t>accès à la nourriture. Plutôt, des mesures positives pour assurer à tous le droit à l</w:t>
      </w:r>
      <w:r>
        <w:t>’</w:t>
      </w:r>
      <w:r w:rsidRPr="00AA16D9">
        <w:t xml:space="preserve">alimentation. Ainsi: </w:t>
      </w:r>
    </w:p>
    <w:p w:rsidR="0036354A" w:rsidRPr="00AA16D9" w:rsidRDefault="0036354A" w:rsidP="0036354A">
      <w:pPr>
        <w:pStyle w:val="SingleTxtG"/>
        <w:ind w:firstLine="567"/>
      </w:pPr>
      <w:r w:rsidRPr="00AA16D9">
        <w:t>a)</w:t>
      </w:r>
      <w:r w:rsidRPr="00AA16D9">
        <w:tab/>
        <w:t>Notons en premier lieu le renforcement de l</w:t>
      </w:r>
      <w:r>
        <w:t>’</w:t>
      </w:r>
      <w:r w:rsidRPr="00AA16D9">
        <w:t>engagement politique, comme l</w:t>
      </w:r>
      <w:r>
        <w:t>’</w:t>
      </w:r>
      <w:r w:rsidRPr="00AA16D9">
        <w:t>intégration de la composante nutrition dans tous les programmes de développement (EDPRS, Vision 2020) ainsi que l</w:t>
      </w:r>
      <w:r>
        <w:t>’</w:t>
      </w:r>
      <w:r w:rsidRPr="00AA16D9">
        <w:t>allocation d</w:t>
      </w:r>
      <w:r>
        <w:t>’</w:t>
      </w:r>
      <w:r w:rsidRPr="00AA16D9">
        <w:t>un budget conséquent et la mobilisation des ressources additionnelles (provenant du Gouvernement ou de ses partenaires) pour la lutte contre les problèmes nutritionnels;</w:t>
      </w:r>
    </w:p>
    <w:p w:rsidR="0036354A" w:rsidRPr="00AA16D9" w:rsidRDefault="0036354A" w:rsidP="0036354A">
      <w:pPr>
        <w:pStyle w:val="SingleTxtG"/>
        <w:ind w:firstLine="567"/>
      </w:pPr>
      <w:r w:rsidRPr="00AA16D9">
        <w:t>b)</w:t>
      </w:r>
      <w:r w:rsidRPr="00AA16D9">
        <w:tab/>
        <w:t xml:space="preserve">Il y a eu ensuite la nouvelle politique de nutrition, dotées des objectifs suivants: </w:t>
      </w:r>
    </w:p>
    <w:p w:rsidR="0036354A" w:rsidRPr="00AA16D9" w:rsidRDefault="0036354A" w:rsidP="0036354A">
      <w:pPr>
        <w:pStyle w:val="SingleTxtG"/>
        <w:ind w:left="1700"/>
      </w:pPr>
      <w:r w:rsidRPr="00AA16D9">
        <w:t>i)</w:t>
      </w:r>
      <w:r w:rsidRPr="00AA16D9">
        <w:tab/>
        <w:t>Réduire la pauvreté et la faim;</w:t>
      </w:r>
    </w:p>
    <w:p w:rsidR="0036354A" w:rsidRPr="00AA16D9" w:rsidRDefault="0036354A" w:rsidP="0036354A">
      <w:pPr>
        <w:pStyle w:val="SingleTxtG"/>
        <w:ind w:left="1700"/>
      </w:pPr>
      <w:r w:rsidRPr="00AA16D9">
        <w:t>ii)</w:t>
      </w:r>
      <w:r w:rsidRPr="00AA16D9">
        <w:tab/>
        <w:t>Assurer l</w:t>
      </w:r>
      <w:r>
        <w:t>’</w:t>
      </w:r>
      <w:r w:rsidRPr="00AA16D9">
        <w:t xml:space="preserve">éducation primaire; </w:t>
      </w:r>
    </w:p>
    <w:p w:rsidR="0036354A" w:rsidRPr="00AA16D9" w:rsidRDefault="0036354A" w:rsidP="0036354A">
      <w:pPr>
        <w:pStyle w:val="SingleTxtG"/>
        <w:ind w:left="1700"/>
      </w:pPr>
      <w:r w:rsidRPr="00AA16D9">
        <w:t>iii)</w:t>
      </w:r>
      <w:r w:rsidRPr="00AA16D9">
        <w:tab/>
        <w:t xml:space="preserve">Réduire la mortalité infantile et maternelle; </w:t>
      </w:r>
    </w:p>
    <w:p w:rsidR="0036354A" w:rsidRPr="00AA16D9" w:rsidRDefault="0036354A" w:rsidP="0036354A">
      <w:pPr>
        <w:pStyle w:val="SingleTxtG"/>
        <w:ind w:left="1700"/>
      </w:pPr>
      <w:r w:rsidRPr="00AA16D9">
        <w:t>iv)</w:t>
      </w:r>
      <w:r w:rsidRPr="00AA16D9">
        <w:tab/>
        <w:t>Et combattre le VIH/sida ainsi que d</w:t>
      </w:r>
      <w:r>
        <w:t>’</w:t>
      </w:r>
      <w:r w:rsidRPr="00AA16D9">
        <w:t xml:space="preserve">autres maladies. </w:t>
      </w:r>
    </w:p>
    <w:p w:rsidR="0036354A" w:rsidRPr="00AA16D9" w:rsidRDefault="0036354A" w:rsidP="0036354A">
      <w:pPr>
        <w:pStyle w:val="SingleTxtG"/>
        <w:ind w:firstLine="567"/>
      </w:pPr>
      <w:r w:rsidRPr="00AA16D9">
        <w:t>c)</w:t>
      </w:r>
      <w:r w:rsidRPr="00AA16D9">
        <w:tab/>
        <w:t>La politique stratégique du Gouvernement concernant le développement du secteur rural (Rural Sector Support Project) avec comme projets:</w:t>
      </w:r>
    </w:p>
    <w:p w:rsidR="0036354A" w:rsidRPr="00AA16D9" w:rsidRDefault="0036354A" w:rsidP="0036354A">
      <w:pPr>
        <w:pStyle w:val="SingleTxtG"/>
        <w:ind w:left="1700"/>
      </w:pPr>
      <w:r w:rsidRPr="00AA16D9">
        <w:t>i)</w:t>
      </w:r>
      <w:r w:rsidRPr="00AA16D9">
        <w:tab/>
        <w:t>La consolidation des terres pour une meilleure exploitation;</w:t>
      </w:r>
    </w:p>
    <w:p w:rsidR="0036354A" w:rsidRPr="00AA16D9" w:rsidRDefault="0036354A" w:rsidP="0036354A">
      <w:pPr>
        <w:pStyle w:val="SingleTxtG"/>
        <w:ind w:left="1700"/>
      </w:pPr>
      <w:r w:rsidRPr="00AA16D9">
        <w:t>ii)</w:t>
      </w:r>
      <w:r w:rsidRPr="00AA16D9">
        <w:tab/>
        <w:t>L</w:t>
      </w:r>
      <w:r>
        <w:t>’</w:t>
      </w:r>
      <w:r w:rsidRPr="00AA16D9">
        <w:t>intensification de l</w:t>
      </w:r>
      <w:r>
        <w:t>’</w:t>
      </w:r>
      <w:r w:rsidRPr="00AA16D9">
        <w:t xml:space="preserve">agriculture et la spécialisation et régionalisation des vivres; </w:t>
      </w:r>
    </w:p>
    <w:p w:rsidR="0036354A" w:rsidRPr="00AA16D9" w:rsidRDefault="0036354A" w:rsidP="0036354A">
      <w:pPr>
        <w:pStyle w:val="SingleTxtG"/>
        <w:ind w:left="1700"/>
      </w:pPr>
      <w:r w:rsidRPr="00AA16D9">
        <w:t>iii)</w:t>
      </w:r>
      <w:r w:rsidRPr="00AA16D9">
        <w:tab/>
        <w:t>L</w:t>
      </w:r>
      <w:r>
        <w:t>’</w:t>
      </w:r>
      <w:r w:rsidRPr="00AA16D9">
        <w:t>émergence d</w:t>
      </w:r>
      <w:r>
        <w:t>’</w:t>
      </w:r>
      <w:r w:rsidRPr="00AA16D9">
        <w:t xml:space="preserve">une économie rurale de marché; </w:t>
      </w:r>
    </w:p>
    <w:p w:rsidR="0036354A" w:rsidRPr="00AA16D9" w:rsidRDefault="0036354A" w:rsidP="0036354A">
      <w:pPr>
        <w:pStyle w:val="SingleTxtG"/>
        <w:ind w:left="1700"/>
      </w:pPr>
      <w:r w:rsidRPr="00AA16D9">
        <w:t>iv)</w:t>
      </w:r>
      <w:r w:rsidRPr="00AA16D9">
        <w:tab/>
        <w:t>L</w:t>
      </w:r>
      <w:r>
        <w:t>’</w:t>
      </w:r>
      <w:r w:rsidRPr="00AA16D9">
        <w:t xml:space="preserve">accent mis sur la promotion et le travail agricole dans les coopératives; </w:t>
      </w:r>
    </w:p>
    <w:p w:rsidR="0036354A" w:rsidRPr="00AA16D9" w:rsidRDefault="0036354A" w:rsidP="0036354A">
      <w:pPr>
        <w:pStyle w:val="SingleTxtG"/>
        <w:ind w:left="1700"/>
      </w:pPr>
      <w:r w:rsidRPr="00AA16D9">
        <w:t>v)</w:t>
      </w:r>
      <w:r w:rsidRPr="00AA16D9">
        <w:tab/>
        <w:t>La distribution des semences sélectionnées.</w:t>
      </w:r>
    </w:p>
    <w:p w:rsidR="0036354A" w:rsidRPr="00AA16D9" w:rsidRDefault="0036354A" w:rsidP="0036354A">
      <w:pPr>
        <w:pStyle w:val="SingleTxtG"/>
        <w:ind w:firstLine="567"/>
      </w:pPr>
      <w:r w:rsidRPr="00AA16D9">
        <w:t>d)</w:t>
      </w:r>
      <w:r w:rsidRPr="00AA16D9">
        <w:tab/>
        <w:t>Le programme de nutrition à base communautaire (jusque-là mis sur pied dans 15 districts); ce programme ne s</w:t>
      </w:r>
      <w:r>
        <w:t>’</w:t>
      </w:r>
      <w:r w:rsidRPr="00AA16D9">
        <w:t>est pas encore étendu au niveau national, mais des leçons en sont tirées en vue de son extension sur le territoire national;</w:t>
      </w:r>
    </w:p>
    <w:p w:rsidR="0036354A" w:rsidRPr="00AA16D9" w:rsidRDefault="0036354A" w:rsidP="0036354A">
      <w:pPr>
        <w:pStyle w:val="SingleTxtG"/>
        <w:ind w:firstLine="567"/>
      </w:pPr>
      <w:r w:rsidRPr="00AA16D9">
        <w:t>e)</w:t>
      </w:r>
      <w:r w:rsidRPr="00AA16D9">
        <w:tab/>
        <w:t>La promotion de l</w:t>
      </w:r>
      <w:r>
        <w:t>’</w:t>
      </w:r>
      <w:r w:rsidRPr="00AA16D9">
        <w:t>alimentation optimale du nourrisson et du jeune enfant (entre autres la promotion de l</w:t>
      </w:r>
      <w:r>
        <w:t>’</w:t>
      </w:r>
      <w:r w:rsidRPr="00AA16D9">
        <w:t xml:space="preserve">allaitement maternel); </w:t>
      </w:r>
    </w:p>
    <w:p w:rsidR="0036354A" w:rsidRPr="00AA16D9" w:rsidRDefault="0036354A" w:rsidP="0036354A">
      <w:pPr>
        <w:pStyle w:val="SingleTxtG"/>
        <w:ind w:firstLine="567"/>
      </w:pPr>
      <w:r w:rsidRPr="00AA16D9">
        <w:t>f)</w:t>
      </w:r>
      <w:r w:rsidRPr="00AA16D9">
        <w:tab/>
        <w:t xml:space="preserve">La promotion de la sécurité alimentaire dans les ménages; </w:t>
      </w:r>
    </w:p>
    <w:p w:rsidR="0036354A" w:rsidRPr="00AA16D9" w:rsidRDefault="0036354A" w:rsidP="0036354A">
      <w:pPr>
        <w:pStyle w:val="SingleTxtG"/>
        <w:ind w:firstLine="567"/>
      </w:pPr>
      <w:r w:rsidRPr="00AA16D9">
        <w:t>g)</w:t>
      </w:r>
      <w:r w:rsidRPr="00AA16D9">
        <w:tab/>
        <w:t>La croissance des jardins potagers dans les ménages assortis d</w:t>
      </w:r>
      <w:r>
        <w:t>’</w:t>
      </w:r>
      <w:r w:rsidRPr="00AA16D9">
        <w:t>un petit élevage de lapins; ainsi que la distribution des semences pour ces jardins; l</w:t>
      </w:r>
      <w:r>
        <w:t>’</w:t>
      </w:r>
      <w:r w:rsidRPr="00AA16D9">
        <w:t>encouragement à disposer d</w:t>
      </w:r>
      <w:r>
        <w:t>’</w:t>
      </w:r>
      <w:r w:rsidRPr="00AA16D9">
        <w:t>un jardin potager/famille;</w:t>
      </w:r>
    </w:p>
    <w:p w:rsidR="0036354A" w:rsidRPr="00AA16D9" w:rsidRDefault="0036354A" w:rsidP="0036354A">
      <w:pPr>
        <w:pStyle w:val="SingleTxtG"/>
        <w:ind w:firstLine="567"/>
      </w:pPr>
      <w:r w:rsidRPr="00AA16D9">
        <w:t>h)</w:t>
      </w:r>
      <w:r w:rsidRPr="00AA16D9">
        <w:tab/>
        <w:t>La fortification des aliments et la distribution de la vitamine A;</w:t>
      </w:r>
    </w:p>
    <w:p w:rsidR="0036354A" w:rsidRPr="00AA16D9" w:rsidRDefault="0036354A" w:rsidP="0036354A">
      <w:pPr>
        <w:pStyle w:val="SingleTxtG"/>
        <w:ind w:firstLine="567"/>
      </w:pPr>
      <w:r w:rsidRPr="00AA16D9">
        <w:t>i)</w:t>
      </w:r>
      <w:r w:rsidRPr="00AA16D9">
        <w:tab/>
        <w:t xml:space="preserve">Le soutien et la prise en charge nutritionnelle des personnes infectées ou affectées par le VIH; </w:t>
      </w:r>
    </w:p>
    <w:p w:rsidR="0036354A" w:rsidRPr="00AA16D9" w:rsidRDefault="0036354A" w:rsidP="0036354A">
      <w:pPr>
        <w:pStyle w:val="SingleTxtG"/>
        <w:ind w:firstLine="567"/>
      </w:pPr>
      <w:r w:rsidRPr="00AA16D9">
        <w:t>j)</w:t>
      </w:r>
      <w:r w:rsidRPr="00AA16D9">
        <w:tab/>
        <w:t xml:space="preserve">Le projet «one cow per family» pour les familles vulnérables; </w:t>
      </w:r>
    </w:p>
    <w:p w:rsidR="0036354A" w:rsidRPr="00AA16D9" w:rsidRDefault="0036354A" w:rsidP="0036354A">
      <w:pPr>
        <w:pStyle w:val="SingleTxtG"/>
        <w:ind w:firstLine="567"/>
      </w:pPr>
      <w:r w:rsidRPr="00AA16D9">
        <w:t>k)</w:t>
      </w:r>
      <w:r w:rsidRPr="00AA16D9">
        <w:tab/>
        <w:t>Le programme de «School feeding dans les écoles du Rwanda»: les activités de nutrition scolaire commencent à faire leur émergence dans des écoles, surtout dans les régions à haute insécurité alimentaire; 30 secteurs vont en bénéficier pour commencer. Ce projet vise non seulement à assurer l</w:t>
      </w:r>
      <w:r>
        <w:t>’</w:t>
      </w:r>
      <w:r w:rsidRPr="00AA16D9">
        <w:t>alimentation scolaire, mais aussi l</w:t>
      </w:r>
      <w:r>
        <w:t>’</w:t>
      </w:r>
      <w:r w:rsidRPr="00AA16D9">
        <w:t>autosuffisance des écoles et l</w:t>
      </w:r>
      <w:r>
        <w:t>’</w:t>
      </w:r>
      <w:r w:rsidRPr="00AA16D9">
        <w:t>amélioration des conditions de vie des personnes vivant dans le voisinage des écoles. Notons qu</w:t>
      </w:r>
      <w:r>
        <w:t>’</w:t>
      </w:r>
      <w:r w:rsidRPr="00AA16D9">
        <w:t>un baseline survey est en voie d</w:t>
      </w:r>
      <w:r>
        <w:t>’</w:t>
      </w:r>
      <w:r w:rsidRPr="00AA16D9">
        <w:t xml:space="preserve">élaboration qui déterminera le degré et le niveau de nutrition dans les écoles. </w:t>
      </w:r>
    </w:p>
    <w:p w:rsidR="0036354A" w:rsidRPr="00AA16D9" w:rsidRDefault="0036354A" w:rsidP="0036354A">
      <w:pPr>
        <w:pStyle w:val="H4G"/>
      </w:pPr>
      <w:r w:rsidRPr="00AA16D9">
        <w:tab/>
      </w:r>
      <w:r w:rsidRPr="00AA16D9">
        <w:tab/>
        <w:t>Les critères nutritionnels</w:t>
      </w:r>
    </w:p>
    <w:p w:rsidR="0036354A" w:rsidRPr="00AA16D9" w:rsidRDefault="0036354A" w:rsidP="0036354A">
      <w:pPr>
        <w:pStyle w:val="SingleTxtG"/>
      </w:pPr>
      <w:r w:rsidRPr="00AA16D9">
        <w:rPr>
          <w:szCs w:val="24"/>
        </w:rPr>
        <w:t>203.</w:t>
      </w:r>
      <w:r w:rsidRPr="00AA16D9">
        <w:rPr>
          <w:szCs w:val="24"/>
        </w:rPr>
        <w:tab/>
      </w:r>
      <w:r w:rsidRPr="00AA16D9">
        <w:t>Les critères nutritionnels,</w:t>
      </w:r>
      <w:r w:rsidRPr="00AA16D9">
        <w:rPr>
          <w:sz w:val="18"/>
          <w:szCs w:val="18"/>
          <w:vertAlign w:val="superscript"/>
        </w:rPr>
        <w:footnoteReference w:id="116"/>
      </w:r>
      <w:r w:rsidRPr="00AA16D9">
        <w:t xml:space="preserve"> afin d</w:t>
      </w:r>
      <w:r>
        <w:t>’</w:t>
      </w:r>
      <w:r w:rsidRPr="00AA16D9">
        <w:t xml:space="preserve">atteindre les objectifs de 2010, sont: en énergie 2183 Kcal/jour, en protéines 58g/jour et en lipides 18g/jour par personne. </w:t>
      </w:r>
    </w:p>
    <w:p w:rsidR="0036354A" w:rsidRPr="00AA16D9" w:rsidRDefault="0036354A" w:rsidP="0036354A">
      <w:pPr>
        <w:pStyle w:val="H4G"/>
      </w:pPr>
      <w:r w:rsidRPr="00AA16D9">
        <w:tab/>
      </w:r>
      <w:r w:rsidRPr="00AA16D9">
        <w:tab/>
        <w:t>Les mesures pour améliorer les méthodes de production des denrées alimentaires</w:t>
      </w:r>
    </w:p>
    <w:p w:rsidR="0036354A" w:rsidRPr="00AA16D9" w:rsidRDefault="0036354A" w:rsidP="0036354A">
      <w:pPr>
        <w:pStyle w:val="SingleTxtG"/>
      </w:pPr>
      <w:r w:rsidRPr="00AA16D9">
        <w:rPr>
          <w:szCs w:val="24"/>
        </w:rPr>
        <w:t>204.</w:t>
      </w:r>
      <w:r w:rsidRPr="00AA16D9">
        <w:rPr>
          <w:szCs w:val="24"/>
        </w:rPr>
        <w:tab/>
      </w:r>
      <w:r w:rsidRPr="00AA16D9">
        <w:t xml:space="preserve">Les mesures prises pour améliorer les méthodes de production des denrées alimentaires sont les suivantes: </w:t>
      </w:r>
    </w:p>
    <w:p w:rsidR="0036354A" w:rsidRPr="00AA16D9" w:rsidRDefault="0036354A" w:rsidP="0036354A">
      <w:pPr>
        <w:pStyle w:val="SingleTxtG"/>
        <w:ind w:firstLine="567"/>
      </w:pPr>
      <w:r w:rsidRPr="00AA16D9">
        <w:t>a)</w:t>
      </w:r>
      <w:r w:rsidRPr="00AA16D9">
        <w:tab/>
        <w:t>Une politique agricole a été définie. Elle vise en premier lieu la transformation et la modernisation de l</w:t>
      </w:r>
      <w:r>
        <w:t>’</w:t>
      </w:r>
      <w:r w:rsidRPr="00AA16D9">
        <w:t xml:space="preserve">agriculture, notamment: </w:t>
      </w:r>
    </w:p>
    <w:p w:rsidR="0036354A" w:rsidRPr="00AA16D9" w:rsidRDefault="0036354A" w:rsidP="0036354A">
      <w:pPr>
        <w:pStyle w:val="SingleTxtG"/>
        <w:ind w:left="1700"/>
      </w:pPr>
      <w:r w:rsidRPr="00AA16D9">
        <w:t>i)</w:t>
      </w:r>
      <w:r w:rsidRPr="00AA16D9">
        <w:tab/>
        <w:t>L</w:t>
      </w:r>
      <w:r>
        <w:t>’</w:t>
      </w:r>
      <w:r w:rsidRPr="00AA16D9">
        <w:t>intensification et diversification de la production agricole et de l</w:t>
      </w:r>
      <w:r>
        <w:t>’</w:t>
      </w:r>
      <w:r w:rsidRPr="00AA16D9">
        <w:t>élevage (avec l</w:t>
      </w:r>
      <w:r>
        <w:t>’</w:t>
      </w:r>
      <w:r w:rsidRPr="00AA16D9">
        <w:t>utilisation d</w:t>
      </w:r>
      <w:r>
        <w:t>’</w:t>
      </w:r>
      <w:r w:rsidRPr="00AA16D9">
        <w:t xml:space="preserve">entrants tels que les semences sélectionnées, les engrais organiques, les minéraux concentrés, les pesticides, etc.); </w:t>
      </w:r>
    </w:p>
    <w:p w:rsidR="0036354A" w:rsidRPr="00AA16D9" w:rsidRDefault="0036354A" w:rsidP="0036354A">
      <w:pPr>
        <w:pStyle w:val="SingleTxtG"/>
        <w:ind w:left="1700"/>
      </w:pPr>
      <w:r w:rsidRPr="00AA16D9">
        <w:t>ii)</w:t>
      </w:r>
      <w:r w:rsidRPr="00AA16D9">
        <w:tab/>
        <w:t>L</w:t>
      </w:r>
      <w:r>
        <w:t>’</w:t>
      </w:r>
      <w:r w:rsidRPr="00AA16D9">
        <w:t>intégration de l</w:t>
      </w:r>
      <w:r>
        <w:t>’</w:t>
      </w:r>
      <w:r w:rsidRPr="00AA16D9">
        <w:t>agriculture et de l</w:t>
      </w:r>
      <w:r>
        <w:t>’</w:t>
      </w:r>
      <w:r w:rsidRPr="00AA16D9">
        <w:t xml:space="preserve">élevage; </w:t>
      </w:r>
    </w:p>
    <w:p w:rsidR="0036354A" w:rsidRPr="00AA16D9" w:rsidRDefault="0036354A" w:rsidP="0036354A">
      <w:pPr>
        <w:pStyle w:val="SingleTxtG"/>
        <w:ind w:left="1700"/>
      </w:pPr>
      <w:r w:rsidRPr="00AA16D9">
        <w:t>iii)</w:t>
      </w:r>
      <w:r w:rsidRPr="00AA16D9">
        <w:tab/>
        <w:t>La lutte contre la dégradation des sols, due à l</w:t>
      </w:r>
      <w:r>
        <w:t>’</w:t>
      </w:r>
      <w:r w:rsidRPr="00AA16D9">
        <w:t>érosion et à l</w:t>
      </w:r>
      <w:r>
        <w:t>’</w:t>
      </w:r>
      <w:r w:rsidRPr="00AA16D9">
        <w:t xml:space="preserve">aménagement des marais; </w:t>
      </w:r>
    </w:p>
    <w:p w:rsidR="0036354A" w:rsidRPr="00AA16D9" w:rsidRDefault="0036354A" w:rsidP="0036354A">
      <w:pPr>
        <w:pStyle w:val="SingleTxtG"/>
        <w:ind w:left="1700"/>
      </w:pPr>
      <w:r w:rsidRPr="00AA16D9">
        <w:t>iv)</w:t>
      </w:r>
      <w:r w:rsidRPr="00AA16D9">
        <w:tab/>
        <w:t>L</w:t>
      </w:r>
      <w:r>
        <w:t>’</w:t>
      </w:r>
      <w:r w:rsidRPr="00AA16D9">
        <w:t>irrigation, la conservation de l</w:t>
      </w:r>
      <w:r>
        <w:t>’</w:t>
      </w:r>
      <w:r w:rsidRPr="00AA16D9">
        <w:t>eau des pluies et l</w:t>
      </w:r>
      <w:r>
        <w:t>’</w:t>
      </w:r>
      <w:r w:rsidRPr="00AA16D9">
        <w:t>utilisation rationnelle des eaux;</w:t>
      </w:r>
    </w:p>
    <w:p w:rsidR="0036354A" w:rsidRPr="00AA16D9" w:rsidRDefault="0036354A" w:rsidP="0036354A">
      <w:pPr>
        <w:pStyle w:val="SingleTxtG"/>
        <w:ind w:left="1700"/>
      </w:pPr>
      <w:r w:rsidRPr="00AA16D9">
        <w:t>v)</w:t>
      </w:r>
      <w:r w:rsidRPr="00AA16D9">
        <w:tab/>
        <w:t>L</w:t>
      </w:r>
      <w:r>
        <w:t>’</w:t>
      </w:r>
      <w:r w:rsidRPr="00AA16D9">
        <w:t>aménagement des infrastructures de desserte agricole (ponts et routes);</w:t>
      </w:r>
    </w:p>
    <w:p w:rsidR="0036354A" w:rsidRPr="00AA16D9" w:rsidRDefault="0036354A" w:rsidP="0036354A">
      <w:pPr>
        <w:pStyle w:val="SingleTxtG"/>
        <w:ind w:left="1700"/>
      </w:pPr>
      <w:r w:rsidRPr="00AA16D9">
        <w:t>vi)</w:t>
      </w:r>
      <w:r w:rsidRPr="00AA16D9">
        <w:tab/>
        <w:t>L</w:t>
      </w:r>
      <w:r>
        <w:t>’</w:t>
      </w:r>
      <w:r w:rsidRPr="00AA16D9">
        <w:t xml:space="preserve">adoption de technologies performantes adaptées aux producteurs; </w:t>
      </w:r>
    </w:p>
    <w:p w:rsidR="0036354A" w:rsidRPr="00AA16D9" w:rsidRDefault="0036354A" w:rsidP="0036354A">
      <w:pPr>
        <w:pStyle w:val="SingleTxtG"/>
        <w:ind w:left="1700"/>
      </w:pPr>
      <w:r w:rsidRPr="00AA16D9">
        <w:t>vii)</w:t>
      </w:r>
      <w:r w:rsidRPr="00AA16D9">
        <w:tab/>
        <w:t>Le développement des capacités techniques.</w:t>
      </w:r>
    </w:p>
    <w:p w:rsidR="0036354A" w:rsidRPr="00AA16D9" w:rsidRDefault="0036354A" w:rsidP="0036354A">
      <w:pPr>
        <w:pStyle w:val="SingleTxtG"/>
        <w:ind w:firstLine="567"/>
      </w:pPr>
      <w:r w:rsidRPr="00AA16D9">
        <w:t>b)</w:t>
      </w:r>
      <w:r w:rsidRPr="00AA16D9">
        <w:tab/>
        <w:t>La politique agricole vise à mettre l</w:t>
      </w:r>
      <w:r>
        <w:t>’</w:t>
      </w:r>
      <w:r w:rsidRPr="00AA16D9">
        <w:t xml:space="preserve">accent sur un partenariat avec le secteur privé; </w:t>
      </w:r>
    </w:p>
    <w:p w:rsidR="0036354A" w:rsidRPr="00AA16D9" w:rsidRDefault="0036354A" w:rsidP="0036354A">
      <w:pPr>
        <w:pStyle w:val="SingleTxtG"/>
        <w:ind w:firstLine="567"/>
      </w:pPr>
      <w:r w:rsidRPr="00AA16D9">
        <w:t>c)</w:t>
      </w:r>
      <w:r w:rsidRPr="00AA16D9">
        <w:tab/>
        <w:t>Le lancement du programme appelé «Integrated Development Program» et de la consolidation des terres (Consolidation Land) dans le but de coordonner l</w:t>
      </w:r>
      <w:r>
        <w:t>’</w:t>
      </w:r>
      <w:r w:rsidRPr="00AA16D9">
        <w:t>autosuffisance en denrées alimentaires tout comme de permettre l</w:t>
      </w:r>
      <w:r>
        <w:t>’</w:t>
      </w:r>
      <w:r w:rsidRPr="00AA16D9">
        <w:t>écoulement d</w:t>
      </w:r>
      <w:r>
        <w:t>’</w:t>
      </w:r>
      <w:r w:rsidRPr="00AA16D9">
        <w:t>autres denrées sur les marchés. Il s</w:t>
      </w:r>
      <w:r>
        <w:t>’</w:t>
      </w:r>
      <w:r w:rsidRPr="00AA16D9">
        <w:t>agit de passer d</w:t>
      </w:r>
      <w:r>
        <w:t>’</w:t>
      </w:r>
      <w:r w:rsidRPr="00AA16D9">
        <w:t>une agriculture de subsistance à une agriculture orientée vers le marché, la recherche de la sécurité alimentaire et la préservation de l</w:t>
      </w:r>
      <w:r>
        <w:t>’</w:t>
      </w:r>
      <w:r w:rsidRPr="00AA16D9">
        <w:t>environnement;</w:t>
      </w:r>
    </w:p>
    <w:p w:rsidR="0036354A" w:rsidRPr="00AA16D9" w:rsidRDefault="0036354A" w:rsidP="0036354A">
      <w:pPr>
        <w:pStyle w:val="SingleTxtG"/>
        <w:ind w:firstLine="567"/>
      </w:pPr>
      <w:r w:rsidRPr="00AA16D9">
        <w:t>d)</w:t>
      </w:r>
      <w:r w:rsidRPr="00AA16D9">
        <w:tab/>
        <w:t>L</w:t>
      </w:r>
      <w:r>
        <w:t>’</w:t>
      </w:r>
      <w:r w:rsidRPr="00AA16D9">
        <w:t xml:space="preserve">information du marché et le développement de la compétitivité; </w:t>
      </w:r>
    </w:p>
    <w:p w:rsidR="0036354A" w:rsidRPr="00AA16D9" w:rsidRDefault="0036354A" w:rsidP="0036354A">
      <w:pPr>
        <w:pStyle w:val="SingleTxtG"/>
        <w:ind w:firstLine="567"/>
      </w:pPr>
      <w:r w:rsidRPr="00AA16D9">
        <w:t>e)</w:t>
      </w:r>
      <w:r w:rsidRPr="00AA16D9">
        <w:tab/>
        <w:t>Le développement de l</w:t>
      </w:r>
      <w:r>
        <w:t>’</w:t>
      </w:r>
      <w:r w:rsidRPr="00AA16D9">
        <w:t>esprit d</w:t>
      </w:r>
      <w:r>
        <w:t>’</w:t>
      </w:r>
      <w:r w:rsidRPr="00AA16D9">
        <w:t>entreprenariat et la promotion des produits d</w:t>
      </w:r>
      <w:r>
        <w:t>’</w:t>
      </w:r>
      <w:r w:rsidRPr="00AA16D9">
        <w:t>exportation.</w:t>
      </w:r>
    </w:p>
    <w:p w:rsidR="0036354A" w:rsidRPr="00AA16D9" w:rsidRDefault="0036354A" w:rsidP="0036354A">
      <w:pPr>
        <w:pStyle w:val="H4G"/>
      </w:pPr>
      <w:r w:rsidRPr="00AA16D9">
        <w:tab/>
      </w:r>
      <w:r w:rsidRPr="00AA16D9">
        <w:tab/>
        <w:t>Mesures de conservation et de distribution des denrées alimentaires</w:t>
      </w:r>
    </w:p>
    <w:p w:rsidR="0036354A" w:rsidRPr="00AA16D9" w:rsidRDefault="0036354A" w:rsidP="0036354A">
      <w:pPr>
        <w:pStyle w:val="SingleTxtG"/>
      </w:pPr>
      <w:r w:rsidRPr="00AA16D9">
        <w:rPr>
          <w:szCs w:val="24"/>
        </w:rPr>
        <w:t>205.</w:t>
      </w:r>
      <w:r w:rsidRPr="00AA16D9">
        <w:rPr>
          <w:szCs w:val="24"/>
        </w:rPr>
        <w:tab/>
        <w:t>On c</w:t>
      </w:r>
      <w:r w:rsidRPr="00AA16D9">
        <w:t xml:space="preserve">itera à cet effet les mesures suivantes: </w:t>
      </w:r>
    </w:p>
    <w:p w:rsidR="0036354A" w:rsidRPr="00AA16D9" w:rsidRDefault="0036354A" w:rsidP="0036354A">
      <w:pPr>
        <w:pStyle w:val="SingleTxtG"/>
        <w:ind w:firstLine="567"/>
      </w:pPr>
      <w:r w:rsidRPr="00AA16D9">
        <w:t>a)</w:t>
      </w:r>
      <w:r w:rsidRPr="00AA16D9">
        <w:tab/>
        <w:t>En premier lieu, l</w:t>
      </w:r>
      <w:r>
        <w:t>’</w:t>
      </w:r>
      <w:r w:rsidRPr="00AA16D9">
        <w:t>étude menée par le Gouvernement pour établir la carte commerciale qui servira à identifier les centres commerciaux et les marchés, les types d</w:t>
      </w:r>
      <w:r>
        <w:t>’</w:t>
      </w:r>
      <w:r w:rsidRPr="00AA16D9">
        <w:t>exploitant et les secteurs d</w:t>
      </w:r>
      <w:r>
        <w:t>’</w:t>
      </w:r>
      <w:r w:rsidRPr="00AA16D9">
        <w:t xml:space="preserve">activité en vue de mettre sur pied une chaîne de distribution; </w:t>
      </w:r>
    </w:p>
    <w:p w:rsidR="0036354A" w:rsidRPr="00AA16D9" w:rsidRDefault="0036354A" w:rsidP="0036354A">
      <w:pPr>
        <w:pStyle w:val="SingleTxtG"/>
        <w:ind w:firstLine="567"/>
      </w:pPr>
      <w:r w:rsidRPr="00AA16D9">
        <w:t>b)</w:t>
      </w:r>
      <w:r w:rsidRPr="00AA16D9">
        <w:tab/>
        <w:t>L</w:t>
      </w:r>
      <w:r>
        <w:t>’</w:t>
      </w:r>
      <w:r w:rsidRPr="00AA16D9">
        <w:t>aide que le Gouvernement apporte aux coopératives afin d</w:t>
      </w:r>
      <w:r>
        <w:t>’</w:t>
      </w:r>
      <w:r w:rsidRPr="00AA16D9">
        <w:t xml:space="preserve">améliorer les techniques de séchage, surtout pour les produits vivriers comme le manioc et la banane. Des aires de séchage sont en construction; </w:t>
      </w:r>
    </w:p>
    <w:p w:rsidR="0036354A" w:rsidRPr="00AA16D9" w:rsidRDefault="0036354A" w:rsidP="0036354A">
      <w:pPr>
        <w:pStyle w:val="SingleTxtG"/>
        <w:ind w:firstLine="567"/>
      </w:pPr>
      <w:r w:rsidRPr="00AA16D9">
        <w:t>c)</w:t>
      </w:r>
      <w:r w:rsidRPr="00AA16D9">
        <w:tab/>
        <w:t>Dès que l</w:t>
      </w:r>
      <w:r>
        <w:t>’</w:t>
      </w:r>
      <w:r w:rsidRPr="00AA16D9">
        <w:t>étape de conservation sera terminée, le Gouvernement s</w:t>
      </w:r>
      <w:r>
        <w:t>’</w:t>
      </w:r>
      <w:r w:rsidRPr="00AA16D9">
        <w:t>attaquera au problème de trouver et de construire des hangars de stockage de ces produits proches des marchés.</w:t>
      </w:r>
    </w:p>
    <w:p w:rsidR="0036354A" w:rsidRPr="00AA16D9" w:rsidRDefault="0036354A" w:rsidP="0036354A">
      <w:pPr>
        <w:pStyle w:val="H4G"/>
      </w:pPr>
      <w:r w:rsidRPr="00AA16D9">
        <w:tab/>
      </w:r>
      <w:r w:rsidRPr="00AA16D9">
        <w:tab/>
        <w:t>L</w:t>
      </w:r>
      <w:r>
        <w:t>’</w:t>
      </w:r>
      <w:r w:rsidRPr="00AA16D9">
        <w:t>impact de ces mesures sur l</w:t>
      </w:r>
      <w:r>
        <w:t>’</w:t>
      </w:r>
      <w:r w:rsidRPr="00AA16D9">
        <w:t xml:space="preserve">équilibre écologique </w:t>
      </w:r>
    </w:p>
    <w:p w:rsidR="0036354A" w:rsidRPr="00AA16D9" w:rsidRDefault="0036354A" w:rsidP="0036354A">
      <w:pPr>
        <w:pStyle w:val="SingleTxtG"/>
      </w:pPr>
      <w:r w:rsidRPr="00AA16D9">
        <w:rPr>
          <w:szCs w:val="24"/>
        </w:rPr>
        <w:t>206.</w:t>
      </w:r>
      <w:r w:rsidRPr="00AA16D9">
        <w:rPr>
          <w:szCs w:val="24"/>
        </w:rPr>
        <w:tab/>
      </w:r>
      <w:r w:rsidRPr="00AA16D9">
        <w:t>L</w:t>
      </w:r>
      <w:r>
        <w:t>’</w:t>
      </w:r>
      <w:r w:rsidRPr="00AA16D9">
        <w:t>impact de ces mesures sur l</w:t>
      </w:r>
      <w:r>
        <w:t>’</w:t>
      </w:r>
      <w:r w:rsidRPr="00AA16D9">
        <w:t xml:space="preserve">équilibre écologique et la conservation des ressources productrices de denrées alimentaires est le suivant: </w:t>
      </w:r>
    </w:p>
    <w:p w:rsidR="0036354A" w:rsidRPr="00AA16D9" w:rsidRDefault="0036354A" w:rsidP="0036354A">
      <w:pPr>
        <w:pStyle w:val="SingleTxtG"/>
        <w:ind w:firstLine="567"/>
      </w:pPr>
      <w:r w:rsidRPr="00AA16D9">
        <w:t>a)</w:t>
      </w:r>
      <w:r w:rsidRPr="00AA16D9">
        <w:tab/>
        <w:t>Le projet de lutte antiérosive est né pour éviter l</w:t>
      </w:r>
      <w:r>
        <w:t>’</w:t>
      </w:r>
      <w:r w:rsidRPr="00AA16D9">
        <w:t xml:space="preserve">érosion hydrique et la perte de la fertilité des sols; </w:t>
      </w:r>
    </w:p>
    <w:p w:rsidR="0036354A" w:rsidRPr="00AA16D9" w:rsidRDefault="0036354A" w:rsidP="0036354A">
      <w:pPr>
        <w:pStyle w:val="SingleTxtG"/>
        <w:ind w:firstLine="567"/>
      </w:pPr>
      <w:r w:rsidRPr="00AA16D9">
        <w:t>b)</w:t>
      </w:r>
      <w:r w:rsidRPr="00AA16D9">
        <w:tab/>
        <w:t>Du fait de la faible utilisation d</w:t>
      </w:r>
      <w:r>
        <w:t>’</w:t>
      </w:r>
      <w:r w:rsidRPr="00AA16D9">
        <w:t>intrants, et parmi eux des fertilisants ou des semences améliorées, l</w:t>
      </w:r>
      <w:r>
        <w:t>’</w:t>
      </w:r>
      <w:r w:rsidRPr="00AA16D9">
        <w:t>on obtient une faible productivité des terres. Pour cela, le Gouvernement est en train de mobiliser toute son énergie pour éliminer les barrières psychologiques actuelles auxquelles se heurte le développement des actions de lutte antiérosive et pour intégrer les producteurs dans un processus de conservation des sols et de réhabilitation de leur fertilité;</w:t>
      </w:r>
    </w:p>
    <w:p w:rsidR="0036354A" w:rsidRPr="00AA16D9" w:rsidRDefault="0036354A" w:rsidP="0036354A">
      <w:pPr>
        <w:pStyle w:val="SingleTxtG"/>
        <w:ind w:firstLine="567"/>
      </w:pPr>
      <w:r w:rsidRPr="00AA16D9">
        <w:t>c)</w:t>
      </w:r>
      <w:r w:rsidRPr="00AA16D9">
        <w:tab/>
        <w:t>La construction des terrasses (érection de 2 941 terrasses au 1</w:t>
      </w:r>
      <w:r w:rsidRPr="00AA16D9">
        <w:rPr>
          <w:vertAlign w:val="superscript"/>
        </w:rPr>
        <w:t>er</w:t>
      </w:r>
      <w:r w:rsidRPr="00AA16D9">
        <w:t xml:space="preserve"> semestre 2008, l</w:t>
      </w:r>
      <w:r>
        <w:t>’</w:t>
      </w:r>
      <w:r w:rsidRPr="00AA16D9">
        <w:t xml:space="preserve">objectif annuel étant de 4 750) et le développement des marécages pour favoriser une bonne conservation du sol; </w:t>
      </w:r>
    </w:p>
    <w:p w:rsidR="0036354A" w:rsidRPr="00AA16D9" w:rsidRDefault="0036354A" w:rsidP="0036354A">
      <w:pPr>
        <w:pStyle w:val="SingleTxtG"/>
        <w:ind w:firstLine="567"/>
      </w:pPr>
      <w:r w:rsidRPr="00AA16D9">
        <w:t>d)</w:t>
      </w:r>
      <w:r w:rsidRPr="00AA16D9">
        <w:tab/>
        <w:t>L</w:t>
      </w:r>
      <w:r>
        <w:t>’</w:t>
      </w:r>
      <w:r w:rsidRPr="00AA16D9">
        <w:t>augmentation de la production de fumier grâce au programme de distribution d</w:t>
      </w:r>
      <w:r>
        <w:t>’</w:t>
      </w:r>
      <w:r w:rsidRPr="00AA16D9">
        <w:t>une vache/famille. Le 1</w:t>
      </w:r>
      <w:r w:rsidRPr="00AA16D9">
        <w:rPr>
          <w:vertAlign w:val="superscript"/>
        </w:rPr>
        <w:t>er</w:t>
      </w:r>
      <w:r w:rsidRPr="00AA16D9">
        <w:t xml:space="preserve"> semestre 2008 a vu 8 471 ménages bénéficier de ce programme (le but fixé étant d</w:t>
      </w:r>
      <w:r>
        <w:t>’</w:t>
      </w:r>
      <w:r w:rsidRPr="00AA16D9">
        <w:t xml:space="preserve">environ 17 000/an); </w:t>
      </w:r>
    </w:p>
    <w:p w:rsidR="0036354A" w:rsidRPr="00AA16D9" w:rsidRDefault="0036354A" w:rsidP="0036354A">
      <w:pPr>
        <w:pStyle w:val="SingleTxtG"/>
        <w:ind w:firstLine="567"/>
      </w:pPr>
      <w:r w:rsidRPr="00AA16D9">
        <w:t>e)</w:t>
      </w:r>
      <w:r w:rsidRPr="00AA16D9">
        <w:tab/>
        <w:t>Le stockage des vivres: les habitants sont encouragés à stocker leurs vivres après la saison des récoltes;</w:t>
      </w:r>
    </w:p>
    <w:p w:rsidR="0036354A" w:rsidRPr="00AA16D9" w:rsidRDefault="0036354A" w:rsidP="0036354A">
      <w:pPr>
        <w:pStyle w:val="SingleTxtG"/>
        <w:ind w:firstLine="567"/>
      </w:pPr>
      <w:r w:rsidRPr="00AA16D9">
        <w:t>f)</w:t>
      </w:r>
      <w:r w:rsidRPr="00AA16D9">
        <w:tab/>
        <w:t>Avec ces mesures, le 1</w:t>
      </w:r>
      <w:r w:rsidRPr="00AA16D9">
        <w:rPr>
          <w:vertAlign w:val="superscript"/>
        </w:rPr>
        <w:t>er</w:t>
      </w:r>
      <w:r w:rsidRPr="00AA16D9">
        <w:t xml:space="preserve"> trimestre 2008</w:t>
      </w:r>
      <w:r w:rsidRPr="00AA16D9">
        <w:rPr>
          <w:sz w:val="18"/>
          <w:szCs w:val="18"/>
          <w:vertAlign w:val="superscript"/>
        </w:rPr>
        <w:footnoteReference w:id="117"/>
      </w:r>
      <w:r w:rsidRPr="00AA16D9">
        <w:t xml:space="preserve"> a enregistré une augmentation de 16 % de la production agricole et des projections en hausse pour les produits d</w:t>
      </w:r>
      <w:r>
        <w:t>’</w:t>
      </w:r>
      <w:r w:rsidRPr="00AA16D9">
        <w:t>origine animale et d</w:t>
      </w:r>
      <w:r>
        <w:t>’</w:t>
      </w:r>
      <w:r w:rsidRPr="00AA16D9">
        <w:t>exportation; il y a eu distribution de 22 500 tonnes de fertilisants, améliorant ainsi la production des cultures de manioc et de blé (67 869 tonnes). Pour ce dernier, la production a excédé les prévisions et objectifs de l</w:t>
      </w:r>
      <w:r>
        <w:t>’</w:t>
      </w:r>
      <w:r w:rsidRPr="00AA16D9">
        <w:t xml:space="preserve">EDPRS 2012 (prévus à 30 000 tonnes). </w:t>
      </w:r>
    </w:p>
    <w:p w:rsidR="0036354A" w:rsidRPr="00AA16D9" w:rsidRDefault="0036354A" w:rsidP="0036354A">
      <w:pPr>
        <w:pStyle w:val="H4G"/>
      </w:pPr>
      <w:r w:rsidRPr="00AA16D9">
        <w:tab/>
      </w:r>
      <w:r w:rsidRPr="00AA16D9">
        <w:tab/>
        <w:t>La diffusion de la connaissance des principes nutritionnels</w:t>
      </w:r>
    </w:p>
    <w:p w:rsidR="0036354A" w:rsidRPr="00AA16D9" w:rsidRDefault="0036354A" w:rsidP="0036354A">
      <w:pPr>
        <w:pStyle w:val="SingleTxtG"/>
      </w:pPr>
      <w:r w:rsidRPr="00AA16D9">
        <w:rPr>
          <w:szCs w:val="24"/>
        </w:rPr>
        <w:t>207.</w:t>
      </w:r>
      <w:r w:rsidRPr="00AA16D9">
        <w:rPr>
          <w:szCs w:val="24"/>
        </w:rPr>
        <w:tab/>
      </w:r>
      <w:r w:rsidRPr="00AA16D9">
        <w:t>La diffusion de la connaissance des principes nutritionnels se fait par:</w:t>
      </w:r>
    </w:p>
    <w:p w:rsidR="0036354A" w:rsidRPr="00AA16D9" w:rsidRDefault="0036354A" w:rsidP="0036354A">
      <w:pPr>
        <w:pStyle w:val="SingleTxtG"/>
        <w:ind w:firstLine="567"/>
      </w:pPr>
      <w:r w:rsidRPr="00AA16D9">
        <w:t>a)</w:t>
      </w:r>
      <w:r w:rsidRPr="00AA16D9">
        <w:tab/>
        <w:t xml:space="preserve">Le biais de la sensibilisation sur les ondes de la radio et de la télévision ou par des brochures; </w:t>
      </w:r>
    </w:p>
    <w:p w:rsidR="0036354A" w:rsidRPr="00AA16D9" w:rsidRDefault="0036354A" w:rsidP="0036354A">
      <w:pPr>
        <w:pStyle w:val="SingleTxtG"/>
        <w:ind w:firstLine="567"/>
      </w:pPr>
      <w:r w:rsidRPr="00AA16D9">
        <w:t>b)</w:t>
      </w:r>
      <w:r w:rsidRPr="00AA16D9">
        <w:tab/>
        <w:t xml:space="preserve">Des messages sur la nutrition: </w:t>
      </w:r>
    </w:p>
    <w:p w:rsidR="0036354A" w:rsidRPr="00AA16D9" w:rsidRDefault="0036354A" w:rsidP="0036354A">
      <w:pPr>
        <w:pStyle w:val="Bullet2G"/>
      </w:pPr>
      <w:r w:rsidRPr="00AA16D9">
        <w:t>Dans le périodique d</w:t>
      </w:r>
      <w:r>
        <w:t>’</w:t>
      </w:r>
      <w:r w:rsidRPr="00AA16D9">
        <w:t>information «Urubuga rw</w:t>
      </w:r>
      <w:r>
        <w:t>’</w:t>
      </w:r>
      <w:r w:rsidRPr="00AA16D9">
        <w:t>Ubuzima»;</w:t>
      </w:r>
    </w:p>
    <w:p w:rsidR="0036354A" w:rsidRPr="00AA16D9" w:rsidRDefault="0036354A" w:rsidP="0036354A">
      <w:pPr>
        <w:pStyle w:val="Bullet2G"/>
      </w:pPr>
      <w:r w:rsidRPr="00AA16D9">
        <w:t>Dans les centres rwandais de communication pour la santé «Gira ubuzima»;</w:t>
      </w:r>
    </w:p>
    <w:p w:rsidR="0036354A" w:rsidRPr="00AA16D9" w:rsidRDefault="0036354A" w:rsidP="0036354A">
      <w:pPr>
        <w:pStyle w:val="Bullet2G"/>
      </w:pPr>
      <w:r w:rsidRPr="00AA16D9">
        <w:t>Diffusés dans les programmes de nutrition communautaire intégrés au programme de santé communautaire par les agents de santé communautaire;</w:t>
      </w:r>
    </w:p>
    <w:p w:rsidR="0036354A" w:rsidRPr="00AA16D9" w:rsidRDefault="0036354A" w:rsidP="0036354A">
      <w:pPr>
        <w:pStyle w:val="Bullet2G"/>
      </w:pPr>
      <w:r w:rsidRPr="00AA16D9">
        <w:t>Relayés par les agents de santé communautaire dans les programmes de nutrition des victimes/malades du VIH/sida;</w:t>
      </w:r>
    </w:p>
    <w:p w:rsidR="0036354A" w:rsidRPr="00AA16D9" w:rsidRDefault="0036354A" w:rsidP="0036354A">
      <w:pPr>
        <w:pStyle w:val="Bullet2G"/>
      </w:pPr>
      <w:r w:rsidRPr="00AA16D9">
        <w:t>Lors de la promotion des produits alimentaires localement disponibles dans les ménages;</w:t>
      </w:r>
    </w:p>
    <w:p w:rsidR="0036354A" w:rsidRPr="00AA16D9" w:rsidRDefault="0036354A" w:rsidP="0036354A">
      <w:pPr>
        <w:pStyle w:val="Bullet2G"/>
      </w:pPr>
      <w:r w:rsidRPr="00AA16D9">
        <w:t>Lors des campagnes en vue de sensibiliser à la pratique des jardins potagers et fruitiers ainsi qu</w:t>
      </w:r>
      <w:r>
        <w:t>’</w:t>
      </w:r>
      <w:r w:rsidRPr="00AA16D9">
        <w:t>à l</w:t>
      </w:r>
      <w:r>
        <w:t>’</w:t>
      </w:r>
      <w:r w:rsidRPr="00AA16D9">
        <w:t>élevage d</w:t>
      </w:r>
      <w:r>
        <w:t>’</w:t>
      </w:r>
      <w:r w:rsidRPr="00AA16D9">
        <w:t xml:space="preserve">un petit bétail pour prévenir la malnutrition. </w:t>
      </w:r>
    </w:p>
    <w:p w:rsidR="0036354A" w:rsidRPr="00AA16D9" w:rsidRDefault="0036354A" w:rsidP="0036354A">
      <w:pPr>
        <w:pStyle w:val="SingleTxtG"/>
      </w:pPr>
      <w:r w:rsidRPr="00AA16D9">
        <w:rPr>
          <w:szCs w:val="24"/>
        </w:rPr>
        <w:t>208.</w:t>
      </w:r>
      <w:r w:rsidRPr="00AA16D9">
        <w:rPr>
          <w:szCs w:val="24"/>
        </w:rPr>
        <w:tab/>
      </w:r>
      <w:r w:rsidRPr="00AA16D9">
        <w:t>Il n</w:t>
      </w:r>
      <w:r>
        <w:t>’</w:t>
      </w:r>
      <w:r w:rsidRPr="00AA16D9">
        <w:t>en reste pas moins qu</w:t>
      </w:r>
      <w:r>
        <w:t>’</w:t>
      </w:r>
      <w:r w:rsidRPr="00AA16D9">
        <w:t>il y a encore des groupes qui ne sont pas familiarisés avec les questions relatives à la nutrition. Ce sont en général les groupes vulnérables mentionnés ci</w:t>
      </w:r>
      <w:r w:rsidRPr="00AA16D9">
        <w:noBreakHyphen/>
        <w:t xml:space="preserve">haut. </w:t>
      </w:r>
    </w:p>
    <w:p w:rsidR="0036354A" w:rsidRPr="00AA16D9" w:rsidRDefault="0036354A" w:rsidP="0036354A">
      <w:pPr>
        <w:pStyle w:val="H4G"/>
      </w:pPr>
      <w:r w:rsidRPr="00AA16D9">
        <w:tab/>
      </w:r>
      <w:r w:rsidRPr="00AA16D9">
        <w:tab/>
        <w:t>Les mesures de réforme agraire</w:t>
      </w:r>
    </w:p>
    <w:p w:rsidR="0036354A" w:rsidRPr="00AA16D9" w:rsidRDefault="0036354A" w:rsidP="0036354A">
      <w:pPr>
        <w:pStyle w:val="SingleTxtG"/>
      </w:pPr>
      <w:r w:rsidRPr="00AA16D9">
        <w:t>209.</w:t>
      </w:r>
      <w:r w:rsidRPr="00AA16D9">
        <w:tab/>
        <w:t>Les mesures de réforme agraire décidées par le Gouvernement pour assurer la sécurité alimentaire sont les suivantes:</w:t>
      </w:r>
    </w:p>
    <w:p w:rsidR="0036354A" w:rsidRPr="00AA16D9" w:rsidRDefault="0036354A" w:rsidP="0036354A">
      <w:pPr>
        <w:pStyle w:val="SingleTxtG"/>
        <w:ind w:firstLine="567"/>
      </w:pPr>
      <w:r w:rsidRPr="00AA16D9">
        <w:t>a)</w:t>
      </w:r>
      <w:r w:rsidRPr="00AA16D9">
        <w:tab/>
        <w:t>Dans l</w:t>
      </w:r>
      <w:r>
        <w:t>’</w:t>
      </w:r>
      <w:r w:rsidRPr="00AA16D9">
        <w:t>adoption des lois, notons la loi sur le régime foncier</w:t>
      </w:r>
      <w:r w:rsidRPr="00AA16D9">
        <w:rPr>
          <w:sz w:val="18"/>
          <w:szCs w:val="18"/>
          <w:vertAlign w:val="superscript"/>
        </w:rPr>
        <w:footnoteReference w:id="118"/>
      </w:r>
      <w:r w:rsidRPr="00AA16D9">
        <w:t xml:space="preserve"> et ses divers arrêtés d</w:t>
      </w:r>
      <w:r>
        <w:t>’</w:t>
      </w:r>
      <w:r w:rsidRPr="00AA16D9">
        <w:t>application. Cette dernière permet la consolidation des terres, dans le but d</w:t>
      </w:r>
      <w:r>
        <w:t>’</w:t>
      </w:r>
      <w:r w:rsidRPr="00AA16D9">
        <w:t>affecter de grosses superficies de terre à l</w:t>
      </w:r>
      <w:r>
        <w:t>’</w:t>
      </w:r>
      <w:r w:rsidRPr="00AA16D9">
        <w:t>exploitation agricole, d</w:t>
      </w:r>
      <w:r>
        <w:t>’</w:t>
      </w:r>
      <w:r w:rsidRPr="00AA16D9">
        <w:t>éviter le morcellement et d</w:t>
      </w:r>
      <w:r>
        <w:t>’</w:t>
      </w:r>
      <w:r w:rsidRPr="00AA16D9">
        <w:t xml:space="preserve">assurer ainsi la sécurité alimentaire; </w:t>
      </w:r>
    </w:p>
    <w:p w:rsidR="0036354A" w:rsidRPr="00AA16D9" w:rsidRDefault="0036354A" w:rsidP="0036354A">
      <w:pPr>
        <w:pStyle w:val="SingleTxtG"/>
        <w:ind w:firstLine="567"/>
      </w:pPr>
      <w:r w:rsidRPr="00AA16D9">
        <w:t>b)</w:t>
      </w:r>
      <w:r w:rsidRPr="00AA16D9">
        <w:tab/>
        <w:t xml:space="preserve">La nouvelle politique foncière, en 2004, vise à augmenter la rentabilité de la production par le choix: </w:t>
      </w:r>
    </w:p>
    <w:p w:rsidR="0036354A" w:rsidRPr="00AA16D9" w:rsidRDefault="0036354A" w:rsidP="0036354A">
      <w:pPr>
        <w:pStyle w:val="SingleTxtG"/>
        <w:ind w:left="1700"/>
      </w:pPr>
      <w:r w:rsidRPr="00AA16D9">
        <w:t>i)</w:t>
      </w:r>
      <w:r w:rsidRPr="00AA16D9">
        <w:tab/>
        <w:t>Le regroupement des populations dans les villages «Imidugudu» afin de disposer de plus de terres cultivables;</w:t>
      </w:r>
    </w:p>
    <w:p w:rsidR="0036354A" w:rsidRPr="00AA16D9" w:rsidRDefault="0036354A" w:rsidP="0036354A">
      <w:pPr>
        <w:pStyle w:val="SingleTxtG"/>
        <w:ind w:left="1700"/>
      </w:pPr>
      <w:r w:rsidRPr="00AA16D9">
        <w:t>ii)</w:t>
      </w:r>
      <w:r w:rsidRPr="00AA16D9">
        <w:tab/>
        <w:t>L</w:t>
      </w:r>
      <w:r>
        <w:t>’</w:t>
      </w:r>
      <w:r w:rsidRPr="00AA16D9">
        <w:t>exploitation familiale de type coopérative pour éviter le morcellement continu;</w:t>
      </w:r>
    </w:p>
    <w:p w:rsidR="0036354A" w:rsidRPr="00AA16D9" w:rsidRDefault="0036354A" w:rsidP="0036354A">
      <w:pPr>
        <w:pStyle w:val="SingleTxtG"/>
        <w:ind w:left="1700"/>
      </w:pPr>
      <w:r w:rsidRPr="00AA16D9">
        <w:t>iii)</w:t>
      </w:r>
      <w:r w:rsidRPr="00AA16D9">
        <w:tab/>
        <w:t>Le programme de régionalisation et de vocation des terres ainsi que les schémas directeurs et les cartes de classification et d</w:t>
      </w:r>
      <w:r>
        <w:t>’</w:t>
      </w:r>
      <w:r w:rsidRPr="00AA16D9">
        <w:t>aménagement territorial permettant l</w:t>
      </w:r>
      <w:r>
        <w:t>’</w:t>
      </w:r>
      <w:r w:rsidRPr="00AA16D9">
        <w:t>allocation des terres selon leur catégorie;</w:t>
      </w:r>
    </w:p>
    <w:p w:rsidR="0036354A" w:rsidRPr="00AA16D9" w:rsidRDefault="0036354A" w:rsidP="0036354A">
      <w:pPr>
        <w:pStyle w:val="SingleTxtG"/>
        <w:ind w:left="1700"/>
      </w:pPr>
      <w:r w:rsidRPr="00AA16D9">
        <w:t>iv)</w:t>
      </w:r>
      <w:r w:rsidRPr="00AA16D9">
        <w:tab/>
        <w:t>La politique de transformation de l</w:t>
      </w:r>
      <w:r>
        <w:t>’</w:t>
      </w:r>
      <w:r w:rsidRPr="00AA16D9">
        <w:t>agriculture est aussi d</w:t>
      </w:r>
      <w:r>
        <w:t>’</w:t>
      </w:r>
      <w:r w:rsidRPr="00AA16D9">
        <w:t>une grande aide du fait qu</w:t>
      </w:r>
      <w:r>
        <w:t>’</w:t>
      </w:r>
      <w:r w:rsidRPr="00AA16D9">
        <w:t>elle préconise l</w:t>
      </w:r>
      <w:r>
        <w:t>’</w:t>
      </w:r>
      <w:r w:rsidRPr="00AA16D9">
        <w:t xml:space="preserve">utilisation des méthodes agricoles modernes. </w:t>
      </w:r>
    </w:p>
    <w:p w:rsidR="0036354A" w:rsidRPr="00AA16D9" w:rsidRDefault="0036354A" w:rsidP="0036354A">
      <w:pPr>
        <w:pStyle w:val="H4G"/>
      </w:pPr>
      <w:r w:rsidRPr="00AA16D9">
        <w:tab/>
      </w:r>
      <w:r w:rsidRPr="00AA16D9">
        <w:tab/>
        <w:t>La surveillance des mesures prises</w:t>
      </w:r>
    </w:p>
    <w:p w:rsidR="0036354A" w:rsidRPr="00AA16D9" w:rsidRDefault="0036354A" w:rsidP="0036354A">
      <w:pPr>
        <w:pStyle w:val="SingleTxtG"/>
      </w:pPr>
      <w:r w:rsidRPr="00AA16D9">
        <w:rPr>
          <w:szCs w:val="24"/>
        </w:rPr>
        <w:t>210.</w:t>
      </w:r>
      <w:r w:rsidRPr="00AA16D9">
        <w:rPr>
          <w:szCs w:val="24"/>
        </w:rPr>
        <w:tab/>
      </w:r>
      <w:r w:rsidRPr="00AA16D9">
        <w:t>Elle se fait par le biais de différents acteurs:</w:t>
      </w:r>
    </w:p>
    <w:p w:rsidR="0036354A" w:rsidRPr="00AA16D9" w:rsidRDefault="0036354A" w:rsidP="0036354A">
      <w:pPr>
        <w:pStyle w:val="SingleTxtG"/>
        <w:ind w:firstLine="567"/>
      </w:pPr>
      <w:r w:rsidRPr="00AA16D9">
        <w:t>a)</w:t>
      </w:r>
      <w:r w:rsidRPr="00AA16D9">
        <w:tab/>
        <w:t xml:space="preserve">Plusieurs acteurs entrent en jeu. Il y a évidemment les services publics, les collectivités locales, les communautés de base, les organisations professionnelles et les opérateurs privés, mais aussi les partenaires techniques et financiers, sans oublier la société civile; </w:t>
      </w:r>
    </w:p>
    <w:p w:rsidR="0036354A" w:rsidRPr="00AA16D9" w:rsidRDefault="0036354A" w:rsidP="0036354A">
      <w:pPr>
        <w:pStyle w:val="SingleTxtG"/>
        <w:ind w:firstLine="567"/>
      </w:pPr>
      <w:r w:rsidRPr="00AA16D9">
        <w:t>b)</w:t>
      </w:r>
      <w:r w:rsidRPr="00AA16D9">
        <w:tab/>
        <w:t>Le MINAGRI fait fonctionner des plates-formes de concertation à tous les niveaux et implique tous ces acteurs dans le suivi-évaluation opérationnel du plan stratégique de transformation de ce secteur;</w:t>
      </w:r>
    </w:p>
    <w:p w:rsidR="0036354A" w:rsidRPr="00AA16D9" w:rsidRDefault="0036354A" w:rsidP="0036354A">
      <w:pPr>
        <w:pStyle w:val="SingleTxtG"/>
        <w:ind w:firstLine="567"/>
      </w:pPr>
      <w:r w:rsidRPr="00AA16D9">
        <w:t>c)</w:t>
      </w:r>
      <w:r w:rsidRPr="00AA16D9">
        <w:tab/>
        <w:t>Quant à l</w:t>
      </w:r>
      <w:r>
        <w:t>’</w:t>
      </w:r>
      <w:r w:rsidRPr="00AA16D9">
        <w:t xml:space="preserve">ISAR, il implique les communautés rurales bénéficiaires ainsi que les autres partenaires dans la dissémination des innovations; quant à la vulgarisation agricole, elle est prise en charge par les organisations de producteurs. </w:t>
      </w:r>
    </w:p>
    <w:p w:rsidR="0036354A" w:rsidRPr="00AA16D9" w:rsidRDefault="0036354A" w:rsidP="0036354A">
      <w:pPr>
        <w:pStyle w:val="SingleTxtG"/>
      </w:pPr>
      <w:r w:rsidRPr="00AA16D9">
        <w:rPr>
          <w:szCs w:val="24"/>
        </w:rPr>
        <w:t>211.</w:t>
      </w:r>
      <w:r w:rsidRPr="00AA16D9">
        <w:rPr>
          <w:szCs w:val="24"/>
        </w:rPr>
        <w:tab/>
      </w:r>
      <w:r w:rsidRPr="00AA16D9">
        <w:t xml:space="preserve">Le secteur privé est aussi impliqué dans la production agricole, en particulier dans la promotion des filières orientées vers le marché et la diffusion des intrants et des techniques modernes de production. </w:t>
      </w:r>
    </w:p>
    <w:p w:rsidR="0036354A" w:rsidRPr="00AA16D9" w:rsidRDefault="0036354A" w:rsidP="0036354A">
      <w:pPr>
        <w:pStyle w:val="H4G"/>
      </w:pPr>
      <w:r w:rsidRPr="00AA16D9">
        <w:tab/>
      </w:r>
      <w:r w:rsidRPr="00AA16D9">
        <w:tab/>
        <w:t>Du point de vue de la distribution des denrées alimentaires</w:t>
      </w:r>
    </w:p>
    <w:p w:rsidR="0036354A" w:rsidRPr="00AA16D9" w:rsidRDefault="0036354A" w:rsidP="0036354A">
      <w:pPr>
        <w:pStyle w:val="SingleTxtG"/>
      </w:pPr>
      <w:r w:rsidRPr="00AA16D9">
        <w:rPr>
          <w:szCs w:val="24"/>
        </w:rPr>
        <w:t>212.</w:t>
      </w:r>
      <w:r w:rsidRPr="00AA16D9">
        <w:rPr>
          <w:szCs w:val="24"/>
        </w:rPr>
        <w:tab/>
      </w:r>
      <w:r w:rsidRPr="00AA16D9">
        <w:t>La priorité du Gouvernement est d</w:t>
      </w:r>
      <w:r>
        <w:t>’</w:t>
      </w:r>
      <w:r w:rsidRPr="00AA16D9">
        <w:t>assurer une production suffisante et ce, en assurant la mise à disposition d</w:t>
      </w:r>
      <w:r>
        <w:t>’</w:t>
      </w:r>
      <w:r w:rsidRPr="00AA16D9">
        <w:t>intrants agricoles. L</w:t>
      </w:r>
      <w:r>
        <w:t>’</w:t>
      </w:r>
      <w:r w:rsidRPr="00AA16D9">
        <w:t>État a mis en place des mesures pour augmenter la production, c</w:t>
      </w:r>
      <w:r>
        <w:t>’</w:t>
      </w:r>
      <w:r w:rsidRPr="00AA16D9">
        <w:t xml:space="preserve">est le «crop identification program». Notons que durant la dernière crise des denrées alimentaires en 2008, les prix des denrées sont restés stables dans le pays. </w:t>
      </w:r>
    </w:p>
    <w:p w:rsidR="0036354A" w:rsidRPr="00AA16D9" w:rsidRDefault="0036354A" w:rsidP="0036354A">
      <w:pPr>
        <w:pStyle w:val="H4G"/>
        <w:rPr>
          <w:u w:val="single"/>
        </w:rPr>
      </w:pPr>
      <w:r w:rsidRPr="00AA16D9">
        <w:tab/>
      </w:r>
      <w:r w:rsidRPr="00AA16D9">
        <w:tab/>
        <w:t xml:space="preserve">Répartition équitable des ressources </w:t>
      </w:r>
    </w:p>
    <w:p w:rsidR="0036354A" w:rsidRPr="00AA16D9" w:rsidRDefault="0036354A" w:rsidP="0036354A">
      <w:pPr>
        <w:pStyle w:val="SingleTxtG"/>
      </w:pPr>
      <w:r w:rsidRPr="00AA16D9">
        <w:rPr>
          <w:szCs w:val="24"/>
        </w:rPr>
        <w:t>213.</w:t>
      </w:r>
      <w:r w:rsidRPr="00AA16D9">
        <w:rPr>
          <w:szCs w:val="24"/>
        </w:rPr>
        <w:tab/>
      </w:r>
      <w:r w:rsidRPr="00AA16D9">
        <w:t xml:space="preserve">Afin de répartir équitablement les ressources mondiales, des instructions ministérielles ont été diffusée, qui concernent surtout les denrées alimentaires suivantes: le sucre, le riz et le blé: </w:t>
      </w:r>
    </w:p>
    <w:p w:rsidR="0036354A" w:rsidRPr="00AA16D9" w:rsidRDefault="0036354A" w:rsidP="0036354A">
      <w:pPr>
        <w:pStyle w:val="SingleTxtG"/>
        <w:ind w:firstLine="567"/>
      </w:pPr>
      <w:r w:rsidRPr="00AA16D9">
        <w:t>a)</w:t>
      </w:r>
      <w:r w:rsidRPr="00AA16D9">
        <w:tab/>
        <w:t>Dans le cas du sucre, une surtaxe est imposée à l</w:t>
      </w:r>
      <w:r>
        <w:t>’</w:t>
      </w:r>
      <w:r w:rsidRPr="00AA16D9">
        <w:t>importation afin d</w:t>
      </w:r>
      <w:r>
        <w:t>’</w:t>
      </w:r>
      <w:r w:rsidRPr="00AA16D9">
        <w:t xml:space="preserve">encourager une plus forte consommation interne. Lorsque la production interne vient à être insuffisante par rapport à la demande locale, le Ministère en charge du commerce intervient en offrant aux importateurs des marchés afin de pouvoir satisfaire la demande interne; </w:t>
      </w:r>
    </w:p>
    <w:p w:rsidR="0036354A" w:rsidRPr="00AA16D9" w:rsidRDefault="0036354A" w:rsidP="0036354A">
      <w:pPr>
        <w:pStyle w:val="SingleTxtG"/>
        <w:ind w:firstLine="567"/>
      </w:pPr>
      <w:r w:rsidRPr="00AA16D9">
        <w:t>b)</w:t>
      </w:r>
      <w:r w:rsidRPr="00AA16D9">
        <w:tab/>
        <w:t>La même chose vaut pour le riz. Une taxe sur la valeur ajoutée (TVA) est appliquée au riz importé. Lorsque la production du riz est en déclin, le Gouvernement s</w:t>
      </w:r>
      <w:r>
        <w:t>’</w:t>
      </w:r>
      <w:r w:rsidRPr="00AA16D9">
        <w:t xml:space="preserve">assure que des facilités sont accordées aux importateurs afin de satisfaire la demande interne. </w:t>
      </w:r>
    </w:p>
    <w:p w:rsidR="0036354A" w:rsidRPr="00AA16D9" w:rsidRDefault="0036354A" w:rsidP="0036354A">
      <w:pPr>
        <w:pStyle w:val="H4G"/>
      </w:pPr>
      <w:r w:rsidRPr="00AA16D9">
        <w:tab/>
      </w:r>
      <w:r w:rsidRPr="00AA16D9">
        <w:tab/>
        <w:t xml:space="preserve">Droit à un logement suffisant </w:t>
      </w:r>
    </w:p>
    <w:p w:rsidR="0036354A" w:rsidRPr="00AA16D9" w:rsidRDefault="0036354A" w:rsidP="0036354A">
      <w:pPr>
        <w:pStyle w:val="H4G"/>
      </w:pPr>
      <w:r w:rsidRPr="00AA16D9">
        <w:tab/>
      </w:r>
      <w:r w:rsidRPr="00AA16D9">
        <w:tab/>
        <w:t>Situation du logement</w:t>
      </w:r>
    </w:p>
    <w:p w:rsidR="0036354A" w:rsidRPr="00AA16D9" w:rsidRDefault="0036354A" w:rsidP="0036354A">
      <w:pPr>
        <w:pStyle w:val="SingleTxtG"/>
      </w:pPr>
      <w:r w:rsidRPr="00AA16D9">
        <w:rPr>
          <w:szCs w:val="24"/>
        </w:rPr>
        <w:t>214.</w:t>
      </w:r>
      <w:r w:rsidRPr="00AA16D9">
        <w:rPr>
          <w:szCs w:val="24"/>
        </w:rPr>
        <w:tab/>
      </w:r>
      <w:r w:rsidRPr="00AA16D9">
        <w:t>Le type d</w:t>
      </w:r>
      <w:r>
        <w:t>’</w:t>
      </w:r>
      <w:r w:rsidRPr="00AA16D9">
        <w:t>habitat</w:t>
      </w:r>
      <w:r w:rsidRPr="00AA16D9">
        <w:rPr>
          <w:sz w:val="18"/>
          <w:szCs w:val="18"/>
          <w:vertAlign w:val="superscript"/>
        </w:rPr>
        <w:footnoteReference w:id="119"/>
      </w:r>
      <w:r w:rsidRPr="00AA16D9">
        <w:t xml:space="preserve"> dominant au Rwanda est l</w:t>
      </w:r>
      <w:r>
        <w:t>’</w:t>
      </w:r>
      <w:r w:rsidRPr="00AA16D9">
        <w:t>habitat spontané. Il représente 60 % de l</w:t>
      </w:r>
      <w:r>
        <w:t>’</w:t>
      </w:r>
      <w:r w:rsidRPr="00AA16D9">
        <w:t>ensemble des unités d</w:t>
      </w:r>
      <w:r>
        <w:t>’</w:t>
      </w:r>
      <w:r w:rsidRPr="00AA16D9">
        <w:t>habitation du pays en 2008. Le type d</w:t>
      </w:r>
      <w:r>
        <w:t>’</w:t>
      </w:r>
      <w:r w:rsidRPr="00AA16D9">
        <w:t>habitat aggloméré (umudugudu) représente 22 % et 18,7 % de la population vivent dans les régions urbaines. Quant au lotissement cadastral, il n</w:t>
      </w:r>
      <w:r>
        <w:t>’</w:t>
      </w:r>
      <w:r w:rsidRPr="00AA16D9">
        <w:t>a pas connu d</w:t>
      </w:r>
      <w:r>
        <w:t>’</w:t>
      </w:r>
      <w:r w:rsidRPr="00AA16D9">
        <w:t>évolution significative depuis 2002, il était de 1,2 %. Cet habitat se caractérise comme suit:</w:t>
      </w:r>
    </w:p>
    <w:p w:rsidR="0036354A" w:rsidRPr="00AA16D9" w:rsidRDefault="0036354A" w:rsidP="0036354A">
      <w:pPr>
        <w:pStyle w:val="Bullet1G"/>
      </w:pPr>
      <w:r w:rsidRPr="00AA16D9">
        <w:t>Les propriétaires d</w:t>
      </w:r>
      <w:r>
        <w:t>’</w:t>
      </w:r>
      <w:r w:rsidRPr="00AA16D9">
        <w:t>unités d</w:t>
      </w:r>
      <w:r>
        <w:t>’</w:t>
      </w:r>
      <w:r w:rsidRPr="00AA16D9">
        <w:t>habitation étaient estimés à 86,6 % et les locataires à 6,4 % en 2002</w:t>
      </w:r>
      <w:r w:rsidRPr="00AA16D9">
        <w:rPr>
          <w:sz w:val="18"/>
          <w:szCs w:val="18"/>
          <w:vertAlign w:val="superscript"/>
        </w:rPr>
        <w:footnoteReference w:id="120"/>
      </w:r>
      <w:r w:rsidRPr="00AA16D9">
        <w:t>;</w:t>
      </w:r>
    </w:p>
    <w:p w:rsidR="0036354A" w:rsidRPr="00AA16D9" w:rsidRDefault="0036354A" w:rsidP="0036354A">
      <w:pPr>
        <w:pStyle w:val="Bullet1G"/>
      </w:pPr>
      <w:r w:rsidRPr="00AA16D9">
        <w:t>Les familles nécessitant un logement représentent environ 177 000 ménages</w:t>
      </w:r>
      <w:r w:rsidRPr="00AA16D9">
        <w:rPr>
          <w:sz w:val="18"/>
          <w:szCs w:val="18"/>
          <w:vertAlign w:val="superscript"/>
        </w:rPr>
        <w:footnoteReference w:id="121"/>
      </w:r>
      <w:r w:rsidRPr="00AA16D9">
        <w:t>;</w:t>
      </w:r>
    </w:p>
    <w:p w:rsidR="0036354A" w:rsidRPr="00AA16D9" w:rsidRDefault="0036354A" w:rsidP="0036354A">
      <w:pPr>
        <w:pStyle w:val="Bullet1G"/>
      </w:pPr>
      <w:r w:rsidRPr="00AA16D9">
        <w:t>Il n</w:t>
      </w:r>
      <w:r>
        <w:t>’</w:t>
      </w:r>
      <w:r w:rsidRPr="00AA16D9">
        <w:t>y a aucune autre donnée statistique sur le nombre des personnes mal logées;</w:t>
      </w:r>
    </w:p>
    <w:p w:rsidR="0036354A" w:rsidRPr="00AA16D9" w:rsidRDefault="0036354A" w:rsidP="0036354A">
      <w:pPr>
        <w:pStyle w:val="Bullet1G"/>
      </w:pPr>
      <w:r w:rsidRPr="00AA16D9">
        <w:t>Dans le contexte rwandais, il n</w:t>
      </w:r>
      <w:r>
        <w:t>’</w:t>
      </w:r>
      <w:r w:rsidRPr="00AA16D9">
        <w:t>existe pas de personne vivant dans des zones de peuplement, ni vivant dans des logements surpeuplés ou humides. Les installations sanitaires et de base existent dans les logements, et s</w:t>
      </w:r>
      <w:r>
        <w:t>’</w:t>
      </w:r>
      <w:r w:rsidRPr="00AA16D9">
        <w:t>il existe des logements ne répondant pas aux normes, ceux-ci sont en nombre réduit et les données à cet effet n</w:t>
      </w:r>
      <w:r>
        <w:t>’</w:t>
      </w:r>
      <w:r w:rsidRPr="00AA16D9">
        <w:t>existent pas;</w:t>
      </w:r>
    </w:p>
    <w:p w:rsidR="0036354A" w:rsidRPr="00AA16D9" w:rsidRDefault="0036354A" w:rsidP="0036354A">
      <w:pPr>
        <w:pStyle w:val="Bullet1G"/>
      </w:pPr>
      <w:r w:rsidRPr="00AA16D9">
        <w:t>La pratique des logements «illégaux» ne s</w:t>
      </w:r>
      <w:r>
        <w:t>’</w:t>
      </w:r>
      <w:r w:rsidRPr="00AA16D9">
        <w:t xml:space="preserve">applique pas dans le contexte rwandais; </w:t>
      </w:r>
    </w:p>
    <w:p w:rsidR="0036354A" w:rsidRPr="00AA16D9" w:rsidRDefault="0036354A" w:rsidP="0036354A">
      <w:pPr>
        <w:pStyle w:val="Bullet1G"/>
      </w:pPr>
      <w:r w:rsidRPr="00AA16D9">
        <w:t>Nous n</w:t>
      </w:r>
      <w:r>
        <w:t>’</w:t>
      </w:r>
      <w:r w:rsidRPr="00AA16D9">
        <w:t>avons pas de donnée sur les personnes expulsées de leur logement à l</w:t>
      </w:r>
      <w:r>
        <w:t>’</w:t>
      </w:r>
      <w:r w:rsidRPr="00AA16D9">
        <w:t>intérieur du pays, mais des Rwandais expulsés de la Tanzanie ont été accueillis. Ils sont à peu près 15 543 en 2007</w:t>
      </w:r>
      <w:r w:rsidRPr="00AA16D9">
        <w:rPr>
          <w:sz w:val="18"/>
          <w:szCs w:val="18"/>
          <w:vertAlign w:val="superscript"/>
        </w:rPr>
        <w:footnoteReference w:id="122"/>
      </w:r>
      <w:r w:rsidRPr="00AA16D9">
        <w:t>. Les personnes à l</w:t>
      </w:r>
      <w:r>
        <w:t>’</w:t>
      </w:r>
      <w:r w:rsidRPr="00AA16D9">
        <w:t>intérieur du pays qui peuvent prétendre avoir été victimes d</w:t>
      </w:r>
      <w:r>
        <w:t>’</w:t>
      </w:r>
      <w:r w:rsidRPr="00AA16D9">
        <w:t>une expulsion sont celles habitant sur des terrains que l</w:t>
      </w:r>
      <w:r>
        <w:t>’</w:t>
      </w:r>
      <w:r w:rsidRPr="00AA16D9">
        <w:t>État récupère pour cause d</w:t>
      </w:r>
      <w:r>
        <w:t>’</w:t>
      </w:r>
      <w:r w:rsidRPr="00AA16D9">
        <w:t>utilité publique. Mais une procédure d</w:t>
      </w:r>
      <w:r>
        <w:t>’</w:t>
      </w:r>
      <w:r w:rsidRPr="00AA16D9">
        <w:t>indemnisation prévue par la loi</w:t>
      </w:r>
      <w:r w:rsidRPr="00AA16D9">
        <w:rPr>
          <w:sz w:val="18"/>
          <w:szCs w:val="18"/>
          <w:vertAlign w:val="superscript"/>
        </w:rPr>
        <w:footnoteReference w:id="123"/>
      </w:r>
      <w:r w:rsidRPr="00AA16D9">
        <w:t xml:space="preserve"> existe à cet effet; </w:t>
      </w:r>
    </w:p>
    <w:p w:rsidR="0036354A" w:rsidRPr="00AA16D9" w:rsidRDefault="0036354A" w:rsidP="0036354A">
      <w:pPr>
        <w:pStyle w:val="Bullet1G"/>
      </w:pPr>
      <w:r w:rsidRPr="00AA16D9">
        <w:t>Les logements sociaux ou subventionnés par les pouvoirs publics n</w:t>
      </w:r>
      <w:r>
        <w:t>’</w:t>
      </w:r>
      <w:r w:rsidRPr="00AA16D9">
        <w:t xml:space="preserve">existent pas; </w:t>
      </w:r>
    </w:p>
    <w:p w:rsidR="0036354A" w:rsidRPr="00AA16D9" w:rsidRDefault="0036354A" w:rsidP="0036354A">
      <w:pPr>
        <w:pStyle w:val="Bullet1G"/>
      </w:pPr>
      <w:r w:rsidRPr="00AA16D9">
        <w:t>Notons aussi qu</w:t>
      </w:r>
      <w:r>
        <w:t>’</w:t>
      </w:r>
      <w:r w:rsidRPr="00AA16D9">
        <w:t>il n</w:t>
      </w:r>
      <w:r>
        <w:t>’</w:t>
      </w:r>
      <w:r w:rsidRPr="00AA16D9">
        <w:t>y a pas dans le pays de seuil de location permettant d</w:t>
      </w:r>
      <w:r>
        <w:t>’</w:t>
      </w:r>
      <w:r w:rsidRPr="00AA16D9">
        <w:t>établir s</w:t>
      </w:r>
      <w:r>
        <w:t>’</w:t>
      </w:r>
      <w:r w:rsidRPr="00AA16D9">
        <w:t>il existe un nombre de personnes dont les dépenses de logement sont supérieures à la limite officiellement déclarée acceptable en fonction de la capacité de payer ou d</w:t>
      </w:r>
      <w:r>
        <w:t>’</w:t>
      </w:r>
      <w:r w:rsidRPr="00AA16D9">
        <w:t>une certaine proportion du revenu. Le système en place est l</w:t>
      </w:r>
      <w:r>
        <w:t>’</w:t>
      </w:r>
      <w:r w:rsidRPr="00AA16D9">
        <w:t>autonomie de la volonté, un système de gré à gré. Enfin, signalons que le coût de location est disproportionné par rapport au revenu mensuel du locataire surtout dans les centres urbains.</w:t>
      </w:r>
    </w:p>
    <w:p w:rsidR="0036354A" w:rsidRPr="00AA16D9" w:rsidRDefault="0036354A" w:rsidP="0036354A">
      <w:pPr>
        <w:pStyle w:val="H4G"/>
      </w:pPr>
      <w:r w:rsidRPr="00AA16D9">
        <w:tab/>
      </w:r>
      <w:r w:rsidRPr="00AA16D9">
        <w:tab/>
        <w:t>Des lois diverses relatives au droit au logement:</w:t>
      </w:r>
    </w:p>
    <w:p w:rsidR="0036354A" w:rsidRPr="00AA16D9" w:rsidRDefault="0036354A" w:rsidP="0036354A">
      <w:pPr>
        <w:pStyle w:val="SingleTxtG"/>
      </w:pPr>
      <w:r w:rsidRPr="00AA16D9">
        <w:rPr>
          <w:szCs w:val="24"/>
        </w:rPr>
        <w:t>215.</w:t>
      </w:r>
      <w:r w:rsidRPr="00AA16D9">
        <w:rPr>
          <w:szCs w:val="24"/>
        </w:rPr>
        <w:tab/>
      </w:r>
      <w:r w:rsidRPr="00AA16D9">
        <w:t>Les mesures législatives en place sont:</w:t>
      </w:r>
    </w:p>
    <w:p w:rsidR="0036354A" w:rsidRPr="00AA16D9" w:rsidRDefault="0036354A" w:rsidP="0036354A">
      <w:pPr>
        <w:pStyle w:val="Bullet1G"/>
      </w:pPr>
      <w:r w:rsidRPr="00AA16D9">
        <w:t>Il n</w:t>
      </w:r>
      <w:r>
        <w:t>’</w:t>
      </w:r>
      <w:r w:rsidRPr="00AA16D9">
        <w:t>y a pas de loi donnant un sens concret au droit au logement. La seule loi parlant indirectement du droit au logement est celle qui accorde à tout citoyen rwandais le droit de se fixer librement sur le territoire national (art. 23 de la Constitution);</w:t>
      </w:r>
    </w:p>
    <w:p w:rsidR="0036354A" w:rsidRPr="00AA16D9" w:rsidRDefault="0036354A" w:rsidP="0036354A">
      <w:pPr>
        <w:pStyle w:val="Bullet1G"/>
      </w:pPr>
      <w:r w:rsidRPr="00AA16D9">
        <w:t>Il n</w:t>
      </w:r>
      <w:r>
        <w:t>’</w:t>
      </w:r>
      <w:r w:rsidRPr="00AA16D9">
        <w:t>y a pas non plus de loi spécifiquement relative aux personnes sans abri; mais il est sous-entendu qu</w:t>
      </w:r>
      <w:r>
        <w:t>’</w:t>
      </w:r>
      <w:r w:rsidRPr="00AA16D9">
        <w:t>elles peuvent aisément rentrer dans la catégorie des personnes vulnérables et qu</w:t>
      </w:r>
      <w:r>
        <w:t>’</w:t>
      </w:r>
      <w:r w:rsidRPr="00AA16D9">
        <w:t>elles bénéficieraient de l</w:t>
      </w:r>
      <w:r>
        <w:t>’</w:t>
      </w:r>
      <w:r w:rsidRPr="00AA16D9">
        <w:t>assistance de l</w:t>
      </w:r>
      <w:r>
        <w:t>’</w:t>
      </w:r>
      <w:r w:rsidRPr="00AA16D9">
        <w:t>État de par la Constitution;</w:t>
      </w:r>
    </w:p>
    <w:p w:rsidR="0036354A" w:rsidRPr="00AA16D9" w:rsidRDefault="0036354A" w:rsidP="0036354A">
      <w:pPr>
        <w:pStyle w:val="Bullet1G"/>
      </w:pPr>
      <w:r w:rsidRPr="00AA16D9">
        <w:t>Quant aux lois relatives aux municipalités, il existe une loi portant organisation des entités administratives de la République du Rwanda</w:t>
      </w:r>
      <w:r w:rsidRPr="00AA16D9">
        <w:rPr>
          <w:sz w:val="18"/>
          <w:szCs w:val="18"/>
          <w:vertAlign w:val="superscript"/>
        </w:rPr>
        <w:footnoteReference w:id="124"/>
      </w:r>
      <w:r w:rsidRPr="00AA16D9">
        <w:t>;</w:t>
      </w:r>
    </w:p>
    <w:p w:rsidR="0036354A" w:rsidRPr="00AA16D9" w:rsidRDefault="0036354A" w:rsidP="0036354A">
      <w:pPr>
        <w:pStyle w:val="Bullet1G"/>
      </w:pPr>
      <w:r w:rsidRPr="00AA16D9">
        <w:t>Des lois relatives à l</w:t>
      </w:r>
      <w:r>
        <w:t>’</w:t>
      </w:r>
      <w:r w:rsidRPr="00AA16D9">
        <w:t>occupation des sols, à la répartition et à l</w:t>
      </w:r>
      <w:r>
        <w:t>’</w:t>
      </w:r>
      <w:r w:rsidRPr="00AA16D9">
        <w:t>allocation des terres, au zonage, à l</w:t>
      </w:r>
      <w:r>
        <w:t>’</w:t>
      </w:r>
      <w:r w:rsidRPr="00AA16D9">
        <w:t>aménagement du territoire, à l</w:t>
      </w:r>
      <w:r>
        <w:t>’</w:t>
      </w:r>
      <w:r w:rsidRPr="00AA16D9">
        <w:t>expropriation et à l</w:t>
      </w:r>
      <w:r>
        <w:t>’</w:t>
      </w:r>
      <w:r w:rsidRPr="00AA16D9">
        <w:t>indemnisation existent</w:t>
      </w:r>
      <w:r w:rsidRPr="00AA16D9">
        <w:rPr>
          <w:sz w:val="18"/>
          <w:szCs w:val="18"/>
          <w:vertAlign w:val="superscript"/>
        </w:rPr>
        <w:footnoteReference w:id="125"/>
      </w:r>
      <w:r w:rsidRPr="00AA16D9">
        <w:t>;</w:t>
      </w:r>
    </w:p>
    <w:p w:rsidR="0036354A" w:rsidRPr="00AA16D9" w:rsidRDefault="0036354A" w:rsidP="0036354A">
      <w:pPr>
        <w:pStyle w:val="Bullet1G"/>
      </w:pPr>
      <w:r w:rsidRPr="00AA16D9">
        <w:t>Il n</w:t>
      </w:r>
      <w:r>
        <w:t>’</w:t>
      </w:r>
      <w:r w:rsidRPr="00AA16D9">
        <w:t>y a pas encore de loi relative aux plafonds dans le domaine foncier;</w:t>
      </w:r>
    </w:p>
    <w:p w:rsidR="0036354A" w:rsidRPr="00AA16D9" w:rsidRDefault="0036354A" w:rsidP="0036354A">
      <w:pPr>
        <w:pStyle w:val="Bullet1G"/>
      </w:pPr>
      <w:r w:rsidRPr="00AA16D9">
        <w:t xml:space="preserve">Les droits des locataires à la sécurité de jouissance sont reconnus: </w:t>
      </w:r>
    </w:p>
    <w:p w:rsidR="0036354A" w:rsidRPr="00AA16D9" w:rsidRDefault="0036354A" w:rsidP="0036354A">
      <w:pPr>
        <w:pStyle w:val="Bullet2G"/>
      </w:pPr>
      <w:r w:rsidRPr="00AA16D9">
        <w:t>Dans la Constitution du Rwanda, art. 22, al. 2, en ces mots: «le domicile d</w:t>
      </w:r>
      <w:r>
        <w:t>’</w:t>
      </w:r>
      <w:r w:rsidRPr="00AA16D9">
        <w:t xml:space="preserve">une personne est inviolable»; </w:t>
      </w:r>
    </w:p>
    <w:p w:rsidR="0036354A" w:rsidRPr="00AA16D9" w:rsidRDefault="0036354A" w:rsidP="0036354A">
      <w:pPr>
        <w:pStyle w:val="Bullet2G"/>
        <w:rPr>
          <w:b/>
        </w:rPr>
      </w:pPr>
      <w:r w:rsidRPr="00AA16D9">
        <w:t>Dans le livre I</w:t>
      </w:r>
      <w:r w:rsidRPr="00AA16D9">
        <w:rPr>
          <w:vertAlign w:val="superscript"/>
        </w:rPr>
        <w:t>er</w:t>
      </w:r>
      <w:r w:rsidRPr="00AA16D9">
        <w:t xml:space="preserve"> Des contrats, la possession paisible est garantie à l</w:t>
      </w:r>
      <w:r>
        <w:t>’</w:t>
      </w:r>
      <w:r w:rsidRPr="00AA16D9">
        <w:t>article 376 en ces termes: «le bailleur est obligé par la nature du contrat, et sans qu</w:t>
      </w:r>
      <w:r>
        <w:t>’</w:t>
      </w:r>
      <w:r w:rsidRPr="00AA16D9">
        <w:t>il soit besoin d</w:t>
      </w:r>
      <w:r>
        <w:t>’</w:t>
      </w:r>
      <w:r w:rsidRPr="00AA16D9">
        <w:t>aucune stipulation particulière d</w:t>
      </w:r>
      <w:r>
        <w:t>’</w:t>
      </w:r>
      <w:r w:rsidRPr="00AA16D9">
        <w:t>en faire jouir paisiblement le preneur pendant la durée du bail».</w:t>
      </w:r>
    </w:p>
    <w:p w:rsidR="0036354A" w:rsidRPr="00AA16D9" w:rsidRDefault="0036354A" w:rsidP="0036354A">
      <w:pPr>
        <w:pStyle w:val="Bullet1G"/>
      </w:pPr>
      <w:r w:rsidRPr="00AA16D9">
        <w:t>Une loi relative au financement du logement existe. C</w:t>
      </w:r>
      <w:r>
        <w:t>’</w:t>
      </w:r>
      <w:r w:rsidRPr="00AA16D9">
        <w:t>est la Loi portant finances des districts et villes. Elle permet à l</w:t>
      </w:r>
      <w:r>
        <w:t>’</w:t>
      </w:r>
      <w:r w:rsidRPr="00AA16D9">
        <w:t>État d</w:t>
      </w:r>
      <w:r>
        <w:t>’</w:t>
      </w:r>
      <w:r w:rsidRPr="00AA16D9">
        <w:t>octroyer des subventions aux districts et aux villes; ces derniers, dans la nouvelle structure de décentralisation, sont habilités à distribuer leurs revenus en faveur des divers programmes de développement, y compris le logement;</w:t>
      </w:r>
    </w:p>
    <w:p w:rsidR="0036354A" w:rsidRPr="00AA16D9" w:rsidRDefault="0036354A" w:rsidP="0036354A">
      <w:pPr>
        <w:pStyle w:val="Bullet1G"/>
      </w:pPr>
      <w:r w:rsidRPr="00AA16D9">
        <w:t>Il n</w:t>
      </w:r>
      <w:r>
        <w:t>’</w:t>
      </w:r>
      <w:r w:rsidRPr="00AA16D9">
        <w:t xml:space="preserve">y a pas encore de loi relative à la réglementation des loyers; </w:t>
      </w:r>
    </w:p>
    <w:p w:rsidR="0036354A" w:rsidRPr="00AA16D9" w:rsidRDefault="0036354A" w:rsidP="0036354A">
      <w:pPr>
        <w:pStyle w:val="Bullet1G"/>
      </w:pPr>
      <w:r w:rsidRPr="00AA16D9">
        <w:t>Le projet de loi du code de l</w:t>
      </w:r>
      <w:r>
        <w:t>’</w:t>
      </w:r>
      <w:r w:rsidRPr="00AA16D9">
        <w:t>urbanisme et de la construction est en voie d</w:t>
      </w:r>
      <w:r>
        <w:t>’</w:t>
      </w:r>
      <w:r w:rsidRPr="00AA16D9">
        <w:t>être adopté par le parlement rwandais. Les arrêtés d</w:t>
      </w:r>
      <w:r>
        <w:t>’</w:t>
      </w:r>
      <w:r w:rsidRPr="00AA16D9">
        <w:t>application suivront après que la loi sera rentrée en vigueur. Le projet de loi portant organisation de l</w:t>
      </w:r>
      <w:r>
        <w:t>’</w:t>
      </w:r>
      <w:r w:rsidRPr="00AA16D9">
        <w:t>habitat au Rwanda est aussi en voie d</w:t>
      </w:r>
      <w:r>
        <w:t>’</w:t>
      </w:r>
      <w:r w:rsidRPr="00AA16D9">
        <w:t>adoption;</w:t>
      </w:r>
    </w:p>
    <w:p w:rsidR="0036354A" w:rsidRPr="00AA16D9" w:rsidRDefault="0036354A" w:rsidP="0036354A">
      <w:pPr>
        <w:pStyle w:val="Bullet1G"/>
      </w:pPr>
      <w:r w:rsidRPr="00AA16D9">
        <w:t>La Constitution (art. 11, al. 2) ainsi que la loi portant répression des crimes de discrimination et pratique du sectarisme (art. 3) prohibe la discrimination en général. Il n</w:t>
      </w:r>
      <w:r>
        <w:t>’</w:t>
      </w:r>
      <w:r w:rsidRPr="00AA16D9">
        <w:t xml:space="preserve">y a pas encore de loi spécifique à la discrimination en matière de logement; </w:t>
      </w:r>
    </w:p>
    <w:p w:rsidR="0036354A" w:rsidRPr="00AA16D9" w:rsidRDefault="0036354A" w:rsidP="0036354A">
      <w:pPr>
        <w:pStyle w:val="Bullet1G"/>
      </w:pPr>
      <w:r w:rsidRPr="00AA16D9">
        <w:t>La loi interdit aussi l</w:t>
      </w:r>
      <w:r>
        <w:t>’</w:t>
      </w:r>
      <w:r w:rsidRPr="00AA16D9">
        <w:t>expulsion, en ce qu</w:t>
      </w:r>
      <w:r>
        <w:t>’</w:t>
      </w:r>
      <w:r w:rsidRPr="00AA16D9">
        <w:t>elle protège le propriétaire foncier contre toute éviction (art. 56 de la Loi sur le régime foncier);</w:t>
      </w:r>
    </w:p>
    <w:p w:rsidR="0036354A" w:rsidRPr="00AA16D9" w:rsidRDefault="0036354A" w:rsidP="0036354A">
      <w:pPr>
        <w:pStyle w:val="Bullet1G"/>
      </w:pPr>
      <w:r w:rsidRPr="00AA16D9">
        <w:t>Il n</w:t>
      </w:r>
      <w:r>
        <w:t>’</w:t>
      </w:r>
      <w:r w:rsidRPr="00AA16D9">
        <w:t>y a pas d</w:t>
      </w:r>
      <w:r>
        <w:t>’</w:t>
      </w:r>
      <w:r w:rsidRPr="00AA16D9">
        <w:t>acte législatif modifiant les lois en vigueur contraires à la réalisation du droit au logement; ni de loi visant à lutter contre la spéculation sur les logements, ni de mesure législative conférant un titre de propriété légal à ceux qui vivent dans le secteur «illégal»;</w:t>
      </w:r>
    </w:p>
    <w:p w:rsidR="0036354A" w:rsidRPr="00AA16D9" w:rsidRDefault="0036354A" w:rsidP="0036354A">
      <w:pPr>
        <w:pStyle w:val="Bullet1G"/>
      </w:pPr>
      <w:r w:rsidRPr="00AA16D9">
        <w:t>La planification de l</w:t>
      </w:r>
      <w:r>
        <w:t>’</w:t>
      </w:r>
      <w:r w:rsidRPr="00AA16D9">
        <w:t>environnement est assurée par la Loi portant modalités de protéger, sauvegarder et promouvoir l</w:t>
      </w:r>
      <w:r>
        <w:t>’</w:t>
      </w:r>
      <w:r w:rsidRPr="00AA16D9">
        <w:t xml:space="preserve">environnement au Rwanda (art. 28). </w:t>
      </w:r>
    </w:p>
    <w:p w:rsidR="0036354A" w:rsidRPr="00AA16D9" w:rsidRDefault="0036354A" w:rsidP="0036354A">
      <w:pPr>
        <w:pStyle w:val="H4G"/>
      </w:pPr>
      <w:r w:rsidRPr="00AA16D9">
        <w:tab/>
      </w:r>
      <w:r w:rsidRPr="00AA16D9">
        <w:tab/>
        <w:t>Procédures de participation de la communauté</w:t>
      </w:r>
    </w:p>
    <w:p w:rsidR="0036354A" w:rsidRPr="00AA16D9" w:rsidRDefault="0036354A" w:rsidP="0036354A">
      <w:pPr>
        <w:pStyle w:val="SingleTxtG"/>
      </w:pPr>
      <w:r w:rsidRPr="00AA16D9">
        <w:rPr>
          <w:szCs w:val="24"/>
        </w:rPr>
        <w:t>216.</w:t>
      </w:r>
      <w:r w:rsidRPr="00AA16D9">
        <w:rPr>
          <w:szCs w:val="24"/>
        </w:rPr>
        <w:tab/>
      </w:r>
      <w:r w:rsidRPr="00AA16D9">
        <w:t xml:space="preserve">La communauté participe à la réalisation du droit au logement: </w:t>
      </w:r>
    </w:p>
    <w:p w:rsidR="0036354A" w:rsidRPr="00AA16D9" w:rsidRDefault="0036354A" w:rsidP="0036354A">
      <w:pPr>
        <w:pStyle w:val="Bullet1G"/>
      </w:pPr>
      <w:r w:rsidRPr="00AA16D9">
        <w:t>C</w:t>
      </w:r>
      <w:r>
        <w:t>’</w:t>
      </w:r>
      <w:r w:rsidRPr="00AA16D9">
        <w:t xml:space="preserve">est le cas notamment lors de la construction de logements pour personnes vulnérables, comme les personnes âgées, handicapées, les orphelins et autres; </w:t>
      </w:r>
    </w:p>
    <w:p w:rsidR="0036354A" w:rsidRPr="00AA16D9" w:rsidRDefault="0036354A" w:rsidP="0036354A">
      <w:pPr>
        <w:pStyle w:val="Bullet1G"/>
      </w:pPr>
      <w:r w:rsidRPr="00AA16D9">
        <w:t>C</w:t>
      </w:r>
      <w:r>
        <w:t>’</w:t>
      </w:r>
      <w:r w:rsidRPr="00AA16D9">
        <w:t>est aussi le cas lors des réunions de district sur l</w:t>
      </w:r>
      <w:r>
        <w:t>’</w:t>
      </w:r>
      <w:r w:rsidRPr="00AA16D9">
        <w:t>identification des besoins et l</w:t>
      </w:r>
      <w:r>
        <w:t>’</w:t>
      </w:r>
      <w:r w:rsidRPr="00AA16D9">
        <w:t xml:space="preserve">élaboration des contrats de performance des districts. Les besoins en logement sont toujours pris en considération. </w:t>
      </w:r>
    </w:p>
    <w:p w:rsidR="0036354A" w:rsidRPr="00AA16D9" w:rsidRDefault="0036354A" w:rsidP="0036354A">
      <w:pPr>
        <w:pStyle w:val="H4G"/>
      </w:pPr>
      <w:r w:rsidRPr="00AA16D9">
        <w:tab/>
      </w:r>
      <w:r w:rsidRPr="00AA16D9">
        <w:tab/>
        <w:t xml:space="preserve">Mesures prises pour réaliser le droit au logement </w:t>
      </w:r>
    </w:p>
    <w:p w:rsidR="0036354A" w:rsidRPr="00AA16D9" w:rsidRDefault="0036354A" w:rsidP="0036354A">
      <w:pPr>
        <w:pStyle w:val="SingleTxtG"/>
      </w:pPr>
      <w:r w:rsidRPr="00AA16D9">
        <w:rPr>
          <w:szCs w:val="24"/>
        </w:rPr>
        <w:t>217.</w:t>
      </w:r>
      <w:r w:rsidRPr="00AA16D9">
        <w:rPr>
          <w:szCs w:val="24"/>
        </w:rPr>
        <w:tab/>
      </w:r>
      <w:r w:rsidRPr="00AA16D9">
        <w:t>Notons:</w:t>
      </w:r>
    </w:p>
    <w:p w:rsidR="0036354A" w:rsidRPr="00AA16D9" w:rsidRDefault="0036354A" w:rsidP="0036354A">
      <w:pPr>
        <w:pStyle w:val="Bullet1G"/>
      </w:pPr>
      <w:r w:rsidRPr="00AA16D9">
        <w:t>La politique nationale de l</w:t>
      </w:r>
      <w:r>
        <w:t>’</w:t>
      </w:r>
      <w:r w:rsidRPr="00AA16D9">
        <w:t xml:space="preserve">habitat, mise sur pied en 2004; </w:t>
      </w:r>
    </w:p>
    <w:p w:rsidR="0036354A" w:rsidRPr="00AA16D9" w:rsidRDefault="0036354A" w:rsidP="0036354A">
      <w:pPr>
        <w:pStyle w:val="Bullet1G"/>
      </w:pPr>
      <w:r w:rsidRPr="00AA16D9">
        <w:t>Le plan gouvernemental en vue d</w:t>
      </w:r>
      <w:r>
        <w:t>’</w:t>
      </w:r>
      <w:r w:rsidRPr="00AA16D9">
        <w:t>installer les populations rurales dans les villages «imidugudu»;</w:t>
      </w:r>
    </w:p>
    <w:p w:rsidR="0036354A" w:rsidRPr="00AA16D9" w:rsidRDefault="0036354A" w:rsidP="0036354A">
      <w:pPr>
        <w:pStyle w:val="Bullet1G"/>
      </w:pPr>
      <w:r w:rsidRPr="00AA16D9">
        <w:t xml:space="preserve">La politique nationale de développement urbain; </w:t>
      </w:r>
    </w:p>
    <w:p w:rsidR="0036354A" w:rsidRPr="00AA16D9" w:rsidRDefault="0036354A" w:rsidP="0036354A">
      <w:pPr>
        <w:pStyle w:val="Bullet1G"/>
      </w:pPr>
      <w:r w:rsidRPr="00AA16D9">
        <w:t>Le plan stratégique de l</w:t>
      </w:r>
      <w:r>
        <w:t>’</w:t>
      </w:r>
      <w:r w:rsidRPr="00AA16D9">
        <w:t>habitat et urbanisme (2008), qui a plusieurs objectifs, notamment: l</w:t>
      </w:r>
      <w:r>
        <w:t>’</w:t>
      </w:r>
      <w:r w:rsidRPr="00AA16D9">
        <w:t>amélioration des lieux d</w:t>
      </w:r>
      <w:r>
        <w:t>’</w:t>
      </w:r>
      <w:r w:rsidRPr="00AA16D9">
        <w:t xml:space="preserve">habitation informelle, la libération et la production de terrains disponibles pour la construction, la mise en état des édifices publics, etc. </w:t>
      </w:r>
    </w:p>
    <w:p w:rsidR="0036354A" w:rsidRPr="00AA16D9" w:rsidRDefault="0036354A" w:rsidP="0036354A">
      <w:pPr>
        <w:pStyle w:val="SingleTxtG"/>
      </w:pPr>
      <w:r w:rsidRPr="00AA16D9">
        <w:rPr>
          <w:szCs w:val="24"/>
        </w:rPr>
        <w:t>218.</w:t>
      </w:r>
      <w:r w:rsidRPr="00AA16D9">
        <w:rPr>
          <w:szCs w:val="24"/>
        </w:rPr>
        <w:tab/>
      </w:r>
      <w:r w:rsidRPr="00AA16D9">
        <w:t>D</w:t>
      </w:r>
      <w:r>
        <w:t>’</w:t>
      </w:r>
      <w:r w:rsidRPr="00AA16D9">
        <w:t xml:space="preserve">autres mesures sont: </w:t>
      </w:r>
    </w:p>
    <w:p w:rsidR="0036354A" w:rsidRPr="00AA16D9" w:rsidRDefault="0036354A" w:rsidP="0036354A">
      <w:pPr>
        <w:pStyle w:val="Bullet1G"/>
      </w:pPr>
      <w:r w:rsidRPr="00AA16D9">
        <w:t>La redistribution des terrains aux fins de construction, le morcellement des terrains vastes et leur distribution équitable;</w:t>
      </w:r>
    </w:p>
    <w:p w:rsidR="0036354A" w:rsidRPr="00AA16D9" w:rsidRDefault="0036354A" w:rsidP="0036354A">
      <w:pPr>
        <w:pStyle w:val="Bullet1G"/>
      </w:pPr>
      <w:r w:rsidRPr="00AA16D9">
        <w:t>Un système de financement des crédit-logements aux ménages;</w:t>
      </w:r>
    </w:p>
    <w:p w:rsidR="0036354A" w:rsidRPr="00AA16D9" w:rsidRDefault="0036354A" w:rsidP="0036354A">
      <w:pPr>
        <w:pStyle w:val="Bullet1G"/>
      </w:pPr>
      <w:r w:rsidRPr="00AA16D9">
        <w:t>Ainsi que la promotion du système d</w:t>
      </w:r>
      <w:r>
        <w:t>’</w:t>
      </w:r>
      <w:r w:rsidRPr="00AA16D9">
        <w:t xml:space="preserve">épargne-logement; </w:t>
      </w:r>
    </w:p>
    <w:p w:rsidR="0036354A" w:rsidRPr="00AA16D9" w:rsidRDefault="0036354A" w:rsidP="0036354A">
      <w:pPr>
        <w:pStyle w:val="Bullet1G"/>
      </w:pPr>
      <w:r w:rsidRPr="00AA16D9">
        <w:t>La création de la banque de l</w:t>
      </w:r>
      <w:r>
        <w:t>’</w:t>
      </w:r>
      <w:r w:rsidRPr="00AA16D9">
        <w:t>habitat pour faciliter l</w:t>
      </w:r>
      <w:r>
        <w:t>’</w:t>
      </w:r>
      <w:r w:rsidRPr="00AA16D9">
        <w:t>accès aux crédits pour l</w:t>
      </w:r>
      <w:r>
        <w:t>’</w:t>
      </w:r>
      <w:r w:rsidRPr="00AA16D9">
        <w:t xml:space="preserve">habitat; </w:t>
      </w:r>
    </w:p>
    <w:p w:rsidR="0036354A" w:rsidRPr="00AA16D9" w:rsidRDefault="0036354A" w:rsidP="0036354A">
      <w:pPr>
        <w:pStyle w:val="Bullet1G"/>
      </w:pPr>
      <w:r w:rsidRPr="00AA16D9">
        <w:t>La Caisse Sociale du Rwanda permet aussi l</w:t>
      </w:r>
      <w:r>
        <w:t>’</w:t>
      </w:r>
      <w:r w:rsidRPr="00AA16D9">
        <w:t xml:space="preserve">accès au logement par des crédits à long terme; </w:t>
      </w:r>
    </w:p>
    <w:p w:rsidR="0036354A" w:rsidRPr="00AA16D9" w:rsidRDefault="0036354A" w:rsidP="0036354A">
      <w:pPr>
        <w:pStyle w:val="Bullet1G"/>
      </w:pPr>
      <w:r w:rsidRPr="00AA16D9">
        <w:t>Les banques offrent aussi des crédits et ont allégé leur accès pour faciliter l</w:t>
      </w:r>
      <w:r>
        <w:t>’</w:t>
      </w:r>
      <w:r w:rsidRPr="00AA16D9">
        <w:t>accès au logement;</w:t>
      </w:r>
    </w:p>
    <w:p w:rsidR="0036354A" w:rsidRPr="00AA16D9" w:rsidRDefault="0036354A" w:rsidP="0036354A">
      <w:pPr>
        <w:pStyle w:val="Bullet1G"/>
      </w:pPr>
      <w:r w:rsidRPr="00AA16D9">
        <w:t xml:space="preserve">Toutes ces institutions de financement encouragent le produit «épargne logement». </w:t>
      </w:r>
    </w:p>
    <w:p w:rsidR="0036354A" w:rsidRPr="00AA16D9" w:rsidRDefault="0036354A" w:rsidP="0036354A">
      <w:pPr>
        <w:pStyle w:val="H4G"/>
      </w:pPr>
      <w:r w:rsidRPr="00AA16D9">
        <w:tab/>
      </w:r>
      <w:r w:rsidRPr="00AA16D9">
        <w:tab/>
        <w:t>Des organisations impliquées dans la construction de logements</w:t>
      </w:r>
    </w:p>
    <w:p w:rsidR="0036354A" w:rsidRPr="00AA16D9" w:rsidRDefault="0036354A" w:rsidP="0036354A">
      <w:pPr>
        <w:pStyle w:val="SingleTxtG"/>
      </w:pPr>
      <w:r w:rsidRPr="00AA16D9">
        <w:rPr>
          <w:szCs w:val="24"/>
        </w:rPr>
        <w:t>219.</w:t>
      </w:r>
      <w:r w:rsidRPr="00AA16D9">
        <w:rPr>
          <w:szCs w:val="24"/>
        </w:rPr>
        <w:tab/>
      </w:r>
      <w:r w:rsidRPr="00AA16D9">
        <w:t>Plusieurs acteurs sont impliqués:</w:t>
      </w:r>
    </w:p>
    <w:p w:rsidR="0036354A" w:rsidRPr="00AA16D9" w:rsidRDefault="0036354A" w:rsidP="0036354A">
      <w:pPr>
        <w:pStyle w:val="Bullet1G"/>
      </w:pPr>
      <w:r w:rsidRPr="00AA16D9">
        <w:t>Des organisations locales tout comme internationales se sont aussi impliquées dans la construction des regroupements ou villages «</w:t>
      </w:r>
      <w:r w:rsidRPr="00AA16D9">
        <w:rPr>
          <w:i/>
        </w:rPr>
        <w:t>Imidugudu</w:t>
      </w:r>
      <w:r w:rsidRPr="00AA16D9">
        <w:t>» afin de faciliter la réinsertion des réfugiés dès 1996. Notons dès le début la participation du Haut-Commissariat des Nations Unies pour les réfugiés (HCR) dans cette tâche;</w:t>
      </w:r>
    </w:p>
    <w:p w:rsidR="0036354A" w:rsidRPr="00AA16D9" w:rsidRDefault="0036354A" w:rsidP="0036354A">
      <w:pPr>
        <w:pStyle w:val="Bullet1G"/>
      </w:pPr>
      <w:r w:rsidRPr="00AA16D9">
        <w:t>Ces organisations sont libres de fonctionner; par contre, elles ne reçoivent aucune subvention de l</w:t>
      </w:r>
      <w:r>
        <w:t>’</w:t>
      </w:r>
      <w:r w:rsidRPr="00AA16D9">
        <w:t xml:space="preserve">État; </w:t>
      </w:r>
    </w:p>
    <w:p w:rsidR="0036354A" w:rsidRPr="00AA16D9" w:rsidRDefault="0036354A" w:rsidP="0036354A">
      <w:pPr>
        <w:pStyle w:val="Bullet1G"/>
      </w:pPr>
      <w:r w:rsidRPr="00AA16D9">
        <w:t>Il y a aussi la volonté du Gouvernement d</w:t>
      </w:r>
      <w:r>
        <w:t>’</w:t>
      </w:r>
      <w:r w:rsidRPr="00AA16D9">
        <w:t>encourager le secteur privé à participer au développement de l</w:t>
      </w:r>
      <w:r>
        <w:t>’</w:t>
      </w:r>
      <w:r w:rsidRPr="00AA16D9">
        <w:t>habitat et à l</w:t>
      </w:r>
      <w:r>
        <w:t>’</w:t>
      </w:r>
      <w:r w:rsidRPr="00AA16D9">
        <w:t>aménagement des sites. Par exemple, le Gouvernement encourage la construction de propriétés par les promoteurs immobiliers. Ces pratiques sont surtout répandues dans les centres urbains. L</w:t>
      </w:r>
      <w:r>
        <w:t>’</w:t>
      </w:r>
      <w:r w:rsidRPr="00AA16D9">
        <w:t xml:space="preserve">État accorde des subventions et des facilités aux promoteurs immobiliers à cet effet. </w:t>
      </w:r>
    </w:p>
    <w:p w:rsidR="0036354A" w:rsidRPr="00AA16D9" w:rsidRDefault="0036354A" w:rsidP="0036354A">
      <w:pPr>
        <w:pStyle w:val="H4G"/>
      </w:pPr>
      <w:r w:rsidRPr="00AA16D9">
        <w:tab/>
      </w:r>
      <w:r w:rsidRPr="00AA16D9">
        <w:tab/>
        <w:t>Existe-t-il au Rwanda un système de construction de logements à loyers modérés?</w:t>
      </w:r>
    </w:p>
    <w:p w:rsidR="0036354A" w:rsidRPr="00AA16D9" w:rsidRDefault="0036354A" w:rsidP="0036354A">
      <w:pPr>
        <w:pStyle w:val="SingleTxtG"/>
      </w:pPr>
      <w:r w:rsidRPr="00AA16D9">
        <w:rPr>
          <w:szCs w:val="24"/>
        </w:rPr>
        <w:t>220.</w:t>
      </w:r>
      <w:r w:rsidRPr="00AA16D9">
        <w:rPr>
          <w:szCs w:val="24"/>
        </w:rPr>
        <w:tab/>
      </w:r>
      <w:r w:rsidRPr="00AA16D9">
        <w:t>Il n</w:t>
      </w:r>
      <w:r>
        <w:t>’</w:t>
      </w:r>
      <w:r w:rsidRPr="00AA16D9">
        <w:t xml:space="preserve">existe pas encore au Rwanda de système de construction de logements à loyers modérés. Mais notons que malgré ses moyens limités, le Gouvernement, en collaboration avec la société civile et ses partenaires, a construit et continue de construire des maisons, spécialement pour les familles vulnérables et sans logement (ex. les réfugiés, les populations historiquement marginalisées ou les rapatriés de la Tanzanie). </w:t>
      </w:r>
    </w:p>
    <w:p w:rsidR="0036354A" w:rsidRPr="00AA16D9" w:rsidRDefault="0036354A" w:rsidP="0036354A">
      <w:pPr>
        <w:pStyle w:val="H4G"/>
      </w:pPr>
      <w:r w:rsidRPr="00AA16D9">
        <w:tab/>
      </w:r>
      <w:r w:rsidRPr="00AA16D9">
        <w:tab/>
        <w:t>Mesures prises pour récupérer les terrains inutilisés, sous-utilisés ou mal utilisés</w:t>
      </w:r>
    </w:p>
    <w:p w:rsidR="0036354A" w:rsidRPr="00AA16D9" w:rsidRDefault="0036354A" w:rsidP="0036354A">
      <w:pPr>
        <w:pStyle w:val="SingleTxtG"/>
      </w:pPr>
      <w:r w:rsidRPr="00AA16D9">
        <w:rPr>
          <w:szCs w:val="24"/>
        </w:rPr>
        <w:t>221.</w:t>
      </w:r>
      <w:r w:rsidRPr="00AA16D9">
        <w:rPr>
          <w:szCs w:val="24"/>
        </w:rPr>
        <w:tab/>
      </w:r>
      <w:r w:rsidRPr="00AA16D9">
        <w:t>Une mesure législative existe: La loi prévoit qu</w:t>
      </w:r>
      <w:r>
        <w:t>’</w:t>
      </w:r>
      <w:r w:rsidRPr="00AA16D9">
        <w:t>il peut être ordonné une réquisition de la terre non exploitée pendant trois (3) ans à moins de motifs valables (art. 74 de la loi organique portant régime foncier).</w:t>
      </w:r>
    </w:p>
    <w:p w:rsidR="0036354A" w:rsidRPr="00AA16D9" w:rsidRDefault="0036354A" w:rsidP="0036354A">
      <w:pPr>
        <w:pStyle w:val="SingleTxtG"/>
      </w:pPr>
      <w:r w:rsidRPr="00AA16D9">
        <w:rPr>
          <w:szCs w:val="24"/>
        </w:rPr>
        <w:t>222.</w:t>
      </w:r>
      <w:r w:rsidRPr="00AA16D9">
        <w:rPr>
          <w:szCs w:val="24"/>
        </w:rPr>
        <w:tab/>
        <w:t xml:space="preserve">En outre, </w:t>
      </w:r>
      <w:r w:rsidRPr="00AA16D9">
        <w:t>en cas d</w:t>
      </w:r>
      <w:r>
        <w:t>’</w:t>
      </w:r>
      <w:r w:rsidRPr="00AA16D9">
        <w:t xml:space="preserve">aménagement et de réaménagement urbain dans la ville de Kigali, les populations des zones non habitables sont relocalisées dans des zones habitables. </w:t>
      </w:r>
    </w:p>
    <w:p w:rsidR="0036354A" w:rsidRPr="00AA16D9" w:rsidRDefault="0036354A" w:rsidP="0036354A">
      <w:pPr>
        <w:pStyle w:val="H4G"/>
      </w:pPr>
      <w:r w:rsidRPr="00AA16D9">
        <w:tab/>
      </w:r>
      <w:r w:rsidRPr="00AA16D9">
        <w:tab/>
        <w:t>Le budget en matière de logement</w:t>
      </w:r>
    </w:p>
    <w:p w:rsidR="0036354A" w:rsidRPr="00AA16D9" w:rsidRDefault="0036354A" w:rsidP="0036354A">
      <w:pPr>
        <w:pStyle w:val="SingleTxtG"/>
      </w:pPr>
      <w:r w:rsidRPr="00AA16D9">
        <w:rPr>
          <w:szCs w:val="24"/>
        </w:rPr>
        <w:t>223.</w:t>
      </w:r>
      <w:r w:rsidRPr="00AA16D9">
        <w:rPr>
          <w:szCs w:val="24"/>
        </w:rPr>
        <w:tab/>
      </w:r>
      <w:r w:rsidRPr="00AA16D9">
        <w:t>Le budget en matière de logement distribué aux provinces et à la ville de Kigali par le Ministère ayant dans ses attributions le logement était de 9,9 % en 2006/2007 sur le budget total alloué à ce Ministère. Notons que le budget de ce Ministère couvre trois secteurs, à savoir la terre, le logement et les services communautaires. Le budget de ces 3 secteurs était de 4 % en 2007</w:t>
      </w:r>
      <w:r w:rsidRPr="00AA16D9">
        <w:rPr>
          <w:sz w:val="18"/>
          <w:szCs w:val="18"/>
          <w:vertAlign w:val="superscript"/>
        </w:rPr>
        <w:footnoteReference w:id="126"/>
      </w:r>
      <w:r w:rsidRPr="00AA16D9">
        <w:t xml:space="preserve">. </w:t>
      </w:r>
    </w:p>
    <w:p w:rsidR="0036354A" w:rsidRPr="00AA16D9" w:rsidRDefault="0036354A" w:rsidP="0036354A">
      <w:pPr>
        <w:pStyle w:val="H4G"/>
      </w:pPr>
      <w:r w:rsidRPr="00AA16D9">
        <w:tab/>
      </w:r>
      <w:r w:rsidRPr="00AA16D9">
        <w:tab/>
        <w:t>Organe chargé du suivi</w:t>
      </w:r>
    </w:p>
    <w:p w:rsidR="0036354A" w:rsidRPr="00AA16D9" w:rsidRDefault="0036354A" w:rsidP="0036354A">
      <w:pPr>
        <w:pStyle w:val="SingleTxtG"/>
      </w:pPr>
      <w:r w:rsidRPr="00AA16D9">
        <w:rPr>
          <w:szCs w:val="24"/>
        </w:rPr>
        <w:t>224.</w:t>
      </w:r>
      <w:r w:rsidRPr="00AA16D9">
        <w:rPr>
          <w:szCs w:val="24"/>
        </w:rPr>
        <w:tab/>
      </w:r>
      <w:r w:rsidRPr="00AA16D9">
        <w:t>Le Minaloc est l</w:t>
      </w:r>
      <w:r>
        <w:t>’</w:t>
      </w:r>
      <w:r w:rsidRPr="00AA16D9">
        <w:t>organe chargé du suivi et qui reçoit les rapports et plans d</w:t>
      </w:r>
      <w:r>
        <w:t>’</w:t>
      </w:r>
      <w:r w:rsidRPr="00AA16D9">
        <w:t>action établis par les autorités locales. Quant au CEPEX (le Central Public Investissements and External Finance Bureau), organe gouvernemental ayant comme mission la coordination des projets de développement, il est chargé d</w:t>
      </w:r>
      <w:r>
        <w:t>’</w:t>
      </w:r>
      <w:r w:rsidRPr="00AA16D9">
        <w:t xml:space="preserve">assurer le suivi des fonds de développement. </w:t>
      </w:r>
    </w:p>
    <w:p w:rsidR="0036354A" w:rsidRPr="00AA16D9" w:rsidRDefault="0036354A" w:rsidP="0036354A">
      <w:pPr>
        <w:pStyle w:val="H4G"/>
      </w:pPr>
      <w:r w:rsidRPr="00AA16D9">
        <w:tab/>
      </w:r>
      <w:r w:rsidRPr="00AA16D9">
        <w:tab/>
        <w:t>Le schéma en matière d</w:t>
      </w:r>
      <w:r>
        <w:t>’</w:t>
      </w:r>
      <w:r w:rsidRPr="00AA16D9">
        <w:t>habitat</w:t>
      </w:r>
    </w:p>
    <w:p w:rsidR="0036354A" w:rsidRPr="00AA16D9" w:rsidRDefault="0036354A" w:rsidP="0036354A">
      <w:pPr>
        <w:pStyle w:val="SingleTxtG"/>
      </w:pPr>
      <w:r w:rsidRPr="00AA16D9">
        <w:rPr>
          <w:szCs w:val="24"/>
        </w:rPr>
        <w:t>225.</w:t>
      </w:r>
      <w:r w:rsidRPr="00AA16D9">
        <w:rPr>
          <w:szCs w:val="24"/>
        </w:rPr>
        <w:tab/>
      </w:r>
      <w:r w:rsidRPr="00AA16D9">
        <w:t>Le schéma suivant existe en matière d</w:t>
      </w:r>
      <w:r>
        <w:t>’</w:t>
      </w:r>
      <w:r w:rsidRPr="00AA16D9">
        <w:t xml:space="preserve">habitat: </w:t>
      </w:r>
    </w:p>
    <w:p w:rsidR="0036354A" w:rsidRPr="00AA16D9" w:rsidRDefault="0036354A" w:rsidP="0036354A">
      <w:pPr>
        <w:pStyle w:val="Bullet1G"/>
      </w:pPr>
      <w:r w:rsidRPr="00AA16D9">
        <w:t>Les centres urbains, les centres semi-urbains (ce sont les centres ruraux existants) et les centres ruraux à proprement parler. C</w:t>
      </w:r>
      <w:r>
        <w:t>’</w:t>
      </w:r>
      <w:r w:rsidRPr="00AA16D9">
        <w:t xml:space="preserve">est dans ces derniers que sont construits les </w:t>
      </w:r>
      <w:r w:rsidRPr="00AA16D9">
        <w:rPr>
          <w:i/>
        </w:rPr>
        <w:t>Imidugudu</w:t>
      </w:r>
      <w:r w:rsidRPr="00AA16D9">
        <w:t>, habitats groupés. L</w:t>
      </w:r>
      <w:r>
        <w:t>’</w:t>
      </w:r>
      <w:r w:rsidRPr="00AA16D9">
        <w:t>avantage de ces derniers est de taille car il y a affectation du maximum des terres arables à l</w:t>
      </w:r>
      <w:r>
        <w:t>’</w:t>
      </w:r>
      <w:r w:rsidRPr="00AA16D9">
        <w:t>agriculture. Les résidences et équipements d</w:t>
      </w:r>
      <w:r>
        <w:t>’</w:t>
      </w:r>
      <w:r w:rsidRPr="00AA16D9">
        <w:t>accompagnement sont construits sur des sites choisis; il y a aussi la facilité d</w:t>
      </w:r>
      <w:r>
        <w:t>’</w:t>
      </w:r>
      <w:r w:rsidRPr="00AA16D9">
        <w:t>accès aux services, la réduction des distances et des coûts des infrastructures de base, la possibilité de développer le secteur secondaire et tertiaire et le développement d</w:t>
      </w:r>
      <w:r>
        <w:t>’</w:t>
      </w:r>
      <w:r w:rsidRPr="00AA16D9">
        <w:t>un esprit innovateur grâce à la compétitivité entre les villages</w:t>
      </w:r>
      <w:r w:rsidRPr="00AA16D9">
        <w:rPr>
          <w:sz w:val="18"/>
          <w:szCs w:val="18"/>
          <w:vertAlign w:val="superscript"/>
        </w:rPr>
        <w:footnoteReference w:id="127"/>
      </w:r>
      <w:r w:rsidRPr="00AA16D9">
        <w:t>;</w:t>
      </w:r>
    </w:p>
    <w:p w:rsidR="0036354A" w:rsidRPr="00AA16D9" w:rsidRDefault="0036354A" w:rsidP="0036354A">
      <w:pPr>
        <w:pStyle w:val="Bullet1G"/>
      </w:pPr>
      <w:r w:rsidRPr="00AA16D9">
        <w:t>Les anciens centres commerciaux de négoce sont en voie d</w:t>
      </w:r>
      <w:r>
        <w:t>’</w:t>
      </w:r>
      <w:r w:rsidRPr="00AA16D9">
        <w:t>être revitalisés (en eau, électricité et autres infrastructures).</w:t>
      </w:r>
    </w:p>
    <w:p w:rsidR="0036354A" w:rsidRPr="00AA16D9" w:rsidRDefault="0036354A" w:rsidP="0036354A">
      <w:pPr>
        <w:pStyle w:val="SingleTxtG"/>
        <w:keepNext/>
      </w:pPr>
      <w:r w:rsidRPr="00AA16D9">
        <w:rPr>
          <w:szCs w:val="24"/>
        </w:rPr>
        <w:t>226.</w:t>
      </w:r>
      <w:r w:rsidRPr="00AA16D9">
        <w:rPr>
          <w:szCs w:val="24"/>
        </w:rPr>
        <w:tab/>
      </w:r>
      <w:r w:rsidRPr="00AA16D9">
        <w:t>Notons qu</w:t>
      </w:r>
      <w:r>
        <w:t>’</w:t>
      </w:r>
      <w:r w:rsidRPr="00AA16D9">
        <w:t>avec l</w:t>
      </w:r>
      <w:r>
        <w:t>’</w:t>
      </w:r>
      <w:r w:rsidRPr="00AA16D9">
        <w:t>adoption de la loi portant organisation de l</w:t>
      </w:r>
      <w:r>
        <w:t>’</w:t>
      </w:r>
      <w:r w:rsidRPr="00AA16D9">
        <w:t>habitat, ce schéma se présentera comme suit:</w:t>
      </w:r>
    </w:p>
    <w:p w:rsidR="0036354A" w:rsidRPr="00AA16D9" w:rsidRDefault="0036354A" w:rsidP="0036354A">
      <w:pPr>
        <w:pStyle w:val="Bullet1G"/>
      </w:pPr>
      <w:r w:rsidRPr="00AA16D9">
        <w:t>Les centres urbains: ce seront des constructions réalisées sur des espaces définis par la législation sur l</w:t>
      </w:r>
      <w:r>
        <w:t>’</w:t>
      </w:r>
      <w:r w:rsidRPr="00AA16D9">
        <w:t>urbanisme;</w:t>
      </w:r>
    </w:p>
    <w:p w:rsidR="0036354A" w:rsidRPr="00AA16D9" w:rsidRDefault="0036354A" w:rsidP="0036354A">
      <w:pPr>
        <w:pStyle w:val="Bullet1G"/>
      </w:pPr>
      <w:r w:rsidRPr="00AA16D9">
        <w:t>Les constructions rurales comprendront les villages (imidugudu); les constructions isolées à l</w:t>
      </w:r>
      <w:r>
        <w:t>’</w:t>
      </w:r>
      <w:r w:rsidRPr="00AA16D9">
        <w:t>intérieur des exploitations agro-pastorales, les équipements d</w:t>
      </w:r>
      <w:r>
        <w:t>’</w:t>
      </w:r>
      <w:r w:rsidRPr="00AA16D9">
        <w:t>intérêt public érigés en milieu rural; et les autres infrastructures établies en milieu rural.</w:t>
      </w:r>
    </w:p>
    <w:p w:rsidR="0036354A" w:rsidRPr="00AA16D9" w:rsidRDefault="0036354A" w:rsidP="0036354A">
      <w:pPr>
        <w:pStyle w:val="H4G"/>
      </w:pPr>
      <w:r w:rsidRPr="00AA16D9">
        <w:tab/>
      </w:r>
      <w:r w:rsidRPr="00AA16D9">
        <w:tab/>
        <w:t>Mesures en faveur de la rénovation urbaine</w:t>
      </w:r>
    </w:p>
    <w:p w:rsidR="0036354A" w:rsidRPr="00AA16D9" w:rsidRDefault="0036354A" w:rsidP="0036354A">
      <w:pPr>
        <w:pStyle w:val="SingleTxtG"/>
      </w:pPr>
      <w:r w:rsidRPr="00AA16D9">
        <w:rPr>
          <w:szCs w:val="24"/>
        </w:rPr>
        <w:t>227.</w:t>
      </w:r>
      <w:r w:rsidRPr="00AA16D9">
        <w:rPr>
          <w:szCs w:val="24"/>
        </w:rPr>
        <w:tab/>
      </w:r>
      <w:r w:rsidRPr="00AA16D9">
        <w:t>Les mesures en faveur de la rénovation urbaine comprennent:</w:t>
      </w:r>
    </w:p>
    <w:p w:rsidR="0036354A" w:rsidRPr="00AA16D9" w:rsidRDefault="0036354A" w:rsidP="0036354A">
      <w:pPr>
        <w:pStyle w:val="Bullet1G"/>
      </w:pPr>
      <w:r w:rsidRPr="00AA16D9">
        <w:t>Les mesures de rénovation urbaine;</w:t>
      </w:r>
    </w:p>
    <w:p w:rsidR="0036354A" w:rsidRPr="00AA16D9" w:rsidRDefault="0036354A" w:rsidP="0036354A">
      <w:pPr>
        <w:pStyle w:val="Bullet1G"/>
      </w:pPr>
      <w:r w:rsidRPr="00AA16D9">
        <w:t>Les schémas directeurs d</w:t>
      </w:r>
      <w:r>
        <w:t>’</w:t>
      </w:r>
      <w:r w:rsidRPr="00AA16D9">
        <w:t>aménagement de la ville de Kigali ainsi que d</w:t>
      </w:r>
      <w:r>
        <w:t>’</w:t>
      </w:r>
      <w:r w:rsidRPr="00AA16D9">
        <w:t xml:space="preserve">autres centres urbains (comme Karongi, Rwamagana, Rusizi et Nyagatare); </w:t>
      </w:r>
    </w:p>
    <w:p w:rsidR="0036354A" w:rsidRPr="00AA16D9" w:rsidRDefault="0036354A" w:rsidP="0036354A">
      <w:pPr>
        <w:pStyle w:val="Bullet1G"/>
      </w:pPr>
      <w:r w:rsidRPr="00AA16D9">
        <w:t>Le développement en cours d</w:t>
      </w:r>
      <w:r>
        <w:t>’</w:t>
      </w:r>
      <w:r w:rsidRPr="00AA16D9">
        <w:t xml:space="preserve">un centre commercial dans la capitale. </w:t>
      </w:r>
    </w:p>
    <w:p w:rsidR="0036354A" w:rsidRPr="00AA16D9" w:rsidRDefault="0036354A" w:rsidP="0036354A">
      <w:pPr>
        <w:pStyle w:val="H4G"/>
      </w:pPr>
      <w:r w:rsidRPr="00AA16D9">
        <w:tab/>
      </w:r>
      <w:r w:rsidRPr="00AA16D9">
        <w:tab/>
        <w:t>Qu</w:t>
      </w:r>
      <w:r>
        <w:t>’</w:t>
      </w:r>
      <w:r w:rsidRPr="00AA16D9">
        <w:t>en-est-il des opérations «ville de charme»?</w:t>
      </w:r>
    </w:p>
    <w:p w:rsidR="0036354A" w:rsidRPr="00AA16D9" w:rsidRDefault="0036354A" w:rsidP="0036354A">
      <w:pPr>
        <w:pStyle w:val="SingleTxtG"/>
      </w:pPr>
      <w:r w:rsidRPr="00AA16D9">
        <w:rPr>
          <w:szCs w:val="24"/>
        </w:rPr>
        <w:t>228.</w:t>
      </w:r>
      <w:r w:rsidRPr="00AA16D9">
        <w:rPr>
          <w:szCs w:val="24"/>
        </w:rPr>
        <w:tab/>
      </w:r>
      <w:r w:rsidRPr="00AA16D9">
        <w:t>Les opérations «ville de charme» n</w:t>
      </w:r>
      <w:r>
        <w:t>’</w:t>
      </w:r>
      <w:r w:rsidRPr="00AA16D9">
        <w:t xml:space="preserve">existent pas encore. </w:t>
      </w:r>
    </w:p>
    <w:p w:rsidR="0036354A" w:rsidRPr="00AA16D9" w:rsidRDefault="0036354A" w:rsidP="0036354A">
      <w:pPr>
        <w:pStyle w:val="H4G"/>
      </w:pPr>
      <w:r w:rsidRPr="00AA16D9">
        <w:tab/>
      </w:r>
      <w:r w:rsidRPr="00AA16D9">
        <w:tab/>
        <w:t xml:space="preserve">Projets de réaménagement et mise en valeur des sites </w:t>
      </w:r>
    </w:p>
    <w:p w:rsidR="0036354A" w:rsidRPr="00AA16D9" w:rsidRDefault="0036354A" w:rsidP="0036354A">
      <w:pPr>
        <w:pStyle w:val="SingleTxtG"/>
      </w:pPr>
      <w:r w:rsidRPr="00AA16D9">
        <w:rPr>
          <w:szCs w:val="24"/>
        </w:rPr>
        <w:t>229.</w:t>
      </w:r>
      <w:r w:rsidRPr="00AA16D9">
        <w:rPr>
          <w:szCs w:val="24"/>
        </w:rPr>
        <w:tab/>
      </w:r>
      <w:r w:rsidRPr="00AA16D9">
        <w:t>Des projets de réaménagement existent en vue de reloger ailleurs les résidents expulsés de logements inappropriés ou s</w:t>
      </w:r>
      <w:r>
        <w:t>’</w:t>
      </w:r>
      <w:r w:rsidRPr="00AA16D9">
        <w:t>apparentant à des bidonvilles, surtout dans la ville de Kigali. La ville travaille à leur fournir un espace décent où ces expulsés pourront jouir des droits essentiels, notamment à disposer d</w:t>
      </w:r>
      <w:r>
        <w:t>’</w:t>
      </w:r>
      <w:r w:rsidRPr="00AA16D9">
        <w:t>infrastructures et de services publics. La loi sur l</w:t>
      </w:r>
      <w:r>
        <w:t>’</w:t>
      </w:r>
      <w:r w:rsidRPr="00AA16D9">
        <w:t>indemnisation (ci-haut mentionnée) en son article 23 permet la relocalisation des personnes expulsées.</w:t>
      </w:r>
    </w:p>
    <w:p w:rsidR="0036354A" w:rsidRPr="00AA16D9" w:rsidRDefault="0036354A" w:rsidP="0036354A">
      <w:pPr>
        <w:pStyle w:val="SingleTxtG"/>
      </w:pPr>
      <w:r w:rsidRPr="00AA16D9">
        <w:rPr>
          <w:szCs w:val="24"/>
        </w:rPr>
        <w:t>230.</w:t>
      </w:r>
      <w:r w:rsidRPr="00AA16D9">
        <w:rPr>
          <w:szCs w:val="24"/>
        </w:rPr>
        <w:tab/>
      </w:r>
      <w:r w:rsidRPr="00AA16D9">
        <w:t xml:space="preserve">Il y a une remise en valeur de certains sites, comme les musées historiques ou les sites érigés en mémoire du génocide contre les Tutsi. </w:t>
      </w:r>
    </w:p>
    <w:p w:rsidR="0036354A" w:rsidRPr="00AA16D9" w:rsidRDefault="0036354A" w:rsidP="0036354A">
      <w:pPr>
        <w:pStyle w:val="H4G"/>
      </w:pPr>
      <w:r w:rsidRPr="00AA16D9">
        <w:tab/>
      </w:r>
      <w:r w:rsidRPr="00AA16D9">
        <w:tab/>
        <w:t>Des modifications récentes</w:t>
      </w:r>
    </w:p>
    <w:p w:rsidR="0036354A" w:rsidRPr="00AA16D9" w:rsidRDefault="0036354A" w:rsidP="0036354A">
      <w:pPr>
        <w:pStyle w:val="SingleTxtG"/>
      </w:pPr>
      <w:r w:rsidRPr="00AA16D9">
        <w:t xml:space="preserve">Des changements positifs ont été enregistrés. Citons: </w:t>
      </w:r>
    </w:p>
    <w:p w:rsidR="0036354A" w:rsidRPr="00AA16D9" w:rsidRDefault="0036354A" w:rsidP="0036354A">
      <w:pPr>
        <w:pStyle w:val="SingleTxtG"/>
      </w:pPr>
      <w:r w:rsidRPr="00AA16D9">
        <w:rPr>
          <w:szCs w:val="24"/>
        </w:rPr>
        <w:t>231.</w:t>
      </w:r>
      <w:r w:rsidRPr="00AA16D9">
        <w:rPr>
          <w:szCs w:val="24"/>
        </w:rPr>
        <w:tab/>
      </w:r>
      <w:r w:rsidRPr="00AA16D9">
        <w:t xml:space="preserve">En ce qui a trait au droit à la nourriture: </w:t>
      </w:r>
    </w:p>
    <w:p w:rsidR="0036354A" w:rsidRPr="00AA16D9" w:rsidRDefault="0036354A" w:rsidP="0036354A">
      <w:pPr>
        <w:pStyle w:val="Bullet1G"/>
      </w:pPr>
      <w:r w:rsidRPr="00AA16D9">
        <w:t>Les politiques de réduction de la pauvreté;</w:t>
      </w:r>
    </w:p>
    <w:p w:rsidR="0036354A" w:rsidRPr="00AA16D9" w:rsidRDefault="0036354A" w:rsidP="0036354A">
      <w:pPr>
        <w:pStyle w:val="Bullet1G"/>
      </w:pPr>
      <w:r w:rsidRPr="00AA16D9">
        <w:t>La stratégie de transformation de l</w:t>
      </w:r>
      <w:r>
        <w:t>’</w:t>
      </w:r>
      <w:r w:rsidRPr="00AA16D9">
        <w:t>agriculture;</w:t>
      </w:r>
    </w:p>
    <w:p w:rsidR="0036354A" w:rsidRPr="00AA16D9" w:rsidRDefault="0036354A" w:rsidP="0036354A">
      <w:pPr>
        <w:pStyle w:val="Bullet1G"/>
      </w:pPr>
      <w:r w:rsidRPr="00AA16D9">
        <w:t>La politique de l</w:t>
      </w:r>
      <w:r>
        <w:t>’</w:t>
      </w:r>
      <w:r w:rsidRPr="00AA16D9">
        <w:t>assainissement de l</w:t>
      </w:r>
      <w:r>
        <w:t>’</w:t>
      </w:r>
      <w:r w:rsidRPr="00AA16D9">
        <w:t>eau.</w:t>
      </w:r>
    </w:p>
    <w:p w:rsidR="0036354A" w:rsidRPr="00AA16D9" w:rsidRDefault="0036354A" w:rsidP="0036354A">
      <w:pPr>
        <w:pStyle w:val="SingleTxtG"/>
      </w:pPr>
      <w:r w:rsidRPr="00AA16D9">
        <w:rPr>
          <w:szCs w:val="24"/>
        </w:rPr>
        <w:t>232.</w:t>
      </w:r>
      <w:r w:rsidRPr="00AA16D9">
        <w:rPr>
          <w:szCs w:val="24"/>
        </w:rPr>
        <w:tab/>
      </w:r>
      <w:r w:rsidRPr="00AA16D9">
        <w:t>Dans le domaine du droit au logement, on peut apporter les précisions suivantes:</w:t>
      </w:r>
    </w:p>
    <w:p w:rsidR="0036354A" w:rsidRPr="00AA16D9" w:rsidRDefault="0036354A" w:rsidP="0036354A">
      <w:pPr>
        <w:pStyle w:val="Bullet1G"/>
      </w:pPr>
      <w:r w:rsidRPr="00AA16D9">
        <w:t xml:space="preserve">Toutes les lois citées précédemment ont été adoptées durant la période couverte par le présent rapport; </w:t>
      </w:r>
    </w:p>
    <w:p w:rsidR="0036354A" w:rsidRPr="00AA16D9" w:rsidRDefault="0036354A" w:rsidP="0036354A">
      <w:pPr>
        <w:pStyle w:val="Bullet1G"/>
      </w:pPr>
      <w:r w:rsidRPr="00AA16D9">
        <w:t xml:space="preserve">La loi sur les régimes matrimoniaux, libéralités et successions: elle prohibe toute discrimination basée sur le sexe entre les enfants du </w:t>
      </w:r>
      <w:r w:rsidRPr="00AA16D9">
        <w:rPr>
          <w:i/>
        </w:rPr>
        <w:t>de cujus</w:t>
      </w:r>
      <w:r w:rsidRPr="00AA16D9">
        <w:t xml:space="preserve"> au moment du partage de la succession (art. 50);</w:t>
      </w:r>
    </w:p>
    <w:p w:rsidR="0036354A" w:rsidRPr="00AA16D9" w:rsidRDefault="0036354A" w:rsidP="0036354A">
      <w:pPr>
        <w:pStyle w:val="Bullet1G"/>
      </w:pPr>
      <w:r w:rsidRPr="00AA16D9">
        <w:t xml:space="preserve">La politique de décentralisation en 2002; </w:t>
      </w:r>
    </w:p>
    <w:p w:rsidR="0036354A" w:rsidRPr="00AA16D9" w:rsidRDefault="0036354A" w:rsidP="0036354A">
      <w:pPr>
        <w:pStyle w:val="Bullet1G"/>
      </w:pPr>
      <w:r w:rsidRPr="00AA16D9">
        <w:t>La politique de l</w:t>
      </w:r>
      <w:r>
        <w:t>’</w:t>
      </w:r>
      <w:r w:rsidRPr="00AA16D9">
        <w:t>habitat par la construction des «</w:t>
      </w:r>
      <w:r w:rsidRPr="00AA16D9">
        <w:rPr>
          <w:i/>
        </w:rPr>
        <w:t>Imidugudu</w:t>
      </w:r>
      <w:r w:rsidRPr="00AA16D9">
        <w:t>» pour résorber le problème des réfugiés rentrant et aussi encourager la création de centres de développement en milieu rural;</w:t>
      </w:r>
    </w:p>
    <w:p w:rsidR="0036354A" w:rsidRPr="00AA16D9" w:rsidRDefault="0036354A" w:rsidP="0036354A">
      <w:pPr>
        <w:pStyle w:val="Bullet1G"/>
      </w:pPr>
      <w:r w:rsidRPr="00AA16D9">
        <w:t>La politique de conservation de la nature qui préconise notamment l</w:t>
      </w:r>
      <w:r>
        <w:t>’</w:t>
      </w:r>
      <w:r w:rsidRPr="00AA16D9">
        <w:t>amélioration des systèmes d</w:t>
      </w:r>
      <w:r>
        <w:t>’</w:t>
      </w:r>
      <w:r w:rsidRPr="00AA16D9">
        <w:t>égouts; la non-utilisation des sacs en plastique</w:t>
      </w:r>
      <w:r w:rsidRPr="00AA16D9">
        <w:rPr>
          <w:sz w:val="18"/>
          <w:szCs w:val="18"/>
          <w:vertAlign w:val="superscript"/>
        </w:rPr>
        <w:footnoteReference w:id="128"/>
      </w:r>
      <w:r w:rsidRPr="00AA16D9">
        <w:t xml:space="preserve"> ainsi que l</w:t>
      </w:r>
      <w:r>
        <w:t>’</w:t>
      </w:r>
      <w:r w:rsidRPr="00AA16D9">
        <w:t>amélioration de la collecte des déchets ménagers. Ce qui a même valu à la ville de Kigali le prix décerné par le UN Habitat, en 2008;</w:t>
      </w:r>
    </w:p>
    <w:p w:rsidR="0036354A" w:rsidRPr="00AA16D9" w:rsidRDefault="0036354A" w:rsidP="0036354A">
      <w:pPr>
        <w:pStyle w:val="Bullet1G"/>
      </w:pPr>
      <w:r w:rsidRPr="00AA16D9">
        <w:t>La politique de l</w:t>
      </w:r>
      <w:r>
        <w:t>’</w:t>
      </w:r>
      <w:r w:rsidRPr="00AA16D9">
        <w:t>environnement: une agence, REMA, a même été mise sur pied pour la sauvegarde et la promotion de l</w:t>
      </w:r>
      <w:r>
        <w:t>’</w:t>
      </w:r>
      <w:r w:rsidRPr="00AA16D9">
        <w:t xml:space="preserve">environnement; </w:t>
      </w:r>
    </w:p>
    <w:p w:rsidR="0036354A" w:rsidRPr="00AA16D9" w:rsidRDefault="0036354A" w:rsidP="0036354A">
      <w:pPr>
        <w:pStyle w:val="Bullet1G"/>
      </w:pPr>
      <w:r w:rsidRPr="00AA16D9">
        <w:t>La modernisation de la ville de Kigali et la revitalisation des centres ruraux.</w:t>
      </w:r>
    </w:p>
    <w:p w:rsidR="0036354A" w:rsidRPr="00AA16D9" w:rsidRDefault="0036354A" w:rsidP="0036354A">
      <w:pPr>
        <w:pStyle w:val="H4G"/>
      </w:pPr>
      <w:r w:rsidRPr="00AA16D9">
        <w:tab/>
      </w:r>
      <w:r w:rsidRPr="00AA16D9">
        <w:tab/>
        <w:t>Les difficultés et les insuffisances dans la réalisation des droits de l</w:t>
      </w:r>
      <w:r>
        <w:t>’</w:t>
      </w:r>
      <w:r w:rsidRPr="00AA16D9">
        <w:t>article 11</w:t>
      </w:r>
    </w:p>
    <w:p w:rsidR="0036354A" w:rsidRPr="00AA16D9" w:rsidRDefault="0036354A" w:rsidP="0036354A">
      <w:pPr>
        <w:pStyle w:val="SingleTxtG"/>
        <w:ind w:firstLine="567"/>
      </w:pPr>
      <w:r w:rsidRPr="00AA16D9">
        <w:t xml:space="preserve">Les difficultés restent encore nombreuses. </w:t>
      </w:r>
    </w:p>
    <w:p w:rsidR="0036354A" w:rsidRPr="00AA16D9" w:rsidRDefault="0036354A" w:rsidP="0036354A">
      <w:pPr>
        <w:pStyle w:val="SingleTxtG"/>
      </w:pPr>
      <w:r w:rsidRPr="00AA16D9">
        <w:rPr>
          <w:szCs w:val="24"/>
        </w:rPr>
        <w:t>233.</w:t>
      </w:r>
      <w:r w:rsidRPr="00AA16D9">
        <w:rPr>
          <w:szCs w:val="24"/>
        </w:rPr>
        <w:tab/>
      </w:r>
      <w:r w:rsidRPr="00AA16D9">
        <w:t xml:space="preserve">En matière de logement, notons: </w:t>
      </w:r>
    </w:p>
    <w:p w:rsidR="0036354A" w:rsidRPr="00AA16D9" w:rsidRDefault="0036354A" w:rsidP="0036354A">
      <w:pPr>
        <w:pStyle w:val="Bullet1G"/>
      </w:pPr>
      <w:r w:rsidRPr="00AA16D9">
        <w:t>La capacité financière encore limitée de l</w:t>
      </w:r>
      <w:r>
        <w:t>’</w:t>
      </w:r>
      <w:r w:rsidRPr="00AA16D9">
        <w:t>État rwandais de pouvoir décemment loger ses populations en particulier les populations vulnérables;</w:t>
      </w:r>
    </w:p>
    <w:p w:rsidR="0036354A" w:rsidRPr="00AA16D9" w:rsidRDefault="0036354A" w:rsidP="0036354A">
      <w:pPr>
        <w:pStyle w:val="Bullet1G"/>
      </w:pPr>
      <w:r w:rsidRPr="00AA16D9">
        <w:t>Les matériaux de construction sont chers, cela étant dû aux prix des produits importés, conséquence de l</w:t>
      </w:r>
      <w:r>
        <w:t>’</w:t>
      </w:r>
      <w:r w:rsidRPr="00AA16D9">
        <w:t>enclavement du pays;</w:t>
      </w:r>
    </w:p>
    <w:p w:rsidR="0036354A" w:rsidRPr="00AA16D9" w:rsidRDefault="0036354A" w:rsidP="0036354A">
      <w:pPr>
        <w:pStyle w:val="Bullet1G"/>
      </w:pPr>
      <w:r w:rsidRPr="00AA16D9">
        <w:t>Le cadre juridique n</w:t>
      </w:r>
      <w:r>
        <w:t>’</w:t>
      </w:r>
      <w:r w:rsidRPr="00AA16D9">
        <w:t>est pas encore bien établi dans le domaine du logement, les lois sur l</w:t>
      </w:r>
      <w:r>
        <w:t>’</w:t>
      </w:r>
      <w:r w:rsidRPr="00AA16D9">
        <w:t>organisation de l</w:t>
      </w:r>
      <w:r>
        <w:t>’</w:t>
      </w:r>
      <w:r w:rsidRPr="00AA16D9">
        <w:t>habitat sont en cours d</w:t>
      </w:r>
      <w:r>
        <w:t>’</w:t>
      </w:r>
      <w:r w:rsidRPr="00AA16D9">
        <w:t xml:space="preserve">élaboration, les réglementations sur les corps de métiers dans la construction ne sont pas encore établies. Beaucoup a déjà été fait, mais il reste encore davantage à faire. </w:t>
      </w:r>
    </w:p>
    <w:p w:rsidR="0036354A" w:rsidRPr="00AA16D9" w:rsidRDefault="0036354A" w:rsidP="0036354A">
      <w:pPr>
        <w:pStyle w:val="SingleTxtG"/>
      </w:pPr>
      <w:r w:rsidRPr="00AA16D9">
        <w:rPr>
          <w:szCs w:val="24"/>
        </w:rPr>
        <w:t>234.</w:t>
      </w:r>
      <w:r w:rsidRPr="00AA16D9">
        <w:rPr>
          <w:szCs w:val="24"/>
        </w:rPr>
        <w:tab/>
      </w:r>
      <w:r w:rsidRPr="00AA16D9">
        <w:t xml:space="preserve">Dans le secteur agricole, on signalera les aspects suivants: </w:t>
      </w:r>
    </w:p>
    <w:p w:rsidR="0036354A" w:rsidRPr="00AA16D9" w:rsidRDefault="0036354A" w:rsidP="0036354A">
      <w:pPr>
        <w:pStyle w:val="Bullet1G"/>
      </w:pPr>
      <w:r w:rsidRPr="00AA16D9">
        <w:t>Les exploitations agricoles éprouvent de plus en plus de difficultés à assurer la subsistance des familles, particulièrement en cas d</w:t>
      </w:r>
      <w:r>
        <w:t>’</w:t>
      </w:r>
      <w:r w:rsidRPr="00AA16D9">
        <w:t>aléas climatiques, et les ménages sont régulièrement confrontés à des déficits alimentaires et nutritionnels soit saisonniers, soit globaux sur l</w:t>
      </w:r>
      <w:r>
        <w:t>’</w:t>
      </w:r>
      <w:r w:rsidRPr="00AA16D9">
        <w:t xml:space="preserve">année; </w:t>
      </w:r>
    </w:p>
    <w:p w:rsidR="0036354A" w:rsidRPr="00AA16D9" w:rsidRDefault="0036354A" w:rsidP="0036354A">
      <w:pPr>
        <w:pStyle w:val="Bullet1G"/>
      </w:pPr>
      <w:r w:rsidRPr="00AA16D9">
        <w:t>La régression de l</w:t>
      </w:r>
      <w:r>
        <w:t>’</w:t>
      </w:r>
      <w:r w:rsidRPr="00AA16D9">
        <w:t>élevage (avec des systèmes de production essentiellement de type traditionnel) et la faible production de fumier qui en découle;</w:t>
      </w:r>
    </w:p>
    <w:p w:rsidR="0036354A" w:rsidRPr="00AA16D9" w:rsidRDefault="0036354A" w:rsidP="0036354A">
      <w:pPr>
        <w:pStyle w:val="Bullet1G"/>
      </w:pPr>
      <w:r w:rsidRPr="00AA16D9">
        <w:t>L</w:t>
      </w:r>
      <w:r>
        <w:t>’</w:t>
      </w:r>
      <w:r w:rsidRPr="00AA16D9">
        <w:t>amplification des phénomènes d</w:t>
      </w:r>
      <w:r>
        <w:t>’</w:t>
      </w:r>
      <w:r w:rsidRPr="00AA16D9">
        <w:t>érosion suite à l</w:t>
      </w:r>
      <w:r>
        <w:t>’</w:t>
      </w:r>
      <w:r w:rsidRPr="00AA16D9">
        <w:t xml:space="preserve">épuisement du couvert végétal, notamment les déboisements, entraîne une baisse inquiétante de la fertilité des sols; </w:t>
      </w:r>
    </w:p>
    <w:p w:rsidR="0036354A" w:rsidRPr="00AA16D9" w:rsidRDefault="0036354A" w:rsidP="0036354A">
      <w:pPr>
        <w:pStyle w:val="Bullet1G"/>
      </w:pPr>
      <w:r w:rsidRPr="00AA16D9">
        <w:t>Le niveau de revenus tirés de la vente de la partie commercialisable des productions ne permet pas aux ménages agricoles de faire face aux autres besoins;</w:t>
      </w:r>
    </w:p>
    <w:p w:rsidR="0036354A" w:rsidRPr="00AA16D9" w:rsidRDefault="0036354A" w:rsidP="0036354A">
      <w:pPr>
        <w:pStyle w:val="Bullet1G"/>
      </w:pPr>
      <w:r w:rsidRPr="00AA16D9">
        <w:t>La prédominance d</w:t>
      </w:r>
      <w:r>
        <w:t>’</w:t>
      </w:r>
      <w:r w:rsidRPr="00AA16D9">
        <w:t>une agriculture de subsistance avec une faible intégration au marché;</w:t>
      </w:r>
    </w:p>
    <w:p w:rsidR="0036354A" w:rsidRPr="00AA16D9" w:rsidRDefault="0036354A" w:rsidP="0036354A">
      <w:pPr>
        <w:pStyle w:val="Bullet1G"/>
      </w:pPr>
      <w:r w:rsidRPr="00AA16D9">
        <w:t>Le faible niveau d</w:t>
      </w:r>
      <w:r>
        <w:t>’</w:t>
      </w:r>
      <w:r w:rsidRPr="00AA16D9">
        <w:t>investissement: le secteur financier ne s</w:t>
      </w:r>
      <w:r>
        <w:t>’</w:t>
      </w:r>
      <w:r w:rsidRPr="00AA16D9">
        <w:t>intéresse pas encore au secteur agricole, et pour les institutions financières et bancaires le secteur est considéré à haut risque pour leurs capitaux;</w:t>
      </w:r>
    </w:p>
    <w:p w:rsidR="0036354A" w:rsidRPr="00AA16D9" w:rsidRDefault="0036354A" w:rsidP="0036354A">
      <w:pPr>
        <w:pStyle w:val="Bullet1G"/>
      </w:pPr>
      <w:r w:rsidRPr="00AA16D9">
        <w:t>La terre se raréfie et la pression démographique s</w:t>
      </w:r>
      <w:r>
        <w:t>’</w:t>
      </w:r>
      <w:r w:rsidRPr="00AA16D9">
        <w:t xml:space="preserve">accroît; </w:t>
      </w:r>
    </w:p>
    <w:p w:rsidR="0036354A" w:rsidRPr="00AA16D9" w:rsidRDefault="0036354A" w:rsidP="0036354A">
      <w:pPr>
        <w:pStyle w:val="Bullet1G"/>
      </w:pPr>
      <w:r w:rsidRPr="00AA16D9">
        <w:t>Les mentalités et les coutumes ont du mal à suivre les nouvelles politiques gouvernementales;</w:t>
      </w:r>
    </w:p>
    <w:p w:rsidR="0036354A" w:rsidRPr="00AA16D9" w:rsidRDefault="0036354A" w:rsidP="0036354A">
      <w:pPr>
        <w:pStyle w:val="Bullet1G"/>
      </w:pPr>
      <w:r w:rsidRPr="00AA16D9">
        <w:t>Les contraintes liées au marché, par exemple au fait que les productions sont à faible valeur ajoutée suite à l</w:t>
      </w:r>
      <w:r>
        <w:t>’</w:t>
      </w:r>
      <w:r w:rsidRPr="00AA16D9">
        <w:t xml:space="preserve">insuffisance des ressources, des infrastructures et des technologies de transformation, de conservation et de conditionnement; </w:t>
      </w:r>
    </w:p>
    <w:p w:rsidR="0036354A" w:rsidRPr="00AA16D9" w:rsidRDefault="0036354A" w:rsidP="0036354A">
      <w:pPr>
        <w:pStyle w:val="Bullet1G"/>
      </w:pPr>
      <w:r w:rsidRPr="00AA16D9">
        <w:t xml:space="preserve">Les techniques culturales qui ne garantissent pas la qualité et la sécurité des produits alimentaires; </w:t>
      </w:r>
    </w:p>
    <w:p w:rsidR="0036354A" w:rsidRPr="00AA16D9" w:rsidRDefault="0036354A" w:rsidP="0036354A">
      <w:pPr>
        <w:pStyle w:val="Bullet1G"/>
      </w:pPr>
      <w:r w:rsidRPr="00AA16D9">
        <w:t>Les faibles capacités commerciales des organisations de producteurs.</w:t>
      </w:r>
    </w:p>
    <w:p w:rsidR="0036354A" w:rsidRPr="00AA16D9" w:rsidRDefault="0036354A" w:rsidP="0036354A">
      <w:pPr>
        <w:pStyle w:val="SingleTxtG"/>
      </w:pPr>
      <w:r w:rsidRPr="00AA16D9">
        <w:rPr>
          <w:szCs w:val="24"/>
        </w:rPr>
        <w:t>235.</w:t>
      </w:r>
      <w:r w:rsidRPr="00AA16D9">
        <w:rPr>
          <w:szCs w:val="24"/>
        </w:rPr>
        <w:tab/>
      </w:r>
      <w:r w:rsidRPr="00AA16D9">
        <w:t>Parmi d</w:t>
      </w:r>
      <w:r>
        <w:t>’</w:t>
      </w:r>
      <w:r w:rsidRPr="00AA16D9">
        <w:t>autres mesures pour pallier les insuffisances dans le domaine de l</w:t>
      </w:r>
      <w:r>
        <w:t>’</w:t>
      </w:r>
      <w:r w:rsidRPr="00AA16D9">
        <w:t>agriculture, notons la volonté du Gouvernement</w:t>
      </w:r>
      <w:r w:rsidRPr="00AA16D9">
        <w:rPr>
          <w:sz w:val="18"/>
          <w:szCs w:val="18"/>
          <w:vertAlign w:val="superscript"/>
        </w:rPr>
        <w:footnoteReference w:id="129"/>
      </w:r>
      <w:r w:rsidRPr="00AA16D9">
        <w:t xml:space="preserve"> d</w:t>
      </w:r>
      <w:r>
        <w:t>’</w:t>
      </w:r>
      <w:r w:rsidRPr="00AA16D9">
        <w:t xml:space="preserve">augmenter le budget alloué à ce secteur: il était de 4,7 % en 2008, il devrait avoisiner les 10 % en 2010. </w:t>
      </w:r>
    </w:p>
    <w:p w:rsidR="0036354A" w:rsidRPr="00AA16D9" w:rsidRDefault="0036354A" w:rsidP="0036354A">
      <w:pPr>
        <w:pStyle w:val="H4G"/>
      </w:pPr>
      <w:r w:rsidRPr="00AA16D9">
        <w:tab/>
      </w:r>
      <w:r w:rsidRPr="00AA16D9">
        <w:tab/>
        <w:t>L</w:t>
      </w:r>
      <w:r>
        <w:t>’</w:t>
      </w:r>
      <w:r w:rsidRPr="00AA16D9">
        <w:t>aide internationale</w:t>
      </w:r>
    </w:p>
    <w:p w:rsidR="0062180D" w:rsidRDefault="0036354A" w:rsidP="002F5FFE">
      <w:pPr>
        <w:pStyle w:val="SingleTxtG"/>
      </w:pPr>
      <w:r w:rsidRPr="00AA16D9">
        <w:rPr>
          <w:szCs w:val="24"/>
        </w:rPr>
        <w:t>236.</w:t>
      </w:r>
      <w:r w:rsidRPr="00AA16D9">
        <w:rPr>
          <w:szCs w:val="24"/>
        </w:rPr>
        <w:tab/>
      </w:r>
      <w:r w:rsidRPr="00AA16D9">
        <w:t>L</w:t>
      </w:r>
      <w:r>
        <w:t>’</w:t>
      </w:r>
      <w:r w:rsidRPr="00AA16D9">
        <w:t>aide internationale</w:t>
      </w:r>
      <w:r w:rsidRPr="00AA16D9">
        <w:rPr>
          <w:sz w:val="18"/>
          <w:szCs w:val="18"/>
          <w:vertAlign w:val="superscript"/>
        </w:rPr>
        <w:footnoteReference w:id="130"/>
      </w:r>
      <w:r w:rsidRPr="00AA16D9">
        <w:t xml:space="preserve"> est très perceptible aussi bien dans le domaine agricole que dans celui de l</w:t>
      </w:r>
      <w:r>
        <w:t>’</w:t>
      </w:r>
      <w:r w:rsidRPr="00AA16D9">
        <w:t>habitat. Quelques exemples sont à citer:</w:t>
      </w:r>
    </w:p>
    <w:p w:rsidR="001A4057" w:rsidRPr="009B6952" w:rsidRDefault="001A4057" w:rsidP="001A4057">
      <w:pPr>
        <w:pStyle w:val="H4G"/>
      </w:pPr>
      <w:r>
        <w:tab/>
      </w:r>
      <w:r>
        <w:tab/>
      </w:r>
      <w:r w:rsidRPr="009B6952">
        <w:t>Dans le domaine agri</w:t>
      </w:r>
      <w:r>
        <w:t>cole</w:t>
      </w:r>
    </w:p>
    <w:p w:rsidR="001A4057" w:rsidRPr="009B6952" w:rsidRDefault="001A4057" w:rsidP="001A4057">
      <w:pPr>
        <w:pStyle w:val="Bullet1G"/>
      </w:pPr>
      <w:r w:rsidRPr="009B6952">
        <w:t>Des institutions</w:t>
      </w:r>
      <w:r w:rsidRPr="00B352B3">
        <w:rPr>
          <w:rStyle w:val="FootnoteReference"/>
        </w:rPr>
        <w:footnoteReference w:id="131"/>
      </w:r>
      <w:r w:rsidRPr="009B6952">
        <w:t xml:space="preserve"> comme l</w:t>
      </w:r>
      <w:r>
        <w:t>a</w:t>
      </w:r>
      <w:r w:rsidRPr="009B6952">
        <w:t xml:space="preserve"> FAO,</w:t>
      </w:r>
      <w:r>
        <w:t xml:space="preserve"> le</w:t>
      </w:r>
      <w:r w:rsidRPr="009B6952">
        <w:t xml:space="preserve"> PAM, l</w:t>
      </w:r>
      <w:r>
        <w:t>e FIDA</w:t>
      </w:r>
      <w:r w:rsidRPr="009B6952">
        <w:t xml:space="preserve">, le </w:t>
      </w:r>
      <w:r w:rsidRPr="00D41D3B">
        <w:t>DFID</w:t>
      </w:r>
      <w:r w:rsidRPr="009B6952">
        <w:t xml:space="preserve">, </w:t>
      </w:r>
      <w:r>
        <w:t>le PNUD</w:t>
      </w:r>
      <w:r w:rsidRPr="009B6952">
        <w:t xml:space="preserve">, </w:t>
      </w:r>
      <w:r w:rsidRPr="00B90FD2">
        <w:t>UNAIDS</w:t>
      </w:r>
      <w:r w:rsidRPr="009B6952">
        <w:t xml:space="preserve">, </w:t>
      </w:r>
      <w:r>
        <w:t xml:space="preserve">la </w:t>
      </w:r>
      <w:r w:rsidRPr="00D41D3B">
        <w:t>JICA</w:t>
      </w:r>
      <w:r w:rsidRPr="009B6952">
        <w:t xml:space="preserve"> financent divers projets agricoles. Nous n</w:t>
      </w:r>
      <w:r>
        <w:t>’</w:t>
      </w:r>
      <w:r w:rsidRPr="009B6952">
        <w:t xml:space="preserve">en citerons que trois (3): </w:t>
      </w:r>
    </w:p>
    <w:p w:rsidR="001A4057" w:rsidRPr="009B6952" w:rsidRDefault="001A4057" w:rsidP="001A4057">
      <w:pPr>
        <w:pStyle w:val="Bullet2G"/>
      </w:pPr>
      <w:r>
        <w:t>Le FIDA</w:t>
      </w:r>
      <w:r w:rsidRPr="009B6952">
        <w:t xml:space="preserve"> a financé 12 projets de développement rural au Rwanda pour un total de $</w:t>
      </w:r>
      <w:r w:rsidRPr="00B90FD2">
        <w:t>US</w:t>
      </w:r>
      <w:r>
        <w:t xml:space="preserve"> </w:t>
      </w:r>
      <w:r w:rsidRPr="009B6952">
        <w:t>102</w:t>
      </w:r>
      <w:r>
        <w:t>.</w:t>
      </w:r>
      <w:r w:rsidRPr="009B6952">
        <w:t>7. Certains des projets comprennent le développement de</w:t>
      </w:r>
      <w:r>
        <w:t>s</w:t>
      </w:r>
      <w:r w:rsidRPr="009B6952">
        <w:t xml:space="preserve"> culture</w:t>
      </w:r>
      <w:r>
        <w:t>s</w:t>
      </w:r>
      <w:r w:rsidRPr="009B6952">
        <w:t xml:space="preserve"> de rente</w:t>
      </w:r>
      <w:r>
        <w:t xml:space="preserve"> et</w:t>
      </w:r>
      <w:r w:rsidRPr="009B6952">
        <w:t xml:space="preserve"> la création d</w:t>
      </w:r>
      <w:r>
        <w:t>’emploi via le PPMER;</w:t>
      </w:r>
    </w:p>
    <w:p w:rsidR="001A4057" w:rsidRPr="009B6952" w:rsidRDefault="001A4057" w:rsidP="001A4057">
      <w:pPr>
        <w:pStyle w:val="Bullet2G"/>
      </w:pPr>
      <w:r>
        <w:t xml:space="preserve">La </w:t>
      </w:r>
      <w:r w:rsidRPr="009B6952">
        <w:t>JICA assiste le M</w:t>
      </w:r>
      <w:r>
        <w:t>i</w:t>
      </w:r>
      <w:r w:rsidRPr="009B6952">
        <w:t>nagri dans le développement durable de l</w:t>
      </w:r>
      <w:r>
        <w:t>’</w:t>
      </w:r>
      <w:r w:rsidRPr="009B6952">
        <w:t>agriculture dans le district de Bugesera, province de l</w:t>
      </w:r>
      <w:r>
        <w:t>’</w:t>
      </w:r>
      <w:r w:rsidRPr="009B6952">
        <w:t>Est</w:t>
      </w:r>
      <w:r>
        <w:t>;</w:t>
      </w:r>
    </w:p>
    <w:p w:rsidR="001A4057" w:rsidRPr="009B6952" w:rsidRDefault="001A4057" w:rsidP="001A4057">
      <w:pPr>
        <w:pStyle w:val="Bullet2G"/>
      </w:pPr>
      <w:r w:rsidRPr="009B6952">
        <w:t>L</w:t>
      </w:r>
      <w:r>
        <w:t>’</w:t>
      </w:r>
      <w:r w:rsidRPr="009B6952">
        <w:t xml:space="preserve">Union </w:t>
      </w:r>
      <w:r>
        <w:t>e</w:t>
      </w:r>
      <w:r w:rsidRPr="009B6952">
        <w:t>uropéenne, quant à elle, a financé des projets d</w:t>
      </w:r>
      <w:r>
        <w:t>’</w:t>
      </w:r>
      <w:r w:rsidRPr="009B6952">
        <w:t>alimentation d</w:t>
      </w:r>
      <w:r>
        <w:t>’</w:t>
      </w:r>
      <w:r w:rsidRPr="009B6952">
        <w:t>eau au Bugesera</w:t>
      </w:r>
      <w:r>
        <w:t>.</w:t>
      </w:r>
    </w:p>
    <w:p w:rsidR="001A4057" w:rsidRPr="009B6952" w:rsidRDefault="001A4057" w:rsidP="00AF38EC">
      <w:pPr>
        <w:pStyle w:val="H4G"/>
        <w:spacing w:after="100"/>
      </w:pPr>
      <w:r>
        <w:tab/>
      </w:r>
      <w:r>
        <w:tab/>
      </w:r>
      <w:r w:rsidRPr="009B6952">
        <w:t>Dans le domaine du logement</w:t>
      </w:r>
    </w:p>
    <w:p w:rsidR="001A4057" w:rsidRPr="009B6952" w:rsidRDefault="00CD1742" w:rsidP="00AF38EC">
      <w:pPr>
        <w:pStyle w:val="Bullet1G"/>
        <w:spacing w:after="100"/>
      </w:pPr>
      <w:r w:rsidRPr="009B6952">
        <w:t>L</w:t>
      </w:r>
      <w:r w:rsidR="001A4057" w:rsidRPr="009B6952">
        <w:t xml:space="preserve">a </w:t>
      </w:r>
      <w:r w:rsidR="001A4057" w:rsidRPr="00A54E68">
        <w:t>Banque africaine de développement</w:t>
      </w:r>
      <w:r w:rsidR="001A4057" w:rsidRPr="009B6952">
        <w:t xml:space="preserve"> a financé le développement des schémas directeurs d</w:t>
      </w:r>
      <w:r w:rsidR="001A4057">
        <w:t>’</w:t>
      </w:r>
      <w:r w:rsidR="001A4057" w:rsidRPr="009B6952">
        <w:t>électricité et d</w:t>
      </w:r>
      <w:r w:rsidR="001A4057">
        <w:t>’</w:t>
      </w:r>
      <w:r w:rsidR="001A4057" w:rsidRPr="009B6952">
        <w:t>assainissement d</w:t>
      </w:r>
      <w:r w:rsidR="001A4057">
        <w:t>’</w:t>
      </w:r>
      <w:r w:rsidR="001A4057" w:rsidRPr="009B6952">
        <w:t>eau dans la ville de Kigali;</w:t>
      </w:r>
    </w:p>
    <w:p w:rsidR="001A4057" w:rsidRPr="009B6952" w:rsidRDefault="001A4057" w:rsidP="00AF38EC">
      <w:pPr>
        <w:pStyle w:val="Bullet1G"/>
        <w:spacing w:after="100"/>
      </w:pPr>
      <w:r w:rsidRPr="009B6952">
        <w:t xml:space="preserve">UN-Habitat a </w:t>
      </w:r>
      <w:r>
        <w:t>apporté une assistance dans</w:t>
      </w:r>
      <w:r w:rsidRPr="009B6952">
        <w:t xml:space="preserve"> l</w:t>
      </w:r>
      <w:r>
        <w:t>’</w:t>
      </w:r>
      <w:r w:rsidRPr="009B6952">
        <w:t xml:space="preserve">aménagement urbain </w:t>
      </w:r>
      <w:r>
        <w:t xml:space="preserve">de plusieurs villes </w:t>
      </w:r>
      <w:r w:rsidRPr="009B6952">
        <w:t xml:space="preserve">et centres urbains et </w:t>
      </w:r>
      <w:r>
        <w:t>dans</w:t>
      </w:r>
      <w:r w:rsidRPr="009B6952">
        <w:t xml:space="preserve"> la réhabilitation des édifices publics</w:t>
      </w:r>
      <w:r>
        <w:t xml:space="preserve">; il a également assisté le </w:t>
      </w:r>
      <w:r w:rsidRPr="009B6952">
        <w:t xml:space="preserve">Ministère des infrastructures </w:t>
      </w:r>
      <w:r w:rsidRPr="00A54E68">
        <w:t xml:space="preserve">dans </w:t>
      </w:r>
      <w:r w:rsidRPr="009B6952">
        <w:t>la formulation d</w:t>
      </w:r>
      <w:r>
        <w:t>’</w:t>
      </w:r>
      <w:r w:rsidRPr="009B6952">
        <w:t>une politique de développement urbain (2005-2008)</w:t>
      </w:r>
      <w:r w:rsidRPr="00B352B3">
        <w:rPr>
          <w:rStyle w:val="FootnoteReference"/>
        </w:rPr>
        <w:footnoteReference w:id="132"/>
      </w:r>
      <w:r>
        <w:t>;</w:t>
      </w:r>
    </w:p>
    <w:p w:rsidR="001A4057" w:rsidRPr="009B6952" w:rsidRDefault="001A4057" w:rsidP="00AF38EC">
      <w:pPr>
        <w:pStyle w:val="Bullet1G"/>
        <w:spacing w:after="100"/>
      </w:pPr>
      <w:r>
        <w:t>Dans le cadre du</w:t>
      </w:r>
      <w:r w:rsidRPr="009B6952">
        <w:t xml:space="preserve"> PNUD, les </w:t>
      </w:r>
      <w:r>
        <w:t>Gouvernement</w:t>
      </w:r>
      <w:r w:rsidRPr="009B6952">
        <w:t>s japonais et hollandais</w:t>
      </w:r>
      <w:r>
        <w:t xml:space="preserve"> </w:t>
      </w:r>
      <w:r w:rsidRPr="009B6952">
        <w:t>ont financé par exemple la construction de maisons pour divers groupes vulnérables.</w:t>
      </w:r>
    </w:p>
    <w:p w:rsidR="001A4057" w:rsidRPr="009B6952" w:rsidRDefault="001A4057" w:rsidP="00AF38EC">
      <w:pPr>
        <w:pStyle w:val="H23G"/>
        <w:spacing w:after="100"/>
      </w:pPr>
      <w:r>
        <w:tab/>
      </w:r>
      <w:r w:rsidRPr="009B6952">
        <w:t>7.</w:t>
      </w:r>
      <w:r w:rsidRPr="009B6952">
        <w:tab/>
      </w:r>
      <w:r>
        <w:t xml:space="preserve">Article </w:t>
      </w:r>
      <w:r w:rsidRPr="009B6952">
        <w:t>12: Le droit à la santé physique et mentale</w:t>
      </w:r>
    </w:p>
    <w:p w:rsidR="001A4057" w:rsidRPr="009B6952" w:rsidRDefault="001A4057" w:rsidP="00AF38EC">
      <w:pPr>
        <w:pStyle w:val="H4G"/>
        <w:spacing w:after="100"/>
      </w:pPr>
      <w:r>
        <w:tab/>
      </w:r>
      <w:r>
        <w:tab/>
      </w:r>
      <w:r w:rsidRPr="009B6952">
        <w:t>Situation en matière de santé</w:t>
      </w:r>
    </w:p>
    <w:p w:rsidR="001A4057" w:rsidRDefault="001A4057" w:rsidP="00AF38EC">
      <w:pPr>
        <w:pStyle w:val="SingleTxtG"/>
        <w:spacing w:after="100"/>
      </w:pPr>
      <w:r>
        <w:t>237</w:t>
      </w:r>
      <w:r w:rsidRPr="00091D1D">
        <w:t>.</w:t>
      </w:r>
      <w:r w:rsidRPr="00091D1D">
        <w:tab/>
      </w:r>
      <w:r w:rsidRPr="00CA5E79">
        <w:t>La</w:t>
      </w:r>
      <w:r w:rsidRPr="00091D1D">
        <w:t xml:space="preserve"> situation en matière de santé s</w:t>
      </w:r>
      <w:r>
        <w:t>’</w:t>
      </w:r>
      <w:r w:rsidRPr="00091D1D">
        <w:t>est sensiblement améliorée comme l</w:t>
      </w:r>
      <w:r>
        <w:t>’</w:t>
      </w:r>
      <w:r w:rsidRPr="00091D1D">
        <w:t>indiquent les indicateurs</w:t>
      </w:r>
      <w:r w:rsidRPr="009B6952">
        <w:t xml:space="preserve"> </w:t>
      </w:r>
      <w:r>
        <w:t xml:space="preserve">présentés dans le tableau </w:t>
      </w:r>
      <w:r w:rsidRPr="009B6952">
        <w:t>ci-dessous</w:t>
      </w:r>
      <w:r>
        <w:t>.</w:t>
      </w:r>
    </w:p>
    <w:p w:rsidR="001A4057" w:rsidRPr="00F47F0D" w:rsidRDefault="001A4057" w:rsidP="00AF38EC">
      <w:pPr>
        <w:pStyle w:val="Heading1"/>
        <w:spacing w:after="40"/>
      </w:pPr>
      <w:r w:rsidRPr="00F47F0D">
        <w:t>Tableau 16</w:t>
      </w:r>
    </w:p>
    <w:tbl>
      <w:tblPr>
        <w:tblW w:w="8506"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3459"/>
        <w:gridCol w:w="1280"/>
        <w:gridCol w:w="1053"/>
        <w:gridCol w:w="710"/>
        <w:gridCol w:w="562"/>
        <w:gridCol w:w="738"/>
        <w:gridCol w:w="704"/>
      </w:tblGrid>
      <w:tr w:rsidR="001A4057" w:rsidRPr="00117EF6" w:rsidTr="001A4057">
        <w:trPr>
          <w:trHeight w:val="150"/>
          <w:tblHeader/>
        </w:trPr>
        <w:tc>
          <w:tcPr>
            <w:tcW w:w="3459" w:type="dxa"/>
            <w:vMerge w:val="restart"/>
            <w:tcBorders>
              <w:top w:val="single" w:sz="4" w:space="0" w:color="auto"/>
            </w:tcBorders>
            <w:shd w:val="clear" w:color="000000" w:fill="auto"/>
            <w:vAlign w:val="bottom"/>
          </w:tcPr>
          <w:p w:rsidR="001A4057" w:rsidRPr="00117EF6" w:rsidRDefault="001A4057" w:rsidP="001A4057">
            <w:pPr>
              <w:suppressAutoHyphens w:val="0"/>
              <w:spacing w:before="80" w:after="80" w:line="200" w:lineRule="exact"/>
              <w:ind w:right="113"/>
              <w:rPr>
                <w:i/>
                <w:sz w:val="16"/>
              </w:rPr>
            </w:pPr>
            <w:r w:rsidRPr="00117EF6">
              <w:rPr>
                <w:i/>
                <w:sz w:val="16"/>
              </w:rPr>
              <w:t>Indicateurs</w:t>
            </w:r>
          </w:p>
        </w:tc>
        <w:tc>
          <w:tcPr>
            <w:tcW w:w="5047" w:type="dxa"/>
            <w:gridSpan w:val="6"/>
            <w:tcBorders>
              <w:top w:val="single" w:sz="4" w:space="0" w:color="auto"/>
              <w:bottom w:val="single" w:sz="4" w:space="0" w:color="auto"/>
            </w:tcBorders>
            <w:shd w:val="clear" w:color="000000" w:fill="auto"/>
            <w:vAlign w:val="bottom"/>
          </w:tcPr>
          <w:p w:rsidR="001A4057" w:rsidRPr="00117EF6" w:rsidRDefault="001A4057" w:rsidP="001A4057">
            <w:pPr>
              <w:suppressAutoHyphens w:val="0"/>
              <w:spacing w:before="80" w:after="80" w:line="200" w:lineRule="exact"/>
              <w:ind w:right="113"/>
              <w:jc w:val="center"/>
              <w:rPr>
                <w:i/>
                <w:sz w:val="16"/>
              </w:rPr>
            </w:pPr>
            <w:r w:rsidRPr="00117EF6">
              <w:rPr>
                <w:i/>
                <w:sz w:val="16"/>
              </w:rPr>
              <w:t>Année</w:t>
            </w:r>
          </w:p>
        </w:tc>
      </w:tr>
      <w:tr w:rsidR="001A4057" w:rsidRPr="00117EF6" w:rsidTr="001A4057">
        <w:trPr>
          <w:tblHeader/>
        </w:trPr>
        <w:tc>
          <w:tcPr>
            <w:tcW w:w="3459" w:type="dxa"/>
            <w:vMerge/>
            <w:tcBorders>
              <w:bottom w:val="single" w:sz="12" w:space="0" w:color="auto"/>
            </w:tcBorders>
            <w:shd w:val="clear" w:color="000000" w:fill="auto"/>
          </w:tcPr>
          <w:p w:rsidR="001A4057" w:rsidRPr="00117EF6" w:rsidRDefault="001A4057" w:rsidP="001A4057">
            <w:pPr>
              <w:spacing w:before="80" w:after="80" w:line="200" w:lineRule="exact"/>
              <w:rPr>
                <w:sz w:val="18"/>
              </w:rPr>
            </w:pPr>
          </w:p>
        </w:tc>
        <w:tc>
          <w:tcPr>
            <w:tcW w:w="1280" w:type="dxa"/>
            <w:tcBorders>
              <w:top w:val="single" w:sz="4" w:space="0" w:color="auto"/>
              <w:bottom w:val="single" w:sz="12" w:space="0" w:color="auto"/>
            </w:tcBorders>
            <w:shd w:val="clear" w:color="000000" w:fill="auto"/>
            <w:vAlign w:val="bottom"/>
          </w:tcPr>
          <w:p w:rsidR="001A4057" w:rsidRPr="009D3471" w:rsidRDefault="001A4057" w:rsidP="001A4057">
            <w:pPr>
              <w:spacing w:before="80" w:after="80" w:line="200" w:lineRule="exact"/>
              <w:jc w:val="right"/>
              <w:rPr>
                <w:i/>
                <w:sz w:val="16"/>
                <w:szCs w:val="16"/>
              </w:rPr>
            </w:pPr>
            <w:r w:rsidRPr="009D3471">
              <w:rPr>
                <w:i/>
                <w:sz w:val="16"/>
                <w:szCs w:val="16"/>
              </w:rPr>
              <w:t>2005</w:t>
            </w:r>
          </w:p>
        </w:tc>
        <w:tc>
          <w:tcPr>
            <w:tcW w:w="1053" w:type="dxa"/>
            <w:tcBorders>
              <w:top w:val="single" w:sz="4" w:space="0" w:color="auto"/>
              <w:bottom w:val="single" w:sz="12" w:space="0" w:color="auto"/>
            </w:tcBorders>
            <w:shd w:val="clear" w:color="000000" w:fill="auto"/>
            <w:vAlign w:val="bottom"/>
          </w:tcPr>
          <w:p w:rsidR="001A4057" w:rsidRPr="009D3471" w:rsidRDefault="001A4057" w:rsidP="001A4057">
            <w:pPr>
              <w:spacing w:before="80" w:after="80" w:line="200" w:lineRule="exact"/>
              <w:jc w:val="right"/>
              <w:rPr>
                <w:i/>
                <w:sz w:val="16"/>
                <w:szCs w:val="16"/>
              </w:rPr>
            </w:pPr>
            <w:r w:rsidRPr="009D3471">
              <w:rPr>
                <w:i/>
                <w:sz w:val="16"/>
                <w:szCs w:val="16"/>
              </w:rPr>
              <w:t>2006</w:t>
            </w:r>
          </w:p>
        </w:tc>
        <w:tc>
          <w:tcPr>
            <w:tcW w:w="1272" w:type="dxa"/>
            <w:gridSpan w:val="2"/>
            <w:tcBorders>
              <w:top w:val="single" w:sz="4" w:space="0" w:color="auto"/>
              <w:bottom w:val="single" w:sz="12" w:space="0" w:color="auto"/>
            </w:tcBorders>
            <w:shd w:val="clear" w:color="000000" w:fill="auto"/>
            <w:vAlign w:val="bottom"/>
          </w:tcPr>
          <w:p w:rsidR="001A4057" w:rsidRPr="009D3471" w:rsidRDefault="001A4057" w:rsidP="001A4057">
            <w:pPr>
              <w:spacing w:before="80" w:after="80" w:line="200" w:lineRule="exact"/>
              <w:jc w:val="right"/>
              <w:rPr>
                <w:i/>
                <w:sz w:val="16"/>
                <w:szCs w:val="16"/>
              </w:rPr>
            </w:pPr>
            <w:r w:rsidRPr="009D3471">
              <w:rPr>
                <w:i/>
                <w:sz w:val="16"/>
                <w:szCs w:val="16"/>
              </w:rPr>
              <w:t>2007</w:t>
            </w:r>
          </w:p>
        </w:tc>
        <w:tc>
          <w:tcPr>
            <w:tcW w:w="1442" w:type="dxa"/>
            <w:gridSpan w:val="2"/>
            <w:tcBorders>
              <w:top w:val="single" w:sz="4" w:space="0" w:color="auto"/>
              <w:bottom w:val="single" w:sz="12" w:space="0" w:color="auto"/>
            </w:tcBorders>
            <w:shd w:val="clear" w:color="000000" w:fill="auto"/>
            <w:vAlign w:val="bottom"/>
          </w:tcPr>
          <w:p w:rsidR="001A4057" w:rsidRPr="009D3471" w:rsidRDefault="001A4057" w:rsidP="001A4057">
            <w:pPr>
              <w:spacing w:before="80" w:after="80" w:line="200" w:lineRule="exact"/>
              <w:jc w:val="right"/>
              <w:rPr>
                <w:i/>
                <w:sz w:val="16"/>
                <w:szCs w:val="16"/>
              </w:rPr>
            </w:pPr>
            <w:r w:rsidRPr="009D3471">
              <w:rPr>
                <w:i/>
                <w:sz w:val="16"/>
                <w:szCs w:val="16"/>
              </w:rPr>
              <w:t>2008</w:t>
            </w:r>
          </w:p>
        </w:tc>
      </w:tr>
      <w:tr w:rsidR="001A4057" w:rsidRPr="009D3471" w:rsidTr="001A4057">
        <w:tc>
          <w:tcPr>
            <w:tcW w:w="3459" w:type="dxa"/>
            <w:tcBorders>
              <w:top w:val="single" w:sz="12" w:space="0" w:color="auto"/>
            </w:tcBorders>
            <w:shd w:val="clear" w:color="000000" w:fill="auto"/>
          </w:tcPr>
          <w:p w:rsidR="001A4057" w:rsidRPr="009D3471" w:rsidDel="004856DB" w:rsidRDefault="001A4057" w:rsidP="00AF38EC">
            <w:pPr>
              <w:spacing w:before="30" w:after="30" w:line="220" w:lineRule="exact"/>
              <w:rPr>
                <w:sz w:val="18"/>
                <w:szCs w:val="18"/>
              </w:rPr>
            </w:pPr>
            <w:r w:rsidRPr="009D3471">
              <w:rPr>
                <w:sz w:val="18"/>
                <w:szCs w:val="18"/>
              </w:rPr>
              <w:t>Ratio médecin/population</w:t>
            </w:r>
          </w:p>
        </w:tc>
        <w:tc>
          <w:tcPr>
            <w:tcW w:w="1280" w:type="dxa"/>
            <w:tcBorders>
              <w:top w:val="single" w:sz="12" w:space="0" w:color="auto"/>
            </w:tcBorders>
            <w:shd w:val="clear" w:color="000000" w:fill="auto"/>
            <w:vAlign w:val="bottom"/>
          </w:tcPr>
          <w:p w:rsidR="001A4057" w:rsidRPr="009D3471" w:rsidDel="004856DB" w:rsidRDefault="001A4057" w:rsidP="00AF38EC">
            <w:pPr>
              <w:spacing w:before="30" w:after="30" w:line="220" w:lineRule="exact"/>
              <w:jc w:val="right"/>
              <w:rPr>
                <w:sz w:val="18"/>
                <w:szCs w:val="18"/>
              </w:rPr>
            </w:pPr>
            <w:r w:rsidRPr="009D3471">
              <w:rPr>
                <w:sz w:val="18"/>
                <w:szCs w:val="18"/>
              </w:rPr>
              <w:t>1/50 000</w:t>
            </w:r>
          </w:p>
        </w:tc>
        <w:tc>
          <w:tcPr>
            <w:tcW w:w="1053" w:type="dxa"/>
            <w:tcBorders>
              <w:top w:val="single" w:sz="12" w:space="0" w:color="auto"/>
            </w:tcBorders>
            <w:shd w:val="clear" w:color="000000" w:fill="auto"/>
            <w:vAlign w:val="bottom"/>
          </w:tcPr>
          <w:p w:rsidR="001A4057" w:rsidRPr="009D3471" w:rsidDel="004856DB" w:rsidRDefault="001A4057" w:rsidP="00AF38EC">
            <w:pPr>
              <w:spacing w:before="30" w:after="30" w:line="220" w:lineRule="exact"/>
              <w:jc w:val="right"/>
              <w:rPr>
                <w:sz w:val="18"/>
                <w:szCs w:val="18"/>
              </w:rPr>
            </w:pPr>
            <w:r w:rsidRPr="009D3471">
              <w:rPr>
                <w:sz w:val="18"/>
                <w:szCs w:val="18"/>
              </w:rPr>
              <w:t>1/42 000</w:t>
            </w:r>
          </w:p>
        </w:tc>
        <w:tc>
          <w:tcPr>
            <w:tcW w:w="1272" w:type="dxa"/>
            <w:gridSpan w:val="2"/>
            <w:tcBorders>
              <w:top w:val="single" w:sz="12" w:space="0" w:color="auto"/>
            </w:tcBorders>
            <w:shd w:val="clear" w:color="000000" w:fill="auto"/>
            <w:vAlign w:val="bottom"/>
          </w:tcPr>
          <w:p w:rsidR="001A4057" w:rsidRPr="009D3471" w:rsidDel="004856DB" w:rsidRDefault="001A4057" w:rsidP="00AF38EC">
            <w:pPr>
              <w:spacing w:before="30" w:after="30" w:line="220" w:lineRule="exact"/>
              <w:jc w:val="right"/>
              <w:rPr>
                <w:sz w:val="18"/>
                <w:szCs w:val="18"/>
              </w:rPr>
            </w:pPr>
            <w:r w:rsidRPr="009D3471">
              <w:rPr>
                <w:sz w:val="18"/>
                <w:szCs w:val="18"/>
              </w:rPr>
              <w:t>1/37 000</w:t>
            </w:r>
          </w:p>
        </w:tc>
        <w:tc>
          <w:tcPr>
            <w:tcW w:w="1442" w:type="dxa"/>
            <w:gridSpan w:val="2"/>
            <w:tcBorders>
              <w:top w:val="single" w:sz="12" w:space="0" w:color="auto"/>
            </w:tcBorders>
            <w:shd w:val="clear" w:color="000000" w:fill="auto"/>
            <w:vAlign w:val="bottom"/>
          </w:tcPr>
          <w:p w:rsidR="001A4057" w:rsidRPr="009D3471" w:rsidDel="004856DB" w:rsidRDefault="001A4057" w:rsidP="00AF38EC">
            <w:pPr>
              <w:spacing w:before="30" w:after="30" w:line="220" w:lineRule="exact"/>
              <w:jc w:val="right"/>
              <w:rPr>
                <w:sz w:val="18"/>
                <w:szCs w:val="18"/>
              </w:rPr>
            </w:pPr>
            <w:r w:rsidRPr="009D3471">
              <w:rPr>
                <w:sz w:val="18"/>
                <w:szCs w:val="18"/>
              </w:rPr>
              <w:t>1/18 000</w:t>
            </w:r>
          </w:p>
        </w:tc>
      </w:tr>
      <w:tr w:rsidR="001A4057" w:rsidRPr="009D3471" w:rsidTr="001A4057">
        <w:tc>
          <w:tcPr>
            <w:tcW w:w="3459" w:type="dxa"/>
            <w:shd w:val="clear" w:color="000000" w:fill="auto"/>
          </w:tcPr>
          <w:p w:rsidR="001A4057" w:rsidRPr="009D3471" w:rsidDel="004856DB" w:rsidRDefault="001A4057" w:rsidP="00AF38EC">
            <w:pPr>
              <w:spacing w:before="30" w:after="30" w:line="220" w:lineRule="exact"/>
              <w:rPr>
                <w:sz w:val="18"/>
                <w:szCs w:val="18"/>
              </w:rPr>
            </w:pPr>
            <w:r w:rsidRPr="009D3471">
              <w:rPr>
                <w:sz w:val="18"/>
                <w:szCs w:val="18"/>
              </w:rPr>
              <w:t>Ration infirmier/population</w:t>
            </w:r>
          </w:p>
        </w:tc>
        <w:tc>
          <w:tcPr>
            <w:tcW w:w="1280" w:type="dxa"/>
            <w:shd w:val="clear" w:color="000000" w:fill="auto"/>
            <w:vAlign w:val="bottom"/>
          </w:tcPr>
          <w:p w:rsidR="001A4057" w:rsidRPr="009D3471" w:rsidRDefault="001A4057" w:rsidP="00AF38EC">
            <w:pPr>
              <w:spacing w:before="30" w:after="30" w:line="220" w:lineRule="exact"/>
              <w:jc w:val="right"/>
              <w:rPr>
                <w:sz w:val="18"/>
                <w:szCs w:val="18"/>
              </w:rPr>
            </w:pPr>
          </w:p>
        </w:tc>
        <w:tc>
          <w:tcPr>
            <w:tcW w:w="1053"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1/3 118</w:t>
            </w:r>
          </w:p>
        </w:tc>
        <w:tc>
          <w:tcPr>
            <w:tcW w:w="1272" w:type="dxa"/>
            <w:gridSpan w:val="2"/>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1/700</w:t>
            </w:r>
          </w:p>
        </w:tc>
        <w:tc>
          <w:tcPr>
            <w:tcW w:w="1442" w:type="dxa"/>
            <w:gridSpan w:val="2"/>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1/1 700</w:t>
            </w:r>
          </w:p>
        </w:tc>
      </w:tr>
      <w:tr w:rsidR="001A4057" w:rsidRPr="009D3471" w:rsidTr="001A4057">
        <w:tc>
          <w:tcPr>
            <w:tcW w:w="3459" w:type="dxa"/>
            <w:shd w:val="clear" w:color="000000" w:fill="auto"/>
          </w:tcPr>
          <w:p w:rsidR="001A4057" w:rsidRPr="009D3471" w:rsidRDefault="001A4057" w:rsidP="00AF38EC">
            <w:pPr>
              <w:spacing w:before="30" w:after="30" w:line="220" w:lineRule="exact"/>
              <w:rPr>
                <w:sz w:val="18"/>
                <w:szCs w:val="18"/>
              </w:rPr>
            </w:pPr>
            <w:r w:rsidRPr="009D3471">
              <w:rPr>
                <w:sz w:val="18"/>
                <w:szCs w:val="18"/>
              </w:rPr>
              <w:t>Prévalence du sida (moyenne du pays)</w:t>
            </w:r>
          </w:p>
        </w:tc>
        <w:tc>
          <w:tcPr>
            <w:tcW w:w="1280" w:type="dxa"/>
            <w:shd w:val="clear" w:color="000000" w:fill="auto"/>
            <w:vAlign w:val="bottom"/>
          </w:tcPr>
          <w:p w:rsidR="001A4057" w:rsidRPr="009D3471" w:rsidRDefault="001A4057" w:rsidP="00AF38EC">
            <w:pPr>
              <w:spacing w:before="30" w:after="30" w:line="220" w:lineRule="exact"/>
              <w:jc w:val="right"/>
              <w:rPr>
                <w:sz w:val="18"/>
                <w:szCs w:val="18"/>
              </w:rPr>
            </w:pPr>
          </w:p>
        </w:tc>
        <w:tc>
          <w:tcPr>
            <w:tcW w:w="1053" w:type="dxa"/>
            <w:shd w:val="clear" w:color="000000" w:fill="auto"/>
            <w:vAlign w:val="bottom"/>
          </w:tcPr>
          <w:p w:rsidR="001A4057" w:rsidRPr="009D3471" w:rsidRDefault="001A4057" w:rsidP="00AF38EC">
            <w:pPr>
              <w:spacing w:before="30" w:after="30" w:line="220" w:lineRule="exact"/>
              <w:jc w:val="right"/>
              <w:rPr>
                <w:sz w:val="18"/>
                <w:szCs w:val="18"/>
              </w:rPr>
            </w:pPr>
          </w:p>
        </w:tc>
        <w:tc>
          <w:tcPr>
            <w:tcW w:w="1272" w:type="dxa"/>
            <w:gridSpan w:val="2"/>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4,8 %</w:t>
            </w:r>
          </w:p>
        </w:tc>
        <w:tc>
          <w:tcPr>
            <w:tcW w:w="1442" w:type="dxa"/>
            <w:gridSpan w:val="2"/>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3,0 %</w:t>
            </w:r>
          </w:p>
        </w:tc>
      </w:tr>
      <w:tr w:rsidR="001A4057" w:rsidRPr="009D3471" w:rsidTr="001A4057">
        <w:tc>
          <w:tcPr>
            <w:tcW w:w="3459" w:type="dxa"/>
            <w:shd w:val="clear" w:color="000000" w:fill="auto"/>
          </w:tcPr>
          <w:p w:rsidR="001A4057" w:rsidRPr="009D3471" w:rsidRDefault="001A4057" w:rsidP="00AF38EC">
            <w:pPr>
              <w:spacing w:before="30" w:after="30" w:line="220" w:lineRule="exact"/>
              <w:rPr>
                <w:sz w:val="18"/>
                <w:szCs w:val="18"/>
              </w:rPr>
            </w:pPr>
            <w:r w:rsidRPr="009D3471">
              <w:rPr>
                <w:sz w:val="18"/>
                <w:szCs w:val="18"/>
              </w:rPr>
              <w:t>Taux de morbidité palustre</w:t>
            </w:r>
          </w:p>
        </w:tc>
        <w:tc>
          <w:tcPr>
            <w:tcW w:w="1280" w:type="dxa"/>
            <w:shd w:val="clear" w:color="000000" w:fill="auto"/>
            <w:vAlign w:val="bottom"/>
          </w:tcPr>
          <w:p w:rsidR="001A4057" w:rsidRPr="009D3471" w:rsidRDefault="001A4057" w:rsidP="00AF38EC">
            <w:pPr>
              <w:spacing w:before="30" w:after="30" w:line="220" w:lineRule="exact"/>
              <w:jc w:val="right"/>
              <w:rPr>
                <w:sz w:val="18"/>
                <w:szCs w:val="18"/>
              </w:rPr>
            </w:pPr>
          </w:p>
        </w:tc>
        <w:tc>
          <w:tcPr>
            <w:tcW w:w="1053"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29,4 %</w:t>
            </w:r>
          </w:p>
        </w:tc>
        <w:tc>
          <w:tcPr>
            <w:tcW w:w="1272" w:type="dxa"/>
            <w:gridSpan w:val="2"/>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15,01 %</w:t>
            </w:r>
          </w:p>
        </w:tc>
        <w:tc>
          <w:tcPr>
            <w:tcW w:w="1442" w:type="dxa"/>
            <w:gridSpan w:val="2"/>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11 %</w:t>
            </w:r>
          </w:p>
        </w:tc>
      </w:tr>
      <w:tr w:rsidR="001A4057" w:rsidRPr="009D3471" w:rsidTr="001A4057">
        <w:tc>
          <w:tcPr>
            <w:tcW w:w="3459" w:type="dxa"/>
            <w:shd w:val="clear" w:color="000000" w:fill="auto"/>
          </w:tcPr>
          <w:p w:rsidR="001A4057" w:rsidRPr="009D3471" w:rsidRDefault="001A4057" w:rsidP="00AF38EC">
            <w:pPr>
              <w:spacing w:before="30" w:after="30" w:line="220" w:lineRule="exact"/>
              <w:rPr>
                <w:sz w:val="18"/>
                <w:szCs w:val="18"/>
              </w:rPr>
            </w:pPr>
            <w:r w:rsidRPr="009D3471">
              <w:rPr>
                <w:sz w:val="18"/>
                <w:szCs w:val="18"/>
              </w:rPr>
              <w:t>Taux de mortalité infantile/1</w:t>
            </w:r>
            <w:r>
              <w:rPr>
                <w:sz w:val="18"/>
                <w:szCs w:val="18"/>
              </w:rPr>
              <w:t> </w:t>
            </w:r>
            <w:r w:rsidRPr="009D3471">
              <w:rPr>
                <w:sz w:val="18"/>
                <w:szCs w:val="18"/>
              </w:rPr>
              <w:t>000 naissances</w:t>
            </w:r>
          </w:p>
        </w:tc>
        <w:tc>
          <w:tcPr>
            <w:tcW w:w="1280"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86 (DHS 2005)</w:t>
            </w:r>
          </w:p>
        </w:tc>
        <w:tc>
          <w:tcPr>
            <w:tcW w:w="1053" w:type="dxa"/>
            <w:shd w:val="clear" w:color="000000" w:fill="auto"/>
            <w:vAlign w:val="bottom"/>
          </w:tcPr>
          <w:p w:rsidR="001A4057" w:rsidRPr="009D3471" w:rsidRDefault="001A4057" w:rsidP="00AF38EC">
            <w:pPr>
              <w:spacing w:before="30" w:after="30" w:line="220" w:lineRule="exact"/>
              <w:jc w:val="right"/>
              <w:rPr>
                <w:sz w:val="18"/>
                <w:szCs w:val="18"/>
              </w:rPr>
            </w:pPr>
          </w:p>
        </w:tc>
        <w:tc>
          <w:tcPr>
            <w:tcW w:w="1272" w:type="dxa"/>
            <w:gridSpan w:val="2"/>
            <w:shd w:val="clear" w:color="000000" w:fill="auto"/>
            <w:vAlign w:val="bottom"/>
          </w:tcPr>
          <w:p w:rsidR="001A4057" w:rsidRPr="009D3471" w:rsidRDefault="001A4057" w:rsidP="00AF38EC">
            <w:pPr>
              <w:spacing w:before="30" w:after="30" w:line="220" w:lineRule="exact"/>
              <w:jc w:val="right"/>
              <w:rPr>
                <w:sz w:val="18"/>
                <w:szCs w:val="18"/>
              </w:rPr>
            </w:pPr>
          </w:p>
        </w:tc>
        <w:tc>
          <w:tcPr>
            <w:tcW w:w="1442" w:type="dxa"/>
            <w:gridSpan w:val="2"/>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62 (IDHS 2007)</w:t>
            </w:r>
          </w:p>
        </w:tc>
      </w:tr>
      <w:tr w:rsidR="001A4057" w:rsidRPr="009D3471" w:rsidTr="001A4057">
        <w:tc>
          <w:tcPr>
            <w:tcW w:w="3459" w:type="dxa"/>
            <w:tcBorders>
              <w:bottom w:val="nil"/>
            </w:tcBorders>
            <w:shd w:val="clear" w:color="000000" w:fill="auto"/>
          </w:tcPr>
          <w:p w:rsidR="001A4057" w:rsidRPr="009D3471" w:rsidRDefault="001A4057" w:rsidP="00AF38EC">
            <w:pPr>
              <w:spacing w:before="30" w:after="30" w:line="220" w:lineRule="exact"/>
              <w:rPr>
                <w:sz w:val="18"/>
                <w:szCs w:val="18"/>
              </w:rPr>
            </w:pPr>
            <w:r w:rsidRPr="009D3471">
              <w:rPr>
                <w:sz w:val="18"/>
                <w:szCs w:val="18"/>
              </w:rPr>
              <w:t>Taux de mortalité des enfants de moins de 5 ans</w:t>
            </w:r>
          </w:p>
        </w:tc>
        <w:tc>
          <w:tcPr>
            <w:tcW w:w="1280" w:type="dxa"/>
            <w:tcBorders>
              <w:bottom w:val="nil"/>
            </w:tcBorders>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152(DHS 2005)</w:t>
            </w:r>
          </w:p>
        </w:tc>
        <w:tc>
          <w:tcPr>
            <w:tcW w:w="1053" w:type="dxa"/>
            <w:tcBorders>
              <w:bottom w:val="nil"/>
            </w:tcBorders>
            <w:shd w:val="clear" w:color="000000" w:fill="auto"/>
            <w:vAlign w:val="bottom"/>
          </w:tcPr>
          <w:p w:rsidR="001A4057" w:rsidRPr="009D3471" w:rsidRDefault="001A4057" w:rsidP="00AF38EC">
            <w:pPr>
              <w:spacing w:before="30" w:after="30" w:line="220" w:lineRule="exact"/>
              <w:jc w:val="right"/>
              <w:rPr>
                <w:sz w:val="18"/>
                <w:szCs w:val="18"/>
              </w:rPr>
            </w:pPr>
          </w:p>
        </w:tc>
        <w:tc>
          <w:tcPr>
            <w:tcW w:w="1272" w:type="dxa"/>
            <w:gridSpan w:val="2"/>
            <w:tcBorders>
              <w:bottom w:val="nil"/>
            </w:tcBorders>
            <w:shd w:val="clear" w:color="000000" w:fill="auto"/>
            <w:vAlign w:val="bottom"/>
          </w:tcPr>
          <w:p w:rsidR="001A4057" w:rsidRPr="009D3471" w:rsidRDefault="001A4057" w:rsidP="00AF38EC">
            <w:pPr>
              <w:spacing w:before="30" w:after="30" w:line="220" w:lineRule="exact"/>
              <w:jc w:val="right"/>
              <w:rPr>
                <w:sz w:val="18"/>
                <w:szCs w:val="18"/>
              </w:rPr>
            </w:pPr>
          </w:p>
        </w:tc>
        <w:tc>
          <w:tcPr>
            <w:tcW w:w="1442" w:type="dxa"/>
            <w:gridSpan w:val="2"/>
            <w:tcBorders>
              <w:bottom w:val="nil"/>
            </w:tcBorders>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103 (IDHS 2007)</w:t>
            </w:r>
          </w:p>
        </w:tc>
      </w:tr>
      <w:tr w:rsidR="001A4057" w:rsidRPr="009D3471" w:rsidTr="001A4057">
        <w:tc>
          <w:tcPr>
            <w:tcW w:w="3459" w:type="dxa"/>
            <w:tcBorders>
              <w:top w:val="nil"/>
              <w:bottom w:val="nil"/>
            </w:tcBorders>
            <w:shd w:val="clear" w:color="000000" w:fill="auto"/>
          </w:tcPr>
          <w:p w:rsidR="001A4057" w:rsidRPr="009D3471" w:rsidRDefault="001A4057" w:rsidP="00AF38EC">
            <w:pPr>
              <w:spacing w:before="30" w:after="30" w:line="220" w:lineRule="exact"/>
              <w:rPr>
                <w:sz w:val="18"/>
                <w:szCs w:val="18"/>
              </w:rPr>
            </w:pPr>
            <w:r w:rsidRPr="009D3471">
              <w:rPr>
                <w:sz w:val="18"/>
                <w:szCs w:val="18"/>
              </w:rPr>
              <w:t>Taux de mortalité maternelle/ 100 000 naissances</w:t>
            </w:r>
          </w:p>
        </w:tc>
        <w:tc>
          <w:tcPr>
            <w:tcW w:w="1280" w:type="dxa"/>
            <w:tcBorders>
              <w:top w:val="nil"/>
              <w:bottom w:val="nil"/>
            </w:tcBorders>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750 (DHS 2005)</w:t>
            </w:r>
          </w:p>
        </w:tc>
        <w:tc>
          <w:tcPr>
            <w:tcW w:w="1053" w:type="dxa"/>
            <w:tcBorders>
              <w:top w:val="nil"/>
              <w:bottom w:val="nil"/>
            </w:tcBorders>
            <w:shd w:val="clear" w:color="000000" w:fill="auto"/>
            <w:vAlign w:val="bottom"/>
          </w:tcPr>
          <w:p w:rsidR="001A4057" w:rsidRPr="009D3471" w:rsidRDefault="001A4057" w:rsidP="00AF38EC">
            <w:pPr>
              <w:spacing w:before="30" w:after="30" w:line="220" w:lineRule="exact"/>
              <w:jc w:val="right"/>
              <w:rPr>
                <w:sz w:val="18"/>
                <w:szCs w:val="18"/>
              </w:rPr>
            </w:pPr>
          </w:p>
        </w:tc>
        <w:tc>
          <w:tcPr>
            <w:tcW w:w="1272" w:type="dxa"/>
            <w:gridSpan w:val="2"/>
            <w:tcBorders>
              <w:top w:val="nil"/>
              <w:bottom w:val="nil"/>
            </w:tcBorders>
            <w:shd w:val="clear" w:color="000000" w:fill="auto"/>
            <w:vAlign w:val="bottom"/>
          </w:tcPr>
          <w:p w:rsidR="001A4057" w:rsidRPr="009D3471" w:rsidRDefault="001A4057" w:rsidP="00AF38EC">
            <w:pPr>
              <w:spacing w:before="30" w:after="30" w:line="220" w:lineRule="exact"/>
              <w:jc w:val="right"/>
              <w:rPr>
                <w:sz w:val="18"/>
                <w:szCs w:val="18"/>
              </w:rPr>
            </w:pPr>
          </w:p>
        </w:tc>
        <w:tc>
          <w:tcPr>
            <w:tcW w:w="1442" w:type="dxa"/>
            <w:gridSpan w:val="2"/>
            <w:tcBorders>
              <w:top w:val="nil"/>
              <w:bottom w:val="nil"/>
            </w:tcBorders>
            <w:shd w:val="clear" w:color="000000" w:fill="auto"/>
            <w:vAlign w:val="bottom"/>
          </w:tcPr>
          <w:p w:rsidR="001A4057" w:rsidRPr="009D3471" w:rsidRDefault="001A4057" w:rsidP="00AF38EC">
            <w:pPr>
              <w:spacing w:before="30" w:after="30" w:line="220" w:lineRule="exact"/>
              <w:jc w:val="right"/>
              <w:rPr>
                <w:sz w:val="18"/>
                <w:szCs w:val="18"/>
              </w:rPr>
            </w:pPr>
          </w:p>
        </w:tc>
      </w:tr>
      <w:tr w:rsidR="001A4057" w:rsidRPr="009D3471" w:rsidTr="001A4057">
        <w:trPr>
          <w:cantSplit/>
        </w:trPr>
        <w:tc>
          <w:tcPr>
            <w:tcW w:w="3459" w:type="dxa"/>
            <w:vMerge w:val="restart"/>
            <w:tcBorders>
              <w:top w:val="nil"/>
            </w:tcBorders>
            <w:shd w:val="clear" w:color="000000" w:fill="auto"/>
          </w:tcPr>
          <w:p w:rsidR="001A4057" w:rsidRPr="009D3471" w:rsidRDefault="001A4057" w:rsidP="00AF38EC">
            <w:pPr>
              <w:keepNext/>
              <w:spacing w:before="30" w:after="30" w:line="220" w:lineRule="exact"/>
              <w:rPr>
                <w:sz w:val="18"/>
                <w:szCs w:val="18"/>
              </w:rPr>
            </w:pPr>
            <w:r w:rsidRPr="009D3471">
              <w:rPr>
                <w:sz w:val="18"/>
                <w:szCs w:val="18"/>
              </w:rPr>
              <w:t>Femmes utilisant les méthodes modernes de planification familiale</w:t>
            </w:r>
          </w:p>
        </w:tc>
        <w:tc>
          <w:tcPr>
            <w:tcW w:w="1280" w:type="dxa"/>
            <w:tcBorders>
              <w:top w:val="nil"/>
            </w:tcBorders>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14 %</w:t>
            </w:r>
          </w:p>
        </w:tc>
        <w:tc>
          <w:tcPr>
            <w:tcW w:w="1053" w:type="dxa"/>
            <w:tcBorders>
              <w:top w:val="nil"/>
            </w:tcBorders>
            <w:shd w:val="clear" w:color="000000" w:fill="auto"/>
            <w:vAlign w:val="bottom"/>
          </w:tcPr>
          <w:p w:rsidR="001A4057" w:rsidRPr="009D3471" w:rsidRDefault="001A4057" w:rsidP="00AF38EC">
            <w:pPr>
              <w:spacing w:before="30" w:after="30" w:line="220" w:lineRule="exact"/>
              <w:jc w:val="right"/>
              <w:rPr>
                <w:sz w:val="18"/>
                <w:szCs w:val="18"/>
              </w:rPr>
            </w:pPr>
          </w:p>
        </w:tc>
        <w:tc>
          <w:tcPr>
            <w:tcW w:w="1272" w:type="dxa"/>
            <w:gridSpan w:val="2"/>
            <w:tcBorders>
              <w:top w:val="nil"/>
            </w:tcBorders>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22,54 %</w:t>
            </w:r>
          </w:p>
        </w:tc>
        <w:tc>
          <w:tcPr>
            <w:tcW w:w="1442" w:type="dxa"/>
            <w:gridSpan w:val="2"/>
            <w:tcBorders>
              <w:top w:val="nil"/>
            </w:tcBorders>
            <w:shd w:val="clear" w:color="000000" w:fill="auto"/>
            <w:vAlign w:val="bottom"/>
          </w:tcPr>
          <w:p w:rsidR="001A4057" w:rsidRPr="009D3471" w:rsidRDefault="001A4057" w:rsidP="00AF38EC">
            <w:pPr>
              <w:spacing w:before="30" w:after="30" w:line="220" w:lineRule="exact"/>
              <w:jc w:val="right"/>
              <w:rPr>
                <w:sz w:val="18"/>
                <w:szCs w:val="18"/>
              </w:rPr>
            </w:pPr>
          </w:p>
        </w:tc>
      </w:tr>
      <w:tr w:rsidR="001A4057" w:rsidRPr="009D3471" w:rsidTr="001A4057">
        <w:trPr>
          <w:cantSplit/>
        </w:trPr>
        <w:tc>
          <w:tcPr>
            <w:tcW w:w="3459" w:type="dxa"/>
            <w:vMerge/>
            <w:shd w:val="clear" w:color="000000" w:fill="auto"/>
          </w:tcPr>
          <w:p w:rsidR="001A4057" w:rsidRPr="009D3471" w:rsidRDefault="001A4057" w:rsidP="00AF38EC">
            <w:pPr>
              <w:spacing w:before="30" w:after="30" w:line="220" w:lineRule="exact"/>
              <w:rPr>
                <w:sz w:val="18"/>
                <w:szCs w:val="18"/>
              </w:rPr>
            </w:pPr>
          </w:p>
        </w:tc>
        <w:tc>
          <w:tcPr>
            <w:tcW w:w="1280" w:type="dxa"/>
            <w:vMerge w:val="restart"/>
            <w:shd w:val="clear" w:color="000000" w:fill="auto"/>
            <w:vAlign w:val="bottom"/>
          </w:tcPr>
          <w:p w:rsidR="001A4057" w:rsidRPr="009D3471" w:rsidRDefault="001A4057" w:rsidP="00AF38EC">
            <w:pPr>
              <w:spacing w:before="30" w:after="30" w:line="220" w:lineRule="exact"/>
              <w:jc w:val="right"/>
              <w:rPr>
                <w:sz w:val="18"/>
                <w:szCs w:val="18"/>
              </w:rPr>
            </w:pPr>
          </w:p>
        </w:tc>
        <w:tc>
          <w:tcPr>
            <w:tcW w:w="1053" w:type="dxa"/>
            <w:vMerge w:val="restart"/>
            <w:shd w:val="clear" w:color="000000" w:fill="auto"/>
            <w:vAlign w:val="bottom"/>
          </w:tcPr>
          <w:p w:rsidR="001A4057" w:rsidRPr="009D3471" w:rsidRDefault="001A4057" w:rsidP="00AF38EC">
            <w:pPr>
              <w:spacing w:before="30" w:after="30" w:line="220" w:lineRule="exact"/>
              <w:jc w:val="right"/>
              <w:rPr>
                <w:sz w:val="18"/>
                <w:szCs w:val="18"/>
              </w:rPr>
            </w:pPr>
          </w:p>
        </w:tc>
        <w:tc>
          <w:tcPr>
            <w:tcW w:w="710"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Milieu rural</w:t>
            </w:r>
          </w:p>
        </w:tc>
        <w:tc>
          <w:tcPr>
            <w:tcW w:w="562"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Milieu urbain</w:t>
            </w:r>
          </w:p>
        </w:tc>
        <w:tc>
          <w:tcPr>
            <w:tcW w:w="1442" w:type="dxa"/>
            <w:gridSpan w:val="2"/>
            <w:vMerge w:val="restart"/>
            <w:shd w:val="clear" w:color="000000" w:fill="auto"/>
            <w:vAlign w:val="bottom"/>
          </w:tcPr>
          <w:p w:rsidR="001A4057" w:rsidRPr="009D3471" w:rsidRDefault="001A4057" w:rsidP="00AF38EC">
            <w:pPr>
              <w:spacing w:before="30" w:after="30" w:line="220" w:lineRule="exact"/>
              <w:jc w:val="right"/>
              <w:rPr>
                <w:sz w:val="18"/>
                <w:szCs w:val="18"/>
              </w:rPr>
            </w:pPr>
          </w:p>
        </w:tc>
      </w:tr>
      <w:tr w:rsidR="001A4057" w:rsidRPr="009D3471" w:rsidTr="001A4057">
        <w:trPr>
          <w:cantSplit/>
        </w:trPr>
        <w:tc>
          <w:tcPr>
            <w:tcW w:w="3459" w:type="dxa"/>
            <w:vMerge/>
            <w:shd w:val="clear" w:color="000000" w:fill="auto"/>
          </w:tcPr>
          <w:p w:rsidR="001A4057" w:rsidRPr="009D3471" w:rsidRDefault="001A4057" w:rsidP="00AF38EC">
            <w:pPr>
              <w:spacing w:before="30" w:after="30" w:line="220" w:lineRule="exact"/>
              <w:rPr>
                <w:sz w:val="18"/>
                <w:szCs w:val="18"/>
              </w:rPr>
            </w:pPr>
          </w:p>
        </w:tc>
        <w:tc>
          <w:tcPr>
            <w:tcW w:w="1280" w:type="dxa"/>
            <w:vMerge/>
            <w:shd w:val="clear" w:color="000000" w:fill="auto"/>
            <w:vAlign w:val="bottom"/>
          </w:tcPr>
          <w:p w:rsidR="001A4057" w:rsidRPr="009D3471" w:rsidRDefault="001A4057" w:rsidP="00AF38EC">
            <w:pPr>
              <w:spacing w:before="30" w:after="30" w:line="220" w:lineRule="exact"/>
              <w:jc w:val="right"/>
              <w:rPr>
                <w:sz w:val="18"/>
                <w:szCs w:val="18"/>
              </w:rPr>
            </w:pPr>
          </w:p>
        </w:tc>
        <w:tc>
          <w:tcPr>
            <w:tcW w:w="1053" w:type="dxa"/>
            <w:vMerge/>
            <w:shd w:val="clear" w:color="000000" w:fill="auto"/>
            <w:vAlign w:val="bottom"/>
          </w:tcPr>
          <w:p w:rsidR="001A4057" w:rsidRPr="009D3471" w:rsidRDefault="001A4057" w:rsidP="00AF38EC">
            <w:pPr>
              <w:spacing w:before="30" w:after="30" w:line="220" w:lineRule="exact"/>
              <w:jc w:val="right"/>
              <w:rPr>
                <w:sz w:val="18"/>
                <w:szCs w:val="18"/>
              </w:rPr>
            </w:pPr>
          </w:p>
        </w:tc>
        <w:tc>
          <w:tcPr>
            <w:tcW w:w="710"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25,9 %</w:t>
            </w:r>
          </w:p>
        </w:tc>
        <w:tc>
          <w:tcPr>
            <w:tcW w:w="562"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36,1 %</w:t>
            </w:r>
          </w:p>
        </w:tc>
        <w:tc>
          <w:tcPr>
            <w:tcW w:w="1442" w:type="dxa"/>
            <w:gridSpan w:val="2"/>
            <w:vMerge/>
            <w:shd w:val="clear" w:color="000000" w:fill="auto"/>
            <w:vAlign w:val="bottom"/>
          </w:tcPr>
          <w:p w:rsidR="001A4057" w:rsidRPr="009D3471" w:rsidRDefault="001A4057" w:rsidP="00AF38EC">
            <w:pPr>
              <w:spacing w:before="30" w:after="30" w:line="220" w:lineRule="exact"/>
              <w:jc w:val="right"/>
              <w:rPr>
                <w:sz w:val="18"/>
                <w:szCs w:val="18"/>
              </w:rPr>
            </w:pPr>
          </w:p>
        </w:tc>
      </w:tr>
      <w:tr w:rsidR="001A4057" w:rsidRPr="009D3471" w:rsidTr="001A4057">
        <w:tc>
          <w:tcPr>
            <w:tcW w:w="3459" w:type="dxa"/>
            <w:vMerge w:val="restart"/>
            <w:shd w:val="clear" w:color="000000" w:fill="auto"/>
          </w:tcPr>
          <w:p w:rsidR="001A4057" w:rsidRPr="009D3471" w:rsidRDefault="001A4057" w:rsidP="00AF38EC">
            <w:pPr>
              <w:spacing w:before="30" w:after="30" w:line="220" w:lineRule="exact"/>
              <w:rPr>
                <w:sz w:val="18"/>
                <w:szCs w:val="18"/>
              </w:rPr>
            </w:pPr>
            <w:r w:rsidRPr="009D3471">
              <w:rPr>
                <w:sz w:val="18"/>
                <w:szCs w:val="18"/>
              </w:rPr>
              <w:t xml:space="preserve"> % de </w:t>
            </w:r>
            <w:r w:rsidR="00CD1742" w:rsidRPr="009D3471">
              <w:rPr>
                <w:sz w:val="18"/>
                <w:szCs w:val="18"/>
              </w:rPr>
              <w:t>n</w:t>
            </w:r>
            <w:r w:rsidRPr="009D3471">
              <w:rPr>
                <w:sz w:val="18"/>
                <w:szCs w:val="18"/>
              </w:rPr>
              <w:t>aissances assistées par un professionnel de la santé</w:t>
            </w:r>
          </w:p>
        </w:tc>
        <w:tc>
          <w:tcPr>
            <w:tcW w:w="1280" w:type="dxa"/>
            <w:shd w:val="clear" w:color="000000" w:fill="auto"/>
            <w:vAlign w:val="bottom"/>
          </w:tcPr>
          <w:p w:rsidR="001A4057" w:rsidRPr="009D3471" w:rsidRDefault="001A4057" w:rsidP="00AF38EC">
            <w:pPr>
              <w:spacing w:before="30" w:after="30" w:line="220" w:lineRule="exact"/>
              <w:jc w:val="right"/>
              <w:rPr>
                <w:sz w:val="18"/>
                <w:szCs w:val="18"/>
              </w:rPr>
            </w:pPr>
          </w:p>
          <w:p w:rsidR="001A4057" w:rsidRPr="009D3471" w:rsidRDefault="001A4057" w:rsidP="00AF38EC">
            <w:pPr>
              <w:spacing w:before="30" w:after="30" w:line="220" w:lineRule="exact"/>
              <w:jc w:val="right"/>
              <w:rPr>
                <w:sz w:val="18"/>
                <w:szCs w:val="18"/>
              </w:rPr>
            </w:pPr>
            <w:r w:rsidRPr="009D3471">
              <w:rPr>
                <w:sz w:val="18"/>
                <w:szCs w:val="18"/>
              </w:rPr>
              <w:t>31 %</w:t>
            </w:r>
          </w:p>
        </w:tc>
        <w:tc>
          <w:tcPr>
            <w:tcW w:w="1053"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49,4 %</w:t>
            </w:r>
          </w:p>
        </w:tc>
        <w:tc>
          <w:tcPr>
            <w:tcW w:w="1272" w:type="dxa"/>
            <w:gridSpan w:val="2"/>
            <w:shd w:val="clear" w:color="000000" w:fill="auto"/>
            <w:vAlign w:val="bottom"/>
          </w:tcPr>
          <w:p w:rsidR="001A4057" w:rsidRPr="009D3471" w:rsidRDefault="001A4057" w:rsidP="00AF38EC">
            <w:pPr>
              <w:spacing w:before="30" w:after="30" w:line="220" w:lineRule="exact"/>
              <w:jc w:val="right"/>
              <w:rPr>
                <w:sz w:val="18"/>
                <w:szCs w:val="18"/>
              </w:rPr>
            </w:pPr>
          </w:p>
          <w:p w:rsidR="001A4057" w:rsidRPr="009D3471" w:rsidRDefault="001A4057" w:rsidP="00AF38EC">
            <w:pPr>
              <w:spacing w:before="30" w:after="30" w:line="220" w:lineRule="exact"/>
              <w:jc w:val="right"/>
              <w:rPr>
                <w:sz w:val="18"/>
                <w:szCs w:val="18"/>
              </w:rPr>
            </w:pPr>
            <w:r w:rsidRPr="009D3471">
              <w:rPr>
                <w:sz w:val="18"/>
                <w:szCs w:val="18"/>
              </w:rPr>
              <w:t>55,1 %</w:t>
            </w:r>
          </w:p>
        </w:tc>
        <w:tc>
          <w:tcPr>
            <w:tcW w:w="1442" w:type="dxa"/>
            <w:gridSpan w:val="2"/>
            <w:shd w:val="clear" w:color="000000" w:fill="auto"/>
            <w:vAlign w:val="bottom"/>
          </w:tcPr>
          <w:p w:rsidR="001A4057" w:rsidRPr="009D3471" w:rsidRDefault="001A4057" w:rsidP="00AF38EC">
            <w:pPr>
              <w:spacing w:before="30" w:after="30" w:line="220" w:lineRule="exact"/>
              <w:jc w:val="right"/>
              <w:rPr>
                <w:sz w:val="18"/>
                <w:szCs w:val="18"/>
              </w:rPr>
            </w:pPr>
          </w:p>
          <w:p w:rsidR="001A4057" w:rsidRPr="009D3471" w:rsidRDefault="001A4057" w:rsidP="00AF38EC">
            <w:pPr>
              <w:spacing w:before="30" w:after="30" w:line="220" w:lineRule="exact"/>
              <w:jc w:val="right"/>
              <w:rPr>
                <w:sz w:val="18"/>
                <w:szCs w:val="18"/>
              </w:rPr>
            </w:pPr>
            <w:r w:rsidRPr="009D3471">
              <w:rPr>
                <w:sz w:val="18"/>
                <w:szCs w:val="18"/>
              </w:rPr>
              <w:t>52 %</w:t>
            </w:r>
          </w:p>
        </w:tc>
      </w:tr>
      <w:tr w:rsidR="001A4057" w:rsidRPr="009D3471" w:rsidTr="001A4057">
        <w:tc>
          <w:tcPr>
            <w:tcW w:w="3459" w:type="dxa"/>
            <w:vMerge/>
            <w:shd w:val="clear" w:color="000000" w:fill="auto"/>
          </w:tcPr>
          <w:p w:rsidR="001A4057" w:rsidRPr="009D3471" w:rsidRDefault="001A4057" w:rsidP="00AF38EC">
            <w:pPr>
              <w:spacing w:before="30" w:after="30" w:line="220" w:lineRule="exact"/>
              <w:rPr>
                <w:sz w:val="18"/>
                <w:szCs w:val="18"/>
              </w:rPr>
            </w:pPr>
          </w:p>
        </w:tc>
        <w:tc>
          <w:tcPr>
            <w:tcW w:w="1280" w:type="dxa"/>
            <w:vMerge w:val="restart"/>
            <w:shd w:val="clear" w:color="000000" w:fill="auto"/>
            <w:vAlign w:val="bottom"/>
          </w:tcPr>
          <w:p w:rsidR="001A4057" w:rsidRPr="009D3471" w:rsidRDefault="001A4057" w:rsidP="00AF38EC">
            <w:pPr>
              <w:spacing w:before="30" w:after="30" w:line="220" w:lineRule="exact"/>
              <w:jc w:val="right"/>
              <w:rPr>
                <w:sz w:val="18"/>
                <w:szCs w:val="18"/>
              </w:rPr>
            </w:pPr>
          </w:p>
        </w:tc>
        <w:tc>
          <w:tcPr>
            <w:tcW w:w="1053" w:type="dxa"/>
            <w:vMerge w:val="restart"/>
            <w:shd w:val="clear" w:color="000000" w:fill="auto"/>
            <w:vAlign w:val="bottom"/>
          </w:tcPr>
          <w:p w:rsidR="001A4057" w:rsidRPr="009D3471" w:rsidRDefault="001A4057" w:rsidP="00AF38EC">
            <w:pPr>
              <w:spacing w:before="30" w:after="30" w:line="220" w:lineRule="exact"/>
              <w:jc w:val="right"/>
              <w:rPr>
                <w:sz w:val="18"/>
                <w:szCs w:val="18"/>
              </w:rPr>
            </w:pPr>
          </w:p>
        </w:tc>
        <w:tc>
          <w:tcPr>
            <w:tcW w:w="1272" w:type="dxa"/>
            <w:gridSpan w:val="2"/>
            <w:vMerge w:val="restart"/>
            <w:shd w:val="clear" w:color="000000" w:fill="auto"/>
            <w:vAlign w:val="bottom"/>
          </w:tcPr>
          <w:p w:rsidR="001A4057" w:rsidRPr="009D3471" w:rsidRDefault="001A4057" w:rsidP="00AF38EC">
            <w:pPr>
              <w:spacing w:before="30" w:after="30" w:line="220" w:lineRule="exact"/>
              <w:jc w:val="right"/>
              <w:rPr>
                <w:sz w:val="18"/>
                <w:szCs w:val="18"/>
              </w:rPr>
            </w:pPr>
          </w:p>
        </w:tc>
        <w:tc>
          <w:tcPr>
            <w:tcW w:w="738"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Milieu rural</w:t>
            </w:r>
          </w:p>
        </w:tc>
        <w:tc>
          <w:tcPr>
            <w:tcW w:w="704"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Milieu urbain</w:t>
            </w:r>
          </w:p>
        </w:tc>
      </w:tr>
      <w:tr w:rsidR="001A4057" w:rsidRPr="009D3471" w:rsidTr="001A4057">
        <w:tc>
          <w:tcPr>
            <w:tcW w:w="3459" w:type="dxa"/>
            <w:vMerge/>
            <w:shd w:val="clear" w:color="000000" w:fill="auto"/>
          </w:tcPr>
          <w:p w:rsidR="001A4057" w:rsidRPr="009D3471" w:rsidRDefault="001A4057" w:rsidP="00AF38EC">
            <w:pPr>
              <w:spacing w:before="30" w:after="30" w:line="220" w:lineRule="exact"/>
              <w:rPr>
                <w:sz w:val="18"/>
                <w:szCs w:val="18"/>
              </w:rPr>
            </w:pPr>
          </w:p>
        </w:tc>
        <w:tc>
          <w:tcPr>
            <w:tcW w:w="1280" w:type="dxa"/>
            <w:vMerge/>
            <w:shd w:val="clear" w:color="000000" w:fill="auto"/>
            <w:vAlign w:val="bottom"/>
          </w:tcPr>
          <w:p w:rsidR="001A4057" w:rsidRPr="009D3471" w:rsidRDefault="001A4057" w:rsidP="00AF38EC">
            <w:pPr>
              <w:spacing w:before="30" w:after="30" w:line="220" w:lineRule="exact"/>
              <w:jc w:val="right"/>
              <w:rPr>
                <w:sz w:val="18"/>
                <w:szCs w:val="18"/>
              </w:rPr>
            </w:pPr>
          </w:p>
        </w:tc>
        <w:tc>
          <w:tcPr>
            <w:tcW w:w="1053" w:type="dxa"/>
            <w:vMerge/>
            <w:shd w:val="clear" w:color="000000" w:fill="auto"/>
            <w:vAlign w:val="bottom"/>
          </w:tcPr>
          <w:p w:rsidR="001A4057" w:rsidRPr="009D3471" w:rsidRDefault="001A4057" w:rsidP="00AF38EC">
            <w:pPr>
              <w:spacing w:before="30" w:after="30" w:line="220" w:lineRule="exact"/>
              <w:jc w:val="right"/>
              <w:rPr>
                <w:sz w:val="18"/>
                <w:szCs w:val="18"/>
              </w:rPr>
            </w:pPr>
          </w:p>
        </w:tc>
        <w:tc>
          <w:tcPr>
            <w:tcW w:w="1272" w:type="dxa"/>
            <w:gridSpan w:val="2"/>
            <w:vMerge/>
            <w:shd w:val="clear" w:color="000000" w:fill="auto"/>
            <w:vAlign w:val="bottom"/>
          </w:tcPr>
          <w:p w:rsidR="001A4057" w:rsidRPr="009D3471" w:rsidRDefault="001A4057" w:rsidP="00AF38EC">
            <w:pPr>
              <w:spacing w:before="30" w:after="30" w:line="220" w:lineRule="exact"/>
              <w:jc w:val="right"/>
              <w:rPr>
                <w:sz w:val="18"/>
                <w:szCs w:val="18"/>
              </w:rPr>
            </w:pPr>
          </w:p>
        </w:tc>
        <w:tc>
          <w:tcPr>
            <w:tcW w:w="738"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49,1 %</w:t>
            </w:r>
          </w:p>
        </w:tc>
        <w:tc>
          <w:tcPr>
            <w:tcW w:w="704"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69,8 %</w:t>
            </w:r>
          </w:p>
        </w:tc>
      </w:tr>
      <w:tr w:rsidR="001A4057" w:rsidRPr="009D3471" w:rsidTr="001A4057">
        <w:tc>
          <w:tcPr>
            <w:tcW w:w="3459" w:type="dxa"/>
            <w:shd w:val="clear" w:color="000000" w:fill="auto"/>
          </w:tcPr>
          <w:p w:rsidR="001A4057" w:rsidRPr="009D3471" w:rsidRDefault="001A4057" w:rsidP="00AF38EC">
            <w:pPr>
              <w:spacing w:before="30" w:after="30" w:line="220" w:lineRule="exact"/>
              <w:rPr>
                <w:sz w:val="18"/>
                <w:szCs w:val="18"/>
              </w:rPr>
            </w:pPr>
            <w:r w:rsidRPr="009D3471">
              <w:rPr>
                <w:sz w:val="18"/>
                <w:szCs w:val="18"/>
              </w:rPr>
              <w:t>Taux de consultation prénatale (au moins une consultation)</w:t>
            </w:r>
          </w:p>
        </w:tc>
        <w:tc>
          <w:tcPr>
            <w:tcW w:w="1280" w:type="dxa"/>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94 %</w:t>
            </w:r>
          </w:p>
        </w:tc>
        <w:tc>
          <w:tcPr>
            <w:tcW w:w="1053" w:type="dxa"/>
            <w:shd w:val="clear" w:color="000000" w:fill="auto"/>
            <w:vAlign w:val="bottom"/>
          </w:tcPr>
          <w:p w:rsidR="001A4057" w:rsidRPr="009D3471" w:rsidRDefault="001A4057" w:rsidP="00AF38EC">
            <w:pPr>
              <w:spacing w:before="30" w:after="30" w:line="220" w:lineRule="exact"/>
              <w:jc w:val="right"/>
              <w:rPr>
                <w:sz w:val="18"/>
                <w:szCs w:val="18"/>
              </w:rPr>
            </w:pPr>
          </w:p>
        </w:tc>
        <w:tc>
          <w:tcPr>
            <w:tcW w:w="1272" w:type="dxa"/>
            <w:gridSpan w:val="2"/>
            <w:shd w:val="clear" w:color="000000" w:fill="auto"/>
            <w:vAlign w:val="bottom"/>
          </w:tcPr>
          <w:p w:rsidR="001A4057" w:rsidRPr="009D3471" w:rsidRDefault="001A4057" w:rsidP="00AF38EC">
            <w:pPr>
              <w:spacing w:before="30" w:after="30" w:line="220" w:lineRule="exact"/>
              <w:jc w:val="right"/>
              <w:rPr>
                <w:sz w:val="18"/>
                <w:szCs w:val="18"/>
              </w:rPr>
            </w:pPr>
          </w:p>
        </w:tc>
        <w:tc>
          <w:tcPr>
            <w:tcW w:w="1442" w:type="dxa"/>
            <w:gridSpan w:val="2"/>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95 %</w:t>
            </w:r>
          </w:p>
        </w:tc>
      </w:tr>
      <w:tr w:rsidR="001A4057" w:rsidRPr="009D3471" w:rsidTr="001A4057">
        <w:tc>
          <w:tcPr>
            <w:tcW w:w="3459" w:type="dxa"/>
            <w:tcBorders>
              <w:bottom w:val="single" w:sz="4" w:space="0" w:color="auto"/>
            </w:tcBorders>
            <w:shd w:val="clear" w:color="000000" w:fill="auto"/>
          </w:tcPr>
          <w:p w:rsidR="001A4057" w:rsidRPr="009D3471" w:rsidRDefault="001A4057" w:rsidP="00AF38EC">
            <w:pPr>
              <w:spacing w:before="30" w:after="30" w:line="220" w:lineRule="exact"/>
              <w:rPr>
                <w:sz w:val="18"/>
                <w:szCs w:val="18"/>
              </w:rPr>
            </w:pPr>
            <w:r w:rsidRPr="009D3471">
              <w:rPr>
                <w:sz w:val="18"/>
                <w:szCs w:val="18"/>
              </w:rPr>
              <w:t>Morbidité palustre dans les centres de santé</w:t>
            </w:r>
          </w:p>
        </w:tc>
        <w:tc>
          <w:tcPr>
            <w:tcW w:w="1280" w:type="dxa"/>
            <w:tcBorders>
              <w:bottom w:val="single" w:sz="4" w:space="0" w:color="auto"/>
            </w:tcBorders>
            <w:shd w:val="clear" w:color="000000" w:fill="auto"/>
            <w:vAlign w:val="bottom"/>
          </w:tcPr>
          <w:p w:rsidR="001A4057" w:rsidRPr="009D3471" w:rsidRDefault="001A4057" w:rsidP="00AF38EC">
            <w:pPr>
              <w:spacing w:before="30" w:after="30" w:line="220" w:lineRule="exact"/>
              <w:jc w:val="right"/>
              <w:rPr>
                <w:sz w:val="18"/>
                <w:szCs w:val="18"/>
              </w:rPr>
            </w:pPr>
          </w:p>
        </w:tc>
        <w:tc>
          <w:tcPr>
            <w:tcW w:w="1053" w:type="dxa"/>
            <w:tcBorders>
              <w:bottom w:val="single" w:sz="4" w:space="0" w:color="auto"/>
            </w:tcBorders>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28 %</w:t>
            </w:r>
          </w:p>
        </w:tc>
        <w:tc>
          <w:tcPr>
            <w:tcW w:w="1272" w:type="dxa"/>
            <w:gridSpan w:val="2"/>
            <w:tcBorders>
              <w:bottom w:val="single" w:sz="4" w:space="0" w:color="auto"/>
            </w:tcBorders>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15 %</w:t>
            </w:r>
          </w:p>
        </w:tc>
        <w:tc>
          <w:tcPr>
            <w:tcW w:w="1442" w:type="dxa"/>
            <w:gridSpan w:val="2"/>
            <w:tcBorders>
              <w:bottom w:val="single" w:sz="4" w:space="0" w:color="auto"/>
            </w:tcBorders>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11 %</w:t>
            </w:r>
          </w:p>
        </w:tc>
      </w:tr>
      <w:tr w:rsidR="001A4057" w:rsidRPr="009D3471" w:rsidTr="001A4057">
        <w:tc>
          <w:tcPr>
            <w:tcW w:w="3459" w:type="dxa"/>
            <w:tcBorders>
              <w:top w:val="single" w:sz="4" w:space="0" w:color="auto"/>
              <w:bottom w:val="single" w:sz="4" w:space="0" w:color="auto"/>
            </w:tcBorders>
            <w:shd w:val="clear" w:color="000000" w:fill="auto"/>
          </w:tcPr>
          <w:p w:rsidR="001A4057" w:rsidRPr="009D3471" w:rsidRDefault="001A4057" w:rsidP="00AF38EC">
            <w:pPr>
              <w:spacing w:before="30" w:after="30" w:line="200" w:lineRule="exact"/>
              <w:rPr>
                <w:i/>
                <w:sz w:val="16"/>
                <w:szCs w:val="16"/>
              </w:rPr>
            </w:pPr>
          </w:p>
        </w:tc>
        <w:tc>
          <w:tcPr>
            <w:tcW w:w="1280" w:type="dxa"/>
            <w:tcBorders>
              <w:top w:val="single" w:sz="4" w:space="0" w:color="auto"/>
              <w:bottom w:val="single" w:sz="4" w:space="0" w:color="auto"/>
            </w:tcBorders>
            <w:shd w:val="clear" w:color="000000" w:fill="auto"/>
            <w:vAlign w:val="bottom"/>
          </w:tcPr>
          <w:p w:rsidR="001A4057" w:rsidRPr="009D3471" w:rsidRDefault="001A4057" w:rsidP="00AF38EC">
            <w:pPr>
              <w:spacing w:before="30" w:after="30" w:line="200" w:lineRule="exact"/>
              <w:jc w:val="right"/>
              <w:rPr>
                <w:i/>
                <w:sz w:val="16"/>
                <w:szCs w:val="16"/>
              </w:rPr>
            </w:pPr>
            <w:r w:rsidRPr="009D3471">
              <w:rPr>
                <w:i/>
                <w:sz w:val="16"/>
                <w:szCs w:val="16"/>
              </w:rPr>
              <w:t>2008</w:t>
            </w:r>
          </w:p>
        </w:tc>
        <w:tc>
          <w:tcPr>
            <w:tcW w:w="1053" w:type="dxa"/>
            <w:tcBorders>
              <w:top w:val="single" w:sz="4" w:space="0" w:color="auto"/>
              <w:bottom w:val="single" w:sz="4" w:space="0" w:color="auto"/>
            </w:tcBorders>
            <w:shd w:val="clear" w:color="000000" w:fill="auto"/>
            <w:vAlign w:val="bottom"/>
          </w:tcPr>
          <w:p w:rsidR="001A4057" w:rsidRPr="009D3471" w:rsidRDefault="001A4057" w:rsidP="00AF38EC">
            <w:pPr>
              <w:spacing w:before="30" w:after="30" w:line="200" w:lineRule="exact"/>
              <w:jc w:val="right"/>
              <w:rPr>
                <w:i/>
                <w:sz w:val="16"/>
                <w:szCs w:val="16"/>
              </w:rPr>
            </w:pPr>
          </w:p>
        </w:tc>
        <w:tc>
          <w:tcPr>
            <w:tcW w:w="1272" w:type="dxa"/>
            <w:gridSpan w:val="2"/>
            <w:tcBorders>
              <w:top w:val="single" w:sz="4" w:space="0" w:color="auto"/>
              <w:bottom w:val="single" w:sz="4" w:space="0" w:color="auto"/>
            </w:tcBorders>
            <w:shd w:val="clear" w:color="000000" w:fill="auto"/>
            <w:vAlign w:val="bottom"/>
          </w:tcPr>
          <w:p w:rsidR="001A4057" w:rsidRPr="009D3471" w:rsidRDefault="001A4057" w:rsidP="00AF38EC">
            <w:pPr>
              <w:spacing w:before="30" w:after="30" w:line="200" w:lineRule="exact"/>
              <w:jc w:val="right"/>
              <w:rPr>
                <w:i/>
                <w:sz w:val="16"/>
                <w:szCs w:val="16"/>
              </w:rPr>
            </w:pPr>
            <w:r w:rsidRPr="009D3471">
              <w:rPr>
                <w:i/>
                <w:sz w:val="16"/>
                <w:szCs w:val="16"/>
              </w:rPr>
              <w:t>2005</w:t>
            </w:r>
          </w:p>
        </w:tc>
        <w:tc>
          <w:tcPr>
            <w:tcW w:w="1442" w:type="dxa"/>
            <w:gridSpan w:val="2"/>
            <w:tcBorders>
              <w:top w:val="single" w:sz="4" w:space="0" w:color="auto"/>
              <w:bottom w:val="single" w:sz="4" w:space="0" w:color="auto"/>
            </w:tcBorders>
            <w:shd w:val="clear" w:color="000000" w:fill="auto"/>
            <w:vAlign w:val="bottom"/>
          </w:tcPr>
          <w:p w:rsidR="001A4057" w:rsidRPr="009D3471" w:rsidRDefault="001A4057" w:rsidP="00AF38EC">
            <w:pPr>
              <w:spacing w:before="30" w:after="30" w:line="200" w:lineRule="exact"/>
              <w:jc w:val="right"/>
              <w:rPr>
                <w:i/>
                <w:sz w:val="16"/>
                <w:szCs w:val="16"/>
              </w:rPr>
            </w:pPr>
          </w:p>
        </w:tc>
      </w:tr>
      <w:tr w:rsidR="001A4057" w:rsidRPr="009D3471" w:rsidTr="001A4057">
        <w:tc>
          <w:tcPr>
            <w:tcW w:w="3459" w:type="dxa"/>
            <w:vMerge w:val="restart"/>
            <w:tcBorders>
              <w:top w:val="single" w:sz="4" w:space="0" w:color="auto"/>
              <w:bottom w:val="nil"/>
            </w:tcBorders>
            <w:shd w:val="clear" w:color="000000" w:fill="auto"/>
          </w:tcPr>
          <w:p w:rsidR="001A4057" w:rsidRPr="009D3471" w:rsidRDefault="001A4057" w:rsidP="00AF38EC">
            <w:pPr>
              <w:spacing w:before="30" w:after="30" w:line="220" w:lineRule="exact"/>
              <w:rPr>
                <w:sz w:val="18"/>
                <w:szCs w:val="18"/>
              </w:rPr>
            </w:pPr>
            <w:r w:rsidRPr="009D3471">
              <w:rPr>
                <w:sz w:val="18"/>
                <w:szCs w:val="18"/>
              </w:rPr>
              <w:t>Accès de la population à l’eau potable</w:t>
            </w:r>
          </w:p>
        </w:tc>
        <w:tc>
          <w:tcPr>
            <w:tcW w:w="2333" w:type="dxa"/>
            <w:gridSpan w:val="2"/>
            <w:vMerge w:val="restart"/>
            <w:tcBorders>
              <w:top w:val="single" w:sz="4" w:space="0" w:color="auto"/>
              <w:bottom w:val="nil"/>
            </w:tcBorders>
            <w:shd w:val="clear" w:color="000000" w:fill="auto"/>
          </w:tcPr>
          <w:p w:rsidR="001A4057" w:rsidRPr="009D3471" w:rsidRDefault="001A4057" w:rsidP="00AF38EC">
            <w:pPr>
              <w:spacing w:before="30" w:after="30" w:line="220" w:lineRule="exact"/>
              <w:jc w:val="right"/>
              <w:rPr>
                <w:sz w:val="18"/>
                <w:szCs w:val="18"/>
              </w:rPr>
            </w:pPr>
            <w:r w:rsidRPr="009D3471">
              <w:rPr>
                <w:sz w:val="18"/>
                <w:szCs w:val="18"/>
              </w:rPr>
              <w:t>64 % (moyenne nationale)</w:t>
            </w:r>
          </w:p>
        </w:tc>
        <w:tc>
          <w:tcPr>
            <w:tcW w:w="1272" w:type="dxa"/>
            <w:gridSpan w:val="2"/>
            <w:tcBorders>
              <w:top w:val="single" w:sz="4" w:space="0" w:color="auto"/>
              <w:bottom w:val="nil"/>
            </w:tcBorders>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Zone rurale</w:t>
            </w:r>
          </w:p>
        </w:tc>
        <w:tc>
          <w:tcPr>
            <w:tcW w:w="1442" w:type="dxa"/>
            <w:gridSpan w:val="2"/>
            <w:tcBorders>
              <w:top w:val="single" w:sz="4" w:space="0" w:color="auto"/>
              <w:bottom w:val="nil"/>
            </w:tcBorders>
            <w:shd w:val="clear" w:color="000000" w:fill="auto"/>
            <w:vAlign w:val="bottom"/>
          </w:tcPr>
          <w:p w:rsidR="001A4057" w:rsidRPr="009D3471" w:rsidRDefault="001A4057" w:rsidP="00AF38EC">
            <w:pPr>
              <w:spacing w:before="30" w:after="30" w:line="220" w:lineRule="exact"/>
              <w:jc w:val="right"/>
              <w:rPr>
                <w:sz w:val="18"/>
                <w:szCs w:val="18"/>
              </w:rPr>
            </w:pPr>
            <w:r w:rsidRPr="009D3471">
              <w:rPr>
                <w:sz w:val="18"/>
                <w:szCs w:val="18"/>
              </w:rPr>
              <w:t>Zone urbaine</w:t>
            </w:r>
          </w:p>
        </w:tc>
      </w:tr>
      <w:tr w:rsidR="001A4057" w:rsidRPr="009D3471" w:rsidTr="001A4057">
        <w:tc>
          <w:tcPr>
            <w:tcW w:w="3459" w:type="dxa"/>
            <w:vMerge/>
            <w:tcBorders>
              <w:top w:val="nil"/>
              <w:bottom w:val="nil"/>
            </w:tcBorders>
            <w:shd w:val="clear" w:color="000000" w:fill="auto"/>
          </w:tcPr>
          <w:p w:rsidR="001A4057" w:rsidRPr="009D3471" w:rsidRDefault="001A4057" w:rsidP="001A4057">
            <w:pPr>
              <w:spacing w:before="40" w:after="40" w:line="220" w:lineRule="exact"/>
              <w:rPr>
                <w:sz w:val="18"/>
                <w:szCs w:val="18"/>
              </w:rPr>
            </w:pPr>
          </w:p>
        </w:tc>
        <w:tc>
          <w:tcPr>
            <w:tcW w:w="2333" w:type="dxa"/>
            <w:gridSpan w:val="2"/>
            <w:vMerge/>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p>
        </w:tc>
        <w:tc>
          <w:tcPr>
            <w:tcW w:w="1272" w:type="dxa"/>
            <w:gridSpan w:val="2"/>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55 %</w:t>
            </w:r>
          </w:p>
        </w:tc>
        <w:tc>
          <w:tcPr>
            <w:tcW w:w="1442" w:type="dxa"/>
            <w:gridSpan w:val="2"/>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69 %</w:t>
            </w:r>
          </w:p>
        </w:tc>
      </w:tr>
      <w:tr w:rsidR="001A4057" w:rsidRPr="009D3471" w:rsidTr="001A4057">
        <w:tc>
          <w:tcPr>
            <w:tcW w:w="3459" w:type="dxa"/>
            <w:tcBorders>
              <w:top w:val="nil"/>
              <w:bottom w:val="single" w:sz="4" w:space="0" w:color="auto"/>
            </w:tcBorders>
            <w:shd w:val="clear" w:color="000000" w:fill="auto"/>
          </w:tcPr>
          <w:p w:rsidR="001A4057" w:rsidRPr="009D3471" w:rsidRDefault="001A4057" w:rsidP="001A4057">
            <w:pPr>
              <w:spacing w:before="40" w:after="40" w:line="220" w:lineRule="exact"/>
              <w:rPr>
                <w:sz w:val="18"/>
                <w:szCs w:val="18"/>
              </w:rPr>
            </w:pPr>
            <w:r w:rsidRPr="009D3471">
              <w:rPr>
                <w:sz w:val="18"/>
                <w:szCs w:val="18"/>
              </w:rPr>
              <w:t>Accès de la population à des équipements suffisants pour l’évacuation des excréments</w:t>
            </w:r>
          </w:p>
        </w:tc>
        <w:tc>
          <w:tcPr>
            <w:tcW w:w="5047" w:type="dxa"/>
            <w:gridSpan w:val="6"/>
            <w:tcBorders>
              <w:top w:val="nil"/>
              <w:bottom w:val="single" w:sz="4" w:space="0" w:color="auto"/>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92 % de la population a accès à une latrine</w:t>
            </w:r>
          </w:p>
        </w:tc>
      </w:tr>
      <w:tr w:rsidR="001A4057" w:rsidRPr="009D3471" w:rsidTr="001A4057">
        <w:tc>
          <w:tcPr>
            <w:tcW w:w="3459" w:type="dxa"/>
            <w:tcBorders>
              <w:top w:val="single" w:sz="4" w:space="0" w:color="auto"/>
              <w:bottom w:val="nil"/>
            </w:tcBorders>
            <w:shd w:val="clear" w:color="000000" w:fill="auto"/>
          </w:tcPr>
          <w:p w:rsidR="001A4057" w:rsidRPr="009D3471" w:rsidRDefault="001A4057" w:rsidP="001A4057">
            <w:pPr>
              <w:spacing w:before="40" w:after="40" w:line="220" w:lineRule="exact"/>
              <w:rPr>
                <w:sz w:val="18"/>
                <w:szCs w:val="18"/>
              </w:rPr>
            </w:pPr>
            <w:r w:rsidRPr="009D3471">
              <w:rPr>
                <w:sz w:val="18"/>
                <w:szCs w:val="18"/>
              </w:rPr>
              <w:t>% des enfants immunisés ayant reçu le DPT3</w:t>
            </w:r>
          </w:p>
        </w:tc>
        <w:tc>
          <w:tcPr>
            <w:tcW w:w="1280" w:type="dxa"/>
            <w:tcBorders>
              <w:top w:val="single" w:sz="4" w:space="0" w:color="auto"/>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95 %</w:t>
            </w:r>
          </w:p>
        </w:tc>
        <w:tc>
          <w:tcPr>
            <w:tcW w:w="1053" w:type="dxa"/>
            <w:tcBorders>
              <w:top w:val="single" w:sz="4" w:space="0" w:color="auto"/>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96 %</w:t>
            </w:r>
          </w:p>
        </w:tc>
        <w:tc>
          <w:tcPr>
            <w:tcW w:w="1272" w:type="dxa"/>
            <w:gridSpan w:val="2"/>
            <w:tcBorders>
              <w:top w:val="single" w:sz="4" w:space="0" w:color="auto"/>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97 %</w:t>
            </w:r>
          </w:p>
        </w:tc>
        <w:tc>
          <w:tcPr>
            <w:tcW w:w="1442" w:type="dxa"/>
            <w:gridSpan w:val="2"/>
            <w:tcBorders>
              <w:top w:val="single" w:sz="4" w:space="0" w:color="auto"/>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95 %</w:t>
            </w:r>
          </w:p>
        </w:tc>
      </w:tr>
      <w:tr w:rsidR="001A4057" w:rsidRPr="009D3471" w:rsidTr="001A4057">
        <w:tc>
          <w:tcPr>
            <w:tcW w:w="3459" w:type="dxa"/>
            <w:tcBorders>
              <w:top w:val="nil"/>
              <w:bottom w:val="nil"/>
            </w:tcBorders>
            <w:shd w:val="clear" w:color="000000" w:fill="auto"/>
          </w:tcPr>
          <w:p w:rsidR="001A4057" w:rsidRPr="009D3471" w:rsidRDefault="001A4057" w:rsidP="001A4057">
            <w:pPr>
              <w:spacing w:before="40" w:after="40" w:line="220" w:lineRule="exact"/>
              <w:rPr>
                <w:sz w:val="18"/>
                <w:szCs w:val="18"/>
              </w:rPr>
            </w:pPr>
            <w:r w:rsidRPr="009D3471">
              <w:rPr>
                <w:sz w:val="18"/>
                <w:szCs w:val="18"/>
              </w:rPr>
              <w:t>Vaccins VP03</w:t>
            </w:r>
          </w:p>
        </w:tc>
        <w:tc>
          <w:tcPr>
            <w:tcW w:w="1280" w:type="dxa"/>
            <w:tcBorders>
              <w:top w:val="nil"/>
              <w:bottom w:val="nil"/>
            </w:tcBorders>
            <w:shd w:val="clear" w:color="000000" w:fill="auto"/>
            <w:vAlign w:val="bottom"/>
          </w:tcPr>
          <w:p w:rsidR="001A4057" w:rsidRPr="009D3471" w:rsidDel="002351FB" w:rsidRDefault="001A4057" w:rsidP="001A4057">
            <w:pPr>
              <w:spacing w:before="40" w:after="40" w:line="220" w:lineRule="exact"/>
              <w:jc w:val="right"/>
              <w:rPr>
                <w:sz w:val="18"/>
                <w:szCs w:val="18"/>
              </w:rPr>
            </w:pPr>
            <w:r w:rsidRPr="009D3471">
              <w:rPr>
                <w:sz w:val="18"/>
                <w:szCs w:val="18"/>
              </w:rPr>
              <w:t>95 %</w:t>
            </w:r>
          </w:p>
        </w:tc>
        <w:tc>
          <w:tcPr>
            <w:tcW w:w="1053" w:type="dxa"/>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95 %</w:t>
            </w:r>
          </w:p>
        </w:tc>
        <w:tc>
          <w:tcPr>
            <w:tcW w:w="1272" w:type="dxa"/>
            <w:gridSpan w:val="2"/>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98 %</w:t>
            </w:r>
          </w:p>
        </w:tc>
        <w:tc>
          <w:tcPr>
            <w:tcW w:w="1442" w:type="dxa"/>
            <w:gridSpan w:val="2"/>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p>
        </w:tc>
      </w:tr>
      <w:tr w:rsidR="001A4057" w:rsidRPr="009D3471" w:rsidTr="001A4057">
        <w:tc>
          <w:tcPr>
            <w:tcW w:w="3459" w:type="dxa"/>
            <w:tcBorders>
              <w:top w:val="nil"/>
              <w:bottom w:val="nil"/>
            </w:tcBorders>
            <w:shd w:val="clear" w:color="000000" w:fill="auto"/>
          </w:tcPr>
          <w:p w:rsidR="001A4057" w:rsidRPr="009D3471" w:rsidRDefault="001A4057" w:rsidP="001A4057">
            <w:pPr>
              <w:spacing w:before="40" w:after="40" w:line="220" w:lineRule="exact"/>
              <w:rPr>
                <w:sz w:val="18"/>
                <w:szCs w:val="18"/>
              </w:rPr>
            </w:pPr>
            <w:r w:rsidRPr="009D3471">
              <w:rPr>
                <w:sz w:val="18"/>
                <w:szCs w:val="18"/>
              </w:rPr>
              <w:t>Vaccin VAR</w:t>
            </w:r>
          </w:p>
        </w:tc>
        <w:tc>
          <w:tcPr>
            <w:tcW w:w="1280" w:type="dxa"/>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89 %</w:t>
            </w:r>
          </w:p>
        </w:tc>
        <w:tc>
          <w:tcPr>
            <w:tcW w:w="1053" w:type="dxa"/>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94 %</w:t>
            </w:r>
          </w:p>
        </w:tc>
        <w:tc>
          <w:tcPr>
            <w:tcW w:w="1272" w:type="dxa"/>
            <w:gridSpan w:val="2"/>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101 %</w:t>
            </w:r>
          </w:p>
        </w:tc>
        <w:tc>
          <w:tcPr>
            <w:tcW w:w="1442" w:type="dxa"/>
            <w:gridSpan w:val="2"/>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p>
        </w:tc>
      </w:tr>
      <w:tr w:rsidR="001A4057" w:rsidRPr="009D3471" w:rsidTr="001A4057">
        <w:tc>
          <w:tcPr>
            <w:tcW w:w="3459" w:type="dxa"/>
            <w:tcBorders>
              <w:top w:val="nil"/>
              <w:bottom w:val="nil"/>
            </w:tcBorders>
            <w:shd w:val="clear" w:color="000000" w:fill="auto"/>
          </w:tcPr>
          <w:p w:rsidR="001A4057" w:rsidRPr="009D3471" w:rsidRDefault="001A4057" w:rsidP="001A4057">
            <w:pPr>
              <w:spacing w:before="40" w:after="40" w:line="220" w:lineRule="exact"/>
              <w:rPr>
                <w:sz w:val="18"/>
                <w:szCs w:val="18"/>
              </w:rPr>
            </w:pPr>
            <w:r w:rsidRPr="009D3471">
              <w:rPr>
                <w:sz w:val="18"/>
                <w:szCs w:val="18"/>
              </w:rPr>
              <w:t>% de la population vivant dans un rayon de</w:t>
            </w:r>
            <w:r>
              <w:rPr>
                <w:sz w:val="18"/>
                <w:szCs w:val="18"/>
              </w:rPr>
              <w:t> </w:t>
            </w:r>
            <w:r w:rsidRPr="009D3471">
              <w:rPr>
                <w:sz w:val="18"/>
                <w:szCs w:val="18"/>
              </w:rPr>
              <w:t>5</w:t>
            </w:r>
            <w:r>
              <w:rPr>
                <w:sz w:val="18"/>
                <w:szCs w:val="18"/>
              </w:rPr>
              <w:t> </w:t>
            </w:r>
            <w:r w:rsidRPr="009D3471">
              <w:rPr>
                <w:sz w:val="18"/>
                <w:szCs w:val="18"/>
              </w:rPr>
              <w:t>km d’un centre de santé</w:t>
            </w:r>
          </w:p>
        </w:tc>
        <w:tc>
          <w:tcPr>
            <w:tcW w:w="1280" w:type="dxa"/>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p>
        </w:tc>
        <w:tc>
          <w:tcPr>
            <w:tcW w:w="1053" w:type="dxa"/>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p>
        </w:tc>
        <w:tc>
          <w:tcPr>
            <w:tcW w:w="1272" w:type="dxa"/>
            <w:gridSpan w:val="2"/>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p>
        </w:tc>
        <w:tc>
          <w:tcPr>
            <w:tcW w:w="1442" w:type="dxa"/>
            <w:gridSpan w:val="2"/>
            <w:tcBorders>
              <w:top w:val="nil"/>
              <w:bottom w:val="nil"/>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60 %</w:t>
            </w:r>
          </w:p>
        </w:tc>
      </w:tr>
      <w:tr w:rsidR="001A4057" w:rsidRPr="009D3471" w:rsidTr="001A4057">
        <w:tc>
          <w:tcPr>
            <w:tcW w:w="3459" w:type="dxa"/>
            <w:tcBorders>
              <w:top w:val="nil"/>
              <w:bottom w:val="single" w:sz="4" w:space="0" w:color="auto"/>
            </w:tcBorders>
            <w:shd w:val="clear" w:color="000000" w:fill="auto"/>
          </w:tcPr>
          <w:p w:rsidR="001A4057" w:rsidRPr="009D3471" w:rsidRDefault="001A4057" w:rsidP="001A4057">
            <w:pPr>
              <w:spacing w:before="40" w:after="40" w:line="220" w:lineRule="exact"/>
              <w:rPr>
                <w:sz w:val="18"/>
                <w:szCs w:val="18"/>
              </w:rPr>
            </w:pPr>
            <w:r w:rsidRPr="009D3471">
              <w:rPr>
                <w:sz w:val="18"/>
                <w:szCs w:val="18"/>
              </w:rPr>
              <w:t xml:space="preserve">% de la population disposant de la couverture de la mutuelle de santé </w:t>
            </w:r>
          </w:p>
        </w:tc>
        <w:tc>
          <w:tcPr>
            <w:tcW w:w="1280" w:type="dxa"/>
            <w:tcBorders>
              <w:top w:val="nil"/>
              <w:bottom w:val="single" w:sz="4" w:space="0" w:color="auto"/>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44,1 %</w:t>
            </w:r>
          </w:p>
        </w:tc>
        <w:tc>
          <w:tcPr>
            <w:tcW w:w="1053" w:type="dxa"/>
            <w:tcBorders>
              <w:top w:val="nil"/>
              <w:bottom w:val="single" w:sz="4" w:space="0" w:color="auto"/>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73 %</w:t>
            </w:r>
          </w:p>
        </w:tc>
        <w:tc>
          <w:tcPr>
            <w:tcW w:w="1272" w:type="dxa"/>
            <w:gridSpan w:val="2"/>
            <w:tcBorders>
              <w:top w:val="nil"/>
              <w:bottom w:val="single" w:sz="4" w:space="0" w:color="auto"/>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75 %</w:t>
            </w:r>
          </w:p>
        </w:tc>
        <w:tc>
          <w:tcPr>
            <w:tcW w:w="1442" w:type="dxa"/>
            <w:gridSpan w:val="2"/>
            <w:tcBorders>
              <w:top w:val="nil"/>
              <w:bottom w:val="single" w:sz="4" w:space="0" w:color="auto"/>
            </w:tcBorders>
            <w:shd w:val="clear" w:color="000000" w:fill="auto"/>
            <w:vAlign w:val="bottom"/>
          </w:tcPr>
          <w:p w:rsidR="001A4057" w:rsidRPr="009D3471" w:rsidRDefault="001A4057" w:rsidP="001A4057">
            <w:pPr>
              <w:spacing w:before="40" w:after="40" w:line="220" w:lineRule="exact"/>
              <w:jc w:val="right"/>
              <w:rPr>
                <w:sz w:val="18"/>
                <w:szCs w:val="18"/>
              </w:rPr>
            </w:pPr>
            <w:r w:rsidRPr="009D3471">
              <w:rPr>
                <w:sz w:val="18"/>
                <w:szCs w:val="18"/>
              </w:rPr>
              <w:t>85 %</w:t>
            </w:r>
          </w:p>
        </w:tc>
      </w:tr>
    </w:tbl>
    <w:p w:rsidR="001A4057" w:rsidRDefault="001A4057" w:rsidP="001A4057">
      <w:pPr>
        <w:pStyle w:val="SingleTxtG"/>
        <w:spacing w:before="120"/>
        <w:ind w:firstLine="170"/>
      </w:pPr>
      <w:r w:rsidRPr="0012682B">
        <w:rPr>
          <w:i/>
          <w:sz w:val="18"/>
        </w:rPr>
        <w:t>Source</w:t>
      </w:r>
      <w:r w:rsidRPr="00117EF6">
        <w:rPr>
          <w:sz w:val="18"/>
        </w:rPr>
        <w:t>: Minisanté: Mini DHS 2007-2008; DHS 2005; NISR: RGPH-projection 2008</w:t>
      </w:r>
      <w:r>
        <w:rPr>
          <w:sz w:val="18"/>
        </w:rPr>
        <w:t>.</w:t>
      </w:r>
    </w:p>
    <w:p w:rsidR="001A4057" w:rsidRPr="009B6952" w:rsidRDefault="001A4057" w:rsidP="00AF38EC">
      <w:pPr>
        <w:pStyle w:val="H23G"/>
        <w:spacing w:before="200"/>
      </w:pPr>
      <w:r>
        <w:tab/>
      </w:r>
      <w:r>
        <w:tab/>
      </w:r>
      <w:r w:rsidRPr="009B6952">
        <w:t xml:space="preserve">Les </w:t>
      </w:r>
      <w:r w:rsidRPr="00441F6B">
        <w:t>maladies</w:t>
      </w:r>
      <w:r>
        <w:t xml:space="preserve"> non communicables</w:t>
      </w:r>
    </w:p>
    <w:p w:rsidR="001A4057" w:rsidRPr="00F47F0D" w:rsidRDefault="001A4057" w:rsidP="00AF38EC">
      <w:pPr>
        <w:pStyle w:val="H4G"/>
        <w:spacing w:before="200"/>
        <w:rPr>
          <w:i w:val="0"/>
        </w:rPr>
      </w:pPr>
      <w:r>
        <w:tab/>
      </w:r>
      <w:r>
        <w:tab/>
      </w:r>
      <w:r w:rsidRPr="009B6952">
        <w:t>Santé mentale</w:t>
      </w:r>
      <w:r w:rsidRPr="00CD1742">
        <w:rPr>
          <w:rStyle w:val="FootnoteReference"/>
          <w:i w:val="0"/>
        </w:rPr>
        <w:footnoteReference w:id="133"/>
      </w:r>
    </w:p>
    <w:p w:rsidR="001A4057" w:rsidRPr="009B6952" w:rsidRDefault="001A4057" w:rsidP="00AF38EC">
      <w:pPr>
        <w:pStyle w:val="SingleTxtG"/>
        <w:spacing w:after="100"/>
      </w:pPr>
      <w:r>
        <w:rPr>
          <w:szCs w:val="24"/>
        </w:rPr>
        <w:t>238</w:t>
      </w:r>
      <w:r w:rsidRPr="009B6952">
        <w:rPr>
          <w:szCs w:val="24"/>
        </w:rPr>
        <w:t>.</w:t>
      </w:r>
      <w:r w:rsidRPr="009B6952">
        <w:rPr>
          <w:szCs w:val="24"/>
        </w:rPr>
        <w:tab/>
      </w:r>
      <w:r w:rsidRPr="009B6952">
        <w:t>La santé mentale se présente comme suit:</w:t>
      </w:r>
    </w:p>
    <w:p w:rsidR="001A4057" w:rsidRPr="009B6952" w:rsidRDefault="001A4057" w:rsidP="00AF38EC">
      <w:pPr>
        <w:pStyle w:val="Bullet1G"/>
        <w:spacing w:after="100"/>
      </w:pPr>
      <w:r w:rsidRPr="009B6952">
        <w:t xml:space="preserve">La santé mentale a été intégrée dans les programmes de soins de santé primaire; </w:t>
      </w:r>
    </w:p>
    <w:p w:rsidR="001A4057" w:rsidRPr="009B6952" w:rsidRDefault="001A4057" w:rsidP="00AF38EC">
      <w:pPr>
        <w:pStyle w:val="Bullet1G"/>
        <w:spacing w:after="100"/>
      </w:pPr>
      <w:r w:rsidRPr="009B6952">
        <w:t>En 2008</w:t>
      </w:r>
      <w:r>
        <w:t>,</w:t>
      </w:r>
      <w:r w:rsidRPr="009B6952">
        <w:t xml:space="preserve"> diverses conférences ont eu lieu </w:t>
      </w:r>
      <w:r>
        <w:t>sur</w:t>
      </w:r>
      <w:r w:rsidRPr="009B6952">
        <w:t xml:space="preserve"> divers thèmes cliniques de santé mentale; émissions radio et célébration de la </w:t>
      </w:r>
      <w:r>
        <w:t>J</w:t>
      </w:r>
      <w:r w:rsidRPr="009B6952">
        <w:t>ournée de la santé mentale;</w:t>
      </w:r>
    </w:p>
    <w:p w:rsidR="001A4057" w:rsidRPr="009B6952" w:rsidRDefault="001A4057" w:rsidP="00AF38EC">
      <w:pPr>
        <w:pStyle w:val="Bullet1G"/>
        <w:spacing w:after="100"/>
      </w:pPr>
      <w:r w:rsidRPr="009B6952">
        <w:t>En 2008, l</w:t>
      </w:r>
      <w:r>
        <w:t>’</w:t>
      </w:r>
      <w:r w:rsidRPr="009B6952">
        <w:t>hôpital neuro-psychiatrique de Ndera a reçu 31</w:t>
      </w:r>
      <w:r>
        <w:t xml:space="preserve"> </w:t>
      </w:r>
      <w:r w:rsidRPr="009B6952">
        <w:t>125 patients</w:t>
      </w:r>
      <w:r>
        <w:t xml:space="preserve">, </w:t>
      </w:r>
      <w:r w:rsidRPr="009B6952">
        <w:t>dont 46</w:t>
      </w:r>
      <w:r>
        <w:t xml:space="preserve"> %</w:t>
      </w:r>
      <w:r w:rsidRPr="009B6952">
        <w:t xml:space="preserve"> étaient des femmes et 7,5</w:t>
      </w:r>
      <w:r>
        <w:t xml:space="preserve"> %</w:t>
      </w:r>
      <w:r w:rsidRPr="009B6952">
        <w:t xml:space="preserve"> d</w:t>
      </w:r>
      <w:r>
        <w:t xml:space="preserve">es </w:t>
      </w:r>
      <w:r w:rsidRPr="009B6952">
        <w:t>enfants. Sur ce nombre, seul</w:t>
      </w:r>
      <w:r>
        <w:t>s</w:t>
      </w:r>
      <w:r w:rsidRPr="009B6952">
        <w:t xml:space="preserve"> 11</w:t>
      </w:r>
      <w:r>
        <w:t xml:space="preserve"> %</w:t>
      </w:r>
      <w:r w:rsidRPr="009B6952">
        <w:t xml:space="preserve"> (3</w:t>
      </w:r>
      <w:r>
        <w:t xml:space="preserve"> </w:t>
      </w:r>
      <w:r w:rsidRPr="009B6952">
        <w:t>643 patients) ont été hospitalisés et 84</w:t>
      </w:r>
      <w:r>
        <w:t>,</w:t>
      </w:r>
      <w:r w:rsidRPr="009B6952">
        <w:t>6</w:t>
      </w:r>
      <w:r>
        <w:t xml:space="preserve"> %</w:t>
      </w:r>
      <w:r w:rsidRPr="009B6952">
        <w:t xml:space="preserve"> sont sortis de l</w:t>
      </w:r>
      <w:r>
        <w:t>’</w:t>
      </w:r>
      <w:r w:rsidRPr="009B6952">
        <w:t xml:space="preserve">hôpital la même année. </w:t>
      </w:r>
      <w:r>
        <w:t>27 662</w:t>
      </w:r>
      <w:r w:rsidRPr="009B6952">
        <w:t xml:space="preserve"> patients </w:t>
      </w:r>
      <w:r>
        <w:t>ont</w:t>
      </w:r>
      <w:r w:rsidRPr="009B6952">
        <w:t xml:space="preserve"> été traités dans les hôpitau</w:t>
      </w:r>
      <w:r>
        <w:t>x de district;</w:t>
      </w:r>
    </w:p>
    <w:p w:rsidR="001A4057" w:rsidRPr="009B6952" w:rsidRDefault="001A4057" w:rsidP="00AF38EC">
      <w:pPr>
        <w:pStyle w:val="Bullet2G"/>
        <w:spacing w:after="100"/>
      </w:pPr>
      <w:r w:rsidRPr="009B6952">
        <w:t>Parmi les causes de consultation, l</w:t>
      </w:r>
      <w:r>
        <w:t>’</w:t>
      </w:r>
      <w:r w:rsidRPr="009B6952">
        <w:t>épilepsie et autres désordres neurologiques arrivent en tête de liste avec 38,5</w:t>
      </w:r>
      <w:r>
        <w:t xml:space="preserve"> %</w:t>
      </w:r>
      <w:r w:rsidRPr="009B6952">
        <w:t xml:space="preserve"> des cas.</w:t>
      </w:r>
    </w:p>
    <w:p w:rsidR="001A4057" w:rsidRPr="009B6952" w:rsidRDefault="001A4057" w:rsidP="00AF38EC">
      <w:pPr>
        <w:pStyle w:val="H4G"/>
        <w:spacing w:after="100"/>
      </w:pPr>
      <w:r>
        <w:tab/>
      </w:r>
      <w:r>
        <w:tab/>
      </w:r>
      <w:r w:rsidRPr="009B6952">
        <w:t>La cécité et autres handicaps physiques</w:t>
      </w:r>
      <w:r>
        <w:t xml:space="preserve"> </w:t>
      </w:r>
    </w:p>
    <w:p w:rsidR="001A4057" w:rsidRPr="009B6952" w:rsidRDefault="001A4057" w:rsidP="00AF38EC">
      <w:pPr>
        <w:pStyle w:val="SingleTxtG"/>
        <w:spacing w:after="100"/>
      </w:pPr>
      <w:r>
        <w:rPr>
          <w:szCs w:val="24"/>
        </w:rPr>
        <w:t>239</w:t>
      </w:r>
      <w:r w:rsidRPr="009B6952">
        <w:rPr>
          <w:szCs w:val="24"/>
        </w:rPr>
        <w:t>.</w:t>
      </w:r>
      <w:r w:rsidRPr="009B6952">
        <w:rPr>
          <w:szCs w:val="24"/>
        </w:rPr>
        <w:tab/>
      </w:r>
      <w:r w:rsidRPr="009B6952">
        <w:t>La cécité est un problème de santé publique au Rwanda.</w:t>
      </w:r>
      <w:r>
        <w:t xml:space="preserve"> </w:t>
      </w:r>
      <w:r w:rsidRPr="009B6952">
        <w:t xml:space="preserve">La situation </w:t>
      </w:r>
      <w:r>
        <w:t>est</w:t>
      </w:r>
      <w:r w:rsidRPr="009B6952">
        <w:t xml:space="preserve"> présent</w:t>
      </w:r>
      <w:r>
        <w:t>é</w:t>
      </w:r>
      <w:r w:rsidRPr="009B6952">
        <w:t xml:space="preserve">e </w:t>
      </w:r>
      <w:r>
        <w:t>dans le tableau figurant ci-dessous.</w:t>
      </w:r>
    </w:p>
    <w:p w:rsidR="001A4057" w:rsidRPr="00F9401B" w:rsidRDefault="001A4057" w:rsidP="001A4057">
      <w:pPr>
        <w:pStyle w:val="Heading1"/>
        <w:spacing w:after="120"/>
        <w:rPr>
          <w:b/>
          <w:lang w:val="en-US"/>
        </w:rPr>
      </w:pPr>
      <w:bookmarkStart w:id="0" w:name="_Toc231012471"/>
      <w:r w:rsidRPr="00F9401B">
        <w:rPr>
          <w:lang w:val="en-US"/>
        </w:rPr>
        <w:t xml:space="preserve">Tableau </w:t>
      </w:r>
      <w:r w:rsidRPr="009B6952">
        <w:fldChar w:fldCharType="begin"/>
      </w:r>
      <w:r w:rsidRPr="00F9401B">
        <w:rPr>
          <w:lang w:val="en-US"/>
        </w:rPr>
        <w:instrText xml:space="preserve"> SEQ Tableau \* ARABIC </w:instrText>
      </w:r>
      <w:r w:rsidRPr="009B6952">
        <w:fldChar w:fldCharType="separate"/>
      </w:r>
      <w:r w:rsidR="000261DC">
        <w:rPr>
          <w:noProof/>
          <w:lang w:val="en-US"/>
        </w:rPr>
        <w:t>1</w:t>
      </w:r>
      <w:r w:rsidRPr="009B6952">
        <w:fldChar w:fldCharType="end"/>
      </w:r>
      <w:r w:rsidRPr="00C92C29">
        <w:rPr>
          <w:lang w:val="en-US"/>
        </w:rPr>
        <w:t>7</w:t>
      </w:r>
      <w:r w:rsidRPr="00F9401B">
        <w:rPr>
          <w:lang w:val="en-US"/>
        </w:rPr>
        <w:br/>
      </w:r>
      <w:r w:rsidRPr="00F9401B">
        <w:rPr>
          <w:b/>
          <w:lang w:val="en-US"/>
        </w:rPr>
        <w:t>Situation of Eye care, 2004-2008</w:t>
      </w:r>
      <w:bookmarkEnd w:id="0"/>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24"/>
        <w:gridCol w:w="2761"/>
        <w:gridCol w:w="3885"/>
      </w:tblGrid>
      <w:tr w:rsidR="001A4057" w:rsidRPr="00441F6B" w:rsidTr="001A4057">
        <w:trPr>
          <w:tblHeader/>
        </w:trPr>
        <w:tc>
          <w:tcPr>
            <w:tcW w:w="618" w:type="dxa"/>
            <w:tcBorders>
              <w:top w:val="single" w:sz="4" w:space="0" w:color="auto"/>
              <w:bottom w:val="single" w:sz="12" w:space="0" w:color="auto"/>
            </w:tcBorders>
            <w:shd w:val="clear" w:color="auto" w:fill="auto"/>
            <w:vAlign w:val="bottom"/>
          </w:tcPr>
          <w:p w:rsidR="001A4057" w:rsidRPr="00F9401B" w:rsidRDefault="001A4057" w:rsidP="001A4057">
            <w:pPr>
              <w:spacing w:before="80" w:after="80" w:line="200" w:lineRule="exact"/>
              <w:rPr>
                <w:i/>
                <w:sz w:val="16"/>
                <w:lang w:val="en-US"/>
              </w:rPr>
            </w:pPr>
          </w:p>
        </w:tc>
        <w:tc>
          <w:tcPr>
            <w:tcW w:w="2356" w:type="dxa"/>
            <w:tcBorders>
              <w:top w:val="single" w:sz="4" w:space="0" w:color="auto"/>
              <w:bottom w:val="single" w:sz="12" w:space="0" w:color="auto"/>
            </w:tcBorders>
            <w:shd w:val="clear" w:color="auto" w:fill="auto"/>
            <w:vAlign w:val="bottom"/>
          </w:tcPr>
          <w:p w:rsidR="001A4057" w:rsidRPr="00441F6B" w:rsidRDefault="001A4057" w:rsidP="001A4057">
            <w:pPr>
              <w:spacing w:before="80" w:after="80" w:line="200" w:lineRule="exact"/>
              <w:jc w:val="right"/>
              <w:rPr>
                <w:i/>
                <w:sz w:val="16"/>
              </w:rPr>
            </w:pPr>
            <w:r>
              <w:rPr>
                <w:i/>
                <w:sz w:val="16"/>
              </w:rPr>
              <w:t>C</w:t>
            </w:r>
            <w:r w:rsidRPr="00441F6B">
              <w:rPr>
                <w:i/>
                <w:sz w:val="16"/>
              </w:rPr>
              <w:t>onsultations</w:t>
            </w:r>
          </w:p>
        </w:tc>
        <w:tc>
          <w:tcPr>
            <w:tcW w:w="3315" w:type="dxa"/>
            <w:tcBorders>
              <w:top w:val="single" w:sz="4" w:space="0" w:color="auto"/>
              <w:bottom w:val="single" w:sz="12" w:space="0" w:color="auto"/>
            </w:tcBorders>
            <w:shd w:val="clear" w:color="auto" w:fill="auto"/>
            <w:vAlign w:val="bottom"/>
          </w:tcPr>
          <w:p w:rsidR="001A4057" w:rsidRPr="00441F6B" w:rsidRDefault="001A4057" w:rsidP="001A4057">
            <w:pPr>
              <w:spacing w:before="80" w:after="80" w:line="200" w:lineRule="exact"/>
              <w:jc w:val="right"/>
              <w:rPr>
                <w:i/>
                <w:sz w:val="16"/>
              </w:rPr>
            </w:pPr>
            <w:r>
              <w:rPr>
                <w:i/>
                <w:sz w:val="16"/>
              </w:rPr>
              <w:t>Opérations chirurgicales</w:t>
            </w:r>
          </w:p>
        </w:tc>
      </w:tr>
      <w:tr w:rsidR="001A4057" w:rsidRPr="00441F6B" w:rsidTr="001A4057">
        <w:tc>
          <w:tcPr>
            <w:tcW w:w="618" w:type="dxa"/>
            <w:tcBorders>
              <w:top w:val="single" w:sz="12" w:space="0" w:color="auto"/>
            </w:tcBorders>
            <w:shd w:val="clear" w:color="auto" w:fill="auto"/>
          </w:tcPr>
          <w:p w:rsidR="001A4057" w:rsidRPr="00441F6B" w:rsidRDefault="001A4057" w:rsidP="001A4057">
            <w:pPr>
              <w:spacing w:before="40" w:after="40" w:line="220" w:lineRule="exact"/>
              <w:rPr>
                <w:sz w:val="18"/>
              </w:rPr>
            </w:pPr>
            <w:r w:rsidRPr="00441F6B">
              <w:rPr>
                <w:sz w:val="18"/>
              </w:rPr>
              <w:t>2004</w:t>
            </w:r>
          </w:p>
        </w:tc>
        <w:tc>
          <w:tcPr>
            <w:tcW w:w="2356" w:type="dxa"/>
            <w:tcBorders>
              <w:top w:val="single" w:sz="12" w:space="0" w:color="auto"/>
            </w:tcBorders>
            <w:shd w:val="clear" w:color="auto" w:fill="auto"/>
            <w:vAlign w:val="bottom"/>
          </w:tcPr>
          <w:p w:rsidR="001A4057" w:rsidRPr="00441F6B" w:rsidRDefault="001A4057" w:rsidP="001A4057">
            <w:pPr>
              <w:spacing w:before="40" w:after="40" w:line="220" w:lineRule="exact"/>
              <w:jc w:val="right"/>
              <w:rPr>
                <w:sz w:val="18"/>
              </w:rPr>
            </w:pPr>
            <w:r w:rsidRPr="00441F6B">
              <w:rPr>
                <w:sz w:val="18"/>
              </w:rPr>
              <w:t>10</w:t>
            </w:r>
            <w:r>
              <w:rPr>
                <w:sz w:val="18"/>
              </w:rPr>
              <w:t xml:space="preserve"> </w:t>
            </w:r>
            <w:r w:rsidRPr="00441F6B">
              <w:rPr>
                <w:sz w:val="18"/>
              </w:rPr>
              <w:t>232</w:t>
            </w:r>
          </w:p>
        </w:tc>
        <w:tc>
          <w:tcPr>
            <w:tcW w:w="3315" w:type="dxa"/>
            <w:tcBorders>
              <w:top w:val="single" w:sz="12" w:space="0" w:color="auto"/>
            </w:tcBorders>
            <w:shd w:val="clear" w:color="auto" w:fill="auto"/>
            <w:vAlign w:val="bottom"/>
          </w:tcPr>
          <w:p w:rsidR="001A4057" w:rsidRPr="00441F6B" w:rsidRDefault="001A4057" w:rsidP="001A4057">
            <w:pPr>
              <w:suppressAutoHyphens w:val="0"/>
              <w:spacing w:before="40" w:after="40" w:line="220" w:lineRule="exact"/>
              <w:ind w:right="113"/>
              <w:jc w:val="right"/>
              <w:rPr>
                <w:sz w:val="18"/>
              </w:rPr>
            </w:pPr>
            <w:r w:rsidRPr="00441F6B">
              <w:rPr>
                <w:sz w:val="18"/>
              </w:rPr>
              <w:t>1</w:t>
            </w:r>
            <w:r>
              <w:rPr>
                <w:sz w:val="18"/>
              </w:rPr>
              <w:t xml:space="preserve"> </w:t>
            </w:r>
            <w:r w:rsidRPr="00441F6B">
              <w:rPr>
                <w:sz w:val="18"/>
              </w:rPr>
              <w:t>847</w:t>
            </w:r>
          </w:p>
        </w:tc>
      </w:tr>
      <w:tr w:rsidR="001A4057" w:rsidRPr="00441F6B" w:rsidTr="001A4057">
        <w:tc>
          <w:tcPr>
            <w:tcW w:w="618" w:type="dxa"/>
            <w:shd w:val="clear" w:color="auto" w:fill="auto"/>
          </w:tcPr>
          <w:p w:rsidR="001A4057" w:rsidRPr="00441F6B" w:rsidRDefault="001A4057" w:rsidP="001A4057">
            <w:pPr>
              <w:spacing w:before="40" w:after="40" w:line="220" w:lineRule="exact"/>
              <w:rPr>
                <w:sz w:val="18"/>
              </w:rPr>
            </w:pPr>
            <w:r w:rsidRPr="00441F6B">
              <w:rPr>
                <w:sz w:val="18"/>
              </w:rPr>
              <w:t>2005</w:t>
            </w:r>
          </w:p>
        </w:tc>
        <w:tc>
          <w:tcPr>
            <w:tcW w:w="2356" w:type="dxa"/>
            <w:shd w:val="clear" w:color="auto" w:fill="auto"/>
            <w:vAlign w:val="bottom"/>
          </w:tcPr>
          <w:p w:rsidR="001A4057" w:rsidRPr="00441F6B" w:rsidRDefault="001A4057" w:rsidP="001A4057">
            <w:pPr>
              <w:spacing w:before="40" w:after="40" w:line="220" w:lineRule="exact"/>
              <w:jc w:val="right"/>
              <w:rPr>
                <w:sz w:val="18"/>
              </w:rPr>
            </w:pPr>
            <w:r w:rsidRPr="00441F6B">
              <w:rPr>
                <w:sz w:val="18"/>
              </w:rPr>
              <w:t>14</w:t>
            </w:r>
            <w:r>
              <w:rPr>
                <w:sz w:val="18"/>
              </w:rPr>
              <w:t xml:space="preserve"> </w:t>
            </w:r>
            <w:r w:rsidRPr="00441F6B">
              <w:rPr>
                <w:sz w:val="18"/>
              </w:rPr>
              <w:t>643</w:t>
            </w:r>
          </w:p>
        </w:tc>
        <w:tc>
          <w:tcPr>
            <w:tcW w:w="3315" w:type="dxa"/>
            <w:shd w:val="clear" w:color="auto" w:fill="auto"/>
            <w:vAlign w:val="bottom"/>
          </w:tcPr>
          <w:p w:rsidR="001A4057" w:rsidRPr="00441F6B" w:rsidRDefault="001A4057" w:rsidP="001A4057">
            <w:pPr>
              <w:spacing w:before="40" w:after="40" w:line="220" w:lineRule="exact"/>
              <w:jc w:val="right"/>
              <w:rPr>
                <w:sz w:val="18"/>
              </w:rPr>
            </w:pPr>
            <w:r w:rsidRPr="00441F6B">
              <w:rPr>
                <w:sz w:val="18"/>
              </w:rPr>
              <w:t>3</w:t>
            </w:r>
            <w:r>
              <w:rPr>
                <w:sz w:val="18"/>
              </w:rPr>
              <w:t xml:space="preserve"> </w:t>
            </w:r>
            <w:r w:rsidRPr="00441F6B">
              <w:rPr>
                <w:sz w:val="18"/>
              </w:rPr>
              <w:t>137</w:t>
            </w:r>
          </w:p>
        </w:tc>
      </w:tr>
      <w:tr w:rsidR="001A4057" w:rsidRPr="00441F6B" w:rsidTr="001A4057">
        <w:trPr>
          <w:trHeight w:val="342"/>
        </w:trPr>
        <w:tc>
          <w:tcPr>
            <w:tcW w:w="618" w:type="dxa"/>
            <w:shd w:val="clear" w:color="auto" w:fill="auto"/>
          </w:tcPr>
          <w:p w:rsidR="001A4057" w:rsidRPr="00441F6B" w:rsidRDefault="001A4057" w:rsidP="001A4057">
            <w:pPr>
              <w:spacing w:before="40" w:after="40" w:line="220" w:lineRule="exact"/>
              <w:rPr>
                <w:sz w:val="18"/>
              </w:rPr>
            </w:pPr>
            <w:r w:rsidRPr="00441F6B">
              <w:rPr>
                <w:sz w:val="18"/>
              </w:rPr>
              <w:t>2006</w:t>
            </w:r>
          </w:p>
        </w:tc>
        <w:tc>
          <w:tcPr>
            <w:tcW w:w="2356" w:type="dxa"/>
            <w:shd w:val="clear" w:color="auto" w:fill="auto"/>
            <w:vAlign w:val="bottom"/>
          </w:tcPr>
          <w:p w:rsidR="001A4057" w:rsidRPr="00441F6B" w:rsidRDefault="001A4057" w:rsidP="001A4057">
            <w:pPr>
              <w:spacing w:before="40" w:after="40" w:line="220" w:lineRule="exact"/>
              <w:jc w:val="right"/>
              <w:rPr>
                <w:sz w:val="18"/>
              </w:rPr>
            </w:pPr>
            <w:r w:rsidRPr="00441F6B">
              <w:rPr>
                <w:sz w:val="18"/>
              </w:rPr>
              <w:t>18</w:t>
            </w:r>
            <w:r>
              <w:rPr>
                <w:sz w:val="18"/>
              </w:rPr>
              <w:t xml:space="preserve"> </w:t>
            </w:r>
            <w:r w:rsidRPr="00441F6B">
              <w:rPr>
                <w:sz w:val="18"/>
              </w:rPr>
              <w:t>258</w:t>
            </w:r>
          </w:p>
        </w:tc>
        <w:tc>
          <w:tcPr>
            <w:tcW w:w="3315" w:type="dxa"/>
            <w:shd w:val="clear" w:color="auto" w:fill="auto"/>
            <w:vAlign w:val="bottom"/>
          </w:tcPr>
          <w:p w:rsidR="001A4057" w:rsidRPr="00441F6B" w:rsidRDefault="001A4057" w:rsidP="001A4057">
            <w:pPr>
              <w:spacing w:before="40" w:after="40" w:line="220" w:lineRule="exact"/>
              <w:jc w:val="right"/>
              <w:rPr>
                <w:sz w:val="18"/>
              </w:rPr>
            </w:pPr>
            <w:r w:rsidRPr="00441F6B">
              <w:rPr>
                <w:sz w:val="18"/>
              </w:rPr>
              <w:t>3</w:t>
            </w:r>
            <w:r>
              <w:rPr>
                <w:sz w:val="18"/>
              </w:rPr>
              <w:t xml:space="preserve"> </w:t>
            </w:r>
            <w:r w:rsidRPr="00441F6B">
              <w:rPr>
                <w:sz w:val="18"/>
              </w:rPr>
              <w:t>712</w:t>
            </w:r>
          </w:p>
        </w:tc>
      </w:tr>
      <w:tr w:rsidR="001A4057" w:rsidRPr="00441F6B" w:rsidTr="001A4057">
        <w:tc>
          <w:tcPr>
            <w:tcW w:w="618" w:type="dxa"/>
            <w:shd w:val="clear" w:color="auto" w:fill="auto"/>
          </w:tcPr>
          <w:p w:rsidR="001A4057" w:rsidRPr="00441F6B" w:rsidRDefault="001A4057" w:rsidP="001A4057">
            <w:pPr>
              <w:spacing w:before="40" w:after="40" w:line="220" w:lineRule="exact"/>
              <w:rPr>
                <w:sz w:val="18"/>
              </w:rPr>
            </w:pPr>
            <w:r w:rsidRPr="00441F6B">
              <w:rPr>
                <w:sz w:val="18"/>
              </w:rPr>
              <w:t>2007</w:t>
            </w:r>
          </w:p>
        </w:tc>
        <w:tc>
          <w:tcPr>
            <w:tcW w:w="2356" w:type="dxa"/>
            <w:shd w:val="clear" w:color="auto" w:fill="auto"/>
            <w:vAlign w:val="bottom"/>
          </w:tcPr>
          <w:p w:rsidR="001A4057" w:rsidRPr="00441F6B" w:rsidRDefault="001A4057" w:rsidP="001A4057">
            <w:pPr>
              <w:spacing w:before="40" w:after="40" w:line="220" w:lineRule="exact"/>
              <w:jc w:val="right"/>
              <w:rPr>
                <w:sz w:val="18"/>
              </w:rPr>
            </w:pPr>
            <w:r w:rsidRPr="00441F6B">
              <w:rPr>
                <w:sz w:val="18"/>
              </w:rPr>
              <w:t>41</w:t>
            </w:r>
            <w:r>
              <w:rPr>
                <w:sz w:val="18"/>
              </w:rPr>
              <w:t xml:space="preserve"> </w:t>
            </w:r>
            <w:r w:rsidRPr="00441F6B">
              <w:rPr>
                <w:sz w:val="18"/>
              </w:rPr>
              <w:t>003</w:t>
            </w:r>
          </w:p>
        </w:tc>
        <w:tc>
          <w:tcPr>
            <w:tcW w:w="3315" w:type="dxa"/>
            <w:shd w:val="clear" w:color="auto" w:fill="auto"/>
            <w:vAlign w:val="bottom"/>
          </w:tcPr>
          <w:p w:rsidR="001A4057" w:rsidRPr="00441F6B" w:rsidRDefault="001A4057" w:rsidP="001A4057">
            <w:pPr>
              <w:spacing w:before="40" w:after="40" w:line="220" w:lineRule="exact"/>
              <w:jc w:val="right"/>
              <w:rPr>
                <w:sz w:val="18"/>
              </w:rPr>
            </w:pPr>
            <w:r w:rsidRPr="00441F6B">
              <w:rPr>
                <w:sz w:val="18"/>
              </w:rPr>
              <w:t>3</w:t>
            </w:r>
            <w:r>
              <w:rPr>
                <w:sz w:val="18"/>
              </w:rPr>
              <w:t xml:space="preserve"> </w:t>
            </w:r>
            <w:r w:rsidRPr="00441F6B">
              <w:rPr>
                <w:sz w:val="18"/>
              </w:rPr>
              <w:t>555</w:t>
            </w:r>
          </w:p>
        </w:tc>
      </w:tr>
      <w:tr w:rsidR="001A4057" w:rsidRPr="00441F6B" w:rsidTr="001A4057">
        <w:tc>
          <w:tcPr>
            <w:tcW w:w="618" w:type="dxa"/>
            <w:shd w:val="clear" w:color="auto" w:fill="auto"/>
          </w:tcPr>
          <w:p w:rsidR="001A4057" w:rsidRPr="00441F6B" w:rsidRDefault="001A4057" w:rsidP="00AF38EC">
            <w:pPr>
              <w:spacing w:before="40" w:after="40" w:line="200" w:lineRule="exact"/>
              <w:rPr>
                <w:sz w:val="18"/>
              </w:rPr>
            </w:pPr>
            <w:r w:rsidRPr="00441F6B">
              <w:rPr>
                <w:sz w:val="18"/>
              </w:rPr>
              <w:t>2008</w:t>
            </w:r>
          </w:p>
        </w:tc>
        <w:tc>
          <w:tcPr>
            <w:tcW w:w="2356" w:type="dxa"/>
            <w:shd w:val="clear" w:color="auto" w:fill="auto"/>
          </w:tcPr>
          <w:p w:rsidR="001A4057" w:rsidRPr="00441F6B" w:rsidRDefault="001A4057" w:rsidP="00AF38EC">
            <w:pPr>
              <w:spacing w:before="40" w:after="40" w:line="200" w:lineRule="exact"/>
              <w:jc w:val="right"/>
              <w:rPr>
                <w:sz w:val="18"/>
              </w:rPr>
            </w:pPr>
            <w:r w:rsidRPr="00441F6B">
              <w:rPr>
                <w:sz w:val="18"/>
              </w:rPr>
              <w:t>66</w:t>
            </w:r>
            <w:r>
              <w:rPr>
                <w:sz w:val="18"/>
              </w:rPr>
              <w:t xml:space="preserve"> </w:t>
            </w:r>
            <w:r w:rsidRPr="00441F6B">
              <w:rPr>
                <w:sz w:val="18"/>
              </w:rPr>
              <w:t>803</w:t>
            </w:r>
          </w:p>
        </w:tc>
        <w:tc>
          <w:tcPr>
            <w:tcW w:w="3315" w:type="dxa"/>
            <w:shd w:val="clear" w:color="auto" w:fill="auto"/>
            <w:vAlign w:val="bottom"/>
          </w:tcPr>
          <w:p w:rsidR="001A4057" w:rsidRPr="00441F6B" w:rsidRDefault="001A4057" w:rsidP="00AF38EC">
            <w:pPr>
              <w:spacing w:before="40" w:after="40" w:line="200" w:lineRule="exact"/>
              <w:jc w:val="right"/>
              <w:rPr>
                <w:sz w:val="18"/>
              </w:rPr>
            </w:pPr>
            <w:r w:rsidRPr="00441F6B">
              <w:rPr>
                <w:sz w:val="18"/>
              </w:rPr>
              <w:t>3</w:t>
            </w:r>
            <w:r>
              <w:rPr>
                <w:sz w:val="18"/>
              </w:rPr>
              <w:t xml:space="preserve"> </w:t>
            </w:r>
            <w:r w:rsidRPr="00441F6B">
              <w:rPr>
                <w:sz w:val="18"/>
              </w:rPr>
              <w:t>122 cataract</w:t>
            </w:r>
            <w:r>
              <w:rPr>
                <w:sz w:val="18"/>
              </w:rPr>
              <w:t>e</w:t>
            </w:r>
            <w:r w:rsidRPr="00441F6B">
              <w:rPr>
                <w:sz w:val="18"/>
              </w:rPr>
              <w:t xml:space="preserve">s </w:t>
            </w:r>
          </w:p>
          <w:p w:rsidR="001A4057" w:rsidRPr="00441F6B" w:rsidRDefault="001A4057" w:rsidP="00AF38EC">
            <w:pPr>
              <w:spacing w:before="40" w:after="40" w:line="200" w:lineRule="exact"/>
              <w:jc w:val="right"/>
              <w:rPr>
                <w:sz w:val="18"/>
              </w:rPr>
            </w:pPr>
            <w:r w:rsidRPr="00441F6B">
              <w:rPr>
                <w:sz w:val="18"/>
              </w:rPr>
              <w:t>+ 1</w:t>
            </w:r>
            <w:r>
              <w:rPr>
                <w:sz w:val="18"/>
              </w:rPr>
              <w:t xml:space="preserve"> </w:t>
            </w:r>
            <w:r w:rsidRPr="00441F6B">
              <w:rPr>
                <w:sz w:val="18"/>
              </w:rPr>
              <w:t xml:space="preserve">245 </w:t>
            </w:r>
            <w:r>
              <w:rPr>
                <w:sz w:val="18"/>
              </w:rPr>
              <w:t>autres</w:t>
            </w:r>
          </w:p>
        </w:tc>
      </w:tr>
    </w:tbl>
    <w:p w:rsidR="001A4057" w:rsidRPr="00C92C29" w:rsidRDefault="001A4057" w:rsidP="001A4057">
      <w:pPr>
        <w:pStyle w:val="SingleTxtG"/>
        <w:spacing w:before="120" w:after="240"/>
        <w:ind w:firstLine="170"/>
        <w:rPr>
          <w:sz w:val="18"/>
          <w:szCs w:val="18"/>
        </w:rPr>
      </w:pPr>
      <w:r w:rsidRPr="00C92C29">
        <w:rPr>
          <w:i/>
          <w:sz w:val="18"/>
          <w:szCs w:val="18"/>
        </w:rPr>
        <w:t>Source</w:t>
      </w:r>
      <w:r w:rsidRPr="00C92C29">
        <w:rPr>
          <w:sz w:val="18"/>
          <w:szCs w:val="18"/>
        </w:rPr>
        <w:t>: Minisanté/Blindness, annual report 2008.</w:t>
      </w:r>
    </w:p>
    <w:p w:rsidR="001A4057" w:rsidRPr="00705001" w:rsidRDefault="001A4057" w:rsidP="001A4057">
      <w:pPr>
        <w:pStyle w:val="H4G"/>
        <w:rPr>
          <w:i w:val="0"/>
        </w:rPr>
      </w:pPr>
      <w:r w:rsidRPr="00C92C29">
        <w:tab/>
      </w:r>
      <w:r w:rsidRPr="00C92C29">
        <w:tab/>
      </w:r>
      <w:r w:rsidRPr="009B6952">
        <w:t>Handicaps physiques</w:t>
      </w:r>
      <w:r w:rsidRPr="00B352B3">
        <w:rPr>
          <w:rStyle w:val="FootnoteReference"/>
        </w:rPr>
        <w:footnoteReference w:id="134"/>
      </w:r>
    </w:p>
    <w:p w:rsidR="001A4057" w:rsidRPr="009B6952" w:rsidRDefault="001A4057" w:rsidP="001A4057">
      <w:pPr>
        <w:pStyle w:val="SingleTxtG"/>
      </w:pPr>
      <w:r>
        <w:rPr>
          <w:szCs w:val="24"/>
        </w:rPr>
        <w:t>240</w:t>
      </w:r>
      <w:r w:rsidRPr="009B6952">
        <w:rPr>
          <w:szCs w:val="24"/>
        </w:rPr>
        <w:t>.</w:t>
      </w:r>
      <w:r w:rsidRPr="009B6952">
        <w:rPr>
          <w:szCs w:val="24"/>
        </w:rPr>
        <w:tab/>
      </w:r>
      <w:r w:rsidRPr="009B6952">
        <w:t>Avant 2005</w:t>
      </w:r>
      <w:r>
        <w:t>,</w:t>
      </w:r>
      <w:r w:rsidRPr="009B6952">
        <w:t xml:space="preserve"> on disposait des estimations </w:t>
      </w:r>
      <w:r>
        <w:t xml:space="preserve">tirées </w:t>
      </w:r>
      <w:r w:rsidRPr="009B6952">
        <w:t>des données statistiques de l</w:t>
      </w:r>
      <w:r>
        <w:t>’</w:t>
      </w:r>
      <w:r w:rsidRPr="009B6952">
        <w:t xml:space="preserve">Organisation </w:t>
      </w:r>
      <w:r>
        <w:t>m</w:t>
      </w:r>
      <w:r w:rsidRPr="009B6952">
        <w:t xml:space="preserve">ondiale de la </w:t>
      </w:r>
      <w:r>
        <w:t>s</w:t>
      </w:r>
      <w:r w:rsidRPr="009B6952">
        <w:t>anté</w:t>
      </w:r>
      <w:r>
        <w:t>,</w:t>
      </w:r>
      <w:r w:rsidRPr="009B6952">
        <w:t xml:space="preserve"> selon lesquelles 809</w:t>
      </w:r>
      <w:r>
        <w:t xml:space="preserve"> </w:t>
      </w:r>
      <w:r w:rsidRPr="009B6952">
        <w:t>200 personnes</w:t>
      </w:r>
      <w:r>
        <w:t xml:space="preserve"> </w:t>
      </w:r>
      <w:r w:rsidRPr="009B6952">
        <w:t>ont une déficience et 121</w:t>
      </w:r>
      <w:r>
        <w:t xml:space="preserve"> </w:t>
      </w:r>
      <w:r w:rsidRPr="009B6952">
        <w:t>380 ont besoin d</w:t>
      </w:r>
      <w:r>
        <w:t>’</w:t>
      </w:r>
      <w:r w:rsidRPr="009B6952">
        <w:t xml:space="preserve">une réadaptation urgente. </w:t>
      </w:r>
    </w:p>
    <w:p w:rsidR="001A4057" w:rsidRPr="009B6952" w:rsidRDefault="001A4057" w:rsidP="001A4057">
      <w:pPr>
        <w:pStyle w:val="SingleTxtG"/>
      </w:pPr>
      <w:r>
        <w:rPr>
          <w:szCs w:val="24"/>
        </w:rPr>
        <w:t>241</w:t>
      </w:r>
      <w:r w:rsidRPr="009B6952">
        <w:rPr>
          <w:szCs w:val="24"/>
        </w:rPr>
        <w:t>.</w:t>
      </w:r>
      <w:r w:rsidRPr="009B6952">
        <w:rPr>
          <w:szCs w:val="24"/>
        </w:rPr>
        <w:tab/>
      </w:r>
      <w:r w:rsidRPr="009B6952">
        <w:t>En 2005, le Ministère de la Santé, en collaboration avec le CBMI (Christian Blinden Mission International), a mené une enquête sur la prévalence d</w:t>
      </w:r>
      <w:r>
        <w:t>e l’</w:t>
      </w:r>
      <w:r w:rsidRPr="009B6952">
        <w:t>handicap physique et les besoins de réhabilitation au Rwanda.</w:t>
      </w:r>
      <w:r>
        <w:t xml:space="preserve"> </w:t>
      </w:r>
      <w:r w:rsidRPr="009B6952">
        <w:t>Les résultats ont montré que la prévalence est de 5,8</w:t>
      </w:r>
      <w:r>
        <w:t> %</w:t>
      </w:r>
      <w:r w:rsidRPr="009B6952">
        <w:t xml:space="preserve"> </w:t>
      </w:r>
      <w:r>
        <w:t>incluant</w:t>
      </w:r>
      <w:r w:rsidRPr="009B6952">
        <w:t>:</w:t>
      </w:r>
    </w:p>
    <w:p w:rsidR="001A4057" w:rsidRPr="009B6952" w:rsidRDefault="001A4057" w:rsidP="001A4057">
      <w:pPr>
        <w:pStyle w:val="Bullet1G"/>
      </w:pPr>
      <w:r w:rsidRPr="004E3BBE">
        <w:t>350</w:t>
      </w:r>
      <w:r>
        <w:t xml:space="preserve"> </w:t>
      </w:r>
      <w:r w:rsidRPr="009B6952">
        <w:t xml:space="preserve">000 personnes </w:t>
      </w:r>
      <w:r>
        <w:t>ayant besoin d’un traitement physique;</w:t>
      </w:r>
    </w:p>
    <w:p w:rsidR="001A4057" w:rsidRPr="009B6952" w:rsidRDefault="001A4057" w:rsidP="001A4057">
      <w:pPr>
        <w:pStyle w:val="Bullet1G"/>
      </w:pPr>
      <w:r w:rsidRPr="009B6952">
        <w:t>181</w:t>
      </w:r>
      <w:r>
        <w:t xml:space="preserve"> </w:t>
      </w:r>
      <w:r w:rsidRPr="009B6952">
        <w:t xml:space="preserve">000 personnes </w:t>
      </w:r>
      <w:r>
        <w:t>ayant</w:t>
      </w:r>
      <w:r w:rsidRPr="009B6952">
        <w:t xml:space="preserve"> besoin de médicaments</w:t>
      </w:r>
      <w:r>
        <w:t>;</w:t>
      </w:r>
      <w:r w:rsidRPr="009B6952">
        <w:t xml:space="preserve"> </w:t>
      </w:r>
    </w:p>
    <w:p w:rsidR="001A4057" w:rsidRPr="009B6952" w:rsidRDefault="001A4057" w:rsidP="001A4057">
      <w:pPr>
        <w:pStyle w:val="Bullet1G"/>
      </w:pPr>
      <w:r w:rsidRPr="009B6952">
        <w:t>181</w:t>
      </w:r>
      <w:r>
        <w:t xml:space="preserve"> </w:t>
      </w:r>
      <w:r w:rsidRPr="009B6952">
        <w:t xml:space="preserve">000 personnes </w:t>
      </w:r>
      <w:r>
        <w:t>ayant</w:t>
      </w:r>
      <w:r w:rsidRPr="009B6952">
        <w:t xml:space="preserve"> besoin d</w:t>
      </w:r>
      <w:r>
        <w:t>’une intervention chirurgicale;</w:t>
      </w:r>
    </w:p>
    <w:p w:rsidR="001A4057" w:rsidRPr="009B6952" w:rsidRDefault="001A4057" w:rsidP="001A4057">
      <w:pPr>
        <w:pStyle w:val="Bullet1G"/>
      </w:pPr>
      <w:r w:rsidRPr="009B6952">
        <w:t>150</w:t>
      </w:r>
      <w:r>
        <w:t xml:space="preserve"> </w:t>
      </w:r>
      <w:r w:rsidRPr="009B6952">
        <w:t xml:space="preserve">000 personnes </w:t>
      </w:r>
      <w:r>
        <w:t>ayant</w:t>
      </w:r>
      <w:r w:rsidRPr="009B6952">
        <w:t xml:space="preserve"> b</w:t>
      </w:r>
      <w:r>
        <w:t>esoin d’aides pour la marche;</w:t>
      </w:r>
    </w:p>
    <w:p w:rsidR="001A4057" w:rsidRPr="009B6952" w:rsidRDefault="001A4057" w:rsidP="001A4057">
      <w:pPr>
        <w:pStyle w:val="Bullet1G"/>
      </w:pPr>
      <w:r w:rsidRPr="009B6952">
        <w:t>27</w:t>
      </w:r>
      <w:r>
        <w:t xml:space="preserve"> </w:t>
      </w:r>
      <w:r w:rsidRPr="009B6952">
        <w:t xml:space="preserve">000 personnes </w:t>
      </w:r>
      <w:r>
        <w:t>ayant</w:t>
      </w:r>
      <w:r w:rsidRPr="009B6952">
        <w:t xml:space="preserve"> besoin de prothèses et d</w:t>
      </w:r>
      <w:r>
        <w:t>’</w:t>
      </w:r>
      <w:r w:rsidRPr="009B6952">
        <w:t>orthèses</w:t>
      </w:r>
      <w:r>
        <w:t>;</w:t>
      </w:r>
      <w:r w:rsidRPr="009B6952">
        <w:t xml:space="preserve"> </w:t>
      </w:r>
    </w:p>
    <w:p w:rsidR="001A4057" w:rsidRPr="009B6952" w:rsidRDefault="001A4057" w:rsidP="001A4057">
      <w:pPr>
        <w:pStyle w:val="Bullet1G"/>
      </w:pPr>
      <w:r w:rsidRPr="009B6952">
        <w:t>10</w:t>
      </w:r>
      <w:r>
        <w:t xml:space="preserve"> </w:t>
      </w:r>
      <w:r w:rsidRPr="009B6952">
        <w:t xml:space="preserve">000 personnes </w:t>
      </w:r>
      <w:r>
        <w:t>aya</w:t>
      </w:r>
      <w:r w:rsidR="00C13FE4">
        <w:t>n</w:t>
      </w:r>
      <w:r>
        <w:t>t</w:t>
      </w:r>
      <w:r w:rsidRPr="009B6952">
        <w:t xml:space="preserve"> besoin de chaises roulantes</w:t>
      </w:r>
      <w:r>
        <w:t>;</w:t>
      </w:r>
      <w:r w:rsidRPr="009B6952">
        <w:t xml:space="preserve"> et </w:t>
      </w:r>
    </w:p>
    <w:p w:rsidR="001A4057" w:rsidRPr="009B6952" w:rsidRDefault="001A4057" w:rsidP="001A4057">
      <w:pPr>
        <w:pStyle w:val="Bullet1G"/>
      </w:pPr>
      <w:r w:rsidRPr="009B6952">
        <w:t>7</w:t>
      </w:r>
      <w:r>
        <w:t xml:space="preserve"> </w:t>
      </w:r>
      <w:r w:rsidRPr="009B6952">
        <w:t xml:space="preserve">500 personnes </w:t>
      </w:r>
      <w:r>
        <w:t>ayant</w:t>
      </w:r>
      <w:r w:rsidRPr="009B6952">
        <w:t xml:space="preserve"> besoin de soins permanents</w:t>
      </w:r>
      <w:r>
        <w:t>.</w:t>
      </w:r>
    </w:p>
    <w:p w:rsidR="001A4057" w:rsidRPr="009B6952" w:rsidRDefault="001A4057" w:rsidP="001A4057">
      <w:pPr>
        <w:pStyle w:val="SingleTxtG"/>
      </w:pPr>
      <w:r>
        <w:rPr>
          <w:szCs w:val="24"/>
        </w:rPr>
        <w:t>242</w:t>
      </w:r>
      <w:r w:rsidRPr="009B6952">
        <w:rPr>
          <w:szCs w:val="24"/>
        </w:rPr>
        <w:t>.</w:t>
      </w:r>
      <w:r w:rsidRPr="009B6952">
        <w:rPr>
          <w:szCs w:val="24"/>
        </w:rPr>
        <w:tab/>
      </w:r>
      <w:r>
        <w:t>L</w:t>
      </w:r>
      <w:r w:rsidRPr="009B6952">
        <w:t xml:space="preserve">es services publics, spécialement dans </w:t>
      </w:r>
      <w:r>
        <w:t>l</w:t>
      </w:r>
      <w:r w:rsidRPr="009B6952">
        <w:t>es hôpitaux, s</w:t>
      </w:r>
      <w:r>
        <w:t>’</w:t>
      </w:r>
      <w:r w:rsidRPr="009B6952">
        <w:t xml:space="preserve">occupent du traitement et de la prise en charge de ces personnes. </w:t>
      </w:r>
    </w:p>
    <w:p w:rsidR="001A4057" w:rsidRPr="009B6952" w:rsidRDefault="001A4057" w:rsidP="001A4057">
      <w:pPr>
        <w:pStyle w:val="SingleTxtG"/>
      </w:pPr>
      <w:r>
        <w:rPr>
          <w:szCs w:val="24"/>
        </w:rPr>
        <w:t>243</w:t>
      </w:r>
      <w:r w:rsidRPr="009B6952">
        <w:rPr>
          <w:szCs w:val="24"/>
        </w:rPr>
        <w:t>.</w:t>
      </w:r>
      <w:r w:rsidRPr="009B6952">
        <w:rPr>
          <w:szCs w:val="24"/>
        </w:rPr>
        <w:tab/>
      </w:r>
      <w:r w:rsidRPr="009B6952">
        <w:t>Des organisations religieuses ou des organisations non</w:t>
      </w:r>
      <w:r>
        <w:t xml:space="preserve"> </w:t>
      </w:r>
      <w:r w:rsidRPr="009B6952">
        <w:t>gouvernementales offrent aussi des soins aux personnes handicapées</w:t>
      </w:r>
      <w:r>
        <w:t>.</w:t>
      </w:r>
    </w:p>
    <w:p w:rsidR="001A4057" w:rsidRPr="009B6952" w:rsidRDefault="001A4057" w:rsidP="001A4057">
      <w:pPr>
        <w:pStyle w:val="H4G"/>
      </w:pPr>
      <w:r>
        <w:tab/>
      </w:r>
      <w:r>
        <w:tab/>
      </w:r>
      <w:r w:rsidRPr="009B6952">
        <w:t>Politique nationale en matière de santé</w:t>
      </w:r>
    </w:p>
    <w:p w:rsidR="001A4057" w:rsidRPr="009B6952" w:rsidRDefault="001A4057" w:rsidP="001A4057">
      <w:pPr>
        <w:pStyle w:val="SingleTxtG"/>
      </w:pPr>
      <w:r>
        <w:rPr>
          <w:szCs w:val="24"/>
        </w:rPr>
        <w:t>244</w:t>
      </w:r>
      <w:r w:rsidRPr="009B6952">
        <w:rPr>
          <w:szCs w:val="24"/>
        </w:rPr>
        <w:t>.</w:t>
      </w:r>
      <w:r w:rsidRPr="009B6952">
        <w:rPr>
          <w:szCs w:val="24"/>
        </w:rPr>
        <w:tab/>
      </w:r>
      <w:r w:rsidRPr="009B6952">
        <w:t xml:space="preserve">Une politique nationale existe </w:t>
      </w:r>
      <w:r>
        <w:t xml:space="preserve">en matière </w:t>
      </w:r>
      <w:r w:rsidRPr="009B6952">
        <w:t>de santé. Elle concerne non seulement la prévention, mais aussi le traitement, la réhabilitation et l</w:t>
      </w:r>
      <w:r>
        <w:t>’</w:t>
      </w:r>
      <w:r w:rsidRPr="009B6952">
        <w:t>adaptation.</w:t>
      </w:r>
      <w:r>
        <w:t xml:space="preserve"> Ainsi:</w:t>
      </w:r>
    </w:p>
    <w:p w:rsidR="001A4057" w:rsidRPr="009B6952" w:rsidRDefault="001A4057" w:rsidP="001A4057">
      <w:pPr>
        <w:pStyle w:val="Bullet1G"/>
      </w:pPr>
      <w:r w:rsidRPr="009B6952">
        <w:t xml:space="preserve">8 programmes ont été élaborés par le Ministère en matière de politique nationale </w:t>
      </w:r>
      <w:r>
        <w:t>dans le</w:t>
      </w:r>
      <w:r w:rsidRPr="009B6952">
        <w:t xml:space="preserve"> secteur</w:t>
      </w:r>
      <w:r>
        <w:t xml:space="preserve"> de la</w:t>
      </w:r>
      <w:r w:rsidRPr="009B6952">
        <w:t xml:space="preserve"> santé pour la période 2005-2009</w:t>
      </w:r>
      <w:r w:rsidRPr="00B352B3">
        <w:rPr>
          <w:rStyle w:val="FootnoteReference"/>
        </w:rPr>
        <w:footnoteReference w:id="135"/>
      </w:r>
      <w:r>
        <w:t>;</w:t>
      </w:r>
    </w:p>
    <w:p w:rsidR="001A4057" w:rsidRPr="009B6952" w:rsidRDefault="001A4057" w:rsidP="001A4057">
      <w:pPr>
        <w:pStyle w:val="Bullet1G"/>
      </w:pPr>
      <w:r w:rsidRPr="009B6952">
        <w:t>Il existe aussi un plan stratégique: le 1</w:t>
      </w:r>
      <w:r w:rsidRPr="009B6952">
        <w:rPr>
          <w:vertAlign w:val="superscript"/>
        </w:rPr>
        <w:t>er</w:t>
      </w:r>
      <w:r w:rsidRPr="009B6952">
        <w:t xml:space="preserve"> a pris fin en 2008, l</w:t>
      </w:r>
      <w:r>
        <w:t>’</w:t>
      </w:r>
      <w:r w:rsidRPr="009B6952">
        <w:t xml:space="preserve">autre </w:t>
      </w:r>
      <w:r>
        <w:t xml:space="preserve">pour </w:t>
      </w:r>
      <w:r w:rsidRPr="009B6952">
        <w:t>2009-2012 reprend la plupart des programmes cités ci-dessous:</w:t>
      </w:r>
    </w:p>
    <w:p w:rsidR="001A4057" w:rsidRPr="009B6952" w:rsidRDefault="001A4057" w:rsidP="001A4057">
      <w:pPr>
        <w:pStyle w:val="SingleTxtG"/>
        <w:ind w:firstLine="566"/>
      </w:pPr>
      <w:r w:rsidRPr="009B6952">
        <w:t>a)</w:t>
      </w:r>
      <w:r w:rsidRPr="009B6952">
        <w:tab/>
        <w:t>Le développement des Ressources Humaines;</w:t>
      </w:r>
    </w:p>
    <w:p w:rsidR="001A4057" w:rsidRPr="009B6952" w:rsidRDefault="001A4057" w:rsidP="001A4057">
      <w:pPr>
        <w:pStyle w:val="SingleTxtG"/>
        <w:ind w:firstLine="567"/>
      </w:pPr>
      <w:r w:rsidRPr="009B6952">
        <w:t>b)</w:t>
      </w:r>
      <w:r w:rsidRPr="009B6952">
        <w:tab/>
        <w:t>L</w:t>
      </w:r>
      <w:r>
        <w:t>’</w:t>
      </w:r>
      <w:r w:rsidRPr="009B6952">
        <w:t>amélioration de l</w:t>
      </w:r>
      <w:r>
        <w:t>’</w:t>
      </w:r>
      <w:r w:rsidRPr="009B6952">
        <w:t>approvisionnement en médicaments, vaccins et autres consommables médicaux de qualité;</w:t>
      </w:r>
    </w:p>
    <w:p w:rsidR="001A4057" w:rsidRPr="009B6952" w:rsidRDefault="001A4057" w:rsidP="001A4057">
      <w:pPr>
        <w:pStyle w:val="SingleTxtG"/>
        <w:ind w:firstLine="566"/>
      </w:pPr>
      <w:r w:rsidRPr="009B6952">
        <w:t>c)</w:t>
      </w:r>
      <w:r w:rsidRPr="009B6952">
        <w:tab/>
        <w:t>L</w:t>
      </w:r>
      <w:r>
        <w:t>’</w:t>
      </w:r>
      <w:r w:rsidRPr="009B6952">
        <w:t>augmentation de l</w:t>
      </w:r>
      <w:r>
        <w:t>’</w:t>
      </w:r>
      <w:r w:rsidRPr="009B6952">
        <w:t>accessibilité géographique aux soins;</w:t>
      </w:r>
    </w:p>
    <w:p w:rsidR="001A4057" w:rsidRPr="009B6952" w:rsidRDefault="001A4057" w:rsidP="001A4057">
      <w:pPr>
        <w:pStyle w:val="SingleTxtG"/>
        <w:ind w:firstLine="566"/>
      </w:pPr>
      <w:r w:rsidRPr="009B6952">
        <w:t>d)</w:t>
      </w:r>
      <w:r w:rsidRPr="009B6952">
        <w:tab/>
        <w:t>L</w:t>
      </w:r>
      <w:r>
        <w:t>’</w:t>
      </w:r>
      <w:r w:rsidRPr="009B6952">
        <w:t>augmentation de l</w:t>
      </w:r>
      <w:r>
        <w:t>’</w:t>
      </w:r>
      <w:r w:rsidRPr="009B6952">
        <w:t>accessibilité financière aux soins de santé de qualité;</w:t>
      </w:r>
    </w:p>
    <w:p w:rsidR="001A4057" w:rsidRPr="009B6952" w:rsidRDefault="001A4057" w:rsidP="001A4057">
      <w:pPr>
        <w:pStyle w:val="SingleTxtG"/>
        <w:ind w:firstLine="566"/>
      </w:pPr>
      <w:r w:rsidRPr="009B6952">
        <w:t>e)</w:t>
      </w:r>
      <w:r w:rsidRPr="009B6952">
        <w:tab/>
        <w:t>L</w:t>
      </w:r>
      <w:r>
        <w:t>’</w:t>
      </w:r>
      <w:r w:rsidRPr="009B6952">
        <w:t>amélioration de la qualité et de la demande des services de santé pour le contrôle des maladies;</w:t>
      </w:r>
    </w:p>
    <w:p w:rsidR="001A4057" w:rsidRPr="009B6952" w:rsidRDefault="001A4057" w:rsidP="001A4057">
      <w:pPr>
        <w:pStyle w:val="SingleTxtG"/>
        <w:ind w:firstLine="566"/>
      </w:pPr>
      <w:r w:rsidRPr="009B6952">
        <w:t>f)</w:t>
      </w:r>
      <w:r w:rsidRPr="009B6952">
        <w:tab/>
        <w:t>Le renforcement de la performance des hôpitaux nationaux de référence;</w:t>
      </w:r>
    </w:p>
    <w:p w:rsidR="001A4057" w:rsidRPr="009B6952" w:rsidRDefault="001A4057" w:rsidP="001A4057">
      <w:pPr>
        <w:pStyle w:val="SingleTxtG"/>
        <w:ind w:firstLine="566"/>
      </w:pPr>
      <w:r w:rsidRPr="009B6952">
        <w:t>g)</w:t>
      </w:r>
      <w:r w:rsidRPr="009B6952">
        <w:tab/>
        <w:t>Le programme de renforcement institutionnel;</w:t>
      </w:r>
    </w:p>
    <w:p w:rsidR="001A4057" w:rsidRPr="009B6952" w:rsidRDefault="001A4057" w:rsidP="001A4057">
      <w:pPr>
        <w:pStyle w:val="SingleTxtG"/>
        <w:ind w:firstLine="566"/>
      </w:pPr>
      <w:r w:rsidRPr="009B6952">
        <w:t>h)</w:t>
      </w:r>
      <w:r w:rsidRPr="009B6952">
        <w:tab/>
        <w:t xml:space="preserve">La planification familiale. </w:t>
      </w:r>
    </w:p>
    <w:p w:rsidR="001A4057" w:rsidRPr="009B6952" w:rsidRDefault="001A4057" w:rsidP="001A4057">
      <w:pPr>
        <w:pStyle w:val="H4G"/>
      </w:pPr>
      <w:r>
        <w:tab/>
      </w:r>
      <w:r>
        <w:tab/>
      </w:r>
      <w:r w:rsidRPr="009B6952">
        <w:t>Les mesures prises pour exécuter les programmes concernant les soins de santé primaire</w:t>
      </w:r>
    </w:p>
    <w:p w:rsidR="001A4057" w:rsidRPr="009B6952" w:rsidRDefault="001A4057" w:rsidP="001A4057">
      <w:pPr>
        <w:pStyle w:val="SingleTxtG"/>
      </w:pPr>
      <w:r>
        <w:rPr>
          <w:szCs w:val="24"/>
        </w:rPr>
        <w:t>245</w:t>
      </w:r>
      <w:r w:rsidRPr="009B6952">
        <w:rPr>
          <w:szCs w:val="24"/>
        </w:rPr>
        <w:t>.</w:t>
      </w:r>
      <w:r w:rsidRPr="009B6952">
        <w:rPr>
          <w:szCs w:val="24"/>
        </w:rPr>
        <w:tab/>
      </w:r>
      <w:r w:rsidRPr="009B6952">
        <w:t xml:space="preserve">La priorité de la politique </w:t>
      </w:r>
      <w:r>
        <w:t xml:space="preserve">de </w:t>
      </w:r>
      <w:r w:rsidRPr="009B6952">
        <w:t xml:space="preserve">santé </w:t>
      </w:r>
      <w:r>
        <w:t>d</w:t>
      </w:r>
      <w:r w:rsidRPr="009B6952">
        <w:t xml:space="preserve">u Rwanda est la prévention (équivalant aux soins de santé primaire) et la lutte contre les maladies responsables de la morbidité et </w:t>
      </w:r>
      <w:r>
        <w:t xml:space="preserve">de la </w:t>
      </w:r>
      <w:r w:rsidRPr="009B6952">
        <w:t>mortalité</w:t>
      </w:r>
      <w:r>
        <w:t xml:space="preserve"> par les mesures suivantes</w:t>
      </w:r>
      <w:r w:rsidRPr="009B6952">
        <w:t>:</w:t>
      </w:r>
    </w:p>
    <w:p w:rsidR="001A4057" w:rsidRPr="009B6952" w:rsidRDefault="001A4057" w:rsidP="001A4057">
      <w:pPr>
        <w:pStyle w:val="Bullet1G"/>
      </w:pPr>
      <w:r w:rsidRPr="009B6952">
        <w:t>Programme de lutte contre le sida;</w:t>
      </w:r>
    </w:p>
    <w:p w:rsidR="001A4057" w:rsidRPr="009B6952" w:rsidRDefault="001A4057" w:rsidP="001A4057">
      <w:pPr>
        <w:pStyle w:val="Bullet1G"/>
      </w:pPr>
      <w:r w:rsidRPr="009B6952">
        <w:t>Programme de santé maternelle et infantile;</w:t>
      </w:r>
    </w:p>
    <w:p w:rsidR="001A4057" w:rsidRPr="009B6952" w:rsidRDefault="001A4057" w:rsidP="001A4057">
      <w:pPr>
        <w:pStyle w:val="Bullet1G"/>
      </w:pPr>
      <w:r>
        <w:t>C</w:t>
      </w:r>
      <w:r w:rsidRPr="009B6952">
        <w:t>ontrôle des épidémies (comme la tuberculose, la malaria)</w:t>
      </w:r>
      <w:r>
        <w:t>;</w:t>
      </w:r>
    </w:p>
    <w:p w:rsidR="001A4057" w:rsidRPr="009B6952" w:rsidRDefault="001A4057" w:rsidP="001A4057">
      <w:pPr>
        <w:pStyle w:val="Bullet1G"/>
      </w:pPr>
      <w:r w:rsidRPr="009B6952">
        <w:t>Augmentation du nombre de</w:t>
      </w:r>
      <w:r>
        <w:t>s</w:t>
      </w:r>
      <w:r w:rsidRPr="009B6952">
        <w:t xml:space="preserve"> centres de santé;</w:t>
      </w:r>
    </w:p>
    <w:p w:rsidR="001A4057" w:rsidRPr="009B6952" w:rsidRDefault="001A4057" w:rsidP="001A4057">
      <w:pPr>
        <w:pStyle w:val="Bullet1G"/>
      </w:pPr>
      <w:r w:rsidRPr="009B6952">
        <w:t>Extension des centres de santé existants et équipement en matériels essentiels (laboratoires, salles de maternité);</w:t>
      </w:r>
    </w:p>
    <w:p w:rsidR="001A4057" w:rsidRPr="009B6952" w:rsidRDefault="001A4057" w:rsidP="001A4057">
      <w:pPr>
        <w:pStyle w:val="Bullet1G"/>
      </w:pPr>
      <w:r w:rsidRPr="009B6952">
        <w:t>Mise en place d</w:t>
      </w:r>
      <w:r>
        <w:t>’</w:t>
      </w:r>
      <w:r w:rsidRPr="009B6952">
        <w:t>un système de transport d</w:t>
      </w:r>
      <w:r>
        <w:t>’</w:t>
      </w:r>
      <w:r w:rsidRPr="009B6952">
        <w:t>urgence SAMU (Service d</w:t>
      </w:r>
      <w:r>
        <w:t>’</w:t>
      </w:r>
      <w:r w:rsidRPr="009B6952">
        <w:t>Aide Médicale d</w:t>
      </w:r>
      <w:r>
        <w:t>’</w:t>
      </w:r>
      <w:r w:rsidRPr="009B6952">
        <w:t>Urgence:</w:t>
      </w:r>
      <w:r>
        <w:t xml:space="preserve"> </w:t>
      </w:r>
      <w:r w:rsidRPr="009B6952">
        <w:t>pour la gestion d</w:t>
      </w:r>
      <w:r>
        <w:t xml:space="preserve">es </w:t>
      </w:r>
      <w:r w:rsidRPr="009B6952">
        <w:t>ambulances);</w:t>
      </w:r>
    </w:p>
    <w:p w:rsidR="001A4057" w:rsidRPr="009B6952" w:rsidRDefault="001A4057" w:rsidP="001A4057">
      <w:pPr>
        <w:pStyle w:val="Bullet1G"/>
      </w:pPr>
      <w:r w:rsidRPr="009B6952">
        <w:t>Construction de postes de santé secondaires;</w:t>
      </w:r>
    </w:p>
    <w:p w:rsidR="001A4057" w:rsidRPr="009B6952" w:rsidRDefault="001A4057" w:rsidP="001A4057">
      <w:pPr>
        <w:pStyle w:val="Bullet1G"/>
      </w:pPr>
      <w:r w:rsidRPr="009B6952">
        <w:t xml:space="preserve">Augmentation du personnel des centres de santé (infirmiers et laborantins) et développement des capacités du personnel (les infirmiers </w:t>
      </w:r>
      <w:r>
        <w:t>passant du</w:t>
      </w:r>
      <w:r w:rsidRPr="009B6952">
        <w:t xml:space="preserve"> niveau A2 </w:t>
      </w:r>
      <w:r>
        <w:t>a</w:t>
      </w:r>
      <w:r w:rsidRPr="009B6952">
        <w:t>u niveau A1);</w:t>
      </w:r>
    </w:p>
    <w:p w:rsidR="001A4057" w:rsidRPr="009B6952" w:rsidRDefault="001A4057" w:rsidP="001A4057">
      <w:pPr>
        <w:pStyle w:val="Bullet1G"/>
      </w:pPr>
      <w:r w:rsidRPr="009B6952">
        <w:t>Extension du paquet d</w:t>
      </w:r>
      <w:r>
        <w:t>’</w:t>
      </w:r>
      <w:r w:rsidRPr="009B6952">
        <w:t xml:space="preserve">activités </w:t>
      </w:r>
      <w:r>
        <w:t>et de</w:t>
      </w:r>
      <w:r w:rsidRPr="009B6952">
        <w:t xml:space="preserve"> services </w:t>
      </w:r>
      <w:r>
        <w:t>pour le</w:t>
      </w:r>
      <w:r w:rsidRPr="009B6952">
        <w:t xml:space="preserve"> VIH (VCT, ARVs, PTME), la TB et </w:t>
      </w:r>
      <w:r>
        <w:t xml:space="preserve">la </w:t>
      </w:r>
      <w:r w:rsidRPr="009B6952">
        <w:t>malaria;</w:t>
      </w:r>
    </w:p>
    <w:p w:rsidR="001A4057" w:rsidRPr="009B6952" w:rsidRDefault="001A4057" w:rsidP="001A4057">
      <w:pPr>
        <w:pStyle w:val="Bullet1G"/>
      </w:pPr>
      <w:r>
        <w:t>D</w:t>
      </w:r>
      <w:r w:rsidRPr="009B6952">
        <w:t>écentralisation des moyens financiers: transport des budgets (ex</w:t>
      </w:r>
      <w:r>
        <w:t>emple des</w:t>
      </w:r>
      <w:r w:rsidRPr="009B6952">
        <w:t xml:space="preserve"> salaires, </w:t>
      </w:r>
      <w:r>
        <w:t xml:space="preserve">des </w:t>
      </w:r>
      <w:r w:rsidRPr="009B6952">
        <w:t>frais de fonctionnement) directement dans les centres de santé;</w:t>
      </w:r>
    </w:p>
    <w:p w:rsidR="001A4057" w:rsidRPr="009B6952" w:rsidRDefault="001A4057" w:rsidP="001A4057">
      <w:pPr>
        <w:pStyle w:val="Bullet1G"/>
      </w:pPr>
      <w:r w:rsidRPr="009B6952">
        <w:t>Généralisation du système d</w:t>
      </w:r>
      <w:r>
        <w:t>’</w:t>
      </w:r>
      <w:r w:rsidRPr="009B6952">
        <w:t xml:space="preserve">assurance (avec les mutuelles de santé) </w:t>
      </w:r>
      <w:r>
        <w:t xml:space="preserve">et </w:t>
      </w:r>
      <w:r w:rsidRPr="009B6952">
        <w:t>mobilité des soins;</w:t>
      </w:r>
      <w:r>
        <w:t xml:space="preserve"> </w:t>
      </w:r>
    </w:p>
    <w:p w:rsidR="001A4057" w:rsidRPr="009B6952" w:rsidRDefault="001A4057" w:rsidP="001A4057">
      <w:pPr>
        <w:pStyle w:val="Bullet1G"/>
      </w:pPr>
      <w:r>
        <w:t>Renforcement de l</w:t>
      </w:r>
      <w:r w:rsidRPr="009B6952">
        <w:t>a qualité des soins; renforcement des capacités (avec les data managers: pour la collecte des données)</w:t>
      </w:r>
      <w:r>
        <w:t>;</w:t>
      </w:r>
    </w:p>
    <w:p w:rsidR="001A4057" w:rsidRPr="009B6952" w:rsidRDefault="001A4057" w:rsidP="001A4057">
      <w:pPr>
        <w:pStyle w:val="Bullet1G"/>
      </w:pPr>
      <w:r>
        <w:t>P</w:t>
      </w:r>
      <w:r w:rsidRPr="009B6952">
        <w:t>rogrammes de soins de santé communautaire: agents de santé communautaire (29</w:t>
      </w:r>
      <w:r>
        <w:t xml:space="preserve"> </w:t>
      </w:r>
      <w:r w:rsidRPr="009B6952">
        <w:t xml:space="preserve">000 en tout) chargés de la supervision et </w:t>
      </w:r>
      <w:r>
        <w:t xml:space="preserve">de la </w:t>
      </w:r>
      <w:r w:rsidRPr="009B6952">
        <w:t xml:space="preserve">mobilisation des populations en ce qui concerne la santé des enfants, mobilisation </w:t>
      </w:r>
      <w:r>
        <w:t>en faveur de</w:t>
      </w:r>
      <w:r w:rsidRPr="009B6952">
        <w:t xml:space="preserve"> l</w:t>
      </w:r>
      <w:r>
        <w:t>’</w:t>
      </w:r>
      <w:r w:rsidRPr="009B6952">
        <w:t xml:space="preserve">accouchement dans les </w:t>
      </w:r>
      <w:r>
        <w:t>structures</w:t>
      </w:r>
      <w:r w:rsidRPr="009B6952">
        <w:t xml:space="preserve"> sanitaires;</w:t>
      </w:r>
    </w:p>
    <w:p w:rsidR="001A4057" w:rsidRPr="009B6952" w:rsidRDefault="001A4057" w:rsidP="001A4057">
      <w:pPr>
        <w:pStyle w:val="Bullet1G"/>
      </w:pPr>
      <w:r>
        <w:t>M</w:t>
      </w:r>
      <w:r w:rsidRPr="009B6952">
        <w:t>otivation des agents de santé communautaire</w:t>
      </w:r>
      <w:r>
        <w:t xml:space="preserve"> pour</w:t>
      </w:r>
      <w:r w:rsidRPr="009B6952">
        <w:t xml:space="preserve"> </w:t>
      </w:r>
      <w:r>
        <w:t xml:space="preserve">les </w:t>
      </w:r>
      <w:r w:rsidRPr="009B6952">
        <w:t>incit</w:t>
      </w:r>
      <w:r>
        <w:t xml:space="preserve">er </w:t>
      </w:r>
      <w:r w:rsidRPr="009B6952">
        <w:t xml:space="preserve">à </w:t>
      </w:r>
      <w:r w:rsidRPr="00301BF3">
        <w:t>s</w:t>
      </w:r>
      <w:r>
        <w:t>’</w:t>
      </w:r>
      <w:r w:rsidRPr="00301BF3">
        <w:t>organiser</w:t>
      </w:r>
      <w:r w:rsidRPr="009B6952">
        <w:t xml:space="preserve"> en coopératives (</w:t>
      </w:r>
      <w:r>
        <w:t>dont l</w:t>
      </w:r>
      <w:r w:rsidRPr="009B6952">
        <w:t>es activités gén</w:t>
      </w:r>
      <w:r>
        <w:t xml:space="preserve">èrent </w:t>
      </w:r>
      <w:r w:rsidRPr="009B6952">
        <w:t>de</w:t>
      </w:r>
      <w:r>
        <w:t>s</w:t>
      </w:r>
      <w:r w:rsidRPr="009B6952">
        <w:t xml:space="preserve"> revenus) car ils font le travail bénévolement.</w:t>
      </w:r>
      <w:r>
        <w:t xml:space="preserve"> </w:t>
      </w:r>
    </w:p>
    <w:p w:rsidR="001A4057" w:rsidRPr="009B6952" w:rsidRDefault="001A4057" w:rsidP="001A4057">
      <w:pPr>
        <w:pStyle w:val="SingleTxtG"/>
      </w:pPr>
      <w:r>
        <w:rPr>
          <w:szCs w:val="24"/>
        </w:rPr>
        <w:t>246</w:t>
      </w:r>
      <w:r w:rsidRPr="009B6952">
        <w:rPr>
          <w:szCs w:val="24"/>
        </w:rPr>
        <w:t>.</w:t>
      </w:r>
      <w:r w:rsidRPr="009B6952">
        <w:rPr>
          <w:szCs w:val="24"/>
        </w:rPr>
        <w:tab/>
      </w:r>
      <w:r w:rsidRPr="009B6952">
        <w:t>Toutes ces mesures accompagn</w:t>
      </w:r>
      <w:r>
        <w:t xml:space="preserve">ent le </w:t>
      </w:r>
      <w:r w:rsidRPr="009B6952">
        <w:t>système de santé en général. Le système de santé est divisé en</w:t>
      </w:r>
      <w:r>
        <w:t xml:space="preserve"> plusieurs niveaux</w:t>
      </w:r>
      <w:r w:rsidRPr="009B6952">
        <w:t xml:space="preserve">: </w:t>
      </w:r>
    </w:p>
    <w:p w:rsidR="001A4057" w:rsidRPr="009B6952" w:rsidRDefault="001A4057" w:rsidP="001A4057">
      <w:pPr>
        <w:pStyle w:val="Bullet1G"/>
      </w:pPr>
      <w:r w:rsidRPr="009B6952">
        <w:t>Niveau national: c</w:t>
      </w:r>
      <w:r>
        <w:t>’</w:t>
      </w:r>
      <w:r w:rsidRPr="009B6952">
        <w:t>est le niveau de ré</w:t>
      </w:r>
      <w:r>
        <w:t>férence pour les cas compliqués;</w:t>
      </w:r>
    </w:p>
    <w:p w:rsidR="001A4057" w:rsidRPr="009B6952" w:rsidRDefault="001A4057" w:rsidP="001A4057">
      <w:pPr>
        <w:pStyle w:val="Bullet1G"/>
      </w:pPr>
      <w:r w:rsidRPr="009B6952">
        <w:t>Niveau secondaire (hôpitaux de district): ce niveau comprend le paquet complémentaire des hôpitaux de district. Il</w:t>
      </w:r>
      <w:r>
        <w:t>s</w:t>
      </w:r>
      <w:r w:rsidRPr="009B6952">
        <w:t xml:space="preserve"> se charge</w:t>
      </w:r>
      <w:r>
        <w:t>nt</w:t>
      </w:r>
      <w:r w:rsidRPr="009B6952">
        <w:t xml:space="preserve"> des programmes curatifs</w:t>
      </w:r>
      <w:r>
        <w:t>,</w:t>
      </w:r>
      <w:r w:rsidRPr="009B6952">
        <w:t xml:space="preserve"> </w:t>
      </w:r>
      <w:r>
        <w:t xml:space="preserve">des </w:t>
      </w:r>
      <w:r w:rsidRPr="009B6952">
        <w:t>activités chirurgicales</w:t>
      </w:r>
      <w:r>
        <w:t>,</w:t>
      </w:r>
      <w:r w:rsidRPr="009B6952">
        <w:t xml:space="preserve"> </w:t>
      </w:r>
      <w:r>
        <w:t xml:space="preserve">des </w:t>
      </w:r>
      <w:r w:rsidRPr="009B6952">
        <w:t>hospitalisations sérieuses et des Soins Obstétricaux-Néonataux d</w:t>
      </w:r>
      <w:r>
        <w:t>’</w:t>
      </w:r>
      <w:r w:rsidRPr="009B6952">
        <w:t>Urgence (SONU) C (Comprehensive: c</w:t>
      </w:r>
      <w:r>
        <w:t>’</w:t>
      </w:r>
      <w:r w:rsidRPr="009B6952">
        <w:t xml:space="preserve">est-à-dire la transfusion sanguine et les opérations par césarienne) ainsi que </w:t>
      </w:r>
      <w:r>
        <w:t xml:space="preserve">de </w:t>
      </w:r>
      <w:r w:rsidRPr="009B6952">
        <w:t>l</w:t>
      </w:r>
      <w:r>
        <w:t xml:space="preserve">a réhabilitation nutritionnelle; </w:t>
      </w:r>
    </w:p>
    <w:p w:rsidR="001A4057" w:rsidRPr="009B6952" w:rsidRDefault="001A4057" w:rsidP="001A4057">
      <w:pPr>
        <w:pStyle w:val="Bullet1G"/>
      </w:pPr>
      <w:r w:rsidRPr="009B6952">
        <w:t>Niveau primaire</w:t>
      </w:r>
      <w:r>
        <w:t>;</w:t>
      </w:r>
    </w:p>
    <w:p w:rsidR="001A4057" w:rsidRPr="009B6952" w:rsidRDefault="001A4057" w:rsidP="001A4057">
      <w:pPr>
        <w:pStyle w:val="Bullet1G"/>
      </w:pPr>
      <w:r w:rsidRPr="009B6952">
        <w:t>Niveau communautaire</w:t>
      </w:r>
      <w:r>
        <w:t xml:space="preserve">: </w:t>
      </w:r>
      <w:r w:rsidRPr="009B6952">
        <w:t>les soins de santé communautaire, la PCIME, les soins de santé maternelle, le programme de nutrition, le programme hygiène individuelle et familiale)</w:t>
      </w:r>
      <w:r>
        <w:t>;</w:t>
      </w:r>
    </w:p>
    <w:p w:rsidR="001A4057" w:rsidRPr="009B6952" w:rsidRDefault="001A4057" w:rsidP="001A4057">
      <w:pPr>
        <w:pStyle w:val="Bullet1G"/>
      </w:pPr>
      <w:r w:rsidRPr="009B6952">
        <w:t>Les soins de santé primaire sont offerts au niveau communautaire et primaire avec:</w:t>
      </w:r>
    </w:p>
    <w:p w:rsidR="001A4057" w:rsidRPr="009B6952" w:rsidRDefault="001A4057" w:rsidP="001A4057">
      <w:pPr>
        <w:pStyle w:val="Bullet2G"/>
      </w:pPr>
      <w:r>
        <w:t>L</w:t>
      </w:r>
      <w:r w:rsidRPr="009B6952">
        <w:t>e programme d</w:t>
      </w:r>
      <w:r>
        <w:t>’</w:t>
      </w:r>
      <w:r w:rsidRPr="009B6952">
        <w:t>audit des décès maternels et infantiles;</w:t>
      </w:r>
    </w:p>
    <w:p w:rsidR="001A4057" w:rsidRPr="009B6952" w:rsidRDefault="001A4057" w:rsidP="001A4057">
      <w:pPr>
        <w:pStyle w:val="Bullet2G"/>
      </w:pPr>
      <w:r>
        <w:t>L</w:t>
      </w:r>
      <w:r w:rsidRPr="009B6952">
        <w:t>a distribution des contraceptifs;</w:t>
      </w:r>
    </w:p>
    <w:p w:rsidR="001A4057" w:rsidRPr="009B6952" w:rsidRDefault="001A4057" w:rsidP="001A4057">
      <w:pPr>
        <w:pStyle w:val="Bullet2G"/>
      </w:pPr>
      <w:r>
        <w:t>A</w:t>
      </w:r>
      <w:r w:rsidRPr="009B6952">
        <w:t>u niveau des soins de santé primaire: un poste de santé est en voie d</w:t>
      </w:r>
      <w:r>
        <w:t>’</w:t>
      </w:r>
      <w:r w:rsidRPr="009B6952">
        <w:t>être mis sur pied (entre le niveau primaire et communautaire</w:t>
      </w:r>
      <w:r>
        <w:t>)</w:t>
      </w:r>
      <w:r w:rsidRPr="009B6952">
        <w:t>.</w:t>
      </w:r>
    </w:p>
    <w:p w:rsidR="001A4057" w:rsidRPr="009B6952" w:rsidRDefault="001A4057" w:rsidP="001A4057">
      <w:pPr>
        <w:pStyle w:val="Bullet1G"/>
        <w:keepNext/>
      </w:pPr>
      <w:r w:rsidRPr="009B6952">
        <w:t>Les centres de santé offrent:</w:t>
      </w:r>
    </w:p>
    <w:p w:rsidR="001A4057" w:rsidRPr="009B6952" w:rsidRDefault="001A4057" w:rsidP="001A4057">
      <w:pPr>
        <w:pStyle w:val="Bullet2G"/>
        <w:keepNext/>
      </w:pPr>
      <w:r>
        <w:t>T</w:t>
      </w:r>
      <w:r w:rsidRPr="009B6952">
        <w:t>ous les soins préventifs</w:t>
      </w:r>
      <w:r>
        <w:t>;</w:t>
      </w:r>
    </w:p>
    <w:p w:rsidR="001A4057" w:rsidRPr="009B6952" w:rsidRDefault="001A4057" w:rsidP="001A4057">
      <w:pPr>
        <w:pStyle w:val="Bullet2G"/>
      </w:pPr>
      <w:r>
        <w:t>L</w:t>
      </w:r>
      <w:r w:rsidRPr="009B6952">
        <w:t>e paquet minimum d</w:t>
      </w:r>
      <w:r>
        <w:t>’</w:t>
      </w:r>
      <w:r w:rsidRPr="009B6952">
        <w:t xml:space="preserve">activités (PMA) comprend le Programme </w:t>
      </w:r>
      <w:r>
        <w:t>É</w:t>
      </w:r>
      <w:r w:rsidRPr="009B6952">
        <w:t>largi de Vaccination (PEV), tous les services de maternité, les consultations prénatales, les acc</w:t>
      </w:r>
      <w:r>
        <w:t>ouchements et les soins y relatifs;</w:t>
      </w:r>
    </w:p>
    <w:p w:rsidR="001A4057" w:rsidRPr="009B6952" w:rsidRDefault="001A4057" w:rsidP="001A4057">
      <w:pPr>
        <w:pStyle w:val="Bullet2G"/>
      </w:pPr>
      <w:r>
        <w:t>L</w:t>
      </w:r>
      <w:r w:rsidRPr="009B6952">
        <w:t>es Soins Obstétricaux-Néonataux d</w:t>
      </w:r>
      <w:r>
        <w:t>’</w:t>
      </w:r>
      <w:r w:rsidRPr="009B6952">
        <w:t>Urgence (SONU) B (de base);</w:t>
      </w:r>
    </w:p>
    <w:p w:rsidR="001A4057" w:rsidRPr="009B6952" w:rsidRDefault="001A4057" w:rsidP="001A4057">
      <w:pPr>
        <w:pStyle w:val="Bullet2G"/>
      </w:pPr>
      <w:r>
        <w:t>L</w:t>
      </w:r>
      <w:r w:rsidRPr="009B6952">
        <w:t xml:space="preserve">es soins curatifs des maladies les plus fréquentes; </w:t>
      </w:r>
    </w:p>
    <w:p w:rsidR="001A4057" w:rsidRPr="009B6952" w:rsidRDefault="001A4057" w:rsidP="001A4057">
      <w:pPr>
        <w:pStyle w:val="Bullet2G"/>
      </w:pPr>
      <w:r>
        <w:t>L</w:t>
      </w:r>
      <w:r w:rsidRPr="009B6952">
        <w:t xml:space="preserve">es consultations externes et </w:t>
      </w:r>
      <w:r>
        <w:t xml:space="preserve">les </w:t>
      </w:r>
      <w:r w:rsidRPr="009B6952">
        <w:t>hospitalisation</w:t>
      </w:r>
      <w:r>
        <w:t>s</w:t>
      </w:r>
      <w:r w:rsidRPr="009B6952">
        <w:t xml:space="preserve"> non compliquées;</w:t>
      </w:r>
    </w:p>
    <w:p w:rsidR="001A4057" w:rsidRPr="009B6952" w:rsidRDefault="001A4057" w:rsidP="001A4057">
      <w:pPr>
        <w:pStyle w:val="Bullet2G"/>
      </w:pPr>
      <w:r>
        <w:t>L</w:t>
      </w:r>
      <w:r w:rsidRPr="009B6952">
        <w:t>es services de sida (prévention et traitement, VCT, PMCTC</w:t>
      </w:r>
      <w:r>
        <w:t xml:space="preserve"> et</w:t>
      </w:r>
      <w:r w:rsidRPr="009B6952">
        <w:t xml:space="preserve"> ARVs).</w:t>
      </w:r>
    </w:p>
    <w:p w:rsidR="001A4057" w:rsidRPr="009B6952" w:rsidRDefault="001A4057" w:rsidP="001A4057">
      <w:pPr>
        <w:pStyle w:val="H4G"/>
      </w:pPr>
      <w:r>
        <w:tab/>
      </w:r>
      <w:r>
        <w:tab/>
      </w:r>
      <w:r w:rsidRPr="009B6952">
        <w:t>Budget alloué au secteur santé</w:t>
      </w:r>
    </w:p>
    <w:p w:rsidR="001A4057" w:rsidRDefault="001A4057" w:rsidP="001A4057">
      <w:pPr>
        <w:pStyle w:val="SingleTxtG"/>
      </w:pPr>
      <w:r>
        <w:rPr>
          <w:szCs w:val="24"/>
        </w:rPr>
        <w:t>247</w:t>
      </w:r>
      <w:r w:rsidRPr="009B6952">
        <w:rPr>
          <w:szCs w:val="24"/>
        </w:rPr>
        <w:t>.</w:t>
      </w:r>
      <w:r w:rsidRPr="009B6952">
        <w:rPr>
          <w:szCs w:val="24"/>
        </w:rPr>
        <w:tab/>
      </w:r>
      <w:r w:rsidRPr="009B6952">
        <w:t>Information sur le pourcentage du budget national alloué à la santé:</w:t>
      </w:r>
    </w:p>
    <w:p w:rsidR="001A4057" w:rsidRPr="00705001" w:rsidRDefault="001A4057" w:rsidP="001A4057">
      <w:pPr>
        <w:pStyle w:val="Heading1"/>
        <w:spacing w:after="120"/>
      </w:pPr>
      <w:r w:rsidRPr="00705001">
        <w:t>Tableau 18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7"/>
        <w:gridCol w:w="4533"/>
      </w:tblGrid>
      <w:tr w:rsidR="001A4057" w:rsidRPr="000D3117" w:rsidTr="001A4057">
        <w:tblPrEx>
          <w:tblCellMar>
            <w:top w:w="0" w:type="dxa"/>
            <w:bottom w:w="0" w:type="dxa"/>
          </w:tblCellMar>
        </w:tblPrEx>
        <w:trPr>
          <w:trHeight w:val="225"/>
          <w:tblHeader/>
        </w:trPr>
        <w:tc>
          <w:tcPr>
            <w:tcW w:w="2837" w:type="dxa"/>
            <w:tcBorders>
              <w:top w:val="single" w:sz="4" w:space="0" w:color="auto"/>
              <w:bottom w:val="single" w:sz="12" w:space="0" w:color="auto"/>
            </w:tcBorders>
            <w:shd w:val="clear" w:color="auto" w:fill="auto"/>
            <w:vAlign w:val="bottom"/>
          </w:tcPr>
          <w:p w:rsidR="001A4057" w:rsidRPr="000D3117" w:rsidRDefault="001A4057" w:rsidP="001A4057">
            <w:pPr>
              <w:spacing w:before="80" w:after="80" w:line="200" w:lineRule="exact"/>
              <w:rPr>
                <w:i/>
                <w:sz w:val="16"/>
              </w:rPr>
            </w:pPr>
            <w:r w:rsidRPr="000D3117">
              <w:rPr>
                <w:i/>
                <w:sz w:val="16"/>
              </w:rPr>
              <w:t>Année</w:t>
            </w:r>
          </w:p>
        </w:tc>
        <w:tc>
          <w:tcPr>
            <w:tcW w:w="4533" w:type="dxa"/>
            <w:tcBorders>
              <w:top w:val="single" w:sz="4" w:space="0" w:color="auto"/>
              <w:bottom w:val="single" w:sz="12" w:space="0" w:color="auto"/>
            </w:tcBorders>
            <w:shd w:val="clear" w:color="auto" w:fill="auto"/>
            <w:vAlign w:val="bottom"/>
          </w:tcPr>
          <w:p w:rsidR="001A4057" w:rsidRPr="000D3117" w:rsidRDefault="001A4057" w:rsidP="001A4057">
            <w:pPr>
              <w:spacing w:before="80" w:after="80" w:line="200" w:lineRule="exact"/>
              <w:jc w:val="right"/>
              <w:rPr>
                <w:i/>
                <w:sz w:val="16"/>
              </w:rPr>
            </w:pPr>
            <w:r w:rsidRPr="000D3117">
              <w:rPr>
                <w:i/>
                <w:sz w:val="16"/>
              </w:rPr>
              <w:t xml:space="preserve">Pourcentage </w:t>
            </w:r>
          </w:p>
        </w:tc>
      </w:tr>
      <w:tr w:rsidR="001A4057" w:rsidRPr="000D3117" w:rsidTr="001A4057">
        <w:tblPrEx>
          <w:tblCellMar>
            <w:top w:w="0" w:type="dxa"/>
            <w:bottom w:w="0" w:type="dxa"/>
          </w:tblCellMar>
        </w:tblPrEx>
        <w:trPr>
          <w:trHeight w:val="225"/>
        </w:trPr>
        <w:tc>
          <w:tcPr>
            <w:tcW w:w="2837" w:type="dxa"/>
            <w:tcBorders>
              <w:top w:val="single" w:sz="12" w:space="0" w:color="auto"/>
            </w:tcBorders>
            <w:shd w:val="clear" w:color="auto" w:fill="auto"/>
          </w:tcPr>
          <w:p w:rsidR="001A4057" w:rsidRPr="000D3117" w:rsidRDefault="001A4057" w:rsidP="001A4057">
            <w:pPr>
              <w:spacing w:before="40" w:after="40" w:line="220" w:lineRule="exact"/>
              <w:rPr>
                <w:sz w:val="18"/>
              </w:rPr>
            </w:pPr>
            <w:r w:rsidRPr="000D3117">
              <w:rPr>
                <w:sz w:val="18"/>
              </w:rPr>
              <w:t>2003</w:t>
            </w:r>
          </w:p>
        </w:tc>
        <w:tc>
          <w:tcPr>
            <w:tcW w:w="4533" w:type="dxa"/>
            <w:tcBorders>
              <w:top w:val="single" w:sz="12" w:space="0" w:color="auto"/>
            </w:tcBorders>
            <w:shd w:val="clear" w:color="auto" w:fill="auto"/>
            <w:vAlign w:val="bottom"/>
          </w:tcPr>
          <w:p w:rsidR="001A4057" w:rsidRPr="000D3117" w:rsidRDefault="001A4057" w:rsidP="001A4057">
            <w:pPr>
              <w:spacing w:before="40" w:after="40" w:line="220" w:lineRule="exact"/>
              <w:jc w:val="right"/>
              <w:rPr>
                <w:sz w:val="18"/>
              </w:rPr>
            </w:pPr>
            <w:r w:rsidRPr="000D3117">
              <w:rPr>
                <w:sz w:val="18"/>
              </w:rPr>
              <w:t>5</w:t>
            </w:r>
            <w:r>
              <w:rPr>
                <w:sz w:val="18"/>
              </w:rPr>
              <w:t xml:space="preserve"> % </w:t>
            </w:r>
          </w:p>
        </w:tc>
      </w:tr>
      <w:tr w:rsidR="001A4057" w:rsidRPr="000D3117" w:rsidTr="001A4057">
        <w:tblPrEx>
          <w:tblCellMar>
            <w:top w:w="0" w:type="dxa"/>
            <w:bottom w:w="0" w:type="dxa"/>
          </w:tblCellMar>
        </w:tblPrEx>
        <w:trPr>
          <w:trHeight w:val="225"/>
        </w:trPr>
        <w:tc>
          <w:tcPr>
            <w:tcW w:w="2837" w:type="dxa"/>
            <w:shd w:val="clear" w:color="auto" w:fill="auto"/>
          </w:tcPr>
          <w:p w:rsidR="001A4057" w:rsidRPr="000D3117" w:rsidRDefault="001A4057" w:rsidP="001A4057">
            <w:pPr>
              <w:spacing w:before="40" w:after="40" w:line="220" w:lineRule="exact"/>
              <w:rPr>
                <w:sz w:val="18"/>
              </w:rPr>
            </w:pPr>
            <w:r w:rsidRPr="000D3117">
              <w:rPr>
                <w:sz w:val="18"/>
              </w:rPr>
              <w:t>2005</w:t>
            </w:r>
          </w:p>
        </w:tc>
        <w:tc>
          <w:tcPr>
            <w:tcW w:w="4533" w:type="dxa"/>
            <w:shd w:val="clear" w:color="auto" w:fill="auto"/>
            <w:vAlign w:val="bottom"/>
          </w:tcPr>
          <w:p w:rsidR="001A4057" w:rsidRPr="000D3117" w:rsidRDefault="001A4057" w:rsidP="001A4057">
            <w:pPr>
              <w:spacing w:before="40" w:after="40" w:line="220" w:lineRule="exact"/>
              <w:jc w:val="right"/>
              <w:rPr>
                <w:sz w:val="18"/>
              </w:rPr>
            </w:pPr>
            <w:r w:rsidRPr="000D3117">
              <w:rPr>
                <w:sz w:val="18"/>
              </w:rPr>
              <w:t>8</w:t>
            </w:r>
            <w:r>
              <w:rPr>
                <w:sz w:val="18"/>
              </w:rPr>
              <w:t>,2 % </w:t>
            </w:r>
          </w:p>
        </w:tc>
      </w:tr>
      <w:tr w:rsidR="001A4057" w:rsidRPr="000D3117" w:rsidTr="001A4057">
        <w:tblPrEx>
          <w:tblCellMar>
            <w:top w:w="0" w:type="dxa"/>
            <w:bottom w:w="0" w:type="dxa"/>
          </w:tblCellMar>
        </w:tblPrEx>
        <w:trPr>
          <w:trHeight w:val="225"/>
        </w:trPr>
        <w:tc>
          <w:tcPr>
            <w:tcW w:w="2837" w:type="dxa"/>
            <w:shd w:val="clear" w:color="auto" w:fill="auto"/>
          </w:tcPr>
          <w:p w:rsidR="001A4057" w:rsidRPr="000D3117" w:rsidRDefault="001A4057" w:rsidP="001A4057">
            <w:pPr>
              <w:spacing w:before="40" w:after="40" w:line="220" w:lineRule="exact"/>
              <w:rPr>
                <w:sz w:val="18"/>
              </w:rPr>
            </w:pPr>
            <w:r w:rsidRPr="000D3117">
              <w:rPr>
                <w:sz w:val="18"/>
              </w:rPr>
              <w:t>2006</w:t>
            </w:r>
          </w:p>
        </w:tc>
        <w:tc>
          <w:tcPr>
            <w:tcW w:w="4533" w:type="dxa"/>
            <w:shd w:val="clear" w:color="auto" w:fill="auto"/>
            <w:vAlign w:val="bottom"/>
          </w:tcPr>
          <w:p w:rsidR="001A4057" w:rsidRPr="000D3117" w:rsidRDefault="001A4057" w:rsidP="001A4057">
            <w:pPr>
              <w:spacing w:before="40" w:after="40" w:line="220" w:lineRule="exact"/>
              <w:jc w:val="right"/>
              <w:rPr>
                <w:sz w:val="18"/>
              </w:rPr>
            </w:pPr>
            <w:r w:rsidRPr="000D3117">
              <w:rPr>
                <w:sz w:val="18"/>
              </w:rPr>
              <w:t>17</w:t>
            </w:r>
            <w:r>
              <w:rPr>
                <w:sz w:val="18"/>
              </w:rPr>
              <w:t>,</w:t>
            </w:r>
            <w:r w:rsidRPr="000D3117">
              <w:rPr>
                <w:sz w:val="18"/>
              </w:rPr>
              <w:t xml:space="preserve">4 </w:t>
            </w:r>
            <w:r>
              <w:rPr>
                <w:sz w:val="18"/>
              </w:rPr>
              <w:t xml:space="preserve">% </w:t>
            </w:r>
            <w:r w:rsidRPr="000D3117">
              <w:rPr>
                <w:sz w:val="18"/>
              </w:rPr>
              <w:t>avec les aides extérieures</w:t>
            </w:r>
          </w:p>
        </w:tc>
      </w:tr>
      <w:tr w:rsidR="001A4057" w:rsidRPr="000D3117" w:rsidTr="001A4057">
        <w:tblPrEx>
          <w:tblCellMar>
            <w:top w:w="0" w:type="dxa"/>
            <w:bottom w:w="0" w:type="dxa"/>
          </w:tblCellMar>
        </w:tblPrEx>
        <w:trPr>
          <w:trHeight w:val="225"/>
        </w:trPr>
        <w:tc>
          <w:tcPr>
            <w:tcW w:w="2837" w:type="dxa"/>
            <w:shd w:val="clear" w:color="auto" w:fill="auto"/>
          </w:tcPr>
          <w:p w:rsidR="001A4057" w:rsidRPr="000D3117" w:rsidRDefault="001A4057" w:rsidP="001A4057">
            <w:pPr>
              <w:spacing w:before="40" w:after="40" w:line="220" w:lineRule="exact"/>
              <w:rPr>
                <w:sz w:val="18"/>
              </w:rPr>
            </w:pPr>
            <w:r w:rsidRPr="000D3117">
              <w:rPr>
                <w:sz w:val="18"/>
              </w:rPr>
              <w:t>2007</w:t>
            </w:r>
          </w:p>
        </w:tc>
        <w:tc>
          <w:tcPr>
            <w:tcW w:w="4533" w:type="dxa"/>
            <w:shd w:val="clear" w:color="auto" w:fill="auto"/>
            <w:vAlign w:val="bottom"/>
          </w:tcPr>
          <w:p w:rsidR="001A4057" w:rsidRPr="000D3117" w:rsidRDefault="001A4057" w:rsidP="001A4057">
            <w:pPr>
              <w:spacing w:before="40" w:after="40" w:line="220" w:lineRule="exact"/>
              <w:jc w:val="right"/>
              <w:rPr>
                <w:sz w:val="18"/>
              </w:rPr>
            </w:pPr>
            <w:r w:rsidRPr="000D3117">
              <w:rPr>
                <w:sz w:val="18"/>
              </w:rPr>
              <w:t>10</w:t>
            </w:r>
            <w:r>
              <w:rPr>
                <w:sz w:val="18"/>
              </w:rPr>
              <w:t>,</w:t>
            </w:r>
            <w:r w:rsidRPr="000D3117">
              <w:rPr>
                <w:sz w:val="18"/>
              </w:rPr>
              <w:t>4</w:t>
            </w:r>
            <w:r>
              <w:rPr>
                <w:sz w:val="18"/>
              </w:rPr>
              <w:t xml:space="preserve"> %</w:t>
            </w:r>
            <w:r w:rsidRPr="000D3117">
              <w:rPr>
                <w:sz w:val="18"/>
              </w:rPr>
              <w:t xml:space="preserve"> </w:t>
            </w:r>
          </w:p>
        </w:tc>
      </w:tr>
      <w:tr w:rsidR="001A4057" w:rsidRPr="000D3117" w:rsidTr="001A4057">
        <w:tblPrEx>
          <w:tblCellMar>
            <w:top w:w="0" w:type="dxa"/>
            <w:bottom w:w="0" w:type="dxa"/>
          </w:tblCellMar>
        </w:tblPrEx>
        <w:trPr>
          <w:trHeight w:val="225"/>
        </w:trPr>
        <w:tc>
          <w:tcPr>
            <w:tcW w:w="2837" w:type="dxa"/>
            <w:shd w:val="clear" w:color="auto" w:fill="auto"/>
          </w:tcPr>
          <w:p w:rsidR="001A4057" w:rsidRPr="000D3117" w:rsidRDefault="001A4057" w:rsidP="001A4057">
            <w:pPr>
              <w:spacing w:before="40" w:after="40" w:line="220" w:lineRule="exact"/>
              <w:rPr>
                <w:sz w:val="18"/>
              </w:rPr>
            </w:pPr>
            <w:r w:rsidRPr="000D3117">
              <w:rPr>
                <w:sz w:val="18"/>
              </w:rPr>
              <w:t>2008</w:t>
            </w:r>
          </w:p>
        </w:tc>
        <w:tc>
          <w:tcPr>
            <w:tcW w:w="4533" w:type="dxa"/>
            <w:shd w:val="clear" w:color="auto" w:fill="auto"/>
            <w:vAlign w:val="bottom"/>
          </w:tcPr>
          <w:p w:rsidR="001A4057" w:rsidRPr="000D3117" w:rsidRDefault="001A4057" w:rsidP="001A4057">
            <w:pPr>
              <w:spacing w:before="40" w:after="40" w:line="220" w:lineRule="exact"/>
              <w:jc w:val="right"/>
              <w:rPr>
                <w:sz w:val="18"/>
              </w:rPr>
            </w:pPr>
            <w:r w:rsidRPr="000D3117">
              <w:rPr>
                <w:sz w:val="18"/>
              </w:rPr>
              <w:t>9</w:t>
            </w:r>
            <w:r>
              <w:rPr>
                <w:sz w:val="18"/>
              </w:rPr>
              <w:t>,</w:t>
            </w:r>
            <w:r w:rsidRPr="000D3117">
              <w:rPr>
                <w:sz w:val="18"/>
              </w:rPr>
              <w:t>1</w:t>
            </w:r>
            <w:r>
              <w:rPr>
                <w:sz w:val="18"/>
              </w:rPr>
              <w:t xml:space="preserve"> %</w:t>
            </w:r>
            <w:r w:rsidRPr="000D3117">
              <w:rPr>
                <w:sz w:val="18"/>
              </w:rPr>
              <w:t xml:space="preserve"> </w:t>
            </w:r>
          </w:p>
        </w:tc>
      </w:tr>
    </w:tbl>
    <w:p w:rsidR="001A4057" w:rsidRPr="00F9401B" w:rsidRDefault="001A4057" w:rsidP="001A4057">
      <w:pPr>
        <w:pStyle w:val="SingleTxtG"/>
        <w:spacing w:before="120" w:after="240"/>
        <w:ind w:firstLine="170"/>
        <w:rPr>
          <w:sz w:val="18"/>
          <w:szCs w:val="18"/>
          <w:lang w:val="en-US"/>
        </w:rPr>
      </w:pPr>
      <w:r w:rsidRPr="00F9401B">
        <w:rPr>
          <w:i/>
          <w:sz w:val="18"/>
          <w:szCs w:val="18"/>
          <w:lang w:val="en-US"/>
        </w:rPr>
        <w:t>Source</w:t>
      </w:r>
      <w:r w:rsidRPr="00F9401B">
        <w:rPr>
          <w:sz w:val="18"/>
          <w:szCs w:val="18"/>
          <w:lang w:val="en-US"/>
        </w:rPr>
        <w:t>: Minisanté, Minecofin: budget by sector-Fiscal year 2006/2007.</w:t>
      </w:r>
    </w:p>
    <w:p w:rsidR="001A4057" w:rsidRPr="009B6952" w:rsidRDefault="001A4057" w:rsidP="001A4057">
      <w:pPr>
        <w:pStyle w:val="SingleTxtG"/>
      </w:pPr>
      <w:r>
        <w:rPr>
          <w:szCs w:val="24"/>
        </w:rPr>
        <w:t>248</w:t>
      </w:r>
      <w:r w:rsidRPr="009B6952">
        <w:rPr>
          <w:szCs w:val="24"/>
        </w:rPr>
        <w:t>.</w:t>
      </w:r>
      <w:r w:rsidRPr="009B6952">
        <w:rPr>
          <w:szCs w:val="24"/>
        </w:rPr>
        <w:tab/>
      </w:r>
      <w:r w:rsidRPr="009B6952">
        <w:t xml:space="preserve">La dépense du </w:t>
      </w:r>
      <w:r>
        <w:t>Gouvernement/</w:t>
      </w:r>
      <w:r w:rsidRPr="009B6952">
        <w:t>personne en soins de santé a augmenté</w:t>
      </w:r>
      <w:r>
        <w:t xml:space="preserve"> pour passer</w:t>
      </w:r>
      <w:r w:rsidRPr="009B6952">
        <w:t xml:space="preserve"> de US$</w:t>
      </w:r>
      <w:r>
        <w:t xml:space="preserve"> </w:t>
      </w:r>
      <w:r w:rsidRPr="009B6952">
        <w:t>6 en 2005 à US$</w:t>
      </w:r>
      <w:r>
        <w:t xml:space="preserve"> </w:t>
      </w:r>
      <w:r w:rsidRPr="009B6952">
        <w:t>11 en 2008.</w:t>
      </w:r>
      <w:r>
        <w:t xml:space="preserve"> </w:t>
      </w:r>
    </w:p>
    <w:p w:rsidR="001A4057" w:rsidRPr="00F23DDF" w:rsidRDefault="001A4057" w:rsidP="001A4057">
      <w:pPr>
        <w:pStyle w:val="SingleTxtG"/>
      </w:pPr>
      <w:r>
        <w:rPr>
          <w:szCs w:val="24"/>
        </w:rPr>
        <w:t>249</w:t>
      </w:r>
      <w:r w:rsidRPr="009B6952">
        <w:rPr>
          <w:szCs w:val="24"/>
        </w:rPr>
        <w:t>.</w:t>
      </w:r>
      <w:r w:rsidRPr="009B6952">
        <w:rPr>
          <w:szCs w:val="24"/>
        </w:rPr>
        <w:tab/>
      </w:r>
      <w:r w:rsidRPr="009B6952">
        <w:t>Le pourcentage du budget de la santé alloué aux soins de santé primaire était de 79,4</w:t>
      </w:r>
      <w:r>
        <w:t> %</w:t>
      </w:r>
      <w:r w:rsidRPr="009B6952">
        <w:t xml:space="preserve"> en 2008</w:t>
      </w:r>
      <w:r w:rsidRPr="00B352B3">
        <w:rPr>
          <w:rStyle w:val="FootnoteReference"/>
        </w:rPr>
        <w:footnoteReference w:id="136"/>
      </w:r>
      <w:r w:rsidRPr="009B6952">
        <w:t>; il était de 67</w:t>
      </w:r>
      <w:r>
        <w:t xml:space="preserve"> %</w:t>
      </w:r>
      <w:r w:rsidRPr="009B6952">
        <w:t xml:space="preserve"> en 2007</w:t>
      </w:r>
      <w:r w:rsidRPr="00B352B3">
        <w:rPr>
          <w:rStyle w:val="FootnoteReference"/>
        </w:rPr>
        <w:footnoteReference w:id="137"/>
      </w:r>
      <w:r w:rsidRPr="009B6952">
        <w:t xml:space="preserve"> et de 40</w:t>
      </w:r>
      <w:r>
        <w:t xml:space="preserve"> %</w:t>
      </w:r>
      <w:r w:rsidRPr="009B6952">
        <w:t xml:space="preserve"> en 2006</w:t>
      </w:r>
      <w:r w:rsidRPr="00B352B3">
        <w:rPr>
          <w:rStyle w:val="FootnoteReference"/>
        </w:rPr>
        <w:footnoteReference w:id="138"/>
      </w:r>
      <w:r w:rsidRPr="009B6952">
        <w:t xml:space="preserve">. </w:t>
      </w:r>
    </w:p>
    <w:p w:rsidR="001A4057" w:rsidRPr="009B6952" w:rsidRDefault="001A4057" w:rsidP="001A4057">
      <w:pPr>
        <w:pStyle w:val="H4G"/>
      </w:pPr>
      <w:r>
        <w:tab/>
      </w:r>
      <w:r>
        <w:tab/>
      </w:r>
      <w:r w:rsidRPr="009B6952">
        <w:t xml:space="preserve">Les groupes </w:t>
      </w:r>
      <w:r>
        <w:t>vulnérables en matière de santé</w:t>
      </w:r>
    </w:p>
    <w:p w:rsidR="001A4057" w:rsidRPr="009B6952" w:rsidRDefault="001A4057" w:rsidP="001A4057">
      <w:pPr>
        <w:pStyle w:val="SingleTxtG"/>
      </w:pPr>
      <w:r w:rsidRPr="009B6952">
        <w:rPr>
          <w:szCs w:val="24"/>
        </w:rPr>
        <w:t>25</w:t>
      </w:r>
      <w:r>
        <w:rPr>
          <w:szCs w:val="24"/>
        </w:rPr>
        <w:t>0</w:t>
      </w:r>
      <w:r w:rsidRPr="009B6952">
        <w:rPr>
          <w:szCs w:val="24"/>
        </w:rPr>
        <w:t>.</w:t>
      </w:r>
      <w:r w:rsidRPr="009B6952">
        <w:rPr>
          <w:szCs w:val="24"/>
        </w:rPr>
        <w:tab/>
      </w:r>
      <w:r w:rsidRPr="009B6952">
        <w:t>Les groupes vulnérables en matière de santé sont les enfants et les femmes</w:t>
      </w:r>
      <w:r>
        <w:t>,</w:t>
      </w:r>
      <w:r w:rsidRPr="009B6952">
        <w:t xml:space="preserve"> notamment les femmes enceintes. </w:t>
      </w:r>
    </w:p>
    <w:p w:rsidR="001A4057" w:rsidRPr="009B6952" w:rsidRDefault="001A4057" w:rsidP="001A4057">
      <w:pPr>
        <w:pStyle w:val="H23G"/>
      </w:pPr>
      <w:r>
        <w:tab/>
      </w:r>
      <w:r>
        <w:tab/>
      </w:r>
      <w:r w:rsidRPr="009B6952">
        <w:t xml:space="preserve">Mesures diverses </w:t>
      </w:r>
    </w:p>
    <w:p w:rsidR="001A4057" w:rsidRPr="009B6952" w:rsidRDefault="001A4057" w:rsidP="001A4057">
      <w:pPr>
        <w:pStyle w:val="H4G"/>
      </w:pPr>
      <w:r>
        <w:tab/>
      </w:r>
      <w:r>
        <w:tab/>
      </w:r>
      <w:r w:rsidRPr="009B6952">
        <w:t>Changements positifs enregistrés en matière de santé</w:t>
      </w:r>
    </w:p>
    <w:p w:rsidR="001A4057" w:rsidRPr="009B6952" w:rsidRDefault="001A4057" w:rsidP="001A4057">
      <w:pPr>
        <w:pStyle w:val="SingleTxtG"/>
      </w:pPr>
      <w:r>
        <w:rPr>
          <w:szCs w:val="24"/>
        </w:rPr>
        <w:t>251</w:t>
      </w:r>
      <w:r w:rsidRPr="009B6952">
        <w:rPr>
          <w:szCs w:val="24"/>
        </w:rPr>
        <w:t>.</w:t>
      </w:r>
      <w:r w:rsidRPr="009B6952">
        <w:rPr>
          <w:szCs w:val="24"/>
        </w:rPr>
        <w:tab/>
      </w:r>
      <w:r>
        <w:t>Aucune</w:t>
      </w:r>
      <w:r w:rsidRPr="009B6952">
        <w:t xml:space="preserve"> politique </w:t>
      </w:r>
      <w:r>
        <w:t>n’a eu d’</w:t>
      </w:r>
      <w:r w:rsidRPr="009B6952">
        <w:t xml:space="preserve">effet préjudiciable; il y a plutôt eu des changements positifs et des mesures louables </w:t>
      </w:r>
      <w:r>
        <w:t xml:space="preserve">prises </w:t>
      </w:r>
      <w:r w:rsidRPr="009B6952">
        <w:t>en matière de santé</w:t>
      </w:r>
      <w:r>
        <w:t>, tels</w:t>
      </w:r>
      <w:r w:rsidRPr="009B6952">
        <w:t>:</w:t>
      </w:r>
    </w:p>
    <w:p w:rsidR="001A4057" w:rsidRPr="009B6952" w:rsidRDefault="001A4057" w:rsidP="001A4057">
      <w:pPr>
        <w:pStyle w:val="Bullet1G"/>
      </w:pPr>
      <w:r w:rsidRPr="009B6952">
        <w:t>L</w:t>
      </w:r>
      <w:r>
        <w:t>’</w:t>
      </w:r>
      <w:r w:rsidRPr="009B6952">
        <w:t xml:space="preserve">incitation et la subvention du </w:t>
      </w:r>
      <w:r>
        <w:t>Gouvernement</w:t>
      </w:r>
      <w:r w:rsidRPr="009B6952">
        <w:t xml:space="preserve"> à l</w:t>
      </w:r>
      <w:r>
        <w:t>’</w:t>
      </w:r>
      <w:r w:rsidRPr="009B6952">
        <w:t>assurance médicale des mutuelles de santé;</w:t>
      </w:r>
    </w:p>
    <w:p w:rsidR="001A4057" w:rsidRPr="009B6952" w:rsidRDefault="001A4057" w:rsidP="001A4057">
      <w:pPr>
        <w:pStyle w:val="Bullet1G"/>
      </w:pPr>
      <w:r>
        <w:t>L</w:t>
      </w:r>
      <w:r w:rsidRPr="009B6952">
        <w:t>a politique de décentralisation du système de santé, visant à renforcer le niveau des districts;</w:t>
      </w:r>
    </w:p>
    <w:p w:rsidR="001A4057" w:rsidRPr="009B6952" w:rsidRDefault="001A4057" w:rsidP="001A4057">
      <w:pPr>
        <w:pStyle w:val="Bullet1G"/>
      </w:pPr>
      <w:r w:rsidRPr="009B6952">
        <w:t>La multiplication de</w:t>
      </w:r>
      <w:r>
        <w:t>s</w:t>
      </w:r>
      <w:r w:rsidRPr="009B6952">
        <w:t xml:space="preserve"> centres de santé;</w:t>
      </w:r>
    </w:p>
    <w:p w:rsidR="001A4057" w:rsidRPr="009B6952" w:rsidRDefault="001A4057" w:rsidP="001A4057">
      <w:pPr>
        <w:pStyle w:val="Bullet1G"/>
      </w:pPr>
      <w:r w:rsidRPr="009B6952">
        <w:t>Le redéploiement des infirmiers;</w:t>
      </w:r>
    </w:p>
    <w:p w:rsidR="001A4057" w:rsidRPr="009B6952" w:rsidRDefault="001A4057" w:rsidP="001A4057">
      <w:pPr>
        <w:pStyle w:val="Bullet1G"/>
      </w:pPr>
      <w:r w:rsidRPr="009B6952">
        <w:t>L</w:t>
      </w:r>
      <w:r>
        <w:t>’</w:t>
      </w:r>
      <w:r w:rsidRPr="009B6952">
        <w:t xml:space="preserve">extension du paquet des soins de santé dans les </w:t>
      </w:r>
      <w:r>
        <w:t>structures</w:t>
      </w:r>
      <w:r w:rsidRPr="009B6952">
        <w:t xml:space="preserve"> sanitaires; (par exemple le sida)</w:t>
      </w:r>
      <w:r>
        <w:t>;</w:t>
      </w:r>
    </w:p>
    <w:p w:rsidR="001A4057" w:rsidRPr="009B6952" w:rsidRDefault="001A4057" w:rsidP="001A4057">
      <w:pPr>
        <w:pStyle w:val="Bullet1G"/>
      </w:pPr>
      <w:r w:rsidRPr="009B6952">
        <w:t xml:space="preserve">La création des postes de santé: </w:t>
      </w:r>
      <w:r>
        <w:t xml:space="preserve">situés à </w:t>
      </w:r>
      <w:r w:rsidRPr="009B6952">
        <w:t xml:space="preserve">un niveau inférieur </w:t>
      </w:r>
      <w:r>
        <w:t xml:space="preserve">par rapport </w:t>
      </w:r>
      <w:r w:rsidRPr="009B6952">
        <w:t>aux centres de santé;</w:t>
      </w:r>
    </w:p>
    <w:p w:rsidR="001A4057" w:rsidRPr="00442F0F" w:rsidRDefault="001A4057" w:rsidP="001A4057">
      <w:pPr>
        <w:pStyle w:val="Bullet1G"/>
      </w:pPr>
      <w:r w:rsidRPr="009B6952">
        <w:t>La mise sur pied d</w:t>
      </w:r>
      <w:r>
        <w:t>’</w:t>
      </w:r>
      <w:r w:rsidRPr="009B6952">
        <w:t xml:space="preserve">un programme de santé dont les agents de santé communautaire </w:t>
      </w:r>
      <w:r>
        <w:t xml:space="preserve">constituent </w:t>
      </w:r>
      <w:r w:rsidRPr="009B6952">
        <w:t>la pierre angulaire.</w:t>
      </w:r>
    </w:p>
    <w:p w:rsidR="001A4057" w:rsidRPr="009B6952" w:rsidRDefault="001A4057" w:rsidP="001A4057">
      <w:pPr>
        <w:pStyle w:val="H4G"/>
      </w:pPr>
      <w:r>
        <w:tab/>
      </w:r>
      <w:r>
        <w:tab/>
      </w:r>
      <w:r w:rsidRPr="009B6952">
        <w:t>Mesures pour améliorer la santé physique et mentale</w:t>
      </w:r>
    </w:p>
    <w:p w:rsidR="001A4057" w:rsidRPr="009B6952" w:rsidRDefault="001A4057" w:rsidP="001A4057">
      <w:pPr>
        <w:pStyle w:val="SingleTxtG"/>
      </w:pPr>
      <w:r w:rsidRPr="009B6952">
        <w:rPr>
          <w:szCs w:val="24"/>
        </w:rPr>
        <w:t>25</w:t>
      </w:r>
      <w:r>
        <w:rPr>
          <w:szCs w:val="24"/>
        </w:rPr>
        <w:t>2</w:t>
      </w:r>
      <w:r w:rsidRPr="009B6952">
        <w:rPr>
          <w:szCs w:val="24"/>
        </w:rPr>
        <w:t>.</w:t>
      </w:r>
      <w:r w:rsidRPr="009B6952">
        <w:rPr>
          <w:szCs w:val="24"/>
        </w:rPr>
        <w:tab/>
      </w:r>
      <w:r w:rsidRPr="009B6952">
        <w:t xml:space="preserve">Les mesures que le </w:t>
      </w:r>
      <w:r>
        <w:t>Gouvernement</w:t>
      </w:r>
      <w:r w:rsidRPr="009B6952">
        <w:t xml:space="preserve"> juge nécessaires en vue d</w:t>
      </w:r>
      <w:r>
        <w:t>’</w:t>
      </w:r>
      <w:r w:rsidRPr="009B6952">
        <w:t xml:space="preserve">améliorer la santé physique et mentale des personnes ou </w:t>
      </w:r>
      <w:r>
        <w:t xml:space="preserve">des </w:t>
      </w:r>
      <w:r w:rsidRPr="009B6952">
        <w:t>groupes jugés vulnérables sont les suivantes:</w:t>
      </w:r>
    </w:p>
    <w:p w:rsidR="001A4057" w:rsidRPr="009B6952" w:rsidRDefault="001A4057" w:rsidP="001A4057">
      <w:pPr>
        <w:pStyle w:val="Bullet1G"/>
      </w:pPr>
      <w:r w:rsidRPr="009B6952">
        <w:t xml:space="preserve">Le système des mutuelles de santé </w:t>
      </w:r>
      <w:r>
        <w:t xml:space="preserve">qui </w:t>
      </w:r>
      <w:r w:rsidRPr="009B6952">
        <w:t>permett</w:t>
      </w:r>
      <w:r>
        <w:t>e</w:t>
      </w:r>
      <w:r w:rsidRPr="009B6952">
        <w:t>nt ainsi l</w:t>
      </w:r>
      <w:r>
        <w:t>’</w:t>
      </w:r>
      <w:r w:rsidRPr="009B6952">
        <w:t>accessibilité financière aux soins de santé;</w:t>
      </w:r>
    </w:p>
    <w:p w:rsidR="001A4057" w:rsidRPr="009B6952" w:rsidRDefault="001A4057" w:rsidP="001A4057">
      <w:pPr>
        <w:pStyle w:val="Bullet1G"/>
      </w:pPr>
      <w:r w:rsidRPr="009B6952">
        <w:t>Le programme de santé communautaire;</w:t>
      </w:r>
    </w:p>
    <w:p w:rsidR="001A4057" w:rsidRPr="009B6952" w:rsidRDefault="001A4057" w:rsidP="001A4057">
      <w:pPr>
        <w:pStyle w:val="Bullet1G"/>
      </w:pPr>
      <w:r w:rsidRPr="009B6952">
        <w:t>Le programme</w:t>
      </w:r>
      <w:r>
        <w:t xml:space="preserve"> en faveur</w:t>
      </w:r>
      <w:r w:rsidRPr="009B6952">
        <w:t xml:space="preserve"> des orphelins et</w:t>
      </w:r>
      <w:r>
        <w:t xml:space="preserve"> des</w:t>
      </w:r>
      <w:r w:rsidRPr="009B6952">
        <w:t xml:space="preserve"> enfants vulnérables</w:t>
      </w:r>
      <w:r>
        <w:t>, qui</w:t>
      </w:r>
      <w:r w:rsidRPr="009B6952">
        <w:t xml:space="preserve"> </w:t>
      </w:r>
      <w:r>
        <w:t xml:space="preserve">permets à ces derniers d’avoir </w:t>
      </w:r>
      <w:r w:rsidRPr="009B6952">
        <w:t>accès aux soins de santé;</w:t>
      </w:r>
    </w:p>
    <w:p w:rsidR="001A4057" w:rsidRPr="009B6952" w:rsidRDefault="001A4057" w:rsidP="001A4057">
      <w:pPr>
        <w:pStyle w:val="Bullet1G"/>
      </w:pPr>
      <w:r w:rsidRPr="009B6952">
        <w:t>Les programmes axés sur le VIH/sida: ces programmes sont tous gratuits;</w:t>
      </w:r>
    </w:p>
    <w:p w:rsidR="001A4057" w:rsidRPr="009B6952" w:rsidRDefault="001A4057" w:rsidP="001A4057">
      <w:pPr>
        <w:pStyle w:val="Bullet1G"/>
      </w:pPr>
      <w:r w:rsidRPr="009B6952">
        <w:t>Le programme de lutte contre la malaria: prise du Coartem, distribution de moustiquaire</w:t>
      </w:r>
      <w:r>
        <w:t>s</w:t>
      </w:r>
      <w:r w:rsidRPr="009B6952">
        <w:t xml:space="preserve"> imprégnée</w:t>
      </w:r>
      <w:r>
        <w:t>s</w:t>
      </w:r>
      <w:r w:rsidRPr="009B6952">
        <w:t xml:space="preserve"> d</w:t>
      </w:r>
      <w:r>
        <w:t>’</w:t>
      </w:r>
      <w:r w:rsidRPr="009B6952">
        <w:t>insecticide à longue durée et pulvérisation intra-domiciliaire d</w:t>
      </w:r>
      <w:r>
        <w:t>’</w:t>
      </w:r>
      <w:r w:rsidRPr="009B6952">
        <w:t>insecticide à grande échelle;</w:t>
      </w:r>
    </w:p>
    <w:p w:rsidR="001A4057" w:rsidRPr="009B6952" w:rsidRDefault="001A4057" w:rsidP="001A4057">
      <w:pPr>
        <w:pStyle w:val="Bullet1G"/>
      </w:pPr>
      <w:r w:rsidRPr="009B6952">
        <w:t xml:space="preserve">La distribution du mebendazole, </w:t>
      </w:r>
      <w:r>
        <w:t xml:space="preserve">de </w:t>
      </w:r>
      <w:r w:rsidRPr="009B6952">
        <w:t>la vitamine A</w:t>
      </w:r>
      <w:r>
        <w:t xml:space="preserve"> et de</w:t>
      </w:r>
      <w:r w:rsidRPr="009B6952">
        <w:t xml:space="preserve"> l</w:t>
      </w:r>
      <w:r>
        <w:t>’</w:t>
      </w:r>
      <w:r w:rsidRPr="009B6952">
        <w:t>acide folique;</w:t>
      </w:r>
    </w:p>
    <w:p w:rsidR="001A4057" w:rsidRPr="00442F0F" w:rsidRDefault="001A4057" w:rsidP="001A4057">
      <w:pPr>
        <w:pStyle w:val="Bullet1G"/>
      </w:pPr>
      <w:r w:rsidRPr="009B6952">
        <w:t xml:space="preserve">La santé mentale a été intégrée </w:t>
      </w:r>
      <w:r>
        <w:t>à</w:t>
      </w:r>
      <w:r w:rsidRPr="009B6952">
        <w:t xml:space="preserve"> la stratégie des soins primaires.</w:t>
      </w:r>
    </w:p>
    <w:p w:rsidR="001A4057" w:rsidRPr="009B6952" w:rsidRDefault="001A4057" w:rsidP="001A4057">
      <w:pPr>
        <w:pStyle w:val="H4G"/>
      </w:pPr>
      <w:r>
        <w:tab/>
      </w:r>
      <w:r>
        <w:tab/>
      </w:r>
      <w:r w:rsidRPr="009B6952">
        <w:t>Mesures de politique générale</w:t>
      </w:r>
    </w:p>
    <w:p w:rsidR="001A4057" w:rsidRPr="009B6952" w:rsidRDefault="001A4057" w:rsidP="001A4057">
      <w:pPr>
        <w:pStyle w:val="SingleTxtG"/>
      </w:pPr>
      <w:r>
        <w:rPr>
          <w:szCs w:val="24"/>
        </w:rPr>
        <w:t>253</w:t>
      </w:r>
      <w:r w:rsidRPr="009B6952">
        <w:rPr>
          <w:szCs w:val="24"/>
        </w:rPr>
        <w:t>.</w:t>
      </w:r>
      <w:r w:rsidRPr="009B6952">
        <w:rPr>
          <w:szCs w:val="24"/>
        </w:rPr>
        <w:tab/>
      </w:r>
      <w:r>
        <w:t>Les</w:t>
      </w:r>
      <w:r w:rsidRPr="009B6952">
        <w:t xml:space="preserve"> mesures de politique générale</w:t>
      </w:r>
      <w:r>
        <w:t xml:space="preserve"> sont les suivantes</w:t>
      </w:r>
      <w:r w:rsidRPr="009B6952">
        <w:t>:</w:t>
      </w:r>
    </w:p>
    <w:p w:rsidR="001A4057" w:rsidRPr="009B6952" w:rsidRDefault="001A4057" w:rsidP="001A4057">
      <w:pPr>
        <w:pStyle w:val="SingleTxtG"/>
        <w:ind w:firstLine="567"/>
      </w:pPr>
      <w:r>
        <w:t>a)</w:t>
      </w:r>
      <w:r>
        <w:tab/>
      </w:r>
      <w:r w:rsidRPr="009B6952">
        <w:t xml:space="preserve">La stratégie du </w:t>
      </w:r>
      <w:r>
        <w:t>Gouvernement</w:t>
      </w:r>
      <w:r w:rsidRPr="009B6952">
        <w:t xml:space="preserve"> de réduction de la pauvreté (EDPRS);</w:t>
      </w:r>
    </w:p>
    <w:p w:rsidR="001A4057" w:rsidRPr="009B6952" w:rsidRDefault="001A4057" w:rsidP="001A4057">
      <w:pPr>
        <w:pStyle w:val="SingleTxtG"/>
        <w:ind w:firstLine="567"/>
      </w:pPr>
      <w:r>
        <w:t>b)</w:t>
      </w:r>
      <w:r>
        <w:tab/>
      </w:r>
      <w:r w:rsidRPr="009B6952">
        <w:t>La politique nationale de la santé (avec ses 8 axes cités ci-haut) et le plan stratégique de la santé;</w:t>
      </w:r>
    </w:p>
    <w:p w:rsidR="001A4057" w:rsidRPr="009B6952" w:rsidRDefault="001A4057" w:rsidP="001A4057">
      <w:pPr>
        <w:pStyle w:val="SingleTxtG"/>
        <w:ind w:firstLine="567"/>
      </w:pPr>
      <w:r>
        <w:t>c)</w:t>
      </w:r>
      <w:r>
        <w:tab/>
      </w:r>
      <w:r w:rsidRPr="009B6952">
        <w:t xml:space="preserve">La politique de la nutrition; </w:t>
      </w:r>
    </w:p>
    <w:p w:rsidR="001A4057" w:rsidRPr="009B6952" w:rsidRDefault="001A4057" w:rsidP="001A4057">
      <w:pPr>
        <w:pStyle w:val="SingleTxtG"/>
        <w:ind w:firstLine="567"/>
      </w:pPr>
      <w:r>
        <w:t>d)</w:t>
      </w:r>
      <w:r>
        <w:tab/>
      </w:r>
      <w:r w:rsidRPr="009B6952">
        <w:t>La politique du VIH/</w:t>
      </w:r>
      <w:r>
        <w:t>s</w:t>
      </w:r>
      <w:r w:rsidRPr="009B6952">
        <w:t>ida ainsi que le programme contre la malaria et la tuberculose;</w:t>
      </w:r>
    </w:p>
    <w:p w:rsidR="001A4057" w:rsidRPr="009B6952" w:rsidRDefault="001A4057" w:rsidP="001A4057">
      <w:pPr>
        <w:pStyle w:val="SingleTxtG"/>
        <w:ind w:firstLine="567"/>
      </w:pPr>
      <w:r>
        <w:t>e)</w:t>
      </w:r>
      <w:r>
        <w:tab/>
      </w:r>
      <w:r w:rsidRPr="009B6952">
        <w:t xml:space="preserve">La politique de planification familiale ainsi que </w:t>
      </w:r>
      <w:r>
        <w:t>de</w:t>
      </w:r>
      <w:r w:rsidRPr="009B6952">
        <w:t xml:space="preserve"> santé maternelle et infantile;</w:t>
      </w:r>
    </w:p>
    <w:p w:rsidR="001A4057" w:rsidRPr="009B6952" w:rsidRDefault="001A4057" w:rsidP="001A4057">
      <w:pPr>
        <w:pStyle w:val="SingleTxtG"/>
        <w:ind w:firstLine="567"/>
      </w:pPr>
      <w:r>
        <w:t>f)</w:t>
      </w:r>
      <w:r>
        <w:tab/>
      </w:r>
      <w:r w:rsidRPr="009B6952">
        <w:t>Les soins obstétricaux néonataux d</w:t>
      </w:r>
      <w:r>
        <w:t>’</w:t>
      </w:r>
      <w:r w:rsidRPr="009B6952">
        <w:t>urgence;</w:t>
      </w:r>
    </w:p>
    <w:p w:rsidR="001A4057" w:rsidRPr="009B6952" w:rsidRDefault="001A4057" w:rsidP="001A4057">
      <w:pPr>
        <w:pStyle w:val="SingleTxtG"/>
        <w:ind w:firstLine="567"/>
      </w:pPr>
      <w:r>
        <w:t>g)</w:t>
      </w:r>
      <w:r>
        <w:tab/>
      </w:r>
      <w:r w:rsidRPr="009B6952">
        <w:t>La politique de la santé reproductive;</w:t>
      </w:r>
    </w:p>
    <w:p w:rsidR="001A4057" w:rsidRPr="009B6952" w:rsidRDefault="001A4057" w:rsidP="001A4057">
      <w:pPr>
        <w:pStyle w:val="SingleTxtG"/>
        <w:ind w:firstLine="567"/>
      </w:pPr>
      <w:r>
        <w:t>h)</w:t>
      </w:r>
      <w:r>
        <w:tab/>
      </w:r>
      <w:r w:rsidRPr="009B6952">
        <w:t>La politique des pharmacies;</w:t>
      </w:r>
    </w:p>
    <w:p w:rsidR="001A4057" w:rsidRPr="009B6952" w:rsidRDefault="001A4057" w:rsidP="001A4057">
      <w:pPr>
        <w:pStyle w:val="SingleTxtG"/>
        <w:ind w:firstLine="567"/>
      </w:pPr>
      <w:r>
        <w:t>i)</w:t>
      </w:r>
      <w:r>
        <w:tab/>
      </w:r>
      <w:r w:rsidRPr="009B6952">
        <w:t>La politique de la santé mentale (en voie d</w:t>
      </w:r>
      <w:r>
        <w:t>’</w:t>
      </w:r>
      <w:r w:rsidRPr="009B6952">
        <w:t>élaboration);</w:t>
      </w:r>
    </w:p>
    <w:p w:rsidR="001A4057" w:rsidRPr="009B6952" w:rsidRDefault="001A4057" w:rsidP="001A4057">
      <w:pPr>
        <w:pStyle w:val="SingleTxtG"/>
        <w:ind w:firstLine="567"/>
      </w:pPr>
      <w:r>
        <w:t>j)</w:t>
      </w:r>
      <w:r>
        <w:tab/>
      </w:r>
      <w:r w:rsidRPr="009B6952">
        <w:t>La politique de la santé communautaire;</w:t>
      </w:r>
    </w:p>
    <w:p w:rsidR="001A4057" w:rsidRPr="009B6952" w:rsidRDefault="001A4057" w:rsidP="001A4057">
      <w:pPr>
        <w:pStyle w:val="SingleTxtG"/>
        <w:ind w:firstLine="567"/>
      </w:pPr>
      <w:r>
        <w:t>k)</w:t>
      </w:r>
      <w:r>
        <w:tab/>
      </w:r>
      <w:r w:rsidRPr="009B6952">
        <w:t>La politique du développement des ressources humaines pour la santé;</w:t>
      </w:r>
    </w:p>
    <w:p w:rsidR="001A4057" w:rsidRPr="00442F0F" w:rsidRDefault="001A4057" w:rsidP="001A4057">
      <w:pPr>
        <w:pStyle w:val="SingleTxtG"/>
        <w:ind w:firstLine="567"/>
      </w:pPr>
      <w:r>
        <w:t>l)</w:t>
      </w:r>
      <w:r>
        <w:tab/>
        <w:t>L</w:t>
      </w:r>
      <w:r w:rsidRPr="009B6952">
        <w:t>a politique de la sécurité du sang.</w:t>
      </w:r>
    </w:p>
    <w:p w:rsidR="001A4057" w:rsidRPr="009B6952" w:rsidRDefault="001A4057" w:rsidP="001A4057">
      <w:pPr>
        <w:pStyle w:val="H4G"/>
      </w:pPr>
      <w:r>
        <w:tab/>
      </w:r>
      <w:r>
        <w:tab/>
      </w:r>
      <w:r w:rsidRPr="009B6952">
        <w:t xml:space="preserve">Normes et standards spécifiques au Rwanda </w:t>
      </w:r>
    </w:p>
    <w:p w:rsidR="001A4057" w:rsidRPr="009B6952" w:rsidRDefault="001A4057" w:rsidP="001A4057">
      <w:pPr>
        <w:pStyle w:val="SingleTxtG"/>
      </w:pPr>
      <w:r w:rsidRPr="009B6952">
        <w:rPr>
          <w:szCs w:val="24"/>
        </w:rPr>
        <w:t>25</w:t>
      </w:r>
      <w:r>
        <w:rPr>
          <w:szCs w:val="24"/>
        </w:rPr>
        <w:t>4</w:t>
      </w:r>
      <w:r w:rsidRPr="009B6952">
        <w:rPr>
          <w:szCs w:val="24"/>
        </w:rPr>
        <w:t>.</w:t>
      </w:r>
      <w:r w:rsidRPr="009B6952">
        <w:rPr>
          <w:szCs w:val="24"/>
        </w:rPr>
        <w:tab/>
      </w:r>
      <w:r>
        <w:rPr>
          <w:szCs w:val="24"/>
        </w:rPr>
        <w:t>D</w:t>
      </w:r>
      <w:r w:rsidRPr="009B6952">
        <w:t xml:space="preserve">es normes et </w:t>
      </w:r>
      <w:r>
        <w:t xml:space="preserve">des </w:t>
      </w:r>
      <w:r w:rsidRPr="009B6952">
        <w:t>standards sont spécifiques au Rwanda. Il s</w:t>
      </w:r>
      <w:r>
        <w:t>’</w:t>
      </w:r>
      <w:r w:rsidRPr="009B6952">
        <w:t>agit:</w:t>
      </w:r>
    </w:p>
    <w:p w:rsidR="001A4057" w:rsidRPr="009B6952" w:rsidRDefault="001A4057" w:rsidP="001A4057">
      <w:pPr>
        <w:pStyle w:val="SingleTxtG"/>
        <w:ind w:firstLine="567"/>
      </w:pPr>
      <w:r>
        <w:t>a)</w:t>
      </w:r>
      <w:r>
        <w:tab/>
      </w:r>
      <w:r w:rsidRPr="009B6952">
        <w:t xml:space="preserve">Du paquet minimum </w:t>
      </w:r>
      <w:r w:rsidRPr="00892446">
        <w:t>d</w:t>
      </w:r>
      <w:r>
        <w:t>’</w:t>
      </w:r>
      <w:r w:rsidRPr="009B6952">
        <w:t xml:space="preserve">activités </w:t>
      </w:r>
      <w:r>
        <w:t xml:space="preserve">proposées </w:t>
      </w:r>
      <w:r w:rsidRPr="009B6952">
        <w:t xml:space="preserve">dans les centres de santé, </w:t>
      </w:r>
      <w:r>
        <w:t xml:space="preserve">les </w:t>
      </w:r>
      <w:r w:rsidRPr="009B6952">
        <w:t>hôpitaux de district et</w:t>
      </w:r>
      <w:r>
        <w:t xml:space="preserve"> les</w:t>
      </w:r>
      <w:r w:rsidRPr="009B6952">
        <w:t xml:space="preserve"> hôpitaux de référence afin de permettre une prestation de soins </w:t>
      </w:r>
      <w:r w:rsidRPr="00892446">
        <w:t xml:space="preserve">équitable </w:t>
      </w:r>
      <w:r>
        <w:t>dans</w:t>
      </w:r>
      <w:r w:rsidRPr="00892446">
        <w:t xml:space="preserve"> tout</w:t>
      </w:r>
      <w:r w:rsidRPr="009B6952">
        <w:t xml:space="preserve"> le pays</w:t>
      </w:r>
      <w:r>
        <w:t>;</w:t>
      </w:r>
      <w:r w:rsidRPr="009B6952">
        <w:t xml:space="preserve"> et </w:t>
      </w:r>
    </w:p>
    <w:p w:rsidR="001A4057" w:rsidRPr="00BD07CD" w:rsidRDefault="001A4057" w:rsidP="001A4057">
      <w:pPr>
        <w:pStyle w:val="SingleTxtG"/>
        <w:ind w:firstLine="567"/>
      </w:pPr>
      <w:r>
        <w:t>b)</w:t>
      </w:r>
      <w:r>
        <w:tab/>
        <w:t>D</w:t>
      </w:r>
      <w:r w:rsidRPr="009B6952">
        <w:t>e la formation continue des infirmiers.</w:t>
      </w:r>
    </w:p>
    <w:p w:rsidR="001A4057" w:rsidRPr="009B6952" w:rsidRDefault="001A4057" w:rsidP="001A4057">
      <w:pPr>
        <w:pStyle w:val="H4G"/>
      </w:pPr>
      <w:r>
        <w:tab/>
      </w:r>
      <w:r>
        <w:tab/>
      </w:r>
      <w:r w:rsidRPr="009B6952">
        <w:t>Points forts de toutes ces mesures</w:t>
      </w:r>
    </w:p>
    <w:p w:rsidR="001A4057" w:rsidRPr="009B6952" w:rsidRDefault="001A4057" w:rsidP="001A4057">
      <w:pPr>
        <w:pStyle w:val="SingleTxtG"/>
      </w:pPr>
      <w:r>
        <w:rPr>
          <w:szCs w:val="24"/>
        </w:rPr>
        <w:t>255</w:t>
      </w:r>
      <w:r w:rsidRPr="009B6952">
        <w:rPr>
          <w:szCs w:val="24"/>
        </w:rPr>
        <w:t>.</w:t>
      </w:r>
      <w:r w:rsidRPr="009B6952">
        <w:rPr>
          <w:szCs w:val="24"/>
        </w:rPr>
        <w:tab/>
      </w:r>
      <w:r w:rsidRPr="009B6952">
        <w:t>Les points forts de ces mesures sont les suivants:</w:t>
      </w:r>
    </w:p>
    <w:p w:rsidR="001A4057" w:rsidRPr="009B6952" w:rsidRDefault="001A4057" w:rsidP="001A4057">
      <w:pPr>
        <w:pStyle w:val="SingleTxtG"/>
        <w:ind w:firstLine="567"/>
      </w:pPr>
      <w:r>
        <w:t>a)</w:t>
      </w:r>
      <w:r>
        <w:tab/>
        <w:t>L</w:t>
      </w:r>
      <w:r w:rsidRPr="009B6952">
        <w:t>e taux de mortalité infantile est réduit;</w:t>
      </w:r>
    </w:p>
    <w:p w:rsidR="001A4057" w:rsidRPr="009B6952" w:rsidRDefault="001A4057" w:rsidP="001A4057">
      <w:pPr>
        <w:pStyle w:val="SingleTxtG"/>
        <w:ind w:firstLine="567"/>
      </w:pPr>
      <w:r>
        <w:t>b)</w:t>
      </w:r>
      <w:r>
        <w:tab/>
        <w:t>L</w:t>
      </w:r>
      <w:r w:rsidRPr="009B6952">
        <w:t>e taux d</w:t>
      </w:r>
      <w:r>
        <w:t xml:space="preserve">es </w:t>
      </w:r>
      <w:r w:rsidRPr="009B6952">
        <w:t>enfants</w:t>
      </w:r>
      <w:r>
        <w:t xml:space="preserve"> </w:t>
      </w:r>
      <w:r w:rsidRPr="009B6952">
        <w:t>de moins d</w:t>
      </w:r>
      <w:r>
        <w:t xml:space="preserve">’un </w:t>
      </w:r>
      <w:r w:rsidRPr="009B6952">
        <w:t>an vaccinés excède 90</w:t>
      </w:r>
      <w:r>
        <w:t xml:space="preserve"> %</w:t>
      </w:r>
      <w:r w:rsidRPr="009B6952">
        <w:t>;</w:t>
      </w:r>
    </w:p>
    <w:p w:rsidR="001A4057" w:rsidRPr="009B6952" w:rsidRDefault="001A4057" w:rsidP="001A4057">
      <w:pPr>
        <w:pStyle w:val="SingleTxtG"/>
        <w:ind w:firstLine="567"/>
      </w:pPr>
      <w:r>
        <w:t>c)</w:t>
      </w:r>
      <w:r>
        <w:tab/>
        <w:t>L</w:t>
      </w:r>
      <w:r w:rsidRPr="009B6952">
        <w:t xml:space="preserve">e taux de mortalité maternelle </w:t>
      </w:r>
      <w:r>
        <w:t xml:space="preserve">est </w:t>
      </w:r>
      <w:r w:rsidRPr="009B6952">
        <w:t xml:space="preserve">réduit </w:t>
      </w:r>
      <w:r w:rsidRPr="00BD07CD">
        <w:rPr>
          <w:rStyle w:val="Bullet1GCar"/>
        </w:rPr>
        <w:t>a</w:t>
      </w:r>
      <w:r w:rsidRPr="009B6952">
        <w:t>insi que la</w:t>
      </w:r>
      <w:r>
        <w:t xml:space="preserve"> transmission du VIH/s</w:t>
      </w:r>
      <w:r w:rsidRPr="009B6952">
        <w:t>ida mère-enfant;</w:t>
      </w:r>
    </w:p>
    <w:p w:rsidR="001A4057" w:rsidRPr="009B6952" w:rsidRDefault="001A4057" w:rsidP="001A4057">
      <w:pPr>
        <w:pStyle w:val="SingleTxtG"/>
        <w:ind w:firstLine="567"/>
      </w:pPr>
      <w:r>
        <w:t>d)</w:t>
      </w:r>
      <w:r>
        <w:tab/>
        <w:t>L</w:t>
      </w:r>
      <w:r w:rsidRPr="009B6952">
        <w:t>es cas de morbidité et de mortalité palustre</w:t>
      </w:r>
      <w:r>
        <w:t xml:space="preserve"> sont</w:t>
      </w:r>
      <w:r w:rsidRPr="009B6952">
        <w:t xml:space="preserve"> sensiblement réduits</w:t>
      </w:r>
      <w:r>
        <w:t xml:space="preserve">, soit </w:t>
      </w:r>
      <w:r w:rsidRPr="009B6952">
        <w:t>de 15</w:t>
      </w:r>
      <w:r>
        <w:t xml:space="preserve"> %</w:t>
      </w:r>
      <w:r w:rsidRPr="00B352B3">
        <w:rPr>
          <w:rStyle w:val="FootnoteReference"/>
        </w:rPr>
        <w:footnoteReference w:id="139"/>
      </w:r>
      <w:r w:rsidRPr="009B6952">
        <w:t>;</w:t>
      </w:r>
    </w:p>
    <w:p w:rsidR="001A4057" w:rsidRPr="00B60297" w:rsidRDefault="001A4057" w:rsidP="001A4057">
      <w:pPr>
        <w:pStyle w:val="SingleTxtG"/>
        <w:ind w:firstLine="567"/>
      </w:pPr>
      <w:r>
        <w:t>e)</w:t>
      </w:r>
      <w:r>
        <w:tab/>
      </w:r>
      <w:r w:rsidRPr="00B60297">
        <w:t xml:space="preserve">La coordination de tous les programmes de contrôle de maladie </w:t>
      </w:r>
      <w:r>
        <w:t>au sein d’</w:t>
      </w:r>
      <w:r w:rsidRPr="00B60297">
        <w:t>une entité TRAC Plus;</w:t>
      </w:r>
    </w:p>
    <w:p w:rsidR="001A4057" w:rsidRPr="009B6952" w:rsidRDefault="001A4057" w:rsidP="001A4057">
      <w:pPr>
        <w:pStyle w:val="SingleTxtG"/>
        <w:ind w:firstLine="567"/>
      </w:pPr>
      <w:r w:rsidRPr="00B60297">
        <w:t>f)</w:t>
      </w:r>
      <w:r w:rsidRPr="00B60297">
        <w:tab/>
        <w:t>L</w:t>
      </w:r>
      <w:r>
        <w:t>’</w:t>
      </w:r>
      <w:r w:rsidRPr="00B60297">
        <w:t>adhésion aux mutuelles de santé améliorant ainsi l</w:t>
      </w:r>
      <w:r>
        <w:t>’</w:t>
      </w:r>
      <w:r w:rsidRPr="00B60297">
        <w:t>accessibilité financière de la population aux soins de santé;</w:t>
      </w:r>
    </w:p>
    <w:p w:rsidR="001A4057" w:rsidRPr="009B6952" w:rsidRDefault="001A4057" w:rsidP="001A4057">
      <w:pPr>
        <w:pStyle w:val="SingleTxtG"/>
        <w:ind w:firstLine="567"/>
      </w:pPr>
      <w:r>
        <w:t>g)</w:t>
      </w:r>
      <w:r>
        <w:tab/>
        <w:t>L’</w:t>
      </w:r>
      <w:r w:rsidRPr="009B6952">
        <w:t>accessibilité géographique due à la mobilité des services de santé et à la construction d</w:t>
      </w:r>
      <w:r>
        <w:t>’</w:t>
      </w:r>
      <w:r w:rsidRPr="009B6952">
        <w:t>hôpitaux;</w:t>
      </w:r>
    </w:p>
    <w:p w:rsidR="001A4057" w:rsidRPr="009B6952" w:rsidRDefault="001A4057" w:rsidP="001A4057">
      <w:pPr>
        <w:pStyle w:val="SingleTxtG"/>
        <w:ind w:firstLine="567"/>
      </w:pPr>
      <w:r>
        <w:t>h)</w:t>
      </w:r>
      <w:r>
        <w:tab/>
        <w:t>L’</w:t>
      </w:r>
      <w:r w:rsidRPr="009B6952">
        <w:t>amélioration de la santé de la population à risque par des programmes de VIH/</w:t>
      </w:r>
      <w:r>
        <w:t>s</w:t>
      </w:r>
      <w:r w:rsidRPr="009B6952">
        <w:t>ida gratuits et aussi par la distribution de suppléments de vitamine A</w:t>
      </w:r>
      <w:r w:rsidRPr="00B352B3">
        <w:rPr>
          <w:rStyle w:val="FootnoteReference"/>
        </w:rPr>
        <w:footnoteReference w:id="140"/>
      </w:r>
      <w:r w:rsidRPr="009B6952">
        <w:t>;</w:t>
      </w:r>
    </w:p>
    <w:p w:rsidR="001A4057" w:rsidRPr="009B6952" w:rsidRDefault="001A4057" w:rsidP="001A4057">
      <w:pPr>
        <w:pStyle w:val="SingleTxtG"/>
        <w:ind w:firstLine="567"/>
      </w:pPr>
      <w:r>
        <w:t>i)</w:t>
      </w:r>
      <w:r>
        <w:tab/>
        <w:t>L</w:t>
      </w:r>
      <w:r w:rsidRPr="009B6952">
        <w:t>es malades mentaux ont accès à des services appropriés, il y a déjà mise sur pied de 7 services de santé mentale;</w:t>
      </w:r>
    </w:p>
    <w:p w:rsidR="001A4057" w:rsidRPr="009B6952" w:rsidRDefault="001A4057" w:rsidP="001A4057">
      <w:pPr>
        <w:pStyle w:val="SingleTxtG"/>
        <w:ind w:firstLine="567"/>
      </w:pPr>
      <w:r>
        <w:t>j)</w:t>
      </w:r>
      <w:r>
        <w:tab/>
      </w:r>
      <w:r w:rsidRPr="009B6952">
        <w:t>Le ratio personnel médical/population a augmenté comme indiqué dans le tableau ci-haut.</w:t>
      </w:r>
    </w:p>
    <w:p w:rsidR="001A4057" w:rsidRPr="009B6952" w:rsidRDefault="001A4057" w:rsidP="001A4057">
      <w:pPr>
        <w:pStyle w:val="H4G"/>
      </w:pPr>
      <w:r>
        <w:tab/>
      </w:r>
      <w:r>
        <w:tab/>
      </w:r>
      <w:r w:rsidRPr="009B6952">
        <w:t>Difficultés rencontrées</w:t>
      </w:r>
    </w:p>
    <w:p w:rsidR="001A4057" w:rsidRPr="009B6952" w:rsidRDefault="001A4057" w:rsidP="001A4057">
      <w:pPr>
        <w:pStyle w:val="SingleTxtG"/>
      </w:pPr>
      <w:r>
        <w:rPr>
          <w:szCs w:val="24"/>
        </w:rPr>
        <w:t>256</w:t>
      </w:r>
      <w:r w:rsidRPr="009B6952">
        <w:rPr>
          <w:szCs w:val="24"/>
        </w:rPr>
        <w:t>.</w:t>
      </w:r>
      <w:r w:rsidRPr="009B6952">
        <w:rPr>
          <w:szCs w:val="24"/>
        </w:rPr>
        <w:tab/>
      </w:r>
      <w:r w:rsidRPr="009B6952">
        <w:t>Les difficultés auxquelles se heurtent encore ces mesures sont les suivantes:</w:t>
      </w:r>
    </w:p>
    <w:p w:rsidR="001A4057" w:rsidRPr="009B6952" w:rsidRDefault="001A4057" w:rsidP="001A4057">
      <w:pPr>
        <w:pStyle w:val="SingleTxtG"/>
        <w:ind w:firstLine="567"/>
      </w:pPr>
      <w:r>
        <w:t>a)</w:t>
      </w:r>
      <w:r>
        <w:tab/>
        <w:t>L</w:t>
      </w:r>
      <w:r w:rsidRPr="009B6952">
        <w:t>a qualité du système de santé ainsi que l</w:t>
      </w:r>
      <w:r>
        <w:t>’</w:t>
      </w:r>
      <w:r w:rsidRPr="009B6952">
        <w:t>insuffisance des équipements médicaux;</w:t>
      </w:r>
    </w:p>
    <w:p w:rsidR="001A4057" w:rsidRPr="009B6952" w:rsidRDefault="001A4057" w:rsidP="001A4057">
      <w:pPr>
        <w:pStyle w:val="SingleTxtG"/>
        <w:ind w:firstLine="567"/>
      </w:pPr>
      <w:r>
        <w:t>b)</w:t>
      </w:r>
      <w:r>
        <w:tab/>
        <w:t>L</w:t>
      </w:r>
      <w:r w:rsidRPr="009B6952">
        <w:t xml:space="preserve">e personnel </w:t>
      </w:r>
      <w:r w:rsidRPr="001235D2">
        <w:t>médical d</w:t>
      </w:r>
      <w:r w:rsidRPr="009B6952">
        <w:t>e qualité reste encore</w:t>
      </w:r>
      <w:r>
        <w:t xml:space="preserve"> en nombre</w:t>
      </w:r>
      <w:r w:rsidRPr="009B6952">
        <w:t xml:space="preserve"> réduit;</w:t>
      </w:r>
    </w:p>
    <w:p w:rsidR="001A4057" w:rsidRPr="009B6952" w:rsidRDefault="001A4057" w:rsidP="001A4057">
      <w:pPr>
        <w:pStyle w:val="SingleTxtG"/>
        <w:ind w:firstLine="567"/>
      </w:pPr>
      <w:r>
        <w:t>c)</w:t>
      </w:r>
      <w:r>
        <w:tab/>
        <w:t>L</w:t>
      </w:r>
      <w:r w:rsidRPr="009B6952">
        <w:t>es services de santé maternelle et infantile ne sont pas encore performants;</w:t>
      </w:r>
    </w:p>
    <w:p w:rsidR="001A4057" w:rsidRPr="009B6952" w:rsidRDefault="001A4057" w:rsidP="001A4057">
      <w:pPr>
        <w:pStyle w:val="SingleTxtG"/>
        <w:ind w:firstLine="567"/>
      </w:pPr>
      <w:r>
        <w:t>d)</w:t>
      </w:r>
      <w:r>
        <w:tab/>
        <w:t>L</w:t>
      </w:r>
      <w:r w:rsidRPr="009B6952">
        <w:t>e problème de nutrition se pose encore;</w:t>
      </w:r>
      <w:r>
        <w:t xml:space="preserve"> </w:t>
      </w:r>
    </w:p>
    <w:p w:rsidR="001A4057" w:rsidRPr="009B6952" w:rsidRDefault="001A4057" w:rsidP="001A4057">
      <w:pPr>
        <w:pStyle w:val="SingleTxtG"/>
        <w:ind w:firstLine="567"/>
      </w:pPr>
      <w:r>
        <w:t>e)</w:t>
      </w:r>
      <w:r>
        <w:tab/>
        <w:t>L</w:t>
      </w:r>
      <w:r w:rsidRPr="009B6952">
        <w:t>e développement des mutuelles de santé se heurte encore à des problèmes de gestion, par manque de personnel qualifié;</w:t>
      </w:r>
    </w:p>
    <w:p w:rsidR="001A4057" w:rsidRPr="009B6952" w:rsidRDefault="001A4057" w:rsidP="001A4057">
      <w:pPr>
        <w:pStyle w:val="SingleTxtG"/>
        <w:ind w:firstLine="567"/>
      </w:pPr>
      <w:r>
        <w:t>f)</w:t>
      </w:r>
      <w:r>
        <w:tab/>
      </w:r>
      <w:r w:rsidRPr="009B6952">
        <w:t>Des moyens financiers souvent limités ainsi qu</w:t>
      </w:r>
      <w:r>
        <w:t>’</w:t>
      </w:r>
      <w:r w:rsidRPr="009B6952">
        <w:t>une dépendance du secteur santé vis-à-vis l</w:t>
      </w:r>
      <w:r>
        <w:t>’</w:t>
      </w:r>
      <w:r w:rsidRPr="009B6952">
        <w:t>aide extérieure (au moins 50</w:t>
      </w:r>
      <w:r>
        <w:t xml:space="preserve"> %</w:t>
      </w:r>
      <w:r w:rsidRPr="009B6952">
        <w:t>);</w:t>
      </w:r>
    </w:p>
    <w:p w:rsidR="001A4057" w:rsidRPr="009B6952" w:rsidRDefault="001A4057" w:rsidP="001A4057">
      <w:pPr>
        <w:pStyle w:val="SingleTxtG"/>
        <w:ind w:firstLine="567"/>
      </w:pPr>
      <w:r>
        <w:t>g)</w:t>
      </w:r>
      <w:r>
        <w:tab/>
      </w:r>
      <w:r w:rsidRPr="009B6952">
        <w:t>Il y a encore une inégalité dans la distribution du budget: les programmes de lutte contre le sida aval</w:t>
      </w:r>
      <w:r>
        <w:t>e</w:t>
      </w:r>
      <w:r w:rsidRPr="009B6952">
        <w:t>nt une grosse portion au détriment d</w:t>
      </w:r>
      <w:r>
        <w:t>’</w:t>
      </w:r>
      <w:r w:rsidRPr="009B6952">
        <w:t xml:space="preserve">autres maladies </w:t>
      </w:r>
      <w:r>
        <w:t>affichant</w:t>
      </w:r>
      <w:r w:rsidRPr="009B6952">
        <w:t xml:space="preserve"> des taux de mortalité encore alarmants.</w:t>
      </w:r>
    </w:p>
    <w:p w:rsidR="001A4057" w:rsidRPr="00BD07CD" w:rsidRDefault="001A4057" w:rsidP="001A4057">
      <w:pPr>
        <w:pStyle w:val="H4G"/>
      </w:pPr>
      <w:r>
        <w:tab/>
      </w:r>
      <w:r>
        <w:tab/>
      </w:r>
      <w:r w:rsidRPr="009B6952">
        <w:t>Mesures pour réduire les taux de mortinatalité et de mortalité infantiles</w:t>
      </w:r>
    </w:p>
    <w:p w:rsidR="001A4057" w:rsidRPr="009B6952" w:rsidRDefault="001A4057" w:rsidP="001A4057">
      <w:pPr>
        <w:pStyle w:val="SingleTxtG"/>
      </w:pPr>
      <w:r>
        <w:rPr>
          <w:szCs w:val="24"/>
        </w:rPr>
        <w:t>257</w:t>
      </w:r>
      <w:r w:rsidRPr="009B6952">
        <w:rPr>
          <w:szCs w:val="24"/>
        </w:rPr>
        <w:t>.</w:t>
      </w:r>
      <w:r w:rsidRPr="009B6952">
        <w:rPr>
          <w:szCs w:val="24"/>
        </w:rPr>
        <w:tab/>
      </w:r>
      <w:r w:rsidRPr="009B6952">
        <w:t>Pour réduire les taux de mortinatalité et de mortalité infantiles et assurer le bon développement de l</w:t>
      </w:r>
      <w:r>
        <w:t>’</w:t>
      </w:r>
      <w:r w:rsidRPr="009B6952">
        <w:t xml:space="preserve">enfant, le </w:t>
      </w:r>
      <w:r>
        <w:t>Gouvernement</w:t>
      </w:r>
      <w:r w:rsidRPr="009B6952">
        <w:t xml:space="preserve"> a pris les mesures suivantes:</w:t>
      </w:r>
    </w:p>
    <w:p w:rsidR="001A4057" w:rsidRPr="009B6952" w:rsidRDefault="001A4057" w:rsidP="001A4057">
      <w:pPr>
        <w:pStyle w:val="SingleTxtG"/>
        <w:ind w:firstLine="567"/>
      </w:pPr>
      <w:r>
        <w:t>a)</w:t>
      </w:r>
      <w:r>
        <w:tab/>
      </w:r>
      <w:r w:rsidRPr="009B6952">
        <w:t>L</w:t>
      </w:r>
      <w:r>
        <w:t>’</w:t>
      </w:r>
      <w:r w:rsidRPr="009B6952">
        <w:t>augmentation et l</w:t>
      </w:r>
      <w:r>
        <w:t>’</w:t>
      </w:r>
      <w:r w:rsidRPr="009B6952">
        <w:t>incitation à se prévaloir des consultations prénatales;</w:t>
      </w:r>
    </w:p>
    <w:p w:rsidR="001A4057" w:rsidRPr="009B6952" w:rsidRDefault="001A4057" w:rsidP="001A4057">
      <w:pPr>
        <w:pStyle w:val="SingleTxtG"/>
        <w:ind w:firstLine="567"/>
      </w:pPr>
      <w:r>
        <w:t>b)</w:t>
      </w:r>
      <w:r>
        <w:tab/>
      </w:r>
      <w:r w:rsidRPr="009B6952">
        <w:t>La politique d</w:t>
      </w:r>
      <w:r>
        <w:t>’</w:t>
      </w:r>
      <w:r w:rsidRPr="009B6952">
        <w:t xml:space="preserve">accouchement assisté dans les </w:t>
      </w:r>
      <w:r>
        <w:t>structures</w:t>
      </w:r>
      <w:r w:rsidRPr="009B6952">
        <w:t xml:space="preserve"> sanitaires a été renforcée;</w:t>
      </w:r>
    </w:p>
    <w:p w:rsidR="001A4057" w:rsidRPr="009B6952" w:rsidRDefault="001A4057" w:rsidP="001A4057">
      <w:pPr>
        <w:pStyle w:val="SingleTxtG"/>
        <w:ind w:firstLine="567"/>
      </w:pPr>
      <w:r>
        <w:t>c)</w:t>
      </w:r>
      <w:r>
        <w:tab/>
        <w:t>L</w:t>
      </w:r>
      <w:r w:rsidRPr="009B6952">
        <w:t>e programme de soins obstétricaux et néonataux d</w:t>
      </w:r>
      <w:r>
        <w:t>’</w:t>
      </w:r>
      <w:r w:rsidRPr="009B6952">
        <w:t>urgence (SONU);</w:t>
      </w:r>
    </w:p>
    <w:p w:rsidR="001A4057" w:rsidRPr="009B6952" w:rsidRDefault="001A4057" w:rsidP="001A4057">
      <w:pPr>
        <w:pStyle w:val="SingleTxtG"/>
        <w:ind w:firstLine="567"/>
      </w:pPr>
      <w:r>
        <w:t>d)</w:t>
      </w:r>
      <w:r>
        <w:tab/>
      </w:r>
      <w:r w:rsidRPr="009B6952">
        <w:t xml:space="preserve">La mobilisation de la population </w:t>
      </w:r>
      <w:r>
        <w:t>en faveur de</w:t>
      </w:r>
      <w:r w:rsidRPr="009B6952">
        <w:t xml:space="preserve"> l</w:t>
      </w:r>
      <w:r>
        <w:t>’</w:t>
      </w:r>
      <w:r w:rsidRPr="009B6952">
        <w:t>allaitement maternel;</w:t>
      </w:r>
    </w:p>
    <w:p w:rsidR="001A4057" w:rsidRPr="009B6952" w:rsidRDefault="001A4057" w:rsidP="001A4057">
      <w:pPr>
        <w:pStyle w:val="SingleTxtG"/>
        <w:ind w:firstLine="397"/>
      </w:pPr>
      <w:r>
        <w:t>e)</w:t>
      </w:r>
      <w:r>
        <w:tab/>
      </w:r>
      <w:r>
        <w:tab/>
      </w:r>
      <w:r w:rsidRPr="009B6952">
        <w:t>Les consultations du nourrisson allant de pair avec les soins post-nataux;</w:t>
      </w:r>
    </w:p>
    <w:p w:rsidR="001A4057" w:rsidRPr="009B6952" w:rsidRDefault="001A4057" w:rsidP="001A4057">
      <w:pPr>
        <w:pStyle w:val="SingleTxtG"/>
        <w:ind w:firstLine="397"/>
      </w:pPr>
      <w:r>
        <w:t>f)</w:t>
      </w:r>
      <w:r>
        <w:tab/>
      </w:r>
      <w:r>
        <w:tab/>
        <w:t>L</w:t>
      </w:r>
      <w:r w:rsidRPr="009B6952">
        <w:t>e programme élargi de vaccination (PEV) incluant le pneumocoque;</w:t>
      </w:r>
    </w:p>
    <w:p w:rsidR="001A4057" w:rsidRPr="009B6952" w:rsidRDefault="001A4057" w:rsidP="001A4057">
      <w:pPr>
        <w:pStyle w:val="SingleTxtG"/>
        <w:ind w:firstLine="397"/>
      </w:pPr>
      <w:r>
        <w:t>g)</w:t>
      </w:r>
      <w:r>
        <w:tab/>
      </w:r>
      <w:r>
        <w:tab/>
      </w:r>
      <w:r w:rsidRPr="009B6952">
        <w:t>La prise en charge intégrée des maladies de l</w:t>
      </w:r>
      <w:r>
        <w:t>’</w:t>
      </w:r>
      <w:r w:rsidRPr="009B6952">
        <w:t>enfance (PCIME);</w:t>
      </w:r>
    </w:p>
    <w:p w:rsidR="001A4057" w:rsidRPr="009B6952" w:rsidRDefault="001A4057" w:rsidP="001A4057">
      <w:pPr>
        <w:pStyle w:val="SingleTxtG"/>
        <w:ind w:firstLine="397"/>
      </w:pPr>
      <w:r>
        <w:t>h)</w:t>
      </w:r>
      <w:r>
        <w:tab/>
      </w:r>
      <w:r>
        <w:tab/>
      </w:r>
      <w:r w:rsidRPr="009B6952">
        <w:t>La prévention de la transmission du VIH mère-enfant;</w:t>
      </w:r>
    </w:p>
    <w:p w:rsidR="001A4057" w:rsidRPr="009B6952" w:rsidRDefault="001A4057" w:rsidP="001A4057">
      <w:pPr>
        <w:pStyle w:val="SingleTxtG"/>
        <w:ind w:firstLine="397"/>
      </w:pPr>
      <w:r>
        <w:t>i)</w:t>
      </w:r>
      <w:r>
        <w:tab/>
      </w:r>
      <w:r>
        <w:tab/>
      </w:r>
      <w:r w:rsidRPr="009B6952">
        <w:t>L</w:t>
      </w:r>
      <w:r>
        <w:t>’</w:t>
      </w:r>
      <w:r w:rsidRPr="009B6952">
        <w:t xml:space="preserve">introduction des soins du nouveau-né par la mère kangourou dans les hôpitaux; </w:t>
      </w:r>
    </w:p>
    <w:p w:rsidR="001A4057" w:rsidRPr="009B6952" w:rsidRDefault="001A4057" w:rsidP="001A4057">
      <w:pPr>
        <w:pStyle w:val="SingleTxtG"/>
        <w:ind w:firstLine="397"/>
      </w:pPr>
      <w:r>
        <w:t>j)</w:t>
      </w:r>
      <w:r>
        <w:tab/>
      </w:r>
      <w:r>
        <w:tab/>
      </w:r>
      <w:r w:rsidRPr="009B6952">
        <w:t>Le programme national intégré de lutte contre le paludisme avec la distribution systématique de moustiquaires aux enfants de moins de 5 ans et du Coartem, la prévention de la malaria à domicile (programme de pulvérisation intra-domiciliaire à grande échelle);</w:t>
      </w:r>
    </w:p>
    <w:p w:rsidR="001A4057" w:rsidRPr="009B6952" w:rsidRDefault="001A4057" w:rsidP="001A4057">
      <w:pPr>
        <w:pStyle w:val="SingleTxtG"/>
        <w:ind w:firstLine="397"/>
      </w:pPr>
      <w:r>
        <w:t>k)</w:t>
      </w:r>
      <w:r>
        <w:tab/>
      </w:r>
      <w:r>
        <w:tab/>
        <w:t>Le</w:t>
      </w:r>
      <w:r w:rsidRPr="009B6952">
        <w:t>s campagnes de déparasitage et de distribution de la vitamine A;</w:t>
      </w:r>
    </w:p>
    <w:p w:rsidR="001A4057" w:rsidRPr="009B6952" w:rsidRDefault="001A4057" w:rsidP="001A4057">
      <w:pPr>
        <w:pStyle w:val="SingleTxtG"/>
        <w:ind w:firstLine="397"/>
      </w:pPr>
      <w:r>
        <w:t>l)</w:t>
      </w:r>
      <w:r>
        <w:tab/>
      </w:r>
      <w:r>
        <w:tab/>
      </w:r>
      <w:r w:rsidRPr="009B6952">
        <w:t>La sensibilisation à laver les mains avant de nourrir l</w:t>
      </w:r>
      <w:r>
        <w:t>’</w:t>
      </w:r>
      <w:r w:rsidRPr="009B6952">
        <w:t xml:space="preserve">enfant; </w:t>
      </w:r>
    </w:p>
    <w:p w:rsidR="001A4057" w:rsidRPr="009B6952" w:rsidRDefault="001A4057" w:rsidP="001A4057">
      <w:pPr>
        <w:pStyle w:val="SingleTxtG"/>
        <w:ind w:firstLine="397"/>
      </w:pPr>
      <w:r>
        <w:t>m)</w:t>
      </w:r>
      <w:r>
        <w:tab/>
      </w:r>
      <w:r w:rsidRPr="009B6952">
        <w:t xml:space="preserve">Les programmes nutritionnels à base communautaire afin de réduire et </w:t>
      </w:r>
      <w:r>
        <w:t>d’</w:t>
      </w:r>
      <w:r w:rsidRPr="009B6952">
        <w:t>éradiquer la malnutrition chez les enfants de moins de cinq;</w:t>
      </w:r>
    </w:p>
    <w:p w:rsidR="001A4057" w:rsidRPr="009B6952" w:rsidRDefault="001A4057" w:rsidP="001A4057">
      <w:pPr>
        <w:pStyle w:val="SingleTxtG"/>
        <w:ind w:firstLine="397"/>
      </w:pPr>
      <w:r>
        <w:t>n)</w:t>
      </w:r>
      <w:r>
        <w:tab/>
      </w:r>
      <w:r>
        <w:tab/>
      </w:r>
      <w:r w:rsidRPr="009B6952">
        <w:t xml:space="preserve">La gestion à base communautaire des grandes causes de mortalité infantile comme la malaria, </w:t>
      </w:r>
      <w:r>
        <w:t xml:space="preserve">la </w:t>
      </w:r>
      <w:r w:rsidRPr="009B6952">
        <w:t xml:space="preserve">diarrhée, </w:t>
      </w:r>
      <w:r>
        <w:t xml:space="preserve">la </w:t>
      </w:r>
      <w:r w:rsidRPr="009B6952">
        <w:t xml:space="preserve">rougeole et </w:t>
      </w:r>
      <w:r>
        <w:t xml:space="preserve">la </w:t>
      </w:r>
      <w:r w:rsidRPr="009B6952">
        <w:t>pneumonie;</w:t>
      </w:r>
      <w:r>
        <w:t xml:space="preserve"> </w:t>
      </w:r>
    </w:p>
    <w:p w:rsidR="001A4057" w:rsidRPr="009B6952" w:rsidRDefault="001A4057" w:rsidP="001A4057">
      <w:pPr>
        <w:pStyle w:val="SingleTxtG"/>
        <w:ind w:firstLine="397"/>
      </w:pPr>
      <w:r>
        <w:t>o)</w:t>
      </w:r>
      <w:r>
        <w:tab/>
      </w:r>
      <w:r>
        <w:tab/>
      </w:r>
      <w:r w:rsidRPr="009B6952">
        <w:t>L</w:t>
      </w:r>
      <w:r>
        <w:t>’</w:t>
      </w:r>
      <w:r w:rsidRPr="009B6952">
        <w:t>adhésion aux mutuelles de santé;</w:t>
      </w:r>
    </w:p>
    <w:p w:rsidR="001A4057" w:rsidRPr="009B6952" w:rsidRDefault="001A4057" w:rsidP="001A4057">
      <w:pPr>
        <w:pStyle w:val="SingleTxtG"/>
        <w:ind w:firstLine="397"/>
      </w:pPr>
      <w:r>
        <w:t>p)</w:t>
      </w:r>
      <w:r>
        <w:tab/>
      </w:r>
      <w:r>
        <w:tab/>
      </w:r>
      <w:r w:rsidRPr="009B6952">
        <w:t xml:space="preserve">Sans oublier que la mesure générale du système de paiement basé sur les résultats (le </w:t>
      </w:r>
      <w:r w:rsidRPr="009B6952">
        <w:rPr>
          <w:i/>
        </w:rPr>
        <w:t>Performance Based Financing</w:t>
      </w:r>
      <w:r w:rsidRPr="009B6952">
        <w:t xml:space="preserve">) joue </w:t>
      </w:r>
      <w:r>
        <w:t>un</w:t>
      </w:r>
      <w:r w:rsidRPr="009B6952">
        <w:t xml:space="preserve"> rôle incitatif dans l</w:t>
      </w:r>
      <w:r>
        <w:t>’</w:t>
      </w:r>
      <w:r w:rsidRPr="009B6952">
        <w:t>augmentation de la qualité des soins par le personnel médical.</w:t>
      </w:r>
    </w:p>
    <w:p w:rsidR="001A4057" w:rsidRPr="00BD07CD" w:rsidRDefault="001A4057" w:rsidP="001A4057">
      <w:pPr>
        <w:pStyle w:val="H4G"/>
      </w:pPr>
      <w:r>
        <w:tab/>
      </w:r>
      <w:r>
        <w:tab/>
      </w:r>
      <w:r w:rsidRPr="009B6952">
        <w:t>Mesures pour améliorer l</w:t>
      </w:r>
      <w:r>
        <w:t>’</w:t>
      </w:r>
      <w:r w:rsidRPr="009B6952">
        <w:t>hygiène du milieu</w:t>
      </w:r>
    </w:p>
    <w:p w:rsidR="001A4057" w:rsidRPr="009B6952" w:rsidRDefault="001A4057" w:rsidP="001A4057">
      <w:pPr>
        <w:pStyle w:val="SingleTxtG"/>
      </w:pPr>
      <w:r>
        <w:rPr>
          <w:szCs w:val="24"/>
        </w:rPr>
        <w:t>258</w:t>
      </w:r>
      <w:r w:rsidRPr="009B6952">
        <w:rPr>
          <w:szCs w:val="24"/>
        </w:rPr>
        <w:t>.</w:t>
      </w:r>
      <w:r w:rsidRPr="009B6952">
        <w:rPr>
          <w:szCs w:val="24"/>
        </w:rPr>
        <w:tab/>
      </w:r>
      <w:r w:rsidRPr="009B6952">
        <w:t>Les mesures</w:t>
      </w:r>
      <w:r w:rsidRPr="00B352B3">
        <w:rPr>
          <w:rStyle w:val="FootnoteReference"/>
        </w:rPr>
        <w:footnoteReference w:id="141"/>
      </w:r>
      <w:r w:rsidRPr="00BD07CD">
        <w:rPr>
          <w:sz w:val="18"/>
          <w:szCs w:val="18"/>
        </w:rPr>
        <w:t xml:space="preserve"> </w:t>
      </w:r>
      <w:r w:rsidRPr="009B6952">
        <w:t xml:space="preserve">prises par le </w:t>
      </w:r>
      <w:r>
        <w:t>Gouvernement</w:t>
      </w:r>
      <w:r w:rsidRPr="009B6952">
        <w:t xml:space="preserve"> pour améliorer l</w:t>
      </w:r>
      <w:r>
        <w:t>’</w:t>
      </w:r>
      <w:r w:rsidRPr="009B6952">
        <w:t>hygiène du milieu sont:</w:t>
      </w:r>
    </w:p>
    <w:p w:rsidR="001A4057" w:rsidRPr="009B6952" w:rsidRDefault="001A4057" w:rsidP="001A4057">
      <w:pPr>
        <w:pStyle w:val="SingleTxtG"/>
        <w:ind w:firstLine="567"/>
      </w:pPr>
      <w:r>
        <w:t>a)</w:t>
      </w:r>
      <w:r>
        <w:tab/>
      </w:r>
      <w:r w:rsidRPr="009B6952">
        <w:t>La politique de la santé de l</w:t>
      </w:r>
      <w:r>
        <w:t>’</w:t>
      </w:r>
      <w:r w:rsidRPr="009B6952">
        <w:t>environnement par:</w:t>
      </w:r>
    </w:p>
    <w:p w:rsidR="001A4057" w:rsidRPr="009B6952" w:rsidRDefault="001A4057" w:rsidP="001A4057">
      <w:pPr>
        <w:pStyle w:val="Bullet2G"/>
      </w:pPr>
      <w:r w:rsidRPr="009B6952">
        <w:t xml:space="preserve">la sensibilisation de la population </w:t>
      </w:r>
      <w:r>
        <w:t>au</w:t>
      </w:r>
      <w:r w:rsidRPr="009B6952">
        <w:t xml:space="preserve"> lavage des mains;</w:t>
      </w:r>
    </w:p>
    <w:p w:rsidR="001A4057" w:rsidRPr="009B6952" w:rsidRDefault="001A4057" w:rsidP="001A4057">
      <w:pPr>
        <w:pStyle w:val="Bullet2G"/>
      </w:pPr>
      <w:r w:rsidRPr="009B6952">
        <w:t xml:space="preserve">les campagnes de sensibilisation </w:t>
      </w:r>
      <w:r>
        <w:t>au</w:t>
      </w:r>
      <w:r w:rsidRPr="009B6952">
        <w:t xml:space="preserve"> port des chaussures;</w:t>
      </w:r>
    </w:p>
    <w:p w:rsidR="001A4057" w:rsidRPr="009B6952" w:rsidRDefault="001A4057" w:rsidP="001A4057">
      <w:pPr>
        <w:pStyle w:val="Bullet2G"/>
      </w:pPr>
      <w:r w:rsidRPr="009B6952">
        <w:t>la prohibition de partager le chalumeau;</w:t>
      </w:r>
    </w:p>
    <w:p w:rsidR="001A4057" w:rsidRPr="009B6952" w:rsidRDefault="001A4057" w:rsidP="001A4057">
      <w:pPr>
        <w:pStyle w:val="Bullet2G"/>
      </w:pPr>
      <w:r w:rsidRPr="009B6952">
        <w:t>la sensibilisation de la bonne hygiène en général;</w:t>
      </w:r>
    </w:p>
    <w:p w:rsidR="001A4057" w:rsidRPr="009B6952" w:rsidRDefault="001A4057" w:rsidP="001A4057">
      <w:pPr>
        <w:pStyle w:val="Bullet2G"/>
      </w:pPr>
      <w:r w:rsidRPr="009B6952">
        <w:t>la construction de latrines remplissant les normes;</w:t>
      </w:r>
    </w:p>
    <w:p w:rsidR="001A4057" w:rsidRPr="009B6952" w:rsidRDefault="001A4057" w:rsidP="001A4057">
      <w:pPr>
        <w:pStyle w:val="Bullet2G"/>
      </w:pPr>
      <w:r w:rsidRPr="009B6952">
        <w:t>la gestion des déchets ménagers.</w:t>
      </w:r>
    </w:p>
    <w:p w:rsidR="001A4057" w:rsidRPr="009B6952" w:rsidRDefault="001A4057" w:rsidP="001A4057">
      <w:pPr>
        <w:pStyle w:val="SingleTxtG"/>
        <w:ind w:firstLine="567"/>
      </w:pPr>
      <w:r>
        <w:t>b)</w:t>
      </w:r>
      <w:r>
        <w:tab/>
      </w:r>
      <w:r w:rsidRPr="009B6952">
        <w:t>En ce qui a trait à l</w:t>
      </w:r>
      <w:r>
        <w:t>’</w:t>
      </w:r>
      <w:r w:rsidRPr="009B6952">
        <w:t>hygiène hospitalière, il y a eu:</w:t>
      </w:r>
    </w:p>
    <w:p w:rsidR="001A4057" w:rsidRPr="009B6952" w:rsidRDefault="001A4057" w:rsidP="001A4057">
      <w:pPr>
        <w:pStyle w:val="Bullet2G"/>
      </w:pPr>
      <w:r w:rsidRPr="009B6952">
        <w:t>l</w:t>
      </w:r>
      <w:r>
        <w:t>’</w:t>
      </w:r>
      <w:r w:rsidRPr="009B6952">
        <w:t>utilisation à usage unique des matériaux médicaux ainsi que leur collecte;</w:t>
      </w:r>
    </w:p>
    <w:p w:rsidR="001A4057" w:rsidRPr="009B6952" w:rsidRDefault="001A4057" w:rsidP="001A4057">
      <w:pPr>
        <w:pStyle w:val="Bullet2G"/>
      </w:pPr>
      <w:r w:rsidRPr="009B6952">
        <w:t>la gestion des déchets biologiques;</w:t>
      </w:r>
    </w:p>
    <w:p w:rsidR="001A4057" w:rsidRPr="009B6952" w:rsidRDefault="001A4057" w:rsidP="001A4057">
      <w:pPr>
        <w:pStyle w:val="Bullet2G"/>
      </w:pPr>
      <w:r w:rsidRPr="009B6952">
        <w:t>la promotion de l</w:t>
      </w:r>
      <w:r>
        <w:t>’</w:t>
      </w:r>
      <w:r w:rsidRPr="009B6952">
        <w:t>hygiène scolaire;</w:t>
      </w:r>
    </w:p>
    <w:p w:rsidR="001A4057" w:rsidRPr="009B6952" w:rsidRDefault="001A4057" w:rsidP="001A4057">
      <w:pPr>
        <w:pStyle w:val="Bullet2G"/>
      </w:pPr>
      <w:r w:rsidRPr="009B6952">
        <w:t>la distribution de 1</w:t>
      </w:r>
      <w:r>
        <w:t xml:space="preserve"> </w:t>
      </w:r>
      <w:r w:rsidRPr="009B6952">
        <w:t xml:space="preserve">500 pièces de lavage des mains dans </w:t>
      </w:r>
      <w:r>
        <w:t>l</w:t>
      </w:r>
      <w:r w:rsidRPr="009B6952">
        <w:t xml:space="preserve">es hôpitaux de district et </w:t>
      </w:r>
      <w:r>
        <w:t xml:space="preserve">les </w:t>
      </w:r>
      <w:r w:rsidRPr="009B6952">
        <w:t>services de santé;</w:t>
      </w:r>
    </w:p>
    <w:p w:rsidR="001A4057" w:rsidRPr="009B6952" w:rsidRDefault="001A4057" w:rsidP="001A4057">
      <w:pPr>
        <w:pStyle w:val="Bullet2G"/>
      </w:pPr>
      <w:r w:rsidRPr="009B6952">
        <w:t xml:space="preserve">la sensibilisation </w:t>
      </w:r>
      <w:r>
        <w:t>au fait</w:t>
      </w:r>
      <w:r w:rsidRPr="009B6952">
        <w:t xml:space="preserve"> d</w:t>
      </w:r>
      <w:r>
        <w:t>’</w:t>
      </w:r>
      <w:r w:rsidRPr="009B6952">
        <w:t>éviter les marécages;</w:t>
      </w:r>
    </w:p>
    <w:p w:rsidR="001A4057" w:rsidRPr="009B6952" w:rsidRDefault="001A4057" w:rsidP="001A4057">
      <w:pPr>
        <w:pStyle w:val="Bullet2G"/>
      </w:pPr>
      <w:r w:rsidRPr="009B6952">
        <w:t>les comités chargés d</w:t>
      </w:r>
      <w:r>
        <w:t>e l’</w:t>
      </w:r>
      <w:r w:rsidRPr="009B6952">
        <w:t xml:space="preserve">inspection sanitaire effectuent régulièrement des inspections dans </w:t>
      </w:r>
      <w:r>
        <w:t>l</w:t>
      </w:r>
      <w:r w:rsidRPr="009B6952">
        <w:t xml:space="preserve">es </w:t>
      </w:r>
      <w:r>
        <w:t>établissements</w:t>
      </w:r>
      <w:r w:rsidRPr="009B6952">
        <w:t xml:space="preserve"> de restauration.</w:t>
      </w:r>
    </w:p>
    <w:p w:rsidR="001A4057" w:rsidRPr="009B6952" w:rsidRDefault="001A4057" w:rsidP="001A4057">
      <w:pPr>
        <w:pStyle w:val="H4G"/>
      </w:pPr>
      <w:r>
        <w:tab/>
      </w:r>
      <w:r>
        <w:tab/>
      </w:r>
      <w:r w:rsidRPr="009B6952">
        <w:t>Mesures pour améliorer l</w:t>
      </w:r>
      <w:r>
        <w:t>’</w:t>
      </w:r>
      <w:r w:rsidRPr="009B6952">
        <w:t>hygiène au travail</w:t>
      </w:r>
    </w:p>
    <w:p w:rsidR="001A4057" w:rsidRPr="009B6952" w:rsidRDefault="001A4057" w:rsidP="001A4057">
      <w:pPr>
        <w:pStyle w:val="SingleTxtG"/>
      </w:pPr>
      <w:r>
        <w:rPr>
          <w:szCs w:val="24"/>
        </w:rPr>
        <w:t>259</w:t>
      </w:r>
      <w:r w:rsidRPr="009B6952">
        <w:rPr>
          <w:szCs w:val="24"/>
        </w:rPr>
        <w:t>.</w:t>
      </w:r>
      <w:r w:rsidRPr="009B6952">
        <w:rPr>
          <w:szCs w:val="24"/>
        </w:rPr>
        <w:tab/>
      </w:r>
      <w:r w:rsidRPr="009B6952">
        <w:t xml:space="preserve">Les mesures prises par le </w:t>
      </w:r>
      <w:r>
        <w:t>Gouvernement</w:t>
      </w:r>
      <w:r w:rsidRPr="009B6952">
        <w:t xml:space="preserve"> pour améliorer l</w:t>
      </w:r>
      <w:r>
        <w:t>’</w:t>
      </w:r>
      <w:r w:rsidRPr="009B6952">
        <w:t>hygiène au travail et par là combattre les maladies professionnelles sont les suivantes</w:t>
      </w:r>
      <w:r w:rsidRPr="00B352B3">
        <w:rPr>
          <w:rStyle w:val="FootnoteReference"/>
        </w:rPr>
        <w:footnoteReference w:id="142"/>
      </w:r>
      <w:r w:rsidRPr="009B6952">
        <w:t>:</w:t>
      </w:r>
    </w:p>
    <w:p w:rsidR="001A4057" w:rsidRPr="009B6952" w:rsidRDefault="001A4057" w:rsidP="001A4057">
      <w:pPr>
        <w:pStyle w:val="SingleTxtG"/>
        <w:ind w:firstLine="567"/>
      </w:pPr>
      <w:r>
        <w:t>a)</w:t>
      </w:r>
      <w:r>
        <w:tab/>
      </w:r>
      <w:r w:rsidRPr="009B6952">
        <w:t>La mise en place de comités de santé et sécurité au travail dans les entreprises.</w:t>
      </w:r>
      <w:r>
        <w:t xml:space="preserve"> </w:t>
      </w:r>
      <w:r w:rsidRPr="009B6952">
        <w:t>L</w:t>
      </w:r>
      <w:r>
        <w:t>’</w:t>
      </w:r>
      <w:r w:rsidRPr="009B6952">
        <w:t>arrêté ministériel portant sur l</w:t>
      </w:r>
      <w:r>
        <w:t>’</w:t>
      </w:r>
      <w:r w:rsidRPr="009B6952">
        <w:t xml:space="preserve">hygiène et </w:t>
      </w:r>
      <w:r>
        <w:t xml:space="preserve">la </w:t>
      </w:r>
      <w:r w:rsidRPr="009B6952">
        <w:t>sécurité du travail est en phase d</w:t>
      </w:r>
      <w:r>
        <w:t>’étude et d’adoption au Parlement;</w:t>
      </w:r>
    </w:p>
    <w:p w:rsidR="001A4057" w:rsidRPr="009B6952" w:rsidRDefault="001A4057" w:rsidP="001A4057">
      <w:pPr>
        <w:pStyle w:val="SingleTxtG"/>
        <w:ind w:firstLine="567"/>
      </w:pPr>
      <w:r>
        <w:t>b)</w:t>
      </w:r>
      <w:r>
        <w:tab/>
      </w:r>
      <w:r w:rsidRPr="009B6952">
        <w:t>La politique en matière de santé et sécurité au travail est en processus d</w:t>
      </w:r>
      <w:r>
        <w:t>’</w:t>
      </w:r>
      <w:r w:rsidRPr="009B6952">
        <w:t xml:space="preserve">élaboration; </w:t>
      </w:r>
    </w:p>
    <w:p w:rsidR="001A4057" w:rsidRPr="009B6952" w:rsidRDefault="001A4057" w:rsidP="001A4057">
      <w:pPr>
        <w:pStyle w:val="SingleTxtG"/>
        <w:ind w:firstLine="567"/>
      </w:pPr>
      <w:r>
        <w:t>c)</w:t>
      </w:r>
      <w:r>
        <w:tab/>
      </w:r>
      <w:r w:rsidRPr="009B6952">
        <w:t>Le renforcement de</w:t>
      </w:r>
      <w:r>
        <w:t>s</w:t>
      </w:r>
      <w:r w:rsidRPr="009B6952">
        <w:t xml:space="preserve"> capacités des inspecteurs d</w:t>
      </w:r>
      <w:r>
        <w:t>u</w:t>
      </w:r>
      <w:r w:rsidRPr="009B6952">
        <w:t xml:space="preserve"> travail;</w:t>
      </w:r>
    </w:p>
    <w:p w:rsidR="001A4057" w:rsidRPr="009B6952" w:rsidRDefault="001A4057" w:rsidP="001A4057">
      <w:pPr>
        <w:pStyle w:val="SingleTxtG"/>
        <w:ind w:firstLine="567"/>
      </w:pPr>
      <w:r>
        <w:t>d)</w:t>
      </w:r>
      <w:r>
        <w:tab/>
      </w:r>
      <w:r w:rsidRPr="009B6952">
        <w:t>Le bilan national de l</w:t>
      </w:r>
      <w:r>
        <w:t>’</w:t>
      </w:r>
      <w:r w:rsidRPr="009B6952">
        <w:t>état des lieux a déjà été complété. Mentionnons aussi qu</w:t>
      </w:r>
      <w:r>
        <w:t>’</w:t>
      </w:r>
      <w:r w:rsidRPr="009B6952">
        <w:t xml:space="preserve">un constat fait lors de ces visites démontre que des comités de santé et sécurité sont déjà en place dans certaines grandes entreprises, surtout </w:t>
      </w:r>
      <w:r>
        <w:t xml:space="preserve">celles </w:t>
      </w:r>
      <w:r w:rsidRPr="009B6952">
        <w:t>qualifiées d</w:t>
      </w:r>
      <w:r>
        <w:t>’</w:t>
      </w:r>
      <w:r w:rsidRPr="009B6952">
        <w:t>entreprises à risque</w:t>
      </w:r>
      <w:r>
        <w:t>;</w:t>
      </w:r>
    </w:p>
    <w:p w:rsidR="001A4057" w:rsidRPr="009B6952" w:rsidRDefault="001A4057" w:rsidP="001A4057">
      <w:pPr>
        <w:pStyle w:val="SingleTxtG"/>
        <w:ind w:firstLine="567"/>
      </w:pPr>
      <w:r>
        <w:t>e)</w:t>
      </w:r>
      <w:r>
        <w:tab/>
      </w:r>
      <w:r w:rsidRPr="009B6952">
        <w:t>En dernier lieu, il y a eu élection des délégués du personnel. Ils veillent à l</w:t>
      </w:r>
      <w:r>
        <w:t>’</w:t>
      </w:r>
      <w:r w:rsidRPr="009B6952">
        <w:t>aspect santé et sécurité dans l</w:t>
      </w:r>
      <w:r>
        <w:t>’</w:t>
      </w:r>
      <w:r w:rsidRPr="009B6952">
        <w:t>entreprise et donnent des conseils à l</w:t>
      </w:r>
      <w:r>
        <w:t>’</w:t>
      </w:r>
      <w:r w:rsidRPr="009B6952">
        <w:t>employeur en cette matière.</w:t>
      </w:r>
    </w:p>
    <w:p w:rsidR="001A4057" w:rsidRPr="009B6952" w:rsidRDefault="001A4057" w:rsidP="001A4057">
      <w:pPr>
        <w:pStyle w:val="H4G"/>
      </w:pPr>
      <w:r>
        <w:tab/>
      </w:r>
      <w:r>
        <w:tab/>
      </w:r>
      <w:r w:rsidRPr="009B6952">
        <w:t xml:space="preserve">Mesures pour </w:t>
      </w:r>
      <w:r>
        <w:t>prévenir</w:t>
      </w:r>
      <w:r w:rsidRPr="009B6952">
        <w:t>, traite</w:t>
      </w:r>
      <w:r>
        <w:t xml:space="preserve">r </w:t>
      </w:r>
      <w:r w:rsidRPr="009B6952">
        <w:t>et combat</w:t>
      </w:r>
      <w:r>
        <w:t>tre l</w:t>
      </w:r>
      <w:r w:rsidRPr="009B6952">
        <w:t>es maladies épidémiques, endémiques et autres</w:t>
      </w:r>
    </w:p>
    <w:p w:rsidR="001A4057" w:rsidRPr="009B6952" w:rsidRDefault="001A4057" w:rsidP="001A4057">
      <w:pPr>
        <w:pStyle w:val="SingleTxtG"/>
      </w:pPr>
      <w:r>
        <w:rPr>
          <w:szCs w:val="24"/>
        </w:rPr>
        <w:t>260</w:t>
      </w:r>
      <w:r w:rsidRPr="009B6952">
        <w:rPr>
          <w:szCs w:val="24"/>
        </w:rPr>
        <w:t>.</w:t>
      </w:r>
      <w:r w:rsidRPr="009B6952">
        <w:rPr>
          <w:szCs w:val="24"/>
        </w:rPr>
        <w:tab/>
      </w:r>
      <w:r w:rsidRPr="009B6952">
        <w:t>P</w:t>
      </w:r>
      <w:r>
        <w:t xml:space="preserve">armi </w:t>
      </w:r>
      <w:r w:rsidRPr="009B6952">
        <w:t xml:space="preserve">les mesures </w:t>
      </w:r>
      <w:r>
        <w:t>adoptées par le</w:t>
      </w:r>
      <w:r w:rsidRPr="009B6952">
        <w:t xml:space="preserve"> </w:t>
      </w:r>
      <w:r>
        <w:t>Gouvernement</w:t>
      </w:r>
      <w:r w:rsidRPr="009B6952">
        <w:t xml:space="preserve"> pour préven</w:t>
      </w:r>
      <w:r>
        <w:t>ir</w:t>
      </w:r>
      <w:r w:rsidRPr="009B6952">
        <w:t>, traite</w:t>
      </w:r>
      <w:r>
        <w:t>r</w:t>
      </w:r>
      <w:r w:rsidRPr="009B6952">
        <w:t xml:space="preserve"> et combat</w:t>
      </w:r>
      <w:r>
        <w:t>tre l</w:t>
      </w:r>
      <w:r w:rsidRPr="009B6952">
        <w:t xml:space="preserve">es maladies épidémiques, endémiques, professionnelles et autres, </w:t>
      </w:r>
      <w:r>
        <w:t>on recense</w:t>
      </w:r>
      <w:r w:rsidRPr="009B6952">
        <w:t xml:space="preserve"> notamment:</w:t>
      </w:r>
    </w:p>
    <w:p w:rsidR="001A4057" w:rsidRPr="009B6952" w:rsidRDefault="001A4057" w:rsidP="001A4057">
      <w:pPr>
        <w:pStyle w:val="SingleTxtG"/>
        <w:ind w:firstLine="567"/>
      </w:pPr>
      <w:r>
        <w:t>a)</w:t>
      </w:r>
      <w:r>
        <w:tab/>
      </w:r>
      <w:r w:rsidRPr="009B6952">
        <w:t xml:space="preserve">Les programmes nationaux de lutte contre les maladies hautement épidémiques comme le </w:t>
      </w:r>
      <w:r>
        <w:t>sida, la malaria et la tuberculose;</w:t>
      </w:r>
    </w:p>
    <w:p w:rsidR="001A4057" w:rsidRPr="009B6952" w:rsidRDefault="001A4057" w:rsidP="001A4057">
      <w:pPr>
        <w:pStyle w:val="SingleTxtG"/>
        <w:ind w:firstLine="567"/>
      </w:pPr>
      <w:r>
        <w:t>b)</w:t>
      </w:r>
      <w:r>
        <w:tab/>
      </w:r>
      <w:r w:rsidRPr="009B6952">
        <w:t>Pour le sida, notons que tous les programmes ci-dessous sont gratuits:</w:t>
      </w:r>
    </w:p>
    <w:p w:rsidR="001A4057" w:rsidRPr="009B6952" w:rsidRDefault="001A4057" w:rsidP="001A4057">
      <w:pPr>
        <w:pStyle w:val="Bullet2G"/>
      </w:pPr>
      <w:r w:rsidRPr="009B6952">
        <w:t>La prévention générale à travers les médias</w:t>
      </w:r>
      <w:r>
        <w:t xml:space="preserve"> </w:t>
      </w:r>
      <w:r w:rsidRPr="009B6952">
        <w:t>(ABC: Abstinence Be faithful et l</w:t>
      </w:r>
      <w:r>
        <w:t>’</w:t>
      </w:r>
      <w:r w:rsidRPr="009B6952">
        <w:t>utilisation des préservatifs);</w:t>
      </w:r>
    </w:p>
    <w:p w:rsidR="001A4057" w:rsidRPr="009B6952" w:rsidRDefault="001A4057" w:rsidP="001A4057">
      <w:pPr>
        <w:pStyle w:val="Bullet2G"/>
      </w:pPr>
      <w:r>
        <w:t>I</w:t>
      </w:r>
      <w:r w:rsidRPr="009B6952">
        <w:t xml:space="preserve">nstauration du Conseil </w:t>
      </w:r>
      <w:r>
        <w:t>et Dépistage volontaire du VIH/s</w:t>
      </w:r>
      <w:r w:rsidRPr="009B6952">
        <w:t xml:space="preserve">ida dans les </w:t>
      </w:r>
      <w:r>
        <w:t>structures</w:t>
      </w:r>
      <w:r w:rsidRPr="009B6952">
        <w:t xml:space="preserve"> sanitaires ou les centres de dépistage et de traitement;</w:t>
      </w:r>
    </w:p>
    <w:p w:rsidR="001A4057" w:rsidRPr="009B6952" w:rsidRDefault="001A4057" w:rsidP="001A4057">
      <w:pPr>
        <w:pStyle w:val="Bullet2G"/>
      </w:pPr>
      <w:r>
        <w:t>L</w:t>
      </w:r>
      <w:r w:rsidRPr="009B6952">
        <w:t>a prévention de la transmission mère-enfant (par le dépistage des femmes enceintes, les couples, la prophylaxie, les ARVs);</w:t>
      </w:r>
    </w:p>
    <w:p w:rsidR="001A4057" w:rsidRPr="009B6952" w:rsidRDefault="001A4057" w:rsidP="001A4057">
      <w:pPr>
        <w:pStyle w:val="Bullet2G"/>
      </w:pPr>
      <w:r>
        <w:t>L</w:t>
      </w:r>
      <w:r w:rsidRPr="009B6952">
        <w:t>es ARVs pour les patients ayant développé le sida clinique;</w:t>
      </w:r>
    </w:p>
    <w:p w:rsidR="001A4057" w:rsidRPr="009B6952" w:rsidRDefault="001A4057" w:rsidP="001A4057">
      <w:pPr>
        <w:pStyle w:val="Bullet2G"/>
      </w:pPr>
      <w:r>
        <w:t>L’</w:t>
      </w:r>
      <w:r w:rsidRPr="009B6952">
        <w:t xml:space="preserve">intégration des services VIH dans tout le système général des soins de santé; </w:t>
      </w:r>
    </w:p>
    <w:p w:rsidR="001A4057" w:rsidRPr="009B6952" w:rsidRDefault="001A4057" w:rsidP="001A4057">
      <w:pPr>
        <w:pStyle w:val="Bullet2G"/>
      </w:pPr>
      <w:r>
        <w:t>L</w:t>
      </w:r>
      <w:r w:rsidRPr="009B6952">
        <w:t>a prise en charge intégrée des maladies de l</w:t>
      </w:r>
      <w:r>
        <w:t>’</w:t>
      </w:r>
      <w:r w:rsidRPr="009B6952">
        <w:t>enfance (clinique et communautaire);</w:t>
      </w:r>
    </w:p>
    <w:p w:rsidR="001A4057" w:rsidRPr="009B6952" w:rsidRDefault="001A4057" w:rsidP="001A4057">
      <w:pPr>
        <w:pStyle w:val="Bullet2G"/>
      </w:pPr>
      <w:r>
        <w:t>I</w:t>
      </w:r>
      <w:r w:rsidRPr="009B6952">
        <w:t xml:space="preserve">nstauration des «Youth-friendly services» </w:t>
      </w:r>
      <w:r>
        <w:t xml:space="preserve">– </w:t>
      </w:r>
      <w:r w:rsidRPr="009B6952">
        <w:t xml:space="preserve">programme destiné aux adolescents encourageant </w:t>
      </w:r>
      <w:r>
        <w:t xml:space="preserve">ces derniers </w:t>
      </w:r>
      <w:r w:rsidRPr="009B6952">
        <w:t>à utiliser les se</w:t>
      </w:r>
      <w:r>
        <w:t>rvices de dépistage volontaire.</w:t>
      </w:r>
    </w:p>
    <w:p w:rsidR="001A4057" w:rsidRPr="009B6952" w:rsidRDefault="001A4057" w:rsidP="001A4057">
      <w:pPr>
        <w:pStyle w:val="SingleTxtG"/>
        <w:ind w:firstLine="567"/>
      </w:pPr>
      <w:r>
        <w:t>c)</w:t>
      </w:r>
      <w:r>
        <w:tab/>
      </w:r>
      <w:r w:rsidRPr="009B6952">
        <w:t>Pour la malaria, il y a:</w:t>
      </w:r>
    </w:p>
    <w:p w:rsidR="001A4057" w:rsidRPr="009B6952" w:rsidRDefault="001A4057" w:rsidP="001A4057">
      <w:pPr>
        <w:pStyle w:val="Bullet2G"/>
      </w:pPr>
      <w:r w:rsidRPr="009B6952">
        <w:t>La distribution de moustiquaires imprégnées d</w:t>
      </w:r>
      <w:r>
        <w:t>’</w:t>
      </w:r>
      <w:r w:rsidRPr="009B6952">
        <w:t xml:space="preserve">insecticide </w:t>
      </w:r>
      <w:r>
        <w:t>aux</w:t>
      </w:r>
      <w:r w:rsidRPr="009B6952">
        <w:t xml:space="preserve"> femmes enceintes et </w:t>
      </w:r>
      <w:r>
        <w:t>aux</w:t>
      </w:r>
      <w:r w:rsidRPr="009B6952">
        <w:t xml:space="preserve"> enfants de moins de cinq ans en priorité; et le traitement prophylactique intermittent chez les femmes enceintes;</w:t>
      </w:r>
    </w:p>
    <w:p w:rsidR="001A4057" w:rsidRPr="009B6952" w:rsidRDefault="001A4057" w:rsidP="001A4057">
      <w:pPr>
        <w:pStyle w:val="Bullet2G"/>
      </w:pPr>
      <w:r w:rsidRPr="009B6952">
        <w:t>Les programmes de pulvérisation intra-domiciliaire;</w:t>
      </w:r>
    </w:p>
    <w:p w:rsidR="001A4057" w:rsidRPr="009B6952" w:rsidRDefault="001A4057" w:rsidP="001A4057">
      <w:pPr>
        <w:pStyle w:val="Bullet2G"/>
      </w:pPr>
      <w:r w:rsidRPr="009B6952">
        <w:t>L</w:t>
      </w:r>
      <w:r>
        <w:t>’</w:t>
      </w:r>
      <w:r w:rsidRPr="009B6952">
        <w:t>utilisation du Coartem subsidié par l</w:t>
      </w:r>
      <w:r>
        <w:t>’</w:t>
      </w:r>
      <w:r w:rsidRPr="009B6952">
        <w:t>État (devrait coûter 8</w:t>
      </w:r>
      <w:r>
        <w:t xml:space="preserve"> </w:t>
      </w:r>
      <w:r w:rsidRPr="009B6952">
        <w:t>000 Frw, mais est accessible à un coût de 200 Frw);</w:t>
      </w:r>
    </w:p>
    <w:p w:rsidR="001A4057" w:rsidRPr="009B6952" w:rsidRDefault="001A4057" w:rsidP="001A4057">
      <w:pPr>
        <w:pStyle w:val="Bullet2G"/>
      </w:pPr>
      <w:r w:rsidRPr="009B6952">
        <w:t>La lutte contre les marécages;</w:t>
      </w:r>
    </w:p>
    <w:p w:rsidR="001A4057" w:rsidRPr="009B6952" w:rsidRDefault="001A4057" w:rsidP="001A4057">
      <w:pPr>
        <w:pStyle w:val="Bullet2G"/>
      </w:pPr>
      <w:r w:rsidRPr="009B6952">
        <w:t>Le Home based management of malaria: la gestion de la fièvre chez l</w:t>
      </w:r>
      <w:r>
        <w:t>’</w:t>
      </w:r>
      <w:r w:rsidRPr="009B6952">
        <w:t>enfant.</w:t>
      </w:r>
    </w:p>
    <w:p w:rsidR="001A4057" w:rsidRPr="009B6952" w:rsidRDefault="001A4057" w:rsidP="001A4057">
      <w:pPr>
        <w:pStyle w:val="SingleTxtG"/>
        <w:ind w:firstLine="567"/>
      </w:pPr>
      <w:r>
        <w:t>d)</w:t>
      </w:r>
      <w:r>
        <w:tab/>
      </w:r>
      <w:r w:rsidRPr="009B6952">
        <w:t>Pour la tuberculose, on a:</w:t>
      </w:r>
    </w:p>
    <w:p w:rsidR="001A4057" w:rsidRPr="009B6952" w:rsidRDefault="001A4057" w:rsidP="001A4057">
      <w:pPr>
        <w:pStyle w:val="Bullet2G"/>
      </w:pPr>
      <w:r w:rsidRPr="009B6952">
        <w:t xml:space="preserve">Le programme de dépistage dans les centres de santé et </w:t>
      </w:r>
      <w:r>
        <w:t xml:space="preserve">dans les </w:t>
      </w:r>
      <w:r w:rsidRPr="009B6952">
        <w:t>hôpitaux;</w:t>
      </w:r>
    </w:p>
    <w:p w:rsidR="001A4057" w:rsidRPr="009B6952" w:rsidRDefault="001A4057" w:rsidP="001A4057">
      <w:pPr>
        <w:pStyle w:val="Bullet2G"/>
      </w:pPr>
      <w:r w:rsidRPr="009B6952">
        <w:t>Le programme communautaire de dépistage ainsi que les centres de dépistage et traitement (tous les centres de santé et hôpitaux de district);</w:t>
      </w:r>
    </w:p>
    <w:p w:rsidR="001A4057" w:rsidRPr="009B6952" w:rsidRDefault="001A4057" w:rsidP="001A4057">
      <w:pPr>
        <w:pStyle w:val="Bullet2G"/>
      </w:pPr>
      <w:r w:rsidRPr="009B6952">
        <w:t>Les DOTS (Direct Oral Treatment strategies) communautaires: la distribution est gratuite;</w:t>
      </w:r>
    </w:p>
    <w:p w:rsidR="001A4057" w:rsidRPr="009B6952" w:rsidRDefault="001A4057" w:rsidP="001A4057">
      <w:pPr>
        <w:pStyle w:val="Bullet2G"/>
      </w:pPr>
      <w:r w:rsidRPr="009B6952">
        <w:t xml:space="preserve">Le programme de dépistage de </w:t>
      </w:r>
      <w:r>
        <w:t xml:space="preserve">la </w:t>
      </w:r>
      <w:r w:rsidRPr="009B6952">
        <w:t xml:space="preserve">tuberculose (TB) multi résistante et la mise en place des centres de santé de TB multi résistante. </w:t>
      </w:r>
    </w:p>
    <w:p w:rsidR="001A4057" w:rsidRPr="009B6952" w:rsidRDefault="001A4057" w:rsidP="001A4057">
      <w:pPr>
        <w:pStyle w:val="SingleTxtG"/>
        <w:ind w:firstLine="567"/>
      </w:pPr>
      <w:r>
        <w:t>e)</w:t>
      </w:r>
      <w:r>
        <w:tab/>
      </w:r>
      <w:r w:rsidRPr="009B6952">
        <w:t>L</w:t>
      </w:r>
      <w:r>
        <w:t>’</w:t>
      </w:r>
      <w:r w:rsidRPr="009B6952">
        <w:t>application des mesures d</w:t>
      </w:r>
      <w:r>
        <w:t>’</w:t>
      </w:r>
      <w:r w:rsidRPr="009B6952">
        <w:t>hygiène citées précédemment;</w:t>
      </w:r>
    </w:p>
    <w:p w:rsidR="001A4057" w:rsidRPr="009B6952" w:rsidRDefault="001A4057" w:rsidP="001A4057">
      <w:pPr>
        <w:pStyle w:val="SingleTxtG"/>
        <w:ind w:firstLine="567"/>
      </w:pPr>
      <w:r>
        <w:t>f)</w:t>
      </w:r>
      <w:r>
        <w:tab/>
      </w:r>
      <w:r w:rsidRPr="009B6952">
        <w:t>Le programme élargi de vaccination;</w:t>
      </w:r>
    </w:p>
    <w:p w:rsidR="001A4057" w:rsidRPr="009B6952" w:rsidRDefault="001A4057" w:rsidP="001A4057">
      <w:pPr>
        <w:pStyle w:val="SingleTxtG"/>
        <w:ind w:firstLine="567"/>
      </w:pPr>
      <w:r>
        <w:t>g)</w:t>
      </w:r>
      <w:r>
        <w:tab/>
        <w:t>L</w:t>
      </w:r>
      <w:r w:rsidRPr="009B6952">
        <w:t>a vaccination contre le pneumocoque (a commencé en 2009);</w:t>
      </w:r>
    </w:p>
    <w:p w:rsidR="001A4057" w:rsidRPr="009B6952" w:rsidRDefault="001A4057" w:rsidP="001A4057">
      <w:pPr>
        <w:pStyle w:val="SingleTxtG"/>
        <w:ind w:firstLine="567"/>
      </w:pPr>
      <w:r>
        <w:t>h)</w:t>
      </w:r>
      <w:r>
        <w:tab/>
        <w:t>L</w:t>
      </w:r>
      <w:r w:rsidRPr="009B6952">
        <w:t>e programme de surveillance contre les maladies (</w:t>
      </w:r>
      <w:r>
        <w:t>É</w:t>
      </w:r>
      <w:r w:rsidRPr="009B6952">
        <w:t xml:space="preserve">bola, </w:t>
      </w:r>
      <w:r>
        <w:t>c</w:t>
      </w:r>
      <w:r w:rsidRPr="009B6952">
        <w:t xml:space="preserve">holéra, dysenterie bacillaire, grippe aviaire, grippe A et autres </w:t>
      </w:r>
      <w:r>
        <w:t xml:space="preserve">maladies </w:t>
      </w:r>
      <w:r w:rsidRPr="009B6952">
        <w:t>dites négligées comme la bilharziose);</w:t>
      </w:r>
    </w:p>
    <w:p w:rsidR="001A4057" w:rsidRPr="009B6952" w:rsidRDefault="001A4057" w:rsidP="001A4057">
      <w:pPr>
        <w:pStyle w:val="SingleTxtG"/>
        <w:ind w:firstLine="567"/>
      </w:pPr>
      <w:r>
        <w:t>i)</w:t>
      </w:r>
      <w:r>
        <w:tab/>
        <w:t>L</w:t>
      </w:r>
      <w:r w:rsidRPr="009B6952">
        <w:t>e contrôle transfrontalier pour lutte</w:t>
      </w:r>
      <w:r>
        <w:t>r</w:t>
      </w:r>
      <w:r w:rsidRPr="009B6952">
        <w:t xml:space="preserve"> contre les maladies à potentiel épidémique (au sein des États de l</w:t>
      </w:r>
      <w:r>
        <w:t>’</w:t>
      </w:r>
      <w:r w:rsidRPr="009B6952">
        <w:t>Afrique de l</w:t>
      </w:r>
      <w:r>
        <w:t>’</w:t>
      </w:r>
      <w:r w:rsidRPr="009B6952">
        <w:t>Est et des pays de la Communauté Économique des Pays des Grand-Lacs).</w:t>
      </w:r>
    </w:p>
    <w:p w:rsidR="001A4057" w:rsidRPr="007C26C2" w:rsidRDefault="001A4057" w:rsidP="001A4057">
      <w:pPr>
        <w:pStyle w:val="H4G"/>
      </w:pPr>
      <w:r>
        <w:tab/>
      </w:r>
      <w:r>
        <w:tab/>
      </w:r>
      <w:r w:rsidRPr="009B6952">
        <w:t xml:space="preserve">Mesures pour assurer à tous des services de santé et </w:t>
      </w:r>
      <w:r>
        <w:t xml:space="preserve">des </w:t>
      </w:r>
      <w:r w:rsidRPr="009B6952">
        <w:t>soins médicaux voulus</w:t>
      </w:r>
    </w:p>
    <w:p w:rsidR="001A4057" w:rsidRPr="009B6952" w:rsidRDefault="001A4057" w:rsidP="001A4057">
      <w:pPr>
        <w:pStyle w:val="SingleTxtG"/>
        <w:keepNext/>
        <w:keepLines/>
      </w:pPr>
      <w:r>
        <w:rPr>
          <w:szCs w:val="24"/>
        </w:rPr>
        <w:t>261</w:t>
      </w:r>
      <w:r w:rsidRPr="009B6952">
        <w:rPr>
          <w:szCs w:val="24"/>
        </w:rPr>
        <w:t>.</w:t>
      </w:r>
      <w:r w:rsidRPr="009B6952">
        <w:rPr>
          <w:szCs w:val="24"/>
        </w:rPr>
        <w:tab/>
      </w:r>
      <w:r w:rsidRPr="009B6952">
        <w:t xml:space="preserve">Les mesures prises par le </w:t>
      </w:r>
      <w:r>
        <w:t>Gouvernement</w:t>
      </w:r>
      <w:r w:rsidRPr="009B6952">
        <w:t xml:space="preserve"> pour assurer à tous des services de santé et des soins médicaux voulus en cas de maladie sont entre autres:</w:t>
      </w:r>
    </w:p>
    <w:p w:rsidR="001A4057" w:rsidRPr="009B6952" w:rsidRDefault="001A4057" w:rsidP="001A4057">
      <w:pPr>
        <w:pStyle w:val="Bullet1G"/>
      </w:pPr>
      <w:r>
        <w:t>L’</w:t>
      </w:r>
      <w:r w:rsidRPr="009B6952">
        <w:t xml:space="preserve">accès géographique </w:t>
      </w:r>
      <w:r>
        <w:t>aux</w:t>
      </w:r>
      <w:r w:rsidRPr="009B6952">
        <w:t xml:space="preserve"> soins de santé (la réhabilitation et </w:t>
      </w:r>
      <w:r>
        <w:t xml:space="preserve">la </w:t>
      </w:r>
      <w:r w:rsidRPr="009B6952">
        <w:t>construction d</w:t>
      </w:r>
      <w:r>
        <w:t>’</w:t>
      </w:r>
      <w:r w:rsidRPr="009B6952">
        <w:t>infrastructures);</w:t>
      </w:r>
    </w:p>
    <w:p w:rsidR="001A4057" w:rsidRPr="009B6952" w:rsidRDefault="001A4057" w:rsidP="001A4057">
      <w:pPr>
        <w:pStyle w:val="Bullet1G"/>
      </w:pPr>
      <w:r>
        <w:t>L</w:t>
      </w:r>
      <w:r w:rsidRPr="009B6952">
        <w:t xml:space="preserve">a formation continue du personnel de santé et </w:t>
      </w:r>
      <w:r>
        <w:t>sa</w:t>
      </w:r>
      <w:r w:rsidRPr="009B6952">
        <w:t xml:space="preserve"> motivation;</w:t>
      </w:r>
    </w:p>
    <w:p w:rsidR="001A4057" w:rsidRPr="009B6952" w:rsidRDefault="001A4057" w:rsidP="001A4057">
      <w:pPr>
        <w:pStyle w:val="Bullet1G"/>
      </w:pPr>
      <w:r>
        <w:t>L’</w:t>
      </w:r>
      <w:r w:rsidRPr="009B6952">
        <w:t xml:space="preserve">augmentation </w:t>
      </w:r>
      <w:r>
        <w:t xml:space="preserve">des effectifs </w:t>
      </w:r>
      <w:r w:rsidRPr="009B6952">
        <w:t>du personnel de santé;</w:t>
      </w:r>
    </w:p>
    <w:p w:rsidR="001A4057" w:rsidRPr="009B6952" w:rsidRDefault="001A4057" w:rsidP="001A4057">
      <w:pPr>
        <w:pStyle w:val="Bullet1G"/>
      </w:pPr>
      <w:r>
        <w:t>L’</w:t>
      </w:r>
      <w:r w:rsidRPr="009B6952">
        <w:t>amélioration de la qualité des services et le Performance Based Financing;</w:t>
      </w:r>
    </w:p>
    <w:p w:rsidR="001A4057" w:rsidRPr="009B6952" w:rsidRDefault="001A4057" w:rsidP="001A4057">
      <w:pPr>
        <w:pStyle w:val="Bullet1G"/>
      </w:pPr>
      <w:r>
        <w:t>L</w:t>
      </w:r>
      <w:r w:rsidRPr="009B6952">
        <w:t>es subventions de l</w:t>
      </w:r>
      <w:r>
        <w:t>’</w:t>
      </w:r>
      <w:r w:rsidRPr="009B6952">
        <w:t>État pour certaines maladies;</w:t>
      </w:r>
    </w:p>
    <w:p w:rsidR="001A4057" w:rsidRPr="009B6952" w:rsidRDefault="001A4057" w:rsidP="001A4057">
      <w:pPr>
        <w:pStyle w:val="Bullet1G"/>
      </w:pPr>
      <w:r>
        <w:t>L’É</w:t>
      </w:r>
      <w:r w:rsidRPr="009B6952">
        <w:t xml:space="preserve">tat paie pour les </w:t>
      </w:r>
      <w:r>
        <w:t>personnes</w:t>
      </w:r>
      <w:r w:rsidRPr="009B6952">
        <w:t xml:space="preserve"> indigentes qui ne peuvent </w:t>
      </w:r>
      <w:r>
        <w:t xml:space="preserve">pas </w:t>
      </w:r>
      <w:r w:rsidRPr="009B6952">
        <w:t xml:space="preserve">se procurer une couverture de la mutuelle de santé (en 2006 </w:t>
      </w:r>
      <w:r>
        <w:t>leur</w:t>
      </w:r>
      <w:r w:rsidRPr="009B6952">
        <w:t xml:space="preserve"> nombre était de 803</w:t>
      </w:r>
      <w:r>
        <w:t xml:space="preserve"> </w:t>
      </w:r>
      <w:r w:rsidRPr="009B6952">
        <w:t>500 et de 714</w:t>
      </w:r>
      <w:r>
        <w:t xml:space="preserve"> </w:t>
      </w:r>
      <w:r w:rsidRPr="009B6952">
        <w:t>250 en 2007/08)</w:t>
      </w:r>
      <w:r w:rsidRPr="00B352B3">
        <w:rPr>
          <w:rStyle w:val="FootnoteReference"/>
        </w:rPr>
        <w:footnoteReference w:id="143"/>
      </w:r>
      <w:r w:rsidRPr="009B6952">
        <w:t>;</w:t>
      </w:r>
    </w:p>
    <w:p w:rsidR="001A4057" w:rsidRPr="009B6952" w:rsidRDefault="001A4057" w:rsidP="001A4057">
      <w:pPr>
        <w:pStyle w:val="Bullet1G"/>
      </w:pPr>
      <w:r w:rsidRPr="009B6952">
        <w:t>Un système d</w:t>
      </w:r>
      <w:r>
        <w:t>’</w:t>
      </w:r>
      <w:r w:rsidRPr="009B6952">
        <w:t xml:space="preserve">assurance médicale (comme RAMA ou </w:t>
      </w:r>
      <w:r w:rsidRPr="004D4CDD">
        <w:t>MMI</w:t>
      </w:r>
      <w:r w:rsidRPr="009B6952">
        <w:t xml:space="preserve">) </w:t>
      </w:r>
      <w:r>
        <w:t xml:space="preserve">a été mis en place </w:t>
      </w:r>
      <w:r w:rsidRPr="009B6952">
        <w:t>afin d</w:t>
      </w:r>
      <w:r>
        <w:t>’</w:t>
      </w:r>
      <w:r w:rsidRPr="009B6952">
        <w:t>améliorer l</w:t>
      </w:r>
      <w:r>
        <w:t>’</w:t>
      </w:r>
      <w:r w:rsidRPr="009B6952">
        <w:t>accessibilité financière aux soins de santé.</w:t>
      </w:r>
    </w:p>
    <w:p w:rsidR="001A4057" w:rsidRPr="009B6952" w:rsidRDefault="001A4057" w:rsidP="001A4057">
      <w:pPr>
        <w:pStyle w:val="H4G"/>
      </w:pPr>
      <w:r>
        <w:tab/>
      </w:r>
      <w:r>
        <w:tab/>
      </w:r>
      <w:r w:rsidRPr="009B6952">
        <w:t xml:space="preserve">Effets de toutes ces mesures </w:t>
      </w:r>
    </w:p>
    <w:p w:rsidR="001A4057" w:rsidRPr="009B6952" w:rsidRDefault="001A4057" w:rsidP="001A4057">
      <w:pPr>
        <w:pStyle w:val="SingleTxtG"/>
      </w:pPr>
      <w:r w:rsidRPr="009B6952">
        <w:rPr>
          <w:szCs w:val="24"/>
        </w:rPr>
        <w:t>26</w:t>
      </w:r>
      <w:r>
        <w:rPr>
          <w:szCs w:val="24"/>
        </w:rPr>
        <w:t>2</w:t>
      </w:r>
      <w:r w:rsidRPr="009B6952">
        <w:rPr>
          <w:szCs w:val="24"/>
        </w:rPr>
        <w:t>.</w:t>
      </w:r>
      <w:r w:rsidRPr="009B6952">
        <w:rPr>
          <w:szCs w:val="24"/>
        </w:rPr>
        <w:tab/>
      </w:r>
      <w:r w:rsidRPr="009B6952">
        <w:t xml:space="preserve">Les effets des mesures </w:t>
      </w:r>
      <w:r>
        <w:t xml:space="preserve">qui ont été </w:t>
      </w:r>
      <w:r w:rsidRPr="009B6952">
        <w:t>prises sur la situation des groupes vulnérables et désavantagés de la société sont:</w:t>
      </w:r>
    </w:p>
    <w:p w:rsidR="001A4057" w:rsidRPr="009B6952" w:rsidRDefault="001A4057" w:rsidP="001A4057">
      <w:pPr>
        <w:pStyle w:val="SingleTxtG"/>
        <w:ind w:firstLine="567"/>
      </w:pPr>
      <w:r>
        <w:t>a)</w:t>
      </w:r>
      <w:r>
        <w:tab/>
      </w:r>
      <w:r w:rsidRPr="009B6952">
        <w:t>L</w:t>
      </w:r>
      <w:r>
        <w:t>’</w:t>
      </w:r>
      <w:r w:rsidRPr="009B6952">
        <w:t>amélioration des indicateurs de la santé comme indiqué dans le tableau des indicateurs ci-haut;</w:t>
      </w:r>
    </w:p>
    <w:p w:rsidR="001A4057" w:rsidRPr="009B6952" w:rsidRDefault="001A4057" w:rsidP="001A4057">
      <w:pPr>
        <w:pStyle w:val="SingleTxtG"/>
        <w:ind w:firstLine="567"/>
      </w:pPr>
      <w:r>
        <w:t>b)</w:t>
      </w:r>
      <w:r>
        <w:tab/>
      </w:r>
      <w:r w:rsidRPr="009B6952">
        <w:t>L</w:t>
      </w:r>
      <w:r>
        <w:t>’</w:t>
      </w:r>
      <w:r w:rsidRPr="009B6952">
        <w:t>utilisation des services de santé: les mutuelles de santé sont surtout bénéfiques pour les populations vulnérables</w:t>
      </w:r>
      <w:r>
        <w:t>.</w:t>
      </w:r>
    </w:p>
    <w:p w:rsidR="001A4057" w:rsidRPr="007C26C2" w:rsidRDefault="001A4057" w:rsidP="001A4057">
      <w:pPr>
        <w:pStyle w:val="H4G"/>
      </w:pPr>
      <w:r>
        <w:tab/>
      </w:r>
      <w:r>
        <w:tab/>
      </w:r>
      <w:r w:rsidRPr="009B6952">
        <w:t xml:space="preserve">Difficultés rencontrées </w:t>
      </w:r>
    </w:p>
    <w:p w:rsidR="001A4057" w:rsidRPr="009B6952" w:rsidRDefault="001A4057" w:rsidP="001A4057">
      <w:pPr>
        <w:pStyle w:val="SingleTxtG"/>
      </w:pPr>
      <w:r>
        <w:rPr>
          <w:szCs w:val="24"/>
        </w:rPr>
        <w:t>263</w:t>
      </w:r>
      <w:r w:rsidRPr="009B6952">
        <w:rPr>
          <w:szCs w:val="24"/>
        </w:rPr>
        <w:t>.</w:t>
      </w:r>
      <w:r w:rsidRPr="009B6952">
        <w:rPr>
          <w:szCs w:val="24"/>
        </w:rPr>
        <w:tab/>
      </w:r>
      <w:r w:rsidRPr="009B6952">
        <w:t xml:space="preserve">Parmi les échecs et </w:t>
      </w:r>
      <w:r>
        <w:t xml:space="preserve">les </w:t>
      </w:r>
      <w:r w:rsidRPr="009B6952">
        <w:t xml:space="preserve">difficultés </w:t>
      </w:r>
      <w:r>
        <w:t xml:space="preserve">rencontrés dans le cadre </w:t>
      </w:r>
      <w:r w:rsidRPr="009B6952">
        <w:t>de ces mesures, notons:</w:t>
      </w:r>
    </w:p>
    <w:p w:rsidR="001A4057" w:rsidRPr="009B6952" w:rsidRDefault="001A4057" w:rsidP="001A4057">
      <w:pPr>
        <w:pStyle w:val="SingleTxtG"/>
        <w:ind w:firstLine="567"/>
      </w:pPr>
      <w:r>
        <w:t>a)</w:t>
      </w:r>
      <w:r>
        <w:tab/>
        <w:t>L’</w:t>
      </w:r>
      <w:r w:rsidRPr="009B6952">
        <w:t>utilisation des soins post-nataux est encore réduite;</w:t>
      </w:r>
    </w:p>
    <w:p w:rsidR="001A4057" w:rsidRPr="009B6952" w:rsidRDefault="001A4057" w:rsidP="001A4057">
      <w:pPr>
        <w:pStyle w:val="SingleTxtG"/>
        <w:ind w:firstLine="567"/>
      </w:pPr>
      <w:r>
        <w:t>b)</w:t>
      </w:r>
      <w:r>
        <w:tab/>
        <w:t>L</w:t>
      </w:r>
      <w:r w:rsidRPr="009B6952">
        <w:t>a planification familiale n</w:t>
      </w:r>
      <w:r>
        <w:t>’</w:t>
      </w:r>
      <w:r w:rsidRPr="009B6952">
        <w:t xml:space="preserve">est pas encore tout à fait acceptée </w:t>
      </w:r>
      <w:r>
        <w:t>ni</w:t>
      </w:r>
      <w:r w:rsidRPr="009B6952">
        <w:t xml:space="preserve"> bien reçue par tous, du fait de certaines croyances religieuses ou par crainte des effets secondaires des médicaments;</w:t>
      </w:r>
    </w:p>
    <w:p w:rsidR="001A4057" w:rsidRPr="009B6952" w:rsidRDefault="001A4057" w:rsidP="001A4057">
      <w:pPr>
        <w:pStyle w:val="SingleTxtG"/>
        <w:ind w:firstLine="567"/>
      </w:pPr>
      <w:r>
        <w:t>c)</w:t>
      </w:r>
      <w:r>
        <w:tab/>
      </w:r>
      <w:r w:rsidRPr="009B6952">
        <w:t xml:space="preserve">La qualité du personnel médical </w:t>
      </w:r>
      <w:r>
        <w:t xml:space="preserve">n’est </w:t>
      </w:r>
      <w:r w:rsidRPr="009B6952">
        <w:t>pas encore au point;</w:t>
      </w:r>
    </w:p>
    <w:p w:rsidR="001A4057" w:rsidRPr="009B6952" w:rsidRDefault="001A4057" w:rsidP="001A4057">
      <w:pPr>
        <w:pStyle w:val="SingleTxtG"/>
        <w:ind w:firstLine="567"/>
      </w:pPr>
      <w:r>
        <w:t>d)</w:t>
      </w:r>
      <w:r>
        <w:tab/>
      </w:r>
      <w:r w:rsidRPr="009B6952">
        <w:t>Les contraintes budgétaires.</w:t>
      </w:r>
    </w:p>
    <w:p w:rsidR="001A4057" w:rsidRPr="007C26C2" w:rsidRDefault="001A4057" w:rsidP="001A4057">
      <w:pPr>
        <w:pStyle w:val="H4G"/>
      </w:pPr>
      <w:r>
        <w:tab/>
      </w:r>
      <w:r>
        <w:tab/>
      </w:r>
      <w:r w:rsidRPr="009B6952">
        <w:t>D</w:t>
      </w:r>
      <w:r>
        <w:t>’</w:t>
      </w:r>
      <w:r w:rsidRPr="009B6952">
        <w:t xml:space="preserve">autres mesures </w:t>
      </w:r>
      <w:r>
        <w:t>en faveur d</w:t>
      </w:r>
      <w:r w:rsidRPr="009B6952">
        <w:t xml:space="preserve">es personnes âgées </w:t>
      </w:r>
    </w:p>
    <w:p w:rsidR="001A4057" w:rsidRPr="009B6952" w:rsidRDefault="001A4057" w:rsidP="001A4057">
      <w:pPr>
        <w:pStyle w:val="SingleTxtG"/>
      </w:pPr>
      <w:r>
        <w:rPr>
          <w:szCs w:val="24"/>
        </w:rPr>
        <w:t>264</w:t>
      </w:r>
      <w:r w:rsidRPr="009B6952">
        <w:rPr>
          <w:szCs w:val="24"/>
        </w:rPr>
        <w:t>.</w:t>
      </w:r>
      <w:r w:rsidRPr="009B6952">
        <w:rPr>
          <w:szCs w:val="24"/>
        </w:rPr>
        <w:tab/>
      </w:r>
      <w:r w:rsidRPr="009B6952">
        <w:t xml:space="preserve">Pour garantir que la hausse du coût des soins de santé ne porte pas atteinte au droit des personnes âgées, le </w:t>
      </w:r>
      <w:r>
        <w:t>Gouvernement</w:t>
      </w:r>
      <w:r w:rsidRPr="009B6952">
        <w:t xml:space="preserve"> a entrepris ce qui suit:</w:t>
      </w:r>
    </w:p>
    <w:p w:rsidR="001A4057" w:rsidRPr="009B6952" w:rsidRDefault="001A4057" w:rsidP="001A4057">
      <w:pPr>
        <w:pStyle w:val="SingleTxtG"/>
        <w:ind w:firstLine="567"/>
      </w:pPr>
      <w:r>
        <w:t>a)</w:t>
      </w:r>
      <w:r>
        <w:tab/>
      </w:r>
      <w:r w:rsidRPr="009B6952">
        <w:t>L</w:t>
      </w:r>
      <w:r>
        <w:t>’</w:t>
      </w:r>
      <w:r w:rsidRPr="009B6952">
        <w:t>État subvention</w:t>
      </w:r>
      <w:r>
        <w:t>ne</w:t>
      </w:r>
      <w:r w:rsidRPr="009B6952">
        <w:t xml:space="preserve"> </w:t>
      </w:r>
      <w:r>
        <w:t>l</w:t>
      </w:r>
      <w:r w:rsidRPr="009B6952">
        <w:t>es médicaments</w:t>
      </w:r>
      <w:r>
        <w:t>:</w:t>
      </w:r>
      <w:r w:rsidRPr="009B6952">
        <w:t xml:space="preserve"> les taxes sont </w:t>
      </w:r>
      <w:r>
        <w:t>supprimées</w:t>
      </w:r>
      <w:r w:rsidRPr="009B6952">
        <w:t xml:space="preserve"> </w:t>
      </w:r>
      <w:r>
        <w:t>sur</w:t>
      </w:r>
      <w:r w:rsidRPr="009B6952">
        <w:t xml:space="preserve"> les médicaments essentiels;</w:t>
      </w:r>
    </w:p>
    <w:p w:rsidR="001A4057" w:rsidRPr="009B6952" w:rsidRDefault="001A4057" w:rsidP="001A4057">
      <w:pPr>
        <w:pStyle w:val="SingleTxtG"/>
        <w:ind w:firstLine="567"/>
      </w:pPr>
      <w:r>
        <w:t>b)</w:t>
      </w:r>
      <w:r>
        <w:tab/>
      </w:r>
      <w:r w:rsidRPr="009B6952">
        <w:t>Les prix des prestations sont fixés par l</w:t>
      </w:r>
      <w:r>
        <w:t>’</w:t>
      </w:r>
      <w:r w:rsidRPr="009B6952">
        <w:t>État;</w:t>
      </w:r>
    </w:p>
    <w:p w:rsidR="001A4057" w:rsidRPr="009B6952" w:rsidRDefault="001A4057" w:rsidP="001A4057">
      <w:pPr>
        <w:pStyle w:val="SingleTxtG"/>
        <w:ind w:firstLine="567"/>
      </w:pPr>
      <w:r>
        <w:t>c)</w:t>
      </w:r>
      <w:r>
        <w:tab/>
      </w:r>
      <w:r w:rsidRPr="009B6952">
        <w:t>L</w:t>
      </w:r>
      <w:r>
        <w:t>’</w:t>
      </w:r>
      <w:r w:rsidRPr="009B6952">
        <w:t xml:space="preserve">assistance </w:t>
      </w:r>
      <w:r>
        <w:t xml:space="preserve">se fait par le biais </w:t>
      </w:r>
      <w:r w:rsidRPr="009B6952">
        <w:t>de</w:t>
      </w:r>
      <w:r>
        <w:t>s</w:t>
      </w:r>
      <w:r w:rsidRPr="009B6952">
        <w:t xml:space="preserve"> mutuelles de santé.</w:t>
      </w:r>
    </w:p>
    <w:p w:rsidR="001A4057" w:rsidRPr="007C26C2" w:rsidRDefault="001A4057" w:rsidP="001A4057">
      <w:pPr>
        <w:pStyle w:val="H4G"/>
      </w:pPr>
      <w:r>
        <w:tab/>
      </w:r>
      <w:r>
        <w:tab/>
      </w:r>
      <w:r w:rsidRPr="009B6952">
        <w:t>La participation de la communauté</w:t>
      </w:r>
    </w:p>
    <w:p w:rsidR="001A4057" w:rsidRPr="009B6952" w:rsidRDefault="001A4057" w:rsidP="001A4057">
      <w:pPr>
        <w:pStyle w:val="SingleTxtG"/>
      </w:pPr>
      <w:r>
        <w:rPr>
          <w:szCs w:val="24"/>
        </w:rPr>
        <w:t>265</w:t>
      </w:r>
      <w:r w:rsidRPr="009B6952">
        <w:rPr>
          <w:szCs w:val="24"/>
        </w:rPr>
        <w:t>.</w:t>
      </w:r>
      <w:r w:rsidRPr="009B6952">
        <w:rPr>
          <w:szCs w:val="24"/>
        </w:rPr>
        <w:tab/>
      </w:r>
      <w:r w:rsidRPr="009B6952">
        <w:t>La participation de la communauté se fait de la manière suivante:</w:t>
      </w:r>
    </w:p>
    <w:p w:rsidR="001A4057" w:rsidRPr="009B6952" w:rsidRDefault="001A4057" w:rsidP="001A4057">
      <w:pPr>
        <w:pStyle w:val="SingleTxtG"/>
        <w:ind w:firstLine="567"/>
      </w:pPr>
      <w:r>
        <w:t>a)</w:t>
      </w:r>
      <w:r>
        <w:tab/>
      </w:r>
      <w:r w:rsidRPr="009B6952">
        <w:t>Les hôpitaux de district et les centres de santé sont autonomes</w:t>
      </w:r>
      <w:r>
        <w:t xml:space="preserve"> et dotés d’</w:t>
      </w:r>
      <w:r w:rsidRPr="009B6952">
        <w:t>un conseil d</w:t>
      </w:r>
      <w:r>
        <w:t>’</w:t>
      </w:r>
      <w:r w:rsidRPr="009B6952">
        <w:t>administration élu par la communauté et de comités de santé;</w:t>
      </w:r>
    </w:p>
    <w:p w:rsidR="001A4057" w:rsidRPr="009B6952" w:rsidRDefault="001A4057" w:rsidP="001A4057">
      <w:pPr>
        <w:pStyle w:val="SingleTxtG"/>
        <w:ind w:firstLine="567"/>
      </w:pPr>
      <w:r>
        <w:t>b)</w:t>
      </w:r>
      <w:r>
        <w:tab/>
        <w:t>L</w:t>
      </w:r>
      <w:r w:rsidRPr="009B6952">
        <w:t>a population participe par le biais de ces comités.</w:t>
      </w:r>
    </w:p>
    <w:p w:rsidR="001A4057" w:rsidRPr="007C26C2" w:rsidRDefault="001A4057" w:rsidP="001A4057">
      <w:pPr>
        <w:pStyle w:val="H4G"/>
        <w:rPr>
          <w:b/>
        </w:rPr>
      </w:pPr>
      <w:r>
        <w:tab/>
      </w:r>
      <w:r>
        <w:tab/>
      </w:r>
      <w:r w:rsidRPr="009B6952">
        <w:t>Diffusion de l</w:t>
      </w:r>
      <w:r>
        <w:t>’</w:t>
      </w:r>
      <w:r w:rsidRPr="009B6952">
        <w:t xml:space="preserve">information </w:t>
      </w:r>
    </w:p>
    <w:p w:rsidR="001A4057" w:rsidRPr="009B6952" w:rsidRDefault="001A4057" w:rsidP="001A4057">
      <w:pPr>
        <w:pStyle w:val="SingleTxtG"/>
      </w:pPr>
      <w:r w:rsidRPr="009B6952">
        <w:rPr>
          <w:szCs w:val="24"/>
        </w:rPr>
        <w:t>26</w:t>
      </w:r>
      <w:r>
        <w:rPr>
          <w:szCs w:val="24"/>
        </w:rPr>
        <w:t>6</w:t>
      </w:r>
      <w:r w:rsidRPr="009B6952">
        <w:rPr>
          <w:szCs w:val="24"/>
        </w:rPr>
        <w:t>.</w:t>
      </w:r>
      <w:r w:rsidRPr="009B6952">
        <w:rPr>
          <w:szCs w:val="24"/>
        </w:rPr>
        <w:tab/>
      </w:r>
      <w:r w:rsidRPr="009B6952">
        <w:t>La population est informée par les agents de santé communautaire</w:t>
      </w:r>
      <w:r>
        <w:t xml:space="preserve"> comme suit</w:t>
      </w:r>
      <w:r w:rsidRPr="009B6952">
        <w:t>:</w:t>
      </w:r>
    </w:p>
    <w:p w:rsidR="001A4057" w:rsidRPr="009B6952" w:rsidRDefault="001A4057" w:rsidP="001A4057">
      <w:pPr>
        <w:pStyle w:val="SingleTxtG"/>
        <w:ind w:firstLine="567"/>
      </w:pPr>
      <w:r>
        <w:t>a)</w:t>
      </w:r>
      <w:r>
        <w:tab/>
      </w:r>
      <w:r w:rsidRPr="009B6952">
        <w:t>Par le biais des campagnes de sensibilisation;</w:t>
      </w:r>
    </w:p>
    <w:p w:rsidR="001A4057" w:rsidRPr="009B6952" w:rsidRDefault="001A4057" w:rsidP="001A4057">
      <w:pPr>
        <w:pStyle w:val="SingleTxtG"/>
        <w:ind w:firstLine="567"/>
      </w:pPr>
      <w:r>
        <w:t>b)</w:t>
      </w:r>
      <w:r>
        <w:tab/>
      </w:r>
      <w:r w:rsidRPr="009B6952">
        <w:t xml:space="preserve">Lors des réunions </w:t>
      </w:r>
      <w:r>
        <w:t xml:space="preserve">qui </w:t>
      </w:r>
      <w:r w:rsidRPr="009B6952">
        <w:t>se déroul</w:t>
      </w:r>
      <w:r>
        <w:t>e</w:t>
      </w:r>
      <w:r w:rsidRPr="009B6952">
        <w:t>nt après avoir performé les travaux communautaires;</w:t>
      </w:r>
    </w:p>
    <w:p w:rsidR="001A4057" w:rsidRPr="009B6952" w:rsidRDefault="001A4057" w:rsidP="001A4057">
      <w:pPr>
        <w:pStyle w:val="SingleTxtG"/>
        <w:ind w:firstLine="567"/>
      </w:pPr>
      <w:r>
        <w:t>c)</w:t>
      </w:r>
      <w:r>
        <w:tab/>
        <w:t>Les «</w:t>
      </w:r>
      <w:r w:rsidRPr="009B6952">
        <w:t>Youth Friendly Services</w:t>
      </w:r>
      <w:r>
        <w:t>» s’occupent</w:t>
      </w:r>
      <w:r w:rsidRPr="009B6952">
        <w:t xml:space="preserve"> </w:t>
      </w:r>
      <w:r>
        <w:t>d</w:t>
      </w:r>
      <w:r w:rsidRPr="009B6952">
        <w:t>es problèmes de santé reproductive de la jeunesse;</w:t>
      </w:r>
    </w:p>
    <w:p w:rsidR="001A4057" w:rsidRPr="009B6952" w:rsidRDefault="001A4057" w:rsidP="001A4057">
      <w:pPr>
        <w:pStyle w:val="SingleTxtG"/>
        <w:ind w:firstLine="567"/>
      </w:pPr>
      <w:r>
        <w:t>d)</w:t>
      </w:r>
      <w:r>
        <w:tab/>
      </w:r>
      <w:r w:rsidRPr="009B6952">
        <w:t>Les média (radio, télévision, journaux)</w:t>
      </w:r>
      <w:r>
        <w:t xml:space="preserve"> </w:t>
      </w:r>
      <w:r w:rsidRPr="009B6952">
        <w:t xml:space="preserve">permettent à la population de rester informée </w:t>
      </w:r>
      <w:r>
        <w:t>d</w:t>
      </w:r>
      <w:r w:rsidRPr="009B6952">
        <w:t>es problèmes de santé</w:t>
      </w:r>
      <w:r>
        <w:t xml:space="preserve"> –</w:t>
      </w:r>
      <w:r w:rsidRPr="009B6952">
        <w:t xml:space="preserve"> la planification familiale, la santé de la mère, la nutrition. En 2008</w:t>
      </w:r>
      <w:r>
        <w:t>,</w:t>
      </w:r>
      <w:r w:rsidRPr="009B6952">
        <w:t xml:space="preserve"> il y a eu 250 animations radio </w:t>
      </w:r>
      <w:r>
        <w:t>consacrées aux</w:t>
      </w:r>
      <w:r w:rsidRPr="009B6952">
        <w:t xml:space="preserve"> maladies transmissibles; </w:t>
      </w:r>
    </w:p>
    <w:p w:rsidR="001A4057" w:rsidRPr="009B6952" w:rsidRDefault="001A4057" w:rsidP="001A4057">
      <w:pPr>
        <w:pStyle w:val="SingleTxtG"/>
        <w:ind w:firstLine="567"/>
      </w:pPr>
      <w:r>
        <w:t>e)</w:t>
      </w:r>
      <w:r>
        <w:tab/>
      </w:r>
      <w:r w:rsidRPr="009B6952">
        <w:t>Des copies d</w:t>
      </w:r>
      <w:r>
        <w:t>u</w:t>
      </w:r>
      <w:r w:rsidRPr="009B6952">
        <w:t xml:space="preserve"> périodique du Ministère de la santé </w:t>
      </w:r>
      <w:r>
        <w:t>«</w:t>
      </w:r>
      <w:r w:rsidRPr="009B6952">
        <w:t>Urubuga rw</w:t>
      </w:r>
      <w:r>
        <w:t>’</w:t>
      </w:r>
      <w:r w:rsidRPr="009B6952">
        <w:t>Ubuzima</w:t>
      </w:r>
      <w:r>
        <w:t>»</w:t>
      </w:r>
      <w:r w:rsidRPr="009B6952">
        <w:t xml:space="preserve"> sont réguliè</w:t>
      </w:r>
      <w:r>
        <w:t>rement produites et distribuées;</w:t>
      </w:r>
    </w:p>
    <w:p w:rsidR="001A4057" w:rsidRPr="009B6952" w:rsidRDefault="001A4057" w:rsidP="001A4057">
      <w:pPr>
        <w:pStyle w:val="SingleTxtG"/>
        <w:ind w:firstLine="567"/>
      </w:pPr>
      <w:r>
        <w:t>f)</w:t>
      </w:r>
      <w:r>
        <w:tab/>
        <w:t>U</w:t>
      </w:r>
      <w:r w:rsidRPr="009B6952">
        <w:t xml:space="preserve">ne politique nationale de communication </w:t>
      </w:r>
      <w:r>
        <w:t xml:space="preserve">prônant de </w:t>
      </w:r>
      <w:r w:rsidRPr="009B6952">
        <w:t>change</w:t>
      </w:r>
      <w:r>
        <w:t xml:space="preserve">r les </w:t>
      </w:r>
      <w:r w:rsidRPr="009B6952">
        <w:t xml:space="preserve">comportements (2006) </w:t>
      </w:r>
      <w:r>
        <w:t xml:space="preserve">a </w:t>
      </w:r>
      <w:r w:rsidRPr="009B6952">
        <w:t>perm</w:t>
      </w:r>
      <w:r>
        <w:t xml:space="preserve">is </w:t>
      </w:r>
      <w:r w:rsidRPr="009B6952">
        <w:t>à la population d</w:t>
      </w:r>
      <w:r>
        <w:t>’</w:t>
      </w:r>
      <w:r w:rsidRPr="009B6952">
        <w:t>être informée sur divers sujets de santé</w:t>
      </w:r>
      <w:r>
        <w:t>;</w:t>
      </w:r>
    </w:p>
    <w:p w:rsidR="001A4057" w:rsidRPr="009B6952" w:rsidRDefault="001A4057" w:rsidP="001A4057">
      <w:pPr>
        <w:pStyle w:val="SingleTxtG"/>
        <w:ind w:firstLine="567"/>
      </w:pPr>
      <w:r>
        <w:t>g)</w:t>
      </w:r>
      <w:r>
        <w:tab/>
      </w:r>
      <w:r w:rsidRPr="009B6952">
        <w:t xml:space="preserve">La transmission et </w:t>
      </w:r>
      <w:r>
        <w:t xml:space="preserve">la </w:t>
      </w:r>
      <w:r w:rsidRPr="009B6952">
        <w:t>di</w:t>
      </w:r>
      <w:r>
        <w:t xml:space="preserve">ffusion </w:t>
      </w:r>
      <w:r w:rsidRPr="009B6952">
        <w:t>des messages santé sur des panneaux publicitaires ou sur des autobus;</w:t>
      </w:r>
    </w:p>
    <w:p w:rsidR="001A4057" w:rsidRPr="009B6952" w:rsidRDefault="001A4057" w:rsidP="001A4057">
      <w:pPr>
        <w:pStyle w:val="SingleTxtG"/>
        <w:ind w:firstLine="567"/>
      </w:pPr>
      <w:r>
        <w:t>h)</w:t>
      </w:r>
      <w:r>
        <w:tab/>
      </w:r>
      <w:r w:rsidRPr="009B6952">
        <w:t xml:space="preserve">Il </w:t>
      </w:r>
      <w:r>
        <w:t>y a</w:t>
      </w:r>
      <w:r w:rsidRPr="009B6952">
        <w:t xml:space="preserve"> aussi </w:t>
      </w:r>
      <w:r>
        <w:t>l</w:t>
      </w:r>
      <w:r w:rsidRPr="009B6952">
        <w:t xml:space="preserve">es initiatives privées des organisations non gouvernementales et </w:t>
      </w:r>
      <w:r>
        <w:t xml:space="preserve">des organisations de </w:t>
      </w:r>
      <w:r w:rsidRPr="009B6952">
        <w:t xml:space="preserve">confession religieuse, </w:t>
      </w:r>
      <w:r>
        <w:t>et les initiatives</w:t>
      </w:r>
      <w:r w:rsidRPr="009B6952">
        <w:t xml:space="preserve"> des organisations de lutte contre le sida chargées d</w:t>
      </w:r>
      <w:r>
        <w:t>’</w:t>
      </w:r>
      <w:r w:rsidRPr="009B6952">
        <w:t>éduquer la population sur cette maladie</w:t>
      </w:r>
      <w:r>
        <w:t>;</w:t>
      </w:r>
    </w:p>
    <w:p w:rsidR="001A4057" w:rsidRPr="009B6952" w:rsidRDefault="001A4057" w:rsidP="001A4057">
      <w:pPr>
        <w:pStyle w:val="SingleTxtG"/>
        <w:ind w:firstLine="567"/>
      </w:pPr>
      <w:r>
        <w:t>i)</w:t>
      </w:r>
      <w:r>
        <w:tab/>
      </w:r>
      <w:r w:rsidRPr="009B6952">
        <w:t>Les clubs des jeunes anti-sida</w:t>
      </w:r>
      <w:r>
        <w:t>,</w:t>
      </w:r>
      <w:r w:rsidRPr="009B6952">
        <w:t xml:space="preserve"> dans les écoles</w:t>
      </w:r>
      <w:r>
        <w:t>,</w:t>
      </w:r>
      <w:r w:rsidRPr="009B6952">
        <w:t xml:space="preserve"> </w:t>
      </w:r>
      <w:r>
        <w:t>ont vocation d’</w:t>
      </w:r>
      <w:r w:rsidRPr="009B6952">
        <w:t>informer les jeunes écoliers</w:t>
      </w:r>
      <w:r>
        <w:t xml:space="preserve"> et les </w:t>
      </w:r>
      <w:r w:rsidRPr="009B6952">
        <w:t>journalistes</w:t>
      </w:r>
      <w:r>
        <w:t xml:space="preserve"> reçoivent aussi une </w:t>
      </w:r>
      <w:r w:rsidRPr="009B6952">
        <w:t xml:space="preserve">formation sur ces mêmes sujets. </w:t>
      </w:r>
    </w:p>
    <w:p w:rsidR="001A4057" w:rsidRPr="007C26C2" w:rsidRDefault="001A4057" w:rsidP="001A4057">
      <w:pPr>
        <w:pStyle w:val="H4G"/>
      </w:pPr>
      <w:r>
        <w:tab/>
      </w:r>
      <w:r>
        <w:tab/>
      </w:r>
      <w:r w:rsidRPr="009B6952">
        <w:t>Aide internationale</w:t>
      </w:r>
    </w:p>
    <w:p w:rsidR="001A4057" w:rsidRPr="009B6952" w:rsidRDefault="001A4057" w:rsidP="001A4057">
      <w:pPr>
        <w:pStyle w:val="SingleTxtG"/>
      </w:pPr>
      <w:r>
        <w:rPr>
          <w:szCs w:val="24"/>
        </w:rPr>
        <w:t>267</w:t>
      </w:r>
      <w:r w:rsidRPr="009B6952">
        <w:rPr>
          <w:szCs w:val="24"/>
        </w:rPr>
        <w:t>.</w:t>
      </w:r>
      <w:r w:rsidRPr="009B6952">
        <w:rPr>
          <w:szCs w:val="24"/>
        </w:rPr>
        <w:tab/>
      </w:r>
      <w:r w:rsidRPr="009B6952">
        <w:t>En ce qui a trait à l</w:t>
      </w:r>
      <w:r>
        <w:t>’</w:t>
      </w:r>
      <w:r w:rsidRPr="009B6952">
        <w:t>aide internationale, notons qu</w:t>
      </w:r>
      <w:r>
        <w:t>’</w:t>
      </w:r>
      <w:r w:rsidRPr="009B6952">
        <w:t>à peu près 55</w:t>
      </w:r>
      <w:r>
        <w:t xml:space="preserve"> %</w:t>
      </w:r>
      <w:r w:rsidRPr="009B6952">
        <w:t xml:space="preserve"> du secteur santé </w:t>
      </w:r>
      <w:r>
        <w:t>sont</w:t>
      </w:r>
      <w:r w:rsidRPr="009B6952">
        <w:t xml:space="preserve"> pris en charge par l</w:t>
      </w:r>
      <w:r>
        <w:t>’</w:t>
      </w:r>
      <w:r w:rsidRPr="009B6952">
        <w:t xml:space="preserve">aide internationale. Le </w:t>
      </w:r>
      <w:r>
        <w:t>Gouvernement</w:t>
      </w:r>
      <w:r w:rsidRPr="009B6952">
        <w:t xml:space="preserve"> et ses partenaires au développement </w:t>
      </w:r>
      <w:r w:rsidRPr="006F19FC">
        <w:t>se sont entendus</w:t>
      </w:r>
      <w:r w:rsidRPr="009B6952">
        <w:t xml:space="preserve"> sur un protocole d</w:t>
      </w:r>
      <w:r>
        <w:t>’</w:t>
      </w:r>
      <w:r w:rsidRPr="009B6952">
        <w:t>accord, signé en Octobre 2007. C</w:t>
      </w:r>
      <w:r>
        <w:t>’</w:t>
      </w:r>
      <w:r w:rsidRPr="009B6952">
        <w:t xml:space="preserve">est une approche sectorielle (SWAP) visant à regrouper </w:t>
      </w:r>
      <w:r>
        <w:t>et</w:t>
      </w:r>
      <w:r w:rsidRPr="009B6952">
        <w:t xml:space="preserve"> </w:t>
      </w:r>
      <w:r>
        <w:t>à</w:t>
      </w:r>
      <w:r w:rsidRPr="009B6952">
        <w:t xml:space="preserve"> coordonner toute</w:t>
      </w:r>
      <w:r>
        <w:t>s les</w:t>
      </w:r>
      <w:r w:rsidRPr="009B6952">
        <w:t xml:space="preserve"> forme</w:t>
      </w:r>
      <w:r>
        <w:t>s</w:t>
      </w:r>
      <w:r w:rsidRPr="009B6952">
        <w:t xml:space="preserve"> d</w:t>
      </w:r>
      <w:r>
        <w:t>’</w:t>
      </w:r>
      <w:r w:rsidRPr="009B6952">
        <w:t>aide</w:t>
      </w:r>
      <w:r>
        <w:t xml:space="preserve"> et</w:t>
      </w:r>
      <w:r w:rsidRPr="009B6952">
        <w:t xml:space="preserve"> </w:t>
      </w:r>
      <w:r>
        <w:t xml:space="preserve">de </w:t>
      </w:r>
      <w:r w:rsidRPr="009B6952">
        <w:t xml:space="preserve">soutien de projet ou autre ressource </w:t>
      </w:r>
      <w:r>
        <w:t xml:space="preserve">de manière à aligner </w:t>
      </w:r>
      <w:r w:rsidRPr="009B6952">
        <w:t xml:space="preserve">les ressources sur le plan stratégique et </w:t>
      </w:r>
      <w:r>
        <w:t>à baser</w:t>
      </w:r>
      <w:r w:rsidRPr="009B6952">
        <w:t xml:space="preserve"> les programmes développés sur </w:t>
      </w:r>
      <w:r>
        <w:t>une</w:t>
      </w:r>
      <w:r w:rsidRPr="009B6952">
        <w:t xml:space="preserve"> vision du Rwanda à long terme en matière de santé. L</w:t>
      </w:r>
      <w:r>
        <w:t>’</w:t>
      </w:r>
      <w:r w:rsidRPr="009B6952">
        <w:t>aide est destinée à renforcer les capacités financières,</w:t>
      </w:r>
      <w:r>
        <w:t xml:space="preserve"> et</w:t>
      </w:r>
      <w:r w:rsidRPr="009B6952">
        <w:t xml:space="preserve"> le système de santé en général. Grâce à elle, plusieurs hôpitaux </w:t>
      </w:r>
      <w:r>
        <w:t xml:space="preserve">ont pu être réhabilités </w:t>
      </w:r>
      <w:r w:rsidRPr="009B6952">
        <w:t xml:space="preserve">et </w:t>
      </w:r>
      <w:r>
        <w:t xml:space="preserve">plusieurs </w:t>
      </w:r>
      <w:r w:rsidRPr="009B6952">
        <w:t>équipements mis à jour.</w:t>
      </w:r>
    </w:p>
    <w:p w:rsidR="001A4057" w:rsidRPr="009B6952" w:rsidRDefault="001A4057" w:rsidP="001A4057">
      <w:pPr>
        <w:pStyle w:val="H23G"/>
      </w:pPr>
      <w:r>
        <w:tab/>
      </w:r>
      <w:r w:rsidRPr="009B6952">
        <w:t>8.</w:t>
      </w:r>
      <w:r w:rsidRPr="009B6952">
        <w:tab/>
      </w:r>
      <w:r>
        <w:t xml:space="preserve">Article </w:t>
      </w:r>
      <w:r w:rsidRPr="009B6952">
        <w:t>13: Le droit à l</w:t>
      </w:r>
      <w:r>
        <w:t>’</w:t>
      </w:r>
      <w:r w:rsidRPr="009B6952">
        <w:t xml:space="preserve">éducation </w:t>
      </w:r>
    </w:p>
    <w:p w:rsidR="001A4057" w:rsidRPr="009B6952" w:rsidRDefault="001A4057" w:rsidP="001A4057">
      <w:pPr>
        <w:pStyle w:val="H4G"/>
      </w:pPr>
      <w:r>
        <w:tab/>
      </w:r>
      <w:r w:rsidRPr="009B6952">
        <w:tab/>
        <w:t>Enseignement primaire</w:t>
      </w:r>
    </w:p>
    <w:p w:rsidR="001A4057" w:rsidRPr="009B6952" w:rsidRDefault="001A4057" w:rsidP="001A4057">
      <w:pPr>
        <w:pStyle w:val="SingleTxtG"/>
      </w:pPr>
      <w:r>
        <w:t>268</w:t>
      </w:r>
      <w:r w:rsidRPr="009B6952">
        <w:t>.</w:t>
      </w:r>
      <w:r w:rsidRPr="009B6952">
        <w:tab/>
        <w:t>L</w:t>
      </w:r>
      <w:r>
        <w:t>’</w:t>
      </w:r>
      <w:r w:rsidRPr="009B6952">
        <w:t xml:space="preserve">enseignement primaire est obligatoire et gratuit dans les établissements publics et conventionnés, </w:t>
      </w:r>
      <w:r>
        <w:t xml:space="preserve">aux termes </w:t>
      </w:r>
      <w:r w:rsidRPr="009B6952">
        <w:t>de la Constitution, art.</w:t>
      </w:r>
      <w:r>
        <w:t xml:space="preserve"> </w:t>
      </w:r>
      <w:r w:rsidRPr="009B6952">
        <w:t>40(3)</w:t>
      </w:r>
      <w:r>
        <w:t>,</w:t>
      </w:r>
      <w:r w:rsidRPr="009B6952">
        <w:t xml:space="preserve"> ainsi que </w:t>
      </w:r>
      <w:r>
        <w:t xml:space="preserve">de </w:t>
      </w:r>
      <w:r w:rsidRPr="009B6952">
        <w:t>la loi</w:t>
      </w:r>
      <w:r w:rsidRPr="00B352B3">
        <w:rPr>
          <w:rStyle w:val="FootnoteReference"/>
        </w:rPr>
        <w:footnoteReference w:id="144"/>
      </w:r>
      <w:r w:rsidRPr="009B6952">
        <w:t xml:space="preserve"> à cet effet. </w:t>
      </w:r>
    </w:p>
    <w:p w:rsidR="001A4057" w:rsidRPr="009B6952" w:rsidRDefault="001A4057" w:rsidP="001A4057">
      <w:pPr>
        <w:pStyle w:val="SingleTxtG"/>
      </w:pPr>
      <w:r>
        <w:t>269</w:t>
      </w:r>
      <w:r w:rsidRPr="009B6952">
        <w:t>.</w:t>
      </w:r>
      <w:r w:rsidRPr="009B6952">
        <w:tab/>
        <w:t>Depuis 2006, l</w:t>
      </w:r>
      <w:r>
        <w:t>’</w:t>
      </w:r>
      <w:r w:rsidRPr="009B6952">
        <w:t xml:space="preserve">enseignement primaire est gratuit dans les écoles publiques. Les frais scolaires ont été remplacés par le système appelé le </w:t>
      </w:r>
      <w:r>
        <w:t>«</w:t>
      </w:r>
      <w:r w:rsidRPr="009B6952">
        <w:t>capitation grant</w:t>
      </w:r>
      <w:r>
        <w:t>»</w:t>
      </w:r>
      <w:r w:rsidRPr="009B6952">
        <w:t>. C</w:t>
      </w:r>
      <w:r>
        <w:t>’</w:t>
      </w:r>
      <w:r w:rsidRPr="009B6952">
        <w:t>est une somme d</w:t>
      </w:r>
      <w:r>
        <w:t>’</w:t>
      </w:r>
      <w:r w:rsidRPr="009B6952">
        <w:t>argent qui remplace le minerval que l</w:t>
      </w:r>
      <w:r>
        <w:t>’</w:t>
      </w:r>
      <w:r w:rsidRPr="009B6952">
        <w:t xml:space="preserve">écolier/élève aurait dû payer. Il est pris en charge par le </w:t>
      </w:r>
      <w:r>
        <w:t>Gouvernement</w:t>
      </w:r>
      <w:r w:rsidRPr="009B6952">
        <w:t xml:space="preserve"> qui paie les diverses institutions scolaires. L</w:t>
      </w:r>
      <w:r>
        <w:t>’</w:t>
      </w:r>
      <w:r w:rsidRPr="009B6952">
        <w:t xml:space="preserve">éducation de base est gratuite </w:t>
      </w:r>
      <w:r>
        <w:t>pendant</w:t>
      </w:r>
      <w:r w:rsidRPr="009B6952">
        <w:t xml:space="preserve"> les six premières</w:t>
      </w:r>
      <w:r>
        <w:t xml:space="preserve"> </w:t>
      </w:r>
      <w:r w:rsidRPr="009B6952">
        <w:t xml:space="preserve">années du primaire et les trois premières années du secondaire; pour cette dernière catégorie, </w:t>
      </w:r>
      <w:r>
        <w:t>la gratuité</w:t>
      </w:r>
      <w:r w:rsidRPr="009B6952">
        <w:t xml:space="preserve"> vaut depuis l</w:t>
      </w:r>
      <w:r>
        <w:t>’</w:t>
      </w:r>
      <w:r w:rsidRPr="009B6952">
        <w:t>année scolaire 2009.</w:t>
      </w:r>
    </w:p>
    <w:p w:rsidR="001A4057" w:rsidRDefault="001A4057" w:rsidP="001A4057">
      <w:pPr>
        <w:pStyle w:val="SingleTxtG"/>
      </w:pPr>
      <w:r>
        <w:t>270</w:t>
      </w:r>
      <w:r w:rsidRPr="009B6952">
        <w:t>.</w:t>
      </w:r>
      <w:r w:rsidRPr="009B6952">
        <w:tab/>
        <w:t>Le Rwanda a aussi levé la réserve 13 émise au moment de l</w:t>
      </w:r>
      <w:r>
        <w:t>’</w:t>
      </w:r>
      <w:r w:rsidRPr="009B6952">
        <w:t>adhésion au présent Pacte</w:t>
      </w:r>
      <w:r>
        <w:t>, qui</w:t>
      </w:r>
      <w:r w:rsidRPr="009B6952">
        <w:t xml:space="preserve"> se lisait comme suit</w:t>
      </w:r>
      <w:r>
        <w:t>:</w:t>
      </w:r>
      <w:r w:rsidRPr="009B6952">
        <w:t xml:space="preserve"> </w:t>
      </w:r>
      <w:r>
        <w:t>«</w:t>
      </w:r>
      <w:r w:rsidRPr="009B6952">
        <w:t>En ce qui a trait à l</w:t>
      </w:r>
      <w:r>
        <w:t>’</w:t>
      </w:r>
      <w:r w:rsidRPr="009B6952">
        <w:t>éducation, le Rwanda est lié par les dispositions de sa Constitution</w:t>
      </w:r>
      <w:r>
        <w:t xml:space="preserve">.» </w:t>
      </w:r>
      <w:r w:rsidRPr="009B6952">
        <w:t>Les indicateurs au niveau primaire</w:t>
      </w:r>
      <w:r>
        <w:t>, y compris les résultats aux examens nationaux, 2004-2008, sont présentés dans le tableau ci-dessous.</w:t>
      </w:r>
    </w:p>
    <w:p w:rsidR="001A4057" w:rsidRPr="009B6952" w:rsidRDefault="001A4057" w:rsidP="001A4057">
      <w:pPr>
        <w:pStyle w:val="SingleTxtG"/>
      </w:pPr>
      <w:r w:rsidRPr="00705001">
        <w:rPr>
          <w:rStyle w:val="Heading1Char"/>
        </w:rPr>
        <w:t>Tableau 19</w:t>
      </w:r>
    </w:p>
    <w:tbl>
      <w:tblPr>
        <w:tblW w:w="0" w:type="auto"/>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2835"/>
        <w:gridCol w:w="1247"/>
        <w:gridCol w:w="851"/>
        <w:gridCol w:w="851"/>
        <w:gridCol w:w="851"/>
        <w:gridCol w:w="851"/>
        <w:gridCol w:w="1021"/>
      </w:tblGrid>
      <w:tr w:rsidR="001A4057" w:rsidRPr="001977E3" w:rsidTr="001A4057">
        <w:tblPrEx>
          <w:tblCellMar>
            <w:top w:w="0" w:type="dxa"/>
            <w:bottom w:w="0" w:type="dxa"/>
          </w:tblCellMar>
        </w:tblPrEx>
        <w:trPr>
          <w:trHeight w:val="305"/>
        </w:trPr>
        <w:tc>
          <w:tcPr>
            <w:tcW w:w="2835" w:type="dxa"/>
            <w:tcBorders>
              <w:top w:val="single" w:sz="4" w:space="0" w:color="auto"/>
              <w:bottom w:val="single" w:sz="12" w:space="0" w:color="auto"/>
            </w:tcBorders>
            <w:shd w:val="clear" w:color="000000" w:fill="auto"/>
            <w:vAlign w:val="bottom"/>
          </w:tcPr>
          <w:p w:rsidR="001A4057" w:rsidRPr="001977E3" w:rsidRDefault="001A4057" w:rsidP="001A4057">
            <w:pPr>
              <w:spacing w:before="80" w:after="80" w:line="200" w:lineRule="exact"/>
              <w:rPr>
                <w:i/>
                <w:sz w:val="16"/>
              </w:rPr>
            </w:pPr>
          </w:p>
        </w:tc>
        <w:tc>
          <w:tcPr>
            <w:tcW w:w="1247" w:type="dxa"/>
            <w:tcBorders>
              <w:top w:val="single" w:sz="4" w:space="0" w:color="auto"/>
              <w:bottom w:val="single" w:sz="12" w:space="0" w:color="auto"/>
            </w:tcBorders>
            <w:shd w:val="clear" w:color="000000" w:fill="auto"/>
            <w:vAlign w:val="bottom"/>
          </w:tcPr>
          <w:p w:rsidR="001A4057" w:rsidRPr="001977E3" w:rsidRDefault="001A4057" w:rsidP="001A4057">
            <w:pPr>
              <w:spacing w:before="80" w:after="80" w:line="200" w:lineRule="exact"/>
              <w:rPr>
                <w:i/>
                <w:sz w:val="16"/>
              </w:rPr>
            </w:pPr>
            <w:r w:rsidRPr="001977E3">
              <w:rPr>
                <w:i/>
                <w:sz w:val="16"/>
              </w:rPr>
              <w:t>Genre</w:t>
            </w:r>
          </w:p>
        </w:tc>
        <w:tc>
          <w:tcPr>
            <w:tcW w:w="851" w:type="dxa"/>
            <w:tcBorders>
              <w:top w:val="single" w:sz="4" w:space="0" w:color="auto"/>
              <w:bottom w:val="single" w:sz="12" w:space="0" w:color="auto"/>
            </w:tcBorders>
            <w:shd w:val="clear" w:color="000000" w:fill="auto"/>
            <w:vAlign w:val="bottom"/>
          </w:tcPr>
          <w:p w:rsidR="001A4057" w:rsidRPr="001977E3" w:rsidRDefault="001A4057" w:rsidP="001A4057">
            <w:pPr>
              <w:spacing w:before="80" w:after="80" w:line="200" w:lineRule="exact"/>
              <w:jc w:val="right"/>
              <w:rPr>
                <w:i/>
                <w:sz w:val="16"/>
              </w:rPr>
            </w:pPr>
            <w:r w:rsidRPr="001977E3">
              <w:rPr>
                <w:i/>
                <w:sz w:val="16"/>
              </w:rPr>
              <w:t>2003/04</w:t>
            </w:r>
          </w:p>
        </w:tc>
        <w:tc>
          <w:tcPr>
            <w:tcW w:w="851" w:type="dxa"/>
            <w:tcBorders>
              <w:top w:val="single" w:sz="4" w:space="0" w:color="auto"/>
              <w:bottom w:val="single" w:sz="12" w:space="0" w:color="auto"/>
            </w:tcBorders>
            <w:shd w:val="clear" w:color="000000" w:fill="auto"/>
            <w:vAlign w:val="bottom"/>
          </w:tcPr>
          <w:p w:rsidR="001A4057" w:rsidRPr="001977E3" w:rsidRDefault="001A4057" w:rsidP="001A4057">
            <w:pPr>
              <w:spacing w:before="80" w:after="80" w:line="200" w:lineRule="exact"/>
              <w:jc w:val="right"/>
              <w:rPr>
                <w:i/>
                <w:sz w:val="16"/>
              </w:rPr>
            </w:pPr>
            <w:r w:rsidRPr="001977E3">
              <w:rPr>
                <w:i/>
                <w:sz w:val="16"/>
              </w:rPr>
              <w:t>2005</w:t>
            </w:r>
          </w:p>
        </w:tc>
        <w:tc>
          <w:tcPr>
            <w:tcW w:w="851" w:type="dxa"/>
            <w:tcBorders>
              <w:top w:val="single" w:sz="4" w:space="0" w:color="auto"/>
              <w:bottom w:val="single" w:sz="12" w:space="0" w:color="auto"/>
            </w:tcBorders>
            <w:shd w:val="clear" w:color="000000" w:fill="auto"/>
            <w:vAlign w:val="bottom"/>
          </w:tcPr>
          <w:p w:rsidR="001A4057" w:rsidRPr="001977E3" w:rsidRDefault="001A4057" w:rsidP="001A4057">
            <w:pPr>
              <w:spacing w:before="80" w:after="80" w:line="200" w:lineRule="exact"/>
              <w:jc w:val="right"/>
              <w:rPr>
                <w:i/>
                <w:sz w:val="16"/>
              </w:rPr>
            </w:pPr>
            <w:r w:rsidRPr="001977E3">
              <w:rPr>
                <w:i/>
                <w:sz w:val="16"/>
              </w:rPr>
              <w:t>2006</w:t>
            </w:r>
          </w:p>
        </w:tc>
        <w:tc>
          <w:tcPr>
            <w:tcW w:w="851" w:type="dxa"/>
            <w:tcBorders>
              <w:top w:val="single" w:sz="4" w:space="0" w:color="auto"/>
              <w:bottom w:val="single" w:sz="12" w:space="0" w:color="auto"/>
            </w:tcBorders>
            <w:shd w:val="clear" w:color="000000" w:fill="auto"/>
            <w:vAlign w:val="bottom"/>
          </w:tcPr>
          <w:p w:rsidR="001A4057" w:rsidRPr="001977E3" w:rsidRDefault="001A4057" w:rsidP="001A4057">
            <w:pPr>
              <w:spacing w:before="80" w:after="80" w:line="200" w:lineRule="exact"/>
              <w:jc w:val="right"/>
              <w:rPr>
                <w:i/>
                <w:sz w:val="16"/>
              </w:rPr>
            </w:pPr>
            <w:r w:rsidRPr="001977E3">
              <w:rPr>
                <w:i/>
                <w:sz w:val="16"/>
              </w:rPr>
              <w:t>2007</w:t>
            </w:r>
          </w:p>
        </w:tc>
        <w:tc>
          <w:tcPr>
            <w:tcW w:w="1021" w:type="dxa"/>
            <w:tcBorders>
              <w:top w:val="single" w:sz="4" w:space="0" w:color="auto"/>
              <w:bottom w:val="single" w:sz="12" w:space="0" w:color="auto"/>
            </w:tcBorders>
            <w:shd w:val="clear" w:color="000000" w:fill="auto"/>
            <w:vAlign w:val="bottom"/>
          </w:tcPr>
          <w:p w:rsidR="001A4057" w:rsidRPr="001977E3" w:rsidRDefault="001A4057" w:rsidP="001A4057">
            <w:pPr>
              <w:spacing w:before="80" w:after="80" w:line="200" w:lineRule="exact"/>
              <w:jc w:val="right"/>
              <w:rPr>
                <w:i/>
                <w:sz w:val="16"/>
              </w:rPr>
            </w:pPr>
            <w:r w:rsidRPr="001977E3">
              <w:rPr>
                <w:i/>
                <w:sz w:val="16"/>
              </w:rPr>
              <w:t>2008</w:t>
            </w:r>
          </w:p>
        </w:tc>
      </w:tr>
      <w:tr w:rsidR="001A4057" w:rsidRPr="001977E3" w:rsidTr="001A4057">
        <w:tblPrEx>
          <w:tblCellMar>
            <w:top w:w="0" w:type="dxa"/>
            <w:bottom w:w="0" w:type="dxa"/>
          </w:tblCellMar>
        </w:tblPrEx>
        <w:tc>
          <w:tcPr>
            <w:tcW w:w="2835" w:type="dxa"/>
            <w:tcBorders>
              <w:top w:val="single" w:sz="12" w:space="0" w:color="auto"/>
            </w:tcBorders>
            <w:shd w:val="clear" w:color="000000" w:fill="auto"/>
          </w:tcPr>
          <w:p w:rsidR="001A4057" w:rsidRPr="001977E3" w:rsidRDefault="001A4057" w:rsidP="001A4057">
            <w:pPr>
              <w:spacing w:before="40" w:after="40" w:line="220" w:lineRule="exact"/>
              <w:rPr>
                <w:sz w:val="18"/>
              </w:rPr>
            </w:pPr>
            <w:r w:rsidRPr="001977E3">
              <w:rPr>
                <w:sz w:val="18"/>
              </w:rPr>
              <w:t>Taux d</w:t>
            </w:r>
            <w:r>
              <w:rPr>
                <w:sz w:val="18"/>
              </w:rPr>
              <w:t>’</w:t>
            </w:r>
            <w:r w:rsidRPr="001977E3">
              <w:rPr>
                <w:sz w:val="18"/>
              </w:rPr>
              <w:t>inscription (%)</w:t>
            </w:r>
          </w:p>
        </w:tc>
        <w:tc>
          <w:tcPr>
            <w:tcW w:w="1247" w:type="dxa"/>
            <w:tcBorders>
              <w:top w:val="single" w:sz="12" w:space="0" w:color="auto"/>
            </w:tcBorders>
            <w:shd w:val="clear" w:color="000000" w:fill="auto"/>
          </w:tcPr>
          <w:p w:rsidR="001A4057" w:rsidRPr="001977E3" w:rsidRDefault="001A4057" w:rsidP="001A4057">
            <w:pPr>
              <w:spacing w:before="40" w:after="40" w:line="220" w:lineRule="exact"/>
              <w:rPr>
                <w:sz w:val="18"/>
              </w:rPr>
            </w:pPr>
            <w:r w:rsidRPr="001977E3">
              <w:rPr>
                <w:sz w:val="18"/>
              </w:rPr>
              <w:t>Filles</w:t>
            </w:r>
          </w:p>
        </w:tc>
        <w:tc>
          <w:tcPr>
            <w:tcW w:w="851" w:type="dxa"/>
            <w:tcBorders>
              <w:top w:val="single" w:sz="12" w:space="0" w:color="auto"/>
            </w:tcBorders>
            <w:shd w:val="clear" w:color="000000" w:fill="auto"/>
            <w:vAlign w:val="bottom"/>
          </w:tcPr>
          <w:p w:rsidR="001A4057" w:rsidRPr="001977E3" w:rsidRDefault="001A4057" w:rsidP="001A4057">
            <w:pPr>
              <w:spacing w:before="40" w:after="40" w:line="220" w:lineRule="exact"/>
              <w:jc w:val="right"/>
              <w:rPr>
                <w:sz w:val="18"/>
              </w:rPr>
            </w:pPr>
            <w:r w:rsidRPr="001977E3">
              <w:rPr>
                <w:sz w:val="18"/>
              </w:rPr>
              <w:t>94,5</w:t>
            </w:r>
          </w:p>
        </w:tc>
        <w:tc>
          <w:tcPr>
            <w:tcW w:w="851" w:type="dxa"/>
            <w:tcBorders>
              <w:top w:val="single" w:sz="12" w:space="0" w:color="auto"/>
            </w:tcBorders>
            <w:shd w:val="clear" w:color="000000" w:fill="auto"/>
            <w:vAlign w:val="bottom"/>
          </w:tcPr>
          <w:p w:rsidR="001A4057" w:rsidRPr="001977E3" w:rsidRDefault="001A4057" w:rsidP="001A4057">
            <w:pPr>
              <w:spacing w:before="40" w:after="40" w:line="220" w:lineRule="exact"/>
              <w:jc w:val="right"/>
              <w:rPr>
                <w:sz w:val="18"/>
              </w:rPr>
            </w:pPr>
            <w:r w:rsidRPr="001977E3">
              <w:rPr>
                <w:sz w:val="18"/>
              </w:rPr>
              <w:t>94</w:t>
            </w:r>
            <w:r>
              <w:rPr>
                <w:sz w:val="18"/>
              </w:rPr>
              <w:t>,</w:t>
            </w:r>
            <w:r w:rsidRPr="001977E3">
              <w:rPr>
                <w:sz w:val="18"/>
              </w:rPr>
              <w:t>7</w:t>
            </w:r>
          </w:p>
        </w:tc>
        <w:tc>
          <w:tcPr>
            <w:tcW w:w="851" w:type="dxa"/>
            <w:tcBorders>
              <w:top w:val="single" w:sz="12" w:space="0" w:color="auto"/>
            </w:tcBorders>
            <w:shd w:val="clear" w:color="000000" w:fill="auto"/>
            <w:vAlign w:val="bottom"/>
          </w:tcPr>
          <w:p w:rsidR="001A4057" w:rsidRPr="001977E3" w:rsidRDefault="001A4057" w:rsidP="001A4057">
            <w:pPr>
              <w:spacing w:before="40" w:after="40" w:line="220" w:lineRule="exact"/>
              <w:jc w:val="right"/>
              <w:rPr>
                <w:sz w:val="18"/>
              </w:rPr>
            </w:pPr>
            <w:r w:rsidRPr="001977E3">
              <w:rPr>
                <w:sz w:val="18"/>
              </w:rPr>
              <w:t>97</w:t>
            </w:r>
          </w:p>
        </w:tc>
        <w:tc>
          <w:tcPr>
            <w:tcW w:w="851" w:type="dxa"/>
            <w:tcBorders>
              <w:top w:val="single" w:sz="12" w:space="0" w:color="auto"/>
            </w:tcBorders>
            <w:shd w:val="clear" w:color="000000" w:fill="auto"/>
            <w:vAlign w:val="bottom"/>
          </w:tcPr>
          <w:p w:rsidR="001A4057" w:rsidRPr="001977E3" w:rsidRDefault="001A4057" w:rsidP="001A4057">
            <w:pPr>
              <w:spacing w:before="40" w:after="40" w:line="220" w:lineRule="exact"/>
              <w:jc w:val="right"/>
              <w:rPr>
                <w:sz w:val="18"/>
              </w:rPr>
            </w:pPr>
            <w:r w:rsidRPr="001977E3">
              <w:rPr>
                <w:sz w:val="18"/>
              </w:rPr>
              <w:t>96</w:t>
            </w:r>
            <w:r>
              <w:rPr>
                <w:sz w:val="18"/>
              </w:rPr>
              <w:t>,</w:t>
            </w:r>
            <w:r w:rsidRPr="001977E3">
              <w:rPr>
                <w:sz w:val="18"/>
              </w:rPr>
              <w:t>8</w:t>
            </w:r>
          </w:p>
        </w:tc>
        <w:tc>
          <w:tcPr>
            <w:tcW w:w="1021" w:type="dxa"/>
            <w:tcBorders>
              <w:top w:val="single" w:sz="12" w:space="0" w:color="auto"/>
            </w:tcBorders>
            <w:shd w:val="clear" w:color="000000" w:fill="auto"/>
            <w:vAlign w:val="bottom"/>
          </w:tcPr>
          <w:p w:rsidR="001A4057" w:rsidRPr="001977E3" w:rsidRDefault="001A4057" w:rsidP="001A4057">
            <w:pPr>
              <w:spacing w:before="40" w:after="40" w:line="220" w:lineRule="exact"/>
              <w:jc w:val="right"/>
              <w:rPr>
                <w:sz w:val="18"/>
              </w:rPr>
            </w:pPr>
            <w:r w:rsidRPr="001977E3">
              <w:rPr>
                <w:sz w:val="18"/>
              </w:rPr>
              <w:t>95</w:t>
            </w:r>
            <w:r>
              <w:rPr>
                <w:sz w:val="18"/>
              </w:rPr>
              <w:t>,</w:t>
            </w:r>
            <w:r w:rsidRPr="001977E3">
              <w:rPr>
                <w:sz w:val="18"/>
              </w:rPr>
              <w:t>1</w:t>
            </w:r>
          </w:p>
        </w:tc>
      </w:tr>
      <w:tr w:rsidR="001A4057" w:rsidRPr="001977E3" w:rsidTr="001A4057">
        <w:tblPrEx>
          <w:tblCellMar>
            <w:top w:w="0" w:type="dxa"/>
            <w:bottom w:w="0" w:type="dxa"/>
          </w:tblCellMar>
        </w:tblPrEx>
        <w:tc>
          <w:tcPr>
            <w:tcW w:w="2835" w:type="dxa"/>
            <w:shd w:val="clear" w:color="000000" w:fill="auto"/>
          </w:tcPr>
          <w:p w:rsidR="001A4057" w:rsidRPr="001977E3" w:rsidRDefault="001A4057" w:rsidP="001A4057">
            <w:pPr>
              <w:spacing w:before="40" w:after="40" w:line="220" w:lineRule="exact"/>
              <w:rPr>
                <w:sz w:val="18"/>
              </w:rPr>
            </w:pPr>
          </w:p>
        </w:tc>
        <w:tc>
          <w:tcPr>
            <w:tcW w:w="1247" w:type="dxa"/>
            <w:shd w:val="clear" w:color="000000" w:fill="auto"/>
          </w:tcPr>
          <w:p w:rsidR="001A4057" w:rsidRPr="001977E3" w:rsidRDefault="001A4057" w:rsidP="001A4057">
            <w:pPr>
              <w:spacing w:before="40" w:after="40" w:line="220" w:lineRule="exact"/>
              <w:rPr>
                <w:sz w:val="18"/>
              </w:rPr>
            </w:pPr>
            <w:r w:rsidRPr="001977E3">
              <w:rPr>
                <w:sz w:val="18"/>
              </w:rPr>
              <w:t>Garçons</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91,5</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92,2</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92,9</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94</w:t>
            </w:r>
            <w:r>
              <w:rPr>
                <w:sz w:val="18"/>
              </w:rPr>
              <w:t>,</w:t>
            </w:r>
            <w:r w:rsidRPr="001977E3">
              <w:rPr>
                <w:sz w:val="18"/>
              </w:rPr>
              <w:t>7</w:t>
            </w:r>
          </w:p>
        </w:tc>
        <w:tc>
          <w:tcPr>
            <w:tcW w:w="102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93</w:t>
            </w:r>
            <w:r>
              <w:rPr>
                <w:sz w:val="18"/>
              </w:rPr>
              <w:t>,</w:t>
            </w:r>
            <w:r w:rsidRPr="001977E3">
              <w:rPr>
                <w:sz w:val="18"/>
              </w:rPr>
              <w:t>3</w:t>
            </w:r>
          </w:p>
        </w:tc>
      </w:tr>
      <w:tr w:rsidR="001A4057" w:rsidRPr="001977E3" w:rsidTr="001A4057">
        <w:tblPrEx>
          <w:tblCellMar>
            <w:top w:w="0" w:type="dxa"/>
            <w:bottom w:w="0" w:type="dxa"/>
          </w:tblCellMar>
        </w:tblPrEx>
        <w:tc>
          <w:tcPr>
            <w:tcW w:w="2835" w:type="dxa"/>
            <w:vMerge w:val="restart"/>
            <w:shd w:val="clear" w:color="000000" w:fill="auto"/>
          </w:tcPr>
          <w:p w:rsidR="001A4057" w:rsidRPr="001977E3" w:rsidRDefault="001A4057" w:rsidP="001A4057">
            <w:pPr>
              <w:spacing w:before="40" w:after="40" w:line="220" w:lineRule="exact"/>
              <w:rPr>
                <w:sz w:val="18"/>
              </w:rPr>
            </w:pPr>
            <w:r w:rsidRPr="001977E3">
              <w:rPr>
                <w:sz w:val="18"/>
              </w:rPr>
              <w:t>Taux de réussite</w:t>
            </w:r>
            <w:r w:rsidRPr="00B352B3">
              <w:rPr>
                <w:rStyle w:val="FootnoteReference"/>
              </w:rPr>
              <w:footnoteReference w:id="145"/>
            </w:r>
            <w:r w:rsidRPr="001977E3">
              <w:rPr>
                <w:sz w:val="18"/>
              </w:rPr>
              <w:t xml:space="preserve"> </w:t>
            </w:r>
            <w:r>
              <w:rPr>
                <w:sz w:val="18"/>
              </w:rPr>
              <w:t>(taux global</w:t>
            </w:r>
            <w:r>
              <w:rPr>
                <w:sz w:val="18"/>
              </w:rPr>
              <w:br/>
              <w:t>excepté pour </w:t>
            </w:r>
            <w:r w:rsidRPr="001977E3">
              <w:rPr>
                <w:sz w:val="18"/>
              </w:rPr>
              <w:t>l</w:t>
            </w:r>
            <w:r>
              <w:rPr>
                <w:sz w:val="18"/>
              </w:rPr>
              <w:t>’</w:t>
            </w:r>
            <w:r w:rsidRPr="001977E3">
              <w:rPr>
                <w:sz w:val="18"/>
              </w:rPr>
              <w:t>année 2008)</w:t>
            </w:r>
          </w:p>
        </w:tc>
        <w:tc>
          <w:tcPr>
            <w:tcW w:w="1247" w:type="dxa"/>
            <w:shd w:val="clear" w:color="000000" w:fill="auto"/>
          </w:tcPr>
          <w:p w:rsidR="001A4057" w:rsidRPr="001977E3" w:rsidRDefault="001A4057" w:rsidP="001A4057">
            <w:pPr>
              <w:spacing w:before="40" w:after="40" w:line="220" w:lineRule="exact"/>
              <w:rPr>
                <w:sz w:val="18"/>
              </w:rPr>
            </w:pPr>
            <w:r w:rsidRPr="001977E3">
              <w:rPr>
                <w:sz w:val="18"/>
              </w:rPr>
              <w:t>Filles</w:t>
            </w:r>
          </w:p>
        </w:tc>
        <w:tc>
          <w:tcPr>
            <w:tcW w:w="851" w:type="dxa"/>
            <w:shd w:val="clear" w:color="000000" w:fill="auto"/>
          </w:tcPr>
          <w:p w:rsidR="001A4057" w:rsidRPr="001977E3" w:rsidRDefault="001A4057" w:rsidP="001A4057">
            <w:pPr>
              <w:spacing w:before="40" w:after="40" w:line="220" w:lineRule="exact"/>
              <w:jc w:val="right"/>
              <w:rPr>
                <w:sz w:val="18"/>
              </w:rPr>
            </w:pPr>
            <w:r w:rsidRPr="001977E3">
              <w:rPr>
                <w:sz w:val="18"/>
              </w:rPr>
              <w:t>44,9</w:t>
            </w:r>
          </w:p>
        </w:tc>
        <w:tc>
          <w:tcPr>
            <w:tcW w:w="851" w:type="dxa"/>
            <w:shd w:val="clear" w:color="000000" w:fill="auto"/>
          </w:tcPr>
          <w:p w:rsidR="001A4057" w:rsidRPr="001977E3" w:rsidRDefault="001A4057" w:rsidP="001A4057">
            <w:pPr>
              <w:spacing w:before="40" w:after="40" w:line="220" w:lineRule="exact"/>
              <w:jc w:val="right"/>
              <w:rPr>
                <w:sz w:val="18"/>
              </w:rPr>
            </w:pPr>
            <w:r w:rsidRPr="001977E3">
              <w:rPr>
                <w:sz w:val="18"/>
              </w:rPr>
              <w:t>46</w:t>
            </w:r>
            <w:r>
              <w:rPr>
                <w:sz w:val="18"/>
              </w:rPr>
              <w:t>,</w:t>
            </w:r>
            <w:r w:rsidRPr="001977E3">
              <w:rPr>
                <w:sz w:val="18"/>
              </w:rPr>
              <w:t>7</w:t>
            </w:r>
          </w:p>
        </w:tc>
        <w:tc>
          <w:tcPr>
            <w:tcW w:w="851" w:type="dxa"/>
            <w:shd w:val="clear" w:color="000000" w:fill="auto"/>
          </w:tcPr>
          <w:p w:rsidR="001A4057" w:rsidRPr="001977E3" w:rsidRDefault="001A4057" w:rsidP="001A4057">
            <w:pPr>
              <w:spacing w:before="40" w:after="40" w:line="220" w:lineRule="exact"/>
              <w:jc w:val="right"/>
              <w:rPr>
                <w:sz w:val="18"/>
              </w:rPr>
            </w:pPr>
            <w:r w:rsidRPr="001977E3">
              <w:rPr>
                <w:sz w:val="18"/>
              </w:rPr>
              <w:t>51</w:t>
            </w:r>
            <w:r>
              <w:rPr>
                <w:sz w:val="18"/>
              </w:rPr>
              <w:t>,</w:t>
            </w:r>
            <w:r w:rsidRPr="001977E3">
              <w:rPr>
                <w:sz w:val="18"/>
              </w:rPr>
              <w:t>7</w:t>
            </w:r>
          </w:p>
        </w:tc>
        <w:tc>
          <w:tcPr>
            <w:tcW w:w="851" w:type="dxa"/>
            <w:shd w:val="clear" w:color="000000" w:fill="auto"/>
          </w:tcPr>
          <w:p w:rsidR="001A4057" w:rsidRPr="001977E3" w:rsidRDefault="001A4057" w:rsidP="001A4057">
            <w:pPr>
              <w:spacing w:before="40" w:after="40" w:line="220" w:lineRule="exact"/>
              <w:jc w:val="right"/>
              <w:rPr>
                <w:sz w:val="18"/>
              </w:rPr>
            </w:pPr>
            <w:r w:rsidRPr="001977E3">
              <w:rPr>
                <w:sz w:val="18"/>
              </w:rPr>
              <w:t>52,0</w:t>
            </w:r>
          </w:p>
        </w:tc>
        <w:tc>
          <w:tcPr>
            <w:tcW w:w="1021" w:type="dxa"/>
            <w:shd w:val="clear" w:color="000000" w:fill="auto"/>
          </w:tcPr>
          <w:p w:rsidR="001A4057" w:rsidRPr="001977E3" w:rsidRDefault="001A4057" w:rsidP="001A4057">
            <w:pPr>
              <w:spacing w:before="40" w:after="40" w:line="220" w:lineRule="exact"/>
              <w:jc w:val="right"/>
              <w:rPr>
                <w:sz w:val="18"/>
              </w:rPr>
            </w:pPr>
            <w:r w:rsidRPr="001977E3">
              <w:rPr>
                <w:sz w:val="18"/>
              </w:rPr>
              <w:t>48</w:t>
            </w:r>
            <w:r>
              <w:rPr>
                <w:sz w:val="18"/>
              </w:rPr>
              <w:t>,</w:t>
            </w:r>
            <w:r w:rsidRPr="001977E3">
              <w:rPr>
                <w:sz w:val="18"/>
              </w:rPr>
              <w:t>8</w:t>
            </w:r>
          </w:p>
        </w:tc>
      </w:tr>
      <w:tr w:rsidR="001A4057" w:rsidRPr="001977E3" w:rsidTr="001A4057">
        <w:tblPrEx>
          <w:tblCellMar>
            <w:top w:w="0" w:type="dxa"/>
            <w:bottom w:w="0" w:type="dxa"/>
          </w:tblCellMar>
        </w:tblPrEx>
        <w:tc>
          <w:tcPr>
            <w:tcW w:w="2835" w:type="dxa"/>
            <w:vMerge/>
            <w:shd w:val="clear" w:color="000000" w:fill="auto"/>
          </w:tcPr>
          <w:p w:rsidR="001A4057" w:rsidRPr="001977E3" w:rsidRDefault="001A4057" w:rsidP="001A4057">
            <w:pPr>
              <w:spacing w:before="40" w:after="40" w:line="220" w:lineRule="exact"/>
              <w:rPr>
                <w:sz w:val="18"/>
              </w:rPr>
            </w:pPr>
          </w:p>
        </w:tc>
        <w:tc>
          <w:tcPr>
            <w:tcW w:w="1247" w:type="dxa"/>
            <w:shd w:val="clear" w:color="000000" w:fill="auto"/>
          </w:tcPr>
          <w:p w:rsidR="001A4057" w:rsidRPr="001977E3" w:rsidRDefault="001A4057" w:rsidP="001A4057">
            <w:pPr>
              <w:spacing w:before="40" w:after="40" w:line="220" w:lineRule="exact"/>
              <w:rPr>
                <w:sz w:val="18"/>
              </w:rPr>
            </w:pPr>
            <w:r w:rsidRPr="001977E3">
              <w:rPr>
                <w:sz w:val="18"/>
              </w:rPr>
              <w:t>Garçons</w:t>
            </w:r>
          </w:p>
        </w:tc>
        <w:tc>
          <w:tcPr>
            <w:tcW w:w="851" w:type="dxa"/>
            <w:shd w:val="clear" w:color="000000" w:fill="auto"/>
            <w:vAlign w:val="bottom"/>
          </w:tcPr>
          <w:p w:rsidR="001A4057" w:rsidRPr="001977E3" w:rsidRDefault="001A4057" w:rsidP="001A4057">
            <w:pPr>
              <w:spacing w:before="40" w:after="40" w:line="220" w:lineRule="exact"/>
              <w:jc w:val="right"/>
              <w:rPr>
                <w:sz w:val="18"/>
              </w:rPr>
            </w:pPr>
          </w:p>
        </w:tc>
        <w:tc>
          <w:tcPr>
            <w:tcW w:w="851" w:type="dxa"/>
            <w:shd w:val="clear" w:color="000000" w:fill="auto"/>
            <w:vAlign w:val="bottom"/>
          </w:tcPr>
          <w:p w:rsidR="001A4057" w:rsidRPr="001977E3" w:rsidRDefault="001A4057" w:rsidP="001A4057">
            <w:pPr>
              <w:spacing w:before="40" w:after="40" w:line="220" w:lineRule="exact"/>
              <w:jc w:val="right"/>
              <w:rPr>
                <w:sz w:val="18"/>
              </w:rPr>
            </w:pPr>
          </w:p>
        </w:tc>
        <w:tc>
          <w:tcPr>
            <w:tcW w:w="851" w:type="dxa"/>
            <w:shd w:val="clear" w:color="000000" w:fill="auto"/>
            <w:vAlign w:val="bottom"/>
          </w:tcPr>
          <w:p w:rsidR="001A4057" w:rsidRPr="001977E3" w:rsidRDefault="001A4057" w:rsidP="001A4057">
            <w:pPr>
              <w:spacing w:before="40" w:after="40" w:line="220" w:lineRule="exact"/>
              <w:jc w:val="right"/>
              <w:rPr>
                <w:sz w:val="18"/>
              </w:rPr>
            </w:pPr>
          </w:p>
        </w:tc>
        <w:tc>
          <w:tcPr>
            <w:tcW w:w="851" w:type="dxa"/>
            <w:shd w:val="clear" w:color="000000" w:fill="auto"/>
            <w:vAlign w:val="bottom"/>
          </w:tcPr>
          <w:p w:rsidR="001A4057" w:rsidRPr="001977E3" w:rsidRDefault="001A4057" w:rsidP="001A4057">
            <w:pPr>
              <w:spacing w:before="40" w:after="40" w:line="220" w:lineRule="exact"/>
              <w:jc w:val="right"/>
              <w:rPr>
                <w:sz w:val="18"/>
              </w:rPr>
            </w:pPr>
          </w:p>
        </w:tc>
        <w:tc>
          <w:tcPr>
            <w:tcW w:w="102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49</w:t>
            </w:r>
            <w:r>
              <w:rPr>
                <w:sz w:val="18"/>
              </w:rPr>
              <w:t>,</w:t>
            </w:r>
            <w:r w:rsidRPr="001977E3">
              <w:rPr>
                <w:sz w:val="18"/>
              </w:rPr>
              <w:t>3</w:t>
            </w:r>
          </w:p>
        </w:tc>
      </w:tr>
      <w:tr w:rsidR="001A4057" w:rsidRPr="001977E3" w:rsidTr="001A4057">
        <w:tblPrEx>
          <w:tblCellMar>
            <w:top w:w="0" w:type="dxa"/>
            <w:bottom w:w="0" w:type="dxa"/>
          </w:tblCellMar>
        </w:tblPrEx>
        <w:tc>
          <w:tcPr>
            <w:tcW w:w="2835" w:type="dxa"/>
            <w:shd w:val="clear" w:color="000000" w:fill="auto"/>
          </w:tcPr>
          <w:p w:rsidR="001A4057" w:rsidRPr="001977E3" w:rsidRDefault="001A4057" w:rsidP="001A4057">
            <w:pPr>
              <w:spacing w:before="40" w:after="40" w:line="220" w:lineRule="exact"/>
              <w:rPr>
                <w:sz w:val="18"/>
              </w:rPr>
            </w:pPr>
            <w:r w:rsidRPr="001977E3">
              <w:rPr>
                <w:sz w:val="18"/>
              </w:rPr>
              <w:t>Taux d</w:t>
            </w:r>
            <w:r>
              <w:rPr>
                <w:sz w:val="18"/>
              </w:rPr>
              <w:t>’abandon au niveau </w:t>
            </w:r>
            <w:r w:rsidRPr="001977E3">
              <w:rPr>
                <w:sz w:val="18"/>
              </w:rPr>
              <w:t>primaire</w:t>
            </w:r>
          </w:p>
        </w:tc>
        <w:tc>
          <w:tcPr>
            <w:tcW w:w="1247" w:type="dxa"/>
            <w:shd w:val="clear" w:color="000000" w:fill="auto"/>
          </w:tcPr>
          <w:p w:rsidR="001A4057" w:rsidRPr="001977E3" w:rsidRDefault="001A4057" w:rsidP="001A4057">
            <w:pPr>
              <w:spacing w:before="40" w:after="40" w:line="220" w:lineRule="exact"/>
              <w:rPr>
                <w:sz w:val="18"/>
              </w:rPr>
            </w:pPr>
            <w:r w:rsidRPr="001977E3">
              <w:rPr>
                <w:sz w:val="18"/>
              </w:rPr>
              <w:t>En moyenne pour les 2 sexes</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14,0</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14,6</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14,3</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13</w:t>
            </w:r>
            <w:r>
              <w:rPr>
                <w:sz w:val="18"/>
              </w:rPr>
              <w:t>,</w:t>
            </w:r>
            <w:r w:rsidRPr="001977E3">
              <w:rPr>
                <w:sz w:val="18"/>
              </w:rPr>
              <w:t>9</w:t>
            </w:r>
          </w:p>
        </w:tc>
        <w:tc>
          <w:tcPr>
            <w:tcW w:w="102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Non disponible</w:t>
            </w:r>
          </w:p>
        </w:tc>
      </w:tr>
      <w:tr w:rsidR="001A4057" w:rsidRPr="001977E3" w:rsidTr="001A4057">
        <w:tblPrEx>
          <w:tblCellMar>
            <w:top w:w="0" w:type="dxa"/>
            <w:bottom w:w="0" w:type="dxa"/>
          </w:tblCellMar>
        </w:tblPrEx>
        <w:tc>
          <w:tcPr>
            <w:tcW w:w="2835" w:type="dxa"/>
            <w:shd w:val="clear" w:color="000000" w:fill="auto"/>
          </w:tcPr>
          <w:p w:rsidR="001A4057" w:rsidRPr="001977E3" w:rsidRDefault="001A4057" w:rsidP="001A4057">
            <w:pPr>
              <w:spacing w:before="40" w:after="40" w:line="220" w:lineRule="exact"/>
              <w:rPr>
                <w:sz w:val="18"/>
              </w:rPr>
            </w:pPr>
            <w:r w:rsidRPr="001977E3">
              <w:rPr>
                <w:sz w:val="18"/>
              </w:rPr>
              <w:t>Taux de redoublement</w:t>
            </w:r>
          </w:p>
        </w:tc>
        <w:tc>
          <w:tcPr>
            <w:tcW w:w="1247" w:type="dxa"/>
            <w:shd w:val="clear" w:color="000000" w:fill="auto"/>
          </w:tcPr>
          <w:p w:rsidR="001A4057" w:rsidRPr="001977E3" w:rsidRDefault="001A4057" w:rsidP="001A4057">
            <w:pPr>
              <w:spacing w:before="40" w:after="40" w:line="220" w:lineRule="exact"/>
              <w:rPr>
                <w:sz w:val="18"/>
              </w:rPr>
            </w:pP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18,8</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15,8</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18,1</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17</w:t>
            </w:r>
            <w:r>
              <w:rPr>
                <w:sz w:val="18"/>
              </w:rPr>
              <w:t>,</w:t>
            </w:r>
            <w:r w:rsidRPr="001977E3">
              <w:rPr>
                <w:sz w:val="18"/>
              </w:rPr>
              <w:t>7</w:t>
            </w:r>
          </w:p>
        </w:tc>
        <w:tc>
          <w:tcPr>
            <w:tcW w:w="102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Non disponible</w:t>
            </w:r>
          </w:p>
        </w:tc>
      </w:tr>
      <w:tr w:rsidR="001A4057" w:rsidRPr="001977E3" w:rsidTr="001A4057">
        <w:tblPrEx>
          <w:tblCellMar>
            <w:top w:w="0" w:type="dxa"/>
            <w:bottom w:w="0" w:type="dxa"/>
          </w:tblCellMar>
        </w:tblPrEx>
        <w:tc>
          <w:tcPr>
            <w:tcW w:w="2835" w:type="dxa"/>
            <w:shd w:val="clear" w:color="000000" w:fill="auto"/>
          </w:tcPr>
          <w:p w:rsidR="001A4057" w:rsidRPr="001977E3" w:rsidRDefault="001A4057" w:rsidP="001A4057">
            <w:pPr>
              <w:spacing w:before="40" w:after="40" w:line="220" w:lineRule="exact"/>
              <w:rPr>
                <w:sz w:val="18"/>
              </w:rPr>
            </w:pPr>
            <w:r w:rsidRPr="001977E3">
              <w:rPr>
                <w:sz w:val="18"/>
              </w:rPr>
              <w:t>Nombre d</w:t>
            </w:r>
            <w:r>
              <w:rPr>
                <w:sz w:val="18"/>
              </w:rPr>
              <w:t>’</w:t>
            </w:r>
            <w:r w:rsidRPr="001977E3">
              <w:rPr>
                <w:sz w:val="18"/>
              </w:rPr>
              <w:t>écoles</w:t>
            </w:r>
          </w:p>
        </w:tc>
        <w:tc>
          <w:tcPr>
            <w:tcW w:w="1247" w:type="dxa"/>
            <w:shd w:val="clear" w:color="000000" w:fill="auto"/>
            <w:vAlign w:val="bottom"/>
          </w:tcPr>
          <w:p w:rsidR="001A4057" w:rsidRPr="001977E3" w:rsidRDefault="001A4057" w:rsidP="001A4057">
            <w:pPr>
              <w:spacing w:before="40" w:after="40" w:line="220" w:lineRule="exact"/>
              <w:rPr>
                <w:sz w:val="18"/>
              </w:rPr>
            </w:pP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2</w:t>
            </w:r>
            <w:r>
              <w:rPr>
                <w:sz w:val="18"/>
              </w:rPr>
              <w:t xml:space="preserve"> </w:t>
            </w:r>
            <w:r w:rsidRPr="001977E3">
              <w:rPr>
                <w:sz w:val="18"/>
              </w:rPr>
              <w:t>262</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2</w:t>
            </w:r>
            <w:r>
              <w:rPr>
                <w:sz w:val="18"/>
              </w:rPr>
              <w:t xml:space="preserve"> </w:t>
            </w:r>
            <w:r w:rsidRPr="001977E3">
              <w:rPr>
                <w:sz w:val="18"/>
              </w:rPr>
              <w:t>295</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2</w:t>
            </w:r>
            <w:r>
              <w:rPr>
                <w:sz w:val="18"/>
              </w:rPr>
              <w:t xml:space="preserve"> </w:t>
            </w:r>
            <w:r w:rsidRPr="001977E3">
              <w:rPr>
                <w:sz w:val="18"/>
              </w:rPr>
              <w:t>323</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2</w:t>
            </w:r>
            <w:r>
              <w:rPr>
                <w:sz w:val="18"/>
              </w:rPr>
              <w:t xml:space="preserve"> </w:t>
            </w:r>
            <w:r w:rsidRPr="001977E3">
              <w:rPr>
                <w:sz w:val="18"/>
              </w:rPr>
              <w:t>370</w:t>
            </w:r>
          </w:p>
        </w:tc>
        <w:tc>
          <w:tcPr>
            <w:tcW w:w="102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2</w:t>
            </w:r>
            <w:r>
              <w:rPr>
                <w:sz w:val="18"/>
              </w:rPr>
              <w:t xml:space="preserve"> </w:t>
            </w:r>
            <w:r w:rsidRPr="001977E3">
              <w:rPr>
                <w:sz w:val="18"/>
              </w:rPr>
              <w:t>432</w:t>
            </w:r>
          </w:p>
        </w:tc>
      </w:tr>
      <w:tr w:rsidR="001A4057" w:rsidRPr="001977E3" w:rsidTr="001A4057">
        <w:tblPrEx>
          <w:tblCellMar>
            <w:top w:w="0" w:type="dxa"/>
            <w:bottom w:w="0" w:type="dxa"/>
          </w:tblCellMar>
        </w:tblPrEx>
        <w:tc>
          <w:tcPr>
            <w:tcW w:w="2835" w:type="dxa"/>
            <w:shd w:val="clear" w:color="000000" w:fill="auto"/>
          </w:tcPr>
          <w:p w:rsidR="001A4057" w:rsidRPr="001977E3" w:rsidRDefault="001A4057" w:rsidP="001A4057">
            <w:pPr>
              <w:spacing w:before="40" w:after="40" w:line="220" w:lineRule="exact"/>
              <w:rPr>
                <w:sz w:val="18"/>
              </w:rPr>
            </w:pPr>
            <w:r w:rsidRPr="001977E3">
              <w:rPr>
                <w:sz w:val="18"/>
              </w:rPr>
              <w:t>Ratio enseignant/écolier</w:t>
            </w:r>
          </w:p>
        </w:tc>
        <w:tc>
          <w:tcPr>
            <w:tcW w:w="1247" w:type="dxa"/>
            <w:shd w:val="clear" w:color="000000" w:fill="auto"/>
            <w:vAlign w:val="bottom"/>
          </w:tcPr>
          <w:p w:rsidR="001A4057" w:rsidRPr="001977E3" w:rsidRDefault="001A4057" w:rsidP="001A4057">
            <w:pPr>
              <w:spacing w:before="40" w:after="40" w:line="220" w:lineRule="exact"/>
              <w:rPr>
                <w:sz w:val="18"/>
              </w:rPr>
            </w:pP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66,9</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69,0</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70,9</w:t>
            </w:r>
          </w:p>
        </w:tc>
        <w:tc>
          <w:tcPr>
            <w:tcW w:w="85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74,0</w:t>
            </w:r>
          </w:p>
        </w:tc>
        <w:tc>
          <w:tcPr>
            <w:tcW w:w="1021" w:type="dxa"/>
            <w:shd w:val="clear" w:color="000000" w:fill="auto"/>
            <w:vAlign w:val="bottom"/>
          </w:tcPr>
          <w:p w:rsidR="001A4057" w:rsidRPr="001977E3" w:rsidRDefault="001A4057" w:rsidP="001A4057">
            <w:pPr>
              <w:spacing w:before="40" w:after="40" w:line="220" w:lineRule="exact"/>
              <w:jc w:val="right"/>
              <w:rPr>
                <w:sz w:val="18"/>
              </w:rPr>
            </w:pPr>
            <w:r w:rsidRPr="001977E3">
              <w:rPr>
                <w:sz w:val="18"/>
              </w:rPr>
              <w:t>66</w:t>
            </w:r>
          </w:p>
        </w:tc>
      </w:tr>
    </w:tbl>
    <w:p w:rsidR="001A4057" w:rsidRPr="00661849" w:rsidRDefault="001A4057" w:rsidP="001A4057">
      <w:pPr>
        <w:pStyle w:val="SingleTxtG"/>
        <w:spacing w:before="120" w:after="240"/>
        <w:ind w:firstLine="170"/>
        <w:rPr>
          <w:sz w:val="18"/>
          <w:szCs w:val="18"/>
        </w:rPr>
      </w:pPr>
      <w:r w:rsidRPr="00661849">
        <w:rPr>
          <w:i/>
          <w:sz w:val="18"/>
          <w:szCs w:val="18"/>
        </w:rPr>
        <w:t>Source</w:t>
      </w:r>
      <w:r w:rsidRPr="00661849">
        <w:rPr>
          <w:sz w:val="18"/>
          <w:szCs w:val="18"/>
        </w:rPr>
        <w:t>: Mineduc: Annuaire statistique de l</w:t>
      </w:r>
      <w:r>
        <w:rPr>
          <w:sz w:val="18"/>
          <w:szCs w:val="18"/>
        </w:rPr>
        <w:t>’</w:t>
      </w:r>
      <w:r w:rsidRPr="00661849">
        <w:rPr>
          <w:sz w:val="18"/>
          <w:szCs w:val="18"/>
        </w:rPr>
        <w:t>éducation, 2004-2008</w:t>
      </w:r>
      <w:r>
        <w:rPr>
          <w:sz w:val="18"/>
          <w:szCs w:val="18"/>
        </w:rPr>
        <w:t>.</w:t>
      </w:r>
    </w:p>
    <w:p w:rsidR="001A4057" w:rsidRPr="009B6952" w:rsidRDefault="001A4057" w:rsidP="001A4057">
      <w:pPr>
        <w:pStyle w:val="H4G"/>
      </w:pPr>
      <w:r>
        <w:tab/>
      </w:r>
      <w:r>
        <w:tab/>
      </w:r>
      <w:r w:rsidRPr="009B6952">
        <w:t>Enseignement secondaire</w:t>
      </w:r>
    </w:p>
    <w:p w:rsidR="001A4057" w:rsidRPr="009B6952" w:rsidRDefault="001A4057" w:rsidP="001A4057">
      <w:pPr>
        <w:pStyle w:val="SingleTxtG"/>
      </w:pPr>
      <w:r>
        <w:t>271</w:t>
      </w:r>
      <w:r w:rsidRPr="009B6952">
        <w:t>.</w:t>
      </w:r>
      <w:r w:rsidRPr="009B6952">
        <w:tab/>
        <w:t>L</w:t>
      </w:r>
      <w:r>
        <w:t>’</w:t>
      </w:r>
      <w:r w:rsidRPr="009B6952">
        <w:t>enseignement secondaire est partiellement gratuit: les trois</w:t>
      </w:r>
      <w:r>
        <w:t xml:space="preserve"> </w:t>
      </w:r>
      <w:r w:rsidRPr="009B6952">
        <w:t xml:space="preserve">premières années du secondaire (tronc commun). </w:t>
      </w:r>
    </w:p>
    <w:p w:rsidR="001A4057" w:rsidRPr="009B6952" w:rsidRDefault="001A4057" w:rsidP="001A4057">
      <w:pPr>
        <w:pStyle w:val="SingleTxtG"/>
      </w:pPr>
      <w:r>
        <w:t>272</w:t>
      </w:r>
      <w:r w:rsidRPr="009B6952">
        <w:t>.</w:t>
      </w:r>
      <w:r w:rsidRPr="009B6952">
        <w:tab/>
        <w:t>La nouvelle politique de l</w:t>
      </w:r>
      <w:r>
        <w:t>’</w:t>
      </w:r>
      <w:r w:rsidRPr="009B6952">
        <w:t>éducation de base s</w:t>
      </w:r>
      <w:r>
        <w:t>’</w:t>
      </w:r>
      <w:r w:rsidRPr="009B6952">
        <w:t>est concrétisée en 2009 et prévoit l</w:t>
      </w:r>
      <w:r>
        <w:t>’</w:t>
      </w:r>
      <w:r w:rsidRPr="009B6952">
        <w:t>accès gratuit et généralisé aux</w:t>
      </w:r>
      <w:r>
        <w:t xml:space="preserve"> </w:t>
      </w:r>
      <w:r w:rsidRPr="009B6952">
        <w:t>trois premières</w:t>
      </w:r>
      <w:r>
        <w:t xml:space="preserve"> </w:t>
      </w:r>
      <w:r w:rsidRPr="009B6952">
        <w:t xml:space="preserve">années du secondaire. </w:t>
      </w:r>
    </w:p>
    <w:p w:rsidR="001A4057" w:rsidRPr="009B6952" w:rsidRDefault="001A4057" w:rsidP="001A4057">
      <w:pPr>
        <w:pStyle w:val="SingleTxtG"/>
      </w:pPr>
      <w:r>
        <w:t>273</w:t>
      </w:r>
      <w:r w:rsidRPr="009B6952">
        <w:t>.</w:t>
      </w:r>
      <w:r w:rsidRPr="009B6952">
        <w:tab/>
        <w:t xml:space="preserve">Le coût moyen des frais de minerval au secondaire dans une école publique et </w:t>
      </w:r>
      <w:r>
        <w:t>conventionnée est de 35 000 FRW/</w:t>
      </w:r>
      <w:r w:rsidRPr="009B6952">
        <w:t>tr</w:t>
      </w:r>
      <w:r>
        <w:t>imestre/</w:t>
      </w:r>
      <w:r w:rsidRPr="009B6952">
        <w:t>élève au niveau du tronc commun</w:t>
      </w:r>
      <w:r>
        <w:t xml:space="preserve"> </w:t>
      </w:r>
      <w:r w:rsidRPr="009B6952">
        <w:t xml:space="preserve">et du second cycle du secondaire pour les écoles </w:t>
      </w:r>
      <w:r w:rsidRPr="00373600">
        <w:t>internes</w:t>
      </w:r>
      <w:r>
        <w:t xml:space="preserve"> (internats)</w:t>
      </w:r>
      <w:r w:rsidRPr="009B6952">
        <w:t>.</w:t>
      </w:r>
    </w:p>
    <w:p w:rsidR="001A4057" w:rsidRPr="009B6952" w:rsidRDefault="001A4057" w:rsidP="001A4057">
      <w:pPr>
        <w:pStyle w:val="SingleTxtG"/>
        <w:ind w:firstLine="567"/>
      </w:pPr>
      <w:r w:rsidRPr="009B6952">
        <w:t>Au niveau du tronc commun, le Gouvernement paye pour c</w:t>
      </w:r>
      <w:r>
        <w:t>haque élève interne 21 000 FRW/</w:t>
      </w:r>
      <w:r w:rsidRPr="009B6952">
        <w:t>élève</w:t>
      </w:r>
      <w:r>
        <w:t>,</w:t>
      </w:r>
      <w:r w:rsidRPr="009B6952">
        <w:t xml:space="preserve"> soit 7</w:t>
      </w:r>
      <w:r>
        <w:t xml:space="preserve"> </w:t>
      </w:r>
      <w:r w:rsidRPr="009B6952">
        <w:t>000 FRW par trimestre</w:t>
      </w:r>
      <w:r>
        <w:t>,</w:t>
      </w:r>
      <w:r w:rsidRPr="009B6952">
        <w:t xml:space="preserve"> tandis que pour les élèves externes qui prennent le repas de midi à l</w:t>
      </w:r>
      <w:r>
        <w:t>’</w:t>
      </w:r>
      <w:r w:rsidRPr="009B6952">
        <w:t>école, le Gouvernement paye 11</w:t>
      </w:r>
      <w:r>
        <w:t xml:space="preserve"> </w:t>
      </w:r>
      <w:r w:rsidRPr="009B6952">
        <w:t xml:space="preserve">000 FRW par an et par élève. Le coût moyen </w:t>
      </w:r>
      <w:r>
        <w:t xml:space="preserve">au </w:t>
      </w:r>
      <w:r w:rsidRPr="009B6952">
        <w:t>niveau de la 2</w:t>
      </w:r>
      <w:r w:rsidRPr="009B6952">
        <w:rPr>
          <w:vertAlign w:val="superscript"/>
        </w:rPr>
        <w:t>ème</w:t>
      </w:r>
      <w:r w:rsidRPr="009B6952">
        <w:t xml:space="preserve"> partie du</w:t>
      </w:r>
      <w:r>
        <w:t xml:space="preserve"> secondaire est de 45 000 FRW/trimestre/</w:t>
      </w:r>
      <w:r w:rsidRPr="009B6952">
        <w:t>élève. Ce coût est de 80</w:t>
      </w:r>
      <w:r>
        <w:t xml:space="preserve"> </w:t>
      </w:r>
      <w:r w:rsidRPr="009B6952">
        <w:t xml:space="preserve">000 FRW en moyenne dans une école privée. </w:t>
      </w:r>
    </w:p>
    <w:p w:rsidR="001A4057" w:rsidRDefault="001A4057" w:rsidP="001A4057">
      <w:pPr>
        <w:pStyle w:val="SingleTxtG"/>
      </w:pPr>
      <w:r w:rsidRPr="009B6952">
        <w:t>27</w:t>
      </w:r>
      <w:r>
        <w:t>4</w:t>
      </w:r>
      <w:r w:rsidRPr="009B6952">
        <w:t>.</w:t>
      </w:r>
      <w:r w:rsidRPr="009B6952">
        <w:tab/>
        <w:t>Le coût moyen des frais scolaires dans l</w:t>
      </w:r>
      <w:r>
        <w:t>’</w:t>
      </w:r>
      <w:r w:rsidRPr="009B6952">
        <w:t>enseignement technique et professionnel est pratiquement le même que celui de l</w:t>
      </w:r>
      <w:r>
        <w:t>’</w:t>
      </w:r>
      <w:r w:rsidRPr="009B6952">
        <w:t>enseignement secondaire général dans les écoles publiques et conventionnées. Les frais sont aussi pris en charge par l</w:t>
      </w:r>
      <w:r>
        <w:t>’</w:t>
      </w:r>
      <w:r w:rsidRPr="009B6952">
        <w:t xml:space="preserve">État, </w:t>
      </w:r>
      <w:r>
        <w:t xml:space="preserve">par </w:t>
      </w:r>
      <w:r w:rsidRPr="009B6952">
        <w:t>les fonds d</w:t>
      </w:r>
      <w:r>
        <w:t>’</w:t>
      </w:r>
      <w:r w:rsidRPr="009B6952">
        <w:t>éducation dans les districts</w:t>
      </w:r>
      <w:r>
        <w:t xml:space="preserve"> et par </w:t>
      </w:r>
      <w:r w:rsidRPr="009B6952">
        <w:t>les diverses organisations en place (aussi bien les institutions publiques que les initiatives privées) dans le cas d</w:t>
      </w:r>
      <w:r>
        <w:t xml:space="preserve">es </w:t>
      </w:r>
      <w:r w:rsidRPr="009B6952">
        <w:t xml:space="preserve">enfants vulnérables. </w:t>
      </w:r>
      <w:r>
        <w:t>Les i</w:t>
      </w:r>
      <w:r w:rsidRPr="009B6952">
        <w:t>ndicateurs au niveau secondaire</w:t>
      </w:r>
      <w:r>
        <w:t>, y compris les r</w:t>
      </w:r>
      <w:r w:rsidRPr="009B6952">
        <w:t>ésultats aux examens nationaux 2004-4008</w:t>
      </w:r>
      <w:r>
        <w:t xml:space="preserve">, sont présentés ci-dessous. </w:t>
      </w:r>
    </w:p>
    <w:p w:rsidR="001A4057" w:rsidRPr="009B6952" w:rsidRDefault="001A4057" w:rsidP="001A4057">
      <w:pPr>
        <w:pStyle w:val="Heading1"/>
        <w:spacing w:after="120"/>
      </w:pPr>
      <w:r>
        <w:t>Tableau 20.</w:t>
      </w:r>
      <w:r w:rsidRPr="00491C9A">
        <w:t xml:space="preserve"> </w:t>
      </w:r>
    </w:p>
    <w:tbl>
      <w:tblPr>
        <w:tblW w:w="850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35"/>
        <w:gridCol w:w="1247"/>
        <w:gridCol w:w="851"/>
        <w:gridCol w:w="851"/>
        <w:gridCol w:w="851"/>
        <w:gridCol w:w="851"/>
        <w:gridCol w:w="1021"/>
      </w:tblGrid>
      <w:tr w:rsidR="001A4057" w:rsidRPr="00661849" w:rsidTr="001A4057">
        <w:trPr>
          <w:tblHeader/>
        </w:trPr>
        <w:tc>
          <w:tcPr>
            <w:tcW w:w="2835" w:type="dxa"/>
            <w:tcBorders>
              <w:top w:val="single" w:sz="4" w:space="0" w:color="auto"/>
              <w:bottom w:val="single" w:sz="12" w:space="0" w:color="auto"/>
            </w:tcBorders>
            <w:shd w:val="clear" w:color="auto" w:fill="auto"/>
            <w:vAlign w:val="bottom"/>
          </w:tcPr>
          <w:p w:rsidR="001A4057" w:rsidRPr="00661849" w:rsidRDefault="001A4057" w:rsidP="001A4057">
            <w:pPr>
              <w:spacing w:before="80" w:after="80" w:line="200" w:lineRule="exact"/>
              <w:rPr>
                <w:i/>
                <w:sz w:val="16"/>
              </w:rPr>
            </w:pPr>
            <w:r w:rsidRPr="00661849">
              <w:rPr>
                <w:i/>
                <w:sz w:val="16"/>
              </w:rPr>
              <w:t>Année</w:t>
            </w:r>
          </w:p>
        </w:tc>
        <w:tc>
          <w:tcPr>
            <w:tcW w:w="1247" w:type="dxa"/>
            <w:tcBorders>
              <w:top w:val="single" w:sz="4" w:space="0" w:color="auto"/>
              <w:bottom w:val="single" w:sz="12" w:space="0" w:color="auto"/>
            </w:tcBorders>
            <w:shd w:val="clear" w:color="auto" w:fill="auto"/>
            <w:vAlign w:val="bottom"/>
          </w:tcPr>
          <w:p w:rsidR="001A4057" w:rsidRPr="00661849" w:rsidRDefault="001A4057" w:rsidP="001A4057">
            <w:pPr>
              <w:spacing w:before="80" w:after="80" w:line="200" w:lineRule="exact"/>
              <w:jc w:val="right"/>
              <w:rPr>
                <w:i/>
                <w:sz w:val="16"/>
              </w:rPr>
            </w:pPr>
          </w:p>
        </w:tc>
        <w:tc>
          <w:tcPr>
            <w:tcW w:w="851" w:type="dxa"/>
            <w:tcBorders>
              <w:top w:val="single" w:sz="4" w:space="0" w:color="auto"/>
              <w:bottom w:val="single" w:sz="12" w:space="0" w:color="auto"/>
            </w:tcBorders>
            <w:shd w:val="clear" w:color="auto" w:fill="auto"/>
            <w:vAlign w:val="bottom"/>
          </w:tcPr>
          <w:p w:rsidR="001A4057" w:rsidRPr="00661849" w:rsidRDefault="001A4057" w:rsidP="001A4057">
            <w:pPr>
              <w:spacing w:before="80" w:after="80" w:line="200" w:lineRule="exact"/>
              <w:jc w:val="right"/>
              <w:rPr>
                <w:i/>
                <w:sz w:val="16"/>
              </w:rPr>
            </w:pPr>
            <w:r w:rsidRPr="00661849">
              <w:rPr>
                <w:i/>
                <w:sz w:val="16"/>
              </w:rPr>
              <w:t>2003/2004</w:t>
            </w:r>
          </w:p>
        </w:tc>
        <w:tc>
          <w:tcPr>
            <w:tcW w:w="851" w:type="dxa"/>
            <w:tcBorders>
              <w:top w:val="single" w:sz="4" w:space="0" w:color="auto"/>
              <w:bottom w:val="single" w:sz="12" w:space="0" w:color="auto"/>
            </w:tcBorders>
            <w:shd w:val="clear" w:color="auto" w:fill="auto"/>
            <w:vAlign w:val="bottom"/>
          </w:tcPr>
          <w:p w:rsidR="001A4057" w:rsidRPr="00661849" w:rsidRDefault="001A4057" w:rsidP="001A4057">
            <w:pPr>
              <w:spacing w:before="80" w:after="80" w:line="200" w:lineRule="exact"/>
              <w:jc w:val="right"/>
              <w:rPr>
                <w:i/>
                <w:sz w:val="16"/>
              </w:rPr>
            </w:pPr>
            <w:r w:rsidRPr="00661849">
              <w:rPr>
                <w:i/>
                <w:sz w:val="16"/>
              </w:rPr>
              <w:t>2005</w:t>
            </w:r>
          </w:p>
        </w:tc>
        <w:tc>
          <w:tcPr>
            <w:tcW w:w="851" w:type="dxa"/>
            <w:tcBorders>
              <w:top w:val="single" w:sz="4" w:space="0" w:color="auto"/>
              <w:bottom w:val="single" w:sz="12" w:space="0" w:color="auto"/>
            </w:tcBorders>
            <w:shd w:val="clear" w:color="auto" w:fill="auto"/>
            <w:vAlign w:val="bottom"/>
          </w:tcPr>
          <w:p w:rsidR="001A4057" w:rsidRPr="00661849" w:rsidRDefault="001A4057" w:rsidP="001A4057">
            <w:pPr>
              <w:spacing w:before="80" w:after="80" w:line="200" w:lineRule="exact"/>
              <w:jc w:val="right"/>
              <w:rPr>
                <w:i/>
                <w:sz w:val="16"/>
              </w:rPr>
            </w:pPr>
            <w:r w:rsidRPr="00661849">
              <w:rPr>
                <w:i/>
                <w:sz w:val="16"/>
              </w:rPr>
              <w:t>2006</w:t>
            </w:r>
          </w:p>
        </w:tc>
        <w:tc>
          <w:tcPr>
            <w:tcW w:w="851" w:type="dxa"/>
            <w:tcBorders>
              <w:top w:val="single" w:sz="4" w:space="0" w:color="auto"/>
              <w:bottom w:val="single" w:sz="12" w:space="0" w:color="auto"/>
            </w:tcBorders>
            <w:shd w:val="clear" w:color="auto" w:fill="auto"/>
            <w:vAlign w:val="bottom"/>
          </w:tcPr>
          <w:p w:rsidR="001A4057" w:rsidRPr="00661849" w:rsidRDefault="001A4057" w:rsidP="001A4057">
            <w:pPr>
              <w:spacing w:before="80" w:after="80" w:line="200" w:lineRule="exact"/>
              <w:jc w:val="right"/>
              <w:rPr>
                <w:i/>
                <w:sz w:val="16"/>
              </w:rPr>
            </w:pPr>
            <w:r w:rsidRPr="00661849">
              <w:rPr>
                <w:i/>
                <w:sz w:val="16"/>
              </w:rPr>
              <w:t>2007</w:t>
            </w:r>
          </w:p>
        </w:tc>
        <w:tc>
          <w:tcPr>
            <w:tcW w:w="1021" w:type="dxa"/>
            <w:tcBorders>
              <w:top w:val="single" w:sz="4" w:space="0" w:color="auto"/>
              <w:bottom w:val="single" w:sz="12" w:space="0" w:color="auto"/>
            </w:tcBorders>
            <w:shd w:val="clear" w:color="auto" w:fill="auto"/>
            <w:vAlign w:val="bottom"/>
          </w:tcPr>
          <w:p w:rsidR="001A4057" w:rsidRPr="00661849" w:rsidRDefault="001A4057" w:rsidP="001A4057">
            <w:pPr>
              <w:spacing w:before="80" w:after="80" w:line="200" w:lineRule="exact"/>
              <w:jc w:val="right"/>
              <w:rPr>
                <w:i/>
                <w:sz w:val="16"/>
              </w:rPr>
            </w:pPr>
            <w:r w:rsidRPr="00661849">
              <w:rPr>
                <w:i/>
                <w:sz w:val="16"/>
              </w:rPr>
              <w:t>2008</w:t>
            </w:r>
          </w:p>
        </w:tc>
      </w:tr>
      <w:tr w:rsidR="001A4057" w:rsidRPr="00661849" w:rsidTr="001A4057">
        <w:tc>
          <w:tcPr>
            <w:tcW w:w="2835" w:type="dxa"/>
            <w:tcBorders>
              <w:top w:val="single" w:sz="12" w:space="0" w:color="auto"/>
            </w:tcBorders>
            <w:shd w:val="clear" w:color="auto" w:fill="auto"/>
          </w:tcPr>
          <w:p w:rsidR="001A4057" w:rsidRPr="00661849" w:rsidRDefault="001A4057" w:rsidP="001A4057">
            <w:pPr>
              <w:spacing w:before="40" w:after="40" w:line="220" w:lineRule="exact"/>
              <w:rPr>
                <w:sz w:val="18"/>
              </w:rPr>
            </w:pPr>
            <w:r w:rsidRPr="00661849">
              <w:rPr>
                <w:sz w:val="18"/>
              </w:rPr>
              <w:t>Nombre total d</w:t>
            </w:r>
            <w:r>
              <w:rPr>
                <w:sz w:val="18"/>
              </w:rPr>
              <w:t>’</w:t>
            </w:r>
            <w:r w:rsidRPr="00661849">
              <w:rPr>
                <w:sz w:val="18"/>
              </w:rPr>
              <w:t>élèves fréquentant des écoles secondaires</w:t>
            </w:r>
          </w:p>
        </w:tc>
        <w:tc>
          <w:tcPr>
            <w:tcW w:w="1247" w:type="dxa"/>
            <w:tcBorders>
              <w:top w:val="single" w:sz="12" w:space="0" w:color="auto"/>
            </w:tcBorders>
            <w:shd w:val="clear" w:color="auto" w:fill="auto"/>
            <w:vAlign w:val="bottom"/>
          </w:tcPr>
          <w:p w:rsidR="001A4057" w:rsidRPr="00661849" w:rsidRDefault="001A4057" w:rsidP="001A4057">
            <w:pPr>
              <w:spacing w:before="40" w:after="40" w:line="220" w:lineRule="exact"/>
              <w:rPr>
                <w:sz w:val="18"/>
              </w:rPr>
            </w:pPr>
          </w:p>
        </w:tc>
        <w:tc>
          <w:tcPr>
            <w:tcW w:w="851" w:type="dxa"/>
            <w:tcBorders>
              <w:top w:val="single" w:sz="12" w:space="0" w:color="auto"/>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203</w:t>
            </w:r>
            <w:r>
              <w:rPr>
                <w:sz w:val="18"/>
              </w:rPr>
              <w:t xml:space="preserve"> </w:t>
            </w:r>
            <w:r w:rsidRPr="00661849">
              <w:rPr>
                <w:sz w:val="18"/>
              </w:rPr>
              <w:t>551</w:t>
            </w:r>
          </w:p>
        </w:tc>
        <w:tc>
          <w:tcPr>
            <w:tcW w:w="851" w:type="dxa"/>
            <w:tcBorders>
              <w:top w:val="single" w:sz="12" w:space="0" w:color="auto"/>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218</w:t>
            </w:r>
            <w:r>
              <w:rPr>
                <w:sz w:val="18"/>
              </w:rPr>
              <w:t xml:space="preserve"> </w:t>
            </w:r>
            <w:r w:rsidRPr="00661849">
              <w:rPr>
                <w:sz w:val="18"/>
              </w:rPr>
              <w:t>517</w:t>
            </w:r>
          </w:p>
        </w:tc>
        <w:tc>
          <w:tcPr>
            <w:tcW w:w="851" w:type="dxa"/>
            <w:tcBorders>
              <w:top w:val="single" w:sz="12" w:space="0" w:color="auto"/>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239</w:t>
            </w:r>
            <w:r>
              <w:rPr>
                <w:sz w:val="18"/>
              </w:rPr>
              <w:t xml:space="preserve"> </w:t>
            </w:r>
            <w:r w:rsidRPr="00661849">
              <w:rPr>
                <w:sz w:val="18"/>
              </w:rPr>
              <w:t>629</w:t>
            </w:r>
          </w:p>
        </w:tc>
        <w:tc>
          <w:tcPr>
            <w:tcW w:w="851" w:type="dxa"/>
            <w:tcBorders>
              <w:top w:val="single" w:sz="12" w:space="0" w:color="auto"/>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266</w:t>
            </w:r>
            <w:r>
              <w:rPr>
                <w:sz w:val="18"/>
              </w:rPr>
              <w:t xml:space="preserve"> </w:t>
            </w:r>
            <w:r w:rsidRPr="00661849">
              <w:rPr>
                <w:sz w:val="18"/>
              </w:rPr>
              <w:t>518</w:t>
            </w:r>
          </w:p>
        </w:tc>
        <w:tc>
          <w:tcPr>
            <w:tcW w:w="1021" w:type="dxa"/>
            <w:tcBorders>
              <w:top w:val="single" w:sz="12" w:space="0" w:color="auto"/>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288</w:t>
            </w:r>
            <w:r>
              <w:rPr>
                <w:sz w:val="18"/>
              </w:rPr>
              <w:t xml:space="preserve"> </w:t>
            </w:r>
            <w:r w:rsidRPr="00661849">
              <w:rPr>
                <w:sz w:val="18"/>
              </w:rPr>
              <w:t>036</w:t>
            </w:r>
          </w:p>
        </w:tc>
      </w:tr>
      <w:tr w:rsidR="001A4057" w:rsidRPr="00661849" w:rsidTr="001A4057">
        <w:tc>
          <w:tcPr>
            <w:tcW w:w="2835" w:type="dxa"/>
            <w:vMerge w:val="restart"/>
            <w:shd w:val="clear" w:color="auto" w:fill="auto"/>
          </w:tcPr>
          <w:p w:rsidR="001A4057" w:rsidRPr="00661849" w:rsidRDefault="001A4057" w:rsidP="001A4057">
            <w:pPr>
              <w:spacing w:before="40" w:after="40" w:line="220" w:lineRule="exact"/>
              <w:rPr>
                <w:sz w:val="18"/>
              </w:rPr>
            </w:pPr>
            <w:r w:rsidRPr="00661849">
              <w:rPr>
                <w:sz w:val="18"/>
              </w:rPr>
              <w:t>Genre</w:t>
            </w:r>
          </w:p>
        </w:tc>
        <w:tc>
          <w:tcPr>
            <w:tcW w:w="1247" w:type="dxa"/>
            <w:shd w:val="clear" w:color="auto" w:fill="auto"/>
            <w:vAlign w:val="bottom"/>
          </w:tcPr>
          <w:p w:rsidR="001A4057" w:rsidRPr="00661849" w:rsidRDefault="001A4057" w:rsidP="001A4057">
            <w:pPr>
              <w:spacing w:before="40" w:after="40" w:line="220" w:lineRule="exact"/>
              <w:rPr>
                <w:sz w:val="18"/>
              </w:rPr>
            </w:pPr>
            <w:r w:rsidRPr="00661849">
              <w:rPr>
                <w:sz w:val="18"/>
              </w:rPr>
              <w:t xml:space="preserve">Garçons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106</w:t>
            </w:r>
            <w:r>
              <w:rPr>
                <w:sz w:val="18"/>
              </w:rPr>
              <w:t xml:space="preserve"> </w:t>
            </w:r>
            <w:r w:rsidRPr="00661849">
              <w:rPr>
                <w:sz w:val="18"/>
              </w:rPr>
              <w:t>540</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115</w:t>
            </w:r>
            <w:r>
              <w:rPr>
                <w:sz w:val="18"/>
              </w:rPr>
              <w:t xml:space="preserve"> </w:t>
            </w:r>
            <w:r w:rsidRPr="00661849">
              <w:rPr>
                <w:sz w:val="18"/>
              </w:rPr>
              <w:t>350</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125 857</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139</w:t>
            </w:r>
            <w:r>
              <w:rPr>
                <w:sz w:val="18"/>
              </w:rPr>
              <w:t xml:space="preserve"> </w:t>
            </w:r>
            <w:r w:rsidRPr="00661849">
              <w:rPr>
                <w:sz w:val="18"/>
              </w:rPr>
              <w:t>699</w:t>
            </w:r>
          </w:p>
        </w:tc>
        <w:tc>
          <w:tcPr>
            <w:tcW w:w="102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150</w:t>
            </w:r>
            <w:r>
              <w:rPr>
                <w:sz w:val="18"/>
              </w:rPr>
              <w:t xml:space="preserve"> </w:t>
            </w:r>
            <w:r w:rsidRPr="00661849">
              <w:rPr>
                <w:sz w:val="18"/>
              </w:rPr>
              <w:t>221</w:t>
            </w:r>
          </w:p>
        </w:tc>
      </w:tr>
      <w:tr w:rsidR="001A4057" w:rsidRPr="00661849" w:rsidTr="001A4057">
        <w:tc>
          <w:tcPr>
            <w:tcW w:w="2835" w:type="dxa"/>
            <w:vMerge/>
            <w:shd w:val="clear" w:color="auto" w:fill="auto"/>
          </w:tcPr>
          <w:p w:rsidR="001A4057" w:rsidRPr="00661849" w:rsidRDefault="001A4057" w:rsidP="001A4057">
            <w:pPr>
              <w:spacing w:before="40" w:after="40" w:line="220" w:lineRule="exact"/>
              <w:rPr>
                <w:sz w:val="18"/>
              </w:rPr>
            </w:pPr>
          </w:p>
        </w:tc>
        <w:tc>
          <w:tcPr>
            <w:tcW w:w="1247" w:type="dxa"/>
            <w:shd w:val="clear" w:color="auto" w:fill="auto"/>
            <w:vAlign w:val="bottom"/>
          </w:tcPr>
          <w:p w:rsidR="001A4057" w:rsidRPr="00661849" w:rsidRDefault="001A4057" w:rsidP="001A4057">
            <w:pPr>
              <w:spacing w:before="40" w:after="40" w:line="220" w:lineRule="exact"/>
              <w:rPr>
                <w:sz w:val="18"/>
              </w:rPr>
            </w:pPr>
            <w:r w:rsidRPr="00661849">
              <w:rPr>
                <w:sz w:val="18"/>
              </w:rPr>
              <w:t xml:space="preserve">Filles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97</w:t>
            </w:r>
            <w:r>
              <w:rPr>
                <w:sz w:val="18"/>
              </w:rPr>
              <w:t xml:space="preserve"> </w:t>
            </w:r>
            <w:r w:rsidRPr="00661849">
              <w:rPr>
                <w:sz w:val="18"/>
              </w:rPr>
              <w:t>011</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103</w:t>
            </w:r>
            <w:r>
              <w:rPr>
                <w:sz w:val="18"/>
              </w:rPr>
              <w:t xml:space="preserve"> </w:t>
            </w:r>
            <w:r w:rsidRPr="00661849">
              <w:rPr>
                <w:sz w:val="18"/>
              </w:rPr>
              <w:t>167</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113</w:t>
            </w:r>
            <w:r>
              <w:rPr>
                <w:sz w:val="18"/>
              </w:rPr>
              <w:t xml:space="preserve"> </w:t>
            </w:r>
            <w:r w:rsidRPr="00661849">
              <w:rPr>
                <w:sz w:val="18"/>
              </w:rPr>
              <w:t>772</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126</w:t>
            </w:r>
            <w:r>
              <w:rPr>
                <w:sz w:val="18"/>
              </w:rPr>
              <w:t xml:space="preserve"> </w:t>
            </w:r>
            <w:r w:rsidRPr="00661849">
              <w:rPr>
                <w:sz w:val="18"/>
              </w:rPr>
              <w:t>819</w:t>
            </w:r>
          </w:p>
        </w:tc>
        <w:tc>
          <w:tcPr>
            <w:tcW w:w="102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137</w:t>
            </w:r>
            <w:r>
              <w:rPr>
                <w:sz w:val="18"/>
              </w:rPr>
              <w:t xml:space="preserve"> </w:t>
            </w:r>
            <w:r w:rsidRPr="00661849">
              <w:rPr>
                <w:sz w:val="18"/>
              </w:rPr>
              <w:t>815</w:t>
            </w:r>
          </w:p>
        </w:tc>
      </w:tr>
      <w:tr w:rsidR="001A4057" w:rsidRPr="00661849" w:rsidTr="001A4057">
        <w:tc>
          <w:tcPr>
            <w:tcW w:w="2835" w:type="dxa"/>
            <w:vMerge/>
            <w:shd w:val="clear" w:color="auto" w:fill="auto"/>
          </w:tcPr>
          <w:p w:rsidR="001A4057" w:rsidRPr="00661849" w:rsidRDefault="001A4057" w:rsidP="001A4057">
            <w:pPr>
              <w:spacing w:before="40" w:after="40" w:line="220" w:lineRule="exact"/>
              <w:rPr>
                <w:sz w:val="18"/>
              </w:rPr>
            </w:pPr>
          </w:p>
        </w:tc>
        <w:tc>
          <w:tcPr>
            <w:tcW w:w="1247" w:type="dxa"/>
            <w:shd w:val="clear" w:color="auto" w:fill="auto"/>
            <w:vAlign w:val="bottom"/>
          </w:tcPr>
          <w:p w:rsidR="001A4057" w:rsidRPr="00661849" w:rsidRDefault="001A4057" w:rsidP="001A4057">
            <w:pPr>
              <w:spacing w:before="40" w:after="40" w:line="220" w:lineRule="exact"/>
              <w:rPr>
                <w:sz w:val="18"/>
              </w:rPr>
            </w:pPr>
            <w:r w:rsidRPr="00661849">
              <w:rPr>
                <w:sz w:val="18"/>
              </w:rPr>
              <w:t xml:space="preserve"> %</w:t>
            </w:r>
            <w:r>
              <w:rPr>
                <w:sz w:val="18"/>
              </w:rPr>
              <w:t xml:space="preserve"> </w:t>
            </w:r>
            <w:r w:rsidRPr="00661849">
              <w:rPr>
                <w:sz w:val="18"/>
              </w:rPr>
              <w:t>Garçons</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52,3</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52,8</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52,5</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52,4</w:t>
            </w:r>
          </w:p>
        </w:tc>
        <w:tc>
          <w:tcPr>
            <w:tcW w:w="102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52,2</w:t>
            </w:r>
          </w:p>
        </w:tc>
      </w:tr>
      <w:tr w:rsidR="001A4057" w:rsidRPr="00661849" w:rsidTr="001A4057">
        <w:tc>
          <w:tcPr>
            <w:tcW w:w="2835" w:type="dxa"/>
            <w:vMerge/>
            <w:shd w:val="clear" w:color="auto" w:fill="auto"/>
          </w:tcPr>
          <w:p w:rsidR="001A4057" w:rsidRPr="00661849" w:rsidRDefault="001A4057" w:rsidP="001A4057">
            <w:pPr>
              <w:spacing w:before="40" w:after="40" w:line="220" w:lineRule="exact"/>
              <w:rPr>
                <w:sz w:val="18"/>
              </w:rPr>
            </w:pPr>
          </w:p>
        </w:tc>
        <w:tc>
          <w:tcPr>
            <w:tcW w:w="1247" w:type="dxa"/>
            <w:shd w:val="clear" w:color="auto" w:fill="auto"/>
            <w:vAlign w:val="bottom"/>
          </w:tcPr>
          <w:p w:rsidR="001A4057" w:rsidRPr="00661849" w:rsidRDefault="001A4057" w:rsidP="001A4057">
            <w:pPr>
              <w:spacing w:before="40" w:after="40" w:line="220" w:lineRule="exact"/>
              <w:rPr>
                <w:sz w:val="18"/>
              </w:rPr>
            </w:pPr>
            <w:r w:rsidRPr="00661849">
              <w:rPr>
                <w:sz w:val="18"/>
              </w:rPr>
              <w:t xml:space="preserve"> %</w:t>
            </w:r>
            <w:r>
              <w:rPr>
                <w:sz w:val="18"/>
              </w:rPr>
              <w:t xml:space="preserve"> </w:t>
            </w:r>
            <w:r w:rsidRPr="00661849">
              <w:rPr>
                <w:sz w:val="18"/>
              </w:rPr>
              <w:t>Filles</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47,7</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47,2</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47,5</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47,6</w:t>
            </w:r>
          </w:p>
        </w:tc>
        <w:tc>
          <w:tcPr>
            <w:tcW w:w="102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47,8</w:t>
            </w:r>
          </w:p>
        </w:tc>
      </w:tr>
      <w:tr w:rsidR="001A4057" w:rsidRPr="00661849" w:rsidTr="001A4057">
        <w:tc>
          <w:tcPr>
            <w:tcW w:w="2835" w:type="dxa"/>
            <w:vMerge w:val="restart"/>
            <w:shd w:val="clear" w:color="auto" w:fill="auto"/>
          </w:tcPr>
          <w:p w:rsidR="001A4057" w:rsidRPr="00661849" w:rsidRDefault="001A4057" w:rsidP="001A4057">
            <w:pPr>
              <w:spacing w:before="40" w:after="40" w:line="220" w:lineRule="exact"/>
              <w:rPr>
                <w:sz w:val="18"/>
              </w:rPr>
            </w:pPr>
            <w:r w:rsidRPr="00661849">
              <w:rPr>
                <w:sz w:val="18"/>
              </w:rPr>
              <w:t>Taux de réussite au cycle</w:t>
            </w:r>
            <w:r>
              <w:rPr>
                <w:sz w:val="18"/>
              </w:rPr>
              <w:t xml:space="preserve"> </w:t>
            </w:r>
            <w:r w:rsidRPr="00661849">
              <w:rPr>
                <w:sz w:val="18"/>
              </w:rPr>
              <w:t>secondaire (tronc commun)</w:t>
            </w:r>
          </w:p>
        </w:tc>
        <w:tc>
          <w:tcPr>
            <w:tcW w:w="1247" w:type="dxa"/>
            <w:shd w:val="clear" w:color="auto" w:fill="auto"/>
            <w:vAlign w:val="bottom"/>
          </w:tcPr>
          <w:p w:rsidR="001A4057" w:rsidRPr="00661849" w:rsidRDefault="001A4057" w:rsidP="001A4057">
            <w:pPr>
              <w:spacing w:before="40" w:after="40" w:line="220" w:lineRule="exact"/>
              <w:rPr>
                <w:sz w:val="18"/>
              </w:rPr>
            </w:pPr>
            <w:r w:rsidRPr="00661849">
              <w:rPr>
                <w:sz w:val="18"/>
              </w:rPr>
              <w:t>Garçons</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67,04 %</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67,58 %</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67,87 %</w:t>
            </w:r>
          </w:p>
        </w:tc>
        <w:tc>
          <w:tcPr>
            <w:tcW w:w="85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68,93 %</w:t>
            </w:r>
          </w:p>
        </w:tc>
        <w:tc>
          <w:tcPr>
            <w:tcW w:w="1021" w:type="dxa"/>
            <w:shd w:val="clear" w:color="auto" w:fill="auto"/>
            <w:vAlign w:val="bottom"/>
          </w:tcPr>
          <w:p w:rsidR="001A4057" w:rsidRPr="008B00BF" w:rsidRDefault="001A4057" w:rsidP="001A4057">
            <w:pPr>
              <w:spacing w:before="40" w:after="40" w:line="220" w:lineRule="exact"/>
              <w:jc w:val="right"/>
              <w:rPr>
                <w:sz w:val="18"/>
                <w:lang w:val="fr-FR"/>
              </w:rPr>
            </w:pPr>
            <w:r w:rsidRPr="008B00BF">
              <w:rPr>
                <w:sz w:val="18"/>
                <w:lang w:val="fr-FR"/>
              </w:rPr>
              <w:t>57,21 %</w:t>
            </w:r>
          </w:p>
        </w:tc>
      </w:tr>
      <w:tr w:rsidR="001A4057" w:rsidRPr="00661849" w:rsidTr="001A4057">
        <w:tc>
          <w:tcPr>
            <w:tcW w:w="2835" w:type="dxa"/>
            <w:vMerge/>
            <w:shd w:val="clear" w:color="auto" w:fill="auto"/>
          </w:tcPr>
          <w:p w:rsidR="001A4057" w:rsidRPr="00661849" w:rsidRDefault="001A4057" w:rsidP="001A4057">
            <w:pPr>
              <w:spacing w:before="40" w:after="40" w:line="220" w:lineRule="exact"/>
              <w:rPr>
                <w:sz w:val="18"/>
              </w:rPr>
            </w:pPr>
          </w:p>
        </w:tc>
        <w:tc>
          <w:tcPr>
            <w:tcW w:w="1247" w:type="dxa"/>
            <w:shd w:val="clear" w:color="auto" w:fill="auto"/>
            <w:vAlign w:val="bottom"/>
          </w:tcPr>
          <w:p w:rsidR="001A4057" w:rsidRPr="00661849" w:rsidRDefault="001A4057" w:rsidP="001A4057">
            <w:pPr>
              <w:spacing w:before="40" w:after="40" w:line="220" w:lineRule="exact"/>
              <w:rPr>
                <w:sz w:val="18"/>
              </w:rPr>
            </w:pPr>
            <w:r w:rsidRPr="00661849">
              <w:rPr>
                <w:sz w:val="18"/>
              </w:rPr>
              <w:t>Filles</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32,96 %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32,42 %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32</w:t>
            </w:r>
            <w:r>
              <w:rPr>
                <w:sz w:val="18"/>
              </w:rPr>
              <w:t>,</w:t>
            </w:r>
            <w:r w:rsidRPr="00661849">
              <w:rPr>
                <w:sz w:val="18"/>
              </w:rPr>
              <w:t>13 %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31</w:t>
            </w:r>
            <w:r>
              <w:rPr>
                <w:sz w:val="18"/>
              </w:rPr>
              <w:t>,</w:t>
            </w:r>
            <w:r w:rsidRPr="00661849">
              <w:rPr>
                <w:sz w:val="18"/>
              </w:rPr>
              <w:t>07 %</w:t>
            </w:r>
          </w:p>
        </w:tc>
        <w:tc>
          <w:tcPr>
            <w:tcW w:w="102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42</w:t>
            </w:r>
            <w:r>
              <w:rPr>
                <w:sz w:val="18"/>
              </w:rPr>
              <w:t>,</w:t>
            </w:r>
            <w:r w:rsidRPr="00661849">
              <w:rPr>
                <w:sz w:val="18"/>
              </w:rPr>
              <w:t>79 %</w:t>
            </w:r>
          </w:p>
        </w:tc>
      </w:tr>
      <w:tr w:rsidR="001A4057" w:rsidRPr="00661849" w:rsidTr="001A4057">
        <w:tc>
          <w:tcPr>
            <w:tcW w:w="2835" w:type="dxa"/>
            <w:vMerge w:val="restart"/>
            <w:shd w:val="clear" w:color="auto" w:fill="auto"/>
          </w:tcPr>
          <w:p w:rsidR="001A4057" w:rsidRPr="00661849" w:rsidRDefault="001A4057" w:rsidP="001A4057">
            <w:pPr>
              <w:spacing w:before="40" w:after="40" w:line="220" w:lineRule="exact"/>
              <w:rPr>
                <w:sz w:val="18"/>
              </w:rPr>
            </w:pPr>
            <w:r w:rsidRPr="00661849">
              <w:rPr>
                <w:sz w:val="18"/>
              </w:rPr>
              <w:t>Taux de réussite au second cycle du</w:t>
            </w:r>
            <w:r>
              <w:rPr>
                <w:sz w:val="18"/>
              </w:rPr>
              <w:t> </w:t>
            </w:r>
            <w:r w:rsidRPr="00661849">
              <w:rPr>
                <w:sz w:val="18"/>
              </w:rPr>
              <w:t>secondaire et taux d</w:t>
            </w:r>
            <w:r>
              <w:rPr>
                <w:sz w:val="18"/>
              </w:rPr>
              <w:t>’</w:t>
            </w:r>
            <w:r w:rsidRPr="00661849">
              <w:rPr>
                <w:sz w:val="18"/>
              </w:rPr>
              <w:t>obtention de</w:t>
            </w:r>
            <w:r>
              <w:rPr>
                <w:sz w:val="18"/>
              </w:rPr>
              <w:t> </w:t>
            </w:r>
            <w:r w:rsidRPr="00661849">
              <w:rPr>
                <w:sz w:val="18"/>
              </w:rPr>
              <w:t>Diplômes</w:t>
            </w:r>
            <w:r>
              <w:rPr>
                <w:sz w:val="18"/>
              </w:rPr>
              <w:t xml:space="preserve"> </w:t>
            </w:r>
            <w:r w:rsidRPr="00661849">
              <w:rPr>
                <w:sz w:val="18"/>
              </w:rPr>
              <w:t>de</w:t>
            </w:r>
            <w:r>
              <w:rPr>
                <w:sz w:val="18"/>
              </w:rPr>
              <w:t> </w:t>
            </w:r>
            <w:r w:rsidRPr="00661849">
              <w:rPr>
                <w:sz w:val="18"/>
              </w:rPr>
              <w:t>fin d</w:t>
            </w:r>
            <w:r>
              <w:rPr>
                <w:sz w:val="18"/>
              </w:rPr>
              <w:t>’</w:t>
            </w:r>
            <w:r w:rsidRPr="00661849">
              <w:rPr>
                <w:sz w:val="18"/>
              </w:rPr>
              <w:t xml:space="preserve">études </w:t>
            </w:r>
          </w:p>
        </w:tc>
        <w:tc>
          <w:tcPr>
            <w:tcW w:w="1247" w:type="dxa"/>
            <w:shd w:val="clear" w:color="auto" w:fill="auto"/>
            <w:vAlign w:val="bottom"/>
          </w:tcPr>
          <w:p w:rsidR="001A4057" w:rsidRPr="00661849" w:rsidRDefault="001A4057" w:rsidP="001A4057">
            <w:pPr>
              <w:spacing w:before="40" w:after="40" w:line="220" w:lineRule="exact"/>
              <w:rPr>
                <w:sz w:val="18"/>
              </w:rPr>
            </w:pPr>
            <w:r w:rsidRPr="00661849">
              <w:rPr>
                <w:sz w:val="18"/>
              </w:rPr>
              <w:t>Garçons</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51,75 %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58</w:t>
            </w:r>
            <w:r>
              <w:rPr>
                <w:sz w:val="18"/>
              </w:rPr>
              <w:t>,</w:t>
            </w:r>
            <w:r w:rsidRPr="00661849">
              <w:rPr>
                <w:sz w:val="18"/>
              </w:rPr>
              <w:t>97 %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54</w:t>
            </w:r>
            <w:r>
              <w:rPr>
                <w:sz w:val="18"/>
              </w:rPr>
              <w:t>,</w:t>
            </w:r>
            <w:r w:rsidRPr="00661849">
              <w:rPr>
                <w:sz w:val="18"/>
              </w:rPr>
              <w:t>72 %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57</w:t>
            </w:r>
            <w:r>
              <w:rPr>
                <w:sz w:val="18"/>
              </w:rPr>
              <w:t>,</w:t>
            </w:r>
            <w:r w:rsidRPr="00661849">
              <w:rPr>
                <w:sz w:val="18"/>
              </w:rPr>
              <w:t>14 %</w:t>
            </w:r>
          </w:p>
        </w:tc>
        <w:tc>
          <w:tcPr>
            <w:tcW w:w="102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53</w:t>
            </w:r>
            <w:r>
              <w:rPr>
                <w:sz w:val="18"/>
              </w:rPr>
              <w:t>,</w:t>
            </w:r>
            <w:r w:rsidRPr="00661849">
              <w:rPr>
                <w:sz w:val="18"/>
              </w:rPr>
              <w:t>91 %</w:t>
            </w:r>
          </w:p>
        </w:tc>
      </w:tr>
      <w:tr w:rsidR="001A4057" w:rsidRPr="00661849" w:rsidTr="001A4057">
        <w:tc>
          <w:tcPr>
            <w:tcW w:w="2835" w:type="dxa"/>
            <w:vMerge/>
            <w:shd w:val="clear" w:color="auto" w:fill="auto"/>
          </w:tcPr>
          <w:p w:rsidR="001A4057" w:rsidRPr="00661849" w:rsidRDefault="001A4057" w:rsidP="001A4057">
            <w:pPr>
              <w:spacing w:before="40" w:after="40" w:line="220" w:lineRule="exact"/>
              <w:rPr>
                <w:sz w:val="18"/>
              </w:rPr>
            </w:pPr>
          </w:p>
        </w:tc>
        <w:tc>
          <w:tcPr>
            <w:tcW w:w="1247" w:type="dxa"/>
            <w:shd w:val="clear" w:color="auto" w:fill="auto"/>
            <w:vAlign w:val="bottom"/>
          </w:tcPr>
          <w:p w:rsidR="001A4057" w:rsidRPr="00661849" w:rsidRDefault="001A4057" w:rsidP="001A4057">
            <w:pPr>
              <w:spacing w:before="40" w:after="40" w:line="220" w:lineRule="exact"/>
              <w:rPr>
                <w:sz w:val="18"/>
              </w:rPr>
            </w:pPr>
            <w:r w:rsidRPr="00661849">
              <w:rPr>
                <w:sz w:val="18"/>
              </w:rPr>
              <w:t>Filles</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48,25 %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41</w:t>
            </w:r>
            <w:r>
              <w:rPr>
                <w:sz w:val="18"/>
              </w:rPr>
              <w:t>,</w:t>
            </w:r>
            <w:r w:rsidRPr="00661849">
              <w:rPr>
                <w:sz w:val="18"/>
              </w:rPr>
              <w:t>03 %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45</w:t>
            </w:r>
            <w:r>
              <w:rPr>
                <w:sz w:val="18"/>
              </w:rPr>
              <w:t>,</w:t>
            </w:r>
            <w:r w:rsidRPr="00661849">
              <w:rPr>
                <w:sz w:val="18"/>
              </w:rPr>
              <w:t>28 %</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42</w:t>
            </w:r>
            <w:r>
              <w:rPr>
                <w:sz w:val="18"/>
              </w:rPr>
              <w:t>,</w:t>
            </w:r>
            <w:r w:rsidRPr="00661849">
              <w:rPr>
                <w:sz w:val="18"/>
              </w:rPr>
              <w:t>86 %</w:t>
            </w:r>
          </w:p>
        </w:tc>
        <w:tc>
          <w:tcPr>
            <w:tcW w:w="102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46</w:t>
            </w:r>
            <w:r>
              <w:rPr>
                <w:sz w:val="18"/>
              </w:rPr>
              <w:t>,</w:t>
            </w:r>
            <w:r w:rsidRPr="00661849">
              <w:rPr>
                <w:sz w:val="18"/>
              </w:rPr>
              <w:t>09 %</w:t>
            </w:r>
          </w:p>
        </w:tc>
      </w:tr>
      <w:tr w:rsidR="001A4057" w:rsidRPr="00661849" w:rsidTr="001A4057">
        <w:tc>
          <w:tcPr>
            <w:tcW w:w="2835" w:type="dxa"/>
            <w:tcBorders>
              <w:bottom w:val="nil"/>
            </w:tcBorders>
            <w:shd w:val="clear" w:color="auto" w:fill="auto"/>
          </w:tcPr>
          <w:p w:rsidR="001A4057" w:rsidRPr="00661849" w:rsidRDefault="001A4057" w:rsidP="001A4057">
            <w:pPr>
              <w:spacing w:before="40" w:after="40" w:line="220" w:lineRule="exact"/>
              <w:rPr>
                <w:sz w:val="18"/>
              </w:rPr>
            </w:pPr>
            <w:r w:rsidRPr="00661849">
              <w:rPr>
                <w:sz w:val="18"/>
              </w:rPr>
              <w:t xml:space="preserve">Taux de redoublement </w:t>
            </w:r>
          </w:p>
        </w:tc>
        <w:tc>
          <w:tcPr>
            <w:tcW w:w="1247" w:type="dxa"/>
            <w:tcBorders>
              <w:bottom w:val="nil"/>
            </w:tcBorders>
            <w:shd w:val="clear" w:color="auto" w:fill="auto"/>
            <w:vAlign w:val="bottom"/>
          </w:tcPr>
          <w:p w:rsidR="001A4057" w:rsidRPr="00661849" w:rsidRDefault="001A4057" w:rsidP="001A4057">
            <w:pPr>
              <w:spacing w:before="40" w:after="40" w:line="220" w:lineRule="exact"/>
              <w:rPr>
                <w:sz w:val="18"/>
              </w:rPr>
            </w:pPr>
          </w:p>
        </w:tc>
        <w:tc>
          <w:tcPr>
            <w:tcW w:w="851" w:type="dxa"/>
            <w:tcBorders>
              <w:bottom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9</w:t>
            </w:r>
            <w:r>
              <w:rPr>
                <w:sz w:val="18"/>
              </w:rPr>
              <w:t>,</w:t>
            </w:r>
            <w:r w:rsidRPr="00661849">
              <w:rPr>
                <w:sz w:val="18"/>
              </w:rPr>
              <w:t>8</w:t>
            </w:r>
          </w:p>
        </w:tc>
        <w:tc>
          <w:tcPr>
            <w:tcW w:w="851" w:type="dxa"/>
            <w:tcBorders>
              <w:bottom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8</w:t>
            </w:r>
            <w:r>
              <w:rPr>
                <w:sz w:val="18"/>
              </w:rPr>
              <w:t>,</w:t>
            </w:r>
            <w:r w:rsidRPr="00661849">
              <w:rPr>
                <w:sz w:val="18"/>
              </w:rPr>
              <w:t>7</w:t>
            </w:r>
          </w:p>
        </w:tc>
        <w:tc>
          <w:tcPr>
            <w:tcW w:w="851" w:type="dxa"/>
            <w:tcBorders>
              <w:bottom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7</w:t>
            </w:r>
            <w:r>
              <w:rPr>
                <w:sz w:val="18"/>
              </w:rPr>
              <w:t>,</w:t>
            </w:r>
            <w:r w:rsidRPr="00661849">
              <w:rPr>
                <w:sz w:val="18"/>
              </w:rPr>
              <w:t>7</w:t>
            </w:r>
          </w:p>
        </w:tc>
        <w:tc>
          <w:tcPr>
            <w:tcW w:w="851" w:type="dxa"/>
            <w:tcBorders>
              <w:bottom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8</w:t>
            </w:r>
            <w:r>
              <w:rPr>
                <w:sz w:val="18"/>
              </w:rPr>
              <w:t>,</w:t>
            </w:r>
            <w:r w:rsidRPr="00661849">
              <w:rPr>
                <w:sz w:val="18"/>
              </w:rPr>
              <w:t>4 %</w:t>
            </w:r>
          </w:p>
        </w:tc>
        <w:tc>
          <w:tcPr>
            <w:tcW w:w="1021" w:type="dxa"/>
            <w:tcBorders>
              <w:bottom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Non disponible</w:t>
            </w:r>
          </w:p>
        </w:tc>
      </w:tr>
      <w:tr w:rsidR="001A4057" w:rsidRPr="00661849" w:rsidTr="001A4057">
        <w:trPr>
          <w:trHeight w:val="307"/>
        </w:trPr>
        <w:tc>
          <w:tcPr>
            <w:tcW w:w="2835" w:type="dxa"/>
            <w:vMerge w:val="restart"/>
            <w:tcBorders>
              <w:top w:val="nil"/>
              <w:bottom w:val="nil"/>
            </w:tcBorders>
            <w:shd w:val="clear" w:color="auto" w:fill="auto"/>
          </w:tcPr>
          <w:p w:rsidR="001A4057" w:rsidRPr="00661849" w:rsidRDefault="001A4057" w:rsidP="001A4057">
            <w:pPr>
              <w:spacing w:before="40" w:after="40" w:line="220" w:lineRule="exact"/>
              <w:rPr>
                <w:sz w:val="18"/>
              </w:rPr>
            </w:pPr>
            <w:r w:rsidRPr="00661849">
              <w:rPr>
                <w:sz w:val="18"/>
              </w:rPr>
              <w:t>Nombre d</w:t>
            </w:r>
            <w:r>
              <w:rPr>
                <w:sz w:val="18"/>
              </w:rPr>
              <w:t>’</w:t>
            </w:r>
            <w:r w:rsidRPr="00661849">
              <w:rPr>
                <w:sz w:val="18"/>
              </w:rPr>
              <w:t>écoles secondaire publiques</w:t>
            </w:r>
            <w:r>
              <w:rPr>
                <w:sz w:val="18"/>
              </w:rPr>
              <w:t> </w:t>
            </w:r>
            <w:r w:rsidRPr="00661849">
              <w:rPr>
                <w:sz w:val="18"/>
              </w:rPr>
              <w:t>et</w:t>
            </w:r>
            <w:r>
              <w:rPr>
                <w:sz w:val="18"/>
              </w:rPr>
              <w:t xml:space="preserve"> </w:t>
            </w:r>
            <w:r w:rsidRPr="00661849">
              <w:rPr>
                <w:sz w:val="18"/>
              </w:rPr>
              <w:t xml:space="preserve">privées </w:t>
            </w:r>
          </w:p>
        </w:tc>
        <w:tc>
          <w:tcPr>
            <w:tcW w:w="1247" w:type="dxa"/>
            <w:tcBorders>
              <w:top w:val="nil"/>
              <w:bottom w:val="nil"/>
            </w:tcBorders>
            <w:shd w:val="clear" w:color="auto" w:fill="auto"/>
            <w:vAlign w:val="bottom"/>
          </w:tcPr>
          <w:p w:rsidR="001A4057" w:rsidRPr="00661849" w:rsidRDefault="001A4057" w:rsidP="001A4057">
            <w:pPr>
              <w:spacing w:before="40" w:after="40" w:line="220" w:lineRule="exact"/>
              <w:rPr>
                <w:sz w:val="18"/>
              </w:rPr>
            </w:pPr>
            <w:r w:rsidRPr="00661849">
              <w:rPr>
                <w:sz w:val="18"/>
              </w:rPr>
              <w:t>Publiques</w:t>
            </w:r>
          </w:p>
        </w:tc>
        <w:tc>
          <w:tcPr>
            <w:tcW w:w="851" w:type="dxa"/>
            <w:tcBorders>
              <w:top w:val="nil"/>
              <w:bottom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286 218</w:t>
            </w:r>
          </w:p>
        </w:tc>
        <w:tc>
          <w:tcPr>
            <w:tcW w:w="851" w:type="dxa"/>
            <w:tcBorders>
              <w:top w:val="nil"/>
              <w:bottom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337</w:t>
            </w:r>
          </w:p>
        </w:tc>
        <w:tc>
          <w:tcPr>
            <w:tcW w:w="851" w:type="dxa"/>
            <w:tcBorders>
              <w:top w:val="nil"/>
              <w:bottom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356</w:t>
            </w:r>
          </w:p>
        </w:tc>
        <w:tc>
          <w:tcPr>
            <w:tcW w:w="851" w:type="dxa"/>
            <w:tcBorders>
              <w:top w:val="nil"/>
              <w:bottom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405</w:t>
            </w:r>
          </w:p>
        </w:tc>
        <w:tc>
          <w:tcPr>
            <w:tcW w:w="1021" w:type="dxa"/>
            <w:tcBorders>
              <w:top w:val="nil"/>
              <w:bottom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466</w:t>
            </w:r>
          </w:p>
        </w:tc>
      </w:tr>
      <w:tr w:rsidR="001A4057" w:rsidRPr="00661849" w:rsidTr="001A4057">
        <w:tc>
          <w:tcPr>
            <w:tcW w:w="2835" w:type="dxa"/>
            <w:vMerge/>
            <w:tcBorders>
              <w:top w:val="nil"/>
              <w:bottom w:val="nil"/>
            </w:tcBorders>
            <w:shd w:val="clear" w:color="auto" w:fill="auto"/>
          </w:tcPr>
          <w:p w:rsidR="001A4057" w:rsidRPr="00661849" w:rsidRDefault="001A4057" w:rsidP="001A4057">
            <w:pPr>
              <w:spacing w:before="40" w:after="40" w:line="220" w:lineRule="exact"/>
              <w:rPr>
                <w:sz w:val="18"/>
              </w:rPr>
            </w:pPr>
          </w:p>
        </w:tc>
        <w:tc>
          <w:tcPr>
            <w:tcW w:w="1247" w:type="dxa"/>
            <w:tcBorders>
              <w:top w:val="nil"/>
              <w:bottom w:val="nil"/>
            </w:tcBorders>
            <w:shd w:val="clear" w:color="auto" w:fill="auto"/>
            <w:vAlign w:val="bottom"/>
          </w:tcPr>
          <w:p w:rsidR="001A4057" w:rsidRPr="00C34630" w:rsidRDefault="001A4057" w:rsidP="001A4057">
            <w:pPr>
              <w:spacing w:before="40" w:after="40" w:line="220" w:lineRule="exact"/>
              <w:rPr>
                <w:sz w:val="18"/>
                <w:szCs w:val="18"/>
              </w:rPr>
            </w:pPr>
            <w:r w:rsidRPr="00C34630">
              <w:rPr>
                <w:sz w:val="18"/>
                <w:szCs w:val="18"/>
              </w:rPr>
              <w:t>Privées</w:t>
            </w:r>
          </w:p>
        </w:tc>
        <w:tc>
          <w:tcPr>
            <w:tcW w:w="851" w:type="dxa"/>
            <w:tcBorders>
              <w:top w:val="nil"/>
              <w:bottom w:val="nil"/>
            </w:tcBorders>
            <w:shd w:val="clear" w:color="auto" w:fill="auto"/>
            <w:vAlign w:val="bottom"/>
          </w:tcPr>
          <w:p w:rsidR="001A4057" w:rsidRPr="00C34630" w:rsidRDefault="001A4057" w:rsidP="001A4057">
            <w:pPr>
              <w:spacing w:before="40" w:after="40" w:line="220" w:lineRule="exact"/>
              <w:rPr>
                <w:sz w:val="18"/>
                <w:szCs w:val="18"/>
              </w:rPr>
            </w:pPr>
          </w:p>
        </w:tc>
        <w:tc>
          <w:tcPr>
            <w:tcW w:w="851" w:type="dxa"/>
            <w:tcBorders>
              <w:top w:val="nil"/>
              <w:bottom w:val="nil"/>
            </w:tcBorders>
            <w:shd w:val="clear" w:color="auto" w:fill="auto"/>
            <w:vAlign w:val="center"/>
          </w:tcPr>
          <w:p w:rsidR="001A4057" w:rsidRPr="00C34630" w:rsidRDefault="001A4057" w:rsidP="001A4057">
            <w:pPr>
              <w:spacing w:before="40" w:after="40" w:line="220" w:lineRule="exact"/>
              <w:jc w:val="right"/>
              <w:rPr>
                <w:sz w:val="18"/>
                <w:szCs w:val="18"/>
              </w:rPr>
            </w:pPr>
            <w:r w:rsidRPr="00C34630">
              <w:rPr>
                <w:sz w:val="18"/>
                <w:szCs w:val="18"/>
              </w:rPr>
              <w:t>216</w:t>
            </w:r>
          </w:p>
        </w:tc>
        <w:tc>
          <w:tcPr>
            <w:tcW w:w="851" w:type="dxa"/>
            <w:tcBorders>
              <w:top w:val="nil"/>
              <w:bottom w:val="nil"/>
            </w:tcBorders>
            <w:shd w:val="clear" w:color="auto" w:fill="auto"/>
            <w:vAlign w:val="center"/>
          </w:tcPr>
          <w:p w:rsidR="001A4057" w:rsidRPr="00C34630" w:rsidRDefault="001A4057" w:rsidP="001A4057">
            <w:pPr>
              <w:spacing w:before="40" w:after="40" w:line="220" w:lineRule="exact"/>
              <w:jc w:val="right"/>
              <w:rPr>
                <w:sz w:val="18"/>
                <w:szCs w:val="18"/>
              </w:rPr>
            </w:pPr>
            <w:r w:rsidRPr="00C34630">
              <w:rPr>
                <w:sz w:val="18"/>
                <w:szCs w:val="18"/>
              </w:rPr>
              <w:t>223</w:t>
            </w:r>
          </w:p>
        </w:tc>
        <w:tc>
          <w:tcPr>
            <w:tcW w:w="851" w:type="dxa"/>
            <w:tcBorders>
              <w:top w:val="nil"/>
              <w:bottom w:val="nil"/>
            </w:tcBorders>
            <w:shd w:val="clear" w:color="auto" w:fill="auto"/>
            <w:vAlign w:val="center"/>
          </w:tcPr>
          <w:p w:rsidR="001A4057" w:rsidRPr="00C34630" w:rsidRDefault="001A4057" w:rsidP="001A4057">
            <w:pPr>
              <w:spacing w:before="40" w:after="40" w:line="220" w:lineRule="exact"/>
              <w:jc w:val="right"/>
              <w:rPr>
                <w:sz w:val="18"/>
                <w:szCs w:val="18"/>
              </w:rPr>
            </w:pPr>
            <w:r w:rsidRPr="00C34630">
              <w:rPr>
                <w:sz w:val="18"/>
                <w:szCs w:val="18"/>
              </w:rPr>
              <w:t>238</w:t>
            </w:r>
          </w:p>
        </w:tc>
        <w:tc>
          <w:tcPr>
            <w:tcW w:w="1021" w:type="dxa"/>
            <w:tcBorders>
              <w:top w:val="nil"/>
              <w:bottom w:val="nil"/>
            </w:tcBorders>
            <w:shd w:val="clear" w:color="auto" w:fill="auto"/>
            <w:vAlign w:val="center"/>
          </w:tcPr>
          <w:p w:rsidR="001A4057" w:rsidRPr="00C34630" w:rsidRDefault="001A4057" w:rsidP="001A4057">
            <w:pPr>
              <w:spacing w:before="40" w:after="40" w:line="220" w:lineRule="exact"/>
              <w:jc w:val="right"/>
              <w:rPr>
                <w:sz w:val="18"/>
                <w:szCs w:val="18"/>
              </w:rPr>
            </w:pPr>
            <w:r w:rsidRPr="00C34630">
              <w:rPr>
                <w:sz w:val="18"/>
                <w:szCs w:val="18"/>
              </w:rPr>
              <w:t>223</w:t>
            </w:r>
          </w:p>
        </w:tc>
      </w:tr>
      <w:tr w:rsidR="001A4057" w:rsidRPr="00661849" w:rsidTr="001A4057">
        <w:tc>
          <w:tcPr>
            <w:tcW w:w="2835" w:type="dxa"/>
            <w:tcBorders>
              <w:top w:val="nil"/>
            </w:tcBorders>
            <w:shd w:val="clear" w:color="auto" w:fill="auto"/>
          </w:tcPr>
          <w:p w:rsidR="001A4057" w:rsidRPr="00661849" w:rsidRDefault="001A4057" w:rsidP="001A4057">
            <w:pPr>
              <w:spacing w:before="40" w:after="40" w:line="220" w:lineRule="exact"/>
              <w:rPr>
                <w:sz w:val="18"/>
              </w:rPr>
            </w:pPr>
            <w:r w:rsidRPr="00661849">
              <w:rPr>
                <w:sz w:val="18"/>
              </w:rPr>
              <w:t>Ratio professeur/élève/école</w:t>
            </w:r>
            <w:r>
              <w:rPr>
                <w:sz w:val="18"/>
              </w:rPr>
              <w:t xml:space="preserve"> </w:t>
            </w:r>
            <w:r w:rsidRPr="00661849">
              <w:rPr>
                <w:sz w:val="18"/>
              </w:rPr>
              <w:t>publique</w:t>
            </w:r>
          </w:p>
        </w:tc>
        <w:tc>
          <w:tcPr>
            <w:tcW w:w="1247" w:type="dxa"/>
            <w:tcBorders>
              <w:top w:val="nil"/>
            </w:tcBorders>
            <w:shd w:val="clear" w:color="auto" w:fill="auto"/>
            <w:vAlign w:val="bottom"/>
          </w:tcPr>
          <w:p w:rsidR="001A4057" w:rsidRPr="00661849" w:rsidRDefault="001A4057" w:rsidP="001A4057">
            <w:pPr>
              <w:spacing w:before="40" w:after="40" w:line="220" w:lineRule="exact"/>
              <w:rPr>
                <w:sz w:val="18"/>
              </w:rPr>
            </w:pPr>
          </w:p>
        </w:tc>
        <w:tc>
          <w:tcPr>
            <w:tcW w:w="851" w:type="dxa"/>
            <w:tcBorders>
              <w:top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27</w:t>
            </w:r>
            <w:r>
              <w:rPr>
                <w:sz w:val="18"/>
              </w:rPr>
              <w:t>,</w:t>
            </w:r>
            <w:r w:rsidRPr="00661849">
              <w:rPr>
                <w:sz w:val="18"/>
              </w:rPr>
              <w:t>7</w:t>
            </w:r>
          </w:p>
        </w:tc>
        <w:tc>
          <w:tcPr>
            <w:tcW w:w="851" w:type="dxa"/>
            <w:tcBorders>
              <w:top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29</w:t>
            </w:r>
            <w:r>
              <w:rPr>
                <w:sz w:val="18"/>
              </w:rPr>
              <w:t>,</w:t>
            </w:r>
            <w:r w:rsidRPr="00661849">
              <w:rPr>
                <w:sz w:val="18"/>
              </w:rPr>
              <w:t>6</w:t>
            </w:r>
          </w:p>
        </w:tc>
        <w:tc>
          <w:tcPr>
            <w:tcW w:w="851" w:type="dxa"/>
            <w:tcBorders>
              <w:top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32</w:t>
            </w:r>
          </w:p>
        </w:tc>
        <w:tc>
          <w:tcPr>
            <w:tcW w:w="851" w:type="dxa"/>
            <w:tcBorders>
              <w:top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22</w:t>
            </w:r>
          </w:p>
        </w:tc>
        <w:tc>
          <w:tcPr>
            <w:tcW w:w="1021" w:type="dxa"/>
            <w:tcBorders>
              <w:top w:val="nil"/>
            </w:tcBorders>
            <w:shd w:val="clear" w:color="auto" w:fill="auto"/>
            <w:vAlign w:val="bottom"/>
          </w:tcPr>
          <w:p w:rsidR="001A4057" w:rsidRPr="00661849" w:rsidRDefault="001A4057" w:rsidP="001A4057">
            <w:pPr>
              <w:spacing w:before="40" w:after="40" w:line="220" w:lineRule="exact"/>
              <w:jc w:val="right"/>
              <w:rPr>
                <w:sz w:val="18"/>
              </w:rPr>
            </w:pPr>
            <w:r w:rsidRPr="00661849">
              <w:rPr>
                <w:sz w:val="18"/>
              </w:rPr>
              <w:t>18</w:t>
            </w:r>
            <w:r>
              <w:rPr>
                <w:sz w:val="18"/>
              </w:rPr>
              <w:t>,</w:t>
            </w:r>
            <w:r w:rsidRPr="00661849">
              <w:rPr>
                <w:sz w:val="18"/>
              </w:rPr>
              <w:t>7</w:t>
            </w:r>
          </w:p>
        </w:tc>
      </w:tr>
      <w:tr w:rsidR="001A4057" w:rsidRPr="00661849" w:rsidTr="001A4057">
        <w:tc>
          <w:tcPr>
            <w:tcW w:w="2835" w:type="dxa"/>
            <w:shd w:val="clear" w:color="auto" w:fill="auto"/>
          </w:tcPr>
          <w:p w:rsidR="001A4057" w:rsidRPr="00661849" w:rsidRDefault="001A4057" w:rsidP="001A4057">
            <w:pPr>
              <w:spacing w:before="40" w:after="40" w:line="220" w:lineRule="exact"/>
              <w:rPr>
                <w:sz w:val="18"/>
              </w:rPr>
            </w:pPr>
            <w:r w:rsidRPr="00661849">
              <w:rPr>
                <w:sz w:val="18"/>
              </w:rPr>
              <w:t>Ratio professeur/élève/école</w:t>
            </w:r>
            <w:r>
              <w:rPr>
                <w:sz w:val="18"/>
              </w:rPr>
              <w:t xml:space="preserve"> </w:t>
            </w:r>
            <w:r w:rsidRPr="00661849">
              <w:rPr>
                <w:sz w:val="18"/>
              </w:rPr>
              <w:t>privée</w:t>
            </w:r>
          </w:p>
        </w:tc>
        <w:tc>
          <w:tcPr>
            <w:tcW w:w="1247" w:type="dxa"/>
            <w:shd w:val="clear" w:color="auto" w:fill="auto"/>
            <w:vAlign w:val="bottom"/>
          </w:tcPr>
          <w:p w:rsidR="001A4057" w:rsidRPr="00661849" w:rsidRDefault="001A4057" w:rsidP="001A4057">
            <w:pPr>
              <w:spacing w:before="40" w:after="40" w:line="220" w:lineRule="exact"/>
              <w:rPr>
                <w:sz w:val="18"/>
              </w:rPr>
            </w:pP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24</w:t>
            </w:r>
            <w:r>
              <w:rPr>
                <w:sz w:val="18"/>
              </w:rPr>
              <w:t>,</w:t>
            </w:r>
            <w:r w:rsidRPr="00661849">
              <w:rPr>
                <w:sz w:val="18"/>
              </w:rPr>
              <w:t>6</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27</w:t>
            </w:r>
            <w:r>
              <w:rPr>
                <w:sz w:val="18"/>
              </w:rPr>
              <w:t>,</w:t>
            </w:r>
            <w:r w:rsidRPr="00661849">
              <w:rPr>
                <w:sz w:val="18"/>
              </w:rPr>
              <w:t>6</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28</w:t>
            </w:r>
            <w:r>
              <w:rPr>
                <w:sz w:val="18"/>
              </w:rPr>
              <w:t>,</w:t>
            </w:r>
            <w:r w:rsidRPr="00661849">
              <w:rPr>
                <w:sz w:val="18"/>
              </w:rPr>
              <w:t>6</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21</w:t>
            </w:r>
            <w:r>
              <w:rPr>
                <w:sz w:val="18"/>
              </w:rPr>
              <w:t>,</w:t>
            </w:r>
            <w:r w:rsidRPr="00661849">
              <w:rPr>
                <w:sz w:val="18"/>
              </w:rPr>
              <w:t>7</w:t>
            </w:r>
          </w:p>
        </w:tc>
        <w:tc>
          <w:tcPr>
            <w:tcW w:w="102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16</w:t>
            </w:r>
            <w:r>
              <w:rPr>
                <w:sz w:val="18"/>
              </w:rPr>
              <w:t>,</w:t>
            </w:r>
            <w:r w:rsidRPr="00661849">
              <w:rPr>
                <w:sz w:val="18"/>
              </w:rPr>
              <w:t>7</w:t>
            </w:r>
          </w:p>
        </w:tc>
      </w:tr>
      <w:tr w:rsidR="001A4057" w:rsidRPr="00661849" w:rsidTr="001A4057">
        <w:tc>
          <w:tcPr>
            <w:tcW w:w="2835" w:type="dxa"/>
            <w:shd w:val="clear" w:color="auto" w:fill="auto"/>
          </w:tcPr>
          <w:p w:rsidR="001A4057" w:rsidRPr="00661849" w:rsidRDefault="001A4057" w:rsidP="001A4057">
            <w:pPr>
              <w:spacing w:before="40" w:after="40" w:line="220" w:lineRule="exact"/>
              <w:rPr>
                <w:sz w:val="18"/>
              </w:rPr>
            </w:pPr>
            <w:r w:rsidRPr="00661849">
              <w:rPr>
                <w:sz w:val="18"/>
              </w:rPr>
              <w:t>Ratio professeur qualifi</w:t>
            </w:r>
            <w:r>
              <w:rPr>
                <w:sz w:val="18"/>
              </w:rPr>
              <w:t>é</w:t>
            </w:r>
            <w:r w:rsidRPr="00661849">
              <w:rPr>
                <w:sz w:val="18"/>
              </w:rPr>
              <w:t>/él</w:t>
            </w:r>
            <w:r>
              <w:rPr>
                <w:sz w:val="18"/>
              </w:rPr>
              <w:t>èv</w:t>
            </w:r>
            <w:r w:rsidRPr="00661849">
              <w:rPr>
                <w:sz w:val="18"/>
              </w:rPr>
              <w:t xml:space="preserve">e </w:t>
            </w:r>
          </w:p>
        </w:tc>
        <w:tc>
          <w:tcPr>
            <w:tcW w:w="1247" w:type="dxa"/>
            <w:shd w:val="clear" w:color="auto" w:fill="auto"/>
            <w:vAlign w:val="bottom"/>
          </w:tcPr>
          <w:p w:rsidR="001A4057" w:rsidRPr="00661849" w:rsidRDefault="001A4057" w:rsidP="001A4057">
            <w:pPr>
              <w:spacing w:before="40" w:after="40" w:line="220" w:lineRule="exact"/>
              <w:rPr>
                <w:sz w:val="18"/>
              </w:rPr>
            </w:pP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51</w:t>
            </w:r>
            <w:r>
              <w:rPr>
                <w:sz w:val="18"/>
              </w:rPr>
              <w:t>,</w:t>
            </w:r>
            <w:r w:rsidRPr="00661849">
              <w:rPr>
                <w:sz w:val="18"/>
              </w:rPr>
              <w:t>5</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55</w:t>
            </w:r>
            <w:r>
              <w:rPr>
                <w:sz w:val="18"/>
              </w:rPr>
              <w:t>,</w:t>
            </w:r>
            <w:r w:rsidRPr="00661849">
              <w:rPr>
                <w:sz w:val="18"/>
              </w:rPr>
              <w:t>5</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58</w:t>
            </w:r>
            <w:r>
              <w:rPr>
                <w:sz w:val="18"/>
              </w:rPr>
              <w:t>,</w:t>
            </w:r>
            <w:r w:rsidRPr="00661849">
              <w:rPr>
                <w:sz w:val="18"/>
              </w:rPr>
              <w:t>7</w:t>
            </w:r>
          </w:p>
        </w:tc>
        <w:tc>
          <w:tcPr>
            <w:tcW w:w="85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41</w:t>
            </w:r>
            <w:r>
              <w:rPr>
                <w:sz w:val="18"/>
              </w:rPr>
              <w:t>,</w:t>
            </w:r>
            <w:r w:rsidRPr="00661849">
              <w:rPr>
                <w:sz w:val="18"/>
              </w:rPr>
              <w:t>3</w:t>
            </w:r>
          </w:p>
        </w:tc>
        <w:tc>
          <w:tcPr>
            <w:tcW w:w="1021" w:type="dxa"/>
            <w:shd w:val="clear" w:color="auto" w:fill="auto"/>
            <w:vAlign w:val="bottom"/>
          </w:tcPr>
          <w:p w:rsidR="001A4057" w:rsidRPr="00661849" w:rsidRDefault="001A4057" w:rsidP="001A4057">
            <w:pPr>
              <w:spacing w:before="40" w:after="40" w:line="220" w:lineRule="exact"/>
              <w:jc w:val="right"/>
              <w:rPr>
                <w:sz w:val="18"/>
              </w:rPr>
            </w:pPr>
            <w:r w:rsidRPr="00661849">
              <w:rPr>
                <w:sz w:val="18"/>
              </w:rPr>
              <w:t>49</w:t>
            </w:r>
            <w:r>
              <w:rPr>
                <w:sz w:val="18"/>
              </w:rPr>
              <w:t>,</w:t>
            </w:r>
            <w:r w:rsidRPr="00661849">
              <w:rPr>
                <w:sz w:val="18"/>
              </w:rPr>
              <w:t>2</w:t>
            </w:r>
          </w:p>
        </w:tc>
      </w:tr>
    </w:tbl>
    <w:p w:rsidR="001A4057" w:rsidRPr="00661849" w:rsidRDefault="001A4057" w:rsidP="001A4057">
      <w:pPr>
        <w:pStyle w:val="SingleTxtG"/>
        <w:spacing w:before="120" w:after="240"/>
        <w:ind w:firstLine="170"/>
        <w:rPr>
          <w:sz w:val="18"/>
          <w:szCs w:val="18"/>
        </w:rPr>
      </w:pPr>
      <w:r w:rsidRPr="00661849">
        <w:rPr>
          <w:i/>
          <w:sz w:val="18"/>
          <w:szCs w:val="18"/>
        </w:rPr>
        <w:t>Source</w:t>
      </w:r>
      <w:r w:rsidRPr="00661849">
        <w:rPr>
          <w:sz w:val="18"/>
          <w:szCs w:val="18"/>
        </w:rPr>
        <w:t>: Mineduc: Annuaire statistique de l</w:t>
      </w:r>
      <w:r>
        <w:rPr>
          <w:sz w:val="18"/>
          <w:szCs w:val="18"/>
        </w:rPr>
        <w:t>’</w:t>
      </w:r>
      <w:r w:rsidRPr="00661849">
        <w:rPr>
          <w:sz w:val="18"/>
          <w:szCs w:val="18"/>
        </w:rPr>
        <w:t>éducation 2004-2008.</w:t>
      </w:r>
    </w:p>
    <w:p w:rsidR="001A4057" w:rsidRPr="009B6952" w:rsidRDefault="001A4057" w:rsidP="001A4057">
      <w:pPr>
        <w:pStyle w:val="H4G"/>
      </w:pPr>
      <w:r>
        <w:tab/>
      </w:r>
      <w:r>
        <w:tab/>
      </w:r>
      <w:r w:rsidRPr="009B6952">
        <w:t>Enseignement supérieur</w:t>
      </w:r>
    </w:p>
    <w:p w:rsidR="001A4057" w:rsidRPr="009B6952" w:rsidRDefault="001A4057" w:rsidP="001A4057">
      <w:pPr>
        <w:pStyle w:val="SingleTxtG"/>
        <w:keepNext/>
      </w:pPr>
      <w:r>
        <w:t>275</w:t>
      </w:r>
      <w:r w:rsidRPr="009B6952">
        <w:t>.</w:t>
      </w:r>
      <w:r w:rsidRPr="009B6952">
        <w:tab/>
        <w:t>L</w:t>
      </w:r>
      <w:r>
        <w:t>’</w:t>
      </w:r>
      <w:r w:rsidRPr="009B6952">
        <w:t>enseignement supérieur n</w:t>
      </w:r>
      <w:r>
        <w:t>’</w:t>
      </w:r>
      <w:r w:rsidRPr="009B6952">
        <w:t>est pas encore accessible</w:t>
      </w:r>
      <w:r>
        <w:t xml:space="preserve"> à tous. </w:t>
      </w:r>
    </w:p>
    <w:p w:rsidR="001A4057" w:rsidRPr="009B6952" w:rsidRDefault="001A4057" w:rsidP="001A4057">
      <w:pPr>
        <w:pStyle w:val="SingleTxtG"/>
      </w:pPr>
      <w:r w:rsidRPr="009B6952">
        <w:t>27</w:t>
      </w:r>
      <w:r>
        <w:t>6</w:t>
      </w:r>
      <w:r w:rsidRPr="009B6952">
        <w:t>.</w:t>
      </w:r>
      <w:r w:rsidRPr="009B6952">
        <w:tab/>
        <w:t>Il n</w:t>
      </w:r>
      <w:r>
        <w:t>’</w:t>
      </w:r>
      <w:r w:rsidRPr="009B6952">
        <w:t>est pas gratuit. La volonté politique est d</w:t>
      </w:r>
      <w:r>
        <w:t>’</w:t>
      </w:r>
      <w:r w:rsidRPr="009B6952">
        <w:t>offrir à tous un accès à l</w:t>
      </w:r>
      <w:r>
        <w:t>’</w:t>
      </w:r>
      <w:r w:rsidRPr="009B6952">
        <w:t>enseignement supérieur, bien que les moyens dont dispose l</w:t>
      </w:r>
      <w:r>
        <w:t>’</w:t>
      </w:r>
      <w:r w:rsidRPr="009B6952">
        <w:t>État so</w:t>
      </w:r>
      <w:r>
        <w:t>ie</w:t>
      </w:r>
      <w:r w:rsidRPr="009B6952">
        <w:t>nt financièrement limités. Une agence de financement des étudiants du Rwanda, le Student Financing Agency</w:t>
      </w:r>
      <w:r>
        <w:t>,</w:t>
      </w:r>
      <w:r w:rsidRPr="009B6952">
        <w:t xml:space="preserve"> a été créée en 2003 et est devenue opérationnelle en 2005. Elle est chargée d</w:t>
      </w:r>
      <w:r>
        <w:t>’</w:t>
      </w:r>
      <w:r w:rsidRPr="009B6952">
        <w:t xml:space="preserve">administrer le système de prêts et </w:t>
      </w:r>
      <w:r>
        <w:t xml:space="preserve">de </w:t>
      </w:r>
      <w:r w:rsidRPr="009B6952">
        <w:t>bourses. La capacité d</w:t>
      </w:r>
      <w:r>
        <w:t>’</w:t>
      </w:r>
      <w:r w:rsidRPr="009B6952">
        <w:t>accueil dans l</w:t>
      </w:r>
      <w:r>
        <w:t>’</w:t>
      </w:r>
      <w:r w:rsidRPr="009B6952">
        <w:t xml:space="preserve">enseignement supérieur public est en constante progression. </w:t>
      </w:r>
    </w:p>
    <w:p w:rsidR="001A4057" w:rsidRPr="009B6952" w:rsidRDefault="001A4057" w:rsidP="001A4057">
      <w:pPr>
        <w:pStyle w:val="SingleTxtG"/>
      </w:pPr>
      <w:r>
        <w:t>277</w:t>
      </w:r>
      <w:r w:rsidRPr="009B6952">
        <w:t>.</w:t>
      </w:r>
      <w:r w:rsidRPr="009B6952">
        <w:tab/>
        <w:t>Au niveau de l</w:t>
      </w:r>
      <w:r>
        <w:t>’</w:t>
      </w:r>
      <w:r w:rsidRPr="009B6952">
        <w:t>enseignement supérieur, il y a eu multiplication d</w:t>
      </w:r>
      <w:r>
        <w:t xml:space="preserve">es </w:t>
      </w:r>
      <w:r w:rsidRPr="009B6952">
        <w:t>institutions publiques et privées; les classes du soir ont été instaurées pour permettre un plus grand accès à l</w:t>
      </w:r>
      <w:r>
        <w:t>’</w:t>
      </w:r>
      <w:r w:rsidRPr="009B6952">
        <w:t xml:space="preserve">enseignement supérieur. </w:t>
      </w:r>
    </w:p>
    <w:p w:rsidR="001A4057" w:rsidRPr="009B6952" w:rsidRDefault="001A4057" w:rsidP="001A4057">
      <w:pPr>
        <w:pStyle w:val="SingleTxtG"/>
      </w:pPr>
      <w:r>
        <w:t>278</w:t>
      </w:r>
      <w:r w:rsidRPr="009B6952">
        <w:t>.</w:t>
      </w:r>
      <w:r w:rsidRPr="009B6952">
        <w:tab/>
        <w:t>Les agents de l</w:t>
      </w:r>
      <w:r>
        <w:t>’</w:t>
      </w:r>
      <w:r w:rsidRPr="009B6952">
        <w:t xml:space="preserve">État licenciés </w:t>
      </w:r>
      <w:r w:rsidRPr="00F63F7F">
        <w:t>pour manque de compétences professionnelles ont</w:t>
      </w:r>
      <w:r w:rsidRPr="009B6952">
        <w:t xml:space="preserve"> reçu de la part de l</w:t>
      </w:r>
      <w:r>
        <w:t>’</w:t>
      </w:r>
      <w:r w:rsidRPr="009B6952">
        <w:t>État</w:t>
      </w:r>
      <w:r>
        <w:t xml:space="preserve"> </w:t>
      </w:r>
      <w:r w:rsidRPr="009B6952">
        <w:t>la couverture de leurs frais universitaires.</w:t>
      </w:r>
      <w:r>
        <w:t xml:space="preserve"> </w:t>
      </w:r>
    </w:p>
    <w:p w:rsidR="001A4057" w:rsidRPr="009B6952" w:rsidRDefault="001A4057" w:rsidP="001A4057">
      <w:pPr>
        <w:pStyle w:val="SingleTxtG"/>
      </w:pPr>
      <w:r>
        <w:t>279</w:t>
      </w:r>
      <w:r w:rsidRPr="009B6952">
        <w:t>.</w:t>
      </w:r>
      <w:r w:rsidRPr="009B6952">
        <w:tab/>
        <w:t>Au niveau supérieur, on a 33 institutions</w:t>
      </w:r>
      <w:r>
        <w:t xml:space="preserve"> </w:t>
      </w:r>
      <w:r w:rsidRPr="009B6952">
        <w:t xml:space="preserve">dont 5 forment les infirmières </w:t>
      </w:r>
      <w:r>
        <w:t>au</w:t>
      </w:r>
      <w:r w:rsidRPr="009B6952">
        <w:t xml:space="preserve"> niveau A1. Le coût </w:t>
      </w:r>
      <w:r>
        <w:t xml:space="preserve">de la formation </w:t>
      </w:r>
      <w:r w:rsidRPr="009B6952">
        <w:t xml:space="preserve">dépend </w:t>
      </w:r>
      <w:r>
        <w:t xml:space="preserve">du statut public ou privé de </w:t>
      </w:r>
      <w:r w:rsidRPr="009B6952">
        <w:t>l</w:t>
      </w:r>
      <w:r>
        <w:t>’</w:t>
      </w:r>
      <w:r w:rsidRPr="009B6952">
        <w:t>institution. Le coût d</w:t>
      </w:r>
      <w:r>
        <w:t>’</w:t>
      </w:r>
      <w:r w:rsidRPr="009B6952">
        <w:t>une institution privée comme l</w:t>
      </w:r>
      <w:r>
        <w:t>’</w:t>
      </w:r>
      <w:r w:rsidRPr="009B6952">
        <w:t>ULK est de 466</w:t>
      </w:r>
      <w:r>
        <w:t xml:space="preserve"> </w:t>
      </w:r>
      <w:r w:rsidRPr="009B6952">
        <w:t xml:space="preserve">000 FRW/étudiant/an (inscription comprise), </w:t>
      </w:r>
      <w:r>
        <w:t xml:space="preserve">et </w:t>
      </w:r>
      <w:r w:rsidRPr="009B6952">
        <w:t>de 551</w:t>
      </w:r>
      <w:r>
        <w:t xml:space="preserve"> </w:t>
      </w:r>
      <w:r w:rsidRPr="009B6952">
        <w:t>000 FRW/étudiant/an (inscription comprise) pour la faculté des sciences administratives à l</w:t>
      </w:r>
      <w:r>
        <w:t>’U</w:t>
      </w:r>
      <w:r w:rsidRPr="009B6952">
        <w:t xml:space="preserve">niversité nationale du Rwanda. </w:t>
      </w:r>
    </w:p>
    <w:p w:rsidR="001A4057" w:rsidRPr="009B6952" w:rsidRDefault="001A4057" w:rsidP="001A4057">
      <w:pPr>
        <w:pStyle w:val="H4G"/>
      </w:pPr>
      <w:r>
        <w:tab/>
      </w:r>
      <w:r>
        <w:tab/>
      </w:r>
      <w:r w:rsidRPr="009B6952">
        <w:t>De l</w:t>
      </w:r>
      <w:r>
        <w:t>’</w:t>
      </w:r>
      <w:r w:rsidRPr="009B6952">
        <w:t>alphabétisation</w:t>
      </w:r>
    </w:p>
    <w:p w:rsidR="001A4057" w:rsidRDefault="001A4057" w:rsidP="001A4057">
      <w:pPr>
        <w:pStyle w:val="SingleTxtG"/>
      </w:pPr>
      <w:r w:rsidRPr="009B6952">
        <w:t>28</w:t>
      </w:r>
      <w:r>
        <w:t>0</w:t>
      </w:r>
      <w:r w:rsidRPr="009B6952">
        <w:t>.</w:t>
      </w:r>
      <w:r w:rsidRPr="009B6952">
        <w:tab/>
        <w:t>Un système d</w:t>
      </w:r>
      <w:r>
        <w:t>’</w:t>
      </w:r>
      <w:r w:rsidRPr="009B6952">
        <w:t>éducation de base existe à l</w:t>
      </w:r>
      <w:r>
        <w:t>’</w:t>
      </w:r>
      <w:r w:rsidRPr="009B6952">
        <w:t>intention d</w:t>
      </w:r>
      <w:r>
        <w:t xml:space="preserve">es </w:t>
      </w:r>
      <w:r w:rsidRPr="009B6952">
        <w:t>individus qui n</w:t>
      </w:r>
      <w:r>
        <w:t>’</w:t>
      </w:r>
      <w:r w:rsidRPr="009B6952">
        <w:t>ont pas suivi d</w:t>
      </w:r>
      <w:r>
        <w:t>’</w:t>
      </w:r>
      <w:r w:rsidRPr="009B6952">
        <w:t xml:space="preserve">enseignement primaire ou </w:t>
      </w:r>
      <w:r>
        <w:t xml:space="preserve">qui </w:t>
      </w:r>
      <w:r w:rsidRPr="009B6952">
        <w:t>ne l</w:t>
      </w:r>
      <w:r>
        <w:t>’</w:t>
      </w:r>
      <w:r w:rsidRPr="009B6952">
        <w:t>ont pas suivi jusqu</w:t>
      </w:r>
      <w:r>
        <w:t>’</w:t>
      </w:r>
      <w:r w:rsidRPr="009B6952">
        <w:t>à terme. On comptait 6</w:t>
      </w:r>
      <w:r>
        <w:t xml:space="preserve"> </w:t>
      </w:r>
      <w:r w:rsidRPr="009B6952">
        <w:t>000 centres d</w:t>
      </w:r>
      <w:r>
        <w:t>’</w:t>
      </w:r>
      <w:r w:rsidRPr="009B6952">
        <w:t>alphabétisation en 2005</w:t>
      </w:r>
      <w:r>
        <w:t>,</w:t>
      </w:r>
      <w:r w:rsidRPr="009B6952">
        <w:t xml:space="preserve"> touchant au moins 300</w:t>
      </w:r>
      <w:r>
        <w:t xml:space="preserve"> </w:t>
      </w:r>
      <w:r w:rsidRPr="009B6952">
        <w:t>000 jeunes et étudiants adultes</w:t>
      </w:r>
      <w:r w:rsidRPr="00B352B3">
        <w:rPr>
          <w:rStyle w:val="FootnoteReference"/>
        </w:rPr>
        <w:footnoteReference w:id="146"/>
      </w:r>
      <w:r w:rsidRPr="009B6952">
        <w:t>.</w:t>
      </w:r>
      <w:r>
        <w:t xml:space="preserve"> </w:t>
      </w:r>
      <w:r w:rsidRPr="009B6952">
        <w:t>Voici les taux de participation en matière d</w:t>
      </w:r>
      <w:r>
        <w:t>’</w:t>
      </w:r>
      <w:r w:rsidRPr="009B6952">
        <w:t>alphabétisation:</w:t>
      </w:r>
    </w:p>
    <w:p w:rsidR="001A4057" w:rsidRDefault="001A4057" w:rsidP="001A4057">
      <w:pPr>
        <w:pStyle w:val="Heading1"/>
        <w:spacing w:after="120"/>
      </w:pPr>
      <w:r>
        <w:t>Tableau 21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066"/>
        <w:gridCol w:w="1200"/>
        <w:gridCol w:w="1104"/>
      </w:tblGrid>
      <w:tr w:rsidR="001A4057" w:rsidRPr="00C34630" w:rsidTr="001A4057">
        <w:trPr>
          <w:trHeight w:val="225"/>
          <w:tblHeader/>
        </w:trPr>
        <w:tc>
          <w:tcPr>
            <w:tcW w:w="5066" w:type="dxa"/>
            <w:tcBorders>
              <w:top w:val="single" w:sz="4" w:space="0" w:color="auto"/>
              <w:bottom w:val="nil"/>
            </w:tcBorders>
            <w:shd w:val="clear" w:color="auto" w:fill="auto"/>
            <w:vAlign w:val="bottom"/>
          </w:tcPr>
          <w:p w:rsidR="001A4057" w:rsidRPr="00C34630" w:rsidRDefault="001A4057" w:rsidP="001A4057">
            <w:pPr>
              <w:spacing w:before="80" w:after="80" w:line="200" w:lineRule="exact"/>
              <w:rPr>
                <w:sz w:val="18"/>
                <w:szCs w:val="18"/>
              </w:rPr>
            </w:pPr>
            <w:r w:rsidRPr="00C34630">
              <w:rPr>
                <w:sz w:val="18"/>
                <w:szCs w:val="18"/>
              </w:rPr>
              <w:t>Taux d’alphabétisation</w:t>
            </w:r>
            <w:r w:rsidRPr="00C34630">
              <w:rPr>
                <w:rStyle w:val="FootnoteReference"/>
                <w:szCs w:val="18"/>
              </w:rPr>
              <w:footnoteReference w:id="147"/>
            </w:r>
            <w:r w:rsidRPr="00C34630">
              <w:rPr>
                <w:sz w:val="18"/>
                <w:szCs w:val="18"/>
              </w:rPr>
              <w:t xml:space="preserve"> </w:t>
            </w:r>
          </w:p>
        </w:tc>
        <w:tc>
          <w:tcPr>
            <w:tcW w:w="2304" w:type="dxa"/>
            <w:gridSpan w:val="2"/>
            <w:tcBorders>
              <w:top w:val="single" w:sz="4" w:space="0" w:color="auto"/>
              <w:bottom w:val="nil"/>
            </w:tcBorders>
            <w:shd w:val="clear" w:color="auto" w:fill="auto"/>
            <w:vAlign w:val="bottom"/>
          </w:tcPr>
          <w:p w:rsidR="001A4057" w:rsidRPr="00C34630" w:rsidRDefault="001A4057" w:rsidP="001A4057">
            <w:pPr>
              <w:spacing w:before="80" w:after="80" w:line="200" w:lineRule="exact"/>
              <w:jc w:val="right"/>
              <w:rPr>
                <w:sz w:val="18"/>
                <w:szCs w:val="18"/>
              </w:rPr>
            </w:pPr>
            <w:r w:rsidRPr="00C34630">
              <w:rPr>
                <w:sz w:val="18"/>
                <w:szCs w:val="18"/>
              </w:rPr>
              <w:t>74 %</w:t>
            </w:r>
          </w:p>
        </w:tc>
      </w:tr>
      <w:tr w:rsidR="001A4057" w:rsidRPr="00257819" w:rsidTr="001A4057">
        <w:trPr>
          <w:trHeight w:val="188"/>
        </w:trPr>
        <w:tc>
          <w:tcPr>
            <w:tcW w:w="5066" w:type="dxa"/>
            <w:tcBorders>
              <w:top w:val="nil"/>
            </w:tcBorders>
            <w:shd w:val="clear" w:color="auto" w:fill="auto"/>
          </w:tcPr>
          <w:p w:rsidR="001A4057" w:rsidRPr="00257819" w:rsidRDefault="001A4057" w:rsidP="001A4057">
            <w:pPr>
              <w:spacing w:before="40" w:after="40" w:line="220" w:lineRule="exact"/>
              <w:rPr>
                <w:sz w:val="18"/>
              </w:rPr>
            </w:pPr>
          </w:p>
        </w:tc>
        <w:tc>
          <w:tcPr>
            <w:tcW w:w="1200" w:type="dxa"/>
            <w:tcBorders>
              <w:top w:val="nil"/>
            </w:tcBorders>
            <w:shd w:val="clear" w:color="auto" w:fill="auto"/>
            <w:vAlign w:val="bottom"/>
          </w:tcPr>
          <w:p w:rsidR="001A4057" w:rsidRPr="00257819" w:rsidRDefault="001A4057" w:rsidP="001A4057">
            <w:pPr>
              <w:spacing w:before="40" w:after="40" w:line="220" w:lineRule="exact"/>
              <w:jc w:val="right"/>
              <w:rPr>
                <w:sz w:val="18"/>
              </w:rPr>
            </w:pPr>
            <w:r w:rsidRPr="00257819">
              <w:rPr>
                <w:sz w:val="18"/>
              </w:rPr>
              <w:t>Femmes</w:t>
            </w:r>
          </w:p>
        </w:tc>
        <w:tc>
          <w:tcPr>
            <w:tcW w:w="1104" w:type="dxa"/>
            <w:tcBorders>
              <w:top w:val="nil"/>
            </w:tcBorders>
            <w:shd w:val="clear" w:color="auto" w:fill="auto"/>
            <w:vAlign w:val="bottom"/>
          </w:tcPr>
          <w:p w:rsidR="001A4057" w:rsidRPr="00257819" w:rsidRDefault="001A4057" w:rsidP="001A4057">
            <w:pPr>
              <w:spacing w:before="40" w:after="40" w:line="220" w:lineRule="exact"/>
              <w:jc w:val="right"/>
              <w:rPr>
                <w:sz w:val="18"/>
              </w:rPr>
            </w:pPr>
            <w:r w:rsidRPr="00257819">
              <w:rPr>
                <w:sz w:val="18"/>
              </w:rPr>
              <w:t>Hommes</w:t>
            </w:r>
          </w:p>
        </w:tc>
      </w:tr>
      <w:tr w:rsidR="001A4057" w:rsidRPr="00257819" w:rsidTr="001A4057">
        <w:trPr>
          <w:trHeight w:val="260"/>
        </w:trPr>
        <w:tc>
          <w:tcPr>
            <w:tcW w:w="5066" w:type="dxa"/>
            <w:shd w:val="clear" w:color="auto" w:fill="auto"/>
          </w:tcPr>
          <w:p w:rsidR="001A4057" w:rsidRPr="00257819" w:rsidRDefault="001A4057" w:rsidP="001A4057">
            <w:pPr>
              <w:spacing w:before="40" w:after="40" w:line="220" w:lineRule="exact"/>
              <w:rPr>
                <w:sz w:val="18"/>
              </w:rPr>
            </w:pPr>
          </w:p>
        </w:tc>
        <w:tc>
          <w:tcPr>
            <w:tcW w:w="1200" w:type="dxa"/>
            <w:shd w:val="clear" w:color="auto" w:fill="auto"/>
            <w:vAlign w:val="bottom"/>
          </w:tcPr>
          <w:p w:rsidR="001A4057" w:rsidRPr="00257819" w:rsidRDefault="001A4057" w:rsidP="001A4057">
            <w:pPr>
              <w:spacing w:before="40" w:after="40" w:line="220" w:lineRule="exact"/>
              <w:jc w:val="right"/>
              <w:rPr>
                <w:sz w:val="18"/>
              </w:rPr>
            </w:pPr>
            <w:r w:rsidRPr="00257819">
              <w:rPr>
                <w:sz w:val="18"/>
              </w:rPr>
              <w:t>70 %</w:t>
            </w:r>
          </w:p>
        </w:tc>
        <w:tc>
          <w:tcPr>
            <w:tcW w:w="1104" w:type="dxa"/>
            <w:shd w:val="clear" w:color="auto" w:fill="auto"/>
            <w:vAlign w:val="bottom"/>
          </w:tcPr>
          <w:p w:rsidR="001A4057" w:rsidRPr="00257819" w:rsidRDefault="001A4057" w:rsidP="001A4057">
            <w:pPr>
              <w:spacing w:before="40" w:after="40" w:line="220" w:lineRule="exact"/>
              <w:jc w:val="right"/>
              <w:rPr>
                <w:sz w:val="18"/>
              </w:rPr>
            </w:pPr>
            <w:r w:rsidRPr="00257819">
              <w:rPr>
                <w:sz w:val="18"/>
              </w:rPr>
              <w:t>78 %</w:t>
            </w:r>
          </w:p>
        </w:tc>
      </w:tr>
      <w:tr w:rsidR="001A4057" w:rsidRPr="00257819" w:rsidTr="001A4057">
        <w:trPr>
          <w:trHeight w:val="260"/>
        </w:trPr>
        <w:tc>
          <w:tcPr>
            <w:tcW w:w="5066" w:type="dxa"/>
            <w:shd w:val="clear" w:color="auto" w:fill="auto"/>
          </w:tcPr>
          <w:p w:rsidR="001A4057" w:rsidRPr="00257819" w:rsidRDefault="001A4057" w:rsidP="001A4057">
            <w:pPr>
              <w:spacing w:before="40" w:after="40" w:line="220" w:lineRule="exact"/>
              <w:rPr>
                <w:sz w:val="18"/>
              </w:rPr>
            </w:pPr>
            <w:r w:rsidRPr="00257819">
              <w:rPr>
                <w:sz w:val="18"/>
              </w:rPr>
              <w:t>Nombre de participants aux programmes d</w:t>
            </w:r>
            <w:r>
              <w:rPr>
                <w:sz w:val="18"/>
              </w:rPr>
              <w:t>’</w:t>
            </w:r>
            <w:r w:rsidRPr="00257819">
              <w:rPr>
                <w:sz w:val="18"/>
              </w:rPr>
              <w:t>alphabétisation (2008)</w:t>
            </w:r>
          </w:p>
        </w:tc>
        <w:tc>
          <w:tcPr>
            <w:tcW w:w="2304" w:type="dxa"/>
            <w:gridSpan w:val="2"/>
            <w:shd w:val="clear" w:color="auto" w:fill="auto"/>
            <w:vAlign w:val="bottom"/>
          </w:tcPr>
          <w:p w:rsidR="001A4057" w:rsidRPr="00257819" w:rsidRDefault="001A4057" w:rsidP="001A4057">
            <w:pPr>
              <w:spacing w:before="40" w:after="40" w:line="220" w:lineRule="exact"/>
              <w:jc w:val="right"/>
              <w:rPr>
                <w:sz w:val="18"/>
              </w:rPr>
            </w:pPr>
            <w:r w:rsidRPr="00257819">
              <w:rPr>
                <w:sz w:val="18"/>
              </w:rPr>
              <w:t>6</w:t>
            </w:r>
            <w:r>
              <w:rPr>
                <w:sz w:val="18"/>
              </w:rPr>
              <w:t xml:space="preserve"> </w:t>
            </w:r>
            <w:r w:rsidRPr="00257819">
              <w:rPr>
                <w:sz w:val="18"/>
              </w:rPr>
              <w:t>605</w:t>
            </w:r>
          </w:p>
        </w:tc>
      </w:tr>
      <w:tr w:rsidR="001A4057" w:rsidRPr="00257819" w:rsidTr="001A4057">
        <w:trPr>
          <w:trHeight w:val="203"/>
        </w:trPr>
        <w:tc>
          <w:tcPr>
            <w:tcW w:w="5066" w:type="dxa"/>
            <w:shd w:val="clear" w:color="auto" w:fill="auto"/>
          </w:tcPr>
          <w:p w:rsidR="001A4057" w:rsidRPr="00257819" w:rsidRDefault="001A4057" w:rsidP="001A4057">
            <w:pPr>
              <w:spacing w:before="40" w:after="40" w:line="220" w:lineRule="exact"/>
              <w:rPr>
                <w:sz w:val="18"/>
              </w:rPr>
            </w:pPr>
            <w:r w:rsidRPr="00257819">
              <w:rPr>
                <w:sz w:val="18"/>
              </w:rPr>
              <w:t>Taux d</w:t>
            </w:r>
            <w:r>
              <w:rPr>
                <w:sz w:val="18"/>
              </w:rPr>
              <w:t>’</w:t>
            </w:r>
            <w:r w:rsidRPr="00257819">
              <w:rPr>
                <w:sz w:val="18"/>
              </w:rPr>
              <w:t>inscription dans l</w:t>
            </w:r>
            <w:r>
              <w:rPr>
                <w:sz w:val="18"/>
              </w:rPr>
              <w:t>’</w:t>
            </w:r>
            <w:r w:rsidRPr="00257819">
              <w:rPr>
                <w:sz w:val="18"/>
              </w:rPr>
              <w:t>enseignement de base</w:t>
            </w:r>
            <w:r w:rsidRPr="00B352B3">
              <w:rPr>
                <w:rStyle w:val="FootnoteReference"/>
              </w:rPr>
              <w:footnoteReference w:id="148"/>
            </w:r>
            <w:r w:rsidRPr="00257819">
              <w:rPr>
                <w:sz w:val="18"/>
                <w:vertAlign w:val="superscript"/>
              </w:rPr>
              <w:t xml:space="preserve"> </w:t>
            </w:r>
          </w:p>
        </w:tc>
        <w:tc>
          <w:tcPr>
            <w:tcW w:w="2304" w:type="dxa"/>
            <w:gridSpan w:val="2"/>
            <w:shd w:val="clear" w:color="auto" w:fill="auto"/>
            <w:vAlign w:val="bottom"/>
          </w:tcPr>
          <w:p w:rsidR="001A4057" w:rsidRPr="00257819" w:rsidRDefault="001A4057" w:rsidP="001A4057">
            <w:pPr>
              <w:spacing w:before="40" w:after="40" w:line="220" w:lineRule="exact"/>
              <w:jc w:val="right"/>
              <w:rPr>
                <w:sz w:val="18"/>
              </w:rPr>
            </w:pPr>
            <w:r w:rsidRPr="00257819">
              <w:rPr>
                <w:sz w:val="18"/>
              </w:rPr>
              <w:t>95 %</w:t>
            </w:r>
          </w:p>
        </w:tc>
      </w:tr>
      <w:tr w:rsidR="001A4057" w:rsidRPr="00257819" w:rsidTr="001A4057">
        <w:trPr>
          <w:trHeight w:val="323"/>
        </w:trPr>
        <w:tc>
          <w:tcPr>
            <w:tcW w:w="5066" w:type="dxa"/>
            <w:tcBorders>
              <w:bottom w:val="single" w:sz="12" w:space="0" w:color="auto"/>
            </w:tcBorders>
            <w:shd w:val="clear" w:color="auto" w:fill="auto"/>
          </w:tcPr>
          <w:p w:rsidR="001A4057" w:rsidRPr="00257819" w:rsidRDefault="001A4057" w:rsidP="001A4057">
            <w:pPr>
              <w:spacing w:before="40" w:after="40" w:line="220" w:lineRule="exact"/>
              <w:rPr>
                <w:sz w:val="18"/>
              </w:rPr>
            </w:pPr>
            <w:r w:rsidRPr="00257819">
              <w:rPr>
                <w:sz w:val="18"/>
              </w:rPr>
              <w:t>Taux d</w:t>
            </w:r>
            <w:r>
              <w:rPr>
                <w:sz w:val="18"/>
              </w:rPr>
              <w:t>’</w:t>
            </w:r>
            <w:r w:rsidRPr="00257819">
              <w:rPr>
                <w:sz w:val="18"/>
              </w:rPr>
              <w:t xml:space="preserve">éducation des adultes </w:t>
            </w:r>
          </w:p>
        </w:tc>
        <w:tc>
          <w:tcPr>
            <w:tcW w:w="2304" w:type="dxa"/>
            <w:gridSpan w:val="2"/>
            <w:tcBorders>
              <w:bottom w:val="single" w:sz="12" w:space="0" w:color="auto"/>
            </w:tcBorders>
            <w:shd w:val="clear" w:color="auto" w:fill="auto"/>
            <w:vAlign w:val="bottom"/>
          </w:tcPr>
          <w:p w:rsidR="001A4057" w:rsidRPr="00257819" w:rsidRDefault="001A4057" w:rsidP="001A4057">
            <w:pPr>
              <w:spacing w:before="40" w:after="40" w:line="220" w:lineRule="exact"/>
              <w:jc w:val="right"/>
              <w:rPr>
                <w:sz w:val="18"/>
              </w:rPr>
            </w:pPr>
            <w:r w:rsidRPr="00257819">
              <w:rPr>
                <w:sz w:val="18"/>
              </w:rPr>
              <w:t>74 %</w:t>
            </w:r>
          </w:p>
        </w:tc>
      </w:tr>
    </w:tbl>
    <w:p w:rsidR="001A4057" w:rsidRPr="00257819" w:rsidRDefault="001A4057" w:rsidP="001A4057">
      <w:pPr>
        <w:pStyle w:val="SingleTxtG"/>
        <w:spacing w:before="120" w:after="240"/>
        <w:ind w:firstLine="170"/>
        <w:rPr>
          <w:sz w:val="18"/>
          <w:szCs w:val="18"/>
        </w:rPr>
      </w:pPr>
      <w:r w:rsidRPr="00257819">
        <w:rPr>
          <w:i/>
          <w:sz w:val="18"/>
          <w:szCs w:val="18"/>
        </w:rPr>
        <w:t>Source</w:t>
      </w:r>
      <w:r w:rsidRPr="00257819">
        <w:rPr>
          <w:sz w:val="18"/>
          <w:szCs w:val="18"/>
        </w:rPr>
        <w:t>: Mineduc.</w:t>
      </w:r>
    </w:p>
    <w:p w:rsidR="001A4057" w:rsidRPr="009B6952" w:rsidRDefault="001A4057" w:rsidP="001A4057">
      <w:pPr>
        <w:pStyle w:val="SingleTxtG"/>
      </w:pPr>
      <w:r>
        <w:t>281</w:t>
      </w:r>
      <w:r w:rsidRPr="009B6952">
        <w:t>.</w:t>
      </w:r>
      <w:r w:rsidRPr="009B6952">
        <w:tab/>
        <w:t>Le programme vise surtout la catégorie de la population âgée de 15 ans et plus.</w:t>
      </w:r>
    </w:p>
    <w:p w:rsidR="001A4057" w:rsidRPr="009B6952" w:rsidRDefault="001A4057" w:rsidP="001A4057">
      <w:pPr>
        <w:pStyle w:val="SingleTxtG"/>
      </w:pPr>
      <w:r w:rsidRPr="009B6952">
        <w:t>28</w:t>
      </w:r>
      <w:r>
        <w:t>2</w:t>
      </w:r>
      <w:r w:rsidRPr="009B6952">
        <w:t>.</w:t>
      </w:r>
      <w:r w:rsidRPr="009B6952">
        <w:tab/>
        <w:t xml:space="preserve">Cette éducation populaire est en général assurée par </w:t>
      </w:r>
      <w:r>
        <w:t>l</w:t>
      </w:r>
      <w:r w:rsidRPr="009B6952">
        <w:t xml:space="preserve">es centres communautaires de développement et de formation permanente. </w:t>
      </w:r>
    </w:p>
    <w:p w:rsidR="001A4057" w:rsidRPr="009B6952" w:rsidRDefault="001A4057" w:rsidP="001A4057">
      <w:pPr>
        <w:pStyle w:val="SingleTxtG"/>
        <w:keepNext/>
        <w:keepLines/>
      </w:pPr>
      <w:r>
        <w:t>283</w:t>
      </w:r>
      <w:r w:rsidRPr="009B6952">
        <w:t>.</w:t>
      </w:r>
      <w:r w:rsidRPr="009B6952">
        <w:tab/>
        <w:t xml:space="preserve">Pour la jeunesse déscolarisée, des centres de formation de la jeunesse chargés de les encadrer ont été créés par le Gouvernement pour assurer à cette jeunesse une formation de base, voire professionnelle. </w:t>
      </w:r>
    </w:p>
    <w:p w:rsidR="001A4057" w:rsidRPr="009B6952" w:rsidRDefault="001A4057" w:rsidP="001A4057">
      <w:pPr>
        <w:pStyle w:val="SingleTxtG"/>
      </w:pPr>
      <w:r>
        <w:t>284</w:t>
      </w:r>
      <w:r w:rsidRPr="009B6952">
        <w:t>.</w:t>
      </w:r>
      <w:r w:rsidRPr="009B6952">
        <w:tab/>
        <w:t>Le programme d</w:t>
      </w:r>
      <w:r>
        <w:t>’</w:t>
      </w:r>
      <w:r w:rsidRPr="009B6952">
        <w:t xml:space="preserve">alphabétisation est exécuté par le </w:t>
      </w:r>
      <w:r>
        <w:t>Gouvernement</w:t>
      </w:r>
      <w:r w:rsidRPr="009B6952">
        <w:t xml:space="preserve"> en collaboration avec ses partenaires que sont les ONG et </w:t>
      </w:r>
      <w:r>
        <w:t xml:space="preserve">les organisations de </w:t>
      </w:r>
      <w:r w:rsidRPr="009B6952">
        <w:t xml:space="preserve">confession religieuse. </w:t>
      </w:r>
    </w:p>
    <w:p w:rsidR="001A4057" w:rsidRPr="009B6952" w:rsidRDefault="001A4057" w:rsidP="001A4057">
      <w:pPr>
        <w:pStyle w:val="SingleTxtG"/>
      </w:pPr>
      <w:r>
        <w:t>285</w:t>
      </w:r>
      <w:r w:rsidRPr="009B6952">
        <w:t>.</w:t>
      </w:r>
      <w:r w:rsidRPr="009B6952">
        <w:tab/>
        <w:t xml:space="preserve">Il existe aussi des programmes de rattrapage </w:t>
      </w:r>
      <w:r>
        <w:t>pour</w:t>
      </w:r>
      <w:r w:rsidRPr="009B6952">
        <w:t xml:space="preserve"> réinsérer les enfants qui n</w:t>
      </w:r>
      <w:r>
        <w:t>’</w:t>
      </w:r>
      <w:r w:rsidRPr="009B6952">
        <w:t>ont pas suivi complètement l</w:t>
      </w:r>
      <w:r>
        <w:t>’</w:t>
      </w:r>
      <w:r w:rsidRPr="009B6952">
        <w:t>enseignement primaire.</w:t>
      </w:r>
    </w:p>
    <w:p w:rsidR="001A4057" w:rsidRPr="009B6952" w:rsidRDefault="001A4057" w:rsidP="001A4057">
      <w:pPr>
        <w:pStyle w:val="H4G"/>
      </w:pPr>
      <w:r>
        <w:tab/>
      </w:r>
      <w:r>
        <w:tab/>
      </w:r>
      <w:r w:rsidRPr="009B6952">
        <w:t>Mesures pour encourager l</w:t>
      </w:r>
      <w:r>
        <w:t>’</w:t>
      </w:r>
      <w:r w:rsidRPr="009B6952">
        <w:t>alphabétisation</w:t>
      </w:r>
    </w:p>
    <w:p w:rsidR="001A4057" w:rsidRPr="009B6952" w:rsidRDefault="001A4057" w:rsidP="001A4057">
      <w:pPr>
        <w:pStyle w:val="SingleTxtG"/>
      </w:pPr>
      <w:r w:rsidRPr="009B6952">
        <w:t>28</w:t>
      </w:r>
      <w:r>
        <w:t>6</w:t>
      </w:r>
      <w:r w:rsidRPr="009B6952">
        <w:t>.</w:t>
      </w:r>
      <w:r w:rsidRPr="009B6952">
        <w:tab/>
        <w:t>Les mesures pour encourager l</w:t>
      </w:r>
      <w:r>
        <w:t>’</w:t>
      </w:r>
      <w:r w:rsidRPr="009B6952">
        <w:t>alphabétisation sont initiées par les autorités de base. Ce sont les suivantes:</w:t>
      </w:r>
      <w:r>
        <w:t xml:space="preserve"> </w:t>
      </w:r>
    </w:p>
    <w:p w:rsidR="001A4057" w:rsidRPr="009B6952" w:rsidRDefault="001A4057" w:rsidP="001A4057">
      <w:pPr>
        <w:pStyle w:val="SingleTxtG"/>
        <w:ind w:firstLine="567"/>
      </w:pPr>
      <w:r>
        <w:t>a)</w:t>
      </w:r>
      <w:r>
        <w:tab/>
      </w:r>
      <w:r w:rsidRPr="009B6952">
        <w:t>La politique nationale de l</w:t>
      </w:r>
      <w:r>
        <w:t>’</w:t>
      </w:r>
      <w:r w:rsidRPr="009B6952">
        <w:t xml:space="preserve">alphabétisation; </w:t>
      </w:r>
    </w:p>
    <w:p w:rsidR="001A4057" w:rsidRPr="009B6952" w:rsidRDefault="001A4057" w:rsidP="001A4057">
      <w:pPr>
        <w:pStyle w:val="SingleTxtG"/>
        <w:ind w:firstLine="567"/>
      </w:pPr>
      <w:r>
        <w:t>b)</w:t>
      </w:r>
      <w:r>
        <w:tab/>
        <w:t>M</w:t>
      </w:r>
      <w:r w:rsidRPr="009B6952">
        <w:t>otiv</w:t>
      </w:r>
      <w:r>
        <w:t xml:space="preserve">er </w:t>
      </w:r>
      <w:r w:rsidRPr="009B6952">
        <w:t xml:space="preserve">la population en </w:t>
      </w:r>
      <w:r>
        <w:t>lui</w:t>
      </w:r>
      <w:r w:rsidRPr="009B6952">
        <w:t xml:space="preserve"> fournissant à la fin du programme du matériel de ménage (comme les houes, et autres outils de ménage);</w:t>
      </w:r>
      <w:r>
        <w:t xml:space="preserve"> </w:t>
      </w:r>
    </w:p>
    <w:p w:rsidR="001A4057" w:rsidRPr="009B6952" w:rsidRDefault="001A4057" w:rsidP="001A4057">
      <w:pPr>
        <w:pStyle w:val="SingleTxtG"/>
        <w:ind w:firstLine="567"/>
      </w:pPr>
      <w:r>
        <w:t>c)</w:t>
      </w:r>
      <w:r>
        <w:tab/>
        <w:t>L</w:t>
      </w:r>
      <w:r w:rsidRPr="009B6952">
        <w:t>es enseignants aussi reçoivent une petite motivation (par exemple des vélos) comme incitatif</w:t>
      </w:r>
      <w:r>
        <w:t>s</w:t>
      </w:r>
      <w:r w:rsidRPr="009B6952">
        <w:t xml:space="preserve">, surtout </w:t>
      </w:r>
      <w:r>
        <w:t>lors</w:t>
      </w:r>
      <w:r w:rsidRPr="009B6952">
        <w:t>qu</w:t>
      </w:r>
      <w:r>
        <w:t>’</w:t>
      </w:r>
      <w:r w:rsidRPr="009B6952">
        <w:t>ils font le travail bénévolement;</w:t>
      </w:r>
      <w:r>
        <w:t xml:space="preserve"> </w:t>
      </w:r>
    </w:p>
    <w:p w:rsidR="001A4057" w:rsidRPr="009B6952" w:rsidRDefault="001A4057" w:rsidP="001A4057">
      <w:pPr>
        <w:pStyle w:val="SingleTxtG"/>
        <w:ind w:firstLine="567"/>
      </w:pPr>
      <w:r>
        <w:t>d)</w:t>
      </w:r>
      <w:r>
        <w:tab/>
      </w:r>
      <w:r w:rsidRPr="009B6952">
        <w:t>L</w:t>
      </w:r>
      <w:r>
        <w:t>’</w:t>
      </w:r>
      <w:r w:rsidRPr="009B6952">
        <w:t>aménagement d</w:t>
      </w:r>
      <w:r>
        <w:t>’un site/</w:t>
      </w:r>
      <w:r w:rsidRPr="009B6952">
        <w:t xml:space="preserve">centre pour alphabétisation dans les districts (au moins un centre par district); </w:t>
      </w:r>
    </w:p>
    <w:p w:rsidR="001A4057" w:rsidRPr="009B6952" w:rsidRDefault="001A4057" w:rsidP="001A4057">
      <w:pPr>
        <w:pStyle w:val="SingleTxtG"/>
        <w:ind w:firstLine="567"/>
      </w:pPr>
      <w:r>
        <w:t>e)</w:t>
      </w:r>
      <w:r>
        <w:tab/>
      </w:r>
      <w:r w:rsidRPr="009B6952">
        <w:t xml:space="preserve">Des formations sont dispensées dans tous les districts; </w:t>
      </w:r>
    </w:p>
    <w:p w:rsidR="001A4057" w:rsidRPr="009B6952" w:rsidRDefault="001A4057" w:rsidP="001A4057">
      <w:pPr>
        <w:pStyle w:val="SingleTxtG"/>
        <w:ind w:firstLine="567"/>
      </w:pPr>
      <w:r>
        <w:t>f)</w:t>
      </w:r>
      <w:r>
        <w:tab/>
        <w:t>L</w:t>
      </w:r>
      <w:r w:rsidRPr="009B6952">
        <w:t xml:space="preserve">e </w:t>
      </w:r>
      <w:r>
        <w:t>Gouvernement</w:t>
      </w:r>
      <w:r w:rsidRPr="009B6952">
        <w:t xml:space="preserve"> travaille en collaboration avec la société civile et les organisations religieuses.</w:t>
      </w:r>
    </w:p>
    <w:p w:rsidR="001A4057" w:rsidRPr="009B6952" w:rsidRDefault="001A4057" w:rsidP="001A4057">
      <w:pPr>
        <w:pStyle w:val="H4G"/>
      </w:pPr>
      <w:r>
        <w:tab/>
      </w:r>
      <w:r>
        <w:tab/>
      </w:r>
      <w:r w:rsidRPr="009B6952">
        <w:t>Programmes d</w:t>
      </w:r>
      <w:r>
        <w:t>’</w:t>
      </w:r>
      <w:r w:rsidRPr="009B6952">
        <w:t>alphabétisation</w:t>
      </w:r>
    </w:p>
    <w:p w:rsidR="001A4057" w:rsidRPr="009B6952" w:rsidRDefault="001A4057" w:rsidP="001A4057">
      <w:pPr>
        <w:pStyle w:val="SingleTxtG"/>
      </w:pPr>
      <w:r>
        <w:t>287</w:t>
      </w:r>
      <w:r w:rsidRPr="009B6952">
        <w:t>.</w:t>
      </w:r>
      <w:r w:rsidRPr="009B6952">
        <w:tab/>
        <w:t>Pour ce qui est des programmes d</w:t>
      </w:r>
      <w:r>
        <w:t>’</w:t>
      </w:r>
      <w:r w:rsidRPr="009B6952">
        <w:t xml:space="preserve">alphabétisation: </w:t>
      </w:r>
      <w:r>
        <w:t>l</w:t>
      </w:r>
      <w:r w:rsidRPr="009B6952">
        <w:t>es manuels existent, certains établis par les institutions publiques, d</w:t>
      </w:r>
      <w:r>
        <w:t>’</w:t>
      </w:r>
      <w:r w:rsidRPr="009B6952">
        <w:t xml:space="preserve">autres par les différents partenaires, comme les ONG, les </w:t>
      </w:r>
      <w:r>
        <w:t xml:space="preserve">organisations de </w:t>
      </w:r>
      <w:r w:rsidRPr="009B6952">
        <w:t xml:space="preserve">confession religieuse et autres associations. Le </w:t>
      </w:r>
      <w:r>
        <w:t>Gouvernement</w:t>
      </w:r>
      <w:r w:rsidRPr="009B6952">
        <w:t xml:space="preserve"> est en train de mettre sur pied un programme harmonisé.</w:t>
      </w:r>
    </w:p>
    <w:p w:rsidR="001A4057" w:rsidRPr="009B6952" w:rsidRDefault="001A4057" w:rsidP="001A4057">
      <w:pPr>
        <w:pStyle w:val="SingleTxtG"/>
      </w:pPr>
      <w:r>
        <w:t>288</w:t>
      </w:r>
      <w:r w:rsidRPr="009B6952">
        <w:t>.</w:t>
      </w:r>
      <w:r w:rsidRPr="009B6952">
        <w:tab/>
        <w:t xml:space="preserve">Les sources de financement viennent des fonds du trésor public et des districts, </w:t>
      </w:r>
      <w:r>
        <w:t xml:space="preserve">mais aussi </w:t>
      </w:r>
      <w:r w:rsidRPr="009B6952">
        <w:t>des partenaires comme les ONG, les</w:t>
      </w:r>
      <w:r>
        <w:t xml:space="preserve"> organisations de</w:t>
      </w:r>
      <w:r w:rsidRPr="009B6952">
        <w:t xml:space="preserve"> confession religieuse et autres associations. </w:t>
      </w:r>
    </w:p>
    <w:p w:rsidR="001A4057" w:rsidRPr="009B6952" w:rsidRDefault="001A4057" w:rsidP="001A4057">
      <w:pPr>
        <w:pStyle w:val="H4G"/>
      </w:pPr>
      <w:r>
        <w:tab/>
      </w:r>
      <w:r>
        <w:tab/>
      </w:r>
      <w:r w:rsidRPr="009B6952">
        <w:t>Difficultés rencontrées</w:t>
      </w:r>
    </w:p>
    <w:p w:rsidR="001A4057" w:rsidRDefault="001A4057" w:rsidP="001A4057">
      <w:pPr>
        <w:pStyle w:val="SingleTxtG"/>
      </w:pPr>
      <w:r>
        <w:t>289</w:t>
      </w:r>
      <w:r w:rsidRPr="009B6952">
        <w:t>.</w:t>
      </w:r>
      <w:r w:rsidRPr="009B6952">
        <w:tab/>
        <w:t>Les difficultés encourues sont notamment</w:t>
      </w:r>
      <w:r>
        <w:t xml:space="preserve"> lorsque le </w:t>
      </w:r>
      <w:r w:rsidRPr="009B6952">
        <w:t xml:space="preserve">budget ne parvient pas à combler les besoins existants; il se présente </w:t>
      </w:r>
      <w:r>
        <w:t xml:space="preserve">alors </w:t>
      </w:r>
      <w:r w:rsidRPr="009B6952">
        <w:t xml:space="preserve">comme suit: </w:t>
      </w:r>
    </w:p>
    <w:p w:rsidR="001A4057" w:rsidRDefault="001A4057" w:rsidP="001A4057">
      <w:pPr>
        <w:pStyle w:val="Heading1"/>
        <w:spacing w:after="120"/>
      </w:pPr>
      <w:r>
        <w:t>Tableau 22</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38"/>
        <w:gridCol w:w="639"/>
        <w:gridCol w:w="637"/>
        <w:gridCol w:w="640"/>
        <w:gridCol w:w="639"/>
        <w:gridCol w:w="677"/>
      </w:tblGrid>
      <w:tr w:rsidR="001A4057" w:rsidRPr="00A6721E" w:rsidTr="001A4057">
        <w:trPr>
          <w:trHeight w:val="173"/>
          <w:tblHeader/>
        </w:trPr>
        <w:tc>
          <w:tcPr>
            <w:tcW w:w="4138" w:type="dxa"/>
            <w:tcBorders>
              <w:top w:val="single" w:sz="4" w:space="0" w:color="auto"/>
              <w:bottom w:val="single" w:sz="12" w:space="0" w:color="auto"/>
            </w:tcBorders>
            <w:shd w:val="clear" w:color="auto" w:fill="auto"/>
            <w:vAlign w:val="bottom"/>
          </w:tcPr>
          <w:p w:rsidR="001A4057" w:rsidRPr="00A6721E" w:rsidRDefault="001A4057" w:rsidP="001A4057">
            <w:pPr>
              <w:spacing w:before="80" w:after="80" w:line="200" w:lineRule="exact"/>
              <w:rPr>
                <w:i/>
                <w:sz w:val="16"/>
              </w:rPr>
            </w:pPr>
            <w:r w:rsidRPr="00A6721E">
              <w:rPr>
                <w:i/>
                <w:sz w:val="16"/>
              </w:rPr>
              <w:t>Budget</w:t>
            </w:r>
            <w:r w:rsidRPr="00B352B3">
              <w:rPr>
                <w:rStyle w:val="FootnoteReference"/>
              </w:rPr>
              <w:footnoteReference w:id="149"/>
            </w:r>
          </w:p>
        </w:tc>
        <w:tc>
          <w:tcPr>
            <w:tcW w:w="639" w:type="dxa"/>
            <w:tcBorders>
              <w:top w:val="single" w:sz="4" w:space="0" w:color="auto"/>
              <w:bottom w:val="single" w:sz="12" w:space="0" w:color="auto"/>
            </w:tcBorders>
            <w:shd w:val="clear" w:color="auto" w:fill="auto"/>
            <w:vAlign w:val="bottom"/>
          </w:tcPr>
          <w:p w:rsidR="001A4057" w:rsidRPr="00A6721E" w:rsidRDefault="001A4057" w:rsidP="001A4057">
            <w:pPr>
              <w:spacing w:before="80" w:after="80" w:line="200" w:lineRule="exact"/>
              <w:jc w:val="right"/>
              <w:rPr>
                <w:i/>
                <w:sz w:val="16"/>
              </w:rPr>
            </w:pPr>
            <w:r w:rsidRPr="00A6721E">
              <w:rPr>
                <w:i/>
                <w:sz w:val="16"/>
              </w:rPr>
              <w:t>2003</w:t>
            </w:r>
          </w:p>
        </w:tc>
        <w:tc>
          <w:tcPr>
            <w:tcW w:w="637" w:type="dxa"/>
            <w:tcBorders>
              <w:top w:val="single" w:sz="4" w:space="0" w:color="auto"/>
              <w:bottom w:val="single" w:sz="12" w:space="0" w:color="auto"/>
            </w:tcBorders>
            <w:shd w:val="clear" w:color="auto" w:fill="auto"/>
            <w:vAlign w:val="bottom"/>
          </w:tcPr>
          <w:p w:rsidR="001A4057" w:rsidRPr="00A6721E" w:rsidRDefault="001A4057" w:rsidP="001A4057">
            <w:pPr>
              <w:spacing w:before="80" w:after="80" w:line="200" w:lineRule="exact"/>
              <w:jc w:val="right"/>
              <w:rPr>
                <w:i/>
                <w:sz w:val="16"/>
              </w:rPr>
            </w:pPr>
            <w:r w:rsidRPr="00A6721E">
              <w:rPr>
                <w:i/>
                <w:sz w:val="16"/>
              </w:rPr>
              <w:t>2004</w:t>
            </w:r>
          </w:p>
        </w:tc>
        <w:tc>
          <w:tcPr>
            <w:tcW w:w="640" w:type="dxa"/>
            <w:tcBorders>
              <w:top w:val="single" w:sz="4" w:space="0" w:color="auto"/>
              <w:bottom w:val="single" w:sz="12" w:space="0" w:color="auto"/>
            </w:tcBorders>
            <w:shd w:val="clear" w:color="auto" w:fill="auto"/>
            <w:vAlign w:val="bottom"/>
          </w:tcPr>
          <w:p w:rsidR="001A4057" w:rsidRPr="00A6721E" w:rsidRDefault="001A4057" w:rsidP="001A4057">
            <w:pPr>
              <w:spacing w:before="80" w:after="80" w:line="200" w:lineRule="exact"/>
              <w:jc w:val="right"/>
              <w:rPr>
                <w:i/>
                <w:sz w:val="16"/>
              </w:rPr>
            </w:pPr>
            <w:r w:rsidRPr="00A6721E">
              <w:rPr>
                <w:i/>
                <w:sz w:val="16"/>
              </w:rPr>
              <w:t>2005</w:t>
            </w:r>
          </w:p>
        </w:tc>
        <w:tc>
          <w:tcPr>
            <w:tcW w:w="639" w:type="dxa"/>
            <w:tcBorders>
              <w:top w:val="single" w:sz="4" w:space="0" w:color="auto"/>
              <w:bottom w:val="single" w:sz="12" w:space="0" w:color="auto"/>
            </w:tcBorders>
            <w:shd w:val="clear" w:color="auto" w:fill="auto"/>
            <w:vAlign w:val="bottom"/>
          </w:tcPr>
          <w:p w:rsidR="001A4057" w:rsidRPr="00A6721E" w:rsidRDefault="001A4057" w:rsidP="001A4057">
            <w:pPr>
              <w:spacing w:before="80" w:after="80" w:line="200" w:lineRule="exact"/>
              <w:jc w:val="right"/>
              <w:rPr>
                <w:i/>
                <w:sz w:val="16"/>
              </w:rPr>
            </w:pPr>
            <w:r w:rsidRPr="00A6721E">
              <w:rPr>
                <w:i/>
                <w:sz w:val="16"/>
              </w:rPr>
              <w:t>2006</w:t>
            </w:r>
          </w:p>
        </w:tc>
        <w:tc>
          <w:tcPr>
            <w:tcW w:w="677" w:type="dxa"/>
            <w:tcBorders>
              <w:top w:val="single" w:sz="4" w:space="0" w:color="auto"/>
              <w:bottom w:val="single" w:sz="12" w:space="0" w:color="auto"/>
            </w:tcBorders>
            <w:shd w:val="clear" w:color="auto" w:fill="auto"/>
            <w:vAlign w:val="bottom"/>
          </w:tcPr>
          <w:p w:rsidR="001A4057" w:rsidRPr="00A6721E" w:rsidRDefault="001A4057" w:rsidP="001A4057">
            <w:pPr>
              <w:spacing w:before="80" w:after="80" w:line="200" w:lineRule="exact"/>
              <w:jc w:val="right"/>
              <w:rPr>
                <w:i/>
                <w:sz w:val="16"/>
              </w:rPr>
            </w:pPr>
            <w:r w:rsidRPr="00A6721E">
              <w:rPr>
                <w:i/>
                <w:sz w:val="16"/>
              </w:rPr>
              <w:t>2007</w:t>
            </w:r>
          </w:p>
        </w:tc>
      </w:tr>
      <w:tr w:rsidR="001A4057" w:rsidRPr="00A6721E" w:rsidTr="001A4057">
        <w:trPr>
          <w:trHeight w:val="225"/>
        </w:trPr>
        <w:tc>
          <w:tcPr>
            <w:tcW w:w="4138" w:type="dxa"/>
            <w:tcBorders>
              <w:top w:val="single" w:sz="12" w:space="0" w:color="auto"/>
            </w:tcBorders>
            <w:shd w:val="clear" w:color="auto" w:fill="auto"/>
          </w:tcPr>
          <w:p w:rsidR="001A4057" w:rsidRPr="00A6721E" w:rsidRDefault="001A4057" w:rsidP="001A4057">
            <w:pPr>
              <w:suppressAutoHyphens w:val="0"/>
              <w:spacing w:before="40" w:after="40" w:line="220" w:lineRule="exact"/>
              <w:ind w:right="113"/>
              <w:rPr>
                <w:sz w:val="18"/>
              </w:rPr>
            </w:pPr>
          </w:p>
        </w:tc>
        <w:tc>
          <w:tcPr>
            <w:tcW w:w="639" w:type="dxa"/>
            <w:tcBorders>
              <w:top w:val="single" w:sz="12" w:space="0" w:color="auto"/>
            </w:tcBorders>
            <w:shd w:val="clear" w:color="auto" w:fill="auto"/>
            <w:vAlign w:val="bottom"/>
          </w:tcPr>
          <w:p w:rsidR="001A4057" w:rsidRPr="00A6721E" w:rsidRDefault="001A4057" w:rsidP="001A4057">
            <w:pPr>
              <w:spacing w:before="40" w:after="40" w:line="220" w:lineRule="exact"/>
              <w:jc w:val="right"/>
              <w:rPr>
                <w:sz w:val="18"/>
              </w:rPr>
            </w:pPr>
            <w:r w:rsidRPr="00A6721E">
              <w:rPr>
                <w:sz w:val="18"/>
              </w:rPr>
              <w:t>19 %</w:t>
            </w:r>
          </w:p>
        </w:tc>
        <w:tc>
          <w:tcPr>
            <w:tcW w:w="637" w:type="dxa"/>
            <w:tcBorders>
              <w:top w:val="single" w:sz="12" w:space="0" w:color="auto"/>
            </w:tcBorders>
            <w:shd w:val="clear" w:color="auto" w:fill="auto"/>
            <w:vAlign w:val="bottom"/>
          </w:tcPr>
          <w:p w:rsidR="001A4057" w:rsidRPr="00A6721E" w:rsidRDefault="001A4057" w:rsidP="001A4057">
            <w:pPr>
              <w:spacing w:before="40" w:after="40" w:line="220" w:lineRule="exact"/>
              <w:jc w:val="right"/>
              <w:rPr>
                <w:sz w:val="18"/>
              </w:rPr>
            </w:pPr>
            <w:r w:rsidRPr="00A6721E">
              <w:rPr>
                <w:sz w:val="18"/>
              </w:rPr>
              <w:t>16,4 %</w:t>
            </w:r>
          </w:p>
        </w:tc>
        <w:tc>
          <w:tcPr>
            <w:tcW w:w="640" w:type="dxa"/>
            <w:tcBorders>
              <w:top w:val="single" w:sz="12" w:space="0" w:color="auto"/>
            </w:tcBorders>
            <w:shd w:val="clear" w:color="auto" w:fill="auto"/>
            <w:vAlign w:val="bottom"/>
          </w:tcPr>
          <w:p w:rsidR="001A4057" w:rsidRPr="00A6721E" w:rsidRDefault="001A4057" w:rsidP="001A4057">
            <w:pPr>
              <w:spacing w:before="40" w:after="40" w:line="220" w:lineRule="exact"/>
              <w:jc w:val="right"/>
              <w:rPr>
                <w:sz w:val="18"/>
              </w:rPr>
            </w:pPr>
            <w:r w:rsidRPr="00A6721E">
              <w:rPr>
                <w:sz w:val="18"/>
              </w:rPr>
              <w:t>16 %</w:t>
            </w:r>
          </w:p>
        </w:tc>
        <w:tc>
          <w:tcPr>
            <w:tcW w:w="639" w:type="dxa"/>
            <w:tcBorders>
              <w:top w:val="single" w:sz="12" w:space="0" w:color="auto"/>
            </w:tcBorders>
            <w:shd w:val="clear" w:color="auto" w:fill="auto"/>
            <w:vAlign w:val="bottom"/>
          </w:tcPr>
          <w:p w:rsidR="001A4057" w:rsidRPr="00A6721E" w:rsidRDefault="001A4057" w:rsidP="001A4057">
            <w:pPr>
              <w:spacing w:before="40" w:after="40" w:line="220" w:lineRule="exact"/>
              <w:jc w:val="right"/>
              <w:rPr>
                <w:sz w:val="18"/>
              </w:rPr>
            </w:pPr>
            <w:r w:rsidRPr="00A6721E">
              <w:rPr>
                <w:sz w:val="18"/>
              </w:rPr>
              <w:t>19,5 %</w:t>
            </w:r>
          </w:p>
        </w:tc>
        <w:tc>
          <w:tcPr>
            <w:tcW w:w="677" w:type="dxa"/>
            <w:tcBorders>
              <w:top w:val="single" w:sz="12" w:space="0" w:color="auto"/>
            </w:tcBorders>
            <w:shd w:val="clear" w:color="auto" w:fill="auto"/>
            <w:vAlign w:val="bottom"/>
          </w:tcPr>
          <w:p w:rsidR="001A4057" w:rsidRPr="00A6721E" w:rsidRDefault="001A4057" w:rsidP="001A4057">
            <w:pPr>
              <w:spacing w:before="40" w:after="40" w:line="220" w:lineRule="exact"/>
              <w:jc w:val="right"/>
              <w:rPr>
                <w:sz w:val="18"/>
              </w:rPr>
            </w:pPr>
            <w:r w:rsidRPr="00A6721E">
              <w:rPr>
                <w:sz w:val="18"/>
              </w:rPr>
              <w:t>20 %</w:t>
            </w:r>
          </w:p>
        </w:tc>
      </w:tr>
    </w:tbl>
    <w:p w:rsidR="001A4057" w:rsidRPr="00C430BE" w:rsidRDefault="001A4057" w:rsidP="001A4057">
      <w:pPr>
        <w:pStyle w:val="SingleTxtG"/>
        <w:spacing w:before="120" w:after="240"/>
        <w:ind w:firstLine="170"/>
        <w:rPr>
          <w:sz w:val="18"/>
          <w:szCs w:val="18"/>
        </w:rPr>
      </w:pPr>
      <w:r w:rsidRPr="00C430BE">
        <w:rPr>
          <w:i/>
          <w:sz w:val="18"/>
          <w:szCs w:val="18"/>
        </w:rPr>
        <w:t>Source</w:t>
      </w:r>
      <w:r w:rsidRPr="00C430BE">
        <w:rPr>
          <w:sz w:val="18"/>
          <w:szCs w:val="18"/>
        </w:rPr>
        <w:t>: Minecofin.</w:t>
      </w:r>
    </w:p>
    <w:p w:rsidR="001A4057" w:rsidRPr="009B6952" w:rsidRDefault="001A4057" w:rsidP="001A4057">
      <w:pPr>
        <w:pStyle w:val="H4G"/>
      </w:pPr>
      <w:r>
        <w:tab/>
      </w:r>
      <w:r>
        <w:tab/>
      </w:r>
      <w:r w:rsidRPr="009B6952">
        <w:t>Au niveau primaire</w:t>
      </w:r>
    </w:p>
    <w:p w:rsidR="001A4057" w:rsidRPr="009B6952" w:rsidRDefault="001A4057" w:rsidP="001A4057">
      <w:pPr>
        <w:pStyle w:val="SingleTxtG"/>
        <w:ind w:firstLine="567"/>
      </w:pPr>
      <w:r>
        <w:t>a)</w:t>
      </w:r>
      <w:r>
        <w:tab/>
      </w:r>
      <w:r w:rsidRPr="009B6952">
        <w:t>Un déficit d</w:t>
      </w:r>
      <w:r>
        <w:t>e</w:t>
      </w:r>
      <w:r w:rsidRPr="009B6952">
        <w:t xml:space="preserve"> personnel enseignant de qualité; </w:t>
      </w:r>
    </w:p>
    <w:p w:rsidR="001A4057" w:rsidRPr="009B6952" w:rsidRDefault="001A4057" w:rsidP="001A4057">
      <w:pPr>
        <w:pStyle w:val="SingleTxtG"/>
        <w:ind w:firstLine="567"/>
      </w:pPr>
      <w:r>
        <w:t>b)</w:t>
      </w:r>
      <w:r>
        <w:tab/>
      </w:r>
      <w:r w:rsidRPr="009B6952">
        <w:t xml:space="preserve">Retenir et motiver le personnel enseignant; </w:t>
      </w:r>
    </w:p>
    <w:p w:rsidR="001A4057" w:rsidRPr="009B6952" w:rsidRDefault="001A4057" w:rsidP="001A4057">
      <w:pPr>
        <w:pStyle w:val="SingleTxtG"/>
        <w:ind w:firstLine="567"/>
      </w:pPr>
      <w:r>
        <w:t>c)</w:t>
      </w:r>
      <w:r>
        <w:tab/>
      </w:r>
      <w:r w:rsidRPr="009B6952">
        <w:t>Le taux d</w:t>
      </w:r>
      <w:r>
        <w:t>’</w:t>
      </w:r>
      <w:r w:rsidRPr="009B6952">
        <w:t>abandon reste encore élevé dû à l</w:t>
      </w:r>
      <w:r>
        <w:t>’</w:t>
      </w:r>
      <w:r w:rsidRPr="009B6952">
        <w:t>ignorance et à la pauvreté de certaines familles;</w:t>
      </w:r>
    </w:p>
    <w:p w:rsidR="001A4057" w:rsidRPr="009B6952" w:rsidRDefault="001A4057" w:rsidP="001A4057">
      <w:pPr>
        <w:pStyle w:val="SingleTxtG"/>
        <w:ind w:firstLine="567"/>
      </w:pPr>
      <w:r>
        <w:t>d)</w:t>
      </w:r>
      <w:r>
        <w:tab/>
      </w:r>
      <w:r w:rsidRPr="009B6952">
        <w:t>Le taux de redoublement est de 18,1</w:t>
      </w:r>
      <w:r>
        <w:t xml:space="preserve"> %</w:t>
      </w:r>
      <w:r w:rsidRPr="009B6952">
        <w:t xml:space="preserve"> au niveau primaire; </w:t>
      </w:r>
    </w:p>
    <w:p w:rsidR="001A4057" w:rsidRPr="009B6952" w:rsidRDefault="001A4057" w:rsidP="001A4057">
      <w:pPr>
        <w:pStyle w:val="SingleTxtG"/>
        <w:ind w:firstLine="567"/>
      </w:pPr>
      <w:r>
        <w:t>e)</w:t>
      </w:r>
      <w:r>
        <w:tab/>
      </w:r>
      <w:r w:rsidRPr="009B6952">
        <w:t xml:space="preserve">Il y a encore </w:t>
      </w:r>
      <w:r>
        <w:t xml:space="preserve">une </w:t>
      </w:r>
      <w:r w:rsidRPr="009B6952">
        <w:t>insuffisance de matéri</w:t>
      </w:r>
      <w:r>
        <w:t xml:space="preserve">els </w:t>
      </w:r>
      <w:r w:rsidRPr="009B6952">
        <w:t>scolaires (</w:t>
      </w:r>
      <w:r>
        <w:t xml:space="preserve">par </w:t>
      </w:r>
      <w:r w:rsidRPr="009B6952">
        <w:t>exemple: 1 livre pour 3 élèves à l</w:t>
      </w:r>
      <w:r>
        <w:t>’</w:t>
      </w:r>
      <w:r w:rsidRPr="009B6952">
        <w:t xml:space="preserve">école primaire); </w:t>
      </w:r>
    </w:p>
    <w:p w:rsidR="001A4057" w:rsidRPr="009B6952" w:rsidRDefault="001A4057" w:rsidP="001A4057">
      <w:pPr>
        <w:pStyle w:val="SingleTxtG"/>
        <w:ind w:firstLine="567"/>
      </w:pPr>
      <w:r>
        <w:t>f)</w:t>
      </w:r>
      <w:r>
        <w:tab/>
        <w:t>Le ratio élève du primaire/</w:t>
      </w:r>
      <w:r w:rsidRPr="009B6952">
        <w:t>enseignant reste encore élevé (1:74 en 2007</w:t>
      </w:r>
      <w:r w:rsidRPr="00B352B3">
        <w:rPr>
          <w:rStyle w:val="FootnoteReference"/>
        </w:rPr>
        <w:footnoteReference w:id="150"/>
      </w:r>
      <w:r w:rsidRPr="009B6952">
        <w:t xml:space="preserve">, ce ratio était de 1:64 en 2005); </w:t>
      </w:r>
    </w:p>
    <w:p w:rsidR="001A4057" w:rsidRPr="009B6952" w:rsidRDefault="001A4057" w:rsidP="001A4057">
      <w:pPr>
        <w:pStyle w:val="SingleTxtG"/>
        <w:ind w:firstLine="567"/>
      </w:pPr>
      <w:r>
        <w:t>g)</w:t>
      </w:r>
      <w:r>
        <w:tab/>
      </w:r>
      <w:r w:rsidRPr="009B6952">
        <w:t>L</w:t>
      </w:r>
      <w:r>
        <w:t>’</w:t>
      </w:r>
      <w:r w:rsidRPr="009B6952">
        <w:t>insuffisance d</w:t>
      </w:r>
      <w:r>
        <w:t>’</w:t>
      </w:r>
      <w:r w:rsidRPr="009B6952">
        <w:t>infrastructures pour l</w:t>
      </w:r>
      <w:r>
        <w:t>’</w:t>
      </w:r>
      <w:r w:rsidRPr="009B6952">
        <w:t xml:space="preserve">inscription aux études secondaires; manque de moyens pour </w:t>
      </w:r>
      <w:r>
        <w:t>se rendre au niveau secondaire.</w:t>
      </w:r>
    </w:p>
    <w:p w:rsidR="001A4057" w:rsidRPr="009B6952" w:rsidRDefault="001A4057" w:rsidP="001A4057">
      <w:pPr>
        <w:pStyle w:val="H4G"/>
      </w:pPr>
      <w:r>
        <w:tab/>
      </w:r>
      <w:r>
        <w:tab/>
        <w:t>Au niveau supérieur</w:t>
      </w:r>
    </w:p>
    <w:p w:rsidR="001A4057" w:rsidRPr="009B6952" w:rsidRDefault="001A4057" w:rsidP="001A4057">
      <w:pPr>
        <w:pStyle w:val="SingleTxtG"/>
        <w:ind w:firstLine="567"/>
      </w:pPr>
      <w:r>
        <w:t>a)</w:t>
      </w:r>
      <w:r>
        <w:tab/>
      </w:r>
      <w:r w:rsidRPr="009B6952">
        <w:t>Il y a encore une insuffisance d</w:t>
      </w:r>
      <w:r>
        <w:t>’</w:t>
      </w:r>
      <w:r w:rsidRPr="009B6952">
        <w:t xml:space="preserve">infrastructures et </w:t>
      </w:r>
      <w:r>
        <w:t>d’</w:t>
      </w:r>
      <w:r w:rsidRPr="009B6952">
        <w:t xml:space="preserve">équipements en général pour les laboratoires; </w:t>
      </w:r>
    </w:p>
    <w:p w:rsidR="001A4057" w:rsidRPr="009B6952" w:rsidRDefault="001A4057" w:rsidP="001A4057">
      <w:pPr>
        <w:pStyle w:val="SingleTxtG"/>
        <w:ind w:firstLine="567"/>
      </w:pPr>
      <w:r>
        <w:t>b)</w:t>
      </w:r>
      <w:r>
        <w:tab/>
      </w:r>
      <w:r w:rsidRPr="009B6952">
        <w:t xml:space="preserve">Une insuffisance de logements pour les étudiants; </w:t>
      </w:r>
    </w:p>
    <w:p w:rsidR="001A4057" w:rsidRPr="009B6952" w:rsidRDefault="001A4057" w:rsidP="001A4057">
      <w:pPr>
        <w:pStyle w:val="SingleTxtG"/>
        <w:ind w:firstLine="567"/>
      </w:pPr>
      <w:r>
        <w:t>c)</w:t>
      </w:r>
      <w:r>
        <w:tab/>
        <w:t>L</w:t>
      </w:r>
      <w:r w:rsidRPr="009B6952">
        <w:t>e pourcentage des filles au niveau supérieur reste encore bas (41,6</w:t>
      </w:r>
      <w:r>
        <w:t xml:space="preserve"> %</w:t>
      </w:r>
      <w:r w:rsidRPr="009B6952">
        <w:t xml:space="preserve"> en 2007); </w:t>
      </w:r>
    </w:p>
    <w:p w:rsidR="001A4057" w:rsidRPr="009B6952" w:rsidRDefault="001A4057" w:rsidP="001A4057">
      <w:pPr>
        <w:pStyle w:val="SingleTxtG"/>
        <w:ind w:firstLine="567"/>
      </w:pPr>
      <w:r>
        <w:t>d)</w:t>
      </w:r>
      <w:r>
        <w:tab/>
        <w:t>Les</w:t>
      </w:r>
      <w:r w:rsidRPr="009B6952">
        <w:t xml:space="preserve"> qualification</w:t>
      </w:r>
      <w:r>
        <w:t>s</w:t>
      </w:r>
      <w:r w:rsidRPr="009B6952">
        <w:t xml:space="preserve"> </w:t>
      </w:r>
      <w:r>
        <w:t>des</w:t>
      </w:r>
      <w:r w:rsidRPr="009B6952">
        <w:t xml:space="preserve"> personnel</w:t>
      </w:r>
      <w:r>
        <w:t>s</w:t>
      </w:r>
      <w:r w:rsidRPr="009B6952">
        <w:t xml:space="preserve"> qualifié</w:t>
      </w:r>
      <w:r>
        <w:t>s</w:t>
      </w:r>
      <w:r w:rsidRPr="009B6952">
        <w:t xml:space="preserve"> en technologie</w:t>
      </w:r>
      <w:r>
        <w:t xml:space="preserve"> sont insuffisantes</w:t>
      </w:r>
      <w:r w:rsidRPr="009B6952">
        <w:t xml:space="preserve">, ce qui </w:t>
      </w:r>
      <w:r>
        <w:t>conduit à</w:t>
      </w:r>
      <w:r w:rsidRPr="009B6952">
        <w:t xml:space="preserve"> </w:t>
      </w:r>
      <w:r>
        <w:t>devoir recruter</w:t>
      </w:r>
      <w:r w:rsidRPr="009B6952">
        <w:t xml:space="preserve"> des professeurs expatriés, surtout </w:t>
      </w:r>
      <w:r>
        <w:t>a</w:t>
      </w:r>
      <w:r w:rsidRPr="009B6952">
        <w:t xml:space="preserve">u niveau supérieur et </w:t>
      </w:r>
      <w:r>
        <w:t xml:space="preserve">pour ce qui est </w:t>
      </w:r>
      <w:r w:rsidRPr="009B6952">
        <w:t xml:space="preserve">des enseignants </w:t>
      </w:r>
      <w:r>
        <w:t>dans les</w:t>
      </w:r>
      <w:r w:rsidRPr="009B6952">
        <w:t xml:space="preserve"> </w:t>
      </w:r>
      <w:r>
        <w:t xml:space="preserve">disciplines des </w:t>
      </w:r>
      <w:r w:rsidRPr="009B6952">
        <w:t xml:space="preserve">sciences et </w:t>
      </w:r>
      <w:r>
        <w:t xml:space="preserve">des </w:t>
      </w:r>
      <w:r w:rsidRPr="009B6952">
        <w:t xml:space="preserve">techniques. </w:t>
      </w:r>
    </w:p>
    <w:p w:rsidR="001A4057" w:rsidRPr="009B6952" w:rsidRDefault="001A4057" w:rsidP="001A4057">
      <w:pPr>
        <w:pStyle w:val="H4G"/>
      </w:pPr>
      <w:r>
        <w:tab/>
      </w:r>
      <w:r>
        <w:tab/>
      </w:r>
      <w:r w:rsidRPr="009B6952">
        <w:t>En ce qui a trait à l</w:t>
      </w:r>
      <w:r>
        <w:t>’alphabétisation</w:t>
      </w:r>
    </w:p>
    <w:p w:rsidR="001A4057" w:rsidRPr="009B6952" w:rsidRDefault="001A4057" w:rsidP="001A4057">
      <w:pPr>
        <w:pStyle w:val="SingleTxtG"/>
        <w:ind w:firstLine="567"/>
      </w:pPr>
      <w:r>
        <w:t>a)</w:t>
      </w:r>
      <w:r>
        <w:tab/>
      </w:r>
      <w:r w:rsidRPr="009B6952">
        <w:t>Les programmes ne sont pas encore répandus dans tout le pays;</w:t>
      </w:r>
    </w:p>
    <w:p w:rsidR="001A4057" w:rsidRPr="009B6952" w:rsidRDefault="001A4057" w:rsidP="001A4057">
      <w:pPr>
        <w:pStyle w:val="SingleTxtG"/>
        <w:ind w:firstLine="567"/>
      </w:pPr>
      <w:r>
        <w:t>b)</w:t>
      </w:r>
      <w:r>
        <w:tab/>
      </w:r>
      <w:r w:rsidRPr="009B6952">
        <w:t>La dépendance des centres d</w:t>
      </w:r>
      <w:r>
        <w:t>’</w:t>
      </w:r>
      <w:r w:rsidRPr="009B6952">
        <w:t xml:space="preserve">alphabétisation </w:t>
      </w:r>
      <w:r>
        <w:t xml:space="preserve">par rapport </w:t>
      </w:r>
      <w:r w:rsidRPr="009B6952">
        <w:t>à l</w:t>
      </w:r>
      <w:r>
        <w:t>’</w:t>
      </w:r>
      <w:r w:rsidRPr="009B6952">
        <w:t>aide des ONG et autres organisations religieuses;</w:t>
      </w:r>
    </w:p>
    <w:p w:rsidR="001A4057" w:rsidRPr="009B6952" w:rsidRDefault="001A4057" w:rsidP="001A4057">
      <w:pPr>
        <w:pStyle w:val="SingleTxtG"/>
        <w:ind w:firstLine="567"/>
      </w:pPr>
      <w:r>
        <w:t>c)</w:t>
      </w:r>
      <w:r>
        <w:tab/>
      </w:r>
      <w:r w:rsidRPr="009B6952">
        <w:t>Une insuffisance en personnel qualifié: le niveau d</w:t>
      </w:r>
      <w:r>
        <w:t>’</w:t>
      </w:r>
      <w:r w:rsidRPr="009B6952">
        <w:t>études est généralement bas et beaucoup travaillent bénévolement;</w:t>
      </w:r>
      <w:r>
        <w:t xml:space="preserve"> </w:t>
      </w:r>
    </w:p>
    <w:p w:rsidR="001A4057" w:rsidRPr="009B6952" w:rsidRDefault="001A4057" w:rsidP="001A4057">
      <w:pPr>
        <w:pStyle w:val="SingleTxtG"/>
        <w:ind w:firstLine="567"/>
      </w:pPr>
      <w:r>
        <w:t>d)</w:t>
      </w:r>
      <w:r>
        <w:tab/>
      </w:r>
      <w:r w:rsidRPr="009B6952">
        <w:t xml:space="preserve">Un manque de coordination et </w:t>
      </w:r>
      <w:r>
        <w:t xml:space="preserve">de </w:t>
      </w:r>
      <w:r w:rsidRPr="009B6952">
        <w:t>supervision d</w:t>
      </w:r>
      <w:r>
        <w:t xml:space="preserve">es </w:t>
      </w:r>
      <w:r w:rsidRPr="009B6952">
        <w:t xml:space="preserve">enseignants </w:t>
      </w:r>
      <w:r>
        <w:t xml:space="preserve">permettant de </w:t>
      </w:r>
      <w:r w:rsidRPr="009B6952">
        <w:t xml:space="preserve">rentabiliser le rendement du programme; </w:t>
      </w:r>
    </w:p>
    <w:p w:rsidR="001A4057" w:rsidRPr="009B6952" w:rsidRDefault="001A4057" w:rsidP="001A4057">
      <w:pPr>
        <w:pStyle w:val="SingleTxtG"/>
        <w:ind w:firstLine="567"/>
      </w:pPr>
      <w:r>
        <w:t>e)</w:t>
      </w:r>
      <w:r>
        <w:tab/>
        <w:t>Le</w:t>
      </w:r>
      <w:r w:rsidRPr="009B6952">
        <w:t xml:space="preserve"> matériel didactique d</w:t>
      </w:r>
      <w:r>
        <w:t>’</w:t>
      </w:r>
      <w:r w:rsidRPr="009B6952">
        <w:t xml:space="preserve">appoint est encore manquant; </w:t>
      </w:r>
    </w:p>
    <w:p w:rsidR="001A4057" w:rsidRPr="009B6952" w:rsidRDefault="001A4057" w:rsidP="001A4057">
      <w:pPr>
        <w:pStyle w:val="SingleTxtG"/>
        <w:ind w:firstLine="567"/>
      </w:pPr>
      <w:r>
        <w:t>f)</w:t>
      </w:r>
      <w:r>
        <w:tab/>
      </w:r>
      <w:r w:rsidRPr="009B6952">
        <w:t xml:space="preserve">Les infrastructures </w:t>
      </w:r>
      <w:r>
        <w:t>restent in</w:t>
      </w:r>
      <w:r w:rsidRPr="009B6952">
        <w:t xml:space="preserve">suffisantes; </w:t>
      </w:r>
    </w:p>
    <w:p w:rsidR="001A4057" w:rsidRPr="009B6952" w:rsidRDefault="001A4057" w:rsidP="001A4057">
      <w:pPr>
        <w:pStyle w:val="SingleTxtG"/>
        <w:ind w:firstLine="567"/>
      </w:pPr>
      <w:r>
        <w:t>g)</w:t>
      </w:r>
      <w:r>
        <w:tab/>
        <w:t>A</w:t>
      </w:r>
      <w:r w:rsidRPr="009B6952">
        <w:t>utres difficultés: les mentalités, les stéréotypes, l</w:t>
      </w:r>
      <w:r>
        <w:t>’</w:t>
      </w:r>
      <w:r w:rsidRPr="009B6952">
        <w:t>ignorance et la pauvreté;</w:t>
      </w:r>
    </w:p>
    <w:p w:rsidR="001A4057" w:rsidRPr="009B6952" w:rsidRDefault="001A4057" w:rsidP="001A4057">
      <w:pPr>
        <w:pStyle w:val="SingleTxtG"/>
        <w:ind w:firstLine="567"/>
      </w:pPr>
      <w:r>
        <w:t>h)</w:t>
      </w:r>
      <w:r>
        <w:tab/>
      </w:r>
      <w:r w:rsidRPr="009B6952">
        <w:t>Les programmes post-alphabétisation sont encore manquants.</w:t>
      </w:r>
    </w:p>
    <w:p w:rsidR="001A4057" w:rsidRPr="009B6952" w:rsidRDefault="001A4057" w:rsidP="001A4057">
      <w:pPr>
        <w:pStyle w:val="H4G"/>
      </w:pPr>
      <w:r>
        <w:tab/>
      </w:r>
      <w:r>
        <w:tab/>
        <w:t xml:space="preserve">Les objectifs à atteindre </w:t>
      </w:r>
    </w:p>
    <w:p w:rsidR="001A4057" w:rsidRPr="009B6952" w:rsidRDefault="001A4057" w:rsidP="001A4057">
      <w:pPr>
        <w:pStyle w:val="SingleTxtG"/>
        <w:keepNext/>
      </w:pPr>
      <w:r>
        <w:t>290</w:t>
      </w:r>
      <w:r w:rsidRPr="009B6952">
        <w:t>.</w:t>
      </w:r>
      <w:r w:rsidRPr="009B6952">
        <w:tab/>
        <w:t xml:space="preserve">Les objectifs sont les suivants: </w:t>
      </w:r>
    </w:p>
    <w:p w:rsidR="001A4057" w:rsidRPr="009B6952" w:rsidRDefault="001A4057" w:rsidP="001A4057">
      <w:pPr>
        <w:pStyle w:val="SingleTxtG"/>
        <w:ind w:firstLine="567"/>
      </w:pPr>
      <w:r>
        <w:t>a)</w:t>
      </w:r>
      <w:r>
        <w:tab/>
        <w:t>L</w:t>
      </w:r>
      <w:r w:rsidRPr="009B6952">
        <w:t xml:space="preserve">e </w:t>
      </w:r>
      <w:r>
        <w:t>Gouvernement</w:t>
      </w:r>
      <w:r w:rsidRPr="009B6952">
        <w:t xml:space="preserve"> du Rwanda s</w:t>
      </w:r>
      <w:r>
        <w:t>’</w:t>
      </w:r>
      <w:r w:rsidRPr="009B6952">
        <w:t>att</w:t>
      </w:r>
      <w:r>
        <w:t>el</w:t>
      </w:r>
      <w:r w:rsidRPr="009B6952">
        <w:t>le à l</w:t>
      </w:r>
      <w:r>
        <w:t>’</w:t>
      </w:r>
      <w:r w:rsidRPr="009B6952">
        <w:t>objectif de l</w:t>
      </w:r>
      <w:r>
        <w:t>’</w:t>
      </w:r>
      <w:r w:rsidRPr="009B6952">
        <w:t>enseignement primaire universel en l</w:t>
      </w:r>
      <w:r>
        <w:t>’</w:t>
      </w:r>
      <w:r w:rsidRPr="009B6952">
        <w:t>année 2010 et</w:t>
      </w:r>
      <w:r>
        <w:t xml:space="preserve"> de </w:t>
      </w:r>
      <w:r w:rsidRPr="009B6952">
        <w:t>l</w:t>
      </w:r>
      <w:r>
        <w:t>’</w:t>
      </w:r>
      <w:r w:rsidRPr="009B6952">
        <w:t xml:space="preserve">enseignement pour tous en 2015 </w:t>
      </w:r>
      <w:r>
        <w:t>conformément aux o</w:t>
      </w:r>
      <w:r w:rsidRPr="009B6952">
        <w:t xml:space="preserve">bjectifs </w:t>
      </w:r>
      <w:r>
        <w:t>du Millénaire pour le développement;</w:t>
      </w:r>
    </w:p>
    <w:p w:rsidR="001A4057" w:rsidRPr="009B6952" w:rsidRDefault="001A4057" w:rsidP="001A4057">
      <w:pPr>
        <w:pStyle w:val="SingleTxtG"/>
        <w:ind w:firstLine="567"/>
      </w:pPr>
      <w:r>
        <w:t>b)</w:t>
      </w:r>
      <w:r>
        <w:tab/>
      </w:r>
      <w:r w:rsidRPr="009B6952">
        <w:t>L</w:t>
      </w:r>
      <w:r>
        <w:t>’</w:t>
      </w:r>
      <w:r w:rsidRPr="009B6952">
        <w:t>autre but est d</w:t>
      </w:r>
      <w:r>
        <w:t>’</w:t>
      </w:r>
      <w:r w:rsidRPr="009B6952">
        <w:t>atteindre 100</w:t>
      </w:r>
      <w:r>
        <w:t xml:space="preserve"> %</w:t>
      </w:r>
      <w:r w:rsidRPr="009B6952">
        <w:t xml:space="preserve"> d</w:t>
      </w:r>
      <w:r>
        <w:t>’</w:t>
      </w:r>
      <w:r w:rsidRPr="009B6952">
        <w:t>obtention des certificats de réus</w:t>
      </w:r>
      <w:r>
        <w:t>site au niveau du tronc commun;</w:t>
      </w:r>
    </w:p>
    <w:p w:rsidR="001A4057" w:rsidRPr="009B6952" w:rsidRDefault="001A4057" w:rsidP="001A4057">
      <w:pPr>
        <w:pStyle w:val="SingleTxtG"/>
        <w:ind w:firstLine="567"/>
      </w:pPr>
      <w:r>
        <w:t>c)</w:t>
      </w:r>
      <w:r>
        <w:tab/>
        <w:t>A</w:t>
      </w:r>
      <w:r w:rsidRPr="009B6952">
        <w:t xml:space="preserve">tteindre la parité fille </w:t>
      </w:r>
      <w:r>
        <w:t>-</w:t>
      </w:r>
      <w:r w:rsidRPr="009B6952">
        <w:t xml:space="preserve"> garçon à tous les niveaux d</w:t>
      </w:r>
      <w:r>
        <w:t>e l’</w:t>
      </w:r>
      <w:r w:rsidRPr="009B6952">
        <w:t>enseignement; cela est déjà acquis au niveau du primaire, le défi est encore là pour les niveaux secondaire et supérieur</w:t>
      </w:r>
      <w:r>
        <w:t>;</w:t>
      </w:r>
    </w:p>
    <w:p w:rsidR="001A4057" w:rsidRPr="009B6952" w:rsidRDefault="001A4057" w:rsidP="001A4057">
      <w:pPr>
        <w:pStyle w:val="SingleTxtG"/>
        <w:ind w:firstLine="567"/>
      </w:pPr>
      <w:r>
        <w:t>d)</w:t>
      </w:r>
      <w:r>
        <w:tab/>
        <w:t xml:space="preserve">Toujours conformément à </w:t>
      </w:r>
      <w:r w:rsidRPr="009B6952">
        <w:t>la politique stratégique de l</w:t>
      </w:r>
      <w:r>
        <w:t>’</w:t>
      </w:r>
      <w:r w:rsidRPr="009B6952">
        <w:t>éducation, le taux d</w:t>
      </w:r>
      <w:r>
        <w:t>’</w:t>
      </w:r>
      <w:r w:rsidRPr="009B6952">
        <w:t>alphabétisation souhait</w:t>
      </w:r>
      <w:r>
        <w:t xml:space="preserve">able serait de </w:t>
      </w:r>
      <w:r w:rsidRPr="009B6952">
        <w:t>80</w:t>
      </w:r>
      <w:r>
        <w:t xml:space="preserve"> %</w:t>
      </w:r>
      <w:r w:rsidRPr="009B6952">
        <w:t xml:space="preserve"> en 2010 et </w:t>
      </w:r>
      <w:r>
        <w:t>de</w:t>
      </w:r>
      <w:r w:rsidRPr="009B6952">
        <w:t xml:space="preserve"> 100</w:t>
      </w:r>
      <w:r>
        <w:t xml:space="preserve"> %</w:t>
      </w:r>
      <w:r w:rsidRPr="009B6952">
        <w:t xml:space="preserve"> en 2020. </w:t>
      </w:r>
    </w:p>
    <w:p w:rsidR="001A4057" w:rsidRPr="009B6952" w:rsidRDefault="001A4057" w:rsidP="001A4057">
      <w:pPr>
        <w:pStyle w:val="H4G"/>
      </w:pPr>
      <w:r>
        <w:tab/>
      </w:r>
      <w:r>
        <w:tab/>
      </w:r>
      <w:r w:rsidRPr="009B6952">
        <w:t>Comment est conçu le système scolaire?</w:t>
      </w:r>
    </w:p>
    <w:p w:rsidR="001A4057" w:rsidRPr="009B6952" w:rsidRDefault="001A4057" w:rsidP="001A4057">
      <w:pPr>
        <w:pStyle w:val="SingleTxtG"/>
      </w:pPr>
      <w:r w:rsidRPr="009B6952">
        <w:t>29</w:t>
      </w:r>
      <w:r>
        <w:t>1</w:t>
      </w:r>
      <w:r w:rsidRPr="009B6952">
        <w:t>.</w:t>
      </w:r>
      <w:r w:rsidRPr="009B6952">
        <w:tab/>
      </w:r>
      <w:r w:rsidRPr="001E4CAB">
        <w:t>Le système scolaire</w:t>
      </w:r>
      <w:r w:rsidRPr="00B352B3">
        <w:rPr>
          <w:rStyle w:val="FootnoteReference"/>
        </w:rPr>
        <w:footnoteReference w:id="151"/>
      </w:r>
      <w:r w:rsidRPr="001E4CAB">
        <w:t xml:space="preserve"> est conçu ainsi:</w:t>
      </w:r>
      <w:r w:rsidRPr="009B6952">
        <w:t xml:space="preserve"> </w:t>
      </w:r>
    </w:p>
    <w:p w:rsidR="001A4057" w:rsidRPr="009B6952" w:rsidRDefault="001A4057" w:rsidP="001A4057">
      <w:pPr>
        <w:pStyle w:val="SingleTxtG"/>
        <w:ind w:firstLine="567"/>
      </w:pPr>
      <w:r>
        <w:t>a)</w:t>
      </w:r>
      <w:r>
        <w:tab/>
      </w:r>
      <w:r w:rsidRPr="009B6952">
        <w:t>L</w:t>
      </w:r>
      <w:r>
        <w:t>’</w:t>
      </w:r>
      <w:r w:rsidRPr="009B6952">
        <w:t>éducation en famille: dispensée par les parents de l</w:t>
      </w:r>
      <w:r>
        <w:t>’enfant et son entourage;</w:t>
      </w:r>
    </w:p>
    <w:p w:rsidR="001A4057" w:rsidRPr="009B6952" w:rsidRDefault="001A4057" w:rsidP="001A4057">
      <w:pPr>
        <w:pStyle w:val="SingleTxtG"/>
        <w:ind w:firstLine="567"/>
      </w:pPr>
      <w:r>
        <w:t>b)</w:t>
      </w:r>
      <w:r>
        <w:tab/>
      </w:r>
      <w:r w:rsidRPr="009B6952">
        <w:t>L</w:t>
      </w:r>
      <w:r>
        <w:t>’</w:t>
      </w:r>
      <w:r w:rsidRPr="009B6952">
        <w:t>éducation formelle comprend:</w:t>
      </w:r>
      <w:r>
        <w:t xml:space="preserve"> </w:t>
      </w:r>
    </w:p>
    <w:p w:rsidR="001A4057" w:rsidRPr="009B6952" w:rsidRDefault="001A4057" w:rsidP="001A4057">
      <w:pPr>
        <w:pStyle w:val="Bullet2G"/>
      </w:pPr>
      <w:r>
        <w:t>L</w:t>
      </w:r>
      <w:r w:rsidRPr="009B6952">
        <w:t xml:space="preserve">e niveau préscolaire: </w:t>
      </w:r>
      <w:r>
        <w:t xml:space="preserve">l’éducation dispensée </w:t>
      </w:r>
      <w:r w:rsidRPr="009B6952">
        <w:t>dans les écoles maternelles</w:t>
      </w:r>
      <w:r>
        <w:t>;</w:t>
      </w:r>
    </w:p>
    <w:p w:rsidR="001A4057" w:rsidRPr="009B6952" w:rsidRDefault="001A4057" w:rsidP="001A4057">
      <w:pPr>
        <w:pStyle w:val="Bullet2G"/>
      </w:pPr>
      <w:r w:rsidRPr="009B6952">
        <w:tab/>
      </w:r>
      <w:r>
        <w:t>L’</w:t>
      </w:r>
      <w:r w:rsidRPr="009B6952">
        <w:t>enseignement primaire: dure six ans</w:t>
      </w:r>
      <w:r>
        <w:t xml:space="preserve"> et comprend </w:t>
      </w:r>
      <w:r w:rsidRPr="009B6952">
        <w:t xml:space="preserve">deux cycles, </w:t>
      </w:r>
      <w:r>
        <w:t xml:space="preserve">y compris </w:t>
      </w:r>
      <w:r w:rsidRPr="009B6952">
        <w:t>une composante axée sur l</w:t>
      </w:r>
      <w:r>
        <w:t>’</w:t>
      </w:r>
      <w:r w:rsidRPr="009B6952">
        <w:t>alphabétisation (de la 1</w:t>
      </w:r>
      <w:r w:rsidRPr="009B6952">
        <w:rPr>
          <w:vertAlign w:val="superscript"/>
        </w:rPr>
        <w:t>ère</w:t>
      </w:r>
      <w:r w:rsidRPr="009B6952">
        <w:t xml:space="preserve"> à</w:t>
      </w:r>
      <w:r>
        <w:t xml:space="preserve"> </w:t>
      </w:r>
      <w:r w:rsidRPr="009B6952">
        <w:t>la 3</w:t>
      </w:r>
      <w:r w:rsidRPr="009B6952">
        <w:rPr>
          <w:vertAlign w:val="superscript"/>
        </w:rPr>
        <w:t>ème</w:t>
      </w:r>
      <w:r w:rsidRPr="009B6952">
        <w:t xml:space="preserve"> année)</w:t>
      </w:r>
      <w:r>
        <w:t>;</w:t>
      </w:r>
    </w:p>
    <w:p w:rsidR="001A4057" w:rsidRPr="009B6952" w:rsidRDefault="001A4057" w:rsidP="001A4057">
      <w:pPr>
        <w:pStyle w:val="Bullet2G"/>
      </w:pPr>
      <w:r w:rsidRPr="009B6952">
        <w:tab/>
      </w:r>
      <w:r>
        <w:t>L’</w:t>
      </w:r>
      <w:r w:rsidRPr="009B6952">
        <w:t xml:space="preserve">enseignement secondaire, </w:t>
      </w:r>
      <w:r>
        <w:t>qui comprend</w:t>
      </w:r>
      <w:r w:rsidRPr="009B6952">
        <w:t xml:space="preserve"> deux cycles: le tronc commun (</w:t>
      </w:r>
      <w:r>
        <w:t>les trois</w:t>
      </w:r>
      <w:r w:rsidRPr="009B6952">
        <w:t xml:space="preserve"> </w:t>
      </w:r>
      <w:r>
        <w:t>premières</w:t>
      </w:r>
      <w:r w:rsidRPr="009B6952">
        <w:t xml:space="preserve"> années) et le 2</w:t>
      </w:r>
      <w:r w:rsidRPr="009B6952">
        <w:rPr>
          <w:vertAlign w:val="superscript"/>
        </w:rPr>
        <w:t>ème</w:t>
      </w:r>
      <w:r w:rsidRPr="009B6952">
        <w:t xml:space="preserve"> cycle</w:t>
      </w:r>
      <w:r>
        <w:t>;</w:t>
      </w:r>
    </w:p>
    <w:p w:rsidR="001A4057" w:rsidRPr="009B6952" w:rsidRDefault="001A4057" w:rsidP="001A4057">
      <w:pPr>
        <w:pStyle w:val="Bullet2G"/>
      </w:pPr>
      <w:r w:rsidRPr="009B6952">
        <w:tab/>
      </w:r>
      <w:r>
        <w:t>L’</w:t>
      </w:r>
      <w:r w:rsidRPr="009B6952">
        <w:t>enseignement supérieur</w:t>
      </w:r>
      <w:r>
        <w:t>;</w:t>
      </w:r>
    </w:p>
    <w:p w:rsidR="001A4057" w:rsidRPr="009B6952" w:rsidRDefault="001A4057" w:rsidP="001A4057">
      <w:pPr>
        <w:pStyle w:val="Bullet2G"/>
      </w:pPr>
      <w:r w:rsidRPr="009B6952">
        <w:tab/>
      </w:r>
      <w:r>
        <w:t>L’e</w:t>
      </w:r>
      <w:r w:rsidRPr="009B6952">
        <w:t>nseignement spécialisé</w:t>
      </w:r>
      <w:r>
        <w:t>,</w:t>
      </w:r>
      <w:r w:rsidRPr="009B6952">
        <w:t xml:space="preserve"> visant à accueillir les enfants avec une infirmité spécifique. </w:t>
      </w:r>
    </w:p>
    <w:p w:rsidR="001A4057" w:rsidRPr="009B6952" w:rsidRDefault="001A4057" w:rsidP="001A4057">
      <w:pPr>
        <w:pStyle w:val="SingleTxtG"/>
        <w:ind w:firstLine="567"/>
      </w:pPr>
      <w:r>
        <w:t>c)</w:t>
      </w:r>
      <w:r>
        <w:tab/>
      </w:r>
      <w:r w:rsidRPr="009B6952">
        <w:t>L</w:t>
      </w:r>
      <w:r>
        <w:t>’</w:t>
      </w:r>
      <w:r w:rsidRPr="009B6952">
        <w:t xml:space="preserve">éducation non formelle comprend: </w:t>
      </w:r>
    </w:p>
    <w:p w:rsidR="001A4057" w:rsidRPr="009B6952" w:rsidRDefault="001A4057" w:rsidP="001A4057">
      <w:pPr>
        <w:pStyle w:val="Bullet2G"/>
      </w:pPr>
      <w:r>
        <w:t>L’</w:t>
      </w:r>
      <w:r w:rsidRPr="009B6952">
        <w:t xml:space="preserve">éducation populaire: </w:t>
      </w:r>
      <w:r>
        <w:t>cible</w:t>
      </w:r>
      <w:r w:rsidRPr="009B6952">
        <w:t xml:space="preserve"> la p</w:t>
      </w:r>
      <w:r>
        <w:t>opulation adulte non scolarisée;</w:t>
      </w:r>
    </w:p>
    <w:p w:rsidR="001A4057" w:rsidRPr="009B6952" w:rsidRDefault="001A4057" w:rsidP="001A4057">
      <w:pPr>
        <w:pStyle w:val="Bullet2G"/>
      </w:pPr>
      <w:r>
        <w:t>L</w:t>
      </w:r>
      <w:r w:rsidRPr="009B6952">
        <w:t>a formation continue: elle vise à doter les diverses catégories de travailleurs de</w:t>
      </w:r>
      <w:r>
        <w:t>s</w:t>
      </w:r>
      <w:r w:rsidRPr="009B6952">
        <w:t xml:space="preserve"> capacités et </w:t>
      </w:r>
      <w:r>
        <w:t xml:space="preserve">des </w:t>
      </w:r>
      <w:r w:rsidRPr="009B6952">
        <w:t xml:space="preserve">connaissances </w:t>
      </w:r>
      <w:r>
        <w:t>leur permettant de</w:t>
      </w:r>
      <w:r w:rsidRPr="009B6952">
        <w:t xml:space="preserve"> s</w:t>
      </w:r>
      <w:r>
        <w:t>’</w:t>
      </w:r>
      <w:r w:rsidRPr="009B6952">
        <w:t>acquitter de leurs fonctions.</w:t>
      </w:r>
    </w:p>
    <w:p w:rsidR="001A4057" w:rsidRPr="009B6952" w:rsidRDefault="001A4057" w:rsidP="001A4057">
      <w:pPr>
        <w:pStyle w:val="SingleTxtG"/>
        <w:ind w:firstLine="567"/>
      </w:pPr>
      <w:r>
        <w:t xml:space="preserve">d) </w:t>
      </w:r>
      <w:r>
        <w:tab/>
      </w:r>
      <w:r w:rsidRPr="009B6952">
        <w:t xml:space="preserve">Il y a diverses écoles selon le mode de gestion: </w:t>
      </w:r>
    </w:p>
    <w:p w:rsidR="001A4057" w:rsidRPr="009B6952" w:rsidRDefault="001A4057" w:rsidP="001A4057">
      <w:pPr>
        <w:pStyle w:val="Bullet2G"/>
      </w:pPr>
      <w:r>
        <w:t>L</w:t>
      </w:r>
      <w:r w:rsidRPr="009B6952">
        <w:t>es é</w:t>
      </w:r>
      <w:r>
        <w:t>coles publiques: créées ou/</w:t>
      </w:r>
      <w:r w:rsidRPr="009B6952">
        <w:t>et subventionnées à même les fonds de l</w:t>
      </w:r>
      <w:r>
        <w:t>’</w:t>
      </w:r>
      <w:r w:rsidRPr="009B6952">
        <w:t xml:space="preserve">État; </w:t>
      </w:r>
    </w:p>
    <w:p w:rsidR="001A4057" w:rsidRPr="009B6952" w:rsidRDefault="001A4057" w:rsidP="001A4057">
      <w:pPr>
        <w:pStyle w:val="Bullet2G"/>
      </w:pPr>
      <w:r>
        <w:t>L</w:t>
      </w:r>
      <w:r w:rsidRPr="009B6952">
        <w:t>es écoles conventionnées: sont celles construites par l</w:t>
      </w:r>
      <w:r>
        <w:t>’</w:t>
      </w:r>
      <w:r w:rsidRPr="009B6952">
        <w:t xml:space="preserve">État sur un terrain cédé légalement à une personne physique ou morale; </w:t>
      </w:r>
    </w:p>
    <w:p w:rsidR="001A4057" w:rsidRPr="009B6952" w:rsidRDefault="001A4057" w:rsidP="001A4057">
      <w:pPr>
        <w:pStyle w:val="Bullet2G"/>
      </w:pPr>
      <w:r>
        <w:t>L</w:t>
      </w:r>
      <w:r w:rsidRPr="009B6952">
        <w:t xml:space="preserve">es écoles privées: sont celles construites par des personnes physiques ou morales. </w:t>
      </w:r>
    </w:p>
    <w:p w:rsidR="001A4057" w:rsidRPr="009B6952" w:rsidRDefault="001A4057" w:rsidP="001A4057">
      <w:pPr>
        <w:pStyle w:val="H4G"/>
      </w:pPr>
      <w:r>
        <w:tab/>
      </w:r>
      <w:r>
        <w:tab/>
      </w:r>
      <w:r w:rsidRPr="009B6952">
        <w:t>Le calendrier scolaire</w:t>
      </w:r>
    </w:p>
    <w:p w:rsidR="001A4057" w:rsidRPr="009B6952" w:rsidRDefault="001A4057" w:rsidP="001A4057">
      <w:pPr>
        <w:pStyle w:val="SingleTxtG"/>
      </w:pPr>
      <w:r>
        <w:t>292</w:t>
      </w:r>
      <w:r w:rsidRPr="009B6952">
        <w:t>.</w:t>
      </w:r>
      <w:r w:rsidRPr="009B6952">
        <w:tab/>
        <w:t>Quant au calendrier scolaire, depuis 2005, l</w:t>
      </w:r>
      <w:r>
        <w:t>’année scolaire/</w:t>
      </w:r>
      <w:r w:rsidRPr="009B6952">
        <w:t>universitaire commence en Janvier et se termine en Octobre.</w:t>
      </w:r>
      <w:r>
        <w:t xml:space="preserve"> </w:t>
      </w:r>
    </w:p>
    <w:p w:rsidR="001A4057" w:rsidRPr="009B6952" w:rsidRDefault="001A4057" w:rsidP="001A4057">
      <w:pPr>
        <w:pStyle w:val="H4G"/>
      </w:pPr>
      <w:r>
        <w:tab/>
      </w:r>
      <w:r>
        <w:tab/>
      </w:r>
      <w:r w:rsidRPr="009B6952">
        <w:t xml:space="preserve">Du travail de construction des écoles </w:t>
      </w:r>
    </w:p>
    <w:p w:rsidR="001A4057" w:rsidRPr="009B6952" w:rsidRDefault="001A4057" w:rsidP="001A4057">
      <w:pPr>
        <w:pStyle w:val="SingleTxtG"/>
      </w:pPr>
      <w:r w:rsidRPr="009B6952">
        <w:t>29</w:t>
      </w:r>
      <w:r>
        <w:t>3</w:t>
      </w:r>
      <w:r w:rsidRPr="009B6952">
        <w:t>.</w:t>
      </w:r>
      <w:r w:rsidRPr="009B6952">
        <w:tab/>
        <w:t>Le travail de construction de nouvelles écoles</w:t>
      </w:r>
      <w:r w:rsidRPr="00B352B3">
        <w:rPr>
          <w:rStyle w:val="FootnoteReference"/>
        </w:rPr>
        <w:footnoteReference w:id="152"/>
      </w:r>
      <w:r w:rsidRPr="009B6952">
        <w:t xml:space="preserve"> se </w:t>
      </w:r>
      <w:r>
        <w:t>poursuit</w:t>
      </w:r>
      <w:r w:rsidRPr="009B6952">
        <w:t>, comme l</w:t>
      </w:r>
      <w:r>
        <w:t>’</w:t>
      </w:r>
      <w:r w:rsidRPr="009B6952">
        <w:t>indique</w:t>
      </w:r>
      <w:r>
        <w:t>nt</w:t>
      </w:r>
      <w:r w:rsidRPr="009B6952">
        <w:t xml:space="preserve"> les tableaux précédents. </w:t>
      </w:r>
      <w:r>
        <w:t>À</w:t>
      </w:r>
      <w:r w:rsidRPr="009B6952">
        <w:t xml:space="preserve"> toutes ces constructions </w:t>
      </w:r>
      <w:r>
        <w:t>s’</w:t>
      </w:r>
      <w:r w:rsidRPr="001E4CAB">
        <w:t xml:space="preserve">ajoutent </w:t>
      </w:r>
      <w:r w:rsidRPr="009B6952">
        <w:t xml:space="preserve"> 39 centres de rattrapage en 2006 et 60 centres en 2007. Ces derniers sont surtout conçus pour les enfants de la rue et autres </w:t>
      </w:r>
      <w:r>
        <w:t xml:space="preserve">enfants </w:t>
      </w:r>
      <w:r w:rsidRPr="009B6952">
        <w:t>n</w:t>
      </w:r>
      <w:r>
        <w:t>’</w:t>
      </w:r>
      <w:r w:rsidRPr="009B6952">
        <w:t>ayant pas poursuivi l</w:t>
      </w:r>
      <w:r>
        <w:t>’</w:t>
      </w:r>
      <w:r w:rsidRPr="009B6952">
        <w:t>école primaire dans son entièreté.</w:t>
      </w:r>
      <w:r>
        <w:t xml:space="preserve"> </w:t>
      </w:r>
    </w:p>
    <w:p w:rsidR="001A4057" w:rsidRPr="009B6952" w:rsidRDefault="001A4057" w:rsidP="001A4057">
      <w:pPr>
        <w:pStyle w:val="H23G"/>
      </w:pPr>
      <w:r>
        <w:tab/>
      </w:r>
      <w:r>
        <w:tab/>
      </w:r>
      <w:r w:rsidRPr="009B6952">
        <w:t>Mesures pour garantir l</w:t>
      </w:r>
      <w:r>
        <w:t>’</w:t>
      </w:r>
      <w:r w:rsidRPr="009B6952">
        <w:t>accès à l</w:t>
      </w:r>
      <w:r>
        <w:t>’</w:t>
      </w:r>
      <w:r w:rsidRPr="009B6952">
        <w:t>éducation et avantages financiers offerts</w:t>
      </w:r>
    </w:p>
    <w:p w:rsidR="001A4057" w:rsidRPr="009B6952" w:rsidRDefault="001A4057" w:rsidP="001A4057">
      <w:pPr>
        <w:pStyle w:val="H4G"/>
      </w:pPr>
      <w:r>
        <w:tab/>
      </w:r>
      <w:r>
        <w:tab/>
      </w:r>
      <w:r w:rsidRPr="009B6952">
        <w:t>Mesures pour garantir l</w:t>
      </w:r>
      <w:r>
        <w:t>’</w:t>
      </w:r>
      <w:r w:rsidRPr="009B6952">
        <w:t>accès à l</w:t>
      </w:r>
      <w:r>
        <w:t>’</w:t>
      </w:r>
      <w:r w:rsidRPr="009B6952">
        <w:t xml:space="preserve">éducation </w:t>
      </w:r>
    </w:p>
    <w:p w:rsidR="001A4057" w:rsidRPr="009B6952" w:rsidRDefault="001A4057" w:rsidP="001A4057">
      <w:pPr>
        <w:pStyle w:val="SingleTxtG"/>
      </w:pPr>
      <w:r>
        <w:t>294.</w:t>
      </w:r>
      <w:r>
        <w:tab/>
      </w:r>
      <w:r w:rsidRPr="009B6952">
        <w:t>Pour ce qui est des mesures:</w:t>
      </w:r>
    </w:p>
    <w:p w:rsidR="001A4057" w:rsidRPr="009B6952" w:rsidRDefault="001A4057" w:rsidP="001A4057">
      <w:pPr>
        <w:pStyle w:val="SingleTxtG"/>
        <w:ind w:firstLine="567"/>
      </w:pPr>
      <w:r>
        <w:t>a)</w:t>
      </w:r>
      <w:r>
        <w:tab/>
      </w:r>
      <w:r w:rsidRPr="009B6952">
        <w:t xml:space="preserve">Les enfants </w:t>
      </w:r>
      <w:r>
        <w:t xml:space="preserve">issus </w:t>
      </w:r>
      <w:r w:rsidRPr="009B6952">
        <w:t xml:space="preserve">de familles à faible revenu, les enfants handicapés, </w:t>
      </w:r>
      <w:r>
        <w:t xml:space="preserve">les </w:t>
      </w:r>
      <w:r w:rsidRPr="009B6952">
        <w:t>enfants immigrants ou autres catégories d</w:t>
      </w:r>
      <w:r>
        <w:t>’</w:t>
      </w:r>
      <w:r w:rsidRPr="009B6952">
        <w:t>indigents bénéficient de l</w:t>
      </w:r>
      <w:r>
        <w:t>’</w:t>
      </w:r>
      <w:r w:rsidRPr="009B6952">
        <w:t>aide de l</w:t>
      </w:r>
      <w:r>
        <w:t>’</w:t>
      </w:r>
      <w:r w:rsidRPr="009B6952">
        <w:t>État, comme le prévoit la loi</w:t>
      </w:r>
      <w:r w:rsidRPr="00B352B3">
        <w:rPr>
          <w:rStyle w:val="FootnoteReference"/>
        </w:rPr>
        <w:footnoteReference w:id="153"/>
      </w:r>
      <w:r>
        <w:t>;</w:t>
      </w:r>
    </w:p>
    <w:p w:rsidR="001A4057" w:rsidRPr="009B6952" w:rsidRDefault="001A4057" w:rsidP="001A4057">
      <w:pPr>
        <w:pStyle w:val="SingleTxtG"/>
        <w:ind w:firstLine="567"/>
      </w:pPr>
      <w:r>
        <w:t>b)</w:t>
      </w:r>
      <w:r>
        <w:tab/>
      </w:r>
      <w:r w:rsidRPr="009B6952">
        <w:t>La suppression des frais de scolarité permet aussi à ces enfants d</w:t>
      </w:r>
      <w:r>
        <w:t>’</w:t>
      </w:r>
      <w:r w:rsidRPr="009B6952">
        <w:t>étudier gratuitement</w:t>
      </w:r>
      <w:r>
        <w:t>;</w:t>
      </w:r>
      <w:r w:rsidRPr="009B6952">
        <w:t xml:space="preserve"> </w:t>
      </w:r>
    </w:p>
    <w:p w:rsidR="001A4057" w:rsidRPr="009B6952" w:rsidRDefault="001A4057" w:rsidP="001A4057">
      <w:pPr>
        <w:pStyle w:val="SingleTxtG"/>
        <w:ind w:firstLine="567"/>
      </w:pPr>
      <w:r>
        <w:t>c)</w:t>
      </w:r>
      <w:r>
        <w:tab/>
      </w:r>
      <w:r w:rsidRPr="009B6952">
        <w:t>Quelques exemples sont à noter:</w:t>
      </w:r>
    </w:p>
    <w:p w:rsidR="001A4057" w:rsidRPr="009B6952" w:rsidRDefault="001A4057" w:rsidP="001A4057">
      <w:pPr>
        <w:pStyle w:val="Bullet2G"/>
      </w:pPr>
      <w:r>
        <w:t>L</w:t>
      </w:r>
      <w:r w:rsidRPr="009B6952">
        <w:t>e cas des réfugiés, principalement en provenance du Burundi et de la République Démocratique du Congo. Jusqu</w:t>
      </w:r>
      <w:r>
        <w:t>’</w:t>
      </w:r>
      <w:r w:rsidRPr="009B6952">
        <w:t>à la fin</w:t>
      </w:r>
      <w:r>
        <w:t xml:space="preserve"> de l’année</w:t>
      </w:r>
      <w:r w:rsidRPr="009B6952">
        <w:t xml:space="preserve"> 2006</w:t>
      </w:r>
      <w:r w:rsidRPr="00B352B3">
        <w:rPr>
          <w:rStyle w:val="FootnoteReference"/>
        </w:rPr>
        <w:footnoteReference w:id="154"/>
      </w:r>
      <w:r w:rsidRPr="009B6952">
        <w:t xml:space="preserve">, les frais de scolarité </w:t>
      </w:r>
      <w:r>
        <w:t>d</w:t>
      </w:r>
      <w:r w:rsidRPr="009B6952">
        <w:t xml:space="preserve">es enfants </w:t>
      </w:r>
      <w:r>
        <w:t>étaient</w:t>
      </w:r>
      <w:r w:rsidRPr="009B6952">
        <w:t xml:space="preserve"> payés de la maternelle au secondaire et 14</w:t>
      </w:r>
      <w:r>
        <w:t xml:space="preserve"> </w:t>
      </w:r>
      <w:r w:rsidRPr="009B6952">
        <w:t xml:space="preserve">872 enfants ont bénéficié du paiement de leurs études universitaires, de </w:t>
      </w:r>
      <w:r>
        <w:t>la prise en charge des frais d’</w:t>
      </w:r>
      <w:r w:rsidRPr="009B6952">
        <w:t xml:space="preserve">apprentissage </w:t>
      </w:r>
      <w:r>
        <w:t xml:space="preserve">d’un </w:t>
      </w:r>
      <w:r w:rsidRPr="009B6952">
        <w:t>métier, de lecture et d</w:t>
      </w:r>
      <w:r>
        <w:t>’</w:t>
      </w:r>
      <w:r w:rsidRPr="009B6952">
        <w:t>écrit</w:t>
      </w:r>
      <w:r>
        <w:t>ure;</w:t>
      </w:r>
    </w:p>
    <w:p w:rsidR="001A4057" w:rsidRPr="009B6952" w:rsidRDefault="001A4057" w:rsidP="001A4057">
      <w:pPr>
        <w:pStyle w:val="Bullet2G"/>
      </w:pPr>
      <w:r>
        <w:t>L</w:t>
      </w:r>
      <w:r w:rsidRPr="009B6952">
        <w:t xml:space="preserve">e </w:t>
      </w:r>
      <w:r w:rsidRPr="00834555">
        <w:t>FARG</w:t>
      </w:r>
      <w:r w:rsidRPr="009B6952">
        <w:t xml:space="preserve"> prend aussi en charge les frais de scolarité des enfants rescapés du génocide jusqu</w:t>
      </w:r>
      <w:r>
        <w:t>’</w:t>
      </w:r>
      <w:r w:rsidRPr="009B6952">
        <w:t xml:space="preserve">au niveau supérieur. </w:t>
      </w:r>
      <w:r>
        <w:t>Entre</w:t>
      </w:r>
      <w:r w:rsidRPr="009B6952">
        <w:t xml:space="preserve"> 1998 </w:t>
      </w:r>
      <w:r>
        <w:t>et</w:t>
      </w:r>
      <w:r w:rsidRPr="009B6952">
        <w:t xml:space="preserve"> 2007</w:t>
      </w:r>
      <w:r w:rsidRPr="00B352B3">
        <w:rPr>
          <w:rStyle w:val="FootnoteReference"/>
        </w:rPr>
        <w:footnoteReference w:id="155"/>
      </w:r>
      <w:r w:rsidRPr="009B6952">
        <w:t>, au moins 3</w:t>
      </w:r>
      <w:r>
        <w:t xml:space="preserve"> </w:t>
      </w:r>
      <w:r w:rsidRPr="009B6952">
        <w:t xml:space="preserve">006 étudiants </w:t>
      </w:r>
      <w:r>
        <w:t>ont</w:t>
      </w:r>
      <w:r w:rsidRPr="009B6952">
        <w:t xml:space="preserve"> terminé le niveau secondaire</w:t>
      </w:r>
      <w:r>
        <w:t xml:space="preserve"> et</w:t>
      </w:r>
      <w:r w:rsidRPr="009B6952">
        <w:t xml:space="preserve"> 1</w:t>
      </w:r>
      <w:r>
        <w:t xml:space="preserve"> </w:t>
      </w:r>
      <w:r w:rsidRPr="009B6952">
        <w:t>500 le supérieur.</w:t>
      </w:r>
      <w:r>
        <w:t xml:space="preserve"> </w:t>
      </w:r>
    </w:p>
    <w:p w:rsidR="001A4057" w:rsidRPr="009B6952" w:rsidRDefault="001A4057" w:rsidP="001A4057">
      <w:pPr>
        <w:pStyle w:val="H4G"/>
      </w:pPr>
      <w:r>
        <w:tab/>
      </w:r>
      <w:r>
        <w:tab/>
      </w:r>
      <w:r w:rsidRPr="009B6952">
        <w:t>Des avantages financiers</w:t>
      </w:r>
    </w:p>
    <w:p w:rsidR="001A4057" w:rsidRPr="009B6952" w:rsidRDefault="001A4057" w:rsidP="001A4057">
      <w:pPr>
        <w:pStyle w:val="SingleTxtG"/>
      </w:pPr>
      <w:r>
        <w:t>295</w:t>
      </w:r>
      <w:r w:rsidRPr="009B6952">
        <w:t>.</w:t>
      </w:r>
      <w:r w:rsidRPr="009B6952">
        <w:tab/>
        <w:t xml:space="preserve">Pour ce qui est des avantages financiers, </w:t>
      </w:r>
      <w:r>
        <w:t xml:space="preserve">il convient de </w:t>
      </w:r>
      <w:r w:rsidRPr="009B6952">
        <w:t>not</w:t>
      </w:r>
      <w:r>
        <w:t>er:</w:t>
      </w:r>
      <w:r w:rsidRPr="009B6952">
        <w:t xml:space="preserve"> </w:t>
      </w:r>
    </w:p>
    <w:p w:rsidR="001A4057" w:rsidRPr="009B6952" w:rsidRDefault="001A4057" w:rsidP="001A4057">
      <w:pPr>
        <w:pStyle w:val="SingleTxtG"/>
        <w:ind w:firstLine="567"/>
      </w:pPr>
      <w:r>
        <w:t>a)</w:t>
      </w:r>
      <w:r>
        <w:tab/>
        <w:t>L</w:t>
      </w:r>
      <w:r w:rsidRPr="009B6952">
        <w:t xml:space="preserve">es bourses octroyées, aussi bien par le </w:t>
      </w:r>
      <w:r>
        <w:t>Gouvernement</w:t>
      </w:r>
      <w:r w:rsidRPr="009B6952">
        <w:t xml:space="preserve"> que par d</w:t>
      </w:r>
      <w:r>
        <w:t>’</w:t>
      </w:r>
      <w:r w:rsidRPr="009B6952">
        <w:t xml:space="preserve">autres partenaires, comme </w:t>
      </w:r>
      <w:r>
        <w:t xml:space="preserve">le </w:t>
      </w:r>
      <w:r w:rsidRPr="009B6952">
        <w:t xml:space="preserve">FARG, </w:t>
      </w:r>
      <w:r>
        <w:t xml:space="preserve">la </w:t>
      </w:r>
      <w:r w:rsidRPr="009B6952">
        <w:t xml:space="preserve">SFAR, </w:t>
      </w:r>
      <w:r>
        <w:t xml:space="preserve">le </w:t>
      </w:r>
      <w:r w:rsidRPr="009B6952">
        <w:t>FAWE</w:t>
      </w:r>
      <w:r>
        <w:t xml:space="preserve"> et</w:t>
      </w:r>
      <w:r w:rsidRPr="009B6952">
        <w:t xml:space="preserve"> </w:t>
      </w:r>
      <w:r w:rsidRPr="009B6952">
        <w:rPr>
          <w:i/>
        </w:rPr>
        <w:t>Imbuto</w:t>
      </w:r>
      <w:r>
        <w:t xml:space="preserve"> Foundation;</w:t>
      </w:r>
      <w:r w:rsidRPr="009B6952">
        <w:t xml:space="preserve"> </w:t>
      </w:r>
    </w:p>
    <w:p w:rsidR="001A4057" w:rsidRPr="009B6952" w:rsidRDefault="001A4057" w:rsidP="001A4057">
      <w:pPr>
        <w:pStyle w:val="SingleTxtG"/>
        <w:ind w:firstLine="567"/>
      </w:pPr>
      <w:r>
        <w:t>b)</w:t>
      </w:r>
      <w:r>
        <w:tab/>
        <w:t>L</w:t>
      </w:r>
      <w:r w:rsidRPr="009B6952">
        <w:t>es bourses d</w:t>
      </w:r>
      <w:r>
        <w:t>’</w:t>
      </w:r>
      <w:r w:rsidRPr="009B6952">
        <w:t xml:space="preserve">excellence offertes par le </w:t>
      </w:r>
      <w:r>
        <w:t>Gouvernement</w:t>
      </w:r>
      <w:r w:rsidRPr="009B6952">
        <w:t xml:space="preserve"> aux élèves/étudiants les plus méritants</w:t>
      </w:r>
      <w:r>
        <w:t>,</w:t>
      </w:r>
      <w:r w:rsidRPr="009B6952">
        <w:t xml:space="preserve"> comme </w:t>
      </w:r>
      <w:r>
        <w:t>le prévoit</w:t>
      </w:r>
      <w:r w:rsidRPr="009B6952">
        <w:t xml:space="preserve"> l</w:t>
      </w:r>
      <w:r>
        <w:t>’</w:t>
      </w:r>
      <w:r w:rsidRPr="009B6952">
        <w:t>Arrêté Présidentiel portant création du prix d</w:t>
      </w:r>
      <w:r>
        <w:t>’</w:t>
      </w:r>
      <w:r w:rsidRPr="009B6952">
        <w:t>excellence aux élèves, étudiants ayant obtenu les meilleurs résultats;</w:t>
      </w:r>
      <w:r>
        <w:t xml:space="preserve"> </w:t>
      </w:r>
    </w:p>
    <w:p w:rsidR="001A4057" w:rsidRPr="009B6952" w:rsidRDefault="001A4057" w:rsidP="001A4057">
      <w:pPr>
        <w:pStyle w:val="SingleTxtG"/>
        <w:ind w:firstLine="567"/>
      </w:pPr>
      <w:r>
        <w:t>c)</w:t>
      </w:r>
      <w:r>
        <w:tab/>
        <w:t>L</w:t>
      </w:r>
      <w:r w:rsidRPr="009B6952">
        <w:t>es fonds de district exist</w:t>
      </w:r>
      <w:r>
        <w:t>a</w:t>
      </w:r>
      <w:r w:rsidRPr="009B6952">
        <w:t>nt en matière d</w:t>
      </w:r>
      <w:r>
        <w:t>’</w:t>
      </w:r>
      <w:r w:rsidRPr="009B6952">
        <w:t>éducation afin de subvenir aux frais d</w:t>
      </w:r>
      <w:r>
        <w:t>’</w:t>
      </w:r>
      <w:r w:rsidRPr="009B6952">
        <w:t>études des plus désavantagés;</w:t>
      </w:r>
      <w:r>
        <w:t xml:space="preserve"> </w:t>
      </w:r>
    </w:p>
    <w:p w:rsidR="001A4057" w:rsidRPr="009B6952" w:rsidRDefault="001A4057" w:rsidP="001A4057">
      <w:pPr>
        <w:pStyle w:val="SingleTxtG"/>
        <w:ind w:firstLine="567"/>
      </w:pPr>
      <w:r>
        <w:t>d)</w:t>
      </w:r>
      <w:r>
        <w:tab/>
      </w:r>
      <w:r w:rsidRPr="009B6952">
        <w:t>Les primes incitatives offertes aux enseignants des centres d</w:t>
      </w:r>
      <w:r>
        <w:t>’</w:t>
      </w:r>
      <w:r w:rsidRPr="009B6952">
        <w:t>alphabétisation;</w:t>
      </w:r>
    </w:p>
    <w:p w:rsidR="001A4057" w:rsidRPr="005F70B8" w:rsidRDefault="001A4057" w:rsidP="001A4057">
      <w:pPr>
        <w:pStyle w:val="SingleTxtG"/>
        <w:ind w:firstLine="567"/>
      </w:pPr>
      <w:r>
        <w:t>e)</w:t>
      </w:r>
      <w:r>
        <w:tab/>
      </w:r>
      <w:r w:rsidRPr="009B6952">
        <w:t>Le soutien aux écoles privées.</w:t>
      </w:r>
    </w:p>
    <w:p w:rsidR="001A4057" w:rsidRPr="009B6952" w:rsidRDefault="001A4057" w:rsidP="001A4057">
      <w:pPr>
        <w:pStyle w:val="H4G"/>
      </w:pPr>
      <w:r>
        <w:tab/>
      </w:r>
      <w:r>
        <w:tab/>
      </w:r>
      <w:r w:rsidRPr="009B6952">
        <w:t>L</w:t>
      </w:r>
      <w:r>
        <w:t>’</w:t>
      </w:r>
      <w:r w:rsidRPr="009B6952">
        <w:t>accès des enfants handicapés à l</w:t>
      </w:r>
      <w:r>
        <w:t>’</w:t>
      </w:r>
      <w:r w:rsidRPr="009B6952">
        <w:t>éducation</w:t>
      </w:r>
    </w:p>
    <w:p w:rsidR="001A4057" w:rsidRPr="009B6952" w:rsidRDefault="001A4057" w:rsidP="001A4057">
      <w:pPr>
        <w:pStyle w:val="SingleTxtG"/>
      </w:pPr>
      <w:r w:rsidRPr="009B6952">
        <w:t>29</w:t>
      </w:r>
      <w:r>
        <w:t>6</w:t>
      </w:r>
      <w:r w:rsidRPr="009B6952">
        <w:t>.</w:t>
      </w:r>
      <w:r w:rsidRPr="009B6952">
        <w:tab/>
        <w:t xml:space="preserve">Des programmes pour enfants handicapés </w:t>
      </w:r>
      <w:r>
        <w:t>ont été mis en place</w:t>
      </w:r>
      <w:r w:rsidRPr="009B6952">
        <w:t>:</w:t>
      </w:r>
    </w:p>
    <w:p w:rsidR="001A4057" w:rsidRPr="009B6952" w:rsidRDefault="001A4057" w:rsidP="001A4057">
      <w:pPr>
        <w:pStyle w:val="SingleTxtG"/>
        <w:ind w:firstLine="567"/>
      </w:pPr>
      <w:r>
        <w:t>a)</w:t>
      </w:r>
      <w:r>
        <w:tab/>
      </w:r>
      <w:r w:rsidRPr="009B6952">
        <w:t xml:space="preserve">Les enfants handicapés </w:t>
      </w:r>
      <w:r>
        <w:t xml:space="preserve">bénéficient </w:t>
      </w:r>
      <w:r w:rsidRPr="009B6952">
        <w:t xml:space="preserve">de programmes spéciaux: </w:t>
      </w:r>
      <w:r>
        <w:t xml:space="preserve">il existe </w:t>
      </w:r>
      <w:r w:rsidRPr="009B6952">
        <w:t xml:space="preserve">des écoles spécialisées pour personnes handicapées, gérées par des </w:t>
      </w:r>
      <w:r>
        <w:t xml:space="preserve">organisations de </w:t>
      </w:r>
      <w:r w:rsidRPr="009B6952">
        <w:t>confession religieuse ou des ONG</w:t>
      </w:r>
      <w:r>
        <w:t xml:space="preserve">. Cependant, ces écoles </w:t>
      </w:r>
      <w:r w:rsidRPr="009B6952">
        <w:t>sont encore en petit nombre</w:t>
      </w:r>
      <w:r>
        <w:t>;</w:t>
      </w:r>
      <w:r w:rsidRPr="009B6952">
        <w:t xml:space="preserve"> </w:t>
      </w:r>
    </w:p>
    <w:p w:rsidR="001A4057" w:rsidRPr="009B6952" w:rsidRDefault="001A4057" w:rsidP="001A4057">
      <w:pPr>
        <w:pStyle w:val="SingleTxtG"/>
        <w:ind w:firstLine="567"/>
      </w:pPr>
      <w:r>
        <w:t>b)</w:t>
      </w:r>
      <w:r>
        <w:tab/>
      </w:r>
      <w:r w:rsidRPr="009B6952">
        <w:t xml:space="preserve">Quatre (4) écoles spéciales appuyées par le </w:t>
      </w:r>
      <w:r>
        <w:t>Gouvernement</w:t>
      </w:r>
      <w:r w:rsidRPr="009B6952">
        <w:t xml:space="preserve"> sont opérationnelles (</w:t>
      </w:r>
      <w:r>
        <w:t>pour</w:t>
      </w:r>
      <w:r w:rsidRPr="009B6952">
        <w:t xml:space="preserve"> </w:t>
      </w:r>
      <w:r>
        <w:t xml:space="preserve">les </w:t>
      </w:r>
      <w:r w:rsidRPr="009B6952">
        <w:t xml:space="preserve">sourds, </w:t>
      </w:r>
      <w:r>
        <w:t>pour</w:t>
      </w:r>
      <w:r w:rsidRPr="009B6952">
        <w:t xml:space="preserve"> </w:t>
      </w:r>
      <w:r>
        <w:t xml:space="preserve">les </w:t>
      </w:r>
      <w:r w:rsidRPr="009B6952">
        <w:t xml:space="preserve">aveugles, </w:t>
      </w:r>
      <w:r>
        <w:t>pour</w:t>
      </w:r>
      <w:r w:rsidRPr="009B6952">
        <w:t xml:space="preserve"> </w:t>
      </w:r>
      <w:r>
        <w:t xml:space="preserve">les </w:t>
      </w:r>
      <w:r w:rsidRPr="009B6952">
        <w:t xml:space="preserve">handicapés physiques, et </w:t>
      </w:r>
      <w:r>
        <w:t xml:space="preserve">une école </w:t>
      </w:r>
      <w:r w:rsidRPr="009B6952">
        <w:t xml:space="preserve">seulement </w:t>
      </w:r>
      <w:r>
        <w:t>de niveau secondaire);</w:t>
      </w:r>
    </w:p>
    <w:p w:rsidR="001A4057" w:rsidRPr="009B6952" w:rsidRDefault="001A4057" w:rsidP="001A4057">
      <w:pPr>
        <w:pStyle w:val="SingleTxtG"/>
        <w:ind w:firstLine="567"/>
      </w:pPr>
      <w:r>
        <w:t>c)</w:t>
      </w:r>
      <w:r>
        <w:tab/>
        <w:t>A</w:t>
      </w:r>
      <w:r w:rsidRPr="009B6952">
        <w:t>u dernier recensement</w:t>
      </w:r>
      <w:r w:rsidRPr="00B352B3">
        <w:rPr>
          <w:rStyle w:val="FootnoteReference"/>
        </w:rPr>
        <w:footnoteReference w:id="156"/>
      </w:r>
      <w:r>
        <w:t>, on dénombrait</w:t>
      </w:r>
      <w:r w:rsidRPr="009B6952">
        <w:t xml:space="preserve"> 93</w:t>
      </w:r>
      <w:r>
        <w:t> </w:t>
      </w:r>
      <w:r w:rsidRPr="009B6952">
        <w:t>299</w:t>
      </w:r>
      <w:r>
        <w:t xml:space="preserve"> </w:t>
      </w:r>
      <w:r w:rsidRPr="009B6952">
        <w:t xml:space="preserve">enfants handicapés. </w:t>
      </w:r>
      <w:r>
        <w:t>À l’exception d</w:t>
      </w:r>
      <w:r w:rsidRPr="009B6952">
        <w:t>es types de handicap non déterminés (43,5</w:t>
      </w:r>
      <w:r>
        <w:t xml:space="preserve"> %</w:t>
      </w:r>
      <w:r w:rsidRPr="009B6952">
        <w:t>) et autres (15,4</w:t>
      </w:r>
      <w:r>
        <w:t xml:space="preserve"> %</w:t>
      </w:r>
      <w:r w:rsidRPr="009B6952">
        <w:t>), les handicaps identifiés sont: infirmes des membres inférieurs (14,7</w:t>
      </w:r>
      <w:r>
        <w:t xml:space="preserve"> %</w:t>
      </w:r>
      <w:r w:rsidRPr="009B6952">
        <w:t>), infirmes des membres supérieurs (11,6</w:t>
      </w:r>
      <w:r>
        <w:t xml:space="preserve"> %</w:t>
      </w:r>
      <w:r w:rsidRPr="009B6952">
        <w:t>), sourds/muets (8,0</w:t>
      </w:r>
      <w:r>
        <w:t xml:space="preserve"> %</w:t>
      </w:r>
      <w:r w:rsidRPr="009B6952">
        <w:t>), aveugles (3,6</w:t>
      </w:r>
      <w:r>
        <w:t xml:space="preserve"> %</w:t>
      </w:r>
      <w:r w:rsidRPr="009B6952">
        <w:t xml:space="preserve">), </w:t>
      </w:r>
      <w:r>
        <w:t xml:space="preserve">atteints de </w:t>
      </w:r>
      <w:r w:rsidRPr="009B6952">
        <w:t>déficience mentale (2,4</w:t>
      </w:r>
      <w:r>
        <w:t xml:space="preserve"> %</w:t>
      </w:r>
      <w:r w:rsidRPr="009B6952">
        <w:t xml:space="preserve">) et </w:t>
      </w:r>
      <w:r>
        <w:t xml:space="preserve">souffrants de </w:t>
      </w:r>
      <w:r w:rsidRPr="009B6952">
        <w:t>traumatisme (1,0</w:t>
      </w:r>
      <w:r>
        <w:t xml:space="preserve"> %</w:t>
      </w:r>
      <w:r w:rsidRPr="009B6952">
        <w:t>).</w:t>
      </w:r>
    </w:p>
    <w:p w:rsidR="001A4057" w:rsidRPr="009B6952" w:rsidRDefault="001A4057" w:rsidP="001A4057">
      <w:pPr>
        <w:pStyle w:val="H4G"/>
      </w:pPr>
      <w:r>
        <w:tab/>
      </w:r>
      <w:r>
        <w:tab/>
      </w:r>
      <w:r w:rsidRPr="009B6952">
        <w:t>De la protection des enfants handicapés</w:t>
      </w:r>
    </w:p>
    <w:p w:rsidR="001A4057" w:rsidRPr="009B6952" w:rsidRDefault="001A4057" w:rsidP="001A4057">
      <w:pPr>
        <w:pStyle w:val="SingleTxtG"/>
      </w:pPr>
      <w:r>
        <w:t>297</w:t>
      </w:r>
      <w:r w:rsidRPr="009B6952">
        <w:t>.</w:t>
      </w:r>
      <w:r w:rsidRPr="009B6952">
        <w:tab/>
        <w:t>Les mesures législatives sont</w:t>
      </w:r>
      <w:r>
        <w:t xml:space="preserve"> les suivantes</w:t>
      </w:r>
      <w:r w:rsidRPr="009B6952">
        <w:t>:</w:t>
      </w:r>
    </w:p>
    <w:p w:rsidR="001A4057" w:rsidRPr="009B6952" w:rsidRDefault="001A4057" w:rsidP="001A4057">
      <w:pPr>
        <w:pStyle w:val="SingleTxtG"/>
        <w:ind w:firstLine="567"/>
      </w:pPr>
      <w:r>
        <w:t>a)</w:t>
      </w:r>
      <w:r>
        <w:tab/>
      </w:r>
      <w:r w:rsidRPr="009B6952">
        <w:t>La Constitution prohibe toute forme de discrimination basée sur des motifs variés (comme la religion, le sexe, l</w:t>
      </w:r>
      <w:r>
        <w:t>’</w:t>
      </w:r>
      <w:r w:rsidRPr="009B6952">
        <w:t>origine, la langue, la condition sociale, la déficience sociale</w:t>
      </w:r>
      <w:r>
        <w:t xml:space="preserve">, et </w:t>
      </w:r>
      <w:r w:rsidRPr="005D7C73">
        <w:t>autres</w:t>
      </w:r>
      <w:r>
        <w:t>);</w:t>
      </w:r>
    </w:p>
    <w:p w:rsidR="001A4057" w:rsidRPr="009B6952" w:rsidRDefault="001A4057" w:rsidP="001A4057">
      <w:pPr>
        <w:pStyle w:val="SingleTxtG"/>
        <w:ind w:firstLine="567"/>
      </w:pPr>
      <w:r>
        <w:t>b)</w:t>
      </w:r>
      <w:r>
        <w:tab/>
      </w:r>
      <w:r w:rsidRPr="009B6952">
        <w:t xml:space="preserve">La loi portant protection des personnes handicapées en général dispose que les enfants handicapés ont droit à un enseignement spécialisé, </w:t>
      </w:r>
      <w:r>
        <w:t>en rapport</w:t>
      </w:r>
      <w:r w:rsidRPr="009B6952">
        <w:t xml:space="preserve"> à l</w:t>
      </w:r>
      <w:r>
        <w:t>’</w:t>
      </w:r>
      <w:r w:rsidRPr="009B6952">
        <w:t>état de leur handicap.</w:t>
      </w:r>
    </w:p>
    <w:p w:rsidR="001A4057" w:rsidRPr="009B6952" w:rsidRDefault="001A4057" w:rsidP="001A4057">
      <w:pPr>
        <w:pStyle w:val="SingleTxtG"/>
      </w:pPr>
      <w:r>
        <w:t>298</w:t>
      </w:r>
      <w:r w:rsidRPr="009B6952">
        <w:t>.</w:t>
      </w:r>
      <w:r w:rsidRPr="009B6952">
        <w:tab/>
        <w:t>Quant aux autres mesures sociales, notons que les enfants handicapés peuvent rentrer dans la catégorie des enfants vulnérables et bénéficie</w:t>
      </w:r>
      <w:r>
        <w:t xml:space="preserve">r </w:t>
      </w:r>
      <w:r w:rsidRPr="009B6952">
        <w:t>de tous les programmes d</w:t>
      </w:r>
      <w:r>
        <w:t>’</w:t>
      </w:r>
      <w:r w:rsidRPr="009B6952">
        <w:t xml:space="preserve">assistance aux </w:t>
      </w:r>
      <w:r>
        <w:t xml:space="preserve">personnes </w:t>
      </w:r>
      <w:r w:rsidRPr="009B6952">
        <w:t>vulnérables ci-haut mentionnés.</w:t>
      </w:r>
      <w:r>
        <w:t xml:space="preserve"> </w:t>
      </w:r>
    </w:p>
    <w:p w:rsidR="001A4057" w:rsidRPr="009B6952" w:rsidRDefault="001A4057" w:rsidP="001A4057">
      <w:pPr>
        <w:pStyle w:val="H4G"/>
      </w:pPr>
      <w:r>
        <w:tab/>
      </w:r>
      <w:r>
        <w:tab/>
      </w:r>
      <w:r w:rsidRPr="009B6952">
        <w:t>Enseignement dans la langue maternelle</w:t>
      </w:r>
    </w:p>
    <w:p w:rsidR="001A4057" w:rsidRPr="009B6952" w:rsidRDefault="001A4057" w:rsidP="001A4057">
      <w:pPr>
        <w:pStyle w:val="SingleTxtG"/>
      </w:pPr>
      <w:r>
        <w:t>299</w:t>
      </w:r>
      <w:r w:rsidRPr="009B6952">
        <w:t>.</w:t>
      </w:r>
      <w:r w:rsidRPr="009B6952">
        <w:tab/>
        <w:t>La loi</w:t>
      </w:r>
      <w:r w:rsidRPr="00B352B3">
        <w:rPr>
          <w:rStyle w:val="FootnoteReference"/>
        </w:rPr>
        <w:footnoteReference w:id="157"/>
      </w:r>
      <w:r w:rsidRPr="009B6952">
        <w:t xml:space="preserve"> prévoit que </w:t>
      </w:r>
      <w:r>
        <w:t>«</w:t>
      </w:r>
      <w:r w:rsidRPr="009B6952">
        <w:t>la langue d</w:t>
      </w:r>
      <w:r>
        <w:t>’</w:t>
      </w:r>
      <w:r w:rsidRPr="009B6952">
        <w:t>enseignement au 1</w:t>
      </w:r>
      <w:r w:rsidRPr="009B6952">
        <w:rPr>
          <w:vertAlign w:val="superscript"/>
        </w:rPr>
        <w:t>er</w:t>
      </w:r>
      <w:r w:rsidRPr="009B6952">
        <w:t xml:space="preserve"> cycle est le kinyarwanda […]</w:t>
      </w:r>
      <w:r>
        <w:t>»</w:t>
      </w:r>
      <w:r w:rsidRPr="009B6952">
        <w:t>; le 2</w:t>
      </w:r>
      <w:r w:rsidRPr="009B6952">
        <w:rPr>
          <w:vertAlign w:val="superscript"/>
        </w:rPr>
        <w:t>ème</w:t>
      </w:r>
      <w:r w:rsidRPr="009B6952">
        <w:t xml:space="preserve"> cycle du niveau primaire se déroulant en anglais et le kinyarwanda étant enseigné comme </w:t>
      </w:r>
      <w:r>
        <w:t>discipline</w:t>
      </w:r>
      <w:r w:rsidRPr="009B6952">
        <w:t>.</w:t>
      </w:r>
      <w:r>
        <w:t xml:space="preserve"> </w:t>
      </w:r>
      <w:r w:rsidRPr="009B6952">
        <w:t>Il y a aussi la promotion de l</w:t>
      </w:r>
      <w:r>
        <w:t>’</w:t>
      </w:r>
      <w:r w:rsidRPr="009B6952">
        <w:t>anglais comme langue d</w:t>
      </w:r>
      <w:r>
        <w:t>’</w:t>
      </w:r>
      <w:r w:rsidRPr="009B6952">
        <w:t>enseignement depuis l</w:t>
      </w:r>
      <w:r>
        <w:t>’</w:t>
      </w:r>
      <w:r w:rsidRPr="009B6952">
        <w:t xml:space="preserve">année scolaire 2009. </w:t>
      </w:r>
    </w:p>
    <w:p w:rsidR="001A4057" w:rsidRPr="009B6952" w:rsidRDefault="001A4057" w:rsidP="001A4057">
      <w:pPr>
        <w:pStyle w:val="H4G"/>
      </w:pPr>
      <w:r>
        <w:tab/>
      </w:r>
      <w:r>
        <w:tab/>
      </w:r>
      <w:r w:rsidRPr="009B6952">
        <w:t>Situation matérielle du personnel enseignant</w:t>
      </w:r>
    </w:p>
    <w:p w:rsidR="001A4057" w:rsidRDefault="001A4057" w:rsidP="001A4057">
      <w:pPr>
        <w:pStyle w:val="SingleTxtG"/>
        <w:keepNext/>
        <w:ind w:firstLine="567"/>
      </w:pPr>
      <w:r w:rsidRPr="009B6952">
        <w:t>Le salaire du personnel enseignant se présente comme suit</w:t>
      </w:r>
      <w:r>
        <w:t>.</w:t>
      </w:r>
    </w:p>
    <w:p w:rsidR="001A4057" w:rsidRDefault="001A4057" w:rsidP="001A4057">
      <w:pPr>
        <w:pStyle w:val="Heading1"/>
        <w:spacing w:after="120"/>
      </w:pPr>
      <w:r w:rsidRPr="009B6952">
        <w:t>Tableau 23</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31"/>
        <w:gridCol w:w="4035"/>
        <w:gridCol w:w="1304"/>
      </w:tblGrid>
      <w:tr w:rsidR="001A4057" w:rsidRPr="00202C97" w:rsidTr="001A4057">
        <w:trPr>
          <w:trHeight w:val="345"/>
          <w:tblHeader/>
        </w:trPr>
        <w:tc>
          <w:tcPr>
            <w:tcW w:w="6066" w:type="dxa"/>
            <w:gridSpan w:val="2"/>
            <w:tcBorders>
              <w:top w:val="single" w:sz="4" w:space="0" w:color="auto"/>
              <w:bottom w:val="single" w:sz="12" w:space="0" w:color="auto"/>
            </w:tcBorders>
            <w:shd w:val="clear" w:color="auto" w:fill="auto"/>
            <w:vAlign w:val="bottom"/>
          </w:tcPr>
          <w:p w:rsidR="001A4057" w:rsidRPr="00202C97" w:rsidRDefault="001A4057" w:rsidP="001A4057">
            <w:pPr>
              <w:keepNext/>
              <w:spacing w:before="80" w:after="80" w:line="200" w:lineRule="exact"/>
              <w:rPr>
                <w:i/>
                <w:sz w:val="16"/>
              </w:rPr>
            </w:pPr>
            <w:r w:rsidRPr="00202C97">
              <w:rPr>
                <w:i/>
                <w:sz w:val="16"/>
              </w:rPr>
              <w:t>Niveau d</w:t>
            </w:r>
            <w:r>
              <w:rPr>
                <w:i/>
                <w:sz w:val="16"/>
              </w:rPr>
              <w:t>’</w:t>
            </w:r>
            <w:r w:rsidRPr="00202C97">
              <w:rPr>
                <w:i/>
                <w:sz w:val="16"/>
              </w:rPr>
              <w:t>enseignement</w:t>
            </w:r>
          </w:p>
        </w:tc>
        <w:tc>
          <w:tcPr>
            <w:tcW w:w="1304" w:type="dxa"/>
            <w:tcBorders>
              <w:top w:val="single" w:sz="4" w:space="0" w:color="auto"/>
              <w:bottom w:val="single" w:sz="12" w:space="0" w:color="auto"/>
            </w:tcBorders>
            <w:shd w:val="clear" w:color="auto" w:fill="auto"/>
            <w:vAlign w:val="bottom"/>
          </w:tcPr>
          <w:p w:rsidR="001A4057" w:rsidRPr="00202C97" w:rsidRDefault="001A4057" w:rsidP="001A4057">
            <w:pPr>
              <w:spacing w:before="80" w:after="80" w:line="200" w:lineRule="exact"/>
              <w:jc w:val="right"/>
              <w:rPr>
                <w:i/>
                <w:sz w:val="16"/>
              </w:rPr>
            </w:pPr>
            <w:r w:rsidRPr="00202C97">
              <w:rPr>
                <w:i/>
                <w:sz w:val="16"/>
              </w:rPr>
              <w:t>Salaire (en FRW)</w:t>
            </w:r>
          </w:p>
        </w:tc>
      </w:tr>
      <w:tr w:rsidR="001A4057" w:rsidRPr="00202C97" w:rsidTr="001A4057">
        <w:trPr>
          <w:trHeight w:val="345"/>
        </w:trPr>
        <w:tc>
          <w:tcPr>
            <w:tcW w:w="6066" w:type="dxa"/>
            <w:gridSpan w:val="2"/>
            <w:tcBorders>
              <w:top w:val="single" w:sz="12" w:space="0" w:color="auto"/>
            </w:tcBorders>
            <w:shd w:val="clear" w:color="auto" w:fill="auto"/>
          </w:tcPr>
          <w:p w:rsidR="001A4057" w:rsidRPr="00202C97" w:rsidRDefault="001A4057" w:rsidP="001A4057">
            <w:pPr>
              <w:spacing w:before="40" w:after="40" w:line="220" w:lineRule="exact"/>
              <w:rPr>
                <w:sz w:val="18"/>
              </w:rPr>
            </w:pPr>
            <w:r w:rsidRPr="00202C97">
              <w:rPr>
                <w:sz w:val="18"/>
              </w:rPr>
              <w:t>Enseignement primaire (entrant)</w:t>
            </w:r>
          </w:p>
        </w:tc>
        <w:tc>
          <w:tcPr>
            <w:tcW w:w="1304" w:type="dxa"/>
            <w:tcBorders>
              <w:top w:val="single" w:sz="12" w:space="0" w:color="auto"/>
            </w:tcBorders>
            <w:shd w:val="clear" w:color="auto" w:fill="auto"/>
            <w:vAlign w:val="bottom"/>
          </w:tcPr>
          <w:p w:rsidR="001A4057" w:rsidRPr="00202C97" w:rsidRDefault="001A4057" w:rsidP="001A4057">
            <w:pPr>
              <w:spacing w:before="40" w:after="40" w:line="220" w:lineRule="exact"/>
              <w:jc w:val="right"/>
              <w:rPr>
                <w:sz w:val="18"/>
              </w:rPr>
            </w:pPr>
            <w:r w:rsidRPr="00202C97">
              <w:rPr>
                <w:sz w:val="18"/>
              </w:rPr>
              <w:t>27</w:t>
            </w:r>
            <w:r>
              <w:rPr>
                <w:sz w:val="18"/>
              </w:rPr>
              <w:t xml:space="preserve"> </w:t>
            </w:r>
            <w:r w:rsidRPr="00202C97">
              <w:rPr>
                <w:sz w:val="18"/>
              </w:rPr>
              <w:t xml:space="preserve">000 </w:t>
            </w:r>
          </w:p>
        </w:tc>
      </w:tr>
      <w:tr w:rsidR="001A4057" w:rsidRPr="00202C97" w:rsidTr="001A4057">
        <w:trPr>
          <w:trHeight w:val="195"/>
        </w:trPr>
        <w:tc>
          <w:tcPr>
            <w:tcW w:w="2031" w:type="dxa"/>
            <w:shd w:val="clear" w:color="auto" w:fill="auto"/>
          </w:tcPr>
          <w:p w:rsidR="001A4057" w:rsidRPr="00202C97" w:rsidRDefault="001A4057" w:rsidP="001A4057">
            <w:pPr>
              <w:spacing w:before="40" w:after="40" w:line="220" w:lineRule="exact"/>
              <w:rPr>
                <w:sz w:val="18"/>
              </w:rPr>
            </w:pPr>
            <w:r w:rsidRPr="00202C97">
              <w:rPr>
                <w:sz w:val="18"/>
              </w:rPr>
              <w:t>Enseignement secondaire</w:t>
            </w:r>
          </w:p>
        </w:tc>
        <w:tc>
          <w:tcPr>
            <w:tcW w:w="4035" w:type="dxa"/>
            <w:shd w:val="clear" w:color="auto" w:fill="auto"/>
          </w:tcPr>
          <w:p w:rsidR="001A4057" w:rsidRPr="00202C97" w:rsidRDefault="001A4057" w:rsidP="001A4057">
            <w:pPr>
              <w:spacing w:before="40" w:after="40" w:line="220" w:lineRule="exact"/>
              <w:rPr>
                <w:sz w:val="18"/>
              </w:rPr>
            </w:pPr>
            <w:r w:rsidRPr="00202C97">
              <w:rPr>
                <w:sz w:val="18"/>
              </w:rPr>
              <w:t>A1 (ayant terminé le 1er cycle des études universitaires</w:t>
            </w:r>
          </w:p>
        </w:tc>
        <w:tc>
          <w:tcPr>
            <w:tcW w:w="1304" w:type="dxa"/>
            <w:shd w:val="clear" w:color="auto" w:fill="auto"/>
            <w:vAlign w:val="bottom"/>
          </w:tcPr>
          <w:p w:rsidR="001A4057" w:rsidRPr="00202C97" w:rsidRDefault="001A4057" w:rsidP="001A4057">
            <w:pPr>
              <w:spacing w:before="40" w:after="40" w:line="220" w:lineRule="exact"/>
              <w:jc w:val="right"/>
              <w:rPr>
                <w:sz w:val="18"/>
              </w:rPr>
            </w:pPr>
            <w:r w:rsidRPr="00202C97">
              <w:rPr>
                <w:sz w:val="18"/>
              </w:rPr>
              <w:t>93</w:t>
            </w:r>
            <w:r>
              <w:rPr>
                <w:sz w:val="18"/>
              </w:rPr>
              <w:t xml:space="preserve"> </w:t>
            </w:r>
            <w:r w:rsidRPr="00202C97">
              <w:rPr>
                <w:sz w:val="18"/>
              </w:rPr>
              <w:t xml:space="preserve">000 </w:t>
            </w:r>
          </w:p>
        </w:tc>
      </w:tr>
      <w:tr w:rsidR="001A4057" w:rsidRPr="00202C97" w:rsidTr="001A4057">
        <w:trPr>
          <w:trHeight w:val="203"/>
        </w:trPr>
        <w:tc>
          <w:tcPr>
            <w:tcW w:w="2031" w:type="dxa"/>
            <w:shd w:val="clear" w:color="auto" w:fill="auto"/>
          </w:tcPr>
          <w:p w:rsidR="001A4057" w:rsidRPr="00202C97" w:rsidRDefault="001A4057" w:rsidP="001A4057">
            <w:pPr>
              <w:spacing w:before="40" w:after="40" w:line="220" w:lineRule="exact"/>
              <w:rPr>
                <w:sz w:val="18"/>
              </w:rPr>
            </w:pPr>
          </w:p>
        </w:tc>
        <w:tc>
          <w:tcPr>
            <w:tcW w:w="4035" w:type="dxa"/>
            <w:shd w:val="clear" w:color="auto" w:fill="auto"/>
          </w:tcPr>
          <w:p w:rsidR="001A4057" w:rsidRPr="00202C97" w:rsidRDefault="001A4057" w:rsidP="001A4057">
            <w:pPr>
              <w:spacing w:before="40" w:after="40" w:line="220" w:lineRule="exact"/>
              <w:rPr>
                <w:sz w:val="18"/>
              </w:rPr>
            </w:pPr>
            <w:r w:rsidRPr="00202C97">
              <w:rPr>
                <w:sz w:val="18"/>
              </w:rPr>
              <w:t>A0 (ayant terminé la licence)</w:t>
            </w:r>
          </w:p>
        </w:tc>
        <w:tc>
          <w:tcPr>
            <w:tcW w:w="1304" w:type="dxa"/>
            <w:shd w:val="clear" w:color="auto" w:fill="auto"/>
            <w:vAlign w:val="bottom"/>
          </w:tcPr>
          <w:p w:rsidR="001A4057" w:rsidRPr="00202C97" w:rsidRDefault="001A4057" w:rsidP="001A4057">
            <w:pPr>
              <w:spacing w:before="40" w:after="40" w:line="220" w:lineRule="exact"/>
              <w:jc w:val="right"/>
              <w:rPr>
                <w:sz w:val="18"/>
              </w:rPr>
            </w:pPr>
            <w:r w:rsidRPr="00202C97">
              <w:rPr>
                <w:sz w:val="18"/>
              </w:rPr>
              <w:t>115</w:t>
            </w:r>
            <w:r>
              <w:rPr>
                <w:sz w:val="18"/>
              </w:rPr>
              <w:t xml:space="preserve"> </w:t>
            </w:r>
            <w:r w:rsidRPr="00202C97">
              <w:rPr>
                <w:sz w:val="18"/>
              </w:rPr>
              <w:t xml:space="preserve">000 </w:t>
            </w:r>
          </w:p>
        </w:tc>
      </w:tr>
    </w:tbl>
    <w:p w:rsidR="001A4057" w:rsidRPr="00202C97" w:rsidRDefault="001A4057" w:rsidP="001A4057">
      <w:pPr>
        <w:pStyle w:val="SingleTxtG"/>
        <w:spacing w:before="120" w:after="240"/>
        <w:ind w:firstLine="170"/>
        <w:rPr>
          <w:sz w:val="18"/>
          <w:szCs w:val="18"/>
        </w:rPr>
      </w:pPr>
      <w:r w:rsidRPr="00202C97">
        <w:rPr>
          <w:i/>
          <w:sz w:val="18"/>
          <w:szCs w:val="18"/>
        </w:rPr>
        <w:t>Source</w:t>
      </w:r>
      <w:r>
        <w:rPr>
          <w:sz w:val="18"/>
          <w:szCs w:val="18"/>
        </w:rPr>
        <w:t>: Mineduc.</w:t>
      </w:r>
    </w:p>
    <w:p w:rsidR="001A4057" w:rsidRPr="009B6952" w:rsidRDefault="001A4057" w:rsidP="001A4057">
      <w:pPr>
        <w:pStyle w:val="SingleTxtG"/>
      </w:pPr>
      <w:r>
        <w:t>300</w:t>
      </w:r>
      <w:r w:rsidRPr="009B6952">
        <w:t>.</w:t>
      </w:r>
      <w:r w:rsidRPr="009B6952">
        <w:tab/>
        <w:t>Notons qu</w:t>
      </w:r>
      <w:r>
        <w:t>’</w:t>
      </w:r>
      <w:r w:rsidRPr="009B6952">
        <w:t>à ce salaire s</w:t>
      </w:r>
      <w:r>
        <w:t>’</w:t>
      </w:r>
      <w:r w:rsidRPr="009B6952">
        <w:t>ajoutent d</w:t>
      </w:r>
      <w:r>
        <w:t>’</w:t>
      </w:r>
      <w:r w:rsidRPr="009B6952">
        <w:t>autres primes d</w:t>
      </w:r>
      <w:r>
        <w:t>’</w:t>
      </w:r>
      <w:r w:rsidRPr="009B6952">
        <w:t>encouragement (</w:t>
      </w:r>
      <w:r>
        <w:t>à hauteur</w:t>
      </w:r>
      <w:r w:rsidRPr="009B6952">
        <w:t xml:space="preserve"> de 12</w:t>
      </w:r>
      <w:r>
        <w:t xml:space="preserve"> </w:t>
      </w:r>
      <w:r w:rsidRPr="009B6952">
        <w:t xml:space="preserve">000 FRW). </w:t>
      </w:r>
    </w:p>
    <w:p w:rsidR="001A4057" w:rsidRPr="009B6952" w:rsidRDefault="001A4057" w:rsidP="001A4057">
      <w:pPr>
        <w:pStyle w:val="SingleTxtG"/>
      </w:pPr>
      <w:r>
        <w:t>301</w:t>
      </w:r>
      <w:r w:rsidRPr="009B6952">
        <w:t>.</w:t>
      </w:r>
      <w:r w:rsidRPr="009B6952">
        <w:tab/>
        <w:t xml:space="preserve">Les enseignants </w:t>
      </w:r>
      <w:r>
        <w:t xml:space="preserve">se </w:t>
      </w:r>
      <w:r w:rsidRPr="009B6952">
        <w:t xml:space="preserve">sont aussi </w:t>
      </w:r>
      <w:r w:rsidRPr="00E31690">
        <w:t>organisés au sein d</w:t>
      </w:r>
      <w:r>
        <w:t>’</w:t>
      </w:r>
      <w:r w:rsidRPr="00E31690">
        <w:t>une</w:t>
      </w:r>
      <w:r w:rsidRPr="009B6952">
        <w:t xml:space="preserve"> coopérative: la coopérative Umwalimu SACCO. C</w:t>
      </w:r>
      <w:r>
        <w:t>’</w:t>
      </w:r>
      <w:r w:rsidRPr="009B6952">
        <w:t>est un mécanisme leur permettant d</w:t>
      </w:r>
      <w:r>
        <w:t>’</w:t>
      </w:r>
      <w:r w:rsidRPr="009B6952">
        <w:t>épargner, d</w:t>
      </w:r>
      <w:r>
        <w:t>’</w:t>
      </w:r>
      <w:r w:rsidRPr="009B6952">
        <w:t>avoir accès au crédit et d</w:t>
      </w:r>
      <w:r>
        <w:t>’</w:t>
      </w:r>
      <w:r w:rsidRPr="009B6952">
        <w:t>améliorer leur bien-être.</w:t>
      </w:r>
      <w:r>
        <w:t xml:space="preserve"> </w:t>
      </w:r>
    </w:p>
    <w:p w:rsidR="001A4057" w:rsidRDefault="001A4057" w:rsidP="001A4057">
      <w:pPr>
        <w:pStyle w:val="SingleTxtG"/>
      </w:pPr>
      <w:r w:rsidRPr="009B6952">
        <w:t>30</w:t>
      </w:r>
      <w:r>
        <w:t>2</w:t>
      </w:r>
      <w:r w:rsidRPr="009B6952">
        <w:t>.</w:t>
      </w:r>
      <w:r w:rsidRPr="009B6952">
        <w:tab/>
        <w:t>Avant la réforme d</w:t>
      </w:r>
      <w:r>
        <w:t>e</w:t>
      </w:r>
      <w:r w:rsidRPr="009B6952">
        <w:t xml:space="preserve"> la fonction publique </w:t>
      </w:r>
      <w:r>
        <w:t>en</w:t>
      </w:r>
      <w:r w:rsidRPr="009B6952">
        <w:t xml:space="preserve"> 2006, le salaire des enseignants était légèrement supérieur à ce</w:t>
      </w:r>
      <w:r>
        <w:t xml:space="preserve">lui </w:t>
      </w:r>
      <w:r w:rsidRPr="009B6952">
        <w:t>des autres fonctionnaires de l</w:t>
      </w:r>
      <w:r>
        <w:t>’</w:t>
      </w:r>
      <w:r w:rsidRPr="009B6952">
        <w:t>État. Mais</w:t>
      </w:r>
      <w:r>
        <w:t>,</w:t>
      </w:r>
      <w:r w:rsidRPr="009B6952">
        <w:t xml:space="preserve"> actuellement</w:t>
      </w:r>
      <w:r>
        <w:t>,</w:t>
      </w:r>
      <w:r w:rsidRPr="009B6952">
        <w:t xml:space="preserve"> les choses sont différentes comme le montre la grille </w:t>
      </w:r>
      <w:r>
        <w:t>ci-après.</w:t>
      </w:r>
      <w:r w:rsidRPr="009B6952">
        <w:t xml:space="preserve"> </w:t>
      </w:r>
    </w:p>
    <w:p w:rsidR="001A4057" w:rsidRDefault="001A4057" w:rsidP="001A4057">
      <w:pPr>
        <w:pStyle w:val="Heading1"/>
        <w:spacing w:after="120"/>
      </w:pPr>
      <w:r>
        <w:t>Tableau 24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84"/>
        <w:gridCol w:w="3986"/>
      </w:tblGrid>
      <w:tr w:rsidR="001A4057" w:rsidRPr="00202C97" w:rsidTr="001A4057">
        <w:trPr>
          <w:trHeight w:val="210"/>
          <w:tblHeader/>
        </w:trPr>
        <w:tc>
          <w:tcPr>
            <w:tcW w:w="3384" w:type="dxa"/>
            <w:tcBorders>
              <w:top w:val="single" w:sz="4" w:space="0" w:color="auto"/>
              <w:bottom w:val="single" w:sz="12" w:space="0" w:color="auto"/>
            </w:tcBorders>
            <w:shd w:val="clear" w:color="auto" w:fill="auto"/>
            <w:vAlign w:val="bottom"/>
          </w:tcPr>
          <w:p w:rsidR="001A4057" w:rsidRPr="00202C97" w:rsidRDefault="001A4057" w:rsidP="001A4057">
            <w:pPr>
              <w:keepNext/>
              <w:spacing w:before="80" w:after="80" w:line="200" w:lineRule="exact"/>
              <w:rPr>
                <w:i/>
                <w:sz w:val="16"/>
              </w:rPr>
            </w:pPr>
            <w:r w:rsidRPr="00202C97">
              <w:rPr>
                <w:i/>
                <w:sz w:val="16"/>
              </w:rPr>
              <w:t>Salaire d</w:t>
            </w:r>
            <w:r>
              <w:rPr>
                <w:i/>
                <w:sz w:val="16"/>
              </w:rPr>
              <w:t>’</w:t>
            </w:r>
            <w:r w:rsidRPr="00202C97">
              <w:rPr>
                <w:i/>
                <w:sz w:val="16"/>
              </w:rPr>
              <w:t>un enseignant du niveau secondaire</w:t>
            </w:r>
          </w:p>
        </w:tc>
        <w:tc>
          <w:tcPr>
            <w:tcW w:w="3986" w:type="dxa"/>
            <w:tcBorders>
              <w:top w:val="single" w:sz="4" w:space="0" w:color="auto"/>
              <w:bottom w:val="single" w:sz="12" w:space="0" w:color="auto"/>
            </w:tcBorders>
            <w:shd w:val="clear" w:color="auto" w:fill="auto"/>
            <w:vAlign w:val="bottom"/>
          </w:tcPr>
          <w:p w:rsidR="001A4057" w:rsidRPr="00202C97" w:rsidRDefault="001A4057" w:rsidP="001A4057">
            <w:pPr>
              <w:spacing w:before="80" w:after="80" w:line="200" w:lineRule="exact"/>
              <w:jc w:val="right"/>
              <w:rPr>
                <w:i/>
                <w:sz w:val="16"/>
              </w:rPr>
            </w:pPr>
            <w:r w:rsidRPr="00202C97">
              <w:rPr>
                <w:i/>
                <w:sz w:val="16"/>
              </w:rPr>
              <w:t>Salaire d</w:t>
            </w:r>
            <w:r>
              <w:rPr>
                <w:i/>
                <w:sz w:val="16"/>
              </w:rPr>
              <w:t>’</w:t>
            </w:r>
            <w:r w:rsidRPr="00202C97">
              <w:rPr>
                <w:i/>
                <w:sz w:val="16"/>
              </w:rPr>
              <w:t>un fonctionnaire de l</w:t>
            </w:r>
            <w:r>
              <w:rPr>
                <w:i/>
                <w:sz w:val="16"/>
              </w:rPr>
              <w:t>’</w:t>
            </w:r>
            <w:r w:rsidRPr="00202C97">
              <w:rPr>
                <w:i/>
                <w:sz w:val="16"/>
              </w:rPr>
              <w:t>État</w:t>
            </w:r>
            <w:r>
              <w:rPr>
                <w:i/>
                <w:sz w:val="16"/>
              </w:rPr>
              <w:br/>
            </w:r>
            <w:r w:rsidRPr="00202C97">
              <w:rPr>
                <w:i/>
                <w:sz w:val="16"/>
              </w:rPr>
              <w:t>(niveau 3 dans le domaine de l</w:t>
            </w:r>
            <w:r>
              <w:rPr>
                <w:i/>
                <w:sz w:val="16"/>
              </w:rPr>
              <w:t>’</w:t>
            </w:r>
            <w:r w:rsidRPr="00202C97">
              <w:rPr>
                <w:i/>
                <w:sz w:val="16"/>
              </w:rPr>
              <w:t>administration)</w:t>
            </w:r>
          </w:p>
        </w:tc>
      </w:tr>
      <w:tr w:rsidR="001A4057" w:rsidRPr="00202C97" w:rsidTr="001A4057">
        <w:trPr>
          <w:trHeight w:val="188"/>
        </w:trPr>
        <w:tc>
          <w:tcPr>
            <w:tcW w:w="3384" w:type="dxa"/>
            <w:tcBorders>
              <w:top w:val="single" w:sz="12" w:space="0" w:color="auto"/>
            </w:tcBorders>
            <w:shd w:val="clear" w:color="auto" w:fill="auto"/>
          </w:tcPr>
          <w:p w:rsidR="001A4057" w:rsidRPr="00202C97" w:rsidRDefault="001A4057" w:rsidP="001A4057">
            <w:pPr>
              <w:spacing w:before="40" w:after="40" w:line="220" w:lineRule="exact"/>
              <w:rPr>
                <w:sz w:val="18"/>
              </w:rPr>
            </w:pPr>
            <w:r w:rsidRPr="00202C97">
              <w:rPr>
                <w:sz w:val="18"/>
              </w:rPr>
              <w:t>115</w:t>
            </w:r>
            <w:r>
              <w:rPr>
                <w:sz w:val="18"/>
              </w:rPr>
              <w:t xml:space="preserve"> </w:t>
            </w:r>
            <w:r w:rsidRPr="00202C97">
              <w:rPr>
                <w:sz w:val="18"/>
              </w:rPr>
              <w:t>000 FRW (avec niveau A0)</w:t>
            </w:r>
          </w:p>
        </w:tc>
        <w:tc>
          <w:tcPr>
            <w:tcW w:w="3986" w:type="dxa"/>
            <w:tcBorders>
              <w:top w:val="single" w:sz="12" w:space="0" w:color="auto"/>
            </w:tcBorders>
            <w:shd w:val="clear" w:color="auto" w:fill="auto"/>
            <w:vAlign w:val="bottom"/>
          </w:tcPr>
          <w:p w:rsidR="001A4057" w:rsidRPr="00202C97" w:rsidRDefault="001A4057" w:rsidP="001A4057">
            <w:pPr>
              <w:spacing w:before="40" w:after="40" w:line="220" w:lineRule="exact"/>
              <w:jc w:val="right"/>
              <w:rPr>
                <w:sz w:val="18"/>
              </w:rPr>
            </w:pPr>
            <w:r w:rsidRPr="00202C97">
              <w:rPr>
                <w:sz w:val="18"/>
              </w:rPr>
              <w:t>170</w:t>
            </w:r>
            <w:r>
              <w:rPr>
                <w:sz w:val="18"/>
              </w:rPr>
              <w:t xml:space="preserve"> </w:t>
            </w:r>
            <w:r w:rsidRPr="00202C97">
              <w:rPr>
                <w:sz w:val="18"/>
              </w:rPr>
              <w:t>000 FRW</w:t>
            </w:r>
          </w:p>
        </w:tc>
      </w:tr>
    </w:tbl>
    <w:p w:rsidR="001A4057" w:rsidRPr="00202C97" w:rsidRDefault="001A4057" w:rsidP="001A4057">
      <w:pPr>
        <w:pStyle w:val="SingleTxtG"/>
        <w:spacing w:before="120" w:after="240"/>
        <w:ind w:firstLine="170"/>
        <w:rPr>
          <w:sz w:val="18"/>
          <w:szCs w:val="18"/>
        </w:rPr>
      </w:pPr>
      <w:r w:rsidRPr="00202C97">
        <w:rPr>
          <w:i/>
          <w:sz w:val="18"/>
          <w:szCs w:val="18"/>
        </w:rPr>
        <w:t>Source</w:t>
      </w:r>
      <w:r w:rsidRPr="00202C97">
        <w:rPr>
          <w:sz w:val="18"/>
          <w:szCs w:val="18"/>
        </w:rPr>
        <w:t>: Mineduc.</w:t>
      </w:r>
    </w:p>
    <w:p w:rsidR="001A4057" w:rsidRPr="009B6952" w:rsidRDefault="001A4057" w:rsidP="001A4057">
      <w:pPr>
        <w:pStyle w:val="SingleTxtG"/>
      </w:pPr>
      <w:r>
        <w:t>303</w:t>
      </w:r>
      <w:r w:rsidRPr="009B6952">
        <w:t>.</w:t>
      </w:r>
      <w:r w:rsidRPr="009B6952">
        <w:tab/>
        <w:t>Notons que des mesures sont en cours d</w:t>
      </w:r>
      <w:r>
        <w:t>’</w:t>
      </w:r>
      <w:r w:rsidRPr="009B6952">
        <w:t>étude afin d</w:t>
      </w:r>
      <w:r>
        <w:t>’</w:t>
      </w:r>
      <w:r w:rsidRPr="009B6952">
        <w:t>améliorer le salaire des enseignants et ainsi contribuer à leur motivation.</w:t>
      </w:r>
    </w:p>
    <w:p w:rsidR="001A4057" w:rsidRPr="009B6952" w:rsidRDefault="001A4057" w:rsidP="001A4057">
      <w:pPr>
        <w:pStyle w:val="SingleTxtG"/>
      </w:pPr>
      <w:r>
        <w:t>304</w:t>
      </w:r>
      <w:r w:rsidRPr="009B6952">
        <w:t>.</w:t>
      </w:r>
      <w:r w:rsidRPr="009B6952">
        <w:tab/>
        <w:t>Au niveau supérieur</w:t>
      </w:r>
      <w:r w:rsidRPr="00B352B3">
        <w:rPr>
          <w:rStyle w:val="FootnoteReference"/>
        </w:rPr>
        <w:footnoteReference w:id="158"/>
      </w:r>
      <w:r w:rsidRPr="009B6952">
        <w:t>, avec le niveau Master dans une institution supérieure publique, la moyenne du salaire d</w:t>
      </w:r>
      <w:r>
        <w:t>’</w:t>
      </w:r>
      <w:r w:rsidRPr="009B6952">
        <w:t>un professeur est de 280</w:t>
      </w:r>
      <w:r>
        <w:t xml:space="preserve"> </w:t>
      </w:r>
      <w:r w:rsidRPr="009B6952">
        <w:t>000 FRW; tandis que si le même professeur enseigne dans une institution privée, le salaire est de 380</w:t>
      </w:r>
      <w:r>
        <w:t xml:space="preserve"> </w:t>
      </w:r>
      <w:r w:rsidRPr="009B6952">
        <w:t>000 FRW.</w:t>
      </w:r>
      <w:r>
        <w:t xml:space="preserve"> </w:t>
      </w:r>
    </w:p>
    <w:p w:rsidR="001A4057" w:rsidRPr="009B6952" w:rsidRDefault="001A4057" w:rsidP="001A4057">
      <w:pPr>
        <w:pStyle w:val="H4G"/>
      </w:pPr>
      <w:r>
        <w:tab/>
      </w:r>
      <w:r>
        <w:tab/>
      </w:r>
      <w:r w:rsidRPr="009B6952">
        <w:t>Des établissements privés</w:t>
      </w:r>
    </w:p>
    <w:p w:rsidR="001A4057" w:rsidRDefault="001A4057" w:rsidP="001A4057">
      <w:pPr>
        <w:pStyle w:val="SingleTxtG"/>
      </w:pPr>
      <w:r>
        <w:t>305</w:t>
      </w:r>
      <w:r w:rsidRPr="009B6952">
        <w:t>.</w:t>
      </w:r>
      <w:r w:rsidRPr="009B6952">
        <w:tab/>
        <w:t>Les personnes désireuses de créer des institutions privées ou d</w:t>
      </w:r>
      <w:r>
        <w:t>’</w:t>
      </w:r>
      <w:r w:rsidRPr="009B6952">
        <w:t>y avoir accès n</w:t>
      </w:r>
      <w:r>
        <w:t>’</w:t>
      </w:r>
      <w:r w:rsidRPr="009B6952">
        <w:t xml:space="preserve">ont pas rencontré de difficulté dans cette tâche, le </w:t>
      </w:r>
      <w:r>
        <w:t>Gouvernement</w:t>
      </w:r>
      <w:r w:rsidRPr="009B6952">
        <w:t xml:space="preserve"> du Rwanda encourage toutes les initiatives privées </w:t>
      </w:r>
      <w:r>
        <w:t xml:space="preserve">tant </w:t>
      </w:r>
      <w:r w:rsidRPr="009B6952">
        <w:t>en matière d</w:t>
      </w:r>
      <w:r>
        <w:t>’</w:t>
      </w:r>
      <w:r w:rsidRPr="009B6952">
        <w:t>éducation qu</w:t>
      </w:r>
      <w:r>
        <w:t>’</w:t>
      </w:r>
      <w:r w:rsidRPr="009B6952">
        <w:t>en d</w:t>
      </w:r>
      <w:r>
        <w:t>’</w:t>
      </w:r>
      <w:r w:rsidRPr="009B6952">
        <w:t>autres matières</w:t>
      </w:r>
      <w:r>
        <w:t xml:space="preserve">. Le tableau 25 ci-dessous indique </w:t>
      </w:r>
      <w:r w:rsidRPr="009B6952">
        <w:t>le nombre d</w:t>
      </w:r>
      <w:r>
        <w:t xml:space="preserve">es </w:t>
      </w:r>
      <w:r w:rsidRPr="009B6952">
        <w:t xml:space="preserve">institutions privées </w:t>
      </w:r>
      <w:r>
        <w:t>aux différents</w:t>
      </w:r>
      <w:r w:rsidRPr="009B6952">
        <w:t xml:space="preserve"> niveaux d</w:t>
      </w:r>
      <w:r>
        <w:t>’</w:t>
      </w:r>
      <w:r w:rsidRPr="009B6952">
        <w:t xml:space="preserve">enseignement: </w:t>
      </w:r>
    </w:p>
    <w:p w:rsidR="001A4057" w:rsidRDefault="001A4057" w:rsidP="001A4057">
      <w:pPr>
        <w:pStyle w:val="Heading1"/>
        <w:spacing w:after="120"/>
      </w:pPr>
      <w:r>
        <w:t>Tableau 25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47"/>
        <w:gridCol w:w="2519"/>
        <w:gridCol w:w="3704"/>
      </w:tblGrid>
      <w:tr w:rsidR="001A4057" w:rsidRPr="00202C97" w:rsidTr="001A4057">
        <w:trPr>
          <w:tblHeader/>
        </w:trPr>
        <w:tc>
          <w:tcPr>
            <w:tcW w:w="1147" w:type="dxa"/>
            <w:tcBorders>
              <w:top w:val="single" w:sz="4" w:space="0" w:color="auto"/>
              <w:bottom w:val="single" w:sz="12" w:space="0" w:color="auto"/>
            </w:tcBorders>
            <w:shd w:val="clear" w:color="auto" w:fill="auto"/>
            <w:vAlign w:val="bottom"/>
          </w:tcPr>
          <w:p w:rsidR="001A4057" w:rsidRPr="00202C97" w:rsidRDefault="001A4057" w:rsidP="001A4057">
            <w:pPr>
              <w:keepNext/>
              <w:spacing w:before="80" w:after="80" w:line="200" w:lineRule="exact"/>
              <w:rPr>
                <w:i/>
                <w:sz w:val="16"/>
              </w:rPr>
            </w:pPr>
            <w:r w:rsidRPr="00202C97">
              <w:rPr>
                <w:i/>
                <w:sz w:val="16"/>
              </w:rPr>
              <w:t>Écoles privées</w:t>
            </w:r>
            <w:r w:rsidRPr="00B352B3">
              <w:rPr>
                <w:rStyle w:val="FootnoteReference"/>
              </w:rPr>
              <w:footnoteReference w:id="159"/>
            </w:r>
          </w:p>
        </w:tc>
        <w:tc>
          <w:tcPr>
            <w:tcW w:w="2519" w:type="dxa"/>
            <w:tcBorders>
              <w:top w:val="single" w:sz="4" w:space="0" w:color="auto"/>
              <w:bottom w:val="single" w:sz="12" w:space="0" w:color="auto"/>
            </w:tcBorders>
            <w:shd w:val="clear" w:color="auto" w:fill="auto"/>
            <w:vAlign w:val="bottom"/>
          </w:tcPr>
          <w:p w:rsidR="001A4057" w:rsidRPr="00202C97" w:rsidRDefault="001A4057" w:rsidP="001A4057">
            <w:pPr>
              <w:keepNext/>
              <w:spacing w:before="80" w:after="80" w:line="200" w:lineRule="exact"/>
              <w:rPr>
                <w:i/>
                <w:sz w:val="16"/>
              </w:rPr>
            </w:pPr>
            <w:r w:rsidRPr="00202C97">
              <w:rPr>
                <w:i/>
                <w:sz w:val="16"/>
              </w:rPr>
              <w:t>Universités privées</w:t>
            </w:r>
          </w:p>
        </w:tc>
        <w:tc>
          <w:tcPr>
            <w:tcW w:w="3704" w:type="dxa"/>
            <w:tcBorders>
              <w:top w:val="single" w:sz="4" w:space="0" w:color="auto"/>
              <w:bottom w:val="single" w:sz="12" w:space="0" w:color="auto"/>
            </w:tcBorders>
            <w:shd w:val="clear" w:color="auto" w:fill="auto"/>
            <w:vAlign w:val="bottom"/>
          </w:tcPr>
          <w:p w:rsidR="001A4057" w:rsidRPr="00202C97" w:rsidRDefault="001A4057" w:rsidP="001A4057">
            <w:pPr>
              <w:keepNext/>
              <w:spacing w:before="80" w:after="80" w:line="200" w:lineRule="exact"/>
              <w:jc w:val="right"/>
              <w:rPr>
                <w:i/>
                <w:sz w:val="16"/>
              </w:rPr>
            </w:pPr>
            <w:r w:rsidRPr="00202C97">
              <w:rPr>
                <w:i/>
                <w:sz w:val="16"/>
              </w:rPr>
              <w:t>14</w:t>
            </w:r>
          </w:p>
        </w:tc>
      </w:tr>
      <w:tr w:rsidR="001A4057" w:rsidRPr="00202C97" w:rsidTr="001A4057">
        <w:tc>
          <w:tcPr>
            <w:tcW w:w="1147" w:type="dxa"/>
            <w:tcBorders>
              <w:top w:val="single" w:sz="12" w:space="0" w:color="auto"/>
            </w:tcBorders>
            <w:shd w:val="clear" w:color="auto" w:fill="auto"/>
          </w:tcPr>
          <w:p w:rsidR="001A4057" w:rsidRPr="00202C97" w:rsidRDefault="001A4057" w:rsidP="001A4057">
            <w:pPr>
              <w:keepNext/>
              <w:spacing w:before="40" w:after="40" w:line="220" w:lineRule="exact"/>
              <w:rPr>
                <w:sz w:val="18"/>
              </w:rPr>
            </w:pPr>
          </w:p>
        </w:tc>
        <w:tc>
          <w:tcPr>
            <w:tcW w:w="2519" w:type="dxa"/>
            <w:tcBorders>
              <w:top w:val="single" w:sz="12" w:space="0" w:color="auto"/>
            </w:tcBorders>
            <w:shd w:val="clear" w:color="auto" w:fill="auto"/>
            <w:vAlign w:val="bottom"/>
          </w:tcPr>
          <w:p w:rsidR="001A4057" w:rsidRPr="00202C97" w:rsidRDefault="001A4057" w:rsidP="001A4057">
            <w:pPr>
              <w:keepNext/>
              <w:spacing w:before="40" w:after="40" w:line="220" w:lineRule="exact"/>
              <w:rPr>
                <w:sz w:val="18"/>
              </w:rPr>
            </w:pPr>
            <w:r w:rsidRPr="00202C97">
              <w:rPr>
                <w:sz w:val="18"/>
              </w:rPr>
              <w:t>Écoles secondaires</w:t>
            </w:r>
          </w:p>
        </w:tc>
        <w:tc>
          <w:tcPr>
            <w:tcW w:w="3704" w:type="dxa"/>
            <w:tcBorders>
              <w:top w:val="single" w:sz="12" w:space="0" w:color="auto"/>
            </w:tcBorders>
            <w:shd w:val="clear" w:color="auto" w:fill="auto"/>
            <w:vAlign w:val="bottom"/>
          </w:tcPr>
          <w:p w:rsidR="001A4057" w:rsidRPr="00202C97" w:rsidRDefault="001A4057" w:rsidP="001A4057">
            <w:pPr>
              <w:keepNext/>
              <w:spacing w:before="40" w:after="40" w:line="220" w:lineRule="exact"/>
              <w:jc w:val="right"/>
              <w:rPr>
                <w:sz w:val="18"/>
              </w:rPr>
            </w:pPr>
            <w:r w:rsidRPr="00202C97">
              <w:rPr>
                <w:sz w:val="18"/>
              </w:rPr>
              <w:t>238</w:t>
            </w:r>
          </w:p>
        </w:tc>
      </w:tr>
      <w:tr w:rsidR="001A4057" w:rsidRPr="00202C97" w:rsidTr="001A4057">
        <w:tc>
          <w:tcPr>
            <w:tcW w:w="1147" w:type="dxa"/>
            <w:shd w:val="clear" w:color="auto" w:fill="auto"/>
          </w:tcPr>
          <w:p w:rsidR="001A4057" w:rsidRPr="00202C97" w:rsidRDefault="001A4057" w:rsidP="001A4057">
            <w:pPr>
              <w:keepNext/>
              <w:spacing w:before="40" w:after="40" w:line="220" w:lineRule="exact"/>
              <w:rPr>
                <w:sz w:val="18"/>
              </w:rPr>
            </w:pPr>
          </w:p>
        </w:tc>
        <w:tc>
          <w:tcPr>
            <w:tcW w:w="2519" w:type="dxa"/>
            <w:shd w:val="clear" w:color="auto" w:fill="auto"/>
            <w:vAlign w:val="bottom"/>
          </w:tcPr>
          <w:p w:rsidR="001A4057" w:rsidRPr="00202C97" w:rsidRDefault="001A4057" w:rsidP="001A4057">
            <w:pPr>
              <w:keepNext/>
              <w:spacing w:before="40" w:after="40" w:line="220" w:lineRule="exact"/>
              <w:rPr>
                <w:sz w:val="18"/>
              </w:rPr>
            </w:pPr>
            <w:r w:rsidRPr="00202C97">
              <w:rPr>
                <w:sz w:val="18"/>
              </w:rPr>
              <w:t>Primaire</w:t>
            </w:r>
          </w:p>
        </w:tc>
        <w:tc>
          <w:tcPr>
            <w:tcW w:w="3704" w:type="dxa"/>
            <w:shd w:val="clear" w:color="auto" w:fill="auto"/>
            <w:vAlign w:val="bottom"/>
          </w:tcPr>
          <w:p w:rsidR="001A4057" w:rsidRPr="00202C97" w:rsidRDefault="001A4057" w:rsidP="001A4057">
            <w:pPr>
              <w:keepNext/>
              <w:spacing w:before="40" w:after="40" w:line="220" w:lineRule="exact"/>
              <w:jc w:val="right"/>
              <w:rPr>
                <w:sz w:val="18"/>
              </w:rPr>
            </w:pPr>
            <w:r w:rsidRPr="00202C97">
              <w:rPr>
                <w:sz w:val="18"/>
              </w:rPr>
              <w:t>106</w:t>
            </w:r>
          </w:p>
        </w:tc>
      </w:tr>
      <w:tr w:rsidR="001A4057" w:rsidRPr="00202C97" w:rsidTr="001A4057">
        <w:tc>
          <w:tcPr>
            <w:tcW w:w="1147" w:type="dxa"/>
            <w:shd w:val="clear" w:color="auto" w:fill="auto"/>
          </w:tcPr>
          <w:p w:rsidR="001A4057" w:rsidRPr="00202C97" w:rsidRDefault="001A4057" w:rsidP="001A4057">
            <w:pPr>
              <w:keepNext/>
              <w:spacing w:before="40" w:after="40" w:line="220" w:lineRule="exact"/>
              <w:rPr>
                <w:sz w:val="18"/>
              </w:rPr>
            </w:pPr>
          </w:p>
        </w:tc>
        <w:tc>
          <w:tcPr>
            <w:tcW w:w="2519" w:type="dxa"/>
            <w:shd w:val="clear" w:color="auto" w:fill="auto"/>
            <w:vAlign w:val="bottom"/>
          </w:tcPr>
          <w:p w:rsidR="001A4057" w:rsidRPr="00202C97" w:rsidRDefault="001A4057" w:rsidP="001A4057">
            <w:pPr>
              <w:keepNext/>
              <w:spacing w:before="40" w:after="40" w:line="220" w:lineRule="exact"/>
              <w:rPr>
                <w:sz w:val="18"/>
              </w:rPr>
            </w:pPr>
            <w:r w:rsidRPr="00202C97">
              <w:rPr>
                <w:sz w:val="18"/>
              </w:rPr>
              <w:t>Niveau préscolaire</w:t>
            </w:r>
          </w:p>
        </w:tc>
        <w:tc>
          <w:tcPr>
            <w:tcW w:w="3704" w:type="dxa"/>
            <w:shd w:val="clear" w:color="auto" w:fill="auto"/>
            <w:vAlign w:val="bottom"/>
          </w:tcPr>
          <w:p w:rsidR="001A4057" w:rsidRPr="00202C97" w:rsidRDefault="001A4057" w:rsidP="001A4057">
            <w:pPr>
              <w:keepNext/>
              <w:spacing w:before="40" w:after="40" w:line="220" w:lineRule="exact"/>
              <w:jc w:val="right"/>
              <w:rPr>
                <w:sz w:val="18"/>
              </w:rPr>
            </w:pPr>
            <w:r>
              <w:rPr>
                <w:sz w:val="18"/>
              </w:rPr>
              <w:t>T</w:t>
            </w:r>
            <w:r w:rsidRPr="00202C97">
              <w:rPr>
                <w:sz w:val="18"/>
              </w:rPr>
              <w:t>otal de 2</w:t>
            </w:r>
            <w:r>
              <w:rPr>
                <w:sz w:val="18"/>
              </w:rPr>
              <w:t xml:space="preserve"> </w:t>
            </w:r>
            <w:r w:rsidRPr="00202C97">
              <w:rPr>
                <w:sz w:val="18"/>
              </w:rPr>
              <w:t>148 dont 99 % sont privées (en 2008)</w:t>
            </w:r>
          </w:p>
        </w:tc>
      </w:tr>
    </w:tbl>
    <w:p w:rsidR="001A4057" w:rsidRPr="00202C97" w:rsidRDefault="001A4057" w:rsidP="001A4057">
      <w:pPr>
        <w:pStyle w:val="SingleTxtG"/>
        <w:spacing w:before="120" w:after="240"/>
        <w:ind w:firstLine="170"/>
        <w:rPr>
          <w:sz w:val="18"/>
          <w:szCs w:val="18"/>
        </w:rPr>
      </w:pPr>
      <w:r w:rsidRPr="00202C97">
        <w:rPr>
          <w:i/>
          <w:sz w:val="18"/>
          <w:szCs w:val="18"/>
        </w:rPr>
        <w:t>Source</w:t>
      </w:r>
      <w:r w:rsidRPr="00202C97">
        <w:rPr>
          <w:sz w:val="18"/>
          <w:szCs w:val="18"/>
        </w:rPr>
        <w:t>: Mineduc.</w:t>
      </w:r>
    </w:p>
    <w:p w:rsidR="001A4057" w:rsidRPr="009B6952" w:rsidRDefault="001A4057" w:rsidP="001A4057">
      <w:pPr>
        <w:pStyle w:val="H4G"/>
      </w:pPr>
      <w:r>
        <w:tab/>
      </w:r>
      <w:r>
        <w:tab/>
      </w:r>
      <w:r w:rsidRPr="009B6952">
        <w:t>Des modifications récentes </w:t>
      </w:r>
    </w:p>
    <w:p w:rsidR="001A4057" w:rsidRPr="009B6952" w:rsidRDefault="001A4057" w:rsidP="001A4057">
      <w:pPr>
        <w:pStyle w:val="SingleTxtG"/>
      </w:pPr>
      <w:r>
        <w:t>306</w:t>
      </w:r>
      <w:r w:rsidRPr="009B6952">
        <w:t>.</w:t>
      </w:r>
      <w:r w:rsidRPr="009B6952">
        <w:tab/>
      </w:r>
      <w:r>
        <w:t>Aucune</w:t>
      </w:r>
      <w:r w:rsidRPr="009B6952">
        <w:t xml:space="preserve"> politique gouvernementale, loi </w:t>
      </w:r>
      <w:r>
        <w:t>ou</w:t>
      </w:r>
      <w:r w:rsidRPr="009B6952">
        <w:t xml:space="preserve"> pratique nationale </w:t>
      </w:r>
      <w:r>
        <w:t>n’a eu d’</w:t>
      </w:r>
      <w:r w:rsidRPr="009B6952">
        <w:t>effet préjudiciable sur le droit à l</w:t>
      </w:r>
      <w:r>
        <w:t>’</w:t>
      </w:r>
      <w:r w:rsidRPr="009B6952">
        <w:t xml:space="preserve">éducation. </w:t>
      </w:r>
      <w:r>
        <w:t>Au</w:t>
      </w:r>
      <w:r w:rsidRPr="009B6952">
        <w:t xml:space="preserve"> contraire</w:t>
      </w:r>
      <w:r>
        <w:t>:</w:t>
      </w:r>
    </w:p>
    <w:p w:rsidR="001A4057" w:rsidRPr="009B6952" w:rsidRDefault="001A4057" w:rsidP="001A4057">
      <w:pPr>
        <w:pStyle w:val="SingleTxtG"/>
        <w:ind w:firstLine="567"/>
      </w:pPr>
      <w:r>
        <w:t>a)</w:t>
      </w:r>
      <w:r>
        <w:tab/>
      </w:r>
      <w:r w:rsidRPr="009B6952">
        <w:t>En premier</w:t>
      </w:r>
      <w:r>
        <w:t xml:space="preserve"> lieu</w:t>
      </w:r>
      <w:r w:rsidRPr="009B6952">
        <w:t>, la Constitution a aboli toute forme de discrimination. Il est à rappeler qu</w:t>
      </w:r>
      <w:r>
        <w:t>’</w:t>
      </w:r>
      <w:r w:rsidRPr="009B6952">
        <w:t>avant 1994 l</w:t>
      </w:r>
      <w:r>
        <w:t>’</w:t>
      </w:r>
      <w:r w:rsidRPr="009B6952">
        <w:t>admission dans les institutions éducatives publiques était motivée par un système ethnique et régio</w:t>
      </w:r>
      <w:r>
        <w:t>nal de quota;</w:t>
      </w:r>
    </w:p>
    <w:p w:rsidR="001A4057" w:rsidRPr="009B6952" w:rsidRDefault="001A4057" w:rsidP="001A4057">
      <w:pPr>
        <w:pStyle w:val="SingleTxtG"/>
        <w:ind w:firstLine="567"/>
      </w:pPr>
      <w:r>
        <w:t>b)</w:t>
      </w:r>
      <w:r>
        <w:tab/>
      </w:r>
      <w:r w:rsidRPr="009B6952">
        <w:t xml:space="preserve">Le </w:t>
      </w:r>
      <w:r>
        <w:t>Gouvernement</w:t>
      </w:r>
      <w:r w:rsidRPr="009B6952">
        <w:t xml:space="preserve"> a l</w:t>
      </w:r>
      <w:r>
        <w:t>’</w:t>
      </w:r>
      <w:r w:rsidRPr="009B6952">
        <w:t>obligation constitutionnelle d</w:t>
      </w:r>
      <w:r>
        <w:t>’</w:t>
      </w:r>
      <w:r w:rsidRPr="009B6952">
        <w:t>assurer l</w:t>
      </w:r>
      <w:r>
        <w:t>’</w:t>
      </w:r>
      <w:r w:rsidRPr="009B6952">
        <w:t>éducation des plus démunis ainsi que des personnes handicapées</w:t>
      </w:r>
      <w:r>
        <w:t>;</w:t>
      </w:r>
    </w:p>
    <w:p w:rsidR="001A4057" w:rsidRPr="009B6952" w:rsidRDefault="001A4057" w:rsidP="001A4057">
      <w:pPr>
        <w:pStyle w:val="SingleTxtG"/>
        <w:ind w:firstLine="567"/>
      </w:pPr>
      <w:r>
        <w:t>c)</w:t>
      </w:r>
      <w:r>
        <w:tab/>
      </w:r>
      <w:r w:rsidRPr="009B6952">
        <w:t>La levée de la réserve à l</w:t>
      </w:r>
      <w:r>
        <w:t xml:space="preserve">’article </w:t>
      </w:r>
      <w:r w:rsidRPr="009B6952">
        <w:t>13 du Pacte</w:t>
      </w:r>
      <w:r>
        <w:t>;</w:t>
      </w:r>
    </w:p>
    <w:p w:rsidR="001A4057" w:rsidRPr="009B6952" w:rsidRDefault="001A4057" w:rsidP="001A4057">
      <w:pPr>
        <w:pStyle w:val="SingleTxtG"/>
        <w:ind w:firstLine="567"/>
      </w:pPr>
      <w:r>
        <w:t>d)</w:t>
      </w:r>
      <w:r>
        <w:tab/>
      </w:r>
      <w:r w:rsidRPr="009B6952">
        <w:t>Le Rwanda a adhéré à diver</w:t>
      </w:r>
      <w:r>
        <w:t>ses conventions internationales</w:t>
      </w:r>
      <w:r w:rsidRPr="00B352B3">
        <w:rPr>
          <w:rStyle w:val="FootnoteReference"/>
        </w:rPr>
        <w:footnoteReference w:id="160"/>
      </w:r>
      <w:r>
        <w:t>;</w:t>
      </w:r>
    </w:p>
    <w:p w:rsidR="001A4057" w:rsidRPr="009B6952" w:rsidRDefault="001A4057" w:rsidP="001A4057">
      <w:pPr>
        <w:pStyle w:val="SingleTxtG"/>
        <w:ind w:firstLine="567"/>
      </w:pPr>
      <w:r>
        <w:t>e)</w:t>
      </w:r>
      <w:r>
        <w:tab/>
      </w:r>
      <w:r w:rsidRPr="009B6952">
        <w:t>La loi sur l</w:t>
      </w:r>
      <w:r>
        <w:t>’</w:t>
      </w:r>
      <w:r w:rsidRPr="009B6952">
        <w:t>éducation a été amendée. De nouvelles lois</w:t>
      </w:r>
      <w:r w:rsidRPr="00B352B3">
        <w:rPr>
          <w:rStyle w:val="FootnoteReference"/>
        </w:rPr>
        <w:footnoteReference w:id="161"/>
      </w:r>
      <w:r w:rsidRPr="009B6952">
        <w:t xml:space="preserve"> ont été adoptées </w:t>
      </w:r>
      <w:r>
        <w:t>en faveur d’</w:t>
      </w:r>
      <w:r w:rsidRPr="009B6952">
        <w:t>une plus grande jouissance du droit à l</w:t>
      </w:r>
      <w:r>
        <w:t>’éducation;</w:t>
      </w:r>
    </w:p>
    <w:p w:rsidR="001A4057" w:rsidRPr="009B6952" w:rsidRDefault="001A4057" w:rsidP="001A4057">
      <w:pPr>
        <w:pStyle w:val="SingleTxtG"/>
        <w:ind w:firstLine="567"/>
      </w:pPr>
      <w:r>
        <w:t>f)</w:t>
      </w:r>
      <w:r>
        <w:tab/>
      </w:r>
      <w:r w:rsidRPr="009B6952">
        <w:t>L</w:t>
      </w:r>
      <w:r>
        <w:t>’</w:t>
      </w:r>
      <w:r w:rsidRPr="009B6952">
        <w:t xml:space="preserve">arrêté présidentiel déterminant les normes </w:t>
      </w:r>
      <w:r>
        <w:t xml:space="preserve">et </w:t>
      </w:r>
      <w:r w:rsidRPr="009B6952">
        <w:t>standards de qualité dans les institutions d</w:t>
      </w:r>
      <w:r>
        <w:t>’</w:t>
      </w:r>
      <w:r w:rsidRPr="009B6952">
        <w:t>enseignement supérieur est en voie d</w:t>
      </w:r>
      <w:r>
        <w:t>’</w:t>
      </w:r>
      <w:r w:rsidRPr="009B6952">
        <w:t>être promulgué. Il assure l</w:t>
      </w:r>
      <w:r>
        <w:t>’</w:t>
      </w:r>
      <w:r w:rsidRPr="009B6952">
        <w:t>uniformité dans la dispensation des services académiques au sein d</w:t>
      </w:r>
      <w:r>
        <w:t xml:space="preserve">es </w:t>
      </w:r>
      <w:r w:rsidRPr="009B6952">
        <w:t>institutions supérieures</w:t>
      </w:r>
      <w:r>
        <w:t>;</w:t>
      </w:r>
    </w:p>
    <w:p w:rsidR="001A4057" w:rsidRPr="009B6952" w:rsidRDefault="001A4057" w:rsidP="001A4057">
      <w:pPr>
        <w:pStyle w:val="SingleTxtG"/>
        <w:ind w:firstLine="567"/>
      </w:pPr>
      <w:r>
        <w:t>g)</w:t>
      </w:r>
      <w:r>
        <w:tab/>
      </w:r>
      <w:r w:rsidRPr="009B6952">
        <w:t>La nouvelle politique de l</w:t>
      </w:r>
      <w:r>
        <w:t>’</w:t>
      </w:r>
      <w:r w:rsidRPr="009B6952">
        <w:t xml:space="preserve">éducation est en place </w:t>
      </w:r>
      <w:r w:rsidRPr="00A84DCB">
        <w:t>depuis 2003</w:t>
      </w:r>
      <w:r>
        <w:t xml:space="preserve">, ainsi que </w:t>
      </w:r>
      <w:r w:rsidRPr="00A84DCB">
        <w:t>la stratégie du secteur de l</w:t>
      </w:r>
      <w:r>
        <w:t>’</w:t>
      </w:r>
      <w:r w:rsidRPr="00A84DCB">
        <w:t xml:space="preserve">éducation </w:t>
      </w:r>
      <w:r>
        <w:t>et</w:t>
      </w:r>
      <w:r w:rsidRPr="00A84DCB">
        <w:t xml:space="preserve"> la stratégie nationale de l</w:t>
      </w:r>
      <w:r>
        <w:t>’</w:t>
      </w:r>
      <w:r w:rsidRPr="00A84DCB">
        <w:t>UNESCO</w:t>
      </w:r>
      <w:r>
        <w:t>. C</w:t>
      </w:r>
      <w:r w:rsidRPr="00A84DCB">
        <w:t>ette dernière fournit un appui technique au secteur de l</w:t>
      </w:r>
      <w:r>
        <w:t>’</w:t>
      </w:r>
      <w:r w:rsidRPr="00A84DCB">
        <w:t>éducation;</w:t>
      </w:r>
      <w:r w:rsidRPr="009B6952">
        <w:t xml:space="preserve"> </w:t>
      </w:r>
    </w:p>
    <w:p w:rsidR="001A4057" w:rsidRPr="009B6952" w:rsidRDefault="001A4057" w:rsidP="001A4057">
      <w:pPr>
        <w:pStyle w:val="SingleTxtG"/>
        <w:ind w:firstLine="567"/>
      </w:pPr>
      <w:r>
        <w:t>h)</w:t>
      </w:r>
      <w:r>
        <w:tab/>
      </w:r>
      <w:r w:rsidRPr="009B6952">
        <w:t>La politique sur l</w:t>
      </w:r>
      <w:r>
        <w:t>’</w:t>
      </w:r>
      <w:r w:rsidRPr="009B6952">
        <w:t>enseignement technique et pr</w:t>
      </w:r>
      <w:r>
        <w:t>ofessionnel a été mise sur pied;</w:t>
      </w:r>
    </w:p>
    <w:p w:rsidR="001A4057" w:rsidRDefault="001A4057" w:rsidP="001A4057">
      <w:pPr>
        <w:pStyle w:val="SingleTxtG"/>
        <w:ind w:firstLine="567"/>
      </w:pPr>
      <w:r>
        <w:t>i)</w:t>
      </w:r>
      <w:r>
        <w:tab/>
      </w:r>
      <w:r w:rsidRPr="009B6952">
        <w:t>Le plan quinquennal relatif à la promotion de l</w:t>
      </w:r>
      <w:r>
        <w:t>’</w:t>
      </w:r>
      <w:r w:rsidRPr="009B6952">
        <w:t>éducation de la jeune fille</w:t>
      </w:r>
      <w:r>
        <w:t>;</w:t>
      </w:r>
    </w:p>
    <w:p w:rsidR="001A4057" w:rsidRPr="009B6952" w:rsidRDefault="001A4057" w:rsidP="001A4057">
      <w:pPr>
        <w:pStyle w:val="SingleTxtG"/>
        <w:ind w:firstLine="567"/>
      </w:pPr>
      <w:r>
        <w:t>j)</w:t>
      </w:r>
      <w:r>
        <w:tab/>
      </w:r>
      <w:r w:rsidRPr="009B6952">
        <w:t xml:space="preserve">Les frais scolaires ont été supprimés; les subventions du </w:t>
      </w:r>
      <w:r>
        <w:t>Gouvernement,</w:t>
      </w:r>
      <w:r w:rsidRPr="009B6952">
        <w:t xml:space="preserve"> transférées</w:t>
      </w:r>
      <w:r>
        <w:t xml:space="preserve"> </w:t>
      </w:r>
      <w:r w:rsidRPr="009B6952">
        <w:t xml:space="preserve">aux districts </w:t>
      </w:r>
      <w:r>
        <w:t>sous forme de</w:t>
      </w:r>
      <w:r w:rsidRPr="009B6952">
        <w:t xml:space="preserve"> </w:t>
      </w:r>
      <w:r w:rsidRPr="009B6952">
        <w:rPr>
          <w:i/>
        </w:rPr>
        <w:t>grant capitation</w:t>
      </w:r>
      <w:r w:rsidRPr="009B6952">
        <w:t>, ne cessent d</w:t>
      </w:r>
      <w:r>
        <w:t>’</w:t>
      </w:r>
      <w:r w:rsidRPr="009B6952">
        <w:t>augm</w:t>
      </w:r>
      <w:r>
        <w:t>enter, originalement à 300 FRW/</w:t>
      </w:r>
      <w:r w:rsidRPr="009B6952">
        <w:t>ét</w:t>
      </w:r>
      <w:r>
        <w:t>udiant/an, la subvention est de 5 300 FRW/</w:t>
      </w:r>
      <w:r w:rsidRPr="009B6952">
        <w:t>élèv</w:t>
      </w:r>
      <w:r>
        <w:t>e du primaire et de 21 000 FRW/étudiant du secondaire;</w:t>
      </w:r>
    </w:p>
    <w:p w:rsidR="001A4057" w:rsidRPr="009B6952" w:rsidRDefault="001A4057" w:rsidP="001A4057">
      <w:pPr>
        <w:pStyle w:val="SingleTxtG"/>
        <w:ind w:firstLine="567"/>
      </w:pPr>
      <w:r>
        <w:t>k)</w:t>
      </w:r>
      <w:r>
        <w:tab/>
      </w:r>
      <w:r w:rsidRPr="009B6952">
        <w:t xml:space="preserve">Notons les efforts accrus du </w:t>
      </w:r>
      <w:r>
        <w:t>Gouvernement</w:t>
      </w:r>
      <w:r w:rsidRPr="009B6952">
        <w:t xml:space="preserve"> </w:t>
      </w:r>
      <w:r>
        <w:t xml:space="preserve">pour </w:t>
      </w:r>
      <w:r w:rsidRPr="009B6952">
        <w:t xml:space="preserve">venir en aide aux enfants vulnérables en général (par la voie du FARG, </w:t>
      </w:r>
      <w:r>
        <w:t>des Districts Education Funds);</w:t>
      </w:r>
    </w:p>
    <w:p w:rsidR="001A4057" w:rsidRPr="009B6952" w:rsidRDefault="001A4057" w:rsidP="001A4057">
      <w:pPr>
        <w:pStyle w:val="SingleTxtG"/>
        <w:ind w:firstLine="567"/>
      </w:pPr>
      <w:r>
        <w:t>l)</w:t>
      </w:r>
      <w:r>
        <w:tab/>
      </w:r>
      <w:r w:rsidRPr="009B6952">
        <w:t>Il y a aussi l</w:t>
      </w:r>
      <w:r>
        <w:t>’</w:t>
      </w:r>
      <w:r w:rsidRPr="009B6952">
        <w:t xml:space="preserve">appui à la promotion des jardins, </w:t>
      </w:r>
      <w:r>
        <w:t xml:space="preserve">des </w:t>
      </w:r>
      <w:r w:rsidRPr="009B6952">
        <w:t xml:space="preserve">fermes et </w:t>
      </w:r>
      <w:r>
        <w:t xml:space="preserve">de </w:t>
      </w:r>
      <w:r w:rsidRPr="009B6952">
        <w:t>l</w:t>
      </w:r>
      <w:r>
        <w:t>’</w:t>
      </w:r>
      <w:r w:rsidRPr="009B6952">
        <w:t>éducation nutritionnelle dans les écoles au Rwanda, avec l</w:t>
      </w:r>
      <w:r>
        <w:t>’aide de la FAO;</w:t>
      </w:r>
    </w:p>
    <w:p w:rsidR="001A4057" w:rsidRPr="009B6952" w:rsidRDefault="001A4057" w:rsidP="001A4057">
      <w:pPr>
        <w:pStyle w:val="SingleTxtG"/>
        <w:ind w:firstLine="567"/>
      </w:pPr>
      <w:r>
        <w:t>m)</w:t>
      </w:r>
      <w:r>
        <w:tab/>
      </w:r>
      <w:r w:rsidRPr="009B6952">
        <w:t xml:space="preserve">Tout le système éducatif a été restructuré: </w:t>
      </w:r>
    </w:p>
    <w:p w:rsidR="001A4057" w:rsidRPr="009B6952" w:rsidRDefault="001A4057" w:rsidP="001A4057">
      <w:pPr>
        <w:pStyle w:val="Bullet2G"/>
      </w:pPr>
      <w:r>
        <w:t>D</w:t>
      </w:r>
      <w:r w:rsidRPr="009B6952">
        <w:t xml:space="preserve">es centres de rattrapage sont créés chaque année; </w:t>
      </w:r>
    </w:p>
    <w:p w:rsidR="001A4057" w:rsidRPr="009B6952" w:rsidRDefault="001A4057" w:rsidP="001A4057">
      <w:pPr>
        <w:pStyle w:val="Bullet2G"/>
      </w:pPr>
      <w:r>
        <w:t>D</w:t>
      </w:r>
      <w:r w:rsidRPr="009B6952">
        <w:t>es écoles et centres d</w:t>
      </w:r>
      <w:r>
        <w:t>’</w:t>
      </w:r>
      <w:r w:rsidRPr="009B6952">
        <w:t xml:space="preserve">excellence ont vu le jour </w:t>
      </w:r>
      <w:r>
        <w:t>en</w:t>
      </w:r>
      <w:r w:rsidRPr="009B6952">
        <w:t xml:space="preserve"> 2006; </w:t>
      </w:r>
    </w:p>
    <w:p w:rsidR="001A4057" w:rsidRPr="009B6952" w:rsidRDefault="001A4057" w:rsidP="001A4057">
      <w:pPr>
        <w:pStyle w:val="Bullet2G"/>
      </w:pPr>
      <w:r>
        <w:t>L</w:t>
      </w:r>
      <w:r w:rsidRPr="009B6952">
        <w:t>a promotion de l</w:t>
      </w:r>
      <w:r>
        <w:t>’</w:t>
      </w:r>
      <w:r w:rsidRPr="009B6952">
        <w:t>éducation de la fille a été renforcée, surtout son maintien dans le système scolaire</w:t>
      </w:r>
      <w:r>
        <w:t>,</w:t>
      </w:r>
      <w:r w:rsidRPr="009B6952">
        <w:t xml:space="preserve"> et </w:t>
      </w:r>
      <w:r>
        <w:t xml:space="preserve">de </w:t>
      </w:r>
      <w:r w:rsidRPr="009B6952">
        <w:t xml:space="preserve">sa performance surtout en sciences et </w:t>
      </w:r>
      <w:r>
        <w:t xml:space="preserve">en </w:t>
      </w:r>
      <w:r w:rsidRPr="009B6952">
        <w:t>math</w:t>
      </w:r>
      <w:r>
        <w:t xml:space="preserve">ématiques; </w:t>
      </w:r>
      <w:r w:rsidRPr="009B6952">
        <w:t>des prix d</w:t>
      </w:r>
      <w:r>
        <w:t>’</w:t>
      </w:r>
      <w:r w:rsidRPr="009B6952">
        <w:t xml:space="preserve">excellence </w:t>
      </w:r>
      <w:r>
        <w:t>encouragent les</w:t>
      </w:r>
      <w:r w:rsidRPr="009B6952">
        <w:t xml:space="preserve"> plus performantes; </w:t>
      </w:r>
    </w:p>
    <w:p w:rsidR="001A4057" w:rsidRPr="009B6952" w:rsidRDefault="001A4057" w:rsidP="001A4057">
      <w:pPr>
        <w:pStyle w:val="Bullet2G"/>
      </w:pPr>
      <w:r>
        <w:t>L’</w:t>
      </w:r>
      <w:r w:rsidRPr="009B6952">
        <w:t xml:space="preserve">éducation spécialisée </w:t>
      </w:r>
      <w:r>
        <w:t>d</w:t>
      </w:r>
      <w:r w:rsidRPr="009B6952">
        <w:t>es enfants présentant des besoins spécifiques</w:t>
      </w:r>
      <w:r>
        <w:t xml:space="preserve"> bénéficie d’un soutien</w:t>
      </w:r>
      <w:r w:rsidRPr="009B6952">
        <w:t xml:space="preserve">; </w:t>
      </w:r>
    </w:p>
    <w:p w:rsidR="001A4057" w:rsidRPr="009B6952" w:rsidRDefault="001A4057" w:rsidP="001A4057">
      <w:pPr>
        <w:pStyle w:val="Bullet2G"/>
      </w:pPr>
      <w:r>
        <w:t>L</w:t>
      </w:r>
      <w:r w:rsidRPr="009B6952">
        <w:t xml:space="preserve">e renforcement de la science, </w:t>
      </w:r>
      <w:r>
        <w:t xml:space="preserve">de la </w:t>
      </w:r>
      <w:r w:rsidRPr="009B6952">
        <w:t xml:space="preserve">technologie et </w:t>
      </w:r>
      <w:r>
        <w:t>de l’</w:t>
      </w:r>
      <w:r w:rsidRPr="009B6952">
        <w:t>information et leur intégration à tous les niveaux d</w:t>
      </w:r>
      <w:r>
        <w:t>’enseignement;</w:t>
      </w:r>
    </w:p>
    <w:p w:rsidR="001A4057" w:rsidRPr="009B6952" w:rsidRDefault="001A4057" w:rsidP="001A4057">
      <w:pPr>
        <w:pStyle w:val="Bullet2G"/>
      </w:pPr>
      <w:r>
        <w:t>L</w:t>
      </w:r>
      <w:r w:rsidRPr="009B6952">
        <w:t xml:space="preserve">e </w:t>
      </w:r>
      <w:r>
        <w:t>Gouvernement</w:t>
      </w:r>
      <w:r w:rsidRPr="009B6952">
        <w:t xml:space="preserve"> a </w:t>
      </w:r>
      <w:r>
        <w:t>initié le projet 1 ordinateur/</w:t>
      </w:r>
      <w:r w:rsidRPr="009B6952">
        <w:t xml:space="preserve">étudiant </w:t>
      </w:r>
      <w:r>
        <w:t>en</w:t>
      </w:r>
      <w:r w:rsidRPr="009B6952">
        <w:t xml:space="preserve"> 2007</w:t>
      </w:r>
      <w:r>
        <w:t>;</w:t>
      </w:r>
      <w:r w:rsidRPr="009B6952">
        <w:t xml:space="preserve"> </w:t>
      </w:r>
    </w:p>
    <w:p w:rsidR="001A4057" w:rsidRPr="009B6952" w:rsidRDefault="001A4057" w:rsidP="001A4057">
      <w:pPr>
        <w:pStyle w:val="Bullet2G"/>
      </w:pPr>
      <w:r>
        <w:t>L’</w:t>
      </w:r>
      <w:r w:rsidRPr="009B6952">
        <w:t>adoption de l</w:t>
      </w:r>
      <w:r>
        <w:t>’</w:t>
      </w:r>
      <w:r w:rsidRPr="009B6952">
        <w:t>anglais comme langue d</w:t>
      </w:r>
      <w:r>
        <w:t>’</w:t>
      </w:r>
      <w:r w:rsidRPr="009B6952">
        <w:t>enseignement depuis l</w:t>
      </w:r>
      <w:r>
        <w:t>’</w:t>
      </w:r>
      <w:r w:rsidRPr="009B6952">
        <w:t>école primaire,</w:t>
      </w:r>
      <w:r>
        <w:t xml:space="preserve"> et</w:t>
      </w:r>
      <w:r w:rsidRPr="009B6952">
        <w:t xml:space="preserve"> ce depuis l</w:t>
      </w:r>
      <w:r>
        <w:t>’</w:t>
      </w:r>
      <w:r w:rsidRPr="009B6952">
        <w:t>année scolaire 2009-2010. L</w:t>
      </w:r>
      <w:r>
        <w:t>’</w:t>
      </w:r>
      <w:r w:rsidRPr="009B6952">
        <w:t>intégration sera complète dans toutes les institutions tant</w:t>
      </w:r>
      <w:r>
        <w:t xml:space="preserve"> publiques que privées en 2011;</w:t>
      </w:r>
    </w:p>
    <w:p w:rsidR="001A4057" w:rsidRPr="009B6952" w:rsidRDefault="001A4057" w:rsidP="001A4057">
      <w:pPr>
        <w:pStyle w:val="Bullet2G"/>
      </w:pPr>
      <w:r w:rsidRPr="009B6952">
        <w:t>La création de niveaux de 3</w:t>
      </w:r>
      <w:r w:rsidRPr="009B6952">
        <w:rPr>
          <w:vertAlign w:val="superscript"/>
        </w:rPr>
        <w:t xml:space="preserve">ème </w:t>
      </w:r>
      <w:r>
        <w:t>cycle dans divers domaines;</w:t>
      </w:r>
    </w:p>
    <w:p w:rsidR="001A4057" w:rsidRPr="009B6952" w:rsidRDefault="001A4057" w:rsidP="001A4057">
      <w:pPr>
        <w:pStyle w:val="Bullet2G"/>
      </w:pPr>
      <w:r>
        <w:t>U</w:t>
      </w:r>
      <w:r w:rsidRPr="009B6952">
        <w:t xml:space="preserve">n nouveau financement des </w:t>
      </w:r>
      <w:r>
        <w:t>études supérieures;</w:t>
      </w:r>
    </w:p>
    <w:p w:rsidR="001A4057" w:rsidRPr="009B6952" w:rsidRDefault="001A4057" w:rsidP="001A4057">
      <w:pPr>
        <w:pStyle w:val="Bullet2G"/>
      </w:pPr>
      <w:r>
        <w:t>Le d</w:t>
      </w:r>
      <w:r w:rsidRPr="009B6952">
        <w:t>émarrage d</w:t>
      </w:r>
      <w:r>
        <w:t>’</w:t>
      </w:r>
      <w:r w:rsidRPr="009B6952">
        <w:t>au moins une école maternelle dans chaque cellule.</w:t>
      </w:r>
    </w:p>
    <w:p w:rsidR="001A4057" w:rsidRPr="009B6952" w:rsidRDefault="001A4057" w:rsidP="001A4057">
      <w:pPr>
        <w:pStyle w:val="SingleTxtG"/>
        <w:ind w:firstLine="567"/>
      </w:pPr>
      <w:r>
        <w:t>n)</w:t>
      </w:r>
      <w:r>
        <w:tab/>
      </w:r>
      <w:r w:rsidRPr="009B6952">
        <w:t>D</w:t>
      </w:r>
      <w:r>
        <w:t>’</w:t>
      </w:r>
      <w:r w:rsidRPr="009B6952">
        <w:t>au</w:t>
      </w:r>
      <w:r w:rsidRPr="00202C97">
        <w:t>t</w:t>
      </w:r>
      <w:r w:rsidRPr="009B6952">
        <w:t xml:space="preserve">res institutions ont vu le jour, comme: </w:t>
      </w:r>
    </w:p>
    <w:p w:rsidR="001A4057" w:rsidRPr="009B6952" w:rsidRDefault="001A4057" w:rsidP="001A4057">
      <w:pPr>
        <w:pStyle w:val="Bullet2G"/>
      </w:pPr>
      <w:r>
        <w:t>L</w:t>
      </w:r>
      <w:r w:rsidRPr="009B6952">
        <w:t>e Centre National de Développement des Programmes pour une bonne harmonisation des programmes d</w:t>
      </w:r>
      <w:r>
        <w:t>’</w:t>
      </w:r>
      <w:r w:rsidRPr="009B6952">
        <w:t xml:space="preserve">enseignement; </w:t>
      </w:r>
    </w:p>
    <w:p w:rsidR="001A4057" w:rsidRPr="009B6952" w:rsidRDefault="001A4057" w:rsidP="001A4057">
      <w:pPr>
        <w:pStyle w:val="Bullet2G"/>
      </w:pPr>
      <w:r>
        <w:t>L’</w:t>
      </w:r>
      <w:r w:rsidRPr="009B6952">
        <w:t>Inspection générale de l</w:t>
      </w:r>
      <w:r>
        <w:t>’</w:t>
      </w:r>
      <w:r w:rsidRPr="009B6952">
        <w:t xml:space="preserve">éducation; </w:t>
      </w:r>
    </w:p>
    <w:p w:rsidR="001A4057" w:rsidRPr="009B6952" w:rsidRDefault="001A4057" w:rsidP="001A4057">
      <w:pPr>
        <w:pStyle w:val="Bullet2G"/>
      </w:pPr>
      <w:r>
        <w:t>L</w:t>
      </w:r>
      <w:r w:rsidRPr="009B6952">
        <w:t>e Conseil National des Examens Officiels;</w:t>
      </w:r>
      <w:r>
        <w:t xml:space="preserve"> </w:t>
      </w:r>
    </w:p>
    <w:p w:rsidR="001A4057" w:rsidRPr="009B6952" w:rsidRDefault="001A4057" w:rsidP="001A4057">
      <w:pPr>
        <w:pStyle w:val="Bullet2G"/>
      </w:pPr>
      <w:r>
        <w:t>L</w:t>
      </w:r>
      <w:r w:rsidRPr="009B6952">
        <w:t>e Conseil National de l</w:t>
      </w:r>
      <w:r>
        <w:t>’</w:t>
      </w:r>
      <w:r w:rsidRPr="009B6952">
        <w:t xml:space="preserve">enseignement supérieur; </w:t>
      </w:r>
    </w:p>
    <w:p w:rsidR="001A4057" w:rsidRPr="009B6952" w:rsidRDefault="001A4057" w:rsidP="001A4057">
      <w:pPr>
        <w:pStyle w:val="Bullet2G"/>
      </w:pPr>
      <w:r>
        <w:t>L’</w:t>
      </w:r>
      <w:r w:rsidRPr="009B6952">
        <w:t xml:space="preserve">Agence Nationale de Financement des Prêts et Bourses. </w:t>
      </w:r>
    </w:p>
    <w:p w:rsidR="001A4057" w:rsidRPr="009B6952" w:rsidRDefault="001A4057" w:rsidP="001A4057">
      <w:pPr>
        <w:pStyle w:val="SingleTxtG"/>
        <w:ind w:left="2098" w:hanging="397"/>
      </w:pPr>
      <w:r>
        <w:t>o)</w:t>
      </w:r>
      <w:r>
        <w:tab/>
      </w:r>
      <w:r w:rsidRPr="009B6952">
        <w:t xml:space="preserve">Certaines institutions ont été regroupées pour </w:t>
      </w:r>
      <w:r>
        <w:t xml:space="preserve">assurer </w:t>
      </w:r>
      <w:r w:rsidRPr="009B6952">
        <w:t>une bonne coordination de leurs services: elles sont regroupées au sein du Rwanda Education Board (il s</w:t>
      </w:r>
      <w:r>
        <w:t>’</w:t>
      </w:r>
      <w:r w:rsidRPr="009B6952">
        <w:t>agit du Centre</w:t>
      </w:r>
      <w:r>
        <w:t xml:space="preserve"> </w:t>
      </w:r>
      <w:r w:rsidRPr="009B6952">
        <w:t xml:space="preserve">National de Développement des Programmes, </w:t>
      </w:r>
      <w:r>
        <w:t xml:space="preserve">de </w:t>
      </w:r>
      <w:r w:rsidRPr="009B6952">
        <w:t xml:space="preserve">la Commission des enseignants, </w:t>
      </w:r>
      <w:r>
        <w:t xml:space="preserve">de </w:t>
      </w:r>
      <w:r w:rsidRPr="009B6952">
        <w:t>l</w:t>
      </w:r>
      <w:r>
        <w:t>’</w:t>
      </w:r>
      <w:r w:rsidRPr="009B6952">
        <w:t xml:space="preserve">inspection générale, </w:t>
      </w:r>
      <w:r>
        <w:t>du</w:t>
      </w:r>
      <w:r w:rsidRPr="009B6952">
        <w:t xml:space="preserve"> conseil national des examens officiels</w:t>
      </w:r>
      <w:r>
        <w:t xml:space="preserve"> </w:t>
      </w:r>
      <w:r w:rsidRPr="009B6952">
        <w:t>et</w:t>
      </w:r>
      <w:r>
        <w:t xml:space="preserve"> de</w:t>
      </w:r>
      <w:r w:rsidRPr="009B6952">
        <w:t xml:space="preserve"> l</w:t>
      </w:r>
      <w:r>
        <w:t>’</w:t>
      </w:r>
      <w:r w:rsidRPr="009B6952">
        <w:t>agence nationale de fi</w:t>
      </w:r>
      <w:r>
        <w:t>nancement des prêts et bourses);</w:t>
      </w:r>
      <w:r w:rsidRPr="009B6952">
        <w:t xml:space="preserve"> </w:t>
      </w:r>
    </w:p>
    <w:p w:rsidR="001A4057" w:rsidRPr="009B6952" w:rsidRDefault="001A4057" w:rsidP="001A4057">
      <w:pPr>
        <w:pStyle w:val="SingleTxtG"/>
        <w:ind w:firstLine="567"/>
      </w:pPr>
      <w:r>
        <w:t>p)</w:t>
      </w:r>
      <w:r>
        <w:tab/>
        <w:t xml:space="preserve">Les </w:t>
      </w:r>
      <w:r w:rsidRPr="009B6952">
        <w:t>institutions</w:t>
      </w:r>
      <w:r>
        <w:t xml:space="preserve"> supérieures se multi</w:t>
      </w:r>
      <w:r w:rsidRPr="00B33338">
        <w:t>plient</w:t>
      </w:r>
      <w:r>
        <w:t>;</w:t>
      </w:r>
    </w:p>
    <w:p w:rsidR="001A4057" w:rsidRPr="009B6952" w:rsidRDefault="001A4057" w:rsidP="001A4057">
      <w:pPr>
        <w:pStyle w:val="SingleTxtG"/>
        <w:ind w:firstLine="567"/>
      </w:pPr>
      <w:r>
        <w:t>q)</w:t>
      </w:r>
      <w:r>
        <w:tab/>
      </w:r>
      <w:r w:rsidRPr="009B6952">
        <w:t xml:space="preserve">Le </w:t>
      </w:r>
      <w:r>
        <w:t>Gouvernement</w:t>
      </w:r>
      <w:r w:rsidRPr="009B6952">
        <w:t xml:space="preserve"> a encouragé le secteur privé à investir dans l</w:t>
      </w:r>
      <w:r>
        <w:t>’</w:t>
      </w:r>
      <w:r w:rsidRPr="009B6952">
        <w:t>éducation</w:t>
      </w:r>
      <w:r>
        <w:t>;</w:t>
      </w:r>
      <w:r w:rsidRPr="009B6952">
        <w:t xml:space="preserve"> </w:t>
      </w:r>
    </w:p>
    <w:p w:rsidR="001A4057" w:rsidRPr="009B6952" w:rsidRDefault="001A4057" w:rsidP="001A4057">
      <w:pPr>
        <w:pStyle w:val="SingleTxtG"/>
        <w:ind w:firstLine="567"/>
      </w:pPr>
      <w:r>
        <w:t>r)</w:t>
      </w:r>
      <w:r>
        <w:tab/>
      </w:r>
      <w:r w:rsidRPr="009B6952">
        <w:t>L</w:t>
      </w:r>
      <w:r>
        <w:t>’</w:t>
      </w:r>
      <w:r w:rsidRPr="009B6952">
        <w:t xml:space="preserve">inauguration du </w:t>
      </w:r>
      <w:r>
        <w:t>«</w:t>
      </w:r>
      <w:r w:rsidRPr="009B6952">
        <w:t>e-school</w:t>
      </w:r>
      <w:r>
        <w:t>» avec un financement du Nepad;</w:t>
      </w:r>
    </w:p>
    <w:p w:rsidR="001A4057" w:rsidRPr="009B6952" w:rsidRDefault="001A4057" w:rsidP="001A4057">
      <w:pPr>
        <w:pStyle w:val="SingleTxtG"/>
        <w:ind w:left="2268" w:hanging="567"/>
      </w:pPr>
      <w:r>
        <w:t>s)</w:t>
      </w:r>
      <w:r>
        <w:tab/>
      </w:r>
      <w:r w:rsidRPr="009B6952">
        <w:t xml:space="preserve">Le programme </w:t>
      </w:r>
      <w:r>
        <w:t>«</w:t>
      </w:r>
      <w:r w:rsidRPr="009B6952">
        <w:t>Éducation pour tous</w:t>
      </w:r>
      <w:r>
        <w:t>»</w:t>
      </w:r>
      <w:r w:rsidRPr="009B6952">
        <w:t xml:space="preserve"> (EPT) </w:t>
      </w:r>
      <w:r>
        <w:t xml:space="preserve">qui préconise d’augmenter </w:t>
      </w:r>
      <w:r w:rsidRPr="009B6952">
        <w:t>le nombre d</w:t>
      </w:r>
      <w:r>
        <w:t xml:space="preserve">es </w:t>
      </w:r>
      <w:r w:rsidRPr="009B6952">
        <w:t xml:space="preserve">écoles et </w:t>
      </w:r>
      <w:r>
        <w:t xml:space="preserve">des </w:t>
      </w:r>
      <w:r w:rsidRPr="009B6952">
        <w:t xml:space="preserve">classes </w:t>
      </w:r>
      <w:r>
        <w:t xml:space="preserve">de manière à </w:t>
      </w:r>
      <w:r w:rsidRPr="009B6952">
        <w:t>permettre à tous d</w:t>
      </w:r>
      <w:r>
        <w:t>’</w:t>
      </w:r>
      <w:r w:rsidRPr="009B6952">
        <w:t xml:space="preserve">avoir accès </w:t>
      </w:r>
      <w:r>
        <w:t xml:space="preserve">à l’école </w:t>
      </w:r>
      <w:r w:rsidRPr="009B6952">
        <w:t>(la construction d</w:t>
      </w:r>
      <w:r>
        <w:t>’</w:t>
      </w:r>
      <w:r w:rsidRPr="009B6952">
        <w:t>écoles e</w:t>
      </w:r>
      <w:r>
        <w:t>t de salles de classe continue);</w:t>
      </w:r>
    </w:p>
    <w:p w:rsidR="001A4057" w:rsidRPr="009B6952" w:rsidRDefault="001A4057" w:rsidP="001A4057">
      <w:pPr>
        <w:pStyle w:val="SingleTxtG"/>
        <w:ind w:firstLine="567"/>
      </w:pPr>
      <w:r>
        <w:t>t)</w:t>
      </w:r>
      <w:r>
        <w:tab/>
      </w:r>
      <w:r w:rsidRPr="009B6952">
        <w:t>La construction d</w:t>
      </w:r>
      <w:r>
        <w:t>’</w:t>
      </w:r>
      <w:r w:rsidRPr="009B6952">
        <w:t>infrastructures et l</w:t>
      </w:r>
      <w:r>
        <w:t>’</w:t>
      </w:r>
      <w:r w:rsidRPr="009B6952">
        <w:t>utilisation maximale avec le système d</w:t>
      </w:r>
      <w:r>
        <w:t>e</w:t>
      </w:r>
      <w:r w:rsidRPr="009B6952">
        <w:t xml:space="preserve"> double vacation pour les 6 années du niveau primaire ont permis de relever les taux d</w:t>
      </w:r>
      <w:r>
        <w:t>’</w:t>
      </w:r>
      <w:r w:rsidRPr="009B6952">
        <w:t xml:space="preserve">inscription et </w:t>
      </w:r>
      <w:r>
        <w:t xml:space="preserve">de </w:t>
      </w:r>
      <w:r w:rsidRPr="009B6952">
        <w:t xml:space="preserve">pallier </w:t>
      </w:r>
      <w:r>
        <w:t>le</w:t>
      </w:r>
      <w:r w:rsidRPr="009B6952">
        <w:t xml:space="preserve"> problème parfois rencontré d</w:t>
      </w:r>
      <w:r>
        <w:t>’</w:t>
      </w:r>
      <w:r w:rsidRPr="009B6952">
        <w:t>un pe</w:t>
      </w:r>
      <w:r>
        <w:t>rsonnel enseignant insuffisant;</w:t>
      </w:r>
    </w:p>
    <w:p w:rsidR="001A4057" w:rsidRPr="009B6952" w:rsidRDefault="001A4057" w:rsidP="001A4057">
      <w:pPr>
        <w:pStyle w:val="SingleTxtG"/>
        <w:ind w:firstLine="567"/>
      </w:pPr>
      <w:r>
        <w:t>u)</w:t>
      </w:r>
      <w:r>
        <w:tab/>
      </w:r>
      <w:r w:rsidRPr="009B6952">
        <w:t>L</w:t>
      </w:r>
      <w:r>
        <w:t>’</w:t>
      </w:r>
      <w:r w:rsidRPr="009B6952">
        <w:t>enseignement du soir dans les institutions supérieures permet</w:t>
      </w:r>
      <w:r>
        <w:t xml:space="preserve"> </w:t>
      </w:r>
      <w:r w:rsidRPr="009B6952">
        <w:t>l</w:t>
      </w:r>
      <w:r>
        <w:t>’</w:t>
      </w:r>
      <w:r w:rsidRPr="009B6952">
        <w:t xml:space="preserve">accès </w:t>
      </w:r>
      <w:r>
        <w:t>d’</w:t>
      </w:r>
      <w:r w:rsidRPr="009B6952">
        <w:t>un plus grand nombre d</w:t>
      </w:r>
      <w:r>
        <w:t>’</w:t>
      </w:r>
      <w:r w:rsidRPr="009B6952">
        <w:t xml:space="preserve">étudiants, surtout </w:t>
      </w:r>
      <w:r>
        <w:t xml:space="preserve">de </w:t>
      </w:r>
      <w:r w:rsidRPr="009B6952">
        <w:t>ceux qui travaillent dans la journée</w:t>
      </w:r>
      <w:r>
        <w:t xml:space="preserve">; </w:t>
      </w:r>
    </w:p>
    <w:p w:rsidR="001A4057" w:rsidRPr="009B6952" w:rsidRDefault="001A4057" w:rsidP="001A4057">
      <w:pPr>
        <w:pStyle w:val="SingleTxtG"/>
        <w:ind w:firstLine="567"/>
      </w:pPr>
      <w:r>
        <w:t>v)</w:t>
      </w:r>
      <w:r>
        <w:tab/>
      </w:r>
      <w:r w:rsidRPr="009B6952">
        <w:t>Le système de spécialisatio</w:t>
      </w:r>
      <w:r>
        <w:t>n du professorat dans une matière;</w:t>
      </w:r>
    </w:p>
    <w:p w:rsidR="001A4057" w:rsidRPr="009B6952" w:rsidRDefault="001A4057" w:rsidP="001A4057">
      <w:pPr>
        <w:pStyle w:val="SingleTxtG"/>
        <w:ind w:firstLine="567"/>
      </w:pPr>
      <w:r>
        <w:t>w)</w:t>
      </w:r>
      <w:r>
        <w:tab/>
      </w:r>
      <w:r w:rsidRPr="009B6952">
        <w:t>La décentralisation des salaires des enseignants au niveau des districts</w:t>
      </w:r>
      <w:r>
        <w:t>;</w:t>
      </w:r>
      <w:r w:rsidRPr="009B6952">
        <w:t xml:space="preserve"> </w:t>
      </w:r>
    </w:p>
    <w:p w:rsidR="001A4057" w:rsidRPr="009B6952" w:rsidRDefault="001A4057" w:rsidP="001A4057">
      <w:pPr>
        <w:pStyle w:val="SingleTxtG"/>
        <w:ind w:firstLine="567"/>
      </w:pPr>
      <w:r>
        <w:t>x)</w:t>
      </w:r>
      <w:r>
        <w:tab/>
      </w:r>
      <w:r w:rsidRPr="009B6952">
        <w:t>Le budget alloué au secteur de l</w:t>
      </w:r>
      <w:r>
        <w:t>’</w:t>
      </w:r>
      <w:r w:rsidRPr="009B6952">
        <w:t>éducation en général a été augmenté, surtout dans le domaine de l</w:t>
      </w:r>
      <w:r>
        <w:t>’</w:t>
      </w:r>
      <w:r w:rsidRPr="009B6952">
        <w:t xml:space="preserve">alphabétisation. </w:t>
      </w:r>
    </w:p>
    <w:p w:rsidR="001A4057" w:rsidRPr="009B6952" w:rsidRDefault="001A4057" w:rsidP="001A4057">
      <w:pPr>
        <w:pStyle w:val="H4G"/>
      </w:pPr>
      <w:r>
        <w:tab/>
      </w:r>
      <w:r>
        <w:tab/>
      </w:r>
      <w:r w:rsidRPr="009B6952">
        <w:t>L</w:t>
      </w:r>
      <w:r>
        <w:t>’</w:t>
      </w:r>
      <w:r w:rsidRPr="009B6952">
        <w:t>aide internationale</w:t>
      </w:r>
    </w:p>
    <w:p w:rsidR="001A4057" w:rsidRPr="009B6952" w:rsidRDefault="001A4057" w:rsidP="001A4057">
      <w:pPr>
        <w:pStyle w:val="SingleTxtG"/>
      </w:pPr>
      <w:r>
        <w:t>307</w:t>
      </w:r>
      <w:r w:rsidRPr="009B6952">
        <w:t>.</w:t>
      </w:r>
      <w:r w:rsidRPr="009B6952">
        <w:tab/>
        <w:t>En 2005 et 2006, les aides comptabilisé</w:t>
      </w:r>
      <w:r>
        <w:t>e</w:t>
      </w:r>
      <w:r w:rsidRPr="009B6952">
        <w:t>s représentaient entre 37</w:t>
      </w:r>
      <w:r>
        <w:t xml:space="preserve"> %</w:t>
      </w:r>
      <w:r w:rsidRPr="009B6952">
        <w:t xml:space="preserve"> et 45</w:t>
      </w:r>
      <w:r>
        <w:t xml:space="preserve"> %</w:t>
      </w:r>
      <w:r w:rsidRPr="009B6952">
        <w:t xml:space="preserve"> des dépenses de ce secteur. Il y en a d</w:t>
      </w:r>
      <w:r>
        <w:t>’</w:t>
      </w:r>
      <w:r w:rsidRPr="009B6952">
        <w:t>autres qui ne sont pas comptabilisé</w:t>
      </w:r>
      <w:r>
        <w:t>e</w:t>
      </w:r>
      <w:r w:rsidRPr="009B6952">
        <w:t>s</w:t>
      </w:r>
      <w:r>
        <w:t>, à savoir celles qui</w:t>
      </w:r>
      <w:r w:rsidRPr="009B6952">
        <w:t xml:space="preserve"> pass</w:t>
      </w:r>
      <w:r>
        <w:t>e</w:t>
      </w:r>
      <w:r w:rsidRPr="009B6952">
        <w:t xml:space="preserve">nt directement par les ONG ou </w:t>
      </w:r>
      <w:r>
        <w:t xml:space="preserve">par les </w:t>
      </w:r>
      <w:r w:rsidRPr="009B6952">
        <w:t xml:space="preserve">autres institutions privées. </w:t>
      </w:r>
    </w:p>
    <w:p w:rsidR="001A4057" w:rsidRPr="009B6952" w:rsidRDefault="001A4057" w:rsidP="001A4057">
      <w:pPr>
        <w:pStyle w:val="SingleTxtG"/>
      </w:pPr>
      <w:r>
        <w:t>308</w:t>
      </w:r>
      <w:r w:rsidRPr="009B6952">
        <w:t>.</w:t>
      </w:r>
      <w:r w:rsidRPr="009B6952">
        <w:tab/>
        <w:t>Le budget de développement en 2008</w:t>
      </w:r>
      <w:r w:rsidRPr="00B352B3">
        <w:rPr>
          <w:rStyle w:val="FootnoteReference"/>
        </w:rPr>
        <w:footnoteReference w:id="162"/>
      </w:r>
      <w:r w:rsidRPr="009B6952">
        <w:t xml:space="preserve"> (comprenant</w:t>
      </w:r>
      <w:r>
        <w:t xml:space="preserve"> </w:t>
      </w:r>
      <w:r w:rsidRPr="009B6952">
        <w:t xml:space="preserve">les prêts, </w:t>
      </w:r>
      <w:r>
        <w:t xml:space="preserve">les </w:t>
      </w:r>
      <w:r w:rsidRPr="009B6952">
        <w:t xml:space="preserve">aides et </w:t>
      </w:r>
      <w:r>
        <w:t xml:space="preserve">les </w:t>
      </w:r>
      <w:r w:rsidRPr="009B6952">
        <w:t>financements internes) de ce secteur était de 18</w:t>
      </w:r>
      <w:r>
        <w:t xml:space="preserve"> </w:t>
      </w:r>
      <w:r w:rsidRPr="009B6952">
        <w:t>648</w:t>
      </w:r>
      <w:r>
        <w:t xml:space="preserve"> </w:t>
      </w:r>
      <w:r w:rsidRPr="009B6952">
        <w:t>000</w:t>
      </w:r>
      <w:r>
        <w:t xml:space="preserve"> </w:t>
      </w:r>
      <w:r w:rsidRPr="009B6952">
        <w:t>000</w:t>
      </w:r>
      <w:r>
        <w:t xml:space="preserve"> </w:t>
      </w:r>
      <w:r w:rsidRPr="00B33338">
        <w:t>FRW</w:t>
      </w:r>
      <w:r>
        <w:t>.</w:t>
      </w:r>
    </w:p>
    <w:p w:rsidR="001A4057" w:rsidRPr="009B6952" w:rsidRDefault="001A4057" w:rsidP="001A4057">
      <w:pPr>
        <w:pStyle w:val="H23G"/>
      </w:pPr>
      <w:r>
        <w:tab/>
      </w:r>
      <w:r w:rsidRPr="009B6952">
        <w:t>9.</w:t>
      </w:r>
      <w:r w:rsidRPr="009B6952">
        <w:tab/>
      </w:r>
      <w:r>
        <w:t xml:space="preserve">Article </w:t>
      </w:r>
      <w:r w:rsidRPr="009B6952">
        <w:t>15: Le droit à la vie culturelle</w:t>
      </w:r>
    </w:p>
    <w:p w:rsidR="001A4057" w:rsidRPr="009B6952" w:rsidRDefault="001A4057" w:rsidP="001A4057">
      <w:pPr>
        <w:pStyle w:val="H4G"/>
      </w:pPr>
      <w:r>
        <w:tab/>
      </w:r>
      <w:r>
        <w:tab/>
      </w:r>
      <w:r w:rsidRPr="009B6952">
        <w:t>Promotion de la vie culturelle</w:t>
      </w:r>
    </w:p>
    <w:p w:rsidR="001A4057" w:rsidRPr="009B6952" w:rsidRDefault="001A4057" w:rsidP="001A4057">
      <w:pPr>
        <w:pStyle w:val="SingleTxtG"/>
        <w:rPr>
          <w:bCs/>
        </w:rPr>
      </w:pPr>
      <w:r>
        <w:rPr>
          <w:bCs/>
        </w:rPr>
        <w:t>309</w:t>
      </w:r>
      <w:r w:rsidRPr="009B6952">
        <w:rPr>
          <w:bCs/>
        </w:rPr>
        <w:t>.</w:t>
      </w:r>
      <w:r w:rsidRPr="009B6952">
        <w:rPr>
          <w:bCs/>
        </w:rPr>
        <w:tab/>
      </w:r>
      <w:r w:rsidRPr="009B6952">
        <w:t>Les mesures législatives et autres pour assurer l</w:t>
      </w:r>
      <w:r>
        <w:t>’</w:t>
      </w:r>
      <w:r w:rsidRPr="009B6952">
        <w:t>exercice du droit de chacun de participer à la vie culturelle sont</w:t>
      </w:r>
      <w:r>
        <w:t xml:space="preserve"> les suivantes</w:t>
      </w:r>
      <w:r w:rsidRPr="009B6952">
        <w:t>:</w:t>
      </w:r>
    </w:p>
    <w:p w:rsidR="001A4057" w:rsidRPr="009B6952" w:rsidRDefault="001A4057" w:rsidP="001A4057">
      <w:pPr>
        <w:pStyle w:val="SingleTxtG"/>
        <w:ind w:firstLine="567"/>
      </w:pPr>
      <w:r>
        <w:t>a)</w:t>
      </w:r>
      <w:r>
        <w:tab/>
      </w:r>
      <w:r w:rsidRPr="009B6952">
        <w:t xml:space="preserve">La </w:t>
      </w:r>
      <w:r>
        <w:t>C</w:t>
      </w:r>
      <w:r w:rsidRPr="009B6952">
        <w:t>onstitution</w:t>
      </w:r>
      <w:r>
        <w:t>, qui</w:t>
      </w:r>
      <w:r w:rsidRPr="009B6952">
        <w:t xml:space="preserve"> prévoit </w:t>
      </w:r>
      <w:r>
        <w:t xml:space="preserve">que </w:t>
      </w:r>
      <w:r w:rsidRPr="009B6952">
        <w:t xml:space="preserve">tout citoyen </w:t>
      </w:r>
      <w:r>
        <w:t xml:space="preserve">a </w:t>
      </w:r>
      <w:r w:rsidRPr="009B6952">
        <w:t xml:space="preserve">le droit de </w:t>
      </w:r>
      <w:r>
        <w:t xml:space="preserve">participer </w:t>
      </w:r>
      <w:r w:rsidRPr="009B6952">
        <w:t xml:space="preserve">aux activités de promotion de la culture nationale et </w:t>
      </w:r>
      <w:r>
        <w:t xml:space="preserve">que </w:t>
      </w:r>
      <w:r w:rsidRPr="009B6952">
        <w:t>l</w:t>
      </w:r>
      <w:r>
        <w:t>’</w:t>
      </w:r>
      <w:r w:rsidRPr="009B6952">
        <w:t xml:space="preserve">État </w:t>
      </w:r>
      <w:r>
        <w:t xml:space="preserve">a </w:t>
      </w:r>
      <w:r w:rsidRPr="009B6952">
        <w:t xml:space="preserve">le devoir de sauvegarder les valeurs nationales et </w:t>
      </w:r>
      <w:r>
        <w:t xml:space="preserve">de </w:t>
      </w:r>
      <w:r w:rsidRPr="009B6952">
        <w:t>veiller à la conservation du patrimoine culturel national (art.</w:t>
      </w:r>
      <w:r>
        <w:t xml:space="preserve"> </w:t>
      </w:r>
      <w:r w:rsidRPr="009B6952">
        <w:t xml:space="preserve">50 et 51). </w:t>
      </w:r>
    </w:p>
    <w:p w:rsidR="001A4057" w:rsidRPr="009B6952" w:rsidRDefault="001A4057" w:rsidP="001A4057">
      <w:pPr>
        <w:pStyle w:val="SingleTxtG"/>
        <w:ind w:firstLine="567"/>
      </w:pPr>
      <w:r>
        <w:t>b)</w:t>
      </w:r>
      <w:r>
        <w:tab/>
      </w:r>
      <w:r w:rsidRPr="009B6952">
        <w:t>Diverses conventions ont été signées</w:t>
      </w:r>
      <w:r w:rsidRPr="00B352B3">
        <w:rPr>
          <w:rStyle w:val="FootnoteReference"/>
        </w:rPr>
        <w:footnoteReference w:id="163"/>
      </w:r>
      <w:r w:rsidRPr="009B6952">
        <w:t xml:space="preserve">; </w:t>
      </w:r>
    </w:p>
    <w:p w:rsidR="001A4057" w:rsidRPr="009B6952" w:rsidRDefault="001A4057" w:rsidP="001A4057">
      <w:pPr>
        <w:pStyle w:val="SingleTxtG"/>
        <w:ind w:firstLine="567"/>
      </w:pPr>
      <w:r>
        <w:t>c)</w:t>
      </w:r>
      <w:r>
        <w:tab/>
      </w:r>
      <w:r w:rsidRPr="009B6952">
        <w:t>D</w:t>
      </w:r>
      <w:r>
        <w:t>ivers</w:t>
      </w:r>
      <w:r w:rsidRPr="009B6952">
        <w:t xml:space="preserve">es lois </w:t>
      </w:r>
      <w:r>
        <w:t>ont été promulguées</w:t>
      </w:r>
      <w:r w:rsidRPr="00B352B3">
        <w:rPr>
          <w:rStyle w:val="FootnoteReference"/>
        </w:rPr>
        <w:footnoteReference w:id="164"/>
      </w:r>
      <w:r w:rsidRPr="009B6952">
        <w:t>;</w:t>
      </w:r>
    </w:p>
    <w:p w:rsidR="001A4057" w:rsidRPr="009B6952" w:rsidRDefault="001A4057" w:rsidP="001A4057">
      <w:pPr>
        <w:pStyle w:val="SingleTxtG"/>
        <w:ind w:firstLine="567"/>
      </w:pPr>
      <w:r>
        <w:t>d)</w:t>
      </w:r>
      <w:r>
        <w:tab/>
      </w:r>
      <w:r w:rsidRPr="009B6952">
        <w:t>L</w:t>
      </w:r>
      <w:r>
        <w:t>’</w:t>
      </w:r>
      <w:r w:rsidRPr="009B6952">
        <w:t>arrêté présidentiel portant création et or</w:t>
      </w:r>
      <w:r>
        <w:t xml:space="preserve">ganisation de la régie du musée </w:t>
      </w:r>
      <w:r w:rsidRPr="009B6952">
        <w:t>national du Rwanda;</w:t>
      </w:r>
    </w:p>
    <w:p w:rsidR="001A4057" w:rsidRPr="009B6952" w:rsidRDefault="001A4057" w:rsidP="001A4057">
      <w:pPr>
        <w:pStyle w:val="SingleTxtG"/>
        <w:ind w:firstLine="567"/>
      </w:pPr>
      <w:r>
        <w:t>e)</w:t>
      </w:r>
      <w:r>
        <w:tab/>
      </w:r>
      <w:r w:rsidRPr="009B6952">
        <w:t>D</w:t>
      </w:r>
      <w:r>
        <w:t>ivers</w:t>
      </w:r>
      <w:r w:rsidRPr="009B6952">
        <w:t xml:space="preserve">es politiques </w:t>
      </w:r>
      <w:r>
        <w:t>sont conduites,</w:t>
      </w:r>
      <w:r w:rsidRPr="009B6952">
        <w:t xml:space="preserve"> </w:t>
      </w:r>
      <w:r>
        <w:t>telles que</w:t>
      </w:r>
      <w:r w:rsidRPr="009B6952">
        <w:t xml:space="preserve"> la politique nationale de la culture, la politique du patrimoine culturel, la politique nationale du cinéma et </w:t>
      </w:r>
      <w:r>
        <w:t>la politique nationale</w:t>
      </w:r>
      <w:r w:rsidRPr="009B6952">
        <w:t xml:space="preserve"> du livre. Ces deux dernières sont encore en cours d</w:t>
      </w:r>
      <w:r>
        <w:t>’élaboration;</w:t>
      </w:r>
    </w:p>
    <w:p w:rsidR="001A4057" w:rsidRPr="009B6952" w:rsidRDefault="001A4057" w:rsidP="001A4057">
      <w:pPr>
        <w:pStyle w:val="SingleTxtG"/>
        <w:ind w:firstLine="567"/>
      </w:pPr>
      <w:r>
        <w:t>f)</w:t>
      </w:r>
      <w:r>
        <w:tab/>
        <w:t>D</w:t>
      </w:r>
      <w:r w:rsidRPr="009B6952">
        <w:t xml:space="preserve">es démarches sont entreprises pour valider les sites naturels et culturels du Rwanda et les </w:t>
      </w:r>
      <w:r>
        <w:t xml:space="preserve">faire </w:t>
      </w:r>
      <w:r w:rsidRPr="009B6952">
        <w:t>inscrire sur la liste indicative de l</w:t>
      </w:r>
      <w:r>
        <w:t>’</w:t>
      </w:r>
      <w:r w:rsidRPr="009B6952">
        <w:t xml:space="preserve">UNESCO comme faisant partie du patrimoine culturel mondial. Ces sites sont le parc national des volcans et la forêt nationale de Nyungwe, ainsi que les sites mémoriaux du génocide contre les </w:t>
      </w:r>
      <w:r>
        <w:t>T</w:t>
      </w:r>
      <w:r w:rsidRPr="009B6952">
        <w:t>utsi (les sites de Gisozi, Murambi et Nyamata).</w:t>
      </w:r>
      <w:r>
        <w:t xml:space="preserve"> </w:t>
      </w:r>
    </w:p>
    <w:p w:rsidR="001A4057" w:rsidRPr="009B6952" w:rsidRDefault="001A4057" w:rsidP="001A4057">
      <w:pPr>
        <w:pStyle w:val="H4G"/>
      </w:pPr>
      <w:r>
        <w:tab/>
      </w:r>
      <w:r>
        <w:tab/>
      </w:r>
      <w:r w:rsidRPr="009B6952">
        <w:t xml:space="preserve">Le budget alloué au secteur de la culture </w:t>
      </w:r>
    </w:p>
    <w:p w:rsidR="001A4057" w:rsidRPr="009B6952" w:rsidRDefault="001A4057" w:rsidP="001A4057">
      <w:pPr>
        <w:pStyle w:val="SingleTxtG"/>
      </w:pPr>
      <w:r w:rsidRPr="009B6952">
        <w:t>31</w:t>
      </w:r>
      <w:r>
        <w:t>0</w:t>
      </w:r>
      <w:r w:rsidRPr="009B6952">
        <w:t>.</w:t>
      </w:r>
      <w:r w:rsidRPr="009B6952">
        <w:tab/>
        <w:t>Les fonds disponibles sont le budget</w:t>
      </w:r>
      <w:r w:rsidRPr="00B352B3">
        <w:rPr>
          <w:rStyle w:val="FootnoteReference"/>
        </w:rPr>
        <w:footnoteReference w:id="165"/>
      </w:r>
      <w:r w:rsidRPr="009B6952">
        <w:t xml:space="preserve"> </w:t>
      </w:r>
      <w:r>
        <w:t>que le</w:t>
      </w:r>
      <w:r w:rsidRPr="009B6952">
        <w:t xml:space="preserve"> </w:t>
      </w:r>
      <w:r>
        <w:t>Gouvernement</w:t>
      </w:r>
      <w:r w:rsidRPr="009B6952">
        <w:t xml:space="preserve"> allou</w:t>
      </w:r>
      <w:r>
        <w:t>e</w:t>
      </w:r>
      <w:r w:rsidRPr="009B6952">
        <w:t xml:space="preserve"> à ce secteur. L</w:t>
      </w:r>
      <w:r>
        <w:t>’</w:t>
      </w:r>
      <w:r w:rsidRPr="009B6952">
        <w:t xml:space="preserve">aide publique aux initiatives privées est minimale, </w:t>
      </w:r>
      <w:r w:rsidRPr="00B33338">
        <w:t>à défaut d</w:t>
      </w:r>
      <w:r>
        <w:t>’</w:t>
      </w:r>
      <w:r w:rsidRPr="00B33338">
        <w:t>être inexistante</w:t>
      </w:r>
      <w:r w:rsidRPr="009B6952">
        <w:t xml:space="preserve">. </w:t>
      </w:r>
    </w:p>
    <w:p w:rsidR="001A4057" w:rsidRPr="009B6952" w:rsidRDefault="001A4057" w:rsidP="001A4057">
      <w:pPr>
        <w:pStyle w:val="H4G"/>
      </w:pPr>
      <w:r>
        <w:tab/>
      </w:r>
      <w:r>
        <w:tab/>
      </w:r>
      <w:r w:rsidRPr="009B6952">
        <w:t>Les infrastructures pour la promotion de la culture</w:t>
      </w:r>
    </w:p>
    <w:p w:rsidR="001A4057" w:rsidRPr="009B6952" w:rsidRDefault="001A4057" w:rsidP="001A4057">
      <w:pPr>
        <w:pStyle w:val="SingleTxtG"/>
      </w:pPr>
      <w:r w:rsidRPr="009B6952">
        <w:t>31</w:t>
      </w:r>
      <w:r>
        <w:t>1</w:t>
      </w:r>
      <w:r w:rsidRPr="009B6952">
        <w:t>.</w:t>
      </w:r>
      <w:r w:rsidRPr="009B6952">
        <w:tab/>
        <w:t xml:space="preserve">Des infrastructures pour la promotion de la culture existent: </w:t>
      </w:r>
    </w:p>
    <w:p w:rsidR="001A4057" w:rsidRPr="009B6952" w:rsidRDefault="001A4057" w:rsidP="001A4057">
      <w:pPr>
        <w:pStyle w:val="SingleTxtG"/>
        <w:ind w:firstLine="567"/>
        <w:rPr>
          <w:bCs/>
        </w:rPr>
      </w:pPr>
      <w:r>
        <w:rPr>
          <w:bCs/>
        </w:rPr>
        <w:t>a)</w:t>
      </w:r>
      <w:r>
        <w:rPr>
          <w:bCs/>
        </w:rPr>
        <w:tab/>
      </w:r>
      <w:r w:rsidRPr="009B6952">
        <w:rPr>
          <w:bCs/>
        </w:rPr>
        <w:t xml:space="preserve">Un </w:t>
      </w:r>
      <w:r w:rsidRPr="009B6952">
        <w:t>Institut des Musées Nationaux qui se charge de la mise en place des musées régionaux et provinciaux;</w:t>
      </w:r>
    </w:p>
    <w:p w:rsidR="001A4057" w:rsidRPr="009B6952" w:rsidRDefault="001A4057" w:rsidP="001A4057">
      <w:pPr>
        <w:pStyle w:val="SingleTxtG"/>
        <w:ind w:firstLine="567"/>
        <w:rPr>
          <w:bCs/>
        </w:rPr>
      </w:pPr>
      <w:r>
        <w:t>b)</w:t>
      </w:r>
      <w:r>
        <w:tab/>
      </w:r>
      <w:r w:rsidRPr="009B6952">
        <w:t xml:space="preserve">Le Ministère ayant la culture dans ses attributions a </w:t>
      </w:r>
      <w:r>
        <w:t>pour mission</w:t>
      </w:r>
      <w:r w:rsidRPr="009B6952">
        <w:t xml:space="preserve"> de renforcer </w:t>
      </w:r>
      <w:r>
        <w:t>l</w:t>
      </w:r>
      <w:r w:rsidRPr="009B6952">
        <w:t>es centres culturels «Centre Itorero» au sein des districts</w:t>
      </w:r>
      <w:r>
        <w:t>;</w:t>
      </w:r>
      <w:r w:rsidRPr="009B6952">
        <w:t xml:space="preserve"> trois sont</w:t>
      </w:r>
      <w:r>
        <w:t xml:space="preserve"> déjà </w:t>
      </w:r>
      <w:r w:rsidRPr="009B6952">
        <w:t>fonctionnels (Nyamagabe, Nyamasheke, Kibungo). Ces centres étaient des écoles traditionnelles où l</w:t>
      </w:r>
      <w:r>
        <w:t>’</w:t>
      </w:r>
      <w:r w:rsidRPr="009B6952">
        <w:t>on apprenait le patriotisme, la démocratie, le savoir-vivre, les sports, l</w:t>
      </w:r>
      <w:r>
        <w:t>’</w:t>
      </w:r>
      <w:r w:rsidRPr="009B6952">
        <w:t>entraînement des guerriers</w:t>
      </w:r>
      <w:r>
        <w:t xml:space="preserve"> et</w:t>
      </w:r>
      <w:r w:rsidRPr="009B6952">
        <w:t xml:space="preserve"> la formation de l</w:t>
      </w:r>
      <w:r>
        <w:t>’</w:t>
      </w:r>
      <w:r w:rsidRPr="009B6952">
        <w:t>élite en général. Le Ministère veut s</w:t>
      </w:r>
      <w:r>
        <w:t>’inspirer de cet ancien modèle;</w:t>
      </w:r>
    </w:p>
    <w:p w:rsidR="001A4057" w:rsidRPr="009B6952" w:rsidRDefault="001A4057" w:rsidP="001A4057">
      <w:pPr>
        <w:pStyle w:val="SingleTxtG"/>
        <w:ind w:firstLine="567"/>
        <w:rPr>
          <w:bCs/>
        </w:rPr>
      </w:pPr>
      <w:r>
        <w:t>c)</w:t>
      </w:r>
      <w:r>
        <w:tab/>
      </w:r>
      <w:r w:rsidRPr="009B6952">
        <w:t xml:space="preserve">Des bibliothèques existent </w:t>
      </w:r>
      <w:r w:rsidRPr="00B33338">
        <w:t>à différents</w:t>
      </w:r>
      <w:r w:rsidRPr="009B6952">
        <w:t xml:space="preserve"> niveaux d</w:t>
      </w:r>
      <w:r>
        <w:t>ans l</w:t>
      </w:r>
      <w:r w:rsidRPr="009B6952">
        <w:t>es écoles. Un projet de construction d</w:t>
      </w:r>
      <w:r>
        <w:t>’</w:t>
      </w:r>
      <w:r w:rsidRPr="009B6952">
        <w:t xml:space="preserve">une bibliothèque nationale est en cours; </w:t>
      </w:r>
    </w:p>
    <w:p w:rsidR="001A4057" w:rsidRPr="009B6952" w:rsidRDefault="001A4057" w:rsidP="001A4057">
      <w:pPr>
        <w:pStyle w:val="SingleTxtG"/>
        <w:ind w:firstLine="567"/>
        <w:rPr>
          <w:bCs/>
        </w:rPr>
      </w:pPr>
      <w:r>
        <w:t>d)</w:t>
      </w:r>
      <w:r>
        <w:tab/>
      </w:r>
      <w:r w:rsidRPr="009B6952">
        <w:t xml:space="preserve">Des salles de théâtre et </w:t>
      </w:r>
      <w:r>
        <w:t xml:space="preserve">de </w:t>
      </w:r>
      <w:r w:rsidRPr="009B6952">
        <w:t>cinéma existent; la plupart sont des initiatives privées.</w:t>
      </w:r>
      <w:r>
        <w:t xml:space="preserve"> </w:t>
      </w:r>
    </w:p>
    <w:p w:rsidR="001A4057" w:rsidRPr="009B6952" w:rsidRDefault="001A4057" w:rsidP="001A4057">
      <w:pPr>
        <w:pStyle w:val="H4G"/>
      </w:pPr>
      <w:r>
        <w:tab/>
      </w:r>
      <w:r>
        <w:tab/>
      </w:r>
      <w:r w:rsidRPr="009B6952">
        <w:t>Promotion de l</w:t>
      </w:r>
      <w:r>
        <w:t>’</w:t>
      </w:r>
      <w:r w:rsidRPr="009B6952">
        <w:t>identité culturelle</w:t>
      </w:r>
    </w:p>
    <w:p w:rsidR="001A4057" w:rsidRPr="009B6952" w:rsidRDefault="001A4057" w:rsidP="001A4057">
      <w:pPr>
        <w:pStyle w:val="SingleTxtG"/>
        <w:keepNext/>
        <w:rPr>
          <w:bCs/>
        </w:rPr>
      </w:pPr>
      <w:r>
        <w:rPr>
          <w:bCs/>
        </w:rPr>
        <w:t>312</w:t>
      </w:r>
      <w:r w:rsidRPr="009B6952">
        <w:rPr>
          <w:bCs/>
        </w:rPr>
        <w:t>.</w:t>
      </w:r>
      <w:r w:rsidRPr="009B6952">
        <w:rPr>
          <w:bCs/>
        </w:rPr>
        <w:tab/>
      </w:r>
      <w:r w:rsidRPr="009B6952">
        <w:t>La promotion de l</w:t>
      </w:r>
      <w:r>
        <w:t>’</w:t>
      </w:r>
      <w:r w:rsidRPr="009B6952">
        <w:t xml:space="preserve">identité culturelle est réalisée de plusieurs façons: </w:t>
      </w:r>
    </w:p>
    <w:p w:rsidR="001A4057" w:rsidRPr="009B6952" w:rsidRDefault="001A4057" w:rsidP="001A4057">
      <w:pPr>
        <w:pStyle w:val="SingleTxtG"/>
        <w:ind w:firstLine="567"/>
        <w:rPr>
          <w:bCs/>
        </w:rPr>
      </w:pPr>
      <w:r>
        <w:t>a)</w:t>
      </w:r>
      <w:r>
        <w:tab/>
      </w:r>
      <w:r w:rsidRPr="009B6952">
        <w:t xml:space="preserve">Par la politique nationale de la culture; </w:t>
      </w:r>
    </w:p>
    <w:p w:rsidR="001A4057" w:rsidRPr="009B6952" w:rsidRDefault="001A4057" w:rsidP="001A4057">
      <w:pPr>
        <w:pStyle w:val="SingleTxtG"/>
        <w:ind w:firstLine="567"/>
      </w:pPr>
      <w:r>
        <w:t>b)</w:t>
      </w:r>
      <w:r>
        <w:tab/>
      </w:r>
      <w:r w:rsidRPr="009B6952">
        <w:t>Par la création de diverses associations. L</w:t>
      </w:r>
      <w:r>
        <w:t>’</w:t>
      </w:r>
      <w:r w:rsidRPr="009B6952">
        <w:t>une</w:t>
      </w:r>
      <w:r>
        <w:t xml:space="preserve"> d’entre elles est une </w:t>
      </w:r>
      <w:r w:rsidRPr="009B6952">
        <w:t>association sans but lucratif de grandes personnes</w:t>
      </w:r>
      <w:r>
        <w:t>,</w:t>
      </w:r>
      <w:r w:rsidRPr="009B6952">
        <w:t xml:space="preserve"> dite Conseil des Sages «Inteko Izirikana» (les trésors humains vivants). Ces sages sont porteurs et conservateurs des connaissances traditionnelles et culturelles et jouent un rôle important dans la transmission des valeurs culturelles qui forment l</w:t>
      </w:r>
      <w:r>
        <w:t>’</w:t>
      </w:r>
      <w:r w:rsidRPr="009B6952">
        <w:t>identité culturelle rwandaise. Le Ministère ayant la culture dans ses attributions, dans le cadre de la promotion des trésors humains vivants, finance dans la mesure du possible leurs projets de recherche et de formation. Le Conseil des sages est un organe consultatif du Ministère ayant la culture dans ses attributions</w:t>
      </w:r>
      <w:r>
        <w:t xml:space="preserve"> dans les domaines </w:t>
      </w:r>
      <w:r w:rsidRPr="009B6952">
        <w:t>culturel</w:t>
      </w:r>
      <w:r>
        <w:t>s</w:t>
      </w:r>
      <w:r w:rsidRPr="009B6952">
        <w:t>. Ce même conseil des sages a un autre projet appelé «identité africaine et rwandaise» visant à faire une étude approfondie de l</w:t>
      </w:r>
      <w:r>
        <w:t>’</w:t>
      </w:r>
      <w:r w:rsidRPr="009B6952">
        <w:t xml:space="preserve">identité et </w:t>
      </w:r>
      <w:r>
        <w:t xml:space="preserve">de la </w:t>
      </w:r>
      <w:r w:rsidRPr="009B6952">
        <w:t xml:space="preserve">culture rwandaises </w:t>
      </w:r>
      <w:r w:rsidRPr="00B33338">
        <w:t>par rapport</w:t>
      </w:r>
      <w:r w:rsidRPr="009B6952">
        <w:t xml:space="preserve"> </w:t>
      </w:r>
      <w:r>
        <w:t>à</w:t>
      </w:r>
      <w:r w:rsidRPr="009B6952">
        <w:t xml:space="preserve"> celles des autres pays d</w:t>
      </w:r>
      <w:r>
        <w:t>’</w:t>
      </w:r>
      <w:r w:rsidRPr="009B6952">
        <w:t>Afriq</w:t>
      </w:r>
      <w:r>
        <w:t>ue;</w:t>
      </w:r>
    </w:p>
    <w:p w:rsidR="001A4057" w:rsidRPr="006207E3" w:rsidRDefault="001A4057" w:rsidP="001A4057">
      <w:pPr>
        <w:pStyle w:val="SingleTxtG"/>
        <w:ind w:firstLine="567"/>
      </w:pPr>
      <w:r w:rsidRPr="006207E3">
        <w:t>c)</w:t>
      </w:r>
      <w:r w:rsidRPr="006207E3">
        <w:tab/>
        <w:t>Une autre association, «Umuco»</w:t>
      </w:r>
      <w:r>
        <w:t>,</w:t>
      </w:r>
      <w:r w:rsidRPr="006207E3">
        <w:t xml:space="preserve"> a comme but </w:t>
      </w:r>
      <w:r>
        <w:t xml:space="preserve">de recueillir </w:t>
      </w:r>
      <w:r w:rsidRPr="006207E3">
        <w:t>et diffus</w:t>
      </w:r>
      <w:r>
        <w:t>er l</w:t>
      </w:r>
      <w:r w:rsidRPr="006207E3">
        <w:t>es traditions rwandaises de chants, danses</w:t>
      </w:r>
      <w:r>
        <w:t xml:space="preserve">, </w:t>
      </w:r>
      <w:r w:rsidRPr="006207E3">
        <w:t xml:space="preserve">contes et proverbes; </w:t>
      </w:r>
    </w:p>
    <w:p w:rsidR="001A4057" w:rsidRPr="009B6952" w:rsidRDefault="001A4057" w:rsidP="001A4057">
      <w:pPr>
        <w:pStyle w:val="SingleTxtG"/>
        <w:ind w:firstLine="567"/>
      </w:pPr>
      <w:r w:rsidRPr="006207E3">
        <w:t>d)</w:t>
      </w:r>
      <w:r w:rsidRPr="006207E3">
        <w:tab/>
        <w:t>Par le développement des centres «Itorero». Ces centres sont des forums de l</w:t>
      </w:r>
      <w:r>
        <w:t>’</w:t>
      </w:r>
      <w:r w:rsidRPr="006207E3">
        <w:t>éducation civique et culturelle où divers sujets et problèmes d</w:t>
      </w:r>
      <w:r>
        <w:t>’</w:t>
      </w:r>
      <w:r w:rsidRPr="006207E3">
        <w:t>actualité sont discutés</w:t>
      </w:r>
      <w:r>
        <w:t>,</w:t>
      </w:r>
      <w:r w:rsidRPr="009B6952">
        <w:t xml:space="preserve"> et </w:t>
      </w:r>
      <w:r>
        <w:t>d</w:t>
      </w:r>
      <w:r w:rsidRPr="009B6952">
        <w:t xml:space="preserve">es solutions trouvées; </w:t>
      </w:r>
    </w:p>
    <w:p w:rsidR="001A4057" w:rsidRPr="009B6952" w:rsidRDefault="001A4057" w:rsidP="001A4057">
      <w:pPr>
        <w:pStyle w:val="SingleTxtG"/>
        <w:ind w:firstLine="567"/>
      </w:pPr>
      <w:r>
        <w:t>e)</w:t>
      </w:r>
      <w:r>
        <w:tab/>
      </w:r>
      <w:r w:rsidRPr="009B6952">
        <w:t>Par l</w:t>
      </w:r>
      <w:r>
        <w:t>’</w:t>
      </w:r>
      <w:r w:rsidRPr="009B6952">
        <w:t>académie de la langue et culture;</w:t>
      </w:r>
    </w:p>
    <w:p w:rsidR="001A4057" w:rsidRPr="009B6952" w:rsidRDefault="001A4057" w:rsidP="001A4057">
      <w:pPr>
        <w:pStyle w:val="SingleTxtG"/>
        <w:ind w:firstLine="567"/>
      </w:pPr>
      <w:r>
        <w:t>f)</w:t>
      </w:r>
      <w:r>
        <w:tab/>
      </w:r>
      <w:r w:rsidRPr="009B6952">
        <w:t xml:space="preserve">Par les ballets: le ballet national ainsi que les troupes culturelles. Ces dernières </w:t>
      </w:r>
      <w:r>
        <w:t>se produisent</w:t>
      </w:r>
      <w:r w:rsidRPr="009B6952">
        <w:t xml:space="preserve"> avec succès au niveau international. Le ballet national</w:t>
      </w:r>
      <w:r>
        <w:t>,</w:t>
      </w:r>
      <w:r w:rsidRPr="009B6952">
        <w:t xml:space="preserve"> par exemple</w:t>
      </w:r>
      <w:r>
        <w:t>,</w:t>
      </w:r>
      <w:r w:rsidRPr="009B6952">
        <w:t xml:space="preserve"> s</w:t>
      </w:r>
      <w:r>
        <w:t>’</w:t>
      </w:r>
      <w:r w:rsidRPr="009B6952">
        <w:t xml:space="preserve">est classé au </w:t>
      </w:r>
      <w:r w:rsidR="000B596C">
        <w:t xml:space="preserve">premier </w:t>
      </w:r>
      <w:r w:rsidRPr="009B6952">
        <w:t>rang mondial d</w:t>
      </w:r>
      <w:r>
        <w:t xml:space="preserve">ans </w:t>
      </w:r>
      <w:r w:rsidRPr="009B6952">
        <w:t>le classement de l</w:t>
      </w:r>
      <w:r>
        <w:t>’</w:t>
      </w:r>
      <w:r w:rsidRPr="009B6952">
        <w:t>UNESCO, et la troupe de</w:t>
      </w:r>
      <w:r>
        <w:t>s</w:t>
      </w:r>
      <w:r w:rsidRPr="009B6952">
        <w:t xml:space="preserve"> danseurs </w:t>
      </w:r>
      <w:r>
        <w:t>d’</w:t>
      </w:r>
      <w:r w:rsidRPr="009B6952">
        <w:t xml:space="preserve">«Intore» en </w:t>
      </w:r>
      <w:r w:rsidR="000B596C">
        <w:t>deuxième position</w:t>
      </w:r>
      <w:r w:rsidRPr="009B6952">
        <w:t xml:space="preserve"> après le ballet russe.</w:t>
      </w:r>
      <w:r>
        <w:t xml:space="preserve"> </w:t>
      </w:r>
    </w:p>
    <w:p w:rsidR="001A4057" w:rsidRPr="009B6952" w:rsidRDefault="001A4057" w:rsidP="001A4057">
      <w:pPr>
        <w:pStyle w:val="H4G"/>
      </w:pPr>
      <w:r>
        <w:tab/>
      </w:r>
      <w:r>
        <w:tab/>
      </w:r>
      <w:r w:rsidRPr="009B6952">
        <w:t>Tous les</w:t>
      </w:r>
      <w:r>
        <w:t xml:space="preserve"> R</w:t>
      </w:r>
      <w:r w:rsidRPr="009B6952">
        <w:t xml:space="preserve">wandais sans distinction jouissent de leur patrimoine culturel </w:t>
      </w:r>
    </w:p>
    <w:p w:rsidR="001A4057" w:rsidRPr="009B6952" w:rsidRDefault="001A4057" w:rsidP="001A4057">
      <w:pPr>
        <w:pStyle w:val="SingleTxtG"/>
        <w:rPr>
          <w:bCs/>
        </w:rPr>
      </w:pPr>
      <w:r>
        <w:rPr>
          <w:bCs/>
        </w:rPr>
        <w:t>313</w:t>
      </w:r>
      <w:r w:rsidRPr="009B6952">
        <w:rPr>
          <w:bCs/>
        </w:rPr>
        <w:t>.</w:t>
      </w:r>
      <w:r w:rsidRPr="009B6952">
        <w:rPr>
          <w:bCs/>
        </w:rPr>
        <w:tab/>
      </w:r>
      <w:r w:rsidRPr="009B6952">
        <w:t>Le peuple rwandais partage la même langue</w:t>
      </w:r>
      <w:r>
        <w:t xml:space="preserve"> et</w:t>
      </w:r>
      <w:r w:rsidRPr="009B6952">
        <w:t xml:space="preserve"> les mêmes traditions. Il a une seule et même culture pour tous. </w:t>
      </w:r>
    </w:p>
    <w:p w:rsidR="001A4057" w:rsidRPr="009B6952" w:rsidRDefault="001A4057" w:rsidP="001A4057">
      <w:pPr>
        <w:pStyle w:val="H4G"/>
        <w:rPr>
          <w:bCs/>
        </w:rPr>
      </w:pPr>
      <w:r>
        <w:tab/>
      </w:r>
      <w:r>
        <w:tab/>
      </w:r>
      <w:r w:rsidRPr="009B6952">
        <w:t>Le rôle des médias dans la promotion de la participation à la culture</w:t>
      </w:r>
    </w:p>
    <w:p w:rsidR="001A4057" w:rsidRPr="009B6952" w:rsidRDefault="001A4057" w:rsidP="001A4057">
      <w:pPr>
        <w:pStyle w:val="SingleTxtG"/>
      </w:pPr>
      <w:r>
        <w:t>314</w:t>
      </w:r>
      <w:r w:rsidRPr="009B6952">
        <w:t>.</w:t>
      </w:r>
      <w:r w:rsidRPr="009B6952">
        <w:tab/>
        <w:t xml:space="preserve">Les médias jouent un rôle dans la promotion et </w:t>
      </w:r>
      <w:r>
        <w:t xml:space="preserve">la </w:t>
      </w:r>
      <w:r w:rsidRPr="009B6952">
        <w:t xml:space="preserve">vulgarisation de la vie culturelle. Diverses émissions ayant trait aux pièces de théâtre, danses, poésies et chansons sont </w:t>
      </w:r>
      <w:r>
        <w:t>diffusées</w:t>
      </w:r>
      <w:r w:rsidRPr="009B6952">
        <w:t xml:space="preserve"> à cet effet sur les </w:t>
      </w:r>
      <w:r>
        <w:t>ondes</w:t>
      </w:r>
      <w:r w:rsidRPr="009B6952">
        <w:t xml:space="preserve"> des radios publique</w:t>
      </w:r>
      <w:r w:rsidR="00C13FE4">
        <w:t>s</w:t>
      </w:r>
      <w:r w:rsidRPr="009B6952">
        <w:t xml:space="preserve"> et privées et même </w:t>
      </w:r>
      <w:r>
        <w:t>à</w:t>
      </w:r>
      <w:r w:rsidRPr="009B6952">
        <w:t xml:space="preserve"> la télévision.</w:t>
      </w:r>
    </w:p>
    <w:p w:rsidR="001A4057" w:rsidRPr="009B6952" w:rsidRDefault="001A4057" w:rsidP="001A4057">
      <w:pPr>
        <w:pStyle w:val="H4G"/>
      </w:pPr>
      <w:r>
        <w:tab/>
      </w:r>
      <w:r>
        <w:tab/>
      </w:r>
      <w:r w:rsidRPr="009B6952">
        <w:t>Sauvegarde et présentation du patrimoine culturel de l</w:t>
      </w:r>
      <w:r>
        <w:t>’</w:t>
      </w:r>
      <w:r w:rsidRPr="009B6952">
        <w:t>humanité</w:t>
      </w:r>
    </w:p>
    <w:p w:rsidR="001A4057" w:rsidRPr="009B6952" w:rsidRDefault="001A4057" w:rsidP="001A4057">
      <w:pPr>
        <w:pStyle w:val="SingleTxtG"/>
        <w:keepNext/>
      </w:pPr>
      <w:r w:rsidRPr="009B6952">
        <w:t>31</w:t>
      </w:r>
      <w:r>
        <w:t>5</w:t>
      </w:r>
      <w:r w:rsidRPr="009B6952">
        <w:t>.</w:t>
      </w:r>
      <w:r w:rsidRPr="009B6952">
        <w:tab/>
        <w:t xml:space="preserve">Les moyens de présentation et </w:t>
      </w:r>
      <w:r>
        <w:t xml:space="preserve">de </w:t>
      </w:r>
      <w:r w:rsidRPr="009B6952">
        <w:t>sauvegarde du patrimoine culturel sont</w:t>
      </w:r>
      <w:r>
        <w:t xml:space="preserve"> les suivants</w:t>
      </w:r>
      <w:r w:rsidRPr="009B6952">
        <w:t xml:space="preserve">: </w:t>
      </w:r>
    </w:p>
    <w:p w:rsidR="001A4057" w:rsidRPr="009B6952" w:rsidRDefault="001A4057" w:rsidP="001A4057">
      <w:pPr>
        <w:pStyle w:val="SingleTxtG"/>
        <w:ind w:firstLine="567"/>
      </w:pPr>
      <w:r>
        <w:t>a)</w:t>
      </w:r>
      <w:r>
        <w:tab/>
      </w:r>
      <w:r w:rsidRPr="009B6952">
        <w:t>L</w:t>
      </w:r>
      <w:r>
        <w:t>’</w:t>
      </w:r>
      <w:r w:rsidRPr="009B6952">
        <w:t xml:space="preserve">acceptation par le Rwanda en 2000 de la </w:t>
      </w:r>
      <w:r w:rsidRPr="00B33338">
        <w:t>Convention concernant la protection du patrimoine mondial, culturel et naturel</w:t>
      </w:r>
      <w:r w:rsidRPr="009B6952">
        <w:t xml:space="preserve">; </w:t>
      </w:r>
    </w:p>
    <w:p w:rsidR="001A4057" w:rsidRPr="009B6952" w:rsidRDefault="001A4057" w:rsidP="001A4057">
      <w:pPr>
        <w:pStyle w:val="SingleTxtG"/>
        <w:ind w:firstLine="567"/>
      </w:pPr>
      <w:r>
        <w:t>b)</w:t>
      </w:r>
      <w:r>
        <w:tab/>
        <w:t>L</w:t>
      </w:r>
      <w:r w:rsidRPr="009B6952">
        <w:t xml:space="preserve">e Rwanda </w:t>
      </w:r>
      <w:r>
        <w:t>s’</w:t>
      </w:r>
      <w:r w:rsidRPr="009B6952">
        <w:t xml:space="preserve">est engagé dans un processus de présentation et </w:t>
      </w:r>
      <w:r>
        <w:t>d’</w:t>
      </w:r>
      <w:r w:rsidRPr="009B6952">
        <w:t>inscription de certains de ses sites naturels et culturels sur la liste du patrimoine culturel mondial;</w:t>
      </w:r>
    </w:p>
    <w:p w:rsidR="001A4057" w:rsidRPr="009B6952" w:rsidRDefault="001A4057" w:rsidP="001A4057">
      <w:pPr>
        <w:pStyle w:val="SingleTxtG"/>
        <w:ind w:firstLine="567"/>
      </w:pPr>
      <w:r>
        <w:t>c)</w:t>
      </w:r>
      <w:r>
        <w:tab/>
        <w:t>L’</w:t>
      </w:r>
      <w:r w:rsidRPr="009B6952">
        <w:t xml:space="preserve">inventaire du patrimoine culturel national a été fait; </w:t>
      </w:r>
    </w:p>
    <w:p w:rsidR="001A4057" w:rsidRPr="009B6952" w:rsidRDefault="001A4057" w:rsidP="001A4057">
      <w:pPr>
        <w:pStyle w:val="SingleTxtG"/>
        <w:ind w:firstLine="567"/>
      </w:pPr>
      <w:r>
        <w:t>d)</w:t>
      </w:r>
      <w:r>
        <w:tab/>
      </w:r>
      <w:r w:rsidRPr="009B6952">
        <w:t xml:space="preserve">Des programmes de sensibilisation sont offerts après les travaux communautaires. </w:t>
      </w:r>
      <w:r w:rsidRPr="00B33338">
        <w:t>Les</w:t>
      </w:r>
      <w:r w:rsidRPr="009B6952">
        <w:t xml:space="preserve"> thèmes port</w:t>
      </w:r>
      <w:r>
        <w:t>ent sur la culture;</w:t>
      </w:r>
    </w:p>
    <w:p w:rsidR="001A4057" w:rsidRPr="009B6952" w:rsidRDefault="001A4057" w:rsidP="001A4057">
      <w:pPr>
        <w:pStyle w:val="SingleTxtG"/>
        <w:ind w:firstLine="567"/>
      </w:pPr>
      <w:r>
        <w:t>e)</w:t>
      </w:r>
      <w:r>
        <w:tab/>
      </w:r>
      <w:r w:rsidRPr="009B6952">
        <w:t xml:space="preserve">La création de musées régionaux </w:t>
      </w:r>
      <w:r>
        <w:t>consacrés à</w:t>
      </w:r>
      <w:r w:rsidRPr="009B6952">
        <w:t xml:space="preserve"> l</w:t>
      </w:r>
      <w:r>
        <w:t>’</w:t>
      </w:r>
      <w:r w:rsidRPr="009B6952">
        <w:t xml:space="preserve">agriculture, la technologie, </w:t>
      </w:r>
      <w:r>
        <w:t>l</w:t>
      </w:r>
      <w:r w:rsidRPr="009B6952">
        <w:t xml:space="preserve">es arts, </w:t>
      </w:r>
      <w:r>
        <w:t xml:space="preserve">mais aussi </w:t>
      </w:r>
      <w:r w:rsidRPr="009B6952">
        <w:t>le musée vitrine des musées, le musée de l</w:t>
      </w:r>
      <w:r>
        <w:t>’</w:t>
      </w:r>
      <w:r w:rsidRPr="009B6952">
        <w:t xml:space="preserve">environnement, </w:t>
      </w:r>
      <w:r>
        <w:t xml:space="preserve">le musée </w:t>
      </w:r>
      <w:r w:rsidRPr="009B6952">
        <w:t>d</w:t>
      </w:r>
      <w:r>
        <w:t>’</w:t>
      </w:r>
      <w:r w:rsidRPr="009B6952">
        <w:t xml:space="preserve">histoire naturelle, </w:t>
      </w:r>
      <w:r>
        <w:t xml:space="preserve">ou encore </w:t>
      </w:r>
      <w:r w:rsidRPr="009B6952">
        <w:t>du Rwanda ancien, d</w:t>
      </w:r>
      <w:r>
        <w:t>’</w:t>
      </w:r>
      <w:r w:rsidRPr="009B6952">
        <w:t>histoire précoloniale, de l</w:t>
      </w:r>
      <w:r>
        <w:t>’</w:t>
      </w:r>
      <w:r w:rsidRPr="009B6952">
        <w:t xml:space="preserve">armée, de la </w:t>
      </w:r>
      <w:r>
        <w:t>paix et le musée des grand-lacs;</w:t>
      </w:r>
    </w:p>
    <w:p w:rsidR="001A4057" w:rsidRPr="009B6952" w:rsidRDefault="001A4057" w:rsidP="001A4057">
      <w:pPr>
        <w:pStyle w:val="SingleTxtG"/>
        <w:ind w:firstLine="567"/>
      </w:pPr>
      <w:r>
        <w:rPr>
          <w:bCs/>
        </w:rPr>
        <w:t>f)</w:t>
      </w:r>
      <w:r>
        <w:rPr>
          <w:bCs/>
        </w:rPr>
        <w:tab/>
        <w:t xml:space="preserve">L’élaboration </w:t>
      </w:r>
      <w:r w:rsidRPr="009B6952">
        <w:t>d</w:t>
      </w:r>
      <w:r>
        <w:t>’</w:t>
      </w:r>
      <w:r w:rsidRPr="009B6952">
        <w:t>un dictionnaire kinyarwanda-français en 2007 par l</w:t>
      </w:r>
      <w:r>
        <w:t>’</w:t>
      </w:r>
      <w:r w:rsidRPr="009B6952">
        <w:t>Institut de Recherche Scientifique et Technolo</w:t>
      </w:r>
      <w:r>
        <w:t>gique (une première au Rwanda);</w:t>
      </w:r>
    </w:p>
    <w:p w:rsidR="001A4057" w:rsidRPr="009B6952" w:rsidRDefault="001A4057" w:rsidP="001A4057">
      <w:pPr>
        <w:pStyle w:val="SingleTxtG"/>
        <w:ind w:firstLine="567"/>
      </w:pPr>
      <w:r>
        <w:t>g)</w:t>
      </w:r>
      <w:r>
        <w:tab/>
      </w:r>
      <w:r w:rsidRPr="009B6952">
        <w:t>Des expositions folkloriques sont organisées chaque année afin de présenter la culture rwandaise et d</w:t>
      </w:r>
      <w:r>
        <w:t>’</w:t>
      </w:r>
      <w:r w:rsidRPr="009B6952">
        <w:t xml:space="preserve">ailleurs; </w:t>
      </w:r>
    </w:p>
    <w:p w:rsidR="001A4057" w:rsidRPr="009B6952" w:rsidRDefault="001A4057" w:rsidP="001A4057">
      <w:pPr>
        <w:pStyle w:val="SingleTxtG"/>
        <w:ind w:firstLine="567"/>
      </w:pPr>
      <w:r>
        <w:t>h)</w:t>
      </w:r>
      <w:r>
        <w:tab/>
      </w:r>
      <w:r w:rsidRPr="009B6952">
        <w:t>Des événements comme le Festival Panafricain de danses (FESP</w:t>
      </w:r>
      <w:r>
        <w:t>AD) ont lieu tous les deux ans;</w:t>
      </w:r>
    </w:p>
    <w:p w:rsidR="001A4057" w:rsidRPr="009B6952" w:rsidRDefault="001A4057" w:rsidP="001A4057">
      <w:pPr>
        <w:pStyle w:val="SingleTxtG"/>
        <w:ind w:firstLine="567"/>
      </w:pPr>
      <w:r>
        <w:t>i)</w:t>
      </w:r>
      <w:r>
        <w:tab/>
      </w:r>
      <w:r w:rsidRPr="009B6952">
        <w:t xml:space="preserve">Des échanges culturels sont organisés entre </w:t>
      </w:r>
      <w:r>
        <w:t xml:space="preserve">les </w:t>
      </w:r>
      <w:r w:rsidRPr="009B6952">
        <w:t xml:space="preserve">universités; </w:t>
      </w:r>
    </w:p>
    <w:p w:rsidR="001A4057" w:rsidRPr="009B6952" w:rsidRDefault="001A4057" w:rsidP="001A4057">
      <w:pPr>
        <w:pStyle w:val="SingleTxtG"/>
        <w:ind w:firstLine="567"/>
      </w:pPr>
      <w:r>
        <w:t>j)</w:t>
      </w:r>
      <w:r>
        <w:tab/>
      </w:r>
      <w:r w:rsidRPr="009B6952">
        <w:t>La recherche archéologique afin d</w:t>
      </w:r>
      <w:r>
        <w:t>’</w:t>
      </w:r>
      <w:r w:rsidRPr="009B6952">
        <w:t>enquêter sur les technologies utilisées au Rwanda avant l</w:t>
      </w:r>
      <w:r>
        <w:t>’</w:t>
      </w:r>
      <w:r w:rsidRPr="009B6952">
        <w:t>époque précol</w:t>
      </w:r>
      <w:r>
        <w:t>oniale;</w:t>
      </w:r>
    </w:p>
    <w:p w:rsidR="001A4057" w:rsidRPr="009B6952" w:rsidRDefault="001A4057" w:rsidP="001A4057">
      <w:pPr>
        <w:pStyle w:val="SingleTxtG"/>
        <w:ind w:firstLine="567"/>
      </w:pPr>
      <w:r>
        <w:t>k)</w:t>
      </w:r>
      <w:r>
        <w:tab/>
      </w:r>
      <w:r w:rsidRPr="009B6952">
        <w:t xml:space="preserve">Des associations et clubs UNESCO ont </w:t>
      </w:r>
      <w:r>
        <w:t xml:space="preserve">été </w:t>
      </w:r>
      <w:r w:rsidRPr="009B6952">
        <w:t>créés</w:t>
      </w:r>
      <w:r>
        <w:t>, tout comme d</w:t>
      </w:r>
      <w:r w:rsidRPr="009B6952">
        <w:t>ivers</w:t>
      </w:r>
      <w:r>
        <w:t xml:space="preserve"> autres </w:t>
      </w:r>
      <w:r w:rsidRPr="009B6952">
        <w:t xml:space="preserve">clubs, comme les clubs Unité et Réconciliation, </w:t>
      </w:r>
      <w:r>
        <w:t xml:space="preserve">les </w:t>
      </w:r>
      <w:r w:rsidRPr="009B6952">
        <w:t>clubs pour la préservation de l</w:t>
      </w:r>
      <w:r>
        <w:t>’</w:t>
      </w:r>
      <w:r w:rsidRPr="009B6952">
        <w:t>environnement</w:t>
      </w:r>
      <w:r>
        <w:t xml:space="preserve"> ou encore</w:t>
      </w:r>
      <w:r w:rsidRPr="009B6952">
        <w:t xml:space="preserve"> </w:t>
      </w:r>
      <w:r>
        <w:t xml:space="preserve">les </w:t>
      </w:r>
      <w:r w:rsidRPr="009B6952">
        <w:t>clubs pour l</w:t>
      </w:r>
      <w:r>
        <w:t>’</w:t>
      </w:r>
      <w:r w:rsidRPr="009B6952">
        <w:t>identité africaine et rwandaise.</w:t>
      </w:r>
      <w:r>
        <w:t xml:space="preserve"> </w:t>
      </w:r>
    </w:p>
    <w:p w:rsidR="001A4057" w:rsidRPr="009B6952" w:rsidRDefault="001A4057" w:rsidP="001A4057">
      <w:pPr>
        <w:pStyle w:val="H4G"/>
      </w:pPr>
      <w:r>
        <w:tab/>
      </w:r>
      <w:r>
        <w:tab/>
      </w:r>
      <w:r w:rsidRPr="009B6952">
        <w:t>Législation protégeant la liberté de création et</w:t>
      </w:r>
      <w:r>
        <w:t xml:space="preserve"> de</w:t>
      </w:r>
      <w:r w:rsidRPr="009B6952">
        <w:t xml:space="preserve"> production artistique</w:t>
      </w:r>
    </w:p>
    <w:p w:rsidR="001A4057" w:rsidRPr="009B6952" w:rsidRDefault="001A4057" w:rsidP="001A4057">
      <w:pPr>
        <w:pStyle w:val="SingleTxtG"/>
      </w:pPr>
      <w:r>
        <w:t>316</w:t>
      </w:r>
      <w:r w:rsidRPr="009B6952">
        <w:t>.</w:t>
      </w:r>
      <w:r w:rsidRPr="009B6952">
        <w:tab/>
        <w:t>La liberté de création artistique est garantie dans la Loi sur les droits d</w:t>
      </w:r>
      <w:r>
        <w:t>’</w:t>
      </w:r>
      <w:r w:rsidRPr="009B6952">
        <w:t xml:space="preserve">auteur. La création, production et diffusion des produits culturels </w:t>
      </w:r>
      <w:r>
        <w:t>sont</w:t>
      </w:r>
      <w:r w:rsidRPr="009B6952">
        <w:t xml:space="preserve"> libre</w:t>
      </w:r>
      <w:r>
        <w:t>s</w:t>
      </w:r>
      <w:r w:rsidRPr="009B6952">
        <w:t xml:space="preserve">, sauf </w:t>
      </w:r>
      <w:r>
        <w:t xml:space="preserve">dans </w:t>
      </w:r>
      <w:r w:rsidRPr="009B6952">
        <w:t>les limitations prévues par la loi. La loi sur les brevets permet la délivrance de brevets lorsque les conditions qu</w:t>
      </w:r>
      <w:r>
        <w:t>’</w:t>
      </w:r>
      <w:r w:rsidRPr="009B6952">
        <w:t xml:space="preserve">elle prévoit sont remplies. </w:t>
      </w:r>
    </w:p>
    <w:p w:rsidR="001A4057" w:rsidRPr="009B6952" w:rsidRDefault="001A4057" w:rsidP="001A4057">
      <w:pPr>
        <w:pStyle w:val="H4G"/>
      </w:pPr>
      <w:r>
        <w:tab/>
      </w:r>
      <w:r>
        <w:tab/>
      </w:r>
      <w:r w:rsidRPr="009B6952">
        <w:t>Enseignement professionnel dans le</w:t>
      </w:r>
      <w:r>
        <w:t>s</w:t>
      </w:r>
      <w:r w:rsidRPr="009B6952">
        <w:t xml:space="preserve"> domaine</w:t>
      </w:r>
      <w:r>
        <w:t>s</w:t>
      </w:r>
      <w:r w:rsidRPr="009B6952">
        <w:t xml:space="preserve"> culturel et artistique</w:t>
      </w:r>
    </w:p>
    <w:p w:rsidR="001A4057" w:rsidRPr="009B6952" w:rsidRDefault="001A4057" w:rsidP="001A4057">
      <w:pPr>
        <w:pStyle w:val="SingleTxtG"/>
        <w:rPr>
          <w:bCs/>
        </w:rPr>
      </w:pPr>
      <w:r>
        <w:rPr>
          <w:bCs/>
        </w:rPr>
        <w:t>317</w:t>
      </w:r>
      <w:r w:rsidRPr="009B6952">
        <w:rPr>
          <w:bCs/>
        </w:rPr>
        <w:t>.</w:t>
      </w:r>
      <w:r w:rsidRPr="009B6952">
        <w:rPr>
          <w:bCs/>
        </w:rPr>
        <w:tab/>
      </w:r>
      <w:r w:rsidRPr="009B6952">
        <w:t>En ce qui concerne l</w:t>
      </w:r>
      <w:r>
        <w:t>’</w:t>
      </w:r>
      <w:r w:rsidRPr="009B6952">
        <w:t xml:space="preserve">enseignement professionnel, il existe: </w:t>
      </w:r>
    </w:p>
    <w:p w:rsidR="001A4057" w:rsidRPr="009B6952" w:rsidRDefault="001A4057" w:rsidP="001A4057">
      <w:pPr>
        <w:pStyle w:val="Bullet1G"/>
      </w:pPr>
      <w:r w:rsidRPr="009B6952">
        <w:t>L</w:t>
      </w:r>
      <w:r>
        <w:t>’</w:t>
      </w:r>
      <w:r w:rsidRPr="009B6952">
        <w:t>Institut Supérieur de l</w:t>
      </w:r>
      <w:r>
        <w:t>’</w:t>
      </w:r>
      <w:r w:rsidRPr="009B6952">
        <w:t xml:space="preserve">Éducation </w:t>
      </w:r>
      <w:r>
        <w:t>doté d’</w:t>
      </w:r>
      <w:r w:rsidRPr="009B6952">
        <w:t xml:space="preserve">un Département des Arts Dramatiques; </w:t>
      </w:r>
    </w:p>
    <w:p w:rsidR="001A4057" w:rsidRPr="009B6952" w:rsidRDefault="001A4057" w:rsidP="001A4057">
      <w:pPr>
        <w:pStyle w:val="Bullet1G"/>
      </w:pPr>
      <w:r w:rsidRPr="009B6952">
        <w:t>Le centre universitaire des arts</w:t>
      </w:r>
      <w:r>
        <w:t xml:space="preserve">, </w:t>
      </w:r>
      <w:r w:rsidRPr="00EE07F3">
        <w:t>logé</w:t>
      </w:r>
      <w:r w:rsidRPr="009B6952">
        <w:t xml:space="preserve"> au sein de l</w:t>
      </w:r>
      <w:r>
        <w:t>’</w:t>
      </w:r>
      <w:r w:rsidRPr="009B6952">
        <w:t xml:space="preserve">Université Nationale du Rwanda depuis 1999, </w:t>
      </w:r>
      <w:r>
        <w:t>qui permet la</w:t>
      </w:r>
      <w:r w:rsidRPr="009B6952">
        <w:t xml:space="preserve"> formation et </w:t>
      </w:r>
      <w:r>
        <w:t xml:space="preserve">la </w:t>
      </w:r>
      <w:r w:rsidRPr="009B6952">
        <w:t xml:space="preserve">promotion des artistes; </w:t>
      </w:r>
    </w:p>
    <w:p w:rsidR="001A4057" w:rsidRPr="009B6952" w:rsidRDefault="001A4057" w:rsidP="001A4057">
      <w:pPr>
        <w:pStyle w:val="Bullet1G"/>
        <w:rPr>
          <w:bCs/>
        </w:rPr>
      </w:pPr>
      <w:r w:rsidRPr="009B6952">
        <w:rPr>
          <w:bCs/>
        </w:rPr>
        <w:t>Une école d</w:t>
      </w:r>
      <w:r>
        <w:rPr>
          <w:bCs/>
        </w:rPr>
        <w:t>’</w:t>
      </w:r>
      <w:r w:rsidRPr="009B6952">
        <w:rPr>
          <w:bCs/>
        </w:rPr>
        <w:t>arts (École d</w:t>
      </w:r>
      <w:r>
        <w:rPr>
          <w:bCs/>
        </w:rPr>
        <w:t>’</w:t>
      </w:r>
      <w:r w:rsidRPr="009B6952">
        <w:rPr>
          <w:bCs/>
        </w:rPr>
        <w:t>arts de Nyundo).</w:t>
      </w:r>
    </w:p>
    <w:p w:rsidR="001A4057" w:rsidRPr="009B6952" w:rsidRDefault="001A4057" w:rsidP="001A4057">
      <w:pPr>
        <w:pStyle w:val="H4G"/>
      </w:pPr>
      <w:r>
        <w:tab/>
      </w:r>
      <w:r>
        <w:tab/>
      </w:r>
      <w:r w:rsidRPr="009B6952">
        <w:t>Autres mesures</w:t>
      </w:r>
      <w:r>
        <w:t xml:space="preserve"> prévues</w:t>
      </w:r>
      <w:r w:rsidRPr="009B6952">
        <w:t xml:space="preserve"> pour la promotion de la culture</w:t>
      </w:r>
    </w:p>
    <w:p w:rsidR="001A4057" w:rsidRPr="009B6952" w:rsidRDefault="001A4057" w:rsidP="001A4057">
      <w:pPr>
        <w:pStyle w:val="SingleTxtG"/>
        <w:keepNext/>
      </w:pPr>
      <w:r>
        <w:t>318</w:t>
      </w:r>
      <w:r w:rsidRPr="009B6952">
        <w:t>.</w:t>
      </w:r>
      <w:r w:rsidRPr="009B6952">
        <w:tab/>
      </w:r>
      <w:r>
        <w:t>Parmi les</w:t>
      </w:r>
      <w:r w:rsidRPr="009B6952">
        <w:t xml:space="preserve"> autres mesures </w:t>
      </w:r>
      <w:r>
        <w:t xml:space="preserve">prévues </w:t>
      </w:r>
      <w:r w:rsidRPr="009B6952">
        <w:t>pour la promotion de la culture</w:t>
      </w:r>
      <w:r>
        <w:t>, signalons que</w:t>
      </w:r>
      <w:r w:rsidRPr="009B6952">
        <w:t>:</w:t>
      </w:r>
    </w:p>
    <w:p w:rsidR="001A4057" w:rsidRPr="009B6952" w:rsidRDefault="001A4057" w:rsidP="001A4057">
      <w:pPr>
        <w:pStyle w:val="SingleTxtG"/>
        <w:ind w:firstLine="567"/>
      </w:pPr>
      <w:r>
        <w:t>a)</w:t>
      </w:r>
      <w:r>
        <w:tab/>
      </w:r>
      <w:r w:rsidRPr="009B6952">
        <w:t xml:space="preserve">Le Ministère ayant dans ses attributions la culture appelle les artistes à se regrouper </w:t>
      </w:r>
      <w:r>
        <w:t>au sein d’</w:t>
      </w:r>
      <w:r w:rsidRPr="009B6952">
        <w:t>associations pour une meilleure co</w:t>
      </w:r>
      <w:r>
        <w:t>ordination;</w:t>
      </w:r>
    </w:p>
    <w:p w:rsidR="001A4057" w:rsidRPr="009B6952" w:rsidRDefault="001A4057" w:rsidP="001A4057">
      <w:pPr>
        <w:pStyle w:val="SingleTxtG"/>
        <w:ind w:firstLine="567"/>
      </w:pPr>
      <w:r>
        <w:t>b)</w:t>
      </w:r>
      <w:r>
        <w:tab/>
      </w:r>
      <w:r w:rsidRPr="009B6952">
        <w:t>Avec l</w:t>
      </w:r>
      <w:r>
        <w:t>’</w:t>
      </w:r>
      <w:r w:rsidRPr="009B6952">
        <w:t>aide de l</w:t>
      </w:r>
      <w:r>
        <w:t>’</w:t>
      </w:r>
      <w:r w:rsidRPr="009B6952">
        <w:t>UNESCO</w:t>
      </w:r>
      <w:r w:rsidRPr="00B352B3">
        <w:rPr>
          <w:rStyle w:val="FootnoteReference"/>
        </w:rPr>
        <w:footnoteReference w:id="166"/>
      </w:r>
      <w:r w:rsidRPr="009B6952">
        <w:t xml:space="preserve">, des sites naturels et culturels ont été revalorisés; </w:t>
      </w:r>
    </w:p>
    <w:p w:rsidR="001A4057" w:rsidRPr="009B6952" w:rsidRDefault="001A4057" w:rsidP="001A4057">
      <w:pPr>
        <w:pStyle w:val="SingleTxtG"/>
        <w:ind w:firstLine="567"/>
      </w:pPr>
      <w:r>
        <w:t>c)</w:t>
      </w:r>
      <w:r>
        <w:tab/>
      </w:r>
      <w:r w:rsidRPr="009B6952">
        <w:t xml:space="preserve">Des efforts dans la promotion du cinéma sont entrepris, par exemple la semaine du cinéma; </w:t>
      </w:r>
    </w:p>
    <w:p w:rsidR="001A4057" w:rsidRPr="009B6952" w:rsidRDefault="001A4057" w:rsidP="001A4057">
      <w:pPr>
        <w:pStyle w:val="SingleTxtG"/>
        <w:ind w:firstLine="567"/>
      </w:pPr>
      <w:r>
        <w:t>d)</w:t>
      </w:r>
      <w:r>
        <w:tab/>
      </w:r>
      <w:r w:rsidRPr="009B6952">
        <w:t xml:space="preserve">Des formations en cinématographie sont offertes en vue de promouvoir la culture locale; </w:t>
      </w:r>
    </w:p>
    <w:p w:rsidR="001A4057" w:rsidRPr="009B6952" w:rsidRDefault="001A4057" w:rsidP="001A4057">
      <w:pPr>
        <w:pStyle w:val="SingleTxtG"/>
        <w:ind w:firstLine="567"/>
      </w:pPr>
      <w:r>
        <w:t>e)</w:t>
      </w:r>
      <w:r>
        <w:tab/>
        <w:t>En ce qui concerne</w:t>
      </w:r>
      <w:r w:rsidRPr="009B6952">
        <w:t xml:space="preserve"> les groupes défavorisés</w:t>
      </w:r>
      <w:r>
        <w:t>, il convient de noter </w:t>
      </w:r>
      <w:r w:rsidRPr="00EE07F3">
        <w:t>la promotion du sport pour les personnes handicapées physiques et mentales, la tenue de trois compétitions africaines au Rwanda et l</w:t>
      </w:r>
      <w:r>
        <w:t>’</w:t>
      </w:r>
      <w:r w:rsidRPr="00EE07F3">
        <w:t>assistance apportée par le Gouvernement rwandais à leur déroulement dans la ville de Kigali;</w:t>
      </w:r>
    </w:p>
    <w:p w:rsidR="001A4057" w:rsidRPr="009B6952" w:rsidRDefault="001A4057" w:rsidP="001A4057">
      <w:pPr>
        <w:pStyle w:val="SingleTxtG"/>
        <w:ind w:firstLine="567"/>
        <w:rPr>
          <w:b/>
        </w:rPr>
      </w:pPr>
      <w:r>
        <w:t>f)</w:t>
      </w:r>
      <w:r>
        <w:tab/>
      </w:r>
      <w:r w:rsidRPr="009B6952">
        <w:t>Les personnes handicapées participent régulièrement à des compétitions régionales et internationales. En 2004 et 2006</w:t>
      </w:r>
      <w:r>
        <w:t>,</w:t>
      </w:r>
      <w:r w:rsidRPr="009B6952">
        <w:t xml:space="preserve"> lors des compétitions mondiales de seat ball, le Rwanda a obtenu une médaille de bronze à chacun de ces deux tournois; ces mêmes personnes ont pu </w:t>
      </w:r>
      <w:r>
        <w:t>également</w:t>
      </w:r>
      <w:r w:rsidRPr="009B6952">
        <w:t xml:space="preserve"> particip</w:t>
      </w:r>
      <w:r>
        <w:t>er</w:t>
      </w:r>
      <w:r w:rsidRPr="009B6952">
        <w:t xml:space="preserve"> aux jeux paralympiques de Pékin en 2008, mais </w:t>
      </w:r>
      <w:r>
        <w:t xml:space="preserve">elles </w:t>
      </w:r>
      <w:r w:rsidRPr="009B6952">
        <w:t>n</w:t>
      </w:r>
      <w:r>
        <w:t>’</w:t>
      </w:r>
      <w:r w:rsidRPr="009B6952">
        <w:t>ont remporté aucune médaille.</w:t>
      </w:r>
      <w:r w:rsidRPr="009B6952">
        <w:rPr>
          <w:b/>
        </w:rPr>
        <w:t xml:space="preserve"> </w:t>
      </w:r>
    </w:p>
    <w:p w:rsidR="001A4057" w:rsidRPr="009B6952" w:rsidRDefault="001A4057" w:rsidP="001A4057">
      <w:pPr>
        <w:pStyle w:val="H4G"/>
      </w:pPr>
      <w:r>
        <w:tab/>
      </w:r>
      <w:r>
        <w:tab/>
      </w:r>
      <w:r w:rsidRPr="009B6952">
        <w:t xml:space="preserve">La coopération du Rwanda en matière culturelle </w:t>
      </w:r>
    </w:p>
    <w:p w:rsidR="001A4057" w:rsidRPr="009B6952" w:rsidRDefault="001A4057" w:rsidP="001A4057">
      <w:pPr>
        <w:pStyle w:val="SingleTxtG"/>
      </w:pPr>
      <w:r>
        <w:t>319</w:t>
      </w:r>
      <w:r w:rsidRPr="009B6952">
        <w:t>.</w:t>
      </w:r>
      <w:r w:rsidRPr="009B6952">
        <w:tab/>
        <w:t>Il existe une coopération bilatérale et multilatérale entre le Rwanda et diverses institutions en matière culturelle</w:t>
      </w:r>
      <w:r>
        <w:t xml:space="preserve">, </w:t>
      </w:r>
      <w:r w:rsidRPr="009B6952">
        <w:t xml:space="preserve">par exemple </w:t>
      </w:r>
      <w:r>
        <w:t xml:space="preserve">avec </w:t>
      </w:r>
      <w:r w:rsidRPr="009B6952">
        <w:t>l</w:t>
      </w:r>
      <w:r>
        <w:t>’</w:t>
      </w:r>
      <w:r w:rsidRPr="009B6952">
        <w:t>UNESCO, l</w:t>
      </w:r>
      <w:r>
        <w:t>’</w:t>
      </w:r>
      <w:r w:rsidRPr="009B6952">
        <w:t>ICCROM, l</w:t>
      </w:r>
      <w:r>
        <w:t>’</w:t>
      </w:r>
      <w:r w:rsidRPr="009B6952">
        <w:t>IFLA (</w:t>
      </w:r>
      <w:r>
        <w:t>la Fédération internationale des associations de bibliothécaires et des bibliothèques</w:t>
      </w:r>
      <w:r w:rsidRPr="009B6952">
        <w:t xml:space="preserve">), le CIA (Conseil </w:t>
      </w:r>
      <w:r>
        <w:t>i</w:t>
      </w:r>
      <w:r w:rsidRPr="009B6952">
        <w:t xml:space="preserve">nternational des </w:t>
      </w:r>
      <w:r>
        <w:t>a</w:t>
      </w:r>
      <w:r w:rsidRPr="009B6952">
        <w:t>rchives) et l</w:t>
      </w:r>
      <w:r>
        <w:t>’</w:t>
      </w:r>
      <w:r w:rsidRPr="009B6952">
        <w:t xml:space="preserve">OIF (Organisation </w:t>
      </w:r>
      <w:r>
        <w:t>i</w:t>
      </w:r>
      <w:r w:rsidRPr="009B6952">
        <w:t xml:space="preserve">nternationale de la </w:t>
      </w:r>
      <w:r>
        <w:t>F</w:t>
      </w:r>
      <w:r w:rsidRPr="009B6952">
        <w:t>rancophonie) pour ne citer que ceux-là.</w:t>
      </w:r>
      <w:r>
        <w:t xml:space="preserve"> </w:t>
      </w:r>
    </w:p>
    <w:p w:rsidR="001A4057" w:rsidRPr="009B6952" w:rsidRDefault="001A4057" w:rsidP="001A4057">
      <w:pPr>
        <w:pStyle w:val="H4G"/>
      </w:pPr>
      <w:r>
        <w:tab/>
      </w:r>
      <w:r>
        <w:tab/>
      </w:r>
      <w:r w:rsidRPr="009B6952">
        <w:t>Obstacles rencontrés dans l</w:t>
      </w:r>
      <w:r>
        <w:t>’</w:t>
      </w:r>
      <w:r w:rsidRPr="009B6952">
        <w:t>exercice du droit à la culture</w:t>
      </w:r>
    </w:p>
    <w:p w:rsidR="001A4057" w:rsidRPr="009B6952" w:rsidRDefault="001A4057" w:rsidP="001A4057">
      <w:pPr>
        <w:pStyle w:val="SingleTxtG"/>
      </w:pPr>
      <w:r>
        <w:t>320</w:t>
      </w:r>
      <w:r w:rsidRPr="009B6952">
        <w:t>.</w:t>
      </w:r>
      <w:r w:rsidRPr="009B6952">
        <w:tab/>
        <w:t>Certains obstacles existent encore à l</w:t>
      </w:r>
      <w:r>
        <w:t>’</w:t>
      </w:r>
      <w:r w:rsidRPr="009B6952">
        <w:t xml:space="preserve">exercice du droit à la culture: </w:t>
      </w:r>
    </w:p>
    <w:p w:rsidR="001A4057" w:rsidRPr="009B6952" w:rsidRDefault="001A4057" w:rsidP="001A4057">
      <w:pPr>
        <w:pStyle w:val="Bullet1G"/>
      </w:pPr>
      <w:r w:rsidRPr="009B6952">
        <w:t>L</w:t>
      </w:r>
      <w:r>
        <w:t>’</w:t>
      </w:r>
      <w:r w:rsidRPr="009B6952">
        <w:t>insuffisance d</w:t>
      </w:r>
      <w:r>
        <w:t>’</w:t>
      </w:r>
      <w:r w:rsidRPr="009B6952">
        <w:t>experts soit en recherche archéologique, soit en gestion du patrimoine culturel;</w:t>
      </w:r>
    </w:p>
    <w:p w:rsidR="001A4057" w:rsidRPr="009B6952" w:rsidRDefault="001A4057" w:rsidP="001A4057">
      <w:pPr>
        <w:pStyle w:val="Bullet1G"/>
      </w:pPr>
      <w:r>
        <w:t>L</w:t>
      </w:r>
      <w:r w:rsidRPr="009B6952">
        <w:t>e pays ne s</w:t>
      </w:r>
      <w:r>
        <w:t>’</w:t>
      </w:r>
      <w:r w:rsidRPr="009B6952">
        <w:t>est pas encore doté de maison d</w:t>
      </w:r>
      <w:r>
        <w:t>’</w:t>
      </w:r>
      <w:r w:rsidRPr="009B6952">
        <w:t>édition ni de laboratoire approprié.</w:t>
      </w:r>
    </w:p>
    <w:p w:rsidR="001A4057" w:rsidRPr="009B6952" w:rsidRDefault="001A4057" w:rsidP="001A4057">
      <w:pPr>
        <w:pStyle w:val="H23G"/>
      </w:pPr>
      <w:r>
        <w:tab/>
      </w:r>
      <w:r>
        <w:tab/>
      </w:r>
      <w:r w:rsidRPr="009B6952">
        <w:t>Les Progrès techniques</w:t>
      </w:r>
      <w:r>
        <w:t xml:space="preserve"> et</w:t>
      </w:r>
      <w:r w:rsidRPr="009B6952">
        <w:t xml:space="preserve"> scientifiques</w:t>
      </w:r>
    </w:p>
    <w:p w:rsidR="001A4057" w:rsidRPr="009B6952" w:rsidRDefault="001A4057" w:rsidP="001A4057">
      <w:pPr>
        <w:pStyle w:val="H4G"/>
      </w:pPr>
      <w:r>
        <w:tab/>
      </w:r>
      <w:r>
        <w:tab/>
      </w:r>
      <w:r w:rsidRPr="009B6952">
        <w:t>Les mesures conçues pour assurer le droit de chacun de bénéficier du progrès scientifique</w:t>
      </w:r>
    </w:p>
    <w:p w:rsidR="001A4057" w:rsidRPr="009B6952" w:rsidRDefault="001A4057" w:rsidP="001A4057">
      <w:pPr>
        <w:pStyle w:val="SingleTxtG"/>
      </w:pPr>
      <w:r>
        <w:t>321</w:t>
      </w:r>
      <w:r w:rsidRPr="009B6952">
        <w:t>.</w:t>
      </w:r>
      <w:r w:rsidRPr="009B6952">
        <w:tab/>
        <w:t xml:space="preserve">Parmi les mesures prises par le </w:t>
      </w:r>
      <w:r>
        <w:t>Gouvernement</w:t>
      </w:r>
      <w:r w:rsidRPr="009B6952">
        <w:t xml:space="preserve"> pour assurer l</w:t>
      </w:r>
      <w:r>
        <w:t>’</w:t>
      </w:r>
      <w:r w:rsidRPr="009B6952">
        <w:t>exercice du droit de chacun de bénéficier du progrès scientifique, notons:</w:t>
      </w:r>
    </w:p>
    <w:p w:rsidR="001A4057" w:rsidRPr="009B6952" w:rsidRDefault="001A4057" w:rsidP="001A4057">
      <w:pPr>
        <w:pStyle w:val="Bullet1G"/>
      </w:pPr>
      <w:r w:rsidRPr="009B6952">
        <w:t>La formulation d</w:t>
      </w:r>
      <w:r>
        <w:t>’</w:t>
      </w:r>
      <w:r w:rsidRPr="009B6952">
        <w:t xml:space="preserve">une politique des sciences, </w:t>
      </w:r>
      <w:r>
        <w:t xml:space="preserve">de la </w:t>
      </w:r>
      <w:r w:rsidRPr="009B6952">
        <w:t xml:space="preserve">technologie et </w:t>
      </w:r>
      <w:r>
        <w:t>de l’</w:t>
      </w:r>
      <w:r w:rsidRPr="009B6952">
        <w:t>innovation. C</w:t>
      </w:r>
      <w:r>
        <w:t>’</w:t>
      </w:r>
      <w:r w:rsidRPr="009B6952">
        <w:t xml:space="preserve">est cette politique qui guide le </w:t>
      </w:r>
      <w:r>
        <w:t>Gouvernement</w:t>
      </w:r>
      <w:r w:rsidRPr="009B6952">
        <w:t xml:space="preserve"> dans ses programmes </w:t>
      </w:r>
      <w:r>
        <w:t xml:space="preserve">relatifs à la </w:t>
      </w:r>
      <w:r w:rsidRPr="009B6952">
        <w:t xml:space="preserve">science et </w:t>
      </w:r>
      <w:r>
        <w:t xml:space="preserve">à la </w:t>
      </w:r>
      <w:r w:rsidRPr="009B6952">
        <w:t>technologie;</w:t>
      </w:r>
      <w:r>
        <w:t xml:space="preserve"> </w:t>
      </w:r>
    </w:p>
    <w:p w:rsidR="001A4057" w:rsidRPr="00D77CE7" w:rsidRDefault="001A4057" w:rsidP="001A4057">
      <w:pPr>
        <w:pStyle w:val="Bullet1G"/>
        <w:keepNext/>
        <w:keepLines/>
      </w:pPr>
      <w:r w:rsidRPr="00D77CE7">
        <w:t>L</w:t>
      </w:r>
      <w:r>
        <w:t>’</w:t>
      </w:r>
      <w:r w:rsidRPr="00D77CE7">
        <w:t>inclusion de la science, la technologie, la recherche, l</w:t>
      </w:r>
      <w:r>
        <w:t>’</w:t>
      </w:r>
      <w:r w:rsidRPr="00D77CE7">
        <w:t>environnement durable et la construction d</w:t>
      </w:r>
      <w:r>
        <w:t>’</w:t>
      </w:r>
      <w:r w:rsidRPr="00D77CE7">
        <w:t>infrastructures dans la stratégie de l</w:t>
      </w:r>
      <w:r>
        <w:t>’</w:t>
      </w:r>
      <w:r w:rsidRPr="00D77CE7">
        <w:t xml:space="preserve">EDPRS et les politiques NICI: National Information and Communication Infrastructure policy (2001-2005 et 2006-2010); </w:t>
      </w:r>
    </w:p>
    <w:p w:rsidR="001A4057" w:rsidRPr="009B6952" w:rsidRDefault="001A4057" w:rsidP="001A4057">
      <w:pPr>
        <w:pStyle w:val="Bullet1G"/>
      </w:pPr>
      <w:r w:rsidRPr="009B6952">
        <w:t xml:space="preserve">La révision des programmes dans le milieu pédagogique, </w:t>
      </w:r>
      <w:r>
        <w:t>en mettant l’</w:t>
      </w:r>
      <w:r w:rsidRPr="009B6952">
        <w:t>accent sur l</w:t>
      </w:r>
      <w:r>
        <w:t>’</w:t>
      </w:r>
      <w:r w:rsidRPr="009B6952">
        <w:t xml:space="preserve">enseignement technique et </w:t>
      </w:r>
      <w:r>
        <w:t xml:space="preserve">sur l’enseignement </w:t>
      </w:r>
      <w:r w:rsidRPr="009B6952">
        <w:t xml:space="preserve">des sciences; </w:t>
      </w:r>
    </w:p>
    <w:p w:rsidR="001A4057" w:rsidRPr="009B6952" w:rsidRDefault="001A4057" w:rsidP="001A4057">
      <w:pPr>
        <w:pStyle w:val="Bullet1G"/>
      </w:pPr>
      <w:r>
        <w:t>L’</w:t>
      </w:r>
      <w:r w:rsidRPr="009B6952">
        <w:t>octroi de bourses au niveau supérieur</w:t>
      </w:r>
      <w:r>
        <w:t>;</w:t>
      </w:r>
      <w:r w:rsidRPr="009B6952">
        <w:t xml:space="preserve"> le quota des boursiers est plus élevé </w:t>
      </w:r>
      <w:r>
        <w:t>dans</w:t>
      </w:r>
      <w:r w:rsidRPr="009B6952">
        <w:t xml:space="preserve"> les matières scien</w:t>
      </w:r>
      <w:r>
        <w:t>tifiqu</w:t>
      </w:r>
      <w:r w:rsidRPr="009B6952">
        <w:t>es: plus de 50</w:t>
      </w:r>
      <w:r>
        <w:t xml:space="preserve"> %</w:t>
      </w:r>
      <w:r w:rsidRPr="009B6952">
        <w:t xml:space="preserve"> d</w:t>
      </w:r>
      <w:r>
        <w:t xml:space="preserve">es </w:t>
      </w:r>
      <w:r w:rsidRPr="009B6952">
        <w:t>étudiants. Ces boursiers reçoivent 75</w:t>
      </w:r>
      <w:r>
        <w:t xml:space="preserve"> %</w:t>
      </w:r>
      <w:r w:rsidRPr="009B6952">
        <w:t xml:space="preserve"> de la couvert</w:t>
      </w:r>
      <w:r>
        <w:t>ure de leurs frais de scolarité;</w:t>
      </w:r>
    </w:p>
    <w:p w:rsidR="001A4057" w:rsidRPr="009B6952" w:rsidRDefault="001A4057" w:rsidP="001A4057">
      <w:pPr>
        <w:pStyle w:val="Bullet1G"/>
      </w:pPr>
      <w:r w:rsidRPr="009B6952">
        <w:t>L</w:t>
      </w:r>
      <w:r>
        <w:t>’</w:t>
      </w:r>
      <w:r w:rsidRPr="009B6952">
        <w:t>introduction au niveau du primaire du cours STE: Sciences et Technologie élémentaire;</w:t>
      </w:r>
    </w:p>
    <w:p w:rsidR="001A4057" w:rsidRPr="009B6952" w:rsidRDefault="001A4057" w:rsidP="001A4057">
      <w:pPr>
        <w:pStyle w:val="Bullet1G"/>
      </w:pPr>
      <w:r w:rsidRPr="009B6952">
        <w:t>La promotion de la technologie de l</w:t>
      </w:r>
      <w:r>
        <w:t>’</w:t>
      </w:r>
      <w:r w:rsidRPr="009B6952">
        <w:t xml:space="preserve">information et de la communication; </w:t>
      </w:r>
    </w:p>
    <w:p w:rsidR="001A4057" w:rsidRPr="009B6952" w:rsidRDefault="001A4057" w:rsidP="001A4057">
      <w:pPr>
        <w:pStyle w:val="Bullet1G"/>
      </w:pPr>
      <w:r>
        <w:t>L</w:t>
      </w:r>
      <w:r w:rsidRPr="009B6952">
        <w:t>a mise sur pied des projets eRwanda et eSoko afin de permettre la diffusion aux agriculteurs</w:t>
      </w:r>
      <w:r>
        <w:t xml:space="preserve"> par voie </w:t>
      </w:r>
      <w:r w:rsidRPr="009B6952">
        <w:t xml:space="preserve">électronique des </w:t>
      </w:r>
      <w:r w:rsidRPr="00EE07F3">
        <w:t>informations du marché</w:t>
      </w:r>
      <w:r w:rsidRPr="009B6952">
        <w:t>;</w:t>
      </w:r>
    </w:p>
    <w:p w:rsidR="001A4057" w:rsidRPr="009B6952" w:rsidRDefault="001A4057" w:rsidP="001A4057">
      <w:pPr>
        <w:pStyle w:val="Bullet1G"/>
      </w:pPr>
      <w:r w:rsidRPr="009B6952">
        <w:t xml:space="preserve">La création des télécentres Rwandatel et </w:t>
      </w:r>
      <w:r>
        <w:t xml:space="preserve">de </w:t>
      </w:r>
      <w:r w:rsidRPr="009B6952">
        <w:t xml:space="preserve">cafés </w:t>
      </w:r>
      <w:r>
        <w:t>I</w:t>
      </w:r>
      <w:r w:rsidRPr="009B6952">
        <w:t>nternet;</w:t>
      </w:r>
      <w:r>
        <w:t xml:space="preserve"> </w:t>
      </w:r>
    </w:p>
    <w:p w:rsidR="001A4057" w:rsidRPr="009B6952" w:rsidRDefault="001A4057" w:rsidP="001A4057">
      <w:pPr>
        <w:pStyle w:val="Bullet1G"/>
      </w:pPr>
      <w:r w:rsidRPr="009B6952">
        <w:t>L</w:t>
      </w:r>
      <w:r>
        <w:t xml:space="preserve">es </w:t>
      </w:r>
      <w:r w:rsidRPr="009B6952">
        <w:t>effort</w:t>
      </w:r>
      <w:r>
        <w:t>s</w:t>
      </w:r>
      <w:r w:rsidRPr="009B6952">
        <w:t xml:space="preserve"> d</w:t>
      </w:r>
      <w:r>
        <w:t xml:space="preserve">éployés par le </w:t>
      </w:r>
      <w:r w:rsidRPr="009B6952">
        <w:t xml:space="preserve">pays </w:t>
      </w:r>
      <w:r>
        <w:t xml:space="preserve">pour </w:t>
      </w:r>
      <w:r w:rsidRPr="009B6952">
        <w:t>utiliser l</w:t>
      </w:r>
      <w:r>
        <w:t>’</w:t>
      </w:r>
      <w:r w:rsidRPr="009B6952">
        <w:t>énergie solaire</w:t>
      </w:r>
      <w:r>
        <w:t xml:space="preserve"> et </w:t>
      </w:r>
      <w:r w:rsidRPr="009B6952">
        <w:t>le biogaz;</w:t>
      </w:r>
    </w:p>
    <w:p w:rsidR="001A4057" w:rsidRPr="009B6952" w:rsidRDefault="001A4057" w:rsidP="001A4057">
      <w:pPr>
        <w:pStyle w:val="Bullet1G"/>
      </w:pPr>
      <w:r w:rsidRPr="009B6952">
        <w:t>L</w:t>
      </w:r>
      <w:r>
        <w:t>’</w:t>
      </w:r>
      <w:r w:rsidRPr="009B6952">
        <w:t>éducation et la protection de l</w:t>
      </w:r>
      <w:r>
        <w:t>’</w:t>
      </w:r>
      <w:r w:rsidRPr="009B6952">
        <w:t>environnement (</w:t>
      </w:r>
      <w:r>
        <w:t xml:space="preserve">avec, par </w:t>
      </w:r>
      <w:r w:rsidRPr="009B6952">
        <w:t>exemple</w:t>
      </w:r>
      <w:r>
        <w:t>,</w:t>
      </w:r>
      <w:r w:rsidRPr="009B6952">
        <w:t xml:space="preserve"> la création des clubs pour </w:t>
      </w:r>
      <w:r>
        <w:t>l’</w:t>
      </w:r>
      <w:r w:rsidRPr="009B6952">
        <w:t>environnement);</w:t>
      </w:r>
    </w:p>
    <w:p w:rsidR="001A4057" w:rsidRPr="009B6952" w:rsidRDefault="001A4057" w:rsidP="001A4057">
      <w:pPr>
        <w:pStyle w:val="Bullet1G"/>
      </w:pPr>
      <w:r w:rsidRPr="009B6952">
        <w:t>La création d</w:t>
      </w:r>
      <w:r>
        <w:t>’</w:t>
      </w:r>
      <w:r w:rsidRPr="009B6952">
        <w:t>institutions supérieures axées sur les sciences, la technologie et la recherche scientifique comme</w:t>
      </w:r>
      <w:r>
        <w:t xml:space="preserve"> le</w:t>
      </w:r>
      <w:r w:rsidRPr="009B6952">
        <w:t xml:space="preserve"> Kigali Institute Of Science and Technology (KIST) et l</w:t>
      </w:r>
      <w:r>
        <w:t>’</w:t>
      </w:r>
      <w:r w:rsidRPr="009B6952">
        <w:t>Institut de Recherche Scientifique et Technologique (IRST).</w:t>
      </w:r>
    </w:p>
    <w:p w:rsidR="001A4057" w:rsidRPr="009B6952" w:rsidRDefault="001A4057" w:rsidP="001A4057">
      <w:pPr>
        <w:pStyle w:val="H4G"/>
      </w:pPr>
      <w:r>
        <w:tab/>
      </w:r>
      <w:r>
        <w:tab/>
      </w:r>
      <w:r w:rsidRPr="009B6952">
        <w:t xml:space="preserve">Mesures pour </w:t>
      </w:r>
      <w:r>
        <w:t>promouvoir</w:t>
      </w:r>
      <w:r w:rsidRPr="009B6952">
        <w:t xml:space="preserve"> l</w:t>
      </w:r>
      <w:r>
        <w:t>’</w:t>
      </w:r>
      <w:r w:rsidRPr="009B6952">
        <w:t>information sur les progrès techniques</w:t>
      </w:r>
    </w:p>
    <w:p w:rsidR="001A4057" w:rsidRPr="009B6952" w:rsidRDefault="001A4057" w:rsidP="001A4057">
      <w:pPr>
        <w:pStyle w:val="SingleTxtG"/>
      </w:pPr>
      <w:r w:rsidRPr="009B6952">
        <w:t>32</w:t>
      </w:r>
      <w:r>
        <w:t>2</w:t>
      </w:r>
      <w:r w:rsidRPr="009B6952">
        <w:t>.</w:t>
      </w:r>
      <w:r w:rsidRPr="009B6952">
        <w:tab/>
        <w:t xml:space="preserve">Les mesures pour </w:t>
      </w:r>
      <w:r>
        <w:t xml:space="preserve">promouvoir </w:t>
      </w:r>
      <w:r w:rsidRPr="009B6952">
        <w:t>l</w:t>
      </w:r>
      <w:r>
        <w:t>’</w:t>
      </w:r>
      <w:r w:rsidRPr="009B6952">
        <w:t xml:space="preserve">information sur les progrès techniques </w:t>
      </w:r>
      <w:r>
        <w:t>incluent</w:t>
      </w:r>
      <w:r w:rsidRPr="009B6952">
        <w:t xml:space="preserve">: </w:t>
      </w:r>
    </w:p>
    <w:p w:rsidR="001A4057" w:rsidRPr="009B6952" w:rsidRDefault="001A4057" w:rsidP="001A4057">
      <w:pPr>
        <w:pStyle w:val="SingleTxtG"/>
        <w:ind w:firstLine="567"/>
      </w:pPr>
      <w:r>
        <w:t>a)</w:t>
      </w:r>
      <w:r>
        <w:tab/>
        <w:t>L</w:t>
      </w:r>
      <w:r w:rsidRPr="009B6952">
        <w:t xml:space="preserve">a mise sur pied du site web du Ministère des sciences, recherche et technologie; </w:t>
      </w:r>
    </w:p>
    <w:p w:rsidR="001A4057" w:rsidRPr="009B6952" w:rsidRDefault="001A4057" w:rsidP="001A4057">
      <w:pPr>
        <w:pStyle w:val="SingleTxtG"/>
        <w:ind w:firstLine="567"/>
      </w:pPr>
      <w:r>
        <w:t>b)</w:t>
      </w:r>
      <w:r>
        <w:tab/>
      </w:r>
      <w:r w:rsidRPr="009B6952">
        <w:t xml:space="preserve">Un site gouvernemental </w:t>
      </w:r>
      <w:r>
        <w:t>avec</w:t>
      </w:r>
      <w:r w:rsidRPr="009B6952">
        <w:t xml:space="preserve"> des hyperliens </w:t>
      </w:r>
      <w:r>
        <w:t>renvoyant vers</w:t>
      </w:r>
      <w:r w:rsidRPr="009B6952">
        <w:t xml:space="preserve"> les </w:t>
      </w:r>
      <w:r>
        <w:t xml:space="preserve">sites des </w:t>
      </w:r>
      <w:r w:rsidRPr="009B6952">
        <w:t xml:space="preserve">institutions éducatives et de recherche est en voie de construction; </w:t>
      </w:r>
    </w:p>
    <w:p w:rsidR="001A4057" w:rsidRPr="009B6952" w:rsidRDefault="001A4057" w:rsidP="001A4057">
      <w:pPr>
        <w:pStyle w:val="SingleTxtG"/>
        <w:ind w:firstLine="567"/>
      </w:pPr>
      <w:r>
        <w:t>c)</w:t>
      </w:r>
      <w:r>
        <w:tab/>
      </w:r>
      <w:r w:rsidRPr="009B6952">
        <w:t xml:space="preserve">Les médias (radio et TV) </w:t>
      </w:r>
      <w:r>
        <w:t>diffusent</w:t>
      </w:r>
      <w:r w:rsidRPr="009B6952">
        <w:t xml:space="preserve"> des émissions portant sur les progrès techniques; </w:t>
      </w:r>
    </w:p>
    <w:p w:rsidR="001A4057" w:rsidRPr="009B6952" w:rsidRDefault="001A4057" w:rsidP="001A4057">
      <w:pPr>
        <w:pStyle w:val="SingleTxtG"/>
        <w:ind w:firstLine="567"/>
      </w:pPr>
      <w:r>
        <w:t>d)</w:t>
      </w:r>
      <w:r>
        <w:tab/>
      </w:r>
      <w:r w:rsidRPr="009B6952">
        <w:t xml:space="preserve">Des journaux et </w:t>
      </w:r>
      <w:r>
        <w:t xml:space="preserve">des </w:t>
      </w:r>
      <w:r w:rsidRPr="009B6952">
        <w:t xml:space="preserve">bulletins comme ceux de </w:t>
      </w:r>
      <w:r>
        <w:t xml:space="preserve">la </w:t>
      </w:r>
      <w:r w:rsidRPr="009B6952">
        <w:t xml:space="preserve">Rwanda Information Technology Authority (RITA) sont publiés. </w:t>
      </w:r>
    </w:p>
    <w:p w:rsidR="001A4057" w:rsidRPr="009B6952" w:rsidRDefault="001A4057" w:rsidP="001A4057">
      <w:pPr>
        <w:pStyle w:val="H4G"/>
      </w:pPr>
      <w:r>
        <w:tab/>
      </w:r>
      <w:r>
        <w:tab/>
      </w:r>
      <w:r w:rsidRPr="009B6952">
        <w:t>D</w:t>
      </w:r>
      <w:r>
        <w:t>’</w:t>
      </w:r>
      <w:r w:rsidRPr="009B6952">
        <w:t>autres mesures</w:t>
      </w:r>
    </w:p>
    <w:p w:rsidR="001A4057" w:rsidRPr="009B6952" w:rsidRDefault="001A4057" w:rsidP="001A4057">
      <w:pPr>
        <w:pStyle w:val="SingleTxtG"/>
      </w:pPr>
      <w:r>
        <w:t>323</w:t>
      </w:r>
      <w:r w:rsidRPr="009B6952">
        <w:t>.</w:t>
      </w:r>
      <w:r w:rsidRPr="009B6952">
        <w:tab/>
      </w:r>
      <w:r>
        <w:t xml:space="preserve">En ce qui concerne les </w:t>
      </w:r>
      <w:r w:rsidRPr="009B6952">
        <w:t>mesures visant à empêcher que le progrès scientifique et technique ne soit utilisé à des fins contraires à la jouissance de tous les droits de l</w:t>
      </w:r>
      <w:r>
        <w:t>’</w:t>
      </w:r>
      <w:r w:rsidRPr="009B6952">
        <w:t>homme, notons</w:t>
      </w:r>
      <w:r>
        <w:t xml:space="preserve"> que le </w:t>
      </w:r>
      <w:r w:rsidRPr="009B6952">
        <w:t>Ministère de la santé a en son sein un comité d</w:t>
      </w:r>
      <w:r>
        <w:t>’</w:t>
      </w:r>
      <w:r w:rsidRPr="009B6952">
        <w:t>éthique</w:t>
      </w:r>
      <w:r w:rsidRPr="00B352B3">
        <w:rPr>
          <w:rStyle w:val="FootnoteReference"/>
        </w:rPr>
        <w:footnoteReference w:id="167"/>
      </w:r>
      <w:r w:rsidRPr="009B6952">
        <w:t xml:space="preserve"> chargé d</w:t>
      </w:r>
      <w:r>
        <w:t>’</w:t>
      </w:r>
      <w:r w:rsidRPr="009B6952">
        <w:t>étudier les protocoles relatifs à des recherches potentielles:</w:t>
      </w:r>
      <w:r>
        <w:t xml:space="preserve"> </w:t>
      </w:r>
    </w:p>
    <w:p w:rsidR="001A4057" w:rsidRPr="009B6952" w:rsidRDefault="001A4057" w:rsidP="00761B55">
      <w:pPr>
        <w:pStyle w:val="Bullet1G"/>
      </w:pPr>
      <w:r w:rsidRPr="009B6952">
        <w:t>Ce comité veille au bien-être des participants aux recherches, à leur sécurité et à ce que tou</w:t>
      </w:r>
      <w:r>
        <w:t>s leurs droits soient respectés;</w:t>
      </w:r>
    </w:p>
    <w:p w:rsidR="001A4057" w:rsidRPr="009B6952" w:rsidRDefault="001A4057" w:rsidP="00761B55">
      <w:pPr>
        <w:pStyle w:val="Bullet1G"/>
      </w:pPr>
      <w:r w:rsidRPr="009B6952">
        <w:t>Le consentement de la personne participante est libre, éclairé, après que l</w:t>
      </w:r>
      <w:r>
        <w:t>’</w:t>
      </w:r>
      <w:r w:rsidRPr="009B6952">
        <w:t>ampleur des recherches ait été expliquée avant le début des recherches. Les formulaires de consentement doivent</w:t>
      </w:r>
      <w:r>
        <w:t xml:space="preserve"> </w:t>
      </w:r>
      <w:r w:rsidRPr="009B6952">
        <w:t xml:space="preserve">être </w:t>
      </w:r>
      <w:r>
        <w:t>rédigés</w:t>
      </w:r>
      <w:r w:rsidRPr="009B6952">
        <w:t xml:space="preserve"> dans une langue compréhensible par le participant; ce dernier pouvant se désister à tout </w:t>
      </w:r>
      <w:r>
        <w:t>moment au cours des recherches;</w:t>
      </w:r>
    </w:p>
    <w:p w:rsidR="001A4057" w:rsidRPr="009B6952" w:rsidRDefault="001A4057" w:rsidP="00761B55">
      <w:pPr>
        <w:pStyle w:val="Bullet1G"/>
      </w:pPr>
      <w:r w:rsidRPr="009B6952">
        <w:t xml:space="preserve">La confidentialité des renseignements </w:t>
      </w:r>
      <w:r>
        <w:t>concernant l</w:t>
      </w:r>
      <w:r w:rsidRPr="009B6952">
        <w:t>es participants est garantie</w:t>
      </w:r>
      <w:r>
        <w:t xml:space="preserve">; </w:t>
      </w:r>
    </w:p>
    <w:p w:rsidR="001A4057" w:rsidRPr="009B6952" w:rsidRDefault="001A4057" w:rsidP="00761B55">
      <w:pPr>
        <w:pStyle w:val="Bullet1G"/>
      </w:pPr>
      <w:r>
        <w:t>L</w:t>
      </w:r>
      <w:r w:rsidRPr="009B6952">
        <w:t xml:space="preserve">es risques potentiels </w:t>
      </w:r>
      <w:r>
        <w:t>pour</w:t>
      </w:r>
      <w:r w:rsidRPr="009B6952">
        <w:t xml:space="preserve"> les participants sont adéquatement évalués. </w:t>
      </w:r>
    </w:p>
    <w:p w:rsidR="001A4057" w:rsidRPr="009B6952" w:rsidRDefault="001A4057" w:rsidP="001A4057">
      <w:pPr>
        <w:pStyle w:val="H4G"/>
      </w:pPr>
      <w:r>
        <w:tab/>
      </w:r>
      <w:r>
        <w:tab/>
      </w:r>
      <w:r w:rsidRPr="009B6952">
        <w:t>Dispositions législatives prescrivant les restrictions imposées à l</w:t>
      </w:r>
      <w:r>
        <w:t>’</w:t>
      </w:r>
      <w:r w:rsidRPr="009B6952">
        <w:t>exercice du droit au progrès technique</w:t>
      </w:r>
    </w:p>
    <w:p w:rsidR="001A4057" w:rsidRPr="009B6952" w:rsidRDefault="001A4057" w:rsidP="001A4057">
      <w:pPr>
        <w:pStyle w:val="SingleTxtG"/>
      </w:pPr>
      <w:r w:rsidRPr="009B6952">
        <w:t>32</w:t>
      </w:r>
      <w:r>
        <w:t>4</w:t>
      </w:r>
      <w:r w:rsidRPr="009B6952">
        <w:t>.</w:t>
      </w:r>
      <w:r w:rsidRPr="009B6952">
        <w:tab/>
        <w:t>Les dispositions législatives prescrivant les restrictions imposées à l</w:t>
      </w:r>
      <w:r>
        <w:t>’</w:t>
      </w:r>
      <w:r w:rsidRPr="009B6952">
        <w:t xml:space="preserve">exercice de ce droit se retrouvent dans: </w:t>
      </w:r>
    </w:p>
    <w:p w:rsidR="001A4057" w:rsidRPr="009B6952" w:rsidRDefault="001A4057" w:rsidP="001A4057">
      <w:pPr>
        <w:pStyle w:val="SingleTxtG"/>
        <w:ind w:firstLine="567"/>
      </w:pPr>
      <w:r>
        <w:t>a)</w:t>
      </w:r>
      <w:r>
        <w:tab/>
      </w:r>
      <w:r w:rsidRPr="009B6952">
        <w:t xml:space="preserve">La Loi portant organisation des activités statistiques au Rwanda. Celle-ci prévoit la non-divulgation par un agent du service statistique des informations non encore publiées </w:t>
      </w:r>
      <w:r>
        <w:t xml:space="preserve">concernant </w:t>
      </w:r>
      <w:r w:rsidRPr="009B6952">
        <w:t>une entreprise reçues pendant l</w:t>
      </w:r>
      <w:r>
        <w:t>’</w:t>
      </w:r>
      <w:r w:rsidRPr="009B6952">
        <w:t>exercice de ses fonctions (art.</w:t>
      </w:r>
      <w:r>
        <w:t xml:space="preserve"> 21);</w:t>
      </w:r>
    </w:p>
    <w:p w:rsidR="001A4057" w:rsidRPr="009B6952" w:rsidRDefault="001A4057" w:rsidP="001A4057">
      <w:pPr>
        <w:pStyle w:val="SingleTxtG"/>
        <w:ind w:firstLine="567"/>
      </w:pPr>
      <w:r>
        <w:t>b)</w:t>
      </w:r>
      <w:r>
        <w:tab/>
        <w:t>N</w:t>
      </w:r>
      <w:r w:rsidRPr="009B6952">
        <w:t>otons aussi que le projet de loi sur la sécurité en ligne est en voie d</w:t>
      </w:r>
      <w:r>
        <w:t>’</w:t>
      </w:r>
      <w:r w:rsidRPr="009B6952">
        <w:t>étude.</w:t>
      </w:r>
      <w:r>
        <w:t xml:space="preserve"> </w:t>
      </w:r>
    </w:p>
    <w:p w:rsidR="001A4057" w:rsidRPr="009B6952" w:rsidRDefault="001A4057" w:rsidP="001A4057">
      <w:pPr>
        <w:pStyle w:val="SingleTxtG"/>
      </w:pPr>
      <w:r>
        <w:t>325</w:t>
      </w:r>
      <w:r w:rsidRPr="009B6952">
        <w:t>.</w:t>
      </w:r>
      <w:r w:rsidRPr="009B6952">
        <w:tab/>
        <w:t>L</w:t>
      </w:r>
      <w:r>
        <w:t>’</w:t>
      </w:r>
      <w:r w:rsidRPr="009B6952">
        <w:t>exercice du droit de chacun de bénéficier de la protection des intérêts moraux et matériels découlant de toute production scientifique, littéraire ou artistique est assuré:</w:t>
      </w:r>
    </w:p>
    <w:p w:rsidR="001A4057" w:rsidRPr="009B6952" w:rsidRDefault="001A4057" w:rsidP="001A4057">
      <w:pPr>
        <w:pStyle w:val="Bullet1G"/>
      </w:pPr>
      <w:r w:rsidRPr="009B6952">
        <w:t>Par la loi sur les droits d</w:t>
      </w:r>
      <w:r>
        <w:t>’</w:t>
      </w:r>
      <w:r w:rsidRPr="009B6952">
        <w:t>a</w:t>
      </w:r>
      <w:r>
        <w:t>uteur et la loi sur les brevets;</w:t>
      </w:r>
    </w:p>
    <w:p w:rsidR="001A4057" w:rsidRPr="009B6952" w:rsidRDefault="001A4057" w:rsidP="001A4057">
      <w:pPr>
        <w:pStyle w:val="Bullet1G"/>
      </w:pPr>
      <w:r>
        <w:t>L</w:t>
      </w:r>
      <w:r w:rsidRPr="009B6952">
        <w:t>e projet de loi sur la propriété intellectuelle est au niveau du parlement.</w:t>
      </w:r>
      <w:r>
        <w:t xml:space="preserve"> </w:t>
      </w:r>
    </w:p>
    <w:p w:rsidR="001A4057" w:rsidRPr="009B6952" w:rsidRDefault="001A4057" w:rsidP="001A4057">
      <w:pPr>
        <w:pStyle w:val="H4G"/>
      </w:pPr>
      <w:r>
        <w:tab/>
      </w:r>
      <w:r>
        <w:tab/>
      </w:r>
      <w:r w:rsidRPr="009B6952">
        <w:t>Les difficultés encourues dans l</w:t>
      </w:r>
      <w:r>
        <w:t>’</w:t>
      </w:r>
      <w:r w:rsidRPr="009B6952">
        <w:t>exercice du droit de bénéficier de la protection des intérêts moraux</w:t>
      </w:r>
    </w:p>
    <w:p w:rsidR="001A4057" w:rsidRPr="009B6952" w:rsidRDefault="001A4057" w:rsidP="001A4057">
      <w:pPr>
        <w:pStyle w:val="SingleTxtG"/>
      </w:pPr>
      <w:r>
        <w:t>326</w:t>
      </w:r>
      <w:r w:rsidRPr="009B6952">
        <w:t>.</w:t>
      </w:r>
      <w:r w:rsidRPr="009B6952">
        <w:tab/>
        <w:t>Les difficultés faisant obstacle au plein exercice du droit de chacun de bénéficier de la protection des intérêts moraux et matériels découlant de toute production scientifique, littéraire ou artistique sont:</w:t>
      </w:r>
    </w:p>
    <w:p w:rsidR="001A4057" w:rsidRPr="009B6952" w:rsidRDefault="001A4057" w:rsidP="001A4057">
      <w:pPr>
        <w:pStyle w:val="Bullet1G"/>
      </w:pPr>
      <w:r w:rsidRPr="009B6952">
        <w:t>La culture orale;</w:t>
      </w:r>
    </w:p>
    <w:p w:rsidR="001A4057" w:rsidRPr="009B6952" w:rsidRDefault="001A4057" w:rsidP="001A4057">
      <w:pPr>
        <w:pStyle w:val="Bullet1G"/>
      </w:pPr>
      <w:r w:rsidRPr="009B6952">
        <w:t>L</w:t>
      </w:r>
      <w:r>
        <w:t>’</w:t>
      </w:r>
      <w:r w:rsidRPr="009B6952">
        <w:t xml:space="preserve">analphabétisme; </w:t>
      </w:r>
    </w:p>
    <w:p w:rsidR="001A4057" w:rsidRPr="009B6952" w:rsidRDefault="001A4057" w:rsidP="001A4057">
      <w:pPr>
        <w:pStyle w:val="Bullet1G"/>
      </w:pPr>
      <w:r w:rsidRPr="009B6952">
        <w:t>Le secteur de la recherche qui n</w:t>
      </w:r>
      <w:r>
        <w:t>’est pas encore très développé.</w:t>
      </w:r>
    </w:p>
    <w:p w:rsidR="001A4057" w:rsidRPr="009B6952" w:rsidRDefault="001A4057" w:rsidP="001A4057">
      <w:pPr>
        <w:pStyle w:val="H4G"/>
      </w:pPr>
      <w:r>
        <w:tab/>
      </w:r>
      <w:r>
        <w:tab/>
      </w:r>
      <w:r w:rsidRPr="009B6952">
        <w:t>Comment y remédier?</w:t>
      </w:r>
    </w:p>
    <w:p w:rsidR="001A4057" w:rsidRPr="009B6952" w:rsidRDefault="001A4057" w:rsidP="001A4057">
      <w:pPr>
        <w:pStyle w:val="SingleTxtG"/>
      </w:pPr>
      <w:r>
        <w:t>327</w:t>
      </w:r>
      <w:r w:rsidRPr="009B6952">
        <w:t>.</w:t>
      </w:r>
      <w:r w:rsidRPr="009B6952">
        <w:tab/>
        <w:t>L</w:t>
      </w:r>
      <w:r>
        <w:t>’</w:t>
      </w:r>
      <w:r w:rsidRPr="009B6952">
        <w:t>on pourrait remédier à cela par une sensibilisation accrue</w:t>
      </w:r>
      <w:r>
        <w:t xml:space="preserve"> d</w:t>
      </w:r>
      <w:r w:rsidRPr="009B6952">
        <w:t xml:space="preserve">es médias publics et </w:t>
      </w:r>
      <w:r>
        <w:t xml:space="preserve">de </w:t>
      </w:r>
      <w:r w:rsidRPr="009B6952">
        <w:t xml:space="preserve">la société civile. </w:t>
      </w:r>
    </w:p>
    <w:p w:rsidR="001A4057" w:rsidRPr="009B6952" w:rsidRDefault="001A4057" w:rsidP="001A4057">
      <w:pPr>
        <w:pStyle w:val="H4G"/>
      </w:pPr>
      <w:r>
        <w:tab/>
      </w:r>
      <w:r>
        <w:tab/>
        <w:t>A</w:t>
      </w:r>
      <w:r w:rsidRPr="009B6952">
        <w:t>utres mesures prises dans le cadre de l</w:t>
      </w:r>
      <w:r>
        <w:t>’</w:t>
      </w:r>
      <w:r w:rsidRPr="009B6952">
        <w:t>enseignement</w:t>
      </w:r>
    </w:p>
    <w:p w:rsidR="001A4057" w:rsidRPr="009B6952" w:rsidRDefault="001A4057" w:rsidP="001A4057">
      <w:pPr>
        <w:pStyle w:val="SingleTxtG"/>
      </w:pPr>
      <w:r>
        <w:t>328</w:t>
      </w:r>
      <w:r w:rsidRPr="009B6952">
        <w:t>.</w:t>
      </w:r>
      <w:r w:rsidRPr="009B6952">
        <w:tab/>
      </w:r>
      <w:r>
        <w:t>D</w:t>
      </w:r>
      <w:r w:rsidRPr="009B6952">
        <w:t xml:space="preserve">es mesures </w:t>
      </w:r>
      <w:r>
        <w:t xml:space="preserve">sont </w:t>
      </w:r>
      <w:r w:rsidRPr="009B6952">
        <w:t>prises dans le cadre du système d</w:t>
      </w:r>
      <w:r>
        <w:t>’</w:t>
      </w:r>
      <w:r w:rsidRPr="009B6952">
        <w:t>enseignement national</w:t>
      </w:r>
      <w:r>
        <w:t>, à savoir</w:t>
      </w:r>
      <w:r w:rsidRPr="009B6952">
        <w:t xml:space="preserve">: </w:t>
      </w:r>
    </w:p>
    <w:p w:rsidR="001A4057" w:rsidRPr="009B6952" w:rsidRDefault="001A4057" w:rsidP="001A4057">
      <w:pPr>
        <w:pStyle w:val="SingleTxtG"/>
        <w:ind w:firstLine="567"/>
      </w:pPr>
      <w:r>
        <w:t>a)</w:t>
      </w:r>
      <w:r>
        <w:tab/>
        <w:t>D</w:t>
      </w:r>
      <w:r w:rsidRPr="009B6952">
        <w:t xml:space="preserve">u point de vue constitutionnel, la Constitution protège le droit aux activités de promotion de la culture; </w:t>
      </w:r>
    </w:p>
    <w:p w:rsidR="001A4057" w:rsidRPr="009B6952" w:rsidRDefault="001A4057" w:rsidP="001A4057">
      <w:pPr>
        <w:pStyle w:val="SingleTxtG"/>
        <w:ind w:firstLine="567"/>
      </w:pPr>
      <w:r>
        <w:t>b)</w:t>
      </w:r>
      <w:r>
        <w:tab/>
      </w:r>
      <w:r w:rsidRPr="009B6952">
        <w:t>La loi portant organisation de l</w:t>
      </w:r>
      <w:r>
        <w:t>’</w:t>
      </w:r>
      <w:r w:rsidRPr="009B6952">
        <w:t>éducation</w:t>
      </w:r>
      <w:r>
        <w:t xml:space="preserve"> </w:t>
      </w:r>
      <w:r w:rsidRPr="009B6952">
        <w:t>met l</w:t>
      </w:r>
      <w:r>
        <w:t>’</w:t>
      </w:r>
      <w:r w:rsidRPr="009B6952">
        <w:t xml:space="preserve">accent sur le développement de la science et de la technologie; </w:t>
      </w:r>
    </w:p>
    <w:p w:rsidR="001A4057" w:rsidRPr="009B6952" w:rsidRDefault="001A4057" w:rsidP="001A4057">
      <w:pPr>
        <w:pStyle w:val="SingleTxtG"/>
        <w:ind w:firstLine="567"/>
      </w:pPr>
      <w:r>
        <w:t>c)</w:t>
      </w:r>
      <w:r>
        <w:tab/>
        <w:t xml:space="preserve">Des ordinateurs ont été </w:t>
      </w:r>
      <w:r w:rsidRPr="009B6952">
        <w:t>distribu</w:t>
      </w:r>
      <w:r>
        <w:t xml:space="preserve">és </w:t>
      </w:r>
      <w:r w:rsidRPr="009B6952">
        <w:t xml:space="preserve">dans les écoles; </w:t>
      </w:r>
    </w:p>
    <w:p w:rsidR="001A4057" w:rsidRPr="009B6952" w:rsidRDefault="001A4057" w:rsidP="001A4057">
      <w:pPr>
        <w:pStyle w:val="SingleTxtG"/>
        <w:ind w:firstLine="567"/>
      </w:pPr>
      <w:r>
        <w:t>d)</w:t>
      </w:r>
      <w:r>
        <w:tab/>
      </w:r>
      <w:r w:rsidRPr="009B6952">
        <w:t xml:space="preserve">Une composante scientifique </w:t>
      </w:r>
      <w:r>
        <w:t xml:space="preserve">a été introduite </w:t>
      </w:r>
      <w:r w:rsidRPr="009B6952">
        <w:t xml:space="preserve">dans les écoles primaires; </w:t>
      </w:r>
    </w:p>
    <w:p w:rsidR="001A4057" w:rsidRPr="009B6952" w:rsidRDefault="001A4057" w:rsidP="001A4057">
      <w:pPr>
        <w:pStyle w:val="SingleTxtG"/>
        <w:ind w:firstLine="567"/>
      </w:pPr>
      <w:r>
        <w:t>e)</w:t>
      </w:r>
      <w:r>
        <w:tab/>
      </w:r>
      <w:r w:rsidRPr="009B6952">
        <w:t>L</w:t>
      </w:r>
      <w:r>
        <w:t>’</w:t>
      </w:r>
      <w:r w:rsidRPr="009B6952">
        <w:t xml:space="preserve">accès à la fibre optique </w:t>
      </w:r>
      <w:r>
        <w:t xml:space="preserve">est possible </w:t>
      </w:r>
      <w:r w:rsidRPr="009B6952">
        <w:t>dans beaucoup d</w:t>
      </w:r>
      <w:r>
        <w:t>’</w:t>
      </w:r>
      <w:r w:rsidRPr="009B6952">
        <w:t xml:space="preserve">écoles; </w:t>
      </w:r>
    </w:p>
    <w:p w:rsidR="001A4057" w:rsidRPr="009B6952" w:rsidRDefault="001A4057" w:rsidP="001A4057">
      <w:pPr>
        <w:pStyle w:val="SingleTxtG"/>
        <w:ind w:firstLine="567"/>
      </w:pPr>
      <w:r>
        <w:t>f)</w:t>
      </w:r>
      <w:r>
        <w:tab/>
      </w:r>
      <w:r w:rsidRPr="009B6952">
        <w:t xml:space="preserve">Le développement de nouveaux programmes se focalisant sur les sciences et </w:t>
      </w:r>
      <w:r>
        <w:t xml:space="preserve">les </w:t>
      </w:r>
      <w:r w:rsidRPr="009B6952">
        <w:t xml:space="preserve">mathématiques; </w:t>
      </w:r>
    </w:p>
    <w:p w:rsidR="001A4057" w:rsidRPr="009B6952" w:rsidRDefault="001A4057" w:rsidP="001A4057">
      <w:pPr>
        <w:pStyle w:val="SingleTxtG"/>
        <w:ind w:firstLine="567"/>
      </w:pPr>
      <w:r>
        <w:t>g)</w:t>
      </w:r>
      <w:r>
        <w:tab/>
        <w:t>L</w:t>
      </w:r>
      <w:r w:rsidRPr="009B6952">
        <w:t>a mise sur pied d</w:t>
      </w:r>
      <w:r>
        <w:t>’</w:t>
      </w:r>
      <w:r w:rsidRPr="009B6952">
        <w:t xml:space="preserve">un conseil en sciences et recherche </w:t>
      </w:r>
      <w:r>
        <w:t>chargé de</w:t>
      </w:r>
      <w:r w:rsidRPr="009B6952">
        <w:t xml:space="preserve"> coordonner les activités scientifiques au Rwanda; </w:t>
      </w:r>
    </w:p>
    <w:p w:rsidR="001A4057" w:rsidRPr="009B6952" w:rsidRDefault="001A4057" w:rsidP="001A4057">
      <w:pPr>
        <w:pStyle w:val="SingleTxtG"/>
        <w:ind w:firstLine="567"/>
      </w:pPr>
      <w:r>
        <w:t>h)</w:t>
      </w:r>
      <w:r>
        <w:tab/>
      </w:r>
      <w:r w:rsidRPr="009B6952">
        <w:t xml:space="preserve">Des bourses gouvernementales </w:t>
      </w:r>
      <w:r>
        <w:t xml:space="preserve">sont accordées aux </w:t>
      </w:r>
      <w:r w:rsidRPr="009B6952">
        <w:t xml:space="preserve">étudiants en sciences et technologie; </w:t>
      </w:r>
    </w:p>
    <w:p w:rsidR="001A4057" w:rsidRPr="009B6952" w:rsidRDefault="001A4057" w:rsidP="001A4057">
      <w:pPr>
        <w:pStyle w:val="SingleTxtG"/>
        <w:ind w:firstLine="567"/>
      </w:pPr>
      <w:r>
        <w:t>i)</w:t>
      </w:r>
      <w:r>
        <w:tab/>
      </w:r>
      <w:r w:rsidRPr="009B6952">
        <w:t xml:space="preserve">Le soutien </w:t>
      </w:r>
      <w:r>
        <w:t xml:space="preserve">apporté à </w:t>
      </w:r>
      <w:r w:rsidRPr="009B6952">
        <w:t>la structure TOKTEN (Transfer of Knowledge Through Expatriate Nationals)</w:t>
      </w:r>
      <w:r w:rsidRPr="00B352B3">
        <w:rPr>
          <w:rStyle w:val="FootnoteReference"/>
        </w:rPr>
        <w:footnoteReference w:id="168"/>
      </w:r>
      <w:r w:rsidRPr="00A032BD">
        <w:rPr>
          <w:sz w:val="18"/>
          <w:szCs w:val="18"/>
        </w:rPr>
        <w:t xml:space="preserve"> </w:t>
      </w:r>
      <w:r w:rsidRPr="009B6952">
        <w:t>et l</w:t>
      </w:r>
      <w:r>
        <w:t>’</w:t>
      </w:r>
      <w:r w:rsidRPr="009B6952">
        <w:t xml:space="preserve">encouragement </w:t>
      </w:r>
      <w:r>
        <w:t xml:space="preserve">donné à </w:t>
      </w:r>
      <w:r w:rsidRPr="009B6952">
        <w:t xml:space="preserve">la diaspora rwandaise </w:t>
      </w:r>
      <w:r>
        <w:t>de</w:t>
      </w:r>
      <w:r w:rsidRPr="009B6952">
        <w:t xml:space="preserve"> retourner au pays </w:t>
      </w:r>
      <w:r>
        <w:t>pour</w:t>
      </w:r>
      <w:r w:rsidRPr="009B6952">
        <w:t xml:space="preserve"> faire bénéficier ce dernier de leurs expertises en matière des sciences et technologies. </w:t>
      </w:r>
    </w:p>
    <w:p w:rsidR="001A4057" w:rsidRPr="009B6952" w:rsidRDefault="001A4057" w:rsidP="001A4057">
      <w:pPr>
        <w:pStyle w:val="H4G"/>
      </w:pPr>
      <w:r>
        <w:tab/>
      </w:r>
      <w:r>
        <w:tab/>
        <w:t>M</w:t>
      </w:r>
      <w:r w:rsidRPr="009B6952">
        <w:t>esures p</w:t>
      </w:r>
      <w:r>
        <w:t>ratiques supplémentaires</w:t>
      </w:r>
    </w:p>
    <w:p w:rsidR="001A4057" w:rsidRPr="009B6952" w:rsidRDefault="001A4057" w:rsidP="001A4057">
      <w:pPr>
        <w:pStyle w:val="SingleTxtG"/>
      </w:pPr>
      <w:r>
        <w:t>329</w:t>
      </w:r>
      <w:r w:rsidRPr="009B6952">
        <w:t>.</w:t>
      </w:r>
      <w:r w:rsidRPr="009B6952">
        <w:tab/>
        <w:t>D</w:t>
      </w:r>
      <w:r>
        <w:t>’</w:t>
      </w:r>
      <w:r w:rsidRPr="009B6952">
        <w:t>autres mesures pratiques impliquent:</w:t>
      </w:r>
    </w:p>
    <w:p w:rsidR="001A4057" w:rsidRPr="009B6952" w:rsidRDefault="001A4057" w:rsidP="001A4057">
      <w:pPr>
        <w:pStyle w:val="SingleTxtG"/>
        <w:ind w:firstLine="567"/>
      </w:pPr>
      <w:r>
        <w:t>a)</w:t>
      </w:r>
      <w:r>
        <w:tab/>
      </w:r>
      <w:r w:rsidRPr="009B6952">
        <w:t>L</w:t>
      </w:r>
      <w:r>
        <w:t>’</w:t>
      </w:r>
      <w:r w:rsidRPr="009B6952">
        <w:t xml:space="preserve">établissement de partenariats avec des agences et organisations internationales </w:t>
      </w:r>
      <w:r>
        <w:t>dans le domaine</w:t>
      </w:r>
      <w:r w:rsidRPr="009B6952">
        <w:t xml:space="preserve"> des sciences; </w:t>
      </w:r>
    </w:p>
    <w:p w:rsidR="001A4057" w:rsidRPr="009B6952" w:rsidRDefault="001A4057" w:rsidP="001A4057">
      <w:pPr>
        <w:pStyle w:val="SingleTxtG"/>
        <w:ind w:firstLine="567"/>
      </w:pPr>
      <w:r>
        <w:t>b)</w:t>
      </w:r>
      <w:r>
        <w:tab/>
      </w:r>
      <w:r w:rsidRPr="009B6952">
        <w:t>La facilité d</w:t>
      </w:r>
      <w:r>
        <w:t>’</w:t>
      </w:r>
      <w:r w:rsidRPr="009B6952">
        <w:t>accès aux formations destinées aux professeurs d</w:t>
      </w:r>
      <w:r>
        <w:t>’</w:t>
      </w:r>
      <w:r w:rsidRPr="009B6952">
        <w:t xml:space="preserve">université et aux détenteurs de PhD; </w:t>
      </w:r>
    </w:p>
    <w:p w:rsidR="001A4057" w:rsidRPr="009B6952" w:rsidRDefault="001A4057" w:rsidP="001A4057">
      <w:pPr>
        <w:pStyle w:val="SingleTxtG"/>
        <w:ind w:firstLine="567"/>
      </w:pPr>
      <w:r>
        <w:t>c)</w:t>
      </w:r>
      <w:r>
        <w:tab/>
      </w:r>
      <w:r w:rsidRPr="009B6952">
        <w:t>La couverture médiatique d</w:t>
      </w:r>
      <w:r>
        <w:t xml:space="preserve">es </w:t>
      </w:r>
      <w:r w:rsidRPr="009B6952">
        <w:t xml:space="preserve">événements à caractère scientifique; </w:t>
      </w:r>
    </w:p>
    <w:p w:rsidR="001A4057" w:rsidRPr="009B6952" w:rsidRDefault="001A4057" w:rsidP="001A4057">
      <w:pPr>
        <w:pStyle w:val="SingleTxtG"/>
        <w:ind w:firstLine="567"/>
      </w:pPr>
      <w:r>
        <w:t>d)</w:t>
      </w:r>
      <w:r>
        <w:tab/>
      </w:r>
      <w:r w:rsidRPr="009B6952">
        <w:t xml:space="preserve">Des partenariats en vue de créer des bibliothèques scientifiques au Rwanda (CERN). </w:t>
      </w:r>
    </w:p>
    <w:p w:rsidR="001A4057" w:rsidRPr="009B6952" w:rsidRDefault="001A4057" w:rsidP="001A4057">
      <w:pPr>
        <w:pStyle w:val="H4G"/>
      </w:pPr>
      <w:r>
        <w:tab/>
      </w:r>
      <w:r>
        <w:tab/>
      </w:r>
      <w:r w:rsidRPr="009B6952">
        <w:t>Qu</w:t>
      </w:r>
      <w:r>
        <w:t>’</w:t>
      </w:r>
      <w:r w:rsidRPr="009B6952">
        <w:t>en-est-il de la liberté indispensable à la recherche scientifique?</w:t>
      </w:r>
    </w:p>
    <w:p w:rsidR="001A4057" w:rsidRPr="009B6952" w:rsidRDefault="001A4057" w:rsidP="001A4057">
      <w:pPr>
        <w:pStyle w:val="SingleTxtG"/>
      </w:pPr>
      <w:r>
        <w:t>330</w:t>
      </w:r>
      <w:r w:rsidRPr="009B6952">
        <w:t>.</w:t>
      </w:r>
      <w:r w:rsidRPr="009B6952">
        <w:tab/>
        <w:t xml:space="preserve">En ce qui a trait au respect de la liberté indispensable à la recherche scientifique, le </w:t>
      </w:r>
      <w:r>
        <w:t>Gouvernement</w:t>
      </w:r>
      <w:r w:rsidRPr="009B6952">
        <w:t xml:space="preserve"> est en train d</w:t>
      </w:r>
      <w:r>
        <w:t>’</w:t>
      </w:r>
      <w:r w:rsidRPr="009B6952">
        <w:t xml:space="preserve">élaborer </w:t>
      </w:r>
      <w:r>
        <w:t>un</w:t>
      </w:r>
      <w:r w:rsidRPr="009B6952">
        <w:t xml:space="preserve"> projet de loi à cet effet. </w:t>
      </w:r>
    </w:p>
    <w:p w:rsidR="001A4057" w:rsidRPr="009B6952" w:rsidRDefault="001A4057" w:rsidP="001A4057">
      <w:pPr>
        <w:pStyle w:val="H4G"/>
      </w:pPr>
      <w:r>
        <w:tab/>
      </w:r>
      <w:r>
        <w:tab/>
      </w:r>
      <w:r w:rsidRPr="009B6952">
        <w:t>Y a-t-il des barrières en ce qui a trait aux échanges d</w:t>
      </w:r>
      <w:r>
        <w:t>’</w:t>
      </w:r>
      <w:r w:rsidRPr="009B6952">
        <w:t>informations scientifiques</w:t>
      </w:r>
    </w:p>
    <w:p w:rsidR="001A4057" w:rsidRPr="009B6952" w:rsidRDefault="001A4057" w:rsidP="001A4057">
      <w:pPr>
        <w:pStyle w:val="SingleTxtG"/>
      </w:pPr>
      <w:r w:rsidRPr="009B6952">
        <w:t>33</w:t>
      </w:r>
      <w:r>
        <w:t>1</w:t>
      </w:r>
      <w:r w:rsidRPr="009B6952">
        <w:t>.</w:t>
      </w:r>
      <w:r w:rsidRPr="009B6952">
        <w:tab/>
        <w:t>Il n</w:t>
      </w:r>
      <w:r>
        <w:t>’</w:t>
      </w:r>
      <w:r w:rsidRPr="009B6952">
        <w:t xml:space="preserve">y a pas de barrières </w:t>
      </w:r>
      <w:r>
        <w:t xml:space="preserve">aux </w:t>
      </w:r>
      <w:r w:rsidRPr="009B6952">
        <w:t>échanges d</w:t>
      </w:r>
      <w:r>
        <w:t>’</w:t>
      </w:r>
      <w:r w:rsidRPr="009B6952">
        <w:t>informations scientifiques.</w:t>
      </w:r>
    </w:p>
    <w:p w:rsidR="001A4057" w:rsidRPr="009B6952" w:rsidRDefault="001A4057" w:rsidP="001A4057">
      <w:pPr>
        <w:pStyle w:val="H4G"/>
      </w:pPr>
      <w:r>
        <w:tab/>
      </w:r>
      <w:r>
        <w:tab/>
      </w:r>
      <w:r w:rsidRPr="009B6952">
        <w:t xml:space="preserve">Mesures pour aider les sociétés savantes </w:t>
      </w:r>
    </w:p>
    <w:p w:rsidR="001A4057" w:rsidRPr="009B6952" w:rsidRDefault="001A4057" w:rsidP="001A4057">
      <w:pPr>
        <w:pStyle w:val="SingleTxtG"/>
      </w:pPr>
      <w:r>
        <w:t>332</w:t>
      </w:r>
      <w:r w:rsidRPr="009B6952">
        <w:t>.</w:t>
      </w:r>
      <w:r w:rsidRPr="009B6952">
        <w:tab/>
        <w:t xml:space="preserve">Quant aux mesures prises pour aider les sociétés savantes et autres, le </w:t>
      </w:r>
      <w:r>
        <w:t>Gouvernement</w:t>
      </w:r>
      <w:r w:rsidRPr="009B6952">
        <w:t xml:space="preserve"> a établi et offre un support matériel,</w:t>
      </w:r>
      <w:r>
        <w:t xml:space="preserve"> sous la forme d’</w:t>
      </w:r>
      <w:r w:rsidRPr="009B6952">
        <w:t xml:space="preserve">une entité indépendante qui est </w:t>
      </w:r>
      <w:r>
        <w:t>«</w:t>
      </w:r>
      <w:r w:rsidRPr="009B6952">
        <w:t>Le conseil rwandais des sciences et de la recherche</w:t>
      </w:r>
      <w:r>
        <w:t>»</w:t>
      </w:r>
      <w:r w:rsidRPr="009B6952">
        <w:t xml:space="preserve">. </w:t>
      </w:r>
    </w:p>
    <w:p w:rsidR="001A4057" w:rsidRPr="009B6952" w:rsidRDefault="001A4057" w:rsidP="001A4057">
      <w:pPr>
        <w:pStyle w:val="H4G"/>
      </w:pPr>
      <w:r>
        <w:tab/>
      </w:r>
      <w:r>
        <w:tab/>
      </w:r>
      <w:r w:rsidRPr="009B6952">
        <w:t xml:space="preserve">Difficultés </w:t>
      </w:r>
      <w:r>
        <w:t>de</w:t>
      </w:r>
      <w:r w:rsidRPr="009B6952">
        <w:t xml:space="preserve"> l</w:t>
      </w:r>
      <w:r>
        <w:t>’</w:t>
      </w:r>
      <w:r w:rsidRPr="009B6952">
        <w:t xml:space="preserve">exercice de la liberté indispensable à la recherche scientifique </w:t>
      </w:r>
    </w:p>
    <w:p w:rsidR="001A4057" w:rsidRPr="009B6952" w:rsidRDefault="001A4057" w:rsidP="001A4057">
      <w:pPr>
        <w:pStyle w:val="SingleTxtG"/>
      </w:pPr>
      <w:r w:rsidRPr="009B6952">
        <w:t>33</w:t>
      </w:r>
      <w:r>
        <w:t>3</w:t>
      </w:r>
      <w:r w:rsidRPr="009B6952">
        <w:t>.</w:t>
      </w:r>
      <w:r w:rsidRPr="009B6952">
        <w:tab/>
      </w:r>
      <w:r>
        <w:t>L</w:t>
      </w:r>
      <w:r w:rsidRPr="009B6952">
        <w:t xml:space="preserve">e plein exercice de la liberté indispensable à la recherche scientifique </w:t>
      </w:r>
      <w:r>
        <w:t>se heurte à un certain nombre de difficultés, notamment</w:t>
      </w:r>
      <w:r w:rsidRPr="009B6952">
        <w:t>:</w:t>
      </w:r>
    </w:p>
    <w:p w:rsidR="001A4057" w:rsidRPr="009B6952" w:rsidRDefault="001A4057" w:rsidP="001A4057">
      <w:pPr>
        <w:pStyle w:val="SingleTxtG"/>
        <w:ind w:firstLine="567"/>
      </w:pPr>
      <w:r>
        <w:t>a)</w:t>
      </w:r>
      <w:r>
        <w:tab/>
      </w:r>
      <w:r w:rsidRPr="009B6952">
        <w:t>Les moyens limités d</w:t>
      </w:r>
      <w:r>
        <w:t>ont disposent l</w:t>
      </w:r>
      <w:r w:rsidRPr="009B6952">
        <w:t>es chercheurs désir</w:t>
      </w:r>
      <w:r>
        <w:t xml:space="preserve">eux de </w:t>
      </w:r>
      <w:r w:rsidRPr="009B6952">
        <w:t xml:space="preserve">rencontrer </w:t>
      </w:r>
      <w:r>
        <w:t>leurs homologues</w:t>
      </w:r>
      <w:r w:rsidRPr="009B6952">
        <w:t xml:space="preserve"> ou </w:t>
      </w:r>
      <w:r>
        <w:t xml:space="preserve">de </w:t>
      </w:r>
      <w:r w:rsidRPr="009B6952">
        <w:t xml:space="preserve">participer à des colloques; </w:t>
      </w:r>
    </w:p>
    <w:p w:rsidR="001A4057" w:rsidRPr="009B6952" w:rsidRDefault="001A4057" w:rsidP="001A4057">
      <w:pPr>
        <w:pStyle w:val="SingleTxtG"/>
        <w:ind w:firstLine="567"/>
      </w:pPr>
      <w:r>
        <w:t>b)</w:t>
      </w:r>
      <w:r>
        <w:tab/>
      </w:r>
      <w:r w:rsidRPr="009B6952">
        <w:t xml:space="preserve">Les infrastructures de recherche et </w:t>
      </w:r>
      <w:r>
        <w:t xml:space="preserve">les infrastructures </w:t>
      </w:r>
      <w:r w:rsidRPr="009B6952">
        <w:t xml:space="preserve">culturelles </w:t>
      </w:r>
      <w:r>
        <w:t>demeurent in</w:t>
      </w:r>
      <w:r w:rsidRPr="009B6952">
        <w:t>suffisantes;</w:t>
      </w:r>
    </w:p>
    <w:p w:rsidR="001A4057" w:rsidRPr="009B6952" w:rsidRDefault="001A4057" w:rsidP="001A4057">
      <w:pPr>
        <w:pStyle w:val="SingleTxtG"/>
        <w:ind w:firstLine="567"/>
      </w:pPr>
      <w:r>
        <w:t>c)</w:t>
      </w:r>
      <w:r>
        <w:tab/>
        <w:t>L</w:t>
      </w:r>
      <w:r w:rsidRPr="009B6952">
        <w:t>a coopération sous-régionale n</w:t>
      </w:r>
      <w:r>
        <w:t>’</w:t>
      </w:r>
      <w:r w:rsidRPr="009B6952">
        <w:t>est pas encore bien établie;</w:t>
      </w:r>
    </w:p>
    <w:p w:rsidR="001A4057" w:rsidRPr="009B6952" w:rsidRDefault="001A4057" w:rsidP="001A4057">
      <w:pPr>
        <w:pStyle w:val="SingleTxtG"/>
        <w:ind w:firstLine="567"/>
      </w:pPr>
      <w:r>
        <w:t>d)</w:t>
      </w:r>
      <w:r>
        <w:tab/>
        <w:t>L</w:t>
      </w:r>
      <w:r w:rsidRPr="009B6952">
        <w:t xml:space="preserve">e personnel </w:t>
      </w:r>
      <w:r w:rsidRPr="00EE07F3">
        <w:t>de recherche</w:t>
      </w:r>
      <w:r w:rsidRPr="009B6952">
        <w:t xml:space="preserve"> </w:t>
      </w:r>
      <w:r w:rsidRPr="00EE07F3">
        <w:t xml:space="preserve">qualifié </w:t>
      </w:r>
      <w:r w:rsidRPr="009B6952">
        <w:t>est insuffisant.</w:t>
      </w:r>
      <w:r>
        <w:t xml:space="preserve"> </w:t>
      </w:r>
    </w:p>
    <w:p w:rsidR="001A4057" w:rsidRPr="009B6952" w:rsidRDefault="001A4057" w:rsidP="001A4057">
      <w:pPr>
        <w:pStyle w:val="H4G"/>
      </w:pPr>
      <w:r>
        <w:tab/>
      </w:r>
      <w:r>
        <w:tab/>
      </w:r>
      <w:r w:rsidRPr="009B6952">
        <w:t>Information sur la coopération</w:t>
      </w:r>
    </w:p>
    <w:p w:rsidR="001A4057" w:rsidRPr="009B6952" w:rsidRDefault="001A4057" w:rsidP="001A4057">
      <w:pPr>
        <w:pStyle w:val="SingleTxtG"/>
      </w:pPr>
      <w:r>
        <w:t>334</w:t>
      </w:r>
      <w:r w:rsidRPr="009B6952">
        <w:t>.</w:t>
      </w:r>
      <w:r w:rsidRPr="009B6952">
        <w:tab/>
        <w:t>En ce qui a trait à la coopération, le Rwanda a signé divers accords bilatéraux, régionaux</w:t>
      </w:r>
      <w:r>
        <w:t xml:space="preserve"> et</w:t>
      </w:r>
      <w:r w:rsidRPr="009B6952">
        <w:t xml:space="preserve"> multilatéraux </w:t>
      </w:r>
      <w:r>
        <w:t>de</w:t>
      </w:r>
      <w:r w:rsidRPr="009B6952">
        <w:t xml:space="preserve"> collaboration </w:t>
      </w:r>
      <w:r>
        <w:t>dans les domaines</w:t>
      </w:r>
      <w:r w:rsidRPr="009B6952">
        <w:t xml:space="preserve"> scientifique et technologique.</w:t>
      </w:r>
    </w:p>
    <w:p w:rsidR="001A4057" w:rsidRPr="009B6952" w:rsidRDefault="001A4057" w:rsidP="001A4057">
      <w:pPr>
        <w:pStyle w:val="SingleTxtG"/>
        <w:ind w:firstLine="567"/>
      </w:pPr>
      <w:r>
        <w:t>a)</w:t>
      </w:r>
      <w:r>
        <w:tab/>
      </w:r>
      <w:r w:rsidRPr="009B6952">
        <w:t>Les scientifiques, artistes et autres participent dans les limites du budget rwandais à des conférences et autres évén</w:t>
      </w:r>
      <w:r w:rsidRPr="00202C97">
        <w:rPr>
          <w:rStyle w:val="Bullet1GCar"/>
        </w:rPr>
        <w:t>e</w:t>
      </w:r>
      <w:r w:rsidRPr="009B6952">
        <w:t xml:space="preserve">ments scientifiques et culturels </w:t>
      </w:r>
      <w:r>
        <w:t xml:space="preserve">se tenant </w:t>
      </w:r>
      <w:r w:rsidRPr="009B6952">
        <w:t>au Rwanda, ainsi qu</w:t>
      </w:r>
      <w:r>
        <w:t>’</w:t>
      </w:r>
      <w:r w:rsidRPr="009B6952">
        <w:t xml:space="preserve">à des événements similaires en dehors du pays, </w:t>
      </w:r>
      <w:r>
        <w:t xml:space="preserve">et </w:t>
      </w:r>
      <w:r w:rsidRPr="009B6952">
        <w:t>cela par le biais des différents Ministères - surtout le Ministère à la présidence chargé des sciences, technologie et la recherche scientifique-</w:t>
      </w:r>
      <w:r>
        <w:t xml:space="preserve">, </w:t>
      </w:r>
      <w:r w:rsidRPr="009B6952">
        <w:t>des agences gouvernementales et non gouvernementales ainsi que des organismes privés</w:t>
      </w:r>
      <w:r>
        <w:t>;</w:t>
      </w:r>
    </w:p>
    <w:p w:rsidR="001A4057" w:rsidRPr="009B6952" w:rsidRDefault="001A4057" w:rsidP="00761B55">
      <w:pPr>
        <w:pStyle w:val="SingleTxtG"/>
        <w:spacing w:after="100"/>
        <w:ind w:firstLine="567"/>
      </w:pPr>
      <w:r>
        <w:t>b)</w:t>
      </w:r>
      <w:r>
        <w:tab/>
      </w:r>
      <w:r w:rsidRPr="009B6952">
        <w:t xml:space="preserve">Les difficultés entravant le développement de la coopération internationale dans ce domaine sont liées au financement. Le </w:t>
      </w:r>
      <w:r>
        <w:t>Gouvernement</w:t>
      </w:r>
      <w:r w:rsidRPr="009B6952">
        <w:t xml:space="preserve"> étant plus souvent préoccupé par d</w:t>
      </w:r>
      <w:r>
        <w:t>’</w:t>
      </w:r>
      <w:r w:rsidRPr="009B6952">
        <w:t>autres secteurs d</w:t>
      </w:r>
      <w:r>
        <w:t>’</w:t>
      </w:r>
      <w:r w:rsidRPr="009B6952">
        <w:t>activité ayant des besoins plus pressants.</w:t>
      </w:r>
    </w:p>
    <w:p w:rsidR="001A4057" w:rsidRPr="009B6952" w:rsidRDefault="001A4057" w:rsidP="00761B55">
      <w:pPr>
        <w:pStyle w:val="H4G"/>
        <w:spacing w:after="100"/>
      </w:pPr>
      <w:r>
        <w:tab/>
      </w:r>
      <w:r>
        <w:tab/>
      </w:r>
      <w:r w:rsidRPr="009B6952">
        <w:t>Modifications récentes</w:t>
      </w:r>
    </w:p>
    <w:p w:rsidR="001A4057" w:rsidRPr="009B6952" w:rsidRDefault="001A4057" w:rsidP="00761B55">
      <w:pPr>
        <w:pStyle w:val="SingleTxtG"/>
        <w:spacing w:after="100"/>
      </w:pPr>
      <w:r>
        <w:t>335</w:t>
      </w:r>
      <w:r w:rsidRPr="009B6952">
        <w:t>.</w:t>
      </w:r>
      <w:r w:rsidRPr="009B6952">
        <w:tab/>
      </w:r>
      <w:r>
        <w:t>Aucune</w:t>
      </w:r>
      <w:r w:rsidRPr="009B6952">
        <w:t xml:space="preserve"> politique</w:t>
      </w:r>
      <w:r>
        <w:t xml:space="preserve">, </w:t>
      </w:r>
      <w:r w:rsidRPr="009B6952">
        <w:t xml:space="preserve">mesure, loi </w:t>
      </w:r>
      <w:r>
        <w:t xml:space="preserve">ou </w:t>
      </w:r>
      <w:r w:rsidRPr="009B6952">
        <w:t xml:space="preserve">pratique </w:t>
      </w:r>
      <w:r>
        <w:t>n’a eu d’</w:t>
      </w:r>
      <w:r w:rsidRPr="009B6952">
        <w:t xml:space="preserve">effet préjudiciable sur les droits énoncés ci-haut. </w:t>
      </w:r>
      <w:r>
        <w:t>Les mesures ont</w:t>
      </w:r>
      <w:r w:rsidRPr="009B6952">
        <w:t xml:space="preserve"> plutôt </w:t>
      </w:r>
      <w:r>
        <w:t>été</w:t>
      </w:r>
      <w:r w:rsidRPr="009B6952">
        <w:t xml:space="preserve"> positives:</w:t>
      </w:r>
    </w:p>
    <w:p w:rsidR="001A4057" w:rsidRPr="009B6952" w:rsidRDefault="001A4057" w:rsidP="00761B55">
      <w:pPr>
        <w:pStyle w:val="SingleTxtG"/>
        <w:spacing w:after="100"/>
        <w:ind w:firstLine="567"/>
      </w:pPr>
      <w:r>
        <w:t>a)</w:t>
      </w:r>
      <w:r>
        <w:tab/>
      </w:r>
      <w:r w:rsidRPr="009B6952">
        <w:t>La nouvelle Constitution du Rwanda garantit les droits susmentionnés à tous, sans discrimination;</w:t>
      </w:r>
    </w:p>
    <w:p w:rsidR="001A4057" w:rsidRPr="009B6952" w:rsidRDefault="001A4057" w:rsidP="00761B55">
      <w:pPr>
        <w:pStyle w:val="SingleTxtG"/>
        <w:spacing w:after="100"/>
        <w:ind w:firstLine="567"/>
      </w:pPr>
      <w:r>
        <w:t>b)</w:t>
      </w:r>
      <w:r>
        <w:tab/>
        <w:t>D</w:t>
      </w:r>
      <w:r w:rsidRPr="009B6952">
        <w:t>es conventions</w:t>
      </w:r>
      <w:r w:rsidRPr="00B352B3">
        <w:rPr>
          <w:rStyle w:val="FootnoteReference"/>
        </w:rPr>
        <w:footnoteReference w:id="169"/>
      </w:r>
      <w:r w:rsidRPr="009B6952">
        <w:t xml:space="preserve"> </w:t>
      </w:r>
      <w:r>
        <w:t xml:space="preserve">ont été </w:t>
      </w:r>
      <w:r w:rsidRPr="009B6952">
        <w:t>ratifiées par l</w:t>
      </w:r>
      <w:r>
        <w:t>’</w:t>
      </w:r>
      <w:r w:rsidRPr="009B6952">
        <w:t xml:space="preserve">État rwandais; </w:t>
      </w:r>
    </w:p>
    <w:p w:rsidR="001A4057" w:rsidRPr="009B6952" w:rsidRDefault="001A4057" w:rsidP="00761B55">
      <w:pPr>
        <w:pStyle w:val="SingleTxtG"/>
        <w:spacing w:after="100"/>
        <w:ind w:firstLine="567"/>
      </w:pPr>
      <w:r>
        <w:t>c)</w:t>
      </w:r>
      <w:r>
        <w:tab/>
      </w:r>
      <w:r w:rsidRPr="009B6952">
        <w:t>Des arrêtés présidentiels</w:t>
      </w:r>
      <w:r w:rsidRPr="00B352B3">
        <w:rPr>
          <w:rStyle w:val="FootnoteReference"/>
        </w:rPr>
        <w:footnoteReference w:id="170"/>
      </w:r>
      <w:r w:rsidRPr="009B6952">
        <w:t xml:space="preserve"> </w:t>
      </w:r>
      <w:r>
        <w:t xml:space="preserve">ont été édictés </w:t>
      </w:r>
      <w:r w:rsidRPr="009B6952">
        <w:t>sur le statu</w:t>
      </w:r>
      <w:r>
        <w:t>t des chercheurs scientifiques;</w:t>
      </w:r>
    </w:p>
    <w:p w:rsidR="001A4057" w:rsidRPr="009B6952" w:rsidRDefault="001A4057" w:rsidP="00761B55">
      <w:pPr>
        <w:pStyle w:val="SingleTxtG"/>
        <w:spacing w:after="100"/>
        <w:ind w:firstLine="567"/>
      </w:pPr>
      <w:r>
        <w:t>d)</w:t>
      </w:r>
      <w:r>
        <w:tab/>
        <w:t>L’</w:t>
      </w:r>
      <w:r w:rsidRPr="009B6952">
        <w:t>institut de recherche s</w:t>
      </w:r>
      <w:r>
        <w:t>cientifique a été mis en place;</w:t>
      </w:r>
    </w:p>
    <w:p w:rsidR="001A4057" w:rsidRPr="009B6952" w:rsidRDefault="001A4057" w:rsidP="00761B55">
      <w:pPr>
        <w:pStyle w:val="SingleTxtG"/>
        <w:spacing w:after="100"/>
        <w:ind w:firstLine="567"/>
      </w:pPr>
      <w:r>
        <w:t>e)</w:t>
      </w:r>
      <w:r>
        <w:tab/>
        <w:t>L</w:t>
      </w:r>
      <w:r w:rsidRPr="009B6952">
        <w:t xml:space="preserve">e </w:t>
      </w:r>
      <w:r>
        <w:t>Gouvernement</w:t>
      </w:r>
      <w:r w:rsidRPr="009B6952">
        <w:t xml:space="preserve"> a </w:t>
      </w:r>
      <w:r>
        <w:t>adopté</w:t>
      </w:r>
      <w:r w:rsidRPr="009B6952">
        <w:t xml:space="preserve"> une approche proactive dans la promotion de la recherche indépendante, comme le prévoit la nouvelle politique NICI adoptée en 2005</w:t>
      </w:r>
      <w:r>
        <w:t>;</w:t>
      </w:r>
    </w:p>
    <w:p w:rsidR="001A4057" w:rsidRPr="009B6952" w:rsidRDefault="001A4057" w:rsidP="00761B55">
      <w:pPr>
        <w:pStyle w:val="SingleTxtG"/>
        <w:spacing w:after="100"/>
        <w:ind w:firstLine="567"/>
      </w:pPr>
      <w:r>
        <w:t>f)</w:t>
      </w:r>
      <w:r>
        <w:tab/>
        <w:t>L</w:t>
      </w:r>
      <w:r w:rsidRPr="009B6952">
        <w:t>e programme de formation à la paix et réconciliation</w:t>
      </w:r>
      <w:r>
        <w:t xml:space="preserve"> a été </w:t>
      </w:r>
      <w:r w:rsidRPr="009B6952">
        <w:t>élaboré par la Commission Nationale de l</w:t>
      </w:r>
      <w:r>
        <w:t>’</w:t>
      </w:r>
      <w:r w:rsidRPr="009B6952">
        <w:t xml:space="preserve">Unité et la Réconciliation (CNUR) pour rassembler surtout les jeunes dans des forums appelés «ingando» (camps de solidarité) aux fins de </w:t>
      </w:r>
      <w:r>
        <w:t xml:space="preserve">suivre des </w:t>
      </w:r>
      <w:r w:rsidRPr="009B6952">
        <w:t>séances politico-militaires,</w:t>
      </w:r>
      <w:r>
        <w:t xml:space="preserve"> mais aussi</w:t>
      </w:r>
      <w:r w:rsidRPr="009B6952">
        <w:t xml:space="preserve"> de bienséance, de savoir-faire, de savoir-dire et de savoir</w:t>
      </w:r>
      <w:r>
        <w:t>-</w:t>
      </w:r>
      <w:r w:rsidRPr="009B6952">
        <w:t>être.</w:t>
      </w:r>
    </w:p>
    <w:p w:rsidR="001A4057" w:rsidRPr="009B6952" w:rsidRDefault="001A4057" w:rsidP="00761B55">
      <w:pPr>
        <w:pStyle w:val="H4G"/>
        <w:spacing w:after="100"/>
      </w:pPr>
      <w:r>
        <w:tab/>
      </w:r>
      <w:r>
        <w:tab/>
      </w:r>
      <w:r w:rsidRPr="009B6952">
        <w:t>L</w:t>
      </w:r>
      <w:r>
        <w:t>’</w:t>
      </w:r>
      <w:r w:rsidRPr="009B6952">
        <w:t>aide internationale</w:t>
      </w:r>
    </w:p>
    <w:p w:rsidR="001A4057" w:rsidRPr="009B6952" w:rsidRDefault="001A4057" w:rsidP="00761B55">
      <w:pPr>
        <w:pStyle w:val="SingleTxtG"/>
        <w:spacing w:after="100"/>
      </w:pPr>
      <w:r w:rsidRPr="009B6952">
        <w:t>33</w:t>
      </w:r>
      <w:r>
        <w:t>6</w:t>
      </w:r>
      <w:r w:rsidRPr="009B6952">
        <w:t>.</w:t>
      </w:r>
      <w:r w:rsidRPr="009B6952">
        <w:tab/>
        <w:t xml:space="preserve">Elle provient de la Banque </w:t>
      </w:r>
      <w:r>
        <w:t>m</w:t>
      </w:r>
      <w:r w:rsidRPr="009B6952">
        <w:t xml:space="preserve">ondiale, du DFID, </w:t>
      </w:r>
      <w:r>
        <w:t xml:space="preserve">de </w:t>
      </w:r>
      <w:r w:rsidRPr="00164A35">
        <w:rPr>
          <w:lang w:val="fr-FR"/>
        </w:rPr>
        <w:t>l</w:t>
      </w:r>
      <w:r>
        <w:rPr>
          <w:lang w:val="fr-FR"/>
        </w:rPr>
        <w:t>’É</w:t>
      </w:r>
      <w:r w:rsidRPr="00164A35">
        <w:rPr>
          <w:lang w:val="fr-FR"/>
        </w:rPr>
        <w:t>quipe</w:t>
      </w:r>
      <w:r>
        <w:rPr>
          <w:lang w:val="fr-FR"/>
        </w:rPr>
        <w:t>-</w:t>
      </w:r>
      <w:r w:rsidRPr="00164A35">
        <w:rPr>
          <w:lang w:val="fr-FR"/>
        </w:rPr>
        <w:t xml:space="preserve">pays du système </w:t>
      </w:r>
      <w:r w:rsidRPr="009B6952">
        <w:t xml:space="preserve">des </w:t>
      </w:r>
      <w:r w:rsidRPr="002C06CB">
        <w:t>Nations Unies au Rwanda</w:t>
      </w:r>
      <w:r w:rsidRPr="009B6952">
        <w:t>, de l</w:t>
      </w:r>
      <w:r>
        <w:t>’</w:t>
      </w:r>
      <w:r w:rsidRPr="009B6952">
        <w:t xml:space="preserve">UNESCO, </w:t>
      </w:r>
      <w:r w:rsidRPr="00225779">
        <w:t>du SIDA</w:t>
      </w:r>
      <w:r w:rsidRPr="009B6952">
        <w:t xml:space="preserve"> ainsi que d</w:t>
      </w:r>
      <w:r>
        <w:t>’</w:t>
      </w:r>
      <w:r w:rsidRPr="009B6952">
        <w:t>autres partenaires bilatéraux.</w:t>
      </w:r>
    </w:p>
    <w:p w:rsidR="001A4057" w:rsidRPr="009B6952" w:rsidRDefault="001A4057" w:rsidP="00761B55">
      <w:pPr>
        <w:pStyle w:val="HChG"/>
        <w:spacing w:before="320" w:after="200"/>
      </w:pPr>
      <w:r>
        <w:tab/>
      </w:r>
      <w:r>
        <w:tab/>
      </w:r>
      <w:r w:rsidRPr="009B6952">
        <w:t>Conclusion</w:t>
      </w:r>
    </w:p>
    <w:p w:rsidR="001A4057" w:rsidRPr="009B6952" w:rsidRDefault="001A4057" w:rsidP="001A4057">
      <w:pPr>
        <w:pStyle w:val="SingleTxtG"/>
      </w:pPr>
      <w:r>
        <w:t>337.</w:t>
      </w:r>
      <w:r>
        <w:tab/>
      </w:r>
      <w:r w:rsidRPr="009B6952">
        <w:t xml:space="preserve">Malgré les défis et aléas auxquels le </w:t>
      </w:r>
      <w:r>
        <w:t>G</w:t>
      </w:r>
      <w:r w:rsidRPr="009B6952">
        <w:t xml:space="preserve">ouvernement rwandais </w:t>
      </w:r>
      <w:r>
        <w:t>se trouve</w:t>
      </w:r>
      <w:r w:rsidRPr="009B6952">
        <w:t xml:space="preserve"> confronté</w:t>
      </w:r>
      <w:r>
        <w:t xml:space="preserve"> au cours de</w:t>
      </w:r>
      <w:r w:rsidRPr="009B6952">
        <w:t xml:space="preserve"> ces dernières décennies, il n</w:t>
      </w:r>
      <w:r>
        <w:t>’</w:t>
      </w:r>
      <w:r w:rsidRPr="009B6952">
        <w:t>en reste pas moins qu</w:t>
      </w:r>
      <w:r>
        <w:t>’</w:t>
      </w:r>
      <w:r w:rsidRPr="009B6952">
        <w:t>il continue d</w:t>
      </w:r>
      <w:r>
        <w:t>’</w:t>
      </w:r>
      <w:r w:rsidRPr="009B6952">
        <w:t xml:space="preserve">afficher sa volonté de faire des droits contenus dans </w:t>
      </w:r>
      <w:r>
        <w:t>l</w:t>
      </w:r>
      <w:r w:rsidRPr="009B6952">
        <w:t>e Pacte une réalité pour sa population.</w:t>
      </w:r>
      <w:r>
        <w:t xml:space="preserve"> </w:t>
      </w:r>
    </w:p>
    <w:p w:rsidR="001A4057" w:rsidRPr="009B6952" w:rsidRDefault="001A4057" w:rsidP="001A4057">
      <w:pPr>
        <w:pStyle w:val="SingleTxtG"/>
      </w:pPr>
      <w:r>
        <w:t>338.</w:t>
      </w:r>
      <w:r>
        <w:tab/>
      </w:r>
      <w:r w:rsidRPr="009B6952">
        <w:t xml:space="preserve">Le </w:t>
      </w:r>
      <w:r>
        <w:t>G</w:t>
      </w:r>
      <w:r w:rsidRPr="009B6952">
        <w:t>ouvernement rwandais</w:t>
      </w:r>
      <w:r>
        <w:t>,</w:t>
      </w:r>
      <w:r w:rsidRPr="009B6952">
        <w:t xml:space="preserve"> dans sa quête </w:t>
      </w:r>
      <w:r>
        <w:t xml:space="preserve">en vue </w:t>
      </w:r>
      <w:r w:rsidRPr="009B6952">
        <w:t>d</w:t>
      </w:r>
      <w:r>
        <w:t>’</w:t>
      </w:r>
      <w:r w:rsidRPr="009B6952">
        <w:t xml:space="preserve">assurer à tous les </w:t>
      </w:r>
      <w:r>
        <w:t>R</w:t>
      </w:r>
      <w:r w:rsidRPr="009B6952">
        <w:t>wandais le respect des droits de l</w:t>
      </w:r>
      <w:r>
        <w:t>’</w:t>
      </w:r>
      <w:r w:rsidRPr="009B6952">
        <w:t xml:space="preserve">homme en général, </w:t>
      </w:r>
      <w:r>
        <w:t xml:space="preserve">s’appuie sur </w:t>
      </w:r>
      <w:r w:rsidRPr="009B6952">
        <w:t>les fondations juridiques qu</w:t>
      </w:r>
      <w:r>
        <w:t>’</w:t>
      </w:r>
      <w:r w:rsidRPr="009B6952">
        <w:t xml:space="preserve">il a établies et </w:t>
      </w:r>
      <w:r>
        <w:t>sur</w:t>
      </w:r>
      <w:r w:rsidRPr="009B6952">
        <w:t xml:space="preserve"> les multiples institutions et mécanismes</w:t>
      </w:r>
      <w:r>
        <w:t xml:space="preserve">. Ce sont eux qui guident </w:t>
      </w:r>
      <w:r w:rsidRPr="009B6952">
        <w:t xml:space="preserve">ses politiques nationales </w:t>
      </w:r>
      <w:r>
        <w:t xml:space="preserve">pour </w:t>
      </w:r>
      <w:r w:rsidRPr="009B6952">
        <w:t xml:space="preserve">une plus grande protection et promotion des droits de la personne. </w:t>
      </w:r>
    </w:p>
    <w:p w:rsidR="001A4057" w:rsidRPr="009B6952" w:rsidRDefault="001A4057" w:rsidP="001A4057">
      <w:pPr>
        <w:pStyle w:val="SingleTxtG"/>
      </w:pPr>
      <w:r>
        <w:t>339.</w:t>
      </w:r>
      <w:r>
        <w:tab/>
      </w:r>
      <w:r w:rsidRPr="009B6952">
        <w:t xml:space="preserve">Le chemin à parcourir </w:t>
      </w:r>
      <w:r>
        <w:t>avant de</w:t>
      </w:r>
      <w:r w:rsidRPr="009B6952">
        <w:t xml:space="preserve"> voir la vision 2020 et les objectifs du </w:t>
      </w:r>
      <w:r>
        <w:t>M</w:t>
      </w:r>
      <w:r w:rsidRPr="009B6952">
        <w:t xml:space="preserve">illénaire </w:t>
      </w:r>
      <w:r>
        <w:t>pour l</w:t>
      </w:r>
      <w:r w:rsidRPr="009B6952">
        <w:t>e développement se concrétiser est encore long</w:t>
      </w:r>
      <w:r>
        <w:t>. N’</w:t>
      </w:r>
      <w:r w:rsidRPr="009B6952">
        <w:t>empêche</w:t>
      </w:r>
      <w:r>
        <w:t xml:space="preserve">, </w:t>
      </w:r>
      <w:r w:rsidRPr="009B6952">
        <w:t xml:space="preserve">les </w:t>
      </w:r>
      <w:r>
        <w:t>R</w:t>
      </w:r>
      <w:r w:rsidRPr="009B6952">
        <w:t xml:space="preserve">wandais continuent à compter sur la </w:t>
      </w:r>
      <w:r>
        <w:t>volonté</w:t>
      </w:r>
      <w:r w:rsidRPr="009B6952">
        <w:t xml:space="preserve"> de leur </w:t>
      </w:r>
      <w:r>
        <w:t>Gouvernement</w:t>
      </w:r>
      <w:r w:rsidRPr="009B6952">
        <w:t xml:space="preserve"> </w:t>
      </w:r>
      <w:r>
        <w:t>de</w:t>
      </w:r>
      <w:r w:rsidRPr="009B6952">
        <w:t xml:space="preserve"> tout mettre en œuvre pour y parvenir.</w:t>
      </w:r>
      <w:r>
        <w:t xml:space="preserve"> </w:t>
      </w:r>
    </w:p>
    <w:p w:rsidR="001A4057" w:rsidRDefault="001A4057" w:rsidP="001A4057">
      <w:pPr>
        <w:pStyle w:val="HChG"/>
      </w:pPr>
      <w:r>
        <w:t>Annexe</w:t>
      </w:r>
    </w:p>
    <w:p w:rsidR="001A4057" w:rsidRPr="009B6952" w:rsidRDefault="001A4057" w:rsidP="001A4057">
      <w:pPr>
        <w:pStyle w:val="H1G"/>
      </w:pPr>
      <w:r>
        <w:tab/>
      </w:r>
      <w:r>
        <w:tab/>
      </w:r>
      <w:r w:rsidRPr="009B6952">
        <w:t>Bibliographie</w:t>
      </w:r>
    </w:p>
    <w:p w:rsidR="001A4057" w:rsidRPr="009B6952" w:rsidRDefault="001A4057" w:rsidP="001A4057">
      <w:pPr>
        <w:pStyle w:val="H23G"/>
      </w:pPr>
      <w:r>
        <w:tab/>
      </w:r>
      <w:r w:rsidRPr="009B6952">
        <w:t>1.</w:t>
      </w:r>
      <w:r w:rsidRPr="009B6952">
        <w:tab/>
      </w:r>
      <w:r>
        <w:t>T</w:t>
      </w:r>
      <w:r w:rsidRPr="009B6952">
        <w:t>extes législatifs annexes</w:t>
      </w:r>
    </w:p>
    <w:p w:rsidR="001A4057" w:rsidRPr="009B6952" w:rsidRDefault="001A4057" w:rsidP="001A4057">
      <w:pPr>
        <w:pStyle w:val="Bullet1G"/>
      </w:pPr>
      <w:r w:rsidRPr="009B6952">
        <w:t>La Constitution de la République du Rwanda, telle qu</w:t>
      </w:r>
      <w:r>
        <w:t>’</w:t>
      </w:r>
      <w:r w:rsidRPr="009B6952">
        <w:t>amendée et complétée à ce jour</w:t>
      </w:r>
    </w:p>
    <w:p w:rsidR="001A4057" w:rsidRPr="009B6952" w:rsidRDefault="001A4057" w:rsidP="001A4057">
      <w:pPr>
        <w:pStyle w:val="Bullet1G"/>
      </w:pPr>
      <w:r>
        <w:t xml:space="preserve">Loi Organique </w:t>
      </w:r>
      <w:r>
        <w:rPr>
          <w:rFonts w:eastAsia="MS Mincho"/>
        </w:rPr>
        <w:t>n</w:t>
      </w:r>
      <w:r>
        <w:rPr>
          <w:rFonts w:eastAsia="MS Mincho"/>
          <w:vertAlign w:val="superscript"/>
        </w:rPr>
        <w:t>o</w:t>
      </w:r>
      <w:r w:rsidRPr="009B6952">
        <w:t xml:space="preserve"> 08/2005 du 14/07/2005 portant régime foncier au Rwanda</w:t>
      </w:r>
    </w:p>
    <w:p w:rsidR="001A4057" w:rsidRPr="009B6952" w:rsidRDefault="001A4057" w:rsidP="001A4057">
      <w:pPr>
        <w:pStyle w:val="Bullet1G"/>
      </w:pPr>
      <w:r>
        <w:t xml:space="preserve">Loi </w:t>
      </w:r>
      <w:r>
        <w:rPr>
          <w:rFonts w:eastAsia="MS Mincho"/>
        </w:rPr>
        <w:t>n</w:t>
      </w:r>
      <w:r>
        <w:rPr>
          <w:rFonts w:eastAsia="MS Mincho"/>
          <w:vertAlign w:val="superscript"/>
        </w:rPr>
        <w:t>o</w:t>
      </w:r>
      <w:r>
        <w:t xml:space="preserve"> </w:t>
      </w:r>
      <w:r w:rsidRPr="009B6952">
        <w:t>13/2009 du 27/05/2009 portant Réglementation du travail au Rwanda</w:t>
      </w:r>
    </w:p>
    <w:p w:rsidR="001A4057" w:rsidRPr="009B6952" w:rsidRDefault="001A4057" w:rsidP="001A4057">
      <w:pPr>
        <w:pStyle w:val="Bullet1G"/>
      </w:pPr>
      <w:r>
        <w:t xml:space="preserve">Loi </w:t>
      </w:r>
      <w:r>
        <w:rPr>
          <w:rFonts w:eastAsia="MS Mincho"/>
        </w:rPr>
        <w:t>n</w:t>
      </w:r>
      <w:r>
        <w:rPr>
          <w:rFonts w:eastAsia="MS Mincho"/>
          <w:vertAlign w:val="superscript"/>
        </w:rPr>
        <w:t>o</w:t>
      </w:r>
      <w:r>
        <w:t xml:space="preserve"> </w:t>
      </w:r>
      <w:r w:rsidRPr="009B6952">
        <w:t>22/2002 du 09/07/2002 portant Statut Général de la Fonction Publique Rwandaise</w:t>
      </w:r>
    </w:p>
    <w:p w:rsidR="001A4057" w:rsidRPr="009B6952" w:rsidRDefault="001A4057" w:rsidP="001A4057">
      <w:pPr>
        <w:pStyle w:val="Bullet1G"/>
      </w:pPr>
      <w:r>
        <w:t xml:space="preserve">Loi </w:t>
      </w:r>
      <w:r>
        <w:rPr>
          <w:rFonts w:eastAsia="MS Mincho"/>
        </w:rPr>
        <w:t>n</w:t>
      </w:r>
      <w:r>
        <w:rPr>
          <w:rFonts w:eastAsia="MS Mincho"/>
          <w:vertAlign w:val="superscript"/>
        </w:rPr>
        <w:t>o</w:t>
      </w:r>
      <w:r>
        <w:t xml:space="preserve"> </w:t>
      </w:r>
      <w:r w:rsidRPr="009B6952">
        <w:t>06/2003 modifiant et complétant le décret-loi du 22 août 1974 portant organisation de la sécurité sociale</w:t>
      </w:r>
    </w:p>
    <w:p w:rsidR="001A4057" w:rsidRPr="009B6952" w:rsidRDefault="001A4057" w:rsidP="001A4057">
      <w:pPr>
        <w:pStyle w:val="Bullet1G"/>
      </w:pPr>
      <w:r>
        <w:t xml:space="preserve">Loi </w:t>
      </w:r>
      <w:r>
        <w:rPr>
          <w:rFonts w:eastAsia="MS Mincho"/>
        </w:rPr>
        <w:t>n</w:t>
      </w:r>
      <w:r>
        <w:rPr>
          <w:rFonts w:eastAsia="MS Mincho"/>
          <w:vertAlign w:val="superscript"/>
        </w:rPr>
        <w:t>o</w:t>
      </w:r>
      <w:r>
        <w:t xml:space="preserve"> </w:t>
      </w:r>
      <w:r w:rsidRPr="009B6952">
        <w:t>60/2008 portant responsabilités, organisation et fonctionnement de la Caisse Sociale du Rwanda</w:t>
      </w:r>
    </w:p>
    <w:p w:rsidR="001A4057" w:rsidRPr="009B6952" w:rsidRDefault="001A4057" w:rsidP="001A4057">
      <w:pPr>
        <w:pStyle w:val="Bullet1G"/>
      </w:pPr>
      <w:r>
        <w:t xml:space="preserve">Loi </w:t>
      </w:r>
      <w:r>
        <w:rPr>
          <w:rFonts w:eastAsia="MS Mincho"/>
        </w:rPr>
        <w:t>n</w:t>
      </w:r>
      <w:r>
        <w:rPr>
          <w:rFonts w:eastAsia="MS Mincho"/>
          <w:vertAlign w:val="superscript"/>
        </w:rPr>
        <w:t>o</w:t>
      </w:r>
      <w:r>
        <w:t xml:space="preserve"> </w:t>
      </w:r>
      <w:r w:rsidRPr="009B6952">
        <w:t>23/2005 du 12/12/2005 portant création, organisation et fonctionnement de l</w:t>
      </w:r>
      <w:r>
        <w:t>’</w:t>
      </w:r>
      <w:r w:rsidRPr="009B6952">
        <w:t>assurance maladie des militaires</w:t>
      </w:r>
    </w:p>
    <w:p w:rsidR="001A4057" w:rsidRPr="009B6952" w:rsidRDefault="001A4057" w:rsidP="001A4057">
      <w:pPr>
        <w:pStyle w:val="Bullet1G"/>
      </w:pPr>
      <w:r>
        <w:t xml:space="preserve">Loi </w:t>
      </w:r>
      <w:r>
        <w:rPr>
          <w:rFonts w:eastAsia="MS Mincho"/>
        </w:rPr>
        <w:t>n</w:t>
      </w:r>
      <w:r>
        <w:rPr>
          <w:rFonts w:eastAsia="MS Mincho"/>
          <w:vertAlign w:val="superscript"/>
        </w:rPr>
        <w:t>o</w:t>
      </w:r>
      <w:r>
        <w:t xml:space="preserve"> </w:t>
      </w:r>
      <w:r w:rsidRPr="009B6952">
        <w:t>62/2007 du 30/12/2007 portant création, organisation, fonctionnement et gestion des mutuelles de santé</w:t>
      </w:r>
      <w:r>
        <w:t xml:space="preserve"> </w:t>
      </w:r>
    </w:p>
    <w:p w:rsidR="001A4057" w:rsidRPr="009B6952" w:rsidRDefault="001A4057" w:rsidP="001A4057">
      <w:pPr>
        <w:pStyle w:val="Bullet1G"/>
      </w:pPr>
      <w:r w:rsidRPr="009B6952">
        <w:t>Loi portant institution, organisation et fonctionnement d</w:t>
      </w:r>
      <w:r>
        <w:t>’</w:t>
      </w:r>
      <w:r w:rsidRPr="009B6952">
        <w:t>un régime d</w:t>
      </w:r>
      <w:r>
        <w:t>’</w:t>
      </w:r>
      <w:r w:rsidRPr="009B6952">
        <w:t>assurance maladie des agents de l</w:t>
      </w:r>
      <w:r>
        <w:t>’</w:t>
      </w:r>
      <w:r w:rsidRPr="009B6952">
        <w:t>État, telle qu</w:t>
      </w:r>
      <w:r>
        <w:t>’</w:t>
      </w:r>
      <w:r w:rsidRPr="009B6952">
        <w:t xml:space="preserve">amendée et complétée à ce jour </w:t>
      </w:r>
    </w:p>
    <w:p w:rsidR="001A4057" w:rsidRPr="009B6952" w:rsidRDefault="001A4057" w:rsidP="001A4057">
      <w:pPr>
        <w:pStyle w:val="Bullet1G"/>
      </w:pPr>
      <w:r>
        <w:t xml:space="preserve">Loi du </w:t>
      </w:r>
      <w:r>
        <w:rPr>
          <w:rFonts w:eastAsia="MS Mincho"/>
        </w:rPr>
        <w:t>n</w:t>
      </w:r>
      <w:r>
        <w:rPr>
          <w:rFonts w:eastAsia="MS Mincho"/>
          <w:vertAlign w:val="superscript"/>
        </w:rPr>
        <w:t>o</w:t>
      </w:r>
      <w:r>
        <w:t xml:space="preserve"> </w:t>
      </w:r>
      <w:r w:rsidRPr="009B6952">
        <w:t>18/2007 du 19/04/2007 portant expropriation pour cause d</w:t>
      </w:r>
      <w:r>
        <w:t>’</w:t>
      </w:r>
      <w:r w:rsidRPr="009B6952">
        <w:t>utilité publique</w:t>
      </w:r>
    </w:p>
    <w:p w:rsidR="001A4057" w:rsidRPr="009B6952" w:rsidRDefault="001A4057" w:rsidP="001A4057">
      <w:pPr>
        <w:pStyle w:val="Bullet1G"/>
      </w:pPr>
      <w:r>
        <w:t xml:space="preserve">Décret présidentiel </w:t>
      </w:r>
      <w:r>
        <w:rPr>
          <w:rFonts w:eastAsia="MS Mincho"/>
        </w:rPr>
        <w:t>n</w:t>
      </w:r>
      <w:r>
        <w:rPr>
          <w:rFonts w:eastAsia="MS Mincho"/>
          <w:vertAlign w:val="superscript"/>
        </w:rPr>
        <w:t>o</w:t>
      </w:r>
      <w:r>
        <w:t xml:space="preserve"> </w:t>
      </w:r>
      <w:r w:rsidRPr="009B6952">
        <w:t>37/01 du 30/8/2004 sur les Termes de recrutement dans la Fonction Publique</w:t>
      </w:r>
    </w:p>
    <w:p w:rsidR="001A4057" w:rsidRPr="009B6952" w:rsidRDefault="001A4057" w:rsidP="001A4057">
      <w:pPr>
        <w:pStyle w:val="Bullet1G"/>
      </w:pPr>
      <w:r w:rsidRPr="009B6952">
        <w:t xml:space="preserve">Arrêté ministériel du </w:t>
      </w:r>
      <w:r>
        <w:rPr>
          <w:rFonts w:eastAsia="MS Mincho"/>
        </w:rPr>
        <w:t>n</w:t>
      </w:r>
      <w:r>
        <w:rPr>
          <w:rFonts w:eastAsia="MS Mincho"/>
          <w:vertAlign w:val="superscript"/>
        </w:rPr>
        <w:t>o</w:t>
      </w:r>
      <w:r>
        <w:rPr>
          <w:bCs/>
        </w:rPr>
        <w:t xml:space="preserve"> </w:t>
      </w:r>
      <w:r w:rsidRPr="009B6952">
        <w:rPr>
          <w:bCs/>
        </w:rPr>
        <w:t>05/19 du 14/03/2003 déterminant les modalités d</w:t>
      </w:r>
      <w:r>
        <w:rPr>
          <w:bCs/>
        </w:rPr>
        <w:t>’</w:t>
      </w:r>
      <w:r w:rsidRPr="009B6952">
        <w:rPr>
          <w:bCs/>
        </w:rPr>
        <w:t>application de la semaine de 40 heures et les taux de rémunération des heures supplémentaires</w:t>
      </w:r>
    </w:p>
    <w:p w:rsidR="001A4057" w:rsidRPr="009B6952" w:rsidRDefault="001A4057" w:rsidP="001A4057">
      <w:pPr>
        <w:pStyle w:val="Bullet1G"/>
      </w:pPr>
      <w:r>
        <w:t xml:space="preserve">Arrêté ministériel </w:t>
      </w:r>
      <w:r>
        <w:rPr>
          <w:rFonts w:eastAsia="MS Mincho"/>
        </w:rPr>
        <w:t>n</w:t>
      </w:r>
      <w:r>
        <w:rPr>
          <w:rFonts w:eastAsia="MS Mincho"/>
          <w:vertAlign w:val="superscript"/>
        </w:rPr>
        <w:t>o</w:t>
      </w:r>
      <w:r>
        <w:t xml:space="preserve"> </w:t>
      </w:r>
      <w:r w:rsidRPr="009B6952">
        <w:t>15/19 du 13/06/2003 fixant la durée hebdomadaire du travail dans les services publics</w:t>
      </w:r>
    </w:p>
    <w:p w:rsidR="001A4057" w:rsidRPr="009B6952" w:rsidRDefault="001A4057" w:rsidP="001A4057">
      <w:pPr>
        <w:pStyle w:val="Bullet1G"/>
      </w:pPr>
      <w:r>
        <w:t xml:space="preserve">Arrêté ministériel </w:t>
      </w:r>
      <w:r>
        <w:rPr>
          <w:rFonts w:eastAsia="MS Mincho"/>
        </w:rPr>
        <w:t>n</w:t>
      </w:r>
      <w:r>
        <w:rPr>
          <w:rFonts w:eastAsia="MS Mincho"/>
          <w:vertAlign w:val="superscript"/>
        </w:rPr>
        <w:t>o</w:t>
      </w:r>
      <w:r>
        <w:t xml:space="preserve"> </w:t>
      </w:r>
      <w:r w:rsidRPr="009B6952">
        <w:t>19/19 du 08/07/2003 portant modalités de formation des agents de l</w:t>
      </w:r>
      <w:r>
        <w:t>’</w:t>
      </w:r>
      <w:r w:rsidRPr="009B6952">
        <w:t>État</w:t>
      </w:r>
    </w:p>
    <w:p w:rsidR="001A4057" w:rsidRPr="009B6952" w:rsidRDefault="001A4057" w:rsidP="001A4057">
      <w:pPr>
        <w:pStyle w:val="SingleTxtG"/>
        <w:ind w:left="1531"/>
      </w:pPr>
      <w:r w:rsidRPr="009B6952">
        <w:t>D</w:t>
      </w:r>
      <w:r>
        <w:t>’</w:t>
      </w:r>
      <w:r w:rsidRPr="009B6952">
        <w:t xml:space="preserve">autres lois peuvent être consultées sur le site officiel des lois du Rwanda: </w:t>
      </w:r>
      <w:hyperlink r:id="rId10" w:history="1">
        <w:r w:rsidRPr="009B6952">
          <w:rPr>
            <w:rStyle w:val="Hyperlink"/>
          </w:rPr>
          <w:t>http://www.amategeko.net</w:t>
        </w:r>
      </w:hyperlink>
    </w:p>
    <w:p w:rsidR="001A4057" w:rsidRPr="009B6952" w:rsidRDefault="001A4057" w:rsidP="001A4057">
      <w:pPr>
        <w:pStyle w:val="H23G"/>
      </w:pPr>
      <w:r>
        <w:tab/>
      </w:r>
      <w:r w:rsidRPr="009B6952">
        <w:t>2.</w:t>
      </w:r>
      <w:r w:rsidRPr="009B6952">
        <w:tab/>
      </w:r>
      <w:r>
        <w:t>A</w:t>
      </w:r>
      <w:r w:rsidRPr="009B6952">
        <w:t>utres documents consult</w:t>
      </w:r>
      <w:r>
        <w:t>é</w:t>
      </w:r>
      <w:r w:rsidRPr="009B6952">
        <w:t>s</w:t>
      </w:r>
    </w:p>
    <w:p w:rsidR="001A4057" w:rsidRPr="009B6952" w:rsidRDefault="001A4057" w:rsidP="001A4057">
      <w:pPr>
        <w:pStyle w:val="Bullet1G"/>
      </w:pPr>
      <w:r w:rsidRPr="009B6952">
        <w:t xml:space="preserve">Caisse Sociale du Rwanda: Annual Statistical Bulletin 2007, October 2008: </w:t>
      </w:r>
      <w:hyperlink r:id="rId11" w:history="1">
        <w:r w:rsidRPr="009B6952">
          <w:rPr>
            <w:rStyle w:val="Hyperlink"/>
          </w:rPr>
          <w:t>http://www.csr.gov.rw</w:t>
        </w:r>
      </w:hyperlink>
    </w:p>
    <w:p w:rsidR="001A4057" w:rsidRPr="009B6952" w:rsidRDefault="001A4057" w:rsidP="001A4057">
      <w:pPr>
        <w:pStyle w:val="Bullet1G"/>
      </w:pPr>
      <w:r>
        <w:t>CEPEX/</w:t>
      </w:r>
      <w:r w:rsidRPr="009B6952">
        <w:t xml:space="preserve">MINECOFIN: Development projects implementation report, annual report 2007, Vol.I-2008 &amp; First Semester 2008: </w:t>
      </w:r>
      <w:hyperlink r:id="rId12" w:history="1">
        <w:r w:rsidRPr="009B6952">
          <w:rPr>
            <w:rStyle w:val="Hyperlink"/>
          </w:rPr>
          <w:t>http://www.cepex.gov.rw/sem12008.pdf</w:t>
        </w:r>
      </w:hyperlink>
      <w:r w:rsidRPr="009B6952">
        <w:t xml:space="preserve"> </w:t>
      </w:r>
    </w:p>
    <w:p w:rsidR="001A4057" w:rsidRPr="00F9401B" w:rsidRDefault="001A4057" w:rsidP="001A4057">
      <w:pPr>
        <w:pStyle w:val="Bullet1G"/>
        <w:rPr>
          <w:lang w:val="en-US"/>
        </w:rPr>
      </w:pPr>
      <w:r w:rsidRPr="00F9401B">
        <w:rPr>
          <w:lang w:val="en-US"/>
        </w:rPr>
        <w:t xml:space="preserve">Le </w:t>
      </w:r>
      <w:r w:rsidRPr="00AF1DA5">
        <w:rPr>
          <w:lang w:val="en-US"/>
        </w:rPr>
        <w:t>Secrétariat Exécutif de</w:t>
      </w:r>
      <w:r w:rsidRPr="00F9401B">
        <w:rPr>
          <w:lang w:val="en-US"/>
        </w:rPr>
        <w:t xml:space="preserve"> Beijing, Poverty reduction and socio-economic promotion for the Rwandan woman, A collection and analysis of research works and survey conducted in the fields of poverty, social and economic promotion and definition of basic indicators 2005, December,2007</w:t>
      </w:r>
    </w:p>
    <w:p w:rsidR="001A4057" w:rsidRPr="009B6952" w:rsidRDefault="001A4057" w:rsidP="001A4057">
      <w:pPr>
        <w:pStyle w:val="Bullet1G"/>
      </w:pPr>
      <w:r w:rsidRPr="009B6952">
        <w:t>MIFOTRA, Étude sur le Fonctionnement des syndicats au Rwanda, 2007</w:t>
      </w:r>
    </w:p>
    <w:p w:rsidR="001A4057" w:rsidRPr="009B6952" w:rsidRDefault="001A4057" w:rsidP="001A4057">
      <w:pPr>
        <w:pStyle w:val="Bullet1G"/>
      </w:pPr>
      <w:r w:rsidRPr="009B6952">
        <w:t>MIFOTRA: Étude sur le statut des travailleurs et travailleuses au Rwanda, 2005</w:t>
      </w:r>
    </w:p>
    <w:p w:rsidR="001A4057" w:rsidRPr="009B6952" w:rsidRDefault="001A4057" w:rsidP="001A4057">
      <w:pPr>
        <w:pStyle w:val="Bullet1G"/>
      </w:pPr>
      <w:r w:rsidRPr="009B6952">
        <w:t>MIFOTRA, Plan d</w:t>
      </w:r>
      <w:r>
        <w:t>’</w:t>
      </w:r>
      <w:r w:rsidRPr="009B6952">
        <w:t>action quinquennal pour la promotion de l</w:t>
      </w:r>
      <w:r>
        <w:t>’</w:t>
      </w:r>
      <w:r w:rsidRPr="009B6952">
        <w:t>emploi des femmes au Rwanda 2006-2010, 2007</w:t>
      </w:r>
    </w:p>
    <w:p w:rsidR="001A4057" w:rsidRPr="009B6952" w:rsidRDefault="001A4057" w:rsidP="001A4057">
      <w:pPr>
        <w:pStyle w:val="Bullet1G"/>
      </w:pPr>
      <w:r w:rsidRPr="009B6952">
        <w:t>MIFOTRA, Politique Nationale de l</w:t>
      </w:r>
      <w:r>
        <w:t>’</w:t>
      </w:r>
      <w:r w:rsidRPr="009B6952">
        <w:t>Emploi 2007</w:t>
      </w:r>
    </w:p>
    <w:p w:rsidR="001A4057" w:rsidRPr="009B6952" w:rsidRDefault="001A4057" w:rsidP="001A4057">
      <w:pPr>
        <w:pStyle w:val="Bullet1G"/>
      </w:pPr>
      <w:r w:rsidRPr="009B6952">
        <w:t>MIFOTRA, Plan d</w:t>
      </w:r>
      <w:r>
        <w:t>’</w:t>
      </w:r>
      <w:r w:rsidRPr="009B6952">
        <w:t>Action quinquennal pour la Promotion de l</w:t>
      </w:r>
      <w:r>
        <w:t>’</w:t>
      </w:r>
      <w:r w:rsidRPr="009B6952">
        <w:t>Emploi des Jeunes au Rwanda 2007</w:t>
      </w:r>
    </w:p>
    <w:p w:rsidR="001A4057" w:rsidRPr="009B6952" w:rsidRDefault="001A4057" w:rsidP="001A4057">
      <w:pPr>
        <w:pStyle w:val="Bullet1G"/>
        <w:rPr>
          <w:bCs/>
        </w:rPr>
      </w:pPr>
      <w:r w:rsidRPr="009B6952">
        <w:t xml:space="preserve">MIFOTRA, </w:t>
      </w:r>
      <w:r w:rsidRPr="009B6952">
        <w:rPr>
          <w:bCs/>
        </w:rPr>
        <w:t xml:space="preserve">Guide de détermination des salaires dans le secteur public, Juin 2004: </w:t>
      </w:r>
      <w:hyperlink r:id="rId13" w:history="1">
        <w:r w:rsidRPr="009B6952">
          <w:rPr>
            <w:rStyle w:val="Hyperlink"/>
            <w:bCs/>
          </w:rPr>
          <w:t>http://www.mifotra.gov.rw/documents/Guidelines/Guides</w:t>
        </w:r>
        <w:r>
          <w:rPr>
            <w:rStyle w:val="Hyperlink"/>
            <w:bCs/>
          </w:rPr>
          <w:t xml:space="preserve"> %</w:t>
        </w:r>
        <w:r w:rsidRPr="009B6952">
          <w:rPr>
            <w:rStyle w:val="Hyperlink"/>
            <w:bCs/>
          </w:rPr>
          <w:t>20Salaries.pdf</w:t>
        </w:r>
      </w:hyperlink>
      <w:r w:rsidRPr="009B6952">
        <w:rPr>
          <w:bCs/>
        </w:rPr>
        <w:t xml:space="preserve"> </w:t>
      </w:r>
    </w:p>
    <w:p w:rsidR="001A4057" w:rsidRPr="009B6952" w:rsidRDefault="001A4057" w:rsidP="001A4057">
      <w:pPr>
        <w:pStyle w:val="Bullet1G"/>
      </w:pPr>
      <w:r w:rsidRPr="009B6952">
        <w:t>MIGEPROF, Profil du genre au Rwanda, 2005-2007, Février 2009</w:t>
      </w:r>
    </w:p>
    <w:p w:rsidR="001A4057" w:rsidRPr="009B6952" w:rsidRDefault="001A4057" w:rsidP="001A4057">
      <w:pPr>
        <w:pStyle w:val="Bullet1G"/>
      </w:pPr>
      <w:r w:rsidRPr="009B6952">
        <w:t>MIGEPROF, Politique Nationale du Genre, 2005. Pour plus d</w:t>
      </w:r>
      <w:r>
        <w:t>’</w:t>
      </w:r>
      <w:r w:rsidRPr="009B6952">
        <w:t>information</w:t>
      </w:r>
      <w:r>
        <w:t>s</w:t>
      </w:r>
      <w:r w:rsidRPr="009B6952">
        <w:t xml:space="preserve">, visitez: </w:t>
      </w:r>
      <w:hyperlink r:id="rId14" w:history="1">
        <w:r w:rsidRPr="009B6952">
          <w:rPr>
            <w:rStyle w:val="Hyperlink"/>
          </w:rPr>
          <w:t>http://www.migeprof.gov.rw</w:t>
        </w:r>
      </w:hyperlink>
      <w:r w:rsidRPr="009B6952">
        <w:t xml:space="preserve"> </w:t>
      </w:r>
    </w:p>
    <w:p w:rsidR="001A4057" w:rsidRPr="00A85E1A" w:rsidRDefault="001A4057" w:rsidP="001A4057">
      <w:pPr>
        <w:pStyle w:val="Bullet1G"/>
        <w:rPr>
          <w:lang w:val="en-GB"/>
        </w:rPr>
      </w:pPr>
      <w:r w:rsidRPr="00A85E1A">
        <w:rPr>
          <w:lang w:val="en-GB"/>
        </w:rPr>
        <w:t xml:space="preserve">MINAGRI: Agricultural Sector Performance, First Semester, 2008: </w:t>
      </w:r>
      <w:hyperlink r:id="rId15" w:history="1">
        <w:r w:rsidRPr="00A85E1A">
          <w:rPr>
            <w:rStyle w:val="Hyperlink"/>
            <w:lang w:val="en-GB"/>
          </w:rPr>
          <w:t>http://minagri.gov.rw/</w:t>
        </w:r>
      </w:hyperlink>
      <w:r w:rsidRPr="00A85E1A">
        <w:rPr>
          <w:lang w:val="en-GB"/>
        </w:rPr>
        <w:t xml:space="preserve"> </w:t>
      </w:r>
    </w:p>
    <w:p w:rsidR="001A4057" w:rsidRPr="009B6952" w:rsidRDefault="001A4057" w:rsidP="001A4057">
      <w:pPr>
        <w:pStyle w:val="Bullet1G"/>
      </w:pPr>
      <w:r w:rsidRPr="009B6952">
        <w:t>MINAGRI: Plan Stratégique pour la Transformation de l</w:t>
      </w:r>
      <w:r>
        <w:t>’</w:t>
      </w:r>
      <w:r w:rsidRPr="009B6952">
        <w:t>Agriculture, 2004</w:t>
      </w:r>
    </w:p>
    <w:p w:rsidR="001A4057" w:rsidRPr="009B6952" w:rsidRDefault="001A4057" w:rsidP="001A4057">
      <w:pPr>
        <w:pStyle w:val="Bullet1G"/>
      </w:pPr>
      <w:r w:rsidRPr="009B6952">
        <w:t>MINALOC: Rapport d</w:t>
      </w:r>
      <w:r>
        <w:t>’</w:t>
      </w:r>
      <w:r w:rsidRPr="009B6952">
        <w:t>activités 2003-2008. Pour plus d</w:t>
      </w:r>
      <w:r>
        <w:t>’</w:t>
      </w:r>
      <w:r w:rsidRPr="009B6952">
        <w:t>information</w:t>
      </w:r>
      <w:r>
        <w:t>s</w:t>
      </w:r>
      <w:r w:rsidRPr="009B6952">
        <w:t xml:space="preserve">, visitez: </w:t>
      </w:r>
      <w:hyperlink r:id="rId16" w:history="1">
        <w:r w:rsidRPr="009B6952">
          <w:rPr>
            <w:rStyle w:val="Hyperlink"/>
          </w:rPr>
          <w:t>http://www.minaloc.gov.rw/</w:t>
        </w:r>
      </w:hyperlink>
      <w:r w:rsidRPr="009B6952">
        <w:t xml:space="preserve"> </w:t>
      </w:r>
    </w:p>
    <w:p w:rsidR="001A4057" w:rsidRPr="00F9401B" w:rsidRDefault="001A4057" w:rsidP="001A4057">
      <w:pPr>
        <w:pStyle w:val="Bullet1G"/>
        <w:rPr>
          <w:lang w:val="en-US"/>
        </w:rPr>
      </w:pPr>
      <w:r w:rsidRPr="00F9401B">
        <w:rPr>
          <w:lang w:val="en-US"/>
        </w:rPr>
        <w:t>MINALOC: Strategic plan of habitat and urbanism sub-sector for EDPRS implementation, 2008</w:t>
      </w:r>
    </w:p>
    <w:p w:rsidR="001A4057" w:rsidRPr="009B6952" w:rsidRDefault="001A4057" w:rsidP="001A4057">
      <w:pPr>
        <w:pStyle w:val="Bullet1G"/>
      </w:pPr>
      <w:r w:rsidRPr="00F9401B">
        <w:rPr>
          <w:lang w:val="en-US"/>
        </w:rPr>
        <w:t xml:space="preserve">MINECOFIN: EDPRS Quarterly Report, June 2008. </w:t>
      </w:r>
      <w:r w:rsidRPr="009B6952">
        <w:t>Pour plus d</w:t>
      </w:r>
      <w:r>
        <w:t>’</w:t>
      </w:r>
      <w:r w:rsidRPr="009B6952">
        <w:t>information</w:t>
      </w:r>
      <w:r>
        <w:t>s</w:t>
      </w:r>
      <w:r w:rsidRPr="009B6952">
        <w:t xml:space="preserve">, visitez: </w:t>
      </w:r>
      <w:hyperlink r:id="rId17" w:history="1">
        <w:r w:rsidRPr="009B6952">
          <w:rPr>
            <w:rStyle w:val="Hyperlink"/>
          </w:rPr>
          <w:t>http://www.minecofin.gov.rw/</w:t>
        </w:r>
      </w:hyperlink>
      <w:r>
        <w:t xml:space="preserve"> </w:t>
      </w:r>
    </w:p>
    <w:p w:rsidR="001A4057" w:rsidRPr="00F9401B" w:rsidRDefault="001A4057" w:rsidP="001A4057">
      <w:pPr>
        <w:pStyle w:val="Bullet1G"/>
        <w:rPr>
          <w:lang w:val="en-US"/>
        </w:rPr>
      </w:pPr>
      <w:r w:rsidRPr="00F9401B">
        <w:rPr>
          <w:lang w:val="en-US"/>
        </w:rPr>
        <w:t>MINECOFIN: Annex II-1: Expenditure by sector and sub-sector 2009-2012</w:t>
      </w:r>
    </w:p>
    <w:p w:rsidR="001A4057" w:rsidRPr="00F9401B" w:rsidRDefault="001A4057" w:rsidP="001A4057">
      <w:pPr>
        <w:pStyle w:val="Bullet1G"/>
        <w:rPr>
          <w:lang w:val="en-US"/>
        </w:rPr>
      </w:pPr>
      <w:r w:rsidRPr="00F9401B">
        <w:rPr>
          <w:lang w:val="en-US"/>
        </w:rPr>
        <w:t>MINEDUC: Development &amp; Implementation of an integrated technical and vocational education training (TVET) system concept paper</w:t>
      </w:r>
    </w:p>
    <w:p w:rsidR="001A4057" w:rsidRPr="00F9401B" w:rsidRDefault="001A4057" w:rsidP="001A4057">
      <w:pPr>
        <w:pStyle w:val="Bullet1G"/>
        <w:rPr>
          <w:lang w:val="en-US"/>
        </w:rPr>
      </w:pPr>
      <w:r w:rsidRPr="00F9401B">
        <w:rPr>
          <w:lang w:val="en-US"/>
        </w:rPr>
        <w:t>MINEDUC Rwanda: Study of literacy needs and programs for youth and adults, Background Paper prepared for the Education for all global monitoring report 2006</w:t>
      </w:r>
    </w:p>
    <w:p w:rsidR="001A4057" w:rsidRPr="00F9401B" w:rsidRDefault="001A4057" w:rsidP="001A4057">
      <w:pPr>
        <w:pStyle w:val="Bullet1G"/>
        <w:rPr>
          <w:lang w:val="en-US"/>
        </w:rPr>
      </w:pPr>
      <w:r w:rsidRPr="00F9401B">
        <w:rPr>
          <w:lang w:val="en-US"/>
        </w:rPr>
        <w:t xml:space="preserve">MINEDUC: Summary of achievements, 2006-2008: </w:t>
      </w:r>
      <w:hyperlink r:id="rId18" w:history="1">
        <w:r w:rsidRPr="00F9401B">
          <w:rPr>
            <w:rStyle w:val="Hyperlink"/>
            <w:lang w:val="en-US"/>
          </w:rPr>
          <w:t>http://mineduc.gov.rw/</w:t>
        </w:r>
      </w:hyperlink>
      <w:r w:rsidRPr="00F9401B">
        <w:rPr>
          <w:lang w:val="en-US"/>
        </w:rPr>
        <w:t xml:space="preserve"> </w:t>
      </w:r>
    </w:p>
    <w:p w:rsidR="001A4057" w:rsidRPr="009B6952" w:rsidRDefault="001A4057" w:rsidP="001A4057">
      <w:pPr>
        <w:pStyle w:val="Bullet1G"/>
      </w:pPr>
      <w:r w:rsidRPr="009B6952">
        <w:t>MININFRA, Politique Nationale de l</w:t>
      </w:r>
      <w:r>
        <w:t>’</w:t>
      </w:r>
      <w:r w:rsidRPr="009B6952">
        <w:t>Habitat au Rwanda, 2004</w:t>
      </w:r>
    </w:p>
    <w:p w:rsidR="001A4057" w:rsidRPr="009B6952" w:rsidRDefault="001A4057" w:rsidP="001A4057">
      <w:pPr>
        <w:pStyle w:val="Bullet1G"/>
      </w:pPr>
      <w:r w:rsidRPr="009B6952">
        <w:t xml:space="preserve">MINIRENA, Politique nationale foncière: </w:t>
      </w:r>
      <w:hyperlink r:id="rId19" w:history="1">
        <w:r w:rsidRPr="009B6952">
          <w:rPr>
            <w:rStyle w:val="Hyperlink"/>
          </w:rPr>
          <w:t>http://minirena.gov.rw/</w:t>
        </w:r>
      </w:hyperlink>
      <w:r w:rsidRPr="009B6952">
        <w:t xml:space="preserve"> </w:t>
      </w:r>
    </w:p>
    <w:p w:rsidR="001A4057" w:rsidRPr="009B6952" w:rsidRDefault="001A4057" w:rsidP="001A4057">
      <w:pPr>
        <w:pStyle w:val="Bullet1G"/>
      </w:pPr>
      <w:r w:rsidRPr="009B6952">
        <w:t>MINISANTE, Politique Nationale de la Nutrition 2007, 2008</w:t>
      </w:r>
    </w:p>
    <w:p w:rsidR="001A4057" w:rsidRPr="009B6952" w:rsidRDefault="001A4057" w:rsidP="001A4057">
      <w:pPr>
        <w:pStyle w:val="Bullet1G"/>
      </w:pPr>
      <w:r w:rsidRPr="009B6952">
        <w:t xml:space="preserve">MINISANTE: Annual Reports, 2006, 2007 &amp; 2008: </w:t>
      </w:r>
      <w:hyperlink r:id="rId20" w:history="1">
        <w:r w:rsidRPr="009B6952">
          <w:rPr>
            <w:rStyle w:val="Hyperlink"/>
          </w:rPr>
          <w:t>http://moh.gov.rw/</w:t>
        </w:r>
      </w:hyperlink>
      <w:r w:rsidRPr="009B6952">
        <w:t xml:space="preserve"> </w:t>
      </w:r>
    </w:p>
    <w:p w:rsidR="001A4057" w:rsidRPr="009B6952" w:rsidRDefault="001A4057" w:rsidP="001A4057">
      <w:pPr>
        <w:pStyle w:val="Bullet1G"/>
      </w:pPr>
      <w:r w:rsidRPr="009B6952">
        <w:t>NISR: CFSVA 2006. Pour plus d</w:t>
      </w:r>
      <w:r>
        <w:t>’</w:t>
      </w:r>
      <w:r w:rsidRPr="009B6952">
        <w:t>information</w:t>
      </w:r>
      <w:r>
        <w:t>s</w:t>
      </w:r>
      <w:r w:rsidRPr="009B6952">
        <w:t xml:space="preserve">, visitez le site: </w:t>
      </w:r>
      <w:hyperlink r:id="rId21" w:history="1">
        <w:r w:rsidRPr="009B6952">
          <w:rPr>
            <w:rStyle w:val="Hyperlink"/>
          </w:rPr>
          <w:t>http://www.statistics.gov.rw/</w:t>
        </w:r>
      </w:hyperlink>
      <w:r>
        <w:t xml:space="preserve"> </w:t>
      </w:r>
    </w:p>
    <w:p w:rsidR="001A4057" w:rsidRPr="009B6952" w:rsidRDefault="001A4057" w:rsidP="001A4057">
      <w:pPr>
        <w:pStyle w:val="Bullet1G"/>
      </w:pPr>
      <w:r w:rsidRPr="009B6952">
        <w:t>NISR, Enquête Démographique et de Santé 2005, 2006 </w:t>
      </w:r>
    </w:p>
    <w:p w:rsidR="001A4057" w:rsidRPr="009B6952" w:rsidRDefault="001A4057" w:rsidP="001A4057">
      <w:pPr>
        <w:pStyle w:val="Bullet1G"/>
      </w:pPr>
      <w:r w:rsidRPr="009B6952">
        <w:t>NISR, Enquête Intégrale sur les Conditions de Vie des ménages 2005, 2006</w:t>
      </w:r>
    </w:p>
    <w:p w:rsidR="001A4057" w:rsidRPr="009B6952" w:rsidRDefault="001A4057" w:rsidP="001A4057">
      <w:pPr>
        <w:pStyle w:val="Bullet1G"/>
      </w:pPr>
      <w:r w:rsidRPr="009B6952">
        <w:t>NISR, Enquête Intermédiaire Démographique et de Santé 2007, 2008</w:t>
      </w:r>
    </w:p>
    <w:p w:rsidR="001A4057" w:rsidRPr="00F9401B" w:rsidRDefault="001A4057" w:rsidP="001A4057">
      <w:pPr>
        <w:pStyle w:val="Bullet1G"/>
        <w:rPr>
          <w:lang w:val="en-US"/>
        </w:rPr>
      </w:pPr>
      <w:r w:rsidRPr="00F9401B">
        <w:rPr>
          <w:lang w:val="en-US"/>
        </w:rPr>
        <w:t>NISR: EICV Poverty Analysis for Rwanda</w:t>
      </w:r>
      <w:r>
        <w:rPr>
          <w:lang w:val="en-US"/>
        </w:rPr>
        <w:t>’</w:t>
      </w:r>
      <w:r w:rsidRPr="00F9401B">
        <w:rPr>
          <w:lang w:val="en-US"/>
        </w:rPr>
        <w:t>s Economic Development &amp; Poverty Reduction Strategy, May 2007</w:t>
      </w:r>
    </w:p>
    <w:p w:rsidR="001A4057" w:rsidRPr="00F9401B" w:rsidRDefault="001A4057" w:rsidP="001A4057">
      <w:pPr>
        <w:pStyle w:val="Bullet1G"/>
        <w:rPr>
          <w:lang w:val="en-US"/>
        </w:rPr>
      </w:pPr>
      <w:r w:rsidRPr="00F9401B">
        <w:rPr>
          <w:lang w:val="en-US"/>
        </w:rPr>
        <w:t>NISR: Analysis of the EICV 2 Survey (2005): Labor market and economic activity trends in Rwanda</w:t>
      </w:r>
    </w:p>
    <w:p w:rsidR="001A4057" w:rsidRPr="00F9401B" w:rsidRDefault="001A4057" w:rsidP="001A4057">
      <w:pPr>
        <w:pStyle w:val="Bullet1G"/>
        <w:rPr>
          <w:lang w:val="en-US"/>
        </w:rPr>
      </w:pPr>
      <w:r w:rsidRPr="00F9401B">
        <w:rPr>
          <w:lang w:val="en-US"/>
        </w:rPr>
        <w:t>NISR: Quarterly Economic Review, January-March 2008</w:t>
      </w:r>
    </w:p>
    <w:p w:rsidR="001A4057" w:rsidRPr="00F9401B" w:rsidRDefault="001A4057" w:rsidP="001A4057">
      <w:pPr>
        <w:pStyle w:val="Bullet1G"/>
        <w:rPr>
          <w:lang w:val="en-US"/>
        </w:rPr>
      </w:pPr>
      <w:r w:rsidRPr="00F9401B">
        <w:rPr>
          <w:lang w:val="en-US"/>
        </w:rPr>
        <w:t xml:space="preserve">NISR: EICV EDPRS-Final report, May 2007 </w:t>
      </w:r>
    </w:p>
    <w:p w:rsidR="00761B55" w:rsidRDefault="001A4057" w:rsidP="00761B55">
      <w:pPr>
        <w:pStyle w:val="Bullet1G"/>
      </w:pPr>
      <w:r w:rsidRPr="009B6952">
        <w:t>NISR: Rwanda Development Indicators-2006</w:t>
      </w:r>
    </w:p>
    <w:p w:rsidR="002F5FFE" w:rsidRDefault="001A4057" w:rsidP="00761B55">
      <w:pPr>
        <w:pStyle w:val="Bullet1G"/>
      </w:pPr>
      <w:r w:rsidRPr="009B6952">
        <w:t>UNESCO Rwanda: Country Programming Document, 1</w:t>
      </w:r>
      <w:r w:rsidR="00761B55" w:rsidRPr="00761B55">
        <w:rPr>
          <w:vertAlign w:val="superscript"/>
        </w:rPr>
        <w:t>r</w:t>
      </w:r>
      <w:r w:rsidRPr="00140C99">
        <w:rPr>
          <w:vertAlign w:val="superscript"/>
        </w:rPr>
        <w:t>e</w:t>
      </w:r>
      <w:r>
        <w:t xml:space="preserve"> </w:t>
      </w:r>
      <w:r w:rsidRPr="009B6952">
        <w:t>édition, Octobre 2007</w:t>
      </w:r>
    </w:p>
    <w:p w:rsidR="00761B55" w:rsidRPr="00761B55" w:rsidRDefault="00761B55" w:rsidP="00761B55">
      <w:pPr>
        <w:pStyle w:val="SingleTxtG"/>
        <w:spacing w:before="240" w:after="0"/>
        <w:jc w:val="center"/>
        <w:rPr>
          <w:u w:val="single"/>
        </w:rPr>
      </w:pPr>
      <w:r>
        <w:rPr>
          <w:u w:val="single"/>
        </w:rPr>
        <w:tab/>
      </w:r>
      <w:r>
        <w:rPr>
          <w:u w:val="single"/>
        </w:rPr>
        <w:tab/>
      </w:r>
      <w:r>
        <w:rPr>
          <w:u w:val="single"/>
        </w:rPr>
        <w:tab/>
      </w:r>
    </w:p>
    <w:sectPr w:rsidR="00761B55" w:rsidRPr="00761B55" w:rsidSect="00CB399B">
      <w:headerReference w:type="even" r:id="rId22"/>
      <w:headerReference w:type="default" r:id="rId23"/>
      <w:footerReference w:type="even" r:id="rId24"/>
      <w:footerReference w:type="default" r:id="rId25"/>
      <w:footerReference w:type="first" r:id="rId2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76" w:rsidRDefault="00746376"/>
  </w:endnote>
  <w:endnote w:type="continuationSeparator" w:id="0">
    <w:p w:rsidR="00746376" w:rsidRDefault="00746376"/>
  </w:endnote>
  <w:endnote w:type="continuationNotice" w:id="1">
    <w:p w:rsidR="00746376" w:rsidRDefault="00746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9E" w:rsidRPr="00CB399B" w:rsidRDefault="00035D9E" w:rsidP="00CB399B">
    <w:pPr>
      <w:pStyle w:val="Footer"/>
      <w:tabs>
        <w:tab w:val="right" w:pos="9638"/>
      </w:tabs>
    </w:pPr>
    <w:r w:rsidRPr="00CB399B">
      <w:rPr>
        <w:b/>
        <w:sz w:val="18"/>
      </w:rPr>
      <w:fldChar w:fldCharType="begin"/>
    </w:r>
    <w:r w:rsidRPr="00CB399B">
      <w:rPr>
        <w:b/>
        <w:sz w:val="18"/>
      </w:rPr>
      <w:instrText xml:space="preserve"> PAGE  \* MERGEFORMAT </w:instrText>
    </w:r>
    <w:r w:rsidRPr="00CB399B">
      <w:rPr>
        <w:b/>
        <w:sz w:val="18"/>
      </w:rPr>
      <w:fldChar w:fldCharType="separate"/>
    </w:r>
    <w:r w:rsidR="000261DC">
      <w:rPr>
        <w:b/>
        <w:noProof/>
        <w:sz w:val="18"/>
      </w:rPr>
      <w:t>2</w:t>
    </w:r>
    <w:r w:rsidRPr="00CB399B">
      <w:rPr>
        <w:b/>
        <w:sz w:val="18"/>
      </w:rPr>
      <w:fldChar w:fldCharType="end"/>
    </w:r>
    <w:r>
      <w:rPr>
        <w:b/>
        <w:sz w:val="18"/>
      </w:rPr>
      <w:tab/>
    </w:r>
    <w:r>
      <w:t>GE.11-46241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9E" w:rsidRPr="00CB399B" w:rsidRDefault="00035D9E" w:rsidP="00CB399B">
    <w:pPr>
      <w:pStyle w:val="Footer"/>
      <w:tabs>
        <w:tab w:val="right" w:pos="9638"/>
      </w:tabs>
      <w:rPr>
        <w:b/>
        <w:sz w:val="18"/>
      </w:rPr>
    </w:pPr>
    <w:r>
      <w:t>GE.11-46241</w:t>
    </w:r>
    <w:r>
      <w:tab/>
    </w:r>
    <w:r w:rsidRPr="00CB399B">
      <w:rPr>
        <w:b/>
        <w:sz w:val="18"/>
      </w:rPr>
      <w:fldChar w:fldCharType="begin"/>
    </w:r>
    <w:r w:rsidRPr="00CB399B">
      <w:rPr>
        <w:b/>
        <w:sz w:val="18"/>
      </w:rPr>
      <w:instrText xml:space="preserve"> PAGE  \* MERGEFORMAT </w:instrText>
    </w:r>
    <w:r w:rsidRPr="00CB399B">
      <w:rPr>
        <w:b/>
        <w:sz w:val="18"/>
      </w:rPr>
      <w:fldChar w:fldCharType="separate"/>
    </w:r>
    <w:r w:rsidR="000261DC">
      <w:rPr>
        <w:b/>
        <w:noProof/>
        <w:sz w:val="18"/>
      </w:rPr>
      <w:t>99</w:t>
    </w:r>
    <w:r w:rsidRPr="00CB39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9E" w:rsidRPr="00CB399B" w:rsidRDefault="00035D9E">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11-46241  (F)    141011    181011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76" w:rsidRPr="00D27D5E" w:rsidRDefault="00746376" w:rsidP="00D27D5E">
      <w:pPr>
        <w:tabs>
          <w:tab w:val="right" w:pos="2155"/>
        </w:tabs>
        <w:spacing w:after="80"/>
        <w:ind w:left="680"/>
        <w:rPr>
          <w:u w:val="single"/>
        </w:rPr>
      </w:pPr>
      <w:r>
        <w:rPr>
          <w:u w:val="single"/>
        </w:rPr>
        <w:tab/>
      </w:r>
    </w:p>
  </w:footnote>
  <w:footnote w:type="continuationSeparator" w:id="0">
    <w:p w:rsidR="00746376" w:rsidRPr="005B09DD" w:rsidRDefault="00746376" w:rsidP="005B09DD">
      <w:pPr>
        <w:tabs>
          <w:tab w:val="right" w:pos="2155"/>
        </w:tabs>
        <w:spacing w:after="80"/>
        <w:ind w:left="680"/>
        <w:rPr>
          <w:u w:val="single"/>
        </w:rPr>
      </w:pPr>
      <w:r w:rsidRPr="005B09DD">
        <w:rPr>
          <w:u w:val="single"/>
        </w:rPr>
        <w:tab/>
      </w:r>
    </w:p>
  </w:footnote>
  <w:footnote w:type="continuationNotice" w:id="1">
    <w:p w:rsidR="00746376" w:rsidRDefault="00746376"/>
  </w:footnote>
  <w:footnote w:id="2">
    <w:p w:rsidR="00035D9E" w:rsidRPr="00A8703B" w:rsidRDefault="00035D9E" w:rsidP="00CB399B">
      <w:pPr>
        <w:pStyle w:val="FootnoteText"/>
      </w:pPr>
      <w:r>
        <w:tab/>
      </w:r>
      <w:r w:rsidRPr="00A8703B">
        <w:rPr>
          <w:rStyle w:val="FootnoteReference"/>
          <w:sz w:val="20"/>
          <w:vertAlign w:val="baseline"/>
        </w:rPr>
        <w:t>*</w:t>
      </w:r>
      <w:r>
        <w:rPr>
          <w:sz w:val="20"/>
        </w:rPr>
        <w:tab/>
      </w:r>
      <w:r>
        <w:t xml:space="preserve">Conformément aux informations communiquées aux États parties concernant le traitement de leurs rapports, le présent document n’a pas été </w:t>
      </w:r>
      <w:r w:rsidRPr="00052774">
        <w:t>dûment</w:t>
      </w:r>
      <w:r>
        <w:t xml:space="preserve"> revu par les services d’édition avant d’être envoyé aux services de traduction de l’Organisation des Nations Unies.</w:t>
      </w:r>
    </w:p>
  </w:footnote>
  <w:footnote w:id="3">
    <w:p w:rsidR="00035D9E" w:rsidRPr="005B1F31" w:rsidRDefault="00035D9E" w:rsidP="00CB399B">
      <w:pPr>
        <w:pStyle w:val="FootnoteText"/>
        <w:rPr>
          <w:lang w:val="fr-FR"/>
        </w:rPr>
      </w:pPr>
      <w:r w:rsidRPr="00D931E8">
        <w:rPr>
          <w:lang w:val="fr-FR"/>
        </w:rPr>
        <w:tab/>
      </w:r>
      <w:r w:rsidRPr="00D931E8">
        <w:rPr>
          <w:rStyle w:val="FootnoteReference"/>
        </w:rPr>
        <w:footnoteRef/>
      </w:r>
      <w:r>
        <w:rPr>
          <w:lang w:val="fr-FR"/>
        </w:rPr>
        <w:tab/>
        <w:t xml:space="preserve">Arrêté présidentiel </w:t>
      </w:r>
      <w:r w:rsidRPr="008E1473">
        <w:rPr>
          <w:rFonts w:eastAsia="MS Mincho"/>
          <w:lang w:val="fr-FR"/>
        </w:rPr>
        <w:t>n</w:t>
      </w:r>
      <w:r w:rsidRPr="008E1473">
        <w:rPr>
          <w:rFonts w:eastAsia="MS Mincho"/>
          <w:vertAlign w:val="superscript"/>
          <w:lang w:val="fr-FR"/>
        </w:rPr>
        <w:t>o</w:t>
      </w:r>
      <w:r>
        <w:rPr>
          <w:rFonts w:eastAsia="MS Mincho"/>
          <w:lang w:val="fr-FR"/>
        </w:rPr>
        <w:t> </w:t>
      </w:r>
      <w:r w:rsidRPr="00D931E8">
        <w:rPr>
          <w:lang w:val="fr-FR"/>
        </w:rPr>
        <w:t>50</w:t>
      </w:r>
      <w:r>
        <w:rPr>
          <w:lang w:val="fr-FR"/>
        </w:rPr>
        <w:t xml:space="preserve">/01 du 5 Septembre 2008 (J.O. </w:t>
      </w:r>
      <w:r w:rsidRPr="008E1473">
        <w:rPr>
          <w:rFonts w:eastAsia="MS Mincho"/>
          <w:lang w:val="fr-FR"/>
        </w:rPr>
        <w:t>n</w:t>
      </w:r>
      <w:r w:rsidRPr="008E1473">
        <w:rPr>
          <w:rFonts w:eastAsia="MS Mincho"/>
          <w:vertAlign w:val="superscript"/>
          <w:lang w:val="fr-FR"/>
        </w:rPr>
        <w:t>o</w:t>
      </w:r>
      <w:r>
        <w:rPr>
          <w:rFonts w:eastAsia="MS Mincho"/>
          <w:lang w:val="fr-FR"/>
        </w:rPr>
        <w:t> </w:t>
      </w:r>
      <w:r w:rsidRPr="00D931E8">
        <w:rPr>
          <w:lang w:val="fr-FR"/>
        </w:rPr>
        <w:t>19 du 1</w:t>
      </w:r>
      <w:r w:rsidRPr="00D931E8">
        <w:rPr>
          <w:vertAlign w:val="superscript"/>
          <w:lang w:val="fr-FR"/>
        </w:rPr>
        <w:t>er</w:t>
      </w:r>
      <w:r w:rsidRPr="00D931E8">
        <w:rPr>
          <w:lang w:val="fr-FR"/>
        </w:rPr>
        <w:t xml:space="preserve"> </w:t>
      </w:r>
      <w:r>
        <w:rPr>
          <w:lang w:val="fr-FR"/>
        </w:rPr>
        <w:t>o</w:t>
      </w:r>
      <w:r w:rsidRPr="00D931E8">
        <w:rPr>
          <w:lang w:val="fr-FR"/>
        </w:rPr>
        <w:t>ctobre, 2008, p.</w:t>
      </w:r>
      <w:r>
        <w:rPr>
          <w:lang w:val="fr-FR"/>
        </w:rPr>
        <w:t xml:space="preserve"> </w:t>
      </w:r>
      <w:r w:rsidRPr="00D931E8">
        <w:rPr>
          <w:lang w:val="fr-FR"/>
        </w:rPr>
        <w:t>68)</w:t>
      </w:r>
      <w:r>
        <w:rPr>
          <w:lang w:val="fr-FR"/>
        </w:rPr>
        <w:t>.</w:t>
      </w:r>
    </w:p>
  </w:footnote>
  <w:footnote w:id="4">
    <w:p w:rsidR="00035D9E" w:rsidRPr="00C95022"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C95022">
        <w:rPr>
          <w:lang w:val="fr-FR"/>
        </w:rPr>
        <w:t xml:space="preserve">La Constitution du 04/06/2003 </w:t>
      </w:r>
      <w:r>
        <w:rPr>
          <w:lang w:val="fr-FR"/>
        </w:rPr>
        <w:t>telle que modifiée à ce jour.</w:t>
      </w:r>
    </w:p>
  </w:footnote>
  <w:footnote w:id="5">
    <w:p w:rsidR="00035D9E" w:rsidRPr="00204295" w:rsidRDefault="00035D9E" w:rsidP="00CB399B">
      <w:pPr>
        <w:pStyle w:val="FootnoteText"/>
        <w:rPr>
          <w:lang w:val="fr-FR"/>
        </w:rPr>
      </w:pPr>
      <w:r>
        <w:rPr>
          <w:lang w:val="fr-FR"/>
        </w:rPr>
        <w:tab/>
      </w:r>
      <w:r w:rsidRPr="00D931E8">
        <w:rPr>
          <w:rStyle w:val="FootnoteReference"/>
        </w:rPr>
        <w:footnoteRef/>
      </w:r>
      <w:r>
        <w:rPr>
          <w:lang w:val="fr-FR"/>
        </w:rPr>
        <w:tab/>
      </w:r>
      <w:r w:rsidRPr="00204295">
        <w:rPr>
          <w:lang w:val="fr-FR"/>
        </w:rPr>
        <w:t>Recensement Général de la Population et de l</w:t>
      </w:r>
      <w:r>
        <w:rPr>
          <w:lang w:val="fr-FR"/>
        </w:rPr>
        <w:t>’</w:t>
      </w:r>
      <w:r w:rsidRPr="00204295">
        <w:rPr>
          <w:lang w:val="fr-FR"/>
        </w:rPr>
        <w:t>Habitat, Service National de Recensement, projection 2008</w:t>
      </w:r>
      <w:r>
        <w:rPr>
          <w:lang w:val="fr-FR"/>
        </w:rPr>
        <w:t>.</w:t>
      </w:r>
    </w:p>
  </w:footnote>
  <w:footnote w:id="6">
    <w:p w:rsidR="00035D9E" w:rsidRPr="00204295" w:rsidRDefault="00035D9E" w:rsidP="00CB399B">
      <w:pPr>
        <w:pStyle w:val="FootnoteText"/>
        <w:rPr>
          <w:lang w:val="fr-FR"/>
        </w:rPr>
      </w:pPr>
      <w:r>
        <w:rPr>
          <w:lang w:val="fr-FR"/>
        </w:rPr>
        <w:tab/>
      </w:r>
      <w:r w:rsidRPr="00D931E8">
        <w:rPr>
          <w:rStyle w:val="FootnoteReference"/>
        </w:rPr>
        <w:footnoteRef/>
      </w:r>
      <w:r>
        <w:rPr>
          <w:lang w:val="fr-FR"/>
        </w:rPr>
        <w:tab/>
      </w:r>
      <w:r w:rsidRPr="00204295">
        <w:rPr>
          <w:lang w:val="fr-FR"/>
        </w:rPr>
        <w:t>RGPH</w:t>
      </w:r>
      <w:r w:rsidRPr="00204295">
        <w:rPr>
          <w:i/>
          <w:lang w:val="fr-FR"/>
        </w:rPr>
        <w:t xml:space="preserve">, </w:t>
      </w:r>
      <w:r w:rsidRPr="00204295">
        <w:rPr>
          <w:lang w:val="fr-FR"/>
        </w:rPr>
        <w:t>Service National de Recensement, 2007</w:t>
      </w:r>
      <w:r>
        <w:rPr>
          <w:lang w:val="fr-FR"/>
        </w:rPr>
        <w:t>.</w:t>
      </w:r>
    </w:p>
  </w:footnote>
  <w:footnote w:id="7">
    <w:p w:rsidR="00035D9E" w:rsidRPr="00EF26C5"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EF26C5">
        <w:rPr>
          <w:lang w:val="fr-FR"/>
        </w:rPr>
        <w:t>Recensement Général de la Population et de l</w:t>
      </w:r>
      <w:r>
        <w:rPr>
          <w:lang w:val="fr-FR"/>
        </w:rPr>
        <w:t>’</w:t>
      </w:r>
      <w:r w:rsidRPr="00EF26C5">
        <w:rPr>
          <w:lang w:val="fr-FR"/>
        </w:rPr>
        <w:t>Habitat, Service National de Recensement, 2002</w:t>
      </w:r>
      <w:r>
        <w:rPr>
          <w:lang w:val="fr-FR"/>
        </w:rPr>
        <w:t>.</w:t>
      </w:r>
    </w:p>
  </w:footnote>
  <w:footnote w:id="8">
    <w:p w:rsidR="00035D9E" w:rsidRPr="00F9401B" w:rsidRDefault="00035D9E" w:rsidP="00CB399B">
      <w:pPr>
        <w:pStyle w:val="FootnoteText"/>
        <w:rPr>
          <w:lang w:val="en-US"/>
        </w:rPr>
      </w:pPr>
      <w:r w:rsidRPr="00D931E8">
        <w:rPr>
          <w:lang w:val="fr-FR"/>
        </w:rPr>
        <w:tab/>
      </w:r>
      <w:r w:rsidRPr="00D931E8">
        <w:rPr>
          <w:rStyle w:val="FootnoteReference"/>
        </w:rPr>
        <w:footnoteRef/>
      </w:r>
      <w:r w:rsidRPr="00F9401B">
        <w:rPr>
          <w:lang w:val="en-US"/>
        </w:rPr>
        <w:tab/>
        <w:t>EIDS 2007/08, p. 11.</w:t>
      </w:r>
    </w:p>
  </w:footnote>
  <w:footnote w:id="9">
    <w:p w:rsidR="00035D9E" w:rsidRPr="00F9401B" w:rsidRDefault="00035D9E" w:rsidP="00CB399B">
      <w:pPr>
        <w:pStyle w:val="FootnoteText"/>
        <w:rPr>
          <w:lang w:val="en-US"/>
        </w:rPr>
      </w:pPr>
      <w:r w:rsidRPr="00F9401B">
        <w:rPr>
          <w:lang w:val="en-US"/>
        </w:rPr>
        <w:tab/>
      </w:r>
      <w:r w:rsidRPr="00D931E8">
        <w:rPr>
          <w:rStyle w:val="FootnoteReference"/>
        </w:rPr>
        <w:footnoteRef/>
      </w:r>
      <w:r w:rsidRPr="00F9401B">
        <w:rPr>
          <w:lang w:val="en-US"/>
        </w:rPr>
        <w:tab/>
        <w:t>Ibid., projection 2008.</w:t>
      </w:r>
    </w:p>
  </w:footnote>
  <w:footnote w:id="10">
    <w:p w:rsidR="00035D9E" w:rsidRPr="00F9401B" w:rsidRDefault="00035D9E" w:rsidP="00CB399B">
      <w:pPr>
        <w:pStyle w:val="FootnoteText"/>
        <w:rPr>
          <w:lang w:val="en-US"/>
        </w:rPr>
      </w:pPr>
      <w:r w:rsidRPr="00F9401B">
        <w:rPr>
          <w:lang w:val="en-US"/>
        </w:rPr>
        <w:tab/>
      </w:r>
      <w:r w:rsidRPr="00D931E8">
        <w:rPr>
          <w:rStyle w:val="FootnoteReference"/>
        </w:rPr>
        <w:footnoteRef/>
      </w:r>
      <w:r w:rsidRPr="00F9401B">
        <w:rPr>
          <w:lang w:val="en-US"/>
        </w:rPr>
        <w:tab/>
        <w:t>Ibid., Service National de Recensement, 2002.</w:t>
      </w:r>
    </w:p>
  </w:footnote>
  <w:footnote w:id="11">
    <w:p w:rsidR="00035D9E" w:rsidRPr="00F9401B" w:rsidRDefault="00035D9E" w:rsidP="00CB399B">
      <w:pPr>
        <w:pStyle w:val="FootnoteText"/>
        <w:rPr>
          <w:lang w:val="en-US"/>
        </w:rPr>
      </w:pPr>
      <w:r w:rsidRPr="00F9401B">
        <w:rPr>
          <w:lang w:val="en-US"/>
        </w:rPr>
        <w:tab/>
      </w:r>
      <w:r w:rsidRPr="00D931E8">
        <w:rPr>
          <w:rStyle w:val="FootnoteReference"/>
        </w:rPr>
        <w:footnoteRef/>
      </w:r>
      <w:r w:rsidRPr="00F9401B">
        <w:rPr>
          <w:lang w:val="en-US"/>
        </w:rPr>
        <w:tab/>
        <w:t>NISR: 2007 Rwanda development indicators – 2006; NISR-Press release.</w:t>
      </w:r>
    </w:p>
  </w:footnote>
  <w:footnote w:id="12">
    <w:p w:rsidR="00035D9E" w:rsidRPr="00F9401B" w:rsidRDefault="00035D9E" w:rsidP="00CB399B">
      <w:pPr>
        <w:pStyle w:val="FootnoteText"/>
        <w:rPr>
          <w:lang w:val="en-US"/>
        </w:rPr>
      </w:pPr>
      <w:r w:rsidRPr="00F9401B">
        <w:rPr>
          <w:lang w:val="en-US"/>
        </w:rPr>
        <w:tab/>
      </w:r>
      <w:r w:rsidRPr="00D931E8">
        <w:rPr>
          <w:rStyle w:val="FootnoteReference"/>
        </w:rPr>
        <w:footnoteRef/>
      </w:r>
      <w:r w:rsidRPr="00F9401B">
        <w:rPr>
          <w:lang w:val="en-US"/>
        </w:rPr>
        <w:tab/>
        <w:t>Minecofin, Section Macro: estimation 2006 et NISR: Quarterly Economic Review, March 2008, p. 7.</w:t>
      </w:r>
    </w:p>
  </w:footnote>
  <w:footnote w:id="13">
    <w:p w:rsidR="00035D9E" w:rsidRPr="00F9401B" w:rsidRDefault="00035D9E" w:rsidP="00CB399B">
      <w:pPr>
        <w:pStyle w:val="FootnoteText"/>
        <w:rPr>
          <w:lang w:val="en-US"/>
        </w:rPr>
      </w:pPr>
      <w:r w:rsidRPr="00F9401B">
        <w:rPr>
          <w:lang w:val="en-US"/>
        </w:rPr>
        <w:tab/>
      </w:r>
      <w:r w:rsidRPr="00D931E8">
        <w:rPr>
          <w:rStyle w:val="FootnoteReference"/>
        </w:rPr>
        <w:footnoteRef/>
      </w:r>
      <w:r w:rsidRPr="00F9401B">
        <w:rPr>
          <w:lang w:val="en-US"/>
        </w:rPr>
        <w:tab/>
        <w:t xml:space="preserve">NISR: Quarterly Economic Review, </w:t>
      </w:r>
      <w:r w:rsidRPr="00F9401B">
        <w:rPr>
          <w:i/>
          <w:lang w:val="en-US"/>
        </w:rPr>
        <w:t>supra,</w:t>
      </w:r>
      <w:r w:rsidRPr="00F9401B">
        <w:rPr>
          <w:lang w:val="en-US"/>
        </w:rPr>
        <w:t xml:space="preserve"> p. 10.</w:t>
      </w:r>
    </w:p>
  </w:footnote>
  <w:footnote w:id="14">
    <w:p w:rsidR="00035D9E" w:rsidRPr="00F9401B" w:rsidRDefault="00035D9E" w:rsidP="00CB399B">
      <w:pPr>
        <w:pStyle w:val="FootnoteText"/>
        <w:rPr>
          <w:lang w:val="en-US"/>
        </w:rPr>
      </w:pPr>
      <w:r w:rsidRPr="00F9401B">
        <w:rPr>
          <w:lang w:val="en-US"/>
        </w:rPr>
        <w:tab/>
      </w:r>
      <w:r w:rsidRPr="00D931E8">
        <w:rPr>
          <w:rStyle w:val="FootnoteReference"/>
        </w:rPr>
        <w:footnoteRef/>
      </w:r>
      <w:r w:rsidRPr="00F9401B">
        <w:rPr>
          <w:lang w:val="en-US"/>
        </w:rPr>
        <w:tab/>
        <w:t>EICV EDPRS Final report, May 2007-P. 20.</w:t>
      </w:r>
    </w:p>
  </w:footnote>
  <w:footnote w:id="15">
    <w:p w:rsidR="00035D9E" w:rsidRPr="00F9401B" w:rsidRDefault="00035D9E" w:rsidP="00CB399B">
      <w:pPr>
        <w:pStyle w:val="FootnoteText"/>
        <w:rPr>
          <w:lang w:val="en-US"/>
        </w:rPr>
      </w:pPr>
      <w:r w:rsidRPr="00F9401B">
        <w:rPr>
          <w:lang w:val="en-US"/>
        </w:rPr>
        <w:tab/>
      </w:r>
      <w:r w:rsidRPr="00D931E8">
        <w:rPr>
          <w:rStyle w:val="FootnoteReference"/>
        </w:rPr>
        <w:footnoteRef/>
      </w:r>
      <w:r w:rsidRPr="00F9401B">
        <w:rPr>
          <w:lang w:val="en-US"/>
        </w:rPr>
        <w:tab/>
        <w:t xml:space="preserve">NISR: Quarterly Economic Review, </w:t>
      </w:r>
      <w:r w:rsidRPr="00F9401B">
        <w:rPr>
          <w:i/>
          <w:lang w:val="en-US"/>
        </w:rPr>
        <w:t>supra</w:t>
      </w:r>
      <w:r w:rsidRPr="00F9401B">
        <w:rPr>
          <w:lang w:val="en-US"/>
        </w:rPr>
        <w:t>, p. 7.</w:t>
      </w:r>
    </w:p>
  </w:footnote>
  <w:footnote w:id="16">
    <w:p w:rsidR="00035D9E" w:rsidRPr="00017586" w:rsidRDefault="00035D9E" w:rsidP="00CB399B">
      <w:pPr>
        <w:pStyle w:val="FootnoteText"/>
        <w:rPr>
          <w:lang w:val="fr-FR"/>
        </w:rPr>
      </w:pPr>
      <w:r w:rsidRPr="00F9401B">
        <w:rPr>
          <w:lang w:val="en-US"/>
        </w:rPr>
        <w:tab/>
      </w:r>
      <w:r w:rsidRPr="00D931E8">
        <w:rPr>
          <w:rStyle w:val="FootnoteReference"/>
        </w:rPr>
        <w:footnoteRef/>
      </w:r>
      <w:r w:rsidRPr="00D931E8">
        <w:rPr>
          <w:lang w:val="fr-FR"/>
        </w:rPr>
        <w:tab/>
      </w:r>
      <w:r w:rsidRPr="00017586">
        <w:rPr>
          <w:lang w:val="fr-FR"/>
        </w:rPr>
        <w:t>Le 1</w:t>
      </w:r>
      <w:r w:rsidRPr="00017586">
        <w:rPr>
          <w:vertAlign w:val="superscript"/>
          <w:lang w:val="fr-FR"/>
        </w:rPr>
        <w:t>er</w:t>
      </w:r>
      <w:r w:rsidRPr="00017586">
        <w:rPr>
          <w:lang w:val="fr-FR"/>
        </w:rPr>
        <w:t xml:space="preserve"> programme de réduction de la pauvreté</w:t>
      </w:r>
      <w:r>
        <w:rPr>
          <w:lang w:val="fr-FR"/>
        </w:rPr>
        <w:t xml:space="preserve"> </w:t>
      </w:r>
      <w:r w:rsidRPr="00017586">
        <w:rPr>
          <w:lang w:val="fr-FR"/>
        </w:rPr>
        <w:t>de 2002-2007 (</w:t>
      </w:r>
      <w:r w:rsidRPr="00B7755C">
        <w:t>le Poverty Reduction Strategy Paper</w:t>
      </w:r>
      <w:r w:rsidRPr="00017586">
        <w:rPr>
          <w:lang w:val="fr-FR"/>
        </w:rPr>
        <w:t>) a eu des résultats mitigés</w:t>
      </w:r>
      <w:r>
        <w:rPr>
          <w:lang w:val="fr-FR"/>
        </w:rPr>
        <w:t>;</w:t>
      </w:r>
      <w:r w:rsidRPr="00017586">
        <w:rPr>
          <w:lang w:val="fr-FR"/>
        </w:rPr>
        <w:t xml:space="preserve"> le 2</w:t>
      </w:r>
      <w:r w:rsidRPr="00017586">
        <w:rPr>
          <w:vertAlign w:val="superscript"/>
          <w:lang w:val="fr-FR"/>
        </w:rPr>
        <w:t>nd</w:t>
      </w:r>
      <w:r w:rsidRPr="00017586">
        <w:rPr>
          <w:lang w:val="fr-FR"/>
        </w:rPr>
        <w:t xml:space="preserve"> programme de 2008-20</w:t>
      </w:r>
      <w:r>
        <w:rPr>
          <w:lang w:val="fr-FR"/>
        </w:rPr>
        <w:t>12 vise à pallier ces lacunes.</w:t>
      </w:r>
    </w:p>
  </w:footnote>
  <w:footnote w:id="17">
    <w:p w:rsidR="00035D9E" w:rsidRPr="00017586"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017586">
        <w:rPr>
          <w:lang w:val="fr-FR"/>
        </w:rPr>
        <w:t>Ces institutions qui étaient déjà existantes sont</w:t>
      </w:r>
      <w:r>
        <w:rPr>
          <w:lang w:val="fr-FR"/>
        </w:rPr>
        <w:t>:</w:t>
      </w:r>
      <w:r w:rsidRPr="00017586">
        <w:rPr>
          <w:lang w:val="fr-FR"/>
        </w:rPr>
        <w:t xml:space="preserve"> le Rwanda </w:t>
      </w:r>
      <w:r w:rsidRPr="000E47CF">
        <w:t>Investment &amp; Export Promotion</w:t>
      </w:r>
      <w:r w:rsidRPr="00017586">
        <w:rPr>
          <w:lang w:val="fr-FR"/>
        </w:rPr>
        <w:t xml:space="preserve"> (RIEPA), Rwanda Information and </w:t>
      </w:r>
      <w:r w:rsidRPr="000E47CF">
        <w:t>Technology Authority</w:t>
      </w:r>
      <w:r w:rsidRPr="00017586">
        <w:rPr>
          <w:lang w:val="fr-FR"/>
        </w:rPr>
        <w:t xml:space="preserve"> (RITA), l</w:t>
      </w:r>
      <w:r>
        <w:rPr>
          <w:lang w:val="fr-FR"/>
        </w:rPr>
        <w:t>’</w:t>
      </w:r>
      <w:r w:rsidRPr="00017586">
        <w:rPr>
          <w:lang w:val="fr-FR"/>
        </w:rPr>
        <w:t xml:space="preserve">Office Rwandais du Tourisme et des Parcs Nationaux (ORTPN), </w:t>
      </w:r>
      <w:r>
        <w:rPr>
          <w:lang w:val="fr-FR"/>
        </w:rPr>
        <w:t xml:space="preserve">le Rwanda Commercial Registration of Service </w:t>
      </w:r>
      <w:r w:rsidRPr="000E47CF">
        <w:t>Agencies</w:t>
      </w:r>
      <w:r>
        <w:rPr>
          <w:lang w:val="fr-FR"/>
        </w:rPr>
        <w:t xml:space="preserve"> (RCRSA), </w:t>
      </w:r>
      <w:r w:rsidRPr="00017586">
        <w:rPr>
          <w:lang w:val="fr-FR"/>
        </w:rPr>
        <w:t xml:space="preserve">le Secrétariat de Privatisation, une branche </w:t>
      </w:r>
      <w:r w:rsidRPr="000E47CF">
        <w:t>du Human Resource and Institutional Capacity Development Agency</w:t>
      </w:r>
      <w:r w:rsidRPr="00017586">
        <w:rPr>
          <w:lang w:val="fr-FR"/>
        </w:rPr>
        <w:t xml:space="preserve"> (HIDA)</w:t>
      </w:r>
      <w:r>
        <w:rPr>
          <w:lang w:val="fr-FR"/>
        </w:rPr>
        <w:t xml:space="preserve">, le </w:t>
      </w:r>
      <w:r w:rsidRPr="000E47CF">
        <w:t>Center for Support to Small and Medium Enterprises</w:t>
      </w:r>
      <w:r>
        <w:rPr>
          <w:lang w:val="fr-FR"/>
        </w:rPr>
        <w:t xml:space="preserve"> (CAPMER)</w:t>
      </w:r>
      <w:r w:rsidRPr="00017586">
        <w:rPr>
          <w:lang w:val="fr-FR"/>
        </w:rPr>
        <w:t xml:space="preserve"> et le </w:t>
      </w:r>
      <w:r w:rsidRPr="000E47CF">
        <w:t>Environmental Impact Assessment</w:t>
      </w:r>
      <w:r w:rsidRPr="00017586">
        <w:rPr>
          <w:lang w:val="fr-FR"/>
        </w:rPr>
        <w:t xml:space="preserve"> (EIA)</w:t>
      </w:r>
      <w:r>
        <w:rPr>
          <w:lang w:val="fr-FR"/>
        </w:rPr>
        <w:t xml:space="preserve">, </w:t>
      </w:r>
      <w:r w:rsidRPr="00017586">
        <w:rPr>
          <w:lang w:val="fr-FR"/>
        </w:rPr>
        <w:t xml:space="preserve">branche du Rwanda </w:t>
      </w:r>
      <w:r w:rsidRPr="000E47CF">
        <w:t>Environmental Management Authority</w:t>
      </w:r>
      <w:r w:rsidRPr="00017586">
        <w:rPr>
          <w:lang w:val="fr-FR"/>
        </w:rPr>
        <w:t xml:space="preserve"> (REMA)</w:t>
      </w:r>
      <w:r>
        <w:rPr>
          <w:lang w:val="fr-FR"/>
        </w:rPr>
        <w:t>.</w:t>
      </w:r>
    </w:p>
  </w:footnote>
  <w:footnote w:id="18">
    <w:p w:rsidR="00035D9E" w:rsidRPr="008E28A5"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Pr>
          <w:lang w:val="fr-FR"/>
        </w:rPr>
        <w:t xml:space="preserve">Loi </w:t>
      </w:r>
      <w:r w:rsidRPr="004C549D">
        <w:rPr>
          <w:rFonts w:eastAsia="MS Mincho"/>
          <w:lang w:val="fr-FR"/>
        </w:rPr>
        <w:t>n</w:t>
      </w:r>
      <w:r w:rsidRPr="004C549D">
        <w:rPr>
          <w:rFonts w:eastAsia="MS Mincho"/>
          <w:vertAlign w:val="superscript"/>
          <w:lang w:val="fr-FR"/>
        </w:rPr>
        <w:t>o</w:t>
      </w:r>
      <w:r>
        <w:rPr>
          <w:lang w:val="fr-FR"/>
        </w:rPr>
        <w:t xml:space="preserve"> </w:t>
      </w:r>
      <w:r w:rsidRPr="008E28A5">
        <w:rPr>
          <w:lang w:val="fr-FR"/>
        </w:rPr>
        <w:t>02/2006 portant organisation des élections des autorités administratives locales</w:t>
      </w:r>
      <w:r>
        <w:rPr>
          <w:lang w:val="fr-FR"/>
        </w:rPr>
        <w:t>.</w:t>
      </w:r>
    </w:p>
  </w:footnote>
  <w:footnote w:id="19">
    <w:p w:rsidR="00035D9E" w:rsidRPr="00C1745E"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851493">
        <w:rPr>
          <w:lang w:val="fr-FR"/>
        </w:rPr>
        <w:t xml:space="preserve">Loi </w:t>
      </w:r>
      <w:r w:rsidRPr="004C549D">
        <w:rPr>
          <w:rFonts w:eastAsia="MS Mincho"/>
          <w:lang w:val="fr-FR"/>
        </w:rPr>
        <w:t>n</w:t>
      </w:r>
      <w:r w:rsidRPr="004C549D">
        <w:rPr>
          <w:rFonts w:eastAsia="MS Mincho"/>
          <w:vertAlign w:val="superscript"/>
          <w:lang w:val="fr-FR"/>
        </w:rPr>
        <w:t>o</w:t>
      </w:r>
      <w:r>
        <w:rPr>
          <w:lang w:val="fr-FR"/>
        </w:rPr>
        <w:t xml:space="preserve"> 02/2006 </w:t>
      </w:r>
      <w:r w:rsidRPr="00851493">
        <w:rPr>
          <w:lang w:val="fr-FR"/>
        </w:rPr>
        <w:t>portant organisation des élections des autorités administratives locales</w:t>
      </w:r>
      <w:r>
        <w:rPr>
          <w:lang w:val="fr-FR"/>
        </w:rPr>
        <w:t>;</w:t>
      </w:r>
      <w:r w:rsidRPr="00851493">
        <w:rPr>
          <w:lang w:val="fr-FR"/>
        </w:rPr>
        <w:t xml:space="preserve"> Loi </w:t>
      </w:r>
      <w:r w:rsidRPr="004C549D">
        <w:rPr>
          <w:rFonts w:eastAsia="MS Mincho"/>
          <w:lang w:val="fr-FR"/>
        </w:rPr>
        <w:t>n</w:t>
      </w:r>
      <w:r w:rsidRPr="004C549D">
        <w:rPr>
          <w:rFonts w:eastAsia="MS Mincho"/>
          <w:vertAlign w:val="superscript"/>
          <w:lang w:val="fr-FR"/>
        </w:rPr>
        <w:t>o</w:t>
      </w:r>
      <w:r>
        <w:rPr>
          <w:lang w:val="fr-FR"/>
        </w:rPr>
        <w:t xml:space="preserve"> </w:t>
      </w:r>
      <w:r w:rsidRPr="00851493">
        <w:rPr>
          <w:lang w:val="fr-FR"/>
        </w:rPr>
        <w:t>08/2006 portant organisation et fonctionnement du district</w:t>
      </w:r>
      <w:r>
        <w:rPr>
          <w:lang w:val="fr-FR"/>
        </w:rPr>
        <w:t>;</w:t>
      </w:r>
      <w:r w:rsidRPr="00851493">
        <w:rPr>
          <w:lang w:val="fr-FR"/>
        </w:rPr>
        <w:t xml:space="preserve"> Loi </w:t>
      </w:r>
      <w:r w:rsidRPr="004C549D">
        <w:rPr>
          <w:rFonts w:eastAsia="MS Mincho"/>
          <w:lang w:val="fr-FR"/>
        </w:rPr>
        <w:t>n</w:t>
      </w:r>
      <w:r w:rsidRPr="004C549D">
        <w:rPr>
          <w:rFonts w:eastAsia="MS Mincho"/>
          <w:vertAlign w:val="superscript"/>
          <w:lang w:val="fr-FR"/>
        </w:rPr>
        <w:t>o</w:t>
      </w:r>
      <w:r>
        <w:rPr>
          <w:lang w:val="fr-FR"/>
        </w:rPr>
        <w:t xml:space="preserve"> </w:t>
      </w:r>
      <w:r w:rsidRPr="00851493">
        <w:rPr>
          <w:lang w:val="fr-FR"/>
        </w:rPr>
        <w:t>10/2006 portant organisation et fonctionnement de la ville de Kigali</w:t>
      </w:r>
      <w:r>
        <w:rPr>
          <w:lang w:val="fr-FR"/>
        </w:rPr>
        <w:t xml:space="preserve">; Loi </w:t>
      </w:r>
      <w:r w:rsidRPr="004C549D">
        <w:rPr>
          <w:rFonts w:eastAsia="MS Mincho"/>
          <w:lang w:val="fr-FR"/>
        </w:rPr>
        <w:t>n</w:t>
      </w:r>
      <w:r w:rsidRPr="004C549D">
        <w:rPr>
          <w:rFonts w:eastAsia="MS Mincho"/>
          <w:vertAlign w:val="superscript"/>
          <w:lang w:val="fr-FR"/>
        </w:rPr>
        <w:t>o</w:t>
      </w:r>
      <w:r>
        <w:rPr>
          <w:lang w:val="fr-FR"/>
        </w:rPr>
        <w:t xml:space="preserve"> 01/2006 portant organisation et fonctionnement de la province; Loi </w:t>
      </w:r>
      <w:r w:rsidRPr="004C549D">
        <w:rPr>
          <w:rFonts w:eastAsia="MS Mincho"/>
          <w:lang w:val="fr-FR"/>
        </w:rPr>
        <w:t>n</w:t>
      </w:r>
      <w:r w:rsidRPr="004C549D">
        <w:rPr>
          <w:rFonts w:eastAsia="MS Mincho"/>
          <w:vertAlign w:val="superscript"/>
          <w:lang w:val="fr-FR"/>
        </w:rPr>
        <w:t>o</w:t>
      </w:r>
      <w:r>
        <w:rPr>
          <w:lang w:val="fr-FR"/>
        </w:rPr>
        <w:t xml:space="preserve"> 29/2005 portant organisation des entités administratives de la République </w:t>
      </w:r>
      <w:r w:rsidRPr="00C1745E">
        <w:rPr>
          <w:lang w:val="fr-FR"/>
        </w:rPr>
        <w:t>du Rwanda</w:t>
      </w:r>
      <w:r>
        <w:rPr>
          <w:lang w:val="fr-FR"/>
        </w:rPr>
        <w:t>;</w:t>
      </w:r>
      <w:r w:rsidRPr="00C1745E">
        <w:rPr>
          <w:lang w:val="fr-FR"/>
        </w:rPr>
        <w:t xml:space="preserve"> la loi établissant la commission nationale électorale</w:t>
      </w:r>
      <w:r>
        <w:rPr>
          <w:lang w:val="fr-FR"/>
        </w:rPr>
        <w:t>.</w:t>
      </w:r>
    </w:p>
  </w:footnote>
  <w:footnote w:id="20">
    <w:p w:rsidR="00035D9E" w:rsidRPr="00DA1082"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DA1082">
        <w:rPr>
          <w:lang w:val="fr-FR"/>
        </w:rPr>
        <w:t>L</w:t>
      </w:r>
      <w:r>
        <w:rPr>
          <w:lang w:val="fr-FR"/>
        </w:rPr>
        <w:t>’</w:t>
      </w:r>
      <w:r w:rsidRPr="00DA1082">
        <w:rPr>
          <w:lang w:val="fr-FR"/>
        </w:rPr>
        <w:t xml:space="preserve">originalité des efforts consentis en matière de planification participative et implication de la population dans le processus de réduction de la pauvreté à travers le programme Ubudehe a valu au Rwanda le prix </w:t>
      </w:r>
      <w:r>
        <w:rPr>
          <w:lang w:val="fr-FR"/>
        </w:rPr>
        <w:t>«</w:t>
      </w:r>
      <w:r w:rsidRPr="00DA1082">
        <w:rPr>
          <w:lang w:val="fr-FR"/>
        </w:rPr>
        <w:t>United Nations Public Service Award</w:t>
      </w:r>
      <w:r>
        <w:rPr>
          <w:lang w:val="fr-FR"/>
        </w:rPr>
        <w:t>»</w:t>
      </w:r>
      <w:r w:rsidRPr="00DA1082">
        <w:rPr>
          <w:lang w:val="fr-FR"/>
        </w:rPr>
        <w:t xml:space="preserve"> en 2008</w:t>
      </w:r>
      <w:r>
        <w:rPr>
          <w:lang w:val="fr-FR"/>
        </w:rPr>
        <w:t>.</w:t>
      </w:r>
    </w:p>
  </w:footnote>
  <w:footnote w:id="21">
    <w:p w:rsidR="00035D9E" w:rsidRPr="00092C73"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092C73">
        <w:rPr>
          <w:lang w:val="fr-FR"/>
        </w:rPr>
        <w:t>Minaloc</w:t>
      </w:r>
      <w:r>
        <w:rPr>
          <w:lang w:val="fr-FR"/>
        </w:rPr>
        <w:t>:</w:t>
      </w:r>
      <w:r w:rsidRPr="00092C73">
        <w:rPr>
          <w:lang w:val="fr-FR"/>
        </w:rPr>
        <w:t xml:space="preserve"> section PDL-HIMO, 2009</w:t>
      </w:r>
      <w:r>
        <w:rPr>
          <w:lang w:val="fr-FR"/>
        </w:rPr>
        <w:t>.</w:t>
      </w:r>
    </w:p>
  </w:footnote>
  <w:footnote w:id="22">
    <w:p w:rsidR="00035D9E" w:rsidRPr="00FF70CB"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25577F">
        <w:rPr>
          <w:lang w:val="fr-FR"/>
        </w:rPr>
        <w:t>Ser</w:t>
      </w:r>
      <w:r>
        <w:rPr>
          <w:lang w:val="fr-FR"/>
        </w:rPr>
        <w:t>vice national des juridictions G</w:t>
      </w:r>
      <w:r w:rsidRPr="0025577F">
        <w:rPr>
          <w:lang w:val="fr-FR"/>
        </w:rPr>
        <w:t>acaca</w:t>
      </w:r>
      <w:r>
        <w:rPr>
          <w:lang w:val="fr-FR"/>
        </w:rPr>
        <w:t>:</w:t>
      </w:r>
      <w:r w:rsidRPr="0025577F">
        <w:rPr>
          <w:lang w:val="fr-FR"/>
        </w:rPr>
        <w:t xml:space="preserve"> Au 15 mars</w:t>
      </w:r>
      <w:r w:rsidRPr="00FF70CB">
        <w:rPr>
          <w:lang w:val="fr-FR"/>
        </w:rPr>
        <w:t>, 2009</w:t>
      </w:r>
      <w:r>
        <w:rPr>
          <w:lang w:val="fr-FR"/>
        </w:rPr>
        <w:t xml:space="preserve">, les juridictions </w:t>
      </w:r>
      <w:r w:rsidRPr="0025577F">
        <w:rPr>
          <w:i/>
          <w:lang w:val="fr-FR"/>
        </w:rPr>
        <w:t>Gacaca</w:t>
      </w:r>
      <w:r>
        <w:rPr>
          <w:lang w:val="fr-FR"/>
        </w:rPr>
        <w:t xml:space="preserve"> disposaient de 11 770 dossiers; la plus grande partie de ceux-ci étant des cas de viol (7 949 dossiers).</w:t>
      </w:r>
    </w:p>
  </w:footnote>
  <w:footnote w:id="23">
    <w:p w:rsidR="00035D9E" w:rsidRPr="009715BD"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DA1082">
        <w:rPr>
          <w:lang w:val="fr-FR"/>
        </w:rPr>
        <w:t xml:space="preserve">Loi </w:t>
      </w:r>
      <w:r>
        <w:rPr>
          <w:lang w:val="fr-FR"/>
        </w:rPr>
        <w:t xml:space="preserve">Organique </w:t>
      </w:r>
      <w:r w:rsidRPr="004C549D">
        <w:rPr>
          <w:rFonts w:eastAsia="MS Mincho"/>
          <w:lang w:val="fr-FR"/>
        </w:rPr>
        <w:t>n</w:t>
      </w:r>
      <w:r w:rsidRPr="004C549D">
        <w:rPr>
          <w:rFonts w:eastAsia="MS Mincho"/>
          <w:vertAlign w:val="superscript"/>
          <w:lang w:val="fr-FR"/>
        </w:rPr>
        <w:t>o</w:t>
      </w:r>
      <w:r>
        <w:rPr>
          <w:lang w:val="fr-FR"/>
        </w:rPr>
        <w:t xml:space="preserve"> 16/2004 </w:t>
      </w:r>
      <w:r w:rsidRPr="00DA1082">
        <w:rPr>
          <w:lang w:val="fr-FR"/>
        </w:rPr>
        <w:t xml:space="preserve">portant organisation, compétence et fonctionnement des </w:t>
      </w:r>
      <w:r>
        <w:rPr>
          <w:lang w:val="fr-FR"/>
        </w:rPr>
        <w:t xml:space="preserve">juridictions </w:t>
      </w:r>
      <w:r w:rsidRPr="00DA1082">
        <w:rPr>
          <w:i/>
          <w:lang w:val="fr-FR"/>
        </w:rPr>
        <w:t>Gacaca</w:t>
      </w:r>
      <w:r>
        <w:rPr>
          <w:i/>
          <w:lang w:val="fr-FR"/>
        </w:rPr>
        <w:t xml:space="preserve"> </w:t>
      </w:r>
      <w:r w:rsidRPr="009715BD">
        <w:rPr>
          <w:lang w:val="fr-FR"/>
        </w:rPr>
        <w:t>chargées des poursuites et du jugement des infractions constitutives du crime de génocide et d</w:t>
      </w:r>
      <w:r>
        <w:rPr>
          <w:lang w:val="fr-FR"/>
        </w:rPr>
        <w:t>’</w:t>
      </w:r>
      <w:r w:rsidRPr="009715BD">
        <w:rPr>
          <w:lang w:val="fr-FR"/>
        </w:rPr>
        <w:t>autres crimes contre l</w:t>
      </w:r>
      <w:r>
        <w:rPr>
          <w:lang w:val="fr-FR"/>
        </w:rPr>
        <w:t>’</w:t>
      </w:r>
      <w:r w:rsidRPr="009715BD">
        <w:rPr>
          <w:lang w:val="fr-FR"/>
        </w:rPr>
        <w:t>humanité commis entre le 1</w:t>
      </w:r>
      <w:r w:rsidRPr="009715BD">
        <w:rPr>
          <w:vertAlign w:val="superscript"/>
          <w:lang w:val="fr-FR"/>
        </w:rPr>
        <w:t>er</w:t>
      </w:r>
      <w:r w:rsidRPr="009715BD">
        <w:rPr>
          <w:lang w:val="fr-FR"/>
        </w:rPr>
        <w:t xml:space="preserve"> Octobre, 1990 et le 31</w:t>
      </w:r>
      <w:r>
        <w:rPr>
          <w:lang w:val="fr-FR"/>
        </w:rPr>
        <w:t xml:space="preserve"> Décembre </w:t>
      </w:r>
      <w:r w:rsidRPr="009715BD">
        <w:rPr>
          <w:lang w:val="fr-FR"/>
        </w:rPr>
        <w:t>1994 telle que modifiée et complétée à ce jour</w:t>
      </w:r>
      <w:r>
        <w:rPr>
          <w:lang w:val="fr-FR"/>
        </w:rPr>
        <w:t>.</w:t>
      </w:r>
    </w:p>
  </w:footnote>
  <w:footnote w:id="24">
    <w:p w:rsidR="00035D9E" w:rsidRPr="009715BD"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9715BD">
        <w:rPr>
          <w:lang w:val="fr-FR"/>
        </w:rPr>
        <w:t>Institué</w:t>
      </w:r>
      <w:r>
        <w:rPr>
          <w:lang w:val="fr-FR"/>
        </w:rPr>
        <w:t>s</w:t>
      </w:r>
      <w:r w:rsidRPr="009715BD">
        <w:rPr>
          <w:lang w:val="fr-FR"/>
        </w:rPr>
        <w:t xml:space="preserve"> par </w:t>
      </w:r>
      <w:r>
        <w:rPr>
          <w:lang w:val="fr-FR"/>
        </w:rPr>
        <w:t xml:space="preserve">le Décret-loi Présidentiel </w:t>
      </w:r>
      <w:r w:rsidRPr="004C549D">
        <w:rPr>
          <w:rFonts w:eastAsia="MS Mincho"/>
          <w:lang w:val="fr-FR"/>
        </w:rPr>
        <w:t>n</w:t>
      </w:r>
      <w:r w:rsidRPr="004C549D">
        <w:rPr>
          <w:rFonts w:eastAsia="MS Mincho"/>
          <w:vertAlign w:val="superscript"/>
          <w:lang w:val="fr-FR"/>
        </w:rPr>
        <w:t>o</w:t>
      </w:r>
      <w:r>
        <w:rPr>
          <w:lang w:val="fr-FR"/>
        </w:rPr>
        <w:t xml:space="preserve"> 10/01 du 07/03/2005</w:t>
      </w:r>
      <w:r w:rsidRPr="009715BD">
        <w:rPr>
          <w:lang w:val="fr-FR"/>
        </w:rPr>
        <w:t xml:space="preserve"> </w:t>
      </w:r>
      <w:r>
        <w:rPr>
          <w:lang w:val="fr-FR"/>
        </w:rPr>
        <w:t>déterminant les modalités de la mise en œuvre des travaux communautaires comme peines alternatives à l’emprisonnement telles que modifiées et complétées à ce jour.</w:t>
      </w:r>
    </w:p>
  </w:footnote>
  <w:footnote w:id="25">
    <w:p w:rsidR="00035D9E" w:rsidRPr="005F1FFF"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5F1FFF">
        <w:rPr>
          <w:lang w:val="fr-FR"/>
        </w:rPr>
        <w:t xml:space="preserve">Loi </w:t>
      </w:r>
      <w:r w:rsidRPr="004C549D">
        <w:rPr>
          <w:rFonts w:eastAsia="MS Mincho"/>
          <w:lang w:val="fr-FR"/>
        </w:rPr>
        <w:t>n</w:t>
      </w:r>
      <w:r w:rsidRPr="004C549D">
        <w:rPr>
          <w:rFonts w:eastAsia="MS Mincho"/>
          <w:vertAlign w:val="superscript"/>
          <w:lang w:val="fr-FR"/>
        </w:rPr>
        <w:t>o</w:t>
      </w:r>
      <w:r>
        <w:rPr>
          <w:lang w:val="fr-FR"/>
        </w:rPr>
        <w:t xml:space="preserve"> 47/2001 du 18/12/2001 (art.</w:t>
      </w:r>
      <w:r w:rsidRPr="005F1FFF">
        <w:rPr>
          <w:lang w:val="fr-FR"/>
        </w:rPr>
        <w:t xml:space="preserve"> 3 et 4)</w:t>
      </w:r>
      <w:r>
        <w:rPr>
          <w:lang w:val="fr-FR"/>
        </w:rPr>
        <w:t>.</w:t>
      </w:r>
    </w:p>
  </w:footnote>
  <w:footnote w:id="26">
    <w:p w:rsidR="00035D9E" w:rsidRPr="005F1FFF"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5F1FFF">
        <w:rPr>
          <w:lang w:val="fr-FR"/>
        </w:rPr>
        <w:t xml:space="preserve">Loi </w:t>
      </w:r>
      <w:r w:rsidRPr="004C549D">
        <w:rPr>
          <w:rFonts w:eastAsia="MS Mincho"/>
          <w:lang w:val="fr-FR"/>
        </w:rPr>
        <w:t>n</w:t>
      </w:r>
      <w:r w:rsidRPr="004C549D">
        <w:rPr>
          <w:rFonts w:eastAsia="MS Mincho"/>
          <w:vertAlign w:val="superscript"/>
          <w:lang w:val="fr-FR"/>
        </w:rPr>
        <w:t>o</w:t>
      </w:r>
      <w:r>
        <w:rPr>
          <w:lang w:val="fr-FR"/>
        </w:rPr>
        <w:t xml:space="preserve"> 29</w:t>
      </w:r>
      <w:r w:rsidRPr="005F1FFF">
        <w:rPr>
          <w:lang w:val="fr-FR"/>
        </w:rPr>
        <w:t>/200</w:t>
      </w:r>
      <w:r>
        <w:rPr>
          <w:lang w:val="fr-FR"/>
        </w:rPr>
        <w:t>6</w:t>
      </w:r>
      <w:r w:rsidRPr="005F1FFF">
        <w:rPr>
          <w:lang w:val="fr-FR"/>
        </w:rPr>
        <w:t xml:space="preserve"> du </w:t>
      </w:r>
      <w:r>
        <w:rPr>
          <w:lang w:val="fr-FR"/>
        </w:rPr>
        <w:t>20</w:t>
      </w:r>
      <w:r w:rsidRPr="005F1FFF">
        <w:rPr>
          <w:lang w:val="fr-FR"/>
        </w:rPr>
        <w:t>/07/200</w:t>
      </w:r>
      <w:r>
        <w:rPr>
          <w:lang w:val="fr-FR"/>
        </w:rPr>
        <w:t>6</w:t>
      </w:r>
      <w:r w:rsidRPr="005F1FFF">
        <w:rPr>
          <w:lang w:val="fr-FR"/>
        </w:rPr>
        <w:t xml:space="preserve"> sur les réfugiés (J.O. </w:t>
      </w:r>
      <w:r w:rsidRPr="004C549D">
        <w:rPr>
          <w:rFonts w:eastAsia="MS Mincho"/>
          <w:lang w:val="fr-FR"/>
        </w:rPr>
        <w:t>n</w:t>
      </w:r>
      <w:r w:rsidRPr="004C549D">
        <w:rPr>
          <w:rFonts w:eastAsia="MS Mincho"/>
          <w:vertAlign w:val="superscript"/>
          <w:lang w:val="fr-FR"/>
        </w:rPr>
        <w:t>o</w:t>
      </w:r>
      <w:r w:rsidRPr="005F1FFF">
        <w:rPr>
          <w:lang w:val="fr-FR"/>
        </w:rPr>
        <w:t xml:space="preserve"> </w:t>
      </w:r>
      <w:r>
        <w:rPr>
          <w:lang w:val="fr-FR"/>
        </w:rPr>
        <w:t>15</w:t>
      </w:r>
      <w:r w:rsidRPr="005F1FFF">
        <w:rPr>
          <w:lang w:val="fr-FR"/>
        </w:rPr>
        <w:t xml:space="preserve"> du </w:t>
      </w:r>
      <w:r>
        <w:rPr>
          <w:lang w:val="fr-FR"/>
        </w:rPr>
        <w:t>01</w:t>
      </w:r>
      <w:r w:rsidRPr="005F1FFF">
        <w:rPr>
          <w:lang w:val="fr-FR"/>
        </w:rPr>
        <w:t>/</w:t>
      </w:r>
      <w:r>
        <w:rPr>
          <w:lang w:val="fr-FR"/>
        </w:rPr>
        <w:t>08</w:t>
      </w:r>
      <w:r w:rsidRPr="005F1FFF">
        <w:rPr>
          <w:lang w:val="fr-FR"/>
        </w:rPr>
        <w:t>/200</w:t>
      </w:r>
      <w:r>
        <w:rPr>
          <w:lang w:val="fr-FR"/>
        </w:rPr>
        <w:t>6</w:t>
      </w:r>
      <w:r w:rsidRPr="005F1FFF">
        <w:rPr>
          <w:lang w:val="fr-FR"/>
        </w:rPr>
        <w:t>)</w:t>
      </w:r>
      <w:r>
        <w:rPr>
          <w:lang w:val="fr-FR"/>
        </w:rPr>
        <w:t xml:space="preserve"> art. 22.</w:t>
      </w:r>
    </w:p>
  </w:footnote>
  <w:footnote w:id="27">
    <w:p w:rsidR="00035D9E" w:rsidRPr="00B2058F"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5F1FFF">
        <w:rPr>
          <w:lang w:val="fr-FR"/>
        </w:rPr>
        <w:t xml:space="preserve">Loi </w:t>
      </w:r>
      <w:r w:rsidRPr="004C549D">
        <w:rPr>
          <w:rFonts w:eastAsia="MS Mincho"/>
          <w:lang w:val="fr-FR"/>
        </w:rPr>
        <w:t>n</w:t>
      </w:r>
      <w:r w:rsidRPr="004C549D">
        <w:rPr>
          <w:rFonts w:eastAsia="MS Mincho"/>
          <w:vertAlign w:val="superscript"/>
          <w:lang w:val="fr-FR"/>
        </w:rPr>
        <w:t>o</w:t>
      </w:r>
      <w:r>
        <w:rPr>
          <w:lang w:val="fr-FR"/>
        </w:rPr>
        <w:t xml:space="preserve"> </w:t>
      </w:r>
      <w:r w:rsidRPr="005F1FFF">
        <w:rPr>
          <w:lang w:val="fr-FR"/>
        </w:rPr>
        <w:t xml:space="preserve">13/2009 du 27/05/2009 (O.G. </w:t>
      </w:r>
      <w:r w:rsidRPr="004C549D">
        <w:rPr>
          <w:rFonts w:eastAsia="MS Mincho"/>
          <w:lang w:val="fr-FR"/>
        </w:rPr>
        <w:t>n</w:t>
      </w:r>
      <w:r w:rsidRPr="004C549D">
        <w:rPr>
          <w:rFonts w:eastAsia="MS Mincho"/>
          <w:vertAlign w:val="superscript"/>
          <w:lang w:val="fr-FR"/>
        </w:rPr>
        <w:t>o</w:t>
      </w:r>
      <w:r>
        <w:rPr>
          <w:lang w:val="fr-FR"/>
        </w:rPr>
        <w:t xml:space="preserve"> spécial du 27/05/2009).</w:t>
      </w:r>
    </w:p>
  </w:footnote>
  <w:footnote w:id="28">
    <w:p w:rsidR="00035D9E" w:rsidRPr="00AD74D4"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Pr>
          <w:lang w:val="fr-FR"/>
        </w:rPr>
        <w:t>La loi portant réglementation du travail (art. 18).</w:t>
      </w:r>
    </w:p>
  </w:footnote>
  <w:footnote w:id="29">
    <w:p w:rsidR="00035D9E" w:rsidRPr="0061187A"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61187A">
        <w:rPr>
          <w:lang w:val="fr-FR"/>
        </w:rPr>
        <w:t>Arrêté minist</w:t>
      </w:r>
      <w:r>
        <w:rPr>
          <w:lang w:val="fr-FR"/>
        </w:rPr>
        <w:t>é</w:t>
      </w:r>
      <w:r w:rsidRPr="0061187A">
        <w:rPr>
          <w:lang w:val="fr-FR"/>
        </w:rPr>
        <w:t>ri</w:t>
      </w:r>
      <w:r>
        <w:rPr>
          <w:lang w:val="fr-FR"/>
        </w:rPr>
        <w:t>e</w:t>
      </w:r>
      <w:r w:rsidRPr="0061187A">
        <w:rPr>
          <w:lang w:val="fr-FR"/>
        </w:rPr>
        <w:t xml:space="preserve">l </w:t>
      </w:r>
      <w:r w:rsidRPr="004C549D">
        <w:rPr>
          <w:rFonts w:eastAsia="MS Mincho"/>
          <w:lang w:val="fr-FR"/>
        </w:rPr>
        <w:t>n</w:t>
      </w:r>
      <w:r w:rsidRPr="004C549D">
        <w:rPr>
          <w:rFonts w:eastAsia="MS Mincho"/>
          <w:vertAlign w:val="superscript"/>
          <w:lang w:val="fr-FR"/>
        </w:rPr>
        <w:t>o</w:t>
      </w:r>
      <w:r>
        <w:rPr>
          <w:lang w:val="fr-FR"/>
        </w:rPr>
        <w:t xml:space="preserve"> 01/19.19 du 25/02/2009 déterminant la proc</w:t>
      </w:r>
      <w:r w:rsidRPr="00BA568C">
        <w:rPr>
          <w:lang w:val="fr-FR"/>
        </w:rPr>
        <w:t>é</w:t>
      </w:r>
      <w:r>
        <w:rPr>
          <w:lang w:val="fr-FR"/>
        </w:rPr>
        <w:t xml:space="preserve">dure d’engagement des travailleurs </w:t>
      </w:r>
      <w:r w:rsidRPr="00BA568C">
        <w:rPr>
          <w:lang w:val="fr-FR"/>
        </w:rPr>
        <w:t>é</w:t>
      </w:r>
      <w:r>
        <w:rPr>
          <w:lang w:val="fr-FR"/>
        </w:rPr>
        <w:t xml:space="preserve">trangers (J.O. </w:t>
      </w:r>
      <w:r w:rsidRPr="004C549D">
        <w:rPr>
          <w:rFonts w:eastAsia="MS Mincho"/>
          <w:lang w:val="fr-FR"/>
        </w:rPr>
        <w:t>n</w:t>
      </w:r>
      <w:r w:rsidRPr="004C549D">
        <w:rPr>
          <w:rFonts w:eastAsia="MS Mincho"/>
          <w:vertAlign w:val="superscript"/>
          <w:lang w:val="fr-FR"/>
        </w:rPr>
        <w:t>o</w:t>
      </w:r>
      <w:r>
        <w:rPr>
          <w:lang w:val="fr-FR"/>
        </w:rPr>
        <w:t xml:space="preserve"> 10 du 09/03/2009).</w:t>
      </w:r>
    </w:p>
  </w:footnote>
  <w:footnote w:id="30">
    <w:p w:rsidR="00035D9E" w:rsidRPr="00456EDE"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456EDE">
        <w:rPr>
          <w:lang w:val="fr-FR"/>
        </w:rPr>
        <w:t>Art.</w:t>
      </w:r>
      <w:r>
        <w:rPr>
          <w:lang w:val="fr-FR"/>
        </w:rPr>
        <w:t xml:space="preserve"> </w:t>
      </w:r>
      <w:r w:rsidRPr="00456EDE">
        <w:rPr>
          <w:lang w:val="fr-FR"/>
        </w:rPr>
        <w:t>28 de la loi portant statut général de</w:t>
      </w:r>
      <w:r>
        <w:rPr>
          <w:lang w:val="fr-FR"/>
        </w:rPr>
        <w:t xml:space="preserve"> la fonction publique rwandaise.</w:t>
      </w:r>
    </w:p>
  </w:footnote>
  <w:footnote w:id="31">
    <w:p w:rsidR="00035D9E" w:rsidRPr="00890400" w:rsidRDefault="00035D9E" w:rsidP="00CB399B">
      <w:pPr>
        <w:pStyle w:val="FootnoteText"/>
        <w:rPr>
          <w:lang w:val="fr-FR"/>
        </w:rPr>
      </w:pPr>
      <w:r>
        <w:rPr>
          <w:lang w:val="fr-FR"/>
        </w:rPr>
        <w:tab/>
      </w:r>
      <w:r>
        <w:rPr>
          <w:rStyle w:val="FootnoteReference"/>
        </w:rPr>
        <w:footnoteRef/>
      </w:r>
      <w:r>
        <w:rPr>
          <w:lang w:val="fr-FR"/>
        </w:rPr>
        <w:tab/>
      </w:r>
      <w:r w:rsidRPr="00456EDE">
        <w:rPr>
          <w:lang w:val="fr-FR"/>
        </w:rPr>
        <w:t xml:space="preserve">La liste des partenaires </w:t>
      </w:r>
      <w:r>
        <w:rPr>
          <w:lang w:val="fr-FR"/>
        </w:rPr>
        <w:t>cités n’est pas exhaustive: les exemples de financement donnés sont tirés des deux dernières années 2007/2008.</w:t>
      </w:r>
    </w:p>
  </w:footnote>
  <w:footnote w:id="32">
    <w:p w:rsidR="00035D9E" w:rsidRPr="00F9401B" w:rsidRDefault="00035D9E" w:rsidP="00CB399B">
      <w:pPr>
        <w:pStyle w:val="FootnoteText"/>
        <w:rPr>
          <w:lang w:val="en-US"/>
        </w:rPr>
      </w:pPr>
      <w:r w:rsidRPr="00D931E8">
        <w:rPr>
          <w:lang w:val="fr-FR"/>
        </w:rPr>
        <w:tab/>
      </w:r>
      <w:r w:rsidRPr="00D931E8">
        <w:rPr>
          <w:rStyle w:val="FootnoteReference"/>
        </w:rPr>
        <w:footnoteRef/>
      </w:r>
      <w:r w:rsidRPr="00F9401B">
        <w:rPr>
          <w:lang w:val="en-US"/>
        </w:rPr>
        <w:tab/>
        <w:t>CEPEX (Central Public Investments and External Finance), MINECOFIN: Development projects implementation report, annual report 2007, Volume I-January2</w:t>
      </w:r>
      <w:r>
        <w:rPr>
          <w:lang w:val="en-US"/>
        </w:rPr>
        <w:t>008, and First Semester, 2008 − </w:t>
      </w:r>
      <w:r w:rsidRPr="00F9401B">
        <w:rPr>
          <w:lang w:val="en-US"/>
        </w:rPr>
        <w:t>July 2008.</w:t>
      </w:r>
    </w:p>
  </w:footnote>
  <w:footnote w:id="33">
    <w:p w:rsidR="00035D9E" w:rsidRPr="003C1550" w:rsidRDefault="00035D9E" w:rsidP="00CB399B">
      <w:pPr>
        <w:pStyle w:val="FootnoteText"/>
        <w:rPr>
          <w:lang w:val="fr-FR"/>
        </w:rPr>
      </w:pPr>
      <w:r w:rsidRPr="00F9401B">
        <w:rPr>
          <w:lang w:val="en-US"/>
        </w:rPr>
        <w:tab/>
      </w:r>
      <w:r w:rsidRPr="00D931E8">
        <w:rPr>
          <w:rStyle w:val="FootnoteReference"/>
        </w:rPr>
        <w:footnoteRef/>
      </w:r>
      <w:r w:rsidRPr="00D931E8">
        <w:rPr>
          <w:lang w:val="fr-FR"/>
        </w:rPr>
        <w:tab/>
      </w:r>
      <w:r w:rsidRPr="00852476">
        <w:rPr>
          <w:lang w:val="fr-FR"/>
        </w:rPr>
        <w:t>CEPEX</w:t>
      </w:r>
      <w:r w:rsidRPr="003C1550">
        <w:rPr>
          <w:lang w:val="fr-FR"/>
        </w:rPr>
        <w:t xml:space="preserve"> (Central Public </w:t>
      </w:r>
      <w:r w:rsidRPr="00B7755C">
        <w:t>Investments and External</w:t>
      </w:r>
      <w:r w:rsidRPr="003C1550">
        <w:rPr>
          <w:lang w:val="fr-FR"/>
        </w:rPr>
        <w:t xml:space="preserve"> Finance</w:t>
      </w:r>
      <w:r>
        <w:rPr>
          <w:lang w:val="fr-FR"/>
        </w:rPr>
        <w:t>)</w:t>
      </w:r>
      <w:r w:rsidRPr="003C1550">
        <w:rPr>
          <w:lang w:val="fr-FR"/>
        </w:rPr>
        <w:t xml:space="preserve">, MINECOFIN: </w:t>
      </w:r>
      <w:r w:rsidRPr="00B7755C">
        <w:t>Development projects implementation report, annual</w:t>
      </w:r>
      <w:r w:rsidRPr="003C1550">
        <w:rPr>
          <w:lang w:val="fr-FR"/>
        </w:rPr>
        <w:t xml:space="preserve"> report 2007, Volume </w:t>
      </w:r>
      <w:r>
        <w:rPr>
          <w:lang w:val="fr-FR"/>
        </w:rPr>
        <w:t>I</w:t>
      </w:r>
      <w:r w:rsidRPr="003C1550">
        <w:rPr>
          <w:lang w:val="fr-FR"/>
        </w:rPr>
        <w:t>I</w:t>
      </w:r>
      <w:r>
        <w:rPr>
          <w:lang w:val="fr-FR"/>
        </w:rPr>
        <w:t xml:space="preserve"> −</w:t>
      </w:r>
      <w:r w:rsidRPr="003C1550">
        <w:rPr>
          <w:lang w:val="fr-FR"/>
        </w:rPr>
        <w:t xml:space="preserve"> January</w:t>
      </w:r>
      <w:r>
        <w:rPr>
          <w:lang w:val="fr-FR"/>
        </w:rPr>
        <w:t xml:space="preserve"> </w:t>
      </w:r>
      <w:r w:rsidRPr="003C1550">
        <w:rPr>
          <w:lang w:val="fr-FR"/>
        </w:rPr>
        <w:t xml:space="preserve">2008: </w:t>
      </w:r>
      <w:r w:rsidRPr="00316AFF">
        <w:rPr>
          <w:lang w:val="fr-FR"/>
        </w:rPr>
        <w:t xml:space="preserve">Notons que les financements du budget ne sont pas inclus dans les montants des financements </w:t>
      </w:r>
      <w:r>
        <w:rPr>
          <w:lang w:val="fr-FR"/>
        </w:rPr>
        <w:t>provenant du DFID.</w:t>
      </w:r>
    </w:p>
  </w:footnote>
  <w:footnote w:id="34">
    <w:p w:rsidR="00035D9E" w:rsidRPr="00BF1040"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BF1040">
        <w:rPr>
          <w:lang w:val="fr-FR"/>
        </w:rPr>
        <w:t xml:space="preserve">MIFOTRA: </w:t>
      </w:r>
      <w:r>
        <w:rPr>
          <w:lang w:val="fr-FR"/>
        </w:rPr>
        <w:t>Politique nationale de l’emploi, 2007, p. 20.</w:t>
      </w:r>
    </w:p>
  </w:footnote>
  <w:footnote w:id="35">
    <w:p w:rsidR="00035D9E" w:rsidRPr="00BF1040" w:rsidRDefault="00035D9E" w:rsidP="00CB399B">
      <w:pPr>
        <w:pStyle w:val="FootnoteText"/>
        <w:rPr>
          <w:iCs/>
          <w:lang w:val="fr-FR"/>
        </w:rPr>
      </w:pPr>
      <w:r w:rsidRPr="00D931E8">
        <w:rPr>
          <w:lang w:val="fr-FR"/>
        </w:rPr>
        <w:tab/>
      </w:r>
      <w:r w:rsidRPr="00D931E8">
        <w:rPr>
          <w:rStyle w:val="FootnoteReference"/>
        </w:rPr>
        <w:footnoteRef/>
      </w:r>
      <w:r w:rsidRPr="00D931E8">
        <w:rPr>
          <w:lang w:val="fr-FR"/>
        </w:rPr>
        <w:tab/>
      </w:r>
      <w:r>
        <w:rPr>
          <w:lang w:val="fr-FR"/>
        </w:rPr>
        <w:t>La loi portant réglementation du travail prévoit que «l</w:t>
      </w:r>
      <w:r w:rsidRPr="00BF1040">
        <w:rPr>
          <w:lang w:val="fr-FR"/>
        </w:rPr>
        <w:t xml:space="preserve">e travailleur du secteur </w:t>
      </w:r>
      <w:r w:rsidRPr="00BF1040">
        <w:rPr>
          <w:iCs/>
          <w:lang w:val="fr-FR"/>
        </w:rPr>
        <w:t>de l</w:t>
      </w:r>
      <w:r>
        <w:rPr>
          <w:iCs/>
          <w:lang w:val="fr-FR"/>
        </w:rPr>
        <w:t>’</w:t>
      </w:r>
      <w:r w:rsidRPr="00BF1040">
        <w:rPr>
          <w:iCs/>
          <w:lang w:val="fr-FR"/>
        </w:rPr>
        <w:t>économie informelle est celui qui est occupé dans une entreprise non inscrite au registre du commerce ou auprès d</w:t>
      </w:r>
      <w:r>
        <w:rPr>
          <w:iCs/>
          <w:lang w:val="fr-FR"/>
        </w:rPr>
        <w:t>’</w:t>
      </w:r>
      <w:r w:rsidRPr="00BF1040">
        <w:rPr>
          <w:iCs/>
          <w:lang w:val="fr-FR"/>
        </w:rPr>
        <w:t>une autorité locale ou dont le fonctionnement n</w:t>
      </w:r>
      <w:r>
        <w:rPr>
          <w:iCs/>
          <w:lang w:val="fr-FR"/>
        </w:rPr>
        <w:t>’</w:t>
      </w:r>
      <w:r w:rsidRPr="00BF1040">
        <w:rPr>
          <w:iCs/>
          <w:lang w:val="fr-FR"/>
        </w:rPr>
        <w:t>a pas été agréé</w:t>
      </w:r>
      <w:r>
        <w:rPr>
          <w:iCs/>
          <w:lang w:val="fr-FR"/>
        </w:rPr>
        <w:t>»;</w:t>
      </w:r>
      <w:r w:rsidRPr="00BF1040">
        <w:rPr>
          <w:iCs/>
          <w:lang w:val="fr-FR"/>
        </w:rPr>
        <w:t xml:space="preserve"> EICV2.</w:t>
      </w:r>
    </w:p>
  </w:footnote>
  <w:footnote w:id="36">
    <w:p w:rsidR="00035D9E" w:rsidRPr="00FE3D49"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FE3D49">
        <w:rPr>
          <w:lang w:val="fr-FR"/>
        </w:rPr>
        <w:t>Institut National de la Statistique du Rwanda:</w:t>
      </w:r>
      <w:r>
        <w:rPr>
          <w:lang w:val="fr-FR"/>
        </w:rPr>
        <w:t xml:space="preserve"> </w:t>
      </w:r>
      <w:r w:rsidRPr="00FE3D49">
        <w:rPr>
          <w:lang w:val="fr-FR"/>
        </w:rPr>
        <w:t>L</w:t>
      </w:r>
      <w:r>
        <w:rPr>
          <w:lang w:val="fr-FR"/>
        </w:rPr>
        <w:t>’</w:t>
      </w:r>
      <w:r w:rsidRPr="00FE3D49">
        <w:rPr>
          <w:lang w:val="fr-FR"/>
        </w:rPr>
        <w:t>analyse de l</w:t>
      </w:r>
      <w:r>
        <w:rPr>
          <w:lang w:val="fr-FR"/>
        </w:rPr>
        <w:t>’</w:t>
      </w:r>
      <w:r w:rsidRPr="00FE3D49">
        <w:rPr>
          <w:lang w:val="fr-FR"/>
        </w:rPr>
        <w:t>EICV 1 et 2 sur le marché de l</w:t>
      </w:r>
      <w:r>
        <w:rPr>
          <w:lang w:val="fr-FR"/>
        </w:rPr>
        <w:t>’</w:t>
      </w:r>
      <w:r w:rsidRPr="00FE3D49">
        <w:rPr>
          <w:lang w:val="fr-FR"/>
        </w:rPr>
        <w:t>emploi et les tendances de l</w:t>
      </w:r>
      <w:r>
        <w:rPr>
          <w:lang w:val="fr-FR"/>
        </w:rPr>
        <w:t>’</w:t>
      </w:r>
      <w:r w:rsidRPr="00FE3D49">
        <w:rPr>
          <w:lang w:val="fr-FR"/>
        </w:rPr>
        <w:t>activité économique au Rwanda, Kigali Rwanda, Ao</w:t>
      </w:r>
      <w:r>
        <w:rPr>
          <w:lang w:val="fr-FR"/>
        </w:rPr>
        <w:t>û</w:t>
      </w:r>
      <w:r w:rsidRPr="00FE3D49">
        <w:rPr>
          <w:lang w:val="fr-FR"/>
        </w:rPr>
        <w:t>t 2007.</w:t>
      </w:r>
    </w:p>
  </w:footnote>
  <w:footnote w:id="37">
    <w:p w:rsidR="00035D9E" w:rsidRPr="006F1431" w:rsidRDefault="00035D9E" w:rsidP="00CB399B">
      <w:pPr>
        <w:pStyle w:val="FootnoteText"/>
        <w:rPr>
          <w:lang w:val="en-US"/>
        </w:rPr>
      </w:pPr>
      <w:r w:rsidRPr="00D931E8">
        <w:rPr>
          <w:lang w:val="fr-FR"/>
        </w:rPr>
        <w:tab/>
      </w:r>
      <w:r w:rsidRPr="00D931E8">
        <w:rPr>
          <w:rStyle w:val="FootnoteReference"/>
        </w:rPr>
        <w:footnoteRef/>
      </w:r>
      <w:r w:rsidRPr="006F1431">
        <w:rPr>
          <w:lang w:val="en-US"/>
        </w:rPr>
        <w:tab/>
        <w:t>NISR: EICV Poverty Analysis for Rwanda’s Economic Development and Poverty Reduction Strategy, May 2007.</w:t>
      </w:r>
    </w:p>
  </w:footnote>
  <w:footnote w:id="38">
    <w:p w:rsidR="00035D9E" w:rsidRPr="006F1431" w:rsidRDefault="00035D9E" w:rsidP="00CB399B">
      <w:pPr>
        <w:pStyle w:val="FootnoteText"/>
        <w:rPr>
          <w:lang w:val="en-US"/>
        </w:rPr>
      </w:pPr>
      <w:r w:rsidRPr="006F1431">
        <w:rPr>
          <w:lang w:val="en-US"/>
        </w:rPr>
        <w:tab/>
      </w:r>
      <w:r w:rsidRPr="00D931E8">
        <w:rPr>
          <w:rStyle w:val="FootnoteReference"/>
        </w:rPr>
        <w:footnoteRef/>
      </w:r>
      <w:r w:rsidRPr="006F1431">
        <w:rPr>
          <w:lang w:val="en-US"/>
        </w:rPr>
        <w:tab/>
        <w:t>Le Secrétariat Exécutif de Beijing: Poverty reduction and socio-economic promotion for the Rwandan woman, A collection and analysis of research works and survey conducted in the fields of poverty, social and economic promotion and definition of basic indicators: December,2007; p. 10 (data collected in 2005)</w:t>
      </w:r>
      <w:r>
        <w:rPr>
          <w:lang w:val="en-US"/>
        </w:rPr>
        <w:t>.</w:t>
      </w:r>
    </w:p>
  </w:footnote>
  <w:footnote w:id="39">
    <w:p w:rsidR="00035D9E" w:rsidRPr="006F1431" w:rsidRDefault="00035D9E" w:rsidP="00CB399B">
      <w:pPr>
        <w:pStyle w:val="FootnoteText"/>
        <w:rPr>
          <w:lang w:val="en-US"/>
        </w:rPr>
      </w:pPr>
      <w:r w:rsidRPr="006F1431">
        <w:rPr>
          <w:lang w:val="en-US"/>
        </w:rPr>
        <w:tab/>
      </w:r>
      <w:r w:rsidRPr="00D931E8">
        <w:rPr>
          <w:rStyle w:val="FootnoteReference"/>
        </w:rPr>
        <w:footnoteRef/>
      </w:r>
      <w:r w:rsidRPr="006F1431">
        <w:rPr>
          <w:lang w:val="en-US"/>
        </w:rPr>
        <w:tab/>
        <w:t>NISR: EICV 2 data; Labor Market and economic trends in Rwanda, Analysis of the EICV 2</w:t>
      </w:r>
      <w:r>
        <w:rPr>
          <w:lang w:val="en-US"/>
        </w:rPr>
        <w:t>.</w:t>
      </w:r>
    </w:p>
  </w:footnote>
  <w:footnote w:id="40">
    <w:p w:rsidR="00035D9E" w:rsidRPr="004A3C2D" w:rsidRDefault="00035D9E" w:rsidP="00CB399B">
      <w:pPr>
        <w:pStyle w:val="FootnoteText"/>
        <w:rPr>
          <w:lang w:val="fr-FR"/>
        </w:rPr>
      </w:pPr>
      <w:r w:rsidRPr="006F1431">
        <w:rPr>
          <w:lang w:val="en-US"/>
        </w:rPr>
        <w:tab/>
      </w:r>
      <w:r w:rsidRPr="00D931E8">
        <w:rPr>
          <w:rStyle w:val="FootnoteReference"/>
        </w:rPr>
        <w:footnoteRef/>
      </w:r>
      <w:r w:rsidRPr="00D931E8">
        <w:rPr>
          <w:lang w:val="fr-FR"/>
        </w:rPr>
        <w:tab/>
      </w:r>
      <w:r w:rsidRPr="004A3C2D">
        <w:rPr>
          <w:lang w:val="fr-FR"/>
        </w:rPr>
        <w:t>MIFOTRA</w:t>
      </w:r>
      <w:r>
        <w:rPr>
          <w:lang w:val="fr-FR"/>
        </w:rPr>
        <w:t>:</w:t>
      </w:r>
      <w:r w:rsidRPr="004A3C2D">
        <w:rPr>
          <w:lang w:val="fr-FR"/>
        </w:rPr>
        <w:t xml:space="preserve"> Politique Nationale de l</w:t>
      </w:r>
      <w:r>
        <w:rPr>
          <w:lang w:val="fr-FR"/>
        </w:rPr>
        <w:t>’</w:t>
      </w:r>
      <w:r w:rsidRPr="004A3C2D">
        <w:rPr>
          <w:lang w:val="fr-FR"/>
        </w:rPr>
        <w:t>Emploi, 2007</w:t>
      </w:r>
      <w:r>
        <w:rPr>
          <w:lang w:val="fr-FR"/>
        </w:rPr>
        <w:t>;</w:t>
      </w:r>
      <w:r w:rsidRPr="004A3C2D">
        <w:rPr>
          <w:lang w:val="fr-FR"/>
        </w:rPr>
        <w:t xml:space="preserve"> </w:t>
      </w:r>
      <w:r>
        <w:rPr>
          <w:lang w:val="fr-FR"/>
        </w:rPr>
        <w:t xml:space="preserve">p. </w:t>
      </w:r>
      <w:r w:rsidRPr="004A3C2D">
        <w:rPr>
          <w:lang w:val="fr-FR"/>
        </w:rPr>
        <w:t>20</w:t>
      </w:r>
      <w:r>
        <w:rPr>
          <w:lang w:val="fr-FR"/>
        </w:rPr>
        <w:t>.</w:t>
      </w:r>
    </w:p>
  </w:footnote>
  <w:footnote w:id="41">
    <w:p w:rsidR="00035D9E" w:rsidRPr="006F1431" w:rsidRDefault="00035D9E" w:rsidP="00CB399B">
      <w:pPr>
        <w:pStyle w:val="FootnoteText"/>
        <w:rPr>
          <w:lang w:val="en-US"/>
        </w:rPr>
      </w:pPr>
      <w:r w:rsidRPr="00D931E8">
        <w:rPr>
          <w:lang w:val="fr-FR"/>
        </w:rPr>
        <w:tab/>
      </w:r>
      <w:r w:rsidRPr="00D931E8">
        <w:rPr>
          <w:rStyle w:val="FootnoteReference"/>
        </w:rPr>
        <w:footnoteRef/>
      </w:r>
      <w:r w:rsidRPr="006F1431">
        <w:rPr>
          <w:lang w:val="en-US"/>
        </w:rPr>
        <w:tab/>
        <w:t xml:space="preserve">NISR: Analysis of the EICV 2 Survey (2005): </w:t>
      </w:r>
      <w:r w:rsidRPr="006F1431">
        <w:rPr>
          <w:i/>
          <w:lang w:val="en-US"/>
        </w:rPr>
        <w:t>supra</w:t>
      </w:r>
      <w:r w:rsidRPr="006F1431">
        <w:rPr>
          <w:lang w:val="en-US"/>
        </w:rPr>
        <w:t>, p. 56-57</w:t>
      </w:r>
      <w:r>
        <w:rPr>
          <w:lang w:val="en-US"/>
        </w:rPr>
        <w:t>.</w:t>
      </w:r>
    </w:p>
  </w:footnote>
  <w:footnote w:id="42">
    <w:p w:rsidR="00035D9E" w:rsidRPr="004A3C2D" w:rsidRDefault="00035D9E" w:rsidP="00CB399B">
      <w:pPr>
        <w:pStyle w:val="FootnoteText"/>
        <w:rPr>
          <w:lang w:val="fr-FR"/>
        </w:rPr>
      </w:pPr>
      <w:r w:rsidRPr="006F1431">
        <w:rPr>
          <w:lang w:val="en-US"/>
        </w:rPr>
        <w:tab/>
      </w:r>
      <w:r w:rsidRPr="00D931E8">
        <w:rPr>
          <w:rStyle w:val="FootnoteReference"/>
        </w:rPr>
        <w:footnoteRef/>
      </w:r>
      <w:r w:rsidRPr="00D931E8">
        <w:rPr>
          <w:lang w:val="fr-FR"/>
        </w:rPr>
        <w:tab/>
      </w:r>
      <w:r w:rsidRPr="004A3C2D">
        <w:rPr>
          <w:lang w:val="fr-FR"/>
        </w:rPr>
        <w:t>MIFOTRA</w:t>
      </w:r>
      <w:r>
        <w:rPr>
          <w:lang w:val="fr-FR"/>
        </w:rPr>
        <w:t>:</w:t>
      </w:r>
      <w:r w:rsidRPr="004A3C2D">
        <w:rPr>
          <w:lang w:val="fr-FR"/>
        </w:rPr>
        <w:t xml:space="preserve"> Politique Nationale d</w:t>
      </w:r>
      <w:r>
        <w:rPr>
          <w:lang w:val="fr-FR"/>
        </w:rPr>
        <w:t>e l’</w:t>
      </w:r>
      <w:r w:rsidRPr="004A3C2D">
        <w:rPr>
          <w:lang w:val="fr-FR"/>
        </w:rPr>
        <w:t xml:space="preserve">emploi, </w:t>
      </w:r>
      <w:r w:rsidRPr="00EF246B">
        <w:rPr>
          <w:i/>
          <w:lang w:val="fr-FR"/>
        </w:rPr>
        <w:t>supra</w:t>
      </w:r>
      <w:r>
        <w:rPr>
          <w:lang w:val="fr-FR"/>
        </w:rPr>
        <w:t>.</w:t>
      </w:r>
    </w:p>
  </w:footnote>
  <w:footnote w:id="43">
    <w:p w:rsidR="00035D9E" w:rsidRPr="009D333F"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9D333F">
        <w:rPr>
          <w:lang w:val="fr-FR"/>
        </w:rPr>
        <w:t>Mineduc-TVET: 2009: Liste des CFJ et CFP</w:t>
      </w:r>
      <w:r>
        <w:rPr>
          <w:lang w:val="fr-FR"/>
        </w:rPr>
        <w:t>:</w:t>
      </w:r>
      <w:r w:rsidRPr="009D333F">
        <w:rPr>
          <w:lang w:val="fr-FR"/>
        </w:rPr>
        <w:t xml:space="preserve"> les filières comprennent entre autres la menuiserie, cuisine, couture, coiffure, soudure, maçonnerie, vannerie, le travail du métal et autres</w:t>
      </w:r>
      <w:r>
        <w:rPr>
          <w:lang w:val="fr-FR"/>
        </w:rPr>
        <w:t>.</w:t>
      </w:r>
    </w:p>
  </w:footnote>
  <w:footnote w:id="44">
    <w:p w:rsidR="00035D9E" w:rsidRPr="00A82776"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A82776">
        <w:rPr>
          <w:lang w:val="fr-FR"/>
        </w:rPr>
        <w:t>Avec ces mesures, le 1</w:t>
      </w:r>
      <w:r w:rsidRPr="00A82776">
        <w:rPr>
          <w:vertAlign w:val="superscript"/>
          <w:lang w:val="fr-FR"/>
        </w:rPr>
        <w:t>er</w:t>
      </w:r>
      <w:r w:rsidRPr="00A82776">
        <w:rPr>
          <w:lang w:val="fr-FR"/>
        </w:rPr>
        <w:t xml:space="preserve"> trimestre 2008</w:t>
      </w:r>
      <w:r>
        <w:rPr>
          <w:lang w:val="fr-FR"/>
        </w:rPr>
        <w:t xml:space="preserve"> </w:t>
      </w:r>
      <w:r w:rsidRPr="00A82776">
        <w:rPr>
          <w:lang w:val="fr-FR"/>
        </w:rPr>
        <w:t>a noté une augmentation de 16</w:t>
      </w:r>
      <w:r>
        <w:rPr>
          <w:lang w:val="fr-FR"/>
        </w:rPr>
        <w:t xml:space="preserve"> %</w:t>
      </w:r>
      <w:r w:rsidRPr="00A82776">
        <w:rPr>
          <w:lang w:val="fr-FR"/>
        </w:rPr>
        <w:t xml:space="preserve"> de la production agricole et des projections </w:t>
      </w:r>
      <w:r>
        <w:rPr>
          <w:lang w:val="fr-FR"/>
        </w:rPr>
        <w:t>à la hausse</w:t>
      </w:r>
      <w:r w:rsidRPr="00A82776">
        <w:rPr>
          <w:lang w:val="fr-FR"/>
        </w:rPr>
        <w:t xml:space="preserve"> des produits d</w:t>
      </w:r>
      <w:r>
        <w:rPr>
          <w:lang w:val="fr-FR"/>
        </w:rPr>
        <w:t>’</w:t>
      </w:r>
      <w:r w:rsidRPr="00A82776">
        <w:rPr>
          <w:lang w:val="fr-FR"/>
        </w:rPr>
        <w:t>origine animale et d</w:t>
      </w:r>
      <w:r>
        <w:rPr>
          <w:lang w:val="fr-FR"/>
        </w:rPr>
        <w:t>’</w:t>
      </w:r>
      <w:r w:rsidRPr="00A82776">
        <w:rPr>
          <w:lang w:val="fr-FR"/>
        </w:rPr>
        <w:t>exportation</w:t>
      </w:r>
      <w:r>
        <w:rPr>
          <w:lang w:val="fr-FR"/>
        </w:rPr>
        <w:t>;</w:t>
      </w:r>
      <w:r w:rsidRPr="00A82776">
        <w:rPr>
          <w:lang w:val="fr-FR"/>
        </w:rPr>
        <w:t xml:space="preserve"> il y a eu distribution de 22</w:t>
      </w:r>
      <w:r>
        <w:rPr>
          <w:lang w:val="fr-FR"/>
        </w:rPr>
        <w:t xml:space="preserve"> </w:t>
      </w:r>
      <w:r w:rsidRPr="00A82776">
        <w:rPr>
          <w:lang w:val="fr-FR"/>
        </w:rPr>
        <w:t xml:space="preserve">500 tonnes de fertilisants, améliorant ainsi la production des cultures </w:t>
      </w:r>
      <w:r>
        <w:rPr>
          <w:lang w:val="fr-FR"/>
        </w:rPr>
        <w:t>de</w:t>
      </w:r>
      <w:r w:rsidRPr="00A82776">
        <w:rPr>
          <w:lang w:val="fr-FR"/>
        </w:rPr>
        <w:t xml:space="preserve"> manioc et </w:t>
      </w:r>
      <w:r>
        <w:rPr>
          <w:lang w:val="fr-FR"/>
        </w:rPr>
        <w:t>d</w:t>
      </w:r>
      <w:r w:rsidRPr="00A82776">
        <w:rPr>
          <w:lang w:val="fr-FR"/>
        </w:rPr>
        <w:t>e blé (67</w:t>
      </w:r>
      <w:r>
        <w:rPr>
          <w:lang w:val="fr-FR"/>
        </w:rPr>
        <w:t xml:space="preserve"> </w:t>
      </w:r>
      <w:r w:rsidRPr="00A82776">
        <w:rPr>
          <w:lang w:val="fr-FR"/>
        </w:rPr>
        <w:t xml:space="preserve">869 tonnes). </w:t>
      </w:r>
      <w:r>
        <w:rPr>
          <w:lang w:val="fr-FR"/>
        </w:rPr>
        <w:t xml:space="preserve">La </w:t>
      </w:r>
      <w:r w:rsidRPr="00A82776">
        <w:rPr>
          <w:lang w:val="fr-FR"/>
        </w:rPr>
        <w:t xml:space="preserve">production </w:t>
      </w:r>
      <w:r>
        <w:rPr>
          <w:lang w:val="fr-FR"/>
        </w:rPr>
        <w:t>d</w:t>
      </w:r>
      <w:r w:rsidRPr="00A82776">
        <w:rPr>
          <w:lang w:val="fr-FR"/>
        </w:rPr>
        <w:t xml:space="preserve">e </w:t>
      </w:r>
      <w:r>
        <w:rPr>
          <w:lang w:val="fr-FR"/>
        </w:rPr>
        <w:t xml:space="preserve">ce </w:t>
      </w:r>
      <w:r w:rsidRPr="00A82776">
        <w:rPr>
          <w:lang w:val="fr-FR"/>
        </w:rPr>
        <w:t>dernier a excéd</w:t>
      </w:r>
      <w:r>
        <w:rPr>
          <w:lang w:val="fr-FR"/>
        </w:rPr>
        <w:t xml:space="preserve">é </w:t>
      </w:r>
      <w:r w:rsidRPr="00A82776">
        <w:rPr>
          <w:lang w:val="fr-FR"/>
        </w:rPr>
        <w:t xml:space="preserve">les prévisions et </w:t>
      </w:r>
      <w:r>
        <w:rPr>
          <w:lang w:val="fr-FR"/>
        </w:rPr>
        <w:t xml:space="preserve">les </w:t>
      </w:r>
      <w:r w:rsidRPr="00A82776">
        <w:rPr>
          <w:lang w:val="fr-FR"/>
        </w:rPr>
        <w:t>objectifs de l</w:t>
      </w:r>
      <w:r>
        <w:rPr>
          <w:lang w:val="fr-FR"/>
        </w:rPr>
        <w:t>’</w:t>
      </w:r>
      <w:r w:rsidRPr="00A82776">
        <w:rPr>
          <w:lang w:val="fr-FR"/>
        </w:rPr>
        <w:t xml:space="preserve">EDPRS </w:t>
      </w:r>
      <w:r>
        <w:rPr>
          <w:lang w:val="fr-FR"/>
        </w:rPr>
        <w:t xml:space="preserve">2012 (qui étaient de 30 000 tonnes). </w:t>
      </w:r>
    </w:p>
  </w:footnote>
  <w:footnote w:id="45">
    <w:p w:rsidR="00035D9E" w:rsidRPr="006F1431" w:rsidRDefault="00035D9E" w:rsidP="00CB399B">
      <w:pPr>
        <w:pStyle w:val="FootnoteText"/>
        <w:rPr>
          <w:lang w:val="en-US"/>
        </w:rPr>
      </w:pPr>
      <w:r w:rsidRPr="00D931E8">
        <w:rPr>
          <w:lang w:val="fr-FR"/>
        </w:rPr>
        <w:tab/>
      </w:r>
      <w:r w:rsidRPr="00D931E8">
        <w:rPr>
          <w:rStyle w:val="FootnoteReference"/>
        </w:rPr>
        <w:footnoteRef/>
      </w:r>
      <w:r w:rsidRPr="006F1431">
        <w:rPr>
          <w:lang w:val="en-US"/>
        </w:rPr>
        <w:tab/>
        <w:t>MINEDUC: TVET: Vocational Training centers database, 2008.</w:t>
      </w:r>
    </w:p>
  </w:footnote>
  <w:footnote w:id="46">
    <w:p w:rsidR="00035D9E" w:rsidRPr="008C7073" w:rsidRDefault="00035D9E" w:rsidP="00CB399B">
      <w:pPr>
        <w:pStyle w:val="FootnoteText"/>
        <w:rPr>
          <w:lang w:val="fr-FR"/>
        </w:rPr>
      </w:pPr>
      <w:r w:rsidRPr="006F1431">
        <w:rPr>
          <w:lang w:val="en-US"/>
        </w:rPr>
        <w:tab/>
      </w:r>
      <w:r w:rsidRPr="00D931E8">
        <w:rPr>
          <w:rStyle w:val="FootnoteReference"/>
        </w:rPr>
        <w:footnoteRef/>
      </w:r>
      <w:r w:rsidRPr="00D931E8">
        <w:rPr>
          <w:lang w:val="fr-FR"/>
        </w:rPr>
        <w:tab/>
      </w:r>
      <w:r w:rsidRPr="008C7073">
        <w:rPr>
          <w:lang w:val="fr-FR"/>
        </w:rPr>
        <w:t>MIFOTRA: Plan d</w:t>
      </w:r>
      <w:r>
        <w:rPr>
          <w:lang w:val="fr-FR"/>
        </w:rPr>
        <w:t>’</w:t>
      </w:r>
      <w:r w:rsidRPr="008C7073">
        <w:rPr>
          <w:lang w:val="fr-FR"/>
        </w:rPr>
        <w:t>action quinquennal pour la promotion de l</w:t>
      </w:r>
      <w:r>
        <w:rPr>
          <w:lang w:val="fr-FR"/>
        </w:rPr>
        <w:t>’</w:t>
      </w:r>
      <w:r w:rsidRPr="008C7073">
        <w:rPr>
          <w:lang w:val="fr-FR"/>
        </w:rPr>
        <w:t xml:space="preserve">emploi des jeunes au Rwanda, Mars 2007, </w:t>
      </w:r>
      <w:r>
        <w:rPr>
          <w:lang w:val="fr-FR"/>
        </w:rPr>
        <w:t xml:space="preserve">p. </w:t>
      </w:r>
      <w:r w:rsidRPr="008C7073">
        <w:rPr>
          <w:lang w:val="fr-FR"/>
        </w:rPr>
        <w:t>48-49</w:t>
      </w:r>
      <w:r>
        <w:rPr>
          <w:lang w:val="fr-FR"/>
        </w:rPr>
        <w:t>:</w:t>
      </w:r>
      <w:r w:rsidRPr="008C7073">
        <w:rPr>
          <w:lang w:val="fr-FR"/>
        </w:rPr>
        <w:t xml:space="preserve"> De 1998-2004, 2</w:t>
      </w:r>
      <w:r>
        <w:rPr>
          <w:lang w:val="fr-FR"/>
        </w:rPr>
        <w:t xml:space="preserve"> </w:t>
      </w:r>
      <w:r w:rsidRPr="008C7073">
        <w:rPr>
          <w:lang w:val="fr-FR"/>
        </w:rPr>
        <w:t>219 apprentis entrepreneurs ont été formés. Des groupes cibles ont été visés, comme les femmes,</w:t>
      </w:r>
      <w:r>
        <w:rPr>
          <w:lang w:val="fr-FR"/>
        </w:rPr>
        <w:t xml:space="preserve"> les </w:t>
      </w:r>
      <w:r w:rsidRPr="008C7073">
        <w:rPr>
          <w:lang w:val="fr-FR"/>
        </w:rPr>
        <w:t>jeunes ruraux sans terre</w:t>
      </w:r>
      <w:r>
        <w:rPr>
          <w:lang w:val="fr-FR"/>
        </w:rPr>
        <w:t xml:space="preserve"> et les</w:t>
      </w:r>
      <w:r w:rsidRPr="008C7073">
        <w:rPr>
          <w:lang w:val="fr-FR"/>
        </w:rPr>
        <w:t xml:space="preserve"> familles vulnérables </w:t>
      </w:r>
      <w:r>
        <w:rPr>
          <w:lang w:val="fr-FR"/>
        </w:rPr>
        <w:t>a</w:t>
      </w:r>
      <w:r w:rsidRPr="008C7073">
        <w:rPr>
          <w:lang w:val="fr-FR"/>
        </w:rPr>
        <w:t>u sida.</w:t>
      </w:r>
    </w:p>
  </w:footnote>
  <w:footnote w:id="47">
    <w:p w:rsidR="00035D9E" w:rsidRPr="008C7073"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8C7073">
        <w:rPr>
          <w:lang w:val="fr-FR"/>
        </w:rPr>
        <w:t>Source</w:t>
      </w:r>
      <w:r>
        <w:rPr>
          <w:lang w:val="fr-FR"/>
        </w:rPr>
        <w:t>:</w:t>
      </w:r>
      <w:r w:rsidRPr="008C7073">
        <w:rPr>
          <w:lang w:val="fr-FR"/>
        </w:rPr>
        <w:t xml:space="preserve"> RIAM</w:t>
      </w:r>
      <w:r>
        <w:rPr>
          <w:lang w:val="fr-FR"/>
        </w:rPr>
        <w:t>:</w:t>
      </w:r>
      <w:r w:rsidRPr="008C7073">
        <w:rPr>
          <w:lang w:val="fr-FR"/>
        </w:rPr>
        <w:t xml:space="preserve"> En </w:t>
      </w:r>
      <w:r>
        <w:rPr>
          <w:lang w:val="fr-FR"/>
        </w:rPr>
        <w:t xml:space="preserve">2006, </w:t>
      </w:r>
      <w:r w:rsidRPr="008C7073">
        <w:rPr>
          <w:lang w:val="fr-FR"/>
        </w:rPr>
        <w:t>153 individus ont été formés</w:t>
      </w:r>
      <w:r>
        <w:rPr>
          <w:lang w:val="fr-FR"/>
        </w:rPr>
        <w:t>;</w:t>
      </w:r>
      <w:r w:rsidRPr="008C7073">
        <w:rPr>
          <w:lang w:val="fr-FR"/>
        </w:rPr>
        <w:t xml:space="preserve"> en 2007</w:t>
      </w:r>
      <w:r>
        <w:rPr>
          <w:lang w:val="fr-FR"/>
        </w:rPr>
        <w:t xml:space="preserve">, ils étaient </w:t>
      </w:r>
      <w:r w:rsidRPr="008C7073">
        <w:rPr>
          <w:lang w:val="fr-FR"/>
        </w:rPr>
        <w:t>1</w:t>
      </w:r>
      <w:r>
        <w:rPr>
          <w:lang w:val="fr-FR"/>
        </w:rPr>
        <w:t> </w:t>
      </w:r>
      <w:r w:rsidRPr="008C7073">
        <w:rPr>
          <w:lang w:val="fr-FR"/>
        </w:rPr>
        <w:t>242</w:t>
      </w:r>
      <w:r>
        <w:rPr>
          <w:lang w:val="fr-FR"/>
        </w:rPr>
        <w:t xml:space="preserve">. En 2008, </w:t>
      </w:r>
      <w:r w:rsidRPr="008C7073">
        <w:rPr>
          <w:lang w:val="fr-FR"/>
        </w:rPr>
        <w:t>1</w:t>
      </w:r>
      <w:r>
        <w:rPr>
          <w:lang w:val="fr-FR"/>
        </w:rPr>
        <w:t xml:space="preserve"> </w:t>
      </w:r>
      <w:r w:rsidRPr="008C7073">
        <w:rPr>
          <w:lang w:val="fr-FR"/>
        </w:rPr>
        <w:t xml:space="preserve">512 </w:t>
      </w:r>
      <w:r>
        <w:rPr>
          <w:lang w:val="fr-FR"/>
        </w:rPr>
        <w:t>individus ont été formés à l’intérieur du pays et 252 agents de la fonction publique ont été formés en dehors du pays.</w:t>
      </w:r>
    </w:p>
  </w:footnote>
  <w:footnote w:id="48">
    <w:p w:rsidR="00035D9E" w:rsidRPr="00DA6B51"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DA6B51">
        <w:rPr>
          <w:lang w:val="fr-FR"/>
        </w:rPr>
        <w:t>Art.</w:t>
      </w:r>
      <w:r>
        <w:rPr>
          <w:lang w:val="fr-FR"/>
        </w:rPr>
        <w:t xml:space="preserve"> </w:t>
      </w:r>
      <w:r w:rsidRPr="00DA6B51">
        <w:rPr>
          <w:lang w:val="fr-FR"/>
        </w:rPr>
        <w:t>5 de l</w:t>
      </w:r>
      <w:r>
        <w:rPr>
          <w:lang w:val="fr-FR"/>
        </w:rPr>
        <w:t>’</w:t>
      </w:r>
      <w:r w:rsidRPr="00DA6B51">
        <w:rPr>
          <w:lang w:val="fr-FR"/>
        </w:rPr>
        <w:t>arrêté présidentiel portant statut général des militaires, et art.</w:t>
      </w:r>
      <w:r>
        <w:rPr>
          <w:lang w:val="fr-FR"/>
        </w:rPr>
        <w:t xml:space="preserve"> </w:t>
      </w:r>
      <w:r w:rsidRPr="00DA6B51">
        <w:rPr>
          <w:lang w:val="fr-FR"/>
        </w:rPr>
        <w:t>5 de l</w:t>
      </w:r>
      <w:r>
        <w:rPr>
          <w:lang w:val="fr-FR"/>
        </w:rPr>
        <w:t>’</w:t>
      </w:r>
      <w:r w:rsidRPr="00DA6B51">
        <w:rPr>
          <w:lang w:val="fr-FR"/>
        </w:rPr>
        <w:t xml:space="preserve">arrêté présidentiel portant statut </w:t>
      </w:r>
      <w:r>
        <w:rPr>
          <w:lang w:val="fr-FR"/>
        </w:rPr>
        <w:t>r</w:t>
      </w:r>
      <w:r w:rsidRPr="00DA6B51">
        <w:rPr>
          <w:lang w:val="fr-FR"/>
        </w:rPr>
        <w:t>é</w:t>
      </w:r>
      <w:r>
        <w:rPr>
          <w:lang w:val="fr-FR"/>
        </w:rPr>
        <w:t xml:space="preserve">gissant la police nationale et art. 9 de la loi portant création, organisation et fonctionnement du service local chargé d’assister la maintenance de la sécurité «local </w:t>
      </w:r>
      <w:r w:rsidRPr="00192200">
        <w:rPr>
          <w:lang w:val="fr-FR"/>
        </w:rPr>
        <w:t>defence</w:t>
      </w:r>
      <w:r>
        <w:rPr>
          <w:lang w:val="fr-FR"/>
        </w:rPr>
        <w:t>».</w:t>
      </w:r>
    </w:p>
  </w:footnote>
  <w:footnote w:id="49">
    <w:p w:rsidR="00035D9E" w:rsidRPr="002F7FFE" w:rsidRDefault="00035D9E" w:rsidP="00CB399B">
      <w:pPr>
        <w:pStyle w:val="FootnoteText"/>
        <w:rPr>
          <w:rFonts w:cs="Arial Narrow"/>
          <w:lang w:val="fr-FR"/>
        </w:rPr>
      </w:pPr>
      <w:r w:rsidRPr="00D931E8">
        <w:rPr>
          <w:lang w:val="fr-FR"/>
        </w:rPr>
        <w:tab/>
      </w:r>
      <w:r w:rsidRPr="00D931E8">
        <w:rPr>
          <w:rStyle w:val="FootnoteReference"/>
        </w:rPr>
        <w:footnoteRef/>
      </w:r>
      <w:r w:rsidRPr="00D931E8">
        <w:rPr>
          <w:lang w:val="fr-FR"/>
        </w:rPr>
        <w:tab/>
      </w:r>
      <w:r w:rsidRPr="00066AA3">
        <w:rPr>
          <w:lang w:val="fr-FR"/>
        </w:rPr>
        <w:t>La Constitution</w:t>
      </w:r>
      <w:r>
        <w:rPr>
          <w:lang w:val="fr-FR"/>
        </w:rPr>
        <w:t>: art.9; art. 76 (Chambre des députés); art. 82 (pour les membres du Sénat</w:t>
      </w:r>
      <w:r w:rsidRPr="00210AE5">
        <w:rPr>
          <w:lang w:val="fr-FR"/>
        </w:rPr>
        <w:t xml:space="preserve">); </w:t>
      </w:r>
      <w:r>
        <w:rPr>
          <w:rFonts w:cs="Arial Narrow"/>
          <w:lang w:val="fr-FR"/>
        </w:rPr>
        <w:t xml:space="preserve">la loi </w:t>
      </w:r>
      <w:r w:rsidRPr="00455A3F">
        <w:rPr>
          <w:rFonts w:eastAsia="MS Mincho" w:cs="Arial Narrow"/>
          <w:lang w:val="fr-FR"/>
        </w:rPr>
        <w:t>n</w:t>
      </w:r>
      <w:r w:rsidRPr="00455A3F">
        <w:rPr>
          <w:rFonts w:eastAsia="MS Mincho" w:cs="Arial Narrow"/>
          <w:vertAlign w:val="superscript"/>
          <w:lang w:val="fr-FR"/>
        </w:rPr>
        <w:t>o</w:t>
      </w:r>
      <w:r>
        <w:rPr>
          <w:rFonts w:eastAsia="MS Mincho" w:cs="Arial Narrow"/>
          <w:vertAlign w:val="superscript"/>
          <w:lang w:val="fr-FR"/>
        </w:rPr>
        <w:t> </w:t>
      </w:r>
      <w:r w:rsidRPr="00210AE5">
        <w:rPr>
          <w:rFonts w:cs="Arial Narrow"/>
          <w:lang w:val="fr-FR"/>
        </w:rPr>
        <w:t>42/2000 du 15 décembre 2000 por</w:t>
      </w:r>
      <w:r>
        <w:rPr>
          <w:rFonts w:cs="Arial Narrow"/>
          <w:lang w:val="fr-FR"/>
        </w:rPr>
        <w:t>tant organisation des élections.</w:t>
      </w:r>
    </w:p>
  </w:footnote>
  <w:footnote w:id="50">
    <w:p w:rsidR="00035D9E" w:rsidRPr="006F1431" w:rsidRDefault="00035D9E" w:rsidP="00CB399B">
      <w:pPr>
        <w:pStyle w:val="FootnoteText"/>
        <w:rPr>
          <w:lang w:val="en-US"/>
        </w:rPr>
      </w:pPr>
      <w:r w:rsidRPr="00D931E8">
        <w:rPr>
          <w:lang w:val="fr-FR"/>
        </w:rPr>
        <w:tab/>
      </w:r>
      <w:r w:rsidRPr="00D931E8">
        <w:rPr>
          <w:rStyle w:val="FootnoteReference"/>
        </w:rPr>
        <w:footnoteRef/>
      </w:r>
      <w:r w:rsidRPr="006F1431">
        <w:rPr>
          <w:lang w:val="en-US"/>
        </w:rPr>
        <w:tab/>
        <w:t xml:space="preserve">NISR: Analysis of the EICV (2005) Survey- </w:t>
      </w:r>
      <w:r w:rsidRPr="006F1431">
        <w:rPr>
          <w:i/>
          <w:lang w:val="en-US"/>
        </w:rPr>
        <w:t>supra,</w:t>
      </w:r>
      <w:r w:rsidRPr="006F1431">
        <w:rPr>
          <w:lang w:val="en-US"/>
        </w:rPr>
        <w:t xml:space="preserve"> p. 5.</w:t>
      </w:r>
    </w:p>
  </w:footnote>
  <w:footnote w:id="51">
    <w:p w:rsidR="00035D9E" w:rsidRPr="00945C74" w:rsidRDefault="00035D9E" w:rsidP="00CB399B">
      <w:pPr>
        <w:pStyle w:val="FootnoteText"/>
        <w:rPr>
          <w:lang w:val="fr-FR"/>
        </w:rPr>
      </w:pPr>
      <w:r w:rsidRPr="006F1431">
        <w:rPr>
          <w:lang w:val="en-US"/>
        </w:rPr>
        <w:tab/>
      </w:r>
      <w:r w:rsidRPr="00D931E8">
        <w:rPr>
          <w:rStyle w:val="FootnoteReference"/>
        </w:rPr>
        <w:footnoteRef/>
      </w:r>
      <w:r w:rsidRPr="00D931E8">
        <w:rPr>
          <w:lang w:val="fr-FR"/>
        </w:rPr>
        <w:tab/>
      </w:r>
      <w:r w:rsidRPr="00945C74">
        <w:rPr>
          <w:lang w:val="fr-FR"/>
        </w:rPr>
        <w:t xml:space="preserve">Loi </w:t>
      </w:r>
      <w:r w:rsidRPr="004C549D">
        <w:rPr>
          <w:rFonts w:eastAsia="MS Mincho"/>
          <w:lang w:val="fr-FR"/>
        </w:rPr>
        <w:t>n</w:t>
      </w:r>
      <w:r w:rsidRPr="004C549D">
        <w:rPr>
          <w:rFonts w:eastAsia="MS Mincho"/>
          <w:vertAlign w:val="superscript"/>
          <w:lang w:val="fr-FR"/>
        </w:rPr>
        <w:t>o</w:t>
      </w:r>
      <w:r>
        <w:rPr>
          <w:lang w:val="fr-FR"/>
        </w:rPr>
        <w:t xml:space="preserve"> </w:t>
      </w:r>
      <w:r w:rsidRPr="00945C74">
        <w:rPr>
          <w:lang w:val="fr-FR"/>
        </w:rPr>
        <w:t xml:space="preserve">01/2007 du 20/01/2007 (J.O. </w:t>
      </w:r>
      <w:r w:rsidRPr="004C549D">
        <w:rPr>
          <w:rFonts w:eastAsia="MS Mincho"/>
          <w:lang w:val="fr-FR"/>
        </w:rPr>
        <w:t>n</w:t>
      </w:r>
      <w:r w:rsidRPr="004C549D">
        <w:rPr>
          <w:rFonts w:eastAsia="MS Mincho"/>
          <w:vertAlign w:val="superscript"/>
          <w:lang w:val="fr-FR"/>
        </w:rPr>
        <w:t>o</w:t>
      </w:r>
      <w:r w:rsidRPr="00945C74">
        <w:rPr>
          <w:lang w:val="fr-FR"/>
        </w:rPr>
        <w:t xml:space="preserve"> spécial du 21 Mai 2007</w:t>
      </w:r>
      <w:r>
        <w:rPr>
          <w:lang w:val="fr-FR"/>
        </w:rPr>
        <w:t>.</w:t>
      </w:r>
    </w:p>
  </w:footnote>
  <w:footnote w:id="52">
    <w:p w:rsidR="00035D9E" w:rsidRPr="00945C74"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945C74">
        <w:rPr>
          <w:lang w:val="fr-FR"/>
        </w:rPr>
        <w:t xml:space="preserve">Loi </w:t>
      </w:r>
      <w:r w:rsidRPr="004C549D">
        <w:rPr>
          <w:rFonts w:eastAsia="MS Mincho"/>
          <w:lang w:val="fr-FR"/>
        </w:rPr>
        <w:t>n</w:t>
      </w:r>
      <w:r w:rsidRPr="004C549D">
        <w:rPr>
          <w:rFonts w:eastAsia="MS Mincho"/>
          <w:vertAlign w:val="superscript"/>
          <w:lang w:val="fr-FR"/>
        </w:rPr>
        <w:t>o</w:t>
      </w:r>
      <w:r>
        <w:rPr>
          <w:lang w:val="fr-FR"/>
        </w:rPr>
        <w:t xml:space="preserve"> </w:t>
      </w:r>
      <w:r w:rsidRPr="00945C74">
        <w:rPr>
          <w:lang w:val="fr-FR"/>
        </w:rPr>
        <w:t xml:space="preserve">02/2007(J.O. </w:t>
      </w:r>
      <w:r w:rsidRPr="004C549D">
        <w:rPr>
          <w:rFonts w:eastAsia="MS Mincho"/>
          <w:lang w:val="fr-FR"/>
        </w:rPr>
        <w:t>n</w:t>
      </w:r>
      <w:r w:rsidRPr="004C549D">
        <w:rPr>
          <w:rFonts w:eastAsia="MS Mincho"/>
          <w:vertAlign w:val="superscript"/>
          <w:lang w:val="fr-FR"/>
        </w:rPr>
        <w:t>o</w:t>
      </w:r>
      <w:r>
        <w:rPr>
          <w:lang w:val="fr-FR"/>
        </w:rPr>
        <w:t xml:space="preserve"> 6 du 15/03/2007).</w:t>
      </w:r>
    </w:p>
  </w:footnote>
  <w:footnote w:id="53">
    <w:p w:rsidR="00035D9E" w:rsidRPr="008D4DC7"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945C74">
        <w:rPr>
          <w:lang w:val="fr-FR"/>
        </w:rPr>
        <w:t>Citons à titre d</w:t>
      </w:r>
      <w:r>
        <w:rPr>
          <w:lang w:val="fr-FR"/>
        </w:rPr>
        <w:t>’</w:t>
      </w:r>
      <w:r w:rsidRPr="00945C74">
        <w:rPr>
          <w:lang w:val="fr-FR"/>
        </w:rPr>
        <w:t>exemple</w:t>
      </w:r>
      <w:r>
        <w:rPr>
          <w:lang w:val="fr-FR"/>
        </w:rPr>
        <w:t>:</w:t>
      </w:r>
      <w:r w:rsidRPr="00945C74">
        <w:rPr>
          <w:lang w:val="fr-FR"/>
        </w:rPr>
        <w:t xml:space="preserve"> </w:t>
      </w:r>
      <w:hyperlink r:id="rId1" w:history="1">
        <w:r w:rsidRPr="00945C74">
          <w:rPr>
            <w:lang w:val="fr-FR"/>
          </w:rPr>
          <w:t>l</w:t>
        </w:r>
        <w:r>
          <w:rPr>
            <w:lang w:val="fr-FR"/>
          </w:rPr>
          <w:t xml:space="preserve">’arrêté ministériel </w:t>
        </w:r>
        <w:r w:rsidRPr="00435F75">
          <w:rPr>
            <w:rFonts w:eastAsia="MS Mincho"/>
            <w:lang w:val="fr-FR"/>
          </w:rPr>
          <w:t>n</w:t>
        </w:r>
        <w:r w:rsidRPr="00435F75">
          <w:rPr>
            <w:rFonts w:eastAsia="MS Mincho"/>
            <w:vertAlign w:val="superscript"/>
            <w:lang w:val="fr-FR"/>
          </w:rPr>
          <w:t>o</w:t>
        </w:r>
        <w:r>
          <w:rPr>
            <w:rFonts w:eastAsia="MS Mincho"/>
            <w:vertAlign w:val="superscript"/>
            <w:lang w:val="fr-FR"/>
          </w:rPr>
          <w:t xml:space="preserve"> </w:t>
        </w:r>
        <w:r w:rsidRPr="00945C74">
          <w:rPr>
            <w:lang w:val="fr-FR"/>
          </w:rPr>
          <w:t>19/19 du 08/07/2003 portant modalité de formation des agents de l</w:t>
        </w:r>
        <w:r>
          <w:rPr>
            <w:lang w:val="fr-FR"/>
          </w:rPr>
          <w:t>’</w:t>
        </w:r>
        <w:r w:rsidRPr="00945C74">
          <w:rPr>
            <w:lang w:val="fr-FR"/>
          </w:rPr>
          <w:t>État.</w:t>
        </w:r>
      </w:hyperlink>
    </w:p>
  </w:footnote>
  <w:footnote w:id="54">
    <w:p w:rsidR="00035D9E" w:rsidRPr="00B17883"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B17883">
        <w:rPr>
          <w:lang w:val="fr-FR"/>
        </w:rPr>
        <w:t>P.</w:t>
      </w:r>
      <w:r>
        <w:rPr>
          <w:lang w:val="fr-FR"/>
        </w:rPr>
        <w:t xml:space="preserve"> </w:t>
      </w:r>
      <w:r w:rsidRPr="00B17883">
        <w:rPr>
          <w:lang w:val="fr-FR"/>
        </w:rPr>
        <w:t>12-17 Quelques domaines d</w:t>
      </w:r>
      <w:r>
        <w:rPr>
          <w:lang w:val="fr-FR"/>
        </w:rPr>
        <w:t>’</w:t>
      </w:r>
      <w:r w:rsidRPr="00B17883">
        <w:rPr>
          <w:lang w:val="fr-FR"/>
        </w:rPr>
        <w:t>activité ont été donnés à titre de référence. Il existe diverses catégories d</w:t>
      </w:r>
      <w:r>
        <w:rPr>
          <w:lang w:val="fr-FR"/>
        </w:rPr>
        <w:t>’</w:t>
      </w:r>
      <w:r w:rsidRPr="00B17883">
        <w:rPr>
          <w:lang w:val="fr-FR"/>
        </w:rPr>
        <w:t>emploi pour chaque domaine d</w:t>
      </w:r>
      <w:r>
        <w:rPr>
          <w:lang w:val="fr-FR"/>
        </w:rPr>
        <w:t>’</w:t>
      </w:r>
      <w:r w:rsidRPr="00B17883">
        <w:rPr>
          <w:lang w:val="fr-FR"/>
        </w:rPr>
        <w:t>activité, le tableau indicatif fait référence à une catégorie d</w:t>
      </w:r>
      <w:r>
        <w:rPr>
          <w:lang w:val="fr-FR"/>
        </w:rPr>
        <w:t>’</w:t>
      </w:r>
      <w:r w:rsidRPr="00B17883">
        <w:rPr>
          <w:lang w:val="fr-FR"/>
        </w:rPr>
        <w:t>emploi de niveau bas ou moyen et à celle du dernier échelon, lorsque ces données sont disponibles. Les chiffres sont en</w:t>
      </w:r>
      <w:r>
        <w:rPr>
          <w:lang w:val="fr-FR"/>
        </w:rPr>
        <w:t xml:space="preserve"> milliers de francs rwandais.</w:t>
      </w:r>
    </w:p>
  </w:footnote>
  <w:footnote w:id="55">
    <w:p w:rsidR="00035D9E" w:rsidRPr="00D220C2"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D220C2">
        <w:rPr>
          <w:lang w:val="fr-FR"/>
        </w:rPr>
        <w:t xml:space="preserve">Arrêté ministériel du </w:t>
      </w:r>
      <w:r w:rsidRPr="00A8213E">
        <w:rPr>
          <w:rFonts w:eastAsia="MS Mincho"/>
          <w:lang w:val="fr-FR"/>
        </w:rPr>
        <w:t>n</w:t>
      </w:r>
      <w:r w:rsidRPr="00A8213E">
        <w:rPr>
          <w:rFonts w:eastAsia="MS Mincho"/>
          <w:vertAlign w:val="superscript"/>
          <w:lang w:val="fr-FR"/>
        </w:rPr>
        <w:t>o</w:t>
      </w:r>
      <w:r>
        <w:rPr>
          <w:bCs/>
          <w:lang w:val="fr-FR"/>
        </w:rPr>
        <w:t xml:space="preserve"> </w:t>
      </w:r>
      <w:r w:rsidRPr="00D220C2">
        <w:rPr>
          <w:bCs/>
          <w:lang w:val="fr-FR"/>
        </w:rPr>
        <w:t>05/19 du 14/03/2003 déterminant les modalités d</w:t>
      </w:r>
      <w:r>
        <w:rPr>
          <w:bCs/>
          <w:lang w:val="fr-FR"/>
        </w:rPr>
        <w:t>’</w:t>
      </w:r>
      <w:r w:rsidRPr="00D220C2">
        <w:rPr>
          <w:bCs/>
          <w:lang w:val="fr-FR"/>
        </w:rPr>
        <w:t>application de la semaine de 40 heures et les taux de rémunération des heures supplémentaires</w:t>
      </w:r>
      <w:r>
        <w:rPr>
          <w:bCs/>
          <w:lang w:val="fr-FR"/>
        </w:rPr>
        <w:t>.</w:t>
      </w:r>
    </w:p>
  </w:footnote>
  <w:footnote w:id="56">
    <w:p w:rsidR="00035D9E" w:rsidRPr="00A90148" w:rsidRDefault="00035D9E" w:rsidP="00CB399B">
      <w:pPr>
        <w:pStyle w:val="FootnoteText"/>
        <w:rPr>
          <w:lang w:val="fr-FR"/>
        </w:rPr>
      </w:pPr>
      <w:r w:rsidRPr="00D931E8">
        <w:rPr>
          <w:lang w:val="fr-FR"/>
        </w:rPr>
        <w:tab/>
      </w:r>
      <w:r w:rsidRPr="00D931E8">
        <w:rPr>
          <w:rStyle w:val="FootnoteReference"/>
        </w:rPr>
        <w:footnoteRef/>
      </w:r>
      <w:r w:rsidRPr="00D931E8">
        <w:rPr>
          <w:lang w:val="fr-FR"/>
        </w:rPr>
        <w:tab/>
      </w:r>
      <w:r w:rsidRPr="00A90148">
        <w:rPr>
          <w:lang w:val="fr-FR"/>
        </w:rPr>
        <w:t xml:space="preserve">Arrêté ministériel </w:t>
      </w:r>
      <w:r w:rsidRPr="00A8213E">
        <w:rPr>
          <w:rFonts w:eastAsia="MS Mincho"/>
          <w:lang w:val="fr-FR"/>
        </w:rPr>
        <w:t>n</w:t>
      </w:r>
      <w:r w:rsidRPr="00A8213E">
        <w:rPr>
          <w:rFonts w:eastAsia="MS Mincho"/>
          <w:vertAlign w:val="superscript"/>
          <w:lang w:val="fr-FR"/>
        </w:rPr>
        <w:t>o</w:t>
      </w:r>
      <w:r>
        <w:rPr>
          <w:rFonts w:eastAsia="MS Mincho"/>
          <w:vertAlign w:val="superscript"/>
          <w:lang w:val="fr-FR"/>
        </w:rPr>
        <w:t xml:space="preserve"> </w:t>
      </w:r>
      <w:r w:rsidRPr="00A90148">
        <w:rPr>
          <w:lang w:val="fr-FR"/>
        </w:rPr>
        <w:t xml:space="preserve">15/19 du 13/06/2003 fixant la durée hebdomadaire du travail dans les services publics, </w:t>
      </w:r>
      <w:r>
        <w:rPr>
          <w:lang w:val="fr-FR"/>
        </w:rPr>
        <w:t>art. 5.</w:t>
      </w:r>
    </w:p>
  </w:footnote>
  <w:footnote w:id="57">
    <w:p w:rsidR="00035D9E" w:rsidRPr="004B70DE" w:rsidRDefault="00035D9E" w:rsidP="0036354A">
      <w:pPr>
        <w:pStyle w:val="FootnoteText"/>
      </w:pPr>
      <w:r w:rsidRPr="004B70DE">
        <w:tab/>
      </w:r>
      <w:r w:rsidRPr="004B70DE">
        <w:rPr>
          <w:rStyle w:val="FootnoteReference"/>
        </w:rPr>
        <w:footnoteRef/>
      </w:r>
      <w:r w:rsidRPr="004B70DE">
        <w:tab/>
        <w:t>Ibid., art. 1.</w:t>
      </w:r>
    </w:p>
  </w:footnote>
  <w:footnote w:id="58">
    <w:p w:rsidR="00035D9E" w:rsidRPr="004B70DE" w:rsidRDefault="00035D9E" w:rsidP="0036354A">
      <w:pPr>
        <w:pStyle w:val="FootnoteText"/>
      </w:pPr>
      <w:r w:rsidRPr="004B70DE">
        <w:tab/>
      </w:r>
      <w:r w:rsidRPr="004B70DE">
        <w:rPr>
          <w:rStyle w:val="FootnoteReference"/>
        </w:rPr>
        <w:footnoteRef/>
      </w:r>
      <w:r w:rsidRPr="004B70DE">
        <w:tab/>
        <w:t xml:space="preserve">La loi </w:t>
      </w:r>
      <w:r w:rsidRPr="004B70DE">
        <w:rPr>
          <w:rFonts w:eastAsia="MS Mincho"/>
        </w:rPr>
        <w:t>n</w:t>
      </w:r>
      <w:r w:rsidRPr="004B70DE">
        <w:rPr>
          <w:rFonts w:eastAsia="MS Mincho"/>
          <w:vertAlign w:val="superscript"/>
        </w:rPr>
        <w:t>o</w:t>
      </w:r>
      <w:r w:rsidRPr="004B70DE">
        <w:rPr>
          <w:bCs/>
        </w:rPr>
        <w:t xml:space="preserve"> 05/1987 du 18 Février 1987 sur l’Organisation des sports et loisirs au Rwanda.</w:t>
      </w:r>
    </w:p>
  </w:footnote>
  <w:footnote w:id="59">
    <w:p w:rsidR="00035D9E" w:rsidRPr="004B70DE" w:rsidRDefault="00035D9E" w:rsidP="0036354A">
      <w:pPr>
        <w:pStyle w:val="FootnoteText"/>
      </w:pPr>
      <w:r w:rsidRPr="004B70DE">
        <w:tab/>
      </w:r>
      <w:r w:rsidRPr="004B70DE">
        <w:rPr>
          <w:rStyle w:val="FootnoteReference"/>
        </w:rPr>
        <w:footnoteRef/>
      </w:r>
      <w:r w:rsidRPr="004B70DE">
        <w:tab/>
        <w:t xml:space="preserve">L’Arrêté ministériel </w:t>
      </w:r>
      <w:r w:rsidRPr="004B70DE">
        <w:rPr>
          <w:rFonts w:eastAsia="MS Mincho"/>
          <w:bCs/>
        </w:rPr>
        <w:t>n</w:t>
      </w:r>
      <w:r w:rsidRPr="004B70DE">
        <w:rPr>
          <w:rFonts w:eastAsia="MS Mincho"/>
          <w:bCs/>
          <w:vertAlign w:val="superscript"/>
        </w:rPr>
        <w:t>o</w:t>
      </w:r>
      <w:r w:rsidRPr="004B70DE">
        <w:rPr>
          <w:bCs/>
        </w:rPr>
        <w:t xml:space="preserve"> 05/19 du 14/03/2003 déterminant les modalités d’application de la semaine de 40 heures et les taux de rémunération des heures supplémentaires; l’Arrêté ministériel </w:t>
      </w:r>
      <w:r w:rsidRPr="004B70DE">
        <w:rPr>
          <w:rFonts w:eastAsia="MS Mincho"/>
          <w:bCs/>
        </w:rPr>
        <w:t>n</w:t>
      </w:r>
      <w:r w:rsidRPr="004B70DE">
        <w:rPr>
          <w:rFonts w:eastAsia="MS Mincho"/>
          <w:bCs/>
          <w:vertAlign w:val="superscript"/>
        </w:rPr>
        <w:t>o</w:t>
      </w:r>
      <w:r w:rsidRPr="004B70DE">
        <w:rPr>
          <w:bCs/>
        </w:rPr>
        <w:t xml:space="preserve"> 16/19 du 27/06/2003 portant modalités d’octroi de l’indemnité de licenciement et l’indemnité de départ à la retraite; l’Arrêté ministériel </w:t>
      </w:r>
      <w:r w:rsidRPr="004B70DE">
        <w:rPr>
          <w:rFonts w:eastAsia="MS Mincho"/>
          <w:bCs/>
        </w:rPr>
        <w:t>n</w:t>
      </w:r>
      <w:r w:rsidRPr="004B70DE">
        <w:rPr>
          <w:rFonts w:eastAsia="MS Mincho"/>
          <w:bCs/>
          <w:vertAlign w:val="superscript"/>
        </w:rPr>
        <w:t>o</w:t>
      </w:r>
      <w:r w:rsidRPr="004B70DE">
        <w:rPr>
          <w:bCs/>
        </w:rPr>
        <w:t xml:space="preserve"> 1931Bis/06 du 08/12/1987 sur les modalités de déclaration des accidents du travail et des maladies professionnelles, ainsi que la Convention </w:t>
      </w:r>
      <w:r w:rsidRPr="004B70DE">
        <w:rPr>
          <w:rFonts w:eastAsia="MS Mincho"/>
          <w:bCs/>
        </w:rPr>
        <w:t>n</w:t>
      </w:r>
      <w:r w:rsidRPr="004B70DE">
        <w:rPr>
          <w:rFonts w:eastAsia="MS Mincho"/>
          <w:bCs/>
          <w:vertAlign w:val="superscript"/>
        </w:rPr>
        <w:t>o</w:t>
      </w:r>
      <w:r w:rsidRPr="004B70DE">
        <w:rPr>
          <w:bCs/>
        </w:rPr>
        <w:t xml:space="preserve"> 132 sur les congés payés (révisée), 1970, ratifiée le 09/11/1987 (J.O., 1987 p. 1780); </w:t>
      </w:r>
      <w:r w:rsidRPr="004B70DE">
        <w:t>la Convention sur les droits politiques de la femme, ratifiée le 31/12/2002.</w:t>
      </w:r>
    </w:p>
  </w:footnote>
  <w:footnote w:id="60">
    <w:p w:rsidR="00035D9E" w:rsidRPr="004B70DE" w:rsidRDefault="00035D9E" w:rsidP="0036354A">
      <w:pPr>
        <w:pStyle w:val="FootnoteText"/>
      </w:pPr>
      <w:r w:rsidRPr="004B70DE">
        <w:tab/>
      </w:r>
      <w:r w:rsidRPr="004B70DE">
        <w:rPr>
          <w:rStyle w:val="FootnoteReference"/>
        </w:rPr>
        <w:footnoteRef/>
      </w:r>
      <w:r w:rsidRPr="004B70DE">
        <w:tab/>
        <w:t>PREPAF, PPMER, HIMO.</w:t>
      </w:r>
    </w:p>
  </w:footnote>
  <w:footnote w:id="61">
    <w:p w:rsidR="00035D9E" w:rsidRPr="004B70DE" w:rsidRDefault="00035D9E" w:rsidP="0036354A">
      <w:pPr>
        <w:pStyle w:val="FootnoteText"/>
      </w:pPr>
      <w:r w:rsidRPr="004B70DE">
        <w:tab/>
      </w:r>
      <w:r w:rsidRPr="004B70DE">
        <w:rPr>
          <w:rStyle w:val="FootnoteReference"/>
        </w:rPr>
        <w:footnoteRef/>
      </w:r>
      <w:r w:rsidRPr="004B70DE">
        <w:tab/>
        <w:t>MIFOTRA: Section-Inspection du Travail.</w:t>
      </w:r>
    </w:p>
  </w:footnote>
  <w:footnote w:id="62">
    <w:p w:rsidR="00035D9E" w:rsidRPr="004B70DE" w:rsidRDefault="00035D9E" w:rsidP="0036354A">
      <w:pPr>
        <w:pStyle w:val="FootnoteText"/>
      </w:pPr>
      <w:r w:rsidRPr="004B70DE">
        <w:tab/>
      </w:r>
      <w:r w:rsidRPr="004B70DE">
        <w:rPr>
          <w:rStyle w:val="FootnoteReference"/>
        </w:rPr>
        <w:footnoteRef/>
      </w:r>
      <w:r w:rsidRPr="004B70DE">
        <w:tab/>
        <w:t>Mifotra: Etude sur le fonctionnement des syndicats au Rwanda, 2007; p. 14-17 et 22-28.</w:t>
      </w:r>
    </w:p>
  </w:footnote>
  <w:footnote w:id="63">
    <w:p w:rsidR="00035D9E" w:rsidRPr="004B70DE" w:rsidRDefault="00035D9E" w:rsidP="0036354A">
      <w:pPr>
        <w:pStyle w:val="FootnoteText"/>
      </w:pPr>
      <w:r w:rsidRPr="004B70DE">
        <w:tab/>
      </w:r>
      <w:r w:rsidRPr="004B70DE">
        <w:rPr>
          <w:rStyle w:val="FootnoteReference"/>
        </w:rPr>
        <w:footnoteRef/>
      </w:r>
      <w:r w:rsidRPr="004B70DE">
        <w:tab/>
        <w:t>Information recueillie auprès de la CESTRAR - 2008.</w:t>
      </w:r>
    </w:p>
  </w:footnote>
  <w:footnote w:id="64">
    <w:p w:rsidR="00035D9E" w:rsidRPr="004B70DE" w:rsidRDefault="00035D9E" w:rsidP="0036354A">
      <w:pPr>
        <w:pStyle w:val="FootnoteText"/>
      </w:pPr>
      <w:r w:rsidRPr="004B70DE">
        <w:tab/>
      </w:r>
      <w:r w:rsidRPr="004B70DE">
        <w:rPr>
          <w:rStyle w:val="FootnoteReference"/>
        </w:rPr>
        <w:footnoteRef/>
      </w:r>
      <w:r w:rsidRPr="004B70DE">
        <w:tab/>
        <w:t>FSP: Service de Communication (données de 2008). Les chambres sont: La Chambre de l’agriculture et élevage; la Chambre des industries; la Chambre du Commerce et services; la Chambre du Tourisme; la Chambre des Institutions financières; la Chambre des arts, artistes et artisans; la Chambre des Professions libérales; la Chambre des femmes entrepreneuses; la Chambre des jeunes entrepreneurs.</w:t>
      </w:r>
    </w:p>
  </w:footnote>
  <w:footnote w:id="65">
    <w:p w:rsidR="00035D9E" w:rsidRPr="004B70DE" w:rsidRDefault="00035D9E" w:rsidP="0036354A">
      <w:pPr>
        <w:pStyle w:val="FootnoteText"/>
        <w:rPr>
          <w:bCs/>
        </w:rPr>
      </w:pPr>
      <w:r w:rsidRPr="004B70DE">
        <w:tab/>
      </w:r>
      <w:r w:rsidRPr="004B70DE">
        <w:rPr>
          <w:rStyle w:val="FootnoteReference"/>
        </w:rPr>
        <w:footnoteRef/>
      </w:r>
      <w:r w:rsidRPr="004B70DE">
        <w:tab/>
        <w:t xml:space="preserve">L’article 32(2) de l’arrêté présidentiel </w:t>
      </w:r>
      <w:r w:rsidRPr="004B70DE">
        <w:rPr>
          <w:rFonts w:eastAsia="MS Mincho"/>
        </w:rPr>
        <w:t>n</w:t>
      </w:r>
      <w:r w:rsidRPr="004B70DE">
        <w:rPr>
          <w:rFonts w:eastAsia="MS Mincho"/>
          <w:vertAlign w:val="superscript"/>
        </w:rPr>
        <w:t>o</w:t>
      </w:r>
      <w:r w:rsidRPr="004B70DE">
        <w:rPr>
          <w:bCs/>
        </w:rPr>
        <w:t xml:space="preserve"> 72/01 du 08/07/2002 portant statut général des militaires: «</w:t>
      </w:r>
      <w:r w:rsidRPr="004B70DE">
        <w:t>Il est interdit à tout militaire de participer à des mouvements de grèves ou de prendre part à des actions visant à provoquer une grève.»</w:t>
      </w:r>
      <w:r w:rsidRPr="004B70DE">
        <w:rPr>
          <w:bCs/>
        </w:rPr>
        <w:t xml:space="preserve"> </w:t>
      </w:r>
    </w:p>
  </w:footnote>
  <w:footnote w:id="66">
    <w:p w:rsidR="00035D9E" w:rsidRPr="004B70DE" w:rsidRDefault="00035D9E" w:rsidP="0036354A">
      <w:pPr>
        <w:pStyle w:val="FootnoteText"/>
      </w:pPr>
      <w:r w:rsidRPr="004B70DE">
        <w:tab/>
      </w:r>
      <w:r w:rsidRPr="004B70DE">
        <w:rPr>
          <w:rStyle w:val="FootnoteReference"/>
        </w:rPr>
        <w:footnoteRef/>
      </w:r>
      <w:r w:rsidRPr="004B70DE">
        <w:tab/>
        <w:t xml:space="preserve">L’article 30(2) de l’arrêté présidentiel </w:t>
      </w:r>
      <w:r w:rsidRPr="004B70DE">
        <w:rPr>
          <w:rFonts w:eastAsia="MS Mincho"/>
        </w:rPr>
        <w:t>n</w:t>
      </w:r>
      <w:r w:rsidRPr="004B70DE">
        <w:rPr>
          <w:rFonts w:eastAsia="MS Mincho"/>
          <w:vertAlign w:val="superscript"/>
        </w:rPr>
        <w:t>o</w:t>
      </w:r>
      <w:r w:rsidRPr="004B70DE">
        <w:rPr>
          <w:b/>
          <w:bCs/>
        </w:rPr>
        <w:t xml:space="preserve"> </w:t>
      </w:r>
      <w:r w:rsidRPr="004B70DE">
        <w:rPr>
          <w:bCs/>
        </w:rPr>
        <w:t>155/01 du 31/12/2002 portant statut régissant la police nationale: «</w:t>
      </w:r>
      <w:r w:rsidRPr="004B70DE">
        <w:t>Il est interdit à tout agent de police de participer à des mouvements de grève ou de prendre part à des actions visant à provoquer une grève.»</w:t>
      </w:r>
    </w:p>
  </w:footnote>
  <w:footnote w:id="67">
    <w:p w:rsidR="00035D9E" w:rsidRPr="004B70DE" w:rsidRDefault="00035D9E" w:rsidP="0036354A">
      <w:pPr>
        <w:pStyle w:val="FootnoteText"/>
      </w:pPr>
      <w:r w:rsidRPr="004B70DE">
        <w:tab/>
      </w:r>
      <w:r w:rsidRPr="004B70DE">
        <w:rPr>
          <w:rStyle w:val="FootnoteReference"/>
        </w:rPr>
        <w:footnoteRef/>
      </w:r>
      <w:r w:rsidRPr="004B70DE">
        <w:tab/>
        <w:t xml:space="preserve">L’Instruction </w:t>
      </w:r>
      <w:r w:rsidRPr="004B70DE">
        <w:rPr>
          <w:rFonts w:eastAsia="MS Mincho"/>
        </w:rPr>
        <w:t>n</w:t>
      </w:r>
      <w:r w:rsidRPr="004B70DE">
        <w:rPr>
          <w:rFonts w:eastAsia="MS Mincho"/>
          <w:vertAlign w:val="superscript"/>
        </w:rPr>
        <w:t xml:space="preserve">o </w:t>
      </w:r>
      <w:r w:rsidRPr="004B70DE">
        <w:t>1/19.18/2005 du 20/07/2005 du Ministère de la Fonction Publique, du développement des compétences et du travail relative aux modalités d’élection des délégués du personnel et aux conditions d’exercice de leur mission; l’Arrêté sur le fonctionnement du Conseil national du travail et</w:t>
      </w:r>
      <w:r>
        <w:t xml:space="preserve"> </w:t>
      </w:r>
      <w:r w:rsidRPr="004B70DE">
        <w:t>l’Arrêté ministériel du 27 Juin 2003 déterminant la procédure de dépôt des statuts des organisations professionnelles.</w:t>
      </w:r>
    </w:p>
  </w:footnote>
  <w:footnote w:id="68">
    <w:p w:rsidR="00035D9E" w:rsidRPr="004B70DE" w:rsidRDefault="00035D9E" w:rsidP="0036354A">
      <w:pPr>
        <w:pStyle w:val="FootnoteText"/>
      </w:pPr>
      <w:r w:rsidRPr="004B70DE">
        <w:tab/>
      </w:r>
      <w:r w:rsidRPr="004B70DE">
        <w:rPr>
          <w:rStyle w:val="FootnoteReference"/>
        </w:rPr>
        <w:footnoteRef/>
      </w:r>
      <w:r w:rsidRPr="004B70DE">
        <w:tab/>
        <w:t xml:space="preserve">Les conventions suivantes de l’OIT: la Convention </w:t>
      </w:r>
      <w:r w:rsidRPr="004B70DE">
        <w:rPr>
          <w:rFonts w:eastAsia="MS Mincho"/>
        </w:rPr>
        <w:t>n</w:t>
      </w:r>
      <w:r w:rsidRPr="004B70DE">
        <w:rPr>
          <w:rFonts w:eastAsia="MS Mincho"/>
          <w:vertAlign w:val="superscript"/>
        </w:rPr>
        <w:t xml:space="preserve">o </w:t>
      </w:r>
      <w:r w:rsidRPr="004B70DE">
        <w:t xml:space="preserve">135 concernant les représentants des travailleurs, ratifiée le 8 Novembre 1988; La Convention </w:t>
      </w:r>
      <w:r w:rsidRPr="004B70DE">
        <w:rPr>
          <w:rFonts w:eastAsia="MS Mincho"/>
        </w:rPr>
        <w:t>n</w:t>
      </w:r>
      <w:r w:rsidRPr="004B70DE">
        <w:rPr>
          <w:rFonts w:eastAsia="MS Mincho"/>
          <w:vertAlign w:val="superscript"/>
        </w:rPr>
        <w:t xml:space="preserve">o </w:t>
      </w:r>
      <w:r w:rsidRPr="004B70DE">
        <w:t xml:space="preserve">98 sur le droit d’organisation et de négociation collective, ratifiée le 3 Décembre 1985 (J.O., 1985, p. 107) et la Convention </w:t>
      </w:r>
      <w:r w:rsidRPr="004B70DE">
        <w:rPr>
          <w:rFonts w:eastAsia="MS Mincho"/>
        </w:rPr>
        <w:t>n</w:t>
      </w:r>
      <w:r w:rsidRPr="004B70DE">
        <w:rPr>
          <w:rFonts w:eastAsia="MS Mincho"/>
          <w:vertAlign w:val="superscript"/>
        </w:rPr>
        <w:t>o</w:t>
      </w:r>
      <w:r w:rsidRPr="004B70DE">
        <w:t xml:space="preserve"> 87 sur la liberté syndicale et la protection du droit syndical, ratifiée le 3 Décembre 1985 (J.O., 1986, p. 106).</w:t>
      </w:r>
    </w:p>
  </w:footnote>
  <w:footnote w:id="69">
    <w:p w:rsidR="00035D9E" w:rsidRPr="004B70DE" w:rsidRDefault="00035D9E" w:rsidP="0036354A">
      <w:pPr>
        <w:pStyle w:val="FootnoteText"/>
      </w:pPr>
      <w:r w:rsidRPr="004B70DE">
        <w:tab/>
      </w:r>
      <w:r w:rsidRPr="004B70DE">
        <w:rPr>
          <w:rStyle w:val="FootnoteReference"/>
        </w:rPr>
        <w:footnoteRef/>
      </w:r>
      <w:r w:rsidRPr="004B70DE">
        <w:tab/>
        <w:t xml:space="preserve">Créé par arrêté du premier ministre </w:t>
      </w:r>
      <w:r w:rsidRPr="004B70DE">
        <w:rPr>
          <w:rFonts w:eastAsia="MS Mincho"/>
        </w:rPr>
        <w:t>n</w:t>
      </w:r>
      <w:r w:rsidRPr="004B70DE">
        <w:rPr>
          <w:rFonts w:eastAsia="MS Mincho"/>
          <w:vertAlign w:val="superscript"/>
        </w:rPr>
        <w:t>o</w:t>
      </w:r>
      <w:r w:rsidRPr="004B70DE">
        <w:t xml:space="preserve"> 62/03 portant création et fonctionnement du Conseil National du Travail, J.O. </w:t>
      </w:r>
      <w:r w:rsidRPr="004B70DE">
        <w:rPr>
          <w:rFonts w:eastAsia="MS Mincho"/>
        </w:rPr>
        <w:t>n</w:t>
      </w:r>
      <w:r w:rsidRPr="004B70DE">
        <w:rPr>
          <w:rFonts w:eastAsia="MS Mincho"/>
          <w:vertAlign w:val="superscript"/>
        </w:rPr>
        <w:t xml:space="preserve">o </w:t>
      </w:r>
      <w:r w:rsidRPr="004B70DE">
        <w:t>2/2006 du 1</w:t>
      </w:r>
      <w:r w:rsidRPr="004B70DE">
        <w:rPr>
          <w:vertAlign w:val="superscript"/>
        </w:rPr>
        <w:t>er</w:t>
      </w:r>
      <w:r w:rsidRPr="004B70DE">
        <w:t xml:space="preserve"> Février, 2006.</w:t>
      </w:r>
    </w:p>
  </w:footnote>
  <w:footnote w:id="70">
    <w:p w:rsidR="00035D9E" w:rsidRPr="004B70DE" w:rsidRDefault="00035D9E" w:rsidP="0036354A">
      <w:pPr>
        <w:pStyle w:val="FootnoteText"/>
      </w:pPr>
      <w:r w:rsidRPr="004B70DE">
        <w:tab/>
      </w:r>
      <w:r w:rsidRPr="004B70DE">
        <w:rPr>
          <w:rStyle w:val="FootnoteReference"/>
        </w:rPr>
        <w:footnoteRef/>
      </w:r>
      <w:r w:rsidRPr="004B70DE">
        <w:tab/>
        <w:t>Loi portant missions, organisation et fonctionnement de la Caisse sociale telle que modifiée et complétée à ce jour.</w:t>
      </w:r>
    </w:p>
  </w:footnote>
  <w:footnote w:id="71">
    <w:p w:rsidR="00035D9E" w:rsidRPr="004B70DE" w:rsidRDefault="00035D9E" w:rsidP="0036354A">
      <w:pPr>
        <w:pStyle w:val="FootnoteText"/>
      </w:pPr>
      <w:r w:rsidRPr="004B70DE">
        <w:tab/>
      </w:r>
      <w:r w:rsidRPr="004B70DE">
        <w:rPr>
          <w:rStyle w:val="FootnoteReference"/>
        </w:rPr>
        <w:footnoteRef/>
      </w:r>
      <w:r w:rsidRPr="004B70DE">
        <w:tab/>
        <w:t>CSR: National social security policy, Février 2009.</w:t>
      </w:r>
    </w:p>
  </w:footnote>
  <w:footnote w:id="72">
    <w:p w:rsidR="00035D9E" w:rsidRPr="004B70DE" w:rsidRDefault="00035D9E" w:rsidP="0036354A">
      <w:pPr>
        <w:pStyle w:val="FootnoteText"/>
      </w:pPr>
      <w:r w:rsidRPr="004B70DE">
        <w:tab/>
      </w:r>
      <w:r w:rsidRPr="004B70DE">
        <w:rPr>
          <w:rStyle w:val="FootnoteReference"/>
        </w:rPr>
        <w:footnoteRef/>
      </w:r>
      <w:r w:rsidRPr="004B70DE">
        <w:tab/>
        <w:t>Ibid., art. 22.</w:t>
      </w:r>
    </w:p>
  </w:footnote>
  <w:footnote w:id="73">
    <w:p w:rsidR="00035D9E" w:rsidRPr="004B70DE" w:rsidRDefault="00035D9E" w:rsidP="0036354A">
      <w:pPr>
        <w:pStyle w:val="FootnoteText"/>
      </w:pPr>
      <w:r w:rsidRPr="004B70DE">
        <w:tab/>
      </w:r>
      <w:r w:rsidRPr="004B70DE">
        <w:rPr>
          <w:rStyle w:val="FootnoteReference"/>
        </w:rPr>
        <w:footnoteRef/>
      </w:r>
      <w:r w:rsidRPr="004B70DE">
        <w:tab/>
        <w:t>Minisanté: Rapport annuel 2008.</w:t>
      </w:r>
    </w:p>
  </w:footnote>
  <w:footnote w:id="74">
    <w:p w:rsidR="00035D9E" w:rsidRPr="004B70DE" w:rsidRDefault="00035D9E" w:rsidP="0036354A">
      <w:pPr>
        <w:pStyle w:val="FootnoteText"/>
      </w:pPr>
      <w:r w:rsidRPr="004B70DE">
        <w:tab/>
      </w:r>
      <w:r w:rsidRPr="004B70DE">
        <w:rPr>
          <w:rStyle w:val="FootnoteReference"/>
        </w:rPr>
        <w:footnoteRef/>
      </w:r>
      <w:r w:rsidRPr="004B70DE">
        <w:tab/>
        <w:t>Loi portant missions, organisation et fonctionnement de la Rwandaise d’Assurance Maladie (RAMA) telle que modifiée et complétée à ce jour.</w:t>
      </w:r>
    </w:p>
  </w:footnote>
  <w:footnote w:id="75">
    <w:p w:rsidR="00035D9E" w:rsidRPr="004B70DE" w:rsidRDefault="00035D9E" w:rsidP="0036354A">
      <w:pPr>
        <w:pStyle w:val="FootnoteText"/>
      </w:pPr>
      <w:r w:rsidRPr="004B70DE">
        <w:tab/>
      </w:r>
      <w:r w:rsidRPr="004B70DE">
        <w:rPr>
          <w:rStyle w:val="FootnoteReference"/>
        </w:rPr>
        <w:footnoteRef/>
      </w:r>
      <w:r w:rsidRPr="004B70DE">
        <w:tab/>
        <w:t xml:space="preserve">Loi </w:t>
      </w:r>
      <w:r w:rsidRPr="004B70DE">
        <w:rPr>
          <w:rFonts w:eastAsia="MS Mincho"/>
        </w:rPr>
        <w:t>n</w:t>
      </w:r>
      <w:r w:rsidRPr="004B70DE">
        <w:rPr>
          <w:rFonts w:eastAsia="MS Mincho"/>
          <w:vertAlign w:val="superscript"/>
        </w:rPr>
        <w:t>o</w:t>
      </w:r>
      <w:r w:rsidRPr="004B70DE">
        <w:t xml:space="preserve"> 23/2005 portant institution, organisation et fonctionnement de l’assurance maladie des militaires (J.O. </w:t>
      </w:r>
      <w:r w:rsidRPr="004B70DE">
        <w:rPr>
          <w:rFonts w:eastAsia="MS Mincho"/>
        </w:rPr>
        <w:t>n</w:t>
      </w:r>
      <w:r w:rsidRPr="004B70DE">
        <w:rPr>
          <w:rFonts w:eastAsia="MS Mincho"/>
          <w:vertAlign w:val="superscript"/>
        </w:rPr>
        <w:t>o</w:t>
      </w:r>
      <w:r w:rsidRPr="004B70DE">
        <w:t xml:space="preserve"> 6/2006): art. 1, 21, 23, 24, 30 et 34: </w:t>
      </w:r>
      <w:hyperlink r:id="rId2" w:history="1">
        <w:r w:rsidRPr="004B70DE">
          <w:rPr>
            <w:rStyle w:val="Hyperlink"/>
          </w:rPr>
          <w:t>http://www.amategeko.net/index.php?Parent_ID= 7570&amp;Langue_ID=Fr</w:t>
        </w:r>
      </w:hyperlink>
    </w:p>
  </w:footnote>
  <w:footnote w:id="76">
    <w:p w:rsidR="00035D9E" w:rsidRPr="004B70DE" w:rsidRDefault="00035D9E" w:rsidP="0036354A">
      <w:pPr>
        <w:pStyle w:val="FootnoteText"/>
      </w:pPr>
      <w:r w:rsidRPr="004B70DE">
        <w:tab/>
      </w:r>
      <w:r w:rsidRPr="004B70DE">
        <w:rPr>
          <w:rStyle w:val="FootnoteReference"/>
        </w:rPr>
        <w:footnoteRef/>
      </w:r>
      <w:r w:rsidRPr="004B70DE">
        <w:tab/>
        <w:t xml:space="preserve">Loi </w:t>
      </w:r>
      <w:r w:rsidRPr="004B70DE">
        <w:rPr>
          <w:rFonts w:eastAsia="MS Mincho"/>
        </w:rPr>
        <w:t>n</w:t>
      </w:r>
      <w:r w:rsidRPr="004B70DE">
        <w:rPr>
          <w:rFonts w:eastAsia="MS Mincho"/>
          <w:vertAlign w:val="superscript"/>
        </w:rPr>
        <w:t>o</w:t>
      </w:r>
      <w:r w:rsidRPr="004B70DE">
        <w:t xml:space="preserve"> 62/2007 du 30/12/2007 portant création, organisation, fonctionnement et gestion des mutuelles de santé, art. 29, 30, 31 et 37.</w:t>
      </w:r>
    </w:p>
  </w:footnote>
  <w:footnote w:id="77">
    <w:p w:rsidR="00035D9E" w:rsidRPr="004B70DE" w:rsidRDefault="00035D9E" w:rsidP="0036354A">
      <w:pPr>
        <w:pStyle w:val="FootnoteText"/>
      </w:pPr>
      <w:r w:rsidRPr="004B70DE">
        <w:tab/>
      </w:r>
      <w:r w:rsidRPr="004B70DE">
        <w:rPr>
          <w:rStyle w:val="FootnoteReference"/>
        </w:rPr>
        <w:footnoteRef/>
      </w:r>
      <w:r w:rsidRPr="004B70DE">
        <w:tab/>
        <w:t>MIFOTRA: Plan d’action quinquennal pour la promotion de l’emploi des femmes au Rwanda, 2007: Le secteur informel est essentiellement constitué par l’agro-élevage. Ce dernier s’avère dominant dans les milieux ruraux et occupe la majorité des femmes actives (p. 13).</w:t>
      </w:r>
    </w:p>
  </w:footnote>
  <w:footnote w:id="78">
    <w:p w:rsidR="00035D9E" w:rsidRPr="004B70DE" w:rsidRDefault="00035D9E" w:rsidP="0036354A">
      <w:pPr>
        <w:pStyle w:val="FootnoteText"/>
      </w:pPr>
      <w:r w:rsidRPr="004B70DE">
        <w:tab/>
      </w:r>
      <w:r w:rsidRPr="004B70DE">
        <w:rPr>
          <w:rStyle w:val="FootnoteReference"/>
        </w:rPr>
        <w:footnoteRef/>
      </w:r>
      <w:r w:rsidRPr="004B70DE">
        <w:tab/>
        <w:t xml:space="preserve">Caisse sociale, Planning, Research &amp; Statistics Department, 2005; et MIFOTRA: Étude sur le statut des travailleurs et travailleuses au Rwanda, Août/2005, </w:t>
      </w:r>
      <w:r w:rsidRPr="004B70DE">
        <w:rPr>
          <w:i/>
        </w:rPr>
        <w:t>supra</w:t>
      </w:r>
      <w:r w:rsidRPr="004B70DE">
        <w:t>, p. 19.</w:t>
      </w:r>
    </w:p>
  </w:footnote>
  <w:footnote w:id="79">
    <w:p w:rsidR="00035D9E" w:rsidRPr="004B70DE" w:rsidRDefault="00035D9E" w:rsidP="0036354A">
      <w:pPr>
        <w:pStyle w:val="FootnoteText"/>
      </w:pPr>
      <w:r w:rsidRPr="004B70DE">
        <w:tab/>
      </w:r>
      <w:r w:rsidRPr="004B70DE">
        <w:rPr>
          <w:rStyle w:val="FootnoteReference"/>
        </w:rPr>
        <w:footnoteRef/>
      </w:r>
      <w:r w:rsidRPr="004B70DE">
        <w:tab/>
        <w:t>Voir: http://www.csr.gov.rw/pdf/Social_Security_Policy.pdf</w:t>
      </w:r>
    </w:p>
  </w:footnote>
  <w:footnote w:id="80">
    <w:p w:rsidR="00035D9E" w:rsidRPr="004B70DE" w:rsidRDefault="00035D9E" w:rsidP="0036354A">
      <w:pPr>
        <w:pStyle w:val="FootnoteText"/>
      </w:pPr>
      <w:r w:rsidRPr="004B70DE">
        <w:tab/>
      </w:r>
      <w:r w:rsidRPr="004B70DE">
        <w:rPr>
          <w:rStyle w:val="FootnoteReference"/>
        </w:rPr>
        <w:footnoteRef/>
      </w:r>
      <w:r w:rsidRPr="004B70DE">
        <w:tab/>
        <w:t>Minisanté: Rapport annuel 2008, p. 45: Ce pourcentage ne tient pas compte du budget ordinaire (ce dernier réserve une portion au financement des mutuelles de santé: en 2008 cette portion était de 5 % du budget ordinaire transféré aux districts).</w:t>
      </w:r>
    </w:p>
  </w:footnote>
  <w:footnote w:id="81">
    <w:p w:rsidR="00035D9E" w:rsidRPr="004B70DE" w:rsidRDefault="00035D9E" w:rsidP="0036354A">
      <w:pPr>
        <w:pStyle w:val="FootnoteText"/>
      </w:pPr>
      <w:r w:rsidRPr="004B70DE">
        <w:tab/>
      </w:r>
      <w:r w:rsidRPr="004B70DE">
        <w:rPr>
          <w:rStyle w:val="FootnoteReference"/>
        </w:rPr>
        <w:footnoteRef/>
      </w:r>
      <w:r w:rsidRPr="004B70DE">
        <w:tab/>
        <w:t xml:space="preserve">Loi </w:t>
      </w:r>
      <w:r w:rsidRPr="004B70DE">
        <w:rPr>
          <w:rFonts w:eastAsia="MS Mincho"/>
        </w:rPr>
        <w:t>n</w:t>
      </w:r>
      <w:r w:rsidRPr="004B70DE">
        <w:rPr>
          <w:rFonts w:eastAsia="MS Mincho"/>
          <w:vertAlign w:val="superscript"/>
        </w:rPr>
        <w:t xml:space="preserve">o </w:t>
      </w:r>
      <w:r w:rsidRPr="004B70DE">
        <w:t>42/1988: Titre préliminaire et Livre premier du Code civil (J.O., 1989, p. 9) art. 153 et 155.</w:t>
      </w:r>
    </w:p>
  </w:footnote>
  <w:footnote w:id="82">
    <w:p w:rsidR="00035D9E" w:rsidRPr="004B70DE" w:rsidRDefault="00035D9E" w:rsidP="0036354A">
      <w:pPr>
        <w:pStyle w:val="FootnoteText"/>
        <w:tabs>
          <w:tab w:val="left" w:pos="2000"/>
        </w:tabs>
      </w:pPr>
      <w:r w:rsidRPr="004B70DE">
        <w:tab/>
      </w:r>
      <w:r w:rsidRPr="004B70DE">
        <w:rPr>
          <w:rStyle w:val="FootnoteReference"/>
        </w:rPr>
        <w:footnoteRef/>
      </w:r>
      <w:r w:rsidRPr="004B70DE">
        <w:tab/>
        <w:t>Ibid., art. 360 et 431.</w:t>
      </w:r>
    </w:p>
  </w:footnote>
  <w:footnote w:id="83">
    <w:p w:rsidR="00035D9E" w:rsidRPr="004B70DE" w:rsidRDefault="00035D9E" w:rsidP="0036354A">
      <w:pPr>
        <w:pStyle w:val="FootnoteText"/>
      </w:pPr>
      <w:r w:rsidRPr="004B70DE">
        <w:tab/>
      </w:r>
      <w:r w:rsidRPr="004B70DE">
        <w:rPr>
          <w:rStyle w:val="FootnoteReference"/>
        </w:rPr>
        <w:footnoteRef/>
      </w:r>
      <w:r w:rsidRPr="004B70DE">
        <w:tab/>
        <w:t>La loi du 07/07/2003 relative aux élections présidentielles et législatives (art. 5 et 21) et la loi du 25/01/2006 portant organisation des élections des autorités administratives et locales (art. 8).</w:t>
      </w:r>
    </w:p>
  </w:footnote>
  <w:footnote w:id="84">
    <w:p w:rsidR="00035D9E" w:rsidRPr="004B70DE" w:rsidRDefault="00035D9E" w:rsidP="0036354A">
      <w:pPr>
        <w:pStyle w:val="FootnoteText"/>
      </w:pPr>
      <w:r w:rsidRPr="004B70DE">
        <w:tab/>
      </w:r>
      <w:r w:rsidRPr="004B70DE">
        <w:rPr>
          <w:rStyle w:val="FootnoteReference"/>
        </w:rPr>
        <w:footnoteRef/>
      </w:r>
      <w:r w:rsidRPr="004B70DE">
        <w:tab/>
        <w:t>Art. 77 du Code pénal.</w:t>
      </w:r>
    </w:p>
  </w:footnote>
  <w:footnote w:id="85">
    <w:p w:rsidR="00035D9E" w:rsidRPr="004B70DE" w:rsidRDefault="00035D9E" w:rsidP="0036354A">
      <w:pPr>
        <w:pStyle w:val="FootnoteText"/>
      </w:pPr>
      <w:r w:rsidRPr="004B70DE">
        <w:tab/>
      </w:r>
      <w:r w:rsidRPr="004B70DE">
        <w:rPr>
          <w:rStyle w:val="FootnoteReference"/>
        </w:rPr>
        <w:footnoteRef/>
      </w:r>
      <w:r w:rsidRPr="004B70DE">
        <w:tab/>
        <w:t xml:space="preserve">L’article 5 de l’Arrêté Présidentiel </w:t>
      </w:r>
      <w:r w:rsidRPr="004B70DE">
        <w:rPr>
          <w:rFonts w:eastAsia="MS Mincho"/>
        </w:rPr>
        <w:t>n</w:t>
      </w:r>
      <w:r w:rsidRPr="004B70DE">
        <w:rPr>
          <w:rFonts w:eastAsia="MS Mincho"/>
          <w:vertAlign w:val="superscript"/>
        </w:rPr>
        <w:t>o</w:t>
      </w:r>
      <w:r w:rsidRPr="004B70DE">
        <w:t xml:space="preserve"> 155/01 du 31/12/2002 portant statut régissant la police nationale; l’article 5 de l’Arrêté Présidentiel </w:t>
      </w:r>
      <w:r w:rsidRPr="004B70DE">
        <w:rPr>
          <w:rFonts w:eastAsia="MS Mincho"/>
        </w:rPr>
        <w:t>n</w:t>
      </w:r>
      <w:r w:rsidRPr="004B70DE">
        <w:rPr>
          <w:rFonts w:eastAsia="MS Mincho"/>
          <w:vertAlign w:val="superscript"/>
        </w:rPr>
        <w:t>o</w:t>
      </w:r>
      <w:r w:rsidRPr="004B70DE">
        <w:t xml:space="preserve"> 72/01 du 08/07/2002 portant statut général des militaires; Loi </w:t>
      </w:r>
      <w:r w:rsidRPr="004B70DE">
        <w:rPr>
          <w:rFonts w:eastAsia="MS Mincho"/>
        </w:rPr>
        <w:t>n</w:t>
      </w:r>
      <w:r w:rsidRPr="004B70DE">
        <w:rPr>
          <w:rFonts w:eastAsia="MS Mincho"/>
          <w:vertAlign w:val="superscript"/>
        </w:rPr>
        <w:t>o</w:t>
      </w:r>
      <w:r w:rsidRPr="004B70DE">
        <w:rPr>
          <w:rFonts w:eastAsia="MS Mincho"/>
        </w:rPr>
        <w:t> </w:t>
      </w:r>
      <w:r w:rsidRPr="004B70DE">
        <w:t>27/01 du 28/04/2001 relative aux droits et à la protection de l’enfant, art. 19, et l’article 4 de la loi organique portant Code de la nationalité rwandaise.</w:t>
      </w:r>
    </w:p>
  </w:footnote>
  <w:footnote w:id="86">
    <w:p w:rsidR="00035D9E" w:rsidRPr="004B70DE" w:rsidRDefault="00035D9E" w:rsidP="0036354A">
      <w:pPr>
        <w:pStyle w:val="FootnoteText"/>
      </w:pPr>
      <w:r w:rsidRPr="004B70DE">
        <w:tab/>
      </w:r>
      <w:r w:rsidRPr="004B70DE">
        <w:rPr>
          <w:rStyle w:val="FootnoteReference"/>
        </w:rPr>
        <w:footnoteRef/>
      </w:r>
      <w:r w:rsidRPr="004B70DE">
        <w:tab/>
        <w:t xml:space="preserve">Loi organique </w:t>
      </w:r>
      <w:r w:rsidRPr="004B70DE">
        <w:rPr>
          <w:rFonts w:eastAsia="MS Mincho"/>
        </w:rPr>
        <w:t>n</w:t>
      </w:r>
      <w:r w:rsidRPr="004B70DE">
        <w:rPr>
          <w:rFonts w:eastAsia="MS Mincho"/>
          <w:vertAlign w:val="superscript"/>
        </w:rPr>
        <w:t>o</w:t>
      </w:r>
      <w:r w:rsidRPr="004B70DE">
        <w:t xml:space="preserve"> 29/2004 du 03/12/2004 portant Code de la nationalité (J.O. </w:t>
      </w:r>
      <w:r w:rsidRPr="004B70DE">
        <w:rPr>
          <w:rFonts w:eastAsia="MS Mincho"/>
        </w:rPr>
        <w:t>n</w:t>
      </w:r>
      <w:r w:rsidRPr="004B70DE">
        <w:rPr>
          <w:rFonts w:eastAsia="MS Mincho"/>
          <w:vertAlign w:val="superscript"/>
        </w:rPr>
        <w:t>o</w:t>
      </w:r>
      <w:r w:rsidRPr="004B70DE">
        <w:t xml:space="preserve"> 01 du 01/01/2005).</w:t>
      </w:r>
    </w:p>
  </w:footnote>
  <w:footnote w:id="87">
    <w:p w:rsidR="00035D9E" w:rsidRPr="004B70DE" w:rsidRDefault="00035D9E" w:rsidP="0036354A">
      <w:pPr>
        <w:pStyle w:val="FootnoteText"/>
      </w:pPr>
      <w:r w:rsidRPr="004B70DE">
        <w:tab/>
      </w:r>
      <w:r w:rsidRPr="004B70DE">
        <w:rPr>
          <w:rStyle w:val="FootnoteReference"/>
        </w:rPr>
        <w:footnoteRef/>
      </w:r>
      <w:r w:rsidRPr="004B70DE">
        <w:tab/>
        <w:t xml:space="preserve">Loi </w:t>
      </w:r>
      <w:r w:rsidRPr="004B70DE">
        <w:rPr>
          <w:rFonts w:eastAsia="MS Mincho" w:cs="Arial"/>
        </w:rPr>
        <w:t>n</w:t>
      </w:r>
      <w:r w:rsidRPr="004B70DE">
        <w:rPr>
          <w:rFonts w:eastAsia="MS Mincho" w:cs="Arial"/>
          <w:vertAlign w:val="superscript"/>
        </w:rPr>
        <w:t>o</w:t>
      </w:r>
      <w:r w:rsidRPr="004B70DE">
        <w:rPr>
          <w:rFonts w:cs="Arial"/>
        </w:rPr>
        <w:t xml:space="preserve"> 50/2007 du 18/09/2007 portant création, organisation et fonctionnement des sociétés coopératives au Rwanda, art. 29.</w:t>
      </w:r>
    </w:p>
  </w:footnote>
  <w:footnote w:id="88">
    <w:p w:rsidR="00035D9E" w:rsidRPr="004B70DE" w:rsidRDefault="00035D9E" w:rsidP="0036354A">
      <w:pPr>
        <w:pStyle w:val="FootnoteText"/>
      </w:pPr>
      <w:r w:rsidRPr="004B70DE">
        <w:tab/>
      </w:r>
      <w:r w:rsidRPr="004B70DE">
        <w:rPr>
          <w:rStyle w:val="FootnoteReference"/>
        </w:rPr>
        <w:footnoteRef/>
      </w:r>
      <w:r w:rsidRPr="004B70DE">
        <w:tab/>
        <w:t>Titre préliminaire et Livre premier du Code civil, art. 172, 173 et 174.</w:t>
      </w:r>
    </w:p>
  </w:footnote>
  <w:footnote w:id="89">
    <w:p w:rsidR="00035D9E" w:rsidRPr="004B70DE" w:rsidRDefault="00035D9E" w:rsidP="0036354A">
      <w:pPr>
        <w:pStyle w:val="FootnoteText"/>
      </w:pPr>
      <w:r w:rsidRPr="004B70DE">
        <w:tab/>
      </w:r>
      <w:r w:rsidRPr="004B70DE">
        <w:rPr>
          <w:rStyle w:val="FootnoteReference"/>
        </w:rPr>
        <w:footnoteRef/>
      </w:r>
      <w:r w:rsidRPr="004B70DE">
        <w:tab/>
        <w:t xml:space="preserve">La Constitution; la loi </w:t>
      </w:r>
      <w:r w:rsidRPr="004B70DE">
        <w:rPr>
          <w:rFonts w:eastAsia="MS Mincho"/>
        </w:rPr>
        <w:t>n</w:t>
      </w:r>
      <w:r w:rsidRPr="004B70DE">
        <w:rPr>
          <w:rFonts w:eastAsia="MS Mincho"/>
          <w:vertAlign w:val="superscript"/>
        </w:rPr>
        <w:t>o</w:t>
      </w:r>
      <w:r w:rsidRPr="004B70DE">
        <w:rPr>
          <w:rFonts w:eastAsia="MS Mincho"/>
        </w:rPr>
        <w:t xml:space="preserve"> </w:t>
      </w:r>
      <w:r w:rsidRPr="004B70DE">
        <w:t xml:space="preserve">02/1998 portant création du FARG (J.O. </w:t>
      </w:r>
      <w:r w:rsidRPr="004B70DE">
        <w:rPr>
          <w:rFonts w:eastAsia="MS Mincho"/>
        </w:rPr>
        <w:t>n</w:t>
      </w:r>
      <w:r w:rsidRPr="004B70DE">
        <w:rPr>
          <w:rFonts w:eastAsia="MS Mincho"/>
          <w:vertAlign w:val="superscript"/>
        </w:rPr>
        <w:t>o</w:t>
      </w:r>
      <w:r w:rsidRPr="004B70DE">
        <w:t xml:space="preserve"> 3 du 01/02/1998); la loi portant titre préliminaire et livre premier du Code Civil; la Loi </w:t>
      </w:r>
      <w:r w:rsidRPr="004B70DE">
        <w:rPr>
          <w:rFonts w:eastAsia="MS Mincho"/>
        </w:rPr>
        <w:t>n</w:t>
      </w:r>
      <w:r w:rsidRPr="004B70DE">
        <w:rPr>
          <w:rFonts w:eastAsia="MS Mincho"/>
          <w:vertAlign w:val="superscript"/>
        </w:rPr>
        <w:t>o</w:t>
      </w:r>
      <w:r w:rsidRPr="004B70DE">
        <w:t xml:space="preserve"> 17/2002 portant finances des districts et villes et régissant leur utilisation; la Loi </w:t>
      </w:r>
      <w:r w:rsidRPr="004B70DE">
        <w:rPr>
          <w:rFonts w:eastAsia="MS Mincho"/>
        </w:rPr>
        <w:t>n</w:t>
      </w:r>
      <w:r w:rsidRPr="004B70DE">
        <w:rPr>
          <w:rFonts w:eastAsia="MS Mincho"/>
          <w:vertAlign w:val="superscript"/>
        </w:rPr>
        <w:t>o</w:t>
      </w:r>
      <w:r w:rsidRPr="004B70DE">
        <w:t xml:space="preserve"> 59/2008 portant prévention et répression de la violence basée sur le genre (J.O. </w:t>
      </w:r>
      <w:r w:rsidRPr="004B70DE">
        <w:rPr>
          <w:rFonts w:eastAsia="MS Mincho"/>
        </w:rPr>
        <w:t>n</w:t>
      </w:r>
      <w:r w:rsidRPr="004B70DE">
        <w:rPr>
          <w:rFonts w:eastAsia="MS Mincho"/>
          <w:vertAlign w:val="superscript"/>
        </w:rPr>
        <w:t>o</w:t>
      </w:r>
      <w:r w:rsidRPr="004B70DE">
        <w:t xml:space="preserve"> 14 du 06/04/2009); la Loi </w:t>
      </w:r>
      <w:r w:rsidRPr="004B70DE">
        <w:rPr>
          <w:rFonts w:eastAsia="MS Mincho"/>
        </w:rPr>
        <w:t>n</w:t>
      </w:r>
      <w:r w:rsidRPr="004B70DE">
        <w:rPr>
          <w:rFonts w:eastAsia="MS Mincho"/>
          <w:vertAlign w:val="superscript"/>
        </w:rPr>
        <w:t>o</w:t>
      </w:r>
      <w:r w:rsidRPr="004B70DE">
        <w:t xml:space="preserve"> 27/2001 relative aux droits et à la protection de l’enfant contre les violences; la Loi </w:t>
      </w:r>
      <w:r w:rsidRPr="004B70DE">
        <w:rPr>
          <w:rFonts w:eastAsia="MS Mincho"/>
        </w:rPr>
        <w:t>n</w:t>
      </w:r>
      <w:r w:rsidRPr="004B70DE">
        <w:rPr>
          <w:rFonts w:eastAsia="MS Mincho"/>
          <w:vertAlign w:val="superscript"/>
        </w:rPr>
        <w:t>o</w:t>
      </w:r>
      <w:r w:rsidRPr="004B70DE">
        <w:t xml:space="preserve"> 01/2007 portant protection des personnes handicapées en général (J.O. numéro spécial du 21/05/2007); et la Loi </w:t>
      </w:r>
      <w:r w:rsidRPr="004B70DE">
        <w:rPr>
          <w:rFonts w:eastAsia="MS Mincho"/>
        </w:rPr>
        <w:t>n</w:t>
      </w:r>
      <w:r w:rsidRPr="004B70DE">
        <w:rPr>
          <w:rFonts w:eastAsia="MS Mincho"/>
          <w:vertAlign w:val="superscript"/>
        </w:rPr>
        <w:t>o</w:t>
      </w:r>
      <w:r w:rsidRPr="004B70DE">
        <w:t xml:space="preserve"> 22/99 portant sur les régimes matrimoniaux (J.O. </w:t>
      </w:r>
      <w:r w:rsidRPr="004B70DE">
        <w:rPr>
          <w:rFonts w:eastAsia="MS Mincho"/>
        </w:rPr>
        <w:t>n</w:t>
      </w:r>
      <w:r w:rsidRPr="004B70DE">
        <w:rPr>
          <w:rFonts w:eastAsia="MS Mincho"/>
          <w:vertAlign w:val="superscript"/>
        </w:rPr>
        <w:t>o</w:t>
      </w:r>
      <w:r w:rsidRPr="004B70DE">
        <w:t xml:space="preserve"> 22 du 15/11/1999).</w:t>
      </w:r>
    </w:p>
  </w:footnote>
  <w:footnote w:id="90">
    <w:p w:rsidR="00035D9E" w:rsidRPr="004B70DE" w:rsidRDefault="00035D9E" w:rsidP="0036354A">
      <w:pPr>
        <w:pStyle w:val="FootnoteText"/>
      </w:pPr>
      <w:r w:rsidRPr="004B70DE">
        <w:tab/>
      </w:r>
      <w:r w:rsidRPr="004B70DE">
        <w:rPr>
          <w:rStyle w:val="FootnoteReference"/>
        </w:rPr>
        <w:footnoteRef/>
      </w:r>
      <w:r w:rsidRPr="004B70DE">
        <w:tab/>
        <w:t xml:space="preserve">Arrêté ministériel </w:t>
      </w:r>
      <w:r w:rsidRPr="004B70DE">
        <w:rPr>
          <w:rFonts w:eastAsia="MS Mincho"/>
        </w:rPr>
        <w:t>n</w:t>
      </w:r>
      <w:r w:rsidRPr="004B70DE">
        <w:rPr>
          <w:rFonts w:eastAsia="MS Mincho"/>
          <w:vertAlign w:val="superscript"/>
        </w:rPr>
        <w:t>o</w:t>
      </w:r>
      <w:r w:rsidRPr="004B70DE">
        <w:t xml:space="preserve"> 006/08/10/MIN du 14/11/2007 (J.O. </w:t>
      </w:r>
      <w:r w:rsidRPr="004B70DE">
        <w:rPr>
          <w:rFonts w:eastAsia="MS Mincho"/>
        </w:rPr>
        <w:t>n</w:t>
      </w:r>
      <w:r w:rsidRPr="004B70DE">
        <w:rPr>
          <w:rFonts w:eastAsia="MS Mincho"/>
          <w:vertAlign w:val="superscript"/>
        </w:rPr>
        <w:t>o</w:t>
      </w:r>
      <w:r w:rsidRPr="004B70DE">
        <w:t xml:space="preserve"> 13 du 30/03/2009).</w:t>
      </w:r>
    </w:p>
  </w:footnote>
  <w:footnote w:id="91">
    <w:p w:rsidR="00035D9E" w:rsidRPr="004B70DE" w:rsidRDefault="00035D9E" w:rsidP="0036354A">
      <w:pPr>
        <w:pStyle w:val="FootnoteText"/>
      </w:pPr>
      <w:r w:rsidRPr="004B70DE">
        <w:tab/>
      </w:r>
      <w:r w:rsidRPr="004B70DE">
        <w:rPr>
          <w:rStyle w:val="FootnoteReference"/>
        </w:rPr>
        <w:footnoteRef/>
      </w:r>
      <w:r w:rsidRPr="004B70DE">
        <w:tab/>
        <w:t xml:space="preserve">Respectivement: l’arrêté ministériel </w:t>
      </w:r>
      <w:r w:rsidRPr="004B70DE">
        <w:rPr>
          <w:rFonts w:eastAsia="MS Mincho"/>
        </w:rPr>
        <w:t>n</w:t>
      </w:r>
      <w:r w:rsidRPr="004B70DE">
        <w:rPr>
          <w:rFonts w:eastAsia="MS Mincho"/>
          <w:vertAlign w:val="superscript"/>
        </w:rPr>
        <w:t>o</w:t>
      </w:r>
      <w:r w:rsidRPr="004B70DE">
        <w:t xml:space="preserve"> 03/09; l’arrêté ministériel </w:t>
      </w:r>
      <w:r w:rsidRPr="004B70DE">
        <w:rPr>
          <w:rFonts w:eastAsia="MS Mincho"/>
        </w:rPr>
        <w:t>n</w:t>
      </w:r>
      <w:r w:rsidRPr="004B70DE">
        <w:rPr>
          <w:rFonts w:eastAsia="MS Mincho"/>
          <w:vertAlign w:val="superscript"/>
        </w:rPr>
        <w:t>o</w:t>
      </w:r>
      <w:r w:rsidRPr="004B70DE">
        <w:rPr>
          <w:rFonts w:eastAsia="MS Mincho"/>
        </w:rPr>
        <w:t xml:space="preserve"> </w:t>
      </w:r>
      <w:r w:rsidRPr="004B70DE">
        <w:t xml:space="preserve">04/09 et l’arrêté ministériel </w:t>
      </w:r>
      <w:r w:rsidRPr="004B70DE">
        <w:rPr>
          <w:rFonts w:eastAsia="MS Mincho"/>
        </w:rPr>
        <w:t>n</w:t>
      </w:r>
      <w:r w:rsidRPr="004B70DE">
        <w:rPr>
          <w:rFonts w:eastAsia="MS Mincho"/>
          <w:vertAlign w:val="superscript"/>
        </w:rPr>
        <w:t>o</w:t>
      </w:r>
      <w:r w:rsidRPr="004B70DE">
        <w:t xml:space="preserve"> 05/09, tous parus dans le J.O. </w:t>
      </w:r>
      <w:r w:rsidRPr="004B70DE">
        <w:rPr>
          <w:rFonts w:eastAsia="MS Mincho"/>
        </w:rPr>
        <w:t>n</w:t>
      </w:r>
      <w:r w:rsidRPr="004B70DE">
        <w:rPr>
          <w:rFonts w:eastAsia="MS Mincho"/>
          <w:vertAlign w:val="superscript"/>
        </w:rPr>
        <w:t>o</w:t>
      </w:r>
      <w:r w:rsidRPr="004B70DE">
        <w:t xml:space="preserve"> 016 bis du 20/04/2009.</w:t>
      </w:r>
    </w:p>
  </w:footnote>
  <w:footnote w:id="92">
    <w:p w:rsidR="00035D9E" w:rsidRPr="004B70DE" w:rsidRDefault="00035D9E" w:rsidP="0036354A">
      <w:pPr>
        <w:pStyle w:val="FootnoteText"/>
      </w:pPr>
      <w:r w:rsidRPr="004B70DE">
        <w:tab/>
      </w:r>
      <w:r w:rsidRPr="004B70DE">
        <w:rPr>
          <w:rStyle w:val="FootnoteReference"/>
        </w:rPr>
        <w:footnoteRef/>
      </w:r>
      <w:r w:rsidRPr="004B70DE">
        <w:tab/>
        <w:t>Minagri: Agricultural Sector Performance, Juillet 2008.</w:t>
      </w:r>
    </w:p>
  </w:footnote>
  <w:footnote w:id="93">
    <w:p w:rsidR="00035D9E" w:rsidRPr="004B70DE" w:rsidRDefault="00035D9E" w:rsidP="0036354A">
      <w:pPr>
        <w:pStyle w:val="FootnoteText"/>
      </w:pPr>
      <w:r w:rsidRPr="004B70DE">
        <w:tab/>
      </w:r>
      <w:r w:rsidRPr="004B70DE">
        <w:rPr>
          <w:rStyle w:val="FootnoteReference"/>
        </w:rPr>
        <w:footnoteRef/>
      </w:r>
      <w:r w:rsidRPr="004B70DE">
        <w:tab/>
        <w:t>Minaloc: section Ubudehe. Notons que les bénéficiaires sont répertoriés en deux catégories: ceux au niveau des villages «imidugudu»: leur nombre était de 14 837 en 2007/2008; et ceux qualifiés de vulnérables (leur nombre était aussi de 14 837). En 2005/06, ce nombre total était de presque 20 000 bénéficiaires identifiés au niveau des cellules. + Ubudehe Summary, as of February/08.</w:t>
      </w:r>
    </w:p>
  </w:footnote>
  <w:footnote w:id="94">
    <w:p w:rsidR="00035D9E" w:rsidRPr="004B70DE" w:rsidRDefault="00035D9E" w:rsidP="0036354A">
      <w:pPr>
        <w:pStyle w:val="FootnoteText"/>
      </w:pPr>
      <w:r w:rsidRPr="004B70DE">
        <w:tab/>
      </w:r>
      <w:r w:rsidRPr="004B70DE">
        <w:rPr>
          <w:rStyle w:val="FootnoteReference"/>
        </w:rPr>
        <w:footnoteRef/>
      </w:r>
      <w:r w:rsidRPr="004B70DE">
        <w:tab/>
        <w:t>C’est un fonds du Gouvernement sous la tutelle du MINALOC, destiné à mettre en œuvre la politique nationale de décentralisation. Il appuie les entités administratives par le financement des projets de développement.</w:t>
      </w:r>
    </w:p>
  </w:footnote>
  <w:footnote w:id="95">
    <w:p w:rsidR="00035D9E" w:rsidRPr="004B70DE" w:rsidRDefault="00035D9E" w:rsidP="0036354A">
      <w:pPr>
        <w:pStyle w:val="FootnoteText"/>
      </w:pPr>
      <w:r w:rsidRPr="004B70DE">
        <w:tab/>
      </w:r>
      <w:r w:rsidRPr="004B70DE">
        <w:rPr>
          <w:rStyle w:val="FootnoteReference"/>
        </w:rPr>
        <w:footnoteRef/>
      </w:r>
      <w:r w:rsidRPr="004B70DE">
        <w:tab/>
      </w:r>
      <w:r w:rsidRPr="004B70DE">
        <w:rPr>
          <w:i/>
        </w:rPr>
        <w:t>Minaloc</w:t>
      </w:r>
      <w:r w:rsidRPr="004B70DE">
        <w:t>: Rapport d’activités 2003-2008: Depuis 2003 au 1</w:t>
      </w:r>
      <w:r w:rsidRPr="004B70DE">
        <w:rPr>
          <w:vertAlign w:val="superscript"/>
        </w:rPr>
        <w:t>er</w:t>
      </w:r>
      <w:r w:rsidRPr="004B70DE">
        <w:t xml:space="preserve"> trimestre 2008, presque 107 000 réfugiés ont été réintégrés dans leur vie antérieure, sinon des logements leur étaient fournis, leurs enfants ont pu étudier et les soins de santé ont été rendus accessibles grâce aux mutuelles de santé; plus de 5 800 logements ont été construits pour les rescapés du génocide. Entre 2003/07, le FARG a aussi financé au moins 36 000 étudiants dans le secondaire et 1 500 au niveau supérieur.</w:t>
      </w:r>
    </w:p>
  </w:footnote>
  <w:footnote w:id="96">
    <w:p w:rsidR="00035D9E" w:rsidRPr="004B70DE" w:rsidRDefault="00035D9E" w:rsidP="0036354A">
      <w:pPr>
        <w:pStyle w:val="FootnoteText"/>
      </w:pPr>
      <w:r w:rsidRPr="004B70DE">
        <w:tab/>
      </w:r>
      <w:r w:rsidRPr="004B70DE">
        <w:rPr>
          <w:rStyle w:val="FootnoteReference"/>
        </w:rPr>
        <w:footnoteRef/>
      </w:r>
      <w:r w:rsidRPr="004B70DE">
        <w:tab/>
        <w:t xml:space="preserve">Voir </w:t>
      </w:r>
      <w:r w:rsidRPr="004B70DE">
        <w:rPr>
          <w:i/>
        </w:rPr>
        <w:t>supra</w:t>
      </w:r>
      <w:r w:rsidRPr="004B70DE">
        <w:t>, sous l’article 9.</w:t>
      </w:r>
    </w:p>
  </w:footnote>
  <w:footnote w:id="97">
    <w:p w:rsidR="00035D9E" w:rsidRPr="004B70DE" w:rsidRDefault="00035D9E" w:rsidP="0036354A">
      <w:pPr>
        <w:pStyle w:val="FootnoteText"/>
      </w:pPr>
      <w:r w:rsidRPr="004B70DE">
        <w:tab/>
      </w:r>
      <w:r w:rsidRPr="004B70DE">
        <w:rPr>
          <w:rStyle w:val="FootnoteReference"/>
        </w:rPr>
        <w:footnoteRef/>
      </w:r>
      <w:r w:rsidRPr="004B70DE">
        <w:tab/>
        <w:t>Les articles 64 à 69.</w:t>
      </w:r>
    </w:p>
  </w:footnote>
  <w:footnote w:id="98">
    <w:p w:rsidR="00035D9E" w:rsidRPr="004B70DE" w:rsidRDefault="00035D9E" w:rsidP="0036354A">
      <w:pPr>
        <w:pStyle w:val="FootnoteText"/>
      </w:pPr>
      <w:r w:rsidRPr="004B70DE">
        <w:tab/>
      </w:r>
      <w:r w:rsidRPr="004B70DE">
        <w:rPr>
          <w:rStyle w:val="FootnoteReference"/>
        </w:rPr>
        <w:footnoteRef/>
      </w:r>
      <w:r w:rsidRPr="004B70DE">
        <w:tab/>
        <w:t xml:space="preserve">Loi portant statut général des agents de l’État, </w:t>
      </w:r>
      <w:r w:rsidRPr="004B70DE">
        <w:rPr>
          <w:i/>
        </w:rPr>
        <w:t>supra</w:t>
      </w:r>
      <w:r w:rsidRPr="004B70DE">
        <w:t>, art. 46, 5.</w:t>
      </w:r>
    </w:p>
  </w:footnote>
  <w:footnote w:id="99">
    <w:p w:rsidR="00035D9E" w:rsidRPr="004B70DE" w:rsidRDefault="00035D9E" w:rsidP="0036354A">
      <w:pPr>
        <w:pStyle w:val="FootnoteText"/>
      </w:pPr>
      <w:r w:rsidRPr="004B70DE">
        <w:tab/>
      </w:r>
      <w:r w:rsidRPr="004B70DE">
        <w:rPr>
          <w:rStyle w:val="FootnoteReference"/>
        </w:rPr>
        <w:footnoteRef/>
      </w:r>
      <w:r w:rsidRPr="004B70DE">
        <w:tab/>
        <w:t xml:space="preserve">Convention </w:t>
      </w:r>
      <w:r w:rsidRPr="004B70DE">
        <w:rPr>
          <w:rFonts w:eastAsia="MS Mincho"/>
        </w:rPr>
        <w:t>n</w:t>
      </w:r>
      <w:r w:rsidRPr="004B70DE">
        <w:rPr>
          <w:rFonts w:eastAsia="MS Mincho"/>
          <w:vertAlign w:val="superscript"/>
        </w:rPr>
        <w:t>o</w:t>
      </w:r>
      <w:r w:rsidRPr="004B70DE">
        <w:t xml:space="preserve"> 182 sur les pires formes de travail des enfants, 1999; Convention </w:t>
      </w:r>
      <w:r w:rsidRPr="004B70DE">
        <w:rPr>
          <w:rFonts w:eastAsia="MS Mincho"/>
        </w:rPr>
        <w:t>n</w:t>
      </w:r>
      <w:r w:rsidRPr="004B70DE">
        <w:rPr>
          <w:rFonts w:eastAsia="MS Mincho"/>
          <w:vertAlign w:val="superscript"/>
        </w:rPr>
        <w:t>o</w:t>
      </w:r>
      <w:r w:rsidRPr="004B70DE">
        <w:t xml:space="preserve"> 138 sur l’âge minimum, 1973; Convention </w:t>
      </w:r>
      <w:r w:rsidRPr="004B70DE">
        <w:rPr>
          <w:rFonts w:eastAsia="MS Mincho"/>
        </w:rPr>
        <w:t>n</w:t>
      </w:r>
      <w:r w:rsidRPr="004B70DE">
        <w:rPr>
          <w:rFonts w:eastAsia="MS Mincho"/>
          <w:vertAlign w:val="superscript"/>
        </w:rPr>
        <w:t>o</w:t>
      </w:r>
      <w:r w:rsidRPr="004B70DE">
        <w:rPr>
          <w:rFonts w:eastAsia="MS Mincho"/>
        </w:rPr>
        <w:t xml:space="preserve"> </w:t>
      </w:r>
      <w:r w:rsidRPr="004B70DE">
        <w:t xml:space="preserve">29 sur le travail forcé, 1930. </w:t>
      </w:r>
    </w:p>
  </w:footnote>
  <w:footnote w:id="100">
    <w:p w:rsidR="00035D9E" w:rsidRPr="004B70DE" w:rsidRDefault="00035D9E" w:rsidP="0036354A">
      <w:pPr>
        <w:pStyle w:val="FootnoteText"/>
      </w:pPr>
      <w:r w:rsidRPr="004B70DE">
        <w:tab/>
      </w:r>
      <w:r w:rsidRPr="004B70DE">
        <w:rPr>
          <w:rStyle w:val="FootnoteReference"/>
        </w:rPr>
        <w:footnoteRef/>
      </w:r>
      <w:r w:rsidRPr="004B70DE">
        <w:tab/>
        <w:t xml:space="preserve">La Convention des Nations Unies relative aux droits de l’enfant (1989); le Protocole facultatif à la Convention relative aux droits de l’enfant, concernant la vente d’enfants, la prostitution des enfants et la pornographie mettant en scène des enfants, 2000 (J.O. </w:t>
      </w:r>
      <w:r w:rsidRPr="004B70DE">
        <w:rPr>
          <w:rFonts w:eastAsia="MS Mincho"/>
        </w:rPr>
        <w:t>n</w:t>
      </w:r>
      <w:r w:rsidRPr="004B70DE">
        <w:rPr>
          <w:rFonts w:eastAsia="MS Mincho"/>
          <w:vertAlign w:val="superscript"/>
        </w:rPr>
        <w:t>o</w:t>
      </w:r>
      <w:r w:rsidRPr="004B70DE">
        <w:t xml:space="preserve"> spécial, du 26/2/2002, p. 27); la Charte africaine des droits et du bien-être de l’enfant, 1989 (J.O.2001, </w:t>
      </w:r>
      <w:r w:rsidRPr="004B70DE">
        <w:rPr>
          <w:rFonts w:eastAsia="MS Mincho"/>
        </w:rPr>
        <w:t>n</w:t>
      </w:r>
      <w:r w:rsidRPr="004B70DE">
        <w:rPr>
          <w:rFonts w:eastAsia="MS Mincho"/>
          <w:vertAlign w:val="superscript"/>
        </w:rPr>
        <w:t>o</w:t>
      </w:r>
      <w:r w:rsidRPr="004B70DE">
        <w:t xml:space="preserve"> 22, p. 58); la Charte africaine des droits de l’homme et des peuples (1983); le Pacte international relatif aux droits civils et politiques (1976); la Convention </w:t>
      </w:r>
      <w:r w:rsidRPr="004B70DE">
        <w:rPr>
          <w:rFonts w:eastAsia="MS Mincho"/>
        </w:rPr>
        <w:t>n</w:t>
      </w:r>
      <w:r w:rsidRPr="004B70DE">
        <w:rPr>
          <w:rFonts w:eastAsia="MS Mincho"/>
          <w:vertAlign w:val="superscript"/>
        </w:rPr>
        <w:t>o</w:t>
      </w:r>
      <w:r w:rsidRPr="004B70DE">
        <w:t xml:space="preserve"> 182 sur les pires formes de travail des enfants, 1999 (J.O. </w:t>
      </w:r>
      <w:r w:rsidRPr="004B70DE">
        <w:rPr>
          <w:rFonts w:eastAsia="MS Mincho"/>
        </w:rPr>
        <w:t>n</w:t>
      </w:r>
      <w:r w:rsidRPr="004B70DE">
        <w:rPr>
          <w:rFonts w:eastAsia="MS Mincho"/>
          <w:vertAlign w:val="superscript"/>
        </w:rPr>
        <w:t>o</w:t>
      </w:r>
      <w:r w:rsidRPr="004B70DE">
        <w:t xml:space="preserve"> 7 du 01/04/2000, p. 11).</w:t>
      </w:r>
    </w:p>
  </w:footnote>
  <w:footnote w:id="101">
    <w:p w:rsidR="00035D9E" w:rsidRPr="004B70DE" w:rsidRDefault="00035D9E" w:rsidP="0036354A">
      <w:pPr>
        <w:pStyle w:val="FootnoteText"/>
      </w:pPr>
      <w:r w:rsidRPr="004B70DE">
        <w:tab/>
      </w:r>
      <w:r w:rsidRPr="004B70DE">
        <w:rPr>
          <w:rStyle w:val="FootnoteReference"/>
        </w:rPr>
        <w:footnoteRef/>
      </w:r>
      <w:r w:rsidRPr="004B70DE">
        <w:tab/>
        <w:t>Citons par exemple l’ASC/Umurimo, qui, depuis 2003, a permis à 950 enfants travailleurs identifiés, âgés de 7 à 14 ans, d’être scolarisés. Une autre intervention de World Vision/Kuret a permis à 1 475 enfants d’être scolarisés, entre 2005 et 2007.</w:t>
      </w:r>
    </w:p>
  </w:footnote>
  <w:footnote w:id="102">
    <w:p w:rsidR="00035D9E" w:rsidRPr="004B70DE" w:rsidRDefault="00035D9E" w:rsidP="0036354A">
      <w:pPr>
        <w:pStyle w:val="FootnoteText"/>
      </w:pPr>
      <w:r w:rsidRPr="004B70DE">
        <w:tab/>
      </w:r>
      <w:r w:rsidRPr="004B70DE">
        <w:rPr>
          <w:rStyle w:val="FootnoteReference"/>
        </w:rPr>
        <w:footnoteRef/>
      </w:r>
      <w:r w:rsidRPr="004B70DE">
        <w:tab/>
      </w:r>
      <w:r w:rsidRPr="004B70DE">
        <w:rPr>
          <w:i/>
        </w:rPr>
        <w:t>Minecofin</w:t>
      </w:r>
      <w:r w:rsidRPr="004B70DE">
        <w:t>: EDPRS Quaterly Report, June 2008: 15 coopératives de ce genre sont déjà opérationnelles, deux schémas de crédit épargne fonctionnent dans les districts de Bugesera et Kicukiro.</w:t>
      </w:r>
    </w:p>
  </w:footnote>
  <w:footnote w:id="103">
    <w:p w:rsidR="00035D9E" w:rsidRPr="004B70DE" w:rsidRDefault="00035D9E" w:rsidP="0036354A">
      <w:pPr>
        <w:pStyle w:val="FootnoteText"/>
      </w:pPr>
      <w:r w:rsidRPr="004B70DE">
        <w:tab/>
      </w:r>
      <w:r w:rsidRPr="004B70DE">
        <w:rPr>
          <w:rStyle w:val="FootnoteReference"/>
        </w:rPr>
        <w:footnoteRef/>
      </w:r>
      <w:r w:rsidRPr="004B70DE">
        <w:tab/>
        <w:t xml:space="preserve">Des ONG comme association Muhumurize à Kanombe, World Vision à Musanze et dans la province du nord, Caritas, le point d’écoute à Gisenyi pour ne citer que ceux-là: tous travaillent à assurer la réinsertion des enfants dans leurs familles et leur réintégration scolaire ou à fournir des formations professionnelles à ceux ayant dépassé l’âge de la scolarisation. </w:t>
      </w:r>
    </w:p>
  </w:footnote>
  <w:footnote w:id="104">
    <w:p w:rsidR="00035D9E" w:rsidRPr="004B70DE" w:rsidRDefault="00035D9E" w:rsidP="0036354A">
      <w:pPr>
        <w:pStyle w:val="FootnoteText"/>
      </w:pPr>
      <w:r w:rsidRPr="004B70DE">
        <w:tab/>
      </w:r>
      <w:r w:rsidRPr="004B70DE">
        <w:rPr>
          <w:rStyle w:val="FootnoteReference"/>
        </w:rPr>
        <w:footnoteRef/>
      </w:r>
      <w:r w:rsidRPr="004B70DE">
        <w:tab/>
        <w:t>Migeprof- Campagne d’Oct.2004 à Février 2005, Migeprof avec l’appui de l’UNICEF.</w:t>
      </w:r>
    </w:p>
  </w:footnote>
  <w:footnote w:id="105">
    <w:p w:rsidR="00035D9E" w:rsidRPr="004B70DE" w:rsidRDefault="00035D9E" w:rsidP="0036354A">
      <w:pPr>
        <w:pStyle w:val="FootnoteText"/>
      </w:pPr>
      <w:r w:rsidRPr="004B70DE">
        <w:tab/>
      </w:r>
      <w:r w:rsidRPr="004B70DE">
        <w:rPr>
          <w:rStyle w:val="FootnoteReference"/>
        </w:rPr>
        <w:footnoteRef/>
      </w:r>
      <w:r w:rsidRPr="004B70DE">
        <w:tab/>
        <w:t>Mineduc: Summary of achievements in 2007 + UNESCO: Country Programming document-Rwanda, October 2007, p. 3.</w:t>
      </w:r>
    </w:p>
  </w:footnote>
  <w:footnote w:id="106">
    <w:p w:rsidR="00035D9E" w:rsidRPr="004B70DE" w:rsidRDefault="00035D9E" w:rsidP="0036354A">
      <w:pPr>
        <w:pStyle w:val="FootnoteText"/>
      </w:pPr>
      <w:r w:rsidRPr="004B70DE">
        <w:tab/>
      </w:r>
      <w:r w:rsidRPr="004B70DE">
        <w:rPr>
          <w:rStyle w:val="FootnoteReference"/>
        </w:rPr>
        <w:footnoteRef/>
      </w:r>
      <w:r w:rsidRPr="004B70DE">
        <w:tab/>
        <w:t>En premier la Constitution du Rwanda, telle que modifiée; la loi portant réglementation du travail; la loi relative aux droits et à la protection de l’enfant contre les violences (</w:t>
      </w:r>
      <w:r w:rsidRPr="004B70DE">
        <w:rPr>
          <w:i/>
        </w:rPr>
        <w:t>supra</w:t>
      </w:r>
      <w:r w:rsidRPr="004B70DE">
        <w:t>); la loi visant la protection des personnes handicapées (</w:t>
      </w:r>
      <w:r w:rsidRPr="004B70DE">
        <w:rPr>
          <w:i/>
        </w:rPr>
        <w:t>supra</w:t>
      </w:r>
      <w:r w:rsidRPr="004B70DE">
        <w:t xml:space="preserve">); la Loi relative aux régimes matrimoniaux, aux libéralités et successions </w:t>
      </w:r>
      <w:r w:rsidRPr="004B70DE">
        <w:rPr>
          <w:rFonts w:eastAsia="MS Mincho"/>
        </w:rPr>
        <w:t>n</w:t>
      </w:r>
      <w:r w:rsidRPr="004B70DE">
        <w:rPr>
          <w:rFonts w:eastAsia="MS Mincho"/>
          <w:vertAlign w:val="superscript"/>
        </w:rPr>
        <w:t>o</w:t>
      </w:r>
      <w:r w:rsidRPr="004B70DE">
        <w:t xml:space="preserve"> 22/99 du 12/11/99: donnant droit de succession à tous les enfants sans discrimination basée sur le sexe; le projet de loi sur la protection des enfants contre la traite et l’amendement du Code Pénal.</w:t>
      </w:r>
    </w:p>
  </w:footnote>
  <w:footnote w:id="107">
    <w:p w:rsidR="00035D9E" w:rsidRPr="004B70DE" w:rsidRDefault="00035D9E" w:rsidP="0036354A">
      <w:pPr>
        <w:pStyle w:val="FootnoteText"/>
      </w:pPr>
      <w:r w:rsidRPr="004B70DE">
        <w:tab/>
      </w:r>
      <w:r w:rsidRPr="004B70DE">
        <w:rPr>
          <w:rStyle w:val="FootnoteReference"/>
        </w:rPr>
        <w:footnoteRef/>
      </w:r>
      <w:r w:rsidRPr="004B70DE">
        <w:tab/>
        <w:t>En plus des conventions sur les droits de l’enfant citées aux notes 74 et 75, on peut citer la Charte africaine de la jeunesse, en 2004; la Convention sur le consentement au mariage, l’âge minimum du mariage et l’enregistrement des mariages, en 2002; Le Protocole à la Charte africaine des droits de l’homme et des peuples, relatif aux droits de la femme en Afrique, en 2004 ; la Convention sur les droits politiques de la femme, en 2002; la Convention relative aux droits des personnes handicapées et son Protocole facultatif, en 2008; le Protocole facultatif à la Convention sur l’élimination de toutes les formes de discrimination à l’égard des femmes, 2008; et la Convention internationale sur la protection des droits de tous les travailleurs migrants et des membres de leur famille, en 2008.</w:t>
      </w:r>
    </w:p>
  </w:footnote>
  <w:footnote w:id="108">
    <w:p w:rsidR="00035D9E" w:rsidRPr="004B70DE" w:rsidRDefault="00035D9E" w:rsidP="0036354A">
      <w:pPr>
        <w:pStyle w:val="FootnoteText"/>
      </w:pPr>
      <w:r w:rsidRPr="004B70DE">
        <w:tab/>
      </w:r>
      <w:r w:rsidRPr="004B70DE">
        <w:rPr>
          <w:rStyle w:val="FootnoteReference"/>
        </w:rPr>
        <w:footnoteRef/>
      </w:r>
      <w:r w:rsidRPr="004B70DE">
        <w:tab/>
        <w:t xml:space="preserve">UNICEF au Rwanda: </w:t>
      </w:r>
      <w:hyperlink r:id="rId3" w:history="1">
        <w:r w:rsidRPr="004B70DE">
          <w:rPr>
            <w:rStyle w:val="Hyperlink"/>
          </w:rPr>
          <w:t>http://www.unrwanda.org/images/stories/documents/</w:t>
        </w:r>
      </w:hyperlink>
      <w:r w:rsidRPr="004B70DE">
        <w:t xml:space="preserve"> unicef_in_rwanda_for_un_website.pdf</w:t>
      </w:r>
    </w:p>
  </w:footnote>
  <w:footnote w:id="109">
    <w:p w:rsidR="00035D9E" w:rsidRPr="004B70DE" w:rsidRDefault="00035D9E" w:rsidP="0036354A">
      <w:pPr>
        <w:pStyle w:val="FootnoteText"/>
        <w:rPr>
          <w:u w:val="single"/>
        </w:rPr>
      </w:pPr>
      <w:r w:rsidRPr="004B70DE">
        <w:tab/>
      </w:r>
      <w:r w:rsidRPr="004B70DE">
        <w:rPr>
          <w:rStyle w:val="FootnoteReference"/>
        </w:rPr>
        <w:footnoteRef/>
      </w:r>
      <w:r w:rsidRPr="004B70DE">
        <w:tab/>
        <w:t>NISR: EICV EDPRS Final report, May 2007 p. ii.</w:t>
      </w:r>
    </w:p>
  </w:footnote>
  <w:footnote w:id="110">
    <w:p w:rsidR="00035D9E" w:rsidRPr="004B70DE" w:rsidRDefault="00035D9E" w:rsidP="0036354A">
      <w:pPr>
        <w:pStyle w:val="FootnoteText"/>
      </w:pPr>
      <w:r w:rsidRPr="004B70DE">
        <w:tab/>
      </w:r>
      <w:r w:rsidRPr="004B70DE">
        <w:rPr>
          <w:rStyle w:val="FootnoteReference"/>
        </w:rPr>
        <w:footnoteRef/>
      </w:r>
      <w:r w:rsidRPr="004B70DE">
        <w:tab/>
        <w:t>Ibid., EICV II.</w:t>
      </w:r>
    </w:p>
  </w:footnote>
  <w:footnote w:id="111">
    <w:p w:rsidR="00035D9E" w:rsidRPr="004B70DE" w:rsidRDefault="00035D9E" w:rsidP="0036354A">
      <w:pPr>
        <w:pStyle w:val="FootnoteText"/>
      </w:pPr>
      <w:r w:rsidRPr="004B70DE">
        <w:tab/>
      </w:r>
      <w:r w:rsidRPr="004B70DE">
        <w:rPr>
          <w:rStyle w:val="FootnoteReference"/>
        </w:rPr>
        <w:footnoteRef/>
      </w:r>
      <w:r w:rsidRPr="004B70DE">
        <w:tab/>
        <w:t xml:space="preserve">Rwanda Development Indicators, </w:t>
      </w:r>
      <w:r w:rsidRPr="004B70DE">
        <w:rPr>
          <w:i/>
        </w:rPr>
        <w:t>supra</w:t>
      </w:r>
      <w:r w:rsidRPr="004B70DE">
        <w:t>, note 13: p. xvi.</w:t>
      </w:r>
    </w:p>
  </w:footnote>
  <w:footnote w:id="112">
    <w:p w:rsidR="00035D9E" w:rsidRPr="004B70DE" w:rsidRDefault="00035D9E" w:rsidP="0036354A">
      <w:pPr>
        <w:pStyle w:val="FootnoteText"/>
      </w:pPr>
      <w:r w:rsidRPr="004B70DE">
        <w:tab/>
      </w:r>
      <w:r w:rsidRPr="004B70DE">
        <w:rPr>
          <w:rStyle w:val="FootnoteReference"/>
        </w:rPr>
        <w:footnoteRef/>
      </w:r>
      <w:r w:rsidRPr="004B70DE">
        <w:tab/>
      </w:r>
      <w:r w:rsidRPr="004B70DE">
        <w:rPr>
          <w:i/>
        </w:rPr>
        <w:t>Minagri</w:t>
      </w:r>
      <w:r w:rsidRPr="004B70DE">
        <w:t>: Plan Stratégique pour la Transformation de l’Agriculture, Octobre 2004: Les besoins alimentaires moyens par habitant et par jour fixés par la FAO et l’OMS pour le Rwanda sont de: 2 100 Kcal; 59 g pour les protéines; 40 g pour les lipides.</w:t>
      </w:r>
    </w:p>
  </w:footnote>
  <w:footnote w:id="113">
    <w:p w:rsidR="00035D9E" w:rsidRPr="004B70DE" w:rsidRDefault="00035D9E" w:rsidP="0036354A">
      <w:pPr>
        <w:pStyle w:val="FootnoteText"/>
      </w:pPr>
      <w:r w:rsidRPr="004B70DE">
        <w:tab/>
      </w:r>
      <w:r w:rsidRPr="004B70DE">
        <w:rPr>
          <w:rStyle w:val="FootnoteReference"/>
        </w:rPr>
        <w:footnoteRef/>
      </w:r>
      <w:r w:rsidRPr="004B70DE">
        <w:tab/>
        <w:t>L’analyse porte sur la couverture des besoins alimentaires par les seules productions agricoles. Les aliments d’origine animale occupent une place très minime dans la ration. Ils contribuent à hauteur de 2 % pour les calories, 6 % pour les protéines et 40 % pour les lipides (moyennes calculées sur les années 2001-2003).</w:t>
      </w:r>
    </w:p>
  </w:footnote>
  <w:footnote w:id="114">
    <w:p w:rsidR="00035D9E" w:rsidRPr="004B70DE" w:rsidRDefault="00035D9E" w:rsidP="0036354A">
      <w:pPr>
        <w:pStyle w:val="FootnoteText"/>
      </w:pPr>
      <w:r w:rsidRPr="004B70DE">
        <w:tab/>
      </w:r>
      <w:r w:rsidRPr="004B70DE">
        <w:rPr>
          <w:rStyle w:val="FootnoteReference"/>
        </w:rPr>
        <w:footnoteRef/>
      </w:r>
      <w:r w:rsidRPr="004B70DE">
        <w:tab/>
      </w:r>
      <w:r w:rsidRPr="004B70DE">
        <w:rPr>
          <w:i/>
        </w:rPr>
        <w:t>Minisanté</w:t>
      </w:r>
      <w:r w:rsidRPr="004B70DE">
        <w:t>: Politique nationale de nutrition, Juillet 2007, p. 11-12: la tranche des enfants de 0 à 6 mois est de 8,4 %, celle de 6-9 mois de 20,6 % et la tranche de 4 à 5 ans de 52,2 % pour la malnutrition chronique.</w:t>
      </w:r>
    </w:p>
  </w:footnote>
  <w:footnote w:id="115">
    <w:p w:rsidR="00035D9E" w:rsidRPr="004B70DE" w:rsidRDefault="00035D9E" w:rsidP="0036354A">
      <w:pPr>
        <w:pStyle w:val="FootnoteText"/>
      </w:pPr>
      <w:r w:rsidRPr="004B70DE">
        <w:tab/>
      </w:r>
      <w:r w:rsidRPr="004B70DE">
        <w:rPr>
          <w:rStyle w:val="FootnoteReference"/>
        </w:rPr>
        <w:footnoteRef/>
      </w:r>
      <w:r w:rsidRPr="004B70DE">
        <w:tab/>
        <w:t>Rwanda CFSVA 2006, p. 2-4.</w:t>
      </w:r>
    </w:p>
  </w:footnote>
  <w:footnote w:id="116">
    <w:p w:rsidR="00035D9E" w:rsidRPr="004B70DE" w:rsidRDefault="00035D9E" w:rsidP="0036354A">
      <w:pPr>
        <w:pStyle w:val="FootnoteText"/>
      </w:pPr>
      <w:r w:rsidRPr="004B70DE">
        <w:tab/>
      </w:r>
      <w:r w:rsidRPr="004B70DE">
        <w:rPr>
          <w:rStyle w:val="FootnoteReference"/>
        </w:rPr>
        <w:footnoteRef/>
      </w:r>
      <w:r w:rsidRPr="004B70DE">
        <w:tab/>
        <w:t xml:space="preserve">Minagri: Plan stratégique pour la transformation de l’Agriculture au Rwanda, </w:t>
      </w:r>
      <w:r w:rsidRPr="004B70DE">
        <w:rPr>
          <w:i/>
        </w:rPr>
        <w:t>supra</w:t>
      </w:r>
      <w:r w:rsidRPr="004B70DE">
        <w:t>, note 94: En 2020: ces objectifs sont de 3236 Kcal/jour en énergie, 108 g/jour de protéines et 90 g/jour de lipides.</w:t>
      </w:r>
    </w:p>
  </w:footnote>
  <w:footnote w:id="117">
    <w:p w:rsidR="00035D9E" w:rsidRPr="004B70DE" w:rsidRDefault="00035D9E" w:rsidP="0036354A">
      <w:pPr>
        <w:pStyle w:val="FootnoteText"/>
      </w:pPr>
      <w:r w:rsidRPr="004B70DE">
        <w:tab/>
      </w:r>
      <w:r w:rsidRPr="004B70DE">
        <w:rPr>
          <w:rStyle w:val="FootnoteReference"/>
        </w:rPr>
        <w:footnoteRef/>
      </w:r>
      <w:r w:rsidRPr="004B70DE">
        <w:tab/>
        <w:t>Minagri: Agricultural Sector Performance, First semester, 2008: Self Evaluation Report for the Joint Agriculture Sector Review, July 2008.</w:t>
      </w:r>
    </w:p>
  </w:footnote>
  <w:footnote w:id="118">
    <w:p w:rsidR="00035D9E" w:rsidRPr="004B70DE" w:rsidRDefault="00035D9E" w:rsidP="0036354A">
      <w:pPr>
        <w:pStyle w:val="FootnoteText"/>
      </w:pPr>
      <w:r w:rsidRPr="004B70DE">
        <w:tab/>
      </w:r>
      <w:r w:rsidRPr="004B70DE">
        <w:rPr>
          <w:rStyle w:val="FootnoteReference"/>
        </w:rPr>
        <w:footnoteRef/>
      </w:r>
      <w:r w:rsidRPr="004B70DE">
        <w:tab/>
        <w:t xml:space="preserve">Loi organique </w:t>
      </w:r>
      <w:r w:rsidRPr="004B70DE">
        <w:rPr>
          <w:rFonts w:eastAsia="MS Mincho"/>
        </w:rPr>
        <w:t>n</w:t>
      </w:r>
      <w:r w:rsidRPr="004B70DE">
        <w:rPr>
          <w:rFonts w:eastAsia="MS Mincho"/>
          <w:vertAlign w:val="superscript"/>
        </w:rPr>
        <w:t>o</w:t>
      </w:r>
      <w:r w:rsidRPr="004B70DE">
        <w:t xml:space="preserve"> 08/2005 du 14/7/2005 portant régime foncier au Rwanda.</w:t>
      </w:r>
    </w:p>
  </w:footnote>
  <w:footnote w:id="119">
    <w:p w:rsidR="00035D9E" w:rsidRPr="004B70DE" w:rsidRDefault="00035D9E" w:rsidP="0036354A">
      <w:pPr>
        <w:pStyle w:val="FootnoteText"/>
      </w:pPr>
      <w:r w:rsidRPr="004B70DE">
        <w:tab/>
      </w:r>
      <w:r w:rsidRPr="004B70DE">
        <w:rPr>
          <w:rStyle w:val="FootnoteReference"/>
        </w:rPr>
        <w:footnoteRef/>
      </w:r>
      <w:r w:rsidRPr="004B70DE">
        <w:tab/>
        <w:t>Minaloc: Strategic plan of habitat and urbanism sub-sector for EDPRS implementation, 2008: p. 4.</w:t>
      </w:r>
    </w:p>
  </w:footnote>
  <w:footnote w:id="120">
    <w:p w:rsidR="00035D9E" w:rsidRPr="004B70DE" w:rsidRDefault="00035D9E" w:rsidP="0036354A">
      <w:pPr>
        <w:pStyle w:val="FootnoteText"/>
      </w:pPr>
      <w:r w:rsidRPr="004B70DE">
        <w:tab/>
      </w:r>
      <w:r w:rsidRPr="004B70DE">
        <w:rPr>
          <w:rStyle w:val="FootnoteReference"/>
        </w:rPr>
        <w:footnoteRef/>
      </w:r>
      <w:r w:rsidRPr="004B70DE">
        <w:tab/>
        <w:t>NISR: Recensement Général de la Population et de l’Habitat du Rwanda, 2002.</w:t>
      </w:r>
    </w:p>
  </w:footnote>
  <w:footnote w:id="121">
    <w:p w:rsidR="00035D9E" w:rsidRPr="004B70DE" w:rsidRDefault="00035D9E" w:rsidP="0036354A">
      <w:pPr>
        <w:pStyle w:val="FootnoteText"/>
      </w:pPr>
      <w:r w:rsidRPr="004B70DE">
        <w:tab/>
      </w:r>
      <w:r w:rsidRPr="004B70DE">
        <w:rPr>
          <w:rStyle w:val="FootnoteReference"/>
        </w:rPr>
        <w:footnoteRef/>
      </w:r>
      <w:r w:rsidRPr="004B70DE">
        <w:tab/>
        <w:t xml:space="preserve">Minaloc: Strategic plan of habitat and urbanism sub-sector, </w:t>
      </w:r>
      <w:r w:rsidRPr="004B70DE">
        <w:rPr>
          <w:i/>
        </w:rPr>
        <w:t>supra</w:t>
      </w:r>
      <w:r w:rsidRPr="004B70DE">
        <w:t>, p. 4.</w:t>
      </w:r>
    </w:p>
  </w:footnote>
  <w:footnote w:id="122">
    <w:p w:rsidR="00035D9E" w:rsidRPr="004B70DE" w:rsidRDefault="00035D9E" w:rsidP="0036354A">
      <w:pPr>
        <w:pStyle w:val="FootnoteText"/>
      </w:pPr>
      <w:r w:rsidRPr="004B70DE">
        <w:tab/>
      </w:r>
      <w:r w:rsidRPr="004B70DE">
        <w:rPr>
          <w:rStyle w:val="FootnoteReference"/>
        </w:rPr>
        <w:footnoteRef/>
      </w:r>
      <w:r w:rsidRPr="004B70DE">
        <w:tab/>
        <w:t xml:space="preserve">Minaloc: Rapport d’activités, Octobre 2007, données collectées jusqu’au 21/09/2007. </w:t>
      </w:r>
    </w:p>
  </w:footnote>
  <w:footnote w:id="123">
    <w:p w:rsidR="00035D9E" w:rsidRPr="004B70DE" w:rsidRDefault="00035D9E" w:rsidP="0036354A">
      <w:pPr>
        <w:pStyle w:val="FootnoteText"/>
      </w:pPr>
      <w:r w:rsidRPr="004B70DE">
        <w:tab/>
      </w:r>
      <w:r w:rsidRPr="004B70DE">
        <w:rPr>
          <w:rStyle w:val="FootnoteReference"/>
        </w:rPr>
        <w:footnoteRef/>
      </w:r>
      <w:r w:rsidRPr="004B70DE">
        <w:tab/>
        <w:t>Loi du 19/04/2007 portant expropriation pour cause d’utilité publique (voir bibliographie en annexe).</w:t>
      </w:r>
    </w:p>
  </w:footnote>
  <w:footnote w:id="124">
    <w:p w:rsidR="00035D9E" w:rsidRPr="004B70DE" w:rsidRDefault="00035D9E" w:rsidP="0036354A">
      <w:pPr>
        <w:pStyle w:val="FootnoteText"/>
      </w:pPr>
      <w:r w:rsidRPr="004B70DE">
        <w:tab/>
      </w:r>
      <w:r w:rsidRPr="004B70DE">
        <w:rPr>
          <w:rStyle w:val="FootnoteReference"/>
        </w:rPr>
        <w:footnoteRef/>
      </w:r>
      <w:r w:rsidRPr="004B70DE">
        <w:tab/>
        <w:t xml:space="preserve">Loi organique </w:t>
      </w:r>
      <w:r w:rsidRPr="004B70DE">
        <w:rPr>
          <w:rFonts w:eastAsia="MS Mincho"/>
        </w:rPr>
        <w:t>n</w:t>
      </w:r>
      <w:r w:rsidRPr="004B70DE">
        <w:rPr>
          <w:rFonts w:eastAsia="MS Mincho"/>
          <w:vertAlign w:val="superscript"/>
        </w:rPr>
        <w:t>o</w:t>
      </w:r>
      <w:r w:rsidRPr="004B70DE">
        <w:t xml:space="preserve"> 29/2005 du 23/12/2005.</w:t>
      </w:r>
    </w:p>
  </w:footnote>
  <w:footnote w:id="125">
    <w:p w:rsidR="00035D9E" w:rsidRPr="004B70DE" w:rsidRDefault="00035D9E" w:rsidP="0036354A">
      <w:pPr>
        <w:pStyle w:val="FootnoteText"/>
      </w:pPr>
      <w:r w:rsidRPr="004B70DE">
        <w:tab/>
      </w:r>
      <w:r w:rsidRPr="004B70DE">
        <w:rPr>
          <w:rStyle w:val="FootnoteReference"/>
        </w:rPr>
        <w:footnoteRef/>
      </w:r>
      <w:r w:rsidRPr="004B70DE">
        <w:tab/>
        <w:t xml:space="preserve">Loi organique portant régime foncier au Rwanda (art. 3, 5, 9, 11, 19, 54, 56); Loi organique </w:t>
      </w:r>
      <w:r w:rsidRPr="004B70DE">
        <w:rPr>
          <w:rFonts w:eastAsia="MS Mincho"/>
        </w:rPr>
        <w:t>n</w:t>
      </w:r>
      <w:r w:rsidRPr="004B70DE">
        <w:rPr>
          <w:rFonts w:eastAsia="MS Mincho"/>
          <w:vertAlign w:val="superscript"/>
        </w:rPr>
        <w:t>o </w:t>
      </w:r>
      <w:r w:rsidRPr="004B70DE">
        <w:t xml:space="preserve">04/2005 du 08/04/2005 portant modalités de protéger, sauvegarder et promouvoir l’environnement au Rwanda (art. 12, 28); le décret-loi </w:t>
      </w:r>
      <w:r w:rsidRPr="004B70DE">
        <w:rPr>
          <w:rFonts w:eastAsia="MS Mincho"/>
        </w:rPr>
        <w:t>n</w:t>
      </w:r>
      <w:r w:rsidRPr="004B70DE">
        <w:rPr>
          <w:rFonts w:eastAsia="MS Mincho"/>
          <w:vertAlign w:val="superscript"/>
        </w:rPr>
        <w:t>o</w:t>
      </w:r>
      <w:r w:rsidRPr="004B70DE">
        <w:t xml:space="preserve"> 4/81 du 29/1/81 sur l’aménagement urbain et du territoire (art. 7, 12); Loi </w:t>
      </w:r>
      <w:r w:rsidRPr="004B70DE">
        <w:rPr>
          <w:rFonts w:eastAsia="MS Mincho"/>
        </w:rPr>
        <w:t>n</w:t>
      </w:r>
      <w:r w:rsidRPr="004B70DE">
        <w:rPr>
          <w:rFonts w:eastAsia="MS Mincho"/>
          <w:vertAlign w:val="superscript"/>
        </w:rPr>
        <w:t>o</w:t>
      </w:r>
      <w:r w:rsidRPr="004B70DE">
        <w:t xml:space="preserve"> 18/2007 du 19/4/2007 portant expropriation pour cause d’utilité publique (art. 3, 23) et l’article 29 de la Constitution sur l’expropriation.</w:t>
      </w:r>
    </w:p>
  </w:footnote>
  <w:footnote w:id="126">
    <w:p w:rsidR="00035D9E" w:rsidRPr="004B70DE" w:rsidRDefault="00035D9E" w:rsidP="0036354A">
      <w:pPr>
        <w:pStyle w:val="FootnoteText"/>
      </w:pPr>
      <w:r w:rsidRPr="004B70DE">
        <w:tab/>
      </w:r>
      <w:r w:rsidRPr="004B70DE">
        <w:rPr>
          <w:rStyle w:val="FootnoteReference"/>
        </w:rPr>
        <w:footnoteRef/>
      </w:r>
      <w:r w:rsidRPr="004B70DE">
        <w:tab/>
        <w:t>Minecofin, Macro information et le Rapport d’activités du Minaloc pour l’année 2007, p. 26.</w:t>
      </w:r>
    </w:p>
  </w:footnote>
  <w:footnote w:id="127">
    <w:p w:rsidR="00035D9E" w:rsidRPr="004B70DE" w:rsidRDefault="00035D9E" w:rsidP="0036354A">
      <w:pPr>
        <w:pStyle w:val="FootnoteText"/>
      </w:pPr>
      <w:r w:rsidRPr="004B70DE">
        <w:tab/>
      </w:r>
      <w:r w:rsidRPr="004B70DE">
        <w:rPr>
          <w:rStyle w:val="FootnoteReference"/>
        </w:rPr>
        <w:footnoteRef/>
      </w:r>
      <w:r w:rsidRPr="004B70DE">
        <w:tab/>
        <w:t>Mininfra: Politique Nationale de l’habitat au Rwanda, Juillet 2004, p. 30.</w:t>
      </w:r>
    </w:p>
  </w:footnote>
  <w:footnote w:id="128">
    <w:p w:rsidR="00035D9E" w:rsidRPr="004B70DE" w:rsidRDefault="00035D9E" w:rsidP="0036354A">
      <w:pPr>
        <w:pStyle w:val="FootnoteText"/>
      </w:pPr>
      <w:r w:rsidRPr="004B70DE">
        <w:tab/>
      </w:r>
      <w:r w:rsidRPr="004B70DE">
        <w:rPr>
          <w:rStyle w:val="FootnoteReference"/>
        </w:rPr>
        <w:footnoteRef/>
      </w:r>
      <w:r w:rsidRPr="004B70DE">
        <w:tab/>
        <w:t xml:space="preserve">Loi </w:t>
      </w:r>
      <w:r w:rsidRPr="004B70DE">
        <w:rPr>
          <w:rFonts w:eastAsia="MS Mincho"/>
        </w:rPr>
        <w:t>n</w:t>
      </w:r>
      <w:r w:rsidRPr="004B70DE">
        <w:rPr>
          <w:rFonts w:eastAsia="MS Mincho"/>
          <w:vertAlign w:val="superscript"/>
        </w:rPr>
        <w:t>o</w:t>
      </w:r>
      <w:r w:rsidRPr="004B70DE">
        <w:t xml:space="preserve"> 57/2008 du 10/09/2009 portant interdiction de la fabrication, l’importation, l’utilisation et la commercialisation des sachets en plastique au Rwanda (J.O. </w:t>
      </w:r>
      <w:r w:rsidRPr="004B70DE">
        <w:rPr>
          <w:rFonts w:eastAsia="MS Mincho"/>
        </w:rPr>
        <w:t>n</w:t>
      </w:r>
      <w:r w:rsidRPr="004B70DE">
        <w:rPr>
          <w:rFonts w:eastAsia="MS Mincho"/>
          <w:vertAlign w:val="superscript"/>
        </w:rPr>
        <w:t>o</w:t>
      </w:r>
      <w:r w:rsidRPr="004B70DE">
        <w:t xml:space="preserve"> 12 </w:t>
      </w:r>
      <w:r w:rsidRPr="004B70DE">
        <w:rPr>
          <w:i/>
        </w:rPr>
        <w:t>bis</w:t>
      </w:r>
      <w:r w:rsidRPr="004B70DE">
        <w:t xml:space="preserve"> du 23/03/2009).</w:t>
      </w:r>
    </w:p>
  </w:footnote>
  <w:footnote w:id="129">
    <w:p w:rsidR="00035D9E" w:rsidRPr="004B70DE" w:rsidRDefault="00035D9E" w:rsidP="0036354A">
      <w:pPr>
        <w:pStyle w:val="FootnoteText"/>
      </w:pPr>
      <w:r w:rsidRPr="004B70DE">
        <w:tab/>
      </w:r>
      <w:r w:rsidRPr="004B70DE">
        <w:rPr>
          <w:rStyle w:val="FootnoteReference"/>
        </w:rPr>
        <w:footnoteRef/>
      </w:r>
      <w:r w:rsidRPr="004B70DE">
        <w:tab/>
      </w:r>
      <w:r w:rsidRPr="004B70DE">
        <w:rPr>
          <w:i/>
        </w:rPr>
        <w:t>Minagri</w:t>
      </w:r>
      <w:r w:rsidRPr="004B70DE">
        <w:t xml:space="preserve">: Agricultural Sector Performance, First semester, 2008, </w:t>
      </w:r>
      <w:r w:rsidRPr="004B70DE">
        <w:rPr>
          <w:i/>
        </w:rPr>
        <w:t>supra</w:t>
      </w:r>
      <w:r w:rsidRPr="004B70DE">
        <w:t>, note 99.</w:t>
      </w:r>
    </w:p>
  </w:footnote>
  <w:footnote w:id="130">
    <w:p w:rsidR="00035D9E" w:rsidRPr="004B70DE" w:rsidRDefault="00035D9E" w:rsidP="0036354A">
      <w:pPr>
        <w:pStyle w:val="FootnoteText"/>
      </w:pPr>
      <w:r w:rsidRPr="004B70DE">
        <w:tab/>
      </w:r>
      <w:r w:rsidRPr="004B70DE">
        <w:rPr>
          <w:rStyle w:val="FootnoteReference"/>
        </w:rPr>
        <w:footnoteRef/>
      </w:r>
      <w:r w:rsidRPr="004B70DE">
        <w:tab/>
        <w:t>CEPEX: Development Projects Implementation Report, First Semester 2008, July 2008.</w:t>
      </w:r>
    </w:p>
  </w:footnote>
  <w:footnote w:id="131">
    <w:p w:rsidR="00035D9E" w:rsidRPr="002C5B9E"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2C5B9E">
        <w:rPr>
          <w:lang w:val="fr-FR"/>
        </w:rPr>
        <w:t>Minagri: les partenaires du Minagri: http://minagri.gov.rw/article.php3?id_article=19</w:t>
      </w:r>
    </w:p>
  </w:footnote>
  <w:footnote w:id="132">
    <w:p w:rsidR="00035D9E" w:rsidRPr="00364193"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364193">
        <w:rPr>
          <w:lang w:val="fr-FR"/>
        </w:rPr>
        <w:t>UN-Habitat: Activités au Rwanda: http://www.unhabitat.org/list</w:t>
      </w:r>
    </w:p>
  </w:footnote>
  <w:footnote w:id="133">
    <w:p w:rsidR="00035D9E" w:rsidRPr="00590C4B"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590C4B">
        <w:rPr>
          <w:lang w:val="fr-FR"/>
        </w:rPr>
        <w:t>Minisanté: Rapport annuel 2008</w:t>
      </w:r>
      <w:r>
        <w:rPr>
          <w:lang w:val="fr-FR"/>
        </w:rPr>
        <w:t>.</w:t>
      </w:r>
    </w:p>
  </w:footnote>
  <w:footnote w:id="134">
    <w:p w:rsidR="00035D9E" w:rsidRPr="00590C4B"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590C4B">
        <w:rPr>
          <w:lang w:val="fr-FR"/>
        </w:rPr>
        <w:t>Minisanté</w:t>
      </w:r>
      <w:r>
        <w:rPr>
          <w:lang w:val="fr-FR"/>
        </w:rPr>
        <w:t>:</w:t>
      </w:r>
      <w:r w:rsidRPr="00590C4B">
        <w:rPr>
          <w:lang w:val="fr-FR"/>
        </w:rPr>
        <w:t xml:space="preserve"> Rapport annuel 2008</w:t>
      </w:r>
      <w:r>
        <w:rPr>
          <w:lang w:val="fr-FR"/>
        </w:rPr>
        <w:t>.</w:t>
      </w:r>
    </w:p>
  </w:footnote>
  <w:footnote w:id="135">
    <w:p w:rsidR="00035D9E" w:rsidRPr="006F1431" w:rsidRDefault="00035D9E" w:rsidP="001A4057">
      <w:pPr>
        <w:pStyle w:val="FootnoteText"/>
        <w:rPr>
          <w:lang w:val="en-US"/>
        </w:rPr>
      </w:pPr>
      <w:r w:rsidRPr="00D931E8">
        <w:rPr>
          <w:lang w:val="fr-FR"/>
        </w:rPr>
        <w:tab/>
      </w:r>
      <w:r w:rsidRPr="00D931E8">
        <w:rPr>
          <w:rStyle w:val="FootnoteReference"/>
        </w:rPr>
        <w:footnoteRef/>
      </w:r>
      <w:r w:rsidRPr="006F1431">
        <w:rPr>
          <w:lang w:val="en-US"/>
        </w:rPr>
        <w:tab/>
        <w:t>Minisanté: Rapport annuel 2007, p. 12-13.</w:t>
      </w:r>
    </w:p>
  </w:footnote>
  <w:footnote w:id="136">
    <w:p w:rsidR="00035D9E" w:rsidRPr="006F1431" w:rsidRDefault="00035D9E" w:rsidP="001A4057">
      <w:pPr>
        <w:pStyle w:val="FootnoteText"/>
        <w:rPr>
          <w:lang w:val="en-US"/>
        </w:rPr>
      </w:pPr>
      <w:r w:rsidRPr="006F1431">
        <w:rPr>
          <w:lang w:val="en-US"/>
        </w:rPr>
        <w:tab/>
      </w:r>
      <w:r w:rsidRPr="00D931E8">
        <w:rPr>
          <w:rStyle w:val="FootnoteReference"/>
        </w:rPr>
        <w:footnoteRef/>
      </w:r>
      <w:r w:rsidRPr="006F1431">
        <w:rPr>
          <w:lang w:val="en-US"/>
        </w:rPr>
        <w:tab/>
        <w:t>Minecofin: Annex II-1: Expenditure by sector and sub-sector-2009-2012.</w:t>
      </w:r>
    </w:p>
  </w:footnote>
  <w:footnote w:id="137">
    <w:p w:rsidR="00035D9E" w:rsidRPr="006F1431" w:rsidRDefault="00035D9E" w:rsidP="001A4057">
      <w:pPr>
        <w:pStyle w:val="FootnoteText"/>
        <w:rPr>
          <w:lang w:val="en-US"/>
        </w:rPr>
      </w:pPr>
      <w:r w:rsidRPr="006F1431">
        <w:rPr>
          <w:lang w:val="en-US"/>
        </w:rPr>
        <w:tab/>
      </w:r>
      <w:r w:rsidRPr="00D931E8">
        <w:rPr>
          <w:rStyle w:val="FootnoteReference"/>
        </w:rPr>
        <w:footnoteRef/>
      </w:r>
      <w:r w:rsidRPr="006F1431">
        <w:rPr>
          <w:lang w:val="en-US"/>
        </w:rPr>
        <w:tab/>
        <w:t>Minecofin: Budget by sector-Fiscal year 2007.</w:t>
      </w:r>
    </w:p>
  </w:footnote>
  <w:footnote w:id="138">
    <w:p w:rsidR="00035D9E" w:rsidRPr="006F1431" w:rsidRDefault="00035D9E" w:rsidP="001A4057">
      <w:pPr>
        <w:pStyle w:val="FootnoteText"/>
        <w:rPr>
          <w:lang w:val="en-US"/>
        </w:rPr>
      </w:pPr>
      <w:r w:rsidRPr="006F1431">
        <w:rPr>
          <w:lang w:val="en-US"/>
        </w:rPr>
        <w:tab/>
      </w:r>
      <w:r w:rsidRPr="00D931E8">
        <w:rPr>
          <w:rStyle w:val="FootnoteReference"/>
        </w:rPr>
        <w:footnoteRef/>
      </w:r>
      <w:r w:rsidRPr="006F1431">
        <w:rPr>
          <w:lang w:val="en-US"/>
        </w:rPr>
        <w:tab/>
        <w:t>Minecofin: Revised Budget by sector-Fiscal year 2006.</w:t>
      </w:r>
    </w:p>
  </w:footnote>
  <w:footnote w:id="139">
    <w:p w:rsidR="00035D9E" w:rsidRPr="00DA372F" w:rsidRDefault="00035D9E" w:rsidP="001A4057">
      <w:pPr>
        <w:pStyle w:val="FootnoteText"/>
        <w:rPr>
          <w:lang w:val="fr-FR"/>
        </w:rPr>
      </w:pPr>
      <w:r w:rsidRPr="006F1431">
        <w:rPr>
          <w:lang w:val="en-US"/>
        </w:rPr>
        <w:tab/>
      </w:r>
      <w:r w:rsidRPr="00D931E8">
        <w:rPr>
          <w:rStyle w:val="FootnoteReference"/>
        </w:rPr>
        <w:footnoteRef/>
      </w:r>
      <w:r w:rsidRPr="00D931E8">
        <w:rPr>
          <w:lang w:val="fr-FR"/>
        </w:rPr>
        <w:tab/>
      </w:r>
      <w:r>
        <w:rPr>
          <w:lang w:val="fr-FR"/>
        </w:rPr>
        <w:t>Minisanté:</w:t>
      </w:r>
      <w:r w:rsidRPr="00DA372F">
        <w:rPr>
          <w:lang w:val="fr-FR"/>
        </w:rPr>
        <w:t xml:space="preserve"> </w:t>
      </w:r>
      <w:r w:rsidRPr="007752CA">
        <w:rPr>
          <w:i/>
          <w:lang w:val="fr-FR"/>
        </w:rPr>
        <w:t>Rapport 2007</w:t>
      </w:r>
      <w:r w:rsidRPr="00DA372F">
        <w:rPr>
          <w:lang w:val="fr-FR"/>
        </w:rPr>
        <w:t xml:space="preserve">, </w:t>
      </w:r>
      <w:r w:rsidRPr="00DA372F">
        <w:rPr>
          <w:i/>
          <w:lang w:val="fr-FR"/>
        </w:rPr>
        <w:t>supra</w:t>
      </w:r>
      <w:r>
        <w:rPr>
          <w:lang w:val="fr-FR"/>
        </w:rPr>
        <w:t>,</w:t>
      </w:r>
      <w:r w:rsidRPr="00DA372F">
        <w:rPr>
          <w:lang w:val="fr-FR"/>
        </w:rPr>
        <w:t xml:space="preserve"> p. 40</w:t>
      </w:r>
      <w:r>
        <w:rPr>
          <w:lang w:val="fr-FR"/>
        </w:rPr>
        <w:t>.</w:t>
      </w:r>
    </w:p>
  </w:footnote>
  <w:footnote w:id="140">
    <w:p w:rsidR="00035D9E" w:rsidRPr="00DA372F"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Pr>
          <w:lang w:val="fr-FR"/>
        </w:rPr>
        <w:t xml:space="preserve">Minisanté: </w:t>
      </w:r>
      <w:r w:rsidRPr="007752CA">
        <w:rPr>
          <w:i/>
          <w:lang w:val="fr-FR"/>
        </w:rPr>
        <w:t>Rapport 2006</w:t>
      </w:r>
      <w:r w:rsidRPr="00DA372F">
        <w:rPr>
          <w:lang w:val="fr-FR"/>
        </w:rPr>
        <w:t xml:space="preserve">, </w:t>
      </w:r>
      <w:r w:rsidRPr="00DA372F">
        <w:rPr>
          <w:i/>
          <w:lang w:val="fr-FR"/>
        </w:rPr>
        <w:t>supra</w:t>
      </w:r>
      <w:r>
        <w:rPr>
          <w:lang w:val="fr-FR"/>
        </w:rPr>
        <w:t>,</w:t>
      </w:r>
      <w:r w:rsidRPr="00DA372F">
        <w:rPr>
          <w:lang w:val="fr-FR"/>
        </w:rPr>
        <w:t xml:space="preserve"> </w:t>
      </w:r>
      <w:r>
        <w:rPr>
          <w:lang w:val="fr-FR"/>
        </w:rPr>
        <w:t xml:space="preserve">p. </w:t>
      </w:r>
      <w:r w:rsidRPr="00DA372F">
        <w:rPr>
          <w:lang w:val="fr-FR"/>
        </w:rPr>
        <w:t>105</w:t>
      </w:r>
      <w:r>
        <w:rPr>
          <w:lang w:val="fr-FR"/>
        </w:rPr>
        <w:t>:</w:t>
      </w:r>
      <w:r w:rsidRPr="00DA372F">
        <w:rPr>
          <w:lang w:val="fr-FR"/>
        </w:rPr>
        <w:t xml:space="preserve"> 100</w:t>
      </w:r>
      <w:r>
        <w:rPr>
          <w:lang w:val="fr-FR"/>
        </w:rPr>
        <w:t xml:space="preserve"> %</w:t>
      </w:r>
      <w:r w:rsidRPr="00DA372F">
        <w:rPr>
          <w:lang w:val="fr-FR"/>
        </w:rPr>
        <w:t xml:space="preserve"> des enfants de moins de cinq ans ont </w:t>
      </w:r>
      <w:r>
        <w:rPr>
          <w:lang w:val="fr-FR"/>
        </w:rPr>
        <w:t>bénéficié d</w:t>
      </w:r>
      <w:r w:rsidRPr="00DA372F">
        <w:rPr>
          <w:lang w:val="fr-FR"/>
        </w:rPr>
        <w:t>es suppléments de vitamine A, et 87</w:t>
      </w:r>
      <w:r>
        <w:rPr>
          <w:lang w:val="fr-FR"/>
        </w:rPr>
        <w:t xml:space="preserve"> %</w:t>
      </w:r>
      <w:r w:rsidRPr="00DA372F">
        <w:rPr>
          <w:lang w:val="fr-FR"/>
        </w:rPr>
        <w:t xml:space="preserve"> des femmes en post partum</w:t>
      </w:r>
      <w:r>
        <w:rPr>
          <w:lang w:val="fr-FR"/>
        </w:rPr>
        <w:t>;</w:t>
      </w:r>
      <w:r w:rsidRPr="00DA372F">
        <w:rPr>
          <w:lang w:val="fr-FR"/>
        </w:rPr>
        <w:t xml:space="preserve"> 100</w:t>
      </w:r>
      <w:r>
        <w:rPr>
          <w:lang w:val="fr-FR"/>
        </w:rPr>
        <w:t xml:space="preserve"> %</w:t>
      </w:r>
      <w:r w:rsidRPr="00DA372F">
        <w:rPr>
          <w:lang w:val="fr-FR"/>
        </w:rPr>
        <w:t xml:space="preserve"> d</w:t>
      </w:r>
      <w:r>
        <w:rPr>
          <w:lang w:val="fr-FR"/>
        </w:rPr>
        <w:t>’</w:t>
      </w:r>
      <w:r w:rsidRPr="00DA372F">
        <w:rPr>
          <w:lang w:val="fr-FR"/>
        </w:rPr>
        <w:t>enfants déparasités e</w:t>
      </w:r>
      <w:r>
        <w:rPr>
          <w:lang w:val="fr-FR"/>
        </w:rPr>
        <w:t>t 95 % des femmes en post partum.</w:t>
      </w:r>
    </w:p>
  </w:footnote>
  <w:footnote w:id="141">
    <w:p w:rsidR="00035D9E" w:rsidRPr="00DF0E09"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Pr>
          <w:lang w:val="fr-FR"/>
        </w:rPr>
        <w:t>Minisanté:</w:t>
      </w:r>
      <w:r w:rsidRPr="00DF0E09">
        <w:rPr>
          <w:lang w:val="fr-FR"/>
        </w:rPr>
        <w:t xml:space="preserve"> </w:t>
      </w:r>
      <w:r w:rsidRPr="007752CA">
        <w:rPr>
          <w:i/>
          <w:lang w:val="fr-FR"/>
        </w:rPr>
        <w:t>Rapport 2007</w:t>
      </w:r>
      <w:r w:rsidRPr="00DF0E09">
        <w:rPr>
          <w:lang w:val="fr-FR"/>
        </w:rPr>
        <w:t xml:space="preserve">, </w:t>
      </w:r>
      <w:r w:rsidRPr="00DF0E09">
        <w:rPr>
          <w:i/>
          <w:lang w:val="fr-FR"/>
        </w:rPr>
        <w:t>supra</w:t>
      </w:r>
      <w:r>
        <w:rPr>
          <w:lang w:val="fr-FR"/>
        </w:rPr>
        <w:t>,</w:t>
      </w:r>
      <w:r w:rsidRPr="00DF0E09">
        <w:rPr>
          <w:lang w:val="fr-FR"/>
        </w:rPr>
        <w:t xml:space="preserve"> </w:t>
      </w:r>
      <w:r>
        <w:rPr>
          <w:lang w:val="fr-FR"/>
        </w:rPr>
        <w:t xml:space="preserve">p. </w:t>
      </w:r>
      <w:r w:rsidRPr="00DF0E09">
        <w:rPr>
          <w:lang w:val="fr-FR"/>
        </w:rPr>
        <w:t>86-87</w:t>
      </w:r>
      <w:r>
        <w:rPr>
          <w:lang w:val="fr-FR"/>
        </w:rPr>
        <w:t>.</w:t>
      </w:r>
    </w:p>
  </w:footnote>
  <w:footnote w:id="142">
    <w:p w:rsidR="00035D9E" w:rsidRPr="00DF0E09"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7752CA">
        <w:rPr>
          <w:i/>
          <w:lang w:val="fr-FR"/>
        </w:rPr>
        <w:t>Mifotra</w:t>
      </w:r>
      <w:r w:rsidRPr="00DF0E09">
        <w:rPr>
          <w:lang w:val="fr-FR"/>
        </w:rPr>
        <w:t>: Bureau de l</w:t>
      </w:r>
      <w:r>
        <w:rPr>
          <w:lang w:val="fr-FR"/>
        </w:rPr>
        <w:t>’</w:t>
      </w:r>
      <w:r w:rsidRPr="00DF0E09">
        <w:rPr>
          <w:lang w:val="fr-FR"/>
        </w:rPr>
        <w:t>Inspection du travail</w:t>
      </w:r>
      <w:r>
        <w:rPr>
          <w:lang w:val="fr-FR"/>
        </w:rPr>
        <w:t>.</w:t>
      </w:r>
    </w:p>
  </w:footnote>
  <w:footnote w:id="143">
    <w:p w:rsidR="00035D9E" w:rsidRPr="00F331D0"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F331D0">
        <w:rPr>
          <w:lang w:val="fr-FR"/>
        </w:rPr>
        <w:t>MInisanté</w:t>
      </w:r>
      <w:r>
        <w:rPr>
          <w:lang w:val="fr-FR"/>
        </w:rPr>
        <w:t>:</w:t>
      </w:r>
      <w:r w:rsidRPr="00F331D0">
        <w:rPr>
          <w:lang w:val="fr-FR"/>
        </w:rPr>
        <w:t xml:space="preserve"> Rapport 2008</w:t>
      </w:r>
      <w:r>
        <w:rPr>
          <w:lang w:val="fr-FR"/>
        </w:rPr>
        <w:t>.</w:t>
      </w:r>
    </w:p>
  </w:footnote>
  <w:footnote w:id="144">
    <w:p w:rsidR="00035D9E" w:rsidRPr="009A4B87"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Pr>
          <w:lang w:val="fr-FR"/>
        </w:rPr>
        <w:t xml:space="preserve">Loi </w:t>
      </w:r>
      <w:r w:rsidRPr="007752CA">
        <w:rPr>
          <w:rFonts w:eastAsia="MS Mincho"/>
          <w:lang w:val="fr-FR"/>
        </w:rPr>
        <w:t>n</w:t>
      </w:r>
      <w:r w:rsidRPr="007752CA">
        <w:rPr>
          <w:rFonts w:eastAsia="MS Mincho"/>
          <w:vertAlign w:val="superscript"/>
          <w:lang w:val="fr-FR"/>
        </w:rPr>
        <w:t>o</w:t>
      </w:r>
      <w:r>
        <w:rPr>
          <w:lang w:val="fr-FR"/>
        </w:rPr>
        <w:t xml:space="preserve"> </w:t>
      </w:r>
      <w:r w:rsidRPr="009A4B87">
        <w:rPr>
          <w:lang w:val="fr-FR"/>
        </w:rPr>
        <w:t>29/</w:t>
      </w:r>
      <w:r w:rsidRPr="00CC32EB">
        <w:rPr>
          <w:lang w:val="fr-FR"/>
        </w:rPr>
        <w:t>2003 du 30/8/2003 portant</w:t>
      </w:r>
      <w:r>
        <w:rPr>
          <w:lang w:val="fr-FR"/>
        </w:rPr>
        <w:t xml:space="preserve"> organisation et fonctionnement de l’éducation préscolaire et de l’enseignement primaire et secondaire.</w:t>
      </w:r>
    </w:p>
  </w:footnote>
  <w:footnote w:id="145">
    <w:p w:rsidR="00035D9E" w:rsidRPr="00D93CA8"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446446">
        <w:rPr>
          <w:lang w:val="fr-FR"/>
        </w:rPr>
        <w:t>Données pour l</w:t>
      </w:r>
      <w:r>
        <w:rPr>
          <w:lang w:val="fr-FR"/>
        </w:rPr>
        <w:t>’</w:t>
      </w:r>
      <w:r w:rsidRPr="00446446">
        <w:rPr>
          <w:lang w:val="fr-FR"/>
        </w:rPr>
        <w:t>année 2008</w:t>
      </w:r>
      <w:r>
        <w:rPr>
          <w:lang w:val="fr-FR"/>
        </w:rPr>
        <w:t>: D</w:t>
      </w:r>
      <w:r w:rsidRPr="00446446">
        <w:rPr>
          <w:lang w:val="fr-FR"/>
        </w:rPr>
        <w:t>epuis l</w:t>
      </w:r>
      <w:r>
        <w:rPr>
          <w:lang w:val="fr-FR"/>
        </w:rPr>
        <w:t>’</w:t>
      </w:r>
      <w:r w:rsidRPr="00446446">
        <w:rPr>
          <w:lang w:val="fr-FR"/>
        </w:rPr>
        <w:t>année scolaire 2009, l</w:t>
      </w:r>
      <w:r>
        <w:rPr>
          <w:lang w:val="fr-FR"/>
        </w:rPr>
        <w:t>’</w:t>
      </w:r>
      <w:r w:rsidRPr="00446446">
        <w:rPr>
          <w:lang w:val="fr-FR"/>
        </w:rPr>
        <w:t>examen de passage au niveau s</w:t>
      </w:r>
      <w:r>
        <w:rPr>
          <w:lang w:val="fr-FR"/>
        </w:rPr>
        <w:t xml:space="preserve">econdaire </w:t>
      </w:r>
      <w:r w:rsidRPr="00446446">
        <w:rPr>
          <w:lang w:val="fr-FR"/>
        </w:rPr>
        <w:t>se</w:t>
      </w:r>
      <w:r>
        <w:rPr>
          <w:lang w:val="fr-FR"/>
        </w:rPr>
        <w:t xml:space="preserve"> </w:t>
      </w:r>
      <w:r w:rsidRPr="00446446">
        <w:rPr>
          <w:lang w:val="fr-FR"/>
        </w:rPr>
        <w:t>f</w:t>
      </w:r>
      <w:r>
        <w:rPr>
          <w:lang w:val="fr-FR"/>
        </w:rPr>
        <w:t>ait à la fin du tronc commun.</w:t>
      </w:r>
    </w:p>
  </w:footnote>
  <w:footnote w:id="146">
    <w:p w:rsidR="00035D9E" w:rsidRPr="006F1431" w:rsidRDefault="00035D9E" w:rsidP="001A4057">
      <w:pPr>
        <w:pStyle w:val="FootnoteText"/>
        <w:rPr>
          <w:lang w:val="en-US"/>
        </w:rPr>
      </w:pPr>
      <w:r w:rsidRPr="00D931E8">
        <w:rPr>
          <w:lang w:val="fr-FR"/>
        </w:rPr>
        <w:tab/>
      </w:r>
      <w:r w:rsidRPr="00D931E8">
        <w:rPr>
          <w:rStyle w:val="FootnoteReference"/>
        </w:rPr>
        <w:footnoteRef/>
      </w:r>
      <w:r w:rsidRPr="006F1431">
        <w:rPr>
          <w:lang w:val="en-US"/>
        </w:rPr>
        <w:tab/>
        <w:t>Mineduc: Rwanda: Study of literacy needs and programs for youth and adults, Background Paper prepared for the Education for all global monitoring report 2006, P. 10.</w:t>
      </w:r>
    </w:p>
  </w:footnote>
  <w:footnote w:id="147">
    <w:p w:rsidR="00035D9E" w:rsidRPr="00525D59" w:rsidRDefault="00035D9E" w:rsidP="001A4057">
      <w:pPr>
        <w:pStyle w:val="FootnoteText"/>
      </w:pPr>
      <w:r w:rsidRPr="006F1431">
        <w:rPr>
          <w:lang w:val="en-US"/>
        </w:rPr>
        <w:tab/>
      </w:r>
      <w:r w:rsidRPr="00D931E8">
        <w:rPr>
          <w:rStyle w:val="FootnoteReference"/>
        </w:rPr>
        <w:footnoteRef/>
      </w:r>
      <w:r w:rsidRPr="00D931E8">
        <w:rPr>
          <w:lang w:val="fr-FR"/>
        </w:rPr>
        <w:tab/>
      </w:r>
      <w:r w:rsidRPr="00525D59">
        <w:t>Mini EICV-2, 2008</w:t>
      </w:r>
      <w:r>
        <w:t>.</w:t>
      </w:r>
    </w:p>
  </w:footnote>
  <w:footnote w:id="148">
    <w:p w:rsidR="00035D9E" w:rsidRPr="00525D59" w:rsidRDefault="00035D9E" w:rsidP="001A4057">
      <w:pPr>
        <w:pStyle w:val="FootnoteText"/>
      </w:pPr>
      <w:r w:rsidRPr="00D931E8">
        <w:rPr>
          <w:lang w:val="fr-FR"/>
        </w:rPr>
        <w:tab/>
      </w:r>
      <w:r w:rsidRPr="00D931E8">
        <w:rPr>
          <w:rStyle w:val="FootnoteReference"/>
        </w:rPr>
        <w:footnoteRef/>
      </w:r>
      <w:r w:rsidRPr="00D931E8">
        <w:rPr>
          <w:lang w:val="fr-FR"/>
        </w:rPr>
        <w:tab/>
      </w:r>
      <w:r w:rsidRPr="007752CA">
        <w:rPr>
          <w:i/>
        </w:rPr>
        <w:t>Mineduc</w:t>
      </w:r>
      <w:r>
        <w:t>:</w:t>
      </w:r>
      <w:r w:rsidRPr="00525D59">
        <w:t xml:space="preserve"> 2008</w:t>
      </w:r>
      <w:r>
        <w:t>.</w:t>
      </w:r>
    </w:p>
  </w:footnote>
  <w:footnote w:id="149">
    <w:p w:rsidR="00035D9E" w:rsidRPr="00525D59" w:rsidRDefault="00035D9E" w:rsidP="001A4057">
      <w:pPr>
        <w:pStyle w:val="FootnoteText"/>
      </w:pPr>
      <w:r w:rsidRPr="00D931E8">
        <w:rPr>
          <w:lang w:val="fr-FR"/>
        </w:rPr>
        <w:tab/>
      </w:r>
      <w:r w:rsidRPr="00D931E8">
        <w:rPr>
          <w:rStyle w:val="FootnoteReference"/>
        </w:rPr>
        <w:footnoteRef/>
      </w:r>
      <w:r w:rsidRPr="00D931E8">
        <w:rPr>
          <w:lang w:val="fr-FR"/>
        </w:rPr>
        <w:tab/>
      </w:r>
      <w:r w:rsidRPr="00525D59">
        <w:t>Minecofin</w:t>
      </w:r>
      <w:r>
        <w:t>: Budgets par secteur.</w:t>
      </w:r>
    </w:p>
  </w:footnote>
  <w:footnote w:id="150">
    <w:p w:rsidR="00035D9E" w:rsidRPr="006F1431" w:rsidRDefault="00035D9E" w:rsidP="001A4057">
      <w:pPr>
        <w:pStyle w:val="FootnoteText"/>
        <w:rPr>
          <w:lang w:val="en-US"/>
        </w:rPr>
      </w:pPr>
      <w:r w:rsidRPr="00D931E8">
        <w:rPr>
          <w:lang w:val="fr-FR"/>
        </w:rPr>
        <w:tab/>
      </w:r>
      <w:r w:rsidRPr="00D931E8">
        <w:rPr>
          <w:rStyle w:val="FootnoteReference"/>
        </w:rPr>
        <w:footnoteRef/>
      </w:r>
      <w:r w:rsidRPr="006F1431">
        <w:rPr>
          <w:lang w:val="en-US"/>
        </w:rPr>
        <w:tab/>
      </w:r>
      <w:r w:rsidRPr="006F1431">
        <w:rPr>
          <w:i/>
          <w:lang w:val="en-US"/>
        </w:rPr>
        <w:t>Mineduc</w:t>
      </w:r>
      <w:r w:rsidRPr="006F1431">
        <w:rPr>
          <w:lang w:val="en-US"/>
        </w:rPr>
        <w:t>: Summary of achievements by Mineduc in 2007.</w:t>
      </w:r>
    </w:p>
  </w:footnote>
  <w:footnote w:id="151">
    <w:p w:rsidR="00035D9E" w:rsidRPr="00F849EE" w:rsidRDefault="00035D9E" w:rsidP="001A4057">
      <w:pPr>
        <w:pStyle w:val="FootnoteText"/>
        <w:rPr>
          <w:lang w:val="fr-FR"/>
        </w:rPr>
      </w:pPr>
      <w:r w:rsidRPr="006F1431">
        <w:rPr>
          <w:lang w:val="en-US"/>
        </w:rPr>
        <w:tab/>
      </w:r>
      <w:r w:rsidRPr="00D931E8">
        <w:rPr>
          <w:rStyle w:val="FootnoteReference"/>
        </w:rPr>
        <w:footnoteRef/>
      </w:r>
      <w:r w:rsidRPr="00D931E8">
        <w:rPr>
          <w:lang w:val="fr-FR"/>
        </w:rPr>
        <w:tab/>
      </w:r>
      <w:r>
        <w:rPr>
          <w:lang w:val="fr-FR"/>
        </w:rPr>
        <w:t xml:space="preserve">La loi </w:t>
      </w:r>
      <w:r w:rsidRPr="007752CA">
        <w:rPr>
          <w:rFonts w:eastAsia="MS Mincho"/>
          <w:lang w:val="fr-FR"/>
        </w:rPr>
        <w:t>n</w:t>
      </w:r>
      <w:r w:rsidRPr="007752CA">
        <w:rPr>
          <w:rFonts w:eastAsia="MS Mincho"/>
          <w:vertAlign w:val="superscript"/>
          <w:lang w:val="fr-FR"/>
        </w:rPr>
        <w:t>o</w:t>
      </w:r>
      <w:r>
        <w:rPr>
          <w:lang w:val="fr-FR"/>
        </w:rPr>
        <w:t xml:space="preserve"> </w:t>
      </w:r>
      <w:r w:rsidRPr="00F849EE">
        <w:rPr>
          <w:lang w:val="fr-FR"/>
        </w:rPr>
        <w:t>20/2003 portant organisation de l</w:t>
      </w:r>
      <w:r>
        <w:rPr>
          <w:lang w:val="fr-FR"/>
        </w:rPr>
        <w:t>’</w:t>
      </w:r>
      <w:r w:rsidRPr="00F849EE">
        <w:rPr>
          <w:lang w:val="fr-FR"/>
        </w:rPr>
        <w:t>éducation</w:t>
      </w:r>
      <w:r>
        <w:rPr>
          <w:lang w:val="fr-FR"/>
        </w:rPr>
        <w:t>.</w:t>
      </w:r>
    </w:p>
  </w:footnote>
  <w:footnote w:id="152">
    <w:p w:rsidR="00035D9E" w:rsidRPr="006F1431" w:rsidRDefault="00035D9E" w:rsidP="001A4057">
      <w:pPr>
        <w:pStyle w:val="FootnoteText"/>
        <w:rPr>
          <w:lang w:val="en-US"/>
        </w:rPr>
      </w:pPr>
      <w:r w:rsidRPr="00D931E8">
        <w:rPr>
          <w:lang w:val="fr-FR"/>
        </w:rPr>
        <w:tab/>
      </w:r>
      <w:r w:rsidRPr="00D931E8">
        <w:rPr>
          <w:rStyle w:val="FootnoteReference"/>
        </w:rPr>
        <w:footnoteRef/>
      </w:r>
      <w:r w:rsidRPr="006F1431">
        <w:rPr>
          <w:lang w:val="en-US"/>
        </w:rPr>
        <w:tab/>
        <w:t>Mineduc: Summary of achievements, 2006-2007.</w:t>
      </w:r>
    </w:p>
  </w:footnote>
  <w:footnote w:id="153">
    <w:p w:rsidR="00035D9E" w:rsidRPr="006F1431" w:rsidRDefault="00035D9E" w:rsidP="001A4057">
      <w:pPr>
        <w:pStyle w:val="FootnoteText"/>
        <w:rPr>
          <w:lang w:val="en-US"/>
        </w:rPr>
      </w:pPr>
      <w:r w:rsidRPr="006F1431">
        <w:rPr>
          <w:lang w:val="en-US"/>
        </w:rPr>
        <w:tab/>
      </w:r>
      <w:r w:rsidRPr="00D931E8">
        <w:rPr>
          <w:rStyle w:val="FootnoteReference"/>
        </w:rPr>
        <w:footnoteRef/>
      </w:r>
      <w:r w:rsidRPr="006F1431">
        <w:rPr>
          <w:lang w:val="en-US"/>
        </w:rPr>
        <w:tab/>
        <w:t xml:space="preserve">Loi </w:t>
      </w:r>
      <w:r w:rsidRPr="006F1431">
        <w:rPr>
          <w:rFonts w:eastAsia="MS Mincho"/>
          <w:lang w:val="en-US"/>
        </w:rPr>
        <w:t>n</w:t>
      </w:r>
      <w:r w:rsidRPr="006F1431">
        <w:rPr>
          <w:rFonts w:eastAsia="MS Mincho"/>
          <w:vertAlign w:val="superscript"/>
          <w:lang w:val="en-US"/>
        </w:rPr>
        <w:t>o</w:t>
      </w:r>
      <w:r w:rsidRPr="006F1431">
        <w:rPr>
          <w:lang w:val="en-US"/>
        </w:rPr>
        <w:t xml:space="preserve"> 29/2003, </w:t>
      </w:r>
      <w:r w:rsidRPr="006F1431">
        <w:rPr>
          <w:i/>
          <w:lang w:val="en-US"/>
        </w:rPr>
        <w:t>supra</w:t>
      </w:r>
      <w:r w:rsidRPr="006F1431">
        <w:rPr>
          <w:lang w:val="en-US"/>
        </w:rPr>
        <w:t>, art. 3(2).</w:t>
      </w:r>
    </w:p>
  </w:footnote>
  <w:footnote w:id="154">
    <w:p w:rsidR="00035D9E" w:rsidRPr="00DE31EF" w:rsidRDefault="00035D9E" w:rsidP="001A4057">
      <w:pPr>
        <w:pStyle w:val="FootnoteText"/>
        <w:rPr>
          <w:lang w:val="fr-FR"/>
        </w:rPr>
      </w:pPr>
      <w:r w:rsidRPr="006F1431">
        <w:rPr>
          <w:lang w:val="en-US"/>
        </w:rPr>
        <w:tab/>
      </w:r>
      <w:r w:rsidRPr="00D931E8">
        <w:rPr>
          <w:rStyle w:val="FootnoteReference"/>
        </w:rPr>
        <w:footnoteRef/>
      </w:r>
      <w:r>
        <w:rPr>
          <w:lang w:val="fr-FR"/>
        </w:rPr>
        <w:tab/>
      </w:r>
      <w:r w:rsidRPr="00DE31EF">
        <w:rPr>
          <w:lang w:val="fr-FR"/>
        </w:rPr>
        <w:t>La Commission Nationale des Droits de la Personne, Rapport 2006, p.</w:t>
      </w:r>
      <w:r>
        <w:rPr>
          <w:lang w:val="fr-FR"/>
        </w:rPr>
        <w:t xml:space="preserve"> </w:t>
      </w:r>
      <w:r w:rsidRPr="00DE31EF">
        <w:rPr>
          <w:lang w:val="fr-FR"/>
        </w:rPr>
        <w:t>25</w:t>
      </w:r>
      <w:r>
        <w:rPr>
          <w:lang w:val="fr-FR"/>
        </w:rPr>
        <w:t>.</w:t>
      </w:r>
    </w:p>
  </w:footnote>
  <w:footnote w:id="155">
    <w:p w:rsidR="00035D9E" w:rsidRPr="00DE31EF"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DE31EF">
        <w:rPr>
          <w:lang w:val="fr-FR"/>
        </w:rPr>
        <w:t>FARG: Juillet, 2008</w:t>
      </w:r>
      <w:r>
        <w:rPr>
          <w:lang w:val="fr-FR"/>
        </w:rPr>
        <w:t>.</w:t>
      </w:r>
    </w:p>
  </w:footnote>
  <w:footnote w:id="156">
    <w:p w:rsidR="00035D9E" w:rsidRPr="008F4002" w:rsidRDefault="00035D9E" w:rsidP="001A4057">
      <w:pPr>
        <w:pStyle w:val="FootnoteText"/>
      </w:pPr>
      <w:r w:rsidRPr="00D931E8">
        <w:rPr>
          <w:lang w:val="fr-FR"/>
        </w:rPr>
        <w:tab/>
      </w:r>
      <w:r w:rsidRPr="00D931E8">
        <w:rPr>
          <w:rStyle w:val="FootnoteReference"/>
        </w:rPr>
        <w:footnoteRef/>
      </w:r>
      <w:r w:rsidRPr="00D931E8">
        <w:rPr>
          <w:lang w:val="fr-FR"/>
        </w:rPr>
        <w:tab/>
      </w:r>
      <w:r w:rsidRPr="008F4002">
        <w:t>NISR: RGPH, 2002</w:t>
      </w:r>
      <w:r>
        <w:t>.</w:t>
      </w:r>
    </w:p>
  </w:footnote>
  <w:footnote w:id="157">
    <w:p w:rsidR="00035D9E" w:rsidRPr="00DD3AFE" w:rsidRDefault="00035D9E" w:rsidP="001A4057">
      <w:pPr>
        <w:pStyle w:val="FootnoteText"/>
        <w:rPr>
          <w:b/>
          <w:lang w:val="fr-FR"/>
        </w:rPr>
      </w:pPr>
      <w:r w:rsidRPr="00D931E8">
        <w:rPr>
          <w:lang w:val="fr-FR"/>
        </w:rPr>
        <w:tab/>
      </w:r>
      <w:r w:rsidRPr="00D931E8">
        <w:rPr>
          <w:rStyle w:val="FootnoteReference"/>
        </w:rPr>
        <w:footnoteRef/>
      </w:r>
      <w:r w:rsidRPr="00D931E8">
        <w:rPr>
          <w:lang w:val="fr-FR"/>
        </w:rPr>
        <w:tab/>
      </w:r>
      <w:r>
        <w:rPr>
          <w:lang w:val="fr-FR"/>
        </w:rPr>
        <w:t xml:space="preserve">Loi </w:t>
      </w:r>
      <w:r w:rsidRPr="004C549D">
        <w:rPr>
          <w:rFonts w:eastAsia="MS Mincho"/>
          <w:lang w:val="fr-FR"/>
        </w:rPr>
        <w:t>n</w:t>
      </w:r>
      <w:r w:rsidRPr="004C549D">
        <w:rPr>
          <w:rFonts w:eastAsia="MS Mincho"/>
          <w:vertAlign w:val="superscript"/>
          <w:lang w:val="fr-FR"/>
        </w:rPr>
        <w:t>o</w:t>
      </w:r>
      <w:r>
        <w:rPr>
          <w:lang w:val="fr-FR"/>
        </w:rPr>
        <w:t xml:space="preserve"> </w:t>
      </w:r>
      <w:r w:rsidRPr="00DD3AFE">
        <w:rPr>
          <w:lang w:val="fr-FR"/>
        </w:rPr>
        <w:t xml:space="preserve">29/2003, </w:t>
      </w:r>
      <w:r w:rsidRPr="00DD3AFE">
        <w:rPr>
          <w:i/>
          <w:lang w:val="fr-FR"/>
        </w:rPr>
        <w:t>supra</w:t>
      </w:r>
      <w:r>
        <w:rPr>
          <w:lang w:val="fr-FR"/>
        </w:rPr>
        <w:t>,</w:t>
      </w:r>
      <w:r w:rsidRPr="00DD3AFE">
        <w:rPr>
          <w:lang w:val="fr-FR"/>
        </w:rPr>
        <w:t xml:space="preserve"> note 13</w:t>
      </w:r>
      <w:r>
        <w:rPr>
          <w:lang w:val="fr-FR"/>
        </w:rPr>
        <w:t>6:</w:t>
      </w:r>
      <w:r w:rsidRPr="00DD3AFE">
        <w:rPr>
          <w:lang w:val="fr-FR"/>
        </w:rPr>
        <w:t xml:space="preserve"> art.</w:t>
      </w:r>
      <w:r>
        <w:rPr>
          <w:lang w:val="fr-FR"/>
        </w:rPr>
        <w:t xml:space="preserve"> </w:t>
      </w:r>
      <w:r w:rsidRPr="00DD3AFE">
        <w:rPr>
          <w:lang w:val="fr-FR"/>
        </w:rPr>
        <w:t>34</w:t>
      </w:r>
      <w:r>
        <w:rPr>
          <w:lang w:val="fr-FR"/>
        </w:rPr>
        <w:t xml:space="preserve"> et </w:t>
      </w:r>
      <w:r w:rsidRPr="00DD3AFE">
        <w:rPr>
          <w:lang w:val="fr-FR"/>
        </w:rPr>
        <w:t>35</w:t>
      </w:r>
      <w:r>
        <w:rPr>
          <w:lang w:val="fr-FR"/>
        </w:rPr>
        <w:t>.</w:t>
      </w:r>
    </w:p>
  </w:footnote>
  <w:footnote w:id="158">
    <w:p w:rsidR="00035D9E" w:rsidRPr="00DD3AFE"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DD3AFE">
        <w:rPr>
          <w:lang w:val="fr-FR"/>
        </w:rPr>
        <w:t>L</w:t>
      </w:r>
      <w:r>
        <w:rPr>
          <w:lang w:val="fr-FR"/>
        </w:rPr>
        <w:t>’</w:t>
      </w:r>
      <w:r w:rsidRPr="00DD3AFE">
        <w:rPr>
          <w:lang w:val="fr-FR"/>
        </w:rPr>
        <w:t>institution publique en question est l</w:t>
      </w:r>
      <w:r>
        <w:rPr>
          <w:lang w:val="fr-FR"/>
        </w:rPr>
        <w:t>’</w:t>
      </w:r>
      <w:r w:rsidRPr="00DD3AFE">
        <w:rPr>
          <w:lang w:val="fr-FR"/>
        </w:rPr>
        <w:t>Université nationale du Rwanda, alors que l</w:t>
      </w:r>
      <w:r>
        <w:rPr>
          <w:lang w:val="fr-FR"/>
        </w:rPr>
        <w:t>’</w:t>
      </w:r>
      <w:r w:rsidRPr="00DD3AFE">
        <w:rPr>
          <w:lang w:val="fr-FR"/>
        </w:rPr>
        <w:t>institution privée est l</w:t>
      </w:r>
      <w:r>
        <w:rPr>
          <w:lang w:val="fr-FR"/>
        </w:rPr>
        <w:t>’</w:t>
      </w:r>
      <w:r w:rsidRPr="00DD3AFE">
        <w:rPr>
          <w:lang w:val="fr-FR"/>
        </w:rPr>
        <w:t>UNILAK</w:t>
      </w:r>
      <w:r>
        <w:rPr>
          <w:lang w:val="fr-FR"/>
        </w:rPr>
        <w:t>.</w:t>
      </w:r>
    </w:p>
  </w:footnote>
  <w:footnote w:id="159">
    <w:p w:rsidR="00035D9E" w:rsidRPr="005E3009"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5E3009">
        <w:rPr>
          <w:lang w:val="fr-FR"/>
        </w:rPr>
        <w:t>Année 2007</w:t>
      </w:r>
      <w:r>
        <w:rPr>
          <w:lang w:val="fr-FR"/>
        </w:rPr>
        <w:t>.</w:t>
      </w:r>
    </w:p>
  </w:footnote>
  <w:footnote w:id="160">
    <w:p w:rsidR="00035D9E" w:rsidRPr="00CE1A7B"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924545">
        <w:rPr>
          <w:lang w:val="fr-FR"/>
        </w:rPr>
        <w:t xml:space="preserve">En 2000, le Rwanda a adhérée aux </w:t>
      </w:r>
      <w:r w:rsidRPr="00492330">
        <w:rPr>
          <w:lang w:val="fr-FR"/>
        </w:rPr>
        <w:t>conventions internationales suivantes: la Convention concernant la lutte contre la discrimination dans le domaine de l’enseignement (1960); la Convention internationale sur la reconnaissance des études, et des diplômes et des grades de l’enseignement supérieur dans les États arabes et les États européens riverains de la Méditerranée (1976</w:t>
      </w:r>
      <w:r w:rsidRPr="002D11F7">
        <w:rPr>
          <w:lang w:val="fr-FR"/>
        </w:rPr>
        <w:t>); la Convention sur la reconnaissance des études et des diplômes relatifs à l’enseignement supérieur dans les États de la région Europe (1979); la Convention régionale sur la reconnaissance des études, des diplômes et des grades de l’enseignement supérieur en Asie et dans le Pacifique (1983); Convention régionale sur la reconnaissance des études et des diplômes de l’enseignement supérieur en Amérique latine et dans la région des Caraïbes</w:t>
      </w:r>
      <w:r>
        <w:rPr>
          <w:lang w:val="fr-FR"/>
        </w:rPr>
        <w:t xml:space="preserve"> (</w:t>
      </w:r>
      <w:r w:rsidRPr="00924545">
        <w:rPr>
          <w:lang w:val="fr-FR"/>
        </w:rPr>
        <w:t>1974)</w:t>
      </w:r>
      <w:r>
        <w:rPr>
          <w:lang w:val="fr-FR"/>
        </w:rPr>
        <w:t xml:space="preserve">; la Charte </w:t>
      </w:r>
      <w:r w:rsidRPr="003A1CCD">
        <w:rPr>
          <w:lang w:val="fr-FR"/>
        </w:rPr>
        <w:t>africaine des droits et du bien-être de l’enfant (1989</w:t>
      </w:r>
      <w:r>
        <w:rPr>
          <w:lang w:val="fr-FR"/>
        </w:rPr>
        <w:t xml:space="preserve">). En 1990 le Rwanda a adhéré à la </w:t>
      </w:r>
      <w:r w:rsidRPr="009B1274">
        <w:rPr>
          <w:lang w:val="fr-FR"/>
        </w:rPr>
        <w:t>Convention</w:t>
      </w:r>
      <w:r>
        <w:rPr>
          <w:lang w:val="fr-FR"/>
        </w:rPr>
        <w:t xml:space="preserve"> des Nations Unies relative aux droits de l’enfant.</w:t>
      </w:r>
    </w:p>
  </w:footnote>
  <w:footnote w:id="161">
    <w:p w:rsidR="00035D9E" w:rsidRPr="007752CA" w:rsidRDefault="00035D9E" w:rsidP="001A4057">
      <w:pPr>
        <w:pStyle w:val="FootnoteText"/>
        <w:rPr>
          <w:szCs w:val="18"/>
          <w:lang w:val="fr-FR"/>
        </w:rPr>
      </w:pPr>
      <w:r w:rsidRPr="00D931E8">
        <w:rPr>
          <w:lang w:val="fr-FR"/>
        </w:rPr>
        <w:tab/>
      </w:r>
      <w:r w:rsidRPr="00D931E8">
        <w:rPr>
          <w:rStyle w:val="FootnoteReference"/>
        </w:rPr>
        <w:footnoteRef/>
      </w:r>
      <w:r w:rsidRPr="00D931E8">
        <w:rPr>
          <w:lang w:val="fr-FR"/>
        </w:rPr>
        <w:tab/>
      </w:r>
      <w:r w:rsidRPr="00924545">
        <w:rPr>
          <w:lang w:val="fr-FR"/>
        </w:rPr>
        <w:t>Notons entre autres</w:t>
      </w:r>
      <w:r>
        <w:rPr>
          <w:lang w:val="fr-FR"/>
        </w:rPr>
        <w:t>:</w:t>
      </w:r>
      <w:r w:rsidRPr="00924545">
        <w:rPr>
          <w:lang w:val="fr-FR"/>
        </w:rPr>
        <w:t xml:space="preserve"> </w:t>
      </w:r>
      <w:r>
        <w:rPr>
          <w:lang w:val="fr-FR"/>
        </w:rPr>
        <w:t xml:space="preserve">la loi </w:t>
      </w:r>
      <w:r w:rsidRPr="004C549D">
        <w:rPr>
          <w:rFonts w:eastAsia="MS Mincho"/>
          <w:lang w:val="fr-FR"/>
        </w:rPr>
        <w:t>n</w:t>
      </w:r>
      <w:r w:rsidRPr="004C549D">
        <w:rPr>
          <w:rFonts w:eastAsia="MS Mincho"/>
          <w:vertAlign w:val="superscript"/>
          <w:lang w:val="fr-FR"/>
        </w:rPr>
        <w:t>o</w:t>
      </w:r>
      <w:r>
        <w:rPr>
          <w:lang w:val="fr-FR"/>
        </w:rPr>
        <w:t xml:space="preserve"> 23/2006 du 28/4/2006 portant création du Conseil National de l’Enseignement Supérieur; la loi </w:t>
      </w:r>
      <w:r w:rsidRPr="004C549D">
        <w:rPr>
          <w:rFonts w:eastAsia="MS Mincho"/>
          <w:lang w:val="fr-FR"/>
        </w:rPr>
        <w:t>n</w:t>
      </w:r>
      <w:r w:rsidRPr="004C549D">
        <w:rPr>
          <w:rFonts w:eastAsia="MS Mincho"/>
          <w:vertAlign w:val="superscript"/>
          <w:lang w:val="fr-FR"/>
        </w:rPr>
        <w:t>o</w:t>
      </w:r>
      <w:r>
        <w:rPr>
          <w:lang w:val="fr-FR"/>
        </w:rPr>
        <w:t xml:space="preserve"> 20/2005 du 20/10/2005 portant organisation et fonctionnement de l’enseignement supérieur; la loi </w:t>
      </w:r>
      <w:r w:rsidRPr="004C549D">
        <w:rPr>
          <w:rFonts w:eastAsia="MS Mincho"/>
          <w:lang w:val="fr-FR"/>
        </w:rPr>
        <w:t>n</w:t>
      </w:r>
      <w:r w:rsidRPr="004C549D">
        <w:rPr>
          <w:rFonts w:eastAsia="MS Mincho"/>
          <w:vertAlign w:val="superscript"/>
          <w:lang w:val="fr-FR"/>
        </w:rPr>
        <w:t>o</w:t>
      </w:r>
      <w:r>
        <w:rPr>
          <w:lang w:val="fr-FR"/>
        </w:rPr>
        <w:t xml:space="preserve"> </w:t>
      </w:r>
      <w:r w:rsidRPr="00924545">
        <w:rPr>
          <w:lang w:val="fr-FR"/>
        </w:rPr>
        <w:t>20/2003 portant organisation de l</w:t>
      </w:r>
      <w:r>
        <w:rPr>
          <w:lang w:val="fr-FR"/>
        </w:rPr>
        <w:t>’</w:t>
      </w:r>
      <w:r w:rsidRPr="00924545">
        <w:rPr>
          <w:lang w:val="fr-FR"/>
        </w:rPr>
        <w:t>éducation: elle vise à former le citoyen libéré de toute discrimination [..] art. 2</w:t>
      </w:r>
      <w:r>
        <w:rPr>
          <w:lang w:val="fr-FR"/>
        </w:rPr>
        <w:t>;</w:t>
      </w:r>
      <w:r w:rsidRPr="00924545">
        <w:rPr>
          <w:lang w:val="fr-FR"/>
        </w:rPr>
        <w:t xml:space="preserve"> la loi déterminant les responsabilités, organisation et fonctionnement de l</w:t>
      </w:r>
      <w:r>
        <w:rPr>
          <w:lang w:val="fr-FR"/>
        </w:rPr>
        <w:t>’</w:t>
      </w:r>
      <w:r w:rsidRPr="00924545">
        <w:rPr>
          <w:lang w:val="fr-FR"/>
        </w:rPr>
        <w:t>agence de financement aux étudiants au Rwanda (SFAR)</w:t>
      </w:r>
      <w:r>
        <w:rPr>
          <w:lang w:val="fr-FR"/>
        </w:rPr>
        <w:t>;</w:t>
      </w:r>
      <w:r w:rsidRPr="00924545">
        <w:rPr>
          <w:lang w:val="fr-FR"/>
        </w:rPr>
        <w:t xml:space="preserve"> l</w:t>
      </w:r>
      <w:r>
        <w:rPr>
          <w:lang w:val="fr-FR"/>
        </w:rPr>
        <w:t>’</w:t>
      </w:r>
      <w:r w:rsidRPr="00924545">
        <w:rPr>
          <w:lang w:val="fr-FR"/>
        </w:rPr>
        <w:t>arrêté présidentiel déterminant les conditions d</w:t>
      </w:r>
      <w:r>
        <w:rPr>
          <w:lang w:val="fr-FR"/>
        </w:rPr>
        <w:t>’</w:t>
      </w:r>
      <w:r w:rsidRPr="00924545">
        <w:rPr>
          <w:lang w:val="fr-FR"/>
        </w:rPr>
        <w:t>octroi de bourses d</w:t>
      </w:r>
      <w:r>
        <w:rPr>
          <w:lang w:val="fr-FR"/>
        </w:rPr>
        <w:t>’</w:t>
      </w:r>
      <w:r w:rsidRPr="00924545">
        <w:rPr>
          <w:lang w:val="fr-FR"/>
        </w:rPr>
        <w:t>études […]</w:t>
      </w:r>
      <w:r>
        <w:rPr>
          <w:lang w:val="fr-FR"/>
        </w:rPr>
        <w:t>;</w:t>
      </w:r>
      <w:r w:rsidRPr="00924545">
        <w:rPr>
          <w:lang w:val="fr-FR"/>
        </w:rPr>
        <w:t xml:space="preserve"> l</w:t>
      </w:r>
      <w:r>
        <w:rPr>
          <w:lang w:val="fr-FR"/>
        </w:rPr>
        <w:t>’</w:t>
      </w:r>
      <w:r w:rsidRPr="00924545">
        <w:rPr>
          <w:lang w:val="fr-FR"/>
        </w:rPr>
        <w:t>arrêté présidentiel du 07/03/2005 portant création du prix d</w:t>
      </w:r>
      <w:r>
        <w:rPr>
          <w:lang w:val="fr-FR"/>
        </w:rPr>
        <w:t>’</w:t>
      </w:r>
      <w:r w:rsidRPr="00924545">
        <w:rPr>
          <w:lang w:val="fr-FR"/>
        </w:rPr>
        <w:t>excellence aux élèves et étudiants ayant obtenu les meilleurs résultats</w:t>
      </w:r>
      <w:r>
        <w:rPr>
          <w:lang w:val="fr-FR"/>
        </w:rPr>
        <w:t>;</w:t>
      </w:r>
      <w:r w:rsidRPr="00924545">
        <w:rPr>
          <w:lang w:val="fr-FR"/>
        </w:rPr>
        <w:t xml:space="preserve"> l</w:t>
      </w:r>
      <w:r>
        <w:rPr>
          <w:lang w:val="fr-FR"/>
        </w:rPr>
        <w:t>’</w:t>
      </w:r>
      <w:r w:rsidRPr="00924545">
        <w:rPr>
          <w:lang w:val="fr-FR"/>
        </w:rPr>
        <w:t xml:space="preserve">arrêté du premier ministre du 16/03/2001 portant organisation et attributions du </w:t>
      </w:r>
      <w:r>
        <w:rPr>
          <w:lang w:val="fr-FR"/>
        </w:rPr>
        <w:t>Ministère</w:t>
      </w:r>
      <w:r w:rsidRPr="00924545">
        <w:rPr>
          <w:lang w:val="fr-FR"/>
        </w:rPr>
        <w:t xml:space="preserve"> de l</w:t>
      </w:r>
      <w:r>
        <w:rPr>
          <w:lang w:val="fr-FR"/>
        </w:rPr>
        <w:t>’</w:t>
      </w:r>
      <w:r w:rsidRPr="00924545">
        <w:rPr>
          <w:lang w:val="fr-FR"/>
        </w:rPr>
        <w:t>éducation</w:t>
      </w:r>
      <w:r>
        <w:rPr>
          <w:lang w:val="fr-FR"/>
        </w:rPr>
        <w:t>;</w:t>
      </w:r>
      <w:r w:rsidRPr="00924545">
        <w:rPr>
          <w:lang w:val="fr-FR"/>
        </w:rPr>
        <w:t xml:space="preserve"> l</w:t>
      </w:r>
      <w:r>
        <w:rPr>
          <w:lang w:val="fr-FR"/>
        </w:rPr>
        <w:t>’</w:t>
      </w:r>
      <w:r w:rsidRPr="00924545">
        <w:rPr>
          <w:lang w:val="fr-FR"/>
        </w:rPr>
        <w:t>arrêté du premier ministre du 23/12/2002 portant création d</w:t>
      </w:r>
      <w:r>
        <w:rPr>
          <w:lang w:val="fr-FR"/>
        </w:rPr>
        <w:t>’</w:t>
      </w:r>
      <w:r w:rsidRPr="00924545">
        <w:rPr>
          <w:lang w:val="fr-FR"/>
        </w:rPr>
        <w:t>une commission chargée d</w:t>
      </w:r>
      <w:r>
        <w:rPr>
          <w:lang w:val="fr-FR"/>
        </w:rPr>
        <w:t>’</w:t>
      </w:r>
      <w:r w:rsidRPr="00924545">
        <w:rPr>
          <w:lang w:val="fr-FR"/>
        </w:rPr>
        <w:t>octroyer les bourses d</w:t>
      </w:r>
      <w:r>
        <w:rPr>
          <w:lang w:val="fr-FR"/>
        </w:rPr>
        <w:t>’</w:t>
      </w:r>
      <w:r w:rsidRPr="00924545">
        <w:rPr>
          <w:lang w:val="fr-FR"/>
        </w:rPr>
        <w:t>études à l</w:t>
      </w:r>
      <w:r>
        <w:rPr>
          <w:lang w:val="fr-FR"/>
        </w:rPr>
        <w:t>’</w:t>
      </w:r>
      <w:r w:rsidRPr="00924545">
        <w:rPr>
          <w:lang w:val="fr-FR"/>
        </w:rPr>
        <w:t>étranger […]</w:t>
      </w:r>
      <w:r>
        <w:rPr>
          <w:lang w:val="fr-FR"/>
        </w:rPr>
        <w:t>;</w:t>
      </w:r>
      <w:r w:rsidRPr="00924545">
        <w:rPr>
          <w:lang w:val="fr-FR"/>
        </w:rPr>
        <w:t xml:space="preserve"> l</w:t>
      </w:r>
      <w:r>
        <w:rPr>
          <w:lang w:val="fr-FR"/>
        </w:rPr>
        <w:t>’</w:t>
      </w:r>
      <w:r w:rsidRPr="00924545">
        <w:rPr>
          <w:lang w:val="fr-FR"/>
        </w:rPr>
        <w:t>arrêté du premier ministre du 15/3/2003 portant création,[…], de l</w:t>
      </w:r>
      <w:r>
        <w:rPr>
          <w:lang w:val="fr-FR"/>
        </w:rPr>
        <w:t>’</w:t>
      </w:r>
      <w:r w:rsidRPr="00924545">
        <w:rPr>
          <w:lang w:val="fr-FR"/>
        </w:rPr>
        <w:t>inspection générale de l</w:t>
      </w:r>
      <w:r>
        <w:rPr>
          <w:lang w:val="fr-FR"/>
        </w:rPr>
        <w:t>’éducation.</w:t>
      </w:r>
    </w:p>
  </w:footnote>
  <w:footnote w:id="162">
    <w:p w:rsidR="00035D9E" w:rsidRPr="00E47BD4" w:rsidRDefault="00035D9E" w:rsidP="001A4057">
      <w:pPr>
        <w:pStyle w:val="FootnoteText"/>
        <w:ind w:hanging="567"/>
        <w:rPr>
          <w:lang w:val="fr-FR"/>
        </w:rPr>
      </w:pPr>
      <w:r>
        <w:rPr>
          <w:lang w:val="fr-FR"/>
        </w:rPr>
        <w:tab/>
      </w:r>
      <w:r w:rsidRPr="00D931E8">
        <w:rPr>
          <w:rStyle w:val="FootnoteReference"/>
        </w:rPr>
        <w:footnoteRef/>
      </w:r>
      <w:r>
        <w:rPr>
          <w:lang w:val="fr-FR"/>
        </w:rPr>
        <w:tab/>
        <w:t>Minecofin:</w:t>
      </w:r>
      <w:r w:rsidRPr="00E47BD4">
        <w:rPr>
          <w:lang w:val="fr-FR"/>
        </w:rPr>
        <w:t xml:space="preserve"> CEPEX</w:t>
      </w:r>
      <w:r>
        <w:rPr>
          <w:lang w:val="fr-FR"/>
        </w:rPr>
        <w:t xml:space="preserve"> 1</w:t>
      </w:r>
      <w:r w:rsidRPr="00E47BD4">
        <w:rPr>
          <w:vertAlign w:val="superscript"/>
          <w:lang w:val="fr-FR"/>
        </w:rPr>
        <w:t>er</w:t>
      </w:r>
      <w:r>
        <w:rPr>
          <w:lang w:val="fr-FR"/>
        </w:rPr>
        <w:t xml:space="preserve"> semestre 2008</w:t>
      </w:r>
      <w:r w:rsidRPr="00E47BD4">
        <w:rPr>
          <w:lang w:val="fr-FR"/>
        </w:rPr>
        <w:t xml:space="preserve">: </w:t>
      </w:r>
      <w:r w:rsidRPr="007752CA">
        <w:rPr>
          <w:i/>
          <w:lang w:val="fr-FR"/>
        </w:rPr>
        <w:t>Development projects implementation report:</w:t>
      </w:r>
      <w:r>
        <w:rPr>
          <w:lang w:val="fr-FR"/>
        </w:rPr>
        <w:t xml:space="preserve"> ce </w:t>
      </w:r>
      <w:r w:rsidRPr="00E47BD4">
        <w:rPr>
          <w:lang w:val="fr-FR"/>
        </w:rPr>
        <w:t xml:space="preserve">budget ayant servi entre autres </w:t>
      </w:r>
      <w:r>
        <w:rPr>
          <w:lang w:val="fr-FR"/>
        </w:rPr>
        <w:t xml:space="preserve">à améliorer et acquérir des équipements de laboratoire dans les institutions supérieures, construire des écoles et des classes de niveau primaire, mais aussi payer les professeurs expatriés: </w:t>
      </w:r>
      <w:hyperlink r:id="rId4" w:history="1">
        <w:r w:rsidRPr="00D931E8">
          <w:rPr>
            <w:rStyle w:val="Hyperlink"/>
            <w:lang w:val="fr-FR"/>
          </w:rPr>
          <w:t>http://www.cepex.gov.rw/RAPPORT2008.pdf</w:t>
        </w:r>
      </w:hyperlink>
    </w:p>
  </w:footnote>
  <w:footnote w:id="163">
    <w:p w:rsidR="00035D9E"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Pr>
          <w:lang w:val="fr-FR"/>
        </w:rPr>
        <w:t xml:space="preserve">Le Rwanda a: </w:t>
      </w:r>
    </w:p>
    <w:p w:rsidR="00035D9E" w:rsidRPr="0060188C" w:rsidRDefault="00035D9E" w:rsidP="00CD1742">
      <w:pPr>
        <w:pStyle w:val="Bullet1G"/>
        <w:tabs>
          <w:tab w:val="clear" w:pos="1701"/>
          <w:tab w:val="num" w:pos="1300"/>
        </w:tabs>
        <w:spacing w:after="0" w:line="240" w:lineRule="auto"/>
        <w:ind w:left="1304"/>
        <w:jc w:val="left"/>
        <w:rPr>
          <w:sz w:val="18"/>
          <w:szCs w:val="18"/>
          <w:lang w:val="fr-FR"/>
        </w:rPr>
      </w:pPr>
      <w:r w:rsidRPr="007B62DE">
        <w:rPr>
          <w:sz w:val="18"/>
          <w:szCs w:val="18"/>
          <w:lang w:val="fr-FR"/>
        </w:rPr>
        <w:t>Ad</w:t>
      </w:r>
      <w:r w:rsidRPr="007752CA">
        <w:rPr>
          <w:sz w:val="18"/>
          <w:szCs w:val="18"/>
          <w:lang w:val="fr-FR"/>
        </w:rPr>
        <w:t>héré le 10/8/</w:t>
      </w:r>
      <w:r w:rsidRPr="007752CA">
        <w:rPr>
          <w:sz w:val="18"/>
          <w:lang w:val="fr-FR"/>
        </w:rPr>
        <w:t>1989</w:t>
      </w:r>
      <w:r w:rsidRPr="007752CA">
        <w:rPr>
          <w:sz w:val="18"/>
          <w:szCs w:val="18"/>
          <w:lang w:val="fr-FR"/>
        </w:rPr>
        <w:t xml:space="preserve"> aux instruments suivants: Convention universelle sur le droit d’auteur</w:t>
      </w:r>
      <w:r>
        <w:rPr>
          <w:sz w:val="18"/>
          <w:szCs w:val="18"/>
          <w:lang w:val="fr-FR"/>
        </w:rPr>
        <w:t>,</w:t>
      </w:r>
      <w:r w:rsidRPr="007752CA">
        <w:rPr>
          <w:sz w:val="18"/>
          <w:szCs w:val="18"/>
          <w:lang w:val="fr-FR"/>
        </w:rPr>
        <w:t xml:space="preserve"> avec Déclaration annexe relative à l’article XVII </w:t>
      </w:r>
      <w:r w:rsidRPr="0026092B">
        <w:rPr>
          <w:sz w:val="18"/>
          <w:szCs w:val="18"/>
          <w:lang w:val="fr-FR"/>
        </w:rPr>
        <w:t xml:space="preserve">et Résolution concernant l’article XI 1952; </w:t>
      </w:r>
      <w:r w:rsidRPr="006A0B6F">
        <w:rPr>
          <w:sz w:val="18"/>
          <w:szCs w:val="18"/>
          <w:lang w:val="fr-FR"/>
        </w:rPr>
        <w:t>Protocole annexe 1 à la Convention universelle pour la protection du droit de l’auteur concernant la protection des œuvres des personnes apatrides et des réfugiés 1952</w:t>
      </w:r>
      <w:r w:rsidRPr="007B62DE">
        <w:rPr>
          <w:sz w:val="18"/>
          <w:szCs w:val="18"/>
          <w:lang w:val="fr-FR"/>
        </w:rPr>
        <w:t>; Protocole annexe 2 à la Convention universelle pour la protection du droit de l’auteur concernant l’application de la Convention aux œuvres de certaines organisations internationales 1952; Protocole annexe 3 à la Convention universelle pour la protection du droit d’auteur relatif à la ratification, acceptation ou adhésion conditionnelle; Convention universelle sur le droit d’auteur révisée à Paris le 24 juillet 1971, avec Déclaration</w:t>
      </w:r>
      <w:r w:rsidRPr="007752CA">
        <w:rPr>
          <w:sz w:val="18"/>
          <w:szCs w:val="18"/>
          <w:lang w:val="fr-FR"/>
        </w:rPr>
        <w:t xml:space="preserve"> annexe relative à l’article XVII et Résolution concernant l’article XI</w:t>
      </w:r>
      <w:r>
        <w:rPr>
          <w:sz w:val="18"/>
          <w:szCs w:val="18"/>
          <w:lang w:val="fr-FR"/>
        </w:rPr>
        <w:t xml:space="preserve"> 1971</w:t>
      </w:r>
      <w:r w:rsidRPr="007752CA">
        <w:rPr>
          <w:sz w:val="18"/>
          <w:szCs w:val="18"/>
          <w:lang w:val="fr-FR"/>
        </w:rPr>
        <w:t xml:space="preserve">; Protocole annexe 1 à la </w:t>
      </w:r>
      <w:r w:rsidRPr="00990B84">
        <w:rPr>
          <w:sz w:val="18"/>
          <w:szCs w:val="18"/>
          <w:lang w:val="fr-FR"/>
        </w:rPr>
        <w:t>Convention universelle sur le droit d’auteur révisée à Paris le 24 juillet 1971 concernant la protection des œuvres des personnes apatrides et des réfugiés 1971</w:t>
      </w:r>
      <w:r w:rsidRPr="0060188C">
        <w:rPr>
          <w:sz w:val="18"/>
          <w:szCs w:val="18"/>
          <w:lang w:val="fr-FR"/>
        </w:rPr>
        <w:t xml:space="preserve">; Protocole annexe 2 à la Convention universelle sur le droit d’auteur révisée à Paris le 24 juillet 1971 concernant l’application de la Convention aux œuvres de certaines organisations internationales 1971; </w:t>
      </w:r>
    </w:p>
    <w:p w:rsidR="00035D9E" w:rsidRPr="00011B26" w:rsidRDefault="00035D9E" w:rsidP="00CD1742">
      <w:pPr>
        <w:pStyle w:val="Bullet1G"/>
        <w:tabs>
          <w:tab w:val="clear" w:pos="1701"/>
          <w:tab w:val="num" w:pos="1300"/>
        </w:tabs>
        <w:spacing w:after="0" w:line="240" w:lineRule="auto"/>
        <w:ind w:left="1304"/>
        <w:jc w:val="left"/>
        <w:rPr>
          <w:sz w:val="18"/>
          <w:szCs w:val="18"/>
          <w:lang w:val="fr-FR"/>
        </w:rPr>
      </w:pPr>
      <w:r w:rsidRPr="00E91A7C">
        <w:rPr>
          <w:sz w:val="18"/>
          <w:szCs w:val="18"/>
          <w:lang w:val="fr-FR"/>
        </w:rPr>
        <w:t>Adhéré en 2000 à la Convention concernant la protection du patrimoine mondial, culturel et naturel 1972; et</w:t>
      </w:r>
      <w:r w:rsidRPr="00011B26">
        <w:rPr>
          <w:sz w:val="18"/>
          <w:szCs w:val="18"/>
          <w:lang w:val="fr-FR"/>
        </w:rPr>
        <w:t xml:space="preserve"> à la Convention pour la protection des biens culturels en cas de conflit armé, avec Règlement d’exécution 1954; </w:t>
      </w:r>
    </w:p>
    <w:p w:rsidR="00035D9E" w:rsidRPr="00DB763D" w:rsidRDefault="00035D9E" w:rsidP="00CD1742">
      <w:pPr>
        <w:pStyle w:val="Bullet1G"/>
        <w:tabs>
          <w:tab w:val="clear" w:pos="1701"/>
          <w:tab w:val="num" w:pos="1300"/>
        </w:tabs>
        <w:spacing w:after="0" w:line="240" w:lineRule="auto"/>
        <w:ind w:left="1304"/>
        <w:jc w:val="left"/>
        <w:rPr>
          <w:sz w:val="18"/>
          <w:szCs w:val="18"/>
          <w:lang w:val="fr-FR"/>
        </w:rPr>
      </w:pPr>
      <w:r w:rsidRPr="00DB763D">
        <w:rPr>
          <w:sz w:val="18"/>
          <w:szCs w:val="18"/>
          <w:lang w:val="fr-FR"/>
        </w:rPr>
        <w:t>Adhéré en 2001 à Convention concernant les mesures à prendre pour interdire et empêcher l’importation, l’exportation et le transfert de propriété illicites des biens culturels 1970.</w:t>
      </w:r>
    </w:p>
  </w:footnote>
  <w:footnote w:id="164">
    <w:p w:rsidR="00035D9E" w:rsidRPr="007752CA" w:rsidRDefault="00035D9E" w:rsidP="001A4057">
      <w:pPr>
        <w:pStyle w:val="FootnoteText"/>
        <w:rPr>
          <w:rFonts w:cs="Arial"/>
          <w:bCs/>
          <w:lang w:val="fr-BE"/>
        </w:rPr>
      </w:pPr>
      <w:r w:rsidRPr="00DB763D">
        <w:rPr>
          <w:lang w:val="fr-FR"/>
        </w:rPr>
        <w:tab/>
      </w:r>
      <w:r w:rsidRPr="00DB763D">
        <w:rPr>
          <w:rStyle w:val="FootnoteReference"/>
        </w:rPr>
        <w:footnoteRef/>
      </w:r>
      <w:r w:rsidRPr="00DB763D">
        <w:rPr>
          <w:lang w:val="fr-FR"/>
        </w:rPr>
        <w:tab/>
        <w:t xml:space="preserve">La </w:t>
      </w:r>
      <w:r w:rsidRPr="00DB763D">
        <w:rPr>
          <w:rFonts w:cs="Arial"/>
          <w:bCs/>
          <w:lang w:val="fr-FR"/>
        </w:rPr>
        <w:t xml:space="preserve">loi </w:t>
      </w:r>
      <w:r w:rsidRPr="00DB763D">
        <w:rPr>
          <w:rFonts w:eastAsia="MS Mincho" w:cs="Arial"/>
          <w:bCs/>
          <w:lang w:val="fr-FR"/>
        </w:rPr>
        <w:t>n</w:t>
      </w:r>
      <w:r w:rsidRPr="00DB763D">
        <w:rPr>
          <w:rFonts w:eastAsia="MS Mincho" w:cs="Arial"/>
          <w:bCs/>
          <w:vertAlign w:val="superscript"/>
          <w:lang w:val="fr-FR"/>
        </w:rPr>
        <w:t>o</w:t>
      </w:r>
      <w:r w:rsidRPr="00DB763D">
        <w:rPr>
          <w:rFonts w:cs="Arial"/>
          <w:bCs/>
          <w:lang w:val="fr-FR"/>
        </w:rPr>
        <w:t xml:space="preserve"> 06/2004 du 27/03/2004(J.O. numéro spécial du 30/03/2004) a autorisé la ratification des Statuts du Centre international d’études pour la conservation et la restauration des biens culturels (ICCROM); la </w:t>
      </w:r>
      <w:r w:rsidRPr="00DB763D">
        <w:rPr>
          <w:rFonts w:cs="Arial"/>
          <w:bCs/>
          <w:lang w:val="fr-BE"/>
        </w:rPr>
        <w:t xml:space="preserve">loi sur la préservation de l’environnement (loi organique </w:t>
      </w:r>
      <w:r w:rsidRPr="00DB763D">
        <w:rPr>
          <w:rFonts w:eastAsia="MS Mincho" w:cs="Arial"/>
          <w:bCs/>
          <w:lang w:val="fr-BE"/>
        </w:rPr>
        <w:t>n</w:t>
      </w:r>
      <w:r w:rsidRPr="00DB763D">
        <w:rPr>
          <w:rFonts w:eastAsia="MS Mincho" w:cs="Arial"/>
          <w:bCs/>
          <w:vertAlign w:val="superscript"/>
          <w:lang w:val="fr-BE"/>
        </w:rPr>
        <w:t>o</w:t>
      </w:r>
      <w:r w:rsidRPr="00DB763D">
        <w:rPr>
          <w:rFonts w:cs="Arial"/>
          <w:bCs/>
          <w:lang w:val="fr-BE"/>
        </w:rPr>
        <w:t xml:space="preserve"> 04/2005 du 08/04/2005) statue que toute personne a le devoir de contribuer à la sauvegarde du patrimoine naturel, historique et des activités culturelles; la loi </w:t>
      </w:r>
      <w:r w:rsidRPr="00DB763D">
        <w:rPr>
          <w:rFonts w:eastAsia="MS Mincho" w:cs="Arial"/>
          <w:bCs/>
          <w:lang w:val="fr-BE"/>
        </w:rPr>
        <w:t>n</w:t>
      </w:r>
      <w:r w:rsidRPr="00DB763D">
        <w:rPr>
          <w:rFonts w:eastAsia="MS Mincho" w:cs="Arial"/>
          <w:bCs/>
          <w:vertAlign w:val="superscript"/>
          <w:lang w:val="fr-BE"/>
        </w:rPr>
        <w:t>o</w:t>
      </w:r>
      <w:r w:rsidRPr="00DB763D">
        <w:rPr>
          <w:rFonts w:cs="Arial"/>
          <w:bCs/>
          <w:lang w:val="fr-BE"/>
        </w:rPr>
        <w:t xml:space="preserve"> 56/2008 portant organisation des sites mémoriaux et cimetières pour les victimes du génocide perpétré contre les Tutsi au Rwanda (J.O. </w:t>
      </w:r>
      <w:r w:rsidRPr="00DB763D">
        <w:rPr>
          <w:rFonts w:eastAsia="MS Mincho" w:cs="Arial"/>
          <w:bCs/>
          <w:lang w:val="fr-BE"/>
        </w:rPr>
        <w:t>n</w:t>
      </w:r>
      <w:r w:rsidRPr="00DB763D">
        <w:rPr>
          <w:rFonts w:eastAsia="MS Mincho" w:cs="Arial"/>
          <w:bCs/>
          <w:vertAlign w:val="superscript"/>
          <w:lang w:val="fr-BE"/>
        </w:rPr>
        <w:t>o</w:t>
      </w:r>
      <w:r w:rsidRPr="00DB763D">
        <w:rPr>
          <w:rFonts w:cs="Arial"/>
          <w:bCs/>
          <w:lang w:val="fr-BE"/>
        </w:rPr>
        <w:t xml:space="preserve"> 12 </w:t>
      </w:r>
      <w:r w:rsidRPr="00DB763D">
        <w:rPr>
          <w:rFonts w:cs="Arial"/>
          <w:bCs/>
          <w:i/>
          <w:lang w:val="fr-BE"/>
        </w:rPr>
        <w:t>bis</w:t>
      </w:r>
      <w:r w:rsidRPr="00DB763D">
        <w:rPr>
          <w:rFonts w:cs="Arial"/>
          <w:bCs/>
          <w:lang w:val="fr-BE"/>
        </w:rPr>
        <w:t xml:space="preserve"> du 23/03/2009).</w:t>
      </w:r>
    </w:p>
  </w:footnote>
  <w:footnote w:id="165">
    <w:p w:rsidR="00035D9E" w:rsidRPr="00AB2565"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AB2565">
        <w:rPr>
          <w:lang w:val="fr-FR"/>
        </w:rPr>
        <w:t>Minecofin, Budget par secteurs, 2008</w:t>
      </w:r>
      <w:r>
        <w:rPr>
          <w:lang w:val="fr-FR"/>
        </w:rPr>
        <w:t>:</w:t>
      </w:r>
      <w:r w:rsidRPr="00AB2565">
        <w:rPr>
          <w:lang w:val="fr-FR"/>
        </w:rPr>
        <w:t xml:space="preserve"> il était de presque 1</w:t>
      </w:r>
      <w:r>
        <w:rPr>
          <w:lang w:val="fr-FR"/>
        </w:rPr>
        <w:t xml:space="preserve"> %</w:t>
      </w:r>
      <w:r w:rsidRPr="00AB2565">
        <w:rPr>
          <w:lang w:val="fr-FR"/>
        </w:rPr>
        <w:t xml:space="preserve"> </w:t>
      </w:r>
      <w:r>
        <w:rPr>
          <w:lang w:val="fr-FR"/>
        </w:rPr>
        <w:t>du</w:t>
      </w:r>
      <w:r w:rsidRPr="00AB2565">
        <w:rPr>
          <w:lang w:val="fr-FR"/>
        </w:rPr>
        <w:t xml:space="preserve"> budget du </w:t>
      </w:r>
      <w:r>
        <w:rPr>
          <w:lang w:val="fr-FR"/>
        </w:rPr>
        <w:t>Gouvernement</w:t>
      </w:r>
      <w:r w:rsidRPr="00AB2565">
        <w:rPr>
          <w:lang w:val="fr-FR"/>
        </w:rPr>
        <w:t xml:space="preserve"> de 2008. Notons qu</w:t>
      </w:r>
      <w:r>
        <w:rPr>
          <w:lang w:val="fr-FR"/>
        </w:rPr>
        <w:t>’</w:t>
      </w:r>
      <w:r w:rsidRPr="00AB2565">
        <w:rPr>
          <w:lang w:val="fr-FR"/>
        </w:rPr>
        <w:t>à ce moment</w:t>
      </w:r>
      <w:r>
        <w:rPr>
          <w:lang w:val="fr-FR"/>
        </w:rPr>
        <w:t>,</w:t>
      </w:r>
      <w:r w:rsidRPr="00AB2565">
        <w:rPr>
          <w:lang w:val="fr-FR"/>
        </w:rPr>
        <w:t xml:space="preserve"> ce </w:t>
      </w:r>
      <w:r>
        <w:rPr>
          <w:lang w:val="fr-FR"/>
        </w:rPr>
        <w:t>Ministère</w:t>
      </w:r>
      <w:r w:rsidRPr="00AB2565">
        <w:rPr>
          <w:lang w:val="fr-FR"/>
        </w:rPr>
        <w:t xml:space="preserve"> comprenait aussi bien les spo</w:t>
      </w:r>
      <w:r>
        <w:rPr>
          <w:lang w:val="fr-FR"/>
        </w:rPr>
        <w:t>rts et la culture que la jeunesse.</w:t>
      </w:r>
    </w:p>
  </w:footnote>
  <w:footnote w:id="166">
    <w:p w:rsidR="00035D9E" w:rsidRPr="00D826CC"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D826CC">
        <w:rPr>
          <w:lang w:val="fr-FR"/>
        </w:rPr>
        <w:t>UNESCO Rwanda: Country Programming Document, 1ère édition, Octobre 2007, p.</w:t>
      </w:r>
      <w:r>
        <w:rPr>
          <w:lang w:val="fr-FR"/>
        </w:rPr>
        <w:t xml:space="preserve"> </w:t>
      </w:r>
      <w:r w:rsidRPr="00D826CC">
        <w:rPr>
          <w:lang w:val="fr-FR"/>
        </w:rPr>
        <w:t>6</w:t>
      </w:r>
      <w:r>
        <w:rPr>
          <w:lang w:val="fr-FR"/>
        </w:rPr>
        <w:t>.</w:t>
      </w:r>
    </w:p>
  </w:footnote>
  <w:footnote w:id="167">
    <w:p w:rsidR="00035D9E" w:rsidRPr="00934F07"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934F07">
        <w:rPr>
          <w:lang w:val="fr-FR"/>
        </w:rPr>
        <w:t>Ce comité a été créé par l</w:t>
      </w:r>
      <w:r>
        <w:rPr>
          <w:lang w:val="fr-FR"/>
        </w:rPr>
        <w:t xml:space="preserve">’instruction ministérielle </w:t>
      </w:r>
      <w:r w:rsidRPr="004C549D">
        <w:rPr>
          <w:rFonts w:eastAsia="MS Mincho"/>
          <w:lang w:val="fr-FR"/>
        </w:rPr>
        <w:t>n</w:t>
      </w:r>
      <w:r w:rsidRPr="004C549D">
        <w:rPr>
          <w:rFonts w:eastAsia="MS Mincho"/>
          <w:vertAlign w:val="superscript"/>
          <w:lang w:val="fr-FR"/>
        </w:rPr>
        <w:t>o</w:t>
      </w:r>
      <w:r>
        <w:rPr>
          <w:lang w:val="fr-FR"/>
        </w:rPr>
        <w:t xml:space="preserve"> </w:t>
      </w:r>
      <w:r w:rsidRPr="00934F07">
        <w:rPr>
          <w:lang w:val="fr-FR"/>
        </w:rPr>
        <w:t>20/37 du 03/10/2008 sur la création d</w:t>
      </w:r>
      <w:r>
        <w:rPr>
          <w:lang w:val="fr-FR"/>
        </w:rPr>
        <w:t>’</w:t>
      </w:r>
      <w:r w:rsidRPr="00934F07">
        <w:rPr>
          <w:lang w:val="fr-FR"/>
        </w:rPr>
        <w:t>un comité national d</w:t>
      </w:r>
      <w:r>
        <w:rPr>
          <w:lang w:val="fr-FR"/>
        </w:rPr>
        <w:t>’</w:t>
      </w:r>
      <w:r w:rsidRPr="00934F07">
        <w:rPr>
          <w:lang w:val="fr-FR"/>
        </w:rPr>
        <w:t>éthique sur la recherche sur les personnes humaines</w:t>
      </w:r>
      <w:r>
        <w:rPr>
          <w:lang w:val="fr-FR"/>
        </w:rPr>
        <w:t xml:space="preserve"> (art. 4).</w:t>
      </w:r>
    </w:p>
  </w:footnote>
  <w:footnote w:id="168">
    <w:p w:rsidR="00035D9E" w:rsidRPr="00B953E1" w:rsidRDefault="00035D9E" w:rsidP="001A4057">
      <w:pPr>
        <w:pStyle w:val="FootnoteText"/>
        <w:rPr>
          <w:lang w:val="fr-FR"/>
        </w:rPr>
      </w:pPr>
      <w:r>
        <w:rPr>
          <w:lang w:val="fr-FR"/>
        </w:rPr>
        <w:tab/>
      </w:r>
      <w:r w:rsidRPr="00D931E8">
        <w:rPr>
          <w:rStyle w:val="FootnoteReference"/>
        </w:rPr>
        <w:footnoteRef/>
      </w:r>
      <w:r>
        <w:rPr>
          <w:lang w:val="fr-FR"/>
        </w:rPr>
        <w:tab/>
        <w:t xml:space="preserve">Il s’agit d’un </w:t>
      </w:r>
      <w:r w:rsidRPr="00B953E1">
        <w:rPr>
          <w:lang w:val="fr-FR"/>
        </w:rPr>
        <w:t xml:space="preserve">programme </w:t>
      </w:r>
      <w:r>
        <w:rPr>
          <w:lang w:val="fr-FR"/>
        </w:rPr>
        <w:t xml:space="preserve">de courte durée </w:t>
      </w:r>
      <w:r w:rsidRPr="00B953E1">
        <w:rPr>
          <w:lang w:val="fr-FR"/>
        </w:rPr>
        <w:t>visant à encourager la diaspora rwandaise à mettre leurs habilet</w:t>
      </w:r>
      <w:r>
        <w:rPr>
          <w:lang w:val="fr-FR"/>
        </w:rPr>
        <w:t>és scientifiques au service de leur nation.</w:t>
      </w:r>
    </w:p>
  </w:footnote>
  <w:footnote w:id="169">
    <w:p w:rsidR="00035D9E" w:rsidRPr="006444CE"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sidRPr="006C757E">
        <w:rPr>
          <w:lang w:val="fr-FR"/>
        </w:rPr>
        <w:t xml:space="preserve">En plus des conventions citées </w:t>
      </w:r>
      <w:r>
        <w:rPr>
          <w:lang w:val="fr-FR"/>
        </w:rPr>
        <w:t>plus haut:</w:t>
      </w:r>
      <w:r w:rsidRPr="006C757E">
        <w:rPr>
          <w:lang w:val="fr-FR"/>
        </w:rPr>
        <w:t xml:space="preserve"> </w:t>
      </w:r>
      <w:r w:rsidRPr="000C5468">
        <w:rPr>
          <w:lang w:val="fr-FR"/>
        </w:rPr>
        <w:t xml:space="preserve">la Convention universelle sur le droit d’auteur et Protocoles annexes (ratification en 1989 des Protocoles </w:t>
      </w:r>
      <w:r>
        <w:rPr>
          <w:lang w:val="fr-FR"/>
        </w:rPr>
        <w:t>annexes n</w:t>
      </w:r>
      <w:r w:rsidRPr="000C5468">
        <w:rPr>
          <w:vertAlign w:val="superscript"/>
          <w:lang w:val="fr-FR"/>
        </w:rPr>
        <w:t>os</w:t>
      </w:r>
      <w:r>
        <w:rPr>
          <w:lang w:val="fr-FR"/>
        </w:rPr>
        <w:t xml:space="preserve"> </w:t>
      </w:r>
      <w:r w:rsidRPr="000C5468">
        <w:rPr>
          <w:lang w:val="fr-FR"/>
        </w:rPr>
        <w:t>1 et 2</w:t>
      </w:r>
      <w:r w:rsidRPr="00513846">
        <w:rPr>
          <w:lang w:val="fr-FR"/>
        </w:rPr>
        <w:t>); la Déclaration des États ACP sur le retour ou la restitution des biens culturels; la Charte africaine de la jeunesse, ratifiée par décret-présidentiel du 14/06/2007</w:t>
      </w:r>
      <w:r w:rsidRPr="00A007C9">
        <w:rPr>
          <w:lang w:val="fr-FR"/>
        </w:rPr>
        <w:t xml:space="preserve">; la Charte africaine des droits et du bien-être de l’enfant, ratifiée le </w:t>
      </w:r>
      <w:r w:rsidRPr="00007CD9">
        <w:rPr>
          <w:lang w:val="fr-FR"/>
        </w:rPr>
        <w:t>30/05/2000;</w:t>
      </w:r>
      <w:r w:rsidRPr="00A007C9">
        <w:rPr>
          <w:lang w:val="fr-FR"/>
        </w:rPr>
        <w:t xml:space="preserve"> la Convention des Nations Unies relative aux droits de l’enfant, ratifiée le 19/9/1990.</w:t>
      </w:r>
      <w:r>
        <w:rPr>
          <w:lang w:val="fr-FR"/>
        </w:rPr>
        <w:t xml:space="preserve"> </w:t>
      </w:r>
    </w:p>
  </w:footnote>
  <w:footnote w:id="170">
    <w:p w:rsidR="00035D9E" w:rsidRPr="006C757E" w:rsidRDefault="00035D9E" w:rsidP="001A4057">
      <w:pPr>
        <w:pStyle w:val="FootnoteText"/>
        <w:rPr>
          <w:lang w:val="fr-FR"/>
        </w:rPr>
      </w:pPr>
      <w:r w:rsidRPr="00D931E8">
        <w:rPr>
          <w:lang w:val="fr-FR"/>
        </w:rPr>
        <w:tab/>
      </w:r>
      <w:r w:rsidRPr="00D931E8">
        <w:rPr>
          <w:rStyle w:val="FootnoteReference"/>
        </w:rPr>
        <w:footnoteRef/>
      </w:r>
      <w:r w:rsidRPr="00D931E8">
        <w:rPr>
          <w:lang w:val="fr-FR"/>
        </w:rPr>
        <w:tab/>
      </w:r>
      <w:r>
        <w:rPr>
          <w:lang w:val="fr-FR"/>
        </w:rPr>
        <w:t xml:space="preserve">Arrêté présidentiel </w:t>
      </w:r>
      <w:r w:rsidRPr="004C549D">
        <w:rPr>
          <w:rFonts w:eastAsia="MS Mincho"/>
          <w:lang w:val="fr-FR"/>
        </w:rPr>
        <w:t>n</w:t>
      </w:r>
      <w:r w:rsidRPr="004C549D">
        <w:rPr>
          <w:rFonts w:eastAsia="MS Mincho"/>
          <w:vertAlign w:val="superscript"/>
          <w:lang w:val="fr-FR"/>
        </w:rPr>
        <w:t>o</w:t>
      </w:r>
      <w:r>
        <w:rPr>
          <w:lang w:val="fr-FR"/>
        </w:rPr>
        <w:t xml:space="preserve"> </w:t>
      </w:r>
      <w:r w:rsidRPr="006C757E">
        <w:rPr>
          <w:lang w:val="fr-FR"/>
        </w:rPr>
        <w:t>20/09 sur le statut des chercheurs scientifiques des institutions publiques de recherche (1993)</w:t>
      </w:r>
      <w:r>
        <w:rPr>
          <w:lang w:val="fr-FR"/>
        </w:rPr>
        <w:t>;</w:t>
      </w:r>
      <w:r w:rsidRPr="006C757E">
        <w:rPr>
          <w:lang w:val="fr-FR"/>
        </w:rPr>
        <w:t xml:space="preserve"> l</w:t>
      </w:r>
      <w:r>
        <w:rPr>
          <w:lang w:val="fr-FR"/>
        </w:rPr>
        <w:t xml:space="preserve">’arrêté présidentiel </w:t>
      </w:r>
      <w:r w:rsidRPr="004C549D">
        <w:rPr>
          <w:rFonts w:eastAsia="MS Mincho"/>
          <w:lang w:val="fr-FR"/>
        </w:rPr>
        <w:t>n</w:t>
      </w:r>
      <w:r w:rsidRPr="004C549D">
        <w:rPr>
          <w:rFonts w:eastAsia="MS Mincho"/>
          <w:vertAlign w:val="superscript"/>
          <w:lang w:val="fr-FR"/>
        </w:rPr>
        <w:t>o</w:t>
      </w:r>
      <w:r>
        <w:rPr>
          <w:lang w:val="fr-FR"/>
        </w:rPr>
        <w:t xml:space="preserve"> </w:t>
      </w:r>
      <w:r w:rsidRPr="006C757E">
        <w:rPr>
          <w:lang w:val="fr-FR"/>
        </w:rPr>
        <w:t>241/14 du 20/4/1989 portant création et organisation de la régie du musée national du Rwanda</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9E" w:rsidRPr="00CB399B" w:rsidRDefault="00035D9E">
    <w:pPr>
      <w:pStyle w:val="Header"/>
    </w:pPr>
    <w:r>
      <w:t>E/C.12/RWA/2-4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9E" w:rsidRPr="00CB399B" w:rsidRDefault="00035D9E" w:rsidP="00CB399B">
    <w:pPr>
      <w:pStyle w:val="Header"/>
      <w:jc w:val="right"/>
    </w:pPr>
    <w:r>
      <w:t>E/C.12/RWA/2-4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abstractNum w:abstractNumId="41">
    <w:nsid w:val="7DE21F74"/>
    <w:multiLevelType w:val="multilevel"/>
    <w:tmpl w:val="D7D4790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35"/>
  </w:num>
  <w:num w:numId="2">
    <w:abstractNumId w:val="21"/>
  </w:num>
  <w:num w:numId="3">
    <w:abstractNumId w:val="41"/>
  </w:num>
  <w:num w:numId="4">
    <w:abstractNumId w:val="39"/>
  </w:num>
  <w:num w:numId="5">
    <w:abstractNumId w:val="17"/>
  </w:num>
  <w:num w:numId="6">
    <w:abstractNumId w:val="11"/>
  </w:num>
  <w:num w:numId="7">
    <w:abstractNumId w:val="19"/>
  </w:num>
  <w:num w:numId="8">
    <w:abstractNumId w:val="24"/>
  </w:num>
  <w:num w:numId="9">
    <w:abstractNumId w:val="37"/>
  </w:num>
  <w:num w:numId="10">
    <w:abstractNumId w:val="30"/>
  </w:num>
  <w:num w:numId="11">
    <w:abstractNumId w:val="40"/>
  </w:num>
  <w:num w:numId="12">
    <w:abstractNumId w:val="28"/>
  </w:num>
  <w:num w:numId="13">
    <w:abstractNumId w:val="34"/>
  </w:num>
  <w:num w:numId="14">
    <w:abstractNumId w:val="22"/>
  </w:num>
  <w:num w:numId="15">
    <w:abstractNumId w:val="1"/>
  </w:num>
  <w:num w:numId="16">
    <w:abstractNumId w:val="0"/>
  </w:num>
  <w:num w:numId="17">
    <w:abstractNumId w:val="18"/>
  </w:num>
  <w:num w:numId="18">
    <w:abstractNumId w:val="10"/>
  </w:num>
  <w:num w:numId="19">
    <w:abstractNumId w:val="14"/>
  </w:num>
  <w:num w:numId="20">
    <w:abstractNumId w:val="12"/>
  </w:num>
  <w:num w:numId="21">
    <w:abstractNumId w:val="25"/>
  </w:num>
  <w:num w:numId="22">
    <w:abstractNumId w:val="32"/>
  </w:num>
  <w:num w:numId="23">
    <w:abstractNumId w:val="2"/>
  </w:num>
  <w:num w:numId="24">
    <w:abstractNumId w:val="3"/>
  </w:num>
  <w:num w:numId="25">
    <w:abstractNumId w:val="8"/>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38"/>
  </w:num>
  <w:num w:numId="33">
    <w:abstractNumId w:val="27"/>
  </w:num>
  <w:num w:numId="34">
    <w:abstractNumId w:val="36"/>
  </w:num>
  <w:num w:numId="35">
    <w:abstractNumId w:val="15"/>
  </w:num>
  <w:num w:numId="36">
    <w:abstractNumId w:val="23"/>
  </w:num>
  <w:num w:numId="37">
    <w:abstractNumId w:val="31"/>
  </w:num>
  <w:num w:numId="38">
    <w:abstractNumId w:val="20"/>
  </w:num>
  <w:num w:numId="39">
    <w:abstractNumId w:val="33"/>
  </w:num>
  <w:num w:numId="40">
    <w:abstractNumId w:val="29"/>
  </w:num>
  <w:num w:numId="41">
    <w:abstractNumId w:val="26"/>
  </w:num>
  <w:num w:numId="42">
    <w:abstractNumId w:val="16"/>
  </w:num>
  <w:num w:numId="43">
    <w:abstractNumId w:val="35"/>
  </w:num>
  <w:num w:numId="44">
    <w:abstractNumId w:val="35"/>
  </w:num>
  <w:num w:numId="45">
    <w:abstractNumId w:val="35"/>
  </w:num>
  <w:num w:numId="46">
    <w:abstractNumId w:val="35"/>
  </w:num>
  <w:num w:numId="47">
    <w:abstractNumId w:val="35"/>
  </w:num>
  <w:num w:numId="48">
    <w:abstractNumId w:val="35"/>
  </w:num>
  <w:num w:numId="49">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37A"/>
    <w:rsid w:val="0000696F"/>
    <w:rsid w:val="00011146"/>
    <w:rsid w:val="0001137A"/>
    <w:rsid w:val="00016AC5"/>
    <w:rsid w:val="000261DC"/>
    <w:rsid w:val="00030ADE"/>
    <w:rsid w:val="00035D9E"/>
    <w:rsid w:val="000B596C"/>
    <w:rsid w:val="000F41F2"/>
    <w:rsid w:val="00135C0D"/>
    <w:rsid w:val="00160540"/>
    <w:rsid w:val="00177007"/>
    <w:rsid w:val="0018038C"/>
    <w:rsid w:val="00186EE9"/>
    <w:rsid w:val="00192EEB"/>
    <w:rsid w:val="001A20FB"/>
    <w:rsid w:val="001A4057"/>
    <w:rsid w:val="001B6F40"/>
    <w:rsid w:val="001C7B94"/>
    <w:rsid w:val="001D7F8A"/>
    <w:rsid w:val="001E3FEB"/>
    <w:rsid w:val="001E4A02"/>
    <w:rsid w:val="00223B89"/>
    <w:rsid w:val="00225A8C"/>
    <w:rsid w:val="002659F1"/>
    <w:rsid w:val="002741C2"/>
    <w:rsid w:val="00287E79"/>
    <w:rsid w:val="002928F9"/>
    <w:rsid w:val="002A5D07"/>
    <w:rsid w:val="002C4CE2"/>
    <w:rsid w:val="002F5FFE"/>
    <w:rsid w:val="003016B7"/>
    <w:rsid w:val="003036A3"/>
    <w:rsid w:val="00335688"/>
    <w:rsid w:val="00340C35"/>
    <w:rsid w:val="00345C73"/>
    <w:rsid w:val="003515AA"/>
    <w:rsid w:val="0036354A"/>
    <w:rsid w:val="00370E0F"/>
    <w:rsid w:val="00374106"/>
    <w:rsid w:val="003976D5"/>
    <w:rsid w:val="003A3B0D"/>
    <w:rsid w:val="003D1DF3"/>
    <w:rsid w:val="003D46A7"/>
    <w:rsid w:val="003D6C68"/>
    <w:rsid w:val="004159D0"/>
    <w:rsid w:val="004249E7"/>
    <w:rsid w:val="004A7FCC"/>
    <w:rsid w:val="004F3E8B"/>
    <w:rsid w:val="005046DB"/>
    <w:rsid w:val="00543D5E"/>
    <w:rsid w:val="00571F41"/>
    <w:rsid w:val="005B09DD"/>
    <w:rsid w:val="005B52CA"/>
    <w:rsid w:val="005E5D1F"/>
    <w:rsid w:val="00603391"/>
    <w:rsid w:val="00611D43"/>
    <w:rsid w:val="00612D48"/>
    <w:rsid w:val="00613876"/>
    <w:rsid w:val="00616B45"/>
    <w:rsid w:val="0062180D"/>
    <w:rsid w:val="00630D9B"/>
    <w:rsid w:val="00631953"/>
    <w:rsid w:val="006439EC"/>
    <w:rsid w:val="00652353"/>
    <w:rsid w:val="00666B32"/>
    <w:rsid w:val="006B4590"/>
    <w:rsid w:val="006C340C"/>
    <w:rsid w:val="0070347C"/>
    <w:rsid w:val="007176C1"/>
    <w:rsid w:val="00731578"/>
    <w:rsid w:val="00746376"/>
    <w:rsid w:val="00761B55"/>
    <w:rsid w:val="0077742D"/>
    <w:rsid w:val="007B5E2E"/>
    <w:rsid w:val="007C0E8B"/>
    <w:rsid w:val="007E44B0"/>
    <w:rsid w:val="007F2539"/>
    <w:rsid w:val="007F55CB"/>
    <w:rsid w:val="008317F6"/>
    <w:rsid w:val="00844750"/>
    <w:rsid w:val="008639F7"/>
    <w:rsid w:val="008B44C4"/>
    <w:rsid w:val="008B7879"/>
    <w:rsid w:val="008E1473"/>
    <w:rsid w:val="008E7FAE"/>
    <w:rsid w:val="00911BF7"/>
    <w:rsid w:val="00936522"/>
    <w:rsid w:val="009422C4"/>
    <w:rsid w:val="00976704"/>
    <w:rsid w:val="00977EC8"/>
    <w:rsid w:val="009B6C14"/>
    <w:rsid w:val="009D3A8C"/>
    <w:rsid w:val="009E7956"/>
    <w:rsid w:val="009F5257"/>
    <w:rsid w:val="009F759C"/>
    <w:rsid w:val="00A02E14"/>
    <w:rsid w:val="00A2492E"/>
    <w:rsid w:val="00A70163"/>
    <w:rsid w:val="00AB18ED"/>
    <w:rsid w:val="00AC67A1"/>
    <w:rsid w:val="00AC7977"/>
    <w:rsid w:val="00AE352C"/>
    <w:rsid w:val="00AF38EC"/>
    <w:rsid w:val="00B161A1"/>
    <w:rsid w:val="00B32E2D"/>
    <w:rsid w:val="00B4466B"/>
    <w:rsid w:val="00B54638"/>
    <w:rsid w:val="00B61990"/>
    <w:rsid w:val="00B85D99"/>
    <w:rsid w:val="00B861F1"/>
    <w:rsid w:val="00BF0556"/>
    <w:rsid w:val="00C13FE4"/>
    <w:rsid w:val="00C261F8"/>
    <w:rsid w:val="00C33100"/>
    <w:rsid w:val="00C940E9"/>
    <w:rsid w:val="00CB25DD"/>
    <w:rsid w:val="00CB399B"/>
    <w:rsid w:val="00CD1742"/>
    <w:rsid w:val="00CD1A71"/>
    <w:rsid w:val="00CD1FBB"/>
    <w:rsid w:val="00D016B5"/>
    <w:rsid w:val="00D034F1"/>
    <w:rsid w:val="00D11B17"/>
    <w:rsid w:val="00D27D5E"/>
    <w:rsid w:val="00D638C7"/>
    <w:rsid w:val="00DA57D4"/>
    <w:rsid w:val="00DB4793"/>
    <w:rsid w:val="00DB714E"/>
    <w:rsid w:val="00DE01E3"/>
    <w:rsid w:val="00DE6D90"/>
    <w:rsid w:val="00DF002F"/>
    <w:rsid w:val="00E0173F"/>
    <w:rsid w:val="00E0244D"/>
    <w:rsid w:val="00E24659"/>
    <w:rsid w:val="00E55D71"/>
    <w:rsid w:val="00E65FFA"/>
    <w:rsid w:val="00E777A8"/>
    <w:rsid w:val="00E81E94"/>
    <w:rsid w:val="00E82607"/>
    <w:rsid w:val="00EA31C2"/>
    <w:rsid w:val="00EC4698"/>
    <w:rsid w:val="00EE2EA3"/>
    <w:rsid w:val="00F01516"/>
    <w:rsid w:val="00F22D73"/>
    <w:rsid w:val="00F40792"/>
    <w:rsid w:val="00F917CF"/>
    <w:rsid w:val="00FA5A79"/>
    <w:rsid w:val="00FB0BFE"/>
    <w:rsid w:val="00FB4C51"/>
    <w:rsid w:val="00FE08E0"/>
    <w:rsid w:val="00FE1B68"/>
    <w:rsid w:val="00FF1DBD"/>
    <w:rsid w:val="00FF2FF5"/>
    <w:rsid w:val="00FF30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link w:val="Heading1Char"/>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ar"/>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link w:val="Bullet1GCar"/>
    <w:rsid w:val="0000696F"/>
    <w:pPr>
      <w:numPr>
        <w:numId w:val="1"/>
      </w:numPr>
      <w:spacing w:after="120"/>
      <w:ind w:right="1134"/>
      <w:jc w:val="both"/>
    </w:pPr>
  </w:style>
  <w:style w:type="paragraph" w:customStyle="1" w:styleId="Bullet2G">
    <w:name w:val="_Bullet 2_G"/>
    <w:basedOn w:val="Normal"/>
    <w:link w:val="Bullet2GCar"/>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llet1GCar">
    <w:name w:val="_Bullet 1_G Car"/>
    <w:link w:val="Bullet1G"/>
    <w:rsid w:val="00CB399B"/>
    <w:rPr>
      <w:lang w:val="fr-CH" w:eastAsia="en-US" w:bidi="ar-SA"/>
    </w:rPr>
  </w:style>
  <w:style w:type="character" w:customStyle="1" w:styleId="SingleTxtGCar">
    <w:name w:val="_ Single Txt_G Car"/>
    <w:link w:val="SingleTxtG"/>
    <w:rsid w:val="00CB399B"/>
    <w:rPr>
      <w:lang w:val="fr-CH" w:eastAsia="en-US" w:bidi="ar-SA"/>
    </w:rPr>
  </w:style>
  <w:style w:type="character" w:customStyle="1" w:styleId="H56GCar">
    <w:name w:val="_ H_5/6_G Car"/>
    <w:link w:val="H56G"/>
    <w:rsid w:val="00CB399B"/>
    <w:rPr>
      <w:lang w:val="fr-CH" w:eastAsia="en-US" w:bidi="ar-SA"/>
    </w:rPr>
  </w:style>
  <w:style w:type="character" w:customStyle="1" w:styleId="Bullet2GCar">
    <w:name w:val="_Bullet 2_G Car"/>
    <w:link w:val="Bullet2G"/>
    <w:rsid w:val="00CB399B"/>
    <w:rPr>
      <w:lang w:val="fr-CH" w:eastAsia="en-US" w:bidi="ar-SA"/>
    </w:rPr>
  </w:style>
  <w:style w:type="character" w:customStyle="1" w:styleId="Heading1Char">
    <w:name w:val="Heading 1 Char"/>
    <w:aliases w:val="Table_G Char"/>
    <w:basedOn w:val="SingleTxtGCar"/>
    <w:link w:val="Heading1"/>
    <w:rsid w:val="001A4057"/>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ifotra.gov.rw/documents/Guidelines/Guides%20Salaries.pdf" TargetMode="External"/><Relationship Id="rId18" Type="http://schemas.openxmlformats.org/officeDocument/2006/relationships/hyperlink" Target="http://mineduc.gov.rw/"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statistics.gov.rw/" TargetMode="External"/><Relationship Id="rId7" Type="http://schemas.openxmlformats.org/officeDocument/2006/relationships/image" Target="media/image1.wmf"/><Relationship Id="rId12" Type="http://schemas.openxmlformats.org/officeDocument/2006/relationships/hyperlink" Target="http://www.cepex.gov.rw/sem12008.pdf" TargetMode="External"/><Relationship Id="rId17" Type="http://schemas.openxmlformats.org/officeDocument/2006/relationships/hyperlink" Target="http://www.minecofin.gov.rw/"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inaloc.gov.rw/" TargetMode="External"/><Relationship Id="rId20" Type="http://schemas.openxmlformats.org/officeDocument/2006/relationships/hyperlink" Target="http://moh.gov.r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r.gov.rw"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inagri.gov.rw/"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amategeko.net" TargetMode="External"/><Relationship Id="rId19" Type="http://schemas.openxmlformats.org/officeDocument/2006/relationships/hyperlink" Target="http://minirena.gov.rw/"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migeprof.gov.rw"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unrwanda.org/images/stories/documents/" TargetMode="External"/><Relationship Id="rId2" Type="http://schemas.openxmlformats.org/officeDocument/2006/relationships/hyperlink" Target="http://www.amategeko.net/index.php?Parent_ID=%207570&amp;Langue_ID=Fr" TargetMode="External"/><Relationship Id="rId1" Type="http://schemas.openxmlformats.org/officeDocument/2006/relationships/hyperlink" Target="http://amategeko.net/display_rubrique.php?Information_ID=944&amp;Parent_ID=3070625&amp;type=public&amp;Langue_ID=Fr" TargetMode="External"/><Relationship Id="rId4" Type="http://schemas.openxmlformats.org/officeDocument/2006/relationships/hyperlink" Target="http://www.cepex.gov.rw/RAPPORT2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36089</Words>
  <Characters>192720</Characters>
  <Application>Microsoft Office Word</Application>
  <DocSecurity>4</DocSecurity>
  <Lines>4282</Lines>
  <Paragraphs>2723</Paragraphs>
  <ScaleCrop>false</ScaleCrop>
  <HeadingPairs>
    <vt:vector size="2" baseType="variant">
      <vt:variant>
        <vt:lpstr>Titre</vt:lpstr>
      </vt:variant>
      <vt:variant>
        <vt:i4>1</vt:i4>
      </vt:variant>
    </vt:vector>
  </HeadingPairs>
  <TitlesOfParts>
    <vt:vector size="1" baseType="lpstr">
      <vt:lpstr>E/C.12/RWA/2-4</vt:lpstr>
    </vt:vector>
  </TitlesOfParts>
  <Company>Corinne</Company>
  <LinksUpToDate>false</LinksUpToDate>
  <CharactersWithSpaces>226086</CharactersWithSpaces>
  <SharedDoc>false</SharedDoc>
  <HLinks>
    <vt:vector size="96" baseType="variant">
      <vt:variant>
        <vt:i4>6226010</vt:i4>
      </vt:variant>
      <vt:variant>
        <vt:i4>36</vt:i4>
      </vt:variant>
      <vt:variant>
        <vt:i4>0</vt:i4>
      </vt:variant>
      <vt:variant>
        <vt:i4>5</vt:i4>
      </vt:variant>
      <vt:variant>
        <vt:lpwstr>http://www.statistics.gov.rw/</vt:lpwstr>
      </vt:variant>
      <vt:variant>
        <vt:lpwstr/>
      </vt:variant>
      <vt:variant>
        <vt:i4>6422654</vt:i4>
      </vt:variant>
      <vt:variant>
        <vt:i4>33</vt:i4>
      </vt:variant>
      <vt:variant>
        <vt:i4>0</vt:i4>
      </vt:variant>
      <vt:variant>
        <vt:i4>5</vt:i4>
      </vt:variant>
      <vt:variant>
        <vt:lpwstr>http://moh.gov.rw/</vt:lpwstr>
      </vt:variant>
      <vt:variant>
        <vt:lpwstr/>
      </vt:variant>
      <vt:variant>
        <vt:i4>2883694</vt:i4>
      </vt:variant>
      <vt:variant>
        <vt:i4>30</vt:i4>
      </vt:variant>
      <vt:variant>
        <vt:i4>0</vt:i4>
      </vt:variant>
      <vt:variant>
        <vt:i4>5</vt:i4>
      </vt:variant>
      <vt:variant>
        <vt:lpwstr>http://minirena.gov.rw/</vt:lpwstr>
      </vt:variant>
      <vt:variant>
        <vt:lpwstr/>
      </vt:variant>
      <vt:variant>
        <vt:i4>6488168</vt:i4>
      </vt:variant>
      <vt:variant>
        <vt:i4>27</vt:i4>
      </vt:variant>
      <vt:variant>
        <vt:i4>0</vt:i4>
      </vt:variant>
      <vt:variant>
        <vt:i4>5</vt:i4>
      </vt:variant>
      <vt:variant>
        <vt:lpwstr>http://mineduc.gov.rw/</vt:lpwstr>
      </vt:variant>
      <vt:variant>
        <vt:lpwstr/>
      </vt:variant>
      <vt:variant>
        <vt:i4>983106</vt:i4>
      </vt:variant>
      <vt:variant>
        <vt:i4>24</vt:i4>
      </vt:variant>
      <vt:variant>
        <vt:i4>0</vt:i4>
      </vt:variant>
      <vt:variant>
        <vt:i4>5</vt:i4>
      </vt:variant>
      <vt:variant>
        <vt:lpwstr>http://www.minecofin.gov.rw/</vt:lpwstr>
      </vt:variant>
      <vt:variant>
        <vt:lpwstr/>
      </vt:variant>
      <vt:variant>
        <vt:i4>7012399</vt:i4>
      </vt:variant>
      <vt:variant>
        <vt:i4>21</vt:i4>
      </vt:variant>
      <vt:variant>
        <vt:i4>0</vt:i4>
      </vt:variant>
      <vt:variant>
        <vt:i4>5</vt:i4>
      </vt:variant>
      <vt:variant>
        <vt:lpwstr>http://www.minaloc.gov.rw/</vt:lpwstr>
      </vt:variant>
      <vt:variant>
        <vt:lpwstr/>
      </vt:variant>
      <vt:variant>
        <vt:i4>6946923</vt:i4>
      </vt:variant>
      <vt:variant>
        <vt:i4>18</vt:i4>
      </vt:variant>
      <vt:variant>
        <vt:i4>0</vt:i4>
      </vt:variant>
      <vt:variant>
        <vt:i4>5</vt:i4>
      </vt:variant>
      <vt:variant>
        <vt:lpwstr>http://minagri.gov.rw/</vt:lpwstr>
      </vt:variant>
      <vt:variant>
        <vt:lpwstr/>
      </vt:variant>
      <vt:variant>
        <vt:i4>2490411</vt:i4>
      </vt:variant>
      <vt:variant>
        <vt:i4>15</vt:i4>
      </vt:variant>
      <vt:variant>
        <vt:i4>0</vt:i4>
      </vt:variant>
      <vt:variant>
        <vt:i4>5</vt:i4>
      </vt:variant>
      <vt:variant>
        <vt:lpwstr>http://www.migeprof.gov.rw/</vt:lpwstr>
      </vt:variant>
      <vt:variant>
        <vt:lpwstr/>
      </vt:variant>
      <vt:variant>
        <vt:i4>7995427</vt:i4>
      </vt:variant>
      <vt:variant>
        <vt:i4>12</vt:i4>
      </vt:variant>
      <vt:variant>
        <vt:i4>0</vt:i4>
      </vt:variant>
      <vt:variant>
        <vt:i4>5</vt:i4>
      </vt:variant>
      <vt:variant>
        <vt:lpwstr>http://www.mifotra.gov.rw/documents/Guidelines/Guides Salaries.pdf</vt:lpwstr>
      </vt:variant>
      <vt:variant>
        <vt:lpwstr/>
      </vt:variant>
      <vt:variant>
        <vt:i4>4587550</vt:i4>
      </vt:variant>
      <vt:variant>
        <vt:i4>9</vt:i4>
      </vt:variant>
      <vt:variant>
        <vt:i4>0</vt:i4>
      </vt:variant>
      <vt:variant>
        <vt:i4>5</vt:i4>
      </vt:variant>
      <vt:variant>
        <vt:lpwstr>http://www.cepex.gov.rw/sem12008.pdf</vt:lpwstr>
      </vt:variant>
      <vt:variant>
        <vt:lpwstr/>
      </vt:variant>
      <vt:variant>
        <vt:i4>7733307</vt:i4>
      </vt:variant>
      <vt:variant>
        <vt:i4>6</vt:i4>
      </vt:variant>
      <vt:variant>
        <vt:i4>0</vt:i4>
      </vt:variant>
      <vt:variant>
        <vt:i4>5</vt:i4>
      </vt:variant>
      <vt:variant>
        <vt:lpwstr>http://www.csr.gov.rw/</vt:lpwstr>
      </vt:variant>
      <vt:variant>
        <vt:lpwstr/>
      </vt:variant>
      <vt:variant>
        <vt:i4>6160398</vt:i4>
      </vt:variant>
      <vt:variant>
        <vt:i4>3</vt:i4>
      </vt:variant>
      <vt:variant>
        <vt:i4>0</vt:i4>
      </vt:variant>
      <vt:variant>
        <vt:i4>5</vt:i4>
      </vt:variant>
      <vt:variant>
        <vt:lpwstr>http://www.amategeko.net/</vt:lpwstr>
      </vt:variant>
      <vt:variant>
        <vt:lpwstr/>
      </vt:variant>
      <vt:variant>
        <vt:i4>2555945</vt:i4>
      </vt:variant>
      <vt:variant>
        <vt:i4>9</vt:i4>
      </vt:variant>
      <vt:variant>
        <vt:i4>0</vt:i4>
      </vt:variant>
      <vt:variant>
        <vt:i4>5</vt:i4>
      </vt:variant>
      <vt:variant>
        <vt:lpwstr>http://www.cepex.gov.rw/RAPPORT2008.pdf</vt:lpwstr>
      </vt:variant>
      <vt:variant>
        <vt:lpwstr/>
      </vt:variant>
      <vt:variant>
        <vt:i4>5374027</vt:i4>
      </vt:variant>
      <vt:variant>
        <vt:i4>6</vt:i4>
      </vt:variant>
      <vt:variant>
        <vt:i4>0</vt:i4>
      </vt:variant>
      <vt:variant>
        <vt:i4>5</vt:i4>
      </vt:variant>
      <vt:variant>
        <vt:lpwstr>http://www.unrwanda.org/images/stories/documents/</vt:lpwstr>
      </vt:variant>
      <vt:variant>
        <vt:lpwstr/>
      </vt:variant>
      <vt:variant>
        <vt:i4>7536742</vt:i4>
      </vt:variant>
      <vt:variant>
        <vt:i4>3</vt:i4>
      </vt:variant>
      <vt:variant>
        <vt:i4>0</vt:i4>
      </vt:variant>
      <vt:variant>
        <vt:i4>5</vt:i4>
      </vt:variant>
      <vt:variant>
        <vt:lpwstr>http://www.amategeko.net/index.php?Parent_ID= 7570&amp;Langue_ID=Fr</vt:lpwstr>
      </vt:variant>
      <vt:variant>
        <vt:lpwstr/>
      </vt:variant>
      <vt:variant>
        <vt:i4>5308503</vt:i4>
      </vt:variant>
      <vt:variant>
        <vt:i4>0</vt:i4>
      </vt:variant>
      <vt:variant>
        <vt:i4>0</vt:i4>
      </vt:variant>
      <vt:variant>
        <vt:i4>5</vt:i4>
      </vt:variant>
      <vt:variant>
        <vt:lpwstr>http://amategeko.net/display_rubrique.php?Information_ID=944&amp;Parent_ID=3070625&amp;type=public&amp;Langue_ID=Fr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E/C.12/RWA/2-4</dc:title>
  <dc:subject>FINAL</dc:subject>
  <dc:creator>B.Mallon</dc:creator>
  <cp:keywords/>
  <dc:description/>
  <cp:lastModifiedBy>Pool</cp:lastModifiedBy>
  <cp:revision>4</cp:revision>
  <cp:lastPrinted>2011-10-18T16:20:00Z</cp:lastPrinted>
  <dcterms:created xsi:type="dcterms:W3CDTF">2011-10-18T16:20:00Z</dcterms:created>
  <dcterms:modified xsi:type="dcterms:W3CDTF">2011-10-18T16:20:00Z</dcterms:modified>
</cp:coreProperties>
</file>